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36"/>
          <w:szCs w:val="36"/>
          <w:lang w:val="en-US" w:eastAsia="zh-CN"/>
        </w:rPr>
      </w:pPr>
    </w:p>
    <w:p>
      <w:pPr>
        <w:spacing w:line="560" w:lineRule="exact"/>
        <w:jc w:val="center"/>
        <w:rPr>
          <w:rFonts w:hint="eastAsia" w:ascii="方正小标宋简体" w:eastAsia="方正小标宋简体"/>
          <w:sz w:val="36"/>
          <w:szCs w:val="36"/>
          <w:lang w:val="en-US" w:eastAsia="zh-CN"/>
        </w:rPr>
      </w:pPr>
    </w:p>
    <w:p>
      <w:pPr>
        <w:spacing w:line="560" w:lineRule="exact"/>
        <w:jc w:val="center"/>
        <w:rPr>
          <w:rFonts w:hint="eastAsia" w:ascii="方正小标宋简体" w:eastAsia="方正小标宋简体"/>
          <w:sz w:val="36"/>
          <w:szCs w:val="36"/>
          <w:lang w:val="en-US" w:eastAsia="zh-CN"/>
        </w:rPr>
      </w:pPr>
    </w:p>
    <w:p>
      <w:pPr>
        <w:spacing w:line="560" w:lineRule="exact"/>
        <w:jc w:val="center"/>
        <w:rPr>
          <w:rFonts w:hint="eastAsia" w:ascii="方正小标宋简体" w:eastAsia="方正小标宋简体"/>
          <w:sz w:val="36"/>
          <w:szCs w:val="36"/>
          <w:lang w:val="en-US" w:eastAsia="zh-CN"/>
        </w:rPr>
      </w:pPr>
    </w:p>
    <w:p>
      <w:pPr>
        <w:spacing w:line="560" w:lineRule="exact"/>
        <w:jc w:val="center"/>
        <w:rPr>
          <w:rFonts w:hint="eastAsia" w:ascii="方正小标宋简体" w:eastAsia="方正小标宋简体"/>
          <w:sz w:val="36"/>
          <w:szCs w:val="36"/>
          <w:lang w:val="en-US" w:eastAsia="zh-CN"/>
        </w:rPr>
      </w:pPr>
    </w:p>
    <w:p>
      <w:pPr>
        <w:spacing w:line="560" w:lineRule="exact"/>
        <w:jc w:val="center"/>
        <w:rPr>
          <w:rFonts w:hint="eastAsia" w:ascii="方正小标宋简体" w:eastAsia="方正小标宋简体"/>
          <w:sz w:val="36"/>
          <w:szCs w:val="36"/>
          <w:lang w:val="en-US" w:eastAsia="zh-CN"/>
        </w:rPr>
      </w:pPr>
    </w:p>
    <w:p>
      <w:pPr>
        <w:spacing w:line="560" w:lineRule="exact"/>
        <w:jc w:val="center"/>
        <w:rPr>
          <w:rFonts w:hint="default" w:ascii="方正小标宋简体" w:eastAsia="方正小标宋简体"/>
          <w:sz w:val="40"/>
          <w:szCs w:val="40"/>
          <w:lang w:val="en-US" w:eastAsia="zh-CN"/>
        </w:rPr>
      </w:pPr>
      <w:r>
        <w:rPr>
          <w:rFonts w:hint="eastAsia" w:ascii="方正小标宋简体" w:eastAsia="方正小标宋简体"/>
          <w:sz w:val="40"/>
          <w:szCs w:val="40"/>
          <w:lang w:val="en-US" w:eastAsia="zh-CN"/>
        </w:rPr>
        <w:t>北京市昌平区人民法院</w:t>
      </w:r>
    </w:p>
    <w:p>
      <w:pPr>
        <w:spacing w:line="560" w:lineRule="exact"/>
        <w:jc w:val="center"/>
        <w:rPr>
          <w:rFonts w:hint="eastAsia" w:ascii="方正小标宋简体" w:eastAsia="方正小标宋简体"/>
          <w:sz w:val="40"/>
          <w:szCs w:val="40"/>
        </w:rPr>
      </w:pPr>
      <w:r>
        <w:rPr>
          <w:rFonts w:hint="eastAsia" w:ascii="方正小标宋简体" w:eastAsia="方正小标宋简体"/>
          <w:sz w:val="40"/>
          <w:szCs w:val="40"/>
          <w:lang w:val="en-US" w:eastAsia="zh-CN"/>
        </w:rPr>
        <w:t>2024年度</w:t>
      </w:r>
      <w:r>
        <w:rPr>
          <w:rFonts w:hint="eastAsia" w:ascii="方正小标宋简体" w:eastAsia="方正小标宋简体"/>
          <w:sz w:val="40"/>
          <w:szCs w:val="40"/>
        </w:rPr>
        <w:t>整体</w:t>
      </w:r>
      <w:r>
        <w:rPr>
          <w:rFonts w:hint="eastAsia" w:ascii="方正小标宋简体" w:eastAsia="方正小标宋简体"/>
          <w:sz w:val="40"/>
          <w:szCs w:val="40"/>
          <w:lang w:val="en-US" w:eastAsia="zh-CN"/>
        </w:rPr>
        <w:t>支出</w:t>
      </w:r>
      <w:r>
        <w:rPr>
          <w:rFonts w:hint="eastAsia" w:ascii="方正小标宋简体" w:eastAsia="方正小标宋简体"/>
          <w:sz w:val="40"/>
          <w:szCs w:val="40"/>
        </w:rPr>
        <w:t>绩效</w:t>
      </w:r>
      <w:r>
        <w:rPr>
          <w:rFonts w:hint="eastAsia" w:ascii="方正小标宋简体" w:eastAsia="方正小标宋简体"/>
          <w:sz w:val="40"/>
          <w:szCs w:val="40"/>
          <w:lang w:eastAsia="zh-CN"/>
        </w:rPr>
        <w:t>评价</w:t>
      </w:r>
      <w:r>
        <w:rPr>
          <w:rFonts w:hint="eastAsia" w:ascii="方正小标宋简体" w:eastAsia="方正小标宋简体"/>
          <w:sz w:val="40"/>
          <w:szCs w:val="40"/>
        </w:rPr>
        <w:t>报告</w:t>
      </w:r>
    </w:p>
    <w:p>
      <w:pPr>
        <w:rPr>
          <w:rFonts w:hint="eastAsia"/>
          <w:lang w:val="en-US" w:eastAsia="zh-CN"/>
        </w:rPr>
      </w:pPr>
    </w:p>
    <w:p>
      <w:pPr>
        <w:jc w:val="center"/>
        <w:rPr>
          <w:rFonts w:hint="eastAsia" w:ascii="方正小标宋简体" w:eastAsia="方正小标宋简体"/>
          <w:sz w:val="36"/>
          <w:szCs w:val="36"/>
          <w:lang w:val="en-US" w:eastAsia="zh-CN"/>
        </w:rPr>
      </w:pPr>
    </w:p>
    <w:p>
      <w:pPr>
        <w:jc w:val="center"/>
        <w:rPr>
          <w:rFonts w:hint="eastAsia" w:ascii="方正小标宋简体" w:eastAsia="方正小标宋简体"/>
          <w:sz w:val="36"/>
          <w:szCs w:val="36"/>
          <w:lang w:val="en-US" w:eastAsia="zh-CN"/>
        </w:rPr>
      </w:pPr>
    </w:p>
    <w:p>
      <w:pPr>
        <w:jc w:val="center"/>
        <w:rPr>
          <w:rFonts w:hint="eastAsia" w:ascii="方正小标宋简体" w:eastAsia="方正小标宋简体"/>
          <w:sz w:val="36"/>
          <w:szCs w:val="36"/>
          <w:lang w:val="en-US" w:eastAsia="zh-CN"/>
        </w:rPr>
      </w:pPr>
    </w:p>
    <w:p>
      <w:pPr>
        <w:jc w:val="center"/>
        <w:rPr>
          <w:rFonts w:hint="eastAsia" w:ascii="方正小标宋简体" w:eastAsia="方正小标宋简体"/>
          <w:sz w:val="36"/>
          <w:szCs w:val="36"/>
          <w:lang w:val="en-US" w:eastAsia="zh-CN"/>
        </w:rPr>
      </w:pPr>
    </w:p>
    <w:p>
      <w:pPr>
        <w:jc w:val="center"/>
        <w:rPr>
          <w:rFonts w:hint="eastAsia" w:ascii="方正小标宋简体" w:eastAsia="方正小标宋简体"/>
          <w:sz w:val="36"/>
          <w:szCs w:val="36"/>
          <w:lang w:val="en-US" w:eastAsia="zh-CN"/>
        </w:rPr>
      </w:pPr>
    </w:p>
    <w:p>
      <w:pPr>
        <w:jc w:val="center"/>
        <w:rPr>
          <w:rFonts w:hint="eastAsia" w:ascii="方正小标宋简体" w:eastAsia="方正小标宋简体"/>
          <w:sz w:val="36"/>
          <w:szCs w:val="36"/>
          <w:lang w:val="en-US" w:eastAsia="zh-CN"/>
        </w:rPr>
      </w:pPr>
    </w:p>
    <w:p>
      <w:pPr>
        <w:jc w:val="center"/>
        <w:rPr>
          <w:rFonts w:hint="eastAsia" w:ascii="方正小标宋简体" w:eastAsia="方正小标宋简体"/>
          <w:sz w:val="36"/>
          <w:szCs w:val="36"/>
          <w:lang w:val="en-US" w:eastAsia="zh-CN"/>
        </w:rPr>
      </w:pPr>
    </w:p>
    <w:p>
      <w:pPr>
        <w:jc w:val="center"/>
        <w:rPr>
          <w:rFonts w:hint="eastAsia" w:ascii="方正小标宋简体" w:eastAsia="方正小标宋简体"/>
          <w:sz w:val="36"/>
          <w:szCs w:val="36"/>
          <w:lang w:val="en-US" w:eastAsia="zh-CN"/>
        </w:rPr>
      </w:pPr>
    </w:p>
    <w:p>
      <w:pPr>
        <w:jc w:val="center"/>
        <w:rPr>
          <w:rFonts w:hint="eastAsia" w:ascii="方正小标宋简体" w:eastAsia="方正小标宋简体"/>
          <w:sz w:val="36"/>
          <w:szCs w:val="36"/>
          <w:lang w:val="en-US" w:eastAsia="zh-CN"/>
        </w:rPr>
      </w:pPr>
    </w:p>
    <w:p>
      <w:pPr>
        <w:jc w:val="center"/>
        <w:rPr>
          <w:rFonts w:hint="default" w:ascii="方正小标宋简体" w:eastAsia="方正小标宋简体"/>
          <w:sz w:val="32"/>
          <w:szCs w:val="32"/>
          <w:lang w:val="en-US" w:eastAsia="zh-CN"/>
        </w:rPr>
      </w:pPr>
      <w:r>
        <w:rPr>
          <w:rFonts w:hint="eastAsia" w:ascii="方正小标宋简体" w:eastAsia="方正小标宋简体"/>
          <w:sz w:val="32"/>
          <w:szCs w:val="32"/>
          <w:lang w:val="en-US" w:eastAsia="zh-CN"/>
        </w:rPr>
        <w:t>北京市昌平区人民法院</w:t>
      </w:r>
    </w:p>
    <w:p>
      <w:pPr>
        <w:jc w:val="center"/>
        <w:rPr>
          <w:rFonts w:hint="eastAsia" w:ascii="方正小标宋简体" w:eastAsia="方正小标宋简体"/>
          <w:sz w:val="32"/>
          <w:szCs w:val="32"/>
          <w:lang w:val="en-US" w:eastAsia="zh-CN"/>
        </w:rPr>
      </w:pPr>
      <w:r>
        <w:rPr>
          <w:rFonts w:hint="eastAsia" w:ascii="方正小标宋简体" w:eastAsia="方正小标宋简体"/>
          <w:sz w:val="32"/>
          <w:szCs w:val="32"/>
          <w:lang w:val="en-US" w:eastAsia="zh-CN"/>
        </w:rPr>
        <w:t>2025年5月</w:t>
      </w:r>
      <w:r>
        <w:rPr>
          <w:rFonts w:hint="eastAsia" w:ascii="方正小标宋简体" w:eastAsia="方正小标宋简体"/>
          <w:sz w:val="32"/>
          <w:szCs w:val="32"/>
          <w:lang w:val="en-US" w:eastAsia="zh-CN"/>
        </w:rPr>
        <w:br w:type="page"/>
      </w:r>
    </w:p>
    <w:p>
      <w:pPr>
        <w:spacing w:before="0" w:beforeLines="0" w:after="0" w:afterLines="0" w:line="240" w:lineRule="auto"/>
        <w:ind w:left="0" w:leftChars="0" w:right="0" w:rightChars="0" w:firstLine="0" w:firstLineChars="0"/>
        <w:jc w:val="center"/>
      </w:pPr>
      <w:bookmarkStart w:id="0" w:name="_Toc13599"/>
      <w:bookmarkStart w:id="1" w:name="_Toc16949"/>
    </w:p>
    <w:p>
      <w:pPr>
        <w:jc w:val="center"/>
        <w:outlineLvl w:val="0"/>
        <w:rPr>
          <w:rFonts w:hint="default" w:ascii="方正小标宋简体" w:eastAsia="方正小标宋简体"/>
          <w:sz w:val="36"/>
          <w:szCs w:val="36"/>
          <w:lang w:val="en-US" w:eastAsia="zh-CN"/>
        </w:rPr>
      </w:pPr>
      <w:r>
        <w:rPr>
          <w:rFonts w:hint="eastAsia" w:ascii="方正小标宋简体" w:eastAsia="方正小标宋简体"/>
          <w:sz w:val="36"/>
          <w:szCs w:val="36"/>
          <w:lang w:val="en-US" w:eastAsia="zh-CN"/>
        </w:rPr>
        <w:t>北京市昌平区人民法院</w:t>
      </w:r>
      <w:bookmarkEnd w:id="0"/>
      <w:bookmarkEnd w:id="1"/>
    </w:p>
    <w:p>
      <w:pPr>
        <w:spacing w:line="560" w:lineRule="exact"/>
        <w:jc w:val="center"/>
        <w:outlineLvl w:val="0"/>
        <w:rPr>
          <w:rFonts w:hint="eastAsia" w:ascii="方正小标宋简体" w:eastAsia="方正小标宋简体"/>
          <w:sz w:val="36"/>
          <w:szCs w:val="36"/>
        </w:rPr>
      </w:pPr>
      <w:bookmarkStart w:id="2" w:name="_Toc25342"/>
      <w:bookmarkStart w:id="3" w:name="_Toc5984"/>
      <w:r>
        <w:rPr>
          <w:rFonts w:hint="eastAsia" w:ascii="方正小标宋简体" w:eastAsia="方正小标宋简体"/>
          <w:sz w:val="36"/>
          <w:szCs w:val="36"/>
          <w:lang w:val="en-US" w:eastAsia="zh-CN"/>
        </w:rPr>
        <w:t>2024年度</w:t>
      </w:r>
      <w:r>
        <w:rPr>
          <w:rFonts w:hint="eastAsia" w:ascii="方正小标宋简体" w:eastAsia="方正小标宋简体"/>
          <w:sz w:val="36"/>
          <w:szCs w:val="36"/>
        </w:rPr>
        <w:t>整体</w:t>
      </w:r>
      <w:r>
        <w:rPr>
          <w:rFonts w:hint="eastAsia" w:ascii="方正小标宋简体" w:eastAsia="方正小标宋简体"/>
          <w:sz w:val="36"/>
          <w:szCs w:val="36"/>
          <w:lang w:val="en-US" w:eastAsia="zh-CN"/>
        </w:rPr>
        <w:t>支出</w:t>
      </w:r>
      <w:r>
        <w:rPr>
          <w:rFonts w:hint="eastAsia" w:ascii="方正小标宋简体" w:eastAsia="方正小标宋简体"/>
          <w:sz w:val="36"/>
          <w:szCs w:val="36"/>
        </w:rPr>
        <w:t>绩效</w:t>
      </w:r>
      <w:r>
        <w:rPr>
          <w:rFonts w:hint="eastAsia" w:ascii="方正小标宋简体" w:eastAsia="方正小标宋简体"/>
          <w:sz w:val="36"/>
          <w:szCs w:val="36"/>
          <w:lang w:eastAsia="zh-CN"/>
        </w:rPr>
        <w:t>评价</w:t>
      </w:r>
      <w:r>
        <w:rPr>
          <w:rFonts w:hint="eastAsia" w:ascii="方正小标宋简体" w:eastAsia="方正小标宋简体"/>
          <w:sz w:val="36"/>
          <w:szCs w:val="36"/>
        </w:rPr>
        <w:t>报告</w:t>
      </w:r>
      <w:bookmarkEnd w:id="2"/>
      <w:bookmarkEnd w:id="3"/>
    </w:p>
    <w:p>
      <w:pPr>
        <w:jc w:val="center"/>
        <w:rPr>
          <w:rFonts w:ascii="仿宋_GB2312"/>
          <w:szCs w:val="30"/>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黑体" w:hAnsi="黑体" w:eastAsia="黑体" w:cs="宋体"/>
          <w:color w:val="000000"/>
          <w:kern w:val="0"/>
          <w:sz w:val="32"/>
          <w:szCs w:val="32"/>
        </w:rPr>
      </w:pPr>
      <w:bookmarkStart w:id="4" w:name="_Toc28193"/>
      <w:r>
        <w:rPr>
          <w:rFonts w:hint="eastAsia" w:ascii="黑体" w:hAnsi="黑体" w:eastAsia="黑体" w:cs="宋体"/>
          <w:color w:val="000000"/>
          <w:kern w:val="0"/>
          <w:sz w:val="32"/>
          <w:szCs w:val="32"/>
        </w:rPr>
        <w:t>一、部门概况</w:t>
      </w:r>
      <w:bookmarkEnd w:id="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楷体_GB2312" w:eastAsia="楷体_GB2312"/>
          <w:sz w:val="32"/>
          <w:szCs w:val="32"/>
          <w:lang w:val="en-US" w:eastAsia="zh-CN"/>
        </w:rPr>
      </w:pPr>
      <w:bookmarkStart w:id="5" w:name="_Toc31785"/>
      <w:r>
        <w:rPr>
          <w:rFonts w:hint="eastAsia" w:ascii="楷体_GB2312" w:eastAsia="楷体_GB2312"/>
          <w:sz w:val="32"/>
          <w:szCs w:val="32"/>
        </w:rPr>
        <w:t>（一）</w:t>
      </w:r>
      <w:r>
        <w:rPr>
          <w:rFonts w:hint="eastAsia" w:ascii="楷体_GB2312" w:eastAsia="楷体_GB2312"/>
          <w:sz w:val="32"/>
          <w:szCs w:val="32"/>
          <w:lang w:val="en-US" w:eastAsia="zh-CN"/>
        </w:rPr>
        <w:t>基本情况及主要职责</w:t>
      </w:r>
      <w:bookmarkEnd w:id="5"/>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北京市昌平区人民法院（以下简称“昌平法院”）为国家审判机关，机构住所北京市昌平区南环路西侧，法定代表人：周瑞生，统一社会信用代码11110221000028644A。</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宋体" w:eastAsia="仿宋_GB2312" w:cs="宋体"/>
          <w:color w:val="000000"/>
          <w:kern w:val="0"/>
          <w:sz w:val="32"/>
          <w:szCs w:val="32"/>
          <w:lang w:val="en-US" w:eastAsia="zh-CN"/>
        </w:rPr>
        <w:t>主要职责：人民法院通过审判刑事案件、民事案件、行政案件以及法律规定的其他案件，惩罚犯罪，保障无罪的人不受刑事追究，解决民事、行政纠纷，保护个人和组织的合法权益，监督行政机关依法行使职权，维护国家安全和社会秩序，维护社会公平正义，维护国家法制统一、尊严和权威，保障中国特色社会主义建设的顺利进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default" w:ascii="楷体_GB2312" w:eastAsia="楷体_GB2312"/>
          <w:sz w:val="32"/>
          <w:szCs w:val="32"/>
          <w:lang w:val="en-US" w:eastAsia="zh-CN"/>
        </w:rPr>
      </w:pPr>
      <w:bookmarkStart w:id="6" w:name="_Toc15020"/>
      <w:r>
        <w:rPr>
          <w:rFonts w:hint="eastAsia" w:ascii="楷体_GB2312" w:eastAsia="楷体_GB2312"/>
          <w:sz w:val="32"/>
          <w:szCs w:val="32"/>
          <w:lang w:val="en-US" w:eastAsia="zh-CN"/>
        </w:rPr>
        <w:t>（二）机构设置情况</w:t>
      </w:r>
      <w:bookmarkEnd w:id="6"/>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_GB2312" w:hAnsi="宋体" w:eastAsia="仿宋_GB2312" w:cs="宋体"/>
          <w:color w:val="000000"/>
          <w:kern w:val="0"/>
          <w:sz w:val="32"/>
          <w:szCs w:val="32"/>
          <w:lang w:val="en-US" w:eastAsia="zh-CN"/>
        </w:rPr>
        <w:t>北京市昌平区人民法院现有内设机构共18个，其中：审判业务机构14个，非审判业务机构4个。审判业务机构包括：立案庭（诉讼服务中心）、刑事审判庭（未成年人案件审判庭）、民事审判一庭、民事审判二庭、行政审判庭、综合审判庭、执行局、审判管理办公室（研究室）、6个基层人民法庭（南口法庭、沙河法庭、回龙观法庭、小汤山法庭、天通苑法庭、北七家法庭)；非审判业务机构包括：政治部（机关党委、机关纪委）、综合办公室、司法警察大队、综合事务中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1"/>
        <w:rPr>
          <w:rFonts w:hint="eastAsia" w:ascii="楷体_GB2312" w:eastAsia="楷体_GB2312"/>
          <w:sz w:val="32"/>
          <w:szCs w:val="32"/>
          <w:highlight w:val="none"/>
        </w:rPr>
      </w:pPr>
      <w:bookmarkStart w:id="7" w:name="_Toc8315"/>
      <w:r>
        <w:rPr>
          <w:rFonts w:hint="eastAsia" w:ascii="楷体_GB2312" w:eastAsia="楷体_GB2312"/>
          <w:sz w:val="32"/>
          <w:szCs w:val="32"/>
          <w:highlight w:val="none"/>
          <w:lang w:eastAsia="zh-CN"/>
        </w:rPr>
        <w:t>（三）</w:t>
      </w:r>
      <w:r>
        <w:rPr>
          <w:rFonts w:hint="eastAsia" w:ascii="楷体_GB2312" w:eastAsia="楷体_GB2312"/>
          <w:sz w:val="32"/>
          <w:szCs w:val="32"/>
          <w:highlight w:val="none"/>
        </w:rPr>
        <w:t>部门整体绩效目标设立情况</w:t>
      </w:r>
      <w:bookmarkEnd w:id="7"/>
    </w:p>
    <w:p>
      <w:pPr>
        <w:spacing w:line="600" w:lineRule="exact"/>
        <w:ind w:firstLine="640" w:firstLineChars="200"/>
        <w:rPr>
          <w:rFonts w:hint="eastAsia" w:ascii="Times New Roman" w:hAnsi="Times New Roman" w:eastAsia="仿宋_GB2312"/>
          <w:sz w:val="32"/>
          <w:szCs w:val="32"/>
          <w:highlight w:val="none"/>
        </w:rPr>
      </w:pPr>
      <w:bookmarkStart w:id="8" w:name="_Toc14709"/>
      <w:r>
        <w:rPr>
          <w:rFonts w:hint="eastAsia" w:ascii="仿宋_GB2312" w:hAnsi="方正仿宋_GBK" w:eastAsia="仿宋_GB2312" w:cs="方正仿宋_GBK"/>
          <w:sz w:val="32"/>
          <w:szCs w:val="32"/>
          <w:highlight w:val="none"/>
        </w:rPr>
        <w:t>2024年，</w:t>
      </w:r>
      <w:r>
        <w:rPr>
          <w:rFonts w:hint="eastAsia" w:ascii="仿宋_GB2312" w:hAnsi="方正仿宋_GBK" w:eastAsia="仿宋_GB2312" w:cs="方正仿宋_GBK"/>
          <w:sz w:val="32"/>
          <w:szCs w:val="32"/>
          <w:highlight w:val="none"/>
          <w:lang w:eastAsia="zh-CN"/>
        </w:rPr>
        <w:t>昌平法院</w:t>
      </w:r>
      <w:r>
        <w:rPr>
          <w:rFonts w:hint="eastAsia" w:ascii="仿宋_GB2312" w:hAnsi="方正仿宋_GBK" w:eastAsia="仿宋_GB2312" w:cs="方正仿宋_GBK"/>
          <w:sz w:val="32"/>
          <w:szCs w:val="32"/>
          <w:highlight w:val="none"/>
        </w:rPr>
        <w:t>将继续坚持党对法院工作的绝对领导，</w:t>
      </w:r>
      <w:r>
        <w:rPr>
          <w:rFonts w:hint="eastAsia" w:ascii="Times New Roman" w:hAnsi="Times New Roman" w:eastAsia="仿宋_GB2312"/>
          <w:sz w:val="32"/>
          <w:szCs w:val="32"/>
          <w:highlight w:val="none"/>
        </w:rPr>
        <w:t>认真贯彻市委、市高院及区委各项部署要求，做实</w:t>
      </w:r>
      <w:r>
        <w:rPr>
          <w:rFonts w:hint="eastAsia" w:ascii="仿宋_GB2312" w:eastAsia="仿宋_GB2312"/>
          <w:sz w:val="32"/>
          <w:szCs w:val="32"/>
          <w:highlight w:val="none"/>
        </w:rPr>
        <w:t>为</w:t>
      </w:r>
      <w:r>
        <w:rPr>
          <w:rFonts w:hint="eastAsia" w:ascii="Times New Roman" w:hAnsi="Times New Roman" w:eastAsia="仿宋_GB2312"/>
          <w:sz w:val="32"/>
          <w:szCs w:val="32"/>
          <w:highlight w:val="none"/>
        </w:rPr>
        <w:t>大局服务、为人民司法，尊重规律，拾级而上，久久为功推动昌平法院科学发展。</w:t>
      </w:r>
    </w:p>
    <w:p>
      <w:pPr>
        <w:spacing w:line="600" w:lineRule="exact"/>
        <w:ind w:firstLine="640" w:firstLineChars="200"/>
        <w:rPr>
          <w:highlight w:val="none"/>
        </w:rPr>
      </w:pPr>
      <w:r>
        <w:rPr>
          <w:rFonts w:hint="eastAsia" w:ascii="楷体_GB2312" w:hAnsi="宋体" w:eastAsia="楷体_GB2312"/>
          <w:kern w:val="0"/>
          <w:sz w:val="32"/>
          <w:szCs w:val="32"/>
          <w:highlight w:val="none"/>
        </w:rPr>
        <w:t>一是以党的政治建设为统领，始终坚持正确政治方向。</w:t>
      </w:r>
      <w:r>
        <w:rPr>
          <w:rFonts w:hint="eastAsia" w:ascii="Times New Roman" w:hAnsi="Times New Roman" w:eastAsia="仿宋_GB2312"/>
          <w:sz w:val="32"/>
          <w:szCs w:val="32"/>
          <w:highlight w:val="none"/>
        </w:rPr>
        <w:t>推动主题教育走深走实，努力在学思用贯通、知信行统一上取得新成效。开展“品牌示范年”活动，培育推广特色党建品牌，把党建成效体现在提高审判质效、服务发展大局、解决群众难题的具体实践中。</w:t>
      </w:r>
    </w:p>
    <w:p>
      <w:pPr>
        <w:spacing w:line="600" w:lineRule="exact"/>
        <w:ind w:firstLine="640" w:firstLineChars="200"/>
        <w:rPr>
          <w:rFonts w:ascii="仿宋_GB2312" w:hAnsi="方正仿宋_GBK" w:eastAsia="仿宋_GB2312" w:cs="方正仿宋_GBK"/>
          <w:sz w:val="32"/>
          <w:szCs w:val="32"/>
          <w:highlight w:val="none"/>
        </w:rPr>
      </w:pPr>
      <w:r>
        <w:rPr>
          <w:rFonts w:hint="eastAsia" w:ascii="楷体_GB2312" w:hAnsi="宋体" w:eastAsia="楷体_GB2312"/>
          <w:kern w:val="0"/>
          <w:sz w:val="32"/>
          <w:szCs w:val="32"/>
          <w:highlight w:val="none"/>
        </w:rPr>
        <w:t>二是以审判工作现代化为目标，服务保障昌平高质量发展。</w:t>
      </w:r>
      <w:r>
        <w:rPr>
          <w:rFonts w:hint="eastAsia" w:ascii="Times New Roman" w:hAnsi="Times New Roman" w:eastAsia="仿宋_GB2312"/>
          <w:sz w:val="32"/>
          <w:szCs w:val="32"/>
          <w:highlight w:val="none"/>
        </w:rPr>
        <w:t>落实总体国家安全观，严惩人民群众反映强烈的各类犯罪。</w:t>
      </w:r>
      <w:r>
        <w:rPr>
          <w:rFonts w:hint="eastAsia" w:ascii="仿宋_GB2312" w:hAnsi="方正仿宋_GBK" w:eastAsia="仿宋_GB2312" w:cs="方正仿宋_GBK"/>
          <w:sz w:val="32"/>
          <w:szCs w:val="32"/>
          <w:highlight w:val="none"/>
        </w:rPr>
        <w:t>健全府院联动机制，促进行政复议与行政诉讼有效衔接，实质性化解行政争议。全面落实优化营商环境</w:t>
      </w:r>
      <w:r>
        <w:rPr>
          <w:rFonts w:hint="eastAsia" w:ascii="仿宋_GB2312" w:hAnsi="仿宋" w:eastAsia="仿宋_GB2312"/>
          <w:sz w:val="32"/>
          <w:szCs w:val="32"/>
          <w:highlight w:val="none"/>
        </w:rPr>
        <w:t>6.0</w:t>
      </w:r>
      <w:r>
        <w:rPr>
          <w:rFonts w:hint="eastAsia" w:ascii="仿宋_GB2312" w:hAnsi="方正仿宋_GBK" w:eastAsia="仿宋_GB2312" w:cs="方正仿宋_GBK"/>
          <w:sz w:val="32"/>
          <w:szCs w:val="32"/>
          <w:highlight w:val="none"/>
        </w:rPr>
        <w:t>版改革任务，依法保护各类市场主体合法权益，服务昌平区优化营商环境三年行动计划。加强教育、就业、医疗等民生领域司法保障，用有力量、有是非、有温度的裁判回应人民群众关切。</w:t>
      </w:r>
    </w:p>
    <w:p>
      <w:pPr>
        <w:spacing w:line="600" w:lineRule="exact"/>
        <w:ind w:firstLine="640" w:firstLineChars="200"/>
        <w:rPr>
          <w:rFonts w:ascii="楷体_GB2312" w:hAnsi="宋体" w:eastAsia="楷体_GB2312"/>
          <w:b/>
          <w:bCs/>
          <w:kern w:val="0"/>
          <w:sz w:val="32"/>
          <w:szCs w:val="32"/>
          <w:highlight w:val="none"/>
        </w:rPr>
      </w:pPr>
      <w:r>
        <w:rPr>
          <w:rFonts w:hint="eastAsia" w:ascii="楷体_GB2312" w:hAnsi="宋体" w:eastAsia="楷体_GB2312"/>
          <w:kern w:val="0"/>
          <w:sz w:val="32"/>
          <w:szCs w:val="32"/>
          <w:highlight w:val="none"/>
        </w:rPr>
        <w:t>三是以</w:t>
      </w:r>
      <w:r>
        <w:rPr>
          <w:rFonts w:hint="eastAsia" w:ascii="楷体_GB2312" w:hAnsi="宋体" w:eastAsia="楷体_GB2312"/>
          <w:kern w:val="0"/>
          <w:sz w:val="32"/>
          <w:szCs w:val="32"/>
          <w:highlight w:val="none"/>
          <w:lang w:eastAsia="zh-CN"/>
        </w:rPr>
        <w:t>“提质增效”为主题</w:t>
      </w:r>
      <w:r>
        <w:rPr>
          <w:rFonts w:hint="eastAsia" w:ascii="楷体_GB2312" w:hAnsi="宋体" w:eastAsia="楷体_GB2312"/>
          <w:kern w:val="0"/>
          <w:sz w:val="32"/>
          <w:szCs w:val="32"/>
          <w:highlight w:val="none"/>
        </w:rPr>
        <w:t>，促进案结事了政通人和。</w:t>
      </w:r>
      <w:r>
        <w:rPr>
          <w:rFonts w:hint="eastAsia" w:ascii="仿宋_GB2312" w:hAnsi="方正仿宋_GBK" w:eastAsia="仿宋_GB2312" w:cs="方正仿宋_GBK"/>
          <w:sz w:val="32"/>
          <w:szCs w:val="32"/>
          <w:highlight w:val="none"/>
        </w:rPr>
        <w:t>深入</w:t>
      </w:r>
      <w:r>
        <w:rPr>
          <w:rFonts w:hint="eastAsia" w:ascii="Times New Roman" w:hAnsi="Times New Roman" w:eastAsia="仿宋_GB2312"/>
          <w:sz w:val="32"/>
          <w:szCs w:val="32"/>
          <w:highlight w:val="none"/>
        </w:rPr>
        <w:t>推行“四全”机制，强化立审执高效衔接、前后方协同发力，</w:t>
      </w:r>
      <w:r>
        <w:rPr>
          <w:rFonts w:hint="eastAsia" w:ascii="仿宋_GB2312" w:hAnsi="方正仿宋_GBK" w:eastAsia="仿宋_GB2312" w:cs="方正仿宋_GBK"/>
          <w:sz w:val="32"/>
          <w:szCs w:val="32"/>
          <w:highlight w:val="none"/>
        </w:rPr>
        <w:t>实现服判息诉。</w:t>
      </w:r>
      <w:r>
        <w:rPr>
          <w:rFonts w:hint="eastAsia" w:ascii="Times New Roman" w:hAnsi="Times New Roman" w:eastAsia="仿宋_GB2312"/>
          <w:sz w:val="32"/>
          <w:szCs w:val="32"/>
          <w:highlight w:val="none"/>
        </w:rPr>
        <w:t>优化绩效考核，压实院庭长监督管理职责。加强审限管理，强化科技赋能，统一法律适用，提升审判质效。</w:t>
      </w:r>
      <w:r>
        <w:rPr>
          <w:rFonts w:hint="eastAsia" w:ascii="仿宋_GB2312" w:hAnsi="方正仿宋_GBK" w:eastAsia="仿宋_GB2312" w:cs="方正仿宋_GBK"/>
          <w:sz w:val="32"/>
          <w:szCs w:val="32"/>
          <w:highlight w:val="none"/>
        </w:rPr>
        <w:t>完善推广“双诉双融”共治机制，促进纠纷源头化解。立足法官工作站、巡回审判点、普法驿站等前沿阵地，充分发挥示范诉讼、司法建议、巡回讲堂等作用，提升参与基层治理实效。</w:t>
      </w:r>
    </w:p>
    <w:p>
      <w:pPr>
        <w:spacing w:line="600" w:lineRule="exact"/>
        <w:ind w:firstLine="640" w:firstLineChars="200"/>
        <w:rPr>
          <w:rFonts w:ascii="仿宋_GB2312" w:hAnsi="方正仿宋_GBK" w:eastAsia="仿宋_GB2312" w:cs="方正仿宋_GBK"/>
          <w:sz w:val="32"/>
          <w:szCs w:val="32"/>
          <w:highlight w:val="none"/>
        </w:rPr>
      </w:pPr>
      <w:r>
        <w:rPr>
          <w:rFonts w:hint="eastAsia" w:ascii="楷体_GB2312" w:hAnsi="宋体" w:eastAsia="楷体_GB2312"/>
          <w:kern w:val="0"/>
          <w:sz w:val="32"/>
          <w:szCs w:val="32"/>
          <w:highlight w:val="none"/>
        </w:rPr>
        <w:t>四是以“实干争先年”主题活动为牵引，打造忠诚干净担当的法院队伍。</w:t>
      </w:r>
      <w:r>
        <w:rPr>
          <w:rFonts w:hint="eastAsia" w:ascii="仿宋_GB2312" w:hAnsi="方正仿宋_GBK" w:eastAsia="仿宋_GB2312" w:cs="方正仿宋_GBK"/>
          <w:sz w:val="32"/>
          <w:szCs w:val="32"/>
          <w:highlight w:val="none"/>
        </w:rPr>
        <w:t>深入开展“实干争先年”主题活动，健全符合司法规律的素质培养体系、知事识人体系、选拔任用体系、从严管理体系和正向激励体系，一体融合推进政治素质、业务素质、职业道德素质建设。加强廉政风险防控，深化警示教育与执纪问责，筑牢拒腐防变防线。打造昌法文化品牌矩阵，激励广大干警以更加昂扬的姿态奋进新时代新征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二</w:t>
      </w:r>
      <w:r>
        <w:rPr>
          <w:rFonts w:ascii="黑体" w:hAnsi="黑体" w:eastAsia="黑体" w:cs="宋体"/>
          <w:color w:val="000000"/>
          <w:kern w:val="0"/>
          <w:sz w:val="32"/>
          <w:szCs w:val="32"/>
          <w:highlight w:val="none"/>
        </w:rPr>
        <w:t>、</w:t>
      </w:r>
      <w:r>
        <w:rPr>
          <w:rFonts w:hint="eastAsia" w:ascii="黑体" w:hAnsi="黑体" w:eastAsia="黑体" w:cs="宋体"/>
          <w:color w:val="000000"/>
          <w:kern w:val="0"/>
          <w:sz w:val="32"/>
          <w:szCs w:val="32"/>
          <w:highlight w:val="none"/>
        </w:rPr>
        <w:t>当年</w:t>
      </w:r>
      <w:r>
        <w:rPr>
          <w:rFonts w:ascii="黑体" w:hAnsi="黑体" w:eastAsia="黑体" w:cs="宋体"/>
          <w:color w:val="000000"/>
          <w:kern w:val="0"/>
          <w:sz w:val="32"/>
          <w:szCs w:val="32"/>
          <w:highlight w:val="none"/>
        </w:rPr>
        <w:t>预算执行情况</w:t>
      </w:r>
      <w:bookmarkEnd w:id="8"/>
    </w:p>
    <w:p>
      <w:pPr>
        <w:spacing w:line="600" w:lineRule="exact"/>
        <w:ind w:firstLine="640" w:firstLineChars="200"/>
        <w:rPr>
          <w:rFonts w:hint="eastAsia" w:ascii="仿宋_GB2312" w:hAnsi="方正仿宋_GBK" w:eastAsia="仿宋_GB2312" w:cs="方正仿宋_GBK"/>
          <w:sz w:val="32"/>
          <w:szCs w:val="32"/>
          <w:highlight w:val="none"/>
          <w:lang w:val="en-US" w:eastAsia="zh-CN"/>
        </w:rPr>
      </w:pPr>
      <w:r>
        <w:rPr>
          <w:rFonts w:hint="eastAsia" w:ascii="仿宋_GB2312" w:hAnsi="方正仿宋_GBK" w:eastAsia="仿宋_GB2312" w:cs="方正仿宋_GBK"/>
          <w:sz w:val="32"/>
          <w:szCs w:val="32"/>
          <w:highlight w:val="none"/>
          <w:lang w:val="en-US" w:eastAsia="zh-CN"/>
        </w:rPr>
        <w:t>2024年全年预算数</w:t>
      </w:r>
      <w:r>
        <w:rPr>
          <w:rFonts w:hint="eastAsia" w:ascii="仿宋_GB2312" w:hAnsi="方正仿宋_GBK" w:eastAsia="仿宋_GB2312" w:cs="方正仿宋_GBK"/>
          <w:sz w:val="32"/>
          <w:szCs w:val="32"/>
          <w:highlight w:val="none"/>
        </w:rPr>
        <w:t>2</w:t>
      </w:r>
      <w:r>
        <w:rPr>
          <w:rFonts w:hint="eastAsia" w:ascii="仿宋_GB2312" w:hAnsi="方正仿宋_GBK" w:eastAsia="仿宋_GB2312" w:cs="方正仿宋_GBK"/>
          <w:sz w:val="32"/>
          <w:szCs w:val="32"/>
          <w:highlight w:val="none"/>
          <w:lang w:val="en-US" w:eastAsia="zh-CN"/>
        </w:rPr>
        <w:t>1594.1万元，其中，基本支出预算数17124.72万元，项目支出预算数4469.38万元，其他支出预算数0万元。资金总体支出</w:t>
      </w:r>
      <w:bookmarkStart w:id="9" w:name="OLE_LINK1"/>
      <w:r>
        <w:rPr>
          <w:rFonts w:hint="eastAsia" w:ascii="仿宋_GB2312" w:hAnsi="方正仿宋_GBK" w:eastAsia="仿宋_GB2312" w:cs="方正仿宋_GBK"/>
          <w:sz w:val="32"/>
          <w:szCs w:val="32"/>
          <w:highlight w:val="none"/>
          <w:lang w:val="en-US" w:eastAsia="zh-CN"/>
        </w:rPr>
        <w:t>20985.82</w:t>
      </w:r>
      <w:bookmarkEnd w:id="9"/>
      <w:r>
        <w:rPr>
          <w:rFonts w:hint="eastAsia" w:ascii="仿宋_GB2312" w:hAnsi="方正仿宋_GBK" w:eastAsia="仿宋_GB2312" w:cs="方正仿宋_GBK"/>
          <w:sz w:val="32"/>
          <w:szCs w:val="32"/>
          <w:highlight w:val="none"/>
          <w:lang w:val="en-US" w:eastAsia="zh-CN"/>
        </w:rPr>
        <w:t>万元，其中，基本支出</w:t>
      </w:r>
      <w:bookmarkStart w:id="10" w:name="OLE_LINK3"/>
      <w:r>
        <w:rPr>
          <w:rFonts w:hint="eastAsia" w:ascii="仿宋_GB2312" w:hAnsi="方正仿宋_GBK" w:eastAsia="仿宋_GB2312" w:cs="方正仿宋_GBK"/>
          <w:sz w:val="32"/>
          <w:szCs w:val="32"/>
          <w:highlight w:val="none"/>
          <w:lang w:val="en-US" w:eastAsia="zh-CN"/>
        </w:rPr>
        <w:t>16809.48</w:t>
      </w:r>
      <w:bookmarkEnd w:id="10"/>
      <w:r>
        <w:rPr>
          <w:rFonts w:hint="eastAsia" w:ascii="仿宋_GB2312" w:hAnsi="方正仿宋_GBK" w:eastAsia="仿宋_GB2312" w:cs="方正仿宋_GBK"/>
          <w:sz w:val="32"/>
          <w:szCs w:val="32"/>
          <w:highlight w:val="none"/>
          <w:lang w:val="en-US" w:eastAsia="zh-CN"/>
        </w:rPr>
        <w:t>万元，项目支出</w:t>
      </w:r>
      <w:bookmarkStart w:id="11" w:name="OLE_LINK5"/>
      <w:r>
        <w:rPr>
          <w:rFonts w:hint="eastAsia" w:ascii="仿宋_GB2312" w:hAnsi="方正仿宋_GBK" w:eastAsia="仿宋_GB2312" w:cs="方正仿宋_GBK"/>
          <w:sz w:val="32"/>
          <w:szCs w:val="32"/>
          <w:highlight w:val="none"/>
          <w:lang w:val="en-US" w:eastAsia="zh-CN"/>
        </w:rPr>
        <w:t>4176.34</w:t>
      </w:r>
      <w:bookmarkEnd w:id="11"/>
      <w:r>
        <w:rPr>
          <w:rFonts w:hint="eastAsia" w:ascii="仿宋_GB2312" w:hAnsi="方正仿宋_GBK" w:eastAsia="仿宋_GB2312" w:cs="方正仿宋_GBK"/>
          <w:sz w:val="32"/>
          <w:szCs w:val="32"/>
          <w:highlight w:val="none"/>
          <w:lang w:val="en-US" w:eastAsia="zh-CN"/>
        </w:rPr>
        <w:t>万元，其他支出0万元。预算执行率为97.18%。</w:t>
      </w:r>
    </w:p>
    <w:p>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ind w:left="0" w:leftChars="0" w:firstLine="640" w:firstLineChars="200"/>
        <w:textAlignment w:val="auto"/>
        <w:outlineLvl w:val="0"/>
        <w:rPr>
          <w:rFonts w:ascii="黑体" w:hAnsi="黑体" w:eastAsia="黑体" w:cs="宋体"/>
          <w:color w:val="000000"/>
          <w:kern w:val="0"/>
          <w:sz w:val="32"/>
          <w:szCs w:val="32"/>
          <w:highlight w:val="none"/>
        </w:rPr>
      </w:pPr>
      <w:bookmarkStart w:id="12" w:name="_Toc17416"/>
      <w:r>
        <w:rPr>
          <w:rFonts w:hint="eastAsia" w:ascii="黑体" w:hAnsi="黑体" w:eastAsia="黑体" w:cs="宋体"/>
          <w:color w:val="000000"/>
          <w:kern w:val="0"/>
          <w:sz w:val="32"/>
          <w:szCs w:val="32"/>
          <w:highlight w:val="none"/>
        </w:rPr>
        <w:t>三</w:t>
      </w:r>
      <w:r>
        <w:rPr>
          <w:rFonts w:ascii="黑体" w:hAnsi="黑体" w:eastAsia="黑体" w:cs="宋体"/>
          <w:color w:val="000000"/>
          <w:kern w:val="0"/>
          <w:sz w:val="32"/>
          <w:szCs w:val="32"/>
          <w:highlight w:val="none"/>
        </w:rPr>
        <w:t>、整体绩效目标实现情况</w:t>
      </w:r>
      <w:bookmarkEnd w:id="12"/>
    </w:p>
    <w:p>
      <w:pPr>
        <w:pStyle w:val="4"/>
        <w:spacing w:before="0" w:after="0" w:line="440" w:lineRule="exact"/>
        <w:ind w:firstLine="480"/>
        <w:outlineLvl w:val="1"/>
        <w:rPr>
          <w:rFonts w:hint="eastAsia" w:ascii="楷体_GB2312" w:hAnsi="Times New Roman" w:eastAsia="楷体_GB2312" w:cs="Times New Roman"/>
          <w:b w:val="0"/>
          <w:bCs w:val="0"/>
          <w:kern w:val="2"/>
          <w:sz w:val="32"/>
          <w:szCs w:val="32"/>
          <w:highlight w:val="none"/>
          <w:lang w:val="en-US" w:eastAsia="zh-CN" w:bidi="ar-SA"/>
        </w:rPr>
      </w:pPr>
      <w:bookmarkStart w:id="13" w:name="_Toc17855"/>
      <w:r>
        <w:rPr>
          <w:rFonts w:hint="eastAsia" w:ascii="楷体_GB2312" w:hAnsi="Times New Roman" w:eastAsia="楷体_GB2312" w:cs="Times New Roman"/>
          <w:b w:val="0"/>
          <w:bCs w:val="0"/>
          <w:kern w:val="2"/>
          <w:sz w:val="32"/>
          <w:szCs w:val="32"/>
          <w:highlight w:val="none"/>
          <w:lang w:val="en-US" w:eastAsia="zh-CN" w:bidi="ar-SA"/>
        </w:rPr>
        <w:t>（一）部门履职产出指标完成情况</w:t>
      </w:r>
      <w:bookmarkEnd w:id="13"/>
    </w:p>
    <w:p>
      <w:pPr>
        <w:spacing w:line="600" w:lineRule="exact"/>
        <w:ind w:firstLine="640" w:firstLineChars="20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1.整体指标完成情况</w:t>
      </w:r>
    </w:p>
    <w:p>
      <w:pPr>
        <w:spacing w:line="600" w:lineRule="exact"/>
        <w:ind w:firstLine="640" w:firstLineChars="200"/>
        <w:rPr>
          <w:rFonts w:hint="eastAsia" w:ascii="仿宋_GB2312" w:hAnsi="方正仿宋_GBK" w:eastAsia="仿宋_GB2312" w:cs="方正仿宋_GBK"/>
          <w:sz w:val="32"/>
          <w:szCs w:val="32"/>
          <w:highlight w:val="none"/>
          <w:lang w:val="en-US" w:eastAsia="zh-CN"/>
        </w:rPr>
      </w:pPr>
      <w:r>
        <w:rPr>
          <w:rFonts w:hint="eastAsia" w:ascii="仿宋_GB2312" w:hAnsi="方正仿宋_GBK" w:eastAsia="仿宋_GB2312" w:cs="方正仿宋_GBK"/>
          <w:sz w:val="32"/>
          <w:szCs w:val="32"/>
          <w:highlight w:val="none"/>
          <w:lang w:val="en-US" w:eastAsia="zh-CN"/>
        </w:rPr>
        <w:t>部门整体完成情况：计划支出</w:t>
      </w:r>
      <w:r>
        <w:rPr>
          <w:rFonts w:hint="eastAsia" w:ascii="仿宋_GB2312" w:hAnsi="方正仿宋_GBK" w:eastAsia="仿宋_GB2312" w:cs="方正仿宋_GBK"/>
          <w:sz w:val="32"/>
          <w:szCs w:val="32"/>
          <w:highlight w:val="none"/>
        </w:rPr>
        <w:t>2</w:t>
      </w:r>
      <w:r>
        <w:rPr>
          <w:rFonts w:hint="eastAsia" w:ascii="仿宋_GB2312" w:hAnsi="方正仿宋_GBK" w:eastAsia="仿宋_GB2312" w:cs="方正仿宋_GBK"/>
          <w:sz w:val="32"/>
          <w:szCs w:val="32"/>
          <w:highlight w:val="none"/>
          <w:lang w:val="en-US" w:eastAsia="zh-CN"/>
        </w:rPr>
        <w:t>1594.10万元，实际支出20985.82万元，差异608.28万元，差异原因主要为：福利费执行率低及区财政拨款资金继续结转使用。</w:t>
      </w:r>
    </w:p>
    <w:p>
      <w:pPr>
        <w:spacing w:line="600" w:lineRule="exact"/>
        <w:ind w:firstLine="640" w:firstLineChars="20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2.绩效指标主要项目完成情况</w:t>
      </w:r>
    </w:p>
    <w:p>
      <w:pPr>
        <w:spacing w:line="600" w:lineRule="exact"/>
        <w:ind w:firstLine="640" w:firstLineChars="20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（1）基本经费保障计划支出</w:t>
      </w:r>
      <w:r>
        <w:rPr>
          <w:rFonts w:hint="eastAsia" w:ascii="仿宋_GB2312" w:hAnsi="仿宋" w:eastAsia="仿宋_GB2312" w:cs="Times New Roman"/>
          <w:sz w:val="32"/>
          <w:szCs w:val="32"/>
          <w:highlight w:val="none"/>
          <w:lang w:val="en-US" w:eastAsia="zh-CN"/>
        </w:rPr>
        <w:t>17124.72</w:t>
      </w:r>
      <w:r>
        <w:rPr>
          <w:rFonts w:hint="eastAsia" w:ascii="仿宋_GB2312" w:hAnsi="宋体" w:eastAsia="仿宋_GB2312" w:cs="宋体"/>
          <w:color w:val="000000"/>
          <w:kern w:val="0"/>
          <w:sz w:val="32"/>
          <w:szCs w:val="32"/>
          <w:highlight w:val="none"/>
          <w:lang w:val="en-US" w:eastAsia="zh-CN"/>
        </w:rPr>
        <w:t>万元，实际支出</w:t>
      </w:r>
      <w:r>
        <w:rPr>
          <w:rFonts w:hint="eastAsia" w:ascii="仿宋_GB2312" w:hAnsi="仿宋_GB2312" w:eastAsia="仿宋_GB2312" w:cs="仿宋_GB2312"/>
          <w:sz w:val="32"/>
          <w:szCs w:val="32"/>
          <w:highlight w:val="none"/>
          <w:lang w:val="en-US" w:eastAsia="zh-CN"/>
        </w:rPr>
        <w:t>16809.48</w:t>
      </w:r>
      <w:r>
        <w:rPr>
          <w:rFonts w:hint="eastAsia" w:ascii="仿宋_GB2312" w:hAnsi="宋体" w:eastAsia="仿宋_GB2312" w:cs="宋体"/>
          <w:color w:val="000000"/>
          <w:kern w:val="0"/>
          <w:sz w:val="32"/>
          <w:szCs w:val="32"/>
          <w:highlight w:val="none"/>
          <w:lang w:val="en-US" w:eastAsia="zh-CN"/>
        </w:rPr>
        <w:t>万元。主要为保障机关在职人员493人、其中编制实有人员295人，聘用人员及其他人员198人的办公及机关事务正常运转，其中包括基本保障办公经费，资本性支出，以及人员工资福利支出、对个人和家庭补助支出等经费。</w:t>
      </w:r>
    </w:p>
    <w:p>
      <w:pPr>
        <w:spacing w:line="600" w:lineRule="exact"/>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（2）项目经费保障计划支出</w:t>
      </w:r>
      <w:r>
        <w:rPr>
          <w:rFonts w:hint="eastAsia" w:ascii="仿宋_GB2312" w:hAnsi="仿宋" w:eastAsia="仿宋_GB2312" w:cs="Times New Roman"/>
          <w:sz w:val="32"/>
          <w:szCs w:val="32"/>
          <w:highlight w:val="none"/>
          <w:lang w:val="en-US" w:eastAsia="zh-CN"/>
        </w:rPr>
        <w:t>4469.38</w:t>
      </w:r>
      <w:r>
        <w:rPr>
          <w:rFonts w:hint="eastAsia" w:ascii="仿宋_GB2312" w:hAnsi="宋体" w:eastAsia="仿宋_GB2312" w:cs="宋体"/>
          <w:color w:val="000000"/>
          <w:kern w:val="0"/>
          <w:sz w:val="32"/>
          <w:szCs w:val="32"/>
          <w:highlight w:val="none"/>
          <w:lang w:val="en-US" w:eastAsia="zh-CN"/>
        </w:rPr>
        <w:t>万元，实际支出</w:t>
      </w:r>
      <w:r>
        <w:rPr>
          <w:rFonts w:hint="eastAsia" w:ascii="仿宋_GB2312" w:hAnsi="仿宋_GB2312" w:eastAsia="仿宋_GB2312" w:cs="仿宋_GB2312"/>
          <w:sz w:val="32"/>
          <w:szCs w:val="32"/>
          <w:highlight w:val="none"/>
          <w:lang w:val="en-US" w:eastAsia="zh-CN"/>
        </w:rPr>
        <w:t>4176.34</w:t>
      </w:r>
      <w:r>
        <w:rPr>
          <w:rFonts w:hint="eastAsia" w:ascii="仿宋_GB2312" w:hAnsi="宋体" w:eastAsia="仿宋_GB2312" w:cs="宋体"/>
          <w:color w:val="000000"/>
          <w:kern w:val="0"/>
          <w:sz w:val="32"/>
          <w:szCs w:val="32"/>
          <w:highlight w:val="none"/>
          <w:lang w:val="en-US" w:eastAsia="zh-CN"/>
        </w:rPr>
        <w:t>万元。主要为一般事务性管理支出、审判案件支出、“两庭”建设支出及其他法院支出。</w:t>
      </w:r>
      <w:r>
        <w:rPr>
          <w:rFonts w:hint="eastAsia" w:ascii="仿宋_GB2312" w:hAnsi="仿宋_GB2312" w:eastAsia="仿宋_GB2312" w:cs="仿宋_GB2312"/>
          <w:sz w:val="32"/>
          <w:szCs w:val="32"/>
          <w:highlight w:val="none"/>
          <w:lang w:val="en-US" w:eastAsia="zh-CN"/>
        </w:rPr>
        <w:t>昌平法院</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年纳入部门预算绩效管理的项目共</w:t>
      </w:r>
      <w:r>
        <w:rPr>
          <w:rFonts w:hint="eastAsia" w:ascii="仿宋_GB2312" w:hAnsi="仿宋_GB2312" w:eastAsia="仿宋_GB2312" w:cs="仿宋_GB2312"/>
          <w:sz w:val="32"/>
          <w:szCs w:val="32"/>
          <w:highlight w:val="none"/>
          <w:lang w:val="en-US" w:eastAsia="zh-CN"/>
        </w:rPr>
        <w:t>12</w:t>
      </w:r>
      <w:r>
        <w:rPr>
          <w:rFonts w:hint="eastAsia" w:ascii="仿宋_GB2312" w:hAnsi="仿宋_GB2312" w:eastAsia="仿宋_GB2312" w:cs="仿宋_GB2312"/>
          <w:sz w:val="32"/>
          <w:szCs w:val="32"/>
          <w:highlight w:val="none"/>
          <w:lang w:val="en-US" w:eastAsia="zh-CN"/>
        </w:rPr>
        <w:t>个。</w:t>
      </w:r>
      <w:r>
        <w:rPr>
          <w:rFonts w:hint="eastAsia" w:ascii="仿宋_GB2312" w:hAnsi="仿宋_GB2312" w:eastAsia="仿宋_GB2312" w:cs="仿宋_GB2312"/>
          <w:sz w:val="32"/>
          <w:szCs w:val="32"/>
          <w:highlight w:val="none"/>
        </w:rPr>
        <w:t>包括：</w:t>
      </w:r>
      <w:r>
        <w:rPr>
          <w:rFonts w:hint="eastAsia" w:ascii="仿宋_GB2312" w:hAnsi="仿宋_GB2312" w:eastAsia="仿宋_GB2312" w:cs="仿宋_GB2312"/>
          <w:sz w:val="32"/>
          <w:szCs w:val="32"/>
          <w:highlight w:val="none"/>
          <w:lang w:val="en-US" w:eastAsia="zh-CN"/>
        </w:rPr>
        <w:t>法院办案业务费、知网数据库、安检工作经费、会计审计及咨询服务费、昌平法院审判区租金、审判法庭维修费、昌平法院车辆更新购置、昌平法院网络运维费、回龙观人民法庭信息化项目等项目。</w:t>
      </w:r>
      <w:r>
        <w:rPr>
          <w:rFonts w:hint="eastAsia" w:ascii="仿宋_GB2312" w:hAnsi="宋体" w:eastAsia="仿宋_GB2312" w:cs="宋体"/>
          <w:color w:val="000000"/>
          <w:kern w:val="0"/>
          <w:sz w:val="32"/>
          <w:szCs w:val="32"/>
          <w:highlight w:val="none"/>
        </w:rPr>
        <w:t xml:space="preserve">                          </w:t>
      </w:r>
    </w:p>
    <w:p>
      <w:pPr>
        <w:pStyle w:val="4"/>
        <w:pageBreakBefore w:val="0"/>
        <w:kinsoku/>
        <w:wordWrap/>
        <w:overflowPunct/>
        <w:topLinePunct w:val="0"/>
        <w:autoSpaceDE/>
        <w:autoSpaceDN/>
        <w:bidi w:val="0"/>
        <w:adjustRightInd/>
        <w:snapToGrid/>
        <w:spacing w:before="0" w:after="0" w:line="560" w:lineRule="exact"/>
        <w:ind w:firstLine="640" w:firstLineChars="200"/>
        <w:textAlignment w:val="auto"/>
        <w:outlineLvl w:val="1"/>
        <w:rPr>
          <w:rFonts w:hint="eastAsia" w:ascii="楷体_GB2312" w:hAnsi="Times New Roman" w:eastAsia="楷体_GB2312" w:cs="Times New Roman"/>
          <w:b w:val="0"/>
          <w:bCs w:val="0"/>
          <w:kern w:val="2"/>
          <w:sz w:val="32"/>
          <w:szCs w:val="32"/>
          <w:highlight w:val="none"/>
          <w:lang w:val="en-US" w:eastAsia="zh-CN" w:bidi="ar-SA"/>
        </w:rPr>
      </w:pPr>
      <w:bookmarkStart w:id="14" w:name="_Toc13943"/>
      <w:r>
        <w:rPr>
          <w:rFonts w:hint="eastAsia" w:ascii="楷体_GB2312" w:hAnsi="Times New Roman" w:eastAsia="楷体_GB2312" w:cs="Times New Roman"/>
          <w:b w:val="0"/>
          <w:bCs w:val="0"/>
          <w:kern w:val="2"/>
          <w:sz w:val="32"/>
          <w:szCs w:val="32"/>
          <w:highlight w:val="none"/>
          <w:lang w:val="en-US" w:eastAsia="zh-CN" w:bidi="ar-SA"/>
        </w:rPr>
        <w:t>（二）部门履职效果指标实现情况</w:t>
      </w:r>
      <w:bookmarkEnd w:id="14"/>
    </w:p>
    <w:p>
      <w:pPr>
        <w:spacing w:line="600" w:lineRule="exact"/>
        <w:ind w:firstLine="640" w:firstLineChars="20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1.基本经费完成情况</w:t>
      </w:r>
    </w:p>
    <w:p>
      <w:pPr>
        <w:spacing w:line="600" w:lineRule="exact"/>
        <w:ind w:firstLine="640" w:firstLineChars="20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保障了干警</w:t>
      </w:r>
      <w:r>
        <w:rPr>
          <w:rFonts w:hint="default" w:ascii="仿宋_GB2312" w:hAnsi="宋体" w:eastAsia="仿宋_GB2312" w:cs="宋体"/>
          <w:color w:val="000000"/>
          <w:kern w:val="0"/>
          <w:sz w:val="32"/>
          <w:szCs w:val="32"/>
          <w:highlight w:val="none"/>
          <w:lang w:val="en-US" w:eastAsia="zh-CN"/>
        </w:rPr>
        <w:t>工资、</w:t>
      </w:r>
      <w:r>
        <w:rPr>
          <w:rFonts w:hint="eastAsia" w:ascii="仿宋_GB2312" w:hAnsi="宋体" w:eastAsia="仿宋_GB2312" w:cs="宋体"/>
          <w:color w:val="000000"/>
          <w:kern w:val="0"/>
          <w:sz w:val="32"/>
          <w:szCs w:val="32"/>
          <w:highlight w:val="none"/>
          <w:lang w:val="en-US" w:eastAsia="zh-CN"/>
        </w:rPr>
        <w:t>津贴补贴、社会</w:t>
      </w:r>
      <w:r>
        <w:rPr>
          <w:rFonts w:hint="default" w:ascii="仿宋_GB2312" w:hAnsi="宋体" w:eastAsia="仿宋_GB2312" w:cs="宋体"/>
          <w:color w:val="000000"/>
          <w:kern w:val="0"/>
          <w:sz w:val="32"/>
          <w:szCs w:val="32"/>
          <w:highlight w:val="none"/>
          <w:lang w:val="en-US" w:eastAsia="zh-CN"/>
        </w:rPr>
        <w:t>保险、住房公积金等必要人员</w:t>
      </w:r>
      <w:r>
        <w:rPr>
          <w:rFonts w:hint="eastAsia" w:ascii="仿宋_GB2312" w:hAnsi="宋体" w:eastAsia="仿宋_GB2312" w:cs="宋体"/>
          <w:color w:val="000000"/>
          <w:kern w:val="0"/>
          <w:sz w:val="32"/>
          <w:szCs w:val="32"/>
          <w:highlight w:val="none"/>
          <w:lang w:val="en-US" w:eastAsia="zh-CN"/>
        </w:rPr>
        <w:t>工资福利</w:t>
      </w:r>
      <w:r>
        <w:rPr>
          <w:rFonts w:hint="default" w:ascii="仿宋_GB2312" w:hAnsi="宋体" w:eastAsia="仿宋_GB2312" w:cs="宋体"/>
          <w:color w:val="000000"/>
          <w:kern w:val="0"/>
          <w:sz w:val="32"/>
          <w:szCs w:val="32"/>
          <w:highlight w:val="none"/>
          <w:lang w:val="en-US" w:eastAsia="zh-CN"/>
        </w:rPr>
        <w:t>开支，保障</w:t>
      </w:r>
      <w:r>
        <w:rPr>
          <w:rFonts w:hint="eastAsia" w:ascii="仿宋_GB2312" w:hAnsi="宋体" w:eastAsia="仿宋_GB2312" w:cs="宋体"/>
          <w:color w:val="000000"/>
          <w:kern w:val="0"/>
          <w:sz w:val="32"/>
          <w:szCs w:val="32"/>
          <w:highlight w:val="none"/>
          <w:lang w:val="en-US" w:eastAsia="zh-CN"/>
        </w:rPr>
        <w:t>离退休</w:t>
      </w:r>
      <w:r>
        <w:rPr>
          <w:rFonts w:hint="default" w:ascii="仿宋_GB2312" w:hAnsi="宋体" w:eastAsia="仿宋_GB2312" w:cs="宋体"/>
          <w:color w:val="000000"/>
          <w:kern w:val="0"/>
          <w:sz w:val="32"/>
          <w:szCs w:val="32"/>
          <w:highlight w:val="none"/>
          <w:lang w:val="en-US" w:eastAsia="zh-CN"/>
        </w:rPr>
        <w:t>人员补贴开支</w:t>
      </w:r>
      <w:r>
        <w:rPr>
          <w:rFonts w:hint="eastAsia" w:ascii="仿宋_GB2312" w:hAnsi="宋体" w:eastAsia="仿宋_GB2312" w:cs="宋体"/>
          <w:color w:val="000000"/>
          <w:kern w:val="0"/>
          <w:sz w:val="32"/>
          <w:szCs w:val="32"/>
          <w:highlight w:val="none"/>
          <w:lang w:val="en-US" w:eastAsia="zh-CN"/>
        </w:rPr>
        <w:t>，保障了机关运行所需的水电暖</w:t>
      </w:r>
      <w:r>
        <w:rPr>
          <w:rFonts w:hint="default" w:ascii="仿宋_GB2312" w:hAnsi="宋体" w:eastAsia="仿宋_GB2312" w:cs="宋体"/>
          <w:color w:val="000000"/>
          <w:kern w:val="0"/>
          <w:sz w:val="32"/>
          <w:szCs w:val="32"/>
          <w:highlight w:val="none"/>
          <w:lang w:val="en-US" w:eastAsia="zh-CN"/>
        </w:rPr>
        <w:t>、</w:t>
      </w:r>
      <w:r>
        <w:rPr>
          <w:rFonts w:hint="eastAsia" w:ascii="仿宋_GB2312" w:hAnsi="宋体" w:eastAsia="仿宋_GB2312" w:cs="宋体"/>
          <w:color w:val="000000"/>
          <w:kern w:val="0"/>
          <w:sz w:val="32"/>
          <w:szCs w:val="32"/>
          <w:highlight w:val="none"/>
          <w:lang w:val="en-US" w:eastAsia="zh-CN"/>
        </w:rPr>
        <w:t>物业费、公务用车</w:t>
      </w:r>
      <w:r>
        <w:rPr>
          <w:rFonts w:hint="default" w:ascii="仿宋_GB2312" w:hAnsi="宋体" w:eastAsia="仿宋_GB2312" w:cs="宋体"/>
          <w:color w:val="000000"/>
          <w:kern w:val="0"/>
          <w:sz w:val="32"/>
          <w:szCs w:val="32"/>
          <w:highlight w:val="none"/>
          <w:lang w:val="en-US" w:eastAsia="zh-CN"/>
        </w:rPr>
        <w:t>维护费</w:t>
      </w:r>
      <w:r>
        <w:rPr>
          <w:rFonts w:hint="eastAsia" w:ascii="仿宋_GB2312" w:hAnsi="宋体" w:eastAsia="仿宋_GB2312" w:cs="宋体"/>
          <w:color w:val="000000"/>
          <w:kern w:val="0"/>
          <w:sz w:val="32"/>
          <w:szCs w:val="32"/>
          <w:highlight w:val="none"/>
          <w:lang w:val="en-US" w:eastAsia="zh-CN"/>
        </w:rPr>
        <w:t>等商品服务支出，保证干警办公正常运行。</w:t>
      </w:r>
    </w:p>
    <w:p>
      <w:pPr>
        <w:spacing w:line="600" w:lineRule="exact"/>
        <w:ind w:firstLine="640" w:firstLineChars="20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2.项目经费完成情况</w:t>
      </w:r>
    </w:p>
    <w:p>
      <w:pPr>
        <w:spacing w:line="600" w:lineRule="exact"/>
        <w:ind w:firstLine="640" w:firstLineChars="20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首先是完成了昌平法院2024年度审判案件工作任务；其次是</w:t>
      </w:r>
      <w:r>
        <w:rPr>
          <w:rFonts w:hint="default" w:ascii="仿宋_GB2312" w:hAnsi="宋体" w:eastAsia="仿宋_GB2312" w:cs="宋体"/>
          <w:color w:val="000000"/>
          <w:kern w:val="0"/>
          <w:sz w:val="32"/>
          <w:szCs w:val="32"/>
          <w:highlight w:val="none"/>
          <w:lang w:val="en-US" w:eastAsia="zh-CN"/>
        </w:rPr>
        <w:t>加强</w:t>
      </w:r>
      <w:r>
        <w:rPr>
          <w:rFonts w:hint="eastAsia" w:ascii="仿宋_GB2312" w:hAnsi="宋体" w:eastAsia="仿宋_GB2312" w:cs="宋体"/>
          <w:color w:val="000000"/>
          <w:kern w:val="0"/>
          <w:sz w:val="32"/>
          <w:szCs w:val="32"/>
          <w:highlight w:val="none"/>
          <w:lang w:val="en-US" w:eastAsia="zh-CN"/>
        </w:rPr>
        <w:t>了</w:t>
      </w:r>
      <w:r>
        <w:rPr>
          <w:rFonts w:hint="default" w:ascii="仿宋_GB2312" w:hAnsi="宋体" w:eastAsia="仿宋_GB2312" w:cs="宋体"/>
          <w:color w:val="000000"/>
          <w:kern w:val="0"/>
          <w:sz w:val="32"/>
          <w:szCs w:val="32"/>
          <w:highlight w:val="none"/>
          <w:lang w:val="en-US" w:eastAsia="zh-CN"/>
        </w:rPr>
        <w:t>基础设施建设,</w:t>
      </w:r>
      <w:r>
        <w:rPr>
          <w:rFonts w:hint="eastAsia" w:ascii="仿宋_GB2312" w:hAnsi="宋体" w:eastAsia="仿宋_GB2312" w:cs="宋体"/>
          <w:color w:val="000000"/>
          <w:kern w:val="0"/>
          <w:sz w:val="32"/>
          <w:szCs w:val="32"/>
          <w:highlight w:val="none"/>
          <w:lang w:val="en-US" w:eastAsia="zh-CN"/>
        </w:rPr>
        <w:t>其中</w:t>
      </w:r>
      <w:r>
        <w:rPr>
          <w:rFonts w:hint="default" w:ascii="仿宋_GB2312" w:hAnsi="宋体" w:eastAsia="仿宋_GB2312" w:cs="宋体"/>
          <w:color w:val="000000"/>
          <w:kern w:val="0"/>
          <w:sz w:val="32"/>
          <w:szCs w:val="32"/>
          <w:highlight w:val="none"/>
          <w:lang w:val="en-US" w:eastAsia="zh-CN"/>
        </w:rPr>
        <w:t>回龙观法庭原址重建正在稳妥推进</w:t>
      </w:r>
      <w:r>
        <w:rPr>
          <w:rFonts w:hint="eastAsia" w:ascii="仿宋_GB2312" w:hAnsi="宋体" w:eastAsia="仿宋_GB2312" w:cs="宋体"/>
          <w:color w:val="000000"/>
          <w:kern w:val="0"/>
          <w:sz w:val="32"/>
          <w:szCs w:val="32"/>
          <w:highlight w:val="none"/>
          <w:lang w:val="en-US" w:eastAsia="zh-CN"/>
        </w:rPr>
        <w:t>，</w:t>
      </w:r>
      <w:r>
        <w:rPr>
          <w:rFonts w:hint="default" w:ascii="仿宋_GB2312" w:hAnsi="宋体" w:eastAsia="仿宋_GB2312" w:cs="宋体"/>
          <w:color w:val="000000"/>
          <w:kern w:val="0"/>
          <w:sz w:val="32"/>
          <w:szCs w:val="32"/>
          <w:highlight w:val="none"/>
          <w:lang w:val="en-US" w:eastAsia="zh-CN"/>
        </w:rPr>
        <w:t>改善办公和诉讼环境</w:t>
      </w:r>
      <w:r>
        <w:rPr>
          <w:rFonts w:hint="eastAsia" w:ascii="仿宋_GB2312" w:hAnsi="宋体" w:eastAsia="仿宋_GB2312" w:cs="宋体"/>
          <w:color w:val="000000"/>
          <w:kern w:val="0"/>
          <w:sz w:val="32"/>
          <w:szCs w:val="32"/>
          <w:highlight w:val="none"/>
          <w:lang w:val="en-US" w:eastAsia="zh-CN"/>
        </w:rPr>
        <w:t>；</w:t>
      </w:r>
      <w:r>
        <w:rPr>
          <w:rFonts w:hint="default" w:ascii="仿宋_GB2312" w:hAnsi="宋体" w:eastAsia="仿宋_GB2312" w:cs="宋体"/>
          <w:color w:val="000000"/>
          <w:kern w:val="0"/>
          <w:sz w:val="32"/>
          <w:szCs w:val="32"/>
          <w:highlight w:val="none"/>
          <w:lang w:val="en-US" w:eastAsia="zh-CN"/>
        </w:rPr>
        <w:t>对</w:t>
      </w:r>
      <w:r>
        <w:rPr>
          <w:rFonts w:hint="eastAsia" w:ascii="仿宋_GB2312" w:hAnsi="宋体" w:eastAsia="仿宋_GB2312" w:cs="宋体"/>
          <w:color w:val="000000"/>
          <w:kern w:val="0"/>
          <w:sz w:val="32"/>
          <w:szCs w:val="32"/>
          <w:highlight w:val="none"/>
          <w:lang w:val="en-US" w:eastAsia="zh-CN"/>
        </w:rPr>
        <w:t>审判综合楼进行危旧改造；</w:t>
      </w:r>
      <w:r>
        <w:rPr>
          <w:rFonts w:hint="default" w:ascii="仿宋_GB2312" w:hAnsi="宋体" w:eastAsia="仿宋_GB2312" w:cs="宋体"/>
          <w:color w:val="000000"/>
          <w:kern w:val="0"/>
          <w:sz w:val="32"/>
          <w:szCs w:val="32"/>
          <w:highlight w:val="none"/>
          <w:lang w:val="en-US" w:eastAsia="zh-CN"/>
        </w:rPr>
        <w:t>对院机关</w:t>
      </w:r>
      <w:r>
        <w:rPr>
          <w:rFonts w:hint="eastAsia" w:ascii="仿宋_GB2312" w:hAnsi="宋体" w:eastAsia="仿宋_GB2312" w:cs="宋体"/>
          <w:color w:val="000000"/>
          <w:kern w:val="0"/>
          <w:sz w:val="32"/>
          <w:szCs w:val="32"/>
          <w:highlight w:val="none"/>
          <w:lang w:val="en-US" w:eastAsia="zh-CN"/>
        </w:rPr>
        <w:t>公务车辆进行</w:t>
      </w:r>
      <w:r>
        <w:rPr>
          <w:rFonts w:hint="default" w:ascii="仿宋_GB2312" w:hAnsi="宋体" w:eastAsia="仿宋_GB2312" w:cs="宋体"/>
          <w:color w:val="000000"/>
          <w:kern w:val="0"/>
          <w:sz w:val="32"/>
          <w:szCs w:val="32"/>
          <w:highlight w:val="none"/>
          <w:lang w:val="en-US" w:eastAsia="zh-CN"/>
        </w:rPr>
        <w:t>更换</w:t>
      </w:r>
      <w:r>
        <w:rPr>
          <w:rFonts w:hint="eastAsia" w:ascii="仿宋_GB2312" w:hAnsi="宋体" w:eastAsia="仿宋_GB2312" w:cs="宋体"/>
          <w:color w:val="000000"/>
          <w:kern w:val="0"/>
          <w:sz w:val="32"/>
          <w:szCs w:val="32"/>
          <w:highlight w:val="none"/>
          <w:lang w:val="en-US" w:eastAsia="zh-CN"/>
        </w:rPr>
        <w:t>。</w:t>
      </w:r>
    </w:p>
    <w:p>
      <w:pPr>
        <w:pStyle w:val="5"/>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3.效果指标实现情况</w:t>
      </w:r>
    </w:p>
    <w:p>
      <w:pPr>
        <w:pStyle w:val="11"/>
        <w:keepNext w:val="0"/>
        <w:keepLines w:val="0"/>
        <w:widowControl/>
        <w:suppressLineNumbers w:val="0"/>
        <w:spacing w:before="0" w:beforeAutospacing="0" w:after="0" w:afterAutospacing="0" w:line="480" w:lineRule="atLeast"/>
        <w:ind w:left="0" w:right="0" w:firstLine="516"/>
        <w:jc w:val="both"/>
        <w:rPr>
          <w:rFonts w:hint="default" w:ascii="仿宋_GB2312" w:hAnsi="仿宋" w:eastAsia="仿宋_GB2312"/>
          <w:highlight w:val="none"/>
        </w:rPr>
      </w:pPr>
      <w:bookmarkStart w:id="15" w:name="OLE_LINK6"/>
      <w:r>
        <w:rPr>
          <w:rFonts w:hint="default" w:ascii="仿宋_GB2312" w:hAnsi="宋体" w:eastAsia="仿宋_GB2312" w:cs="宋体"/>
          <w:color w:val="000000"/>
          <w:kern w:val="0"/>
          <w:sz w:val="32"/>
          <w:szCs w:val="32"/>
          <w:highlight w:val="none"/>
          <w:lang w:val="en-US" w:eastAsia="zh-CN" w:bidi="ar-SA"/>
        </w:rPr>
        <w:t>2024年，</w:t>
      </w:r>
      <w:r>
        <w:rPr>
          <w:rFonts w:hint="eastAsia" w:ascii="仿宋_GB2312" w:hAnsi="宋体" w:eastAsia="仿宋_GB2312" w:cs="宋体"/>
          <w:color w:val="000000"/>
          <w:kern w:val="0"/>
          <w:sz w:val="32"/>
          <w:szCs w:val="32"/>
          <w:highlight w:val="none"/>
          <w:lang w:val="en-US" w:eastAsia="zh-CN" w:bidi="ar-SA"/>
        </w:rPr>
        <w:t>昌平法院</w:t>
      </w:r>
      <w:r>
        <w:rPr>
          <w:rFonts w:hint="default" w:ascii="仿宋_GB2312" w:hAnsi="宋体" w:eastAsia="仿宋_GB2312" w:cs="宋体"/>
          <w:color w:val="000000"/>
          <w:kern w:val="0"/>
          <w:sz w:val="32"/>
          <w:szCs w:val="32"/>
          <w:highlight w:val="none"/>
          <w:lang w:val="en-US" w:eastAsia="zh-CN" w:bidi="ar-SA"/>
        </w:rPr>
        <w:t>在区委坚强领导、区人大及其常委会有力监督、区政府大力支持、区政协民主监督和上级法院监督指导下，坚持以习近平新时代中国特色社会主义思想为指导，全面贯彻落实党的二十大和二十届二中、三中全会精神，深入贯彻习近平法治思想，忠实履行宪法法律赋予的职责，坚持为大局服务、为人民司法，扎实开展“实干争先年”主题活动，狠抓提质增效，各项工作取得新进展。一年来，新收案件49755件，同比上升1</w:t>
      </w:r>
      <w:bookmarkStart w:id="33" w:name="_GoBack"/>
      <w:bookmarkEnd w:id="33"/>
      <w:r>
        <w:rPr>
          <w:rFonts w:hint="default" w:ascii="仿宋_GB2312" w:hAnsi="宋体" w:eastAsia="仿宋_GB2312" w:cs="宋体"/>
          <w:color w:val="000000"/>
          <w:kern w:val="0"/>
          <w:sz w:val="32"/>
          <w:szCs w:val="32"/>
          <w:highlight w:val="none"/>
          <w:lang w:val="en-US" w:eastAsia="zh-CN" w:bidi="ar-SA"/>
        </w:rPr>
        <w:t>2.07%；结案52820件，同比上升20.02%；未结案件8991件，同比下降25.42%；法官人均结案498件，同比上升7.55%。</w:t>
      </w:r>
    </w:p>
    <w:bookmarkEnd w:id="15"/>
    <w:p>
      <w:pPr>
        <w:keepNext w:val="0"/>
        <w:keepLines w:val="0"/>
        <w:pageBreakBefore w:val="0"/>
        <w:widowControl w:val="0"/>
        <w:kinsoku/>
        <w:wordWrap/>
        <w:overflowPunct/>
        <w:topLinePunct w:val="0"/>
        <w:autoSpaceDE/>
        <w:autoSpaceDN/>
        <w:bidi w:val="0"/>
        <w:adjustRightInd/>
        <w:snapToGrid/>
        <w:spacing w:line="600" w:lineRule="exact"/>
        <w:ind w:left="105" w:leftChars="50" w:firstLine="480" w:firstLineChars="150"/>
        <w:textAlignment w:val="auto"/>
        <w:outlineLvl w:val="0"/>
        <w:rPr>
          <w:rFonts w:hint="eastAsia" w:ascii="黑体" w:hAnsi="黑体" w:eastAsia="黑体" w:cs="宋体"/>
          <w:color w:val="000000"/>
          <w:kern w:val="0"/>
          <w:sz w:val="32"/>
          <w:szCs w:val="32"/>
          <w:highlight w:val="none"/>
        </w:rPr>
      </w:pPr>
      <w:bookmarkStart w:id="16" w:name="_Toc13351"/>
      <w:r>
        <w:rPr>
          <w:rFonts w:hint="eastAsia" w:ascii="黑体" w:hAnsi="黑体" w:eastAsia="黑体" w:cs="宋体"/>
          <w:color w:val="000000"/>
          <w:kern w:val="0"/>
          <w:sz w:val="32"/>
          <w:szCs w:val="32"/>
          <w:highlight w:val="none"/>
        </w:rPr>
        <w:t>四</w:t>
      </w:r>
      <w:r>
        <w:rPr>
          <w:rFonts w:ascii="黑体" w:hAnsi="黑体" w:eastAsia="黑体" w:cs="宋体"/>
          <w:color w:val="000000"/>
          <w:kern w:val="0"/>
          <w:sz w:val="32"/>
          <w:szCs w:val="32"/>
          <w:highlight w:val="none"/>
        </w:rPr>
        <w:t>、预算管理</w:t>
      </w:r>
      <w:r>
        <w:rPr>
          <w:rFonts w:hint="eastAsia" w:ascii="黑体" w:hAnsi="黑体" w:eastAsia="黑体" w:cs="宋体"/>
          <w:color w:val="000000"/>
          <w:kern w:val="0"/>
          <w:sz w:val="32"/>
          <w:szCs w:val="32"/>
          <w:highlight w:val="none"/>
        </w:rPr>
        <w:t>情况分</w:t>
      </w:r>
      <w:r>
        <w:rPr>
          <w:rFonts w:ascii="黑体" w:hAnsi="黑体" w:eastAsia="黑体" w:cs="宋体"/>
          <w:color w:val="000000"/>
          <w:kern w:val="0"/>
          <w:sz w:val="32"/>
          <w:szCs w:val="32"/>
          <w:highlight w:val="none"/>
        </w:rPr>
        <w:t>析</w:t>
      </w:r>
      <w:bookmarkEnd w:id="16"/>
    </w:p>
    <w:p>
      <w:pPr>
        <w:keepNext w:val="0"/>
        <w:keepLines w:val="0"/>
        <w:pageBreakBefore w:val="0"/>
        <w:widowControl w:val="0"/>
        <w:kinsoku/>
        <w:wordWrap/>
        <w:overflowPunct/>
        <w:topLinePunct w:val="0"/>
        <w:autoSpaceDE/>
        <w:autoSpaceDN/>
        <w:bidi w:val="0"/>
        <w:adjustRightInd/>
        <w:snapToGrid/>
        <w:spacing w:line="600" w:lineRule="exact"/>
        <w:ind w:left="105" w:leftChars="50" w:firstLine="480" w:firstLineChars="150"/>
        <w:textAlignment w:val="auto"/>
        <w:outlineLvl w:val="1"/>
        <w:rPr>
          <w:rFonts w:ascii="楷体_GB2312" w:eastAsia="楷体_GB2312"/>
          <w:sz w:val="32"/>
          <w:szCs w:val="32"/>
          <w:highlight w:val="none"/>
        </w:rPr>
      </w:pPr>
      <w:bookmarkStart w:id="17" w:name="_Toc30530"/>
      <w:r>
        <w:rPr>
          <w:rFonts w:hint="eastAsia" w:ascii="楷体_GB2312" w:eastAsia="楷体_GB2312"/>
          <w:sz w:val="32"/>
          <w:szCs w:val="32"/>
          <w:highlight w:val="none"/>
        </w:rPr>
        <w:t>（一）财务管理</w:t>
      </w:r>
      <w:bookmarkEnd w:id="17"/>
    </w:p>
    <w:p>
      <w:pPr>
        <w:spacing w:line="600" w:lineRule="exact"/>
        <w:ind w:firstLine="640" w:firstLineChars="20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1.财务管理制度健全性</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highlight w:val="none"/>
          <w:lang w:val="en-US" w:eastAsia="zh-CN"/>
        </w:rPr>
        <w:t>健全完善财务管理制度，规范财务管理，充分发挥财务管理的监督核算，保障职能。</w:t>
      </w:r>
      <w:r>
        <w:rPr>
          <w:rFonts w:hint="eastAsia" w:ascii="仿宋_GB2312" w:hAnsi="宋体" w:eastAsia="仿宋_GB2312" w:cs="宋体"/>
          <w:color w:val="000000"/>
          <w:kern w:val="0"/>
          <w:sz w:val="32"/>
          <w:szCs w:val="32"/>
          <w:highlight w:val="none"/>
          <w:lang w:val="en-US" w:eastAsia="zh-CN"/>
        </w:rPr>
        <w:t>昌平法院制定了《北京市昌平区人民法院财务工作管理规定》、《北京市昌平区人民法院差旅费管理实施细则》、《北京市昌平区人民法院公务卡管理实施细则》、《北京市昌平区人民法院市内公务活动交通费管理细则》及《北京市昌平区人民法院市内公务活动午餐费管理细则》等管理制度，资金管理制度较为完善，但仍需对财务人员进行岗位细化，专人专责，严格按照财务制度遵行，不断提升财务管</w:t>
      </w:r>
      <w:r>
        <w:rPr>
          <w:rFonts w:hint="eastAsia" w:ascii="仿宋_GB2312" w:hAnsi="宋体" w:eastAsia="仿宋_GB2312" w:cs="宋体"/>
          <w:color w:val="000000"/>
          <w:kern w:val="0"/>
          <w:sz w:val="32"/>
          <w:szCs w:val="32"/>
          <w:lang w:val="en-US" w:eastAsia="zh-CN"/>
        </w:rPr>
        <w:t>理工作水平。</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2.资金使用合规性和安全性</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项目资金支出严格执行</w:t>
      </w:r>
      <w:r>
        <w:rPr>
          <w:rFonts w:hint="eastAsia" w:ascii="仿宋_GB2312" w:hAnsi="仿宋_GB2312" w:eastAsia="仿宋_GB2312" w:cs="仿宋_GB2312"/>
          <w:sz w:val="32"/>
          <w:szCs w:val="32"/>
          <w:lang w:val="en-US" w:eastAsia="zh-CN"/>
        </w:rPr>
        <w:t>市财政及昌平法院制定的相关</w:t>
      </w:r>
      <w:r>
        <w:rPr>
          <w:rFonts w:hint="eastAsia" w:ascii="仿宋_GB2312" w:hAnsi="仿宋_GB2312" w:eastAsia="仿宋_GB2312" w:cs="仿宋_GB2312"/>
          <w:sz w:val="32"/>
          <w:szCs w:val="32"/>
        </w:rPr>
        <w:t>规定，按照资金审批权限报送相关领导审批等手续支付项目资金；项目资金严格实行专款专用，避免出现财政资金被挤占、挪用等违规行为。</w:t>
      </w:r>
    </w:p>
    <w:p>
      <w:pPr>
        <w:pStyle w:val="5"/>
        <w:rPr>
          <w:rFonts w:hint="eastAsia"/>
          <w:lang w:val="en-US" w:eastAsia="zh-CN"/>
        </w:rPr>
      </w:pPr>
      <w:r>
        <w:rPr>
          <w:rFonts w:hint="eastAsia" w:ascii="仿宋_GB2312" w:hAnsi="仿宋_GB2312" w:eastAsia="仿宋_GB2312" w:cs="仿宋_GB2312"/>
          <w:sz w:val="32"/>
          <w:szCs w:val="32"/>
        </w:rPr>
        <w:t>实行统一领导、分级管理、授权审批的预算管理体制，确保资金使用合规和安全。在预算执行和资金使用层面，能够执行相关财务、预算、采购、资产、合同等管理制度，政府采购支出、“三公经费”、培训费支出等严格按预算批复执行，除了日常的财务监督外，各归口管理部门发挥职能监督作用，严格审计监督、纪检监察，强化财经纪律的刚性，防范经济风险。</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3.会计基础信息完善性</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财务记账较为规范，支出凭单、发票等附件较为齐全，各项支出符合规定的程序和规范，审批手续完备，支出真实合理，支出的效率和效果良好；各项收支均得到正确核算，相关财务信息真实完整。</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4.三公经费控制情况</w:t>
      </w:r>
    </w:p>
    <w:p>
      <w:pPr>
        <w:pStyle w:val="5"/>
        <w:rPr>
          <w:rFonts w:hint="eastAsia" w:eastAsia="仿宋_GB2312"/>
          <w:lang w:val="en-US" w:eastAsia="zh-CN"/>
        </w:rPr>
      </w:pPr>
      <w:r>
        <w:rPr>
          <w:rFonts w:hint="eastAsia" w:ascii="仿宋_GB2312" w:hAnsi="宋体" w:eastAsia="仿宋_GB2312"/>
          <w:kern w:val="0"/>
          <w:sz w:val="32"/>
          <w:highlight w:val="none"/>
        </w:rPr>
        <w:t>20</w:t>
      </w:r>
      <w:r>
        <w:rPr>
          <w:rFonts w:hint="eastAsia" w:ascii="仿宋_GB2312" w:hAnsi="宋体" w:eastAsia="仿宋_GB2312"/>
          <w:kern w:val="0"/>
          <w:sz w:val="32"/>
          <w:highlight w:val="none"/>
          <w:lang w:val="en-US" w:eastAsia="zh-CN"/>
        </w:rPr>
        <w:t>24</w:t>
      </w:r>
      <w:r>
        <w:rPr>
          <w:rFonts w:hint="eastAsia" w:ascii="仿宋_GB2312" w:hAnsi="宋体" w:eastAsia="仿宋_GB2312"/>
          <w:kern w:val="0"/>
          <w:sz w:val="32"/>
          <w:highlight w:val="none"/>
        </w:rPr>
        <w:t>年预算安排</w:t>
      </w:r>
      <w:r>
        <w:rPr>
          <w:rFonts w:hint="eastAsia" w:ascii="仿宋_GB2312" w:hAnsi="宋体" w:eastAsia="仿宋_GB2312"/>
          <w:kern w:val="0"/>
          <w:sz w:val="32"/>
          <w:highlight w:val="none"/>
          <w:lang w:eastAsia="zh-CN"/>
        </w:rPr>
        <w:t>“</w:t>
      </w:r>
      <w:r>
        <w:rPr>
          <w:rFonts w:hint="eastAsia" w:ascii="仿宋_GB2312" w:hAnsi="宋体" w:eastAsia="仿宋_GB2312"/>
          <w:kern w:val="0"/>
          <w:sz w:val="32"/>
          <w:highlight w:val="none"/>
          <w:lang w:val="en-US" w:eastAsia="zh-CN"/>
        </w:rPr>
        <w:t>三公</w:t>
      </w:r>
      <w:r>
        <w:rPr>
          <w:rFonts w:hint="eastAsia" w:ascii="仿宋_GB2312" w:hAnsi="宋体" w:eastAsia="仿宋_GB2312"/>
          <w:kern w:val="0"/>
          <w:sz w:val="32"/>
          <w:highlight w:val="none"/>
          <w:lang w:eastAsia="zh-CN"/>
        </w:rPr>
        <w:t>”</w:t>
      </w:r>
      <w:r>
        <w:rPr>
          <w:rFonts w:hint="eastAsia" w:ascii="仿宋_GB2312" w:hAnsi="宋体" w:eastAsia="仿宋_GB2312"/>
          <w:kern w:val="0"/>
          <w:sz w:val="32"/>
          <w:highlight w:val="none"/>
        </w:rPr>
        <w:t>经费</w:t>
      </w:r>
      <w:r>
        <w:rPr>
          <w:rFonts w:hint="eastAsia" w:ascii="仿宋_GB2312" w:eastAsia="仿宋_GB2312"/>
          <w:color w:val="000000"/>
          <w:sz w:val="32"/>
          <w:szCs w:val="32"/>
          <w:highlight w:val="none"/>
        </w:rPr>
        <w:t>1</w:t>
      </w:r>
      <w:r>
        <w:rPr>
          <w:rFonts w:hint="eastAsia" w:ascii="仿宋_GB2312" w:eastAsia="仿宋_GB2312"/>
          <w:color w:val="000000"/>
          <w:sz w:val="32"/>
          <w:szCs w:val="32"/>
          <w:highlight w:val="none"/>
          <w:lang w:val="en-US" w:eastAsia="zh-CN"/>
        </w:rPr>
        <w:t>89.64</w:t>
      </w:r>
      <w:r>
        <w:rPr>
          <w:rFonts w:hint="eastAsia" w:ascii="仿宋_GB2312" w:hAnsi="宋体" w:eastAsia="仿宋_GB2312"/>
          <w:kern w:val="0"/>
          <w:sz w:val="32"/>
          <w:highlight w:val="none"/>
        </w:rPr>
        <w:t>万元，实际支出</w:t>
      </w:r>
      <w:r>
        <w:rPr>
          <w:rFonts w:hint="eastAsia" w:ascii="仿宋_GB2312" w:hAnsi="仿宋" w:eastAsia="仿宋_GB2312"/>
          <w:sz w:val="32"/>
          <w:szCs w:val="32"/>
          <w:highlight w:val="none"/>
        </w:rPr>
        <w:t>1</w:t>
      </w:r>
      <w:r>
        <w:rPr>
          <w:rFonts w:hint="eastAsia" w:ascii="仿宋_GB2312" w:hAnsi="仿宋" w:eastAsia="仿宋_GB2312"/>
          <w:sz w:val="32"/>
          <w:szCs w:val="32"/>
          <w:highlight w:val="none"/>
          <w:lang w:val="en-US" w:eastAsia="zh-CN"/>
        </w:rPr>
        <w:t>86.84</w:t>
      </w:r>
      <w:r>
        <w:rPr>
          <w:rFonts w:hint="eastAsia" w:ascii="仿宋_GB2312" w:hAnsi="宋体" w:eastAsia="仿宋_GB2312"/>
          <w:kern w:val="0"/>
          <w:sz w:val="32"/>
          <w:highlight w:val="none"/>
        </w:rPr>
        <w:t>万元，</w:t>
      </w:r>
      <w:r>
        <w:rPr>
          <w:rFonts w:hint="eastAsia" w:ascii="仿宋_GB2312" w:hAnsi="宋体" w:eastAsia="仿宋_GB2312"/>
          <w:kern w:val="0"/>
          <w:sz w:val="32"/>
          <w:lang w:val="en-US" w:eastAsia="zh-CN"/>
        </w:rPr>
        <w:t>主要用于公车更新购置及公车运行</w:t>
      </w:r>
      <w:r>
        <w:rPr>
          <w:rFonts w:hint="eastAsia" w:ascii="仿宋_GB2312" w:hAnsi="宋体" w:eastAsia="仿宋_GB2312"/>
          <w:kern w:val="0"/>
          <w:sz w:val="32"/>
          <w:highlight w:val="none"/>
          <w:lang w:val="en-US" w:eastAsia="zh-CN"/>
        </w:rPr>
        <w:t>维护。</w:t>
      </w:r>
      <w:r>
        <w:rPr>
          <w:rFonts w:hint="eastAsia" w:ascii="仿宋_GB2312" w:hAnsi="宋体" w:eastAsia="仿宋_GB2312"/>
          <w:kern w:val="0"/>
          <w:sz w:val="32"/>
          <w:highlight w:val="none"/>
          <w:lang w:eastAsia="zh-CN"/>
        </w:rPr>
        <w:t>“</w:t>
      </w:r>
      <w:r>
        <w:rPr>
          <w:rFonts w:hint="eastAsia" w:ascii="仿宋_GB2312" w:hAnsi="宋体" w:eastAsia="仿宋_GB2312"/>
          <w:kern w:val="0"/>
          <w:sz w:val="32"/>
          <w:highlight w:val="none"/>
          <w:lang w:val="en-US" w:eastAsia="zh-CN"/>
        </w:rPr>
        <w:t>三公</w:t>
      </w:r>
      <w:r>
        <w:rPr>
          <w:rFonts w:hint="eastAsia" w:ascii="仿宋_GB2312" w:hAnsi="宋体" w:eastAsia="仿宋_GB2312"/>
          <w:kern w:val="0"/>
          <w:sz w:val="32"/>
          <w:highlight w:val="none"/>
          <w:lang w:eastAsia="zh-CN"/>
        </w:rPr>
        <w:t>”</w:t>
      </w:r>
      <w:r>
        <w:rPr>
          <w:rFonts w:hint="eastAsia" w:ascii="仿宋_GB2312" w:hAnsi="宋体" w:eastAsia="仿宋_GB2312"/>
          <w:kern w:val="0"/>
          <w:sz w:val="32"/>
          <w:highlight w:val="none"/>
        </w:rPr>
        <w:t>经费控制率=（实际支出公用经费总额/预算安排公用经费总额）</w:t>
      </w:r>
      <w:r>
        <w:rPr>
          <w:rFonts w:hint="eastAsia" w:ascii="仿宋_GB2312" w:hAnsi="仿宋_GB2312" w:eastAsia="仿宋_GB2312"/>
          <w:sz w:val="32"/>
          <w:highlight w:val="none"/>
        </w:rPr>
        <w:t>×100%=</w:t>
      </w:r>
      <w:r>
        <w:rPr>
          <w:rFonts w:hint="eastAsia" w:ascii="仿宋_GB2312" w:hAnsi="仿宋_GB2312" w:eastAsia="仿宋_GB2312"/>
          <w:sz w:val="32"/>
          <w:highlight w:val="none"/>
          <w:lang w:val="en-US" w:eastAsia="zh-CN"/>
        </w:rPr>
        <w:t>98.52</w:t>
      </w:r>
      <w:r>
        <w:rPr>
          <w:rFonts w:hint="eastAsia" w:ascii="仿宋_GB2312" w:hAnsi="仿宋_GB2312" w:eastAsia="仿宋_GB2312"/>
          <w:sz w:val="32"/>
          <w:highlight w:val="none"/>
        </w:rPr>
        <w:t>%，对机构运转成本的实</w:t>
      </w:r>
      <w:r>
        <w:rPr>
          <w:rFonts w:hint="eastAsia" w:ascii="仿宋_GB2312" w:hAnsi="仿宋_GB2312" w:eastAsia="仿宋_GB2312"/>
          <w:sz w:val="32"/>
        </w:rPr>
        <w:t>际控制程度</w:t>
      </w:r>
      <w:r>
        <w:rPr>
          <w:rFonts w:hint="eastAsia" w:ascii="仿宋_GB2312" w:hAnsi="仿宋_GB2312" w:eastAsia="仿宋_GB2312"/>
          <w:sz w:val="32"/>
          <w:lang w:val="en-US" w:eastAsia="zh-CN"/>
        </w:rPr>
        <w:t>较</w:t>
      </w:r>
      <w:r>
        <w:rPr>
          <w:rFonts w:hint="eastAsia" w:ascii="仿宋_GB2312" w:hAnsi="仿宋_GB2312" w:eastAsia="仿宋_GB2312"/>
          <w:sz w:val="32"/>
        </w:rPr>
        <w:t>好</w:t>
      </w:r>
      <w:r>
        <w:rPr>
          <w:rFonts w:hint="eastAsia" w:ascii="仿宋_GB2312" w:hAnsi="仿宋_GB2312" w:eastAsia="仿宋_GB2312"/>
          <w:sz w:val="32"/>
          <w:lang w:eastAsia="zh-CN"/>
        </w:rPr>
        <w:t>。</w:t>
      </w:r>
    </w:p>
    <w:p>
      <w:pPr>
        <w:spacing w:line="600" w:lineRule="exact"/>
        <w:ind w:firstLine="640" w:firstLineChars="20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5.信息公开情况</w:t>
      </w:r>
    </w:p>
    <w:p>
      <w:pPr>
        <w:pStyle w:val="5"/>
        <w:rPr>
          <w:rFonts w:hint="eastAsia" w:eastAsia="仿宋_GB2312"/>
          <w:lang w:val="en-US" w:eastAsia="zh-CN"/>
        </w:rPr>
      </w:pPr>
      <w:r>
        <w:rPr>
          <w:rFonts w:hint="eastAsia" w:ascii="仿宋_GB2312" w:hAnsi="仿宋_GB2312" w:eastAsia="仿宋_GB2312"/>
          <w:sz w:val="32"/>
          <w:lang w:val="en-US" w:eastAsia="zh-CN"/>
        </w:rPr>
        <w:t>2024年，昌平法院</w:t>
      </w:r>
      <w:r>
        <w:rPr>
          <w:rFonts w:hint="eastAsia" w:ascii="仿宋_GB2312" w:hAnsi="仿宋_GB2312" w:eastAsia="仿宋_GB2312"/>
          <w:sz w:val="32"/>
        </w:rPr>
        <w:t>预决算信息能按规定的时限和内容进行公开，做到了预决算管理的公开透明</w:t>
      </w:r>
      <w:r>
        <w:rPr>
          <w:rFonts w:hint="eastAsia" w:ascii="仿宋_GB2312" w:hAnsi="仿宋_GB2312" w:eastAsia="仿宋_GB2312"/>
          <w:sz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105" w:leftChars="50" w:firstLine="480" w:firstLineChars="150"/>
        <w:textAlignment w:val="auto"/>
        <w:outlineLvl w:val="1"/>
        <w:rPr>
          <w:rFonts w:hint="eastAsia" w:ascii="楷体_GB2312" w:eastAsia="楷体_GB2312"/>
          <w:sz w:val="32"/>
          <w:szCs w:val="32"/>
        </w:rPr>
      </w:pPr>
      <w:bookmarkStart w:id="18" w:name="_Toc13920"/>
      <w:r>
        <w:rPr>
          <w:rFonts w:hint="eastAsia" w:ascii="楷体_GB2312" w:eastAsia="楷体_GB2312"/>
          <w:sz w:val="32"/>
          <w:szCs w:val="32"/>
        </w:rPr>
        <w:t>（二）资产管理</w:t>
      </w:r>
      <w:bookmarkEnd w:id="18"/>
    </w:p>
    <w:p>
      <w:pPr>
        <w:spacing w:line="600" w:lineRule="exact"/>
        <w:ind w:firstLine="640" w:firstLineChars="20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lang w:val="en-US" w:eastAsia="zh-CN"/>
        </w:rPr>
        <w:t>截至2024年12月31</w:t>
      </w:r>
      <w:r>
        <w:rPr>
          <w:rFonts w:hint="eastAsia" w:ascii="仿宋_GB2312" w:hAnsi="宋体" w:eastAsia="仿宋_GB2312" w:cs="宋体"/>
          <w:color w:val="000000"/>
          <w:kern w:val="0"/>
          <w:sz w:val="32"/>
          <w:szCs w:val="32"/>
          <w:highlight w:val="none"/>
          <w:lang w:val="en-US" w:eastAsia="zh-CN"/>
        </w:rPr>
        <w:t>日，昌平法院资产总额21359.11万元，其中：货币资金439.48万元、财政应返还额度277.06元、固定资产净值8704.40万元（原值25090.02万元）。</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昌平法院明确了综合办公室对全院固定资产的管理职责，应按照内部控制要求制定相关管理办法。</w:t>
      </w:r>
    </w:p>
    <w:p>
      <w:pPr>
        <w:keepNext w:val="0"/>
        <w:keepLines w:val="0"/>
        <w:pageBreakBefore w:val="0"/>
        <w:widowControl w:val="0"/>
        <w:kinsoku/>
        <w:wordWrap/>
        <w:overflowPunct/>
        <w:topLinePunct w:val="0"/>
        <w:autoSpaceDE/>
        <w:autoSpaceDN/>
        <w:bidi w:val="0"/>
        <w:adjustRightInd/>
        <w:snapToGrid/>
        <w:spacing w:line="600" w:lineRule="exact"/>
        <w:ind w:left="105" w:leftChars="50" w:firstLine="480" w:firstLineChars="150"/>
        <w:textAlignment w:val="auto"/>
        <w:outlineLvl w:val="1"/>
        <w:rPr>
          <w:rFonts w:hint="eastAsia" w:ascii="楷体_GB2312" w:eastAsia="楷体_GB2312"/>
          <w:sz w:val="32"/>
          <w:szCs w:val="32"/>
        </w:rPr>
      </w:pPr>
      <w:bookmarkStart w:id="19" w:name="_Toc26852"/>
      <w:r>
        <w:rPr>
          <w:rFonts w:hint="eastAsia" w:ascii="楷体_GB2312" w:eastAsia="楷体_GB2312"/>
          <w:sz w:val="32"/>
          <w:szCs w:val="32"/>
        </w:rPr>
        <w:t>（三）绩效管理</w:t>
      </w:r>
      <w:bookmarkEnd w:id="19"/>
    </w:p>
    <w:p>
      <w:pPr>
        <w:spacing w:line="600" w:lineRule="exact"/>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1.绩效管理职责</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昌平法院综合办公室</w:t>
      </w:r>
      <w:r>
        <w:rPr>
          <w:rFonts w:hint="eastAsia" w:ascii="仿宋_GB2312" w:hAnsi="仿宋_GB2312" w:eastAsia="仿宋_GB2312" w:cs="仿宋_GB2312"/>
          <w:sz w:val="32"/>
          <w:szCs w:val="32"/>
        </w:rPr>
        <w:t xml:space="preserve">是绩效管理的牵头部门，审核各部门提交的绩效目标，配合财政部门开展事前绩效评估工作；组织预算执行绩效跟踪，并按规定及时将执行中存在的问题和整改措施报财政部门，并组织开展绩效自评工作。    </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各</w:t>
      </w:r>
      <w:r>
        <w:rPr>
          <w:rFonts w:hint="eastAsia" w:ascii="仿宋_GB2312" w:hAnsi="仿宋_GB2312" w:eastAsia="仿宋_GB2312" w:cs="仿宋_GB2312"/>
          <w:sz w:val="32"/>
          <w:szCs w:val="32"/>
        </w:rPr>
        <w:t>相关部门根据年度工作计划和部门职责，编制年度预算。同时制定清晰、量化的绩效目标，加强项目论证和审核；执行过程中严格按预期的绩效目标组织项目实施；提供绩效评价所需要的相关资料及撰写项目自评报告；根据评价结果查找资金使用和管理中的薄弱环节，制定整改措施，改善绩效管理工作。</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昌平法院</w:t>
      </w:r>
      <w:r>
        <w:rPr>
          <w:rFonts w:hint="eastAsia" w:ascii="仿宋_GB2312" w:hAnsi="仿宋_GB2312" w:eastAsia="仿宋_GB2312" w:cs="仿宋_GB2312"/>
          <w:sz w:val="32"/>
          <w:szCs w:val="32"/>
        </w:rPr>
        <w:t>所有项目在预算编制过程中均填报绩效目标申报表，明确项目总目标，以便进行绩效跟踪、绩效管理，在年度终结后均填报绩效自评表，进行绩效评价，形成闭环管理，指导预算工作，真正提高资金使用效率和效益。</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项目支出绩效自评</w:t>
      </w:r>
    </w:p>
    <w:p>
      <w:pPr>
        <w:spacing w:line="600" w:lineRule="exact"/>
        <w:ind w:firstLine="64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年度部门项目支出</w:t>
      </w:r>
      <w:r>
        <w:rPr>
          <w:rFonts w:hint="eastAsia" w:ascii="仿宋_GB2312" w:hAnsi="仿宋_GB2312" w:eastAsia="仿宋_GB2312" w:cs="仿宋_GB2312"/>
          <w:sz w:val="32"/>
          <w:szCs w:val="32"/>
          <w:lang w:val="en-US" w:eastAsia="zh-CN"/>
        </w:rPr>
        <w:t>共12个项目</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其中</w:t>
      </w:r>
      <w:r>
        <w:rPr>
          <w:rFonts w:hint="eastAsia" w:ascii="仿宋_GB2312" w:hAnsi="仿宋_GB2312" w:eastAsia="仿宋_GB2312" w:cs="仿宋_GB2312"/>
          <w:sz w:val="32"/>
          <w:szCs w:val="32"/>
        </w:rPr>
        <w:t>参与</w:t>
      </w:r>
      <w:r>
        <w:rPr>
          <w:rFonts w:hint="eastAsia" w:ascii="仿宋_GB2312" w:hAnsi="仿宋_GB2312" w:eastAsia="仿宋_GB2312" w:cs="仿宋_GB2312"/>
          <w:sz w:val="32"/>
          <w:szCs w:val="32"/>
          <w:highlight w:val="none"/>
        </w:rPr>
        <w:t>评价项</w:t>
      </w:r>
      <w:r>
        <w:rPr>
          <w:rFonts w:hint="eastAsia" w:ascii="仿宋_GB2312" w:hAnsi="仿宋_GB2312" w:eastAsia="仿宋_GB2312" w:cs="仿宋_GB2312"/>
          <w:color w:val="auto"/>
          <w:sz w:val="32"/>
          <w:szCs w:val="32"/>
          <w:highlight w:val="none"/>
        </w:rPr>
        <w:t>目</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个，</w:t>
      </w:r>
      <w:r>
        <w:rPr>
          <w:rFonts w:hint="eastAsia" w:ascii="仿宋_GB2312" w:hAnsi="仿宋_GB2312" w:eastAsia="仿宋_GB2312" w:cs="仿宋_GB2312"/>
          <w:sz w:val="32"/>
          <w:szCs w:val="32"/>
          <w:highlight w:val="none"/>
        </w:rPr>
        <w:t>占部门项目总数的</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自评情况如下：</w:t>
      </w:r>
    </w:p>
    <w:p>
      <w:pPr>
        <w:spacing w:line="600" w:lineRule="exact"/>
        <w:ind w:firstLine="64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（1）重点</w:t>
      </w:r>
      <w:r>
        <w:rPr>
          <w:rFonts w:hint="eastAsia" w:ascii="仿宋_GB2312" w:hAnsi="仿宋_GB2312" w:eastAsia="仿宋_GB2312" w:cs="仿宋_GB2312"/>
          <w:sz w:val="32"/>
          <w:szCs w:val="32"/>
          <w:highlight w:val="none"/>
        </w:rPr>
        <w:t>评价项目1个</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为“昌平法院网络运维费”</w:t>
      </w:r>
      <w:r>
        <w:rPr>
          <w:rFonts w:hint="eastAsia" w:ascii="仿宋_GB2312" w:hAnsi="仿宋_GB2312" w:eastAsia="仿宋_GB2312" w:cs="仿宋_GB2312"/>
          <w:sz w:val="32"/>
          <w:szCs w:val="32"/>
          <w:highlight w:val="none"/>
        </w:rPr>
        <w:t>涉及金额</w:t>
      </w:r>
      <w:r>
        <w:rPr>
          <w:rFonts w:hint="eastAsia" w:ascii="仿宋_GB2312" w:hAnsi="仿宋_GB2312" w:eastAsia="仿宋_GB2312" w:cs="仿宋_GB2312"/>
          <w:sz w:val="32"/>
          <w:szCs w:val="32"/>
          <w:highlight w:val="none"/>
          <w:lang w:val="en-US" w:eastAsia="zh-CN"/>
        </w:rPr>
        <w:t>361.082</w:t>
      </w:r>
      <w:r>
        <w:rPr>
          <w:rFonts w:hint="eastAsia" w:ascii="仿宋_GB2312" w:hAnsi="仿宋_GB2312" w:eastAsia="仿宋_GB2312" w:cs="仿宋_GB2312"/>
          <w:sz w:val="32"/>
          <w:szCs w:val="32"/>
          <w:highlight w:val="none"/>
        </w:rPr>
        <w:t>万元，评价</w:t>
      </w:r>
      <w:r>
        <w:rPr>
          <w:rFonts w:hint="eastAsia" w:ascii="仿宋_GB2312" w:hAnsi="仿宋_GB2312" w:eastAsia="仿宋_GB2312" w:cs="仿宋_GB2312"/>
          <w:sz w:val="32"/>
          <w:szCs w:val="32"/>
          <w:highlight w:val="none"/>
          <w:lang w:val="en-US" w:eastAsia="zh-CN"/>
        </w:rPr>
        <w:t>等级为优。</w:t>
      </w:r>
    </w:p>
    <w:p>
      <w:pPr>
        <w:pStyle w:val="5"/>
        <w:rPr>
          <w:rFonts w:hint="default"/>
          <w:highlight w:val="none"/>
          <w:lang w:val="en-US"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填报绩效自评表项目12</w:t>
      </w:r>
      <w:r>
        <w:rPr>
          <w:rFonts w:hint="eastAsia" w:ascii="仿宋_GB2312" w:hAnsi="仿宋_GB2312" w:eastAsia="仿宋_GB2312" w:cs="仿宋_GB2312"/>
          <w:sz w:val="32"/>
          <w:szCs w:val="32"/>
          <w:highlight w:val="none"/>
        </w:rPr>
        <w:t>个</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其中评价等级良及以上的项目有12个.</w:t>
      </w:r>
    </w:p>
    <w:p>
      <w:pPr>
        <w:keepNext w:val="0"/>
        <w:keepLines w:val="0"/>
        <w:pageBreakBefore w:val="0"/>
        <w:widowControl w:val="0"/>
        <w:kinsoku/>
        <w:wordWrap/>
        <w:overflowPunct/>
        <w:topLinePunct w:val="0"/>
        <w:autoSpaceDE/>
        <w:autoSpaceDN/>
        <w:bidi w:val="0"/>
        <w:adjustRightInd/>
        <w:snapToGrid/>
        <w:spacing w:line="600" w:lineRule="exact"/>
        <w:ind w:left="105" w:leftChars="50" w:firstLine="480" w:firstLineChars="150"/>
        <w:textAlignment w:val="auto"/>
        <w:outlineLvl w:val="1"/>
        <w:rPr>
          <w:rFonts w:hint="eastAsia" w:ascii="楷体_GB2312" w:eastAsia="楷体_GB2312"/>
          <w:sz w:val="32"/>
          <w:szCs w:val="32"/>
          <w:highlight w:val="none"/>
        </w:rPr>
      </w:pPr>
      <w:bookmarkStart w:id="20" w:name="_Toc9774"/>
      <w:r>
        <w:rPr>
          <w:rFonts w:hint="eastAsia" w:ascii="楷体_GB2312" w:eastAsia="楷体_GB2312"/>
          <w:sz w:val="32"/>
          <w:szCs w:val="32"/>
        </w:rPr>
        <w:t>（四）</w:t>
      </w:r>
      <w:r>
        <w:rPr>
          <w:rFonts w:hint="eastAsia" w:ascii="楷体_GB2312" w:eastAsia="楷体_GB2312"/>
          <w:sz w:val="32"/>
          <w:szCs w:val="32"/>
          <w:highlight w:val="none"/>
        </w:rPr>
        <w:t>结转结余率</w:t>
      </w:r>
      <w:bookmarkEnd w:id="20"/>
    </w:p>
    <w:p>
      <w:pPr>
        <w:pStyle w:val="5"/>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highlight w:val="none"/>
          <w:lang w:val="en-US" w:eastAsia="zh-CN" w:bidi="ar-SA"/>
        </w:rPr>
        <w:t>2024</w:t>
      </w:r>
      <w:r>
        <w:rPr>
          <w:rFonts w:hint="eastAsia" w:ascii="仿宋_GB2312" w:hAnsi="宋体" w:eastAsia="仿宋_GB2312"/>
          <w:kern w:val="0"/>
          <w:sz w:val="32"/>
          <w:highlight w:val="none"/>
        </w:rPr>
        <w:t>年</w:t>
      </w:r>
      <w:r>
        <w:rPr>
          <w:rFonts w:hint="eastAsia" w:ascii="仿宋_GB2312" w:hAnsi="宋体" w:eastAsia="仿宋_GB2312"/>
          <w:kern w:val="0"/>
          <w:sz w:val="32"/>
          <w:highlight w:val="none"/>
          <w:lang w:eastAsia="zh-CN"/>
        </w:rPr>
        <w:t>，</w:t>
      </w:r>
      <w:r>
        <w:rPr>
          <w:rFonts w:hint="eastAsia" w:ascii="仿宋_GB2312" w:hAnsi="宋体" w:eastAsia="仿宋_GB2312"/>
          <w:kern w:val="0"/>
          <w:sz w:val="32"/>
          <w:highlight w:val="none"/>
          <w:lang w:val="en-US" w:eastAsia="zh-CN"/>
        </w:rPr>
        <w:t>昌平法院</w:t>
      </w:r>
      <w:r>
        <w:rPr>
          <w:rFonts w:hint="eastAsia" w:ascii="仿宋_GB2312" w:hAnsi="宋体" w:eastAsia="仿宋_GB2312"/>
          <w:kern w:val="0"/>
          <w:sz w:val="32"/>
          <w:highlight w:val="none"/>
        </w:rPr>
        <w:t>支出预算数</w:t>
      </w:r>
      <w:r>
        <w:rPr>
          <w:rFonts w:hint="eastAsia" w:ascii="仿宋_GB2312" w:hAnsi="宋体" w:eastAsia="仿宋_GB2312"/>
          <w:kern w:val="0"/>
          <w:sz w:val="32"/>
          <w:highlight w:val="none"/>
          <w:lang w:val="en-US" w:eastAsia="zh-CN"/>
        </w:rPr>
        <w:t>20985.82</w:t>
      </w:r>
      <w:r>
        <w:rPr>
          <w:rFonts w:hint="eastAsia" w:ascii="仿宋_GB2312" w:hAnsi="宋体" w:eastAsia="仿宋_GB2312"/>
          <w:kern w:val="0"/>
          <w:sz w:val="32"/>
          <w:highlight w:val="none"/>
        </w:rPr>
        <w:t>万元，结转结余总额</w:t>
      </w:r>
      <w:r>
        <w:rPr>
          <w:rFonts w:hint="eastAsia" w:ascii="仿宋_GB2312" w:hAnsi="宋体" w:eastAsia="仿宋_GB2312"/>
          <w:kern w:val="0"/>
          <w:sz w:val="32"/>
          <w:highlight w:val="none"/>
          <w:lang w:val="en-US" w:eastAsia="zh-CN"/>
        </w:rPr>
        <w:t>608.28</w:t>
      </w:r>
      <w:r>
        <w:rPr>
          <w:rFonts w:hint="eastAsia" w:ascii="仿宋_GB2312" w:hAnsi="宋体" w:eastAsia="仿宋_GB2312"/>
          <w:kern w:val="0"/>
          <w:sz w:val="32"/>
          <w:highlight w:val="none"/>
        </w:rPr>
        <w:t>万元，结转结余率=结转结余总</w:t>
      </w:r>
      <w:r>
        <w:rPr>
          <w:rFonts w:hint="eastAsia" w:ascii="仿宋_GB2312" w:hAnsi="宋体" w:eastAsia="仿宋_GB2312"/>
          <w:kern w:val="0"/>
          <w:sz w:val="32"/>
        </w:rPr>
        <w:t>额/支出预算数</w:t>
      </w:r>
      <w:r>
        <w:rPr>
          <w:rFonts w:hint="eastAsia" w:ascii="仿宋_GB2312" w:hAnsi="仿宋_GB2312" w:eastAsia="仿宋_GB2312"/>
          <w:sz w:val="32"/>
        </w:rPr>
        <w:t>×100%</w:t>
      </w:r>
      <w:r>
        <w:rPr>
          <w:rFonts w:hint="eastAsia" w:ascii="仿宋_GB2312" w:hAnsi="宋体" w:eastAsia="仿宋_GB2312" w:cs="宋体"/>
          <w:color w:val="000000"/>
          <w:kern w:val="0"/>
          <w:sz w:val="32"/>
          <w:szCs w:val="32"/>
          <w:lang w:val="en-US" w:eastAsia="zh-CN" w:bidi="ar-SA"/>
        </w:rPr>
        <w:t>=2.9%。主要原因为个</w:t>
      </w:r>
      <w:r>
        <w:rPr>
          <w:rFonts w:hint="eastAsia" w:ascii="仿宋_GB2312" w:hAnsi="宋体" w:eastAsia="仿宋_GB2312" w:cs="宋体"/>
          <w:color w:val="000000"/>
          <w:kern w:val="0"/>
          <w:sz w:val="32"/>
          <w:szCs w:val="32"/>
          <w:lang w:val="en-US" w:eastAsia="zh-CN"/>
        </w:rPr>
        <w:t>别项目未实际执行及区财政拨款资金继续结转使用。</w:t>
      </w:r>
    </w:p>
    <w:p>
      <w:pPr>
        <w:keepNext w:val="0"/>
        <w:keepLines w:val="0"/>
        <w:pageBreakBefore w:val="0"/>
        <w:widowControl w:val="0"/>
        <w:kinsoku/>
        <w:wordWrap/>
        <w:overflowPunct/>
        <w:topLinePunct w:val="0"/>
        <w:autoSpaceDE/>
        <w:autoSpaceDN/>
        <w:bidi w:val="0"/>
        <w:adjustRightInd/>
        <w:snapToGrid/>
        <w:spacing w:line="600" w:lineRule="exact"/>
        <w:ind w:left="105" w:leftChars="50" w:firstLine="480" w:firstLineChars="150"/>
        <w:textAlignment w:val="auto"/>
        <w:outlineLvl w:val="1"/>
        <w:rPr>
          <w:rFonts w:hint="default" w:ascii="楷体_GB2312" w:hAnsi="Times New Roman" w:eastAsia="楷体_GB2312" w:cs="Times New Roman"/>
          <w:sz w:val="32"/>
          <w:szCs w:val="32"/>
          <w:lang w:val="en-US" w:eastAsia="zh-CN"/>
        </w:rPr>
      </w:pPr>
      <w:bookmarkStart w:id="21" w:name="_Toc17024"/>
      <w:r>
        <w:rPr>
          <w:rFonts w:hint="eastAsia" w:ascii="楷体_GB2312" w:hAnsi="Times New Roman" w:eastAsia="楷体_GB2312" w:cs="Times New Roman"/>
          <w:sz w:val="32"/>
          <w:szCs w:val="32"/>
          <w:lang w:val="en-US" w:eastAsia="zh-CN"/>
        </w:rPr>
        <w:t>（五）</w:t>
      </w:r>
      <w:r>
        <w:rPr>
          <w:rFonts w:hint="eastAsia" w:ascii="楷体_GB2312" w:eastAsia="楷体_GB2312" w:cs="Times New Roman"/>
          <w:sz w:val="32"/>
          <w:szCs w:val="32"/>
          <w:lang w:val="en-US" w:eastAsia="zh-CN"/>
        </w:rPr>
        <w:t>部门预决算差异率</w:t>
      </w:r>
      <w:bookmarkEnd w:id="21"/>
    </w:p>
    <w:p>
      <w:pPr>
        <w:pStyle w:val="5"/>
        <w:rPr>
          <w:rFonts w:hint="eastAsia" w:eastAsia="仿宋_GB2312"/>
          <w:lang w:val="en-US" w:eastAsia="zh-CN"/>
        </w:rPr>
      </w:pPr>
      <w:r>
        <w:rPr>
          <w:rFonts w:hint="eastAsia" w:ascii="仿宋_GB2312" w:hAnsi="仿宋_GB2312" w:eastAsia="仿宋_GB2312"/>
          <w:sz w:val="32"/>
          <w:highlight w:val="none"/>
        </w:rPr>
        <w:t>20</w:t>
      </w:r>
      <w:r>
        <w:rPr>
          <w:rFonts w:hint="eastAsia" w:ascii="仿宋_GB2312" w:hAnsi="仿宋_GB2312" w:eastAsia="仿宋_GB2312"/>
          <w:sz w:val="32"/>
          <w:highlight w:val="none"/>
          <w:lang w:val="en-US" w:eastAsia="zh-CN"/>
        </w:rPr>
        <w:t>24</w:t>
      </w:r>
      <w:r>
        <w:rPr>
          <w:rFonts w:hint="eastAsia" w:ascii="仿宋_GB2312" w:hAnsi="仿宋_GB2312" w:eastAsia="仿宋_GB2312"/>
          <w:sz w:val="32"/>
          <w:highlight w:val="none"/>
        </w:rPr>
        <w:t>年度</w:t>
      </w:r>
      <w:r>
        <w:rPr>
          <w:rFonts w:hint="eastAsia" w:ascii="仿宋_GB2312" w:hAnsi="仿宋_GB2312" w:eastAsia="仿宋_GB2312"/>
          <w:sz w:val="32"/>
          <w:highlight w:val="none"/>
          <w:lang w:val="en-US" w:eastAsia="zh-CN"/>
        </w:rPr>
        <w:t>预算调整收入资金21594.1万元</w:t>
      </w:r>
      <w:r>
        <w:rPr>
          <w:rFonts w:hint="eastAsia" w:ascii="仿宋_GB2312" w:hAnsi="仿宋_GB2312" w:eastAsia="仿宋_GB2312"/>
          <w:sz w:val="32"/>
          <w:highlight w:val="none"/>
        </w:rPr>
        <w:t>，</w:t>
      </w:r>
      <w:r>
        <w:rPr>
          <w:rFonts w:hint="eastAsia" w:ascii="仿宋_GB2312" w:hAnsi="仿宋_GB2312" w:eastAsia="仿宋_GB2312"/>
          <w:sz w:val="32"/>
          <w:highlight w:val="none"/>
          <w:lang w:val="en-US" w:eastAsia="zh-CN"/>
        </w:rPr>
        <w:t>实际决算支出资金20985.82万元</w:t>
      </w:r>
      <w:r>
        <w:rPr>
          <w:rFonts w:hint="eastAsia" w:ascii="仿宋_GB2312" w:hAnsi="仿宋_GB2312" w:eastAsia="仿宋_GB2312"/>
          <w:sz w:val="32"/>
          <w:highlight w:val="none"/>
        </w:rPr>
        <w:t>，</w:t>
      </w:r>
      <w:r>
        <w:rPr>
          <w:rFonts w:hint="eastAsia" w:ascii="仿宋_GB2312" w:hAnsi="仿宋_GB2312" w:eastAsia="仿宋_GB2312"/>
          <w:sz w:val="32"/>
          <w:highlight w:val="none"/>
          <w:lang w:val="en-US" w:eastAsia="zh-CN"/>
        </w:rPr>
        <w:t>预决算差异率</w:t>
      </w:r>
      <w:r>
        <w:rPr>
          <w:rFonts w:hint="eastAsia" w:ascii="仿宋_GB2312" w:hAnsi="仿宋_GB2312" w:eastAsia="仿宋_GB2312"/>
          <w:sz w:val="32"/>
          <w:highlight w:val="none"/>
        </w:rPr>
        <w:t>=（</w:t>
      </w:r>
      <w:r>
        <w:rPr>
          <w:rFonts w:hint="eastAsia" w:ascii="仿宋_GB2312" w:hAnsi="仿宋_GB2312" w:eastAsia="仿宋_GB2312"/>
          <w:sz w:val="32"/>
          <w:highlight w:val="none"/>
          <w:lang w:val="en-US" w:eastAsia="zh-CN"/>
        </w:rPr>
        <w:t>实际决算支出资金-预算调整支出资金</w:t>
      </w:r>
      <w:r>
        <w:rPr>
          <w:rFonts w:hint="eastAsia" w:ascii="仿宋_GB2312" w:hAnsi="仿宋_GB2312" w:eastAsia="仿宋_GB2312"/>
          <w:sz w:val="32"/>
          <w:highlight w:val="none"/>
        </w:rPr>
        <w:t>）</w:t>
      </w:r>
      <w:r>
        <w:rPr>
          <w:rFonts w:hint="eastAsia" w:ascii="仿宋_GB2312" w:hAnsi="仿宋_GB2312" w:eastAsia="仿宋_GB2312"/>
          <w:sz w:val="32"/>
          <w:highlight w:val="none"/>
          <w:lang w:val="en-US" w:eastAsia="zh-CN"/>
        </w:rPr>
        <w:t>/预算调整收入资</w:t>
      </w:r>
      <w:r>
        <w:rPr>
          <w:rFonts w:hint="eastAsia" w:ascii="仿宋_GB2312" w:hAnsi="仿宋_GB2312" w:eastAsia="仿宋_GB2312"/>
          <w:sz w:val="32"/>
          <w:lang w:val="en-US" w:eastAsia="zh-CN"/>
        </w:rPr>
        <w:t>金</w:t>
      </w:r>
      <w:r>
        <w:rPr>
          <w:rFonts w:hint="eastAsia" w:ascii="仿宋_GB2312" w:hAnsi="仿宋_GB2312" w:eastAsia="仿宋_GB2312"/>
          <w:sz w:val="32"/>
        </w:rPr>
        <w:t>×100%=</w:t>
      </w:r>
      <w:r>
        <w:rPr>
          <w:rFonts w:hint="eastAsia" w:ascii="仿宋_GB2312" w:hAnsi="仿宋_GB2312" w:eastAsia="仿宋_GB2312"/>
          <w:sz w:val="32"/>
          <w:lang w:val="en-US" w:eastAsia="zh-CN"/>
        </w:rPr>
        <w:t>-2.82</w:t>
      </w:r>
      <w:r>
        <w:rPr>
          <w:rFonts w:hint="eastAsia" w:ascii="仿宋_GB2312" w:hAnsi="仿宋_GB2312" w:eastAsia="仿宋_GB2312"/>
          <w:sz w:val="32"/>
        </w:rPr>
        <w:t>%，</w:t>
      </w:r>
      <w:r>
        <w:rPr>
          <w:rFonts w:hint="eastAsia" w:ascii="仿宋_GB2312" w:hAnsi="仿宋_GB2312" w:eastAsia="仿宋_GB2312"/>
          <w:sz w:val="32"/>
          <w:lang w:val="en-US" w:eastAsia="zh-CN"/>
        </w:rPr>
        <w:t>差异率为-2.82</w:t>
      </w:r>
      <w:r>
        <w:rPr>
          <w:rFonts w:hint="eastAsia" w:ascii="仿宋_GB2312" w:hAnsi="仿宋_GB2312" w:eastAsia="仿宋_GB2312"/>
          <w:sz w:val="32"/>
        </w:rPr>
        <w:t>%</w:t>
      </w:r>
      <w:r>
        <w:rPr>
          <w:rFonts w:hint="eastAsia" w:ascii="仿宋_GB2312" w:hAnsi="仿宋_GB2312" w:eastAsia="仿宋_GB2312"/>
          <w:sz w:val="32"/>
          <w:lang w:val="en-US" w:eastAsia="zh-CN"/>
        </w:rPr>
        <w:t>，低于</w:t>
      </w:r>
      <w:r>
        <w:rPr>
          <w:rFonts w:hint="eastAsia" w:ascii="仿宋_GB2312" w:hAnsi="仿宋_GB2312" w:eastAsia="仿宋_GB2312"/>
          <w:sz w:val="32"/>
          <w:highlight w:val="none"/>
          <w:lang w:val="en-US" w:eastAsia="zh-CN"/>
        </w:rPr>
        <w:t>市级平均差异率28.3%，</w:t>
      </w:r>
      <w:r>
        <w:rPr>
          <w:rFonts w:hint="eastAsia" w:ascii="仿宋_GB2312" w:hAnsi="仿宋_GB2312" w:eastAsia="仿宋_GB2312"/>
          <w:sz w:val="32"/>
          <w:lang w:val="en-US" w:eastAsia="zh-CN"/>
        </w:rPr>
        <w:t>说明昌平法院预算支出编制</w:t>
      </w:r>
      <w:r>
        <w:rPr>
          <w:rFonts w:hint="eastAsia" w:ascii="仿宋_GB2312" w:hAnsi="仿宋_GB2312" w:eastAsia="仿宋_GB2312"/>
          <w:sz w:val="32"/>
        </w:rPr>
        <w:t>情况很好</w:t>
      </w:r>
      <w:r>
        <w:rPr>
          <w:rFonts w:hint="eastAsia" w:ascii="仿宋_GB2312" w:hAnsi="仿宋_GB2312" w:eastAsia="仿宋_GB2312"/>
          <w:sz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105" w:leftChars="50" w:firstLine="480" w:firstLineChars="150"/>
        <w:textAlignment w:val="auto"/>
        <w:outlineLvl w:val="0"/>
        <w:rPr>
          <w:rFonts w:ascii="黑体" w:hAnsi="黑体" w:eastAsia="黑体"/>
          <w:sz w:val="32"/>
          <w:szCs w:val="32"/>
        </w:rPr>
      </w:pPr>
      <w:bookmarkStart w:id="22" w:name="_Toc14567"/>
      <w:r>
        <w:rPr>
          <w:rFonts w:hint="eastAsia" w:ascii="黑体" w:hAnsi="黑体" w:eastAsia="黑体"/>
          <w:sz w:val="32"/>
          <w:szCs w:val="32"/>
        </w:rPr>
        <w:t>五、总体</w:t>
      </w:r>
      <w:r>
        <w:rPr>
          <w:rFonts w:ascii="黑体" w:hAnsi="黑体" w:eastAsia="黑体"/>
          <w:sz w:val="32"/>
          <w:szCs w:val="32"/>
        </w:rPr>
        <w:t>评价结论</w:t>
      </w:r>
      <w:bookmarkEnd w:id="22"/>
    </w:p>
    <w:p>
      <w:pPr>
        <w:keepNext w:val="0"/>
        <w:keepLines w:val="0"/>
        <w:pageBreakBefore w:val="0"/>
        <w:widowControl w:val="0"/>
        <w:kinsoku/>
        <w:wordWrap/>
        <w:overflowPunct/>
        <w:topLinePunct w:val="0"/>
        <w:autoSpaceDE/>
        <w:autoSpaceDN/>
        <w:bidi w:val="0"/>
        <w:adjustRightInd/>
        <w:snapToGrid/>
        <w:spacing w:line="600" w:lineRule="exact"/>
        <w:ind w:left="105" w:leftChars="50" w:firstLine="480" w:firstLineChars="150"/>
        <w:textAlignment w:val="auto"/>
        <w:outlineLvl w:val="1"/>
        <w:rPr>
          <w:rFonts w:ascii="楷体_GB2312" w:eastAsia="楷体_GB2312"/>
          <w:sz w:val="32"/>
          <w:szCs w:val="32"/>
        </w:rPr>
      </w:pPr>
      <w:bookmarkStart w:id="23" w:name="_Toc23501"/>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bidi="ar-SA"/>
        </w:rPr>
      </w:pPr>
      <w:r>
        <w:rPr>
          <w:rFonts w:hint="eastAsia" w:ascii="仿宋_GB2312" w:hAnsi="宋体" w:eastAsia="仿宋_GB2312" w:cs="宋体"/>
          <w:color w:val="000000"/>
          <w:kern w:val="0"/>
          <w:sz w:val="32"/>
          <w:szCs w:val="32"/>
          <w:lang w:val="en-US" w:eastAsia="zh-CN" w:bidi="ar-SA"/>
        </w:rPr>
        <w:t>通过开展整体支出绩效评</w:t>
      </w:r>
      <w:r>
        <w:rPr>
          <w:rFonts w:hint="eastAsia" w:ascii="仿宋_GB2312" w:hAnsi="宋体" w:eastAsia="仿宋_GB2312" w:cs="宋体"/>
          <w:color w:val="000000"/>
          <w:kern w:val="0"/>
          <w:sz w:val="32"/>
          <w:szCs w:val="32"/>
          <w:highlight w:val="none"/>
          <w:lang w:val="en-US" w:eastAsia="zh-CN" w:bidi="ar-SA"/>
        </w:rPr>
        <w:t>价，昌平法院综合得分94.4分，部门综合绩效评定结论为“优”，具体评分情况：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bidi="ar-SA"/>
        </w:rPr>
      </w:pPr>
      <w:r>
        <w:rPr>
          <w:rFonts w:hint="eastAsia" w:ascii="仿宋_GB2312" w:hAnsi="宋体" w:eastAsia="仿宋_GB2312" w:cs="宋体"/>
          <w:color w:val="000000"/>
          <w:kern w:val="0"/>
          <w:sz w:val="32"/>
          <w:szCs w:val="32"/>
          <w:highlight w:val="none"/>
          <w:lang w:val="en-US" w:eastAsia="zh-CN" w:bidi="ar-SA"/>
        </w:rPr>
        <w:t>当年预算执行情况。该指标分值20分，评价得分19.4分。预算执行比较到位，基本能够较好的按照预算管理相关制度执行，预算执行率为97.18%，</w:t>
      </w:r>
      <w:r>
        <w:rPr>
          <w:rFonts w:hint="eastAsia" w:ascii="仿宋_GB2312" w:hAnsi="宋体" w:eastAsia="仿宋_GB2312" w:cs="宋体"/>
          <w:color w:val="000000"/>
          <w:kern w:val="0"/>
          <w:sz w:val="32"/>
          <w:szCs w:val="32"/>
          <w:lang w:val="en-US" w:eastAsia="zh-CN" w:bidi="ar-SA"/>
        </w:rPr>
        <w:t>资金总体能够确</w:t>
      </w:r>
      <w:r>
        <w:rPr>
          <w:rFonts w:hint="eastAsia" w:ascii="仿宋_GB2312" w:hAnsi="宋体" w:eastAsia="仿宋_GB2312" w:cs="宋体"/>
          <w:color w:val="000000"/>
          <w:kern w:val="0"/>
          <w:sz w:val="32"/>
          <w:szCs w:val="32"/>
          <w:highlight w:val="none"/>
          <w:lang w:val="en-US" w:eastAsia="zh-CN" w:bidi="ar-SA"/>
        </w:rPr>
        <w:t>保各项工作顺利开展。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bidi="ar-SA"/>
        </w:rPr>
      </w:pPr>
      <w:r>
        <w:rPr>
          <w:rFonts w:hint="eastAsia" w:ascii="仿宋_GB2312" w:hAnsi="宋体" w:eastAsia="仿宋_GB2312" w:cs="宋体"/>
          <w:color w:val="000000"/>
          <w:kern w:val="0"/>
          <w:sz w:val="32"/>
          <w:szCs w:val="32"/>
          <w:highlight w:val="none"/>
          <w:lang w:val="en-US" w:eastAsia="zh-CN" w:bidi="ar-SA"/>
        </w:rPr>
        <w:t>整体绩效目标实现情况。该指标分值60分，评分得分55分。各职能单元产出完成情况较好，职能实现效果明显，服务对</w:t>
      </w:r>
      <w:r>
        <w:rPr>
          <w:rFonts w:hint="eastAsia" w:ascii="仿宋_GB2312" w:hAnsi="宋体" w:eastAsia="仿宋_GB2312" w:cs="宋体"/>
          <w:color w:val="000000"/>
          <w:kern w:val="0"/>
          <w:sz w:val="32"/>
          <w:szCs w:val="32"/>
          <w:lang w:val="en-US" w:eastAsia="zh-CN" w:bidi="ar-SA"/>
        </w:rPr>
        <w:t>象满意度基本达标。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highlight w:val="none"/>
          <w:lang w:val="en-US" w:eastAsia="zh-CN" w:bidi="ar-SA"/>
        </w:rPr>
        <w:t>预算管理情况。该指标分值20分，评分得分20分。财务管理制度健全，</w:t>
      </w:r>
      <w:r>
        <w:rPr>
          <w:rFonts w:hint="eastAsia" w:ascii="仿宋_GB2312" w:hAnsi="宋体" w:eastAsia="仿宋_GB2312" w:cs="宋体"/>
          <w:color w:val="000000"/>
          <w:kern w:val="0"/>
          <w:sz w:val="32"/>
          <w:szCs w:val="32"/>
          <w:lang w:val="en-US" w:eastAsia="zh-CN" w:bidi="ar-SA"/>
        </w:rPr>
        <w:t>立项程序规范，绩效目标明确且与相关政策、职能要求相符；绩效指标与绩效目标、预算匹配度较好；绩效指标全面、合理、完整；</w:t>
      </w:r>
      <w:r>
        <w:rPr>
          <w:rFonts w:hint="eastAsia" w:ascii="仿宋_GB2312" w:hAnsi="宋体" w:eastAsia="仿宋_GB2312" w:cs="宋体"/>
          <w:color w:val="000000"/>
          <w:kern w:val="0"/>
          <w:sz w:val="32"/>
          <w:szCs w:val="32"/>
          <w:highlight w:val="none"/>
          <w:lang w:val="en-US" w:eastAsia="zh-CN" w:bidi="ar-SA"/>
        </w:rPr>
        <w:t>绩效及资产管理较规范。</w:t>
      </w:r>
    </w:p>
    <w:p>
      <w:pPr>
        <w:keepNext w:val="0"/>
        <w:keepLines w:val="0"/>
        <w:pageBreakBefore w:val="0"/>
        <w:widowControl w:val="0"/>
        <w:kinsoku/>
        <w:wordWrap/>
        <w:overflowPunct/>
        <w:topLinePunct w:val="0"/>
        <w:autoSpaceDE/>
        <w:autoSpaceDN/>
        <w:bidi w:val="0"/>
        <w:adjustRightInd/>
        <w:snapToGrid/>
        <w:spacing w:line="600" w:lineRule="exact"/>
        <w:ind w:left="105" w:leftChars="50" w:firstLine="480" w:firstLineChars="150"/>
        <w:textAlignment w:val="auto"/>
        <w:outlineLvl w:val="1"/>
        <w:rPr>
          <w:rFonts w:hint="eastAsia" w:ascii="楷体_GB2312" w:eastAsia="楷体_GB2312"/>
          <w:sz w:val="32"/>
          <w:szCs w:val="32"/>
        </w:rPr>
      </w:pPr>
      <w:bookmarkStart w:id="24" w:name="_Toc26683"/>
      <w:r>
        <w:rPr>
          <w:rFonts w:hint="eastAsia" w:ascii="楷体_GB2312" w:eastAsia="楷体_GB2312"/>
          <w:sz w:val="32"/>
          <w:szCs w:val="32"/>
        </w:rPr>
        <w:t>（二）存在的问题及原因分析</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存在问题：一是预算编制工作有待细化。预算编制不够明确和细化，预算编制的合理性需要提高，预算控制能力与政府采购执行力还有待加强；二是指标设置科学性有待提高。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加强相关工作人员绩效目标管理业务知识的学习培训，进一步改进和完善指标设置，逐步建立更科学、更具指向性、可量化的指标体系。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仿宋_GB2312" w:hAnsi="宋体" w:eastAsia="仿宋_GB2312" w:cs="宋体"/>
          <w:color w:val="000000"/>
          <w:kern w:val="0"/>
          <w:sz w:val="32"/>
          <w:szCs w:val="32"/>
        </w:rPr>
      </w:pPr>
      <w:bookmarkStart w:id="25" w:name="_Toc3396"/>
      <w:r>
        <w:rPr>
          <w:rFonts w:hint="eastAsia" w:ascii="黑体" w:hAnsi="黑体" w:eastAsia="黑体" w:cs="宋体"/>
          <w:color w:val="000000"/>
          <w:kern w:val="0"/>
          <w:sz w:val="32"/>
          <w:szCs w:val="32"/>
        </w:rPr>
        <w:t>六、措施建议</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bidi="ar-SA"/>
        </w:rPr>
      </w:pPr>
      <w:bookmarkStart w:id="26" w:name="_Toc540"/>
      <w:r>
        <w:rPr>
          <w:rFonts w:hint="eastAsia" w:ascii="仿宋_GB2312" w:hAnsi="宋体" w:eastAsia="仿宋_GB2312" w:cs="宋体"/>
          <w:color w:val="000000"/>
          <w:kern w:val="0"/>
          <w:sz w:val="32"/>
          <w:szCs w:val="32"/>
          <w:lang w:val="en-US" w:eastAsia="zh-CN" w:bidi="ar-SA"/>
        </w:rPr>
        <w:t>1.进一步加强预算管理，提高绩效目标有效性。</w:t>
      </w:r>
      <w:bookmarkEnd w:id="2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按照预算管理的要求，在预算编制过程中，结合本单位的发展规划与目标，总结上一年度预算执行情况，合理编制当年预算，在预算执行过程中，有效地制定和实施监督检查制度，保障绩效目标顺利实现。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bidi="ar-SA"/>
        </w:rPr>
      </w:pPr>
      <w:bookmarkStart w:id="27" w:name="_Toc28393"/>
      <w:r>
        <w:rPr>
          <w:rFonts w:hint="eastAsia" w:ascii="仿宋_GB2312" w:hAnsi="宋体" w:eastAsia="仿宋_GB2312" w:cs="宋体"/>
          <w:color w:val="000000"/>
          <w:kern w:val="0"/>
          <w:sz w:val="32"/>
          <w:szCs w:val="32"/>
          <w:lang w:val="en-US" w:eastAsia="zh-CN" w:bidi="ar-SA"/>
        </w:rPr>
        <w:t>2.完善绩效目标与指标的设置，增强指标的科学性。</w:t>
      </w:r>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提高绩效管理水平，提高项目绩效指标设定的科学性和关联性。结合项目自身特点，科学合理的设定绩效目标和指标值，设定的绩效指标应细化、量化，并具有可衡量性，发挥绩效目标在项目管理中的引导作用。</w:t>
      </w:r>
    </w:p>
    <w:p>
      <w:pPr>
        <w:jc w:val="left"/>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黑体" w:hAnsi="黑体" w:eastAsia="黑体" w:cs="宋体"/>
          <w:color w:val="000000"/>
          <w:kern w:val="0"/>
          <w:sz w:val="32"/>
          <w:szCs w:val="32"/>
          <w:lang w:val="en-US" w:eastAsia="zh-CN"/>
        </w:rPr>
      </w:pPr>
      <w:bookmarkStart w:id="28" w:name="_Toc8439"/>
      <w:r>
        <w:rPr>
          <w:rFonts w:hint="eastAsia" w:ascii="黑体" w:hAnsi="黑体" w:eastAsia="黑体" w:cs="宋体"/>
          <w:color w:val="000000"/>
          <w:kern w:val="0"/>
          <w:sz w:val="32"/>
          <w:szCs w:val="32"/>
          <w:lang w:val="en-US" w:eastAsia="zh-CN"/>
        </w:rPr>
        <w:t>七、其他</w:t>
      </w:r>
      <w:bookmarkEnd w:id="28"/>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附件</w:t>
      </w:r>
      <w:r>
        <w:rPr>
          <w:rFonts w:hint="eastAsia" w:ascii="仿宋_GB2312" w:hAnsi="宋体" w:eastAsia="仿宋_GB2312" w:cs="宋体"/>
          <w:color w:val="000000"/>
          <w:kern w:val="0"/>
          <w:sz w:val="32"/>
          <w:szCs w:val="32"/>
        </w:rPr>
        <w:t>1.部门收入支出情况决算表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附件</w:t>
      </w:r>
      <w:r>
        <w:rPr>
          <w:rFonts w:hint="eastAsia" w:ascii="仿宋_GB2312" w:hAnsi="宋体" w:eastAsia="仿宋_GB2312" w:cs="宋体"/>
          <w:color w:val="000000"/>
          <w:kern w:val="0"/>
          <w:sz w:val="32"/>
          <w:szCs w:val="32"/>
        </w:rPr>
        <w:t>2.部门绩效目标完成情况对比表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附件</w:t>
      </w:r>
      <w:r>
        <w:rPr>
          <w:rFonts w:hint="eastAsia" w:ascii="仿宋_GB2312" w:hAnsi="宋体" w:eastAsia="仿宋_GB2312" w:cs="宋体"/>
          <w:color w:val="000000"/>
          <w:kern w:val="0"/>
          <w:sz w:val="32"/>
          <w:szCs w:val="32"/>
        </w:rPr>
        <w:t>3.部门整体支出绩效评价指标体系</w:t>
      </w:r>
      <w:r>
        <w:rPr>
          <w:rFonts w:hint="eastAsia" w:ascii="仿宋_GB2312" w:hAnsi="宋体" w:eastAsia="仿宋_GB2312" w:cs="宋体"/>
          <w:color w:val="000000"/>
          <w:kern w:val="0"/>
          <w:sz w:val="32"/>
          <w:szCs w:val="32"/>
          <w:lang w:val="en-US" w:eastAsia="zh-CN"/>
        </w:rPr>
        <w:t>评分</w:t>
      </w:r>
      <w:r>
        <w:rPr>
          <w:rFonts w:hint="eastAsia" w:ascii="仿宋_GB2312" w:hAnsi="宋体" w:eastAsia="仿宋_GB2312" w:cs="宋体"/>
          <w:color w:val="000000"/>
          <w:kern w:val="0"/>
          <w:sz w:val="32"/>
          <w:szCs w:val="32"/>
        </w:rPr>
        <w:t>表</w:t>
      </w:r>
    </w:p>
    <w:p>
      <w:pPr>
        <w:spacing w:line="600" w:lineRule="exact"/>
        <w:ind w:firstLine="640" w:firstLineChars="200"/>
        <w:rPr>
          <w:rFonts w:hint="eastAsia" w:ascii="仿宋_GB2312" w:hAnsi="宋体" w:eastAsia="仿宋_GB2312" w:cs="宋体"/>
          <w:color w:val="000000"/>
          <w:kern w:val="0"/>
          <w:sz w:val="32"/>
          <w:szCs w:val="32"/>
        </w:rPr>
        <w:sectPr>
          <w:footerReference r:id="rId3"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outlineLvl w:val="1"/>
        <w:rPr>
          <w:rFonts w:hint="eastAsia" w:ascii="宋体" w:hAnsi="宋体" w:eastAsia="宋体" w:cs="宋体"/>
          <w:i w:val="0"/>
          <w:iCs w:val="0"/>
          <w:color w:val="000000"/>
          <w:kern w:val="0"/>
          <w:sz w:val="24"/>
          <w:szCs w:val="24"/>
          <w:u w:val="none"/>
          <w:lang w:val="en-US" w:eastAsia="zh-CN" w:bidi="ar"/>
        </w:rPr>
      </w:pPr>
      <w:bookmarkStart w:id="29" w:name="_Toc21024"/>
      <w:r>
        <w:rPr>
          <w:rFonts w:hint="eastAsia" w:ascii="仿宋_GB2312" w:hAnsi="宋体" w:eastAsia="仿宋_GB2312" w:cs="宋体"/>
          <w:color w:val="000000"/>
          <w:kern w:val="0"/>
          <w:sz w:val="32"/>
          <w:szCs w:val="32"/>
          <w:lang w:val="en-US" w:eastAsia="zh-CN"/>
        </w:rPr>
        <w:t>附件1：部门收入支出决算总表</w:t>
      </w:r>
      <w:bookmarkEnd w:id="29"/>
    </w:p>
    <w:p>
      <w:pPr>
        <w:spacing w:line="600" w:lineRule="exact"/>
        <w:ind w:left="105" w:leftChars="50" w:firstLine="360" w:firstLineChars="150"/>
        <w:rPr>
          <w:rFonts w:hint="default" w:ascii="仿宋_GB2312" w:hAnsi="宋体" w:eastAsia="仿宋_GB2312" w:cs="宋体"/>
          <w:color w:val="000000"/>
          <w:kern w:val="0"/>
          <w:sz w:val="32"/>
          <w:szCs w:val="32"/>
          <w:lang w:val="en-US" w:eastAsia="zh-CN"/>
        </w:rPr>
      </w:pPr>
      <w:r>
        <w:rPr>
          <w:rFonts w:hint="eastAsia" w:ascii="宋体" w:hAnsi="宋体" w:cs="宋体"/>
          <w:i w:val="0"/>
          <w:iCs w:val="0"/>
          <w:color w:val="000000"/>
          <w:kern w:val="0"/>
          <w:sz w:val="24"/>
          <w:szCs w:val="24"/>
          <w:u w:val="none"/>
          <w:lang w:val="en-US" w:eastAsia="zh-CN" w:bidi="ar"/>
        </w:rPr>
        <w:t>部门名称</w:t>
      </w:r>
      <w:r>
        <w:rPr>
          <w:rFonts w:hint="eastAsia" w:ascii="宋体" w:hAnsi="宋体" w:eastAsia="宋体" w:cs="宋体"/>
          <w:i w:val="0"/>
          <w:iCs w:val="0"/>
          <w:color w:val="000000"/>
          <w:kern w:val="0"/>
          <w:sz w:val="24"/>
          <w:szCs w:val="24"/>
          <w:u w:val="none"/>
          <w:lang w:val="en-US" w:eastAsia="zh-CN" w:bidi="ar"/>
        </w:rPr>
        <w:t>：北京市昌平区人民法院</w:t>
      </w:r>
      <w:r>
        <w:rPr>
          <w:rFonts w:hint="eastAsia" w:ascii="宋体" w:hAnsi="宋体" w:cs="宋体"/>
          <w:i w:val="0"/>
          <w:iCs w:val="0"/>
          <w:color w:val="000000"/>
          <w:kern w:val="0"/>
          <w:sz w:val="24"/>
          <w:szCs w:val="24"/>
          <w:u w:val="none"/>
          <w:lang w:val="en-US" w:eastAsia="zh-CN" w:bidi="ar"/>
        </w:rPr>
        <w:t xml:space="preserve">                   年度：2024年度                                    金额单位：元</w:t>
      </w:r>
    </w:p>
    <w:tbl>
      <w:tblPr>
        <w:tblStyle w:val="12"/>
        <w:tblW w:w="144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842"/>
        <w:gridCol w:w="540"/>
        <w:gridCol w:w="1758"/>
        <w:gridCol w:w="2062"/>
        <w:gridCol w:w="598"/>
        <w:gridCol w:w="1780"/>
        <w:gridCol w:w="2200"/>
        <w:gridCol w:w="542"/>
        <w:gridCol w:w="21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295" w:hRule="atLeast"/>
          <w:tblHeader/>
        </w:trPr>
        <w:tc>
          <w:tcPr>
            <w:tcW w:w="5140"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收入</w:t>
            </w:r>
          </w:p>
        </w:tc>
        <w:tc>
          <w:tcPr>
            <w:tcW w:w="9300" w:type="dxa"/>
            <w:gridSpan w:val="6"/>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75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项目(按功能分类)</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项目(按支出性质和经济分类)</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40" w:type="dxa"/>
            <w:tcBorders>
              <w:top w:val="nil"/>
              <w:left w:val="nil"/>
              <w:bottom w:val="single" w:color="000000" w:sz="8" w:space="0"/>
              <w:right w:val="single" w:color="000000" w:sz="8"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175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98" w:type="dxa"/>
            <w:tcBorders>
              <w:top w:val="nil"/>
              <w:left w:val="nil"/>
              <w:bottom w:val="single" w:color="000000" w:sz="8" w:space="0"/>
              <w:right w:val="single" w:color="000000" w:sz="8"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42" w:type="dxa"/>
            <w:tcBorders>
              <w:top w:val="nil"/>
              <w:left w:val="nil"/>
              <w:bottom w:val="single" w:color="000000" w:sz="8" w:space="0"/>
              <w:right w:val="single" w:color="000000" w:sz="8" w:space="0"/>
            </w:tcBorders>
            <w:shd w:val="clear" w:color="auto" w:fill="auto"/>
            <w:noWrap/>
            <w:vAlign w:val="bottom"/>
          </w:tcPr>
          <w:p>
            <w:pPr>
              <w:jc w:val="center"/>
              <w:rPr>
                <w:rFonts w:hint="eastAsia" w:ascii="宋体" w:hAnsi="宋体" w:eastAsia="宋体" w:cs="宋体"/>
                <w:i w:val="0"/>
                <w:iCs w:val="0"/>
                <w:color w:val="000000"/>
                <w:sz w:val="22"/>
                <w:szCs w:val="22"/>
                <w:u w:val="none"/>
              </w:rPr>
            </w:pP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一、一般公共预算财政拨款收入</w:t>
            </w: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75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0"/>
                <w:szCs w:val="20"/>
                <w:u w:val="none"/>
                <w:lang w:val="en-US" w:eastAsia="zh-CN" w:bidi="ar"/>
              </w:rPr>
              <w:t>20</w:t>
            </w:r>
            <w:r>
              <w:rPr>
                <w:rFonts w:hint="eastAsia" w:ascii="宋体" w:hAnsi="宋体" w:cs="宋体"/>
                <w:i w:val="0"/>
                <w:color w:val="000000"/>
                <w:kern w:val="0"/>
                <w:sz w:val="20"/>
                <w:szCs w:val="20"/>
                <w:u w:val="none"/>
                <w:lang w:val="en-US" w:eastAsia="zh-CN" w:bidi="ar"/>
              </w:rPr>
              <w:t>5038752</w:t>
            </w:r>
            <w:r>
              <w:rPr>
                <w:rFonts w:hint="eastAsia"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3</w:t>
            </w: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一、基本支出</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rPr>
              <w:t>168094829.21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二、政府性基金预算财政拨款收入</w:t>
            </w: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75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w:t>
            </w:r>
            <w:r>
              <w:rPr>
                <w:rStyle w:val="16"/>
                <w:lang w:val="en-US" w:eastAsia="zh-CN" w:bidi="ar"/>
              </w:rPr>
              <w:t>人员经费</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rPr>
              <w:t>141673067.65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三、国有资本经营预算财政拨款收入</w:t>
            </w: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75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w:t>
            </w:r>
            <w:r>
              <w:rPr>
                <w:rStyle w:val="16"/>
                <w:lang w:val="en-US" w:eastAsia="zh-CN" w:bidi="ar"/>
              </w:rPr>
              <w:t>公用经费</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rPr>
              <w:t>26421761.56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四、上级补助收入</w:t>
            </w: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75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0"/>
                <w:szCs w:val="20"/>
                <w:u w:val="none"/>
                <w:lang w:val="en-US" w:eastAsia="zh-CN" w:bidi="ar"/>
              </w:rPr>
              <w:t>188,117,477.97</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二、项目支出</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rPr>
              <w:t>41763415.73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五、事业收入</w:t>
            </w: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75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57,000.00</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w:t>
            </w:r>
            <w:r>
              <w:rPr>
                <w:rStyle w:val="16"/>
                <w:lang w:val="en-US" w:eastAsia="zh-CN" w:bidi="ar"/>
              </w:rPr>
              <w:t>其中：基本建设类项目</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六、经营收入</w:t>
            </w: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75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三、上缴上级支出</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七、附属单位上缴收入</w:t>
            </w: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75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四、经营支出</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八、其他收入</w:t>
            </w: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75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color w:val="000000"/>
                <w:kern w:val="0"/>
                <w:sz w:val="20"/>
                <w:szCs w:val="20"/>
                <w:u w:val="none"/>
                <w:lang w:val="en-US" w:eastAsia="zh-CN" w:bidi="ar"/>
              </w:rPr>
              <w:t>4956844.3</w:t>
            </w: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11,952,125.76</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五、对附属单位补助支出</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9,731,641.21</w:t>
            </w:r>
          </w:p>
        </w:tc>
        <w:tc>
          <w:tcPr>
            <w:tcW w:w="2200"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w:t>
            </w:r>
          </w:p>
        </w:tc>
        <w:tc>
          <w:tcPr>
            <w:tcW w:w="2118" w:type="dxa"/>
            <w:tcBorders>
              <w:top w:val="nil"/>
              <w:left w:val="nil"/>
              <w:bottom w:val="single" w:color="000000" w:sz="8" w:space="0"/>
              <w:right w:val="single" w:color="000000" w:sz="8"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c>
          <w:tcPr>
            <w:tcW w:w="2200"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w:t>
            </w:r>
          </w:p>
        </w:tc>
        <w:tc>
          <w:tcPr>
            <w:tcW w:w="2118" w:type="dxa"/>
            <w:tcBorders>
              <w:top w:val="nil"/>
              <w:left w:val="nil"/>
              <w:bottom w:val="single" w:color="000000" w:sz="8" w:space="0"/>
              <w:right w:val="single" w:color="000000" w:sz="8"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2592898.36</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经济分类支出合计</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rPr>
              <w:t>209,858,244.94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一、工资福利支出</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rPr>
              <w:t>145,684,934.68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二、商品和服务支出</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rPr>
              <w:t>56,518,635.06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三、对个人和家庭的补助</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825,522.00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四、债务利息及费用支出</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五、资本性支出（基本建设）</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w:t>
            </w:r>
          </w:p>
        </w:tc>
        <w:tc>
          <w:tcPr>
            <w:tcW w:w="2118" w:type="dxa"/>
            <w:tcBorders>
              <w:top w:val="nil"/>
              <w:left w:val="nil"/>
              <w:bottom w:val="single" w:color="000000" w:sz="8" w:space="0"/>
              <w:right w:val="single" w:color="000000" w:sz="8" w:space="0"/>
            </w:tcBorders>
            <w:shd w:val="clear" w:color="auto" w:fill="auto"/>
            <w:noWrap/>
            <w:vAlign w:val="center"/>
          </w:tcPr>
          <w:tbl>
            <w:tblPr>
              <w:tblStyle w:val="12"/>
              <w:tblW w:w="211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5" w:hRule="atLeast"/>
              </w:trPr>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r>
          </w:tbl>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六、资本性支出</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rPr>
              <w:t>6,829,153.20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bookmarkStart w:id="30" w:name="OLE_LINK7" w:colFirst="8" w:colLast="8"/>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七、对企业补助（基本建设）</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r>
      <w:bookmarkEnd w:id="30"/>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八、对企业补助</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九、对社会保障基金补助</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0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十、其他支出</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00"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w:t>
            </w:r>
          </w:p>
        </w:tc>
        <w:tc>
          <w:tcPr>
            <w:tcW w:w="211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00"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211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00"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w:t>
            </w:r>
          </w:p>
        </w:tc>
        <w:tc>
          <w:tcPr>
            <w:tcW w:w="211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00"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w:t>
            </w:r>
          </w:p>
        </w:tc>
        <w:tc>
          <w:tcPr>
            <w:tcW w:w="211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75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c>
          <w:tcPr>
            <w:tcW w:w="206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598"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78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200"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w:t>
            </w:r>
          </w:p>
        </w:tc>
        <w:tc>
          <w:tcPr>
            <w:tcW w:w="2118" w:type="dxa"/>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842"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75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0"/>
                <w:szCs w:val="20"/>
                <w:u w:val="none"/>
                <w:lang w:val="en-US" w:eastAsia="zh-CN" w:bidi="ar"/>
              </w:rPr>
              <w:t>209,995,596.60</w:t>
            </w:r>
          </w:p>
        </w:tc>
        <w:tc>
          <w:tcPr>
            <w:tcW w:w="6640" w:type="dxa"/>
            <w:gridSpan w:val="4"/>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209,858,244.94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842"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w:t>
            </w:r>
            <w:r>
              <w:rPr>
                <w:rStyle w:val="16"/>
                <w:lang w:val="en-US" w:eastAsia="zh-CN" w:bidi="ar"/>
              </w:rPr>
              <w:t>使用非财政拨款结余</w:t>
            </w: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75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w:t>
            </w:r>
          </w:p>
        </w:tc>
        <w:tc>
          <w:tcPr>
            <w:tcW w:w="6640" w:type="dxa"/>
            <w:gridSpan w:val="4"/>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w:t>
            </w:r>
            <w:r>
              <w:rPr>
                <w:rStyle w:val="16"/>
                <w:lang w:val="en-US" w:eastAsia="zh-CN" w:bidi="ar"/>
              </w:rPr>
              <w:t>结余分配</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2842"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w:t>
            </w:r>
            <w:r>
              <w:rPr>
                <w:rStyle w:val="16"/>
                <w:lang w:val="en-US" w:eastAsia="zh-CN" w:bidi="ar"/>
              </w:rPr>
              <w:t>年初结转和结余</w:t>
            </w: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75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0"/>
                <w:szCs w:val="20"/>
                <w:u w:val="none"/>
                <w:lang w:val="en-US" w:eastAsia="zh-CN" w:bidi="ar"/>
              </w:rPr>
              <w:t>5,945,428.41</w:t>
            </w:r>
          </w:p>
        </w:tc>
        <w:tc>
          <w:tcPr>
            <w:tcW w:w="6640" w:type="dxa"/>
            <w:gridSpan w:val="4"/>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w:t>
            </w:r>
            <w:r>
              <w:rPr>
                <w:rStyle w:val="16"/>
                <w:lang w:val="en-US" w:eastAsia="zh-CN" w:bidi="ar"/>
              </w:rPr>
              <w:t>年末结转和结余</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rPr>
              <w:t>6,082,780.07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758" w:type="dxa"/>
            <w:tcBorders>
              <w:top w:val="nil"/>
              <w:left w:val="nil"/>
              <w:bottom w:val="single" w:color="000000" w:sz="8" w:space="0"/>
              <w:right w:val="single" w:color="000000" w:sz="8"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6640" w:type="dxa"/>
            <w:gridSpan w:val="4"/>
            <w:tcBorders>
              <w:top w:val="nil"/>
              <w:left w:val="nil"/>
              <w:bottom w:val="single" w:color="000000" w:sz="8" w:space="0"/>
              <w:right w:val="single" w:color="000000" w:sz="8"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jc w:val="left"/>
              <w:rPr>
                <w:rFonts w:hint="eastAsia" w:ascii="宋体" w:hAnsi="宋体" w:eastAsia="宋体" w:cs="宋体"/>
                <w:i w:val="0"/>
                <w:iCs w:val="0"/>
                <w:color w:val="000000"/>
                <w:sz w:val="22"/>
                <w:szCs w:val="22"/>
                <w:u w:val="none"/>
              </w:rPr>
            </w:pP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w:t>
            </w:r>
          </w:p>
        </w:tc>
        <w:tc>
          <w:tcPr>
            <w:tcW w:w="2118" w:type="dxa"/>
            <w:tcBorders>
              <w:top w:val="nil"/>
              <w:left w:val="nil"/>
              <w:bottom w:val="single" w:color="000000" w:sz="8" w:space="0"/>
              <w:right w:val="single" w:color="000000" w:sz="8"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2842"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540"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75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20"/>
                <w:szCs w:val="20"/>
                <w:u w:val="none"/>
                <w:lang w:val="en-US" w:eastAsia="zh-CN" w:bidi="ar"/>
              </w:rPr>
              <w:t>215,941,025.01</w:t>
            </w:r>
          </w:p>
        </w:tc>
        <w:tc>
          <w:tcPr>
            <w:tcW w:w="6640" w:type="dxa"/>
            <w:gridSpan w:val="4"/>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542"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w:t>
            </w:r>
          </w:p>
        </w:tc>
        <w:tc>
          <w:tcPr>
            <w:tcW w:w="211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rPr>
              <w:t>215,941,025.01</w:t>
            </w:r>
          </w:p>
        </w:tc>
      </w:tr>
    </w:tbl>
    <w:p>
      <w:pPr>
        <w:spacing w:line="600" w:lineRule="exact"/>
        <w:ind w:firstLine="420" w:firstLineChars="200"/>
        <w:sectPr>
          <w:pgSz w:w="16838" w:h="11906" w:orient="landscape"/>
          <w:pgMar w:top="1236" w:right="1440" w:bottom="1236" w:left="1440"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outlineLvl w:val="1"/>
        <w:rPr>
          <w:rFonts w:hint="eastAsia" w:ascii="仿宋_GB2312" w:hAnsi="宋体" w:eastAsia="仿宋_GB2312" w:cs="宋体"/>
          <w:color w:val="000000"/>
          <w:kern w:val="0"/>
          <w:sz w:val="32"/>
          <w:szCs w:val="32"/>
          <w:lang w:val="en-US" w:eastAsia="zh-CN"/>
        </w:rPr>
      </w:pPr>
      <w:bookmarkStart w:id="31" w:name="_Toc5788"/>
      <w:r>
        <w:rPr>
          <w:rFonts w:hint="eastAsia" w:ascii="仿宋_GB2312" w:hAnsi="宋体" w:eastAsia="仿宋_GB2312" w:cs="宋体"/>
          <w:color w:val="000000"/>
          <w:kern w:val="0"/>
          <w:sz w:val="32"/>
          <w:szCs w:val="32"/>
          <w:lang w:val="en-US" w:eastAsia="zh-CN"/>
        </w:rPr>
        <w:t>附件2：部门整体支出绩效目标完成情况对比表</w:t>
      </w:r>
      <w:bookmarkEnd w:id="31"/>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left"/>
        <w:textAlignment w:val="auto"/>
        <w:rPr>
          <w:rFonts w:hint="eastAsia" w:asciiTheme="majorEastAsia" w:hAnsiTheme="majorEastAsia" w:eastAsiaTheme="majorEastAsia" w:cstheme="majorEastAsia"/>
          <w:color w:val="000000"/>
          <w:kern w:val="0"/>
          <w:sz w:val="24"/>
          <w:szCs w:val="24"/>
          <w:lang w:val="en-US" w:eastAsia="zh-CN"/>
        </w:rPr>
      </w:pPr>
      <w:r>
        <w:rPr>
          <w:rFonts w:hint="eastAsia" w:asciiTheme="majorEastAsia" w:hAnsiTheme="majorEastAsia" w:eastAsiaTheme="majorEastAsia" w:cstheme="majorEastAsia"/>
          <w:color w:val="000000"/>
          <w:kern w:val="0"/>
          <w:sz w:val="24"/>
          <w:szCs w:val="24"/>
          <w:lang w:val="en-US" w:eastAsia="zh-CN"/>
        </w:rPr>
        <w:t>部门名称：北京市昌平区人民法院</w:t>
      </w:r>
    </w:p>
    <w:tbl>
      <w:tblPr>
        <w:tblStyle w:val="12"/>
        <w:tblW w:w="8999" w:type="dxa"/>
        <w:jc w:val="center"/>
        <w:tblLayout w:type="fixed"/>
        <w:tblCellMar>
          <w:top w:w="0" w:type="dxa"/>
          <w:left w:w="30" w:type="dxa"/>
          <w:bottom w:w="0" w:type="dxa"/>
          <w:right w:w="30" w:type="dxa"/>
        </w:tblCellMar>
      </w:tblPr>
      <w:tblGrid>
        <w:gridCol w:w="750"/>
        <w:gridCol w:w="1491"/>
        <w:gridCol w:w="3661"/>
        <w:gridCol w:w="3097"/>
      </w:tblGrid>
      <w:tr>
        <w:tblPrEx>
          <w:tblCellMar>
            <w:top w:w="0" w:type="dxa"/>
            <w:left w:w="30" w:type="dxa"/>
            <w:bottom w:w="0" w:type="dxa"/>
            <w:right w:w="30" w:type="dxa"/>
          </w:tblCellMar>
        </w:tblPrEx>
        <w:trPr>
          <w:trHeight w:val="400" w:hRule="atLeast"/>
          <w:jc w:val="center"/>
        </w:trPr>
        <w:tc>
          <w:tcPr>
            <w:tcW w:w="2241" w:type="dxa"/>
            <w:gridSpan w:val="2"/>
            <w:tcBorders>
              <w:top w:val="single" w:color="auto" w:sz="4" w:space="0"/>
              <w:left w:val="single" w:color="auto" w:sz="6" w:space="0"/>
              <w:bottom w:val="single" w:color="auto" w:sz="6" w:space="0"/>
              <w:right w:val="single" w:color="auto" w:sz="6" w:space="0"/>
            </w:tcBorders>
            <w:shd w:val="clear" w:color="auto" w:fill="E7E6E6" w:themeFill="background2"/>
            <w:vAlign w:val="center"/>
          </w:tcPr>
          <w:p>
            <w:pPr>
              <w:autoSpaceDE w:val="0"/>
              <w:autoSpaceDN w:val="0"/>
              <w:adjustRightInd w:val="0"/>
              <w:spacing w:line="240" w:lineRule="auto"/>
              <w:ind w:firstLine="0" w:firstLineChars="0"/>
              <w:jc w:val="center"/>
              <w:rPr>
                <w:rFonts w:ascii="Arial Narrow" w:hAnsi="Arial Narrow" w:cs="宋体"/>
                <w:b/>
                <w:color w:val="000000"/>
                <w:kern w:val="0"/>
                <w:sz w:val="21"/>
                <w:szCs w:val="21"/>
              </w:rPr>
            </w:pPr>
            <w:r>
              <w:rPr>
                <w:rFonts w:hint="eastAsia" w:ascii="Arial Narrow" w:hAnsi="Arial Narrow" w:cs="宋体"/>
                <w:b/>
                <w:color w:val="000000"/>
                <w:kern w:val="0"/>
                <w:sz w:val="21"/>
                <w:szCs w:val="21"/>
              </w:rPr>
              <w:t>指标内容</w:t>
            </w:r>
          </w:p>
        </w:tc>
        <w:tc>
          <w:tcPr>
            <w:tcW w:w="3661" w:type="dxa"/>
            <w:tcBorders>
              <w:top w:val="single" w:color="auto" w:sz="4" w:space="0"/>
              <w:left w:val="single" w:color="auto" w:sz="6" w:space="0"/>
              <w:bottom w:val="single" w:color="auto" w:sz="6" w:space="0"/>
              <w:right w:val="single" w:color="auto" w:sz="6" w:space="0"/>
            </w:tcBorders>
            <w:shd w:val="clear" w:color="auto" w:fill="E7E6E6" w:themeFill="background2"/>
            <w:vAlign w:val="center"/>
          </w:tcPr>
          <w:p>
            <w:pPr>
              <w:autoSpaceDE w:val="0"/>
              <w:autoSpaceDN w:val="0"/>
              <w:adjustRightInd w:val="0"/>
              <w:spacing w:line="240" w:lineRule="auto"/>
              <w:ind w:firstLine="0" w:firstLineChars="0"/>
              <w:jc w:val="center"/>
              <w:rPr>
                <w:rFonts w:ascii="Arial Narrow" w:hAnsi="Arial Narrow" w:cs="宋体"/>
                <w:b/>
                <w:color w:val="000000"/>
                <w:kern w:val="0"/>
                <w:sz w:val="21"/>
                <w:szCs w:val="21"/>
              </w:rPr>
            </w:pPr>
            <w:r>
              <w:rPr>
                <w:rFonts w:hint="eastAsia" w:ascii="Arial Narrow" w:hAnsi="Arial Narrow" w:cs="宋体"/>
                <w:b/>
                <w:color w:val="000000"/>
                <w:kern w:val="0"/>
                <w:sz w:val="21"/>
                <w:szCs w:val="21"/>
              </w:rPr>
              <w:t>计划内容</w:t>
            </w:r>
          </w:p>
        </w:tc>
        <w:tc>
          <w:tcPr>
            <w:tcW w:w="3097" w:type="dxa"/>
            <w:tcBorders>
              <w:top w:val="single" w:color="auto" w:sz="4" w:space="0"/>
              <w:left w:val="single" w:color="auto" w:sz="6" w:space="0"/>
              <w:bottom w:val="single" w:color="auto" w:sz="6" w:space="0"/>
              <w:right w:val="single" w:color="auto" w:sz="6" w:space="0"/>
            </w:tcBorders>
            <w:shd w:val="clear" w:color="auto" w:fill="E7E6E6" w:themeFill="background2"/>
            <w:vAlign w:val="center"/>
          </w:tcPr>
          <w:p>
            <w:pPr>
              <w:autoSpaceDE w:val="0"/>
              <w:autoSpaceDN w:val="0"/>
              <w:adjustRightInd w:val="0"/>
              <w:spacing w:line="240" w:lineRule="auto"/>
              <w:ind w:firstLine="0" w:firstLineChars="0"/>
              <w:jc w:val="center"/>
              <w:rPr>
                <w:rFonts w:ascii="Arial Narrow" w:hAnsi="Arial Narrow" w:cs="宋体"/>
                <w:b/>
                <w:color w:val="000000"/>
                <w:kern w:val="0"/>
                <w:sz w:val="21"/>
                <w:szCs w:val="21"/>
              </w:rPr>
            </w:pPr>
            <w:r>
              <w:rPr>
                <w:rFonts w:hint="eastAsia" w:ascii="Arial Narrow" w:hAnsi="Arial Narrow" w:cs="宋体"/>
                <w:b/>
                <w:color w:val="000000"/>
                <w:kern w:val="0"/>
                <w:sz w:val="21"/>
                <w:szCs w:val="21"/>
              </w:rPr>
              <w:t>实际完成情况</w:t>
            </w:r>
          </w:p>
        </w:tc>
      </w:tr>
      <w:tr>
        <w:tblPrEx>
          <w:tblCellMar>
            <w:top w:w="0" w:type="dxa"/>
            <w:left w:w="30" w:type="dxa"/>
            <w:bottom w:w="0" w:type="dxa"/>
            <w:right w:w="30" w:type="dxa"/>
          </w:tblCellMar>
        </w:tblPrEx>
        <w:trPr>
          <w:trHeight w:val="5937" w:hRule="atLeast"/>
          <w:jc w:val="center"/>
        </w:trPr>
        <w:tc>
          <w:tcPr>
            <w:tcW w:w="2241"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uto"/>
              <w:ind w:firstLine="0" w:firstLineChars="0"/>
              <w:jc w:val="center"/>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部门（单位）</w:t>
            </w:r>
          </w:p>
          <w:p>
            <w:pPr>
              <w:autoSpaceDE w:val="0"/>
              <w:autoSpaceDN w:val="0"/>
              <w:adjustRightInd w:val="0"/>
              <w:spacing w:line="240" w:lineRule="auto"/>
              <w:ind w:firstLine="0" w:firstLineChars="0"/>
              <w:jc w:val="center"/>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绩效目标</w:t>
            </w:r>
          </w:p>
        </w:tc>
        <w:tc>
          <w:tcPr>
            <w:tcW w:w="3661"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uto"/>
              <w:ind w:firstLine="0" w:firstLineChars="0"/>
              <w:jc w:val="both"/>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rPr>
              <w:t xml:space="preserve">坚持以习近平新时代中国特色社会主义思想为指导，深入学习贯彻习近平法治思想，以全面深化司法改革为动力，以强作风、重落实、提效能为导向，为大局服务，为人民司法，稳中求进、巩固提升，全力以赴推进昌平法院工作高质量发展。 </w:t>
            </w:r>
          </w:p>
        </w:tc>
        <w:tc>
          <w:tcPr>
            <w:tcW w:w="3097" w:type="dxa"/>
            <w:tcBorders>
              <w:top w:val="single" w:color="auto" w:sz="6" w:space="0"/>
              <w:left w:val="single" w:color="auto" w:sz="6" w:space="0"/>
              <w:bottom w:val="single" w:color="auto" w:sz="6" w:space="0"/>
              <w:right w:val="single" w:color="auto" w:sz="6" w:space="0"/>
            </w:tcBorders>
            <w:vAlign w:val="center"/>
          </w:tcPr>
          <w:p>
            <w:pPr>
              <w:pStyle w:val="11"/>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b w:val="0"/>
                <w:bCs/>
                <w:color w:val="000000"/>
                <w:kern w:val="0"/>
                <w:sz w:val="21"/>
                <w:szCs w:val="21"/>
              </w:rPr>
            </w:pPr>
            <w:r>
              <w:rPr>
                <w:rFonts w:hint="default" w:ascii="宋体" w:hAnsi="宋体" w:eastAsia="宋体" w:cs="宋体"/>
                <w:b w:val="0"/>
                <w:bCs/>
                <w:color w:val="000000"/>
                <w:kern w:val="0"/>
                <w:sz w:val="21"/>
                <w:szCs w:val="21"/>
                <w:lang w:val="en-US" w:eastAsia="zh-CN" w:bidi="ar-SA"/>
              </w:rPr>
              <w:t>2024年，</w:t>
            </w:r>
            <w:r>
              <w:rPr>
                <w:rFonts w:hint="eastAsia" w:ascii="宋体" w:hAnsi="宋体" w:eastAsia="宋体" w:cs="宋体"/>
                <w:b w:val="0"/>
                <w:bCs/>
                <w:color w:val="000000"/>
                <w:kern w:val="0"/>
                <w:sz w:val="21"/>
                <w:szCs w:val="21"/>
                <w:lang w:val="en-US" w:eastAsia="zh-CN" w:bidi="ar-SA"/>
              </w:rPr>
              <w:t>昌平法院</w:t>
            </w:r>
            <w:r>
              <w:rPr>
                <w:rFonts w:hint="default" w:ascii="宋体" w:hAnsi="宋体" w:eastAsia="宋体" w:cs="宋体"/>
                <w:b w:val="0"/>
                <w:bCs/>
                <w:color w:val="000000"/>
                <w:kern w:val="0"/>
                <w:sz w:val="21"/>
                <w:szCs w:val="21"/>
                <w:lang w:val="en-US" w:eastAsia="zh-CN" w:bidi="ar-SA"/>
              </w:rPr>
              <w:t>在区委坚强领导、区人大及其常委会有力监督、区政府大力支持、区政协民主监督和上级法院监督指导下，坚持以习近平新时代中国特色社会主义思想为指导，全面贯彻落实党的二十大和二十届二中、三中全会精神，深入贯彻习近平法治思想，忠实履行宪法法律赋予的职责，坚持为大局服务、为人民司法，扎实开展“实干争先年”主题活动，狠抓提质增效，各项工作取得新进展。一年来，新收案件49755件，同比上升12.07%；结案52820件，同比上升20.02%；未结案件8991件，同比下降25.42%；法官人均结案498件，同比上升7.55%。</w:t>
            </w:r>
          </w:p>
        </w:tc>
      </w:tr>
      <w:tr>
        <w:tblPrEx>
          <w:tblCellMar>
            <w:top w:w="0" w:type="dxa"/>
            <w:left w:w="30" w:type="dxa"/>
            <w:bottom w:w="0" w:type="dxa"/>
            <w:right w:w="30" w:type="dxa"/>
          </w:tblCellMar>
        </w:tblPrEx>
        <w:trPr>
          <w:trHeight w:val="974" w:hRule="atLeast"/>
          <w:jc w:val="center"/>
        </w:trPr>
        <w:tc>
          <w:tcPr>
            <w:tcW w:w="750" w:type="dxa"/>
            <w:vMerge w:val="restart"/>
            <w:tcBorders>
              <w:top w:val="single" w:color="auto" w:sz="6" w:space="0"/>
              <w:left w:val="single" w:color="auto" w:sz="6" w:space="0"/>
              <w:right w:val="single" w:color="auto" w:sz="6" w:space="0"/>
            </w:tcBorders>
            <w:vAlign w:val="center"/>
          </w:tcPr>
          <w:p>
            <w:pPr>
              <w:autoSpaceDE w:val="0"/>
              <w:autoSpaceDN w:val="0"/>
              <w:adjustRightInd w:val="0"/>
              <w:spacing w:line="240" w:lineRule="auto"/>
              <w:ind w:firstLine="0" w:firstLineChars="0"/>
              <w:jc w:val="center"/>
              <w:rPr>
                <w:rFonts w:hint="eastAsia" w:ascii="宋体" w:hAnsi="宋体" w:eastAsia="宋体" w:cs="宋体"/>
                <w:b w:val="0"/>
                <w:bCs/>
                <w:color w:val="000000"/>
                <w:kern w:val="0"/>
                <w:sz w:val="21"/>
                <w:szCs w:val="21"/>
                <w:lang w:val="en-US" w:eastAsia="zh-CN"/>
              </w:rPr>
            </w:pPr>
            <w:r>
              <w:rPr>
                <w:rFonts w:hint="eastAsia" w:ascii="宋体" w:hAnsi="宋体" w:eastAsia="宋体" w:cs="宋体"/>
                <w:b w:val="0"/>
                <w:bCs/>
                <w:color w:val="000000"/>
                <w:kern w:val="0"/>
                <w:sz w:val="21"/>
                <w:szCs w:val="21"/>
                <w:lang w:val="en-US" w:eastAsia="zh-CN"/>
              </w:rPr>
              <w:t>绩</w:t>
            </w:r>
          </w:p>
          <w:p>
            <w:pPr>
              <w:autoSpaceDE w:val="0"/>
              <w:autoSpaceDN w:val="0"/>
              <w:adjustRightInd w:val="0"/>
              <w:spacing w:line="240" w:lineRule="auto"/>
              <w:ind w:firstLine="0" w:firstLineChars="0"/>
              <w:jc w:val="center"/>
              <w:rPr>
                <w:rFonts w:hint="eastAsia" w:ascii="宋体" w:hAnsi="宋体" w:eastAsia="宋体" w:cs="宋体"/>
                <w:b w:val="0"/>
                <w:bCs/>
                <w:color w:val="000000"/>
                <w:kern w:val="0"/>
                <w:sz w:val="21"/>
                <w:szCs w:val="21"/>
                <w:lang w:val="en-US" w:eastAsia="zh-CN"/>
              </w:rPr>
            </w:pPr>
            <w:r>
              <w:rPr>
                <w:rFonts w:hint="eastAsia" w:ascii="宋体" w:hAnsi="宋体" w:eastAsia="宋体" w:cs="宋体"/>
                <w:b w:val="0"/>
                <w:bCs/>
                <w:color w:val="000000"/>
                <w:kern w:val="0"/>
                <w:sz w:val="21"/>
                <w:szCs w:val="21"/>
                <w:lang w:val="en-US" w:eastAsia="zh-CN"/>
              </w:rPr>
              <w:t>效</w:t>
            </w:r>
          </w:p>
          <w:p>
            <w:pPr>
              <w:autoSpaceDE w:val="0"/>
              <w:autoSpaceDN w:val="0"/>
              <w:adjustRightInd w:val="0"/>
              <w:spacing w:line="240" w:lineRule="auto"/>
              <w:ind w:firstLine="0" w:firstLineChars="0"/>
              <w:jc w:val="center"/>
              <w:rPr>
                <w:rFonts w:hint="eastAsia" w:ascii="宋体" w:hAnsi="宋体" w:eastAsia="宋体" w:cs="宋体"/>
                <w:b w:val="0"/>
                <w:bCs/>
                <w:color w:val="000000"/>
                <w:kern w:val="0"/>
                <w:sz w:val="21"/>
                <w:szCs w:val="21"/>
                <w:lang w:val="en-US" w:eastAsia="zh-CN"/>
              </w:rPr>
            </w:pPr>
            <w:r>
              <w:rPr>
                <w:rFonts w:hint="eastAsia" w:ascii="宋体" w:hAnsi="宋体" w:eastAsia="宋体" w:cs="宋体"/>
                <w:b w:val="0"/>
                <w:bCs/>
                <w:color w:val="000000"/>
                <w:kern w:val="0"/>
                <w:sz w:val="21"/>
                <w:szCs w:val="21"/>
                <w:lang w:val="en-US" w:eastAsia="zh-CN"/>
              </w:rPr>
              <w:t>指</w:t>
            </w:r>
          </w:p>
          <w:p>
            <w:pPr>
              <w:autoSpaceDE w:val="0"/>
              <w:autoSpaceDN w:val="0"/>
              <w:adjustRightInd w:val="0"/>
              <w:spacing w:line="240" w:lineRule="auto"/>
              <w:ind w:firstLine="0" w:firstLineChars="0"/>
              <w:jc w:val="center"/>
              <w:rPr>
                <w:rFonts w:hint="eastAsia" w:ascii="宋体" w:hAnsi="宋体" w:eastAsia="宋体" w:cs="宋体"/>
                <w:b w:val="0"/>
                <w:bCs/>
                <w:color w:val="000000"/>
                <w:kern w:val="0"/>
                <w:sz w:val="21"/>
                <w:szCs w:val="21"/>
                <w:lang w:val="en-US" w:eastAsia="zh-CN"/>
              </w:rPr>
            </w:pPr>
            <w:r>
              <w:rPr>
                <w:rFonts w:hint="eastAsia" w:ascii="宋体" w:hAnsi="宋体" w:eastAsia="宋体" w:cs="宋体"/>
                <w:b w:val="0"/>
                <w:bCs/>
                <w:color w:val="000000"/>
                <w:kern w:val="0"/>
                <w:sz w:val="21"/>
                <w:szCs w:val="21"/>
                <w:lang w:val="en-US" w:eastAsia="zh-CN"/>
              </w:rPr>
              <w:t>标</w:t>
            </w:r>
          </w:p>
        </w:tc>
        <w:tc>
          <w:tcPr>
            <w:tcW w:w="1491"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uto"/>
              <w:ind w:firstLine="0" w:firstLineChars="0"/>
              <w:jc w:val="center"/>
              <w:rPr>
                <w:rFonts w:hint="eastAsia" w:ascii="宋体" w:hAnsi="宋体" w:eastAsia="宋体" w:cs="宋体"/>
                <w:b w:val="0"/>
                <w:bCs/>
                <w:color w:val="000000"/>
                <w:kern w:val="0"/>
                <w:sz w:val="21"/>
                <w:szCs w:val="21"/>
                <w:lang w:val="en-US" w:eastAsia="zh-CN"/>
              </w:rPr>
            </w:pPr>
            <w:r>
              <w:rPr>
                <w:rFonts w:hint="eastAsia" w:ascii="宋体" w:hAnsi="宋体" w:eastAsia="宋体" w:cs="宋体"/>
                <w:b w:val="0"/>
                <w:bCs/>
                <w:color w:val="000000"/>
                <w:kern w:val="0"/>
                <w:sz w:val="21"/>
                <w:szCs w:val="21"/>
                <w:lang w:val="en-US" w:eastAsia="zh-CN"/>
              </w:rPr>
              <w:t>指标名称</w:t>
            </w:r>
          </w:p>
        </w:tc>
        <w:tc>
          <w:tcPr>
            <w:tcW w:w="3661"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uto"/>
              <w:ind w:firstLine="0" w:firstLineChars="0"/>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指标内容和指标值</w:t>
            </w:r>
          </w:p>
        </w:tc>
        <w:tc>
          <w:tcPr>
            <w:tcW w:w="30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uto"/>
              <w:ind w:firstLine="0" w:firstLineChars="0"/>
              <w:jc w:val="center"/>
              <w:rPr>
                <w:rFonts w:hint="eastAsia" w:ascii="宋体" w:hAnsi="宋体" w:eastAsia="宋体" w:cs="宋体"/>
                <w:b w:val="0"/>
                <w:bCs/>
                <w:color w:val="000000"/>
                <w:kern w:val="0"/>
                <w:sz w:val="21"/>
                <w:szCs w:val="21"/>
                <w:lang w:val="en-US" w:eastAsia="zh-CN"/>
              </w:rPr>
            </w:pPr>
            <w:r>
              <w:rPr>
                <w:rFonts w:hint="eastAsia" w:ascii="宋体" w:hAnsi="宋体" w:eastAsia="宋体" w:cs="宋体"/>
                <w:b w:val="0"/>
                <w:bCs/>
                <w:color w:val="000000"/>
                <w:kern w:val="0"/>
                <w:sz w:val="21"/>
                <w:szCs w:val="21"/>
                <w:lang w:val="en-US" w:eastAsia="zh-CN"/>
              </w:rPr>
              <w:t>已完成情况</w:t>
            </w:r>
          </w:p>
        </w:tc>
      </w:tr>
      <w:tr>
        <w:tblPrEx>
          <w:tblCellMar>
            <w:top w:w="0" w:type="dxa"/>
            <w:left w:w="30" w:type="dxa"/>
            <w:bottom w:w="0" w:type="dxa"/>
            <w:right w:w="30" w:type="dxa"/>
          </w:tblCellMar>
        </w:tblPrEx>
        <w:trPr>
          <w:trHeight w:val="1461" w:hRule="atLeast"/>
          <w:jc w:val="center"/>
        </w:trPr>
        <w:tc>
          <w:tcPr>
            <w:tcW w:w="750" w:type="dxa"/>
            <w:vMerge w:val="continue"/>
            <w:tcBorders>
              <w:left w:val="single" w:color="auto" w:sz="6" w:space="0"/>
              <w:right w:val="single" w:color="auto" w:sz="6" w:space="0"/>
            </w:tcBorders>
            <w:vAlign w:val="center"/>
          </w:tcPr>
          <w:p>
            <w:pPr>
              <w:autoSpaceDE w:val="0"/>
              <w:autoSpaceDN w:val="0"/>
              <w:adjustRightInd w:val="0"/>
              <w:spacing w:line="240" w:lineRule="auto"/>
              <w:ind w:firstLine="0" w:firstLineChars="0"/>
              <w:jc w:val="center"/>
              <w:rPr>
                <w:rFonts w:hint="eastAsia" w:ascii="宋体" w:hAnsi="宋体" w:eastAsia="宋体" w:cs="宋体"/>
                <w:b w:val="0"/>
                <w:bCs/>
                <w:color w:val="000000"/>
                <w:kern w:val="0"/>
                <w:sz w:val="21"/>
                <w:szCs w:val="21"/>
              </w:rPr>
            </w:pPr>
          </w:p>
        </w:tc>
        <w:tc>
          <w:tcPr>
            <w:tcW w:w="1491"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uto"/>
              <w:ind w:firstLine="0" w:firstLineChars="0"/>
              <w:jc w:val="center"/>
              <w:rPr>
                <w:rFonts w:hint="default" w:ascii="宋体" w:hAnsi="宋体" w:eastAsia="宋体" w:cs="宋体"/>
                <w:b w:val="0"/>
                <w:bCs/>
                <w:sz w:val="21"/>
                <w:szCs w:val="21"/>
                <w:lang w:val="en-US" w:eastAsia="zh-CN"/>
              </w:rPr>
            </w:pPr>
            <w:r>
              <w:rPr>
                <w:rFonts w:hint="eastAsia" w:ascii="宋体" w:hAnsi="宋体" w:cs="宋体"/>
                <w:b w:val="0"/>
                <w:bCs/>
                <w:sz w:val="21"/>
                <w:szCs w:val="21"/>
                <w:lang w:val="en-US" w:eastAsia="zh-CN"/>
              </w:rPr>
              <w:t>基本经费</w:t>
            </w:r>
          </w:p>
        </w:tc>
        <w:tc>
          <w:tcPr>
            <w:tcW w:w="3661"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uto"/>
              <w:ind w:firstLine="0" w:firstLineChars="0"/>
              <w:jc w:val="left"/>
              <w:rPr>
                <w:rFonts w:hint="eastAsia" w:ascii="宋体" w:hAnsi="宋体" w:eastAsia="宋体" w:cs="宋体"/>
                <w:b w:val="0"/>
                <w:bCs/>
                <w:sz w:val="21"/>
                <w:szCs w:val="21"/>
                <w:lang w:val="en-US" w:eastAsia="zh-CN"/>
              </w:rPr>
            </w:pPr>
            <w:r>
              <w:rPr>
                <w:rFonts w:hint="eastAsia" w:ascii="Arial Narrow" w:hAnsi="Arial Narrow" w:cs="宋体"/>
                <w:kern w:val="0"/>
                <w:sz w:val="20"/>
                <w:szCs w:val="20"/>
              </w:rPr>
              <w:t>基本经费保障</w:t>
            </w:r>
            <w:r>
              <w:rPr>
                <w:rFonts w:hint="eastAsia" w:ascii="Arial Narrow" w:hAnsi="Arial Narrow" w:cs="宋体"/>
                <w:kern w:val="0"/>
                <w:sz w:val="20"/>
                <w:szCs w:val="20"/>
                <w:lang w:val="en-US" w:eastAsia="zh-CN"/>
              </w:rPr>
              <w:t>机构正常运行</w:t>
            </w:r>
            <w:r>
              <w:rPr>
                <w:rFonts w:hint="eastAsia" w:ascii="Arial Narrow" w:hAnsi="Arial Narrow" w:cs="宋体"/>
                <w:kern w:val="0"/>
                <w:sz w:val="20"/>
                <w:szCs w:val="20"/>
                <w:lang w:eastAsia="zh-CN"/>
              </w:rPr>
              <w:t>、</w:t>
            </w:r>
            <w:r>
              <w:rPr>
                <w:rFonts w:hint="eastAsia" w:ascii="Arial Narrow" w:hAnsi="Arial Narrow" w:cs="宋体"/>
                <w:kern w:val="0"/>
                <w:sz w:val="20"/>
                <w:szCs w:val="20"/>
                <w:lang w:val="en-US" w:eastAsia="zh-CN"/>
              </w:rPr>
              <w:t>完成日常工作任务，</w:t>
            </w:r>
            <w:r>
              <w:rPr>
                <w:rFonts w:hint="eastAsia" w:ascii="Arial Narrow" w:hAnsi="Arial Narrow" w:cs="宋体"/>
                <w:kern w:val="0"/>
                <w:sz w:val="20"/>
                <w:szCs w:val="20"/>
              </w:rPr>
              <w:t>总成本控制在</w:t>
            </w:r>
            <w:r>
              <w:rPr>
                <w:rFonts w:hint="eastAsia" w:ascii="Arial Narrow" w:hAnsi="Arial Narrow" w:cs="宋体"/>
                <w:kern w:val="0"/>
                <w:sz w:val="20"/>
                <w:szCs w:val="20"/>
                <w:lang w:val="en-US" w:eastAsia="zh-CN"/>
              </w:rPr>
              <w:t>17124.72</w:t>
            </w:r>
            <w:r>
              <w:rPr>
                <w:rFonts w:hint="eastAsia" w:ascii="Arial Narrow" w:hAnsi="Arial Narrow" w:cs="宋体"/>
                <w:kern w:val="0"/>
                <w:sz w:val="20"/>
                <w:szCs w:val="20"/>
              </w:rPr>
              <w:t>万元</w:t>
            </w:r>
            <w:r>
              <w:rPr>
                <w:rFonts w:hint="eastAsia" w:ascii="Arial Narrow" w:hAnsi="Arial Narrow" w:cs="宋体"/>
                <w:kern w:val="0"/>
                <w:sz w:val="20"/>
                <w:szCs w:val="20"/>
                <w:lang w:eastAsia="zh-CN"/>
              </w:rPr>
              <w:t>。</w:t>
            </w:r>
          </w:p>
        </w:tc>
        <w:tc>
          <w:tcPr>
            <w:tcW w:w="30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uto"/>
              <w:ind w:firstLine="0" w:firstLineChars="0"/>
              <w:jc w:val="left"/>
              <w:rPr>
                <w:rFonts w:hint="eastAsia" w:ascii="宋体" w:hAnsi="宋体" w:eastAsia="宋体" w:cs="宋体"/>
                <w:b w:val="0"/>
                <w:bCs/>
                <w:color w:val="000000"/>
                <w:kern w:val="0"/>
                <w:sz w:val="21"/>
                <w:szCs w:val="21"/>
              </w:rPr>
            </w:pPr>
            <w:r>
              <w:rPr>
                <w:rFonts w:hint="eastAsia" w:ascii="Arial Narrow" w:hAnsi="Arial Narrow" w:cs="宋体"/>
                <w:color w:val="000000" w:themeColor="text1"/>
                <w:kern w:val="0"/>
                <w:sz w:val="20"/>
                <w:szCs w:val="20"/>
                <w:lang w:val="en-US" w:eastAsia="zh-CN"/>
                <w14:textFill>
                  <w14:solidFill>
                    <w14:schemeClr w14:val="tx1"/>
                  </w14:solidFill>
                </w14:textFill>
              </w:rPr>
              <w:t>保障机构正常运行，人员经费和公用经费合理使用，</w:t>
            </w:r>
            <w:r>
              <w:rPr>
                <w:rFonts w:hint="eastAsia" w:ascii="Arial Narrow" w:hAnsi="Arial Narrow" w:cs="宋体"/>
                <w:color w:val="000000" w:themeColor="text1"/>
                <w:kern w:val="0"/>
                <w:sz w:val="20"/>
                <w:szCs w:val="20"/>
                <w14:textFill>
                  <w14:solidFill>
                    <w14:schemeClr w14:val="tx1"/>
                  </w14:solidFill>
                </w14:textFill>
              </w:rPr>
              <w:t>实际总支出</w:t>
            </w:r>
            <w:r>
              <w:rPr>
                <w:rFonts w:hint="eastAsia" w:ascii="Arial Narrow" w:hAnsi="Arial Narrow" w:cs="宋体"/>
                <w:color w:val="000000" w:themeColor="text1"/>
                <w:kern w:val="0"/>
                <w:sz w:val="20"/>
                <w:szCs w:val="20"/>
                <w:lang w:val="en-US" w:eastAsia="zh-CN"/>
                <w14:textFill>
                  <w14:solidFill>
                    <w14:schemeClr w14:val="tx1"/>
                  </w14:solidFill>
                </w14:textFill>
              </w:rPr>
              <w:t>16809.48</w:t>
            </w:r>
            <w:r>
              <w:rPr>
                <w:rFonts w:hint="eastAsia" w:ascii="Arial Narrow" w:hAnsi="Arial Narrow" w:cs="宋体"/>
                <w:color w:val="000000" w:themeColor="text1"/>
                <w:kern w:val="0"/>
                <w:sz w:val="20"/>
                <w:szCs w:val="20"/>
                <w14:textFill>
                  <w14:solidFill>
                    <w14:schemeClr w14:val="tx1"/>
                  </w14:solidFill>
                </w14:textFill>
              </w:rPr>
              <w:t>万元。</w:t>
            </w:r>
          </w:p>
        </w:tc>
      </w:tr>
      <w:tr>
        <w:tblPrEx>
          <w:tblCellMar>
            <w:top w:w="0" w:type="dxa"/>
            <w:left w:w="30" w:type="dxa"/>
            <w:bottom w:w="0" w:type="dxa"/>
            <w:right w:w="30" w:type="dxa"/>
          </w:tblCellMar>
        </w:tblPrEx>
        <w:trPr>
          <w:trHeight w:val="2127" w:hRule="atLeast"/>
          <w:jc w:val="center"/>
        </w:trPr>
        <w:tc>
          <w:tcPr>
            <w:tcW w:w="750" w:type="dxa"/>
            <w:vMerge w:val="continue"/>
            <w:tcBorders>
              <w:left w:val="single" w:color="auto" w:sz="6" w:space="0"/>
              <w:bottom w:val="single" w:color="auto" w:sz="4" w:space="0"/>
              <w:right w:val="single" w:color="auto" w:sz="6" w:space="0"/>
            </w:tcBorders>
            <w:vAlign w:val="center"/>
          </w:tcPr>
          <w:p>
            <w:pPr>
              <w:autoSpaceDE w:val="0"/>
              <w:autoSpaceDN w:val="0"/>
              <w:adjustRightInd w:val="0"/>
              <w:spacing w:line="240" w:lineRule="auto"/>
              <w:ind w:firstLine="0" w:firstLineChars="0"/>
              <w:jc w:val="center"/>
              <w:rPr>
                <w:rFonts w:hint="eastAsia" w:ascii="宋体" w:hAnsi="宋体" w:eastAsia="宋体" w:cs="宋体"/>
                <w:b w:val="0"/>
                <w:bCs/>
                <w:color w:val="000000"/>
                <w:kern w:val="0"/>
                <w:sz w:val="21"/>
                <w:szCs w:val="21"/>
              </w:rPr>
            </w:pPr>
          </w:p>
        </w:tc>
        <w:tc>
          <w:tcPr>
            <w:tcW w:w="1491"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uto"/>
              <w:ind w:firstLine="0" w:firstLineChars="0"/>
              <w:jc w:val="center"/>
              <w:rPr>
                <w:rFonts w:hint="default" w:ascii="宋体" w:hAnsi="宋体" w:eastAsia="宋体" w:cs="宋体"/>
                <w:b w:val="0"/>
                <w:bCs/>
                <w:sz w:val="21"/>
                <w:szCs w:val="21"/>
                <w:lang w:val="en-US" w:eastAsia="zh-CN"/>
              </w:rPr>
            </w:pPr>
            <w:r>
              <w:rPr>
                <w:rFonts w:hint="eastAsia" w:ascii="宋体" w:hAnsi="宋体" w:cs="宋体"/>
                <w:b w:val="0"/>
                <w:bCs/>
                <w:sz w:val="21"/>
                <w:szCs w:val="21"/>
                <w:lang w:val="en-US" w:eastAsia="zh-CN"/>
              </w:rPr>
              <w:t>项目经费</w:t>
            </w:r>
          </w:p>
        </w:tc>
        <w:tc>
          <w:tcPr>
            <w:tcW w:w="3661" w:type="dxa"/>
            <w:tcBorders>
              <w:top w:val="single" w:color="auto" w:sz="6" w:space="0"/>
              <w:left w:val="single" w:color="auto" w:sz="6" w:space="0"/>
              <w:bottom w:val="single" w:color="auto" w:sz="6" w:space="0"/>
              <w:right w:val="single" w:color="auto" w:sz="6" w:space="0"/>
            </w:tcBorders>
            <w:vAlign w:val="center"/>
          </w:tcPr>
          <w:p>
            <w:pPr>
              <w:widowControl/>
              <w:ind w:firstLine="420" w:firstLineChars="200"/>
              <w:jc w:val="left"/>
              <w:rPr>
                <w:rFonts w:hint="default" w:ascii="宋体" w:hAnsi="宋体" w:eastAsia="宋体" w:cs="宋体"/>
                <w:b w:val="0"/>
                <w:bCs/>
                <w:sz w:val="21"/>
                <w:szCs w:val="21"/>
                <w:lang w:val="en-US" w:eastAsia="zh-CN"/>
              </w:rPr>
            </w:pPr>
            <w:r>
              <w:rPr>
                <w:rFonts w:hint="eastAsia" w:ascii="宋体" w:hAnsi="宋体" w:eastAsia="宋体" w:cs="宋体"/>
                <w:b w:val="0"/>
                <w:bCs/>
                <w:kern w:val="0"/>
                <w:sz w:val="21"/>
                <w:szCs w:val="21"/>
                <w:lang w:val="en-US" w:eastAsia="zh-CN"/>
              </w:rPr>
              <w:t>项目经费</w:t>
            </w:r>
            <w:r>
              <w:rPr>
                <w:rFonts w:hint="eastAsia" w:ascii="宋体" w:hAnsi="宋体" w:eastAsia="宋体" w:cs="宋体"/>
                <w:b w:val="0"/>
                <w:bCs/>
                <w:kern w:val="0"/>
                <w:sz w:val="21"/>
                <w:szCs w:val="21"/>
              </w:rPr>
              <w:t>为人民法院履行好审判职责</w:t>
            </w:r>
            <w:r>
              <w:rPr>
                <w:rFonts w:hint="eastAsia" w:ascii="宋体" w:hAnsi="宋体" w:eastAsia="宋体" w:cs="宋体"/>
                <w:b w:val="0"/>
                <w:bCs/>
                <w:kern w:val="0"/>
                <w:sz w:val="21"/>
                <w:szCs w:val="21"/>
                <w:lang w:eastAsia="zh-CN"/>
              </w:rPr>
              <w:t>，</w:t>
            </w:r>
            <w:r>
              <w:rPr>
                <w:rFonts w:hint="eastAsia" w:ascii="宋体" w:hAnsi="宋体" w:eastAsia="宋体" w:cs="宋体"/>
                <w:b w:val="0"/>
                <w:bCs/>
                <w:kern w:val="0"/>
                <w:sz w:val="21"/>
                <w:szCs w:val="21"/>
              </w:rPr>
              <w:t>保障</w:t>
            </w:r>
            <w:r>
              <w:rPr>
                <w:rFonts w:hint="eastAsia" w:ascii="宋体" w:hAnsi="宋体" w:eastAsia="宋体" w:cs="宋体"/>
                <w:b w:val="0"/>
                <w:bCs/>
                <w:kern w:val="0"/>
                <w:sz w:val="21"/>
                <w:szCs w:val="21"/>
                <w:lang w:val="en-US" w:eastAsia="zh-CN"/>
              </w:rPr>
              <w:t>司法事业发展</w:t>
            </w:r>
            <w:r>
              <w:rPr>
                <w:rFonts w:hint="eastAsia" w:ascii="宋体" w:hAnsi="宋体" w:eastAsia="宋体" w:cs="宋体"/>
                <w:b w:val="0"/>
                <w:bCs/>
                <w:kern w:val="0"/>
                <w:sz w:val="21"/>
                <w:szCs w:val="21"/>
              </w:rPr>
              <w:t>，推进法院公平、公正、公开办案</w:t>
            </w:r>
            <w:r>
              <w:rPr>
                <w:rFonts w:hint="eastAsia" w:ascii="宋体" w:hAnsi="宋体" w:eastAsia="宋体" w:cs="宋体"/>
                <w:b w:val="0"/>
                <w:bCs/>
                <w:kern w:val="0"/>
                <w:sz w:val="21"/>
                <w:szCs w:val="21"/>
                <w:lang w:eastAsia="zh-CN"/>
              </w:rPr>
              <w:t>，</w:t>
            </w:r>
            <w:r>
              <w:rPr>
                <w:rFonts w:hint="eastAsia" w:ascii="宋体" w:hAnsi="宋体" w:eastAsia="宋体" w:cs="宋体"/>
                <w:b w:val="0"/>
                <w:bCs/>
                <w:kern w:val="0"/>
                <w:sz w:val="21"/>
                <w:szCs w:val="21"/>
                <w:lang w:val="en-US" w:eastAsia="zh-CN"/>
              </w:rPr>
              <w:t>提高办案效率，强化调解、和解、协调功能，努力追求案结事了的和谐结果</w:t>
            </w:r>
            <w:r>
              <w:rPr>
                <w:rFonts w:hint="eastAsia" w:ascii="宋体" w:hAnsi="宋体" w:cs="宋体"/>
                <w:b w:val="0"/>
                <w:bCs/>
                <w:kern w:val="0"/>
                <w:sz w:val="21"/>
                <w:szCs w:val="21"/>
                <w:lang w:val="en-US" w:eastAsia="zh-CN"/>
              </w:rPr>
              <w:t>。总成本控制在4469.38万元</w:t>
            </w:r>
          </w:p>
        </w:tc>
        <w:tc>
          <w:tcPr>
            <w:tcW w:w="309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uto"/>
              <w:ind w:firstLine="0" w:firstLineChars="0"/>
              <w:jc w:val="left"/>
              <w:rPr>
                <w:rFonts w:hint="eastAsia" w:ascii="宋体" w:hAnsi="宋体" w:eastAsia="宋体" w:cs="宋体"/>
                <w:b w:val="0"/>
                <w:bCs/>
                <w:color w:val="000000"/>
                <w:kern w:val="0"/>
                <w:sz w:val="21"/>
                <w:szCs w:val="21"/>
                <w:lang w:eastAsia="zh-CN"/>
              </w:rPr>
            </w:pPr>
            <w:r>
              <w:rPr>
                <w:rFonts w:hint="eastAsia" w:ascii="宋体" w:hAnsi="宋体" w:cs="宋体"/>
                <w:b w:val="0"/>
                <w:bCs/>
                <w:color w:val="000000"/>
                <w:kern w:val="0"/>
                <w:sz w:val="21"/>
                <w:szCs w:val="21"/>
                <w:lang w:val="en-US" w:eastAsia="zh-CN"/>
              </w:rPr>
              <w:t>司</w:t>
            </w:r>
            <w:r>
              <w:rPr>
                <w:rFonts w:hint="eastAsia" w:ascii="宋体" w:hAnsi="宋体" w:eastAsia="宋体" w:cs="宋体"/>
                <w:b w:val="0"/>
                <w:bCs/>
                <w:color w:val="000000"/>
                <w:kern w:val="0"/>
                <w:sz w:val="21"/>
                <w:szCs w:val="21"/>
              </w:rPr>
              <w:t>法程序得到进一步规范，司法公信力得到进一步提升；法院文化建设不断加强，法官素养得到进一步提升，司法廉洁自觉性得到进一步提高。</w:t>
            </w:r>
            <w:r>
              <w:rPr>
                <w:rFonts w:hint="eastAsia" w:ascii="宋体" w:hAnsi="宋体" w:cs="宋体"/>
                <w:b w:val="0"/>
                <w:bCs/>
                <w:color w:val="000000"/>
                <w:kern w:val="0"/>
                <w:sz w:val="21"/>
                <w:szCs w:val="21"/>
                <w:lang w:val="en-US" w:eastAsia="zh-CN"/>
              </w:rPr>
              <w:t>实际总支出4176.34</w:t>
            </w:r>
            <w:r>
              <w:rPr>
                <w:rFonts w:hint="eastAsia" w:ascii="宋体" w:hAnsi="宋体" w:eastAsia="宋体" w:cs="宋体"/>
                <w:b w:val="0"/>
                <w:bCs/>
                <w:color w:val="000000"/>
                <w:kern w:val="0"/>
                <w:sz w:val="21"/>
                <w:szCs w:val="21"/>
              </w:rPr>
              <w:t>万元</w:t>
            </w:r>
            <w:r>
              <w:rPr>
                <w:rFonts w:hint="eastAsia" w:ascii="宋体" w:hAnsi="宋体" w:cs="宋体"/>
                <w:b w:val="0"/>
                <w:bCs/>
                <w:color w:val="000000"/>
                <w:kern w:val="0"/>
                <w:sz w:val="21"/>
                <w:szCs w:val="21"/>
                <w:lang w:eastAsia="zh-CN"/>
              </w:rPr>
              <w:t>。</w:t>
            </w:r>
          </w:p>
        </w:tc>
      </w:tr>
    </w:tbl>
    <w:p>
      <w:pPr>
        <w:spacing w:line="600" w:lineRule="exact"/>
        <w:ind w:firstLine="420" w:firstLineChars="200"/>
        <w:sectPr>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outlineLvl w:val="1"/>
        <w:rPr>
          <w:rFonts w:hint="eastAsia" w:ascii="仿宋_GB2312" w:hAnsi="宋体" w:eastAsia="仿宋_GB2312" w:cs="宋体"/>
          <w:color w:val="000000"/>
          <w:kern w:val="0"/>
          <w:sz w:val="32"/>
          <w:szCs w:val="32"/>
          <w:lang w:val="en-US" w:eastAsia="zh-CN"/>
        </w:rPr>
      </w:pPr>
      <w:bookmarkStart w:id="32" w:name="_Toc30576"/>
      <w:r>
        <w:rPr>
          <w:rFonts w:hint="eastAsia" w:ascii="仿宋_GB2312" w:hAnsi="宋体" w:eastAsia="仿宋_GB2312" w:cs="宋体"/>
          <w:color w:val="000000"/>
          <w:kern w:val="0"/>
          <w:sz w:val="32"/>
          <w:szCs w:val="32"/>
          <w:lang w:val="en-US" w:eastAsia="zh-CN"/>
        </w:rPr>
        <w:t>附件3：2024年部门整体绩效评价指标体系评分表</w:t>
      </w:r>
      <w:bookmarkEnd w:id="32"/>
    </w:p>
    <w:tbl>
      <w:tblPr>
        <w:tblStyle w:val="12"/>
        <w:tblW w:w="14174" w:type="dxa"/>
        <w:tblInd w:w="0" w:type="dxa"/>
        <w:tblLayout w:type="fixed"/>
        <w:tblCellMar>
          <w:top w:w="0" w:type="dxa"/>
          <w:left w:w="108" w:type="dxa"/>
          <w:bottom w:w="0" w:type="dxa"/>
          <w:right w:w="108" w:type="dxa"/>
        </w:tblCellMar>
      </w:tblPr>
      <w:tblGrid>
        <w:gridCol w:w="816"/>
        <w:gridCol w:w="803"/>
        <w:gridCol w:w="1016"/>
        <w:gridCol w:w="1230"/>
        <w:gridCol w:w="898"/>
        <w:gridCol w:w="616"/>
        <w:gridCol w:w="716"/>
        <w:gridCol w:w="3870"/>
        <w:gridCol w:w="4209"/>
      </w:tblGrid>
      <w:tr>
        <w:tblPrEx>
          <w:tblCellMar>
            <w:top w:w="0" w:type="dxa"/>
            <w:left w:w="108" w:type="dxa"/>
            <w:bottom w:w="0" w:type="dxa"/>
            <w:right w:w="108" w:type="dxa"/>
          </w:tblCellMar>
        </w:tblPrEx>
        <w:trPr>
          <w:trHeight w:val="499" w:hRule="atLeast"/>
        </w:trPr>
        <w:tc>
          <w:tcPr>
            <w:tcW w:w="14174" w:type="dxa"/>
            <w:gridSpan w:val="9"/>
            <w:tcBorders>
              <w:top w:val="nil"/>
              <w:left w:val="nil"/>
              <w:bottom w:val="single" w:color="auto" w:sz="4" w:space="0"/>
              <w:right w:val="nil"/>
            </w:tcBorders>
            <w:noWrap/>
            <w:vAlign w:val="bottom"/>
          </w:tcPr>
          <w:p>
            <w:pPr>
              <w:widowControl/>
              <w:jc w:val="center"/>
              <w:rPr>
                <w:rFonts w:hint="eastAsia" w:ascii="方正小标宋简体" w:hAnsi="黑体" w:eastAsia="方正小标宋简体" w:cs="宋体"/>
                <w:color w:val="000000"/>
                <w:kern w:val="0"/>
                <w:sz w:val="44"/>
                <w:szCs w:val="44"/>
                <w:lang w:eastAsia="zh-CN"/>
              </w:rPr>
            </w:pPr>
            <w:r>
              <w:rPr>
                <w:rFonts w:hint="eastAsia" w:ascii="方正小标宋简体" w:hAnsi="黑体" w:eastAsia="方正小标宋简体" w:cs="宋体"/>
                <w:color w:val="000000"/>
                <w:kern w:val="0"/>
                <w:sz w:val="36"/>
                <w:szCs w:val="36"/>
              </w:rPr>
              <w:t>202</w:t>
            </w:r>
            <w:r>
              <w:rPr>
                <w:rFonts w:hint="eastAsia" w:ascii="方正小标宋简体" w:hAnsi="黑体" w:eastAsia="方正小标宋简体" w:cs="宋体"/>
                <w:color w:val="000000"/>
                <w:kern w:val="0"/>
                <w:sz w:val="36"/>
                <w:szCs w:val="36"/>
                <w:lang w:val="en-US" w:eastAsia="zh-CN"/>
              </w:rPr>
              <w:t>4</w:t>
            </w:r>
            <w:r>
              <w:rPr>
                <w:rFonts w:hint="eastAsia" w:ascii="方正小标宋简体" w:hAnsi="黑体" w:eastAsia="方正小标宋简体" w:cs="宋体"/>
                <w:color w:val="000000"/>
                <w:kern w:val="0"/>
                <w:sz w:val="36"/>
                <w:szCs w:val="36"/>
              </w:rPr>
              <w:t>年部门整体绩效评价指标体系评分表</w:t>
            </w:r>
          </w:p>
        </w:tc>
      </w:tr>
      <w:tr>
        <w:tblPrEx>
          <w:tblCellMar>
            <w:top w:w="0" w:type="dxa"/>
            <w:left w:w="108" w:type="dxa"/>
            <w:bottom w:w="0" w:type="dxa"/>
            <w:right w:w="108" w:type="dxa"/>
          </w:tblCellMar>
        </w:tblPrEx>
        <w:trPr>
          <w:trHeight w:val="470" w:hRule="atLeast"/>
        </w:trPr>
        <w:tc>
          <w:tcPr>
            <w:tcW w:w="14174" w:type="dxa"/>
            <w:gridSpan w:val="9"/>
            <w:tcBorders>
              <w:top w:val="single" w:color="auto" w:sz="4" w:space="0"/>
              <w:left w:val="single" w:color="auto" w:sz="4" w:space="0"/>
              <w:bottom w:val="single" w:color="000000"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tblPrEx>
          <w:tblCellMar>
            <w:top w:w="0" w:type="dxa"/>
            <w:left w:w="108" w:type="dxa"/>
            <w:bottom w:w="0" w:type="dxa"/>
            <w:right w:w="108" w:type="dxa"/>
          </w:tblCellMar>
        </w:tblPrEx>
        <w:trPr>
          <w:trHeight w:val="660" w:hRule="atLeast"/>
        </w:trPr>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80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0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预算数（万元）</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执行数（万元）</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预算执行率</w:t>
            </w:r>
          </w:p>
        </w:tc>
        <w:tc>
          <w:tcPr>
            <w:tcW w:w="6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38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指标解释</w:t>
            </w:r>
          </w:p>
        </w:tc>
        <w:tc>
          <w:tcPr>
            <w:tcW w:w="4209"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评分标准</w:t>
            </w:r>
          </w:p>
        </w:tc>
      </w:tr>
      <w:tr>
        <w:trPr>
          <w:trHeight w:val="630" w:hRule="atLeast"/>
        </w:trPr>
        <w:tc>
          <w:tcPr>
            <w:tcW w:w="81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80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资金总体</w:t>
            </w:r>
          </w:p>
        </w:tc>
        <w:tc>
          <w:tcPr>
            <w:tcW w:w="10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21594.1</w:t>
            </w:r>
            <w:r>
              <w:rPr>
                <w:rFonts w:hint="eastAsia" w:ascii="宋体" w:hAnsi="宋体" w:cs="宋体"/>
                <w:color w:val="000000"/>
                <w:kern w:val="0"/>
                <w:sz w:val="20"/>
                <w:szCs w:val="20"/>
              </w:rPr>
              <w:t>　</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20985.82</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97.18%</w:t>
            </w:r>
            <w:r>
              <w:rPr>
                <w:rFonts w:hint="eastAsia" w:ascii="宋体" w:hAnsi="宋体" w:cs="宋体"/>
                <w:color w:val="000000"/>
                <w:kern w:val="0"/>
                <w:sz w:val="20"/>
                <w:szCs w:val="20"/>
              </w:rPr>
              <w:t>　</w:t>
            </w:r>
          </w:p>
        </w:tc>
        <w:tc>
          <w:tcPr>
            <w:tcW w:w="616"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19.4</w:t>
            </w:r>
            <w:r>
              <w:rPr>
                <w:rFonts w:hint="eastAsia" w:ascii="宋体" w:hAnsi="宋体" w:cs="宋体"/>
                <w:color w:val="000000"/>
                <w:kern w:val="0"/>
                <w:sz w:val="20"/>
                <w:szCs w:val="20"/>
              </w:rPr>
              <w:t>　</w:t>
            </w:r>
          </w:p>
        </w:tc>
        <w:tc>
          <w:tcPr>
            <w:tcW w:w="387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部门全年执行数与全年预算数的比率。资金总体=基本支出+项目支出+其他</w:t>
            </w:r>
          </w:p>
        </w:tc>
        <w:tc>
          <w:tcPr>
            <w:tcW w:w="4209" w:type="dxa"/>
            <w:vMerge w:val="restar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①得分一档最高不能超过该指标分值上限（20分）。</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CellMar>
            <w:top w:w="0" w:type="dxa"/>
            <w:left w:w="108" w:type="dxa"/>
            <w:bottom w:w="0" w:type="dxa"/>
            <w:right w:w="108" w:type="dxa"/>
          </w:tblCellMar>
        </w:tblPrEx>
        <w:trPr>
          <w:trHeight w:val="600" w:hRule="atLeast"/>
        </w:trPr>
        <w:tc>
          <w:tcPr>
            <w:tcW w:w="8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803" w:type="dxa"/>
            <w:tcBorders>
              <w:top w:val="single" w:color="auto" w:sz="4" w:space="0"/>
              <w:left w:val="single" w:color="auto" w:sz="4" w:space="0"/>
              <w:bottom w:val="single" w:color="auto" w:sz="4" w:space="0"/>
              <w:right w:val="nil"/>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基本支出</w:t>
            </w:r>
          </w:p>
        </w:tc>
        <w:tc>
          <w:tcPr>
            <w:tcW w:w="10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r>
              <w:rPr>
                <w:rFonts w:hint="eastAsia" w:ascii="宋体" w:hAnsi="宋体" w:cs="宋体"/>
                <w:color w:val="000000"/>
                <w:kern w:val="0"/>
                <w:sz w:val="20"/>
                <w:szCs w:val="20"/>
                <w:lang w:val="en-US" w:eastAsia="zh-CN"/>
              </w:rPr>
              <w:t>124.72</w:t>
            </w:r>
            <w:r>
              <w:rPr>
                <w:rFonts w:hint="eastAsia" w:ascii="宋体" w:hAnsi="宋体" w:cs="宋体"/>
                <w:color w:val="000000"/>
                <w:kern w:val="0"/>
                <w:sz w:val="20"/>
                <w:szCs w:val="20"/>
              </w:rPr>
              <w:t>　</w:t>
            </w:r>
          </w:p>
        </w:tc>
        <w:tc>
          <w:tcPr>
            <w:tcW w:w="123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16809.48</w:t>
            </w:r>
            <w:r>
              <w:rPr>
                <w:rFonts w:hint="eastAsia" w:ascii="宋体" w:hAnsi="宋体" w:cs="宋体"/>
                <w:color w:val="000000"/>
                <w:kern w:val="0"/>
                <w:sz w:val="20"/>
                <w:szCs w:val="20"/>
              </w:rPr>
              <w:t>　</w:t>
            </w:r>
          </w:p>
        </w:tc>
        <w:tc>
          <w:tcPr>
            <w:tcW w:w="89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716" w:type="dxa"/>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rPr>
            </w:pPr>
          </w:p>
        </w:tc>
        <w:tc>
          <w:tcPr>
            <w:tcW w:w="38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4209"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15" w:hRule="atLeast"/>
        </w:trPr>
        <w:tc>
          <w:tcPr>
            <w:tcW w:w="8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803" w:type="dxa"/>
            <w:tcBorders>
              <w:top w:val="single" w:color="auto" w:sz="4" w:space="0"/>
              <w:left w:val="single" w:color="auto" w:sz="4" w:space="0"/>
              <w:bottom w:val="single" w:color="auto" w:sz="4" w:space="0"/>
              <w:right w:val="nil"/>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项目支出</w:t>
            </w:r>
          </w:p>
        </w:tc>
        <w:tc>
          <w:tcPr>
            <w:tcW w:w="10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4469.38</w:t>
            </w:r>
          </w:p>
        </w:tc>
        <w:tc>
          <w:tcPr>
            <w:tcW w:w="123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r>
              <w:rPr>
                <w:rFonts w:hint="eastAsia" w:ascii="宋体" w:hAnsi="宋体" w:cs="宋体"/>
                <w:color w:val="000000"/>
                <w:kern w:val="0"/>
                <w:sz w:val="20"/>
                <w:szCs w:val="20"/>
                <w:lang w:val="en-US" w:eastAsia="zh-CN"/>
              </w:rPr>
              <w:t>176.34</w:t>
            </w:r>
            <w:r>
              <w:rPr>
                <w:rFonts w:hint="eastAsia" w:ascii="宋体" w:hAnsi="宋体" w:cs="宋体"/>
                <w:color w:val="000000"/>
                <w:kern w:val="0"/>
                <w:sz w:val="20"/>
                <w:szCs w:val="20"/>
              </w:rPr>
              <w:t>　</w:t>
            </w:r>
          </w:p>
        </w:tc>
        <w:tc>
          <w:tcPr>
            <w:tcW w:w="89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6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716" w:type="dxa"/>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rPr>
            </w:pPr>
          </w:p>
        </w:tc>
        <w:tc>
          <w:tcPr>
            <w:tcW w:w="38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4209"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90" w:hRule="atLeast"/>
        </w:trPr>
        <w:tc>
          <w:tcPr>
            <w:tcW w:w="8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80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w:t>
            </w:r>
          </w:p>
        </w:tc>
        <w:tc>
          <w:tcPr>
            <w:tcW w:w="10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0</w:t>
            </w:r>
            <w:r>
              <w:rPr>
                <w:rFonts w:hint="eastAsia" w:ascii="宋体" w:hAnsi="宋体" w:cs="宋体"/>
                <w:color w:val="000000"/>
                <w:kern w:val="0"/>
                <w:sz w:val="20"/>
                <w:szCs w:val="20"/>
              </w:rPr>
              <w:t>　</w:t>
            </w:r>
          </w:p>
        </w:tc>
        <w:tc>
          <w:tcPr>
            <w:tcW w:w="123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0</w:t>
            </w:r>
          </w:p>
        </w:tc>
        <w:tc>
          <w:tcPr>
            <w:tcW w:w="89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6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716" w:type="dxa"/>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20"/>
                <w:szCs w:val="20"/>
              </w:rPr>
            </w:pPr>
          </w:p>
        </w:tc>
        <w:tc>
          <w:tcPr>
            <w:tcW w:w="38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4209"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rPr>
          <w:trHeight w:val="569" w:hRule="atLeast"/>
        </w:trPr>
        <w:tc>
          <w:tcPr>
            <w:tcW w:w="14174" w:type="dxa"/>
            <w:gridSpan w:val="9"/>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20"/>
                <w:szCs w:val="20"/>
              </w:rPr>
              <w:t>整体绩效目标实现情况（60分）</w:t>
            </w:r>
          </w:p>
        </w:tc>
      </w:tr>
      <w:tr>
        <w:tblPrEx>
          <w:tblCellMar>
            <w:top w:w="0" w:type="dxa"/>
            <w:left w:w="108" w:type="dxa"/>
            <w:bottom w:w="0" w:type="dxa"/>
            <w:right w:w="108" w:type="dxa"/>
          </w:tblCellMar>
        </w:tblPrEx>
        <w:trPr>
          <w:trHeight w:val="499" w:hRule="atLeast"/>
        </w:trPr>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80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0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123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指标值</w:t>
            </w:r>
          </w:p>
        </w:tc>
        <w:tc>
          <w:tcPr>
            <w:tcW w:w="898"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完成值</w:t>
            </w:r>
          </w:p>
        </w:tc>
        <w:tc>
          <w:tcPr>
            <w:tcW w:w="6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16" w:type="dxa"/>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38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42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196" w:hRule="atLeast"/>
        </w:trPr>
        <w:tc>
          <w:tcPr>
            <w:tcW w:w="816"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整体绩效目标实现情况（60）</w:t>
            </w:r>
          </w:p>
          <w:p>
            <w:pPr>
              <w:widowControl/>
              <w:jc w:val="left"/>
              <w:rPr>
                <w:rFonts w:hint="eastAsia" w:ascii="宋体" w:hAnsi="宋体" w:eastAsia="宋体" w:cs="宋体"/>
                <w:color w:val="000000"/>
                <w:kern w:val="0"/>
                <w:sz w:val="20"/>
                <w:szCs w:val="20"/>
                <w:lang w:val="en-US" w:eastAsia="zh-CN"/>
              </w:rPr>
            </w:pPr>
          </w:p>
        </w:tc>
        <w:tc>
          <w:tcPr>
            <w:tcW w:w="803" w:type="dxa"/>
            <w:vMerge w:val="restart"/>
            <w:tcBorders>
              <w:top w:val="single" w:color="auto" w:sz="4" w:space="0"/>
              <w:left w:val="single" w:color="auto" w:sz="4" w:space="0"/>
              <w:right w:val="single" w:color="auto" w:sz="4" w:space="0"/>
            </w:tcBorders>
            <w:noWrap w:val="0"/>
            <w:vAlign w:val="center"/>
          </w:tcPr>
          <w:p>
            <w:pPr>
              <w:widowControl/>
              <w:jc w:val="center"/>
              <w:rPr>
                <w:rFonts w:ascii="宋体" w:hAnsi="宋体" w:cs="宋体"/>
                <w:color w:val="000000"/>
                <w:kern w:val="0"/>
                <w:sz w:val="20"/>
                <w:szCs w:val="20"/>
              </w:rPr>
            </w:pPr>
          </w:p>
          <w:p>
            <w:pPr>
              <w:jc w:val="center"/>
              <w:rPr>
                <w:rFonts w:hint="eastAsia" w:ascii="宋体" w:hAnsi="宋体" w:cs="宋体"/>
                <w:color w:val="000000"/>
                <w:kern w:val="0"/>
                <w:sz w:val="20"/>
                <w:szCs w:val="20"/>
              </w:rPr>
            </w:pPr>
            <w:r>
              <w:rPr>
                <w:rFonts w:hint="eastAsia" w:ascii="宋体" w:hAnsi="宋体" w:cs="宋体"/>
                <w:color w:val="000000"/>
                <w:kern w:val="0"/>
                <w:sz w:val="20"/>
                <w:szCs w:val="20"/>
              </w:rPr>
              <w:t>产出（30）</w:t>
            </w:r>
          </w:p>
          <w:p>
            <w:pPr>
              <w:widowControl/>
              <w:jc w:val="left"/>
              <w:rPr>
                <w:rFonts w:hint="default" w:ascii="宋体" w:hAnsi="宋体" w:eastAsia="宋体" w:cs="宋体"/>
                <w:color w:val="000000"/>
                <w:kern w:val="0"/>
                <w:sz w:val="20"/>
                <w:szCs w:val="20"/>
                <w:lang w:val="en-US" w:eastAsia="zh-CN"/>
              </w:rPr>
            </w:pPr>
          </w:p>
        </w:tc>
        <w:tc>
          <w:tcPr>
            <w:tcW w:w="10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eastAsia="仿宋_GB2312" w:cs="宋体"/>
                <w:color w:val="000000"/>
                <w:kern w:val="0"/>
                <w:sz w:val="20"/>
                <w:szCs w:val="20"/>
                <w:highlight w:val="yellow"/>
                <w:lang w:val="en-US" w:eastAsia="zh-CN"/>
              </w:rPr>
            </w:pPr>
            <w:r>
              <w:rPr>
                <w:rFonts w:hint="eastAsia" w:ascii="宋体" w:hAnsi="宋体" w:cs="宋体"/>
                <w:color w:val="000000"/>
                <w:kern w:val="0"/>
                <w:sz w:val="20"/>
                <w:szCs w:val="20"/>
              </w:rPr>
              <w:t>产出数量</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kern w:val="0"/>
                <w:sz w:val="20"/>
                <w:szCs w:val="20"/>
                <w:highlight w:val="yellow"/>
              </w:rPr>
            </w:pPr>
            <w:r>
              <w:rPr>
                <w:rFonts w:hint="eastAsia" w:ascii="宋体" w:hAnsi="宋体" w:eastAsia="宋体" w:cs="宋体"/>
                <w:sz w:val="20"/>
                <w:szCs w:val="20"/>
              </w:rPr>
              <w:t>完成各项年度工作任务。</w:t>
            </w:r>
          </w:p>
        </w:tc>
        <w:tc>
          <w:tcPr>
            <w:tcW w:w="89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color w:val="000000"/>
                <w:kern w:val="0"/>
                <w:sz w:val="20"/>
                <w:szCs w:val="20"/>
                <w:highlight w:val="yellow"/>
              </w:rPr>
            </w:pPr>
            <w:r>
              <w:rPr>
                <w:rFonts w:hint="eastAsia" w:ascii="宋体" w:hAnsi="宋体" w:cs="宋体"/>
                <w:color w:val="000000"/>
                <w:kern w:val="0"/>
                <w:sz w:val="20"/>
                <w:szCs w:val="20"/>
              </w:rPr>
              <w:t>完成　</w:t>
            </w:r>
          </w:p>
        </w:tc>
        <w:tc>
          <w:tcPr>
            <w:tcW w:w="616"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30</w:t>
            </w:r>
          </w:p>
          <w:p>
            <w:pPr>
              <w:widowControl/>
              <w:jc w:val="center"/>
              <w:rPr>
                <w:rFonts w:hint="default" w:ascii="宋体" w:hAnsi="宋体" w:cs="宋体"/>
                <w:color w:val="000000"/>
                <w:kern w:val="0"/>
                <w:sz w:val="20"/>
                <w:szCs w:val="20"/>
                <w:lang w:val="en-US" w:eastAsia="zh-CN"/>
              </w:rPr>
            </w:pPr>
          </w:p>
        </w:tc>
        <w:tc>
          <w:tcPr>
            <w:tcW w:w="716" w:type="dxa"/>
            <w:vMerge w:val="restart"/>
            <w:tcBorders>
              <w:top w:val="single" w:color="auto" w:sz="4" w:space="0"/>
              <w:left w:val="single" w:color="auto" w:sz="4" w:space="0"/>
              <w:right w:val="single" w:color="auto" w:sz="4" w:space="0"/>
            </w:tcBorders>
            <w:noWrap w:val="0"/>
            <w:vAlign w:val="center"/>
          </w:tcPr>
          <w:p>
            <w:pPr>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27</w:t>
            </w:r>
          </w:p>
          <w:p>
            <w:pPr>
              <w:widowControl/>
              <w:jc w:val="center"/>
              <w:rPr>
                <w:rFonts w:hint="default" w:ascii="宋体" w:hAnsi="宋体" w:cs="宋体"/>
                <w:color w:val="000000"/>
                <w:kern w:val="0"/>
                <w:sz w:val="20"/>
                <w:szCs w:val="20"/>
                <w:lang w:val="en-US" w:eastAsia="zh-CN"/>
              </w:rPr>
            </w:pPr>
          </w:p>
        </w:tc>
        <w:tc>
          <w:tcPr>
            <w:tcW w:w="387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420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tblPrEx>
          <w:tblCellMar>
            <w:top w:w="0" w:type="dxa"/>
            <w:left w:w="108" w:type="dxa"/>
            <w:bottom w:w="0" w:type="dxa"/>
            <w:right w:w="108" w:type="dxa"/>
          </w:tblCellMar>
        </w:tblPrEx>
        <w:trPr>
          <w:trHeight w:val="1130" w:hRule="atLeast"/>
        </w:trPr>
        <w:tc>
          <w:tcPr>
            <w:tcW w:w="816"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803"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10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color w:val="000000"/>
                <w:kern w:val="0"/>
                <w:sz w:val="20"/>
                <w:szCs w:val="20"/>
                <w:highlight w:val="yellow"/>
                <w:lang w:val="en-US" w:eastAsia="zh-CN"/>
              </w:rPr>
            </w:pPr>
            <w:r>
              <w:rPr>
                <w:rFonts w:hint="eastAsia" w:ascii="宋体" w:hAnsi="宋体" w:cs="宋体"/>
                <w:color w:val="000000"/>
                <w:kern w:val="0"/>
                <w:sz w:val="20"/>
                <w:szCs w:val="20"/>
              </w:rPr>
              <w:t>产出质量</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yellow"/>
              </w:rPr>
            </w:pPr>
            <w:r>
              <w:rPr>
                <w:rFonts w:hint="eastAsia" w:ascii="宋体" w:hAnsi="宋体" w:eastAsia="宋体" w:cs="宋体"/>
                <w:sz w:val="20"/>
                <w:szCs w:val="20"/>
              </w:rPr>
              <w:t>根据各项任务要求，保质保量完成</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yellow"/>
              </w:rPr>
            </w:pPr>
            <w:r>
              <w:rPr>
                <w:rFonts w:hint="eastAsia" w:ascii="宋体" w:hAnsi="宋体" w:cs="宋体"/>
                <w:color w:val="000000"/>
                <w:kern w:val="0"/>
                <w:sz w:val="20"/>
                <w:szCs w:val="20"/>
              </w:rPr>
              <w:t>完成</w:t>
            </w:r>
          </w:p>
        </w:tc>
        <w:tc>
          <w:tcPr>
            <w:tcW w:w="616" w:type="dxa"/>
            <w:vMerge w:val="continue"/>
            <w:tcBorders>
              <w:left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p>
        </w:tc>
        <w:tc>
          <w:tcPr>
            <w:tcW w:w="716" w:type="dxa"/>
            <w:vMerge w:val="continue"/>
            <w:tcBorders>
              <w:left w:val="single" w:color="auto" w:sz="4" w:space="0"/>
              <w:right w:val="single" w:color="auto" w:sz="4" w:space="0"/>
            </w:tcBorders>
            <w:noWrap/>
            <w:vAlign w:val="center"/>
          </w:tcPr>
          <w:p>
            <w:pPr>
              <w:widowControl/>
              <w:jc w:val="center"/>
              <w:rPr>
                <w:rFonts w:hint="eastAsia" w:ascii="宋体" w:hAnsi="宋体" w:eastAsia="宋体" w:cs="宋体"/>
                <w:color w:val="000000"/>
                <w:kern w:val="0"/>
                <w:sz w:val="20"/>
                <w:szCs w:val="20"/>
                <w:lang w:val="en-US" w:eastAsia="zh-CN"/>
              </w:rPr>
            </w:pPr>
          </w:p>
        </w:tc>
        <w:tc>
          <w:tcPr>
            <w:tcW w:w="387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4209"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rPr>
          <w:trHeight w:val="835" w:hRule="atLeast"/>
        </w:trPr>
        <w:tc>
          <w:tcPr>
            <w:tcW w:w="816"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803"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10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color w:val="000000"/>
                <w:kern w:val="0"/>
                <w:sz w:val="20"/>
                <w:szCs w:val="20"/>
                <w:highlight w:val="yellow"/>
                <w:lang w:val="en-US" w:eastAsia="zh-CN"/>
              </w:rPr>
            </w:pPr>
            <w:r>
              <w:rPr>
                <w:rFonts w:hint="eastAsia" w:ascii="宋体" w:hAnsi="宋体" w:cs="宋体"/>
                <w:color w:val="000000"/>
                <w:kern w:val="0"/>
                <w:sz w:val="20"/>
                <w:szCs w:val="20"/>
              </w:rPr>
              <w:t>产出时效</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yellow"/>
              </w:rPr>
            </w:pPr>
            <w:r>
              <w:rPr>
                <w:rFonts w:hint="eastAsia" w:ascii="宋体" w:hAnsi="宋体" w:eastAsia="宋体" w:cs="宋体"/>
                <w:sz w:val="20"/>
                <w:szCs w:val="20"/>
              </w:rPr>
              <w:t>按照预算批复，完成全年收支指标及工作任务。根据市财政进度要求执行。</w:t>
            </w:r>
            <w:r>
              <w:rPr>
                <w:rFonts w:hint="eastAsia" w:ascii="宋体" w:hAnsi="宋体" w:cs="宋体"/>
                <w:color w:val="000000"/>
                <w:sz w:val="20"/>
                <w:szCs w:val="20"/>
              </w:rPr>
              <w:t>　</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yellow"/>
              </w:rPr>
            </w:pPr>
            <w:r>
              <w:rPr>
                <w:rFonts w:hint="eastAsia" w:ascii="宋体" w:hAnsi="宋体" w:cs="宋体"/>
                <w:color w:val="000000"/>
                <w:kern w:val="0"/>
                <w:sz w:val="20"/>
                <w:szCs w:val="20"/>
              </w:rPr>
              <w:t>完成</w:t>
            </w:r>
          </w:p>
        </w:tc>
        <w:tc>
          <w:tcPr>
            <w:tcW w:w="616" w:type="dxa"/>
            <w:vMerge w:val="continue"/>
            <w:tcBorders>
              <w:left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p>
        </w:tc>
        <w:tc>
          <w:tcPr>
            <w:tcW w:w="716" w:type="dxa"/>
            <w:vMerge w:val="continue"/>
            <w:tcBorders>
              <w:left w:val="single" w:color="auto" w:sz="4" w:space="0"/>
              <w:right w:val="single" w:color="auto" w:sz="4" w:space="0"/>
            </w:tcBorders>
            <w:noWrap/>
            <w:vAlign w:val="center"/>
          </w:tcPr>
          <w:p>
            <w:pPr>
              <w:widowControl/>
              <w:jc w:val="center"/>
              <w:rPr>
                <w:rFonts w:hint="eastAsia" w:ascii="宋体" w:hAnsi="宋体" w:eastAsia="宋体" w:cs="宋体"/>
                <w:color w:val="000000"/>
                <w:kern w:val="0"/>
                <w:sz w:val="20"/>
                <w:szCs w:val="20"/>
                <w:lang w:val="en-US" w:eastAsia="zh-CN"/>
              </w:rPr>
            </w:pPr>
          </w:p>
        </w:tc>
        <w:tc>
          <w:tcPr>
            <w:tcW w:w="387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4209"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975" w:hRule="atLeast"/>
        </w:trPr>
        <w:tc>
          <w:tcPr>
            <w:tcW w:w="816"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803" w:type="dxa"/>
            <w:vMerge w:val="continue"/>
            <w:tcBorders>
              <w:left w:val="single" w:color="auto" w:sz="4" w:space="0"/>
              <w:right w:val="single" w:color="auto" w:sz="4" w:space="0"/>
            </w:tcBorders>
            <w:noWrap w:val="0"/>
            <w:vAlign w:val="center"/>
          </w:tcPr>
          <w:p>
            <w:pPr>
              <w:widowControl/>
              <w:jc w:val="left"/>
              <w:rPr>
                <w:rFonts w:hint="default" w:ascii="宋体" w:hAnsi="宋体" w:eastAsia="宋体" w:cs="宋体"/>
                <w:color w:val="000000"/>
                <w:kern w:val="0"/>
                <w:sz w:val="20"/>
                <w:szCs w:val="20"/>
                <w:lang w:val="en-US" w:eastAsia="zh-CN"/>
              </w:rPr>
            </w:pPr>
          </w:p>
        </w:tc>
        <w:tc>
          <w:tcPr>
            <w:tcW w:w="10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宋体" w:hAnsi="宋体" w:cs="宋体"/>
                <w:color w:val="000000"/>
                <w:kern w:val="0"/>
                <w:sz w:val="20"/>
                <w:szCs w:val="20"/>
                <w:highlight w:val="yellow"/>
                <w:lang w:val="en-US" w:eastAsia="zh-CN"/>
              </w:rPr>
            </w:pPr>
            <w:r>
              <w:rPr>
                <w:rFonts w:hint="eastAsia" w:ascii="宋体" w:hAnsi="宋体" w:cs="宋体"/>
                <w:color w:val="000000"/>
                <w:kern w:val="0"/>
                <w:sz w:val="20"/>
                <w:szCs w:val="20"/>
              </w:rPr>
              <w:t>产出成本</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yellow"/>
              </w:rPr>
            </w:pPr>
            <w:r>
              <w:rPr>
                <w:rFonts w:hint="eastAsia" w:ascii="宋体" w:hAnsi="宋体" w:eastAsia="宋体" w:cs="宋体"/>
                <w:sz w:val="20"/>
                <w:szCs w:val="20"/>
              </w:rPr>
              <w:t>严格按照要求编制预算，严格执行预算，少花钱多办事，严格控制实施成本。</w:t>
            </w:r>
            <w:r>
              <w:rPr>
                <w:rFonts w:hint="eastAsia" w:ascii="宋体" w:hAnsi="宋体" w:cs="宋体"/>
                <w:color w:val="000000"/>
                <w:kern w:val="0"/>
                <w:sz w:val="20"/>
                <w:szCs w:val="20"/>
              </w:rPr>
              <w:t>　</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yellow"/>
              </w:rPr>
            </w:pPr>
            <w:r>
              <w:rPr>
                <w:rFonts w:hint="eastAsia" w:ascii="宋体" w:hAnsi="宋体" w:cs="宋体"/>
                <w:color w:val="000000"/>
                <w:kern w:val="0"/>
                <w:sz w:val="20"/>
                <w:szCs w:val="20"/>
              </w:rPr>
              <w:t>完成</w:t>
            </w:r>
          </w:p>
        </w:tc>
        <w:tc>
          <w:tcPr>
            <w:tcW w:w="616" w:type="dxa"/>
            <w:vMerge w:val="continue"/>
            <w:tcBorders>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eastAsia="zh-CN"/>
              </w:rPr>
            </w:pPr>
          </w:p>
        </w:tc>
        <w:tc>
          <w:tcPr>
            <w:tcW w:w="716" w:type="dxa"/>
            <w:vMerge w:val="continue"/>
            <w:tcBorders>
              <w:left w:val="single" w:color="auto" w:sz="4" w:space="0"/>
              <w:bottom w:val="single" w:color="auto" w:sz="4" w:space="0"/>
              <w:right w:val="single" w:color="auto" w:sz="4" w:space="0"/>
            </w:tcBorders>
            <w:noWrap/>
            <w:vAlign w:val="center"/>
          </w:tcPr>
          <w:p>
            <w:pPr>
              <w:widowControl/>
              <w:jc w:val="center"/>
              <w:rPr>
                <w:rFonts w:hint="default" w:ascii="宋体" w:hAnsi="宋体" w:cs="宋体"/>
                <w:color w:val="000000"/>
                <w:kern w:val="0"/>
                <w:sz w:val="20"/>
                <w:szCs w:val="20"/>
                <w:lang w:val="en-US" w:eastAsia="zh-CN"/>
              </w:rPr>
            </w:pPr>
          </w:p>
        </w:tc>
        <w:tc>
          <w:tcPr>
            <w:tcW w:w="387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4209"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75" w:hRule="atLeast"/>
        </w:trPr>
        <w:tc>
          <w:tcPr>
            <w:tcW w:w="816" w:type="dxa"/>
            <w:vMerge w:val="continue"/>
            <w:tcBorders>
              <w:left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lang w:val="en-US" w:eastAsia="zh-CN"/>
              </w:rPr>
            </w:pPr>
          </w:p>
        </w:tc>
        <w:tc>
          <w:tcPr>
            <w:tcW w:w="80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效果</w:t>
            </w:r>
            <w:r>
              <w:rPr>
                <w:rFonts w:hint="eastAsia" w:ascii="宋体" w:hAnsi="宋体" w:cs="宋体"/>
                <w:color w:val="000000"/>
                <w:kern w:val="0"/>
                <w:sz w:val="20"/>
                <w:szCs w:val="20"/>
              </w:rPr>
              <w:t>（</w:t>
            </w:r>
            <w:r>
              <w:rPr>
                <w:rFonts w:hint="eastAsia" w:ascii="宋体" w:hAnsi="宋体" w:cs="宋体"/>
                <w:color w:val="000000"/>
                <w:kern w:val="0"/>
                <w:sz w:val="20"/>
                <w:szCs w:val="20"/>
                <w:lang w:val="en-US" w:eastAsia="zh-CN"/>
              </w:rPr>
              <w:t>30分</w:t>
            </w:r>
            <w:r>
              <w:rPr>
                <w:rFonts w:hint="eastAsia" w:ascii="宋体" w:hAnsi="宋体" w:cs="宋体"/>
                <w:color w:val="000000"/>
                <w:kern w:val="0"/>
                <w:sz w:val="20"/>
                <w:szCs w:val="20"/>
              </w:rPr>
              <w:t>）</w:t>
            </w:r>
          </w:p>
        </w:tc>
        <w:tc>
          <w:tcPr>
            <w:tcW w:w="1016"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yellow"/>
                <w:lang w:val="en-US" w:eastAsia="zh-CN"/>
              </w:rPr>
            </w:pPr>
            <w:r>
              <w:rPr>
                <w:rFonts w:hint="eastAsia" w:ascii="宋体" w:hAnsi="宋体" w:cs="宋体"/>
                <w:color w:val="000000"/>
                <w:kern w:val="0"/>
                <w:sz w:val="20"/>
                <w:szCs w:val="20"/>
              </w:rPr>
              <w:t>社会效益</w:t>
            </w:r>
          </w:p>
        </w:tc>
        <w:tc>
          <w:tcPr>
            <w:tcW w:w="123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yellow"/>
              </w:rPr>
            </w:pPr>
            <w:r>
              <w:rPr>
                <w:rFonts w:hint="eastAsia" w:ascii="宋体" w:hAnsi="宋体" w:cs="宋体"/>
                <w:color w:val="000000"/>
                <w:kern w:val="0"/>
                <w:sz w:val="20"/>
                <w:szCs w:val="20"/>
              </w:rPr>
              <w:t>显著</w:t>
            </w:r>
          </w:p>
        </w:tc>
        <w:tc>
          <w:tcPr>
            <w:tcW w:w="898"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yellow"/>
                <w:lang w:val="en-US" w:eastAsia="zh-CN"/>
              </w:rPr>
            </w:pPr>
            <w:r>
              <w:rPr>
                <w:rFonts w:hint="eastAsia" w:ascii="宋体" w:hAnsi="宋体" w:cs="宋体"/>
                <w:color w:val="000000"/>
                <w:kern w:val="0"/>
                <w:sz w:val="20"/>
                <w:szCs w:val="20"/>
              </w:rPr>
              <w:t>完成</w:t>
            </w:r>
          </w:p>
        </w:tc>
        <w:tc>
          <w:tcPr>
            <w:tcW w:w="616" w:type="dxa"/>
            <w:vMerge w:val="restart"/>
            <w:tcBorders>
              <w:top w:val="single" w:color="auto" w:sz="4" w:space="0"/>
              <w:left w:val="single" w:color="auto" w:sz="4" w:space="0"/>
              <w:right w:val="single" w:color="auto" w:sz="4" w:space="0"/>
            </w:tcBorders>
            <w:noWrap/>
            <w:vAlign w:val="center"/>
          </w:tcPr>
          <w:p>
            <w:pPr>
              <w:widowControl/>
              <w:jc w:val="center"/>
              <w:rPr>
                <w:rFonts w:hint="eastAsia" w:ascii="宋体" w:hAnsi="宋体" w:cs="宋体"/>
                <w:color w:val="000000"/>
                <w:kern w:val="0"/>
                <w:sz w:val="20"/>
                <w:szCs w:val="20"/>
                <w:lang w:val="en-US" w:eastAsia="zh-CN"/>
              </w:rPr>
            </w:pPr>
          </w:p>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30</w:t>
            </w:r>
          </w:p>
          <w:p>
            <w:pPr>
              <w:widowControl/>
              <w:jc w:val="center"/>
              <w:rPr>
                <w:rFonts w:hint="eastAsia" w:ascii="宋体" w:hAnsi="宋体" w:eastAsia="宋体" w:cs="宋体"/>
                <w:color w:val="000000"/>
                <w:kern w:val="0"/>
                <w:sz w:val="20"/>
                <w:szCs w:val="20"/>
                <w:lang w:val="en-US" w:eastAsia="zh-CN"/>
              </w:rPr>
            </w:pPr>
          </w:p>
        </w:tc>
        <w:tc>
          <w:tcPr>
            <w:tcW w:w="716" w:type="dxa"/>
            <w:vMerge w:val="restart"/>
            <w:tcBorders>
              <w:top w:val="single" w:color="auto" w:sz="4" w:space="0"/>
              <w:left w:val="nil"/>
              <w:right w:val="nil"/>
            </w:tcBorders>
            <w:noWrap/>
            <w:vAlign w:val="center"/>
          </w:tcPr>
          <w:p>
            <w:pPr>
              <w:widowControl/>
              <w:jc w:val="center"/>
              <w:rPr>
                <w:rFonts w:hint="eastAsia" w:ascii="宋体" w:hAnsi="宋体" w:cs="宋体"/>
                <w:color w:val="000000"/>
                <w:kern w:val="0"/>
                <w:sz w:val="20"/>
                <w:szCs w:val="20"/>
                <w:lang w:val="en-US" w:eastAsia="zh-CN"/>
              </w:rPr>
            </w:pPr>
          </w:p>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28</w:t>
            </w:r>
          </w:p>
          <w:p>
            <w:pPr>
              <w:widowControl/>
              <w:jc w:val="center"/>
              <w:rPr>
                <w:rFonts w:hint="eastAsia" w:ascii="宋体" w:hAnsi="宋体" w:eastAsia="宋体" w:cs="宋体"/>
                <w:color w:val="000000"/>
                <w:kern w:val="0"/>
                <w:sz w:val="20"/>
                <w:szCs w:val="20"/>
                <w:lang w:val="en-US" w:eastAsia="zh-CN"/>
              </w:rPr>
            </w:pPr>
          </w:p>
        </w:tc>
        <w:tc>
          <w:tcPr>
            <w:tcW w:w="3870" w:type="dxa"/>
            <w:vMerge w:val="restart"/>
            <w:tcBorders>
              <w:top w:val="nil"/>
              <w:left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4209" w:type="dxa"/>
            <w:vMerge w:val="restart"/>
            <w:tcBorders>
              <w:top w:val="nil"/>
              <w:left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tblPrEx>
          <w:tblCellMar>
            <w:top w:w="0" w:type="dxa"/>
            <w:left w:w="108" w:type="dxa"/>
            <w:bottom w:w="0" w:type="dxa"/>
            <w:right w:w="108" w:type="dxa"/>
          </w:tblCellMar>
        </w:tblPrEx>
        <w:trPr>
          <w:trHeight w:val="630" w:hRule="atLeast"/>
        </w:trPr>
        <w:tc>
          <w:tcPr>
            <w:tcW w:w="816"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803"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1016"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yellow"/>
                <w:lang w:val="en-US" w:eastAsia="zh-CN"/>
              </w:rPr>
            </w:pPr>
            <w:r>
              <w:rPr>
                <w:rFonts w:hint="eastAsia" w:ascii="宋体" w:hAnsi="宋体" w:cs="宋体"/>
                <w:color w:val="000000"/>
                <w:kern w:val="0"/>
                <w:sz w:val="20"/>
                <w:szCs w:val="20"/>
              </w:rPr>
              <w:t>可持续影响</w:t>
            </w:r>
          </w:p>
        </w:tc>
        <w:tc>
          <w:tcPr>
            <w:tcW w:w="123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yellow"/>
              </w:rPr>
            </w:pPr>
            <w:r>
              <w:rPr>
                <w:rFonts w:hint="eastAsia" w:ascii="宋体" w:hAnsi="宋体" w:cs="宋体"/>
                <w:color w:val="000000"/>
                <w:kern w:val="0"/>
                <w:sz w:val="20"/>
                <w:szCs w:val="20"/>
              </w:rPr>
              <w:t>构建检察工作质量提升的长效机制</w:t>
            </w:r>
          </w:p>
        </w:tc>
        <w:tc>
          <w:tcPr>
            <w:tcW w:w="89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yellow"/>
                <w:lang w:val="en-US" w:eastAsia="zh-CN"/>
              </w:rPr>
            </w:pPr>
            <w:r>
              <w:rPr>
                <w:rFonts w:hint="eastAsia" w:ascii="宋体" w:hAnsi="宋体" w:cs="宋体"/>
                <w:color w:val="000000"/>
                <w:kern w:val="0"/>
                <w:sz w:val="20"/>
                <w:szCs w:val="20"/>
              </w:rPr>
              <w:t>基本完成</w:t>
            </w:r>
          </w:p>
        </w:tc>
        <w:tc>
          <w:tcPr>
            <w:tcW w:w="616" w:type="dxa"/>
            <w:vMerge w:val="continue"/>
            <w:tcBorders>
              <w:left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p>
        </w:tc>
        <w:tc>
          <w:tcPr>
            <w:tcW w:w="716" w:type="dxa"/>
            <w:vMerge w:val="continue"/>
            <w:tcBorders>
              <w:left w:val="nil"/>
              <w:right w:val="nil"/>
            </w:tcBorders>
            <w:noWrap/>
            <w:vAlign w:val="center"/>
          </w:tcPr>
          <w:p>
            <w:pPr>
              <w:widowControl/>
              <w:jc w:val="center"/>
              <w:rPr>
                <w:rFonts w:hint="default" w:ascii="宋体" w:hAnsi="宋体" w:eastAsia="宋体" w:cs="宋体"/>
                <w:color w:val="000000"/>
                <w:kern w:val="0"/>
                <w:sz w:val="20"/>
                <w:szCs w:val="20"/>
                <w:lang w:val="en-US" w:eastAsia="zh-CN"/>
              </w:rPr>
            </w:pPr>
          </w:p>
        </w:tc>
        <w:tc>
          <w:tcPr>
            <w:tcW w:w="3870"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4209"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rPr>
          <w:trHeight w:val="690" w:hRule="atLeast"/>
        </w:trPr>
        <w:tc>
          <w:tcPr>
            <w:tcW w:w="816"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803"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1016"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yellow"/>
                <w:lang w:val="en-US" w:eastAsia="zh-CN"/>
              </w:rPr>
            </w:pPr>
            <w:r>
              <w:rPr>
                <w:rFonts w:hint="eastAsia" w:ascii="宋体" w:hAnsi="宋体" w:cs="宋体"/>
                <w:color w:val="000000"/>
                <w:kern w:val="0"/>
                <w:sz w:val="20"/>
                <w:szCs w:val="20"/>
              </w:rPr>
              <w:t>服务对象满意度</w:t>
            </w:r>
          </w:p>
        </w:tc>
        <w:tc>
          <w:tcPr>
            <w:tcW w:w="123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highlight w:val="yellow"/>
              </w:rPr>
            </w:pPr>
            <w:r>
              <w:rPr>
                <w:rFonts w:hint="eastAsia" w:ascii="宋体" w:hAnsi="宋体" w:cs="宋体"/>
                <w:color w:val="000000"/>
                <w:kern w:val="0"/>
                <w:sz w:val="20"/>
                <w:szCs w:val="20"/>
              </w:rPr>
              <w:t>达到预期</w:t>
            </w:r>
          </w:p>
        </w:tc>
        <w:tc>
          <w:tcPr>
            <w:tcW w:w="89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highlight w:val="yellow"/>
                <w:lang w:val="en-US" w:eastAsia="zh-CN"/>
              </w:rPr>
            </w:pPr>
            <w:r>
              <w:rPr>
                <w:rFonts w:hint="eastAsia" w:ascii="宋体" w:hAnsi="宋体" w:cs="宋体"/>
                <w:color w:val="000000"/>
                <w:kern w:val="0"/>
                <w:sz w:val="20"/>
                <w:szCs w:val="20"/>
              </w:rPr>
              <w:t>完成</w:t>
            </w:r>
          </w:p>
        </w:tc>
        <w:tc>
          <w:tcPr>
            <w:tcW w:w="616"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p>
        </w:tc>
        <w:tc>
          <w:tcPr>
            <w:tcW w:w="716" w:type="dxa"/>
            <w:vMerge w:val="continue"/>
            <w:tcBorders>
              <w:left w:val="nil"/>
              <w:bottom w:val="single" w:color="auto" w:sz="4" w:space="0"/>
              <w:right w:val="nil"/>
            </w:tcBorders>
            <w:noWrap/>
            <w:vAlign w:val="center"/>
          </w:tcPr>
          <w:p>
            <w:pPr>
              <w:widowControl/>
              <w:jc w:val="center"/>
              <w:rPr>
                <w:rFonts w:hint="eastAsia" w:ascii="宋体" w:hAnsi="宋体" w:eastAsia="宋体" w:cs="宋体"/>
                <w:color w:val="000000"/>
                <w:kern w:val="0"/>
                <w:sz w:val="20"/>
                <w:szCs w:val="20"/>
                <w:lang w:val="en-US" w:eastAsia="zh-CN"/>
              </w:rPr>
            </w:pPr>
          </w:p>
        </w:tc>
        <w:tc>
          <w:tcPr>
            <w:tcW w:w="3870"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4209"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699" w:hRule="atLeast"/>
        </w:trPr>
        <w:tc>
          <w:tcPr>
            <w:tcW w:w="14174" w:type="dxa"/>
            <w:gridSpan w:val="9"/>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20"/>
                <w:szCs w:val="20"/>
              </w:rPr>
              <w:t>预算管理情况（20分）</w:t>
            </w:r>
          </w:p>
        </w:tc>
      </w:tr>
      <w:tr>
        <w:tblPrEx>
          <w:tblCellMar>
            <w:top w:w="0" w:type="dxa"/>
            <w:left w:w="108" w:type="dxa"/>
            <w:bottom w:w="0" w:type="dxa"/>
            <w:right w:w="108" w:type="dxa"/>
          </w:tblCellMar>
        </w:tblPrEx>
        <w:trPr>
          <w:trHeight w:val="702" w:hRule="atLeast"/>
        </w:trPr>
        <w:tc>
          <w:tcPr>
            <w:tcW w:w="8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80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p>
        </w:tc>
        <w:tc>
          <w:tcPr>
            <w:tcW w:w="10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p>
        </w:tc>
        <w:tc>
          <w:tcPr>
            <w:tcW w:w="123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指标</w:t>
            </w:r>
            <w:r>
              <w:rPr>
                <w:rFonts w:ascii="宋体" w:hAnsi="宋体" w:cs="宋体"/>
                <w:color w:val="000000"/>
                <w:kern w:val="0"/>
                <w:sz w:val="20"/>
                <w:szCs w:val="20"/>
              </w:rPr>
              <w:t>值</w:t>
            </w:r>
          </w:p>
        </w:tc>
        <w:tc>
          <w:tcPr>
            <w:tcW w:w="898"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完成</w:t>
            </w:r>
            <w:r>
              <w:rPr>
                <w:rFonts w:ascii="宋体" w:hAnsi="宋体" w:cs="宋体"/>
                <w:color w:val="000000"/>
                <w:kern w:val="0"/>
                <w:sz w:val="20"/>
                <w:szCs w:val="20"/>
              </w:rPr>
              <w:t>值</w:t>
            </w:r>
          </w:p>
        </w:tc>
        <w:tc>
          <w:tcPr>
            <w:tcW w:w="616" w:type="dxa"/>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w:t>
            </w:r>
            <w:r>
              <w:rPr>
                <w:rFonts w:ascii="宋体" w:hAnsi="宋体" w:cs="宋体"/>
                <w:color w:val="000000"/>
                <w:kern w:val="0"/>
                <w:sz w:val="20"/>
                <w:szCs w:val="20"/>
              </w:rPr>
              <w:t>值</w:t>
            </w:r>
          </w:p>
        </w:tc>
        <w:tc>
          <w:tcPr>
            <w:tcW w:w="716" w:type="dxa"/>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w:t>
            </w:r>
            <w:r>
              <w:rPr>
                <w:rFonts w:ascii="宋体" w:hAnsi="宋体" w:cs="宋体"/>
                <w:color w:val="000000"/>
                <w:kern w:val="0"/>
                <w:sz w:val="20"/>
                <w:szCs w:val="20"/>
              </w:rPr>
              <w:t>分</w:t>
            </w:r>
          </w:p>
        </w:tc>
        <w:tc>
          <w:tcPr>
            <w:tcW w:w="38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4209"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230" w:hRule="atLeast"/>
        </w:trPr>
        <w:tc>
          <w:tcPr>
            <w:tcW w:w="81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预算管理情况（20）</w:t>
            </w:r>
          </w:p>
        </w:tc>
        <w:tc>
          <w:tcPr>
            <w:tcW w:w="80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财务管理（4）</w:t>
            </w:r>
          </w:p>
        </w:tc>
        <w:tc>
          <w:tcPr>
            <w:tcW w:w="10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健全、较健全、一般、不健全</w:t>
            </w:r>
            <w:r>
              <w:rPr>
                <w:rFonts w:hint="eastAsia" w:ascii="宋体" w:hAnsi="宋体" w:cs="宋体"/>
                <w:color w:val="000000"/>
                <w:kern w:val="0"/>
                <w:sz w:val="20"/>
                <w:szCs w:val="20"/>
              </w:rPr>
              <w:t>　</w:t>
            </w:r>
          </w:p>
        </w:tc>
        <w:tc>
          <w:tcPr>
            <w:tcW w:w="898"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较健全</w:t>
            </w:r>
            <w:r>
              <w:rPr>
                <w:rFonts w:hint="eastAsia" w:ascii="宋体" w:hAnsi="宋体" w:cs="宋体"/>
                <w:color w:val="000000"/>
                <w:kern w:val="0"/>
                <w:sz w:val="20"/>
                <w:szCs w:val="20"/>
              </w:rPr>
              <w:t>　</w:t>
            </w:r>
          </w:p>
        </w:tc>
        <w:tc>
          <w:tcPr>
            <w:tcW w:w="616" w:type="dxa"/>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716" w:type="dxa"/>
            <w:tcBorders>
              <w:top w:val="single" w:color="auto" w:sz="4" w:space="0"/>
              <w:left w:val="nil"/>
              <w:bottom w:val="single" w:color="auto" w:sz="4" w:space="0"/>
              <w:right w:val="nil"/>
            </w:tcBorders>
            <w:noWrap/>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1</w:t>
            </w:r>
          </w:p>
        </w:tc>
        <w:tc>
          <w:tcPr>
            <w:tcW w:w="387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trPr>
          <w:trHeight w:val="2220" w:hRule="atLeast"/>
        </w:trPr>
        <w:tc>
          <w:tcPr>
            <w:tcW w:w="816"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80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10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123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好、较好、一般、差</w:t>
            </w:r>
          </w:p>
        </w:tc>
        <w:tc>
          <w:tcPr>
            <w:tcW w:w="898"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较好</w:t>
            </w:r>
            <w:r>
              <w:rPr>
                <w:rFonts w:hint="eastAsia" w:ascii="宋体" w:hAnsi="宋体" w:cs="宋体"/>
                <w:color w:val="000000"/>
                <w:kern w:val="0"/>
                <w:sz w:val="20"/>
                <w:szCs w:val="20"/>
              </w:rPr>
              <w:t>　</w:t>
            </w:r>
          </w:p>
        </w:tc>
        <w:tc>
          <w:tcPr>
            <w:tcW w:w="616" w:type="dxa"/>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16" w:type="dxa"/>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　</w:t>
            </w:r>
          </w:p>
        </w:tc>
        <w:tc>
          <w:tcPr>
            <w:tcW w:w="387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CellMar>
            <w:top w:w="0" w:type="dxa"/>
            <w:left w:w="108" w:type="dxa"/>
            <w:bottom w:w="0" w:type="dxa"/>
            <w:right w:w="108" w:type="dxa"/>
          </w:tblCellMar>
        </w:tblPrEx>
        <w:trPr>
          <w:trHeight w:val="108" w:hRule="atLeast"/>
        </w:trPr>
        <w:tc>
          <w:tcPr>
            <w:tcW w:w="8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803"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1016"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123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宋体" w:hAnsi="宋体" w:cs="宋体"/>
                <w:color w:val="000000"/>
                <w:kern w:val="0"/>
                <w:sz w:val="20"/>
                <w:szCs w:val="20"/>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好、较好、一般、差</w:t>
            </w:r>
          </w:p>
        </w:tc>
        <w:tc>
          <w:tcPr>
            <w:tcW w:w="898"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好</w:t>
            </w:r>
            <w:r>
              <w:rPr>
                <w:rFonts w:hint="eastAsia" w:ascii="宋体" w:hAnsi="宋体" w:cs="宋体"/>
                <w:color w:val="000000"/>
                <w:kern w:val="0"/>
                <w:sz w:val="20"/>
                <w:szCs w:val="20"/>
              </w:rPr>
              <w:t>　</w:t>
            </w:r>
          </w:p>
        </w:tc>
        <w:tc>
          <w:tcPr>
            <w:tcW w:w="616" w:type="dxa"/>
            <w:tcBorders>
              <w:top w:val="nil"/>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716" w:type="dxa"/>
            <w:tcBorders>
              <w:top w:val="nil"/>
              <w:left w:val="nil"/>
              <w:bottom w:val="single" w:color="auto" w:sz="4" w:space="0"/>
              <w:right w:val="nil"/>
            </w:tcBorders>
            <w:noWrap/>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　</w:t>
            </w:r>
          </w:p>
        </w:tc>
        <w:tc>
          <w:tcPr>
            <w:tcW w:w="3870"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4209"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tblPrEx>
          <w:tblCellMar>
            <w:top w:w="0" w:type="dxa"/>
            <w:left w:w="108" w:type="dxa"/>
            <w:bottom w:w="0" w:type="dxa"/>
            <w:right w:w="108" w:type="dxa"/>
          </w:tblCellMar>
        </w:tblPrEx>
        <w:trPr>
          <w:trHeight w:val="2220" w:hRule="atLeast"/>
        </w:trPr>
        <w:tc>
          <w:tcPr>
            <w:tcW w:w="8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80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资产管理（4）</w:t>
            </w:r>
          </w:p>
        </w:tc>
        <w:tc>
          <w:tcPr>
            <w:tcW w:w="10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资产管理规范性</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好、较好、一般、差</w:t>
            </w:r>
          </w:p>
        </w:tc>
        <w:tc>
          <w:tcPr>
            <w:tcW w:w="89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好</w:t>
            </w:r>
          </w:p>
        </w:tc>
        <w:tc>
          <w:tcPr>
            <w:tcW w:w="6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4</w:t>
            </w:r>
            <w:r>
              <w:rPr>
                <w:rFonts w:hint="eastAsia" w:ascii="宋体" w:hAnsi="宋体" w:cs="宋体"/>
                <w:color w:val="000000"/>
                <w:kern w:val="0"/>
                <w:sz w:val="20"/>
                <w:szCs w:val="20"/>
              </w:rPr>
              <w:t>　</w:t>
            </w:r>
          </w:p>
        </w:tc>
        <w:tc>
          <w:tcPr>
            <w:tcW w:w="387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420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CellMar>
            <w:top w:w="0" w:type="dxa"/>
            <w:left w:w="108" w:type="dxa"/>
            <w:bottom w:w="0" w:type="dxa"/>
            <w:right w:w="108" w:type="dxa"/>
          </w:tblCellMar>
        </w:tblPrEx>
        <w:trPr>
          <w:trHeight w:val="1127" w:hRule="atLeast"/>
        </w:trPr>
        <w:tc>
          <w:tcPr>
            <w:tcW w:w="8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80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绩效管理（4）</w:t>
            </w:r>
          </w:p>
        </w:tc>
        <w:tc>
          <w:tcPr>
            <w:tcW w:w="10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绩效管理情况</w:t>
            </w:r>
          </w:p>
        </w:tc>
        <w:tc>
          <w:tcPr>
            <w:tcW w:w="1230"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好、较好、一般、差</w:t>
            </w:r>
          </w:p>
        </w:tc>
        <w:tc>
          <w:tcPr>
            <w:tcW w:w="898"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较好</w:t>
            </w:r>
          </w:p>
        </w:tc>
        <w:tc>
          <w:tcPr>
            <w:tcW w:w="6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16" w:type="dxa"/>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4</w:t>
            </w:r>
            <w:r>
              <w:rPr>
                <w:rFonts w:hint="eastAsia" w:ascii="宋体" w:hAnsi="宋体" w:cs="宋体"/>
                <w:color w:val="000000"/>
                <w:kern w:val="0"/>
                <w:sz w:val="20"/>
                <w:szCs w:val="20"/>
              </w:rPr>
              <w:t>　</w:t>
            </w:r>
          </w:p>
        </w:tc>
        <w:tc>
          <w:tcPr>
            <w:tcW w:w="387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绩效管理情况:</w:t>
            </w:r>
            <w:r>
              <w:rPr>
                <w:rFonts w:hint="eastAsia" w:ascii="宋体" w:hAnsi="宋体" w:cs="宋体"/>
                <w:color w:val="000000"/>
                <w:kern w:val="0"/>
                <w:sz w:val="18"/>
                <w:szCs w:val="18"/>
              </w:rPr>
              <w:t>考核部门（单位）在绩效管理信息的汇总和应用情况。</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r>
        <w:trPr>
          <w:trHeight w:val="394" w:hRule="atLeast"/>
        </w:trPr>
        <w:tc>
          <w:tcPr>
            <w:tcW w:w="8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80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指标　</w:t>
            </w:r>
          </w:p>
        </w:tc>
        <w:tc>
          <w:tcPr>
            <w:tcW w:w="2246"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r>
              <w:rPr>
                <w:rFonts w:hint="eastAsia" w:ascii="宋体" w:hAnsi="宋体" w:cs="宋体"/>
                <w:color w:val="000000"/>
                <w:kern w:val="0"/>
                <w:sz w:val="20"/>
                <w:szCs w:val="20"/>
                <w:lang w:val="en-US" w:eastAsia="zh-CN"/>
              </w:rPr>
              <w:t>23</w:t>
            </w:r>
            <w:r>
              <w:rPr>
                <w:rFonts w:hint="eastAsia" w:ascii="宋体" w:hAnsi="宋体" w:cs="宋体"/>
                <w:color w:val="000000"/>
                <w:kern w:val="0"/>
                <w:sz w:val="20"/>
                <w:szCs w:val="20"/>
              </w:rPr>
              <w:t>年</w:t>
            </w:r>
          </w:p>
        </w:tc>
        <w:tc>
          <w:tcPr>
            <w:tcW w:w="898"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4</w:t>
            </w:r>
            <w:r>
              <w:rPr>
                <w:rFonts w:hint="eastAsia" w:ascii="宋体" w:hAnsi="宋体" w:cs="宋体"/>
                <w:color w:val="000000"/>
                <w:kern w:val="0"/>
                <w:sz w:val="20"/>
                <w:szCs w:val="20"/>
              </w:rPr>
              <w:t>年</w:t>
            </w:r>
          </w:p>
        </w:tc>
        <w:tc>
          <w:tcPr>
            <w:tcW w:w="6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1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38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4209" w:type="dxa"/>
            <w:tcBorders>
              <w:top w:val="single" w:color="auto" w:sz="4" w:space="0"/>
              <w:left w:val="nil"/>
              <w:bottom w:val="single" w:color="auto" w:sz="4" w:space="0"/>
              <w:right w:val="single" w:color="auto" w:sz="4" w:space="0"/>
            </w:tcBorders>
            <w:noWrap w:val="0"/>
            <w:vAlign w:val="center"/>
          </w:tcPr>
          <w:p>
            <w:pPr>
              <w:widowControl/>
              <w:jc w:val="center"/>
              <w:rPr>
                <w:rFonts w:eastAsia="Times New Roman"/>
                <w:kern w:val="0"/>
                <w:sz w:val="20"/>
                <w:szCs w:val="20"/>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365" w:hRule="atLeast"/>
        </w:trPr>
        <w:tc>
          <w:tcPr>
            <w:tcW w:w="8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803" w:type="dxa"/>
            <w:tcBorders>
              <w:top w:val="nil"/>
              <w:left w:val="nil"/>
              <w:bottom w:val="single" w:color="auto" w:sz="4" w:space="0"/>
              <w:right w:val="single" w:color="auto" w:sz="4" w:space="0"/>
            </w:tcBorders>
            <w:noWrap w:val="0"/>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结转结余率（4）</w:t>
            </w:r>
          </w:p>
        </w:tc>
        <w:tc>
          <w:tcPr>
            <w:tcW w:w="2246"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3.69</w:t>
            </w:r>
            <w:r>
              <w:rPr>
                <w:rFonts w:hint="eastAsia" w:ascii="宋体" w:hAnsi="宋体" w:cs="宋体"/>
                <w:color w:val="000000"/>
                <w:kern w:val="0"/>
                <w:sz w:val="20"/>
                <w:szCs w:val="20"/>
              </w:rPr>
              <w:t>%</w:t>
            </w:r>
          </w:p>
        </w:tc>
        <w:tc>
          <w:tcPr>
            <w:tcW w:w="898"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2.9%</w:t>
            </w:r>
          </w:p>
        </w:tc>
        <w:tc>
          <w:tcPr>
            <w:tcW w:w="616"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16" w:type="dxa"/>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4</w:t>
            </w:r>
            <w:r>
              <w:rPr>
                <w:rFonts w:hint="eastAsia" w:ascii="宋体" w:hAnsi="宋体" w:cs="宋体"/>
                <w:color w:val="000000"/>
                <w:kern w:val="0"/>
                <w:sz w:val="20"/>
                <w:szCs w:val="20"/>
              </w:rPr>
              <w:t>　</w:t>
            </w:r>
          </w:p>
        </w:tc>
        <w:tc>
          <w:tcPr>
            <w:tcW w:w="387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结转结余率=结转结余总额/支出预算数×100%。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结转结余总额：部门（单位）本年度的结转资金与结余资金之和。</w:t>
            </w:r>
          </w:p>
        </w:tc>
        <w:tc>
          <w:tcPr>
            <w:tcW w:w="4209"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CellMar>
            <w:top w:w="0" w:type="dxa"/>
            <w:left w:w="108" w:type="dxa"/>
            <w:bottom w:w="0" w:type="dxa"/>
            <w:right w:w="108" w:type="dxa"/>
          </w:tblCellMar>
        </w:tblPrEx>
        <w:trPr>
          <w:trHeight w:val="90" w:hRule="atLeast"/>
        </w:trPr>
        <w:tc>
          <w:tcPr>
            <w:tcW w:w="81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20"/>
                <w:szCs w:val="20"/>
              </w:rPr>
            </w:pPr>
          </w:p>
        </w:tc>
        <w:tc>
          <w:tcPr>
            <w:tcW w:w="803"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20"/>
                <w:szCs w:val="20"/>
              </w:rPr>
            </w:pPr>
            <w:r>
              <w:rPr>
                <w:rFonts w:hint="eastAsia" w:ascii="宋体" w:hAnsi="宋体" w:cs="宋体"/>
                <w:color w:val="000000"/>
                <w:kern w:val="0"/>
                <w:sz w:val="20"/>
                <w:szCs w:val="20"/>
              </w:rPr>
              <w:t>部门预决算差异率（4）</w:t>
            </w:r>
          </w:p>
        </w:tc>
        <w:tc>
          <w:tcPr>
            <w:tcW w:w="2246" w:type="dxa"/>
            <w:gridSpan w:val="2"/>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8"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　</w:t>
            </w:r>
            <w:r>
              <w:rPr>
                <w:rFonts w:hint="eastAsia" w:ascii="宋体" w:hAnsi="宋体" w:cs="宋体"/>
                <w:color w:val="000000"/>
                <w:kern w:val="0"/>
                <w:sz w:val="20"/>
                <w:szCs w:val="20"/>
                <w:lang w:val="en-US" w:eastAsia="zh-CN"/>
              </w:rPr>
              <w:t>-2.82%</w:t>
            </w:r>
          </w:p>
        </w:tc>
        <w:tc>
          <w:tcPr>
            <w:tcW w:w="616"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16" w:type="dxa"/>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4</w:t>
            </w:r>
            <w:r>
              <w:rPr>
                <w:rFonts w:hint="eastAsia" w:ascii="宋体" w:hAnsi="宋体" w:cs="宋体"/>
                <w:color w:val="000000"/>
                <w:kern w:val="0"/>
                <w:sz w:val="20"/>
                <w:szCs w:val="20"/>
              </w:rPr>
              <w:t>　</w:t>
            </w:r>
          </w:p>
        </w:tc>
        <w:tc>
          <w:tcPr>
            <w:tcW w:w="3870"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通过年度部门决算与年初部门预算对比，对部门的年度支出情况进行考核，衡量部门预算的约束力。</w:t>
            </w:r>
          </w:p>
        </w:tc>
        <w:tc>
          <w:tcPr>
            <w:tcW w:w="4209"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部门预决算差异率高于市级平均差异率（28.3%）的，每高出10%（含），扣0.4分，扣完为止。</w:t>
            </w:r>
          </w:p>
        </w:tc>
      </w:tr>
      <w:tr>
        <w:tblPrEx>
          <w:tblCellMar>
            <w:top w:w="0" w:type="dxa"/>
            <w:left w:w="108" w:type="dxa"/>
            <w:bottom w:w="0" w:type="dxa"/>
            <w:right w:w="108" w:type="dxa"/>
          </w:tblCellMar>
        </w:tblPrEx>
        <w:trPr>
          <w:trHeight w:val="404" w:hRule="atLeast"/>
        </w:trPr>
        <w:tc>
          <w:tcPr>
            <w:tcW w:w="4763"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合计</w:t>
            </w:r>
          </w:p>
        </w:tc>
        <w:tc>
          <w:tcPr>
            <w:tcW w:w="616"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94.4</w:t>
            </w:r>
            <w:r>
              <w:rPr>
                <w:rFonts w:hint="eastAsia" w:ascii="宋体" w:hAnsi="宋体" w:cs="宋体"/>
                <w:color w:val="000000"/>
                <w:kern w:val="0"/>
                <w:sz w:val="20"/>
                <w:szCs w:val="20"/>
              </w:rPr>
              <w:t>　</w:t>
            </w:r>
          </w:p>
        </w:tc>
        <w:tc>
          <w:tcPr>
            <w:tcW w:w="8079" w:type="dxa"/>
            <w:gridSpan w:val="2"/>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bl>
    <w:p>
      <w:pPr>
        <w:spacing w:line="600" w:lineRule="exact"/>
        <w:rPr>
          <w:rFonts w:hint="default" w:eastAsia="宋体"/>
          <w:lang w:val="en-US" w:eastAsia="zh-CN"/>
        </w:rPr>
      </w:pPr>
    </w:p>
    <w:sectPr>
      <w:pgSz w:w="16838" w:h="11906" w:orient="landscape"/>
      <w:pgMar w:top="1417" w:right="1440" w:bottom="1417"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ESI仿宋-GB13000">
    <w:panose1 w:val="02000500000000000000"/>
    <w:charset w:val="86"/>
    <w:family w:val="auto"/>
    <w:pitch w:val="default"/>
    <w:sig w:usb0="800002BF" w:usb1="18CF7CF8" w:usb2="00000016" w:usb3="00000000" w:csb0="0004000F"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Arial Narrow">
    <w:altName w:val="DejaVu Sans"/>
    <w:panose1 w:val="020B0606020202030204"/>
    <w:charset w:val="00"/>
    <w:family w:val="swiss"/>
    <w:pitch w:val="default"/>
    <w:sig w:usb0="00000000"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5ODkyODMwNWM2NmE5NjYxNWUxYWNjNWYxMGU4ZmMifQ=="/>
  </w:docVars>
  <w:rsids>
    <w:rsidRoot w:val="3F0C6F94"/>
    <w:rsid w:val="00AA1183"/>
    <w:rsid w:val="01205B6D"/>
    <w:rsid w:val="01E41DD3"/>
    <w:rsid w:val="023E6B3F"/>
    <w:rsid w:val="024535A0"/>
    <w:rsid w:val="03A02A00"/>
    <w:rsid w:val="04165636"/>
    <w:rsid w:val="041A2869"/>
    <w:rsid w:val="05132E70"/>
    <w:rsid w:val="057C737D"/>
    <w:rsid w:val="059B26DA"/>
    <w:rsid w:val="06211832"/>
    <w:rsid w:val="06B77A73"/>
    <w:rsid w:val="074A6B08"/>
    <w:rsid w:val="079708CB"/>
    <w:rsid w:val="080C4ACB"/>
    <w:rsid w:val="08221CD3"/>
    <w:rsid w:val="084914A6"/>
    <w:rsid w:val="08585DDB"/>
    <w:rsid w:val="085C61DB"/>
    <w:rsid w:val="08675D74"/>
    <w:rsid w:val="089245A8"/>
    <w:rsid w:val="08A61016"/>
    <w:rsid w:val="08F36764"/>
    <w:rsid w:val="096006FE"/>
    <w:rsid w:val="0A766AC5"/>
    <w:rsid w:val="0B224DC6"/>
    <w:rsid w:val="0C1B4B73"/>
    <w:rsid w:val="0C8A7187"/>
    <w:rsid w:val="0E3B2427"/>
    <w:rsid w:val="0F6D0274"/>
    <w:rsid w:val="0F8E7511"/>
    <w:rsid w:val="0FC8193E"/>
    <w:rsid w:val="0FFC213A"/>
    <w:rsid w:val="106E2DBB"/>
    <w:rsid w:val="11302E3C"/>
    <w:rsid w:val="130D7B13"/>
    <w:rsid w:val="149477C7"/>
    <w:rsid w:val="150E5CEF"/>
    <w:rsid w:val="157D40EB"/>
    <w:rsid w:val="15955091"/>
    <w:rsid w:val="159B048A"/>
    <w:rsid w:val="161C6A35"/>
    <w:rsid w:val="16321CA0"/>
    <w:rsid w:val="16390813"/>
    <w:rsid w:val="16AC7D90"/>
    <w:rsid w:val="17031707"/>
    <w:rsid w:val="173C3749"/>
    <w:rsid w:val="1755556F"/>
    <w:rsid w:val="179050D1"/>
    <w:rsid w:val="17F16688"/>
    <w:rsid w:val="18846E87"/>
    <w:rsid w:val="18AC19D1"/>
    <w:rsid w:val="192B1AC5"/>
    <w:rsid w:val="19A02B34"/>
    <w:rsid w:val="19A778F4"/>
    <w:rsid w:val="1A061D6C"/>
    <w:rsid w:val="1AA900FA"/>
    <w:rsid w:val="1ACA09F6"/>
    <w:rsid w:val="1D6E6267"/>
    <w:rsid w:val="1DBB05FE"/>
    <w:rsid w:val="1E322CDD"/>
    <w:rsid w:val="1ECB5DAD"/>
    <w:rsid w:val="1ED65DDD"/>
    <w:rsid w:val="1F2F564A"/>
    <w:rsid w:val="1FA12296"/>
    <w:rsid w:val="1FAF5854"/>
    <w:rsid w:val="20874691"/>
    <w:rsid w:val="23270EE6"/>
    <w:rsid w:val="232B7C15"/>
    <w:rsid w:val="238E51C3"/>
    <w:rsid w:val="23FA5A9C"/>
    <w:rsid w:val="24661428"/>
    <w:rsid w:val="24D63974"/>
    <w:rsid w:val="25153753"/>
    <w:rsid w:val="256E2C8A"/>
    <w:rsid w:val="26234455"/>
    <w:rsid w:val="26A70F06"/>
    <w:rsid w:val="270B44DA"/>
    <w:rsid w:val="271B338D"/>
    <w:rsid w:val="27507E6B"/>
    <w:rsid w:val="28942A08"/>
    <w:rsid w:val="29104CBB"/>
    <w:rsid w:val="292F65DB"/>
    <w:rsid w:val="29E74DB9"/>
    <w:rsid w:val="29FC635E"/>
    <w:rsid w:val="2A6748A6"/>
    <w:rsid w:val="2A9E793D"/>
    <w:rsid w:val="2B14353B"/>
    <w:rsid w:val="2BC92D64"/>
    <w:rsid w:val="2BDA0897"/>
    <w:rsid w:val="2BFF19C0"/>
    <w:rsid w:val="2C927130"/>
    <w:rsid w:val="2D33159F"/>
    <w:rsid w:val="2E7D56E3"/>
    <w:rsid w:val="2EA15E7F"/>
    <w:rsid w:val="2F7B3584"/>
    <w:rsid w:val="2FFB466A"/>
    <w:rsid w:val="306C6195"/>
    <w:rsid w:val="30A76F8E"/>
    <w:rsid w:val="30FC198A"/>
    <w:rsid w:val="314760A8"/>
    <w:rsid w:val="319C0B7F"/>
    <w:rsid w:val="31AD02AF"/>
    <w:rsid w:val="32045CA3"/>
    <w:rsid w:val="323309EE"/>
    <w:rsid w:val="343F76D3"/>
    <w:rsid w:val="34B95C8F"/>
    <w:rsid w:val="36FB1D8D"/>
    <w:rsid w:val="3756191A"/>
    <w:rsid w:val="37A42937"/>
    <w:rsid w:val="38311791"/>
    <w:rsid w:val="384A0C84"/>
    <w:rsid w:val="3861141D"/>
    <w:rsid w:val="38FF7614"/>
    <w:rsid w:val="39892957"/>
    <w:rsid w:val="3A4243F4"/>
    <w:rsid w:val="3AEC7161"/>
    <w:rsid w:val="3B1073D9"/>
    <w:rsid w:val="3B1B4014"/>
    <w:rsid w:val="3B8256EC"/>
    <w:rsid w:val="3B8907CC"/>
    <w:rsid w:val="3BE261A7"/>
    <w:rsid w:val="3CB7456D"/>
    <w:rsid w:val="3CF50299"/>
    <w:rsid w:val="3D205B9B"/>
    <w:rsid w:val="3DFC77FA"/>
    <w:rsid w:val="3E5F6E3A"/>
    <w:rsid w:val="3EFFB9CE"/>
    <w:rsid w:val="3F0C6F94"/>
    <w:rsid w:val="3F3942C4"/>
    <w:rsid w:val="3F6C6E83"/>
    <w:rsid w:val="404B1DE8"/>
    <w:rsid w:val="412F011B"/>
    <w:rsid w:val="413723B0"/>
    <w:rsid w:val="414408D3"/>
    <w:rsid w:val="423E1AC1"/>
    <w:rsid w:val="42781533"/>
    <w:rsid w:val="42B91B0A"/>
    <w:rsid w:val="43A22830"/>
    <w:rsid w:val="43DECAA4"/>
    <w:rsid w:val="44C90008"/>
    <w:rsid w:val="44EF1BAB"/>
    <w:rsid w:val="450A78D8"/>
    <w:rsid w:val="458B0897"/>
    <w:rsid w:val="45A02594"/>
    <w:rsid w:val="46F67FBF"/>
    <w:rsid w:val="470A6700"/>
    <w:rsid w:val="48F544BB"/>
    <w:rsid w:val="4902156A"/>
    <w:rsid w:val="49427F03"/>
    <w:rsid w:val="4A1C048A"/>
    <w:rsid w:val="4A635BBB"/>
    <w:rsid w:val="4A6539F4"/>
    <w:rsid w:val="4A9C1125"/>
    <w:rsid w:val="4AC30C21"/>
    <w:rsid w:val="4C1328D4"/>
    <w:rsid w:val="4C1B0AFC"/>
    <w:rsid w:val="4CC36B68"/>
    <w:rsid w:val="4DAF49F3"/>
    <w:rsid w:val="4E5A6DC0"/>
    <w:rsid w:val="4FF0030A"/>
    <w:rsid w:val="50015DF2"/>
    <w:rsid w:val="50102255"/>
    <w:rsid w:val="508F5BBB"/>
    <w:rsid w:val="50A97291"/>
    <w:rsid w:val="51053DBE"/>
    <w:rsid w:val="514F28D8"/>
    <w:rsid w:val="518D45B6"/>
    <w:rsid w:val="527365C7"/>
    <w:rsid w:val="52AC4F09"/>
    <w:rsid w:val="52F2644D"/>
    <w:rsid w:val="533E3897"/>
    <w:rsid w:val="538E0B78"/>
    <w:rsid w:val="547532BA"/>
    <w:rsid w:val="55393F9F"/>
    <w:rsid w:val="55A90FF1"/>
    <w:rsid w:val="55B4429A"/>
    <w:rsid w:val="55F8445C"/>
    <w:rsid w:val="567426CC"/>
    <w:rsid w:val="56FE65B3"/>
    <w:rsid w:val="57185A05"/>
    <w:rsid w:val="572B7551"/>
    <w:rsid w:val="578A6FDC"/>
    <w:rsid w:val="57F047F5"/>
    <w:rsid w:val="591C332E"/>
    <w:rsid w:val="59516910"/>
    <w:rsid w:val="596C17E5"/>
    <w:rsid w:val="59A9008A"/>
    <w:rsid w:val="5A220E36"/>
    <w:rsid w:val="5A6514E8"/>
    <w:rsid w:val="5B2B5447"/>
    <w:rsid w:val="5B43584C"/>
    <w:rsid w:val="5B9102A2"/>
    <w:rsid w:val="5CB07C66"/>
    <w:rsid w:val="5D7FD489"/>
    <w:rsid w:val="5D8D5033"/>
    <w:rsid w:val="5DD938F3"/>
    <w:rsid w:val="5E0A4E97"/>
    <w:rsid w:val="5E5F2880"/>
    <w:rsid w:val="5F5324A6"/>
    <w:rsid w:val="5F9B42EE"/>
    <w:rsid w:val="60880F62"/>
    <w:rsid w:val="60AB7C63"/>
    <w:rsid w:val="614C3EA1"/>
    <w:rsid w:val="61BB6B8C"/>
    <w:rsid w:val="620F6C3F"/>
    <w:rsid w:val="632447D6"/>
    <w:rsid w:val="6371280B"/>
    <w:rsid w:val="641173FA"/>
    <w:rsid w:val="645516B9"/>
    <w:rsid w:val="651C47C3"/>
    <w:rsid w:val="65337922"/>
    <w:rsid w:val="65341022"/>
    <w:rsid w:val="66F421AC"/>
    <w:rsid w:val="673A2DBF"/>
    <w:rsid w:val="674A1F19"/>
    <w:rsid w:val="688B735A"/>
    <w:rsid w:val="689C76BF"/>
    <w:rsid w:val="69175ACC"/>
    <w:rsid w:val="694474CE"/>
    <w:rsid w:val="69B517AA"/>
    <w:rsid w:val="6A254B91"/>
    <w:rsid w:val="6A500709"/>
    <w:rsid w:val="6B0A3FFE"/>
    <w:rsid w:val="6C5C3433"/>
    <w:rsid w:val="6C5E2742"/>
    <w:rsid w:val="6CF3174A"/>
    <w:rsid w:val="6D401DE3"/>
    <w:rsid w:val="6D433ECF"/>
    <w:rsid w:val="6DAC56CB"/>
    <w:rsid w:val="6E0A67CC"/>
    <w:rsid w:val="6E0F67F1"/>
    <w:rsid w:val="6F1C555E"/>
    <w:rsid w:val="6F9D1340"/>
    <w:rsid w:val="701E3F32"/>
    <w:rsid w:val="707B5963"/>
    <w:rsid w:val="71C03E9F"/>
    <w:rsid w:val="721A7995"/>
    <w:rsid w:val="736D0FE2"/>
    <w:rsid w:val="73BF4B8A"/>
    <w:rsid w:val="74697F64"/>
    <w:rsid w:val="750D14C0"/>
    <w:rsid w:val="760D7AAA"/>
    <w:rsid w:val="761822F4"/>
    <w:rsid w:val="768C6FB5"/>
    <w:rsid w:val="772B3B04"/>
    <w:rsid w:val="775A26EC"/>
    <w:rsid w:val="77674410"/>
    <w:rsid w:val="77F734E8"/>
    <w:rsid w:val="78BF3D35"/>
    <w:rsid w:val="79151A44"/>
    <w:rsid w:val="79D17503"/>
    <w:rsid w:val="7A572FE3"/>
    <w:rsid w:val="7BC833F0"/>
    <w:rsid w:val="7D2E0CFB"/>
    <w:rsid w:val="7D4E5DFC"/>
    <w:rsid w:val="7D61B697"/>
    <w:rsid w:val="7E933338"/>
    <w:rsid w:val="7FFF7641"/>
    <w:rsid w:val="BEDABE07"/>
    <w:rsid w:val="BFDF5020"/>
    <w:rsid w:val="CFFEB312"/>
    <w:rsid w:val="E6BF8387"/>
    <w:rsid w:val="EBBFE36E"/>
    <w:rsid w:val="EFCEA976"/>
    <w:rsid w:val="FD9F066B"/>
    <w:rsid w:val="FF6FD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ind w:firstLine="0" w:firstLineChars="0"/>
      <w:jc w:val="center"/>
      <w:outlineLvl w:val="1"/>
    </w:pPr>
    <w:rPr>
      <w:rFonts w:ascii="Cambria" w:hAnsi="Cambria"/>
      <w:b/>
      <w:bCs/>
      <w:sz w:val="36"/>
      <w:szCs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toc 3"/>
    <w:basedOn w:val="1"/>
    <w:next w:val="1"/>
    <w:qFormat/>
    <w:uiPriority w:val="0"/>
    <w:pPr>
      <w:autoSpaceDE w:val="0"/>
      <w:spacing w:beforeAutospacing="1" w:afterAutospacing="1" w:line="600" w:lineRule="exact"/>
      <w:ind w:firstLine="640" w:firstLineChars="200"/>
    </w:pPr>
    <w:rPr>
      <w:rFonts w:hint="eastAsia" w:ascii="黑体" w:hAnsi="宋体" w:eastAsia="黑体"/>
      <w:sz w:val="32"/>
      <w:szCs w:val="32"/>
    </w:rPr>
  </w:style>
  <w:style w:type="paragraph" w:styleId="5">
    <w:name w:val="Normal Indent"/>
    <w:basedOn w:val="1"/>
    <w:qFormat/>
    <w:uiPriority w:val="0"/>
    <w:pPr>
      <w:ind w:firstLine="200" w:firstLineChars="200"/>
    </w:pPr>
  </w:style>
  <w:style w:type="paragraph" w:styleId="6">
    <w:name w:val="Block Text"/>
    <w:basedOn w:val="1"/>
    <w:qFormat/>
    <w:uiPriority w:val="0"/>
    <w:pPr>
      <w:ind w:firstLine="200" w:firstLineChars="200"/>
    </w:pPr>
    <w:rPr>
      <w:rFonts w:ascii="Calibri" w:hAnsi="Calibri" w:eastAsia="仿宋_GB2312"/>
      <w:sz w:val="32"/>
      <w:szCs w:val="2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customStyle="1" w:styleId="16">
    <w:name w:val="font61"/>
    <w:basedOn w:val="14"/>
    <w:qFormat/>
    <w:uiPriority w:val="0"/>
    <w:rPr>
      <w:rFonts w:hint="eastAsia" w:ascii="宋体" w:hAnsi="宋体" w:eastAsia="宋体" w:cs="宋体"/>
      <w:color w:val="000000"/>
      <w:sz w:val="22"/>
      <w:szCs w:val="22"/>
      <w:u w:val="none"/>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921</Words>
  <Characters>970</Characters>
  <Lines>0</Lines>
  <Paragraphs>0</Paragraphs>
  <TotalTime>16</TotalTime>
  <ScaleCrop>false</ScaleCrop>
  <LinksUpToDate>false</LinksUpToDate>
  <CharactersWithSpaces>1037</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2022-04-25T23:23:00Z</dcterms:created>
  <dc:creator>吴慧</dc:creator>
  <cp:lastModifiedBy>user</cp:lastModifiedBy>
  <dcterms:modified xsi:type="dcterms:W3CDTF">2025-08-27T10:51:24Z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2052-11.8.2.12129</vt:lpwstr>
  </property>
  <property fmtid="{D5CDD505-2E9C-101B-9397-08002B2CF9AE}" pid="3" name="ICV">
    <vt:lpwstr>E8B5174CB0D6AB00AC72AE689668932A</vt:lpwstr>
  </property>
  <property fmtid="{D5CDD505-2E9C-101B-9397-08002B2CF9AE}" pid="4" name="commondata">
    <vt:lpwstr>eyJoZGlkIjoiMTY5ODkyODMwNWM2NmE5NjYxNWUxYWNjNWYxMGU4ZmMifQ==</vt:lpwstr>
  </property>
  <property fmtid="{D5CDD505-2E9C-101B-9397-08002B2CF9AE}" pid="5" name="KSOTemplateDocerSaveRecord">
    <vt:lpwstr>eyJoZGlkIjoiMTY5ODkyODMwNWM2NmE5NjYxNWUxYWNjNWYxMGU4ZmMiLCJ1c2VySWQiOiI3NDI1OTg4OTEifQ==</vt:lpwstr>
  </property>
</Properties>
</file>