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2502"/>
      <w:bookmarkStart w:id="1" w:name="_Toc27325"/>
    </w:p>
    <w:p>
      <w:pPr>
        <w:rPr>
          <w:rFonts w:hint="eastAsia" w:ascii="宋体" w:hAnsi="宋体" w:cs="宋体"/>
          <w:b/>
          <w:bCs/>
          <w:sz w:val="44"/>
          <w:szCs w:val="44"/>
        </w:rPr>
      </w:pPr>
    </w:p>
    <w:p>
      <w:pPr>
        <w:spacing w:line="360" w:lineRule="auto"/>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北京市财政支出项目</w:t>
      </w:r>
    </w:p>
    <w:p>
      <w:pPr>
        <w:spacing w:line="360" w:lineRule="auto"/>
        <w:jc w:val="center"/>
        <w:rPr>
          <w:rFonts w:hint="eastAsia" w:ascii="宋体" w:hAnsi="宋体" w:cs="宋体"/>
          <w:b/>
          <w:bCs/>
          <w:sz w:val="44"/>
          <w:szCs w:val="44"/>
        </w:rPr>
      </w:pPr>
      <w:r>
        <w:rPr>
          <w:rFonts w:hint="eastAsia" w:ascii="方正小标宋简体" w:hAnsi="方正小标宋简体" w:eastAsia="方正小标宋简体" w:cs="方正小标宋简体"/>
          <w:b/>
          <w:bCs/>
          <w:sz w:val="44"/>
          <w:szCs w:val="44"/>
        </w:rPr>
        <w:t>绩效评价报告</w:t>
      </w:r>
      <w:bookmarkEnd w:id="0"/>
      <w:bookmarkEnd w:id="1"/>
    </w:p>
    <w:p>
      <w:pPr>
        <w:spacing w:before="100" w:beforeAutospacing="1" w:after="100" w:afterAutospacing="1" w:line="360" w:lineRule="auto"/>
        <w:rPr>
          <w:rFonts w:hint="eastAsia" w:ascii="宋体" w:hAnsi="宋体"/>
          <w:b/>
          <w:sz w:val="36"/>
          <w:szCs w:val="36"/>
        </w:rPr>
      </w:pPr>
    </w:p>
    <w:p>
      <w:pPr>
        <w:pStyle w:val="12"/>
        <w:ind w:firstLine="640"/>
      </w:pPr>
    </w:p>
    <w:p>
      <w:pPr>
        <w:snapToGrid w:val="0"/>
        <w:spacing w:after="240" w:line="360" w:lineRule="auto"/>
        <w:ind w:firstLine="640" w:firstLineChars="200"/>
        <w:rPr>
          <w:rFonts w:hint="eastAsia" w:ascii="楷体" w:hAnsi="楷体" w:eastAsia="楷体" w:cs="仿宋_GB2312"/>
          <w:sz w:val="32"/>
          <w:szCs w:val="32"/>
          <w:u w:val="single"/>
        </w:rPr>
      </w:pPr>
      <w:r>
        <w:rPr>
          <w:rFonts w:hint="eastAsia" w:ascii="楷体" w:hAnsi="楷体" w:eastAsia="楷体" w:cs="仿宋_GB2312"/>
          <w:sz w:val="32"/>
          <w:szCs w:val="32"/>
        </w:rPr>
        <w:t>主管部门：</w:t>
      </w:r>
      <w:r>
        <w:rPr>
          <w:rFonts w:hint="eastAsia" w:ascii="楷体" w:hAnsi="楷体" w:eastAsia="楷体" w:cs="仿宋_GB2312"/>
          <w:sz w:val="32"/>
          <w:szCs w:val="32"/>
          <w:u w:val="single"/>
          <w:lang w:eastAsia="zh-CN"/>
        </w:rPr>
        <w:t>北京铁路运输检察院</w:t>
      </w:r>
      <w:r>
        <w:rPr>
          <w:rFonts w:hint="eastAsia" w:ascii="楷体" w:hAnsi="楷体" w:eastAsia="楷体" w:cs="仿宋_GB2312"/>
          <w:sz w:val="32"/>
          <w:szCs w:val="32"/>
          <w:u w:val="single"/>
        </w:rPr>
        <w:t xml:space="preserve">   </w:t>
      </w:r>
    </w:p>
    <w:p>
      <w:pPr>
        <w:snapToGrid w:val="0"/>
        <w:spacing w:after="240" w:line="360" w:lineRule="auto"/>
        <w:ind w:firstLine="640" w:firstLineChars="200"/>
        <w:rPr>
          <w:rFonts w:hint="eastAsia" w:ascii="楷体" w:hAnsi="楷体" w:eastAsia="楷体" w:cs="仿宋_GB2312"/>
          <w:sz w:val="32"/>
          <w:szCs w:val="32"/>
          <w:u w:val="single"/>
        </w:rPr>
      </w:pPr>
      <w:r>
        <w:rPr>
          <w:rFonts w:hint="eastAsia" w:ascii="楷体" w:hAnsi="楷体" w:eastAsia="楷体" w:cs="仿宋_GB2312"/>
          <w:sz w:val="32"/>
          <w:szCs w:val="32"/>
        </w:rPr>
        <w:t>部门名称：</w:t>
      </w:r>
      <w:r>
        <w:rPr>
          <w:rFonts w:hint="eastAsia" w:ascii="楷体" w:hAnsi="楷体" w:eastAsia="楷体" w:cs="仿宋_GB2312"/>
          <w:sz w:val="32"/>
          <w:szCs w:val="32"/>
          <w:u w:val="single"/>
        </w:rPr>
        <w:t>北京铁路运输检察院</w:t>
      </w:r>
      <w:r>
        <w:rPr>
          <w:rFonts w:hint="eastAsia" w:ascii="楷体" w:hAnsi="楷体" w:eastAsia="楷体" w:cs="仿宋_GB2312"/>
          <w:sz w:val="32"/>
          <w:szCs w:val="32"/>
          <w:u w:val="single"/>
          <w:lang w:eastAsia="zh-CN"/>
        </w:rPr>
        <w:t>（本级）</w:t>
      </w:r>
      <w:r>
        <w:rPr>
          <w:rFonts w:hint="eastAsia" w:ascii="楷体" w:hAnsi="楷体" w:eastAsia="楷体" w:cs="仿宋_GB2312"/>
          <w:sz w:val="32"/>
          <w:szCs w:val="32"/>
          <w:u w:val="single"/>
        </w:rPr>
        <w:t xml:space="preserve"> </w:t>
      </w:r>
    </w:p>
    <w:p>
      <w:pPr>
        <w:snapToGrid w:val="0"/>
        <w:spacing w:after="240"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项目名称：</w:t>
      </w:r>
      <w:r>
        <w:rPr>
          <w:rFonts w:hint="eastAsia" w:ascii="楷体" w:hAnsi="楷体" w:eastAsia="楷体" w:cs="仿宋_GB2312"/>
          <w:sz w:val="30"/>
          <w:szCs w:val="30"/>
          <w:u w:val="single"/>
        </w:rPr>
        <w:t xml:space="preserve">信息系统运维类项目  </w:t>
      </w:r>
      <w:r>
        <w:rPr>
          <w:rFonts w:hint="eastAsia" w:ascii="楷体" w:hAnsi="楷体" w:eastAsia="楷体" w:cs="仿宋_GB2312"/>
          <w:sz w:val="32"/>
          <w:szCs w:val="32"/>
        </w:rPr>
        <w:t xml:space="preserve"> </w:t>
      </w:r>
    </w:p>
    <w:p>
      <w:pPr>
        <w:snapToGrid w:val="0"/>
        <w:spacing w:after="240" w:line="360" w:lineRule="auto"/>
        <w:ind w:firstLine="640" w:firstLineChars="200"/>
        <w:rPr>
          <w:rFonts w:hint="eastAsia" w:ascii="楷体" w:hAnsi="楷体" w:eastAsia="楷体" w:cs="仿宋_GB2312"/>
          <w:sz w:val="32"/>
          <w:szCs w:val="32"/>
        </w:rPr>
      </w:pPr>
      <w:r>
        <w:rPr>
          <w:rFonts w:hint="eastAsia" w:ascii="楷体" w:hAnsi="楷体" w:eastAsia="楷体" w:cs="仿宋_GB2312"/>
          <w:sz w:val="32"/>
          <w:szCs w:val="32"/>
        </w:rPr>
        <w:t>评价单位：</w:t>
      </w:r>
      <w:r>
        <w:rPr>
          <w:rFonts w:hint="eastAsia" w:ascii="楷体" w:hAnsi="楷体" w:eastAsia="楷体" w:cs="仿宋_GB2312"/>
          <w:sz w:val="32"/>
          <w:szCs w:val="32"/>
          <w:u w:val="single"/>
        </w:rPr>
        <w:t xml:space="preserve">北京铁路运输检察院 </w:t>
      </w:r>
    </w:p>
    <w:p>
      <w:pPr>
        <w:rPr>
          <w:rFonts w:hint="eastAsia" w:ascii="宋体" w:hAnsi="宋体"/>
          <w:sz w:val="36"/>
          <w:szCs w:val="36"/>
        </w:rPr>
      </w:pPr>
    </w:p>
    <w:p>
      <w:pPr>
        <w:rPr>
          <w:rFonts w:hint="eastAsia" w:ascii="宋体" w:hAnsi="宋体"/>
          <w:sz w:val="36"/>
          <w:szCs w:val="36"/>
        </w:rPr>
      </w:pPr>
    </w:p>
    <w:p>
      <w:pPr>
        <w:rPr>
          <w:rFonts w:hint="eastAsia" w:ascii="宋体" w:hAnsi="宋体"/>
          <w:sz w:val="36"/>
          <w:szCs w:val="36"/>
        </w:rPr>
      </w:pPr>
    </w:p>
    <w:p>
      <w:pPr>
        <w:rPr>
          <w:rFonts w:hint="eastAsia" w:ascii="宋体" w:hAnsi="宋体"/>
          <w:sz w:val="36"/>
          <w:szCs w:val="36"/>
        </w:rPr>
      </w:pPr>
    </w:p>
    <w:p>
      <w:pPr>
        <w:rPr>
          <w:rFonts w:hint="eastAsia" w:ascii="宋体" w:hAnsi="宋体"/>
          <w:b/>
          <w:bCs/>
          <w:szCs w:val="32"/>
        </w:rPr>
      </w:pPr>
    </w:p>
    <w:p>
      <w:pPr>
        <w:jc w:val="center"/>
        <w:rPr>
          <w:rFonts w:hint="eastAsia" w:ascii="宋体" w:hAnsi="宋体" w:eastAsia="仿宋_GB2312" w:cs="宋体"/>
          <w:b/>
          <w:sz w:val="32"/>
          <w:szCs w:val="32"/>
        </w:rPr>
      </w:pPr>
      <w:r>
        <w:rPr>
          <w:rFonts w:hint="eastAsia" w:ascii="宋体" w:hAnsi="宋体" w:eastAsia="仿宋_GB2312" w:cs="宋体"/>
          <w:b/>
          <w:sz w:val="32"/>
          <w:szCs w:val="32"/>
        </w:rPr>
        <w:t>北京铁路运输检察院</w:t>
      </w:r>
    </w:p>
    <w:p>
      <w:pPr>
        <w:jc w:val="center"/>
        <w:rPr>
          <w:rFonts w:hint="eastAsia" w:ascii="宋体" w:hAnsi="宋体" w:eastAsia="仿宋_GB2312" w:cs="宋体"/>
          <w:b/>
          <w:sz w:val="32"/>
          <w:szCs w:val="32"/>
        </w:rPr>
      </w:pPr>
      <w:r>
        <w:rPr>
          <w:rFonts w:hint="eastAsia" w:ascii="宋体" w:hAnsi="宋体" w:eastAsia="仿宋_GB2312" w:cs="宋体"/>
          <w:b/>
          <w:sz w:val="32"/>
          <w:szCs w:val="32"/>
        </w:rPr>
        <w:t>二〇二五年五月</w:t>
      </w:r>
    </w:p>
    <w:p>
      <w:pPr>
        <w:jc w:val="center"/>
        <w:rPr>
          <w:rFonts w:hint="eastAsia" w:ascii="宋体" w:hAnsi="宋体" w:eastAsia="仿宋_GB2312" w:cs="宋体"/>
          <w:b/>
          <w:sz w:val="32"/>
          <w:szCs w:val="32"/>
        </w:rPr>
        <w:sectPr>
          <w:footerReference r:id="rId3" w:type="default"/>
          <w:pgSz w:w="11906" w:h="16838"/>
          <w:pgMar w:top="1440" w:right="1800" w:bottom="1440" w:left="1800" w:header="851" w:footer="992" w:gutter="0"/>
          <w:pgNumType w:fmt="numberInDash"/>
          <w:cols w:space="425" w:num="1"/>
          <w:titlePg/>
          <w:docGrid w:type="lines" w:linePitch="312" w:charSpace="0"/>
        </w:sectPr>
      </w:pPr>
    </w:p>
    <w:sdt>
      <w:sdtPr>
        <w:rPr>
          <w:rFonts w:ascii="Times New Roman" w:hAnsi="Times New Roman" w:eastAsia="宋体" w:cs="Times New Roman"/>
          <w:color w:val="auto"/>
          <w:kern w:val="2"/>
          <w:sz w:val="21"/>
          <w:szCs w:val="24"/>
          <w:lang w:val="zh-CN"/>
        </w:rPr>
        <w:id w:val="-1887712123"/>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25"/>
            <w:spacing w:line="360" w:lineRule="auto"/>
            <w:jc w:val="center"/>
            <w:rPr>
              <w:b/>
              <w:color w:val="auto"/>
            </w:rPr>
          </w:pPr>
          <w:r>
            <w:rPr>
              <w:b/>
              <w:color w:val="auto"/>
              <w:lang w:val="zh-CN"/>
            </w:rPr>
            <w:t>目</w:t>
          </w:r>
          <w:r>
            <w:rPr>
              <w:rFonts w:hint="eastAsia"/>
              <w:b/>
              <w:color w:val="auto"/>
              <w:lang w:val="zh-CN"/>
            </w:rPr>
            <w:t xml:space="preserve"> </w:t>
          </w:r>
          <w:r>
            <w:rPr>
              <w:b/>
              <w:color w:val="auto"/>
              <w:lang w:val="zh-CN"/>
            </w:rPr>
            <w:t xml:space="preserve"> 录</w:t>
          </w:r>
        </w:p>
        <w:p>
          <w:pPr>
            <w:pStyle w:val="10"/>
            <w:tabs>
              <w:tab w:val="right" w:leader="dot" w:pos="8296"/>
            </w:tabs>
            <w:spacing w:line="360" w:lineRule="auto"/>
            <w:rPr>
              <w:rFonts w:asciiTheme="minorHAnsi" w:hAnsiTheme="minorHAnsi" w:eastAsiaTheme="minorEastAsia" w:cstheme="minorBidi"/>
              <w:sz w:val="24"/>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"_Toc168499417" </w:instrText>
          </w:r>
          <w:r>
            <w:fldChar w:fldCharType="separate"/>
          </w:r>
          <w:r>
            <w:rPr>
              <w:rStyle w:val="16"/>
              <w:rFonts w:hint="eastAsia" w:ascii="黑体" w:hAnsi="黑体" w:eastAsia="黑体" w:cs="黑体"/>
              <w:sz w:val="24"/>
            </w:rPr>
            <w:t>一、基本情况</w:t>
          </w:r>
          <w:r>
            <w:rPr>
              <w:sz w:val="24"/>
            </w:rPr>
            <w:tab/>
          </w:r>
          <w:r>
            <w:rPr>
              <w:sz w:val="24"/>
            </w:rPr>
            <w:fldChar w:fldCharType="begin"/>
          </w:r>
          <w:r>
            <w:rPr>
              <w:sz w:val="24"/>
            </w:rPr>
            <w:instrText xml:space="preserve"> PAGEREF _Toc168499417 \h </w:instrText>
          </w:r>
          <w:r>
            <w:rPr>
              <w:sz w:val="24"/>
            </w:rPr>
            <w:fldChar w:fldCharType="separate"/>
          </w:r>
          <w:r>
            <w:rPr>
              <w:sz w:val="24"/>
            </w:rPr>
            <w:t>- 1 -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"_Toc168499418" </w:instrText>
          </w:r>
          <w:r>
            <w:fldChar w:fldCharType="separate"/>
          </w:r>
          <w:r>
            <w:rPr>
              <w:rStyle w:val="16"/>
              <w:rFonts w:hint="eastAsia" w:ascii="楷体_GB2312" w:hAnsi="楷体_GB2312" w:eastAsia="楷体_GB2312" w:cs="楷体_GB2312"/>
              <w:sz w:val="24"/>
            </w:rPr>
            <w:t>（一）项目概况</w:t>
          </w:r>
          <w:r>
            <w:rPr>
              <w:sz w:val="24"/>
            </w:rPr>
            <w:tab/>
          </w:r>
          <w:r>
            <w:rPr>
              <w:sz w:val="24"/>
            </w:rPr>
            <w:fldChar w:fldCharType="begin"/>
          </w:r>
          <w:r>
            <w:rPr>
              <w:sz w:val="24"/>
            </w:rPr>
            <w:instrText xml:space="preserve"> PAGEREF _Toc168499418 \h </w:instrText>
          </w:r>
          <w:r>
            <w:rPr>
              <w:sz w:val="24"/>
            </w:rPr>
            <w:fldChar w:fldCharType="separate"/>
          </w:r>
          <w:r>
            <w:rPr>
              <w:sz w:val="24"/>
            </w:rPr>
            <w:t>- 1 -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"_Toc168499419" </w:instrText>
          </w:r>
          <w:r>
            <w:fldChar w:fldCharType="separate"/>
          </w:r>
          <w:r>
            <w:rPr>
              <w:rStyle w:val="16"/>
              <w:rFonts w:hint="eastAsia" w:ascii="楷体_GB2312" w:hAnsi="楷体_GB2312" w:eastAsia="楷体_GB2312" w:cs="楷体_GB2312"/>
              <w:sz w:val="24"/>
            </w:rPr>
            <w:t>（二）项目绩效目标</w:t>
          </w:r>
          <w:r>
            <w:rPr>
              <w:sz w:val="24"/>
            </w:rPr>
            <w:tab/>
          </w:r>
          <w:r>
            <w:rPr>
              <w:sz w:val="24"/>
            </w:rPr>
            <w:fldChar w:fldCharType="begin"/>
          </w:r>
          <w:r>
            <w:rPr>
              <w:sz w:val="24"/>
            </w:rPr>
            <w:instrText xml:space="preserve"> PAGEREF _Toc168499419 \h </w:instrText>
          </w:r>
          <w:r>
            <w:rPr>
              <w:sz w:val="24"/>
            </w:rPr>
            <w:fldChar w:fldCharType="separate"/>
          </w:r>
          <w:r>
            <w:rPr>
              <w:sz w:val="24"/>
            </w:rPr>
            <w:t>- 3 -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"_Toc168499420" </w:instrText>
          </w:r>
          <w:r>
            <w:fldChar w:fldCharType="separate"/>
          </w:r>
          <w:r>
            <w:rPr>
              <w:rStyle w:val="16"/>
              <w:rFonts w:hint="eastAsia" w:ascii="黑体" w:hAnsi="黑体" w:eastAsia="黑体" w:cs="黑体"/>
              <w:sz w:val="24"/>
            </w:rPr>
            <w:t>二、绩效评价工作开展情况</w:t>
          </w:r>
          <w:r>
            <w:rPr>
              <w:sz w:val="24"/>
            </w:rPr>
            <w:tab/>
          </w:r>
          <w:r>
            <w:rPr>
              <w:sz w:val="24"/>
            </w:rPr>
            <w:fldChar w:fldCharType="begin"/>
          </w:r>
          <w:r>
            <w:rPr>
              <w:sz w:val="24"/>
            </w:rPr>
            <w:instrText xml:space="preserve"> PAGEREF _Toc168499420 \h </w:instrText>
          </w:r>
          <w:r>
            <w:rPr>
              <w:sz w:val="24"/>
            </w:rPr>
            <w:fldChar w:fldCharType="separate"/>
          </w:r>
          <w:r>
            <w:rPr>
              <w:sz w:val="24"/>
            </w:rPr>
            <w:t>- 3 -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"_Toc168499421" </w:instrText>
          </w:r>
          <w:r>
            <w:fldChar w:fldCharType="separate"/>
          </w:r>
          <w:r>
            <w:rPr>
              <w:rStyle w:val="16"/>
              <w:rFonts w:hint="eastAsia" w:ascii="楷体_GB2312" w:hAnsi="楷体_GB2312" w:eastAsia="楷体_GB2312" w:cs="楷体_GB2312"/>
              <w:sz w:val="24"/>
            </w:rPr>
            <w:t>（一）绩效评价目的、对象和范围</w:t>
          </w:r>
          <w:r>
            <w:rPr>
              <w:sz w:val="24"/>
            </w:rPr>
            <w:tab/>
          </w:r>
          <w:r>
            <w:rPr>
              <w:sz w:val="24"/>
            </w:rPr>
            <w:fldChar w:fldCharType="begin"/>
          </w:r>
          <w:r>
            <w:rPr>
              <w:sz w:val="24"/>
            </w:rPr>
            <w:instrText xml:space="preserve"> PAGEREF _Toc168499421 \h </w:instrText>
          </w:r>
          <w:r>
            <w:rPr>
              <w:sz w:val="24"/>
            </w:rPr>
            <w:fldChar w:fldCharType="separate"/>
          </w:r>
          <w:r>
            <w:rPr>
              <w:sz w:val="24"/>
            </w:rPr>
            <w:t>- 3 -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"_Toc168499422" </w:instrText>
          </w:r>
          <w:r>
            <w:fldChar w:fldCharType="separate"/>
          </w:r>
          <w:r>
            <w:rPr>
              <w:rStyle w:val="16"/>
              <w:rFonts w:hint="eastAsia" w:ascii="楷体_GB2312" w:hAnsi="楷体_GB2312" w:eastAsia="楷体_GB2312" w:cs="楷体_GB2312"/>
              <w:sz w:val="24"/>
            </w:rPr>
            <w:t>（二）绩效评价原则、评价指标体系、评价方法、评价标准等</w:t>
          </w:r>
          <w:r>
            <w:rPr>
              <w:sz w:val="24"/>
            </w:rPr>
            <w:tab/>
          </w:r>
          <w:r>
            <w:rPr>
              <w:sz w:val="24"/>
            </w:rPr>
            <w:fldChar w:fldCharType="begin"/>
          </w:r>
          <w:r>
            <w:rPr>
              <w:sz w:val="24"/>
            </w:rPr>
            <w:instrText xml:space="preserve"> PAGEREF _Toc168499422 \h </w:instrText>
          </w:r>
          <w:r>
            <w:rPr>
              <w:sz w:val="24"/>
            </w:rPr>
            <w:fldChar w:fldCharType="separate"/>
          </w:r>
          <w:r>
            <w:rPr>
              <w:sz w:val="24"/>
            </w:rPr>
            <w:t>- 4 -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"_Toc168499423" </w:instrText>
          </w:r>
          <w:r>
            <w:fldChar w:fldCharType="separate"/>
          </w:r>
          <w:r>
            <w:rPr>
              <w:rStyle w:val="16"/>
              <w:rFonts w:hint="eastAsia" w:ascii="楷体_GB2312" w:hAnsi="楷体_GB2312" w:eastAsia="楷体_GB2312" w:cs="楷体_GB2312"/>
              <w:sz w:val="24"/>
            </w:rPr>
            <w:t>（三）绩效评价工作过程</w:t>
          </w:r>
          <w:r>
            <w:rPr>
              <w:sz w:val="24"/>
            </w:rPr>
            <w:tab/>
          </w:r>
          <w:r>
            <w:rPr>
              <w:sz w:val="24"/>
            </w:rPr>
            <w:fldChar w:fldCharType="begin"/>
          </w:r>
          <w:r>
            <w:rPr>
              <w:sz w:val="24"/>
            </w:rPr>
            <w:instrText xml:space="preserve"> PAGEREF _Toc168499423 \h </w:instrText>
          </w:r>
          <w:r>
            <w:rPr>
              <w:sz w:val="24"/>
            </w:rPr>
            <w:fldChar w:fldCharType="separate"/>
          </w:r>
          <w:r>
            <w:rPr>
              <w:sz w:val="24"/>
            </w:rPr>
            <w:t>- 6 -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"_Toc168499424" </w:instrText>
          </w:r>
          <w:r>
            <w:fldChar w:fldCharType="separate"/>
          </w:r>
          <w:r>
            <w:rPr>
              <w:rStyle w:val="16"/>
              <w:rFonts w:hint="eastAsia" w:ascii="黑体" w:hAnsi="黑体" w:eastAsia="黑体" w:cs="黑体"/>
              <w:sz w:val="24"/>
            </w:rPr>
            <w:t>三、综合评价情况及评价结论</w:t>
          </w:r>
          <w:r>
            <w:rPr>
              <w:sz w:val="24"/>
            </w:rPr>
            <w:tab/>
          </w:r>
          <w:r>
            <w:rPr>
              <w:sz w:val="24"/>
            </w:rPr>
            <w:fldChar w:fldCharType="begin"/>
          </w:r>
          <w:r>
            <w:rPr>
              <w:sz w:val="24"/>
            </w:rPr>
            <w:instrText xml:space="preserve"> PAGEREF _Toc168499424 \h </w:instrText>
          </w:r>
          <w:r>
            <w:rPr>
              <w:sz w:val="24"/>
            </w:rPr>
            <w:fldChar w:fldCharType="separate"/>
          </w:r>
          <w:r>
            <w:rPr>
              <w:sz w:val="24"/>
            </w:rPr>
            <w:t>- 6 -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"_Toc168499425" </w:instrText>
          </w:r>
          <w:r>
            <w:fldChar w:fldCharType="separate"/>
          </w:r>
          <w:r>
            <w:rPr>
              <w:rStyle w:val="16"/>
              <w:rFonts w:hint="eastAsia" w:ascii="黑体" w:hAnsi="黑体" w:eastAsia="黑体" w:cs="黑体"/>
              <w:sz w:val="24"/>
            </w:rPr>
            <w:t>四、绩效评价指标分析</w:t>
          </w:r>
          <w:r>
            <w:rPr>
              <w:sz w:val="24"/>
            </w:rPr>
            <w:tab/>
          </w:r>
          <w:r>
            <w:rPr>
              <w:sz w:val="24"/>
            </w:rPr>
            <w:fldChar w:fldCharType="begin"/>
          </w:r>
          <w:r>
            <w:rPr>
              <w:sz w:val="24"/>
            </w:rPr>
            <w:instrText xml:space="preserve"> PAGEREF _Toc168499425 \h </w:instrText>
          </w:r>
          <w:r>
            <w:rPr>
              <w:sz w:val="24"/>
            </w:rPr>
            <w:fldChar w:fldCharType="separate"/>
          </w:r>
          <w:r>
            <w:rPr>
              <w:sz w:val="24"/>
            </w:rPr>
            <w:t>- 7 -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"_Toc168499426" </w:instrText>
          </w:r>
          <w:r>
            <w:fldChar w:fldCharType="separate"/>
          </w:r>
          <w:r>
            <w:rPr>
              <w:rStyle w:val="16"/>
              <w:rFonts w:hint="eastAsia" w:ascii="楷体_GB2312" w:hAnsi="楷体_GB2312" w:eastAsia="楷体_GB2312" w:cs="楷体_GB2312"/>
              <w:sz w:val="24"/>
            </w:rPr>
            <w:t>（一）项目决策情况</w:t>
          </w:r>
          <w:r>
            <w:rPr>
              <w:sz w:val="24"/>
            </w:rPr>
            <w:tab/>
          </w:r>
          <w:r>
            <w:rPr>
              <w:sz w:val="24"/>
            </w:rPr>
            <w:fldChar w:fldCharType="begin"/>
          </w:r>
          <w:r>
            <w:rPr>
              <w:sz w:val="24"/>
            </w:rPr>
            <w:instrText xml:space="preserve"> PAGEREF _Toc168499426 \h </w:instrText>
          </w:r>
          <w:r>
            <w:rPr>
              <w:sz w:val="24"/>
            </w:rPr>
            <w:fldChar w:fldCharType="separate"/>
          </w:r>
          <w:r>
            <w:rPr>
              <w:sz w:val="24"/>
            </w:rPr>
            <w:t>- 7 -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"_Toc168499427" </w:instrText>
          </w:r>
          <w:r>
            <w:fldChar w:fldCharType="separate"/>
          </w:r>
          <w:r>
            <w:rPr>
              <w:rStyle w:val="16"/>
              <w:rFonts w:hint="eastAsia" w:ascii="楷体_GB2312" w:hAnsi="楷体_GB2312" w:eastAsia="楷体_GB2312" w:cs="楷体_GB2312"/>
              <w:sz w:val="24"/>
            </w:rPr>
            <w:t>（二）项目过程情况</w:t>
          </w:r>
          <w:r>
            <w:rPr>
              <w:sz w:val="24"/>
            </w:rPr>
            <w:tab/>
          </w:r>
          <w:r>
            <w:rPr>
              <w:sz w:val="24"/>
            </w:rPr>
            <w:fldChar w:fldCharType="begin"/>
          </w:r>
          <w:r>
            <w:rPr>
              <w:sz w:val="24"/>
            </w:rPr>
            <w:instrText xml:space="preserve"> PAGEREF _Toc168499427 \h </w:instrText>
          </w:r>
          <w:r>
            <w:rPr>
              <w:sz w:val="24"/>
            </w:rPr>
            <w:fldChar w:fldCharType="separate"/>
          </w:r>
          <w:r>
            <w:rPr>
              <w:sz w:val="24"/>
            </w:rPr>
            <w:t>- 8 -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"_Toc168499428" </w:instrText>
          </w:r>
          <w:r>
            <w:fldChar w:fldCharType="separate"/>
          </w:r>
          <w:r>
            <w:rPr>
              <w:rStyle w:val="16"/>
              <w:rFonts w:hint="eastAsia" w:ascii="楷体_GB2312" w:hAnsi="楷体_GB2312" w:eastAsia="楷体_GB2312" w:cs="楷体_GB2312"/>
              <w:sz w:val="24"/>
            </w:rPr>
            <w:t>（三）项目产出情况</w:t>
          </w:r>
          <w:r>
            <w:rPr>
              <w:sz w:val="24"/>
            </w:rPr>
            <w:tab/>
          </w:r>
          <w:r>
            <w:rPr>
              <w:sz w:val="24"/>
            </w:rPr>
            <w:fldChar w:fldCharType="begin"/>
          </w:r>
          <w:r>
            <w:rPr>
              <w:sz w:val="24"/>
            </w:rPr>
            <w:instrText xml:space="preserve"> PAGEREF _Toc168499428 \h </w:instrText>
          </w:r>
          <w:r>
            <w:rPr>
              <w:sz w:val="24"/>
            </w:rPr>
            <w:fldChar w:fldCharType="separate"/>
          </w:r>
          <w:r>
            <w:rPr>
              <w:sz w:val="24"/>
            </w:rPr>
            <w:t>- 9 -</w:t>
          </w:r>
          <w:r>
            <w:rPr>
              <w:sz w:val="24"/>
            </w:rPr>
            <w:fldChar w:fldCharType="end"/>
          </w:r>
          <w:r>
            <w:rPr>
              <w:sz w:val="24"/>
            </w:rPr>
            <w:fldChar w:fldCharType="end"/>
          </w:r>
        </w:p>
        <w:p>
          <w:pPr>
            <w:pStyle w:val="11"/>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"_Toc168499429" </w:instrText>
          </w:r>
          <w:r>
            <w:fldChar w:fldCharType="separate"/>
          </w:r>
          <w:r>
            <w:rPr>
              <w:rStyle w:val="16"/>
              <w:rFonts w:hint="eastAsia" w:ascii="楷体_GB2312" w:hAnsi="楷体_GB2312" w:eastAsia="楷体_GB2312" w:cs="楷体_GB2312"/>
              <w:sz w:val="24"/>
            </w:rPr>
            <w:t>（四）项目效益情况</w:t>
          </w:r>
          <w:r>
            <w:rPr>
              <w:sz w:val="24"/>
            </w:rPr>
            <w:tab/>
          </w:r>
          <w:r>
            <w:rPr>
              <w:sz w:val="24"/>
            </w:rPr>
            <w:fldChar w:fldCharType="begin"/>
          </w:r>
          <w:r>
            <w:rPr>
              <w:sz w:val="24"/>
            </w:rPr>
            <w:instrText xml:space="preserve"> PAGEREF _Toc168499429 \h </w:instrText>
          </w:r>
          <w:r>
            <w:rPr>
              <w:sz w:val="24"/>
            </w:rPr>
            <w:fldChar w:fldCharType="separate"/>
          </w:r>
          <w:r>
            <w:rPr>
              <w:sz w:val="24"/>
            </w:rPr>
            <w:t>- 9 -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"_Toc168499430" </w:instrText>
          </w:r>
          <w:r>
            <w:fldChar w:fldCharType="separate"/>
          </w:r>
          <w:r>
            <w:rPr>
              <w:rStyle w:val="16"/>
              <w:rFonts w:hint="eastAsia" w:ascii="黑体" w:hAnsi="黑体" w:eastAsia="黑体" w:cs="黑体"/>
              <w:sz w:val="24"/>
            </w:rPr>
            <w:t>五、主要经验及做法、存在的问题及原因分析</w:t>
          </w:r>
          <w:r>
            <w:rPr>
              <w:sz w:val="24"/>
            </w:rPr>
            <w:tab/>
          </w:r>
          <w:r>
            <w:rPr>
              <w:sz w:val="24"/>
            </w:rPr>
            <w:fldChar w:fldCharType="begin"/>
          </w:r>
          <w:r>
            <w:rPr>
              <w:sz w:val="24"/>
            </w:rPr>
            <w:instrText xml:space="preserve"> PAGEREF _Toc168499430 \h </w:instrText>
          </w:r>
          <w:r>
            <w:rPr>
              <w:sz w:val="24"/>
            </w:rPr>
            <w:fldChar w:fldCharType="separate"/>
          </w:r>
          <w:r>
            <w:rPr>
              <w:sz w:val="24"/>
            </w:rPr>
            <w:t>- 10 -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"_Toc168499431" </w:instrText>
          </w:r>
          <w:r>
            <w:fldChar w:fldCharType="separate"/>
          </w:r>
          <w:r>
            <w:rPr>
              <w:rStyle w:val="16"/>
              <w:rFonts w:hint="eastAsia" w:ascii="黑体" w:hAnsi="黑体" w:eastAsia="黑体" w:cs="黑体"/>
              <w:sz w:val="24"/>
            </w:rPr>
            <w:t>六、有关建议</w:t>
          </w:r>
          <w:r>
            <w:rPr>
              <w:sz w:val="24"/>
            </w:rPr>
            <w:tab/>
          </w:r>
          <w:r>
            <w:rPr>
              <w:sz w:val="24"/>
            </w:rPr>
            <w:fldChar w:fldCharType="begin"/>
          </w:r>
          <w:r>
            <w:rPr>
              <w:sz w:val="24"/>
            </w:rPr>
            <w:instrText xml:space="preserve"> PAGEREF _Toc168499431 \h </w:instrText>
          </w:r>
          <w:r>
            <w:rPr>
              <w:sz w:val="24"/>
            </w:rPr>
            <w:fldChar w:fldCharType="separate"/>
          </w:r>
          <w:r>
            <w:rPr>
              <w:sz w:val="24"/>
            </w:rPr>
            <w:t>- 11 -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 w:val="24"/>
            </w:rPr>
          </w:pPr>
          <w:r>
            <w:fldChar w:fldCharType="begin"/>
          </w:r>
          <w:r>
            <w:instrText xml:space="preserve"> HYPERLINK \l "_Toc168499432" </w:instrText>
          </w:r>
          <w:r>
            <w:fldChar w:fldCharType="separate"/>
          </w:r>
          <w:r>
            <w:rPr>
              <w:rStyle w:val="16"/>
              <w:rFonts w:hint="eastAsia" w:ascii="黑体" w:hAnsi="黑体" w:eastAsia="黑体" w:cs="黑体"/>
              <w:sz w:val="24"/>
            </w:rPr>
            <w:t>七、其他需要说明的问题</w:t>
          </w:r>
          <w:r>
            <w:rPr>
              <w:sz w:val="24"/>
            </w:rPr>
            <w:tab/>
          </w:r>
          <w:r>
            <w:rPr>
              <w:sz w:val="24"/>
            </w:rPr>
            <w:fldChar w:fldCharType="begin"/>
          </w:r>
          <w:r>
            <w:rPr>
              <w:sz w:val="24"/>
            </w:rPr>
            <w:instrText xml:space="preserve"> PAGEREF _Toc168499432 \h </w:instrText>
          </w:r>
          <w:r>
            <w:rPr>
              <w:sz w:val="24"/>
            </w:rPr>
            <w:fldChar w:fldCharType="separate"/>
          </w:r>
          <w:r>
            <w:rPr>
              <w:sz w:val="24"/>
            </w:rPr>
            <w:t>- 11 -</w:t>
          </w:r>
          <w:r>
            <w:rPr>
              <w:sz w:val="24"/>
            </w:rPr>
            <w:fldChar w:fldCharType="end"/>
          </w:r>
          <w:r>
            <w:rPr>
              <w:sz w:val="24"/>
            </w:rPr>
            <w:fldChar w:fldCharType="end"/>
          </w:r>
        </w:p>
        <w:p>
          <w:pPr>
            <w:pStyle w:val="10"/>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"_Toc168499433" </w:instrText>
          </w:r>
          <w:r>
            <w:fldChar w:fldCharType="separate"/>
          </w:r>
          <w:r>
            <w:rPr>
              <w:rStyle w:val="16"/>
              <w:rFonts w:hint="eastAsia" w:ascii="黑体" w:hAnsi="黑体" w:eastAsia="黑体" w:cs="黑体"/>
              <w:sz w:val="24"/>
            </w:rPr>
            <w:t>八、附件</w:t>
          </w:r>
          <w:r>
            <w:rPr>
              <w:sz w:val="24"/>
            </w:rPr>
            <w:tab/>
          </w:r>
          <w:r>
            <w:rPr>
              <w:sz w:val="24"/>
            </w:rPr>
            <w:fldChar w:fldCharType="begin"/>
          </w:r>
          <w:r>
            <w:rPr>
              <w:sz w:val="24"/>
            </w:rPr>
            <w:instrText xml:space="preserve"> PAGEREF _Toc168499433 \h </w:instrText>
          </w:r>
          <w:r>
            <w:rPr>
              <w:sz w:val="24"/>
            </w:rPr>
            <w:fldChar w:fldCharType="separate"/>
          </w:r>
          <w:r>
            <w:rPr>
              <w:sz w:val="24"/>
            </w:rPr>
            <w:t>- 11 -</w:t>
          </w:r>
          <w:r>
            <w:rPr>
              <w:sz w:val="24"/>
            </w:rPr>
            <w:fldChar w:fldCharType="end"/>
          </w:r>
          <w:r>
            <w:rPr>
              <w:sz w:val="24"/>
            </w:rPr>
            <w:fldChar w:fldCharType="end"/>
          </w:r>
        </w:p>
        <w:p>
          <w:pPr>
            <w:spacing w:line="360" w:lineRule="auto"/>
            <w:jc w:val="center"/>
          </w:pPr>
          <w:r>
            <w:rPr>
              <w:b/>
              <w:bCs/>
              <w:lang w:val="zh-CN"/>
            </w:rPr>
            <w:fldChar w:fldCharType="end"/>
          </w:r>
        </w:p>
      </w:sdtContent>
    </w:sdt>
    <w:p>
      <w:pPr>
        <w:widowControl/>
        <w:spacing w:line="360" w:lineRule="auto"/>
        <w:jc w:val="left"/>
        <w:rPr>
          <w:rFonts w:ascii="方正小标宋简体" w:eastAsia="方正小标宋简体"/>
          <w:sz w:val="36"/>
          <w:szCs w:val="36"/>
        </w:rPr>
        <w:sectPr>
          <w:pgSz w:w="11906" w:h="16838"/>
          <w:pgMar w:top="1440" w:right="1800" w:bottom="1440" w:left="1800" w:header="851" w:footer="992" w:gutter="0"/>
          <w:pgNumType w:fmt="numberInDash" w:start="1"/>
          <w:cols w:space="425" w:num="1"/>
          <w:docGrid w:type="lines" w:linePitch="312" w:charSpace="0"/>
        </w:sectPr>
      </w:pPr>
    </w:p>
    <w:p>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北京铁路运输检察院</w:t>
      </w:r>
      <w:r>
        <w:rPr>
          <w:rFonts w:hint="eastAsia" w:ascii="方正小标宋简体" w:eastAsia="方正小标宋简体"/>
          <w:sz w:val="36"/>
          <w:szCs w:val="36"/>
          <w:lang w:eastAsia="zh-CN"/>
        </w:rPr>
        <w:t>信</w:t>
      </w:r>
      <w:r>
        <w:rPr>
          <w:rFonts w:hint="eastAsia" w:ascii="方正小标宋简体" w:eastAsia="方正小标宋简体"/>
          <w:sz w:val="36"/>
          <w:szCs w:val="36"/>
        </w:rPr>
        <w:t>息系统运维类</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项目绩效评价报告</w:t>
      </w:r>
    </w:p>
    <w:p>
      <w:pPr>
        <w:spacing w:line="560" w:lineRule="exact"/>
        <w:jc w:val="center"/>
        <w:rPr>
          <w:rFonts w:ascii="方正小标宋简体" w:eastAsia="方正小标宋简体"/>
          <w:sz w:val="36"/>
          <w:szCs w:val="36"/>
        </w:rPr>
      </w:pP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进一步推进预算绩效管理工作，提升财政资金使用效率和部门绩效管理水平，并为2024年度决算公开做好准备，根据《中共北京市委北京市人民政府关于全面实施预算绩效管理的实施意见》(京发〔2019〕12号)、《北京市预算绩效管理办法》(京财绩效〔2019〕2129号)和《北京市项目支出绩效评价管理办法》(京财绩效〔2020〕2146号)等制度规范，《北京市财政局关于2025年预算绩效管理工作的通知》（京财绩效(2025)245号）工作安排，北京铁路运输检察院（以下简称“</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”）组建绩效评价工作组，开展对2024年度信息系统运维类项目（以下简称“该项目”）的绩效情况实施绩效评价，形成本绩效评价报告。</w:t>
      </w:r>
    </w:p>
    <w:p>
      <w:pPr>
        <w:spacing w:line="600" w:lineRule="exact"/>
        <w:ind w:firstLine="640" w:firstLineChars="200"/>
        <w:outlineLvl w:val="0"/>
        <w:rPr>
          <w:rFonts w:hint="eastAsia" w:ascii="黑体" w:hAnsi="黑体" w:eastAsia="黑体" w:cs="黑体"/>
          <w:sz w:val="32"/>
          <w:szCs w:val="32"/>
        </w:rPr>
      </w:pPr>
      <w:bookmarkStart w:id="2" w:name="_Toc168499417"/>
      <w:r>
        <w:rPr>
          <w:rFonts w:hint="eastAsia" w:ascii="黑体" w:hAnsi="黑体" w:eastAsia="黑体" w:cs="黑体"/>
          <w:sz w:val="32"/>
          <w:szCs w:val="32"/>
        </w:rPr>
        <w:t>一、基本情况</w:t>
      </w:r>
      <w:bookmarkEnd w:id="2"/>
    </w:p>
    <w:p>
      <w:pPr>
        <w:spacing w:line="600" w:lineRule="exact"/>
        <w:ind w:firstLine="640" w:firstLineChars="200"/>
        <w:rPr>
          <w:rFonts w:hint="eastAsia" w:ascii="楷体" w:hAnsi="楷体" w:eastAsia="楷体" w:cs="楷体"/>
          <w:sz w:val="32"/>
          <w:szCs w:val="32"/>
        </w:rPr>
      </w:pPr>
      <w:bookmarkStart w:id="3" w:name="_Toc168499418"/>
      <w:r>
        <w:rPr>
          <w:rFonts w:hint="eastAsia" w:ascii="楷体" w:hAnsi="楷体" w:eastAsia="楷体" w:cs="楷体"/>
          <w:sz w:val="32"/>
          <w:szCs w:val="32"/>
        </w:rPr>
        <w:t>（一）项目概况</w:t>
      </w:r>
      <w:bookmarkEnd w:id="3"/>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1.项目背景</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铁路运输检察院坚持以执法办案为中心，以队伍建设为根本，深入推进检察业务、队伍管理、检务保障建设。当前，北京铁路运输检察院在继续履行好铁路运输检察职能的同时，被赋予了互联网诉讼监督、公益诉讼检察等新的职能，将为维护铁路运输安全、推进网络治理法治化做出积极贡献。</w:t>
      </w:r>
    </w:p>
    <w:p>
      <w:pPr>
        <w:spacing w:line="600" w:lineRule="exact"/>
        <w:ind w:firstLine="640" w:firstLineChars="200"/>
        <w:rPr>
          <w:rFonts w:hint="eastAsia" w:ascii="仿宋_GB2312" w:hAnsi="宋体" w:eastAsia="仿宋_GB2312" w:cs="宋体"/>
          <w:color w:val="000000"/>
          <w:kern w:val="0"/>
          <w:sz w:val="32"/>
          <w:szCs w:val="32"/>
        </w:rPr>
      </w:pPr>
      <w:bookmarkStart w:id="4" w:name="OLE_LINK1"/>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以党中央</w:t>
      </w:r>
      <w:r>
        <w:rPr>
          <w:rFonts w:hint="eastAsia" w:ascii="仿宋_GB2312" w:hAnsi="宋体" w:eastAsia="仿宋_GB2312" w:cs="宋体"/>
          <w:color w:val="000000"/>
          <w:kern w:val="0"/>
          <w:sz w:val="32"/>
          <w:szCs w:val="32"/>
          <w:lang w:eastAsia="zh-CN"/>
        </w:rPr>
        <w:t>、最高检</w:t>
      </w:r>
      <w:r>
        <w:rPr>
          <w:rFonts w:hint="eastAsia" w:ascii="仿宋_GB2312" w:hAnsi="宋体" w:eastAsia="仿宋_GB2312" w:cs="宋体"/>
          <w:color w:val="000000"/>
          <w:kern w:val="0"/>
          <w:sz w:val="32"/>
          <w:szCs w:val="32"/>
        </w:rPr>
        <w:t>关于信息化建设的相关精神为指导，落实北京市人民检察院有关信息化建设的工作要求，加强领导，深入调研，反复论证，紧紧围绕检察工作主题和执法规范化、队伍专业化、管理科学化和保障现代化的总体要求，努力探索建立符合检察工作特点和规律的信息化建设</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应用及管理的新模式，信息化应用</w:t>
      </w:r>
      <w:r>
        <w:rPr>
          <w:rFonts w:hint="eastAsia" w:ascii="仿宋_GB2312" w:hAnsi="宋体" w:eastAsia="仿宋_GB2312" w:cs="宋体"/>
          <w:color w:val="000000"/>
          <w:kern w:val="0"/>
          <w:sz w:val="32"/>
          <w:szCs w:val="32"/>
          <w:lang w:eastAsia="zh-CN"/>
        </w:rPr>
        <w:t>，发挥检察科技在高质效履行法律监督</w:t>
      </w:r>
      <w:r>
        <w:rPr>
          <w:rFonts w:hint="eastAsia" w:ascii="仿宋_GB2312" w:hAnsi="宋体" w:eastAsia="仿宋_GB2312" w:cs="宋体"/>
          <w:color w:val="000000"/>
          <w:kern w:val="0"/>
          <w:sz w:val="32"/>
          <w:szCs w:val="32"/>
          <w:lang w:val="en-US" w:eastAsia="zh-CN"/>
        </w:rPr>
        <w:t>职责中的重要保障功能</w:t>
      </w:r>
      <w:r>
        <w:rPr>
          <w:rFonts w:hint="eastAsia" w:ascii="仿宋_GB2312" w:hAnsi="宋体" w:eastAsia="仿宋_GB2312" w:cs="宋体"/>
          <w:color w:val="000000"/>
          <w:kern w:val="0"/>
          <w:sz w:val="32"/>
          <w:szCs w:val="32"/>
        </w:rPr>
        <w:t>。以全国检察业务应用软件为核心的所有软、硬件系统的运行维护管理工作是</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正常办案、办公的重要保障。</w:t>
      </w:r>
    </w:p>
    <w:bookmarkEnd w:id="4"/>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2.主要内容及实施情况</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（1）信息系统运维类项目主要内容</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检察专网网站、软件系统相关的主机设备、操作系统、数据库和存储设备、桌面终端、视频会议及工作网网站、网络设备和主机维护等工作。</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（2）2024年项目实施情况</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共接到各类维护事件1004件，系统类运维868件，包括机房环境、网络、终端等事件；其中系统类事件占比86%。应用类运维136件。应用类维护事件占比14%，系统运维事件占比较大。</w:t>
      </w:r>
      <w:r>
        <w:rPr>
          <w:rFonts w:hint="eastAsia" w:ascii="仿宋_GB2312" w:hAnsi="宋体" w:eastAsia="仿宋_GB2312" w:cs="宋体"/>
          <w:color w:val="000000"/>
          <w:kern w:val="0"/>
          <w:sz w:val="32"/>
          <w:szCs w:val="32"/>
          <w:lang w:eastAsia="zh-CN"/>
        </w:rPr>
        <w:t>开展</w:t>
      </w:r>
      <w:r>
        <w:rPr>
          <w:rFonts w:hint="eastAsia" w:ascii="仿宋_GB2312" w:hAnsi="宋体" w:eastAsia="仿宋_GB2312" w:cs="宋体"/>
          <w:color w:val="000000"/>
          <w:kern w:val="0"/>
          <w:sz w:val="32"/>
          <w:szCs w:val="32"/>
        </w:rPr>
        <w:t>科学、规范、高质量的信息运维管理</w:t>
      </w:r>
      <w:r>
        <w:rPr>
          <w:rFonts w:hint="eastAsia" w:ascii="仿宋_GB2312" w:hAnsi="宋体" w:eastAsia="仿宋_GB2312" w:cs="宋体"/>
          <w:color w:val="000000"/>
          <w:kern w:val="0"/>
          <w:sz w:val="32"/>
          <w:szCs w:val="32"/>
          <w:lang w:eastAsia="zh-CN"/>
        </w:rPr>
        <w:t>工作</w:t>
      </w:r>
      <w:r>
        <w:rPr>
          <w:rFonts w:hint="eastAsia" w:ascii="仿宋_GB2312" w:hAnsi="宋体" w:eastAsia="仿宋_GB2312" w:cs="宋体"/>
          <w:color w:val="000000"/>
          <w:kern w:val="0"/>
          <w:sz w:val="32"/>
          <w:szCs w:val="32"/>
        </w:rPr>
        <w:t>，保障院内机房设</w:t>
      </w:r>
      <w:bookmarkStart w:id="22" w:name="_GoBack"/>
      <w:bookmarkEnd w:id="22"/>
      <w:r>
        <w:rPr>
          <w:rFonts w:hint="eastAsia" w:ascii="仿宋_GB2312" w:hAnsi="宋体" w:eastAsia="仿宋_GB2312" w:cs="宋体"/>
          <w:color w:val="000000"/>
          <w:kern w:val="0"/>
          <w:sz w:val="32"/>
          <w:szCs w:val="32"/>
        </w:rPr>
        <w:t>备、网络设备、内外网的正常运行，减少问题出现、问题实时处理、以及系统优化工作。</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3.项目资金情况</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北京市财政局关于批复北京铁路运输检察院2024年预算的函(京财公检法指〔2024</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0106号)批复该项目2024年度预算25.00万元。</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2024年该项目实际到位资金25.00万元，实际支出资金25.00万元，结余资金0.00万元，预算执行率100.00%。</w:t>
      </w:r>
    </w:p>
    <w:p>
      <w:pPr>
        <w:spacing w:line="600" w:lineRule="exact"/>
        <w:ind w:firstLine="640" w:firstLineChars="200"/>
        <w:rPr>
          <w:rFonts w:hint="eastAsia" w:ascii="楷体" w:hAnsi="楷体" w:eastAsia="楷体" w:cs="楷体"/>
          <w:sz w:val="32"/>
          <w:szCs w:val="32"/>
        </w:rPr>
      </w:pPr>
      <w:bookmarkStart w:id="5" w:name="_Toc168499419"/>
      <w:r>
        <w:rPr>
          <w:rFonts w:hint="eastAsia" w:ascii="楷体" w:hAnsi="楷体" w:eastAsia="楷体" w:cs="楷体"/>
          <w:sz w:val="32"/>
          <w:szCs w:val="32"/>
        </w:rPr>
        <w:t>（二）项目绩效目标</w:t>
      </w:r>
      <w:bookmarkEnd w:id="5"/>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1.总体绩效目标</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保障设备、系统的正常运行。</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2.具体绩效指标</w:t>
      </w:r>
      <w:r>
        <w:rPr>
          <w:rFonts w:hint="eastAsia" w:ascii="楷体" w:hAnsi="楷体" w:eastAsia="楷体" w:cs="楷体"/>
          <w:sz w:val="32"/>
          <w:szCs w:val="32"/>
        </w:rPr>
        <w:tab/>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（1）产出指标：</w:t>
      </w:r>
    </w:p>
    <w:p>
      <w:pPr>
        <w:spacing w:line="600" w:lineRule="exact"/>
        <w:ind w:firstLine="640" w:firstLineChars="200"/>
        <w:rPr>
          <w:rFonts w:hint="eastAsia" w:ascii="仿宋_GB2312" w:hAnsi="宋体" w:eastAsia="仿宋_GB2312" w:cs="宋体"/>
          <w:color w:val="000000"/>
          <w:kern w:val="0"/>
          <w:sz w:val="32"/>
          <w:szCs w:val="32"/>
        </w:rPr>
      </w:pPr>
      <w:r>
        <w:rPr>
          <w:rFonts w:ascii="仿宋_GB2312" w:hAnsi="宋体" w:eastAsia="仿宋_GB2312" w:cs="宋体"/>
          <w:color w:val="000000"/>
          <w:kern w:val="0"/>
          <w:sz w:val="32"/>
          <w:szCs w:val="32"/>
        </w:rPr>
        <w:t>数量指标</w:t>
      </w:r>
      <w:r>
        <w:rPr>
          <w:rFonts w:hint="eastAsia" w:ascii="仿宋_GB2312" w:hAnsi="宋体" w:eastAsia="仿宋_GB2312" w:cs="宋体"/>
          <w:color w:val="000000"/>
          <w:kern w:val="0"/>
          <w:sz w:val="32"/>
          <w:szCs w:val="32"/>
        </w:rPr>
        <w:t>：事故率≤5次；全年365天稳定运行。</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时效指标：完成验收＜12月；资金支付进度＜9月。</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（2）成本指标：</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经济成本指标：项目预算控制数≤25.00万元。</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（3）效益指标：</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社会效益指标：提高办案业务工作效率定性为优。</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（4）满意度指标：</w:t>
      </w:r>
    </w:p>
    <w:p>
      <w:pPr>
        <w:spacing w:line="600" w:lineRule="exact"/>
        <w:ind w:firstLine="640" w:firstLineChars="200"/>
        <w:rPr>
          <w:rFonts w:hint="eastAsia" w:ascii="仿宋_GB2312" w:hAnsi="宋体" w:eastAsia="仿宋_GB2312" w:cs="宋体"/>
          <w:color w:val="000000"/>
          <w:kern w:val="0"/>
          <w:sz w:val="32"/>
          <w:szCs w:val="32"/>
        </w:rPr>
      </w:pPr>
      <w:bookmarkStart w:id="6" w:name="_Toc168499420"/>
      <w:r>
        <w:rPr>
          <w:rFonts w:hint="eastAsia" w:ascii="仿宋_GB2312" w:hAnsi="宋体" w:eastAsia="仿宋_GB2312" w:cs="宋体"/>
          <w:color w:val="000000"/>
          <w:kern w:val="0"/>
          <w:sz w:val="32"/>
          <w:szCs w:val="32"/>
        </w:rPr>
        <w:t>服务对象满意度指标：部门满意度≥95%。</w:t>
      </w:r>
    </w:p>
    <w:p>
      <w:pPr>
        <w:spacing w:line="60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二、绩效评价工作开展情况</w:t>
      </w:r>
      <w:bookmarkEnd w:id="6"/>
    </w:p>
    <w:p>
      <w:pPr>
        <w:spacing w:line="600" w:lineRule="exact"/>
        <w:ind w:firstLine="640" w:firstLineChars="200"/>
        <w:rPr>
          <w:rFonts w:hint="eastAsia" w:ascii="楷体" w:hAnsi="楷体" w:eastAsia="楷体" w:cs="楷体"/>
          <w:sz w:val="32"/>
          <w:szCs w:val="32"/>
        </w:rPr>
      </w:pPr>
      <w:bookmarkStart w:id="7" w:name="_Toc168499421"/>
      <w:r>
        <w:rPr>
          <w:rFonts w:hint="eastAsia" w:ascii="楷体" w:hAnsi="楷体" w:eastAsia="楷体" w:cs="楷体"/>
          <w:sz w:val="32"/>
          <w:szCs w:val="32"/>
        </w:rPr>
        <w:t>（一）绩效评价目的、对象和范围</w:t>
      </w:r>
      <w:bookmarkEnd w:id="7"/>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1.绩效评价目的</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通过绩效评价，衡量和考核</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使用财政资金的绩效实现情况，了解、分析和检验资金使用是否达到预期目标，资金管理是否规范，资金使用是否有效，通过总结经验，分析问题，采取切实措施进一步改进和加强财政支出项目管理，提高财政资金使用效益。</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2.绩效评价对象及范围</w:t>
      </w:r>
    </w:p>
    <w:p>
      <w:pPr>
        <w:spacing w:line="600" w:lineRule="exact"/>
        <w:ind w:firstLine="640" w:firstLineChars="200"/>
        <w:rPr>
          <w:rFonts w:hint="eastAsia" w:ascii="仿宋_GB2312" w:hAnsi="宋体" w:eastAsia="仿宋_GB2312" w:cs="宋体"/>
          <w:color w:val="000000"/>
          <w:kern w:val="0"/>
          <w:sz w:val="32"/>
          <w:szCs w:val="32"/>
        </w:rPr>
      </w:pPr>
      <w:bookmarkStart w:id="8" w:name="_Toc168499422"/>
      <w:r>
        <w:rPr>
          <w:rFonts w:hint="eastAsia" w:ascii="仿宋_GB2312" w:hAnsi="宋体" w:eastAsia="仿宋_GB2312" w:cs="宋体"/>
          <w:color w:val="000000"/>
          <w:kern w:val="0"/>
          <w:sz w:val="32"/>
          <w:szCs w:val="32"/>
        </w:rPr>
        <w:t>对</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2024年度“信息系统运维类项目”预算资金25.00万元支出情况开展绩效评价。</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（二）绩效评价原则、评价指标体系、评价方法、评价标准等</w:t>
      </w:r>
      <w:bookmarkEnd w:id="8"/>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1.绩效评价原则及评价方法</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本次绩效评价遵循“客观、公正、科学、规范”的原则，结合项目的特点，采</w:t>
      </w:r>
      <w:r>
        <w:rPr>
          <w:rFonts w:hint="eastAsia" w:ascii="仿宋_GB2312" w:hAnsi="宋体" w:eastAsia="仿宋_GB2312" w:cs="宋体"/>
          <w:color w:val="000000"/>
          <w:kern w:val="0"/>
          <w:sz w:val="32"/>
          <w:szCs w:val="32"/>
        </w:rPr>
        <w:tab/>
      </w:r>
      <w:r>
        <w:rPr>
          <w:rFonts w:hint="eastAsia" w:ascii="仿宋_GB2312" w:hAnsi="宋体" w:eastAsia="仿宋_GB2312" w:cs="宋体"/>
          <w:color w:val="000000"/>
          <w:kern w:val="0"/>
          <w:sz w:val="32"/>
          <w:szCs w:val="32"/>
        </w:rPr>
        <w:t>用比较法、因素分析法、评价组评议法等方法开展评价工作。</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2.绩效评价指标体系</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绩效评价指标体系主要包括项目决策、项目过程、项目产出、项目效益</w:t>
      </w: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个方面，满分100分。一是决策指标(</w:t>
      </w:r>
      <w:r>
        <w:rPr>
          <w:rFonts w:ascii="仿宋_GB2312" w:hAnsi="宋体" w:eastAsia="仿宋_GB2312" w:cs="宋体"/>
          <w:color w:val="000000"/>
          <w:kern w:val="0"/>
          <w:sz w:val="32"/>
          <w:szCs w:val="32"/>
        </w:rPr>
        <w:t>15</w:t>
      </w:r>
      <w:r>
        <w:rPr>
          <w:rFonts w:hint="eastAsia" w:ascii="仿宋_GB2312" w:hAnsi="宋体" w:eastAsia="仿宋_GB2312" w:cs="宋体"/>
          <w:color w:val="000000"/>
          <w:kern w:val="0"/>
          <w:sz w:val="32"/>
          <w:szCs w:val="32"/>
        </w:rPr>
        <w:t>分)，主要评价项目立项、绩效目标、资金投入等内容；二是过程指标(2</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分)，主要评价资金管理和组织实施等内容；三是产出指标(</w:t>
      </w:r>
      <w:r>
        <w:rPr>
          <w:rFonts w:ascii="仿宋_GB2312" w:hAnsi="宋体" w:eastAsia="仿宋_GB2312" w:cs="宋体"/>
          <w:color w:val="000000"/>
          <w:kern w:val="0"/>
          <w:sz w:val="32"/>
          <w:szCs w:val="32"/>
        </w:rPr>
        <w:t>34</w:t>
      </w:r>
      <w:r>
        <w:rPr>
          <w:rFonts w:hint="eastAsia" w:ascii="仿宋_GB2312" w:hAnsi="宋体" w:eastAsia="仿宋_GB2312" w:cs="宋体"/>
          <w:color w:val="000000"/>
          <w:kern w:val="0"/>
          <w:sz w:val="32"/>
          <w:szCs w:val="32"/>
        </w:rPr>
        <w:t>分)，主要评价项目产出数量、产出质量、产出时效和产出成本等内容；四是效益指标（</w:t>
      </w:r>
      <w:r>
        <w:rPr>
          <w:rFonts w:ascii="仿宋_GB2312" w:hAnsi="宋体" w:eastAsia="仿宋_GB2312" w:cs="宋体"/>
          <w:color w:val="000000"/>
          <w:kern w:val="0"/>
          <w:sz w:val="32"/>
          <w:szCs w:val="32"/>
        </w:rPr>
        <w:t>31</w:t>
      </w:r>
      <w:r>
        <w:rPr>
          <w:rFonts w:hint="eastAsia" w:ascii="仿宋_GB2312" w:hAnsi="宋体" w:eastAsia="仿宋_GB2312" w:cs="宋体"/>
          <w:color w:val="000000"/>
          <w:kern w:val="0"/>
          <w:sz w:val="32"/>
          <w:szCs w:val="32"/>
        </w:rPr>
        <w:t>分），主要评价实施效益和满意度等内容。具体内容见下表：</w:t>
      </w:r>
    </w:p>
    <w:p>
      <w:pPr>
        <w:keepNext/>
        <w:spacing w:after="156" w:afterLines="50" w:line="560" w:lineRule="exact"/>
        <w:ind w:firstLine="562" w:firstLineChars="200"/>
        <w:jc w:val="center"/>
        <w:rPr>
          <w:rFonts w:hint="eastAsia" w:ascii="楷体" w:hAnsi="楷体" w:eastAsia="楷体" w:cs="宋体"/>
          <w:b/>
          <w:bCs/>
          <w:kern w:val="0"/>
          <w:sz w:val="28"/>
          <w:szCs w:val="28"/>
        </w:rPr>
      </w:pPr>
      <w:r>
        <w:rPr>
          <w:rFonts w:hint="eastAsia" w:ascii="楷体" w:hAnsi="楷体" w:eastAsia="楷体" w:cs="宋体"/>
          <w:b/>
          <w:bCs/>
          <w:kern w:val="0"/>
          <w:sz w:val="28"/>
          <w:szCs w:val="28"/>
        </w:rPr>
        <w:t>2024年度“信息系统运维类项目”项目绩效评价指标体系表</w:t>
      </w:r>
    </w:p>
    <w:tbl>
      <w:tblPr>
        <w:tblStyle w:val="13"/>
        <w:tblW w:w="8522" w:type="dxa"/>
        <w:tblInd w:w="0" w:type="dxa"/>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1212"/>
        <w:gridCol w:w="1645"/>
        <w:gridCol w:w="610"/>
        <w:gridCol w:w="4164"/>
      </w:tblGrid>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62" w:hRule="atLeast"/>
          <w:tblHeader/>
        </w:trPr>
        <w:tc>
          <w:tcPr>
            <w:tcW w:w="891"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一级</w:t>
            </w:r>
          </w:p>
        </w:tc>
        <w:tc>
          <w:tcPr>
            <w:tcW w:w="1212"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二级</w:t>
            </w:r>
          </w:p>
        </w:tc>
        <w:tc>
          <w:tcPr>
            <w:tcW w:w="1645"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三级</w:t>
            </w:r>
          </w:p>
        </w:tc>
        <w:tc>
          <w:tcPr>
            <w:tcW w:w="610"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分值</w:t>
            </w:r>
          </w:p>
        </w:tc>
        <w:tc>
          <w:tcPr>
            <w:tcW w:w="4164"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指标解释</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242" w:hRule="atLeast"/>
        </w:trPr>
        <w:tc>
          <w:tcPr>
            <w:tcW w:w="891"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项目决策（</w:t>
            </w:r>
            <w:r>
              <w:rPr>
                <w:rFonts w:ascii="楷体" w:hAnsi="楷体" w:eastAsia="楷体" w:cs="宋体"/>
                <w:color w:val="000000"/>
                <w:kern w:val="0"/>
                <w:szCs w:val="21"/>
                <w:lang w:bidi="ar"/>
              </w:rPr>
              <w:t>15</w:t>
            </w:r>
            <w:r>
              <w:rPr>
                <w:rFonts w:hint="eastAsia" w:ascii="楷体" w:hAnsi="楷体" w:eastAsia="楷体" w:cs="宋体"/>
                <w:color w:val="000000"/>
                <w:kern w:val="0"/>
                <w:szCs w:val="21"/>
                <w:lang w:bidi="ar"/>
              </w:rPr>
              <w:t>分）</w:t>
            </w:r>
          </w:p>
        </w:tc>
        <w:tc>
          <w:tcPr>
            <w:tcW w:w="1212"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项目立项（</w:t>
            </w:r>
            <w:r>
              <w:rPr>
                <w:rFonts w:ascii="楷体" w:hAnsi="楷体" w:eastAsia="楷体" w:cs="宋体"/>
                <w:color w:val="000000"/>
                <w:kern w:val="0"/>
                <w:szCs w:val="21"/>
                <w:lang w:bidi="ar"/>
              </w:rPr>
              <w:t>5</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立项依据充分性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项目立项是否符合法律法规、相关政策、发展规划以及部门职责，用以反映和考核项目立项依据情况。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590"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立项程序规范性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项目申请、设立过程是否符合相关要求，用以反映和考核项目立项的规范情况。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08"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绩效目标（</w:t>
            </w:r>
            <w:r>
              <w:rPr>
                <w:rFonts w:ascii="楷体" w:hAnsi="楷体" w:eastAsia="楷体" w:cs="宋体"/>
                <w:color w:val="000000"/>
                <w:kern w:val="0"/>
                <w:szCs w:val="21"/>
                <w:lang w:bidi="ar"/>
              </w:rPr>
              <w:t>6</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绩效目标合理性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项目所设定的绩效目标是否依据充分，是否符合客观实际，用以反映和考核项目绩效目标与项目实施的相符情况。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486"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绩效指标明确性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3</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依据绩效目标设定的绩效指标是否清晰、细化、可衡量等，用以反映和考核项目绩效目标的明细化情况。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782"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资金投入（</w:t>
            </w:r>
            <w:r>
              <w:rPr>
                <w:rFonts w:ascii="楷体" w:hAnsi="楷体" w:eastAsia="楷体" w:cs="宋体"/>
                <w:color w:val="000000"/>
                <w:kern w:val="0"/>
                <w:szCs w:val="21"/>
                <w:lang w:bidi="ar"/>
              </w:rPr>
              <w:t>4</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预算编制科学性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项目预算编制是否经过科学论证、有明确标准，资金额度与年度目标是否相适应，用以反映和考核项目预算编制的科学性、合理性情况。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182"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资金分配合理性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项目预算资金分配是否有测算依据，与补助单位或地方实际是否相适应，用以反映和考核项目预算资金分配的科学性、合理性情况。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91"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项目过程（</w:t>
            </w:r>
            <w:r>
              <w:rPr>
                <w:rFonts w:ascii="楷体" w:hAnsi="楷体" w:eastAsia="楷体" w:cs="宋体"/>
                <w:color w:val="000000"/>
                <w:kern w:val="0"/>
                <w:szCs w:val="21"/>
                <w:lang w:bidi="ar"/>
              </w:rPr>
              <w:t>20</w:t>
            </w:r>
            <w:r>
              <w:rPr>
                <w:rFonts w:hint="eastAsia" w:ascii="楷体" w:hAnsi="楷体" w:eastAsia="楷体" w:cs="宋体"/>
                <w:color w:val="000000"/>
                <w:kern w:val="0"/>
                <w:szCs w:val="21"/>
                <w:lang w:bidi="ar"/>
              </w:rPr>
              <w:t>分）</w:t>
            </w:r>
          </w:p>
        </w:tc>
        <w:tc>
          <w:tcPr>
            <w:tcW w:w="1212"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资金管理（</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资金到位率</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实际到位资金与预算资金的比率，用以反映和考核资金落实情况对项目实施的总体保障程度。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314"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预算执行率</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w:t>
            </w:r>
          </w:p>
        </w:tc>
        <w:tc>
          <w:tcPr>
            <w:tcW w:w="4164" w:type="dxa"/>
            <w:tcBorders>
              <w:tl2br w:val="nil"/>
              <w:tr2bl w:val="nil"/>
            </w:tcBorders>
            <w:vAlign w:val="center"/>
          </w:tcPr>
          <w:p>
            <w:pPr>
              <w:rPr>
                <w:rFonts w:hint="eastAsia" w:ascii="楷体" w:hAnsi="楷体" w:eastAsia="楷体" w:cs="宋体"/>
                <w:color w:val="000000"/>
                <w:szCs w:val="21"/>
              </w:rPr>
            </w:pPr>
            <w:r>
              <w:rPr>
                <w:rFonts w:hint="eastAsia" w:ascii="楷体" w:hAnsi="楷体" w:eastAsia="楷体" w:cs="宋体"/>
                <w:color w:val="000000"/>
                <w:kern w:val="0"/>
                <w:szCs w:val="21"/>
                <w:lang w:bidi="ar"/>
              </w:rPr>
              <w:t>项目预算资金是否按照计划执行，用以反映或考核项目预算执行情况。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1011"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资金使用合规性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4</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项目资金使用是否符合相关的财务管理制度规定，用以反映和考核项目资金的规范运行情况。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720"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组织实施（</w:t>
            </w:r>
            <w:r>
              <w:rPr>
                <w:rFonts w:ascii="楷体" w:hAnsi="楷体" w:eastAsia="楷体" w:cs="宋体"/>
                <w:color w:val="000000"/>
                <w:kern w:val="0"/>
                <w:szCs w:val="21"/>
                <w:lang w:bidi="ar"/>
              </w:rPr>
              <w:t>12</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管理制度健全性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4</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项目实施单位的财务和业务管理制度是否健全，用以反映和考核财务和业务管理制度对项目顺利实施的保障情况。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742"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制度实施有效性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8</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项目实施是否符合相关管理规定，用以反映和考核相关管理制度的有效执行情况。</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91"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项目产出（</w:t>
            </w:r>
            <w:r>
              <w:rPr>
                <w:rFonts w:ascii="楷体" w:hAnsi="楷体" w:eastAsia="楷体" w:cs="宋体"/>
                <w:color w:val="000000"/>
                <w:kern w:val="0"/>
                <w:szCs w:val="21"/>
                <w:lang w:bidi="ar"/>
              </w:rPr>
              <w:t>34</w:t>
            </w:r>
            <w:r>
              <w:rPr>
                <w:rFonts w:hint="eastAsia" w:ascii="楷体" w:hAnsi="楷体" w:eastAsia="楷体" w:cs="宋体"/>
                <w:color w:val="000000"/>
                <w:kern w:val="0"/>
                <w:szCs w:val="21"/>
                <w:lang w:bidi="ar"/>
              </w:rPr>
              <w:t>分）</w:t>
            </w:r>
          </w:p>
        </w:tc>
        <w:tc>
          <w:tcPr>
            <w:tcW w:w="1212"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产出数量（</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实际完成率</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8</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项目实施的实际产出数与计划产出数的比率，用以反映和考核项目产出数量目标的实现程度。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产出质量（</w:t>
            </w:r>
            <w:r>
              <w:rPr>
                <w:rFonts w:ascii="楷体" w:hAnsi="楷体" w:eastAsia="楷体" w:cs="宋体"/>
                <w:color w:val="000000"/>
                <w:kern w:val="0"/>
                <w:szCs w:val="21"/>
                <w:lang w:bidi="ar"/>
              </w:rPr>
              <w:t>12</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质量达标率</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12</w:t>
            </w:r>
          </w:p>
        </w:tc>
        <w:tc>
          <w:tcPr>
            <w:tcW w:w="4164" w:type="dxa"/>
            <w:tcBorders>
              <w:tl2br w:val="nil"/>
              <w:tr2bl w:val="nil"/>
            </w:tcBorders>
            <w:vAlign w:val="center"/>
          </w:tcPr>
          <w:p>
            <w:pPr>
              <w:rPr>
                <w:rFonts w:hint="eastAsia" w:ascii="楷体" w:hAnsi="楷体" w:eastAsia="楷体" w:cs="宋体"/>
                <w:color w:val="000000"/>
                <w:szCs w:val="21"/>
              </w:rPr>
            </w:pPr>
            <w:r>
              <w:rPr>
                <w:rFonts w:hint="eastAsia" w:ascii="楷体" w:hAnsi="楷体" w:eastAsia="楷体" w:cs="宋体"/>
                <w:color w:val="000000"/>
                <w:kern w:val="0"/>
                <w:szCs w:val="21"/>
                <w:lang w:bidi="ar"/>
              </w:rPr>
              <w:t>项目完成的质量达标产出数与实际产出数的比率，用以反映和考核项目产出质量目标的实现程度。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36"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产出时效（</w:t>
            </w:r>
            <w:r>
              <w:rPr>
                <w:rFonts w:ascii="楷体" w:hAnsi="楷体" w:eastAsia="楷体" w:cs="宋体"/>
                <w:color w:val="000000"/>
                <w:kern w:val="0"/>
                <w:szCs w:val="21"/>
                <w:lang w:bidi="ar"/>
              </w:rPr>
              <w:t>8</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完成及时性</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8</w:t>
            </w:r>
          </w:p>
        </w:tc>
        <w:tc>
          <w:tcPr>
            <w:tcW w:w="4164" w:type="dxa"/>
            <w:tcBorders>
              <w:tl2br w:val="nil"/>
              <w:tr2bl w:val="nil"/>
            </w:tcBorders>
            <w:vAlign w:val="center"/>
          </w:tcPr>
          <w:p>
            <w:pPr>
              <w:rPr>
                <w:rFonts w:hint="eastAsia" w:ascii="楷体" w:hAnsi="楷体" w:eastAsia="楷体" w:cs="宋体"/>
                <w:color w:val="000000"/>
                <w:szCs w:val="21"/>
              </w:rPr>
            </w:pPr>
            <w:r>
              <w:rPr>
                <w:rFonts w:hint="eastAsia" w:ascii="楷体" w:hAnsi="楷体" w:eastAsia="楷体" w:cs="宋体"/>
                <w:color w:val="000000"/>
                <w:kern w:val="0"/>
                <w:szCs w:val="21"/>
                <w:lang w:bidi="ar"/>
              </w:rPr>
              <w:t>项目实际完成时间与计划完成时间的比较，用以反映和考核项目产出时效目标的实现程度。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产出成本（</w:t>
            </w:r>
            <w:r>
              <w:rPr>
                <w:rFonts w:ascii="楷体" w:hAnsi="楷体" w:eastAsia="楷体" w:cs="宋体"/>
                <w:color w:val="000000"/>
                <w:kern w:val="0"/>
                <w:szCs w:val="21"/>
                <w:lang w:bidi="ar"/>
              </w:rPr>
              <w:t>6</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成本节约率</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szCs w:val="21"/>
              </w:rPr>
              <w:t>6</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完成项目计划工作目标的实际节约成本与计划成本的比率，用以反映和考核项目的成本节约程度。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91"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项目效益（</w:t>
            </w:r>
            <w:r>
              <w:rPr>
                <w:rFonts w:ascii="楷体" w:hAnsi="楷体" w:eastAsia="楷体" w:cs="宋体"/>
                <w:color w:val="000000"/>
                <w:kern w:val="0"/>
                <w:szCs w:val="21"/>
                <w:lang w:bidi="ar"/>
              </w:rPr>
              <w:t>31</w:t>
            </w:r>
            <w:r>
              <w:rPr>
                <w:rFonts w:hint="eastAsia" w:ascii="楷体" w:hAnsi="楷体" w:eastAsia="楷体" w:cs="宋体"/>
                <w:color w:val="000000"/>
                <w:kern w:val="0"/>
                <w:szCs w:val="21"/>
                <w:lang w:bidi="ar"/>
              </w:rPr>
              <w:t>分）</w:t>
            </w:r>
          </w:p>
        </w:tc>
        <w:tc>
          <w:tcPr>
            <w:tcW w:w="1212" w:type="dxa"/>
            <w:vMerge w:val="restart"/>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项目效益（</w:t>
            </w:r>
            <w:r>
              <w:rPr>
                <w:rFonts w:ascii="楷体" w:hAnsi="楷体" w:eastAsia="楷体" w:cs="宋体"/>
                <w:color w:val="000000"/>
                <w:kern w:val="0"/>
                <w:szCs w:val="21"/>
                <w:lang w:bidi="ar"/>
              </w:rPr>
              <w:t>31</w:t>
            </w:r>
            <w:r>
              <w:rPr>
                <w:rFonts w:hint="eastAsia" w:ascii="楷体" w:hAnsi="楷体" w:eastAsia="楷体" w:cs="宋体"/>
                <w:color w:val="000000"/>
                <w:kern w:val="0"/>
                <w:szCs w:val="21"/>
                <w:lang w:bidi="ar"/>
              </w:rPr>
              <w:t>分）</w:t>
            </w: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实施效益</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ascii="楷体" w:hAnsi="楷体" w:eastAsia="楷体" w:cs="宋体"/>
                <w:color w:val="000000"/>
                <w:kern w:val="0"/>
                <w:szCs w:val="21"/>
                <w:lang w:bidi="ar"/>
              </w:rPr>
              <w:t>20</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szCs w:val="21"/>
              </w:rPr>
              <w:t>项目实施所产生的效益。</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891" w:type="dxa"/>
            <w:vMerge w:val="continue"/>
            <w:tcBorders>
              <w:tl2br w:val="nil"/>
              <w:tr2bl w:val="nil"/>
            </w:tcBorders>
            <w:vAlign w:val="center"/>
          </w:tcPr>
          <w:p>
            <w:pPr>
              <w:jc w:val="center"/>
              <w:rPr>
                <w:rFonts w:hint="eastAsia" w:ascii="楷体" w:hAnsi="楷体" w:eastAsia="楷体" w:cs="宋体"/>
                <w:color w:val="000000"/>
                <w:szCs w:val="21"/>
              </w:rPr>
            </w:pPr>
          </w:p>
        </w:tc>
        <w:tc>
          <w:tcPr>
            <w:tcW w:w="1212" w:type="dxa"/>
            <w:vMerge w:val="continue"/>
            <w:tcBorders>
              <w:tl2br w:val="nil"/>
              <w:tr2bl w:val="nil"/>
            </w:tcBorders>
            <w:vAlign w:val="center"/>
          </w:tcPr>
          <w:p>
            <w:pPr>
              <w:jc w:val="center"/>
              <w:rPr>
                <w:rFonts w:hint="eastAsia" w:ascii="楷体" w:hAnsi="楷体" w:eastAsia="楷体" w:cs="宋体"/>
                <w:color w:val="000000"/>
                <w:szCs w:val="21"/>
              </w:rPr>
            </w:pPr>
          </w:p>
        </w:tc>
        <w:tc>
          <w:tcPr>
            <w:tcW w:w="1645" w:type="dxa"/>
            <w:tcBorders>
              <w:tl2br w:val="nil"/>
              <w:tr2bl w:val="nil"/>
            </w:tcBorders>
            <w:vAlign w:val="center"/>
          </w:tcPr>
          <w:p>
            <w:pPr>
              <w:widowControl/>
              <w:jc w:val="left"/>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满意度</w:t>
            </w:r>
          </w:p>
        </w:tc>
        <w:tc>
          <w:tcPr>
            <w:tcW w:w="610" w:type="dxa"/>
            <w:tcBorders>
              <w:tl2br w:val="nil"/>
              <w:tr2bl w:val="nil"/>
            </w:tcBorders>
            <w:vAlign w:val="center"/>
          </w:tcPr>
          <w:p>
            <w:pPr>
              <w:widowControl/>
              <w:jc w:val="center"/>
              <w:textAlignment w:val="center"/>
              <w:rPr>
                <w:rFonts w:hint="eastAsia" w:ascii="楷体" w:hAnsi="楷体" w:eastAsia="楷体" w:cs="宋体"/>
                <w:color w:val="000000"/>
                <w:szCs w:val="21"/>
              </w:rPr>
            </w:pPr>
            <w:r>
              <w:rPr>
                <w:rFonts w:hint="eastAsia" w:ascii="楷体" w:hAnsi="楷体" w:eastAsia="楷体" w:cs="宋体"/>
                <w:color w:val="000000"/>
                <w:kern w:val="0"/>
                <w:szCs w:val="21"/>
                <w:lang w:bidi="ar"/>
              </w:rPr>
              <w:t>1</w:t>
            </w:r>
            <w:r>
              <w:rPr>
                <w:rFonts w:ascii="楷体" w:hAnsi="楷体" w:eastAsia="楷体" w:cs="宋体"/>
                <w:color w:val="000000"/>
                <w:kern w:val="0"/>
                <w:szCs w:val="21"/>
                <w:lang w:bidi="ar"/>
              </w:rPr>
              <w:t>1</w:t>
            </w:r>
          </w:p>
        </w:tc>
        <w:tc>
          <w:tcPr>
            <w:tcW w:w="4164" w:type="dxa"/>
            <w:tcBorders>
              <w:tl2br w:val="nil"/>
              <w:tr2bl w:val="nil"/>
            </w:tcBorders>
            <w:vAlign w:val="center"/>
          </w:tcPr>
          <w:p>
            <w:pPr>
              <w:widowControl/>
              <w:textAlignment w:val="center"/>
              <w:rPr>
                <w:rFonts w:hint="eastAsia" w:ascii="楷体" w:hAnsi="楷体" w:eastAsia="楷体" w:cs="宋体"/>
                <w:color w:val="000000"/>
                <w:szCs w:val="21"/>
              </w:rPr>
            </w:pPr>
            <w:r>
              <w:rPr>
                <w:rFonts w:hint="eastAsia" w:ascii="楷体" w:hAnsi="楷体" w:eastAsia="楷体" w:cs="宋体"/>
                <w:color w:val="000000"/>
                <w:szCs w:val="21"/>
              </w:rPr>
              <w:t>社会公众或服务对象对项目实施效果的满意程度。</w:t>
            </w:r>
          </w:p>
        </w:tc>
      </w:tr>
      <w:tr>
        <w:tblPrEx>
          <w:tblBorders>
            <w:top w:val="double" w:color="000000" w:sz="4" w:space="0"/>
            <w:left w:val="none" w:color="auto" w:sz="0" w:space="0"/>
            <w:bottom w:val="doub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3748" w:type="dxa"/>
            <w:gridSpan w:val="3"/>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合计</w:t>
            </w:r>
          </w:p>
        </w:tc>
        <w:tc>
          <w:tcPr>
            <w:tcW w:w="610" w:type="dxa"/>
            <w:tcBorders>
              <w:tl2br w:val="nil"/>
              <w:tr2bl w:val="nil"/>
            </w:tcBorders>
            <w:vAlign w:val="center"/>
          </w:tcPr>
          <w:p>
            <w:pPr>
              <w:widowControl/>
              <w:jc w:val="center"/>
              <w:textAlignment w:val="center"/>
              <w:rPr>
                <w:rFonts w:hint="eastAsia" w:ascii="楷体" w:hAnsi="楷体" w:eastAsia="楷体" w:cs="宋体"/>
                <w:b/>
                <w:bCs/>
                <w:color w:val="000000"/>
                <w:szCs w:val="21"/>
              </w:rPr>
            </w:pPr>
            <w:r>
              <w:rPr>
                <w:rFonts w:hint="eastAsia" w:ascii="楷体" w:hAnsi="楷体" w:eastAsia="楷体" w:cs="宋体"/>
                <w:b/>
                <w:bCs/>
                <w:color w:val="000000"/>
                <w:kern w:val="0"/>
                <w:szCs w:val="21"/>
                <w:lang w:bidi="ar"/>
              </w:rPr>
              <w:t>100</w:t>
            </w:r>
          </w:p>
        </w:tc>
        <w:tc>
          <w:tcPr>
            <w:tcW w:w="4164" w:type="dxa"/>
            <w:tcBorders>
              <w:tl2br w:val="nil"/>
              <w:tr2bl w:val="nil"/>
            </w:tcBorders>
            <w:vAlign w:val="center"/>
          </w:tcPr>
          <w:p>
            <w:pPr>
              <w:jc w:val="center"/>
              <w:rPr>
                <w:rFonts w:hint="eastAsia" w:ascii="楷体" w:hAnsi="楷体" w:eastAsia="楷体" w:cs="宋体"/>
                <w:b/>
                <w:bCs/>
                <w:color w:val="000000"/>
                <w:szCs w:val="21"/>
              </w:rPr>
            </w:pPr>
          </w:p>
        </w:tc>
      </w:tr>
    </w:tbl>
    <w:p>
      <w:pPr>
        <w:spacing w:line="600" w:lineRule="exact"/>
        <w:ind w:firstLine="640" w:firstLineChars="200"/>
        <w:rPr>
          <w:rFonts w:hint="eastAsia" w:ascii="楷体" w:hAnsi="楷体" w:eastAsia="楷体" w:cs="楷体"/>
          <w:sz w:val="32"/>
          <w:szCs w:val="32"/>
        </w:rPr>
      </w:pPr>
      <w:bookmarkStart w:id="9" w:name="_Toc168499423"/>
      <w:r>
        <w:rPr>
          <w:rFonts w:hint="eastAsia" w:ascii="楷体" w:hAnsi="楷体" w:eastAsia="楷体" w:cs="楷体"/>
          <w:sz w:val="32"/>
          <w:szCs w:val="32"/>
        </w:rPr>
        <w:t>（三）绩效评价工作过程</w:t>
      </w:r>
      <w:bookmarkEnd w:id="9"/>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绩效评价工作小组通过现场对项目资料逐一进行核实，了解项目资金的使用和取得的效益情况，最终根据评价前期入户调研及收集资料情况，征求专家意见后，完成绩效评价报告撰写。</w:t>
      </w:r>
    </w:p>
    <w:p>
      <w:pPr>
        <w:keepNext/>
        <w:spacing w:line="600" w:lineRule="exact"/>
        <w:ind w:firstLine="640" w:firstLineChars="200"/>
        <w:outlineLvl w:val="0"/>
        <w:rPr>
          <w:rFonts w:hint="eastAsia" w:ascii="黑体" w:hAnsi="黑体" w:eastAsia="黑体" w:cs="黑体"/>
          <w:sz w:val="32"/>
          <w:szCs w:val="32"/>
        </w:rPr>
      </w:pPr>
      <w:bookmarkStart w:id="10" w:name="_Toc168499424"/>
      <w:r>
        <w:rPr>
          <w:rFonts w:hint="eastAsia" w:ascii="黑体" w:hAnsi="黑体" w:eastAsia="黑体" w:cs="黑体"/>
          <w:sz w:val="32"/>
          <w:szCs w:val="32"/>
        </w:rPr>
        <w:t>三、综合评价情况及评价结论</w:t>
      </w:r>
      <w:bookmarkEnd w:id="10"/>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2024年度“信息系统运维类项目”项目，项目绩效评价综合得分87</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0</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分，其中项目决策</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3</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0</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分、项目过程</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9</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0</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分、项目产出</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1</w:t>
      </w:r>
      <w:r>
        <w:rPr>
          <w:rFonts w:ascii="仿宋_GB2312" w:hAnsi="宋体" w:eastAsia="仿宋_GB2312" w:cs="宋体"/>
          <w:color w:val="000000"/>
          <w:kern w:val="0"/>
          <w:sz w:val="32"/>
          <w:szCs w:val="32"/>
        </w:rPr>
        <w:t>.00</w:t>
      </w:r>
      <w:r>
        <w:rPr>
          <w:rFonts w:hint="eastAsia" w:ascii="仿宋_GB2312" w:hAnsi="宋体" w:eastAsia="仿宋_GB2312" w:cs="宋体"/>
          <w:color w:val="000000"/>
          <w:kern w:val="0"/>
          <w:sz w:val="32"/>
          <w:szCs w:val="32"/>
        </w:rPr>
        <w:t>分，项目效益</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4</w:t>
      </w:r>
      <w:r>
        <w:rPr>
          <w:rFonts w:ascii="仿宋_GB2312" w:hAnsi="宋体" w:eastAsia="仿宋_GB2312" w:cs="宋体"/>
          <w:color w:val="000000"/>
          <w:kern w:val="0"/>
          <w:sz w:val="32"/>
          <w:szCs w:val="32"/>
        </w:rPr>
        <w:t>.00</w:t>
      </w:r>
      <w:r>
        <w:rPr>
          <w:rFonts w:hint="eastAsia" w:ascii="仿宋_GB2312" w:hAnsi="宋体" w:eastAsia="仿宋_GB2312" w:cs="宋体"/>
          <w:color w:val="000000"/>
          <w:kern w:val="0"/>
          <w:sz w:val="32"/>
          <w:szCs w:val="32"/>
        </w:rPr>
        <w:t>分，绩效评定结论为“良”。</w:t>
      </w:r>
    </w:p>
    <w:p>
      <w:pPr>
        <w:spacing w:after="156" w:afterLines="50" w:line="560" w:lineRule="exact"/>
        <w:jc w:val="center"/>
        <w:rPr>
          <w:rFonts w:hint="eastAsia" w:ascii="楷体" w:hAnsi="楷体" w:eastAsia="楷体" w:cs="宋体"/>
          <w:b/>
          <w:sz w:val="28"/>
          <w:szCs w:val="28"/>
        </w:rPr>
      </w:pPr>
      <w:r>
        <w:rPr>
          <w:rFonts w:hint="eastAsia" w:ascii="楷体" w:hAnsi="楷体" w:eastAsia="楷体" w:cs="宋体"/>
          <w:b/>
          <w:sz w:val="28"/>
          <w:szCs w:val="28"/>
        </w:rPr>
        <w:t>2024年度“信息系统运维类项目”项目</w:t>
      </w:r>
    </w:p>
    <w:p>
      <w:pPr>
        <w:spacing w:after="156" w:afterLines="50" w:line="560" w:lineRule="exact"/>
        <w:jc w:val="center"/>
        <w:rPr>
          <w:rFonts w:hint="eastAsia" w:ascii="楷体" w:hAnsi="楷体" w:eastAsia="楷体" w:cs="宋体"/>
          <w:b/>
          <w:sz w:val="28"/>
          <w:szCs w:val="28"/>
        </w:rPr>
      </w:pPr>
      <w:r>
        <w:rPr>
          <w:rFonts w:hint="eastAsia" w:ascii="楷体" w:hAnsi="楷体" w:eastAsia="楷体" w:cs="宋体"/>
          <w:b/>
          <w:sz w:val="28"/>
          <w:szCs w:val="28"/>
        </w:rPr>
        <w:t>绩效评价结论一览表</w:t>
      </w:r>
    </w:p>
    <w:tbl>
      <w:tblPr>
        <w:tblStyle w:val="13"/>
        <w:tblW w:w="8505" w:type="dxa"/>
        <w:tblInd w:w="108"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381"/>
        <w:gridCol w:w="2899"/>
        <w:gridCol w:w="222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b/>
                <w:bCs/>
                <w:kern w:val="0"/>
                <w:szCs w:val="21"/>
              </w:rPr>
            </w:pPr>
            <w:r>
              <w:rPr>
                <w:rFonts w:hint="eastAsia" w:ascii="楷体" w:hAnsi="楷体" w:eastAsia="楷体" w:cs="宋体"/>
                <w:b/>
                <w:bCs/>
                <w:kern w:val="0"/>
                <w:szCs w:val="21"/>
              </w:rPr>
              <w:t>评价内容</w:t>
            </w:r>
          </w:p>
        </w:tc>
        <w:tc>
          <w:tcPr>
            <w:tcW w:w="2899" w:type="dxa"/>
            <w:tcBorders>
              <w:tl2br w:val="nil"/>
              <w:tr2bl w:val="nil"/>
            </w:tcBorders>
            <w:shd w:val="clear" w:color="000000" w:fill="auto"/>
            <w:vAlign w:val="center"/>
          </w:tcPr>
          <w:p>
            <w:pPr>
              <w:widowControl/>
              <w:jc w:val="center"/>
              <w:rPr>
                <w:rFonts w:hint="eastAsia" w:ascii="楷体" w:hAnsi="楷体" w:eastAsia="楷体" w:cs="宋体"/>
                <w:b/>
                <w:bCs/>
                <w:kern w:val="0"/>
                <w:szCs w:val="21"/>
              </w:rPr>
            </w:pPr>
            <w:r>
              <w:rPr>
                <w:rFonts w:hint="eastAsia" w:ascii="楷体" w:hAnsi="楷体" w:eastAsia="楷体" w:cs="宋体"/>
                <w:b/>
                <w:bCs/>
                <w:kern w:val="0"/>
                <w:szCs w:val="21"/>
              </w:rPr>
              <w:t>分值</w:t>
            </w:r>
          </w:p>
        </w:tc>
        <w:tc>
          <w:tcPr>
            <w:tcW w:w="2225" w:type="dxa"/>
            <w:tcBorders>
              <w:tl2br w:val="nil"/>
              <w:tr2bl w:val="nil"/>
            </w:tcBorders>
            <w:shd w:val="clear" w:color="000000" w:fill="auto"/>
            <w:vAlign w:val="center"/>
          </w:tcPr>
          <w:p>
            <w:pPr>
              <w:widowControl/>
              <w:jc w:val="center"/>
              <w:rPr>
                <w:rFonts w:hint="eastAsia" w:ascii="楷体" w:hAnsi="楷体" w:eastAsia="楷体" w:cs="宋体"/>
                <w:b/>
                <w:bCs/>
                <w:kern w:val="0"/>
                <w:szCs w:val="21"/>
              </w:rPr>
            </w:pPr>
            <w:r>
              <w:rPr>
                <w:rFonts w:hint="eastAsia" w:ascii="楷体" w:hAnsi="楷体" w:eastAsia="楷体" w:cs="宋体"/>
                <w:b/>
                <w:bCs/>
                <w:kern w:val="0"/>
                <w:szCs w:val="21"/>
              </w:rPr>
              <w:t>评价得分</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项目决策</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15.00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1</w:t>
            </w:r>
            <w:r>
              <w:rPr>
                <w:rFonts w:hint="eastAsia" w:ascii="楷体" w:hAnsi="楷体" w:eastAsia="楷体" w:cs="宋体"/>
                <w:kern w:val="0"/>
                <w:szCs w:val="21"/>
              </w:rPr>
              <w:t>3</w:t>
            </w:r>
            <w:r>
              <w:rPr>
                <w:rFonts w:ascii="楷体" w:hAnsi="楷体" w:eastAsia="楷体" w:cs="宋体"/>
                <w:kern w:val="0"/>
                <w:szCs w:val="21"/>
              </w:rPr>
              <w:t>.</w:t>
            </w:r>
            <w:r>
              <w:rPr>
                <w:rFonts w:hint="eastAsia" w:ascii="楷体" w:hAnsi="楷体" w:eastAsia="楷体" w:cs="宋体"/>
                <w:kern w:val="0"/>
                <w:szCs w:val="21"/>
              </w:rPr>
              <w:t>0</w:t>
            </w:r>
            <w:r>
              <w:rPr>
                <w:rFonts w:ascii="楷体" w:hAnsi="楷体" w:eastAsia="楷体" w:cs="宋体"/>
                <w:kern w:val="0"/>
                <w:szCs w:val="21"/>
              </w:rPr>
              <w:t>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项目过程</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20.00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1</w:t>
            </w:r>
            <w:r>
              <w:rPr>
                <w:rFonts w:hint="eastAsia" w:ascii="楷体" w:hAnsi="楷体" w:eastAsia="楷体" w:cs="宋体"/>
                <w:kern w:val="0"/>
                <w:szCs w:val="21"/>
              </w:rPr>
              <w:t>9</w:t>
            </w:r>
            <w:r>
              <w:rPr>
                <w:rFonts w:ascii="楷体" w:hAnsi="楷体" w:eastAsia="楷体" w:cs="宋体"/>
                <w:kern w:val="0"/>
                <w:szCs w:val="21"/>
              </w:rPr>
              <w:t>.</w:t>
            </w:r>
            <w:r>
              <w:rPr>
                <w:rFonts w:hint="eastAsia" w:ascii="楷体" w:hAnsi="楷体" w:eastAsia="楷体" w:cs="宋体"/>
                <w:kern w:val="0"/>
                <w:szCs w:val="21"/>
              </w:rPr>
              <w:t>0</w:t>
            </w:r>
            <w:r>
              <w:rPr>
                <w:rFonts w:ascii="楷体" w:hAnsi="楷体" w:eastAsia="楷体" w:cs="宋体"/>
                <w:kern w:val="0"/>
                <w:szCs w:val="21"/>
              </w:rPr>
              <w:t>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项目产出</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34.00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3</w:t>
            </w:r>
            <w:r>
              <w:rPr>
                <w:rFonts w:hint="eastAsia" w:ascii="楷体" w:hAnsi="楷体" w:eastAsia="楷体" w:cs="宋体"/>
                <w:kern w:val="0"/>
                <w:szCs w:val="21"/>
              </w:rPr>
              <w:t>1.00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bCs/>
                <w:szCs w:val="21"/>
              </w:rPr>
              <w:t>项目效益</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31.00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ascii="楷体" w:hAnsi="楷体" w:eastAsia="楷体" w:cs="宋体"/>
                <w:kern w:val="0"/>
                <w:szCs w:val="21"/>
              </w:rPr>
              <w:t>2</w:t>
            </w:r>
            <w:r>
              <w:rPr>
                <w:rFonts w:hint="eastAsia" w:ascii="楷体" w:hAnsi="楷体" w:eastAsia="楷体" w:cs="宋体"/>
                <w:kern w:val="0"/>
                <w:szCs w:val="21"/>
              </w:rPr>
              <w:t>4.00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综合得分</w:t>
            </w:r>
          </w:p>
        </w:tc>
        <w:tc>
          <w:tcPr>
            <w:tcW w:w="2899"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100.00</w:t>
            </w:r>
          </w:p>
        </w:tc>
        <w:tc>
          <w:tcPr>
            <w:tcW w:w="2225"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fldChar w:fldCharType="begin"/>
            </w:r>
            <w:r>
              <w:rPr>
                <w:rFonts w:hint="eastAsia" w:ascii="楷体" w:hAnsi="楷体" w:eastAsia="楷体" w:cs="宋体"/>
                <w:kern w:val="0"/>
                <w:szCs w:val="21"/>
              </w:rPr>
              <w:instrText xml:space="preserve"> </w:instrText>
            </w:r>
            <w:r>
              <w:rPr>
                <w:rFonts w:ascii="楷体" w:hAnsi="楷体" w:eastAsia="楷体" w:cs="宋体"/>
                <w:kern w:val="0"/>
                <w:szCs w:val="21"/>
              </w:rPr>
              <w:instrText xml:space="preserve">=SUM(ABOVE) \# "#,##0.00"</w:instrText>
            </w:r>
            <w:r>
              <w:rPr>
                <w:rFonts w:hint="eastAsia" w:ascii="楷体" w:hAnsi="楷体" w:eastAsia="楷体" w:cs="宋体"/>
                <w:kern w:val="0"/>
                <w:szCs w:val="21"/>
              </w:rPr>
              <w:instrText xml:space="preserve"> </w:instrText>
            </w:r>
            <w:r>
              <w:rPr>
                <w:rFonts w:hint="eastAsia" w:ascii="楷体" w:hAnsi="楷体" w:eastAsia="楷体" w:cs="宋体"/>
                <w:kern w:val="0"/>
                <w:szCs w:val="21"/>
              </w:rPr>
              <w:fldChar w:fldCharType="separate"/>
            </w:r>
            <w:r>
              <w:rPr>
                <w:rFonts w:hint="eastAsia" w:ascii="楷体" w:hAnsi="楷体" w:eastAsia="楷体" w:cs="宋体"/>
                <w:kern w:val="0"/>
                <w:szCs w:val="21"/>
              </w:rPr>
              <w:t>87.00</w:t>
            </w:r>
            <w:r>
              <w:rPr>
                <w:rFonts w:hint="eastAsia" w:ascii="楷体" w:hAnsi="楷体" w:eastAsia="楷体" w:cs="宋体"/>
                <w:kern w:val="0"/>
                <w:szCs w:val="21"/>
              </w:rPr>
              <w:fldChar w:fldCharType="end"/>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exact"/>
        </w:trPr>
        <w:tc>
          <w:tcPr>
            <w:tcW w:w="3381" w:type="dxa"/>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绩效评定级别</w:t>
            </w:r>
          </w:p>
        </w:tc>
        <w:tc>
          <w:tcPr>
            <w:tcW w:w="5124" w:type="dxa"/>
            <w:gridSpan w:val="2"/>
            <w:tcBorders>
              <w:tl2br w:val="nil"/>
              <w:tr2bl w:val="nil"/>
            </w:tcBorders>
            <w:shd w:val="clear" w:color="000000" w:fill="auto"/>
            <w:vAlign w:val="center"/>
          </w:tcPr>
          <w:p>
            <w:pPr>
              <w:widowControl/>
              <w:jc w:val="center"/>
              <w:rPr>
                <w:rFonts w:hint="eastAsia" w:ascii="楷体" w:hAnsi="楷体" w:eastAsia="楷体" w:cs="宋体"/>
                <w:kern w:val="0"/>
                <w:szCs w:val="21"/>
              </w:rPr>
            </w:pPr>
            <w:r>
              <w:rPr>
                <w:rFonts w:hint="eastAsia" w:ascii="楷体" w:hAnsi="楷体" w:eastAsia="楷体" w:cs="宋体"/>
                <w:kern w:val="0"/>
                <w:szCs w:val="21"/>
              </w:rPr>
              <w:t>良</w:t>
            </w:r>
          </w:p>
        </w:tc>
      </w:tr>
    </w:tbl>
    <w:p>
      <w:pPr>
        <w:keepNext/>
        <w:spacing w:line="600" w:lineRule="exact"/>
        <w:ind w:firstLine="640" w:firstLineChars="200"/>
        <w:outlineLvl w:val="0"/>
        <w:rPr>
          <w:rFonts w:hint="eastAsia" w:ascii="黑体" w:hAnsi="黑体" w:eastAsia="黑体" w:cs="黑体"/>
          <w:sz w:val="32"/>
          <w:szCs w:val="32"/>
        </w:rPr>
      </w:pPr>
      <w:bookmarkStart w:id="11" w:name="_Toc168499425"/>
      <w:r>
        <w:rPr>
          <w:rFonts w:hint="eastAsia" w:ascii="黑体" w:hAnsi="黑体" w:eastAsia="黑体" w:cs="黑体"/>
          <w:sz w:val="32"/>
          <w:szCs w:val="32"/>
        </w:rPr>
        <w:t>四、绩效评价指标分析</w:t>
      </w:r>
      <w:bookmarkEnd w:id="11"/>
    </w:p>
    <w:p>
      <w:pPr>
        <w:spacing w:line="600" w:lineRule="exact"/>
        <w:ind w:firstLine="640" w:firstLineChars="200"/>
        <w:rPr>
          <w:rFonts w:hint="eastAsia" w:ascii="楷体" w:hAnsi="楷体" w:eastAsia="楷体" w:cs="楷体"/>
          <w:sz w:val="32"/>
          <w:szCs w:val="32"/>
        </w:rPr>
      </w:pPr>
      <w:bookmarkStart w:id="12" w:name="_Toc168499426"/>
      <w:r>
        <w:rPr>
          <w:rFonts w:hint="eastAsia" w:ascii="楷体" w:hAnsi="楷体" w:eastAsia="楷体" w:cs="楷体"/>
          <w:sz w:val="32"/>
          <w:szCs w:val="32"/>
        </w:rPr>
        <w:t>（一）项目决策情况</w:t>
      </w:r>
      <w:bookmarkEnd w:id="12"/>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1.项目立项</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（1）立项依据充分性评价分析</w:t>
      </w:r>
    </w:p>
    <w:p>
      <w:pPr>
        <w:spacing w:line="600" w:lineRule="exact"/>
        <w:ind w:firstLine="640" w:firstLineChars="200"/>
        <w:rPr>
          <w:rFonts w:hint="eastAsia" w:ascii="仿宋_GB2312" w:hAnsi="宋体" w:eastAsia="仿宋_GB2312" w:cs="宋体"/>
          <w:color w:val="000000"/>
          <w:kern w:val="0"/>
          <w:sz w:val="32"/>
          <w:szCs w:val="32"/>
        </w:rPr>
      </w:pPr>
      <w:bookmarkStart w:id="13" w:name="OLE_LINK8"/>
      <w:r>
        <w:rPr>
          <w:rFonts w:hint="eastAsia" w:ascii="仿宋_GB2312" w:hAnsi="宋体" w:eastAsia="仿宋_GB2312" w:cs="宋体"/>
          <w:color w:val="000000"/>
          <w:kern w:val="0"/>
          <w:sz w:val="32"/>
          <w:szCs w:val="32"/>
        </w:rPr>
        <w:t>为反映</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资源的可用性情况和健康状况，创建一个可知可控的 IT 环境，从而保证</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的各类业务应用系统的可靠、高效、持续、安全运行，2024年度申请信息运维费用25.00万元，对</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现有系统基础资源进行监控和管理，及时掌握网络信息系统资源现状和配置信息。</w:t>
      </w:r>
    </w:p>
    <w:bookmarkEnd w:id="13"/>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（2）立项程序规范性评价分析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该项目立项程序较规范，严格按照北京市财政规定的立项程序执行预算编制工作，并经院党组会审议通过后报至北京市财政局。北京市财政局发函批复了</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该项目的预算。</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2.绩效目标</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（1）绩效目标合理性评价分析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该项目绩效目标基本合理，</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在申报2024年预算时填制了“项目支出绩效目标申报表”，设立了该项目的相应绩效目标。</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（2）绩效指标明确性评价分析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该项目绩效指标较为明确、细化，具有可衡量性。该项目将绩效目标按照产出指标、成本指标等一级指标以及时效、经济成本、经济效益、服务对象满意度等二级指标进行细化分解。</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3.资金投入</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（1）预算编制科学性评价分析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该项目预算编制较为科学，对项目的支出按照市财政对预算的要求进行了二级项目的划分，进一步保障了项目预算编制的科学性。</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（2）资金分配合理性评价分析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本项目预算资金分配依据《北京铁路运输检察院经费支出管理办法》，反映了预算资金分配的科学性、合理性。分配情况如下：信息运维费25.00万元，与实际支出情况基本相符。</w:t>
      </w:r>
    </w:p>
    <w:p>
      <w:pPr>
        <w:spacing w:line="600" w:lineRule="exact"/>
        <w:ind w:firstLine="640" w:firstLineChars="200"/>
        <w:rPr>
          <w:rFonts w:hint="eastAsia" w:ascii="楷体" w:hAnsi="楷体" w:eastAsia="楷体" w:cs="楷体"/>
          <w:sz w:val="32"/>
          <w:szCs w:val="32"/>
        </w:rPr>
      </w:pPr>
      <w:bookmarkStart w:id="14" w:name="_Toc168499427"/>
      <w:r>
        <w:rPr>
          <w:rFonts w:hint="eastAsia" w:ascii="楷体" w:hAnsi="楷体" w:eastAsia="楷体" w:cs="楷体"/>
          <w:sz w:val="32"/>
          <w:szCs w:val="32"/>
        </w:rPr>
        <w:t>（二）项目过程情况</w:t>
      </w:r>
      <w:bookmarkEnd w:id="14"/>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1.资金管理</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（1）资金到位率评价分析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该项目的资金到位率为100.00%。</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资金到位率=（实际到位资金/预算资金）×100%=（25.00万元/25.00万元）×100%=100.00%。</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（2）预算执行率评价分析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该项目的预算执行率为100.00</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预算执行率=（实际支出资金/实际到位资金）×100%=（25.00万元/25.00万元）×100%=100.00%。</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（3）资金使用合规性</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该项目资金使用符合国家财经法规和财务管理制度的规定，严格按照预算批复及</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财务管理实施细则的规定执行，且每笔支出均有完整的审批程序和手续。</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2.组织实施</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（1）管理制度健全性评价分析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该项目涉及的管理制度，包括《北京铁路运输检察院财务管理实施细则》、《北京铁路运输检察院项目管理办法》等制度，对项目顺利实施提供了一定保障。</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（2）制度执行有效性评价分析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目执行过程中，均严格遵守相关法律法规和相关管理规定，项目支出手续均完备，项目中涉及的合同、信息运维服务总结、验收报告等资料均齐全并及时归档项目实施的人员条件、场地设备、信息支撑等均落实到位。</w:t>
      </w:r>
    </w:p>
    <w:p>
      <w:pPr>
        <w:spacing w:line="600" w:lineRule="exact"/>
        <w:ind w:firstLine="640" w:firstLineChars="200"/>
        <w:rPr>
          <w:rFonts w:hint="eastAsia" w:ascii="楷体" w:hAnsi="楷体" w:eastAsia="楷体" w:cs="楷体"/>
          <w:sz w:val="32"/>
          <w:szCs w:val="32"/>
        </w:rPr>
      </w:pPr>
      <w:bookmarkStart w:id="15" w:name="_Toc168499428"/>
      <w:r>
        <w:rPr>
          <w:rFonts w:hint="eastAsia" w:ascii="楷体" w:hAnsi="楷体" w:eastAsia="楷体" w:cs="楷体"/>
          <w:sz w:val="32"/>
          <w:szCs w:val="32"/>
        </w:rPr>
        <w:t>（三）项目产出情况</w:t>
      </w:r>
      <w:bookmarkEnd w:id="15"/>
    </w:p>
    <w:p>
      <w:pPr>
        <w:spacing w:line="600" w:lineRule="exact"/>
        <w:ind w:firstLine="640" w:firstLineChars="200"/>
        <w:rPr>
          <w:rFonts w:hint="eastAsia" w:ascii="仿宋_GB2312" w:hAnsi="宋体" w:eastAsia="仿宋_GB2312" w:cs="宋体"/>
          <w:color w:val="000000"/>
          <w:kern w:val="0"/>
          <w:sz w:val="32"/>
          <w:szCs w:val="32"/>
        </w:rPr>
      </w:pPr>
      <w:r>
        <w:rPr>
          <w:rFonts w:hint="eastAsia" w:ascii="楷体" w:hAnsi="楷体" w:eastAsia="楷体" w:cs="楷体"/>
          <w:sz w:val="32"/>
          <w:szCs w:val="32"/>
        </w:rPr>
        <w:t>1.产出数量</w:t>
      </w:r>
      <w:r>
        <w:rPr>
          <w:rFonts w:hint="eastAsia" w:ascii="楷体" w:hAnsi="楷体" w:eastAsia="楷体" w:cs="楷体"/>
          <w:sz w:val="32"/>
          <w:szCs w:val="32"/>
        </w:rPr>
        <w:cr/>
      </w:r>
      <w:r>
        <w:rPr>
          <w:rFonts w:hint="eastAsia" w:ascii="仿宋_GB2312" w:hAnsi="宋体" w:eastAsia="仿宋_GB2312" w:cs="宋体"/>
          <w:color w:val="000000"/>
          <w:kern w:val="0"/>
          <w:sz w:val="32"/>
          <w:szCs w:val="32"/>
        </w:rPr>
        <w:t xml:space="preserve">    事故率0次；全年365天稳定运行。</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2.产出时效</w:t>
      </w:r>
    </w:p>
    <w:p>
      <w:pPr>
        <w:spacing w:line="600" w:lineRule="exact"/>
        <w:ind w:left="638" w:leftChars="304"/>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3月份支付金额；2024年12月31日验收。</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3.产出成本</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项目实际支出25.00万元。</w:t>
      </w:r>
    </w:p>
    <w:p>
      <w:pPr>
        <w:spacing w:line="600" w:lineRule="exact"/>
        <w:ind w:firstLine="640" w:firstLineChars="200"/>
        <w:rPr>
          <w:rFonts w:hint="eastAsia" w:ascii="楷体" w:hAnsi="楷体" w:eastAsia="楷体" w:cs="楷体"/>
          <w:sz w:val="32"/>
          <w:szCs w:val="32"/>
        </w:rPr>
      </w:pPr>
      <w:bookmarkStart w:id="16" w:name="_Toc168499429"/>
      <w:r>
        <w:rPr>
          <w:rFonts w:hint="eastAsia" w:ascii="楷体" w:hAnsi="楷体" w:eastAsia="楷体" w:cs="楷体"/>
          <w:sz w:val="32"/>
          <w:szCs w:val="32"/>
        </w:rPr>
        <w:t>（四）项目效益情况</w:t>
      </w:r>
      <w:bookmarkEnd w:id="16"/>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1.实施效益评价分析</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在信息运维费用的保障下，对</w:t>
      </w:r>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所有计算机网络设备、信息系统的运维，以及运维中需要的管理、培训、业务数据的管理及信息自查管理，资源管理，信息安全管理，项目配合，应急响应等业务系统运维和应用中所需的全部服务和支持。</w:t>
      </w:r>
    </w:p>
    <w:p>
      <w:pPr>
        <w:spacing w:line="600" w:lineRule="exact"/>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color w:val="000000"/>
          <w:kern w:val="0"/>
          <w:sz w:val="32"/>
          <w:szCs w:val="32"/>
        </w:rPr>
        <w:t>信息运维费项目的实施，</w:t>
      </w:r>
      <w:r>
        <w:rPr>
          <w:rFonts w:hint="eastAsia" w:ascii="方正仿宋_GB2312" w:hAnsi="方正仿宋_GB2312" w:eastAsia="方正仿宋_GB2312" w:cs="方正仿宋_GB2312"/>
          <w:sz w:val="32"/>
          <w:szCs w:val="32"/>
          <w:lang w:eastAsia="zh-CN"/>
        </w:rPr>
        <w:t>通过维护各</w:t>
      </w:r>
      <w:r>
        <w:rPr>
          <w:rFonts w:hint="eastAsia" w:ascii="方正仿宋_GB2312" w:hAnsi="方正仿宋_GB2312" w:eastAsia="方正仿宋_GB2312" w:cs="方正仿宋_GB2312"/>
          <w:sz w:val="32"/>
          <w:szCs w:val="32"/>
        </w:rPr>
        <w:t>核心业务平台</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快速响应系统故障</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color w:val="000000"/>
          <w:kern w:val="0"/>
          <w:sz w:val="32"/>
          <w:szCs w:val="32"/>
        </w:rPr>
        <w:t>保障检察业务系统稳定运行</w:t>
      </w:r>
      <w:r>
        <w:rPr>
          <w:rFonts w:hint="eastAsia" w:ascii="方正仿宋_GB2312" w:hAnsi="方正仿宋_GB2312" w:eastAsia="方正仿宋_GB2312" w:cs="方正仿宋_GB2312"/>
          <w:color w:val="000000"/>
          <w:kern w:val="0"/>
          <w:sz w:val="32"/>
          <w:szCs w:val="32"/>
          <w:lang w:eastAsia="zh-CN"/>
        </w:rPr>
        <w:t>，</w:t>
      </w:r>
      <w:r>
        <w:rPr>
          <w:rFonts w:hint="eastAsia" w:ascii="方正仿宋_GB2312" w:hAnsi="方正仿宋_GB2312" w:eastAsia="方正仿宋_GB2312" w:cs="方正仿宋_GB2312"/>
          <w:sz w:val="32"/>
          <w:szCs w:val="32"/>
          <w:lang w:eastAsia="zh-CN"/>
        </w:rPr>
        <w:t>辅助检察人员高质效办案、办公；助推数智赋能检察工作，协助检察技术人员</w:t>
      </w:r>
      <w:r>
        <w:rPr>
          <w:rFonts w:hint="eastAsia" w:ascii="方正仿宋_GB2312" w:hAnsi="方正仿宋_GB2312" w:eastAsia="方正仿宋_GB2312" w:cs="方正仿宋_GB2312"/>
          <w:sz w:val="32"/>
          <w:szCs w:val="32"/>
        </w:rPr>
        <w:t>将人工智能、大数据等技术与法律监督深度融合，</w:t>
      </w:r>
      <w:r>
        <w:rPr>
          <w:rFonts w:hint="eastAsia" w:ascii="方正仿宋_GB2312" w:hAnsi="方正仿宋_GB2312" w:eastAsia="方正仿宋_GB2312" w:cs="方正仿宋_GB2312"/>
          <w:sz w:val="32"/>
          <w:szCs w:val="32"/>
          <w:lang w:eastAsia="zh-CN"/>
        </w:rPr>
        <w:t>根据办案人员具体需求辅助构建大数据法律监督模型，并通过软件开发实现模型应用可视化，利用新技术、新应用，</w:t>
      </w:r>
      <w:r>
        <w:rPr>
          <w:rFonts w:hint="eastAsia" w:ascii="方正仿宋_GB2312" w:hAnsi="方正仿宋_GB2312" w:eastAsia="方正仿宋_GB2312" w:cs="方正仿宋_GB2312"/>
          <w:sz w:val="32"/>
          <w:szCs w:val="32"/>
        </w:rPr>
        <w:t>为检察工作现代化注入可持续的数字化动能</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以技术手段筑牢安全防线，通过权限</w:t>
      </w:r>
      <w:r>
        <w:rPr>
          <w:rFonts w:hint="eastAsia" w:ascii="方正仿宋_GB2312" w:hAnsi="方正仿宋_GB2312" w:eastAsia="方正仿宋_GB2312" w:cs="方正仿宋_GB2312"/>
          <w:sz w:val="32"/>
          <w:szCs w:val="32"/>
          <w:lang w:eastAsia="zh-CN"/>
        </w:rPr>
        <w:t>控制、安全策略等方式</w:t>
      </w:r>
      <w:r>
        <w:rPr>
          <w:rFonts w:hint="eastAsia" w:ascii="方正仿宋_GB2312" w:hAnsi="方正仿宋_GB2312" w:eastAsia="方正仿宋_GB2312" w:cs="方正仿宋_GB2312"/>
          <w:sz w:val="32"/>
          <w:szCs w:val="32"/>
        </w:rPr>
        <w:t>构建多维防护体系</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以信息化工具规范业务流程，强化操作留痕与回溯机制，保障检务工作高效协同</w:t>
      </w:r>
      <w:r>
        <w:rPr>
          <w:rFonts w:hint="eastAsia" w:ascii="方正仿宋_GB2312" w:hAnsi="方正仿宋_GB2312" w:eastAsia="方正仿宋_GB2312" w:cs="方正仿宋_GB2312"/>
          <w:sz w:val="32"/>
          <w:szCs w:val="32"/>
          <w:lang w:eastAsia="zh-CN"/>
        </w:rPr>
        <w:t>的同时支撑本院、网络基础防护、应用系统及数据安全，维护司法公信力。</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2.满意度评价分析</w:t>
      </w:r>
    </w:p>
    <w:p>
      <w:pPr>
        <w:spacing w:line="600" w:lineRule="exact"/>
        <w:ind w:firstLine="640" w:firstLineChars="200"/>
        <w:rPr>
          <w:rFonts w:hint="eastAsia" w:ascii="仿宋_GB2312" w:hAnsi="宋体" w:eastAsia="仿宋_GB2312" w:cs="宋体"/>
          <w:color w:val="000000"/>
          <w:kern w:val="0"/>
          <w:sz w:val="32"/>
          <w:szCs w:val="32"/>
        </w:rPr>
      </w:pPr>
      <w:bookmarkStart w:id="17" w:name="_Toc168499430"/>
      <w:r>
        <w:rPr>
          <w:rFonts w:hint="eastAsia" w:ascii="仿宋_GB2312" w:hAnsi="宋体" w:eastAsia="仿宋_GB2312" w:cs="宋体"/>
          <w:color w:val="000000"/>
          <w:kern w:val="0"/>
          <w:sz w:val="32"/>
          <w:szCs w:val="32"/>
          <w:lang w:eastAsia="zh-CN"/>
        </w:rPr>
        <w:t>北京铁检院</w:t>
      </w:r>
      <w:r>
        <w:rPr>
          <w:rFonts w:hint="eastAsia" w:ascii="仿宋_GB2312" w:hAnsi="宋体" w:eastAsia="仿宋_GB2312" w:cs="宋体"/>
          <w:color w:val="000000"/>
          <w:kern w:val="0"/>
          <w:sz w:val="32"/>
          <w:szCs w:val="32"/>
        </w:rPr>
        <w:t>就本院的信息系统运维工作对院内各部门开展了满意度调查，满意度达到95%以上。</w:t>
      </w:r>
    </w:p>
    <w:p>
      <w:pPr>
        <w:spacing w:line="60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bookmarkEnd w:id="17"/>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1.项目绩效目标设置有待进一步优化。</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项目绩效指标的细化程度及量化不足，效益指标设置较为宏观，导致绩效目标实现程度的可衡量性较弱，不能体现项目的直接效果。</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2.项目未制定项目实施方案。</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未制定项目实施方案，缺少对项目的统筹管理，缺少项目实施主体对人员组织分工、实施节点、监管措施、考核要求及风险防控措施等内容，不利于项目的实施，事后对项目的考核或验收报告等资料不够充分，无法体现项目执行监督管理的效果，项目管理机制有待完善。</w:t>
      </w:r>
    </w:p>
    <w:p>
      <w:pPr>
        <w:spacing w:line="600" w:lineRule="exact"/>
        <w:ind w:firstLine="640" w:firstLineChars="200"/>
        <w:outlineLvl w:val="0"/>
        <w:rPr>
          <w:rFonts w:hint="eastAsia" w:ascii="黑体" w:hAnsi="黑体" w:eastAsia="黑体" w:cs="黑体"/>
          <w:sz w:val="32"/>
          <w:szCs w:val="32"/>
        </w:rPr>
      </w:pPr>
      <w:bookmarkStart w:id="18" w:name="_Toc168499431"/>
      <w:r>
        <w:rPr>
          <w:rFonts w:hint="eastAsia" w:ascii="黑体" w:hAnsi="黑体" w:eastAsia="黑体" w:cs="黑体"/>
          <w:sz w:val="32"/>
          <w:szCs w:val="32"/>
        </w:rPr>
        <w:t>六、有关建议</w:t>
      </w:r>
      <w:bookmarkEnd w:id="18"/>
    </w:p>
    <w:p>
      <w:pPr>
        <w:spacing w:line="600" w:lineRule="exact"/>
        <w:ind w:firstLine="640" w:firstLineChars="200"/>
        <w:rPr>
          <w:rFonts w:hint="eastAsia" w:ascii="楷体" w:hAnsi="楷体" w:eastAsia="楷体" w:cs="楷体"/>
          <w:sz w:val="32"/>
          <w:szCs w:val="32"/>
        </w:rPr>
      </w:pPr>
      <w:bookmarkStart w:id="19" w:name="OLE_LINK7"/>
      <w:r>
        <w:rPr>
          <w:rFonts w:hint="eastAsia" w:ascii="楷体" w:hAnsi="楷体" w:eastAsia="楷体" w:cs="楷体"/>
          <w:sz w:val="32"/>
          <w:szCs w:val="32"/>
        </w:rPr>
        <w:t>1.科学设置绩效目标，提高预算绩效管理意识。</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科学、合理设置绩效目标及指标，提高财政资金预算绩效管理意识。绩效指标应尽量采用量化指标，做到可衡量、可考核。</w:t>
      </w:r>
    </w:p>
    <w:p>
      <w:pPr>
        <w:spacing w:line="60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2.完善项目实施方案，规范项目全流程管理。</w:t>
      </w:r>
    </w:p>
    <w:p>
      <w:pPr>
        <w:spacing w:line="600" w:lineRule="exact"/>
        <w:ind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完善项目实施方案，明确项目组织机构、人员分工、执行进度，加强事中跟进，项目结束后，项目实施部门配合办公室（行政事务管理部）完成项目的考核和验收。加强绩效成果资料的归集，加强对绩效成</w:t>
      </w: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color w:val="000000"/>
          <w:kern w:val="0"/>
          <w:sz w:val="32"/>
          <w:szCs w:val="32"/>
        </w:rPr>
        <w:t>果的跟踪及统计分析。同时加强服务对象满意度调查工作。</w:t>
      </w:r>
    </w:p>
    <w:bookmarkEnd w:id="19"/>
    <w:p>
      <w:pPr>
        <w:keepNext/>
        <w:spacing w:line="600" w:lineRule="exact"/>
        <w:ind w:firstLine="640" w:firstLineChars="200"/>
        <w:outlineLvl w:val="0"/>
        <w:rPr>
          <w:rFonts w:hint="eastAsia" w:ascii="黑体" w:hAnsi="黑体" w:eastAsia="黑体" w:cs="黑体"/>
          <w:sz w:val="32"/>
          <w:szCs w:val="32"/>
        </w:rPr>
      </w:pPr>
      <w:bookmarkStart w:id="20" w:name="_Toc168499432"/>
      <w:r>
        <w:rPr>
          <w:rFonts w:hint="eastAsia" w:ascii="黑体" w:hAnsi="黑体" w:eastAsia="黑体" w:cs="黑体"/>
          <w:sz w:val="32"/>
          <w:szCs w:val="32"/>
        </w:rPr>
        <w:t>七、其他需要说明的问题</w:t>
      </w:r>
      <w:bookmarkEnd w:id="20"/>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无。</w:t>
      </w:r>
    </w:p>
    <w:p>
      <w:pPr>
        <w:keepNext/>
        <w:spacing w:line="600" w:lineRule="exact"/>
        <w:ind w:firstLine="640" w:firstLineChars="200"/>
        <w:outlineLvl w:val="0"/>
        <w:rPr>
          <w:rFonts w:hint="eastAsia" w:ascii="黑体" w:hAnsi="黑体" w:eastAsia="黑体" w:cs="黑体"/>
          <w:sz w:val="32"/>
          <w:szCs w:val="32"/>
        </w:rPr>
      </w:pPr>
      <w:bookmarkStart w:id="21" w:name="_Toc168499433"/>
      <w:r>
        <w:rPr>
          <w:rFonts w:hint="eastAsia" w:ascii="黑体" w:hAnsi="黑体" w:eastAsia="黑体" w:cs="黑体"/>
          <w:sz w:val="32"/>
          <w:szCs w:val="32"/>
        </w:rPr>
        <w:t>八、附件</w:t>
      </w:r>
      <w:bookmarkEnd w:id="21"/>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hint="eastAsia"/>
        </w:rPr>
        <w:t xml:space="preserve"> </w:t>
      </w:r>
      <w:r>
        <w:rPr>
          <w:rFonts w:hint="eastAsia" w:ascii="仿宋_GB2312" w:hAnsi="宋体" w:eastAsia="仿宋_GB2312" w:cs="宋体"/>
          <w:color w:val="000000"/>
          <w:kern w:val="0"/>
          <w:sz w:val="32"/>
          <w:szCs w:val="32"/>
        </w:rPr>
        <w:t>北京铁路运输检察院信息系统运维类项目预算执行情况表</w:t>
      </w:r>
    </w:p>
    <w:p>
      <w:pPr>
        <w:spacing w:line="600" w:lineRule="exact"/>
        <w:ind w:firstLine="640" w:firstLineChars="200"/>
        <w:rPr>
          <w:rFonts w:hint="eastAsia" w:ascii="宋体" w:hAnsi="宋体"/>
          <w:kern w:val="44"/>
          <w:szCs w:val="28"/>
        </w:rPr>
      </w:pPr>
      <w:r>
        <w:rPr>
          <w:rFonts w:hint="eastAsia" w:ascii="仿宋_GB2312" w:hAnsi="宋体" w:eastAsia="仿宋_GB2312" w:cs="宋体"/>
          <w:color w:val="000000"/>
          <w:kern w:val="0"/>
          <w:sz w:val="32"/>
          <w:szCs w:val="32"/>
        </w:rPr>
        <w:t>2.</w:t>
      </w:r>
      <w:r>
        <w:rPr>
          <w:rFonts w:hint="eastAsia"/>
        </w:rPr>
        <w:t xml:space="preserve"> </w:t>
      </w:r>
      <w:r>
        <w:rPr>
          <w:rFonts w:hint="eastAsia" w:ascii="仿宋_GB2312" w:hAnsi="宋体" w:eastAsia="仿宋_GB2312" w:cs="宋体"/>
          <w:color w:val="000000"/>
          <w:kern w:val="0"/>
          <w:sz w:val="32"/>
          <w:szCs w:val="32"/>
        </w:rPr>
        <w:t>北京铁路运输检察院信息系统运维类项目绩效目标完成情况及收支明细表</w:t>
      </w:r>
    </w:p>
    <w:p>
      <w:pPr>
        <w:spacing w:line="600" w:lineRule="exact"/>
        <w:ind w:firstLine="640" w:firstLineChars="200"/>
        <w:rPr>
          <w:rFonts w:ascii="仿宋_GB2312" w:eastAsia="仿宋_GB2312"/>
          <w:sz w:val="32"/>
          <w:szCs w:val="32"/>
        </w:rPr>
      </w:pPr>
      <w:r>
        <w:rPr>
          <w:rFonts w:hint="eastAsia" w:ascii="仿宋_GB2312" w:hAnsi="宋体" w:eastAsia="仿宋_GB2312" w:cs="宋体"/>
          <w:color w:val="000000"/>
          <w:kern w:val="0"/>
          <w:sz w:val="32"/>
          <w:szCs w:val="32"/>
        </w:rPr>
        <w:t>3.</w:t>
      </w:r>
      <w:r>
        <w:rPr>
          <w:rFonts w:hint="eastAsia"/>
        </w:rPr>
        <w:t xml:space="preserve"> </w:t>
      </w:r>
      <w:r>
        <w:rPr>
          <w:rFonts w:hint="eastAsia" w:ascii="仿宋_GB2312" w:hAnsi="宋体" w:eastAsia="仿宋_GB2312" w:cs="宋体"/>
          <w:color w:val="000000"/>
          <w:kern w:val="0"/>
          <w:sz w:val="32"/>
          <w:szCs w:val="32"/>
        </w:rPr>
        <w:t>北京铁路运输检察院信息系统运维类项目支出绩效评价指标体系</w:t>
      </w: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hint="eastAsia"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hint="eastAsia"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38392099" name="文本框 2383920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wTABhRcCAAAXBAAADgAAAAAA&#10;AAABACAAAAAfAQAAZHJzL2Uyb0RvYy54bWxQSwUGAAAAAAYABgBZAQAAqAUAAAAA&#10;">
              <v:fill on="f" focussize="0,0"/>
              <v:stroke on="f" weight="0.5pt"/>
              <v:imagedata o:title=""/>
              <o:lock v:ext="edit" aspectratio="f"/>
              <v:textbox inset="0mm,0mm,0mm,0mm" style="mso-fit-shape-to-text:t;">
                <w:txbxContent>
                  <w:p>
                    <w:pPr>
                      <w:pStyle w:val="8"/>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1MDE2YTI2YWQwYzljNTY3NjA0OTIyMjJiYTQ3ZjAifQ=="/>
  </w:docVars>
  <w:rsids>
    <w:rsidRoot w:val="F77F09F4"/>
    <w:rsid w:val="00042C93"/>
    <w:rsid w:val="000467CB"/>
    <w:rsid w:val="000A4315"/>
    <w:rsid w:val="000B0B30"/>
    <w:rsid w:val="000D654C"/>
    <w:rsid w:val="000E0DD9"/>
    <w:rsid w:val="000F7BB5"/>
    <w:rsid w:val="001038FF"/>
    <w:rsid w:val="00104C93"/>
    <w:rsid w:val="00133130"/>
    <w:rsid w:val="001427A3"/>
    <w:rsid w:val="00144231"/>
    <w:rsid w:val="00146223"/>
    <w:rsid w:val="001518DD"/>
    <w:rsid w:val="00165180"/>
    <w:rsid w:val="0018432F"/>
    <w:rsid w:val="001C4D11"/>
    <w:rsid w:val="001C5750"/>
    <w:rsid w:val="001D165E"/>
    <w:rsid w:val="001E553B"/>
    <w:rsid w:val="001F60CE"/>
    <w:rsid w:val="00267BD4"/>
    <w:rsid w:val="00295185"/>
    <w:rsid w:val="002A347C"/>
    <w:rsid w:val="002A58A4"/>
    <w:rsid w:val="002B3C5B"/>
    <w:rsid w:val="002C4FDD"/>
    <w:rsid w:val="002E4981"/>
    <w:rsid w:val="00302D68"/>
    <w:rsid w:val="0036327F"/>
    <w:rsid w:val="00374F09"/>
    <w:rsid w:val="00391948"/>
    <w:rsid w:val="00393444"/>
    <w:rsid w:val="003B3731"/>
    <w:rsid w:val="003C220B"/>
    <w:rsid w:val="003F2DED"/>
    <w:rsid w:val="00427B7F"/>
    <w:rsid w:val="00432F2F"/>
    <w:rsid w:val="00474627"/>
    <w:rsid w:val="004813C7"/>
    <w:rsid w:val="004A18A4"/>
    <w:rsid w:val="004A2785"/>
    <w:rsid w:val="004B1297"/>
    <w:rsid w:val="004B251E"/>
    <w:rsid w:val="004B4850"/>
    <w:rsid w:val="004C10D6"/>
    <w:rsid w:val="004D55EE"/>
    <w:rsid w:val="004E58F4"/>
    <w:rsid w:val="0051048B"/>
    <w:rsid w:val="0051647C"/>
    <w:rsid w:val="005343F3"/>
    <w:rsid w:val="005574D0"/>
    <w:rsid w:val="00570A8D"/>
    <w:rsid w:val="00583CF3"/>
    <w:rsid w:val="005843B2"/>
    <w:rsid w:val="005C114D"/>
    <w:rsid w:val="005C3EDD"/>
    <w:rsid w:val="005C65BB"/>
    <w:rsid w:val="005E015B"/>
    <w:rsid w:val="005E0B2A"/>
    <w:rsid w:val="00606029"/>
    <w:rsid w:val="006638C3"/>
    <w:rsid w:val="00685E8A"/>
    <w:rsid w:val="006973A9"/>
    <w:rsid w:val="006B26A2"/>
    <w:rsid w:val="006D03FD"/>
    <w:rsid w:val="00710112"/>
    <w:rsid w:val="007265EE"/>
    <w:rsid w:val="00752D4C"/>
    <w:rsid w:val="00753AA6"/>
    <w:rsid w:val="007A42FF"/>
    <w:rsid w:val="007A4E0A"/>
    <w:rsid w:val="007A645D"/>
    <w:rsid w:val="007C2568"/>
    <w:rsid w:val="007D575A"/>
    <w:rsid w:val="007D66CA"/>
    <w:rsid w:val="007E07CC"/>
    <w:rsid w:val="007E739F"/>
    <w:rsid w:val="007F238A"/>
    <w:rsid w:val="00800E59"/>
    <w:rsid w:val="008107EF"/>
    <w:rsid w:val="00813C23"/>
    <w:rsid w:val="00814CE8"/>
    <w:rsid w:val="008C35E8"/>
    <w:rsid w:val="008D3DA5"/>
    <w:rsid w:val="009113FA"/>
    <w:rsid w:val="0092269D"/>
    <w:rsid w:val="00945D43"/>
    <w:rsid w:val="00946650"/>
    <w:rsid w:val="00963068"/>
    <w:rsid w:val="00974B54"/>
    <w:rsid w:val="009847F4"/>
    <w:rsid w:val="009B23CD"/>
    <w:rsid w:val="009B4538"/>
    <w:rsid w:val="009B69DD"/>
    <w:rsid w:val="009C194D"/>
    <w:rsid w:val="009F2367"/>
    <w:rsid w:val="00A008DD"/>
    <w:rsid w:val="00A5523C"/>
    <w:rsid w:val="00A6477A"/>
    <w:rsid w:val="00A80392"/>
    <w:rsid w:val="00A80A14"/>
    <w:rsid w:val="00A83CE8"/>
    <w:rsid w:val="00AA644D"/>
    <w:rsid w:val="00AC4696"/>
    <w:rsid w:val="00AE3726"/>
    <w:rsid w:val="00AF021F"/>
    <w:rsid w:val="00AF65AC"/>
    <w:rsid w:val="00AF65B7"/>
    <w:rsid w:val="00B11CAF"/>
    <w:rsid w:val="00B16D7B"/>
    <w:rsid w:val="00B31657"/>
    <w:rsid w:val="00B50865"/>
    <w:rsid w:val="00B52151"/>
    <w:rsid w:val="00B62670"/>
    <w:rsid w:val="00B67E28"/>
    <w:rsid w:val="00B960CB"/>
    <w:rsid w:val="00B971CF"/>
    <w:rsid w:val="00B9755B"/>
    <w:rsid w:val="00BA2E79"/>
    <w:rsid w:val="00BD3DCD"/>
    <w:rsid w:val="00BE3B53"/>
    <w:rsid w:val="00BE436A"/>
    <w:rsid w:val="00C051A3"/>
    <w:rsid w:val="00C225AE"/>
    <w:rsid w:val="00C229EF"/>
    <w:rsid w:val="00C57290"/>
    <w:rsid w:val="00C62D6A"/>
    <w:rsid w:val="00C643FE"/>
    <w:rsid w:val="00CA5CD7"/>
    <w:rsid w:val="00CE79EB"/>
    <w:rsid w:val="00CF7137"/>
    <w:rsid w:val="00D10301"/>
    <w:rsid w:val="00D30735"/>
    <w:rsid w:val="00D34516"/>
    <w:rsid w:val="00D416B7"/>
    <w:rsid w:val="00D54D93"/>
    <w:rsid w:val="00D74FCD"/>
    <w:rsid w:val="00DA66D3"/>
    <w:rsid w:val="00DD171E"/>
    <w:rsid w:val="00DD7B09"/>
    <w:rsid w:val="00DE1561"/>
    <w:rsid w:val="00E00FA4"/>
    <w:rsid w:val="00E138F8"/>
    <w:rsid w:val="00E24C66"/>
    <w:rsid w:val="00E32C4F"/>
    <w:rsid w:val="00E460F9"/>
    <w:rsid w:val="00E55977"/>
    <w:rsid w:val="00E86DF0"/>
    <w:rsid w:val="00EA170D"/>
    <w:rsid w:val="00ED3867"/>
    <w:rsid w:val="00EF184A"/>
    <w:rsid w:val="00F145BB"/>
    <w:rsid w:val="00F27CC6"/>
    <w:rsid w:val="00F6229D"/>
    <w:rsid w:val="00FB172A"/>
    <w:rsid w:val="00FC1169"/>
    <w:rsid w:val="00FE25F3"/>
    <w:rsid w:val="0ECF9C51"/>
    <w:rsid w:val="12753E83"/>
    <w:rsid w:val="166C34F9"/>
    <w:rsid w:val="1EFD7285"/>
    <w:rsid w:val="1F2C2717"/>
    <w:rsid w:val="236A6B0E"/>
    <w:rsid w:val="2E6841B8"/>
    <w:rsid w:val="300D3427"/>
    <w:rsid w:val="30CC3F10"/>
    <w:rsid w:val="33F22CD8"/>
    <w:rsid w:val="34F10EAE"/>
    <w:rsid w:val="37173543"/>
    <w:rsid w:val="38AA423A"/>
    <w:rsid w:val="3C971317"/>
    <w:rsid w:val="3EE40398"/>
    <w:rsid w:val="3FF76880"/>
    <w:rsid w:val="425D18FC"/>
    <w:rsid w:val="48A440EB"/>
    <w:rsid w:val="4D721DED"/>
    <w:rsid w:val="4D9C1759"/>
    <w:rsid w:val="5094673E"/>
    <w:rsid w:val="53723CD6"/>
    <w:rsid w:val="53D678A9"/>
    <w:rsid w:val="564502EC"/>
    <w:rsid w:val="5B8176C5"/>
    <w:rsid w:val="5F4C479E"/>
    <w:rsid w:val="5FC17C15"/>
    <w:rsid w:val="62AB3213"/>
    <w:rsid w:val="65CE758C"/>
    <w:rsid w:val="66B11363"/>
    <w:rsid w:val="66BE7E5D"/>
    <w:rsid w:val="67077B0A"/>
    <w:rsid w:val="69E413D2"/>
    <w:rsid w:val="6B2153A9"/>
    <w:rsid w:val="6B735D1B"/>
    <w:rsid w:val="6E94348C"/>
    <w:rsid w:val="70EF34C4"/>
    <w:rsid w:val="726C58D8"/>
    <w:rsid w:val="75F5791D"/>
    <w:rsid w:val="7669689F"/>
    <w:rsid w:val="7AB7FF50"/>
    <w:rsid w:val="7AEB49B2"/>
    <w:rsid w:val="7BFEB0DB"/>
    <w:rsid w:val="7F170670"/>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semiHidden/>
    <w:unhideWhenUsed/>
    <w:qFormat/>
    <w:uiPriority w:val="0"/>
    <w:pPr>
      <w:jc w:val="left"/>
    </w:pPr>
  </w:style>
  <w:style w:type="paragraph" w:styleId="5">
    <w:name w:val="Body Text Indent"/>
    <w:basedOn w:val="1"/>
    <w:link w:val="19"/>
    <w:semiHidden/>
    <w:unhideWhenUsed/>
    <w:qFormat/>
    <w:uiPriority w:val="0"/>
    <w:pPr>
      <w:spacing w:after="120"/>
      <w:ind w:left="420" w:leftChars="200"/>
    </w:pPr>
  </w:style>
  <w:style w:type="paragraph" w:styleId="6">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7">
    <w:name w:val="Balloon Text"/>
    <w:basedOn w:val="1"/>
    <w:link w:val="24"/>
    <w:semiHidden/>
    <w:unhideWhenUsed/>
    <w:qFormat/>
    <w:uiPriority w:val="0"/>
    <w:rPr>
      <w:sz w:val="18"/>
      <w:szCs w:val="18"/>
    </w:r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paragraph" w:styleId="12">
    <w:name w:val="Body Text First Indent 2"/>
    <w:basedOn w:val="5"/>
    <w:link w:val="20"/>
    <w:qFormat/>
    <w:uiPriority w:val="99"/>
    <w:pPr>
      <w:spacing w:after="360"/>
      <w:ind w:left="0" w:leftChars="0" w:firstLine="420" w:firstLineChars="200"/>
    </w:pPr>
    <w:rPr>
      <w:rFonts w:eastAsia="仿宋_GB2312"/>
      <w:kern w:val="1"/>
      <w:sz w:val="32"/>
      <w:szCs w:val="20"/>
    </w:rPr>
  </w:style>
  <w:style w:type="character" w:styleId="15">
    <w:name w:val="page number"/>
    <w:basedOn w:val="14"/>
    <w:qFormat/>
    <w:uiPriority w:val="0"/>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styleId="17">
    <w:name w:val="annotation reference"/>
    <w:basedOn w:val="14"/>
    <w:semiHidden/>
    <w:unhideWhenUsed/>
    <w:qFormat/>
    <w:uiPriority w:val="0"/>
    <w:rPr>
      <w:sz w:val="21"/>
      <w:szCs w:val="21"/>
    </w:rPr>
  </w:style>
  <w:style w:type="paragraph" w:customStyle="1" w:styleId="18">
    <w:name w:val="列出段落1"/>
    <w:basedOn w:val="1"/>
    <w:qFormat/>
    <w:uiPriority w:val="34"/>
    <w:pPr>
      <w:ind w:firstLine="420" w:firstLineChars="200"/>
    </w:pPr>
    <w:rPr>
      <w:rFonts w:ascii="Calibri" w:hAnsi="Calibri" w:cs="黑体"/>
      <w:szCs w:val="22"/>
    </w:rPr>
  </w:style>
  <w:style w:type="character" w:customStyle="1" w:styleId="19">
    <w:name w:val="正文文本缩进 字符"/>
    <w:basedOn w:val="14"/>
    <w:link w:val="5"/>
    <w:semiHidden/>
    <w:qFormat/>
    <w:uiPriority w:val="0"/>
    <w:rPr>
      <w:rFonts w:ascii="Times New Roman" w:hAnsi="Times New Roman" w:eastAsia="宋体" w:cs="Times New Roman"/>
      <w:kern w:val="2"/>
      <w:sz w:val="21"/>
      <w:szCs w:val="24"/>
    </w:rPr>
  </w:style>
  <w:style w:type="character" w:customStyle="1" w:styleId="20">
    <w:name w:val="正文文本首行缩进 2 字符"/>
    <w:basedOn w:val="19"/>
    <w:link w:val="12"/>
    <w:qFormat/>
    <w:uiPriority w:val="99"/>
    <w:rPr>
      <w:rFonts w:ascii="Times New Roman" w:hAnsi="Times New Roman" w:eastAsia="仿宋_GB2312" w:cs="Times New Roman"/>
      <w:kern w:val="1"/>
      <w:sz w:val="32"/>
      <w:szCs w:val="24"/>
    </w:rPr>
  </w:style>
  <w:style w:type="paragraph" w:styleId="21">
    <w:name w:val="List Paragraph"/>
    <w:basedOn w:val="1"/>
    <w:unhideWhenUsed/>
    <w:qFormat/>
    <w:uiPriority w:val="99"/>
    <w:pPr>
      <w:ind w:firstLine="420" w:firstLineChars="200"/>
    </w:pPr>
  </w:style>
  <w:style w:type="character" w:customStyle="1" w:styleId="22">
    <w:name w:val="标题 1 字符"/>
    <w:basedOn w:val="14"/>
    <w:link w:val="2"/>
    <w:qFormat/>
    <w:uiPriority w:val="0"/>
    <w:rPr>
      <w:rFonts w:ascii="Times New Roman" w:hAnsi="Times New Roman" w:eastAsia="宋体" w:cs="Times New Roman"/>
      <w:b/>
      <w:bCs/>
      <w:kern w:val="44"/>
      <w:sz w:val="44"/>
      <w:szCs w:val="44"/>
    </w:rPr>
  </w:style>
  <w:style w:type="paragraph" w:customStyle="1" w:styleId="2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4">
    <w:name w:val="批注框文本 字符"/>
    <w:basedOn w:val="14"/>
    <w:link w:val="7"/>
    <w:semiHidden/>
    <w:qFormat/>
    <w:uiPriority w:val="0"/>
    <w:rPr>
      <w:rFonts w:ascii="Times New Roman" w:hAnsi="Times New Roman" w:eastAsia="宋体" w:cs="Times New Roman"/>
      <w:kern w:val="2"/>
      <w:sz w:val="18"/>
      <w:szCs w:val="18"/>
    </w:rPr>
  </w:style>
  <w:style w:type="paragraph" w:customStyle="1" w:styleId="25">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75A40-D743-4E0D-B825-F449185783A8}">
  <ds:schemaRefs/>
</ds:datastoreItem>
</file>

<file path=docProps/app.xml><?xml version="1.0" encoding="utf-8"?>
<Properties xmlns="http://schemas.openxmlformats.org/officeDocument/2006/extended-properties" xmlns:vt="http://schemas.openxmlformats.org/officeDocument/2006/docPropsVTypes">
  <Template>Normal</Template>
  <Pages>14</Pages>
  <Words>5318</Words>
  <Characters>5626</Characters>
  <Lines>50</Lines>
  <Paragraphs>14</Paragraphs>
  <TotalTime>11</TotalTime>
  <ScaleCrop>false</ScaleCrop>
  <LinksUpToDate>false</LinksUpToDate>
  <CharactersWithSpaces>5733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2025-04-13T04:30:00Z</dcterms:created>
  <dc:creator>user</dc:creator>
  <cp:lastModifiedBy>瓜伦希尔德</cp:lastModifiedBy>
  <cp:lastPrinted>2025-05-13T08:23:00Z</cp:lastPrinted>
  <dcterms:modified xsi:type="dcterms:W3CDTF">2025-08-25T08:18:51Z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03327DFBBA43428BADC5F8AFC75DCF53_13</vt:lpwstr>
  </property>
  <property fmtid="{D5CDD505-2E9C-101B-9397-08002B2CF9AE}" pid="4" name="KSOTemplateDocerSaveRecord">
    <vt:lpwstr>eyJoZGlkIjoiYTFjNDUzYzE2NzNhYjZmMjFiMDQwYWQ2ODEwNTNiYWQiLCJ1c2VySWQiOiIzMDAxNjk5OTcifQ==</vt:lpwstr>
  </property>
</Properties>
</file>