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0" w:beforeLines="500"/>
        <w:jc w:val="center"/>
        <w:rPr>
          <w:rFonts w:hint="eastAsia" w:ascii="方正小标宋简体" w:hAnsi="宋体" w:eastAsia="方正小标宋简体" w:cs="宋体"/>
          <w:b/>
          <w:bCs/>
          <w:sz w:val="44"/>
          <w:szCs w:val="44"/>
          <w:highlight w:val="none"/>
        </w:rPr>
      </w:pPr>
      <w:r>
        <w:rPr>
          <w:rFonts w:hint="eastAsia" w:ascii="方正小标宋简体" w:hAnsi="宋体" w:eastAsia="方正小标宋简体" w:cs="宋体"/>
          <w:b/>
          <w:bCs/>
          <w:sz w:val="44"/>
          <w:szCs w:val="44"/>
          <w:highlight w:val="none"/>
        </w:rPr>
        <w:t>北京铁路运输检察院</w:t>
      </w:r>
    </w:p>
    <w:p>
      <w:pPr>
        <w:jc w:val="center"/>
        <w:rPr>
          <w:rFonts w:hint="eastAsia" w:ascii="宋体" w:hAnsi="宋体" w:cs="宋体"/>
          <w:b/>
          <w:bCs/>
          <w:sz w:val="44"/>
          <w:szCs w:val="44"/>
          <w:highlight w:val="none"/>
        </w:rPr>
      </w:pPr>
      <w:r>
        <w:rPr>
          <w:rFonts w:hint="eastAsia" w:ascii="方正小标宋简体" w:hAnsi="宋体" w:eastAsia="方正小标宋简体" w:cs="宋体"/>
          <w:b/>
          <w:bCs/>
          <w:sz w:val="44"/>
          <w:szCs w:val="44"/>
          <w:highlight w:val="none"/>
        </w:rPr>
        <w:t>2024年度部门整体绩效评价报告</w:t>
      </w:r>
    </w:p>
    <w:p>
      <w:pPr>
        <w:spacing w:line="560" w:lineRule="exact"/>
        <w:ind w:firstLine="720"/>
        <w:jc w:val="center"/>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pStyle w:val="12"/>
        <w:ind w:firstLine="720"/>
        <w:rPr>
          <w:rFonts w:ascii="方正小标宋简体" w:eastAsia="方正小标宋简体"/>
          <w:sz w:val="36"/>
          <w:szCs w:val="36"/>
          <w:highlight w:val="none"/>
        </w:rPr>
      </w:pPr>
    </w:p>
    <w:p>
      <w:pPr>
        <w:ind w:firstLine="420"/>
        <w:jc w:val="center"/>
        <w:rPr>
          <w:rFonts w:hint="eastAsia" w:ascii="方正小标宋简体" w:hAnsi="宋体" w:eastAsia="方正小标宋简体" w:cs="宋体"/>
          <w:b/>
          <w:bCs/>
          <w:sz w:val="44"/>
          <w:szCs w:val="44"/>
          <w:highlight w:val="none"/>
          <w:lang w:val="en-US" w:eastAsia="zh-CN"/>
        </w:rPr>
      </w:pPr>
      <w:r>
        <w:rPr>
          <w:rFonts w:hint="eastAsia" w:ascii="方正小标宋简体" w:hAnsi="宋体" w:eastAsia="方正小标宋简体" w:cs="宋体"/>
          <w:b/>
          <w:bCs/>
          <w:sz w:val="44"/>
          <w:szCs w:val="44"/>
          <w:highlight w:val="none"/>
          <w:lang w:val="en-US" w:eastAsia="zh-CN"/>
        </w:rPr>
        <w:t xml:space="preserve"> </w:t>
      </w:r>
    </w:p>
    <w:p>
      <w:pPr>
        <w:ind w:firstLine="420"/>
        <w:jc w:val="center"/>
        <w:rPr>
          <w:rFonts w:ascii="宋体" w:hAnsi="宋体"/>
          <w:highlight w:val="none"/>
        </w:rPr>
      </w:pPr>
    </w:p>
    <w:p>
      <w:pPr>
        <w:ind w:firstLine="420"/>
        <w:jc w:val="center"/>
        <w:rPr>
          <w:rFonts w:ascii="宋体" w:hAnsi="宋体"/>
          <w:highlight w:val="none"/>
        </w:rPr>
      </w:pPr>
    </w:p>
    <w:p>
      <w:pPr>
        <w:ind w:firstLine="420"/>
        <w:jc w:val="center"/>
        <w:rPr>
          <w:rFonts w:ascii="宋体" w:hAnsi="宋体"/>
          <w:highlight w:val="none"/>
        </w:rPr>
      </w:pPr>
    </w:p>
    <w:p>
      <w:pPr>
        <w:ind w:firstLine="420"/>
        <w:jc w:val="center"/>
        <w:rPr>
          <w:rFonts w:ascii="宋体" w:hAnsi="宋体"/>
          <w:highlight w:val="none"/>
        </w:rPr>
      </w:pPr>
    </w:p>
    <w:p>
      <w:pPr>
        <w:ind w:firstLine="420"/>
        <w:jc w:val="center"/>
        <w:rPr>
          <w:rFonts w:ascii="宋体" w:hAnsi="宋体"/>
          <w:highlight w:val="none"/>
        </w:rPr>
      </w:pPr>
    </w:p>
    <w:p>
      <w:pPr>
        <w:ind w:firstLine="420"/>
        <w:jc w:val="center"/>
        <w:rPr>
          <w:rFonts w:ascii="宋体" w:hAnsi="宋体"/>
          <w:highlight w:val="none"/>
        </w:rPr>
      </w:pPr>
    </w:p>
    <w:sdt>
      <w:sdtPr>
        <w:rPr>
          <w:rFonts w:ascii="宋体" w:hAnsi="宋体"/>
          <w:highlight w:val="none"/>
        </w:rPr>
        <w:id w:val="147480732"/>
        <w15:color w:val="DBDBDB"/>
        <w:docPartObj>
          <w:docPartGallery w:val="Table of Contents"/>
          <w:docPartUnique/>
        </w:docPartObj>
      </w:sdtPr>
      <w:sdtEndPr>
        <w:rPr>
          <w:rFonts w:hint="eastAsia" w:ascii="宋体" w:hAnsi="宋体" w:cs="宋体"/>
          <w:bCs/>
          <w:sz w:val="24"/>
          <w:highlight w:val="none"/>
        </w:rPr>
      </w:sdtEndPr>
      <w:sdtContent>
        <w:p>
          <w:pPr>
            <w:ind w:firstLine="420"/>
            <w:jc w:val="center"/>
            <w:rPr>
              <w:highlight w:val="none"/>
            </w:rPr>
          </w:pPr>
          <w:r>
            <w:rPr>
              <w:rFonts w:ascii="仿宋_GB2312" w:eastAsia="仿宋_GB2312"/>
              <w:sz w:val="44"/>
              <w:szCs w:val="44"/>
              <w:highlight w:val="none"/>
              <w:lang w:val="zh-CN"/>
            </w:rPr>
            <w:t>目</w:t>
          </w:r>
          <w:r>
            <w:rPr>
              <w:rFonts w:hint="eastAsia" w:ascii="仿宋_GB2312" w:eastAsia="仿宋_GB2312"/>
              <w:sz w:val="44"/>
              <w:szCs w:val="44"/>
              <w:highlight w:val="none"/>
            </w:rPr>
            <w:t xml:space="preserve">  </w:t>
          </w:r>
          <w:r>
            <w:rPr>
              <w:rFonts w:ascii="仿宋_GB2312" w:eastAsia="仿宋_GB2312"/>
              <w:sz w:val="44"/>
              <w:szCs w:val="44"/>
              <w:highlight w:val="none"/>
              <w:lang w:val="zh-CN"/>
            </w:rPr>
            <w:t>录</w:t>
          </w:r>
        </w:p>
        <w:p>
          <w:pPr>
            <w:pStyle w:val="10"/>
            <w:tabs>
              <w:tab w:val="right" w:leader="dot" w:pos="8306"/>
            </w:tabs>
            <w:ind w:firstLine="482"/>
            <w:rPr>
              <w:sz w:val="24"/>
              <w:highlight w:val="none"/>
            </w:rPr>
          </w:pPr>
          <w:r>
            <w:rPr>
              <w:rFonts w:hint="eastAsia" w:ascii="宋体" w:hAnsi="宋体" w:cs="宋体"/>
              <w:b/>
              <w:bCs/>
              <w:sz w:val="24"/>
              <w:highlight w:val="none"/>
            </w:rPr>
            <w:fldChar w:fldCharType="begin"/>
          </w:r>
          <w:r>
            <w:rPr>
              <w:rFonts w:hint="eastAsia" w:ascii="宋体" w:hAnsi="宋体" w:cs="宋体"/>
              <w:b/>
              <w:bCs/>
              <w:sz w:val="24"/>
              <w:highlight w:val="none"/>
            </w:rPr>
            <w:instrText xml:space="preserve">TOC \o "1-2" \h \u </w:instrText>
          </w:r>
          <w:r>
            <w:rPr>
              <w:rFonts w:hint="eastAsia" w:ascii="宋体" w:hAnsi="宋体" w:cs="宋体"/>
              <w:b/>
              <w:bCs/>
              <w:sz w:val="24"/>
              <w:highlight w:val="none"/>
            </w:rPr>
            <w:fldChar w:fldCharType="separate"/>
          </w:r>
          <w:r>
            <w:rPr>
              <w:highlight w:val="none"/>
            </w:rPr>
            <w:fldChar w:fldCharType="begin"/>
          </w:r>
          <w:r>
            <w:rPr>
              <w:highlight w:val="none"/>
            </w:rPr>
            <w:instrText xml:space="preserve"> HYPERLINK \l "_Toc24985" </w:instrText>
          </w:r>
          <w:r>
            <w:rPr>
              <w:highlight w:val="none"/>
            </w:rPr>
            <w:fldChar w:fldCharType="separate"/>
          </w:r>
          <w:r>
            <w:rPr>
              <w:rFonts w:hint="eastAsia" w:ascii="黑体" w:hAnsi="黑体" w:eastAsia="黑体" w:cs="宋体"/>
              <w:kern w:val="0"/>
              <w:sz w:val="24"/>
              <w:highlight w:val="none"/>
            </w:rPr>
            <w:t>一、部门概况</w:t>
          </w:r>
          <w:r>
            <w:rPr>
              <w:sz w:val="24"/>
              <w:highlight w:val="none"/>
            </w:rPr>
            <w:tab/>
          </w:r>
          <w:r>
            <w:rPr>
              <w:sz w:val="24"/>
              <w:highlight w:val="none"/>
            </w:rPr>
            <w:fldChar w:fldCharType="begin"/>
          </w:r>
          <w:r>
            <w:rPr>
              <w:sz w:val="24"/>
              <w:highlight w:val="none"/>
            </w:rPr>
            <w:instrText xml:space="preserve"> PAGEREF _Toc24985 \h </w:instrText>
          </w:r>
          <w:r>
            <w:rPr>
              <w:sz w:val="24"/>
              <w:highlight w:val="none"/>
            </w:rPr>
            <w:fldChar w:fldCharType="separate"/>
          </w:r>
          <w:r>
            <w:rPr>
              <w:sz w:val="24"/>
              <w:highlight w:val="none"/>
            </w:rPr>
            <w:t>- 1 -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"_Toc20410" </w:instrText>
          </w:r>
          <w:r>
            <w:rPr>
              <w:highlight w:val="none"/>
            </w:rPr>
            <w:fldChar w:fldCharType="separate"/>
          </w:r>
          <w:r>
            <w:rPr>
              <w:rFonts w:hint="eastAsia" w:ascii="楷体" w:hAnsi="楷体" w:eastAsia="楷体" w:cs="楷体"/>
              <w:sz w:val="24"/>
              <w:highlight w:val="none"/>
            </w:rPr>
            <w:t>（一）机构设置及职责工作任务情况</w:t>
          </w:r>
          <w:r>
            <w:rPr>
              <w:sz w:val="24"/>
              <w:highlight w:val="none"/>
            </w:rPr>
            <w:tab/>
          </w:r>
          <w:r>
            <w:rPr>
              <w:sz w:val="24"/>
              <w:highlight w:val="none"/>
            </w:rPr>
            <w:fldChar w:fldCharType="begin"/>
          </w:r>
          <w:r>
            <w:rPr>
              <w:sz w:val="24"/>
              <w:highlight w:val="none"/>
            </w:rPr>
            <w:instrText xml:space="preserve"> PAGEREF _Toc20410 \h </w:instrText>
          </w:r>
          <w:r>
            <w:rPr>
              <w:sz w:val="24"/>
              <w:highlight w:val="none"/>
            </w:rPr>
            <w:fldChar w:fldCharType="separate"/>
          </w:r>
          <w:r>
            <w:rPr>
              <w:sz w:val="24"/>
              <w:highlight w:val="none"/>
            </w:rPr>
            <w:t>- 1 -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"_Toc25768" </w:instrText>
          </w:r>
          <w:r>
            <w:rPr>
              <w:highlight w:val="none"/>
            </w:rPr>
            <w:fldChar w:fldCharType="separate"/>
          </w:r>
          <w:r>
            <w:rPr>
              <w:rFonts w:hint="eastAsia" w:ascii="楷体" w:hAnsi="楷体" w:eastAsia="楷体" w:cs="楷体"/>
              <w:sz w:val="24"/>
              <w:highlight w:val="none"/>
            </w:rPr>
            <w:t>（二）部门整体绩效目标设立情况</w:t>
          </w:r>
          <w:r>
            <w:rPr>
              <w:sz w:val="24"/>
              <w:highlight w:val="none"/>
            </w:rPr>
            <w:tab/>
          </w:r>
          <w:r>
            <w:rPr>
              <w:sz w:val="24"/>
              <w:highlight w:val="none"/>
            </w:rPr>
            <w:fldChar w:fldCharType="begin"/>
          </w:r>
          <w:r>
            <w:rPr>
              <w:sz w:val="24"/>
              <w:highlight w:val="none"/>
            </w:rPr>
            <w:instrText xml:space="preserve"> PAGEREF _Toc25768 \h </w:instrText>
          </w:r>
          <w:r>
            <w:rPr>
              <w:sz w:val="24"/>
              <w:highlight w:val="none"/>
            </w:rPr>
            <w:fldChar w:fldCharType="separate"/>
          </w:r>
          <w:r>
            <w:rPr>
              <w:sz w:val="24"/>
              <w:highlight w:val="none"/>
            </w:rPr>
            <w:t>- 2 -</w:t>
          </w:r>
          <w:r>
            <w:rPr>
              <w:sz w:val="24"/>
              <w:highlight w:val="none"/>
            </w:rPr>
            <w:fldChar w:fldCharType="end"/>
          </w:r>
          <w:r>
            <w:rPr>
              <w:sz w:val="24"/>
              <w:highlight w:val="none"/>
            </w:rPr>
            <w:fldChar w:fldCharType="end"/>
          </w:r>
        </w:p>
        <w:p>
          <w:pPr>
            <w:pStyle w:val="10"/>
            <w:tabs>
              <w:tab w:val="right" w:leader="dot" w:pos="8306"/>
            </w:tabs>
            <w:ind w:firstLine="420"/>
            <w:rPr>
              <w:sz w:val="24"/>
              <w:highlight w:val="none"/>
            </w:rPr>
          </w:pPr>
          <w:r>
            <w:rPr>
              <w:highlight w:val="none"/>
            </w:rPr>
            <w:fldChar w:fldCharType="begin"/>
          </w:r>
          <w:r>
            <w:rPr>
              <w:highlight w:val="none"/>
            </w:rPr>
            <w:instrText xml:space="preserve"> HYPERLINK \l "_Toc10397" </w:instrText>
          </w:r>
          <w:r>
            <w:rPr>
              <w:highlight w:val="none"/>
            </w:rPr>
            <w:fldChar w:fldCharType="separate"/>
          </w:r>
          <w:r>
            <w:rPr>
              <w:rFonts w:hint="eastAsia" w:ascii="黑体" w:hAnsi="黑体" w:eastAsia="黑体" w:cs="宋体"/>
              <w:kern w:val="0"/>
              <w:sz w:val="24"/>
              <w:highlight w:val="none"/>
            </w:rPr>
            <w:t>二</w:t>
          </w:r>
          <w:r>
            <w:rPr>
              <w:rFonts w:ascii="黑体" w:hAnsi="黑体" w:eastAsia="黑体" w:cs="宋体"/>
              <w:kern w:val="0"/>
              <w:sz w:val="24"/>
              <w:highlight w:val="none"/>
            </w:rPr>
            <w:t>、</w:t>
          </w:r>
          <w:r>
            <w:rPr>
              <w:rFonts w:hint="eastAsia" w:ascii="黑体" w:hAnsi="黑体" w:eastAsia="黑体" w:cs="宋体"/>
              <w:kern w:val="0"/>
              <w:sz w:val="24"/>
              <w:highlight w:val="none"/>
            </w:rPr>
            <w:t>当年</w:t>
          </w:r>
          <w:r>
            <w:rPr>
              <w:rFonts w:ascii="黑体" w:hAnsi="黑体" w:eastAsia="黑体" w:cs="宋体"/>
              <w:kern w:val="0"/>
              <w:sz w:val="24"/>
              <w:highlight w:val="none"/>
            </w:rPr>
            <w:t>预算执行情况</w:t>
          </w:r>
          <w:r>
            <w:rPr>
              <w:sz w:val="24"/>
              <w:highlight w:val="none"/>
            </w:rPr>
            <w:tab/>
          </w:r>
          <w:r>
            <w:rPr>
              <w:sz w:val="24"/>
              <w:highlight w:val="none"/>
            </w:rPr>
            <w:fldChar w:fldCharType="begin"/>
          </w:r>
          <w:r>
            <w:rPr>
              <w:sz w:val="24"/>
              <w:highlight w:val="none"/>
            </w:rPr>
            <w:instrText xml:space="preserve"> PAGEREF _Toc10397 \h </w:instrText>
          </w:r>
          <w:r>
            <w:rPr>
              <w:sz w:val="24"/>
              <w:highlight w:val="none"/>
            </w:rPr>
            <w:fldChar w:fldCharType="separate"/>
          </w:r>
          <w:r>
            <w:rPr>
              <w:sz w:val="24"/>
              <w:highlight w:val="none"/>
            </w:rPr>
            <w:t>- 4 -</w:t>
          </w:r>
          <w:r>
            <w:rPr>
              <w:sz w:val="24"/>
              <w:highlight w:val="none"/>
            </w:rPr>
            <w:fldChar w:fldCharType="end"/>
          </w:r>
          <w:r>
            <w:rPr>
              <w:sz w:val="24"/>
              <w:highlight w:val="none"/>
            </w:rPr>
            <w:fldChar w:fldCharType="end"/>
          </w:r>
        </w:p>
        <w:p>
          <w:pPr>
            <w:pStyle w:val="10"/>
            <w:tabs>
              <w:tab w:val="right" w:leader="dot" w:pos="8306"/>
            </w:tabs>
            <w:ind w:left="420" w:leftChars="200" w:firstLine="0" w:firstLineChars="0"/>
            <w:rPr>
              <w:sz w:val="24"/>
              <w:highlight w:val="none"/>
            </w:rPr>
          </w:pPr>
          <w:r>
            <w:rPr>
              <w:highlight w:val="none"/>
            </w:rPr>
            <w:fldChar w:fldCharType="begin"/>
          </w:r>
          <w:r>
            <w:rPr>
              <w:highlight w:val="none"/>
            </w:rPr>
            <w:instrText xml:space="preserve"> HYPERLINK \l "_Toc12913" </w:instrText>
          </w:r>
          <w:r>
            <w:rPr>
              <w:highlight w:val="none"/>
            </w:rPr>
            <w:fldChar w:fldCharType="separate"/>
          </w:r>
          <w:r>
            <w:rPr>
              <w:rFonts w:hint="eastAsia" w:ascii="黑体" w:hAnsi="黑体" w:eastAsia="黑体" w:cs="宋体"/>
              <w:kern w:val="0"/>
              <w:sz w:val="24"/>
              <w:highlight w:val="none"/>
            </w:rPr>
            <w:t>三</w:t>
          </w:r>
          <w:r>
            <w:rPr>
              <w:rFonts w:ascii="黑体" w:hAnsi="黑体" w:eastAsia="黑体" w:cs="宋体"/>
              <w:kern w:val="0"/>
              <w:sz w:val="24"/>
              <w:highlight w:val="none"/>
            </w:rPr>
            <w:t>、整体绩效目标实现情况</w:t>
          </w:r>
          <w:r>
            <w:rPr>
              <w:sz w:val="24"/>
              <w:highlight w:val="none"/>
            </w:rPr>
            <w:tab/>
          </w:r>
          <w:r>
            <w:rPr>
              <w:sz w:val="24"/>
              <w:highlight w:val="none"/>
            </w:rPr>
            <w:fldChar w:fldCharType="begin"/>
          </w:r>
          <w:r>
            <w:rPr>
              <w:sz w:val="24"/>
              <w:highlight w:val="none"/>
            </w:rPr>
            <w:instrText xml:space="preserve"> PAGEREF _Toc12913 \h </w:instrText>
          </w:r>
          <w:r>
            <w:rPr>
              <w:sz w:val="24"/>
              <w:highlight w:val="none"/>
            </w:rPr>
            <w:fldChar w:fldCharType="separate"/>
          </w:r>
          <w:r>
            <w:rPr>
              <w:sz w:val="24"/>
              <w:highlight w:val="none"/>
            </w:rPr>
            <w:t>- 4 -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"_Toc14859" </w:instrText>
          </w:r>
          <w:r>
            <w:rPr>
              <w:highlight w:val="none"/>
            </w:rPr>
            <w:fldChar w:fldCharType="separate"/>
          </w:r>
          <w:r>
            <w:rPr>
              <w:rFonts w:hint="eastAsia" w:ascii="楷体" w:hAnsi="楷体" w:eastAsia="楷体" w:cs="楷体"/>
              <w:sz w:val="24"/>
              <w:highlight w:val="none"/>
            </w:rPr>
            <w:t>（一）产出完成情况分析</w:t>
          </w:r>
          <w:r>
            <w:rPr>
              <w:sz w:val="24"/>
              <w:highlight w:val="none"/>
            </w:rPr>
            <w:tab/>
          </w:r>
          <w:r>
            <w:rPr>
              <w:sz w:val="24"/>
              <w:highlight w:val="none"/>
            </w:rPr>
            <w:fldChar w:fldCharType="begin"/>
          </w:r>
          <w:r>
            <w:rPr>
              <w:sz w:val="24"/>
              <w:highlight w:val="none"/>
            </w:rPr>
            <w:instrText xml:space="preserve"> PAGEREF _Toc14859 \h </w:instrText>
          </w:r>
          <w:r>
            <w:rPr>
              <w:sz w:val="24"/>
              <w:highlight w:val="none"/>
            </w:rPr>
            <w:fldChar w:fldCharType="separate"/>
          </w:r>
          <w:r>
            <w:rPr>
              <w:sz w:val="24"/>
              <w:highlight w:val="none"/>
            </w:rPr>
            <w:t>- 4 -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"_Toc368" </w:instrText>
          </w:r>
          <w:r>
            <w:rPr>
              <w:highlight w:val="none"/>
            </w:rPr>
            <w:fldChar w:fldCharType="separate"/>
          </w:r>
          <w:r>
            <w:rPr>
              <w:rFonts w:hint="eastAsia" w:ascii="楷体" w:hAnsi="楷体" w:eastAsia="楷体" w:cs="楷体"/>
              <w:sz w:val="24"/>
              <w:highlight w:val="none"/>
            </w:rPr>
            <w:t>（二）效果实现情况分析</w:t>
          </w:r>
          <w:r>
            <w:rPr>
              <w:sz w:val="24"/>
              <w:highlight w:val="none"/>
            </w:rPr>
            <w:tab/>
          </w:r>
          <w:r>
            <w:rPr>
              <w:sz w:val="24"/>
              <w:highlight w:val="none"/>
            </w:rPr>
            <w:fldChar w:fldCharType="begin"/>
          </w:r>
          <w:r>
            <w:rPr>
              <w:sz w:val="24"/>
              <w:highlight w:val="none"/>
            </w:rPr>
            <w:instrText xml:space="preserve"> PAGEREF _Toc368 \h </w:instrText>
          </w:r>
          <w:r>
            <w:rPr>
              <w:sz w:val="24"/>
              <w:highlight w:val="none"/>
            </w:rPr>
            <w:fldChar w:fldCharType="separate"/>
          </w:r>
          <w:r>
            <w:rPr>
              <w:sz w:val="24"/>
              <w:highlight w:val="none"/>
            </w:rPr>
            <w:t>- 7 -</w:t>
          </w:r>
          <w:r>
            <w:rPr>
              <w:sz w:val="24"/>
              <w:highlight w:val="none"/>
            </w:rPr>
            <w:fldChar w:fldCharType="end"/>
          </w:r>
          <w:r>
            <w:rPr>
              <w:sz w:val="24"/>
              <w:highlight w:val="none"/>
            </w:rPr>
            <w:fldChar w:fldCharType="end"/>
          </w:r>
        </w:p>
        <w:p>
          <w:pPr>
            <w:pStyle w:val="10"/>
            <w:tabs>
              <w:tab w:val="right" w:leader="dot" w:pos="8306"/>
            </w:tabs>
            <w:ind w:firstLine="420"/>
            <w:rPr>
              <w:sz w:val="24"/>
              <w:highlight w:val="none"/>
            </w:rPr>
          </w:pPr>
          <w:r>
            <w:rPr>
              <w:highlight w:val="none"/>
            </w:rPr>
            <w:fldChar w:fldCharType="begin"/>
          </w:r>
          <w:r>
            <w:rPr>
              <w:highlight w:val="none"/>
            </w:rPr>
            <w:instrText xml:space="preserve"> HYPERLINK \l "_Toc26714" </w:instrText>
          </w:r>
          <w:r>
            <w:rPr>
              <w:highlight w:val="none"/>
            </w:rPr>
            <w:fldChar w:fldCharType="separate"/>
          </w:r>
          <w:r>
            <w:rPr>
              <w:rFonts w:hint="eastAsia" w:ascii="黑体" w:hAnsi="黑体" w:eastAsia="黑体" w:cs="宋体"/>
              <w:kern w:val="0"/>
              <w:sz w:val="24"/>
              <w:highlight w:val="none"/>
            </w:rPr>
            <w:t>四</w:t>
          </w:r>
          <w:r>
            <w:rPr>
              <w:rFonts w:ascii="黑体" w:hAnsi="黑体" w:eastAsia="黑体" w:cs="宋体"/>
              <w:kern w:val="0"/>
              <w:sz w:val="24"/>
              <w:highlight w:val="none"/>
            </w:rPr>
            <w:t>、预算管理</w:t>
          </w:r>
          <w:r>
            <w:rPr>
              <w:rFonts w:hint="eastAsia" w:ascii="黑体" w:hAnsi="黑体" w:eastAsia="黑体" w:cs="宋体"/>
              <w:kern w:val="0"/>
              <w:sz w:val="24"/>
              <w:highlight w:val="none"/>
            </w:rPr>
            <w:t>情况分</w:t>
          </w:r>
          <w:r>
            <w:rPr>
              <w:rFonts w:ascii="黑体" w:hAnsi="黑体" w:eastAsia="黑体" w:cs="宋体"/>
              <w:kern w:val="0"/>
              <w:sz w:val="24"/>
              <w:highlight w:val="none"/>
            </w:rPr>
            <w:t>析</w:t>
          </w:r>
          <w:r>
            <w:rPr>
              <w:sz w:val="24"/>
              <w:highlight w:val="none"/>
            </w:rPr>
            <w:tab/>
          </w:r>
          <w:r>
            <w:rPr>
              <w:sz w:val="24"/>
              <w:highlight w:val="none"/>
            </w:rPr>
            <w:fldChar w:fldCharType="begin"/>
          </w:r>
          <w:r>
            <w:rPr>
              <w:sz w:val="24"/>
              <w:highlight w:val="none"/>
            </w:rPr>
            <w:instrText xml:space="preserve"> PAGEREF _Toc26714 \h </w:instrText>
          </w:r>
          <w:r>
            <w:rPr>
              <w:sz w:val="24"/>
              <w:highlight w:val="none"/>
            </w:rPr>
            <w:fldChar w:fldCharType="separate"/>
          </w:r>
          <w:r>
            <w:rPr>
              <w:sz w:val="24"/>
              <w:highlight w:val="none"/>
            </w:rPr>
            <w:t>- 7 -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"_Toc13631" </w:instrText>
          </w:r>
          <w:r>
            <w:rPr>
              <w:highlight w:val="none"/>
            </w:rPr>
            <w:fldChar w:fldCharType="separate"/>
          </w:r>
          <w:r>
            <w:rPr>
              <w:rFonts w:hint="eastAsia" w:ascii="楷体" w:hAnsi="楷体" w:eastAsia="楷体" w:cs="楷体"/>
              <w:sz w:val="24"/>
              <w:highlight w:val="none"/>
            </w:rPr>
            <w:t>（一）财务管理</w:t>
          </w:r>
          <w:r>
            <w:rPr>
              <w:sz w:val="24"/>
              <w:highlight w:val="none"/>
            </w:rPr>
            <w:tab/>
          </w:r>
          <w:r>
            <w:rPr>
              <w:sz w:val="24"/>
              <w:highlight w:val="none"/>
            </w:rPr>
            <w:fldChar w:fldCharType="begin"/>
          </w:r>
          <w:r>
            <w:rPr>
              <w:sz w:val="24"/>
              <w:highlight w:val="none"/>
            </w:rPr>
            <w:instrText xml:space="preserve"> PAGEREF _Toc13631 \h </w:instrText>
          </w:r>
          <w:r>
            <w:rPr>
              <w:sz w:val="24"/>
              <w:highlight w:val="none"/>
            </w:rPr>
            <w:fldChar w:fldCharType="separate"/>
          </w:r>
          <w:r>
            <w:rPr>
              <w:sz w:val="24"/>
              <w:highlight w:val="none"/>
            </w:rPr>
            <w:t>- 7 -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"_Toc24277" </w:instrText>
          </w:r>
          <w:r>
            <w:rPr>
              <w:highlight w:val="none"/>
            </w:rPr>
            <w:fldChar w:fldCharType="separate"/>
          </w:r>
          <w:r>
            <w:rPr>
              <w:rFonts w:hint="eastAsia" w:ascii="楷体" w:hAnsi="楷体" w:eastAsia="楷体" w:cs="楷体"/>
              <w:sz w:val="24"/>
              <w:highlight w:val="none"/>
            </w:rPr>
            <w:t>（二）资产管理</w:t>
          </w:r>
          <w:r>
            <w:rPr>
              <w:sz w:val="24"/>
              <w:highlight w:val="none"/>
            </w:rPr>
            <w:tab/>
          </w:r>
          <w:r>
            <w:rPr>
              <w:sz w:val="24"/>
              <w:highlight w:val="none"/>
            </w:rPr>
            <w:fldChar w:fldCharType="begin"/>
          </w:r>
          <w:r>
            <w:rPr>
              <w:sz w:val="24"/>
              <w:highlight w:val="none"/>
            </w:rPr>
            <w:instrText xml:space="preserve"> PAGEREF _Toc24277 \h </w:instrText>
          </w:r>
          <w:r>
            <w:rPr>
              <w:sz w:val="24"/>
              <w:highlight w:val="none"/>
            </w:rPr>
            <w:fldChar w:fldCharType="separate"/>
          </w:r>
          <w:r>
            <w:rPr>
              <w:sz w:val="24"/>
              <w:highlight w:val="none"/>
            </w:rPr>
            <w:t>- 8 -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"_Toc12724" </w:instrText>
          </w:r>
          <w:r>
            <w:rPr>
              <w:highlight w:val="none"/>
            </w:rPr>
            <w:fldChar w:fldCharType="separate"/>
          </w:r>
          <w:r>
            <w:rPr>
              <w:rFonts w:hint="eastAsia" w:ascii="楷体" w:hAnsi="楷体" w:eastAsia="楷体" w:cs="楷体"/>
              <w:sz w:val="24"/>
              <w:highlight w:val="none"/>
            </w:rPr>
            <w:t>（三）绩效管理</w:t>
          </w:r>
          <w:r>
            <w:rPr>
              <w:sz w:val="24"/>
              <w:highlight w:val="none"/>
            </w:rPr>
            <w:tab/>
          </w:r>
          <w:r>
            <w:rPr>
              <w:sz w:val="24"/>
              <w:highlight w:val="none"/>
            </w:rPr>
            <w:fldChar w:fldCharType="begin"/>
          </w:r>
          <w:r>
            <w:rPr>
              <w:sz w:val="24"/>
              <w:highlight w:val="none"/>
            </w:rPr>
            <w:instrText xml:space="preserve"> PAGEREF _Toc12724 \h </w:instrText>
          </w:r>
          <w:r>
            <w:rPr>
              <w:sz w:val="24"/>
              <w:highlight w:val="none"/>
            </w:rPr>
            <w:fldChar w:fldCharType="separate"/>
          </w:r>
          <w:r>
            <w:rPr>
              <w:sz w:val="24"/>
              <w:highlight w:val="none"/>
            </w:rPr>
            <w:t>- 9 -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"_Toc2279" </w:instrText>
          </w:r>
          <w:r>
            <w:rPr>
              <w:highlight w:val="none"/>
            </w:rPr>
            <w:fldChar w:fldCharType="separate"/>
          </w:r>
          <w:r>
            <w:rPr>
              <w:rFonts w:hint="eastAsia" w:ascii="楷体" w:hAnsi="楷体" w:eastAsia="楷体" w:cs="楷体"/>
              <w:sz w:val="24"/>
              <w:highlight w:val="none"/>
            </w:rPr>
            <w:t>（四）结转结余率</w:t>
          </w:r>
          <w:r>
            <w:rPr>
              <w:sz w:val="24"/>
              <w:highlight w:val="none"/>
            </w:rPr>
            <w:tab/>
          </w:r>
          <w:r>
            <w:rPr>
              <w:sz w:val="24"/>
              <w:highlight w:val="none"/>
            </w:rPr>
            <w:fldChar w:fldCharType="begin"/>
          </w:r>
          <w:r>
            <w:rPr>
              <w:sz w:val="24"/>
              <w:highlight w:val="none"/>
            </w:rPr>
            <w:instrText xml:space="preserve"> PAGEREF _Toc2279 \h </w:instrText>
          </w:r>
          <w:r>
            <w:rPr>
              <w:sz w:val="24"/>
              <w:highlight w:val="none"/>
            </w:rPr>
            <w:fldChar w:fldCharType="separate"/>
          </w:r>
          <w:r>
            <w:rPr>
              <w:sz w:val="24"/>
              <w:highlight w:val="none"/>
            </w:rPr>
            <w:t>- 10 -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"_Toc6092" </w:instrText>
          </w:r>
          <w:r>
            <w:rPr>
              <w:highlight w:val="none"/>
            </w:rPr>
            <w:fldChar w:fldCharType="separate"/>
          </w:r>
          <w:r>
            <w:rPr>
              <w:rFonts w:hint="eastAsia" w:ascii="楷体_GB2312" w:eastAsia="楷体_GB2312"/>
              <w:sz w:val="24"/>
              <w:highlight w:val="none"/>
            </w:rPr>
            <w:t>（五）部门</w:t>
          </w:r>
          <w:r>
            <w:rPr>
              <w:rFonts w:ascii="楷体_GB2312" w:eastAsia="楷体_GB2312"/>
              <w:sz w:val="24"/>
              <w:highlight w:val="none"/>
            </w:rPr>
            <w:t>预决算差异率</w:t>
          </w:r>
          <w:r>
            <w:rPr>
              <w:sz w:val="24"/>
              <w:highlight w:val="none"/>
            </w:rPr>
            <w:tab/>
          </w:r>
          <w:r>
            <w:rPr>
              <w:sz w:val="24"/>
              <w:highlight w:val="none"/>
            </w:rPr>
            <w:fldChar w:fldCharType="begin"/>
          </w:r>
          <w:r>
            <w:rPr>
              <w:sz w:val="24"/>
              <w:highlight w:val="none"/>
            </w:rPr>
            <w:instrText xml:space="preserve"> PAGEREF _Toc6092 \h </w:instrText>
          </w:r>
          <w:r>
            <w:rPr>
              <w:sz w:val="24"/>
              <w:highlight w:val="none"/>
            </w:rPr>
            <w:fldChar w:fldCharType="separate"/>
          </w:r>
          <w:r>
            <w:rPr>
              <w:sz w:val="24"/>
              <w:highlight w:val="none"/>
            </w:rPr>
            <w:t>- 10 -</w:t>
          </w:r>
          <w:r>
            <w:rPr>
              <w:sz w:val="24"/>
              <w:highlight w:val="none"/>
            </w:rPr>
            <w:fldChar w:fldCharType="end"/>
          </w:r>
          <w:r>
            <w:rPr>
              <w:sz w:val="24"/>
              <w:highlight w:val="none"/>
            </w:rPr>
            <w:fldChar w:fldCharType="end"/>
          </w:r>
        </w:p>
        <w:p>
          <w:pPr>
            <w:pStyle w:val="10"/>
            <w:tabs>
              <w:tab w:val="right" w:leader="dot" w:pos="8306"/>
            </w:tabs>
            <w:ind w:firstLine="420"/>
            <w:rPr>
              <w:sz w:val="24"/>
              <w:highlight w:val="none"/>
            </w:rPr>
          </w:pPr>
          <w:r>
            <w:rPr>
              <w:highlight w:val="none"/>
            </w:rPr>
            <w:fldChar w:fldCharType="begin"/>
          </w:r>
          <w:r>
            <w:rPr>
              <w:highlight w:val="none"/>
            </w:rPr>
            <w:instrText xml:space="preserve"> HYPERLINK \l "_Toc25040" </w:instrText>
          </w:r>
          <w:r>
            <w:rPr>
              <w:highlight w:val="none"/>
            </w:rPr>
            <w:fldChar w:fldCharType="separate"/>
          </w:r>
          <w:r>
            <w:rPr>
              <w:rFonts w:hint="eastAsia" w:ascii="黑体" w:hAnsi="黑体" w:eastAsia="黑体" w:cs="宋体"/>
              <w:kern w:val="0"/>
              <w:sz w:val="24"/>
              <w:highlight w:val="none"/>
            </w:rPr>
            <w:t>五、总体</w:t>
          </w:r>
          <w:r>
            <w:rPr>
              <w:rFonts w:ascii="黑体" w:hAnsi="黑体" w:eastAsia="黑体" w:cs="宋体"/>
              <w:kern w:val="0"/>
              <w:sz w:val="24"/>
              <w:highlight w:val="none"/>
            </w:rPr>
            <w:t>评价结论</w:t>
          </w:r>
          <w:r>
            <w:rPr>
              <w:sz w:val="24"/>
              <w:highlight w:val="none"/>
            </w:rPr>
            <w:tab/>
          </w:r>
          <w:r>
            <w:rPr>
              <w:sz w:val="24"/>
              <w:highlight w:val="none"/>
            </w:rPr>
            <w:fldChar w:fldCharType="begin"/>
          </w:r>
          <w:r>
            <w:rPr>
              <w:sz w:val="24"/>
              <w:highlight w:val="none"/>
            </w:rPr>
            <w:instrText xml:space="preserve"> PAGEREF _Toc25040 \h </w:instrText>
          </w:r>
          <w:r>
            <w:rPr>
              <w:sz w:val="24"/>
              <w:highlight w:val="none"/>
            </w:rPr>
            <w:fldChar w:fldCharType="separate"/>
          </w:r>
          <w:r>
            <w:rPr>
              <w:sz w:val="24"/>
              <w:highlight w:val="none"/>
            </w:rPr>
            <w:t>- 11 -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"_Toc17180" </w:instrText>
          </w:r>
          <w:r>
            <w:rPr>
              <w:highlight w:val="none"/>
            </w:rPr>
            <w:fldChar w:fldCharType="separate"/>
          </w:r>
          <w:r>
            <w:rPr>
              <w:rFonts w:hint="eastAsia" w:ascii="楷体" w:hAnsi="楷体" w:eastAsia="楷体" w:cs="楷体"/>
              <w:sz w:val="24"/>
              <w:highlight w:val="none"/>
            </w:rPr>
            <w:t>（一）评价得分情况</w:t>
          </w:r>
          <w:r>
            <w:rPr>
              <w:sz w:val="24"/>
              <w:highlight w:val="none"/>
            </w:rPr>
            <w:tab/>
          </w:r>
          <w:r>
            <w:rPr>
              <w:sz w:val="24"/>
              <w:highlight w:val="none"/>
            </w:rPr>
            <w:fldChar w:fldCharType="begin"/>
          </w:r>
          <w:r>
            <w:rPr>
              <w:sz w:val="24"/>
              <w:highlight w:val="none"/>
            </w:rPr>
            <w:instrText xml:space="preserve"> PAGEREF _Toc17180 \h </w:instrText>
          </w:r>
          <w:r>
            <w:rPr>
              <w:sz w:val="24"/>
              <w:highlight w:val="none"/>
            </w:rPr>
            <w:fldChar w:fldCharType="separate"/>
          </w:r>
          <w:r>
            <w:rPr>
              <w:sz w:val="24"/>
              <w:highlight w:val="none"/>
            </w:rPr>
            <w:t>- 11 -</w:t>
          </w:r>
          <w:r>
            <w:rPr>
              <w:sz w:val="24"/>
              <w:highlight w:val="none"/>
            </w:rPr>
            <w:fldChar w:fldCharType="end"/>
          </w:r>
          <w:r>
            <w:rPr>
              <w:sz w:val="24"/>
              <w:highlight w:val="none"/>
            </w:rPr>
            <w:fldChar w:fldCharType="end"/>
          </w:r>
        </w:p>
        <w:p>
          <w:pPr>
            <w:pStyle w:val="11"/>
            <w:tabs>
              <w:tab w:val="right" w:leader="dot" w:pos="8306"/>
            </w:tabs>
            <w:ind w:firstLine="420"/>
            <w:rPr>
              <w:sz w:val="24"/>
              <w:highlight w:val="none"/>
            </w:rPr>
          </w:pPr>
          <w:r>
            <w:rPr>
              <w:highlight w:val="none"/>
            </w:rPr>
            <w:fldChar w:fldCharType="begin"/>
          </w:r>
          <w:r>
            <w:rPr>
              <w:highlight w:val="none"/>
            </w:rPr>
            <w:instrText xml:space="preserve"> HYPERLINK \l "_Toc14045" </w:instrText>
          </w:r>
          <w:r>
            <w:rPr>
              <w:highlight w:val="none"/>
            </w:rPr>
            <w:fldChar w:fldCharType="separate"/>
          </w:r>
          <w:r>
            <w:rPr>
              <w:rFonts w:hint="eastAsia" w:ascii="楷体" w:hAnsi="楷体" w:eastAsia="楷体" w:cs="楷体"/>
              <w:sz w:val="24"/>
              <w:highlight w:val="none"/>
            </w:rPr>
            <w:t>（二）存在的问题及原因分析</w:t>
          </w:r>
          <w:r>
            <w:rPr>
              <w:sz w:val="24"/>
              <w:highlight w:val="none"/>
            </w:rPr>
            <w:tab/>
          </w:r>
          <w:r>
            <w:rPr>
              <w:sz w:val="24"/>
              <w:highlight w:val="none"/>
            </w:rPr>
            <w:fldChar w:fldCharType="begin"/>
          </w:r>
          <w:r>
            <w:rPr>
              <w:sz w:val="24"/>
              <w:highlight w:val="none"/>
            </w:rPr>
            <w:instrText xml:space="preserve"> PAGEREF _Toc14045 \h </w:instrText>
          </w:r>
          <w:r>
            <w:rPr>
              <w:sz w:val="24"/>
              <w:highlight w:val="none"/>
            </w:rPr>
            <w:fldChar w:fldCharType="separate"/>
          </w:r>
          <w:r>
            <w:rPr>
              <w:sz w:val="24"/>
              <w:highlight w:val="none"/>
            </w:rPr>
            <w:t>- 11 -</w:t>
          </w:r>
          <w:r>
            <w:rPr>
              <w:sz w:val="24"/>
              <w:highlight w:val="none"/>
            </w:rPr>
            <w:fldChar w:fldCharType="end"/>
          </w:r>
          <w:r>
            <w:rPr>
              <w:sz w:val="24"/>
              <w:highlight w:val="none"/>
            </w:rPr>
            <w:fldChar w:fldCharType="end"/>
          </w:r>
        </w:p>
        <w:p>
          <w:pPr>
            <w:pStyle w:val="10"/>
            <w:tabs>
              <w:tab w:val="right" w:leader="dot" w:pos="8306"/>
            </w:tabs>
            <w:ind w:firstLine="420"/>
            <w:rPr>
              <w:sz w:val="24"/>
              <w:highlight w:val="none"/>
            </w:rPr>
          </w:pPr>
          <w:r>
            <w:rPr>
              <w:highlight w:val="none"/>
            </w:rPr>
            <w:fldChar w:fldCharType="begin"/>
          </w:r>
          <w:r>
            <w:rPr>
              <w:highlight w:val="none"/>
            </w:rPr>
            <w:instrText xml:space="preserve"> HYPERLINK \l "_Toc21408" </w:instrText>
          </w:r>
          <w:r>
            <w:rPr>
              <w:highlight w:val="none"/>
            </w:rPr>
            <w:fldChar w:fldCharType="separate"/>
          </w:r>
          <w:r>
            <w:rPr>
              <w:rFonts w:hint="eastAsia" w:ascii="黑体" w:hAnsi="黑体" w:eastAsia="黑体" w:cs="宋体"/>
              <w:kern w:val="0"/>
              <w:sz w:val="24"/>
              <w:highlight w:val="none"/>
            </w:rPr>
            <w:t>六、措施建议</w:t>
          </w:r>
          <w:r>
            <w:rPr>
              <w:sz w:val="24"/>
              <w:highlight w:val="none"/>
            </w:rPr>
            <w:tab/>
          </w:r>
          <w:r>
            <w:rPr>
              <w:sz w:val="24"/>
              <w:highlight w:val="none"/>
            </w:rPr>
            <w:fldChar w:fldCharType="begin"/>
          </w:r>
          <w:r>
            <w:rPr>
              <w:sz w:val="24"/>
              <w:highlight w:val="none"/>
            </w:rPr>
            <w:instrText xml:space="preserve"> PAGEREF _Toc21408 \h </w:instrText>
          </w:r>
          <w:r>
            <w:rPr>
              <w:sz w:val="24"/>
              <w:highlight w:val="none"/>
            </w:rPr>
            <w:fldChar w:fldCharType="separate"/>
          </w:r>
          <w:r>
            <w:rPr>
              <w:sz w:val="24"/>
              <w:highlight w:val="none"/>
            </w:rPr>
            <w:t>- 12 -</w:t>
          </w:r>
          <w:r>
            <w:rPr>
              <w:sz w:val="24"/>
              <w:highlight w:val="none"/>
            </w:rPr>
            <w:fldChar w:fldCharType="end"/>
          </w:r>
          <w:r>
            <w:rPr>
              <w:sz w:val="24"/>
              <w:highlight w:val="none"/>
            </w:rPr>
            <w:fldChar w:fldCharType="end"/>
          </w:r>
        </w:p>
        <w:p>
          <w:pPr>
            <w:pStyle w:val="10"/>
            <w:tabs>
              <w:tab w:val="right" w:leader="dot" w:pos="8306"/>
            </w:tabs>
            <w:ind w:firstLine="420"/>
            <w:rPr>
              <w:sz w:val="24"/>
              <w:highlight w:val="none"/>
            </w:rPr>
          </w:pPr>
          <w:r>
            <w:rPr>
              <w:highlight w:val="none"/>
            </w:rPr>
            <w:fldChar w:fldCharType="begin"/>
          </w:r>
          <w:r>
            <w:rPr>
              <w:highlight w:val="none"/>
            </w:rPr>
            <w:instrText xml:space="preserve"> HYPERLINK \l "_Toc6258" </w:instrText>
          </w:r>
          <w:r>
            <w:rPr>
              <w:highlight w:val="none"/>
            </w:rPr>
            <w:fldChar w:fldCharType="separate"/>
          </w:r>
          <w:r>
            <w:rPr>
              <w:rFonts w:hint="eastAsia" w:ascii="黑体" w:hAnsi="黑体" w:eastAsia="黑体" w:cs="宋体"/>
              <w:kern w:val="0"/>
              <w:sz w:val="24"/>
              <w:highlight w:val="none"/>
            </w:rPr>
            <w:t>七、附件：2024年部门整体绩效评价指标体系评分表</w:t>
          </w:r>
          <w:r>
            <w:rPr>
              <w:sz w:val="24"/>
              <w:highlight w:val="none"/>
            </w:rPr>
            <w:tab/>
          </w:r>
          <w:r>
            <w:rPr>
              <w:sz w:val="24"/>
              <w:highlight w:val="none"/>
            </w:rPr>
            <w:fldChar w:fldCharType="begin"/>
          </w:r>
          <w:r>
            <w:rPr>
              <w:sz w:val="24"/>
              <w:highlight w:val="none"/>
            </w:rPr>
            <w:instrText xml:space="preserve"> PAGEREF _Toc6258 \h </w:instrText>
          </w:r>
          <w:r>
            <w:rPr>
              <w:sz w:val="24"/>
              <w:highlight w:val="none"/>
            </w:rPr>
            <w:fldChar w:fldCharType="separate"/>
          </w:r>
          <w:r>
            <w:rPr>
              <w:sz w:val="24"/>
              <w:highlight w:val="none"/>
            </w:rPr>
            <w:t>- 12 -</w:t>
          </w:r>
          <w:r>
            <w:rPr>
              <w:sz w:val="24"/>
              <w:highlight w:val="none"/>
            </w:rPr>
            <w:fldChar w:fldCharType="end"/>
          </w:r>
          <w:r>
            <w:rPr>
              <w:sz w:val="24"/>
              <w:highlight w:val="none"/>
            </w:rPr>
            <w:fldChar w:fldCharType="end"/>
          </w:r>
        </w:p>
        <w:p>
          <w:pPr>
            <w:ind w:firstLine="480"/>
            <w:jc w:val="center"/>
            <w:rPr>
              <w:rFonts w:hint="eastAsia" w:ascii="宋体" w:hAnsi="宋体" w:cs="宋体"/>
              <w:bCs/>
              <w:sz w:val="24"/>
              <w:highlight w:val="none"/>
            </w:rPr>
          </w:pPr>
          <w:r>
            <w:rPr>
              <w:rFonts w:hint="eastAsia" w:ascii="宋体" w:hAnsi="宋体" w:cs="宋体"/>
              <w:bCs/>
              <w:sz w:val="24"/>
              <w:highlight w:val="none"/>
            </w:rPr>
            <w:fldChar w:fldCharType="end"/>
          </w:r>
        </w:p>
      </w:sdtContent>
    </w:sdt>
    <w:p>
      <w:pPr>
        <w:pStyle w:val="4"/>
        <w:ind w:firstLine="482"/>
        <w:rPr>
          <w:sz w:val="24"/>
          <w:highlight w:val="none"/>
        </w:rPr>
        <w:sectPr>
          <w:footerReference r:id="rId3" w:type="default"/>
          <w:pgSz w:w="11906" w:h="16838"/>
          <w:pgMar w:top="1440" w:right="1800" w:bottom="1440" w:left="1800" w:header="851" w:footer="992" w:gutter="0"/>
          <w:pgNumType w:fmt="numberInDash" w:start="0"/>
          <w:cols w:space="425" w:num="1"/>
          <w:titlePg/>
          <w:docGrid w:type="lines" w:linePitch="312" w:charSpace="0"/>
        </w:sectPr>
      </w:pPr>
    </w:p>
    <w:p>
      <w:pPr>
        <w:jc w:val="center"/>
        <w:rPr>
          <w:rFonts w:hint="eastAsia" w:ascii="方正小标宋简体" w:hAnsi="宋体" w:eastAsia="方正小标宋简体" w:cs="宋体"/>
          <w:b/>
          <w:bCs/>
          <w:sz w:val="36"/>
          <w:szCs w:val="36"/>
          <w:highlight w:val="none"/>
        </w:rPr>
      </w:pPr>
      <w:r>
        <w:rPr>
          <w:rFonts w:hint="eastAsia" w:ascii="方正小标宋简体" w:hAnsi="宋体" w:eastAsia="方正小标宋简体" w:cs="宋体"/>
          <w:b/>
          <w:bCs/>
          <w:sz w:val="36"/>
          <w:szCs w:val="36"/>
          <w:highlight w:val="none"/>
        </w:rPr>
        <w:t>北京铁路运输检察院2024年度</w:t>
      </w:r>
    </w:p>
    <w:p>
      <w:pPr>
        <w:jc w:val="center"/>
        <w:rPr>
          <w:rFonts w:hint="eastAsia" w:ascii="方正小标宋简体" w:hAnsi="宋体" w:eastAsia="方正小标宋简体" w:cs="宋体"/>
          <w:b/>
          <w:bCs/>
          <w:sz w:val="36"/>
          <w:szCs w:val="36"/>
          <w:highlight w:val="none"/>
        </w:rPr>
      </w:pPr>
      <w:r>
        <w:rPr>
          <w:rFonts w:hint="eastAsia" w:ascii="方正小标宋简体" w:hAnsi="宋体" w:eastAsia="方正小标宋简体" w:cs="宋体"/>
          <w:b/>
          <w:bCs/>
          <w:sz w:val="36"/>
          <w:szCs w:val="36"/>
          <w:highlight w:val="none"/>
        </w:rPr>
        <w:t>部门整体绩效评价报告</w:t>
      </w:r>
    </w:p>
    <w:p>
      <w:pPr>
        <w:spacing w:line="600" w:lineRule="exact"/>
        <w:ind w:firstLine="640" w:firstLineChars="200"/>
        <w:rPr>
          <w:rFonts w:hint="eastAsia" w:ascii="仿宋_GB2312" w:hAnsi="宋体" w:eastAsia="仿宋_GB2312" w:cs="宋体"/>
          <w:color w:val="000000" w:themeColor="text1"/>
          <w:kern w:val="0"/>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bookmarkStart w:id="0" w:name="OLE_LINK1"/>
      <w:r>
        <w:rPr>
          <w:rFonts w:hint="eastAsia" w:ascii="仿宋_GB2312" w:hAnsi="宋体" w:eastAsia="仿宋_GB2312" w:cs="宋体"/>
          <w:color w:val="000000" w:themeColor="text1"/>
          <w:kern w:val="0"/>
          <w:sz w:val="32"/>
          <w:szCs w:val="32"/>
          <w:highlight w:val="none"/>
          <w14:textFill>
            <w14:solidFill>
              <w14:schemeClr w14:val="tx1"/>
            </w14:solidFill>
          </w14:textFill>
        </w:rPr>
        <w:t>为进一步加强预算绩效管理，强化支出责任，提高财政资金使用效益，考核财政支出效率和综合效果，根据《中共北京市委 北京市人民政府关于全面实施预算绩效管理的实施意见》（京发〔2019〕12号）、《北京市项目支出绩效评价管理办法》（京财绩效〔2020〕2146号），结合《北京市财政局关于2025年预算绩效管理工作的通知》（京财绩效〔2025〕245号）等要求，北京铁路运输检察院（以下简称“</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北京铁检院</w:t>
      </w:r>
      <w:r>
        <w:rPr>
          <w:rFonts w:hint="eastAsia" w:ascii="仿宋_GB2312" w:hAnsi="宋体" w:eastAsia="仿宋_GB2312" w:cs="宋体"/>
          <w:color w:val="000000" w:themeColor="text1"/>
          <w:kern w:val="0"/>
          <w:sz w:val="32"/>
          <w:szCs w:val="32"/>
          <w:highlight w:val="none"/>
          <w14:textFill>
            <w14:solidFill>
              <w14:schemeClr w14:val="tx1"/>
            </w14:solidFill>
          </w14:textFill>
        </w:rPr>
        <w:t>”）组建绩效评价工作组，对2024年度部门整体实施绩效评价，形成本绩效评价报告。</w:t>
      </w:r>
    </w:p>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bookmarkStart w:id="1" w:name="_Toc24985"/>
      <w:r>
        <w:rPr>
          <w:rFonts w:hint="eastAsia" w:ascii="黑体" w:hAnsi="黑体" w:eastAsia="黑体" w:cs="宋体"/>
          <w:color w:val="000000" w:themeColor="text1"/>
          <w:kern w:val="0"/>
          <w:sz w:val="32"/>
          <w:szCs w:val="32"/>
          <w:highlight w:val="none"/>
          <w14:textFill>
            <w14:solidFill>
              <w14:schemeClr w14:val="tx1"/>
            </w14:solidFill>
          </w14:textFill>
        </w:rPr>
        <w:t>一、部门概况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北京铁路运输检察院的主要职责包括：依法对北京铁路公安处提请批准逮捕、移送审查起诉的刑事案件进行审查，决定是否批准逮捕、提起公诉；依法对北京铁路公安处的立案活动、侦查活动及看守所执法活动进行监督；依法对海淀区人民法院审理铁路专门管辖刑事、民事案件的诉讼活动进行监督；依法对北京互联网法院的审判和执行活动及有关生效判决和裁定进行监督；办理全市范围内应由基层人民法院管辖的互联网民事、行政公益诉讼案件；办理中国铁路北京局集团有限公司北京铁路办事处管辖范围内涉及的民事、行政公益诉讼案件；办理上级人民检察院指定管辖的其他案件。</w:t>
      </w:r>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2" w:name="_Toc25768"/>
      <w:r>
        <w:rPr>
          <w:rFonts w:hint="eastAsia" w:ascii="楷体" w:hAnsi="楷体" w:eastAsia="楷体" w:cs="楷体"/>
          <w:color w:val="000000" w:themeColor="text1"/>
          <w:sz w:val="32"/>
          <w:szCs w:val="32"/>
          <w:highlight w:val="none"/>
          <w14:textFill>
            <w14:solidFill>
              <w14:schemeClr w14:val="tx1"/>
            </w14:solidFill>
          </w14:textFill>
        </w:rPr>
        <w:t>（二）部门整体绩效目标设立情况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1</w:t>
      </w:r>
      <w:bookmarkStart w:id="3" w:name="OLE_LINK4"/>
      <w:r>
        <w:rPr>
          <w:rFonts w:hint="eastAsia" w:ascii="仿宋_GB2312" w:hAnsi="宋体" w:eastAsia="仿宋_GB2312" w:cs="宋体"/>
          <w:color w:val="000000" w:themeColor="text1"/>
          <w:kern w:val="0"/>
          <w:sz w:val="32"/>
          <w:szCs w:val="32"/>
          <w:highlight w:val="none"/>
          <w14:textFill>
            <w14:solidFill>
              <w14:schemeClr w14:val="tx1"/>
            </w14:solidFill>
          </w14:textFill>
        </w:rPr>
        <w:t>.</w:t>
      </w:r>
      <w:bookmarkEnd w:id="3"/>
      <w:r>
        <w:rPr>
          <w:rFonts w:hint="eastAsia" w:ascii="仿宋_GB2312" w:hAnsi="宋体" w:eastAsia="仿宋_GB2312" w:cs="宋体"/>
          <w:color w:val="000000" w:themeColor="text1"/>
          <w:kern w:val="0"/>
          <w:sz w:val="32"/>
          <w:szCs w:val="32"/>
          <w:highlight w:val="none"/>
          <w14:textFill>
            <w14:solidFill>
              <w14:schemeClr w14:val="tx1"/>
            </w14:solidFill>
          </w14:textFill>
        </w:rPr>
        <w:t>绩效目标设立依据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（1）《中国共产党政法工作条例》；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（2）中共北京市委贯彻《中共中央关于加强新时代检察机关法律监督工作的意见》的实施意见；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（3）“十四五”时期检务保障工作发展规划；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（4）北京铁路运输检察院单位职能；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（5）北京铁路运输检察院年度工作计划；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（6）北京铁路运输检察院单位内部控制制度；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（7）国家和北京市相关法规、规章制度。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2.目标设置情况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北京铁路运输检察院部门整体绩效目标紧紧围绕</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上级部署安排</w:t>
      </w:r>
      <w:r>
        <w:rPr>
          <w:rFonts w:hint="eastAsia" w:ascii="仿宋_GB2312" w:hAnsi="宋体" w:eastAsia="仿宋_GB2312" w:cs="宋体"/>
          <w:color w:val="000000" w:themeColor="text1"/>
          <w:kern w:val="0"/>
          <w:sz w:val="32"/>
          <w:szCs w:val="32"/>
          <w:highlight w:val="none"/>
          <w14:textFill>
            <w14:solidFill>
              <w14:schemeClr w14:val="tx1"/>
            </w14:solidFill>
          </w14:textFill>
        </w:rPr>
        <w:t>，结合2024年度重点任务及责任分工等要求制定，既充分体现了职责职能和常规工作任务，也结合特殊重要时点，突出体现了年度新增特色重点工作内容。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整体绩效目标：以习近平新时代中国特色社会主义思想为指导，领悟践行习近平法治思想，全面贯彻落实党的二十大</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和二十届二中、三中全会</w:t>
      </w:r>
      <w:r>
        <w:rPr>
          <w:rFonts w:hint="eastAsia" w:ascii="仿宋_GB2312" w:hAnsi="宋体" w:eastAsia="仿宋_GB2312" w:cs="宋体"/>
          <w:color w:val="000000" w:themeColor="text1"/>
          <w:kern w:val="0"/>
          <w:sz w:val="32"/>
          <w:szCs w:val="32"/>
          <w:highlight w:val="none"/>
          <w14:textFill>
            <w14:solidFill>
              <w14:schemeClr w14:val="tx1"/>
            </w14:solidFill>
          </w14:textFill>
        </w:rPr>
        <w:t>精神，</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坚定拥护“两个确立”、坚决做到“两个维护”，认真贯彻党中央决策部署，落实市委、最高检、市院工作要求，以“三个善于”引领“高质效办好每一个案件”，推动“铁检</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+互联网</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”检察工作高质量发展。</w:t>
      </w:r>
      <w:r>
        <w:rPr>
          <w:rFonts w:hint="eastAsia" w:ascii="仿宋_GB2312" w:hAnsi="宋体" w:eastAsia="仿宋_GB2312" w:cs="宋体"/>
          <w:color w:val="000000" w:themeColor="text1"/>
          <w:kern w:val="0"/>
          <w:sz w:val="32"/>
          <w:szCs w:val="32"/>
          <w:highlight w:val="none"/>
          <w14:textFill>
            <w14:solidFill>
              <w14:schemeClr w14:val="tx1"/>
            </w14:solidFill>
          </w14:textFill>
        </w:rPr>
        <w:t>一是坚持以党的政治建设统领检察发展实践，</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落实好学习贯彻党的二十届三中全会精神的“北京篇”和“检察篇”，以党建引领促业务提升</w:t>
      </w:r>
      <w:r>
        <w:rPr>
          <w:rFonts w:hint="eastAsia" w:ascii="仿宋_GB2312" w:hAnsi="宋体" w:eastAsia="仿宋_GB2312" w:cs="宋体"/>
          <w:color w:val="000000" w:themeColor="text1"/>
          <w:kern w:val="0"/>
          <w:sz w:val="32"/>
          <w:szCs w:val="32"/>
          <w:highlight w:val="none"/>
          <w14:textFill>
            <w14:solidFill>
              <w14:schemeClr w14:val="tx1"/>
            </w14:solidFill>
          </w14:textFill>
        </w:rPr>
        <w:t>；二是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坚持围绕中心、服务大局，立足“铁检</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+互联网</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”特色检察职能，扎实维护铁路运输安全，深入推进网络综合治理，不断拓展履职广度深度，</w:t>
      </w:r>
      <w:r>
        <w:rPr>
          <w:rFonts w:hint="eastAsia" w:ascii="仿宋_GB2312" w:hAnsi="宋体" w:eastAsia="仿宋_GB2312" w:cs="宋体"/>
          <w:color w:val="000000" w:themeColor="text1"/>
          <w:kern w:val="0"/>
          <w:sz w:val="32"/>
          <w:szCs w:val="32"/>
          <w:highlight w:val="none"/>
          <w14:textFill>
            <w14:solidFill>
              <w14:schemeClr w14:val="tx1"/>
            </w14:solidFill>
          </w14:textFill>
        </w:rPr>
        <w:t>提升服务保障大局的精准性和实效性；</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三是强化基层基础建设，塑造新质法律监督能力，</w:t>
      </w:r>
      <w:r>
        <w:rPr>
          <w:rFonts w:hint="eastAsia" w:ascii="仿宋_GB2312" w:hAnsi="宋体" w:eastAsia="仿宋_GB2312" w:cs="宋体"/>
          <w:color w:val="000000" w:themeColor="text1"/>
          <w:kern w:val="0"/>
          <w:sz w:val="32"/>
          <w:szCs w:val="32"/>
          <w:highlight w:val="none"/>
          <w14:textFill>
            <w14:solidFill>
              <w14:schemeClr w14:val="tx1"/>
            </w14:solidFill>
          </w14:textFill>
        </w:rPr>
        <w:t>全面提升办案质效，打造精品、树立品牌</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w:t>
      </w:r>
      <w:r>
        <w:rPr>
          <w:rFonts w:hint="eastAsia" w:ascii="仿宋_GB2312" w:hAnsi="宋体" w:eastAsia="仿宋_GB2312" w:cs="宋体"/>
          <w:color w:val="000000" w:themeColor="text1"/>
          <w:kern w:val="0"/>
          <w:sz w:val="32"/>
          <w:szCs w:val="32"/>
          <w:highlight w:val="none"/>
          <w14:textFill>
            <w14:solidFill>
              <w14:schemeClr w14:val="tx1"/>
            </w14:solidFill>
          </w14:textFill>
        </w:rPr>
        <w:t>全面加强队伍素质建设，不断提高驾驭复杂局面、处理专业问题的能力，以专业素养促专业履职；</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四</w:t>
      </w:r>
      <w:r>
        <w:rPr>
          <w:rFonts w:hint="eastAsia" w:ascii="仿宋_GB2312" w:hAnsi="宋体" w:eastAsia="仿宋_GB2312" w:cs="宋体"/>
          <w:color w:val="000000" w:themeColor="text1"/>
          <w:kern w:val="0"/>
          <w:sz w:val="32"/>
          <w:szCs w:val="32"/>
          <w:highlight w:val="none"/>
          <w14:textFill>
            <w14:solidFill>
              <w14:schemeClr w14:val="tx1"/>
            </w14:solidFill>
          </w14:textFill>
        </w:rPr>
        <w:t>是压实全面从严治党主体责任，</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加强监督执纪力量与功能发挥，强化权力运行的监督制约</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质量指标：</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实现量的合理增长和质的有效提升</w:t>
      </w:r>
      <w:r>
        <w:rPr>
          <w:rFonts w:hint="eastAsia" w:ascii="仿宋_GB2312" w:hAnsi="宋体" w:eastAsia="仿宋_GB2312" w:cs="宋体"/>
          <w:color w:val="000000" w:themeColor="text1"/>
          <w:kern w:val="0"/>
          <w:sz w:val="32"/>
          <w:szCs w:val="32"/>
          <w:highlight w:val="none"/>
          <w14:textFill>
            <w14:solidFill>
              <w14:schemeClr w14:val="tx1"/>
            </w14:solidFill>
          </w14:textFill>
        </w:rPr>
        <w:t>；“四大检察”</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结构比持续优化，检察行权的监督属性与监督主动性进一步增强</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p>
    <w:p>
      <w:pPr>
        <w:spacing w:line="600" w:lineRule="exact"/>
        <w:ind w:firstLine="640" w:firstLineChars="200"/>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经济效益指标：智慧高效的办案环境。</w:t>
      </w:r>
    </w:p>
    <w:p>
      <w:pPr>
        <w:spacing w:line="600" w:lineRule="exact"/>
        <w:ind w:firstLine="640" w:firstLineChars="200"/>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成本指标：厉行节约，预算支出总额≤</w:t>
      </w:r>
      <w:r>
        <w:rPr>
          <w:rFonts w:ascii="仿宋_GB2312" w:hAnsi="宋体" w:eastAsia="仿宋_GB2312" w:cs="宋体"/>
          <w:color w:val="000000" w:themeColor="text1"/>
          <w:kern w:val="0"/>
          <w:sz w:val="32"/>
          <w:szCs w:val="32"/>
          <w:highlight w:val="none"/>
          <w14:textFill>
            <w14:solidFill>
              <w14:schemeClr w14:val="tx1"/>
            </w14:solidFill>
          </w14:textFill>
        </w:rPr>
        <w:t>3,147.13</w:t>
      </w:r>
      <w:r>
        <w:rPr>
          <w:rFonts w:hint="eastAsia" w:ascii="仿宋_GB2312" w:hAnsi="宋体" w:eastAsia="仿宋_GB2312" w:cs="宋体"/>
          <w:color w:val="000000" w:themeColor="text1"/>
          <w:kern w:val="0"/>
          <w:sz w:val="32"/>
          <w:szCs w:val="32"/>
          <w:highlight w:val="none"/>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满意度指标：服务对象满意度定性为优，“高质效”办好每一个案件，让人民群众在每一个司法案件中感受公平正义。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3.目标合理性：根据上述绩效目标设立依据和目标与职责任务匹配情况分析，我们认为设立的目标是合理的。</w:t>
      </w:r>
    </w:p>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bookmarkStart w:id="4" w:name="_Toc10397"/>
      <w:r>
        <w:rPr>
          <w:rFonts w:hint="eastAsia" w:ascii="黑体" w:hAnsi="黑体" w:eastAsia="黑体" w:cs="宋体"/>
          <w:color w:val="000000" w:themeColor="text1"/>
          <w:kern w:val="0"/>
          <w:sz w:val="32"/>
          <w:szCs w:val="32"/>
          <w:highlight w:val="none"/>
          <w14:textFill>
            <w14:solidFill>
              <w14:schemeClr w14:val="tx1"/>
            </w14:solidFill>
          </w14:textFill>
        </w:rPr>
        <w:t>二</w:t>
      </w:r>
      <w:r>
        <w:rPr>
          <w:rFonts w:ascii="黑体" w:hAnsi="黑体" w:eastAsia="黑体" w:cs="宋体"/>
          <w:color w:val="000000" w:themeColor="text1"/>
          <w:kern w:val="0"/>
          <w:sz w:val="32"/>
          <w:szCs w:val="32"/>
          <w:highlight w:val="none"/>
          <w14:textFill>
            <w14:solidFill>
              <w14:schemeClr w14:val="tx1"/>
            </w14:solidFill>
          </w14:textFill>
        </w:rPr>
        <w:t>、</w:t>
      </w:r>
      <w:r>
        <w:rPr>
          <w:rFonts w:hint="eastAsia" w:ascii="黑体" w:hAnsi="黑体" w:eastAsia="黑体" w:cs="宋体"/>
          <w:color w:val="000000" w:themeColor="text1"/>
          <w:kern w:val="0"/>
          <w:sz w:val="32"/>
          <w:szCs w:val="32"/>
          <w:highlight w:val="none"/>
          <w14:textFill>
            <w14:solidFill>
              <w14:schemeClr w14:val="tx1"/>
            </w14:solidFill>
          </w14:textFill>
        </w:rPr>
        <w:t>当年</w:t>
      </w:r>
      <w:r>
        <w:rPr>
          <w:rFonts w:ascii="黑体" w:hAnsi="黑体" w:eastAsia="黑体" w:cs="宋体"/>
          <w:color w:val="000000" w:themeColor="text1"/>
          <w:kern w:val="0"/>
          <w:sz w:val="32"/>
          <w:szCs w:val="32"/>
          <w:highlight w:val="none"/>
          <w14:textFill>
            <w14:solidFill>
              <w14:schemeClr w14:val="tx1"/>
            </w14:solidFill>
          </w14:textFill>
        </w:rPr>
        <w:t>预算执行情况</w:t>
      </w:r>
      <w:bookmarkEnd w:id="4"/>
    </w:p>
    <w:p>
      <w:pPr>
        <w:tabs>
          <w:tab w:val="center" w:pos="6979"/>
        </w:tabs>
        <w:spacing w:line="580" w:lineRule="exact"/>
        <w:ind w:firstLine="570"/>
        <w:rPr>
          <w:rFonts w:hint="eastAsia" w:ascii="仿宋_GB2312" w:eastAsia="仿宋_GB2312"/>
          <w:sz w:val="28"/>
          <w:szCs w:val="28"/>
          <w:lang w:val="en-US" w:eastAsia="zh-CN"/>
        </w:rPr>
      </w:pPr>
      <w:bookmarkStart w:id="5" w:name="_Toc12913"/>
      <w:r>
        <w:rPr>
          <w:rFonts w:hint="eastAsia" w:ascii="仿宋_GB2312" w:eastAsia="仿宋_GB2312"/>
          <w:sz w:val="28"/>
          <w:szCs w:val="28"/>
        </w:rPr>
        <w:t>财政拨款收入</w:t>
      </w:r>
      <w:r>
        <w:rPr>
          <w:rFonts w:ascii="仿宋_GB2312" w:eastAsia="仿宋_GB2312"/>
          <w:sz w:val="28"/>
          <w:szCs w:val="28"/>
        </w:rPr>
        <w:t>2932.4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2932.4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val="en-US" w:eastAsia="zh-CN"/>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2903.26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50.16</w:t>
      </w:r>
      <w:r>
        <w:rPr>
          <w:rFonts w:hint="eastAsia" w:ascii="仿宋_GB2312" w:eastAsia="仿宋_GB2312"/>
          <w:sz w:val="28"/>
          <w:szCs w:val="28"/>
        </w:rPr>
        <w:t>万元，增长</w:t>
      </w:r>
      <w:r>
        <w:rPr>
          <w:rFonts w:hint="eastAsia" w:ascii="仿宋_GB2312" w:eastAsia="仿宋_GB2312"/>
          <w:sz w:val="28"/>
          <w:szCs w:val="28"/>
          <w:lang w:val="en-US" w:eastAsia="zh-CN"/>
        </w:rPr>
        <w:t>1.76</w:t>
      </w:r>
      <w:r>
        <w:rPr>
          <w:rFonts w:hint="eastAsia" w:ascii="仿宋_GB2312" w:eastAsia="仿宋_GB2312"/>
          <w:sz w:val="28"/>
          <w:szCs w:val="28"/>
        </w:rPr>
        <w:t>%，其中：基本支出</w:t>
      </w:r>
      <w:r>
        <w:rPr>
          <w:rFonts w:ascii="仿宋_GB2312" w:eastAsia="仿宋_GB2312"/>
          <w:sz w:val="28"/>
          <w:szCs w:val="28"/>
        </w:rPr>
        <w:t>2659.68</w:t>
      </w:r>
      <w:r>
        <w:rPr>
          <w:rFonts w:hint="eastAsia" w:ascii="仿宋_GB2312" w:eastAsia="仿宋_GB2312"/>
          <w:sz w:val="28"/>
          <w:szCs w:val="28"/>
        </w:rPr>
        <w:t>万元，占支出合计的</w:t>
      </w:r>
      <w:r>
        <w:rPr>
          <w:rFonts w:hint="eastAsia" w:ascii="仿宋_GB2312" w:eastAsia="仿宋_GB2312"/>
          <w:sz w:val="28"/>
          <w:szCs w:val="28"/>
          <w:lang w:eastAsia="zh-CN"/>
        </w:rPr>
        <w:t>91.61</w:t>
      </w:r>
      <w:r>
        <w:rPr>
          <w:rFonts w:hint="eastAsia" w:ascii="仿宋_GB2312" w:eastAsia="仿宋_GB2312"/>
          <w:sz w:val="28"/>
          <w:szCs w:val="28"/>
        </w:rPr>
        <w:t>%；项目支出</w:t>
      </w:r>
      <w:r>
        <w:rPr>
          <w:rFonts w:ascii="仿宋_GB2312" w:eastAsia="仿宋_GB2312"/>
          <w:sz w:val="28"/>
          <w:szCs w:val="28"/>
        </w:rPr>
        <w:t>243.59</w:t>
      </w:r>
      <w:r>
        <w:rPr>
          <w:rFonts w:hint="eastAsia" w:ascii="仿宋_GB2312" w:eastAsia="仿宋_GB2312"/>
          <w:sz w:val="28"/>
          <w:szCs w:val="28"/>
        </w:rPr>
        <w:t>万元，占支出合计的</w:t>
      </w:r>
      <w:r>
        <w:rPr>
          <w:rFonts w:hint="eastAsia" w:ascii="仿宋_GB2312" w:eastAsia="仿宋_GB2312"/>
          <w:sz w:val="28"/>
          <w:szCs w:val="28"/>
          <w:lang w:eastAsia="zh-CN"/>
        </w:rPr>
        <w:t>8.39</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r>
        <w:rPr>
          <w:rFonts w:hint="eastAsia" w:ascii="黑体" w:hAnsi="黑体" w:eastAsia="黑体" w:cs="宋体"/>
          <w:color w:val="000000" w:themeColor="text1"/>
          <w:kern w:val="0"/>
          <w:sz w:val="32"/>
          <w:szCs w:val="32"/>
          <w:highlight w:val="none"/>
          <w14:textFill>
            <w14:solidFill>
              <w14:schemeClr w14:val="tx1"/>
            </w14:solidFill>
          </w14:textFill>
        </w:rPr>
        <w:t>三</w:t>
      </w:r>
      <w:r>
        <w:rPr>
          <w:rFonts w:ascii="黑体" w:hAnsi="黑体" w:eastAsia="黑体" w:cs="宋体"/>
          <w:color w:val="000000" w:themeColor="text1"/>
          <w:kern w:val="0"/>
          <w:sz w:val="32"/>
          <w:szCs w:val="32"/>
          <w:highlight w:val="none"/>
          <w14:textFill>
            <w14:solidFill>
              <w14:schemeClr w14:val="tx1"/>
            </w14:solidFill>
          </w14:textFill>
        </w:rPr>
        <w:t>、整体绩效目标实现情况</w:t>
      </w:r>
      <w:bookmarkEnd w:id="5"/>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6" w:name="_Toc14859"/>
      <w:r>
        <w:rPr>
          <w:rFonts w:hint="eastAsia" w:ascii="楷体" w:hAnsi="楷体" w:eastAsia="楷体" w:cs="楷体"/>
          <w:color w:val="000000" w:themeColor="text1"/>
          <w:sz w:val="32"/>
          <w:szCs w:val="32"/>
          <w:highlight w:val="none"/>
          <w14:textFill>
            <w14:solidFill>
              <w14:schemeClr w14:val="tx1"/>
            </w14:solidFill>
          </w14:textFill>
        </w:rPr>
        <w:t>（一）产出完成情况分析</w:t>
      </w:r>
      <w:bookmarkEnd w:id="6"/>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1.产出数量</w:t>
      </w:r>
    </w:p>
    <w:p>
      <w:pPr>
        <w:spacing w:line="600" w:lineRule="exact"/>
        <w:ind w:firstLine="640" w:firstLineChars="200"/>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1）坚决落实“一取消三不再”，持续优化“三个结构比”，促进“四大检察”办案质效提升。2024年本院案件规模稳中有升，“四大检察”结构比为29.2：50.73：5.55：14.52，结构比持续优化。司法办案和监督办案结构比为18.11：81.89，业务来源结构比为19.25：5.71：75.04，监督办案数、依职权监督受理数实现同比增长，检察行权的监督属性与监督主动性进一步增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四大检察”融合发力，扎实维护铁路运输安全，依法打击涉铁刑事犯罪，严厉打击电信网络诈骗，宽严相济、小案细作，着力实现从“治罪”到“治理”。开展限高人员违反“限高令”乘坐高铁专项监督，深入开展依法惩治知识产权恶意诉讼行为。深入推进网络综合治理，立足公益诉讼检察职能，督促整治以探店视频形式违规发布互联网广告，立案办理网约车、社区团购、“幽灵外卖”、虚假“</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AI问诊</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违法销售保健品、网售假农药等领域问题。不断拓展履职广度深度，维护特殊群体权益，依法开展司法救助，推动铁路无障碍环境建设，督促整治电商平台向未成年人销售危险玩具，在检察服务中心设立“妇女儿童权益保护窗口”</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2.产出质量</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1）坚持党对检察工作的绝对领导。严格执行《中国共产党政法工作条例》及市委实施办法、党中央关于加强党的政治建设的意见及市委贯彻措施等要求。扎实开展党纪学习教育，印发《北京铁路运输检察院开展党纪学习教育的工作计划》。深入学习贯彻党的二十届三中全会精神。</w:t>
      </w:r>
    </w:p>
    <w:p>
      <w:pPr>
        <w:keepNext w:val="0"/>
        <w:keepLines w:val="0"/>
        <w:pageBreakBefore w:val="0"/>
        <w:widowControl w:val="0"/>
        <w:numPr>
          <w:ilvl w:val="0"/>
          <w:numId w:val="1"/>
        </w:numPr>
        <w:suppressAutoHyphens/>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深化全面从严治党治检。分党组定期专题研究全面从严治党治检责任落实情况，听取班子成员“一岗双责”履职情况报告。严格落实分党组专题研究意识形态工作，每季度组织召开本院意识形态联席会，定期向市院党组报告我院意识形态工作情况。严格执行重大事项请示报告等制度规定。学习落实市院“三同步”工作指引，年内未发生涉检网络舆情。</w:t>
      </w:r>
    </w:p>
    <w:p>
      <w:pPr>
        <w:pStyle w:val="25"/>
        <w:numPr>
          <w:ilvl w:val="0"/>
          <w:numId w:val="1"/>
        </w:numPr>
        <w:suppressAutoHyphens/>
        <w:spacing w:line="560" w:lineRule="exact"/>
        <w:ind w:firstLine="640"/>
        <w:rPr>
          <w:rFonts w:ascii="仿宋_GB2312" w:eastAsia="仿宋_GB2312"/>
          <w:sz w:val="32"/>
          <w:szCs w:val="32"/>
          <w:highlight w:val="none"/>
        </w:rPr>
      </w:pPr>
      <w:r>
        <w:rPr>
          <w:rFonts w:hint="eastAsia" w:ascii="仿宋_GB2312" w:eastAsia="仿宋_GB2312"/>
          <w:sz w:val="32"/>
          <w:szCs w:val="32"/>
          <w:highlight w:val="none"/>
        </w:rPr>
        <w:t>以党建引领促业务提升。落实北京市检察机关党建与业务深度融合的指导意见，举办检察党建与检察业务深度融合特色品牌交流宣讲会，《公益担当 守“互”有我 闯出党建业务深度融合新天地》获评第三批北京市检察机关党建与业务深度融合典型案例“优秀奖”，“翼行加速度”检察文化子品牌获评第四届北京市检察机关文化品牌选树展示活动三等奖。</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全年入选最高检公益诉讼检察典型案例1件，入选最高检公益诉讼研究基地精品案例1件，入选最高检专刊典型案例1件，入选全市检察机关参考性案例、典型案例或优秀案例4件，2案件分别获评2023年度北京市检察机关十大法律监督案件和十大司法案件提名，1案件获评2024年度北京市检察机关十大法律监督案件，1案写进北京市人民检察院工作报告和典型案例。</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着力塑造新质法律监督能力。全年大数据监督发现线索占比46.06%、成案占比44.58%，大数据监督案件占比66.14%，同比增长7.05%。创建“违反限高令乘坐高铁大数据法律监督模型”。创建“销售假冒伪劣食药大数据法律监督模型”，并获得计算机软件著作权登记证书。运用“滥用作品信息网络传播权恶意诉讼类案法律监督模型”发现线索并立案54件。创建“长城保护公益诉讼线索发现法律监督模型”。</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（5）着力强化检察队伍素能。加强干部规划，注重干部选任</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加强青年干警培养，加强人才库建设</w:t>
      </w:r>
      <w:r>
        <w:rPr>
          <w:rFonts w:hint="eastAsia" w:ascii="仿宋_GB2312" w:eastAsia="仿宋_GB2312"/>
          <w:sz w:val="32"/>
          <w:szCs w:val="32"/>
          <w:highlight w:val="none"/>
          <w:lang w:eastAsia="zh-CN"/>
        </w:rPr>
        <w:t>，深化检学共建。</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3.产出进度</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按照年初预算批复及年中追加调整预算批复，不断提升重点工作效率，2024年按计划完成了各项检察工作。</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4.产出成本</w:t>
      </w:r>
    </w:p>
    <w:p>
      <w:pPr>
        <w:suppressAutoHyphens/>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eastAsia="仿宋_GB2312"/>
          <w:sz w:val="32"/>
          <w:szCs w:val="32"/>
          <w:highlight w:val="none"/>
        </w:rPr>
        <w:t xml:space="preserve">上年资金总体决算数2,853.10万元，本年资金总体决算数2,903.26万元，本年资金总体决算数与上年基本持平。                        </w:t>
      </w:r>
      <w:r>
        <w:rPr>
          <w:rFonts w:hint="eastAsia" w:ascii="仿宋_GB2312" w:hAnsi="宋体" w:eastAsia="仿宋_GB2312" w:cs="宋体"/>
          <w:color w:val="000000"/>
          <w:kern w:val="0"/>
          <w:sz w:val="32"/>
          <w:szCs w:val="32"/>
          <w:highlight w:val="none"/>
        </w:rPr>
        <w:t xml:space="preserve">            </w:t>
      </w:r>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7" w:name="_Toc368"/>
      <w:r>
        <w:rPr>
          <w:rFonts w:hint="eastAsia" w:ascii="楷体" w:hAnsi="楷体" w:eastAsia="楷体" w:cs="楷体"/>
          <w:color w:val="000000" w:themeColor="text1"/>
          <w:sz w:val="32"/>
          <w:szCs w:val="32"/>
          <w:highlight w:val="none"/>
          <w14:textFill>
            <w14:solidFill>
              <w14:schemeClr w14:val="tx1"/>
            </w14:solidFill>
          </w14:textFill>
        </w:rPr>
        <w:t>（二）效果实现情况分析</w:t>
      </w:r>
      <w:bookmarkEnd w:id="7"/>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1.经济效益</w:t>
      </w:r>
    </w:p>
    <w:p>
      <w:pPr>
        <w:suppressAutoHyphens/>
        <w:spacing w:line="560" w:lineRule="exact"/>
        <w:ind w:firstLine="640" w:firstLineChars="200"/>
        <w:rPr>
          <w:highlight w:val="none"/>
        </w:rPr>
      </w:pPr>
      <w:r>
        <w:rPr>
          <w:rFonts w:hint="eastAsia" w:ascii="仿宋_GB2312" w:eastAsia="仿宋_GB2312"/>
          <w:sz w:val="32"/>
          <w:szCs w:val="32"/>
          <w:highlight w:val="none"/>
        </w:rPr>
        <w:t>（1）扎实维护铁路运输安全。“四大检察”融合发力，护航铁路高速发展，以检察之力护航“轨道上的京津冀”。</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2.社会效益</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（1）深入推进网络综合治理。聚焦互联网行业突出问题隐患，规范新业态健康规范发展。严厉打击电信网络诈骗，以行政公益诉讼督促规范招聘网站信息发布监管，促推招聘网站运营规范。</w:t>
      </w:r>
    </w:p>
    <w:p>
      <w:pPr>
        <w:suppressAutoHyphens/>
        <w:spacing w:line="560" w:lineRule="exact"/>
        <w:ind w:firstLine="640" w:firstLineChars="200"/>
        <w:rPr>
          <w:rFonts w:ascii="仿宋_GB2312" w:eastAsia="仿宋_GB2312"/>
          <w:b/>
          <w:sz w:val="32"/>
          <w:szCs w:val="32"/>
          <w:highlight w:val="none"/>
        </w:rPr>
      </w:pPr>
      <w:r>
        <w:rPr>
          <w:rFonts w:hint="eastAsia" w:ascii="仿宋_GB2312" w:eastAsia="仿宋_GB2312"/>
          <w:sz w:val="32"/>
          <w:szCs w:val="32"/>
          <w:highlight w:val="none"/>
        </w:rPr>
        <w:t>（2）不断拓展履职广度深度。立足检察机关法律监督定位，为国家治理、社会稳定、群众幸福提供坚实法治保障。</w:t>
      </w:r>
    </w:p>
    <w:p>
      <w:pPr>
        <w:suppressAutoHyphens/>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3.服务对象满意度：增强检察工作影响力，让人民群众在每一个司法案件中感受公平正义。</w:t>
      </w:r>
    </w:p>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bookmarkStart w:id="8" w:name="_Toc26714"/>
      <w:r>
        <w:rPr>
          <w:rFonts w:hint="eastAsia" w:ascii="黑体" w:hAnsi="黑体" w:eastAsia="黑体" w:cs="宋体"/>
          <w:color w:val="000000" w:themeColor="text1"/>
          <w:kern w:val="0"/>
          <w:sz w:val="32"/>
          <w:szCs w:val="32"/>
          <w:highlight w:val="none"/>
          <w14:textFill>
            <w14:solidFill>
              <w14:schemeClr w14:val="tx1"/>
            </w14:solidFill>
          </w14:textFill>
        </w:rPr>
        <w:t>四</w:t>
      </w:r>
      <w:r>
        <w:rPr>
          <w:rFonts w:ascii="黑体" w:hAnsi="黑体" w:eastAsia="黑体" w:cs="宋体"/>
          <w:color w:val="000000" w:themeColor="text1"/>
          <w:kern w:val="0"/>
          <w:sz w:val="32"/>
          <w:szCs w:val="32"/>
          <w:highlight w:val="none"/>
          <w14:textFill>
            <w14:solidFill>
              <w14:schemeClr w14:val="tx1"/>
            </w14:solidFill>
          </w14:textFill>
        </w:rPr>
        <w:t>、预算管理</w:t>
      </w:r>
      <w:r>
        <w:rPr>
          <w:rFonts w:hint="eastAsia" w:ascii="黑体" w:hAnsi="黑体" w:eastAsia="黑体" w:cs="宋体"/>
          <w:color w:val="000000" w:themeColor="text1"/>
          <w:kern w:val="0"/>
          <w:sz w:val="32"/>
          <w:szCs w:val="32"/>
          <w:highlight w:val="none"/>
          <w14:textFill>
            <w14:solidFill>
              <w14:schemeClr w14:val="tx1"/>
            </w14:solidFill>
          </w14:textFill>
        </w:rPr>
        <w:t>情况分</w:t>
      </w:r>
      <w:r>
        <w:rPr>
          <w:rFonts w:ascii="黑体" w:hAnsi="黑体" w:eastAsia="黑体" w:cs="宋体"/>
          <w:color w:val="000000" w:themeColor="text1"/>
          <w:kern w:val="0"/>
          <w:sz w:val="32"/>
          <w:szCs w:val="32"/>
          <w:highlight w:val="none"/>
          <w14:textFill>
            <w14:solidFill>
              <w14:schemeClr w14:val="tx1"/>
            </w14:solidFill>
          </w14:textFill>
        </w:rPr>
        <w:t>析</w:t>
      </w:r>
      <w:bookmarkEnd w:id="8"/>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9" w:name="_Toc13631"/>
      <w:r>
        <w:rPr>
          <w:rFonts w:hint="eastAsia" w:ascii="楷体" w:hAnsi="楷体" w:eastAsia="楷体" w:cs="楷体"/>
          <w:color w:val="000000" w:themeColor="text1"/>
          <w:sz w:val="32"/>
          <w:szCs w:val="32"/>
          <w:highlight w:val="none"/>
          <w14:textFill>
            <w14:solidFill>
              <w14:schemeClr w14:val="tx1"/>
            </w14:solidFill>
          </w14:textFill>
        </w:rPr>
        <w:t>（一）财务管理</w:t>
      </w:r>
      <w:bookmarkEnd w:id="9"/>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1.财务</w:t>
      </w:r>
      <w:r>
        <w:rPr>
          <w:rFonts w:ascii="仿宋_GB2312" w:eastAsia="仿宋_GB2312"/>
          <w:sz w:val="32"/>
          <w:szCs w:val="32"/>
          <w:highlight w:val="none"/>
        </w:rPr>
        <w:t>管理制度健全性</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北京铁路运输检察院已建立相关财务管理制度，对预算业务、收支业务、政府采购业务、合同管理和资产管理业务等均明确了控制流程和措施，部门财务管理制度较健全，各项规定合法、合规，具有一定可操作性。</w:t>
      </w:r>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2.资金使用合规性</w:t>
      </w:r>
      <w:r>
        <w:rPr>
          <w:rFonts w:ascii="仿宋_GB2312" w:eastAsia="仿宋_GB2312"/>
          <w:sz w:val="32"/>
          <w:szCs w:val="32"/>
          <w:highlight w:val="none"/>
        </w:rPr>
        <w:t>和安全性</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北京铁路运输检察院资金支出按照市财政预算批复执行，2024年经费支出控制在预算批复范围内，各项资金支出均参照国家、北京市相关制度及本单位已制定的财务制度执行，资金支出审批程序齐全，资金使用合规、安全。经抽查部分项目会计凭证，资金支出按照内部管理制度执行，未发现资金有超范围、超标准支出的情况，审批手续严格规范。</w:t>
      </w:r>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3.会计基础信息完善性</w:t>
      </w:r>
    </w:p>
    <w:p>
      <w:pPr>
        <w:spacing w:line="600" w:lineRule="exact"/>
        <w:ind w:firstLine="640" w:firstLineChars="200"/>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2024年</w:t>
      </w:r>
      <w:r>
        <w:rPr>
          <w:rFonts w:hint="eastAsia" w:ascii="仿宋_GB2312" w:eastAsia="仿宋_GB2312"/>
          <w:sz w:val="32"/>
          <w:szCs w:val="32"/>
          <w:highlight w:val="none"/>
        </w:rPr>
        <w:t>北京铁路运输检察院</w:t>
      </w:r>
      <w:r>
        <w:rPr>
          <w:rFonts w:hint="eastAsia" w:ascii="仿宋_GB2312" w:hAnsi="宋体" w:eastAsia="仿宋_GB2312" w:cs="宋体"/>
          <w:color w:val="000000" w:themeColor="text1"/>
          <w:kern w:val="0"/>
          <w:sz w:val="32"/>
          <w:szCs w:val="32"/>
          <w:highlight w:val="none"/>
          <w14:textFill>
            <w14:solidFill>
              <w14:schemeClr w14:val="tx1"/>
            </w14:solidFill>
          </w14:textFill>
        </w:rPr>
        <w:t>根据政府会计改革要求，实施新政府会计准则制度。严格按照《财政部关于贯彻实施政府会计准则制度的通知》和</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最高检</w:t>
      </w:r>
      <w:r>
        <w:rPr>
          <w:rFonts w:hint="eastAsia" w:ascii="仿宋_GB2312" w:hAnsi="宋体" w:eastAsia="仿宋_GB2312" w:cs="宋体"/>
          <w:color w:val="000000" w:themeColor="text1"/>
          <w:kern w:val="0"/>
          <w:sz w:val="32"/>
          <w:szCs w:val="32"/>
          <w:highlight w:val="none"/>
          <w14:textFill>
            <w14:solidFill>
              <w14:schemeClr w14:val="tx1"/>
            </w14:solidFill>
          </w14:textFill>
        </w:rPr>
        <w:t>的相关要求，严格按照《财政部关于贯彻实施政府会计准则制度的通知》和市检察院、</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最高检</w:t>
      </w:r>
      <w:r>
        <w:rPr>
          <w:rFonts w:hint="eastAsia" w:ascii="仿宋_GB2312" w:hAnsi="宋体" w:eastAsia="仿宋_GB2312" w:cs="宋体"/>
          <w:color w:val="000000" w:themeColor="text1"/>
          <w:kern w:val="0"/>
          <w:sz w:val="32"/>
          <w:szCs w:val="32"/>
          <w:highlight w:val="none"/>
          <w14:textFill>
            <w14:solidFill>
              <w14:schemeClr w14:val="tx1"/>
            </w14:solidFill>
          </w14:textFill>
        </w:rPr>
        <w:t>的相关要求，开展会计和财务管理工作。通过梳理项目支出会计凭证及会计账簿、财务报告等基础信息，</w:t>
      </w:r>
      <w:r>
        <w:rPr>
          <w:rFonts w:hint="eastAsia" w:ascii="仿宋_GB2312" w:eastAsia="仿宋_GB2312"/>
          <w:sz w:val="32"/>
          <w:szCs w:val="32"/>
          <w:highlight w:val="none"/>
        </w:rPr>
        <w:t>北京铁路运输检察院</w:t>
      </w:r>
      <w:r>
        <w:rPr>
          <w:rFonts w:hint="eastAsia" w:ascii="仿宋_GB2312" w:hAnsi="宋体" w:eastAsia="仿宋_GB2312" w:cs="宋体"/>
          <w:color w:val="000000" w:themeColor="text1"/>
          <w:kern w:val="0"/>
          <w:sz w:val="32"/>
          <w:szCs w:val="32"/>
          <w:highlight w:val="none"/>
          <w14:textFill>
            <w14:solidFill>
              <w14:schemeClr w14:val="tx1"/>
            </w14:solidFill>
          </w14:textFill>
        </w:rPr>
        <w:t>会计基础信息和会计信息管理工作较为规范。</w:t>
      </w:r>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10" w:name="_Toc24277"/>
      <w:r>
        <w:rPr>
          <w:rFonts w:hint="eastAsia" w:ascii="楷体" w:hAnsi="楷体" w:eastAsia="楷体" w:cs="楷体"/>
          <w:color w:val="000000" w:themeColor="text1"/>
          <w:sz w:val="32"/>
          <w:szCs w:val="32"/>
          <w:highlight w:val="none"/>
          <w14:textFill>
            <w14:solidFill>
              <w14:schemeClr w14:val="tx1"/>
            </w14:solidFill>
          </w14:textFill>
        </w:rPr>
        <w:t>（二）资产管理</w:t>
      </w:r>
      <w:bookmarkEnd w:id="10"/>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1.资产总体情况</w:t>
      </w:r>
    </w:p>
    <w:p>
      <w:pPr>
        <w:ind w:firstLine="640" w:firstLineChars="200"/>
        <w:rPr>
          <w:rFonts w:hint="eastAsia" w:ascii="仿宋_GB2312" w:hAnsi="Times New Roman" w:eastAsia="仿宋_GB2312" w:cs="Times New Roman"/>
          <w:b w:val="0"/>
          <w:kern w:val="2"/>
          <w:sz w:val="32"/>
          <w:szCs w:val="32"/>
          <w:highlight w:val="none"/>
          <w:lang w:val="en-US" w:eastAsia="zh-CN" w:bidi="ar-SA"/>
        </w:rPr>
      </w:pPr>
      <w:r>
        <w:rPr>
          <w:rFonts w:hint="eastAsia" w:ascii="仿宋_GB2312" w:hAnsi="Times New Roman" w:eastAsia="仿宋_GB2312" w:cs="Times New Roman"/>
          <w:b w:val="0"/>
          <w:kern w:val="2"/>
          <w:sz w:val="32"/>
          <w:szCs w:val="32"/>
          <w:highlight w:val="none"/>
          <w:lang w:val="en-US" w:eastAsia="zh-CN" w:bidi="ar-SA"/>
        </w:rPr>
        <w:t xml:space="preserve">截至12月31日，北京铁路运输检察院共有车辆9台；单位价值100万元（含）以上的设备0台（套）。 </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2.资产管理规范性</w:t>
      </w:r>
    </w:p>
    <w:p>
      <w:pPr>
        <w:pStyle w:val="4"/>
        <w:jc w:val="left"/>
        <w:rPr>
          <w:rFonts w:ascii="仿宋_GB2312" w:eastAsia="仿宋_GB2312"/>
          <w:b w:val="0"/>
          <w:sz w:val="32"/>
          <w:szCs w:val="32"/>
          <w:highlight w:val="none"/>
        </w:rPr>
      </w:pPr>
      <w:r>
        <w:rPr>
          <w:rFonts w:hint="eastAsia" w:ascii="仿宋_GB2312" w:eastAsia="仿宋_GB2312"/>
          <w:b w:val="0"/>
          <w:sz w:val="32"/>
          <w:szCs w:val="32"/>
          <w:highlight w:val="none"/>
        </w:rPr>
        <w:t xml:space="preserve">    北京铁路运输检察院制定了《北京铁路运输检察院国有资产管理办法》，资产的购</w:t>
      </w:r>
      <w:bookmarkStart w:id="21" w:name="_GoBack"/>
      <w:bookmarkEnd w:id="21"/>
      <w:r>
        <w:rPr>
          <w:rFonts w:hint="eastAsia" w:ascii="仿宋_GB2312" w:eastAsia="仿宋_GB2312"/>
          <w:b w:val="0"/>
          <w:sz w:val="32"/>
          <w:szCs w:val="32"/>
          <w:highlight w:val="none"/>
        </w:rPr>
        <w:t>置、配置、领用、转移、调拨和处置等执行环节，严格按照国家及上级单位有关国有资产管理的规定和《北京铁路运输检察院国有资产管理办法》执行。</w:t>
      </w:r>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11" w:name="_Toc12724"/>
      <w:r>
        <w:rPr>
          <w:rFonts w:hint="eastAsia" w:ascii="楷体" w:hAnsi="楷体" w:eastAsia="楷体" w:cs="楷体"/>
          <w:color w:val="000000" w:themeColor="text1"/>
          <w:sz w:val="32"/>
          <w:szCs w:val="32"/>
          <w:highlight w:val="none"/>
          <w14:textFill>
            <w14:solidFill>
              <w14:schemeClr w14:val="tx1"/>
            </w14:solidFill>
          </w14:textFill>
        </w:rPr>
        <w:t>（三）绩效管理</w:t>
      </w:r>
      <w:bookmarkEnd w:id="11"/>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北京铁路运输检察院根据北京市财政局关于预算绩效管理的要求，按照“预算编制有目标、预算执行有监控、预算完成有评价、评价结果有反馈、反馈结果有应用”的总体目标，深化推进全面预算绩效管理工作。将所有预算资金纳入部门预算绩效管理工作。</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2024年，按照北京市财政局要求对全部立项批复项目开展预算绩效监控工作，从预算资金执行、管理以及绩效目标完成等情况进行分析，进一步加强了预算绩效运行监控管理。</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北京铁路运输检察院对2024年度部门预算项目实施绩效自评工作，对“信息系统运维类项目”采用部门评价方式开展，出具绩效评价报告；5个项目采用单位自评方式进行评价，出具项目支出绩效自评表。从总体评价结果来看，能够较好地按照年初预算目标完成各项工作，绩效目标设定较为合理，各项目标及指标的完成情况较好，项目执行过程比较规范，符合相关制度要求，项目执行金额能够控制在预算范围内，项目效果基本达到预定目标。</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通过开展绩效监控和绩效评价工作，全面、客观地反映了项目实施的工作成效，对项目决策、项目过程、项目产出、项目效益方面存在的不足提出合理化建议，使预算管理更加科学、完善，进而规范资金的使用管理，强化项目实施部门预算成本控制，完善绩效管理工作，进一步提升北京铁路运输检察院预算绩效管理水平。</w:t>
      </w:r>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12" w:name="_Toc2279"/>
      <w:r>
        <w:rPr>
          <w:rFonts w:hint="eastAsia" w:ascii="楷体" w:hAnsi="楷体" w:eastAsia="楷体" w:cs="楷体"/>
          <w:color w:val="000000" w:themeColor="text1"/>
          <w:sz w:val="32"/>
          <w:szCs w:val="32"/>
          <w:highlight w:val="none"/>
          <w14:textFill>
            <w14:solidFill>
              <w14:schemeClr w14:val="tx1"/>
            </w14:solidFill>
          </w14:textFill>
        </w:rPr>
        <w:t>（四）结转结余率</w:t>
      </w:r>
      <w:bookmarkEnd w:id="12"/>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2023年结转结余率=结转结余总额/支出预算数×100%= 37.00万元/2,890.10万元×100%=1.28%。</w:t>
      </w:r>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2024年结转结余率=结转结余总额/支出预算数×100%=31.42万元/2,934.69万元×100%=1.07%。</w:t>
      </w:r>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2024年结转结余率比2023年结转结余率低0.21%。</w:t>
      </w:r>
    </w:p>
    <w:p>
      <w:pPr>
        <w:spacing w:line="600" w:lineRule="exact"/>
        <w:ind w:firstLine="640" w:firstLineChars="200"/>
        <w:outlineLvl w:val="1"/>
        <w:rPr>
          <w:rFonts w:ascii="楷体_GB2312" w:eastAsia="楷体_GB2312"/>
          <w:color w:val="000000" w:themeColor="text1"/>
          <w:sz w:val="32"/>
          <w:szCs w:val="32"/>
          <w:highlight w:val="none"/>
          <w14:textFill>
            <w14:solidFill>
              <w14:schemeClr w14:val="tx1"/>
            </w14:solidFill>
          </w14:textFill>
        </w:rPr>
      </w:pPr>
      <w:bookmarkStart w:id="13" w:name="_Toc6092"/>
      <w:r>
        <w:rPr>
          <w:rFonts w:hint="eastAsia" w:ascii="楷体_GB2312" w:eastAsia="楷体_GB2312"/>
          <w:color w:val="000000" w:themeColor="text1"/>
          <w:sz w:val="32"/>
          <w:szCs w:val="32"/>
          <w:highlight w:val="none"/>
          <w14:textFill>
            <w14:solidFill>
              <w14:schemeClr w14:val="tx1"/>
            </w14:solidFill>
          </w14:textFill>
        </w:rPr>
        <w:t>（五）部门</w:t>
      </w:r>
      <w:r>
        <w:rPr>
          <w:rFonts w:ascii="楷体_GB2312" w:eastAsia="楷体_GB2312"/>
          <w:color w:val="000000" w:themeColor="text1"/>
          <w:sz w:val="32"/>
          <w:szCs w:val="32"/>
          <w:highlight w:val="none"/>
          <w14:textFill>
            <w14:solidFill>
              <w14:schemeClr w14:val="tx1"/>
            </w14:solidFill>
          </w14:textFill>
        </w:rPr>
        <w:t>预决算差异率</w:t>
      </w:r>
      <w:bookmarkEnd w:id="13"/>
    </w:p>
    <w:p>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部门预决算差异率=（年度</w:t>
      </w: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部门决算-年初部门预算）/年初部门预算×100%=（2,903.26万元-3,147.13万元）/3,147.13万元×100%=-7.75%。部门预决算差异率控制情况较好。</w:t>
      </w:r>
    </w:p>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bookmarkStart w:id="14" w:name="_Toc25040"/>
      <w:r>
        <w:rPr>
          <w:rFonts w:hint="eastAsia" w:ascii="黑体" w:hAnsi="黑体" w:eastAsia="黑体" w:cs="宋体"/>
          <w:color w:val="000000" w:themeColor="text1"/>
          <w:kern w:val="0"/>
          <w:sz w:val="32"/>
          <w:szCs w:val="32"/>
          <w:highlight w:val="none"/>
          <w14:textFill>
            <w14:solidFill>
              <w14:schemeClr w14:val="tx1"/>
            </w14:solidFill>
          </w14:textFill>
        </w:rPr>
        <w:t>五、总体</w:t>
      </w:r>
      <w:r>
        <w:rPr>
          <w:rFonts w:ascii="黑体" w:hAnsi="黑体" w:eastAsia="黑体" w:cs="宋体"/>
          <w:color w:val="000000" w:themeColor="text1"/>
          <w:kern w:val="0"/>
          <w:sz w:val="32"/>
          <w:szCs w:val="32"/>
          <w:highlight w:val="none"/>
          <w14:textFill>
            <w14:solidFill>
              <w14:schemeClr w14:val="tx1"/>
            </w14:solidFill>
          </w14:textFill>
        </w:rPr>
        <w:t>评价结论</w:t>
      </w:r>
      <w:bookmarkEnd w:id="14"/>
    </w:p>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15" w:name="_Toc17180"/>
      <w:r>
        <w:rPr>
          <w:rFonts w:hint="eastAsia" w:ascii="楷体" w:hAnsi="楷体" w:eastAsia="楷体" w:cs="楷体"/>
          <w:color w:val="000000" w:themeColor="text1"/>
          <w:sz w:val="32"/>
          <w:szCs w:val="32"/>
          <w:highlight w:val="none"/>
          <w14:textFill>
            <w14:solidFill>
              <w14:schemeClr w14:val="tx1"/>
            </w14:solidFill>
          </w14:textFill>
        </w:rPr>
        <w:t>（一）评价得分情况</w:t>
      </w:r>
      <w:bookmarkEnd w:id="15"/>
    </w:p>
    <w:tbl>
      <w:tblPr>
        <w:tblStyle w:val="14"/>
        <w:tblW w:w="8191"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6"/>
        <w:gridCol w:w="2126"/>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评价内容</w:t>
            </w:r>
          </w:p>
        </w:tc>
        <w:tc>
          <w:tcPr>
            <w:tcW w:w="2126"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ascii="仿宋_GB2312" w:hAnsi="宋体" w:eastAsia="仿宋_GB2312" w:cs="宋体"/>
                <w:color w:val="000000" w:themeColor="text1"/>
                <w:kern w:val="0"/>
                <w:sz w:val="32"/>
                <w:szCs w:val="32"/>
                <w:highlight w:val="none"/>
                <w14:textFill>
                  <w14:solidFill>
                    <w14:schemeClr w14:val="tx1"/>
                  </w14:solidFill>
                </w14:textFill>
              </w:rPr>
              <w:t>分值</w:t>
            </w:r>
          </w:p>
        </w:tc>
        <w:tc>
          <w:tcPr>
            <w:tcW w:w="2489"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ascii="仿宋_GB2312" w:hAnsi="宋体" w:eastAsia="仿宋_GB2312" w:cs="宋体"/>
                <w:color w:val="000000" w:themeColor="text1"/>
                <w:kern w:val="0"/>
                <w:sz w:val="32"/>
                <w:szCs w:val="32"/>
                <w:highlight w:val="none"/>
                <w14:textFill>
                  <w14:solidFill>
                    <w14:schemeClr w14:val="tx1"/>
                  </w14:solidFill>
                </w14:textFill>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当年预算执行情况</w:t>
            </w:r>
          </w:p>
        </w:tc>
        <w:tc>
          <w:tcPr>
            <w:tcW w:w="2126"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20</w:t>
            </w:r>
          </w:p>
        </w:tc>
        <w:tc>
          <w:tcPr>
            <w:tcW w:w="2489"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整体绩效目标实现情况</w:t>
            </w:r>
          </w:p>
        </w:tc>
        <w:tc>
          <w:tcPr>
            <w:tcW w:w="2126"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60</w:t>
            </w:r>
          </w:p>
        </w:tc>
        <w:tc>
          <w:tcPr>
            <w:tcW w:w="2489"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预算管理情况</w:t>
            </w:r>
          </w:p>
        </w:tc>
        <w:tc>
          <w:tcPr>
            <w:tcW w:w="2126"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20</w:t>
            </w:r>
          </w:p>
        </w:tc>
        <w:tc>
          <w:tcPr>
            <w:tcW w:w="2489"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ascii="仿宋_GB2312" w:hAnsi="宋体" w:eastAsia="仿宋_GB2312" w:cs="宋体"/>
                <w:color w:val="000000" w:themeColor="text1"/>
                <w:kern w:val="0"/>
                <w:sz w:val="32"/>
                <w:szCs w:val="32"/>
                <w:highlight w:val="none"/>
                <w14:textFill>
                  <w14:solidFill>
                    <w14:schemeClr w14:val="tx1"/>
                  </w14:solidFill>
                </w14:textFill>
              </w:rPr>
              <w:t>综合得分</w:t>
            </w:r>
          </w:p>
        </w:tc>
        <w:tc>
          <w:tcPr>
            <w:tcW w:w="2126"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100</w:t>
            </w:r>
          </w:p>
        </w:tc>
        <w:tc>
          <w:tcPr>
            <w:tcW w:w="2489" w:type="dxa"/>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ascii="仿宋_GB2312" w:hAnsi="宋体" w:eastAsia="仿宋_GB2312" w:cs="宋体"/>
                <w:color w:val="000000" w:themeColor="text1"/>
                <w:kern w:val="0"/>
                <w:sz w:val="32"/>
                <w:szCs w:val="32"/>
                <w:highlight w:val="none"/>
                <w14:textFill>
                  <w14:solidFill>
                    <w14:schemeClr w14:val="tx1"/>
                  </w14:solidFill>
                </w14:textFill>
              </w:rPr>
              <w:t>91.79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76" w:type="dxa"/>
            <w:vAlign w:val="center"/>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ascii="仿宋_GB2312" w:hAnsi="宋体" w:eastAsia="仿宋_GB2312" w:cs="宋体"/>
                <w:color w:val="000000" w:themeColor="text1"/>
                <w:kern w:val="0"/>
                <w:sz w:val="32"/>
                <w:szCs w:val="32"/>
                <w:highlight w:val="none"/>
                <w14:textFill>
                  <w14:solidFill>
                    <w14:schemeClr w14:val="tx1"/>
                  </w14:solidFill>
                </w14:textFill>
              </w:rPr>
              <w:t>绩效评定级别</w:t>
            </w:r>
          </w:p>
        </w:tc>
        <w:tc>
          <w:tcPr>
            <w:tcW w:w="4615" w:type="dxa"/>
            <w:gridSpan w:val="2"/>
          </w:tcPr>
          <w:p>
            <w:pPr>
              <w:spacing w:line="600" w:lineRule="exact"/>
              <w:jc w:val="center"/>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优</w:t>
            </w:r>
          </w:p>
        </w:tc>
      </w:tr>
    </w:tbl>
    <w:p>
      <w:pPr>
        <w:spacing w:line="600" w:lineRule="exact"/>
        <w:ind w:firstLine="640" w:firstLineChars="200"/>
        <w:outlineLvl w:val="1"/>
        <w:rPr>
          <w:rFonts w:hint="eastAsia" w:ascii="楷体" w:hAnsi="楷体" w:eastAsia="楷体" w:cs="楷体"/>
          <w:color w:val="000000" w:themeColor="text1"/>
          <w:sz w:val="32"/>
          <w:szCs w:val="32"/>
          <w:highlight w:val="none"/>
          <w14:textFill>
            <w14:solidFill>
              <w14:schemeClr w14:val="tx1"/>
            </w14:solidFill>
          </w14:textFill>
        </w:rPr>
      </w:pPr>
      <w:bookmarkStart w:id="16" w:name="_Toc14045"/>
      <w:r>
        <w:rPr>
          <w:rFonts w:hint="eastAsia" w:ascii="楷体" w:hAnsi="楷体" w:eastAsia="楷体" w:cs="楷体"/>
          <w:color w:val="000000" w:themeColor="text1"/>
          <w:sz w:val="32"/>
          <w:szCs w:val="32"/>
          <w:highlight w:val="none"/>
          <w14:textFill>
            <w14:solidFill>
              <w14:schemeClr w14:val="tx1"/>
            </w14:solidFill>
          </w14:textFill>
        </w:rPr>
        <w:t>（二）存在的问题及原因分析</w:t>
      </w:r>
      <w:bookmarkEnd w:id="16"/>
    </w:p>
    <w:p>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1.项目绩效目标设置仍有待进一步优化。</w:t>
      </w:r>
    </w:p>
    <w:p>
      <w:pPr>
        <w:spacing w:line="60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rPr>
        <w:t>个别项目绩效指标的细化程度及量化不足，效益指标设置较为宏观，导致绩效目标实现程度的可衡量性较弱，不能体现项目的直接效果。</w:t>
      </w:r>
      <w:r>
        <w:rPr>
          <w:rFonts w:hint="eastAsia" w:ascii="仿宋_GB2312" w:hAnsi="宋体" w:eastAsia="仿宋_GB2312" w:cs="宋体"/>
          <w:color w:val="000000"/>
          <w:kern w:val="0"/>
          <w:sz w:val="32"/>
          <w:szCs w:val="32"/>
          <w:highlight w:val="none"/>
          <w:lang w:eastAsia="zh-CN"/>
        </w:rPr>
        <w:t>如互联网接入费效益指标</w:t>
      </w:r>
      <w:r>
        <w:rPr>
          <w:rFonts w:hint="eastAsia" w:ascii="仿宋_GB2312" w:hAnsi="宋体" w:eastAsia="仿宋_GB2312" w:cs="宋体"/>
          <w:color w:val="000000"/>
          <w:kern w:val="0"/>
          <w:sz w:val="32"/>
          <w:szCs w:val="32"/>
          <w:highlight w:val="none"/>
          <w:lang w:val="en-US" w:eastAsia="zh-CN"/>
        </w:rPr>
        <w:t>--社会效益指标--公共主页点击量增长率，与项目预期目标“保障网络畅通，满足各业务部门办案网络需要”的关联性相对较弱。</w:t>
      </w:r>
    </w:p>
    <w:p>
      <w:pPr>
        <w:spacing w:line="600" w:lineRule="exact"/>
        <w:ind w:firstLine="640" w:firstLineChars="200"/>
        <w:rPr>
          <w:rFonts w:hint="eastAsia" w:ascii="仿宋_GB2312" w:hAnsi="宋体" w:eastAsia="仿宋_GB2312" w:cs="宋体"/>
          <w:color w:val="000000"/>
          <w:kern w:val="0"/>
          <w:sz w:val="32"/>
          <w:szCs w:val="32"/>
          <w:highlight w:val="none"/>
        </w:rPr>
      </w:pPr>
      <w:bookmarkStart w:id="17" w:name="_Hlk197697004"/>
      <w:r>
        <w:rPr>
          <w:rFonts w:hint="eastAsia" w:ascii="仿宋_GB2312" w:hAnsi="宋体" w:eastAsia="仿宋_GB2312" w:cs="宋体"/>
          <w:color w:val="000000"/>
          <w:kern w:val="0"/>
          <w:sz w:val="32"/>
          <w:szCs w:val="32"/>
          <w:highlight w:val="none"/>
        </w:rPr>
        <w:t>2.个别项目未制定项目实施方案。</w:t>
      </w:r>
    </w:p>
    <w:p>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个别项目未制定项目实施方案，缺少对项目的统筹管理，</w:t>
      </w:r>
      <w:r>
        <w:rPr>
          <w:rFonts w:hint="eastAsia" w:ascii="仿宋_GB2312" w:hAnsi="宋体" w:eastAsia="仿宋_GB2312" w:cs="宋体"/>
          <w:color w:val="000000"/>
          <w:kern w:val="0"/>
          <w:sz w:val="32"/>
          <w:szCs w:val="32"/>
          <w:highlight w:val="none"/>
          <w:lang w:eastAsia="zh-CN"/>
        </w:rPr>
        <w:t>如公务用车购置项目</w:t>
      </w:r>
      <w:r>
        <w:rPr>
          <w:rFonts w:hint="eastAsia" w:ascii="仿宋_GB2312" w:hAnsi="宋体" w:eastAsia="仿宋_GB2312" w:cs="宋体"/>
          <w:color w:val="000000"/>
          <w:kern w:val="0"/>
          <w:sz w:val="32"/>
          <w:szCs w:val="32"/>
          <w:highlight w:val="none"/>
        </w:rPr>
        <w:t>缺少项目实施主体对人员组织分工、实施节点、监管措施、考核要求及风险防控措施等内容，不利于</w:t>
      </w:r>
      <w:r>
        <w:rPr>
          <w:rFonts w:hint="eastAsia" w:ascii="仿宋_GB2312" w:hAnsi="宋体" w:eastAsia="仿宋_GB2312" w:cs="宋体"/>
          <w:color w:val="000000"/>
          <w:kern w:val="0"/>
          <w:sz w:val="32"/>
          <w:szCs w:val="32"/>
          <w:highlight w:val="none"/>
          <w:lang w:eastAsia="zh-CN"/>
        </w:rPr>
        <w:t>购车</w:t>
      </w:r>
      <w:r>
        <w:rPr>
          <w:rFonts w:hint="eastAsia" w:ascii="仿宋_GB2312" w:hAnsi="宋体" w:eastAsia="仿宋_GB2312" w:cs="宋体"/>
          <w:color w:val="000000"/>
          <w:kern w:val="0"/>
          <w:sz w:val="32"/>
          <w:szCs w:val="32"/>
          <w:highlight w:val="none"/>
        </w:rPr>
        <w:t>项目的实施，项目管理机制有待完善。</w:t>
      </w:r>
    </w:p>
    <w:bookmarkEnd w:id="17"/>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bookmarkStart w:id="18" w:name="_Toc21408"/>
      <w:r>
        <w:rPr>
          <w:rFonts w:hint="eastAsia" w:ascii="黑体" w:hAnsi="黑体" w:eastAsia="黑体" w:cs="宋体"/>
          <w:color w:val="000000" w:themeColor="text1"/>
          <w:kern w:val="0"/>
          <w:sz w:val="32"/>
          <w:szCs w:val="32"/>
          <w:highlight w:val="none"/>
          <w14:textFill>
            <w14:solidFill>
              <w14:schemeClr w14:val="tx1"/>
            </w14:solidFill>
          </w14:textFill>
        </w:rPr>
        <w:t>六、措施建议</w:t>
      </w:r>
      <w:bookmarkEnd w:id="18"/>
    </w:p>
    <w:p>
      <w:pPr>
        <w:spacing w:line="560" w:lineRule="exact"/>
        <w:ind w:firstLine="640" w:firstLineChars="200"/>
        <w:rPr>
          <w:rFonts w:hint="eastAsia" w:ascii="仿宋_GB2312" w:hAnsi="楷体" w:eastAsia="仿宋_GB2312"/>
          <w:bCs/>
          <w:kern w:val="0"/>
          <w:sz w:val="32"/>
          <w:szCs w:val="28"/>
          <w:highlight w:val="none"/>
        </w:rPr>
      </w:pPr>
      <w:bookmarkStart w:id="19" w:name="OLE_LINK7"/>
      <w:r>
        <w:rPr>
          <w:rFonts w:hint="eastAsia" w:ascii="仿宋_GB2312" w:hAnsi="楷体" w:eastAsia="仿宋_GB2312"/>
          <w:bCs/>
          <w:kern w:val="0"/>
          <w:sz w:val="32"/>
          <w:szCs w:val="28"/>
          <w:highlight w:val="none"/>
        </w:rPr>
        <w:t>1.科学设置绩效目标，提高预算绩效管理意识。</w:t>
      </w:r>
    </w:p>
    <w:p>
      <w:pPr>
        <w:spacing w:line="560" w:lineRule="exact"/>
        <w:ind w:firstLine="640" w:firstLineChars="200"/>
        <w:rPr>
          <w:rFonts w:hint="eastAsia" w:ascii="仿宋_GB2312" w:hAnsi="楷体" w:eastAsia="仿宋_GB2312"/>
          <w:bCs/>
          <w:kern w:val="0"/>
          <w:sz w:val="32"/>
          <w:szCs w:val="28"/>
          <w:highlight w:val="none"/>
        </w:rPr>
      </w:pPr>
      <w:r>
        <w:rPr>
          <w:rFonts w:hint="eastAsia" w:ascii="仿宋_GB2312" w:hAnsi="楷体" w:eastAsia="仿宋_GB2312"/>
          <w:bCs/>
          <w:kern w:val="0"/>
          <w:sz w:val="32"/>
          <w:szCs w:val="28"/>
          <w:highlight w:val="none"/>
        </w:rPr>
        <w:t>科学、合理设置绩效目标及指标，提高财政资金预算绩效管理意识。绩效指标应尽量采用量化指标，做到可衡量、可考核</w:t>
      </w:r>
      <w:r>
        <w:rPr>
          <w:rFonts w:hint="eastAsia" w:ascii="仿宋_GB2312" w:hAnsi="楷体" w:eastAsia="仿宋_GB2312"/>
          <w:bCs/>
          <w:kern w:val="0"/>
          <w:sz w:val="32"/>
          <w:szCs w:val="28"/>
          <w:highlight w:val="none"/>
          <w:lang w:eastAsia="zh-CN"/>
        </w:rPr>
        <w:t>，如公务用车购置项目增加报废、购置和验收的时间节点，效益指标</w:t>
      </w:r>
      <w:r>
        <w:rPr>
          <w:rFonts w:hint="eastAsia" w:ascii="仿宋_GB2312" w:hAnsi="楷体" w:eastAsia="仿宋_GB2312"/>
          <w:bCs/>
          <w:kern w:val="0"/>
          <w:sz w:val="32"/>
          <w:szCs w:val="28"/>
          <w:highlight w:val="none"/>
          <w:lang w:val="en-US" w:eastAsia="zh-CN"/>
        </w:rPr>
        <w:t>--社会效益指标--保障执法执勤工作改为量化指标，增加使用次数等效益衡量</w:t>
      </w:r>
      <w:r>
        <w:rPr>
          <w:rFonts w:hint="eastAsia" w:ascii="仿宋_GB2312" w:hAnsi="楷体" w:eastAsia="仿宋_GB2312"/>
          <w:bCs/>
          <w:kern w:val="0"/>
          <w:sz w:val="32"/>
          <w:szCs w:val="28"/>
          <w:highlight w:val="none"/>
        </w:rPr>
        <w:t>。</w:t>
      </w:r>
    </w:p>
    <w:p>
      <w:pPr>
        <w:spacing w:line="560" w:lineRule="exact"/>
        <w:ind w:firstLine="640" w:firstLineChars="200"/>
        <w:rPr>
          <w:rFonts w:hint="eastAsia" w:ascii="仿宋_GB2312" w:hAnsi="楷体" w:eastAsia="仿宋_GB2312"/>
          <w:bCs/>
          <w:kern w:val="0"/>
          <w:sz w:val="32"/>
          <w:szCs w:val="28"/>
          <w:highlight w:val="none"/>
        </w:rPr>
      </w:pPr>
      <w:r>
        <w:rPr>
          <w:rFonts w:hint="eastAsia" w:ascii="仿宋_GB2312" w:hAnsi="楷体" w:eastAsia="仿宋_GB2312"/>
          <w:bCs/>
          <w:kern w:val="0"/>
          <w:sz w:val="32"/>
          <w:szCs w:val="28"/>
          <w:highlight w:val="none"/>
        </w:rPr>
        <w:t>2.完善项目实施方案，规范项目全流程管理。</w:t>
      </w:r>
    </w:p>
    <w:p>
      <w:pPr>
        <w:spacing w:line="560" w:lineRule="exact"/>
        <w:ind w:firstLine="640" w:firstLineChars="200"/>
        <w:rPr>
          <w:rFonts w:hint="eastAsia" w:ascii="仿宋_GB2312" w:hAnsi="楷体" w:eastAsia="仿宋_GB2312"/>
          <w:bCs/>
          <w:kern w:val="0"/>
          <w:sz w:val="32"/>
          <w:szCs w:val="28"/>
          <w:highlight w:val="none"/>
        </w:rPr>
      </w:pPr>
      <w:r>
        <w:rPr>
          <w:rFonts w:hint="eastAsia" w:ascii="仿宋_GB2312" w:hAnsi="楷体" w:eastAsia="仿宋_GB2312"/>
          <w:bCs/>
          <w:kern w:val="0"/>
          <w:sz w:val="32"/>
          <w:szCs w:val="28"/>
          <w:highlight w:val="none"/>
        </w:rPr>
        <w:t>完善项目实施方案，明确项目组织机构、人员分工、执行进度，</w:t>
      </w:r>
      <w:r>
        <w:rPr>
          <w:rFonts w:hint="eastAsia" w:ascii="仿宋_GB2312" w:hAnsi="楷体" w:eastAsia="仿宋_GB2312"/>
          <w:bCs/>
          <w:kern w:val="0"/>
          <w:sz w:val="32"/>
          <w:szCs w:val="28"/>
          <w:highlight w:val="none"/>
          <w:lang w:eastAsia="zh-CN"/>
        </w:rPr>
        <w:t>如专业咨询类项目，预期目标目前为“规范单位财务工作，保障会计档案安全，提高资金使用效率”，建议调整为具体的项目组织部门，咨询内容的具体执行人，咨询的时间节点等，</w:t>
      </w:r>
      <w:r>
        <w:rPr>
          <w:rFonts w:hint="eastAsia" w:ascii="仿宋_GB2312" w:hAnsi="楷体" w:eastAsia="仿宋_GB2312"/>
          <w:bCs/>
          <w:kern w:val="0"/>
          <w:sz w:val="32"/>
          <w:szCs w:val="28"/>
          <w:highlight w:val="none"/>
        </w:rPr>
        <w:t>加强事中跟进，项目结束后，项目实施部门配合完成项目的考核和验收。加强绩效成果资料的归集，加强对绩效成果的跟踪及统计分析。同时加强服务对象满意度调查工作。</w:t>
      </w:r>
    </w:p>
    <w:bookmarkEnd w:id="0"/>
    <w:bookmarkEnd w:id="19"/>
    <w:p>
      <w:pPr>
        <w:spacing w:line="600" w:lineRule="exact"/>
        <w:ind w:firstLine="640" w:firstLineChars="200"/>
        <w:outlineLvl w:val="0"/>
        <w:rPr>
          <w:rFonts w:hint="eastAsia" w:ascii="黑体" w:hAnsi="黑体" w:eastAsia="黑体" w:cs="宋体"/>
          <w:color w:val="000000" w:themeColor="text1"/>
          <w:kern w:val="0"/>
          <w:sz w:val="32"/>
          <w:szCs w:val="32"/>
          <w:highlight w:val="none"/>
          <w14:textFill>
            <w14:solidFill>
              <w14:schemeClr w14:val="tx1"/>
            </w14:solidFill>
          </w14:textFill>
        </w:rPr>
      </w:pPr>
      <w:bookmarkStart w:id="20" w:name="_Toc6258"/>
      <w:r>
        <w:rPr>
          <w:rFonts w:hint="eastAsia" w:ascii="黑体" w:hAnsi="黑体" w:eastAsia="黑体" w:cs="宋体"/>
          <w:color w:val="000000" w:themeColor="text1"/>
          <w:kern w:val="0"/>
          <w:sz w:val="32"/>
          <w:szCs w:val="32"/>
          <w:highlight w:val="none"/>
          <w14:textFill>
            <w14:solidFill>
              <w14:schemeClr w14:val="tx1"/>
            </w14:solidFill>
          </w14:textFill>
        </w:rPr>
        <w:t>七、附件：2024年部门整体绩效评价指标体系评分表</w:t>
      </w:r>
      <w:bookmarkEnd w:id="20"/>
    </w:p>
    <w:p>
      <w:pPr>
        <w:ind w:firstLine="420"/>
        <w:rPr>
          <w:color w:val="000000" w:themeColor="text1"/>
          <w:highlight w:val="none"/>
          <w14:textFill>
            <w14:solidFill>
              <w14:schemeClr w14:val="tx1"/>
            </w14:solidFill>
          </w14:textFill>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5786328"/>
    </w:sdtPr>
    <w:sdtContent>
      <w:p>
        <w:pPr>
          <w:pStyle w:val="8"/>
          <w:ind w:firstLine="42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99FE3"/>
    <w:multiLevelType w:val="singleLevel"/>
    <w:tmpl w:val="62199FE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1MDE2YTI2YWQwYzljNTY3NjA0OTIyMjJiYTQ3ZjAifQ=="/>
  </w:docVars>
  <w:rsids>
    <w:rsidRoot w:val="F77F09F4"/>
    <w:rsid w:val="00032388"/>
    <w:rsid w:val="00046049"/>
    <w:rsid w:val="000467CB"/>
    <w:rsid w:val="0007321F"/>
    <w:rsid w:val="0007660A"/>
    <w:rsid w:val="00090BD2"/>
    <w:rsid w:val="00090C41"/>
    <w:rsid w:val="00090EFF"/>
    <w:rsid w:val="0009205E"/>
    <w:rsid w:val="000952FB"/>
    <w:rsid w:val="000A0F1F"/>
    <w:rsid w:val="000B2997"/>
    <w:rsid w:val="000C7E89"/>
    <w:rsid w:val="000D45C7"/>
    <w:rsid w:val="000D6198"/>
    <w:rsid w:val="000D666A"/>
    <w:rsid w:val="000F7331"/>
    <w:rsid w:val="00110693"/>
    <w:rsid w:val="00125E5F"/>
    <w:rsid w:val="00137FA2"/>
    <w:rsid w:val="00153BEE"/>
    <w:rsid w:val="001626BA"/>
    <w:rsid w:val="00172115"/>
    <w:rsid w:val="001B4A58"/>
    <w:rsid w:val="001C0AAE"/>
    <w:rsid w:val="001D33A6"/>
    <w:rsid w:val="001E1E9D"/>
    <w:rsid w:val="00202F59"/>
    <w:rsid w:val="002202E6"/>
    <w:rsid w:val="0022708C"/>
    <w:rsid w:val="00232EE5"/>
    <w:rsid w:val="00237FE6"/>
    <w:rsid w:val="00253DA4"/>
    <w:rsid w:val="00270DFA"/>
    <w:rsid w:val="00276818"/>
    <w:rsid w:val="00277B53"/>
    <w:rsid w:val="00283A51"/>
    <w:rsid w:val="00287144"/>
    <w:rsid w:val="0029640B"/>
    <w:rsid w:val="002977D0"/>
    <w:rsid w:val="002A016B"/>
    <w:rsid w:val="002A4DF4"/>
    <w:rsid w:val="002C6585"/>
    <w:rsid w:val="002C7463"/>
    <w:rsid w:val="002E1394"/>
    <w:rsid w:val="002F3F32"/>
    <w:rsid w:val="002F52F4"/>
    <w:rsid w:val="003459C5"/>
    <w:rsid w:val="00352C6E"/>
    <w:rsid w:val="00367118"/>
    <w:rsid w:val="003870FE"/>
    <w:rsid w:val="00395433"/>
    <w:rsid w:val="0039554C"/>
    <w:rsid w:val="004131DE"/>
    <w:rsid w:val="004156A3"/>
    <w:rsid w:val="00447C44"/>
    <w:rsid w:val="00454545"/>
    <w:rsid w:val="00477175"/>
    <w:rsid w:val="004A6957"/>
    <w:rsid w:val="004B1297"/>
    <w:rsid w:val="004E4DB3"/>
    <w:rsid w:val="004F780B"/>
    <w:rsid w:val="00500CB8"/>
    <w:rsid w:val="00537DA9"/>
    <w:rsid w:val="005536D2"/>
    <w:rsid w:val="00554C23"/>
    <w:rsid w:val="00556250"/>
    <w:rsid w:val="00580F78"/>
    <w:rsid w:val="0058594D"/>
    <w:rsid w:val="005971F4"/>
    <w:rsid w:val="00597414"/>
    <w:rsid w:val="005C658D"/>
    <w:rsid w:val="005E4870"/>
    <w:rsid w:val="005F0283"/>
    <w:rsid w:val="00613BB8"/>
    <w:rsid w:val="006314CB"/>
    <w:rsid w:val="006415E7"/>
    <w:rsid w:val="006511FC"/>
    <w:rsid w:val="00651FBD"/>
    <w:rsid w:val="0068637A"/>
    <w:rsid w:val="006C1FB0"/>
    <w:rsid w:val="006C5FB1"/>
    <w:rsid w:val="006D0E52"/>
    <w:rsid w:val="0070545C"/>
    <w:rsid w:val="00742D8F"/>
    <w:rsid w:val="007475C7"/>
    <w:rsid w:val="0074771B"/>
    <w:rsid w:val="007674D8"/>
    <w:rsid w:val="00771025"/>
    <w:rsid w:val="007A0688"/>
    <w:rsid w:val="007A193D"/>
    <w:rsid w:val="007C25E9"/>
    <w:rsid w:val="007C4B85"/>
    <w:rsid w:val="007D13FA"/>
    <w:rsid w:val="007E1427"/>
    <w:rsid w:val="007E256B"/>
    <w:rsid w:val="008008A2"/>
    <w:rsid w:val="00842996"/>
    <w:rsid w:val="00865425"/>
    <w:rsid w:val="00870624"/>
    <w:rsid w:val="00881C7F"/>
    <w:rsid w:val="00881FAC"/>
    <w:rsid w:val="008820E1"/>
    <w:rsid w:val="0088768C"/>
    <w:rsid w:val="00893A58"/>
    <w:rsid w:val="008E49EA"/>
    <w:rsid w:val="008E7D93"/>
    <w:rsid w:val="009027EC"/>
    <w:rsid w:val="00913190"/>
    <w:rsid w:val="0093578B"/>
    <w:rsid w:val="00965354"/>
    <w:rsid w:val="00966E31"/>
    <w:rsid w:val="0097423A"/>
    <w:rsid w:val="009A39C2"/>
    <w:rsid w:val="009C1ADE"/>
    <w:rsid w:val="009C7B3B"/>
    <w:rsid w:val="009E3759"/>
    <w:rsid w:val="00A17E49"/>
    <w:rsid w:val="00A3520A"/>
    <w:rsid w:val="00A37F5A"/>
    <w:rsid w:val="00A55FEE"/>
    <w:rsid w:val="00A6477A"/>
    <w:rsid w:val="00A64DFB"/>
    <w:rsid w:val="00A668D8"/>
    <w:rsid w:val="00A76D03"/>
    <w:rsid w:val="00A80392"/>
    <w:rsid w:val="00A94088"/>
    <w:rsid w:val="00A959DC"/>
    <w:rsid w:val="00A95AF4"/>
    <w:rsid w:val="00A96E92"/>
    <w:rsid w:val="00AB5960"/>
    <w:rsid w:val="00AB7FEC"/>
    <w:rsid w:val="00AC007D"/>
    <w:rsid w:val="00AC1310"/>
    <w:rsid w:val="00AC329F"/>
    <w:rsid w:val="00AC5368"/>
    <w:rsid w:val="00AE6276"/>
    <w:rsid w:val="00AF4463"/>
    <w:rsid w:val="00B1151A"/>
    <w:rsid w:val="00B124FA"/>
    <w:rsid w:val="00B23B6F"/>
    <w:rsid w:val="00B368F9"/>
    <w:rsid w:val="00B41FD1"/>
    <w:rsid w:val="00B43A32"/>
    <w:rsid w:val="00B50104"/>
    <w:rsid w:val="00B5645C"/>
    <w:rsid w:val="00B56D4E"/>
    <w:rsid w:val="00B67C2C"/>
    <w:rsid w:val="00B869A9"/>
    <w:rsid w:val="00B91DB9"/>
    <w:rsid w:val="00B93578"/>
    <w:rsid w:val="00BA250B"/>
    <w:rsid w:val="00BA44C0"/>
    <w:rsid w:val="00BB2578"/>
    <w:rsid w:val="00BD6F44"/>
    <w:rsid w:val="00BE49D8"/>
    <w:rsid w:val="00BF222A"/>
    <w:rsid w:val="00C06858"/>
    <w:rsid w:val="00C4171A"/>
    <w:rsid w:val="00C50A98"/>
    <w:rsid w:val="00C50AA4"/>
    <w:rsid w:val="00C81BA9"/>
    <w:rsid w:val="00C9327E"/>
    <w:rsid w:val="00C96E3A"/>
    <w:rsid w:val="00CF18F5"/>
    <w:rsid w:val="00D032F2"/>
    <w:rsid w:val="00D210EE"/>
    <w:rsid w:val="00D22684"/>
    <w:rsid w:val="00D24C1E"/>
    <w:rsid w:val="00D27738"/>
    <w:rsid w:val="00D56B68"/>
    <w:rsid w:val="00D57B4B"/>
    <w:rsid w:val="00D6442A"/>
    <w:rsid w:val="00D65886"/>
    <w:rsid w:val="00D80BFE"/>
    <w:rsid w:val="00DA0FDA"/>
    <w:rsid w:val="00DC02B1"/>
    <w:rsid w:val="00DC2B66"/>
    <w:rsid w:val="00DE0807"/>
    <w:rsid w:val="00DE58EA"/>
    <w:rsid w:val="00DE778E"/>
    <w:rsid w:val="00E27BCA"/>
    <w:rsid w:val="00E4585E"/>
    <w:rsid w:val="00E74444"/>
    <w:rsid w:val="00E86237"/>
    <w:rsid w:val="00EA0610"/>
    <w:rsid w:val="00EB4770"/>
    <w:rsid w:val="00ED1AAD"/>
    <w:rsid w:val="00F119D9"/>
    <w:rsid w:val="00F248EE"/>
    <w:rsid w:val="00F3126E"/>
    <w:rsid w:val="00F3653B"/>
    <w:rsid w:val="00F468B3"/>
    <w:rsid w:val="00F5046E"/>
    <w:rsid w:val="00F76AA3"/>
    <w:rsid w:val="00F8151C"/>
    <w:rsid w:val="00F81A23"/>
    <w:rsid w:val="00F82E2E"/>
    <w:rsid w:val="00F934F2"/>
    <w:rsid w:val="00FB2740"/>
    <w:rsid w:val="00FE6012"/>
    <w:rsid w:val="00FE6C50"/>
    <w:rsid w:val="00FF4437"/>
    <w:rsid w:val="00FF548F"/>
    <w:rsid w:val="01935C0E"/>
    <w:rsid w:val="021659D7"/>
    <w:rsid w:val="06DE4E6F"/>
    <w:rsid w:val="0D054FC0"/>
    <w:rsid w:val="0ECF9C51"/>
    <w:rsid w:val="12DE7F24"/>
    <w:rsid w:val="12DF3893"/>
    <w:rsid w:val="141D612B"/>
    <w:rsid w:val="15A678DB"/>
    <w:rsid w:val="17440BDE"/>
    <w:rsid w:val="19431870"/>
    <w:rsid w:val="1BC03DA2"/>
    <w:rsid w:val="1CEF02D7"/>
    <w:rsid w:val="21884F0C"/>
    <w:rsid w:val="21C15424"/>
    <w:rsid w:val="21C91CCD"/>
    <w:rsid w:val="224E7205"/>
    <w:rsid w:val="244C3795"/>
    <w:rsid w:val="25227726"/>
    <w:rsid w:val="25BE3B43"/>
    <w:rsid w:val="270F3B71"/>
    <w:rsid w:val="27AE437F"/>
    <w:rsid w:val="288A0F97"/>
    <w:rsid w:val="29A02003"/>
    <w:rsid w:val="2A0061D5"/>
    <w:rsid w:val="2BC2163A"/>
    <w:rsid w:val="2D506494"/>
    <w:rsid w:val="2F2B04F2"/>
    <w:rsid w:val="32D22A86"/>
    <w:rsid w:val="37173543"/>
    <w:rsid w:val="3DCA1A31"/>
    <w:rsid w:val="3EA673AF"/>
    <w:rsid w:val="3FF76880"/>
    <w:rsid w:val="40153FD6"/>
    <w:rsid w:val="44516613"/>
    <w:rsid w:val="455E66F2"/>
    <w:rsid w:val="48054931"/>
    <w:rsid w:val="493D0677"/>
    <w:rsid w:val="4A4D4ADD"/>
    <w:rsid w:val="4D0860A6"/>
    <w:rsid w:val="508605D9"/>
    <w:rsid w:val="52B551A5"/>
    <w:rsid w:val="53C40EB4"/>
    <w:rsid w:val="53D678A9"/>
    <w:rsid w:val="578515EA"/>
    <w:rsid w:val="592225E0"/>
    <w:rsid w:val="5A0F49D2"/>
    <w:rsid w:val="5A8A5B64"/>
    <w:rsid w:val="5AD63A96"/>
    <w:rsid w:val="5B182ACC"/>
    <w:rsid w:val="5BCE0160"/>
    <w:rsid w:val="5F2D5ACA"/>
    <w:rsid w:val="641A130C"/>
    <w:rsid w:val="67B049C9"/>
    <w:rsid w:val="693B07B3"/>
    <w:rsid w:val="69886D8E"/>
    <w:rsid w:val="6B4153D3"/>
    <w:rsid w:val="6B4D7205"/>
    <w:rsid w:val="6B6E1ADD"/>
    <w:rsid w:val="7031652E"/>
    <w:rsid w:val="70CC3689"/>
    <w:rsid w:val="73240899"/>
    <w:rsid w:val="75216649"/>
    <w:rsid w:val="76731E07"/>
    <w:rsid w:val="772D3036"/>
    <w:rsid w:val="77DC7115"/>
    <w:rsid w:val="78DC3CAB"/>
    <w:rsid w:val="7AB7FF50"/>
    <w:rsid w:val="7BFEB0DB"/>
    <w:rsid w:val="7D731CBD"/>
    <w:rsid w:val="7D8A7782"/>
    <w:rsid w:val="7EE12265"/>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qFormat="1" w:unhideWhenUsed="0" w:uiPriority="0" w:semiHidden="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0"/>
    <w:pPr>
      <w:jc w:val="left"/>
    </w:pPr>
  </w:style>
  <w:style w:type="paragraph" w:styleId="4">
    <w:name w:val="Body Text"/>
    <w:basedOn w:val="1"/>
    <w:next w:val="5"/>
    <w:unhideWhenUsed/>
    <w:qFormat/>
    <w:uiPriority w:val="99"/>
    <w:pPr>
      <w:jc w:val="center"/>
    </w:pPr>
    <w:rPr>
      <w:rFonts w:ascii="宋体"/>
      <w:b/>
      <w:sz w:val="44"/>
    </w:rPr>
  </w:style>
  <w:style w:type="paragraph" w:styleId="5">
    <w:name w:val="toc 5"/>
    <w:basedOn w:val="1"/>
    <w:next w:val="1"/>
    <w:qFormat/>
    <w:uiPriority w:val="0"/>
    <w:pPr>
      <w:ind w:left="1680" w:leftChars="800"/>
    </w:pPr>
    <w:rPr>
      <w:rFonts w:ascii="Calibri" w:hAnsi="Calibri"/>
    </w:rPr>
  </w:style>
  <w:style w:type="paragraph" w:styleId="6">
    <w:name w:val="Body Text Indent"/>
    <w:basedOn w:val="1"/>
    <w:next w:val="4"/>
    <w:link w:val="21"/>
    <w:semiHidden/>
    <w:unhideWhenUsed/>
    <w:qFormat/>
    <w:uiPriority w:val="0"/>
    <w:pPr>
      <w:spacing w:after="120"/>
      <w:ind w:left="420" w:leftChars="200"/>
    </w:pPr>
  </w:style>
  <w:style w:type="paragraph" w:styleId="7">
    <w:name w:val="Date"/>
    <w:basedOn w:val="1"/>
    <w:next w:val="1"/>
    <w:link w:val="23"/>
    <w:semiHidden/>
    <w:unhideWhenUsed/>
    <w:qFormat/>
    <w:uiPriority w:val="0"/>
    <w:pPr>
      <w:ind w:left="100" w:leftChars="2500"/>
    </w:pPr>
  </w:style>
  <w:style w:type="paragraph" w:styleId="8">
    <w:name w:val="footer"/>
    <w:basedOn w:val="1"/>
    <w:link w:val="24"/>
    <w:qFormat/>
    <w:uiPriority w:val="99"/>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pPr>
      <w:spacing w:after="160" w:line="278" w:lineRule="auto"/>
    </w:pPr>
  </w:style>
  <w:style w:type="paragraph" w:styleId="11">
    <w:name w:val="toc 2"/>
    <w:basedOn w:val="1"/>
    <w:next w:val="1"/>
    <w:qFormat/>
    <w:uiPriority w:val="39"/>
    <w:pPr>
      <w:spacing w:after="160" w:line="278" w:lineRule="auto"/>
      <w:ind w:left="420" w:leftChars="200"/>
    </w:pPr>
  </w:style>
  <w:style w:type="paragraph" w:styleId="12">
    <w:name w:val="Body Text First Indent 2"/>
    <w:basedOn w:val="6"/>
    <w:next w:val="1"/>
    <w:link w:val="22"/>
    <w:qFormat/>
    <w:uiPriority w:val="99"/>
    <w:pPr>
      <w:spacing w:after="360" w:line="278" w:lineRule="auto"/>
      <w:ind w:left="0" w:leftChars="0" w:firstLine="420" w:firstLineChars="200"/>
    </w:pPr>
    <w:rPr>
      <w:rFonts w:eastAsia="仿宋_GB2312"/>
      <w:kern w:val="1"/>
      <w:sz w:val="32"/>
      <w:szCs w:val="20"/>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page number"/>
    <w:basedOn w:val="15"/>
    <w:qFormat/>
    <w:uiPriority w:val="0"/>
  </w:style>
  <w:style w:type="character" w:styleId="17">
    <w:name w:val="Hyperlink"/>
    <w:unhideWhenUsed/>
    <w:qFormat/>
    <w:uiPriority w:val="99"/>
    <w:rPr>
      <w:color w:val="0000FF"/>
      <w:u w:val="single"/>
    </w:rPr>
  </w:style>
  <w:style w:type="character" w:styleId="18">
    <w:name w:val="annotation reference"/>
    <w:basedOn w:val="15"/>
    <w:semiHidden/>
    <w:unhideWhenUsed/>
    <w:qFormat/>
    <w:uiPriority w:val="0"/>
    <w:rPr>
      <w:sz w:val="21"/>
      <w:szCs w:val="21"/>
    </w:rPr>
  </w:style>
  <w:style w:type="paragraph" w:customStyle="1" w:styleId="19">
    <w:name w:val="列出段落1"/>
    <w:basedOn w:val="1"/>
    <w:qFormat/>
    <w:uiPriority w:val="34"/>
    <w:pPr>
      <w:ind w:firstLine="420" w:firstLineChars="200"/>
    </w:pPr>
    <w:rPr>
      <w:rFonts w:ascii="Calibri" w:hAnsi="Calibri" w:cs="黑体"/>
      <w:szCs w:val="22"/>
    </w:rPr>
  </w:style>
  <w:style w:type="paragraph" w:customStyle="1" w:styleId="20">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1">
    <w:name w:val="正文文本缩进 字符"/>
    <w:basedOn w:val="15"/>
    <w:link w:val="6"/>
    <w:semiHidden/>
    <w:qFormat/>
    <w:uiPriority w:val="0"/>
    <w:rPr>
      <w:kern w:val="2"/>
      <w:sz w:val="21"/>
      <w:szCs w:val="24"/>
    </w:rPr>
  </w:style>
  <w:style w:type="character" w:customStyle="1" w:styleId="22">
    <w:name w:val="正文文本首行缩进 2 字符"/>
    <w:basedOn w:val="21"/>
    <w:link w:val="12"/>
    <w:qFormat/>
    <w:uiPriority w:val="99"/>
    <w:rPr>
      <w:rFonts w:eastAsia="仿宋_GB2312"/>
      <w:kern w:val="1"/>
      <w:sz w:val="32"/>
      <w:szCs w:val="24"/>
    </w:rPr>
  </w:style>
  <w:style w:type="character" w:customStyle="1" w:styleId="23">
    <w:name w:val="日期 字符"/>
    <w:basedOn w:val="15"/>
    <w:link w:val="7"/>
    <w:semiHidden/>
    <w:qFormat/>
    <w:uiPriority w:val="0"/>
    <w:rPr>
      <w:kern w:val="2"/>
      <w:sz w:val="21"/>
      <w:szCs w:val="24"/>
    </w:rPr>
  </w:style>
  <w:style w:type="character" w:customStyle="1" w:styleId="24">
    <w:name w:val="页脚 字符"/>
    <w:basedOn w:val="15"/>
    <w:link w:val="8"/>
    <w:qFormat/>
    <w:uiPriority w:val="99"/>
    <w:rPr>
      <w:kern w:val="2"/>
      <w:sz w:val="18"/>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33A91-A1ED-41E5-84CF-CD06C4720592}">
  <ds:schemaRefs/>
</ds:datastoreItem>
</file>

<file path=docProps/app.xml><?xml version="1.0" encoding="utf-8"?>
<Properties xmlns="http://schemas.openxmlformats.org/officeDocument/2006/extended-properties" xmlns:vt="http://schemas.openxmlformats.org/officeDocument/2006/docPropsVTypes">
  <Template>Normal</Template>
  <Pages>14</Pages>
  <Words>271</Words>
  <Characters>287</Characters>
  <Lines>53</Lines>
  <Paragraphs>15</Paragraphs>
  <TotalTime>0</TotalTime>
  <ScaleCrop>false</ScaleCrop>
  <LinksUpToDate>false</LinksUpToDate>
  <CharactersWithSpaces>379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2025-04-05T01:59:00Z</dcterms:created>
  <dc:creator>user</dc:creator>
  <cp:lastModifiedBy>瓜伦希尔德</cp:lastModifiedBy>
  <cp:lastPrinted>2025-08-22T06:25:00Z</cp:lastPrinted>
  <dcterms:modified xsi:type="dcterms:W3CDTF">2025-08-27T03:57:10Z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ADE19241288D4ECCB0D87C426DB6DADB_13</vt:lpwstr>
  </property>
  <property fmtid="{D5CDD505-2E9C-101B-9397-08002B2CF9AE}" pid="4" name="KSOTemplateDocerSaveRecord">
    <vt:lpwstr>eyJoZGlkIjoiMjJjNzdlNDMwMmQ2YTIyZDc0MjY1ZWE5MWJiMzIwOTAiLCJ1c2VySWQiOiI5OTIwNDY0MjAifQ==</vt:lpwstr>
  </property>
</Properties>
</file>