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黑体" w:eastAsia="黑体"/>
          <w:sz w:val="28"/>
          <w:szCs w:val="28"/>
        </w:rPr>
      </w:pPr>
      <w:r>
        <w:rPr>
          <w:rFonts w:hint="eastAsia" w:ascii="黑体" w:eastAsia="黑体"/>
          <w:sz w:val="36"/>
          <w:szCs w:val="28"/>
        </w:rPr>
        <w:t>北京市房山区人民法院部门整体绩效评价报告</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rPr>
        <w:t>一、</w:t>
      </w:r>
      <w:r>
        <w:rPr>
          <w:rFonts w:hint="eastAsia" w:ascii="仿宋_GB2312" w:hAnsi="仿宋_GB2312" w:eastAsia="仿宋_GB2312" w:cs="仿宋_GB2312"/>
          <w:color w:val="000000"/>
          <w:kern w:val="0"/>
          <w:sz w:val="28"/>
          <w:szCs w:val="28"/>
        </w:rPr>
        <w:t>部门概况</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（一）机构设置及职责工作任务情况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机构设置：</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房山区人民法院本级单位共设18个内设机构，分别为：立案庭（诉讼服务中心）、刑事审判庭、民事审判一庭、民事审判二庭（金融审判庭、破产审判庭）、民事审判三庭（少年家事庭）、行政审判庭（环境保护审判庭）、综合审判庭、执行局、审判管理办公室、政治部（机关党委、机关纪委）、综合办公室、司法警察大队、长阳人民法庭、城关人民法庭、长沟人民法庭、窦店人民法庭、河北人民法庭、燕山人民法庭；北京市房山区人民法院综合事务中心为我院所属事业单位。</w:t>
      </w:r>
    </w:p>
    <w:p>
      <w:pPr>
        <w:tabs>
          <w:tab w:val="center" w:pos="6979"/>
        </w:tabs>
        <w:spacing w:line="580" w:lineRule="exact"/>
        <w:ind w:firstLine="570"/>
        <w:rPr>
          <w:rFonts w:ascii="仿宋_GB2312" w:eastAsia="仿宋_GB2312"/>
          <w:sz w:val="28"/>
          <w:szCs w:val="28"/>
        </w:rPr>
      </w:pPr>
      <w:r>
        <w:rPr>
          <w:rFonts w:hint="eastAsia" w:ascii="仿宋_GB2312" w:hAnsi="仿宋_GB2312" w:eastAsia="仿宋_GB2312" w:cs="仿宋_GB2312"/>
          <w:sz w:val="28"/>
          <w:szCs w:val="28"/>
        </w:rPr>
        <w:t>职责工作任务情况</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北京市房山区人民法院本级单位作为国家审判机关，在本区内依法独立行使审判权。审判工作受北京市高级人民法院、北京市第二中级人民法院的监督、指导，并对房山区人民代表大会及其常务委员会负责和报告工作。其主要职责是：</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w:t>
      </w:r>
      <w:r>
        <w:rPr>
          <w:rFonts w:hint="eastAsia" w:ascii="仿宋_GB2312" w:eastAsia="仿宋_GB2312"/>
          <w:sz w:val="28"/>
          <w:szCs w:val="28"/>
        </w:rPr>
        <w:t>依照法律规定，审判本辖区由房山区人民法院管辖的一审刑事、民事行政案件。</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w:t>
      </w:r>
      <w:r>
        <w:rPr>
          <w:rFonts w:ascii="仿宋_GB2312" w:eastAsia="仿宋_GB2312"/>
          <w:sz w:val="28"/>
          <w:szCs w:val="28"/>
        </w:rPr>
        <w:t>.</w:t>
      </w:r>
      <w:r>
        <w:rPr>
          <w:rFonts w:hint="eastAsia" w:ascii="仿宋_GB2312" w:eastAsia="仿宋_GB2312"/>
          <w:sz w:val="28"/>
          <w:szCs w:val="28"/>
        </w:rPr>
        <w:t>受理和审查各类告诉、申诉案件，处理来信来访；对其中确有错误的已发生法律效力的判决、裁定根据审判监督程序进行再审。</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w:t>
      </w:r>
      <w:r>
        <w:rPr>
          <w:rFonts w:hint="eastAsia" w:ascii="仿宋_GB2312" w:eastAsia="仿宋_GB2312"/>
          <w:sz w:val="28"/>
          <w:szCs w:val="28"/>
        </w:rPr>
        <w:t>依法行使司法执行权和司法决定权。</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针对案件审理中发现的问题提出司法建议。</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按照干部管理权限管理本院的法官、执行员、书记员、司法警察和司法行政人员。</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w:t>
      </w:r>
      <w:r>
        <w:rPr>
          <w:rFonts w:hint="eastAsia" w:ascii="仿宋_GB2312" w:eastAsia="仿宋_GB2312"/>
          <w:sz w:val="28"/>
          <w:szCs w:val="28"/>
        </w:rPr>
        <w:t>负责本院党的思想、组织、作风建设工作；领导本院群团工作。</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7</w:t>
      </w:r>
      <w:r>
        <w:rPr>
          <w:rFonts w:ascii="仿宋_GB2312" w:eastAsia="仿宋_GB2312"/>
          <w:sz w:val="28"/>
          <w:szCs w:val="28"/>
        </w:rPr>
        <w:t>.</w:t>
      </w:r>
      <w:r>
        <w:rPr>
          <w:rFonts w:hint="eastAsia" w:ascii="仿宋_GB2312" w:eastAsia="仿宋_GB2312"/>
          <w:sz w:val="28"/>
          <w:szCs w:val="28"/>
        </w:rPr>
        <w:t>负责本院的监察工作。按照管理权限监督、检查本院工作人员执行国家法律、法规、政策及行政纪律情况。</w:t>
      </w:r>
    </w:p>
    <w:p>
      <w:pPr>
        <w:pStyle w:val="2"/>
        <w:ind w:firstLine="560"/>
      </w:pPr>
      <w:r>
        <w:rPr>
          <w:rFonts w:hint="eastAsia" w:ascii="仿宋_GB2312" w:eastAsia="仿宋_GB2312"/>
          <w:sz w:val="28"/>
          <w:szCs w:val="28"/>
        </w:rPr>
        <w:t>8</w:t>
      </w:r>
      <w:r>
        <w:rPr>
          <w:rFonts w:ascii="仿宋_GB2312" w:eastAsia="仿宋_GB2312"/>
          <w:sz w:val="28"/>
          <w:szCs w:val="28"/>
        </w:rPr>
        <w:t>.</w:t>
      </w:r>
      <w:r>
        <w:rPr>
          <w:rFonts w:hint="eastAsia" w:ascii="仿宋_GB2312" w:eastAsia="仿宋_GB2312"/>
          <w:sz w:val="28"/>
          <w:szCs w:val="28"/>
        </w:rPr>
        <w:t>承办其他应由本院负责的工作。</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（二）部门整体绩效目标设立情况</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产出数量指标：</w:t>
      </w:r>
    </w:p>
    <w:p>
      <w:pPr>
        <w:tabs>
          <w:tab w:val="center" w:pos="6979"/>
        </w:tabs>
        <w:spacing w:line="580" w:lineRule="exact"/>
        <w:ind w:firstLine="705" w:firstLineChars="252"/>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依法履行审判职能</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全年结案数、法官人均结案数、全员人均结案数均不低于目标值，未结案数不超过</w:t>
      </w:r>
      <w:r>
        <w:rPr>
          <w:rFonts w:ascii="仿宋_GB2312" w:eastAsia="仿宋_GB2312"/>
          <w:sz w:val="28"/>
          <w:szCs w:val="28"/>
        </w:rPr>
        <w:t>13%</w:t>
      </w:r>
      <w:r>
        <w:rPr>
          <w:rFonts w:hint="eastAsia" w:ascii="仿宋_GB2312" w:eastAsia="仿宋_GB2312"/>
          <w:sz w:val="28"/>
          <w:szCs w:val="28"/>
        </w:rPr>
        <w:t>；</w:t>
      </w:r>
    </w:p>
    <w:p>
      <w:pPr>
        <w:tabs>
          <w:tab w:val="center" w:pos="6979"/>
        </w:tabs>
        <w:spacing w:line="580" w:lineRule="exact"/>
        <w:ind w:firstLine="705" w:firstLineChars="252"/>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建立专业化审判格局，提升专业化审判水平</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）未成年人审判专业化：提升专业化审判水平；加强普法教育，整合青少年维权和普法资源；</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2</w:t>
      </w:r>
      <w:r>
        <w:rPr>
          <w:rFonts w:hint="eastAsia" w:ascii="仿宋_GB2312" w:eastAsia="仿宋_GB2312"/>
          <w:sz w:val="28"/>
          <w:szCs w:val="28"/>
        </w:rPr>
        <w:t>）知识产权审判专业化：制定知识产权各类型案件审理规范；组建专家陪审团，建立知识产权审判信息通报制度，开展普法宣传，提升辖区知识产权保护水平；</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3</w:t>
      </w:r>
      <w:r>
        <w:rPr>
          <w:rFonts w:hint="eastAsia" w:ascii="仿宋_GB2312" w:eastAsia="仿宋_GB2312"/>
          <w:sz w:val="28"/>
          <w:szCs w:val="28"/>
        </w:rPr>
        <w:t>）家事审判专业化：创新家事审判理念和机制，积极参加家事审判研讨活动；与区妇联合作加强妇女儿童权益保护；加强对家事案件中弱势成员的保护力度；</w:t>
      </w:r>
    </w:p>
    <w:p>
      <w:pPr>
        <w:tabs>
          <w:tab w:val="center" w:pos="6979"/>
        </w:tabs>
        <w:spacing w:line="580" w:lineRule="exact"/>
        <w:ind w:firstLine="705" w:firstLineChars="252"/>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加强司法便民综合系统建设</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）完善纠纷多元化解决机制：因地制宜设立巡回法官、驻村法官、社区法官等多种形式，扩大巡回审判范围；深化“人民调解进法庭”工作，加大诉前调解、化解工作力度；</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2</w:t>
      </w:r>
      <w:r>
        <w:rPr>
          <w:rFonts w:hint="eastAsia" w:ascii="仿宋_GB2312" w:eastAsia="仿宋_GB2312"/>
          <w:sz w:val="28"/>
          <w:szCs w:val="28"/>
        </w:rPr>
        <w:t>）深化司法公开工作：规范裁判文书上网、审判流程及执行信息发布工作，加强裁判文书公开、审判流程公开、执行信息公开“三大平台”管理应用，确保当事人知情权；</w:t>
      </w:r>
    </w:p>
    <w:p>
      <w:pPr>
        <w:tabs>
          <w:tab w:val="center" w:pos="6979"/>
        </w:tabs>
        <w:spacing w:line="580" w:lineRule="exact"/>
        <w:ind w:firstLine="705" w:firstLineChars="252"/>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加强信息化建设</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1</w:t>
      </w:r>
      <w:r>
        <w:rPr>
          <w:rFonts w:hint="eastAsia" w:ascii="仿宋_GB2312" w:eastAsia="仿宋_GB2312"/>
          <w:sz w:val="28"/>
          <w:szCs w:val="28"/>
        </w:rPr>
        <w:t>）完成院机关及派出法庭安检设备更新；</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）实现院机关及派出法庭的网络升级；</w:t>
      </w:r>
    </w:p>
    <w:p>
      <w:pPr>
        <w:tabs>
          <w:tab w:val="center" w:pos="6979"/>
        </w:tabs>
        <w:spacing w:line="580" w:lineRule="exact"/>
        <w:ind w:firstLine="705" w:firstLineChars="252"/>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延伸司法职能，服务发展大局</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（1）完善服务大局工作机制，加强与区专项活动及重点工程项目的分层对接，服务区域建设发展大局；</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2</w:t>
      </w:r>
      <w:r>
        <w:rPr>
          <w:rFonts w:hint="eastAsia" w:ascii="仿宋_GB2312" w:eastAsia="仿宋_GB2312"/>
          <w:sz w:val="28"/>
          <w:szCs w:val="28"/>
        </w:rPr>
        <w:t>）探索“全媒体”新闻宣传模式，加强与区域媒体的合作，拓展自媒体宣传平台，定期召开新闻发布会，提升区域法治宣传效果</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产出质量指标：</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强化审判质量，审判质量综合指标不低于全市平均值；</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产出进度指标：力争年内完成；</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产出成本指标：成本控制在</w:t>
      </w:r>
      <w:r>
        <w:rPr>
          <w:rFonts w:hint="eastAsia" w:ascii="仿宋_GB2312" w:eastAsia="仿宋_GB2312"/>
          <w:sz w:val="28"/>
          <w:szCs w:val="28"/>
          <w:lang w:val="en-US" w:eastAsia="zh-CN"/>
        </w:rPr>
        <w:t>24580.99</w:t>
      </w:r>
      <w:r>
        <w:rPr>
          <w:rFonts w:hint="eastAsia" w:ascii="仿宋_GB2312" w:eastAsia="仿宋_GB2312"/>
          <w:sz w:val="28"/>
          <w:szCs w:val="28"/>
        </w:rPr>
        <w:t>万元内；</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经济效益指标：不涉及；</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社会效益指标：</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（1）积极发挥司法审判工作在社会综合治理方面的积极作用，维护辖区社会安全稳定；</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（2）积极</w:t>
      </w:r>
      <w:r>
        <w:rPr>
          <w:rFonts w:ascii="仿宋_GB2312" w:eastAsia="仿宋_GB2312"/>
          <w:sz w:val="28"/>
          <w:szCs w:val="28"/>
        </w:rPr>
        <w:t>培育和践行社会主义核心价值观，充分发挥司法的教育、评价、指引和示范功能</w:t>
      </w:r>
      <w:r>
        <w:rPr>
          <w:rFonts w:hint="eastAsia" w:ascii="仿宋_GB2312" w:eastAsia="仿宋_GB2312"/>
          <w:sz w:val="28"/>
          <w:szCs w:val="28"/>
        </w:rPr>
        <w:t>；</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（3）坚持司法为民，</w:t>
      </w:r>
      <w:r>
        <w:rPr>
          <w:rFonts w:ascii="仿宋_GB2312" w:eastAsia="仿宋_GB2312"/>
          <w:sz w:val="28"/>
          <w:szCs w:val="28"/>
        </w:rPr>
        <w:t>保护民生权益</w:t>
      </w:r>
      <w:r>
        <w:rPr>
          <w:rFonts w:hint="eastAsia" w:ascii="仿宋_GB2312" w:eastAsia="仿宋_GB2312"/>
          <w:sz w:val="28"/>
          <w:szCs w:val="28"/>
        </w:rPr>
        <w:t>，努力满足人民群众多元司法需求；</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（4）在司法改革中</w:t>
      </w:r>
      <w:r>
        <w:rPr>
          <w:rFonts w:ascii="仿宋_GB2312" w:eastAsia="仿宋_GB2312"/>
          <w:sz w:val="28"/>
          <w:szCs w:val="28"/>
        </w:rPr>
        <w:t>坚持问题导向，着力破解难题，让人民群众有更多获得感</w:t>
      </w:r>
      <w:r>
        <w:rPr>
          <w:rFonts w:hint="eastAsia" w:ascii="仿宋_GB2312" w:eastAsia="仿宋_GB2312"/>
          <w:sz w:val="28"/>
          <w:szCs w:val="28"/>
        </w:rPr>
        <w:t>；</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环境效益指标：推进环境资源审判专门机构建设，促进绿色发展，助力打好蓝天碧水净土保卫战。</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可持续影响指标：秉承大局导向，围绕开展新一轮疏解整治促提升专项行动、精准有效的司法服务保障。积极为辖区重大项目开展提供司法保障。把解民忧贯穿审执工作始终，争创“为群众办实事示范法院”。加强未成年人司法保护，保障“双减”政策落实。打造智能化辅助设施，实现“智慧法院”建设成果真正为民所用。</w:t>
      </w:r>
    </w:p>
    <w:p>
      <w:pPr>
        <w:tabs>
          <w:tab w:val="center" w:pos="6979"/>
        </w:tabs>
        <w:spacing w:line="580" w:lineRule="exact"/>
        <w:ind w:firstLine="705" w:firstLineChars="252"/>
        <w:rPr>
          <w:rFonts w:ascii="仿宋_GB2312" w:eastAsia="仿宋_GB2312"/>
          <w:sz w:val="28"/>
          <w:szCs w:val="28"/>
        </w:rPr>
      </w:pPr>
      <w:r>
        <w:rPr>
          <w:rFonts w:hint="eastAsia" w:ascii="仿宋_GB2312" w:eastAsia="仿宋_GB2312"/>
          <w:sz w:val="28"/>
          <w:szCs w:val="28"/>
        </w:rPr>
        <w:t>服务对象满意度指标：以群众法治需求为导向，全面落实“谁执法谁普法”普法责任制，不断加大司法公开力度。把握群众需求精准普法，自觉接受群众监督。</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二、当年预算执行情况</w:t>
      </w:r>
    </w:p>
    <w:p>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年全年预算数</w:t>
      </w:r>
      <w:r>
        <w:rPr>
          <w:rFonts w:hint="eastAsia" w:ascii="仿宋_GB2312" w:hAnsi="仿宋_GB2312" w:eastAsia="仿宋_GB2312" w:cs="仿宋_GB2312"/>
          <w:kern w:val="0"/>
          <w:sz w:val="28"/>
          <w:szCs w:val="28"/>
          <w:lang w:val="en-US" w:eastAsia="zh-CN"/>
        </w:rPr>
        <w:t>24580.99</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color w:val="000000"/>
          <w:kern w:val="0"/>
          <w:sz w:val="28"/>
          <w:szCs w:val="28"/>
          <w:lang w:val="en-US" w:eastAsia="zh-CN"/>
        </w:rPr>
        <w:t>20163.73</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color w:val="000000"/>
          <w:kern w:val="0"/>
          <w:sz w:val="28"/>
          <w:szCs w:val="28"/>
          <w:lang w:val="en-US" w:eastAsia="zh-CN"/>
        </w:rPr>
        <w:t>4417.26</w:t>
      </w:r>
      <w:r>
        <w:rPr>
          <w:rFonts w:hint="eastAsia" w:ascii="仿宋_GB2312" w:hAnsi="仿宋_GB2312" w:eastAsia="仿宋_GB2312" w:cs="仿宋_GB2312"/>
          <w:color w:val="000000"/>
          <w:kern w:val="0"/>
          <w:sz w:val="28"/>
          <w:szCs w:val="28"/>
        </w:rPr>
        <w:t>万元，其他支出预算数0万元。资金总体支出</w:t>
      </w:r>
      <w:r>
        <w:rPr>
          <w:rFonts w:hint="eastAsia" w:ascii="仿宋_GB2312" w:hAnsi="仿宋_GB2312" w:eastAsia="仿宋_GB2312" w:cs="仿宋_GB2312"/>
          <w:kern w:val="0"/>
          <w:sz w:val="28"/>
          <w:szCs w:val="28"/>
          <w:lang w:val="en-US" w:eastAsia="zh-CN"/>
        </w:rPr>
        <w:t>24200.78</w:t>
      </w:r>
      <w:r>
        <w:rPr>
          <w:rFonts w:hint="eastAsia" w:ascii="仿宋_GB2312" w:hAnsi="仿宋_GB2312" w:eastAsia="仿宋_GB2312" w:cs="仿宋_GB2312"/>
          <w:color w:val="000000"/>
          <w:kern w:val="0"/>
          <w:sz w:val="28"/>
          <w:szCs w:val="28"/>
        </w:rPr>
        <w:t>万元, 基本支出</w:t>
      </w:r>
      <w:r>
        <w:rPr>
          <w:rFonts w:hint="eastAsia" w:ascii="仿宋_GB2312" w:hAnsi="仿宋_GB2312" w:eastAsia="仿宋_GB2312" w:cs="仿宋_GB2312"/>
          <w:color w:val="000000"/>
          <w:kern w:val="0"/>
          <w:sz w:val="28"/>
          <w:szCs w:val="28"/>
          <w:lang w:val="en-US" w:eastAsia="zh-CN"/>
        </w:rPr>
        <w:t>20007.06</w:t>
      </w:r>
      <w:r>
        <w:rPr>
          <w:rFonts w:hint="eastAsia" w:ascii="仿宋_GB2312" w:hAnsi="仿宋_GB2312" w:eastAsia="仿宋_GB2312" w:cs="仿宋_GB2312"/>
          <w:color w:val="000000"/>
          <w:kern w:val="0"/>
          <w:sz w:val="28"/>
          <w:szCs w:val="28"/>
        </w:rPr>
        <w:t>万元，项目支出</w:t>
      </w:r>
      <w:r>
        <w:rPr>
          <w:rFonts w:hint="eastAsia" w:ascii="仿宋_GB2312" w:hAnsi="仿宋_GB2312" w:eastAsia="仿宋_GB2312" w:cs="仿宋_GB2312"/>
          <w:color w:val="000000"/>
          <w:kern w:val="0"/>
          <w:sz w:val="28"/>
          <w:szCs w:val="28"/>
          <w:lang w:val="en-US" w:eastAsia="zh-CN"/>
        </w:rPr>
        <w:t>4193.72</w:t>
      </w:r>
      <w:r>
        <w:rPr>
          <w:rFonts w:hint="eastAsia" w:ascii="仿宋_GB2312" w:hAnsi="仿宋_GB2312" w:eastAsia="仿宋_GB2312" w:cs="仿宋_GB2312"/>
          <w:color w:val="000000"/>
          <w:kern w:val="0"/>
          <w:sz w:val="28"/>
          <w:szCs w:val="28"/>
        </w:rPr>
        <w:t>万元，其他支出预算数0万元。预算执行率为</w:t>
      </w:r>
      <w:r>
        <w:rPr>
          <w:rFonts w:hint="eastAsia" w:ascii="仿宋_GB2312" w:hAnsi="仿宋_GB2312" w:eastAsia="仿宋_GB2312" w:cs="仿宋_GB2312"/>
          <w:kern w:val="0"/>
          <w:sz w:val="28"/>
          <w:szCs w:val="28"/>
        </w:rPr>
        <w:t>98.</w:t>
      </w:r>
      <w:r>
        <w:rPr>
          <w:rFonts w:hint="eastAsia" w:ascii="仿宋_GB2312" w:hAnsi="仿宋_GB2312" w:eastAsia="仿宋_GB2312" w:cs="仿宋_GB2312"/>
          <w:kern w:val="0"/>
          <w:sz w:val="28"/>
          <w:szCs w:val="28"/>
          <w:lang w:val="en-US" w:eastAsia="zh-CN"/>
        </w:rPr>
        <w:t>45</w:t>
      </w:r>
      <w:r>
        <w:rPr>
          <w:rFonts w:hint="eastAsia" w:ascii="仿宋_GB2312" w:hAnsi="仿宋_GB2312" w:eastAsia="仿宋_GB2312" w:cs="仿宋_GB2312"/>
          <w:kern w:val="0"/>
          <w:sz w:val="28"/>
          <w:szCs w:val="28"/>
        </w:rPr>
        <w:t>%</w:t>
      </w:r>
      <w:r>
        <w:rPr>
          <w:rFonts w:hint="eastAsia" w:ascii="仿宋_GB2312" w:hAnsi="仿宋_GB2312" w:eastAsia="仿宋_GB2312" w:cs="仿宋_GB2312"/>
          <w:color w:val="000000"/>
          <w:kern w:val="0"/>
          <w:sz w:val="28"/>
          <w:szCs w:val="28"/>
        </w:rPr>
        <w:t>。</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（一）产出完成情况分析</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产出数量</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（1）依法履行审判职能：落实</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开放、动态、透明、便民</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的阳光司法机制，深化审判流程公开、执行信息公开、裁判文书上网、庭审网络直播</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四大平台</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应用，截止202</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年12月31日，我院新收案件</w:t>
      </w:r>
      <w:r>
        <w:rPr>
          <w:rFonts w:hint="eastAsia" w:ascii="仿宋_GB2312" w:hAnsi="仿宋_GB2312" w:eastAsia="仿宋_GB2312" w:cs="仿宋_GB2312"/>
          <w:color w:val="000000"/>
          <w:kern w:val="0"/>
          <w:sz w:val="28"/>
          <w:szCs w:val="28"/>
          <w:lang w:val="en-US" w:eastAsia="zh-CN"/>
        </w:rPr>
        <w:t>53323</w:t>
      </w:r>
      <w:r>
        <w:rPr>
          <w:rFonts w:hint="eastAsia" w:ascii="仿宋_GB2312" w:hAnsi="仿宋_GB2312" w:eastAsia="仿宋_GB2312" w:cs="仿宋_GB2312"/>
          <w:color w:val="000000"/>
          <w:kern w:val="0"/>
          <w:sz w:val="28"/>
          <w:szCs w:val="28"/>
        </w:rPr>
        <w:t>件，审结</w:t>
      </w:r>
      <w:r>
        <w:rPr>
          <w:rFonts w:hint="eastAsia" w:ascii="仿宋_GB2312" w:hAnsi="仿宋_GB2312" w:eastAsia="仿宋_GB2312" w:cs="仿宋_GB2312"/>
          <w:color w:val="000000"/>
          <w:kern w:val="0"/>
          <w:sz w:val="28"/>
          <w:szCs w:val="28"/>
          <w:lang w:val="en-US" w:eastAsia="zh-CN"/>
        </w:rPr>
        <w:t>52756</w:t>
      </w:r>
      <w:r>
        <w:rPr>
          <w:rFonts w:hint="eastAsia" w:ascii="仿宋_GB2312" w:hAnsi="仿宋_GB2312" w:eastAsia="仿宋_GB2312" w:cs="仿宋_GB2312"/>
          <w:color w:val="000000"/>
          <w:kern w:val="0"/>
          <w:sz w:val="28"/>
          <w:szCs w:val="28"/>
        </w:rPr>
        <w:t>件。</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以司法为民为宗旨，</w:t>
      </w:r>
      <w:r>
        <w:rPr>
          <w:rFonts w:hint="eastAsia" w:ascii="仿宋_GB2312" w:hAnsi="仿宋_GB2312" w:eastAsia="仿宋_GB2312" w:cs="仿宋_GB2312"/>
          <w:color w:val="000000"/>
          <w:kern w:val="0"/>
          <w:sz w:val="28"/>
          <w:szCs w:val="28"/>
        </w:rPr>
        <w:t>深度参与</w:t>
      </w:r>
      <w:r>
        <w:rPr>
          <w:rFonts w:ascii="仿宋_GB2312" w:hAnsi="仿宋_GB2312" w:eastAsia="仿宋_GB2312" w:cs="仿宋_GB2312"/>
          <w:color w:val="000000"/>
          <w:kern w:val="0"/>
          <w:sz w:val="28"/>
          <w:szCs w:val="28"/>
        </w:rPr>
        <w:t>市域</w:t>
      </w:r>
      <w:r>
        <w:rPr>
          <w:rFonts w:hint="eastAsia" w:ascii="仿宋_GB2312" w:hAnsi="仿宋_GB2312" w:eastAsia="仿宋_GB2312" w:cs="仿宋_GB2312"/>
          <w:color w:val="000000"/>
          <w:kern w:val="0"/>
          <w:sz w:val="28"/>
          <w:szCs w:val="28"/>
        </w:rPr>
        <w:t>社会</w:t>
      </w:r>
      <w:r>
        <w:rPr>
          <w:rFonts w:ascii="仿宋_GB2312" w:hAnsi="仿宋_GB2312" w:eastAsia="仿宋_GB2312" w:cs="仿宋_GB2312"/>
          <w:color w:val="000000"/>
          <w:kern w:val="0"/>
          <w:sz w:val="28"/>
          <w:szCs w:val="28"/>
        </w:rPr>
        <w:t>治理现代化</w:t>
      </w:r>
      <w:r>
        <w:rPr>
          <w:rFonts w:hint="eastAsia" w:ascii="仿宋_GB2312" w:hAnsi="仿宋_GB2312" w:eastAsia="仿宋_GB2312" w:cs="仿宋_GB2312"/>
          <w:color w:val="000000"/>
          <w:kern w:val="0"/>
          <w:sz w:val="28"/>
          <w:szCs w:val="28"/>
        </w:rPr>
        <w:t>：</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网上预约立案数量（占全部收案数量的比重）为42.28%。打造24小时诉讼材料交转柜、胶囊法庭等七大智能化诉讼辅助设施。</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产出质量</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（1）建立专业化审判格局，提升专业化审判水平，加强司法便民综合系统建设：</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健全诉源治理体系，完善“一站式”多元解纷。提升12368“一号响应”诉源治理工作机制效能</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对接房山区12345“接诉即办”平台。</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（2）加强信息化建设：</w:t>
      </w:r>
    </w:p>
    <w:p>
      <w:pPr>
        <w:pStyle w:val="2"/>
        <w:ind w:firstLine="56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年在线庭审率、民商事案件电子送达裁判文书比均同比大幅提升，在避免人员聚集的同时，降低了当事人的诉讼成本。</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（3）加强法治宣传：</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以群众法治需求为导向，全面落实“谁执法谁普法”普法责任制，不断加大司法公开力度。坚持以案释法主动发声，把握群众需求精准普法。</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产出进度：年内如期完成。</w:t>
      </w:r>
    </w:p>
    <w:p>
      <w:pPr>
        <w:pStyle w:val="2"/>
        <w:ind w:firstLine="560"/>
      </w:pPr>
      <w:r>
        <w:rPr>
          <w:rFonts w:hint="eastAsia" w:ascii="仿宋_GB2312" w:hAnsi="仿宋_GB2312" w:eastAsia="仿宋_GB2312" w:cs="仿宋_GB2312"/>
          <w:color w:val="000000"/>
          <w:kern w:val="0"/>
          <w:sz w:val="28"/>
          <w:szCs w:val="28"/>
        </w:rPr>
        <w:t>4</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产出成本 :按年度预算完成。</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（二）效果实现情况分析</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经济效益：不涉及。</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社会效益：完善“预防为先、非诉挺前、诉讼托底”的解纷体系。加强与区“接诉即办”平台对接，加大非诉化解力度，加强“两中心”实体化运行，完善“一站式”多元解纷体系建设。</w:t>
      </w:r>
    </w:p>
    <w:p>
      <w:pPr>
        <w:spacing w:line="580" w:lineRule="exact"/>
        <w:ind w:left="105" w:leftChars="50" w:firstLine="420" w:firstLineChars="15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环境效益：做好涉“疏整促”专项行动及规自领域、环境污染专项治理等案件审执工作。严厉打击违法倾倒垃圾、破坏生态环境犯罪</w:t>
      </w:r>
      <w:r>
        <w:rPr>
          <w:rFonts w:hint="eastAsia" w:ascii="仿宋_GB2312" w:hAnsi="仿宋_GB2312" w:eastAsia="仿宋_GB2312" w:cs="仿宋_GB2312"/>
          <w:color w:val="000000"/>
          <w:kern w:val="0"/>
          <w:sz w:val="28"/>
          <w:szCs w:val="28"/>
          <w:lang w:eastAsia="zh-CN"/>
        </w:rPr>
        <w:t>。</w:t>
      </w:r>
    </w:p>
    <w:p>
      <w:pPr>
        <w:spacing w:line="580" w:lineRule="exact"/>
        <w:ind w:left="105" w:leftChars="50" w:firstLine="420" w:firstLineChars="15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4</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可持续性影响：主动融入基层社会治理格局，完善“一法庭一品牌”特色机制，构建“三全三化”法官工作站建设体系，推动人民法院调解平台“进乡村、进社区、进网格”</w:t>
      </w:r>
      <w:r>
        <w:rPr>
          <w:rFonts w:hint="eastAsia" w:ascii="仿宋_GB2312" w:hAnsi="仿宋_GB2312" w:eastAsia="仿宋_GB2312" w:cs="仿宋_GB2312"/>
          <w:color w:val="000000"/>
          <w:kern w:val="0"/>
          <w:sz w:val="28"/>
          <w:szCs w:val="28"/>
          <w:lang w:eastAsia="zh-CN"/>
        </w:rPr>
        <w:t>。</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服务对象满意度:及时发现审执工作中不规范现象，立行立改，并举一反三，不断完善相应工作机制。在北京法院满意度评价中排名全市基层法院</w:t>
      </w:r>
      <w:r>
        <w:rPr>
          <w:rFonts w:hint="eastAsia" w:ascii="仿宋_GB2312" w:hAnsi="仿宋_GB2312" w:eastAsia="仿宋_GB2312" w:cs="仿宋_GB2312"/>
          <w:color w:val="000000"/>
          <w:kern w:val="0"/>
          <w:sz w:val="28"/>
          <w:szCs w:val="28"/>
          <w:lang w:eastAsia="zh-CN"/>
        </w:rPr>
        <w:t>前列</w:t>
      </w:r>
      <w:r>
        <w:rPr>
          <w:rFonts w:hint="eastAsia" w:ascii="仿宋_GB2312" w:hAnsi="仿宋_GB2312" w:eastAsia="仿宋_GB2312" w:cs="仿宋_GB2312"/>
          <w:color w:val="000000"/>
          <w:kern w:val="0"/>
          <w:sz w:val="28"/>
          <w:szCs w:val="28"/>
        </w:rPr>
        <w:t>。</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四、预算管理情况分析</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（一）财务管理</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财务管理制度健全性</w:t>
      </w:r>
    </w:p>
    <w:p>
      <w:pPr>
        <w:pStyle w:val="2"/>
        <w:ind w:firstLine="560"/>
      </w:pPr>
      <w:r>
        <w:rPr>
          <w:rFonts w:hint="eastAsia" w:ascii="仿宋_GB2312" w:hAnsi="仿宋_GB2312" w:eastAsia="仿宋_GB2312" w:cs="仿宋_GB2312"/>
          <w:color w:val="000000"/>
          <w:kern w:val="0"/>
          <w:sz w:val="28"/>
          <w:szCs w:val="28"/>
        </w:rPr>
        <w:t>我院制定了《北京市房山区人民法院内部控制手册》及《北京市房山区人民法院管理制度汇编》，制度汇编包括预算内管理制度、收支管理制度、采购管理制度、资产管理制度、合同管理制度等系列合法合规、较为完整的制度并严格遵照执行。</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资金使用合规性和安全性</w:t>
      </w:r>
    </w:p>
    <w:p>
      <w:pPr>
        <w:pStyle w:val="2"/>
        <w:ind w:firstLine="560"/>
      </w:pPr>
      <w:r>
        <w:rPr>
          <w:rFonts w:hint="eastAsia" w:ascii="仿宋_GB2312" w:hAnsi="仿宋_GB2312" w:eastAsia="仿宋_GB2312" w:cs="仿宋_GB2312"/>
          <w:color w:val="000000"/>
          <w:kern w:val="0"/>
          <w:sz w:val="28"/>
          <w:szCs w:val="28"/>
        </w:rPr>
        <w:t>资金的支付符合国家财经法规和财务管理制度规定以及有关专项资金管理办法的规定；资金拨付有完整的审批程序和手续；经费支出符合部门预算批复的用途；资金使用无截留、挪用、虚列支出等情况；资金使用符合政府采购的程序和流程；资金使用符合公务卡结算相关制度和规定。</w:t>
      </w:r>
    </w:p>
    <w:p>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会计基础信息完善性</w:t>
      </w:r>
    </w:p>
    <w:p>
      <w:pPr>
        <w:pStyle w:val="2"/>
        <w:ind w:firstLine="560"/>
      </w:pPr>
      <w:r>
        <w:rPr>
          <w:rFonts w:hint="eastAsia" w:ascii="仿宋_GB2312" w:hAnsi="仿宋_GB2312" w:eastAsia="仿宋_GB2312" w:cs="仿宋_GB2312"/>
          <w:color w:val="000000"/>
          <w:kern w:val="0"/>
          <w:sz w:val="28"/>
          <w:szCs w:val="28"/>
        </w:rPr>
        <w:t>基础数据信息和会计信息资料真实、完整、准确，会计信息与财务账簿、会计凭证相符。</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（二）资产管理</w:t>
      </w:r>
    </w:p>
    <w:p>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区法院制定了固定资产管理制度，财务科负责建立固定资产总账、分类账、明细账，技术科负责建立固定资产卡片，详细记载了固定资产的名称、类别、编号、规格、型号、购置日期、使用部门。</w:t>
      </w:r>
    </w:p>
    <w:p>
      <w:pPr>
        <w:pStyle w:val="2"/>
        <w:ind w:firstLine="560"/>
      </w:pPr>
      <w:r>
        <w:rPr>
          <w:rFonts w:hint="eastAsia" w:ascii="仿宋_GB2312" w:hAnsi="仿宋_GB2312" w:eastAsia="仿宋_GB2312" w:cs="仿宋_GB2312"/>
          <w:color w:val="000000"/>
          <w:kern w:val="0"/>
          <w:sz w:val="28"/>
          <w:szCs w:val="28"/>
        </w:rPr>
        <w:t>由技术科负责固定资产的管理工作，专人负责资产管理系统，办理资产的验收入库、调出、报废、更新等事宜。</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（三）绩效管理</w:t>
      </w:r>
    </w:p>
    <w:p>
      <w:pPr>
        <w:pStyle w:val="2"/>
        <w:ind w:firstLine="560"/>
      </w:pPr>
      <w:r>
        <w:rPr>
          <w:rFonts w:hint="eastAsia" w:ascii="仿宋_GB2312" w:hAnsi="仿宋_GB2312" w:eastAsia="仿宋_GB2312" w:cs="仿宋_GB2312"/>
          <w:color w:val="000000"/>
          <w:kern w:val="0"/>
          <w:sz w:val="28"/>
          <w:szCs w:val="28"/>
        </w:rPr>
        <w:t>本单位共13个项目实施绩效评价，涉及金额</w:t>
      </w:r>
      <w:r>
        <w:rPr>
          <w:rFonts w:hint="eastAsia" w:ascii="仿宋_GB2312" w:hAnsi="仿宋_GB2312" w:eastAsia="仿宋_GB2312" w:cs="仿宋_GB2312"/>
          <w:color w:val="000000"/>
          <w:kern w:val="0"/>
          <w:sz w:val="28"/>
          <w:szCs w:val="28"/>
          <w:lang w:val="en-US" w:eastAsia="zh-CN"/>
        </w:rPr>
        <w:t>4376.25</w:t>
      </w:r>
      <w:r>
        <w:rPr>
          <w:rFonts w:hint="eastAsia" w:ascii="仿宋_GB2312" w:hAnsi="仿宋_GB2312" w:eastAsia="仿宋_GB2312" w:cs="仿宋_GB2312"/>
          <w:color w:val="000000"/>
          <w:kern w:val="0"/>
          <w:sz w:val="28"/>
          <w:szCs w:val="28"/>
        </w:rPr>
        <w:t>万元。及时对绩效信息进行汇总分析整理。</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（四）结转结余率</w:t>
      </w:r>
    </w:p>
    <w:p>
      <w:pPr>
        <w:pStyle w:val="2"/>
        <w:ind w:firstLine="560"/>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年北京市房山区人民法院预算数为</w:t>
      </w:r>
      <w:r>
        <w:rPr>
          <w:rFonts w:hint="eastAsia" w:ascii="仿宋_GB2312" w:hAnsi="仿宋_GB2312" w:eastAsia="仿宋_GB2312" w:cs="仿宋_GB2312"/>
          <w:sz w:val="28"/>
          <w:szCs w:val="28"/>
          <w:lang w:val="en-US" w:eastAsia="zh-CN"/>
        </w:rPr>
        <w:t>24580.99</w:t>
      </w:r>
      <w:r>
        <w:rPr>
          <w:rFonts w:hint="eastAsia" w:ascii="仿宋_GB2312" w:hAnsi="仿宋_GB2312" w:eastAsia="仿宋_GB2312" w:cs="仿宋_GB2312"/>
          <w:sz w:val="28"/>
          <w:szCs w:val="28"/>
        </w:rPr>
        <w:t>万元，结转结余数为</w:t>
      </w:r>
      <w:r>
        <w:rPr>
          <w:rFonts w:hint="eastAsia" w:ascii="仿宋_GB2312" w:hAnsi="仿宋_GB2312" w:eastAsia="仿宋_GB2312" w:cs="仿宋_GB2312"/>
          <w:sz w:val="28"/>
          <w:szCs w:val="28"/>
          <w:lang w:val="en-US" w:eastAsia="zh-CN"/>
        </w:rPr>
        <w:t>380.20</w:t>
      </w:r>
      <w:r>
        <w:rPr>
          <w:rFonts w:hint="eastAsia" w:ascii="仿宋_GB2312" w:hAnsi="仿宋_GB2312" w:eastAsia="仿宋_GB2312" w:cs="仿宋_GB2312"/>
          <w:sz w:val="28"/>
          <w:szCs w:val="28"/>
        </w:rPr>
        <w:t>万元，结转结余率为</w:t>
      </w:r>
      <w:r>
        <w:rPr>
          <w:rFonts w:hint="eastAsia" w:ascii="仿宋_GB2312" w:hAnsi="仿宋_GB2312" w:eastAsia="仿宋_GB2312" w:cs="仿宋_GB2312"/>
          <w:sz w:val="28"/>
          <w:szCs w:val="28"/>
          <w:lang w:val="en-US" w:eastAsia="zh-CN"/>
        </w:rPr>
        <w:t>1.55</w:t>
      </w:r>
      <w:r>
        <w:rPr>
          <w:rFonts w:hint="eastAsia" w:ascii="仿宋_GB2312" w:hAnsi="仿宋_GB2312" w:eastAsia="仿宋_GB2312" w:cs="仿宋_GB2312"/>
          <w:sz w:val="28"/>
          <w:szCs w:val="28"/>
        </w:rPr>
        <w:t>%。</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（五）部门预决算差异率</w:t>
      </w:r>
    </w:p>
    <w:p>
      <w:pPr>
        <w:pStyle w:val="2"/>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年北京市房山区人民法院年初预算为</w:t>
      </w:r>
      <w:r>
        <w:rPr>
          <w:rFonts w:hint="eastAsia" w:ascii="仿宋_GB2312" w:hAnsi="仿宋_GB2312" w:eastAsia="仿宋_GB2312" w:cs="仿宋_GB2312"/>
          <w:sz w:val="28"/>
          <w:szCs w:val="28"/>
          <w:lang w:val="en-US" w:eastAsia="zh-CN"/>
        </w:rPr>
        <w:t>24213.59</w:t>
      </w:r>
      <w:r>
        <w:rPr>
          <w:rFonts w:hint="eastAsia" w:ascii="仿宋_GB2312" w:hAnsi="仿宋_GB2312" w:eastAsia="仿宋_GB2312" w:cs="仿宋_GB2312"/>
          <w:sz w:val="28"/>
          <w:szCs w:val="28"/>
        </w:rPr>
        <w:t>万元，部门年度决算为</w:t>
      </w:r>
      <w:r>
        <w:rPr>
          <w:rFonts w:hint="eastAsia" w:ascii="仿宋_GB2312" w:hAnsi="仿宋_GB2312" w:eastAsia="仿宋_GB2312" w:cs="仿宋_GB2312"/>
          <w:sz w:val="28"/>
          <w:szCs w:val="28"/>
          <w:lang w:val="en-US" w:eastAsia="zh-CN"/>
        </w:rPr>
        <w:t>24200.78</w:t>
      </w:r>
      <w:r>
        <w:rPr>
          <w:rFonts w:hint="eastAsia" w:ascii="仿宋_GB2312" w:hAnsi="仿宋_GB2312" w:eastAsia="仿宋_GB2312" w:cs="仿宋_GB2312"/>
          <w:sz w:val="28"/>
          <w:szCs w:val="28"/>
        </w:rPr>
        <w:t>万元，部门预决算差异率为</w:t>
      </w:r>
      <w:r>
        <w:rPr>
          <w:rFonts w:hint="eastAsia" w:ascii="仿宋_GB2312" w:hAnsi="仿宋_GB2312" w:eastAsia="仿宋_GB2312" w:cs="仿宋_GB2312"/>
          <w:sz w:val="28"/>
          <w:szCs w:val="28"/>
          <w:lang w:val="en-US" w:eastAsia="zh-CN"/>
        </w:rPr>
        <w:t>0.05</w:t>
      </w:r>
      <w:r>
        <w:rPr>
          <w:rFonts w:hint="eastAsia" w:ascii="仿宋_GB2312" w:hAnsi="仿宋_GB2312" w:eastAsia="仿宋_GB2312" w:cs="仿宋_GB2312"/>
          <w:sz w:val="28"/>
          <w:szCs w:val="28"/>
        </w:rPr>
        <w:t>%，部门预决算差异率控制情况较好。</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（一）评价得分情况</w:t>
      </w:r>
    </w:p>
    <w:p>
      <w:pPr>
        <w:pStyle w:val="2"/>
        <w:ind w:firstLine="560"/>
      </w:pPr>
      <w:r>
        <w:rPr>
          <w:rFonts w:hint="eastAsia" w:ascii="仿宋_GB2312" w:hAnsi="仿宋_GB2312" w:eastAsia="仿宋_GB2312" w:cs="仿宋_GB2312"/>
          <w:sz w:val="28"/>
          <w:szCs w:val="28"/>
        </w:rPr>
        <w:t>总体得分</w:t>
      </w:r>
      <w:r>
        <w:rPr>
          <w:rFonts w:hint="eastAsia" w:ascii="仿宋_GB2312" w:hAnsi="仿宋_GB2312" w:eastAsia="仿宋_GB2312" w:cs="仿宋_GB2312"/>
          <w:sz w:val="28"/>
          <w:szCs w:val="28"/>
          <w:lang w:val="en-US" w:eastAsia="zh-CN"/>
        </w:rPr>
        <w:t>95.89</w:t>
      </w:r>
      <w:r>
        <w:rPr>
          <w:rFonts w:hint="eastAsia" w:ascii="仿宋_GB2312" w:hAnsi="仿宋_GB2312" w:eastAsia="仿宋_GB2312" w:cs="仿宋_GB2312"/>
          <w:sz w:val="28"/>
          <w:szCs w:val="28"/>
        </w:rPr>
        <w:t>分。</w:t>
      </w:r>
    </w:p>
    <w:p>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（二）存在的问题及原因分析</w:t>
      </w:r>
    </w:p>
    <w:p>
      <w:pPr>
        <w:pStyle w:val="2"/>
        <w:ind w:firstLine="560"/>
      </w:pPr>
      <w:r>
        <w:rPr>
          <w:rFonts w:hint="eastAsia" w:ascii="仿宋_GB2312" w:hAnsi="仿宋_GB2312" w:eastAsia="仿宋_GB2312" w:cs="仿宋_GB2312"/>
          <w:sz w:val="28"/>
          <w:szCs w:val="28"/>
        </w:rPr>
        <w:t>绩效管理：绩效目标细化程度不高，指标体系设置有待完善，对绩效目标偏离情况虽然能进行矫正，但不及时。</w:t>
      </w:r>
    </w:p>
    <w:p>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pPr>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对于绩效管理方面的学习要持续加强，认真学习相关政策，对于绩效目标偏离情况及时矫正。明确并细化项目绩效目标，准确设定项目各项指标，进一步提高绩效管理意识。</w:t>
      </w:r>
    </w:p>
    <w:p>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七、附件</w:t>
      </w:r>
    </w:p>
    <w:p>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rPr>
        <w:t>年部门整体绩效评价指标体系评分表</w:t>
      </w:r>
    </w:p>
    <w:p>
      <w:pPr>
        <w:pStyle w:val="2"/>
        <w:spacing w:line="580" w:lineRule="exact"/>
        <w:ind w:firstLine="560"/>
        <w:rPr>
          <w:rFonts w:ascii="仿宋_GB2312" w:hAnsi="仿宋_GB2312" w:eastAsia="仿宋_GB2312" w:cs="仿宋_GB2312"/>
          <w:color w:val="000000"/>
          <w:kern w:val="0"/>
          <w:sz w:val="28"/>
          <w:szCs w:val="28"/>
        </w:rPr>
      </w:pPr>
    </w:p>
    <w:p>
      <w:pPr>
        <w:pStyle w:val="2"/>
        <w:spacing w:line="580" w:lineRule="exact"/>
        <w:ind w:firstLine="560"/>
        <w:rPr>
          <w:rFonts w:ascii="仿宋_GB2312" w:hAnsi="仿宋_GB2312" w:eastAsia="仿宋_GB2312" w:cs="仿宋_GB2312"/>
          <w:color w:val="000000"/>
          <w:kern w:val="0"/>
          <w:sz w:val="28"/>
          <w:szCs w:val="28"/>
        </w:rPr>
      </w:pPr>
    </w:p>
    <w:p>
      <w:pPr>
        <w:spacing w:line="560" w:lineRule="exact"/>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附件4-1</w:t>
      </w:r>
    </w:p>
    <w:tbl>
      <w:tblPr>
        <w:tblStyle w:val="5"/>
        <w:tblW w:w="25214" w:type="dxa"/>
        <w:tblInd w:w="0" w:type="dxa"/>
        <w:tblLayout w:type="fixed"/>
        <w:tblCellMar>
          <w:top w:w="0" w:type="dxa"/>
          <w:left w:w="108" w:type="dxa"/>
          <w:bottom w:w="0" w:type="dxa"/>
          <w:right w:w="108" w:type="dxa"/>
        </w:tblCellMar>
      </w:tblPr>
      <w:tblGrid>
        <w:gridCol w:w="1471"/>
        <w:gridCol w:w="1332"/>
        <w:gridCol w:w="1224"/>
        <w:gridCol w:w="1476"/>
        <w:gridCol w:w="1129"/>
        <w:gridCol w:w="1259"/>
        <w:gridCol w:w="2830"/>
        <w:gridCol w:w="1682"/>
        <w:gridCol w:w="1879"/>
        <w:gridCol w:w="1332"/>
        <w:gridCol w:w="1224"/>
        <w:gridCol w:w="2605"/>
        <w:gridCol w:w="4089"/>
        <w:gridCol w:w="1682"/>
      </w:tblGrid>
      <w:tr>
        <w:tblPrEx>
          <w:tblLayout w:type="fixed"/>
          <w:tblCellMar>
            <w:top w:w="0" w:type="dxa"/>
            <w:left w:w="108" w:type="dxa"/>
            <w:bottom w:w="0" w:type="dxa"/>
            <w:right w:w="108" w:type="dxa"/>
          </w:tblCellMar>
        </w:tblPrEx>
        <w:trPr>
          <w:gridAfter w:val="5"/>
          <w:wAfter w:w="10932" w:type="dxa"/>
          <w:trHeight w:val="90" w:hRule="atLeast"/>
        </w:trPr>
        <w:tc>
          <w:tcPr>
            <w:tcW w:w="14282" w:type="dxa"/>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highlight w:val="yellow"/>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4</w:t>
            </w:r>
            <w:r>
              <w:rPr>
                <w:rFonts w:hint="eastAsia" w:ascii="方正小标宋简体" w:hAnsi="黑体" w:eastAsia="方正小标宋简体" w:cs="宋体"/>
                <w:color w:val="000000"/>
                <w:kern w:val="0"/>
                <w:sz w:val="44"/>
                <w:szCs w:val="44"/>
              </w:rPr>
              <w:t>年部门整体绩效评价指标体系评分表</w:t>
            </w:r>
          </w:p>
        </w:tc>
      </w:tr>
      <w:tr>
        <w:tblPrEx>
          <w:tblLayout w:type="fixed"/>
          <w:tblCellMar>
            <w:top w:w="0" w:type="dxa"/>
            <w:left w:w="108" w:type="dxa"/>
            <w:bottom w:w="0" w:type="dxa"/>
            <w:right w:w="108" w:type="dxa"/>
          </w:tblCellMar>
        </w:tblPrEx>
        <w:trPr>
          <w:gridAfter w:val="5"/>
          <w:wAfter w:w="10932" w:type="dxa"/>
          <w:trHeight w:val="470" w:hRule="atLeast"/>
        </w:trPr>
        <w:tc>
          <w:tcPr>
            <w:tcW w:w="14282" w:type="dxa"/>
            <w:gridSpan w:val="9"/>
            <w:tcBorders>
              <w:top w:val="single" w:color="auto" w:sz="4" w:space="0"/>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gridAfter w:val="5"/>
          <w:wAfter w:w="10932" w:type="dxa"/>
          <w:trHeight w:val="660" w:hRule="atLeast"/>
        </w:trPr>
        <w:tc>
          <w:tcPr>
            <w:tcW w:w="147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70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23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283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168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87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gridAfter w:val="5"/>
          <w:wAfter w:w="10932" w:type="dxa"/>
          <w:trHeight w:val="630" w:hRule="atLeast"/>
        </w:trPr>
        <w:tc>
          <w:tcPr>
            <w:tcW w:w="1471" w:type="dxa"/>
            <w:vMerge w:val="restart"/>
            <w:tcBorders>
              <w:top w:val="nil"/>
              <w:left w:val="single" w:color="auto" w:sz="4" w:space="0"/>
              <w:bottom w:val="single" w:color="000000"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3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270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24580.99</w:t>
            </w:r>
            <w:r>
              <w:rPr>
                <w:rFonts w:hint="eastAsia" w:ascii="宋体" w:hAnsi="宋体" w:cs="宋体"/>
                <w:color w:val="000000"/>
                <w:kern w:val="0"/>
                <w:sz w:val="20"/>
                <w:szCs w:val="20"/>
              </w:rPr>
              <w:t>　</w:t>
            </w:r>
          </w:p>
        </w:tc>
        <w:tc>
          <w:tcPr>
            <w:tcW w:w="2388"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24200.78</w:t>
            </w:r>
          </w:p>
        </w:tc>
        <w:tc>
          <w:tcPr>
            <w:tcW w:w="283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98.45</w:t>
            </w:r>
            <w:r>
              <w:rPr>
                <w:rFonts w:hint="eastAsia" w:ascii="宋体" w:hAnsi="宋体" w:cs="宋体"/>
                <w:color w:val="000000"/>
                <w:kern w:val="0"/>
                <w:sz w:val="20"/>
                <w:szCs w:val="20"/>
              </w:rPr>
              <w:t>%</w:t>
            </w:r>
          </w:p>
        </w:tc>
        <w:tc>
          <w:tcPr>
            <w:tcW w:w="168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879"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w:t>
            </w:r>
            <w:r>
              <w:rPr>
                <w:rFonts w:hint="eastAsia" w:ascii="宋体" w:hAnsi="宋体" w:cs="宋体"/>
                <w:color w:val="000000"/>
                <w:kern w:val="0"/>
                <w:sz w:val="20"/>
                <w:szCs w:val="20"/>
                <w:lang w:val="en-US" w:eastAsia="zh-CN"/>
              </w:rPr>
              <w:t>69</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gridAfter w:val="5"/>
          <w:wAfter w:w="10932" w:type="dxa"/>
          <w:trHeight w:val="600"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top w:val="single" w:color="auto" w:sz="4" w:space="0"/>
              <w:left w:val="single" w:color="auto" w:sz="4" w:space="0"/>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270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20163.73</w:t>
            </w:r>
            <w:r>
              <w:rPr>
                <w:rFonts w:hint="eastAsia" w:ascii="宋体" w:hAnsi="宋体" w:cs="宋体"/>
                <w:color w:val="000000"/>
                <w:kern w:val="0"/>
                <w:sz w:val="20"/>
                <w:szCs w:val="20"/>
              </w:rPr>
              <w:t>　</w:t>
            </w:r>
          </w:p>
        </w:tc>
        <w:tc>
          <w:tcPr>
            <w:tcW w:w="2388" w:type="dxa"/>
            <w:gridSpan w:val="2"/>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20007.06</w:t>
            </w:r>
          </w:p>
        </w:tc>
        <w:tc>
          <w:tcPr>
            <w:tcW w:w="283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68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879" w:type="dxa"/>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5"/>
          <w:wAfter w:w="10932" w:type="dxa"/>
          <w:trHeight w:val="615"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top w:val="single" w:color="auto" w:sz="4" w:space="0"/>
              <w:left w:val="single" w:color="auto" w:sz="4" w:space="0"/>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2700"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4417.26</w:t>
            </w:r>
            <w:r>
              <w:rPr>
                <w:rFonts w:hint="eastAsia" w:ascii="宋体" w:hAnsi="宋体" w:cs="宋体"/>
                <w:color w:val="000000"/>
                <w:kern w:val="0"/>
                <w:sz w:val="20"/>
                <w:szCs w:val="20"/>
              </w:rPr>
              <w:t>　</w:t>
            </w:r>
          </w:p>
        </w:tc>
        <w:tc>
          <w:tcPr>
            <w:tcW w:w="2388" w:type="dxa"/>
            <w:gridSpan w:val="2"/>
            <w:tcBorders>
              <w:top w:val="single" w:color="auto" w:sz="4" w:space="0"/>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4193.72</w:t>
            </w:r>
          </w:p>
        </w:tc>
        <w:tc>
          <w:tcPr>
            <w:tcW w:w="283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68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879" w:type="dxa"/>
            <w:vMerge w:val="continue"/>
            <w:tcBorders>
              <w:top w:val="single" w:color="auto" w:sz="4" w:space="0"/>
              <w:left w:val="nil"/>
              <w:bottom w:val="single" w:color="auto" w:sz="4" w:space="0"/>
              <w:right w:val="nil"/>
            </w:tcBorders>
            <w:noWrap/>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5"/>
          <w:wAfter w:w="10932" w:type="dxa"/>
          <w:trHeight w:val="479" w:hRule="atLeast"/>
        </w:trPr>
        <w:tc>
          <w:tcPr>
            <w:tcW w:w="14282" w:type="dxa"/>
            <w:gridSpan w:val="9"/>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gridAfter w:val="5"/>
          <w:wAfter w:w="10932" w:type="dxa"/>
          <w:trHeight w:val="499" w:hRule="atLeast"/>
        </w:trPr>
        <w:tc>
          <w:tcPr>
            <w:tcW w:w="147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33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605"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tblPrEx>
          <w:tblLayout w:type="fixed"/>
          <w:tblCellMar>
            <w:top w:w="0" w:type="dxa"/>
            <w:left w:w="108" w:type="dxa"/>
            <w:bottom w:w="0" w:type="dxa"/>
            <w:right w:w="108" w:type="dxa"/>
          </w:tblCellMar>
        </w:tblPrEx>
        <w:trPr>
          <w:gridAfter w:val="5"/>
          <w:wAfter w:w="10932" w:type="dxa"/>
          <w:trHeight w:val="1196" w:hRule="atLeast"/>
        </w:trPr>
        <w:tc>
          <w:tcPr>
            <w:tcW w:w="1471" w:type="dxa"/>
            <w:vMerge w:val="restart"/>
            <w:tcBorders>
              <w:top w:val="single" w:color="auto" w:sz="4" w:space="0"/>
              <w:left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332" w:type="dxa"/>
            <w:vMerge w:val="restart"/>
            <w:tcBorders>
              <w:top w:val="single" w:color="auto" w:sz="4" w:space="0"/>
              <w:left w:val="nil"/>
              <w:right w:val="single" w:color="auto" w:sz="4" w:space="0"/>
            </w:tcBorders>
            <w:noWrap/>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605"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p>
            <w:pPr>
              <w:widowControl/>
              <w:jc w:val="center"/>
              <w:rPr>
                <w:color w:val="000000"/>
                <w:sz w:val="20"/>
                <w:szCs w:val="20"/>
              </w:rPr>
            </w:pPr>
            <w:r>
              <w:rPr>
                <w:rFonts w:hint="eastAsia"/>
                <w:color w:val="000000"/>
                <w:sz w:val="20"/>
                <w:szCs w:val="20"/>
              </w:rPr>
              <w:t>依法履行审判职能</w:t>
            </w:r>
          </w:p>
          <w:p>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落实</w:t>
            </w:r>
            <w:r>
              <w:rPr>
                <w:color w:val="000000"/>
                <w:sz w:val="20"/>
                <w:szCs w:val="20"/>
              </w:rPr>
              <w:t>“</w:t>
            </w:r>
            <w:r>
              <w:rPr>
                <w:rFonts w:hint="eastAsia"/>
                <w:color w:val="000000"/>
                <w:sz w:val="20"/>
                <w:szCs w:val="20"/>
              </w:rPr>
              <w:t>开放、动态、透明、便民</w:t>
            </w:r>
            <w:r>
              <w:rPr>
                <w:color w:val="000000"/>
                <w:sz w:val="20"/>
                <w:szCs w:val="20"/>
              </w:rPr>
              <w:t>”</w:t>
            </w:r>
            <w:r>
              <w:rPr>
                <w:rFonts w:hint="eastAsia"/>
                <w:color w:val="000000"/>
                <w:sz w:val="20"/>
                <w:szCs w:val="20"/>
              </w:rPr>
              <w:t>的阳光司法机制，深化审判流程公开、执行信息公开、裁判文书上网、庭审网络直播</w:t>
            </w:r>
            <w:r>
              <w:rPr>
                <w:color w:val="000000"/>
                <w:sz w:val="20"/>
                <w:szCs w:val="20"/>
              </w:rPr>
              <w:t>“</w:t>
            </w:r>
            <w:r>
              <w:rPr>
                <w:rFonts w:hint="eastAsia"/>
                <w:color w:val="000000"/>
                <w:sz w:val="20"/>
                <w:szCs w:val="20"/>
              </w:rPr>
              <w:t>四大平台</w:t>
            </w:r>
            <w:r>
              <w:rPr>
                <w:color w:val="000000"/>
                <w:sz w:val="20"/>
                <w:szCs w:val="20"/>
              </w:rPr>
              <w:t>”</w:t>
            </w:r>
            <w:r>
              <w:rPr>
                <w:rFonts w:hint="eastAsia"/>
                <w:color w:val="000000"/>
                <w:sz w:val="20"/>
                <w:szCs w:val="20"/>
              </w:rPr>
              <w:t>应用，截止202</w:t>
            </w:r>
            <w:r>
              <w:rPr>
                <w:rFonts w:hint="eastAsia"/>
                <w:color w:val="000000"/>
                <w:sz w:val="20"/>
                <w:szCs w:val="20"/>
                <w:lang w:val="en-US" w:eastAsia="zh-CN"/>
              </w:rPr>
              <w:t>4</w:t>
            </w:r>
            <w:r>
              <w:rPr>
                <w:rFonts w:hint="eastAsia"/>
                <w:color w:val="000000"/>
                <w:sz w:val="20"/>
                <w:szCs w:val="20"/>
              </w:rPr>
              <w:t>年12月31日，我院新收案件</w:t>
            </w:r>
            <w:r>
              <w:rPr>
                <w:rFonts w:hint="eastAsia"/>
                <w:color w:val="000000"/>
                <w:sz w:val="20"/>
                <w:szCs w:val="20"/>
                <w:lang w:val="en-US" w:eastAsia="zh-CN"/>
              </w:rPr>
              <w:t>53323</w:t>
            </w:r>
            <w:r>
              <w:rPr>
                <w:rFonts w:hint="eastAsia"/>
                <w:color w:val="000000"/>
                <w:sz w:val="20"/>
                <w:szCs w:val="20"/>
              </w:rPr>
              <w:t>件，审结</w:t>
            </w:r>
            <w:r>
              <w:rPr>
                <w:rFonts w:hint="eastAsia"/>
                <w:color w:val="000000"/>
                <w:sz w:val="20"/>
                <w:szCs w:val="20"/>
                <w:lang w:val="en-US" w:eastAsia="zh-CN"/>
              </w:rPr>
              <w:t>52756</w:t>
            </w:r>
            <w:r>
              <w:rPr>
                <w:rFonts w:hint="eastAsia"/>
                <w:color w:val="000000"/>
                <w:sz w:val="20"/>
                <w:szCs w:val="20"/>
              </w:rPr>
              <w:t>件。</w:t>
            </w: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ascii="宋体" w:hAnsi="宋体" w:cs="宋体"/>
                <w:color w:val="000000"/>
                <w:kern w:val="0"/>
                <w:sz w:val="20"/>
                <w:szCs w:val="20"/>
              </w:rPr>
              <w:t>6</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ascii="宋体" w:hAnsi="宋体" w:cs="宋体"/>
                <w:color w:val="000000"/>
                <w:kern w:val="0"/>
                <w:sz w:val="20"/>
                <w:szCs w:val="20"/>
              </w:rPr>
              <w:t>5.5</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gridAfter w:val="5"/>
          <w:wAfter w:w="10932" w:type="dxa"/>
          <w:trHeight w:val="1130"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2605" w:type="dxa"/>
            <w:gridSpan w:val="2"/>
            <w:tcBorders>
              <w:top w:val="single" w:color="auto" w:sz="4" w:space="0"/>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以司法为民为宗旨，深度参与市域社会治理现代化</w:t>
            </w:r>
            <w:r>
              <w:rPr>
                <w:rFonts w:hint="eastAsia" w:ascii="宋体" w:hAnsi="宋体" w:cs="宋体"/>
                <w:color w:val="000000"/>
                <w:kern w:val="0"/>
                <w:sz w:val="20"/>
                <w:szCs w:val="20"/>
              </w:rPr>
              <w:t>　</w:t>
            </w:r>
          </w:p>
        </w:tc>
        <w:tc>
          <w:tcPr>
            <w:tcW w:w="4089" w:type="dxa"/>
            <w:gridSpan w:val="2"/>
            <w:tcBorders>
              <w:top w:val="single" w:color="auto" w:sz="4" w:space="0"/>
              <w:left w:val="nil"/>
              <w:bottom w:val="single" w:color="auto" w:sz="4" w:space="0"/>
              <w:right w:val="single" w:color="auto" w:sz="4" w:space="0"/>
            </w:tcBorders>
            <w:noWrap/>
            <w:vAlign w:val="center"/>
          </w:tcPr>
          <w:p>
            <w:pPr>
              <w:widowControl/>
              <w:rPr>
                <w:color w:val="000000"/>
                <w:sz w:val="20"/>
                <w:szCs w:val="20"/>
              </w:rPr>
            </w:pPr>
            <w:r>
              <w:rPr>
                <w:rFonts w:hint="eastAsia"/>
                <w:color w:val="000000"/>
                <w:sz w:val="20"/>
                <w:szCs w:val="20"/>
              </w:rPr>
              <w:t>打造24小时诉讼材料交转柜、胶囊法庭等七大智能化诉讼辅助设施，被中国法院网络电视台专题报道，“智慧法院”建设成果真正为民所用。　</w:t>
            </w:r>
          </w:p>
        </w:tc>
        <w:tc>
          <w:tcPr>
            <w:tcW w:w="168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6</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gridAfter w:val="5"/>
          <w:wAfter w:w="10932" w:type="dxa"/>
          <w:cantSplit/>
          <w:trHeight w:val="1258"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2605" w:type="dxa"/>
            <w:gridSpan w:val="2"/>
            <w:tcBorders>
              <w:top w:val="nil"/>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建立专业化审判格局，提升专业化审判水平，加强司法便民综合系统建设</w:t>
            </w:r>
            <w:r>
              <w:rPr>
                <w:rFonts w:hint="eastAsia" w:ascii="宋体" w:hAnsi="宋体" w:cs="宋体"/>
                <w:color w:val="000000"/>
                <w:kern w:val="0"/>
                <w:sz w:val="20"/>
                <w:szCs w:val="20"/>
              </w:rPr>
              <w:t>　</w:t>
            </w:r>
          </w:p>
        </w:tc>
        <w:tc>
          <w:tcPr>
            <w:tcW w:w="4089" w:type="dxa"/>
            <w:gridSpan w:val="2"/>
            <w:tcBorders>
              <w:top w:val="nil"/>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健全诉源治理体系，完善“一站式”多元解纷。提升12368“一号响应”诉源治理工作机制效能。</w:t>
            </w:r>
          </w:p>
        </w:tc>
        <w:tc>
          <w:tcPr>
            <w:tcW w:w="1682" w:type="dxa"/>
            <w:tcBorders>
              <w:top w:val="single" w:color="auto" w:sz="4" w:space="0"/>
              <w:left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6</w:t>
            </w:r>
          </w:p>
        </w:tc>
      </w:tr>
      <w:tr>
        <w:tblPrEx>
          <w:tblLayout w:type="fixed"/>
          <w:tblCellMar>
            <w:top w:w="0" w:type="dxa"/>
            <w:left w:w="108" w:type="dxa"/>
            <w:bottom w:w="0" w:type="dxa"/>
            <w:right w:w="108" w:type="dxa"/>
          </w:tblCellMar>
        </w:tblPrEx>
        <w:trPr>
          <w:gridAfter w:val="5"/>
          <w:wAfter w:w="10932" w:type="dxa"/>
          <w:trHeight w:val="975"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指标4</w:t>
            </w:r>
          </w:p>
        </w:tc>
        <w:tc>
          <w:tcPr>
            <w:tcW w:w="2605"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加强信息化建设　</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202</w:t>
            </w:r>
            <w:r>
              <w:rPr>
                <w:rFonts w:hint="eastAsia"/>
                <w:color w:val="000000"/>
                <w:sz w:val="20"/>
                <w:szCs w:val="20"/>
                <w:lang w:val="en-US" w:eastAsia="zh-CN"/>
              </w:rPr>
              <w:t>4</w:t>
            </w:r>
            <w:r>
              <w:rPr>
                <w:rFonts w:hint="eastAsia"/>
                <w:color w:val="000000"/>
                <w:sz w:val="20"/>
                <w:szCs w:val="20"/>
              </w:rPr>
              <w:t>年在线庭审率、民商事案件电子送达裁判文书比均同比大幅提升，在避免人员聚集的同时，降低了当事人的诉讼成本。　</w:t>
            </w:r>
          </w:p>
        </w:tc>
        <w:tc>
          <w:tcPr>
            <w:tcW w:w="1682" w:type="dxa"/>
            <w:tcBorders>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6</w:t>
            </w:r>
          </w:p>
        </w:tc>
      </w:tr>
      <w:tr>
        <w:tblPrEx>
          <w:tblLayout w:type="fixed"/>
          <w:tblCellMar>
            <w:top w:w="0" w:type="dxa"/>
            <w:left w:w="108" w:type="dxa"/>
            <w:bottom w:w="0" w:type="dxa"/>
            <w:right w:w="108" w:type="dxa"/>
          </w:tblCellMar>
        </w:tblPrEx>
        <w:trPr>
          <w:gridAfter w:val="5"/>
          <w:wAfter w:w="10932" w:type="dxa"/>
          <w:trHeight w:val="975"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指标5</w:t>
            </w:r>
          </w:p>
        </w:tc>
        <w:tc>
          <w:tcPr>
            <w:tcW w:w="2605"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加强法治宣传</w:t>
            </w:r>
          </w:p>
        </w:tc>
        <w:tc>
          <w:tcPr>
            <w:tcW w:w="4089" w:type="dxa"/>
            <w:gridSpan w:val="2"/>
            <w:tcBorders>
              <w:top w:val="nil"/>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坚持以案释法主动发声，组织重大案事件宣传活动。把握群众需求精准普法。</w:t>
            </w:r>
          </w:p>
        </w:tc>
        <w:tc>
          <w:tcPr>
            <w:tcW w:w="1682" w:type="dxa"/>
            <w:tcBorders>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879"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r>
              <w:rPr>
                <w:rFonts w:ascii="宋体" w:hAnsi="宋体" w:cs="宋体"/>
                <w:color w:val="000000"/>
                <w:kern w:val="0"/>
                <w:sz w:val="20"/>
                <w:szCs w:val="20"/>
              </w:rPr>
              <w:t>.5</w:t>
            </w:r>
          </w:p>
        </w:tc>
      </w:tr>
      <w:tr>
        <w:tblPrEx>
          <w:tblLayout w:type="fixed"/>
          <w:tblCellMar>
            <w:top w:w="0" w:type="dxa"/>
            <w:left w:w="108" w:type="dxa"/>
            <w:bottom w:w="0" w:type="dxa"/>
            <w:right w:w="108" w:type="dxa"/>
          </w:tblCellMar>
        </w:tblPrEx>
        <w:trPr>
          <w:gridAfter w:val="5"/>
          <w:wAfter w:w="10932" w:type="dxa"/>
          <w:trHeight w:val="675"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restart"/>
            <w:tcBorders>
              <w:top w:val="nil"/>
              <w:left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122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605"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　</w:t>
            </w:r>
          </w:p>
        </w:tc>
        <w:tc>
          <w:tcPr>
            <w:tcW w:w="4089" w:type="dxa"/>
            <w:gridSpan w:val="2"/>
            <w:tcBorders>
              <w:top w:val="nil"/>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完善“预防为先、非诉挺前、诉讼托底”的解纷体系。加强与区“接诉即办”平台对接，加大非诉化解力度，加强“两中心”实体化运行，完善“一站式”多元解纷体系建设。　</w:t>
            </w:r>
          </w:p>
        </w:tc>
        <w:tc>
          <w:tcPr>
            <w:tcW w:w="1682"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r>
              <w:rPr>
                <w:rFonts w:ascii="宋体" w:hAnsi="宋体" w:cs="宋体"/>
                <w:color w:val="000000"/>
                <w:kern w:val="0"/>
                <w:sz w:val="20"/>
                <w:szCs w:val="20"/>
              </w:rPr>
              <w:t>.5</w:t>
            </w:r>
          </w:p>
        </w:tc>
        <w:tc>
          <w:tcPr>
            <w:tcW w:w="1879"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　</w:t>
            </w:r>
          </w:p>
        </w:tc>
      </w:tr>
      <w:tr>
        <w:tblPrEx>
          <w:tblLayout w:type="fixed"/>
          <w:tblCellMar>
            <w:top w:w="0" w:type="dxa"/>
            <w:left w:w="108" w:type="dxa"/>
            <w:bottom w:w="0" w:type="dxa"/>
            <w:right w:w="108" w:type="dxa"/>
          </w:tblCellMar>
        </w:tblPrEx>
        <w:trPr>
          <w:gridAfter w:val="5"/>
          <w:wAfter w:w="10932" w:type="dxa"/>
          <w:trHeight w:val="630"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2605"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环境效益</w:t>
            </w:r>
          </w:p>
        </w:tc>
        <w:tc>
          <w:tcPr>
            <w:tcW w:w="4089" w:type="dxa"/>
            <w:gridSpan w:val="2"/>
            <w:tcBorders>
              <w:top w:val="nil"/>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做好涉“疏整促”专项行动及规自领域、环境污染专项治理等案件审执工作。严厉打击违法倾倒垃圾、破坏生态环境犯罪。</w:t>
            </w:r>
          </w:p>
        </w:tc>
        <w:tc>
          <w:tcPr>
            <w:tcW w:w="168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r>
              <w:rPr>
                <w:rFonts w:ascii="宋体" w:hAnsi="宋体" w:cs="宋体"/>
                <w:color w:val="000000"/>
                <w:kern w:val="0"/>
                <w:sz w:val="20"/>
                <w:szCs w:val="20"/>
              </w:rPr>
              <w:t>.5</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7</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gridAfter w:val="5"/>
          <w:wAfter w:w="10932" w:type="dxa"/>
          <w:trHeight w:val="3296"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vMerge w:val="restart"/>
            <w:tcBorders>
              <w:top w:val="nil"/>
              <w:left w:val="nil"/>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2605" w:type="dxa"/>
            <w:gridSpan w:val="2"/>
            <w:vMerge w:val="restart"/>
            <w:tcBorders>
              <w:top w:val="nil"/>
              <w:left w:val="nil"/>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　</w:t>
            </w:r>
          </w:p>
        </w:tc>
        <w:tc>
          <w:tcPr>
            <w:tcW w:w="4089" w:type="dxa"/>
            <w:gridSpan w:val="2"/>
            <w:vMerge w:val="restart"/>
            <w:tcBorders>
              <w:top w:val="single" w:color="auto" w:sz="4" w:space="0"/>
              <w:left w:val="nil"/>
              <w:right w:val="single" w:color="auto" w:sz="4" w:space="0"/>
            </w:tcBorders>
            <w:noWrap/>
            <w:vAlign w:val="center"/>
          </w:tcPr>
          <w:p>
            <w:pPr>
              <w:widowControl/>
              <w:jc w:val="center"/>
              <w:rPr>
                <w:color w:val="000000"/>
                <w:sz w:val="20"/>
                <w:szCs w:val="20"/>
              </w:rPr>
            </w:pPr>
            <w:r>
              <w:rPr>
                <w:rFonts w:hint="eastAsia"/>
                <w:color w:val="000000"/>
                <w:sz w:val="20"/>
                <w:szCs w:val="20"/>
              </w:rPr>
              <w:t>主动融入基层社会治理格局，完善“一法庭一品牌”特色机制，构建“三全三化”法官工作站建设体系，推动人民法院调解平台“进乡村、进社区、进网格”。</w:t>
            </w:r>
          </w:p>
        </w:tc>
        <w:tc>
          <w:tcPr>
            <w:tcW w:w="1682" w:type="dxa"/>
            <w:tcBorders>
              <w:top w:val="single" w:color="auto" w:sz="4" w:space="0"/>
              <w:left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7.5</w:t>
            </w:r>
          </w:p>
        </w:tc>
        <w:tc>
          <w:tcPr>
            <w:tcW w:w="1879" w:type="dxa"/>
            <w:vMerge w:val="restart"/>
            <w:tcBorders>
              <w:top w:val="single" w:color="auto" w:sz="4" w:space="0"/>
              <w:left w:val="nil"/>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7.5</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gridAfter w:val="5"/>
          <w:wAfter w:w="10932" w:type="dxa"/>
          <w:trHeight w:val="90" w:hRule="atLeast"/>
        </w:trPr>
        <w:tc>
          <w:tcPr>
            <w:tcW w:w="1471"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left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vMerge w:val="continue"/>
            <w:tcBorders>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2605" w:type="dxa"/>
            <w:gridSpan w:val="2"/>
            <w:vMerge w:val="continue"/>
            <w:tcBorders>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4089" w:type="dxa"/>
            <w:gridSpan w:val="2"/>
            <w:vMerge w:val="continue"/>
            <w:tcBorders>
              <w:left w:val="nil"/>
              <w:bottom w:val="single" w:color="auto" w:sz="4" w:space="0"/>
              <w:right w:val="single" w:color="auto" w:sz="4" w:space="0"/>
            </w:tcBorders>
            <w:noWrap/>
            <w:vAlign w:val="center"/>
          </w:tcPr>
          <w:p>
            <w:pPr>
              <w:widowControl/>
              <w:jc w:val="center"/>
              <w:rPr>
                <w:color w:val="000000"/>
                <w:sz w:val="20"/>
                <w:szCs w:val="20"/>
              </w:rPr>
            </w:pPr>
          </w:p>
        </w:tc>
        <w:tc>
          <w:tcPr>
            <w:tcW w:w="1682" w:type="dxa"/>
            <w:tcBorders>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p>
        </w:tc>
        <w:tc>
          <w:tcPr>
            <w:tcW w:w="1879" w:type="dxa"/>
            <w:vMerge w:val="continue"/>
            <w:tcBorders>
              <w:left w:val="nil"/>
              <w:bottom w:val="single" w:color="auto" w:sz="4" w:space="0"/>
              <w:right w:val="nil"/>
            </w:tcBorders>
            <w:noWrap/>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5"/>
          <w:wAfter w:w="10932" w:type="dxa"/>
          <w:trHeight w:val="675" w:hRule="atLeast"/>
        </w:trPr>
        <w:tc>
          <w:tcPr>
            <w:tcW w:w="1471" w:type="dxa"/>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nil"/>
              <w:left w:val="nil"/>
              <w:bottom w:val="single" w:color="auto" w:sz="4" w:space="0"/>
              <w:right w:val="single" w:color="auto" w:sz="4" w:space="0"/>
            </w:tcBorders>
            <w:noWrap/>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服指标4</w:t>
            </w:r>
          </w:p>
        </w:tc>
        <w:tc>
          <w:tcPr>
            <w:tcW w:w="2605"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　</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及时发现审执工作中不规范现象，立行立改，并举一反三，不断完善相应工作机制。在北京法院满意度评价中排名全市基层法院前列。</w:t>
            </w:r>
            <w:bookmarkStart w:id="0" w:name="_GoBack"/>
            <w:bookmarkEnd w:id="0"/>
          </w:p>
        </w:tc>
        <w:tc>
          <w:tcPr>
            <w:tcW w:w="1682" w:type="dxa"/>
            <w:tcBorders>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7.5</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7.2</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87" w:hRule="atLeast"/>
        </w:trPr>
        <w:tc>
          <w:tcPr>
            <w:tcW w:w="14282" w:type="dxa"/>
            <w:gridSpan w:val="9"/>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三</w:t>
            </w:r>
            <w:r>
              <w:rPr>
                <w:color w:val="000000"/>
                <w:sz w:val="20"/>
                <w:szCs w:val="20"/>
              </w:rPr>
              <w:t>、</w:t>
            </w:r>
            <w:r>
              <w:rPr>
                <w:rFonts w:hint="eastAsia"/>
                <w:color w:val="000000"/>
                <w:sz w:val="20"/>
                <w:szCs w:val="20"/>
              </w:rPr>
              <w:t>预算管理情况（20分）</w:t>
            </w:r>
          </w:p>
        </w:tc>
        <w:tc>
          <w:tcPr>
            <w:tcW w:w="13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20"/>
                <w:szCs w:val="20"/>
              </w:rPr>
            </w:pP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hint="eastAsia"/>
                <w:color w:val="000000"/>
                <w:sz w:val="20"/>
                <w:szCs w:val="20"/>
              </w:rPr>
            </w:pPr>
          </w:p>
        </w:tc>
        <w:tc>
          <w:tcPr>
            <w:tcW w:w="2605" w:type="dxa"/>
            <w:tcBorders>
              <w:top w:val="single" w:color="auto" w:sz="4" w:space="0"/>
              <w:left w:val="nil"/>
              <w:bottom w:val="single" w:color="auto" w:sz="4" w:space="0"/>
              <w:right w:val="single" w:color="auto" w:sz="4" w:space="0"/>
            </w:tcBorders>
            <w:noWrap/>
            <w:vAlign w:val="center"/>
          </w:tcPr>
          <w:p>
            <w:pPr>
              <w:widowControl/>
              <w:jc w:val="center"/>
              <w:rPr>
                <w:rFonts w:hint="eastAsia"/>
                <w:color w:val="000000"/>
                <w:sz w:val="20"/>
                <w:szCs w:val="20"/>
              </w:rPr>
            </w:pPr>
          </w:p>
        </w:tc>
        <w:tc>
          <w:tcPr>
            <w:tcW w:w="4089" w:type="dxa"/>
            <w:tcBorders>
              <w:top w:val="single" w:color="auto" w:sz="4" w:space="0"/>
              <w:left w:val="nil"/>
              <w:bottom w:val="single" w:color="auto" w:sz="4" w:space="0"/>
              <w:right w:val="single" w:color="auto" w:sz="4" w:space="0"/>
            </w:tcBorders>
            <w:noWrap/>
            <w:vAlign w:val="center"/>
          </w:tcPr>
          <w:p>
            <w:pPr>
              <w:widowControl/>
              <w:jc w:val="center"/>
              <w:rPr>
                <w:rFonts w:hint="eastAsia"/>
                <w:color w:val="000000"/>
                <w:sz w:val="20"/>
                <w:szCs w:val="20"/>
              </w:rPr>
            </w:pP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hint="eastAsia"/>
                <w:color w:val="00000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r>
      <w:tr>
        <w:tblPrEx>
          <w:tblLayout w:type="fixed"/>
          <w:tblCellMar>
            <w:top w:w="0" w:type="dxa"/>
            <w:left w:w="108" w:type="dxa"/>
            <w:bottom w:w="0" w:type="dxa"/>
            <w:right w:w="108" w:type="dxa"/>
          </w:tblCellMar>
        </w:tblPrEx>
        <w:trPr>
          <w:gridAfter w:val="5"/>
          <w:wAfter w:w="10932" w:type="dxa"/>
          <w:trHeight w:val="702" w:hRule="atLeast"/>
        </w:trPr>
        <w:tc>
          <w:tcPr>
            <w:tcW w:w="147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3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605"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完成</w:t>
            </w:r>
            <w:r>
              <w:rPr>
                <w:color w:val="000000"/>
                <w:sz w:val="20"/>
                <w:szCs w:val="20"/>
              </w:rPr>
              <w:t>值</w:t>
            </w: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r>
      <w:tr>
        <w:tblPrEx>
          <w:tblLayout w:type="fixed"/>
          <w:tblCellMar>
            <w:top w:w="0" w:type="dxa"/>
            <w:left w:w="108" w:type="dxa"/>
            <w:bottom w:w="0" w:type="dxa"/>
            <w:right w:w="108" w:type="dxa"/>
          </w:tblCellMar>
        </w:tblPrEx>
        <w:trPr>
          <w:gridAfter w:val="5"/>
          <w:wAfter w:w="10932" w:type="dxa"/>
          <w:trHeight w:val="1230" w:hRule="atLeast"/>
        </w:trPr>
        <w:tc>
          <w:tcPr>
            <w:tcW w:w="147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133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605"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财务管理制度健全规范　</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color w:val="000000"/>
                <w:sz w:val="20"/>
                <w:szCs w:val="20"/>
              </w:rPr>
            </w:pPr>
            <w:r>
              <w:rPr>
                <w:rFonts w:hint="eastAsia" w:ascii="宋体" w:hAnsi="宋体" w:cs="宋体"/>
                <w:color w:val="000000"/>
                <w:kern w:val="0"/>
                <w:sz w:val="20"/>
                <w:szCs w:val="20"/>
              </w:rPr>
              <w:t>财务管理制度健全规范　</w:t>
            </w: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　</w:t>
            </w:r>
          </w:p>
        </w:tc>
      </w:tr>
      <w:tr>
        <w:tblPrEx>
          <w:tblLayout w:type="fixed"/>
          <w:tblCellMar>
            <w:top w:w="0" w:type="dxa"/>
            <w:left w:w="108" w:type="dxa"/>
            <w:bottom w:w="0" w:type="dxa"/>
            <w:right w:w="108" w:type="dxa"/>
          </w:tblCellMar>
        </w:tblPrEx>
        <w:trPr>
          <w:gridAfter w:val="5"/>
          <w:wAfter w:w="10932" w:type="dxa"/>
          <w:trHeight w:val="2220" w:hRule="atLeast"/>
        </w:trPr>
        <w:tc>
          <w:tcPr>
            <w:tcW w:w="1471" w:type="dxa"/>
            <w:vMerge w:val="continue"/>
            <w:tcBorders>
              <w:top w:val="single" w:color="auto" w:sz="4" w:space="0"/>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605"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资金使用合规安全　</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color w:val="000000"/>
                <w:sz w:val="20"/>
                <w:szCs w:val="20"/>
              </w:rPr>
            </w:pPr>
            <w:r>
              <w:rPr>
                <w:rFonts w:hint="eastAsia"/>
                <w:color w:val="000000"/>
                <w:sz w:val="20"/>
                <w:szCs w:val="20"/>
              </w:rPr>
              <w:t>资金使用合规安全　　</w:t>
            </w:r>
          </w:p>
        </w:tc>
        <w:tc>
          <w:tcPr>
            <w:tcW w:w="168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　</w:t>
            </w:r>
          </w:p>
        </w:tc>
      </w:tr>
      <w:tr>
        <w:tblPrEx>
          <w:tblLayout w:type="fixed"/>
          <w:tblCellMar>
            <w:top w:w="0" w:type="dxa"/>
            <w:left w:w="108" w:type="dxa"/>
            <w:bottom w:w="0" w:type="dxa"/>
            <w:right w:w="108" w:type="dxa"/>
          </w:tblCellMar>
        </w:tblPrEx>
        <w:trPr>
          <w:gridAfter w:val="5"/>
          <w:wAfter w:w="10932" w:type="dxa"/>
          <w:trHeight w:val="410"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vMerge w:val="continue"/>
            <w:tcBorders>
              <w:top w:val="nil"/>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p>
        </w:tc>
        <w:tc>
          <w:tcPr>
            <w:tcW w:w="1224"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605"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　</w:t>
            </w:r>
          </w:p>
        </w:tc>
        <w:tc>
          <w:tcPr>
            <w:tcW w:w="4089" w:type="dxa"/>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　</w:t>
            </w:r>
          </w:p>
        </w:tc>
        <w:tc>
          <w:tcPr>
            <w:tcW w:w="168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879"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　</w:t>
            </w:r>
          </w:p>
        </w:tc>
      </w:tr>
      <w:tr>
        <w:tblPrEx>
          <w:tblLayout w:type="fixed"/>
          <w:tblCellMar>
            <w:top w:w="0" w:type="dxa"/>
            <w:left w:w="108" w:type="dxa"/>
            <w:bottom w:w="0" w:type="dxa"/>
            <w:right w:w="108" w:type="dxa"/>
          </w:tblCellMar>
        </w:tblPrEx>
        <w:trPr>
          <w:gridAfter w:val="5"/>
          <w:wAfter w:w="10932" w:type="dxa"/>
          <w:trHeight w:val="2220"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122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605" w:type="dxa"/>
            <w:gridSpan w:val="2"/>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资产安全完整，资产配置合理，资产使用和资产处理规范</w:t>
            </w:r>
          </w:p>
        </w:tc>
        <w:tc>
          <w:tcPr>
            <w:tcW w:w="4089" w:type="dxa"/>
            <w:gridSpan w:val="2"/>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资产安全完整，资产配置合理，资产使用和资产处理规范</w:t>
            </w: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87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r>
      <w:tr>
        <w:tblPrEx>
          <w:tblLayout w:type="fixed"/>
          <w:tblCellMar>
            <w:top w:w="0" w:type="dxa"/>
            <w:left w:w="108" w:type="dxa"/>
            <w:bottom w:w="0" w:type="dxa"/>
            <w:right w:w="108" w:type="dxa"/>
          </w:tblCellMar>
        </w:tblPrEx>
        <w:trPr>
          <w:gridAfter w:val="5"/>
          <w:wAfter w:w="10932" w:type="dxa"/>
          <w:trHeight w:val="1210"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1224"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2605" w:type="dxa"/>
            <w:gridSpan w:val="2"/>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绩效管理信息的汇总和应用完整有效</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绩效管理信息的汇总和应用完整有效</w:t>
            </w: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879" w:type="dxa"/>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r>
      <w:tr>
        <w:tblPrEx>
          <w:tblLayout w:type="fixed"/>
          <w:tblCellMar>
            <w:top w:w="0" w:type="dxa"/>
            <w:left w:w="108" w:type="dxa"/>
            <w:bottom w:w="0" w:type="dxa"/>
            <w:right w:w="108" w:type="dxa"/>
          </w:tblCellMar>
        </w:tblPrEx>
        <w:trPr>
          <w:gridAfter w:val="5"/>
          <w:wAfter w:w="10932" w:type="dxa"/>
          <w:trHeight w:val="394"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3829" w:type="dxa"/>
            <w:gridSpan w:val="3"/>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4089" w:type="dxa"/>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年</w:t>
            </w:r>
          </w:p>
        </w:tc>
        <w:tc>
          <w:tcPr>
            <w:tcW w:w="168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879"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3.5</w:t>
            </w: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gridAfter w:val="5"/>
          <w:wAfter w:w="10932" w:type="dxa"/>
          <w:trHeight w:val="1485"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top w:val="nil"/>
              <w:left w:val="nil"/>
              <w:bottom w:val="single" w:color="auto" w:sz="4" w:space="0"/>
              <w:right w:val="single" w:color="auto" w:sz="4" w:space="0"/>
            </w:tcBorders>
            <w:noWrap/>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3829" w:type="dxa"/>
            <w:gridSpan w:val="3"/>
            <w:tcBorders>
              <w:top w:val="single" w:color="auto" w:sz="4" w:space="0"/>
              <w:left w:val="nil"/>
              <w:bottom w:val="single" w:color="auto" w:sz="4" w:space="0"/>
              <w:right w:val="single" w:color="000000"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1.09</w:t>
            </w:r>
          </w:p>
        </w:tc>
        <w:tc>
          <w:tcPr>
            <w:tcW w:w="4089" w:type="dxa"/>
            <w:gridSpan w:val="2"/>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1.55</w:t>
            </w:r>
          </w:p>
        </w:tc>
        <w:tc>
          <w:tcPr>
            <w:tcW w:w="168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879"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r>
      <w:tr>
        <w:tblPrEx>
          <w:tblLayout w:type="fixed"/>
          <w:tblCellMar>
            <w:top w:w="0" w:type="dxa"/>
            <w:left w:w="108" w:type="dxa"/>
            <w:bottom w:w="0" w:type="dxa"/>
            <w:right w:w="108" w:type="dxa"/>
          </w:tblCellMar>
        </w:tblPrEx>
        <w:trPr>
          <w:gridAfter w:val="5"/>
          <w:wAfter w:w="10932" w:type="dxa"/>
          <w:trHeight w:val="1286" w:hRule="atLeast"/>
        </w:trPr>
        <w:tc>
          <w:tcPr>
            <w:tcW w:w="1471" w:type="dxa"/>
            <w:vMerge w:val="continue"/>
            <w:tcBorders>
              <w:top w:val="nil"/>
              <w:left w:val="single" w:color="auto" w:sz="4" w:space="0"/>
              <w:bottom w:val="single" w:color="000000" w:sz="4" w:space="0"/>
              <w:right w:val="single" w:color="auto" w:sz="4" w:space="0"/>
            </w:tcBorders>
            <w:noWrap/>
            <w:vAlign w:val="center"/>
          </w:tcPr>
          <w:p>
            <w:pPr>
              <w:widowControl/>
              <w:jc w:val="left"/>
              <w:rPr>
                <w:rFonts w:ascii="宋体" w:hAnsi="宋体" w:cs="宋体"/>
                <w:color w:val="000000"/>
                <w:kern w:val="0"/>
                <w:sz w:val="20"/>
                <w:szCs w:val="20"/>
              </w:rPr>
            </w:pPr>
          </w:p>
        </w:tc>
        <w:tc>
          <w:tcPr>
            <w:tcW w:w="1332" w:type="dxa"/>
            <w:tcBorders>
              <w:top w:val="nil"/>
              <w:left w:val="nil"/>
              <w:bottom w:val="single" w:color="auto" w:sz="4" w:space="0"/>
              <w:right w:val="single" w:color="auto" w:sz="4" w:space="0"/>
            </w:tcBorders>
            <w:noWrap/>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3829" w:type="dxa"/>
            <w:gridSpan w:val="3"/>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1.83</w:t>
            </w:r>
          </w:p>
        </w:tc>
        <w:tc>
          <w:tcPr>
            <w:tcW w:w="4089" w:type="dxa"/>
            <w:gridSpan w:val="2"/>
            <w:tcBorders>
              <w:top w:val="nil"/>
              <w:left w:val="single" w:color="auto" w:sz="4" w:space="0"/>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0.05</w:t>
            </w:r>
          </w:p>
        </w:tc>
        <w:tc>
          <w:tcPr>
            <w:tcW w:w="1682" w:type="dxa"/>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879"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gridAfter w:val="5"/>
          <w:wAfter w:w="10932" w:type="dxa"/>
          <w:trHeight w:val="484" w:hRule="atLeast"/>
        </w:trPr>
        <w:tc>
          <w:tcPr>
            <w:tcW w:w="280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9600" w:type="dxa"/>
            <w:gridSpan w:val="6"/>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879" w:type="dxa"/>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95.89</w:t>
            </w:r>
            <w:r>
              <w:rPr>
                <w:rFonts w:hint="eastAsia" w:ascii="宋体" w:hAnsi="宋体" w:cs="宋体"/>
                <w:color w:val="000000"/>
                <w:kern w:val="0"/>
                <w:sz w:val="20"/>
                <w:szCs w:val="20"/>
              </w:rPr>
              <w:t>　</w:t>
            </w:r>
          </w:p>
        </w:tc>
      </w:tr>
    </w:tbl>
    <w:p>
      <w:pPr>
        <w:pStyle w:val="2"/>
        <w:ind w:left="0" w:leftChars="0" w:firstLine="0" w:firstLineChars="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altName w:val="Arial Unicode MS"/>
    <w:panose1 w:val="00000000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21229"/>
    <w:rsid w:val="00012DCE"/>
    <w:rsid w:val="00021229"/>
    <w:rsid w:val="000773F8"/>
    <w:rsid w:val="00077B14"/>
    <w:rsid w:val="0008330B"/>
    <w:rsid w:val="00093E8E"/>
    <w:rsid w:val="000B5730"/>
    <w:rsid w:val="000E07E0"/>
    <w:rsid w:val="000E63A9"/>
    <w:rsid w:val="00121EC8"/>
    <w:rsid w:val="00141853"/>
    <w:rsid w:val="00151703"/>
    <w:rsid w:val="00177275"/>
    <w:rsid w:val="001854EB"/>
    <w:rsid w:val="00194AA3"/>
    <w:rsid w:val="001E1B0B"/>
    <w:rsid w:val="002014E1"/>
    <w:rsid w:val="002172BF"/>
    <w:rsid w:val="002176E8"/>
    <w:rsid w:val="002936A1"/>
    <w:rsid w:val="002D74EB"/>
    <w:rsid w:val="002E0C99"/>
    <w:rsid w:val="00301C84"/>
    <w:rsid w:val="003107CF"/>
    <w:rsid w:val="00317EFA"/>
    <w:rsid w:val="003416C8"/>
    <w:rsid w:val="00355CDB"/>
    <w:rsid w:val="0039027A"/>
    <w:rsid w:val="00396AAF"/>
    <w:rsid w:val="003B4DC7"/>
    <w:rsid w:val="003C4B20"/>
    <w:rsid w:val="003F7D50"/>
    <w:rsid w:val="00434A9B"/>
    <w:rsid w:val="00483492"/>
    <w:rsid w:val="004B3B6B"/>
    <w:rsid w:val="004C6C5D"/>
    <w:rsid w:val="004E0150"/>
    <w:rsid w:val="00526EC5"/>
    <w:rsid w:val="00553AF2"/>
    <w:rsid w:val="005A7AFF"/>
    <w:rsid w:val="005D6039"/>
    <w:rsid w:val="00612799"/>
    <w:rsid w:val="00633633"/>
    <w:rsid w:val="006475E4"/>
    <w:rsid w:val="006D7F4A"/>
    <w:rsid w:val="0070017C"/>
    <w:rsid w:val="00702BB7"/>
    <w:rsid w:val="00710F2E"/>
    <w:rsid w:val="00730295"/>
    <w:rsid w:val="00734D9A"/>
    <w:rsid w:val="00737048"/>
    <w:rsid w:val="00746A6F"/>
    <w:rsid w:val="007A2F72"/>
    <w:rsid w:val="0083454D"/>
    <w:rsid w:val="008407ED"/>
    <w:rsid w:val="00846BE1"/>
    <w:rsid w:val="008C799D"/>
    <w:rsid w:val="008D5CE6"/>
    <w:rsid w:val="009323F9"/>
    <w:rsid w:val="0097279E"/>
    <w:rsid w:val="00981886"/>
    <w:rsid w:val="009818B8"/>
    <w:rsid w:val="009B4BB2"/>
    <w:rsid w:val="009D629E"/>
    <w:rsid w:val="009E0FC5"/>
    <w:rsid w:val="00A0183E"/>
    <w:rsid w:val="00A018B0"/>
    <w:rsid w:val="00A535EE"/>
    <w:rsid w:val="00AD714C"/>
    <w:rsid w:val="00AF0772"/>
    <w:rsid w:val="00B5005F"/>
    <w:rsid w:val="00B50728"/>
    <w:rsid w:val="00B92A0E"/>
    <w:rsid w:val="00BA2563"/>
    <w:rsid w:val="00BD3C0A"/>
    <w:rsid w:val="00BF6C6D"/>
    <w:rsid w:val="00C07ABC"/>
    <w:rsid w:val="00C23D1D"/>
    <w:rsid w:val="00C26F8D"/>
    <w:rsid w:val="00C37A77"/>
    <w:rsid w:val="00C61304"/>
    <w:rsid w:val="00C71744"/>
    <w:rsid w:val="00C85B33"/>
    <w:rsid w:val="00C86ED6"/>
    <w:rsid w:val="00C93F98"/>
    <w:rsid w:val="00CB7802"/>
    <w:rsid w:val="00CC6E7A"/>
    <w:rsid w:val="00CD544A"/>
    <w:rsid w:val="00CD5DF5"/>
    <w:rsid w:val="00D26BA4"/>
    <w:rsid w:val="00D51E25"/>
    <w:rsid w:val="00D527B5"/>
    <w:rsid w:val="00DA6FE9"/>
    <w:rsid w:val="00E31B73"/>
    <w:rsid w:val="00E36602"/>
    <w:rsid w:val="00E57E82"/>
    <w:rsid w:val="00E611F0"/>
    <w:rsid w:val="00EC7899"/>
    <w:rsid w:val="00F02E67"/>
    <w:rsid w:val="00F34280"/>
    <w:rsid w:val="00F36928"/>
    <w:rsid w:val="00F618BC"/>
    <w:rsid w:val="00F72483"/>
    <w:rsid w:val="00FD50F0"/>
    <w:rsid w:val="01654833"/>
    <w:rsid w:val="048535EC"/>
    <w:rsid w:val="05D65607"/>
    <w:rsid w:val="0AA15729"/>
    <w:rsid w:val="0DBF4420"/>
    <w:rsid w:val="0EDF605F"/>
    <w:rsid w:val="104A1460"/>
    <w:rsid w:val="1055219C"/>
    <w:rsid w:val="10B51973"/>
    <w:rsid w:val="1111572F"/>
    <w:rsid w:val="11265408"/>
    <w:rsid w:val="11FE4BED"/>
    <w:rsid w:val="128D342C"/>
    <w:rsid w:val="15635074"/>
    <w:rsid w:val="171D7C9C"/>
    <w:rsid w:val="1793584B"/>
    <w:rsid w:val="189F2678"/>
    <w:rsid w:val="1ABC3756"/>
    <w:rsid w:val="1C574436"/>
    <w:rsid w:val="1E4455C2"/>
    <w:rsid w:val="2006692B"/>
    <w:rsid w:val="20270DE1"/>
    <w:rsid w:val="205F0BA9"/>
    <w:rsid w:val="224D5B1D"/>
    <w:rsid w:val="27E206DA"/>
    <w:rsid w:val="28273D8C"/>
    <w:rsid w:val="297D358D"/>
    <w:rsid w:val="29CD6ABC"/>
    <w:rsid w:val="29DC1C54"/>
    <w:rsid w:val="2A1538A6"/>
    <w:rsid w:val="2AF034D0"/>
    <w:rsid w:val="2BFA0EA5"/>
    <w:rsid w:val="2C133CDF"/>
    <w:rsid w:val="2DB03758"/>
    <w:rsid w:val="3090137D"/>
    <w:rsid w:val="31716369"/>
    <w:rsid w:val="31EB7A12"/>
    <w:rsid w:val="340867BA"/>
    <w:rsid w:val="3475246E"/>
    <w:rsid w:val="34F32A01"/>
    <w:rsid w:val="357F5034"/>
    <w:rsid w:val="36750645"/>
    <w:rsid w:val="38C413D5"/>
    <w:rsid w:val="38E53FD4"/>
    <w:rsid w:val="390068BA"/>
    <w:rsid w:val="3D4A6B2F"/>
    <w:rsid w:val="3DC16880"/>
    <w:rsid w:val="3E20421F"/>
    <w:rsid w:val="40680A92"/>
    <w:rsid w:val="425258F6"/>
    <w:rsid w:val="427829D7"/>
    <w:rsid w:val="42C6052F"/>
    <w:rsid w:val="43682C7F"/>
    <w:rsid w:val="43C44A6F"/>
    <w:rsid w:val="44401BD2"/>
    <w:rsid w:val="45825CA3"/>
    <w:rsid w:val="49BB0219"/>
    <w:rsid w:val="4D11739E"/>
    <w:rsid w:val="4D2C370A"/>
    <w:rsid w:val="4E567656"/>
    <w:rsid w:val="4EBB4911"/>
    <w:rsid w:val="4EE2142E"/>
    <w:rsid w:val="520C47BE"/>
    <w:rsid w:val="54413D9D"/>
    <w:rsid w:val="58000876"/>
    <w:rsid w:val="59385089"/>
    <w:rsid w:val="5A2449A8"/>
    <w:rsid w:val="5A596A4E"/>
    <w:rsid w:val="5C061C06"/>
    <w:rsid w:val="5E0A1513"/>
    <w:rsid w:val="5FB32610"/>
    <w:rsid w:val="61ED289B"/>
    <w:rsid w:val="631F5D49"/>
    <w:rsid w:val="65AF3691"/>
    <w:rsid w:val="66BE6155"/>
    <w:rsid w:val="6762160E"/>
    <w:rsid w:val="67A500F1"/>
    <w:rsid w:val="692B1C1A"/>
    <w:rsid w:val="6BAD7863"/>
    <w:rsid w:val="6C1A5F72"/>
    <w:rsid w:val="6CB66DB2"/>
    <w:rsid w:val="6DEF39C2"/>
    <w:rsid w:val="6EA208EC"/>
    <w:rsid w:val="6FA20492"/>
    <w:rsid w:val="705462C7"/>
    <w:rsid w:val="706572EB"/>
    <w:rsid w:val="725E1C3B"/>
    <w:rsid w:val="72FE71C1"/>
    <w:rsid w:val="73430E4E"/>
    <w:rsid w:val="744F06BF"/>
    <w:rsid w:val="74557BD0"/>
    <w:rsid w:val="747F0398"/>
    <w:rsid w:val="755C465D"/>
    <w:rsid w:val="77E54BF3"/>
    <w:rsid w:val="7A5C3AB8"/>
    <w:rsid w:val="7B296467"/>
    <w:rsid w:val="7F175B9F"/>
    <w:rsid w:val="7F5F12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1655</Words>
  <Characters>9439</Characters>
  <Lines>78</Lines>
  <Paragraphs>22</Paragraphs>
  <TotalTime>1</TotalTime>
  <ScaleCrop>false</ScaleCrop>
  <LinksUpToDate>false</LinksUpToDate>
  <CharactersWithSpaces>11072</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2022-08-23T02:39:00Z</dcterms:created>
  <dc:creator>lenovo</dc:creator>
  <cp:lastModifiedBy>Administrator</cp:lastModifiedBy>
  <dcterms:modified xsi:type="dcterms:W3CDTF">2025-08-26T08:17:51Z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2052-11.1.0.8980</vt:lpwstr>
  </property>
</Properties>
</file>