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审判法庭租金项目绩效评价报告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一、基本情况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由于房山法院现有审判大楼用房紧迫，不能满足日益增长的使用需求，房山法院从2016年7月开始租用了北京市房山区长阳镇清雅小区1#公建楼、2#公建楼作为长阳法庭、房山法院执行局在办公及处理执行案件。审判用房租金年初预算金额587.59万元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二、绩效评价工作开展情况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1.绩效评价目的。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按照北京市财政局（以下简称“市财政局”）关于“加强财政支出管理，强化支出责任，建立科学、合理的财政支出绩效评价管理体系，提高财政资金使用效益”的总体评价要求，通过开展绩效评价，分析财政支出的经济性、效率性和效益性，剖析项目决策、项目过程、项目产出和项目效益实现过程中存在的问题，有针对性地提出改进建议，促进项目单位提升预算绩效管理工作水平，提高财政资金使用的规范性、安全性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2.绩效评价原则。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评价工作组本着科学规范、公开公正、绩效相关的原则，通过现场及非现场方式进行资料收集、审核，采用全面评价和重点评价相结合的方式，运用因素分析法、比较法、公众评判法等分析方法，对项目决策、项目过程、项目产出和项目效益实现情况进行综合分析，梳理问题，分析成因，找出症结，提出建议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3.绩效评价工作过程。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202</w:t>
      </w: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黑体" w:eastAsia="仿宋_GB2312"/>
          <w:sz w:val="28"/>
          <w:szCs w:val="28"/>
        </w:rPr>
        <w:t>年5月初，房山法院成立了绩效评价工作组，对该项目进行绩效评价。评价工作组围绕项目特点和绩效评价重点进行内部研讨，制定评价工作实施方案，建立沟通协调机制；评价工作组根据绩效评价要求收集相应资料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三、综合评价情况及评价结论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1.项目产出情况。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（1）项目经济性分析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房山法院在执行项目预算时能够将项目成本控制在项目预算范围内。项目预算资金支出严格按照房山法院财务制度相关规定执行，没有挤占、挪用、虚列支出、无预算支出和其他资金损失浪费的现象。项目实施的经济性较好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（2）项目效率性分析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项目的实施进度：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房山法院审判区租金项目通过签订合同，并按合同支付租金，整体执行进度控制的较好。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项目完成质量：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房山法院租赁审判业务用房满足了正常工作需要，解决了审判法庭的办公需求，提高了法官办案效率，案件审判服务工作得以正常有序执行，项目完成质量较好。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2.项目效益情况。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（1）项目预期目标完成情况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项目预期总体目标为全面保障审判工作顺利开展，方便辖区当事人，房山法院租用长阳、</w:t>
      </w:r>
      <w:r>
        <w:rPr>
          <w:rFonts w:hint="eastAsia" w:ascii="仿宋_GB2312" w:hAnsi="黑体" w:eastAsia="仿宋_GB2312"/>
          <w:sz w:val="28"/>
          <w:szCs w:val="28"/>
          <w:lang w:eastAsia="zh-CN"/>
        </w:rPr>
        <w:t>执行局</w:t>
      </w:r>
      <w:r>
        <w:rPr>
          <w:rFonts w:hint="eastAsia" w:ascii="仿宋_GB2312" w:hAnsi="黑体" w:eastAsia="仿宋_GB2312"/>
          <w:sz w:val="28"/>
          <w:szCs w:val="28"/>
        </w:rPr>
        <w:t>两地办公用房用做审判法庭，为房山法院审判服务提供稳定场所，保障了审判服务有序开展。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（2）项目实施对社会的影响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该项目的实施，解决了办公用房需求，保障审判工作顺利开展，方便辖区当事人，提升了房山法院的社会影响力。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（3）项目可持续影响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审判区租金项目是一项长期性、延续性项目。通过实施该项目为法庭审判服务提供了持续、稳定场所，保障审判工作顺利开展，方便辖区当事人，使审判工作持续高效运转。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（4）服务对象满意度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评价工作组向房山法院辖区当事人满意度下发了《满意度调查表》，对项目预期服务对象进行满意度调查，调查显示，辖区当事人满意度达83.5%，整体达到绩效目标。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项目总体评价</w:t>
      </w: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90.42</w:t>
      </w:r>
      <w:r>
        <w:rPr>
          <w:rFonts w:hint="eastAsia" w:ascii="仿宋_GB2312" w:hAnsi="黑体" w:eastAsia="仿宋_GB2312"/>
          <w:sz w:val="28"/>
          <w:szCs w:val="28"/>
        </w:rPr>
        <w:t>分。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四、绩效评价指标分析</w:t>
      </w:r>
    </w:p>
    <w:p>
      <w:pPr>
        <w:spacing w:line="600" w:lineRule="exact"/>
        <w:ind w:firstLine="560" w:firstLineChars="200"/>
        <w:outlineLvl w:val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1.项目决策情况。</w:t>
      </w:r>
    </w:p>
    <w:p>
      <w:pPr>
        <w:spacing w:line="600" w:lineRule="exact"/>
        <w:ind w:firstLine="560" w:firstLineChars="200"/>
        <w:outlineLvl w:val="0"/>
        <w:rPr>
          <w:rFonts w:ascii="仿宋_GB2312" w:eastAsia="仿宋_GB2312"/>
          <w:sz w:val="28"/>
          <w:szCs w:val="28"/>
        </w:rPr>
      </w:pPr>
      <w:r>
        <w:rPr>
          <w:rFonts w:ascii="Arial Narrow" w:hAnsi="Arial Narrow" w:eastAsia="仿宋_GB2312" w:cs="仿宋_GB2312"/>
          <w:sz w:val="28"/>
          <w:szCs w:val="28"/>
        </w:rPr>
        <w:t>依据房山法院现有相关规章制度，</w:t>
      </w:r>
      <w:r>
        <w:rPr>
          <w:rFonts w:hint="eastAsia" w:ascii="Arial Narrow" w:hAnsi="Arial Narrow" w:eastAsia="仿宋_GB2312" w:cs="仿宋_GB2312"/>
          <w:sz w:val="28"/>
          <w:szCs w:val="28"/>
        </w:rPr>
        <w:t>审判区租金项目</w:t>
      </w:r>
      <w:r>
        <w:rPr>
          <w:rFonts w:ascii="Arial Narrow" w:hAnsi="Arial Narrow" w:eastAsia="仿宋_GB2312" w:cs="仿宋_GB2312"/>
          <w:sz w:val="28"/>
          <w:szCs w:val="28"/>
        </w:rPr>
        <w:t>由房山法院</w:t>
      </w:r>
      <w:r>
        <w:rPr>
          <w:rFonts w:hint="eastAsia" w:ascii="Arial Narrow" w:hAnsi="Arial Narrow" w:eastAsia="仿宋_GB2312" w:cs="仿宋_GB2312"/>
          <w:sz w:val="28"/>
          <w:szCs w:val="28"/>
          <w:lang w:eastAsia="zh-CN"/>
        </w:rPr>
        <w:t>综合事务中心</w:t>
      </w:r>
      <w:r>
        <w:rPr>
          <w:rFonts w:ascii="Arial Narrow" w:hAnsi="Arial Narrow" w:eastAsia="仿宋_GB2312" w:cs="仿宋_GB2312"/>
          <w:sz w:val="28"/>
          <w:szCs w:val="28"/>
        </w:rPr>
        <w:t>负责组织实施管理，根据预算批复</w:t>
      </w:r>
      <w:r>
        <w:rPr>
          <w:rFonts w:hint="eastAsia" w:ascii="Arial Narrow" w:hAnsi="Arial Narrow" w:eastAsia="仿宋_GB2312" w:cs="仿宋_GB2312"/>
          <w:sz w:val="28"/>
          <w:szCs w:val="28"/>
        </w:rPr>
        <w:t>和项目计划</w:t>
      </w:r>
      <w:r>
        <w:rPr>
          <w:rFonts w:ascii="Arial Narrow" w:hAnsi="Arial Narrow" w:eastAsia="仿宋_GB2312" w:cs="仿宋_GB2312"/>
          <w:sz w:val="28"/>
          <w:szCs w:val="28"/>
        </w:rPr>
        <w:t>做好相关</w:t>
      </w:r>
      <w:r>
        <w:rPr>
          <w:rFonts w:hint="eastAsia" w:ascii="Arial Narrow" w:hAnsi="Arial Narrow" w:eastAsia="仿宋_GB2312" w:cs="仿宋_GB2312"/>
          <w:sz w:val="28"/>
          <w:szCs w:val="28"/>
        </w:rPr>
        <w:t>房屋</w:t>
      </w:r>
      <w:r>
        <w:rPr>
          <w:rFonts w:ascii="Arial Narrow" w:hAnsi="Arial Narrow" w:eastAsia="仿宋_GB2312" w:cs="仿宋_GB2312"/>
          <w:sz w:val="28"/>
          <w:szCs w:val="28"/>
        </w:rPr>
        <w:t>租赁工作。该项目组织机构健全，组织分工明确。</w:t>
      </w:r>
    </w:p>
    <w:p>
      <w:pPr>
        <w:spacing w:line="600" w:lineRule="exact"/>
        <w:ind w:firstLine="560" w:firstLineChars="200"/>
        <w:outlineLvl w:val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2.项目过程情况。</w:t>
      </w:r>
    </w:p>
    <w:p>
      <w:pPr>
        <w:spacing w:line="360" w:lineRule="auto"/>
        <w:ind w:firstLine="560" w:firstLineChars="200"/>
        <w:outlineLvl w:val="0"/>
        <w:rPr>
          <w:rFonts w:ascii="Arial Narrow" w:hAnsi="Arial Narrow" w:eastAsia="仿宋_GB2312" w:cs="仿宋_GB2312"/>
          <w:sz w:val="28"/>
          <w:szCs w:val="28"/>
        </w:rPr>
      </w:pPr>
      <w:r>
        <w:rPr>
          <w:rFonts w:ascii="Arial Narrow" w:hAnsi="Arial Narrow" w:eastAsia="仿宋_GB2312" w:cs="仿宋_GB2312"/>
          <w:sz w:val="28"/>
          <w:szCs w:val="28"/>
        </w:rPr>
        <w:t>根据《北京市房山区人民法院</w:t>
      </w:r>
      <w:r>
        <w:rPr>
          <w:rFonts w:hint="eastAsia" w:ascii="Arial Narrow" w:hAnsi="Arial Narrow" w:eastAsia="仿宋_GB2312" w:cs="仿宋_GB2312"/>
          <w:sz w:val="28"/>
          <w:szCs w:val="28"/>
        </w:rPr>
        <w:t>财务</w:t>
      </w:r>
      <w:r>
        <w:rPr>
          <w:rFonts w:ascii="Arial Narrow" w:hAnsi="Arial Narrow" w:eastAsia="仿宋_GB2312" w:cs="仿宋_GB2312"/>
          <w:sz w:val="28"/>
          <w:szCs w:val="28"/>
        </w:rPr>
        <w:t>管理办法》</w:t>
      </w:r>
      <w:r>
        <w:rPr>
          <w:rFonts w:hint="eastAsia" w:ascii="Arial Narrow" w:hAnsi="Arial Narrow" w:eastAsia="仿宋_GB2312" w:cs="仿宋_GB2312"/>
          <w:sz w:val="28"/>
          <w:szCs w:val="28"/>
        </w:rPr>
        <w:t>，</w:t>
      </w:r>
      <w:r>
        <w:rPr>
          <w:rFonts w:ascii="Arial Narrow" w:hAnsi="Arial Narrow" w:eastAsia="仿宋_GB2312" w:cs="仿宋_GB2312"/>
          <w:sz w:val="28"/>
          <w:szCs w:val="28"/>
        </w:rPr>
        <w:t>房山法院由</w:t>
      </w:r>
      <w:r>
        <w:rPr>
          <w:rFonts w:hint="eastAsia" w:ascii="Arial Narrow" w:hAnsi="Arial Narrow" w:eastAsia="仿宋_GB2312" w:cs="仿宋_GB2312"/>
          <w:sz w:val="28"/>
          <w:szCs w:val="28"/>
          <w:lang w:eastAsia="zh-CN"/>
        </w:rPr>
        <w:t>综合办公室</w:t>
      </w:r>
      <w:r>
        <w:rPr>
          <w:rFonts w:ascii="Arial Narrow" w:hAnsi="Arial Narrow" w:eastAsia="仿宋_GB2312" w:cs="仿宋_GB2312"/>
          <w:sz w:val="28"/>
          <w:szCs w:val="28"/>
        </w:rPr>
        <w:t>统一管理</w:t>
      </w:r>
      <w:r>
        <w:rPr>
          <w:rFonts w:hint="eastAsia" w:ascii="Arial Narrow" w:hAnsi="Arial Narrow" w:eastAsia="仿宋_GB2312" w:cs="仿宋_GB2312"/>
          <w:sz w:val="28"/>
          <w:szCs w:val="28"/>
        </w:rPr>
        <w:t>该</w:t>
      </w:r>
      <w:r>
        <w:rPr>
          <w:rFonts w:ascii="Arial Narrow" w:hAnsi="Arial Narrow" w:eastAsia="仿宋_GB2312" w:cs="仿宋_GB2312"/>
          <w:sz w:val="28"/>
          <w:szCs w:val="28"/>
        </w:rPr>
        <w:t>项目支出。根据市财政相关规定，房山法院制定并完善了该项目的</w:t>
      </w:r>
      <w:r>
        <w:rPr>
          <w:rFonts w:hint="eastAsia" w:ascii="Arial Narrow" w:hAnsi="Arial Narrow" w:eastAsia="仿宋_GB2312" w:cs="仿宋_GB2312"/>
          <w:sz w:val="28"/>
          <w:szCs w:val="28"/>
        </w:rPr>
        <w:t>预算批复和项目</w:t>
      </w:r>
      <w:r>
        <w:rPr>
          <w:rFonts w:ascii="Arial Narrow" w:hAnsi="Arial Narrow" w:eastAsia="仿宋_GB2312" w:cs="仿宋_GB2312"/>
          <w:sz w:val="28"/>
          <w:szCs w:val="28"/>
        </w:rPr>
        <w:t>执行</w:t>
      </w:r>
      <w:r>
        <w:rPr>
          <w:rFonts w:hint="eastAsia" w:ascii="Arial Narrow" w:hAnsi="Arial Narrow" w:eastAsia="仿宋_GB2312" w:cs="仿宋_GB2312"/>
          <w:sz w:val="28"/>
          <w:szCs w:val="28"/>
        </w:rPr>
        <w:t>计划，</w:t>
      </w:r>
      <w:r>
        <w:rPr>
          <w:rFonts w:ascii="Arial Narrow" w:hAnsi="Arial Narrow" w:eastAsia="仿宋_GB2312" w:cs="仿宋_GB2312"/>
          <w:sz w:val="28"/>
          <w:szCs w:val="28"/>
        </w:rPr>
        <w:t>并做好管控工作。</w:t>
      </w:r>
      <w:r>
        <w:rPr>
          <w:rFonts w:hint="eastAsia" w:ascii="Arial Narrow" w:hAnsi="Arial Narrow" w:eastAsia="仿宋_GB2312" w:cs="仿宋_GB2312"/>
          <w:sz w:val="28"/>
          <w:szCs w:val="28"/>
          <w:lang w:eastAsia="zh-CN"/>
        </w:rPr>
        <w:t>综合办公室财务组</w:t>
      </w:r>
      <w:bookmarkStart w:id="0" w:name="_GoBack"/>
      <w:bookmarkEnd w:id="0"/>
      <w:r>
        <w:rPr>
          <w:rFonts w:ascii="Arial Narrow" w:hAnsi="Arial Narrow" w:eastAsia="仿宋_GB2312" w:cs="仿宋_GB2312"/>
          <w:sz w:val="28"/>
          <w:szCs w:val="28"/>
        </w:rPr>
        <w:t>负责项目监督把关，对项目资金支出进行逐级把关核签的监督制约流程，严格控制项目资金的支出和使用</w:t>
      </w:r>
      <w:r>
        <w:rPr>
          <w:rFonts w:hint="eastAsia" w:ascii="Arial Narrow" w:hAnsi="Arial Narrow" w:eastAsia="仿宋_GB2312" w:cs="仿宋_GB2312"/>
          <w:sz w:val="28"/>
          <w:szCs w:val="28"/>
        </w:rPr>
        <w:t>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五、主要经验及做法、存在的问题及原因分析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绩效目标细化程度不高，绩效体系设置方面特色不突出。</w:t>
      </w:r>
    </w:p>
    <w:p>
      <w:pPr>
        <w:spacing w:line="360" w:lineRule="auto"/>
        <w:ind w:firstLine="560" w:firstLineChars="200"/>
        <w:outlineLvl w:val="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六、有关建议</w:t>
      </w:r>
    </w:p>
    <w:p>
      <w:pPr>
        <w:ind w:firstLine="560" w:firstLineChars="20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无。</w:t>
      </w:r>
    </w:p>
    <w:p>
      <w:pPr>
        <w:ind w:firstLine="560" w:firstLineChars="20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七、其他需要说明的问题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734B"/>
    <w:rsid w:val="001840F1"/>
    <w:rsid w:val="001C78FF"/>
    <w:rsid w:val="0025734B"/>
    <w:rsid w:val="003C703F"/>
    <w:rsid w:val="004A7539"/>
    <w:rsid w:val="004E2450"/>
    <w:rsid w:val="005D39FE"/>
    <w:rsid w:val="005E03E6"/>
    <w:rsid w:val="00752E34"/>
    <w:rsid w:val="008A3488"/>
    <w:rsid w:val="00A80356"/>
    <w:rsid w:val="00AF73A3"/>
    <w:rsid w:val="00B30F92"/>
    <w:rsid w:val="00EF0726"/>
    <w:rsid w:val="1DA15B0F"/>
    <w:rsid w:val="4A1973D9"/>
    <w:rsid w:val="6B537E9E"/>
    <w:rsid w:val="735D1D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242</Words>
  <Characters>1386</Characters>
  <Lines>11</Lines>
  <Paragraphs>3</Paragraphs>
  <TotalTime>23</TotalTime>
  <ScaleCrop>false</ScaleCrop>
  <LinksUpToDate>false</LinksUpToDate>
  <CharactersWithSpaces>1625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2022-06-08T07:58:00Z</dcterms:created>
  <dc:creator>lenovo</dc:creator>
  <cp:lastModifiedBy>Administrator</cp:lastModifiedBy>
  <dcterms:modified xsi:type="dcterms:W3CDTF">2025-04-29T07:56:47Z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