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方正小标宋简体" w:hAnsi="黑体" w:eastAsia="方正小标宋简体"/>
          <w:color w:val="auto"/>
          <w:sz w:val="36"/>
          <w:szCs w:val="36"/>
        </w:rPr>
      </w:pPr>
      <w:r>
        <w:rPr>
          <w:rFonts w:hint="eastAsia" w:ascii="方正小标宋简体" w:hAnsi="黑体" w:eastAsia="方正小标宋简体"/>
          <w:color w:val="auto"/>
          <w:sz w:val="36"/>
          <w:szCs w:val="36"/>
        </w:rPr>
        <w:t>项目支出绩效自评表</w:t>
      </w:r>
    </w:p>
    <w:p>
      <w:pPr>
        <w:spacing w:line="480" w:lineRule="exact"/>
        <w:jc w:val="center"/>
        <w:rPr>
          <w:rFonts w:ascii="仿宋_GB2312" w:hAnsi="宋体" w:eastAsia="仿宋_GB2312"/>
          <w:color w:val="auto"/>
          <w:sz w:val="28"/>
          <w:szCs w:val="28"/>
        </w:rPr>
      </w:pPr>
      <w:r>
        <w:rPr>
          <w:rFonts w:hint="default" w:ascii="仿宋_GB2312" w:hAnsi="宋体" w:eastAsia="仿宋_GB2312"/>
          <w:color w:val="auto"/>
          <w:sz w:val="28"/>
          <w:szCs w:val="28"/>
          <w:lang w:val="en"/>
        </w:rPr>
        <w:t>(2024</w:t>
      </w:r>
      <w:r>
        <w:rPr>
          <w:rFonts w:hint="eastAsia" w:ascii="仿宋_GB2312" w:hAnsi="宋体" w:eastAsia="仿宋_GB2312"/>
          <w:color w:val="auto"/>
          <w:sz w:val="28"/>
          <w:szCs w:val="28"/>
        </w:rPr>
        <w:t>年度）</w:t>
      </w:r>
    </w:p>
    <w:p>
      <w:pPr>
        <w:spacing w:line="240" w:lineRule="exact"/>
        <w:rPr>
          <w:rFonts w:hint="eastAsia" w:ascii="仿宋_GB2312" w:hAnsi="宋体" w:eastAsia="仿宋_GB2312"/>
          <w:color w:val="auto"/>
          <w:sz w:val="30"/>
          <w:szCs w:val="30"/>
        </w:rPr>
      </w:pPr>
    </w:p>
    <w:tbl>
      <w:tblPr>
        <w:tblStyle w:val="6"/>
        <w:tblW w:w="10498" w:type="dxa"/>
        <w:jc w:val="center"/>
        <w:tblLayout w:type="fixed"/>
        <w:tblCellMar>
          <w:top w:w="0" w:type="dxa"/>
          <w:left w:w="108" w:type="dxa"/>
          <w:bottom w:w="0" w:type="dxa"/>
          <w:right w:w="108" w:type="dxa"/>
        </w:tblCellMar>
      </w:tblPr>
      <w:tblGrid>
        <w:gridCol w:w="780"/>
        <w:gridCol w:w="1113"/>
        <w:gridCol w:w="1105"/>
        <w:gridCol w:w="727"/>
        <w:gridCol w:w="1429"/>
        <w:gridCol w:w="1338"/>
        <w:gridCol w:w="1009"/>
        <w:gridCol w:w="313"/>
        <w:gridCol w:w="396"/>
        <w:gridCol w:w="396"/>
        <w:gridCol w:w="401"/>
        <w:gridCol w:w="537"/>
        <w:gridCol w:w="954"/>
      </w:tblGrid>
      <w:tr>
        <w:tblPrEx>
          <w:tblCellMar>
            <w:top w:w="0" w:type="dxa"/>
            <w:left w:w="108" w:type="dxa"/>
            <w:bottom w:w="0" w:type="dxa"/>
            <w:right w:w="108" w:type="dxa"/>
          </w:tblCellMar>
        </w:tblPrEx>
        <w:trPr>
          <w:trHeight w:val="351" w:hRule="exact"/>
          <w:jc w:val="center"/>
        </w:trPr>
        <w:tc>
          <w:tcPr>
            <w:tcW w:w="189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8605" w:type="dxa"/>
            <w:gridSpan w:val="11"/>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szCs w:val="21"/>
                <w:lang w:val="en-US" w:eastAsia="zh-CN"/>
              </w:rPr>
              <w:t>北京市农村经济研究中心信息化系统运维经费项目</w:t>
            </w:r>
          </w:p>
        </w:tc>
      </w:tr>
      <w:tr>
        <w:tblPrEx>
          <w:tblCellMar>
            <w:top w:w="0" w:type="dxa"/>
            <w:left w:w="108" w:type="dxa"/>
            <w:bottom w:w="0" w:type="dxa"/>
            <w:right w:w="108" w:type="dxa"/>
          </w:tblCellMar>
        </w:tblPrEx>
        <w:trPr>
          <w:trHeight w:val="750" w:hRule="exact"/>
          <w:jc w:val="center"/>
        </w:trPr>
        <w:tc>
          <w:tcPr>
            <w:tcW w:w="189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w:t>
            </w:r>
          </w:p>
        </w:tc>
        <w:tc>
          <w:tcPr>
            <w:tcW w:w="4599" w:type="dxa"/>
            <w:gridSpan w:val="4"/>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北京市农村经济研究中心</w:t>
            </w:r>
          </w:p>
        </w:tc>
        <w:tc>
          <w:tcPr>
            <w:tcW w:w="132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实施单位</w:t>
            </w:r>
          </w:p>
        </w:tc>
        <w:tc>
          <w:tcPr>
            <w:tcW w:w="2684"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Cs w:val="21"/>
              </w:rPr>
              <w:t>北京市农村经济研究中心机关</w:t>
            </w:r>
          </w:p>
        </w:tc>
      </w:tr>
      <w:tr>
        <w:tblPrEx>
          <w:tblCellMar>
            <w:top w:w="0" w:type="dxa"/>
            <w:left w:w="108" w:type="dxa"/>
            <w:bottom w:w="0" w:type="dxa"/>
            <w:right w:w="108" w:type="dxa"/>
          </w:tblCellMar>
        </w:tblPrEx>
        <w:trPr>
          <w:trHeight w:val="567" w:hRule="exact"/>
          <w:jc w:val="center"/>
        </w:trPr>
        <w:tc>
          <w:tcPr>
            <w:tcW w:w="189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项目资金</w:t>
            </w:r>
            <w:r>
              <w:rPr>
                <w:rFonts w:hint="eastAsia" w:ascii="仿宋_GB2312" w:hAnsi="仿宋_GB2312" w:eastAsia="仿宋_GB2312" w:cs="仿宋_GB2312"/>
                <w:color w:val="auto"/>
                <w:kern w:val="0"/>
                <w:sz w:val="21"/>
                <w:szCs w:val="21"/>
              </w:rPr>
              <w:br w:type="textWrapping"/>
            </w:r>
            <w:r>
              <w:rPr>
                <w:rFonts w:hint="eastAsia" w:ascii="仿宋_GB2312" w:hAnsi="仿宋_GB2312" w:eastAsia="仿宋_GB2312" w:cs="仿宋_GB2312"/>
                <w:color w:val="auto"/>
                <w:kern w:val="0"/>
                <w:sz w:val="21"/>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429"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 w:val="21"/>
                <w:szCs w:val="21"/>
              </w:rPr>
              <w:t>年初预</w:t>
            </w:r>
          </w:p>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算数</w:t>
            </w:r>
          </w:p>
        </w:tc>
        <w:tc>
          <w:tcPr>
            <w:tcW w:w="1338"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 w:val="21"/>
                <w:szCs w:val="21"/>
              </w:rPr>
              <w:t>全年预</w:t>
            </w:r>
          </w:p>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算数</w:t>
            </w:r>
          </w:p>
        </w:tc>
        <w:tc>
          <w:tcPr>
            <w:tcW w:w="132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 w:val="21"/>
                <w:szCs w:val="21"/>
              </w:rPr>
              <w:t>全年</w:t>
            </w:r>
          </w:p>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执行数</w:t>
            </w:r>
          </w:p>
        </w:tc>
        <w:tc>
          <w:tcPr>
            <w:tcW w:w="79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分值</w:t>
            </w:r>
          </w:p>
        </w:tc>
        <w:tc>
          <w:tcPr>
            <w:tcW w:w="938"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执行率</w:t>
            </w:r>
          </w:p>
        </w:tc>
        <w:tc>
          <w:tcPr>
            <w:tcW w:w="954"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得分</w:t>
            </w:r>
          </w:p>
        </w:tc>
      </w:tr>
      <w:tr>
        <w:tblPrEx>
          <w:tblCellMar>
            <w:top w:w="0" w:type="dxa"/>
            <w:left w:w="108" w:type="dxa"/>
            <w:bottom w:w="0" w:type="dxa"/>
            <w:right w:w="108" w:type="dxa"/>
          </w:tblCellMar>
        </w:tblPrEx>
        <w:trPr>
          <w:trHeight w:val="556" w:hRule="exact"/>
          <w:jc w:val="center"/>
        </w:trPr>
        <w:tc>
          <w:tcPr>
            <w:tcW w:w="189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年度资金总额</w:t>
            </w:r>
          </w:p>
        </w:tc>
        <w:tc>
          <w:tcPr>
            <w:tcW w:w="1429"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103.423344</w:t>
            </w:r>
          </w:p>
        </w:tc>
        <w:tc>
          <w:tcPr>
            <w:tcW w:w="1338"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103.423344</w:t>
            </w:r>
          </w:p>
        </w:tc>
        <w:tc>
          <w:tcPr>
            <w:tcW w:w="132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98.423344</w:t>
            </w:r>
          </w:p>
        </w:tc>
        <w:tc>
          <w:tcPr>
            <w:tcW w:w="79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10</w:t>
            </w:r>
            <w:r>
              <w:rPr>
                <w:rFonts w:hint="eastAsia" w:ascii="仿宋_GB2312" w:hAnsi="仿宋_GB2312" w:eastAsia="仿宋_GB2312" w:cs="仿宋_GB2312"/>
                <w:color w:val="auto"/>
                <w:kern w:val="0"/>
                <w:sz w:val="21"/>
                <w:szCs w:val="21"/>
                <w:lang w:val="en-US" w:eastAsia="zh-CN"/>
              </w:rPr>
              <w:t>.00</w:t>
            </w:r>
          </w:p>
        </w:tc>
        <w:tc>
          <w:tcPr>
            <w:tcW w:w="938"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95.17%</w:t>
            </w:r>
          </w:p>
        </w:tc>
        <w:tc>
          <w:tcPr>
            <w:tcW w:w="954"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9.52</w:t>
            </w:r>
          </w:p>
        </w:tc>
      </w:tr>
      <w:tr>
        <w:tblPrEx>
          <w:tblCellMar>
            <w:top w:w="0" w:type="dxa"/>
            <w:left w:w="108" w:type="dxa"/>
            <w:bottom w:w="0" w:type="dxa"/>
            <w:right w:w="108" w:type="dxa"/>
          </w:tblCellMar>
        </w:tblPrEx>
        <w:trPr>
          <w:trHeight w:val="801" w:hRule="exact"/>
          <w:jc w:val="center"/>
        </w:trPr>
        <w:tc>
          <w:tcPr>
            <w:tcW w:w="189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 w:val="21"/>
                <w:szCs w:val="21"/>
              </w:rPr>
              <w:t>其中：当年财政</w:t>
            </w:r>
          </w:p>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拨款</w:t>
            </w:r>
          </w:p>
        </w:tc>
        <w:tc>
          <w:tcPr>
            <w:tcW w:w="1429"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103.423344</w:t>
            </w:r>
          </w:p>
        </w:tc>
        <w:tc>
          <w:tcPr>
            <w:tcW w:w="1338"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103.423344</w:t>
            </w:r>
          </w:p>
        </w:tc>
        <w:tc>
          <w:tcPr>
            <w:tcW w:w="132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98.423344</w:t>
            </w:r>
          </w:p>
        </w:tc>
        <w:tc>
          <w:tcPr>
            <w:tcW w:w="79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10</w:t>
            </w:r>
            <w:r>
              <w:rPr>
                <w:rFonts w:hint="eastAsia" w:ascii="仿宋_GB2312" w:hAnsi="仿宋_GB2312" w:eastAsia="仿宋_GB2312" w:cs="仿宋_GB2312"/>
                <w:color w:val="auto"/>
                <w:kern w:val="0"/>
                <w:sz w:val="21"/>
                <w:szCs w:val="21"/>
                <w:lang w:val="en-US" w:eastAsia="zh-CN"/>
              </w:rPr>
              <w:t>.00</w:t>
            </w:r>
          </w:p>
        </w:tc>
        <w:tc>
          <w:tcPr>
            <w:tcW w:w="938"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95.17%</w:t>
            </w:r>
          </w:p>
        </w:tc>
        <w:tc>
          <w:tcPr>
            <w:tcW w:w="954"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9.52</w:t>
            </w:r>
          </w:p>
        </w:tc>
      </w:tr>
      <w:tr>
        <w:tblPrEx>
          <w:tblCellMar>
            <w:top w:w="0" w:type="dxa"/>
            <w:left w:w="108" w:type="dxa"/>
            <w:bottom w:w="0" w:type="dxa"/>
            <w:right w:w="108" w:type="dxa"/>
          </w:tblCellMar>
        </w:tblPrEx>
        <w:trPr>
          <w:trHeight w:val="429" w:hRule="exact"/>
          <w:jc w:val="center"/>
        </w:trPr>
        <w:tc>
          <w:tcPr>
            <w:tcW w:w="189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上年结转资金</w:t>
            </w:r>
          </w:p>
        </w:tc>
        <w:tc>
          <w:tcPr>
            <w:tcW w:w="1429"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0.000000</w:t>
            </w:r>
          </w:p>
        </w:tc>
        <w:tc>
          <w:tcPr>
            <w:tcW w:w="1338"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0.000000</w:t>
            </w:r>
          </w:p>
        </w:tc>
        <w:tc>
          <w:tcPr>
            <w:tcW w:w="132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0.000000</w:t>
            </w:r>
          </w:p>
        </w:tc>
        <w:tc>
          <w:tcPr>
            <w:tcW w:w="79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w:t>
            </w:r>
          </w:p>
        </w:tc>
        <w:tc>
          <w:tcPr>
            <w:tcW w:w="938"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w:t>
            </w:r>
          </w:p>
        </w:tc>
        <w:tc>
          <w:tcPr>
            <w:tcW w:w="954"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w:t>
            </w:r>
          </w:p>
        </w:tc>
      </w:tr>
      <w:tr>
        <w:tblPrEx>
          <w:tblCellMar>
            <w:top w:w="0" w:type="dxa"/>
            <w:left w:w="108" w:type="dxa"/>
            <w:bottom w:w="0" w:type="dxa"/>
            <w:right w:w="108" w:type="dxa"/>
          </w:tblCellMar>
        </w:tblPrEx>
        <w:trPr>
          <w:trHeight w:val="451" w:hRule="exact"/>
          <w:jc w:val="center"/>
        </w:trPr>
        <w:tc>
          <w:tcPr>
            <w:tcW w:w="189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其他资金</w:t>
            </w:r>
          </w:p>
        </w:tc>
        <w:tc>
          <w:tcPr>
            <w:tcW w:w="1429"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0.000000</w:t>
            </w:r>
          </w:p>
        </w:tc>
        <w:tc>
          <w:tcPr>
            <w:tcW w:w="1338"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0.000000</w:t>
            </w:r>
          </w:p>
        </w:tc>
        <w:tc>
          <w:tcPr>
            <w:tcW w:w="132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0.000000</w:t>
            </w:r>
          </w:p>
        </w:tc>
        <w:tc>
          <w:tcPr>
            <w:tcW w:w="792" w:type="dxa"/>
            <w:gridSpan w:val="2"/>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w:t>
            </w:r>
          </w:p>
        </w:tc>
        <w:tc>
          <w:tcPr>
            <w:tcW w:w="938"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w:t>
            </w:r>
          </w:p>
        </w:tc>
        <w:tc>
          <w:tcPr>
            <w:tcW w:w="954" w:type="dxa"/>
            <w:tcBorders>
              <w:top w:val="nil"/>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w:t>
            </w:r>
          </w:p>
        </w:tc>
      </w:tr>
      <w:tr>
        <w:tblPrEx>
          <w:tblCellMar>
            <w:top w:w="0" w:type="dxa"/>
            <w:left w:w="108" w:type="dxa"/>
            <w:bottom w:w="0" w:type="dxa"/>
            <w:right w:w="108" w:type="dxa"/>
          </w:tblCellMar>
        </w:tblPrEx>
        <w:trPr>
          <w:trHeight w:val="433" w:hRule="exact"/>
          <w:jc w:val="center"/>
        </w:trPr>
        <w:tc>
          <w:tcPr>
            <w:tcW w:w="780" w:type="dxa"/>
            <w:vMerge w:val="restart"/>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年度总体目标</w:t>
            </w:r>
          </w:p>
        </w:tc>
        <w:tc>
          <w:tcPr>
            <w:tcW w:w="5712"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预期目标</w:t>
            </w:r>
          </w:p>
        </w:tc>
        <w:tc>
          <w:tcPr>
            <w:tcW w:w="4006" w:type="dxa"/>
            <w:gridSpan w:val="7"/>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实际完成情况</w:t>
            </w:r>
          </w:p>
        </w:tc>
      </w:tr>
      <w:tr>
        <w:tblPrEx>
          <w:tblCellMar>
            <w:top w:w="0" w:type="dxa"/>
            <w:left w:w="108" w:type="dxa"/>
            <w:bottom w:w="0" w:type="dxa"/>
            <w:right w:w="108" w:type="dxa"/>
          </w:tblCellMar>
        </w:tblPrEx>
        <w:trPr>
          <w:trHeight w:val="1752" w:hRule="exac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5712" w:type="dxa"/>
            <w:gridSpan w:val="5"/>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szCs w:val="21"/>
                <w:lang w:val="en-US" w:eastAsia="zh-CN"/>
              </w:rPr>
              <w:t>通过项目，保证市农研中心信息系统、网站、办公终端安全、平稳运行，有力保障市农研中心以调研及政策咨询为中心的各项工作任务圆满完成。</w:t>
            </w:r>
          </w:p>
        </w:tc>
        <w:tc>
          <w:tcPr>
            <w:tcW w:w="4006" w:type="dxa"/>
            <w:gridSpan w:val="7"/>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rPr>
            </w:pPr>
            <w:r>
              <w:rPr>
                <w:rFonts w:hint="eastAsia" w:ascii="仿宋_GB2312" w:hAnsi="仿宋_GB2312" w:eastAsia="仿宋_GB2312" w:cs="仿宋_GB2312"/>
                <w:color w:val="auto"/>
                <w:kern w:val="0"/>
                <w:sz w:val="21"/>
                <w:szCs w:val="21"/>
                <w:lang w:eastAsia="zh-CN"/>
              </w:rPr>
              <w:t>全部工作均按照年初计划安排如期保质保量完成。全年预算批复财政拨款经费共计</w:t>
            </w:r>
            <w:r>
              <w:rPr>
                <w:rFonts w:hint="eastAsia" w:ascii="仿宋_GB2312" w:hAnsi="仿宋_GB2312" w:eastAsia="仿宋_GB2312" w:cs="仿宋_GB2312"/>
                <w:color w:val="auto"/>
                <w:kern w:val="0"/>
                <w:sz w:val="21"/>
                <w:szCs w:val="21"/>
              </w:rPr>
              <w:t>103.423344</w:t>
            </w:r>
            <w:r>
              <w:rPr>
                <w:rFonts w:hint="eastAsia" w:ascii="仿宋_GB2312" w:hAnsi="仿宋_GB2312" w:eastAsia="仿宋_GB2312" w:cs="仿宋_GB2312"/>
                <w:color w:val="auto"/>
                <w:kern w:val="0"/>
                <w:sz w:val="21"/>
                <w:szCs w:val="21"/>
                <w:lang w:eastAsia="zh-CN"/>
              </w:rPr>
              <w:t>万元，实际执行</w:t>
            </w:r>
            <w:r>
              <w:rPr>
                <w:rFonts w:hint="eastAsia" w:ascii="仿宋_GB2312" w:hAnsi="仿宋_GB2312" w:eastAsia="仿宋_GB2312" w:cs="仿宋_GB2312"/>
                <w:color w:val="auto"/>
                <w:kern w:val="0"/>
                <w:sz w:val="21"/>
                <w:szCs w:val="21"/>
                <w:lang w:val="en-US" w:eastAsia="zh-CN"/>
              </w:rPr>
              <w:t>98.423344万元，主要原因是OA系统停用，预算未执行。</w:t>
            </w:r>
          </w:p>
        </w:tc>
      </w:tr>
      <w:tr>
        <w:tblPrEx>
          <w:tblCellMar>
            <w:top w:w="0" w:type="dxa"/>
            <w:left w:w="108" w:type="dxa"/>
            <w:bottom w:w="0" w:type="dxa"/>
            <w:right w:w="108" w:type="dxa"/>
          </w:tblCellMar>
        </w:tblPrEx>
        <w:trPr>
          <w:trHeight w:val="830" w:hRule="exact"/>
          <w:jc w:val="center"/>
        </w:trPr>
        <w:tc>
          <w:tcPr>
            <w:tcW w:w="7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绩</w:t>
            </w:r>
            <w:r>
              <w:rPr>
                <w:rFonts w:hint="eastAsia" w:ascii="仿宋_GB2312" w:hAnsi="仿宋_GB2312" w:eastAsia="仿宋_GB2312" w:cs="仿宋_GB2312"/>
                <w:color w:val="auto"/>
                <w:kern w:val="0"/>
                <w:sz w:val="21"/>
                <w:szCs w:val="21"/>
              </w:rPr>
              <w:br w:type="textWrapping"/>
            </w:r>
            <w:r>
              <w:rPr>
                <w:rFonts w:hint="eastAsia" w:ascii="仿宋_GB2312" w:hAnsi="仿宋_GB2312" w:eastAsia="仿宋_GB2312" w:cs="仿宋_GB2312"/>
                <w:color w:val="auto"/>
                <w:kern w:val="0"/>
                <w:sz w:val="21"/>
                <w:szCs w:val="21"/>
              </w:rPr>
              <w:t>效</w:t>
            </w:r>
            <w:r>
              <w:rPr>
                <w:rFonts w:hint="eastAsia" w:ascii="仿宋_GB2312" w:hAnsi="仿宋_GB2312" w:eastAsia="仿宋_GB2312" w:cs="仿宋_GB2312"/>
                <w:color w:val="auto"/>
                <w:kern w:val="0"/>
                <w:sz w:val="21"/>
                <w:szCs w:val="21"/>
              </w:rPr>
              <w:br w:type="textWrapping"/>
            </w:r>
            <w:r>
              <w:rPr>
                <w:rFonts w:hint="eastAsia" w:ascii="仿宋_GB2312" w:hAnsi="仿宋_GB2312" w:eastAsia="仿宋_GB2312" w:cs="仿宋_GB2312"/>
                <w:color w:val="auto"/>
                <w:kern w:val="0"/>
                <w:sz w:val="21"/>
                <w:szCs w:val="21"/>
              </w:rPr>
              <w:t>指</w:t>
            </w:r>
            <w:r>
              <w:rPr>
                <w:rFonts w:hint="eastAsia" w:ascii="仿宋_GB2312" w:hAnsi="仿宋_GB2312" w:eastAsia="仿宋_GB2312" w:cs="仿宋_GB2312"/>
                <w:color w:val="auto"/>
                <w:kern w:val="0"/>
                <w:sz w:val="21"/>
                <w:szCs w:val="21"/>
              </w:rPr>
              <w:br w:type="textWrapping"/>
            </w:r>
            <w:r>
              <w:rPr>
                <w:rFonts w:hint="eastAsia" w:ascii="仿宋_GB2312" w:hAnsi="仿宋_GB2312" w:eastAsia="仿宋_GB2312" w:cs="仿宋_GB2312"/>
                <w:color w:val="auto"/>
                <w:kern w:val="0"/>
                <w:sz w:val="21"/>
                <w:szCs w:val="21"/>
              </w:rPr>
              <w:t>标</w:t>
            </w:r>
          </w:p>
        </w:tc>
        <w:tc>
          <w:tcPr>
            <w:tcW w:w="1113"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一级</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二级指标</w:t>
            </w: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三级指标</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年度</w:t>
            </w:r>
          </w:p>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指标值</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实际</w:t>
            </w:r>
          </w:p>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完成值</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分值</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得分</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偏差原因分析及改进措施</w:t>
            </w:r>
          </w:p>
        </w:tc>
      </w:tr>
      <w:tr>
        <w:tblPrEx>
          <w:tblCellMar>
            <w:top w:w="0" w:type="dxa"/>
            <w:left w:w="108" w:type="dxa"/>
            <w:bottom w:w="0" w:type="dxa"/>
            <w:right w:w="108" w:type="dxa"/>
          </w:tblCellMar>
        </w:tblPrEx>
        <w:trPr>
          <w:trHeight w:val="476"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产</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出</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指</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标</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40分</w:t>
            </w:r>
            <w:r>
              <w:rPr>
                <w:rFonts w:hint="eastAsia" w:ascii="仿宋_GB2312" w:hAnsi="仿宋_GB2312" w:eastAsia="仿宋_GB2312" w:cs="仿宋_GB2312"/>
                <w:color w:val="auto"/>
                <w:kern w:val="0"/>
                <w:sz w:val="21"/>
                <w:szCs w:val="21"/>
                <w:lang w:eastAsia="zh-CN"/>
              </w:rPr>
              <w:t>）</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数量指标</w:t>
            </w: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办公终端巡检</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≥2次</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=2次</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349"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应用系统巡检</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≥4次</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4次</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91"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质量指标</w:t>
            </w: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系统运行正常率</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rPr>
            </w:pPr>
            <w:r>
              <w:rPr>
                <w:rFonts w:hint="eastAsia" w:ascii="仿宋_GB2312" w:hAnsi="仿宋_GB2312" w:eastAsia="仿宋_GB2312" w:cs="仿宋_GB2312"/>
                <w:color w:val="auto"/>
                <w:kern w:val="0"/>
                <w:sz w:val="21"/>
                <w:szCs w:val="21"/>
                <w:lang w:val="en-US" w:eastAsia="zh-CN"/>
              </w:rPr>
              <w:t>≥95%</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95%</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8</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有零星故障</w:t>
            </w:r>
          </w:p>
        </w:tc>
      </w:tr>
      <w:tr>
        <w:tblPrEx>
          <w:tblCellMar>
            <w:top w:w="0" w:type="dxa"/>
            <w:left w:w="108" w:type="dxa"/>
            <w:bottom w:w="0" w:type="dxa"/>
            <w:right w:w="108" w:type="dxa"/>
          </w:tblCellMar>
        </w:tblPrEx>
        <w:trPr>
          <w:trHeight w:val="378"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故障排除率</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≥95%</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95%</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5</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5</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p>
        </w:tc>
      </w:tr>
      <w:tr>
        <w:tblPrEx>
          <w:tblCellMar>
            <w:top w:w="0" w:type="dxa"/>
            <w:left w:w="108" w:type="dxa"/>
            <w:bottom w:w="0" w:type="dxa"/>
            <w:right w:w="108" w:type="dxa"/>
          </w:tblCellMar>
        </w:tblPrEx>
        <w:trPr>
          <w:trHeight w:val="476"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重大信息安全发生率</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≤0</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&lt;=0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5</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5</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76"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网站文字安全合格率</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≥95%</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95%</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4</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4</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16"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网站正常运行</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≥300天</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300天</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498"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时效指标</w:t>
            </w: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故障响应时间</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rPr>
            </w:pPr>
            <w:r>
              <w:rPr>
                <w:rFonts w:hint="eastAsia" w:ascii="仿宋_GB2312" w:hAnsi="仿宋_GB2312" w:eastAsia="仿宋_GB2312" w:cs="仿宋_GB2312"/>
                <w:color w:val="auto"/>
                <w:kern w:val="0"/>
                <w:sz w:val="21"/>
                <w:szCs w:val="21"/>
                <w:lang w:val="en-US" w:eastAsia="zh-CN"/>
              </w:rPr>
              <w:t>≤2小时</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2小时</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524"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215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eastAsia="zh-CN"/>
              </w:rPr>
              <w:t>重要时期保障</w:t>
            </w:r>
          </w:p>
        </w:tc>
        <w:tc>
          <w:tcPr>
            <w:tcW w:w="133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≥100%</w:t>
            </w:r>
          </w:p>
        </w:tc>
        <w:tc>
          <w:tcPr>
            <w:tcW w:w="100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2</w:t>
            </w:r>
          </w:p>
        </w:tc>
        <w:tc>
          <w:tcPr>
            <w:tcW w:w="79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3</w:t>
            </w:r>
          </w:p>
        </w:tc>
        <w:tc>
          <w:tcPr>
            <w:tcW w:w="149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p>
        </w:tc>
      </w:tr>
      <w:tr>
        <w:tblPrEx>
          <w:tblCellMar>
            <w:top w:w="0" w:type="dxa"/>
            <w:left w:w="108" w:type="dxa"/>
            <w:bottom w:w="0" w:type="dxa"/>
            <w:right w:w="108" w:type="dxa"/>
          </w:tblCellMar>
        </w:tblPrEx>
        <w:trPr>
          <w:trHeight w:val="1142"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vMerge w:val="continue"/>
            <w:tcBorders>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按时间进度完成支出进度，9月底前完成75%</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rPr>
            </w:pPr>
            <w:r>
              <w:rPr>
                <w:rFonts w:hint="eastAsia" w:ascii="仿宋_GB2312" w:hAnsi="仿宋_GB2312" w:eastAsia="仿宋_GB2312" w:cs="仿宋_GB2312"/>
                <w:color w:val="auto"/>
                <w:kern w:val="0"/>
                <w:sz w:val="21"/>
                <w:szCs w:val="21"/>
                <w:lang w:val="en-US" w:eastAsia="zh-CN"/>
              </w:rPr>
              <w:t>≥75%</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≥75%</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w:t>
            </w:r>
          </w:p>
          <w:p>
            <w:pPr>
              <w:rPr>
                <w:color w:val="auto"/>
              </w:rPr>
            </w:pP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r>
        <w:tblPrEx>
          <w:tblCellMar>
            <w:top w:w="0" w:type="dxa"/>
            <w:left w:w="108" w:type="dxa"/>
            <w:bottom w:w="0" w:type="dxa"/>
            <w:right w:w="108" w:type="dxa"/>
          </w:tblCellMar>
        </w:tblPrEx>
        <w:trPr>
          <w:trHeight w:val="1023"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效益</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指标</w:t>
            </w:r>
            <w:r>
              <w:rPr>
                <w:rFonts w:hint="eastAsia" w:ascii="仿宋_GB2312" w:hAnsi="仿宋_GB2312" w:eastAsia="仿宋_GB2312" w:cs="仿宋_GB2312"/>
                <w:color w:val="auto"/>
                <w:kern w:val="0"/>
                <w:sz w:val="21"/>
                <w:szCs w:val="21"/>
                <w:lang w:val="en-US" w:eastAsia="zh-CN"/>
              </w:rPr>
              <w:t xml:space="preserve">     （30分）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rPr>
              <w:t>可持续影响指标</w:t>
            </w: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eastAsia="zh-CN"/>
              </w:rPr>
              <w:t>保障工作正常开展</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eastAsia="zh-CN"/>
              </w:rPr>
              <w:t>优</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eastAsia="zh-CN"/>
              </w:rPr>
              <w:t>优</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30</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rPr>
              <w:t>28</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eastAsia="zh-CN"/>
              </w:rPr>
              <w:t>基本保障工作正常开展，系统偶尔有零星故障</w:t>
            </w:r>
          </w:p>
        </w:tc>
      </w:tr>
      <w:tr>
        <w:tblPrEx>
          <w:tblCellMar>
            <w:top w:w="0" w:type="dxa"/>
            <w:left w:w="108" w:type="dxa"/>
            <w:bottom w:w="0" w:type="dxa"/>
            <w:right w:w="108" w:type="dxa"/>
          </w:tblCellMar>
        </w:tblPrEx>
        <w:trPr>
          <w:trHeight w:val="1005"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成</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本</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指</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标</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10分</w:t>
            </w:r>
            <w:r>
              <w:rPr>
                <w:rFonts w:hint="eastAsia" w:ascii="仿宋_GB2312" w:hAnsi="仿宋_GB2312" w:eastAsia="仿宋_GB2312" w:cs="仿宋_GB2312"/>
                <w:color w:val="auto"/>
                <w:kern w:val="0"/>
                <w:sz w:val="21"/>
                <w:szCs w:val="21"/>
                <w:lang w:eastAsia="zh-CN"/>
              </w:rPr>
              <w:t>）</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成本指标</w:t>
            </w: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保障工作正常开展</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rPr>
            </w:pPr>
            <w:r>
              <w:rPr>
                <w:rFonts w:hint="eastAsia" w:ascii="仿宋_GB2312" w:hAnsi="仿宋_GB2312" w:eastAsia="仿宋_GB2312" w:cs="仿宋_GB2312"/>
                <w:color w:val="auto"/>
                <w:kern w:val="0"/>
                <w:sz w:val="21"/>
                <w:szCs w:val="21"/>
                <w:lang w:val="en-US" w:eastAsia="zh-CN"/>
              </w:rPr>
              <w:t>≤103.423344万元</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98.423344万元</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OA系统停用，预算未执行</w:t>
            </w:r>
          </w:p>
        </w:tc>
      </w:tr>
      <w:tr>
        <w:tblPrEx>
          <w:tblCellMar>
            <w:top w:w="0" w:type="dxa"/>
            <w:left w:w="108" w:type="dxa"/>
            <w:bottom w:w="0" w:type="dxa"/>
            <w:right w:w="108" w:type="dxa"/>
          </w:tblCellMar>
        </w:tblPrEx>
        <w:trPr>
          <w:trHeight w:val="1014" w:hRule="exact"/>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满意度</w:t>
            </w:r>
          </w:p>
          <w:p>
            <w:pPr>
              <w:widowControl/>
              <w:spacing w:line="240" w:lineRule="auto"/>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指</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标</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10分</w:t>
            </w:r>
            <w:r>
              <w:rPr>
                <w:rFonts w:hint="eastAsia" w:ascii="仿宋_GB2312" w:hAnsi="仿宋_GB2312" w:eastAsia="仿宋_GB2312" w:cs="仿宋_GB2312"/>
                <w:color w:val="auto"/>
                <w:kern w:val="0"/>
                <w:sz w:val="21"/>
                <w:szCs w:val="21"/>
                <w:lang w:eastAsia="zh-CN"/>
              </w:rPr>
              <w:t>）</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服务对象满意度标</w:t>
            </w:r>
          </w:p>
        </w:tc>
        <w:tc>
          <w:tcPr>
            <w:tcW w:w="2156"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中心职工对开展工作满意度</w:t>
            </w:r>
          </w:p>
        </w:tc>
        <w:tc>
          <w:tcPr>
            <w:tcW w:w="1338"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≥85%</w:t>
            </w:r>
          </w:p>
        </w:tc>
        <w:tc>
          <w:tcPr>
            <w:tcW w:w="1009"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83%</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6</w:t>
            </w:r>
            <w:bookmarkStart w:id="0" w:name="_GoBack"/>
            <w:bookmarkEnd w:id="0"/>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满意度没有达到设定目标</w:t>
            </w:r>
          </w:p>
        </w:tc>
      </w:tr>
      <w:tr>
        <w:tblPrEx>
          <w:tblCellMar>
            <w:top w:w="0" w:type="dxa"/>
            <w:left w:w="108" w:type="dxa"/>
            <w:bottom w:w="0" w:type="dxa"/>
            <w:right w:w="108" w:type="dxa"/>
          </w:tblCellMar>
        </w:tblPrEx>
        <w:trPr>
          <w:trHeight w:val="397" w:hRule="exact"/>
          <w:jc w:val="center"/>
        </w:trPr>
        <w:tc>
          <w:tcPr>
            <w:tcW w:w="750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总分</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100</w:t>
            </w:r>
          </w:p>
        </w:tc>
        <w:tc>
          <w:tcPr>
            <w:tcW w:w="797"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92.52</w:t>
            </w:r>
          </w:p>
        </w:tc>
        <w:tc>
          <w:tcPr>
            <w:tcW w:w="1491" w:type="dxa"/>
            <w:gridSpan w:val="2"/>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ascii="仿宋_GB2312" w:hAnsi="仿宋_GB2312" w:eastAsia="仿宋_GB2312" w:cs="仿宋_GB2312"/>
                <w:color w:val="auto"/>
                <w:kern w:val="0"/>
                <w:sz w:val="21"/>
                <w:szCs w:val="21"/>
              </w:rPr>
            </w:pPr>
          </w:p>
        </w:tc>
      </w:tr>
    </w:tbl>
    <w:p>
      <w:pPr>
        <w:rPr>
          <w:color w:val="auto"/>
        </w:rPr>
      </w:pPr>
    </w:p>
    <w:p>
      <w:pPr>
        <w:rPr>
          <w:color w:val="auto"/>
        </w:rPr>
      </w:pPr>
    </w:p>
    <w:sectPr>
      <w:footerReference r:id="rId3" w:type="default"/>
      <w:pgSz w:w="11906" w:h="16838"/>
      <w:pgMar w:top="1213" w:right="1123" w:bottom="1213" w:left="1123" w:header="851" w:footer="992" w:gutter="0"/>
      <w:pgNumType w:fmt="numberInDash"/>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true"/>
  <w:bordersDoNotSurroundFooter w:val="true"/>
  <w:documentProtection w:enforcement="0"/>
  <w:defaultTabStop w:val="420"/>
  <w:drawingGridVerticalSpacing w:val="16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FBF9B01"/>
    <w:rsid w:val="11680771"/>
    <w:rsid w:val="1A3E5258"/>
    <w:rsid w:val="2FBB2431"/>
    <w:rsid w:val="37173543"/>
    <w:rsid w:val="3FF76880"/>
    <w:rsid w:val="43AC202D"/>
    <w:rsid w:val="48796498"/>
    <w:rsid w:val="57FBBF79"/>
    <w:rsid w:val="5B8B0913"/>
    <w:rsid w:val="5BBD8E02"/>
    <w:rsid w:val="5D0C374A"/>
    <w:rsid w:val="5E7F7954"/>
    <w:rsid w:val="5FFDB4FD"/>
    <w:rsid w:val="68071A7D"/>
    <w:rsid w:val="6FBBA315"/>
    <w:rsid w:val="6FD58955"/>
    <w:rsid w:val="76A44E97"/>
    <w:rsid w:val="772D6D65"/>
    <w:rsid w:val="77FFCD65"/>
    <w:rsid w:val="79BAF1E0"/>
    <w:rsid w:val="7A0C32A0"/>
    <w:rsid w:val="7A760672"/>
    <w:rsid w:val="7AB7FF50"/>
    <w:rsid w:val="7B0B5E0B"/>
    <w:rsid w:val="7BFEB0DB"/>
    <w:rsid w:val="7DDB6C26"/>
    <w:rsid w:val="7F3CDEFF"/>
    <w:rsid w:val="7FF77695"/>
    <w:rsid w:val="B7DF62E8"/>
    <w:rsid w:val="BBD327C3"/>
    <w:rsid w:val="BBE6E912"/>
    <w:rsid w:val="CEFD3F3D"/>
    <w:rsid w:val="DF3FBA3B"/>
    <w:rsid w:val="DFBF862A"/>
    <w:rsid w:val="EA3F77F2"/>
    <w:rsid w:val="EDFEB259"/>
    <w:rsid w:val="EEF6808D"/>
    <w:rsid w:val="EEFE5989"/>
    <w:rsid w:val="EF78F0F5"/>
    <w:rsid w:val="EFCF3EAE"/>
    <w:rsid w:val="EFDF09F2"/>
    <w:rsid w:val="EFFD0D96"/>
    <w:rsid w:val="F5B764A2"/>
    <w:rsid w:val="F77F09F4"/>
    <w:rsid w:val="F7FF507A"/>
    <w:rsid w:val="F8ADDB5B"/>
    <w:rsid w:val="F9E3665E"/>
    <w:rsid w:val="F9F69549"/>
    <w:rsid w:val="FBCDEE15"/>
    <w:rsid w:val="FBEE019F"/>
    <w:rsid w:val="FD9F64FB"/>
    <w:rsid w:val="FEFF4BA8"/>
    <w:rsid w:val="FFD7BFFC"/>
    <w:rsid w:val="FFE40FEF"/>
    <w:rsid w:val="FFED7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641</Words>
  <Characters>855</Characters>
  <Lines>0</Lines>
  <Paragraphs>0</Paragraphs>
  <TotalTime>2</TotalTime>
  <ScaleCrop>false</ScaleCrop>
  <LinksUpToDate>false</LinksUpToDate>
  <CharactersWithSpaces>898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2022-03-15T19:16:00Z</dcterms:created>
  <dc:creator>user</dc:creator>
  <cp:lastModifiedBy>nyncj</cp:lastModifiedBy>
  <dcterms:modified xsi:type="dcterms:W3CDTF">2025-08-25T17:04:33Z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KSOTemplateDocerSaveRecord">
    <vt:lpwstr>eyJoZGlkIjoiMTA2ZjJiNmRlMGExZTRhZDNmYTFkYmY0ODhhNTVkYzIiLCJ1c2VySWQiOiI5MzMwNTU0MDYifQ==</vt:lpwstr>
  </property>
  <property fmtid="{D5CDD505-2E9C-101B-9397-08002B2CF9AE}" pid="4" name="ICV">
    <vt:lpwstr>4544C8E4681D4270A45DB08CF7C4E918_13</vt:lpwstr>
  </property>
</Properties>
</file>