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after="240" w:line="560" w:lineRule="exact"/>
        <w:ind w:firstLine="0" w:firstLineChars="0"/>
        <w:jc w:val="center"/>
        <w:textAlignment w:val="auto"/>
        <w:rPr>
          <w:rFonts w:hint="default" w:ascii="仿宋_GB2312" w:eastAsia="黑体"/>
          <w:b/>
          <w:bCs/>
          <w:sz w:val="48"/>
          <w:szCs w:val="48"/>
          <w:highlight w:val="none"/>
          <w:lang w:val="en-US" w:eastAsia="zh-CN"/>
        </w:rPr>
      </w:pPr>
      <w:bookmarkStart w:id="50" w:name="_GoBack"/>
      <w:bookmarkEnd w:id="50"/>
    </w:p>
    <w:p>
      <w:pPr>
        <w:keepNext w:val="0"/>
        <w:keepLines w:val="0"/>
        <w:pageBreakBefore w:val="0"/>
        <w:widowControl w:val="0"/>
        <w:kinsoku/>
        <w:wordWrap/>
        <w:overflowPunct/>
        <w:topLinePunct w:val="0"/>
        <w:autoSpaceDE/>
        <w:autoSpaceDN/>
        <w:bidi w:val="0"/>
        <w:adjustRightInd/>
        <w:spacing w:after="240" w:line="560" w:lineRule="exact"/>
        <w:ind w:firstLine="0" w:firstLineChars="0"/>
        <w:jc w:val="center"/>
        <w:textAlignment w:val="auto"/>
        <w:rPr>
          <w:rFonts w:hint="eastAsia" w:ascii="仿宋_GB2312" w:eastAsia="黑体"/>
          <w:b/>
          <w:bCs/>
          <w:sz w:val="48"/>
          <w:szCs w:val="48"/>
          <w:highlight w:val="none"/>
        </w:rPr>
      </w:pP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center"/>
        <w:textAlignment w:val="auto"/>
        <w:rPr>
          <w:rFonts w:hint="eastAsia" w:ascii="方正小标宋简体" w:hAnsi="Leelawadee UI" w:eastAsia="方正小标宋简体" w:cs="Leelawadee UI"/>
          <w:bCs/>
          <w:kern w:val="0"/>
          <w:sz w:val="44"/>
          <w:szCs w:val="28"/>
          <w:highlight w:val="none"/>
        </w:rPr>
      </w:pPr>
      <w:r>
        <w:rPr>
          <w:rFonts w:hint="eastAsia" w:ascii="方正小标宋简体" w:hAnsi="Leelawadee UI" w:eastAsia="方正小标宋简体" w:cs="Leelawadee UI"/>
          <w:bCs/>
          <w:kern w:val="0"/>
          <w:sz w:val="44"/>
          <w:szCs w:val="28"/>
          <w:highlight w:val="none"/>
        </w:rPr>
        <w:t>北京市市级财政支出项目</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center"/>
        <w:textAlignment w:val="auto"/>
        <w:rPr>
          <w:rFonts w:hint="eastAsia" w:ascii="方正小标宋简体" w:hAnsi="Leelawadee UI" w:eastAsia="方正小标宋简体" w:cs="Leelawadee UI"/>
          <w:bCs/>
          <w:kern w:val="0"/>
          <w:sz w:val="44"/>
          <w:szCs w:val="28"/>
          <w:highlight w:val="none"/>
        </w:rPr>
      </w:pPr>
      <w:r>
        <w:rPr>
          <w:rFonts w:hint="eastAsia" w:ascii="方正小标宋简体" w:hAnsi="Leelawadee UI" w:eastAsia="方正小标宋简体" w:cs="Leelawadee UI"/>
          <w:bCs/>
          <w:kern w:val="0"/>
          <w:sz w:val="44"/>
          <w:szCs w:val="28"/>
          <w:highlight w:val="none"/>
        </w:rPr>
        <w:t>绩效评价报告</w:t>
      </w:r>
    </w:p>
    <w:p>
      <w:pPr>
        <w:keepNext w:val="0"/>
        <w:keepLines w:val="0"/>
        <w:pageBreakBefore w:val="0"/>
        <w:widowControl w:val="0"/>
        <w:kinsoku/>
        <w:wordWrap/>
        <w:overflowPunct/>
        <w:topLinePunct w:val="0"/>
        <w:autoSpaceDE/>
        <w:autoSpaceDN/>
        <w:bidi w:val="0"/>
        <w:adjustRightInd/>
        <w:snapToGrid w:val="0"/>
        <w:spacing w:after="312" w:afterLines="100" w:line="560" w:lineRule="exact"/>
        <w:ind w:firstLine="0" w:firstLineChars="0"/>
        <w:textAlignment w:val="auto"/>
        <w:rPr>
          <w:rFonts w:hint="eastAsia" w:eastAsia="仿宋_GB2312"/>
          <w:b/>
          <w:bCs/>
          <w:sz w:val="36"/>
          <w:szCs w:val="20"/>
          <w:highlight w:val="none"/>
          <w:lang w:val="en-US" w:eastAsia="zh-CN"/>
        </w:rPr>
      </w:pPr>
    </w:p>
    <w:p>
      <w:pPr>
        <w:keepNext w:val="0"/>
        <w:keepLines w:val="0"/>
        <w:pageBreakBefore w:val="0"/>
        <w:widowControl w:val="0"/>
        <w:kinsoku/>
        <w:wordWrap/>
        <w:overflowPunct/>
        <w:topLinePunct w:val="0"/>
        <w:autoSpaceDE/>
        <w:autoSpaceDN/>
        <w:bidi w:val="0"/>
        <w:adjustRightInd/>
        <w:snapToGrid w:val="0"/>
        <w:spacing w:after="312" w:afterLines="100" w:line="560" w:lineRule="exact"/>
        <w:ind w:firstLine="0" w:firstLineChars="0"/>
        <w:textAlignment w:val="auto"/>
        <w:rPr>
          <w:rFonts w:hint="eastAsia" w:eastAsia="仿宋_GB2312"/>
          <w:b/>
          <w:bCs/>
          <w:sz w:val="36"/>
          <w:szCs w:val="20"/>
          <w:highlight w:val="none"/>
        </w:rPr>
      </w:pP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textAlignment w:val="auto"/>
        <w:rPr>
          <w:rFonts w:hint="eastAsia" w:ascii="仿宋_GB2312" w:hAnsi="宋体" w:eastAsia="仿宋_GB2312"/>
          <w:bCs/>
          <w:kern w:val="0"/>
          <w:sz w:val="32"/>
          <w:szCs w:val="28"/>
          <w:highlight w:val="none"/>
        </w:rPr>
      </w:pPr>
      <w:r>
        <w:rPr>
          <w:rFonts w:hint="eastAsia" w:ascii="仿宋_GB2312" w:hAnsi="宋体" w:eastAsia="仿宋_GB2312"/>
          <w:bCs/>
          <w:kern w:val="0"/>
          <w:sz w:val="32"/>
          <w:szCs w:val="28"/>
          <w:highlight w:val="none"/>
        </w:rPr>
        <w:t>主管部门</w:t>
      </w:r>
      <w:r>
        <w:rPr>
          <w:rFonts w:hint="eastAsia" w:ascii="仿宋_GB2312" w:hAnsi="宋体" w:eastAsia="仿宋_GB2312"/>
          <w:bCs/>
          <w:kern w:val="0"/>
          <w:sz w:val="32"/>
          <w:szCs w:val="28"/>
          <w:highlight w:val="none"/>
          <w:u w:val="single"/>
        </w:rPr>
        <w:t xml:space="preserve">          </w:t>
      </w:r>
      <w:r>
        <w:rPr>
          <w:rFonts w:hint="eastAsia" w:ascii="仿宋_GB2312" w:hAnsi="仿宋_GB2312" w:eastAsia="仿宋_GB2312" w:cs="仿宋_GB2312"/>
          <w:sz w:val="32"/>
          <w:szCs w:val="32"/>
          <w:highlight w:val="none"/>
          <w:u w:val="single"/>
        </w:rPr>
        <w:t>北京市农村经济研究中心</w:t>
      </w:r>
      <w:r>
        <w:rPr>
          <w:rFonts w:hint="eastAsia" w:ascii="仿宋_GB2312" w:hAnsi="宋体" w:eastAsia="仿宋_GB2312"/>
          <w:bCs/>
          <w:kern w:val="0"/>
          <w:sz w:val="32"/>
          <w:szCs w:val="28"/>
          <w:highlight w:val="none"/>
          <w:u w:val="single"/>
        </w:rPr>
        <w:t xml:space="preserve">            </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textAlignment w:val="auto"/>
        <w:rPr>
          <w:rFonts w:hint="eastAsia" w:ascii="仿宋_GB2312" w:hAnsi="宋体" w:eastAsia="仿宋_GB2312"/>
          <w:bCs/>
          <w:kern w:val="0"/>
          <w:sz w:val="32"/>
          <w:szCs w:val="28"/>
          <w:highlight w:val="none"/>
        </w:rPr>
      </w:pPr>
      <w:r>
        <w:rPr>
          <w:rFonts w:hint="eastAsia" w:ascii="仿宋_GB2312" w:hAnsi="宋体" w:eastAsia="仿宋_GB2312"/>
          <w:bCs/>
          <w:kern w:val="0"/>
          <w:sz w:val="32"/>
          <w:szCs w:val="28"/>
          <w:highlight w:val="none"/>
        </w:rPr>
        <w:t>项目单位</w:t>
      </w:r>
      <w:r>
        <w:rPr>
          <w:rFonts w:hint="eastAsia" w:ascii="仿宋_GB2312" w:hAnsi="宋体" w:eastAsia="仿宋_GB2312"/>
          <w:bCs/>
          <w:kern w:val="0"/>
          <w:sz w:val="32"/>
          <w:szCs w:val="28"/>
          <w:highlight w:val="none"/>
          <w:u w:val="single"/>
        </w:rPr>
        <w:t xml:space="preserve">        </w:t>
      </w:r>
      <w:r>
        <w:rPr>
          <w:rFonts w:hint="eastAsia" w:ascii="仿宋_GB2312" w:hAnsi="仿宋_GB2312" w:eastAsia="仿宋_GB2312" w:cs="仿宋_GB2312"/>
          <w:sz w:val="32"/>
          <w:szCs w:val="32"/>
          <w:highlight w:val="none"/>
          <w:u w:val="single"/>
        </w:rPr>
        <w:t>北京市农村经济研究中心机关</w:t>
      </w:r>
      <w:r>
        <w:rPr>
          <w:rFonts w:hint="eastAsia" w:ascii="仿宋_GB2312" w:hAnsi="宋体" w:eastAsia="仿宋_GB2312"/>
          <w:bCs/>
          <w:kern w:val="0"/>
          <w:sz w:val="32"/>
          <w:szCs w:val="28"/>
          <w:highlight w:val="none"/>
          <w:u w:val="single"/>
        </w:rPr>
        <w:t xml:space="preserve">          </w:t>
      </w:r>
    </w:p>
    <w:p>
      <w:pPr>
        <w:keepNext w:val="0"/>
        <w:keepLines w:val="0"/>
        <w:pageBreakBefore w:val="0"/>
        <w:widowControl w:val="0"/>
        <w:kinsoku/>
        <w:wordWrap/>
        <w:overflowPunct/>
        <w:topLinePunct w:val="0"/>
        <w:autoSpaceDE/>
        <w:autoSpaceDN/>
        <w:bidi w:val="0"/>
        <w:adjustRightInd/>
        <w:spacing w:after="312" w:afterLines="100" w:line="560" w:lineRule="exact"/>
        <w:ind w:firstLine="0" w:firstLineChars="0"/>
        <w:jc w:val="both"/>
        <w:textAlignment w:val="auto"/>
        <w:rPr>
          <w:rFonts w:hint="default" w:ascii="仿宋_GB2312" w:hAnsi="宋体" w:eastAsia="仿宋_GB2312"/>
          <w:bCs/>
          <w:kern w:val="0"/>
          <w:sz w:val="32"/>
          <w:szCs w:val="28"/>
          <w:highlight w:val="none"/>
          <w:lang w:val="en-US" w:eastAsia="zh-CN"/>
        </w:rPr>
      </w:pPr>
      <w:r>
        <w:rPr>
          <w:rFonts w:hint="eastAsia" w:ascii="仿宋_GB2312" w:hAnsi="宋体" w:eastAsia="仿宋_GB2312"/>
          <w:bCs/>
          <w:kern w:val="0"/>
          <w:sz w:val="32"/>
          <w:szCs w:val="28"/>
          <w:highlight w:val="none"/>
        </w:rPr>
        <w:t>项目名称</w:t>
      </w:r>
      <w:r>
        <w:rPr>
          <w:rFonts w:hint="eastAsia" w:ascii="仿宋_GB2312" w:hAnsi="宋体" w:eastAsia="仿宋_GB2312"/>
          <w:bCs/>
          <w:kern w:val="0"/>
          <w:sz w:val="32"/>
          <w:szCs w:val="28"/>
          <w:highlight w:val="none"/>
          <w:u w:val="single"/>
        </w:rPr>
        <w:t xml:space="preserve"> </w:t>
      </w:r>
      <w:r>
        <w:rPr>
          <w:rFonts w:hint="eastAsia" w:ascii="仿宋_GB2312" w:hAnsi="宋体" w:eastAsia="仿宋_GB2312"/>
          <w:bCs/>
          <w:kern w:val="0"/>
          <w:sz w:val="32"/>
          <w:szCs w:val="28"/>
          <w:highlight w:val="none"/>
          <w:u w:val="single"/>
          <w:lang w:val="en-US" w:eastAsia="zh-CN"/>
        </w:rPr>
        <w:t xml:space="preserve"> </w:t>
      </w:r>
      <w:r>
        <w:rPr>
          <w:rFonts w:hint="eastAsia" w:ascii="仿宋_GB2312" w:hAnsi="仿宋_GB2312" w:eastAsia="仿宋_GB2312" w:cs="仿宋_GB2312"/>
          <w:sz w:val="32"/>
          <w:szCs w:val="32"/>
          <w:highlight w:val="none"/>
          <w:u w:val="single"/>
        </w:rPr>
        <w:t>北京市乡村振兴专家咨询委员会专项经费项目</w:t>
      </w:r>
      <w:r>
        <w:rPr>
          <w:rFonts w:hint="eastAsia" w:ascii="仿宋_GB2312" w:hAnsi="仿宋_GB2312" w:eastAsia="仿宋_GB2312" w:cs="仿宋_GB2312"/>
          <w:sz w:val="32"/>
          <w:szCs w:val="32"/>
          <w:highlight w:val="none"/>
          <w:u w:val="single"/>
          <w:lang w:val="en-US" w:eastAsia="zh-CN"/>
        </w:rPr>
        <w:t xml:space="preserve">  </w:t>
      </w:r>
    </w:p>
    <w:p>
      <w:pPr>
        <w:spacing w:after="312" w:afterLines="100" w:line="560" w:lineRule="exact"/>
        <w:ind w:left="638" w:leftChars="304" w:firstLine="640" w:firstLineChars="200"/>
        <w:rPr>
          <w:rFonts w:ascii="仿宋_GB2312" w:hAnsi="宋体" w:eastAsia="仿宋_GB2312"/>
          <w:bCs/>
          <w:kern w:val="0"/>
          <w:sz w:val="32"/>
          <w:szCs w:val="28"/>
          <w:highlight w:val="none"/>
          <w:u w:val="single"/>
        </w:rPr>
      </w:pPr>
    </w:p>
    <w:p>
      <w:pPr>
        <w:spacing w:after="312" w:afterLines="100" w:line="560" w:lineRule="exact"/>
        <w:ind w:left="638" w:leftChars="304" w:firstLine="640" w:firstLineChars="200"/>
        <w:rPr>
          <w:rFonts w:ascii="仿宋_GB2312" w:hAnsi="宋体" w:eastAsia="仿宋_GB2312"/>
          <w:bCs/>
          <w:kern w:val="0"/>
          <w:sz w:val="32"/>
          <w:szCs w:val="28"/>
          <w:highlight w:val="none"/>
          <w:u w:val="single"/>
        </w:rPr>
      </w:pPr>
    </w:p>
    <w:p>
      <w:pPr>
        <w:spacing w:after="312" w:afterLines="100" w:line="560" w:lineRule="exact"/>
        <w:ind w:left="638" w:leftChars="304" w:firstLine="640" w:firstLineChars="200"/>
        <w:rPr>
          <w:rFonts w:hint="eastAsia" w:ascii="黑体" w:eastAsia="黑体"/>
          <w:b/>
          <w:sz w:val="32"/>
          <w:szCs w:val="20"/>
          <w:highlight w:val="none"/>
        </w:rPr>
      </w:pPr>
      <w:r>
        <w:rPr>
          <w:rFonts w:hint="eastAsia" w:ascii="仿宋_GB2312" w:hAnsi="宋体" w:eastAsia="仿宋_GB2312"/>
          <w:bCs/>
          <w:kern w:val="0"/>
          <w:sz w:val="32"/>
          <w:szCs w:val="28"/>
          <w:highlight w:val="none"/>
        </w:rPr>
        <w:t xml:space="preserve">                                    </w:t>
      </w:r>
    </w:p>
    <w:p>
      <w:pPr>
        <w:spacing w:line="560" w:lineRule="exact"/>
        <w:ind w:firstLine="642" w:firstLineChars="200"/>
        <w:jc w:val="center"/>
        <w:rPr>
          <w:rFonts w:hint="eastAsia" w:ascii="黑体" w:eastAsia="黑体"/>
          <w:b/>
          <w:sz w:val="32"/>
          <w:szCs w:val="2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方正小标宋简体" w:hAnsi="Leelawadee UI" w:eastAsia="方正小标宋简体" w:cs="Leelawadee UI"/>
          <w:bCs/>
          <w:kern w:val="0"/>
          <w:sz w:val="44"/>
          <w:szCs w:val="28"/>
          <w:highlight w:val="none"/>
        </w:rPr>
        <w:sectPr>
          <w:pgSz w:w="11906" w:h="16838"/>
          <w:pgMar w:top="2098" w:right="1474" w:bottom="1984" w:left="1587"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黑体" w:eastAsia="黑体"/>
          <w:b/>
          <w:sz w:val="32"/>
          <w:szCs w:val="20"/>
          <w:highlight w:val="none"/>
        </w:rPr>
        <w:t>202</w:t>
      </w:r>
      <w:r>
        <w:rPr>
          <w:rFonts w:hint="eastAsia" w:ascii="黑体" w:eastAsia="黑体"/>
          <w:b/>
          <w:sz w:val="32"/>
          <w:szCs w:val="20"/>
          <w:highlight w:val="none"/>
          <w:lang w:val="en-US" w:eastAsia="zh-CN"/>
        </w:rPr>
        <w:t>5</w:t>
      </w:r>
      <w:r>
        <w:rPr>
          <w:rFonts w:hint="eastAsia" w:ascii="黑体" w:eastAsia="黑体"/>
          <w:b/>
          <w:sz w:val="32"/>
          <w:szCs w:val="20"/>
          <w:highlight w:val="none"/>
        </w:rPr>
        <w:t>年5月</w:t>
      </w:r>
    </w:p>
    <w:p>
      <w:pPr>
        <w:keepNext w:val="0"/>
        <w:keepLines w:val="0"/>
        <w:pageBreakBefore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eastAsia="仿宋_GB2312"/>
          <w:sz w:val="44"/>
          <w:szCs w:val="44"/>
          <w:highlight w:val="none"/>
          <w:lang w:val="zh-CN"/>
        </w:rPr>
      </w:pPr>
      <w:r>
        <w:rPr>
          <w:rFonts w:ascii="仿宋_GB2312" w:eastAsia="仿宋_GB2312"/>
          <w:sz w:val="44"/>
          <w:szCs w:val="44"/>
          <w:highlight w:val="none"/>
          <w:lang w:val="zh-CN"/>
        </w:rPr>
        <w:t>目</w:t>
      </w:r>
      <w:r>
        <w:rPr>
          <w:rFonts w:hint="eastAsia" w:ascii="仿宋_GB2312" w:eastAsia="仿宋_GB2312"/>
          <w:sz w:val="44"/>
          <w:szCs w:val="44"/>
          <w:highlight w:val="none"/>
          <w:lang w:val="zh-CN"/>
        </w:rPr>
        <w:t xml:space="preserve">  </w:t>
      </w:r>
      <w:r>
        <w:rPr>
          <w:rFonts w:ascii="仿宋_GB2312" w:eastAsia="仿宋_GB2312"/>
          <w:sz w:val="44"/>
          <w:szCs w:val="44"/>
          <w:highlight w:val="none"/>
          <w:lang w:val="zh-CN"/>
        </w:rPr>
        <w:t>录</w:t>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hint="eastAsia" w:hAnsi="黑体"/>
          <w:b/>
          <w:bCs/>
          <w:highlight w:val="none"/>
        </w:rPr>
        <w:fldChar w:fldCharType="begin"/>
      </w:r>
      <w:r>
        <w:rPr>
          <w:rStyle w:val="13"/>
          <w:rFonts w:hint="eastAsia" w:ascii="仿宋_GB2312" w:hAnsi="黑体" w:eastAsia="仿宋_GB2312"/>
          <w:b/>
          <w:bCs/>
          <w:kern w:val="0"/>
          <w:sz w:val="28"/>
          <w:szCs w:val="28"/>
          <w:highlight w:val="none"/>
        </w:rPr>
        <w:instrText xml:space="preserve"> TOC \o "1-3" \h \z \u </w:instrText>
      </w:r>
      <w:r>
        <w:rPr>
          <w:rStyle w:val="13"/>
          <w:rFonts w:hint="eastAsia" w:hAnsi="黑体"/>
          <w:b/>
          <w:bCs/>
          <w:highlight w:val="none"/>
        </w:rPr>
        <w:fldChar w:fldCharType="separate"/>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"_Toc104464156"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一、基本情况</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_Toc104464156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1</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"_Toc104464157"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（一）项目概况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_Toc104464157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1</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"_Toc104464160"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（二）项目绩效目标</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_Toc104464160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5</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"_Toc104464161"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二、绩效评价工作开展情况</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_Toc104464161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7</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"_Toc104464162"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（一）绩效评价目的、对象及范围</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_Toc104464162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7</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"_Toc104464163"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（二）绩效评价基本情况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_Toc104464163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7</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"_Toc104464164"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（三）绩效评价工作过程</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_Toc104464164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8</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"_Toc104464165"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三、综合评价情况及评价结论</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_Toc104464165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8</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"_Toc104464166"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四、绩效评价指标分析</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_Toc104464166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9</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"_Toc104464167"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（一）项目决策情况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_Toc104464167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9</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"_Toc104464168"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（二）项目过程情况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_Toc104464168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9</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"_Toc104464169"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（三）项目产出情况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_Toc104464169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10</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9"/>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楷体" w:eastAsia="仿宋_GB2312"/>
          <w:bCs/>
          <w:kern w:val="0"/>
          <w:sz w:val="28"/>
          <w:szCs w:val="28"/>
          <w:highlight w:val="none"/>
        </w:rPr>
      </w:pP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HYPERLINK \l "_Toc104464170"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（四）项目效益情况</w:t>
      </w:r>
      <w:r>
        <w:rPr>
          <w:rStyle w:val="13"/>
          <w:rFonts w:ascii="仿宋_GB2312" w:hAnsi="楷体" w:eastAsia="仿宋_GB2312"/>
          <w:bCs/>
          <w:kern w:val="0"/>
          <w:sz w:val="28"/>
          <w:szCs w:val="28"/>
          <w:highlight w:val="none"/>
        </w:rPr>
        <w:tab/>
      </w:r>
      <w:r>
        <w:rPr>
          <w:rStyle w:val="13"/>
          <w:rFonts w:ascii="仿宋_GB2312" w:hAnsi="楷体" w:eastAsia="仿宋_GB2312"/>
          <w:bCs/>
          <w:kern w:val="0"/>
          <w:sz w:val="28"/>
          <w:szCs w:val="28"/>
          <w:highlight w:val="none"/>
        </w:rPr>
        <w:fldChar w:fldCharType="begin"/>
      </w:r>
      <w:r>
        <w:rPr>
          <w:rStyle w:val="13"/>
          <w:rFonts w:ascii="仿宋_GB2312" w:hAnsi="楷体" w:eastAsia="仿宋_GB2312"/>
          <w:bCs/>
          <w:kern w:val="0"/>
          <w:sz w:val="28"/>
          <w:szCs w:val="28"/>
          <w:highlight w:val="none"/>
        </w:rPr>
        <w:instrText xml:space="preserve"> PAGEREF _Toc104464170 \h </w:instrText>
      </w:r>
      <w:r>
        <w:rPr>
          <w:rStyle w:val="13"/>
          <w:rFonts w:ascii="仿宋_GB2312" w:hAnsi="楷体" w:eastAsia="仿宋_GB2312"/>
          <w:bCs/>
          <w:kern w:val="0"/>
          <w:sz w:val="28"/>
          <w:szCs w:val="28"/>
          <w:highlight w:val="none"/>
        </w:rPr>
        <w:fldChar w:fldCharType="separate"/>
      </w:r>
      <w:r>
        <w:rPr>
          <w:rStyle w:val="13"/>
          <w:rFonts w:ascii="仿宋_GB2312" w:hAnsi="楷体" w:eastAsia="仿宋_GB2312"/>
          <w:bCs/>
          <w:kern w:val="0"/>
          <w:sz w:val="28"/>
          <w:szCs w:val="28"/>
          <w:highlight w:val="none"/>
        </w:rPr>
        <w:t>11</w:t>
      </w:r>
      <w:r>
        <w:rPr>
          <w:rStyle w:val="13"/>
          <w:rFonts w:ascii="仿宋_GB2312" w:hAnsi="楷体" w:eastAsia="仿宋_GB2312"/>
          <w:bCs/>
          <w:kern w:val="0"/>
          <w:sz w:val="28"/>
          <w:szCs w:val="28"/>
          <w:highlight w:val="none"/>
        </w:rPr>
        <w:fldChar w:fldCharType="end"/>
      </w:r>
      <w:r>
        <w:rPr>
          <w:rStyle w:val="13"/>
          <w:rFonts w:ascii="仿宋_GB2312" w:hAnsi="楷体" w:eastAsia="仿宋_GB2312"/>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"_Toc104464171"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五、存在的主要问题</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_Toc104464171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12</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"_Toc104464172"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六、有关建议</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_Toc104464172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13</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"_Toc104464173"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七、其他说明事项</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_Toc104464173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13</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8"/>
        <w:keepNext w:val="0"/>
        <w:keepLines w:val="0"/>
        <w:pageBreakBefore w:val="0"/>
        <w:widowControl w:val="0"/>
        <w:tabs>
          <w:tab w:val="right" w:leader="dot" w:pos="8835"/>
        </w:tabs>
        <w:kinsoku/>
        <w:wordWrap/>
        <w:overflowPunct/>
        <w:topLinePunct w:val="0"/>
        <w:autoSpaceDE/>
        <w:autoSpaceDN/>
        <w:bidi w:val="0"/>
        <w:adjustRightInd/>
        <w:snapToGrid/>
        <w:spacing w:line="560" w:lineRule="exact"/>
        <w:ind w:firstLine="0" w:firstLineChars="0"/>
        <w:textAlignment w:val="auto"/>
        <w:rPr>
          <w:rStyle w:val="13"/>
          <w:rFonts w:ascii="仿宋_GB2312" w:hAnsi="黑体" w:eastAsia="仿宋_GB2312"/>
          <w:b/>
          <w:bCs/>
          <w:kern w:val="0"/>
          <w:sz w:val="28"/>
          <w:szCs w:val="28"/>
          <w:highlight w:val="none"/>
        </w:rPr>
      </w:pP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HYPERLINK \l "_Toc104464174"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八、附件</w:t>
      </w:r>
      <w:r>
        <w:rPr>
          <w:rStyle w:val="13"/>
          <w:rFonts w:ascii="仿宋_GB2312" w:hAnsi="黑体" w:eastAsia="仿宋_GB2312"/>
          <w:b/>
          <w:bCs/>
          <w:kern w:val="0"/>
          <w:sz w:val="28"/>
          <w:szCs w:val="28"/>
          <w:highlight w:val="none"/>
        </w:rPr>
        <w:tab/>
      </w:r>
      <w:r>
        <w:rPr>
          <w:rStyle w:val="13"/>
          <w:rFonts w:ascii="仿宋_GB2312" w:hAnsi="黑体" w:eastAsia="仿宋_GB2312"/>
          <w:b/>
          <w:bCs/>
          <w:kern w:val="0"/>
          <w:sz w:val="28"/>
          <w:szCs w:val="28"/>
          <w:highlight w:val="none"/>
        </w:rPr>
        <w:fldChar w:fldCharType="begin"/>
      </w:r>
      <w:r>
        <w:rPr>
          <w:rStyle w:val="13"/>
          <w:rFonts w:ascii="仿宋_GB2312" w:hAnsi="黑体" w:eastAsia="仿宋_GB2312"/>
          <w:b/>
          <w:bCs/>
          <w:kern w:val="0"/>
          <w:sz w:val="28"/>
          <w:szCs w:val="28"/>
          <w:highlight w:val="none"/>
        </w:rPr>
        <w:instrText xml:space="preserve"> PAGEREF _Toc104464174 \h </w:instrText>
      </w:r>
      <w:r>
        <w:rPr>
          <w:rStyle w:val="13"/>
          <w:rFonts w:ascii="仿宋_GB2312" w:hAnsi="黑体" w:eastAsia="仿宋_GB2312"/>
          <w:b/>
          <w:bCs/>
          <w:kern w:val="0"/>
          <w:sz w:val="28"/>
          <w:szCs w:val="28"/>
          <w:highlight w:val="none"/>
        </w:rPr>
        <w:fldChar w:fldCharType="separate"/>
      </w:r>
      <w:r>
        <w:rPr>
          <w:rStyle w:val="13"/>
          <w:rFonts w:ascii="仿宋_GB2312" w:hAnsi="黑体" w:eastAsia="仿宋_GB2312"/>
          <w:b/>
          <w:bCs/>
          <w:kern w:val="0"/>
          <w:sz w:val="28"/>
          <w:szCs w:val="28"/>
          <w:highlight w:val="none"/>
        </w:rPr>
        <w:t>14</w:t>
      </w:r>
      <w:r>
        <w:rPr>
          <w:rStyle w:val="13"/>
          <w:rFonts w:ascii="仿宋_GB2312" w:hAnsi="黑体" w:eastAsia="仿宋_GB2312"/>
          <w:b/>
          <w:bCs/>
          <w:kern w:val="0"/>
          <w:sz w:val="28"/>
          <w:szCs w:val="28"/>
          <w:highlight w:val="none"/>
        </w:rPr>
        <w:fldChar w:fldCharType="end"/>
      </w:r>
      <w:r>
        <w:rPr>
          <w:rStyle w:val="13"/>
          <w:rFonts w:ascii="仿宋_GB2312" w:hAnsi="黑体" w:eastAsia="仿宋_GB2312"/>
          <w:b/>
          <w:bCs/>
          <w:kern w:val="0"/>
          <w:sz w:val="28"/>
          <w:szCs w:val="28"/>
          <w:highlight w:val="none"/>
        </w:rPr>
        <w:fldChar w:fldCharType="end"/>
      </w:r>
    </w:p>
    <w:p>
      <w:pPr>
        <w:pStyle w:val="8"/>
        <w:tabs>
          <w:tab w:val="right" w:leader="dot" w:pos="8835"/>
        </w:tabs>
        <w:spacing w:line="560" w:lineRule="exact"/>
        <w:ind w:firstLine="421" w:firstLineChars="200"/>
        <w:rPr>
          <w:rFonts w:hint="eastAsia" w:ascii="仿宋_GB2312" w:hAnsi="仿宋_GB2312" w:eastAsia="仿宋_GB2312" w:cs="仿宋_GB2312"/>
          <w:sz w:val="32"/>
          <w:szCs w:val="32"/>
          <w:highlight w:val="none"/>
        </w:rPr>
      </w:pPr>
      <w:r>
        <w:rPr>
          <w:rStyle w:val="13"/>
          <w:rFonts w:hint="eastAsia" w:hAnsi="黑体"/>
          <w:b/>
          <w:bCs/>
          <w:highlight w:val="none"/>
        </w:rPr>
        <w:fldChar w:fldCharType="end"/>
      </w:r>
    </w:p>
    <w:p>
      <w:pPr>
        <w:widowControl/>
        <w:spacing w:before="156" w:beforeLines="50" w:after="156" w:afterLines="50" w:line="560" w:lineRule="exact"/>
        <w:ind w:firstLine="640" w:firstLineChars="200"/>
        <w:rPr>
          <w:rFonts w:hint="eastAsia" w:ascii="仿宋_GB2312" w:hAnsi="仿宋_GB2312" w:eastAsia="仿宋_GB2312" w:cs="仿宋_GB2312"/>
          <w:bCs/>
          <w:kern w:val="0"/>
          <w:sz w:val="32"/>
          <w:szCs w:val="32"/>
          <w:highlight w:val="none"/>
        </w:rPr>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36"/>
          <w:szCs w:val="36"/>
          <w:highlight w:val="none"/>
        </w:rPr>
      </w:pPr>
      <w:r>
        <w:rPr>
          <w:rFonts w:hint="eastAsia" w:ascii="方正小标宋简体" w:hAnsi="Leelawadee UI" w:eastAsia="方正小标宋简体"/>
          <w:bCs/>
          <w:kern w:val="0"/>
          <w:sz w:val="36"/>
          <w:szCs w:val="36"/>
          <w:highlight w:val="none"/>
        </w:rPr>
        <w:t>北京市农村经济研究中心</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36"/>
          <w:szCs w:val="36"/>
          <w:highlight w:val="none"/>
        </w:rPr>
      </w:pPr>
      <w:r>
        <w:rPr>
          <w:rFonts w:hint="eastAsia" w:ascii="方正小标宋简体" w:hAnsi="Leelawadee UI" w:eastAsia="方正小标宋简体" w:cs="Leelawadee UI"/>
          <w:bCs/>
          <w:kern w:val="0"/>
          <w:sz w:val="36"/>
          <w:szCs w:val="36"/>
          <w:highlight w:val="none"/>
          <w:lang w:val="en-US" w:eastAsia="zh-CN"/>
        </w:rPr>
        <w:t>2024年</w:t>
      </w:r>
      <w:r>
        <w:rPr>
          <w:rFonts w:hint="eastAsia" w:ascii="方正小标宋简体" w:hAnsi="Leelawadee UI" w:eastAsia="方正小标宋简体" w:cs="Leelawadee UI"/>
          <w:bCs/>
          <w:kern w:val="0"/>
          <w:sz w:val="36"/>
          <w:szCs w:val="36"/>
          <w:highlight w:val="none"/>
        </w:rPr>
        <w:t>北京市乡村振兴专家咨询委员会</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Leelawadee UI" w:eastAsia="方正小标宋简体" w:cs="Leelawadee UI"/>
          <w:bCs/>
          <w:kern w:val="0"/>
          <w:sz w:val="36"/>
          <w:szCs w:val="36"/>
          <w:highlight w:val="none"/>
        </w:rPr>
      </w:pPr>
      <w:r>
        <w:rPr>
          <w:rFonts w:hint="eastAsia" w:ascii="方正小标宋简体" w:hAnsi="Leelawadee UI" w:eastAsia="方正小标宋简体" w:cs="Leelawadee UI"/>
          <w:bCs/>
          <w:kern w:val="0"/>
          <w:sz w:val="36"/>
          <w:szCs w:val="36"/>
          <w:highlight w:val="none"/>
        </w:rPr>
        <w:t>专项经费项目绩效评价报告</w:t>
      </w:r>
    </w:p>
    <w:p>
      <w:pPr>
        <w:spacing w:line="560" w:lineRule="exact"/>
        <w:ind w:firstLine="880" w:firstLineChars="200"/>
        <w:jc w:val="center"/>
        <w:rPr>
          <w:rFonts w:hint="eastAsia" w:ascii="方正小标宋简体" w:hAnsi="Leelawadee UI" w:eastAsia="方正小标宋简体" w:cs="Leelawadee UI"/>
          <w:bCs/>
          <w:kern w:val="0"/>
          <w:sz w:val="44"/>
          <w:szCs w:val="28"/>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为进一步推进预算绩效管理工作，提升财政资金使用效率和部门绩效管理水平，根据《中共北京市委 北京市人民政府关于全面实施预算绩效管理的实施意见》</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京发〔2019〕12号</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、《北京市项目支出绩效评价管理办法》（京财绩效〔2020〕2146号）等有关规定，结合</w:t>
      </w:r>
      <w:r>
        <w:rPr>
          <w:rFonts w:hint="eastAsia" w:ascii="仿宋_GB2312" w:hAnsi="仿宋_GB2312" w:eastAsia="仿宋_GB2312" w:cs="仿宋_GB2312"/>
          <w:sz w:val="32"/>
          <w:highlight w:val="none"/>
          <w:lang w:val="en-US" w:eastAsia="zh-CN"/>
        </w:rPr>
        <w:t>北京市财政局</w:t>
      </w:r>
      <w:r>
        <w:rPr>
          <w:rFonts w:hint="eastAsia" w:ascii="仿宋_GB2312" w:hAnsi="仿宋_GB2312" w:eastAsia="仿宋_GB2312" w:cs="仿宋_GB2312"/>
          <w:sz w:val="32"/>
          <w:highlight w:val="none"/>
        </w:rPr>
        <w:t>《</w:t>
      </w:r>
      <w:r>
        <w:rPr>
          <w:rFonts w:hint="eastAsia" w:ascii="仿宋_GB2312" w:hAnsi="仿宋_GB2312" w:eastAsia="仿宋_GB2312" w:cs="仿宋_GB2312"/>
          <w:bCs/>
          <w:kern w:val="0"/>
          <w:sz w:val="32"/>
          <w:szCs w:val="28"/>
          <w:highlight w:val="none"/>
          <w:lang w:val="en-US" w:eastAsia="zh-CN"/>
        </w:rPr>
        <w:t>关于2025年预算绩效管理工作的通知</w:t>
      </w:r>
      <w:r>
        <w:rPr>
          <w:rFonts w:hint="eastAsia" w:ascii="仿宋_GB2312" w:hAnsi="仿宋_GB2312" w:eastAsia="仿宋_GB2312" w:cs="仿宋_GB2312"/>
          <w:sz w:val="32"/>
          <w:highlight w:val="none"/>
          <w:lang w:val="en-US" w:eastAsia="zh-CN"/>
        </w:rPr>
        <w:t>》的工作安排</w:t>
      </w:r>
      <w:r>
        <w:rPr>
          <w:rFonts w:hint="eastAsia" w:ascii="仿宋_GB2312" w:hAnsi="仿宋_GB2312" w:eastAsia="仿宋_GB2312" w:cs="仿宋_GB2312"/>
          <w:sz w:val="32"/>
          <w:highlight w:val="none"/>
        </w:rPr>
        <w:t>，北京市农村经济研究中心（以下简称“市农研中心”）组建绩效评价工作组</w:t>
      </w:r>
      <w:r>
        <w:rPr>
          <w:rFonts w:hint="eastAsia" w:ascii="仿宋_GB2312" w:hAnsi="仿宋_GB2312" w:eastAsia="仿宋_GB2312" w:cs="仿宋_GB2312"/>
          <w:sz w:val="32"/>
          <w:highlight w:val="none"/>
          <w:lang w:val="en-US" w:eastAsia="zh-CN"/>
        </w:rPr>
        <w:t>，对北京市乡村振兴专家咨询委员会专项经费项目</w:t>
      </w:r>
      <w:r>
        <w:rPr>
          <w:rFonts w:hint="eastAsia" w:ascii="仿宋_GB2312" w:hAnsi="仿宋_GB2312" w:eastAsia="仿宋_GB2312" w:cs="仿宋_GB2312"/>
          <w:sz w:val="32"/>
          <w:highlight w:val="none"/>
        </w:rPr>
        <w:t>（以下简称“该项目”）实施绩效评价，形成本绩效评价报告。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0" w:name="_Toc530336291"/>
      <w:bookmarkStart w:id="1" w:name="_Toc104464156"/>
      <w:r>
        <w:rPr>
          <w:rFonts w:hint="eastAsia" w:ascii="黑体" w:hAnsi="黑体" w:eastAsia="黑体"/>
          <w:bCs/>
          <w:kern w:val="0"/>
          <w:sz w:val="32"/>
          <w:szCs w:val="28"/>
          <w:highlight w:val="none"/>
        </w:rPr>
        <w:t>一、</w:t>
      </w:r>
      <w:bookmarkEnd w:id="0"/>
      <w:r>
        <w:rPr>
          <w:rFonts w:hint="eastAsia" w:ascii="黑体" w:hAnsi="黑体" w:eastAsia="黑体"/>
          <w:bCs/>
          <w:kern w:val="0"/>
          <w:sz w:val="32"/>
          <w:szCs w:val="28"/>
          <w:highlight w:val="none"/>
        </w:rPr>
        <w:t>基本情况</w:t>
      </w:r>
      <w:bookmarkEnd w:id="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2" w:name="_Toc530336292"/>
      <w:bookmarkStart w:id="3" w:name="_Toc104464157"/>
      <w:r>
        <w:rPr>
          <w:rFonts w:hint="eastAsia" w:ascii="楷体" w:hAnsi="楷体" w:eastAsia="楷体"/>
          <w:bCs/>
          <w:kern w:val="0"/>
          <w:sz w:val="32"/>
          <w:szCs w:val="28"/>
          <w:highlight w:val="none"/>
        </w:rPr>
        <w:t>（一）</w:t>
      </w:r>
      <w:bookmarkEnd w:id="2"/>
      <w:r>
        <w:rPr>
          <w:rFonts w:hint="eastAsia" w:ascii="楷体" w:hAnsi="楷体" w:eastAsia="楷体"/>
          <w:bCs/>
          <w:kern w:val="0"/>
          <w:sz w:val="32"/>
          <w:szCs w:val="28"/>
          <w:highlight w:val="none"/>
        </w:rPr>
        <w:t>项目概况</w:t>
      </w:r>
      <w:bookmarkEnd w:id="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highlight w:val="none"/>
        </w:rPr>
      </w:pPr>
      <w:bookmarkStart w:id="4" w:name="_Toc72129824"/>
      <w:bookmarkStart w:id="5" w:name="_Toc104464158"/>
      <w:bookmarkStart w:id="6" w:name="_Toc72117809"/>
      <w:r>
        <w:rPr>
          <w:rFonts w:hint="eastAsia" w:ascii="仿宋_GB2312" w:hAnsi="楷体" w:eastAsia="仿宋_GB2312"/>
          <w:bCs/>
          <w:kern w:val="0"/>
          <w:sz w:val="32"/>
          <w:szCs w:val="28"/>
          <w:highlight w:val="none"/>
        </w:rPr>
        <w:t>1.项目背景</w:t>
      </w:r>
      <w:bookmarkEnd w:id="4"/>
      <w:bookmarkEnd w:id="5"/>
      <w:bookmarkEnd w:id="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bookmarkStart w:id="7" w:name="_Toc72129825"/>
      <w:bookmarkStart w:id="8" w:name="_Toc104464159"/>
      <w:bookmarkStart w:id="9" w:name="_Toc72117810"/>
      <w:r>
        <w:rPr>
          <w:rFonts w:hint="eastAsia" w:ascii="仿宋_GB2312" w:hAnsi="仿宋_GB2312" w:eastAsia="仿宋_GB2312" w:cs="仿宋_GB2312"/>
          <w:sz w:val="32"/>
          <w:highlight w:val="none"/>
        </w:rPr>
        <w:t>北京拥有大量长期为“三农”决策提供研究咨询服务的智力资源，特别是有一批“国字号”知名专家，深入参与国家“三农”重要决策，经常主持各地“三农”课题研究，能在内参和重要媒体上发表有影响力的咨政建言报告。这些专家，是进一步提高北京“三农”工作科学性、影响力的宝贵资源</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具有</w:t>
      </w:r>
      <w:r>
        <w:rPr>
          <w:rFonts w:hint="eastAsia" w:ascii="仿宋_GB2312" w:hAnsi="仿宋_GB2312" w:eastAsia="仿宋_GB2312" w:cs="仿宋_GB2312"/>
          <w:sz w:val="32"/>
          <w:highlight w:val="none"/>
        </w:rPr>
        <w:t>独特优势。为更好发挥在京专家作用，经批准，2022年9月5日，北京市乡村振兴专家咨询委员会（以下简称“专咨委”）成立</w:t>
      </w:r>
      <w:r>
        <w:rPr>
          <w:rFonts w:hint="eastAsia" w:ascii="仿宋_GB2312" w:hAnsi="仿宋_GB2312" w:eastAsia="仿宋_GB2312" w:cs="仿宋_GB2312"/>
          <w:sz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楷体" w:eastAsia="仿宋_GB2312"/>
          <w:bCs/>
          <w:kern w:val="0"/>
          <w:sz w:val="32"/>
          <w:szCs w:val="28"/>
          <w:highlight w:val="none"/>
        </w:rPr>
      </w:pPr>
      <w:r>
        <w:rPr>
          <w:rFonts w:hint="eastAsia" w:ascii="仿宋_GB2312" w:eastAsia="仿宋_GB2312"/>
          <w:sz w:val="32"/>
          <w:szCs w:val="32"/>
          <w:highlight w:val="none"/>
          <w:lang w:val="en-US" w:eastAsia="zh-CN"/>
        </w:rPr>
        <w:t>为</w:t>
      </w:r>
      <w:r>
        <w:rPr>
          <w:rFonts w:hint="eastAsia" w:ascii="仿宋_GB2312" w:eastAsia="仿宋_GB2312"/>
          <w:sz w:val="32"/>
          <w:szCs w:val="32"/>
          <w:highlight w:val="none"/>
        </w:rPr>
        <w:t>落实市委市政府决策部署和领导批示指示精神，调动在京优质专家资源，进一步拓宽“三农”视野，打开工作思路，形成服务于全市农业农村改革发展与乡村振兴的强大思想力量为目标而申报该项目</w:t>
      </w:r>
      <w:r>
        <w:rPr>
          <w:rFonts w:hint="eastAsia" w:ascii="仿宋_GB2312" w:eastAsia="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2.项目主要内容</w:t>
      </w:r>
      <w:bookmarkEnd w:id="7"/>
      <w:bookmarkEnd w:id="8"/>
      <w:bookmarkEnd w:id="9"/>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10" w:name="OLE_LINK2"/>
      <w:bookmarkStart w:id="11" w:name="_Toc72129826"/>
      <w:bookmarkStart w:id="12" w:name="_Toc72117811"/>
      <w:r>
        <w:rPr>
          <w:rFonts w:hint="eastAsia" w:ascii="仿宋_GB2312" w:hAnsi="仿宋_GB2312" w:eastAsia="仿宋_GB2312" w:cs="仿宋_GB2312"/>
          <w:sz w:val="32"/>
          <w:szCs w:val="32"/>
          <w:highlight w:val="none"/>
        </w:rPr>
        <w:t>该项目主要包含</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部分内容，具体如下：</w:t>
      </w:r>
    </w:p>
    <w:bookmarkEnd w:id="10"/>
    <w:p>
      <w:pPr>
        <w:pStyle w:val="15"/>
        <w:keepNext w:val="0"/>
        <w:keepLines w:val="0"/>
        <w:pageBreakBefore w:val="0"/>
        <w:widowControl w:val="0"/>
        <w:kinsoku/>
        <w:wordWrap/>
        <w:overflowPunct/>
        <w:topLinePunct w:val="0"/>
        <w:autoSpaceDE/>
        <w:autoSpaceDN/>
        <w:bidi w:val="0"/>
        <w:adjustRightInd/>
        <w:snapToGrid/>
        <w:spacing w:line="560" w:lineRule="exact"/>
        <w:ind w:firstLine="964"/>
        <w:jc w:val="both"/>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组织开展调查研究。采取自上而下、自下而上相结合的方式，向市委农村工作领导小组成员单位、委局各处室、各涉农区、市农研中心各处室、专咨委专家委员等广泛征求征集2024年调研课题选题建议。在此基础上，认真谋划课题研究任务，按照组织申报、形式审查、立项审批程序，围绕农业高质量发展路径、宜居宜业和美乡村建设、农民增收、城乡融合研究、绿隔地区建设等重难点问题，确立一批委托课题研究，着力增强研究的战略性、前瞻性和创新性，形成具有较高决策参考价值的研究成果。</w:t>
      </w:r>
      <w:r>
        <w:rPr>
          <w:rFonts w:hint="eastAsia" w:ascii="仿宋_GB2312" w:hAnsi="Calibri" w:eastAsia="仿宋_GB2312" w:cs="Times New Roman"/>
          <w:bCs w:val="0"/>
          <w:snapToGrid/>
          <w:color w:val="000000"/>
          <w:kern w:val="2"/>
          <w:sz w:val="32"/>
          <w:szCs w:val="32"/>
          <w:highlight w:val="none"/>
        </w:rPr>
        <w:t>完成本年25项课题</w:t>
      </w:r>
      <w:r>
        <w:rPr>
          <w:rFonts w:hint="eastAsia" w:ascii="仿宋_GB2312" w:eastAsia="仿宋_GB2312" w:cs="Times New Roman"/>
          <w:bCs w:val="0"/>
          <w:snapToGrid/>
          <w:color w:val="000000"/>
          <w:kern w:val="2"/>
          <w:sz w:val="32"/>
          <w:szCs w:val="32"/>
          <w:highlight w:val="none"/>
          <w:lang w:eastAsia="zh-CN"/>
        </w:rPr>
        <w:t>，</w:t>
      </w:r>
      <w:r>
        <w:rPr>
          <w:rFonts w:hint="eastAsia" w:ascii="仿宋_GB2312" w:hAnsi="仿宋_GB2312" w:eastAsia="仿宋_GB2312" w:cs="仿宋_GB2312"/>
          <w:sz w:val="32"/>
          <w:szCs w:val="22"/>
          <w:highlight w:val="none"/>
        </w:rPr>
        <w:t>其中</w:t>
      </w:r>
      <w:r>
        <w:rPr>
          <w:rFonts w:hint="eastAsia" w:ascii="仿宋_GB2312" w:hAnsi="Calibri" w:eastAsia="仿宋_GB2312" w:cs="Times New Roman"/>
          <w:bCs w:val="0"/>
          <w:snapToGrid/>
          <w:color w:val="000000"/>
          <w:kern w:val="2"/>
          <w:sz w:val="32"/>
          <w:szCs w:val="32"/>
          <w:highlight w:val="none"/>
        </w:rPr>
        <w:t>年度重大课题10项、重点课题15项</w:t>
      </w:r>
      <w:r>
        <w:rPr>
          <w:rFonts w:hint="eastAsia" w:ascii="仿宋_GB2312" w:hAnsi="仿宋_GB2312" w:eastAsia="仿宋_GB2312" w:cs="仿宋_GB2312"/>
          <w:sz w:val="32"/>
          <w:szCs w:val="22"/>
          <w:highlight w:val="none"/>
        </w:rPr>
        <w:t>。</w:t>
      </w:r>
    </w:p>
    <w:p>
      <w:pPr>
        <w:pStyle w:val="15"/>
        <w:keepNext w:val="0"/>
        <w:keepLines w:val="0"/>
        <w:pageBreakBefore w:val="0"/>
        <w:widowControl w:val="0"/>
        <w:kinsoku/>
        <w:wordWrap/>
        <w:overflowPunct/>
        <w:topLinePunct w:val="0"/>
        <w:autoSpaceDE/>
        <w:autoSpaceDN/>
        <w:bidi w:val="0"/>
        <w:adjustRightInd/>
        <w:snapToGrid/>
        <w:spacing w:line="560" w:lineRule="exact"/>
        <w:ind w:firstLine="964"/>
        <w:jc w:val="both"/>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组织咨政建言。拟组织开展政策解读、专题讲座3次，在中央、市委乡村振兴重要政策和方向性文件出台后，邀请专家对政策出台背景、目的意义、政策要点和执行路径等进行解读。每次邀请1位专家围绕专题进行讲授。根据实际工作需要，全年不定期组织开展重大政策研讨或评估论证会5次，为政策文件制定提供专家支持，每次邀请5位专家。</w:t>
      </w:r>
    </w:p>
    <w:p>
      <w:pPr>
        <w:pStyle w:val="15"/>
        <w:keepNext w:val="0"/>
        <w:keepLines w:val="0"/>
        <w:pageBreakBefore w:val="0"/>
        <w:widowControl w:val="0"/>
        <w:kinsoku/>
        <w:wordWrap/>
        <w:overflowPunct/>
        <w:topLinePunct w:val="0"/>
        <w:autoSpaceDE/>
        <w:autoSpaceDN/>
        <w:bidi w:val="0"/>
        <w:adjustRightInd/>
        <w:snapToGrid/>
        <w:spacing w:line="560" w:lineRule="exact"/>
        <w:ind w:firstLine="964"/>
        <w:jc w:val="both"/>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组织“京郊行”活动。计划全年组织开展“京郊行”活动4次。结合全市“三农”工作热点、难点、重点问题和调研对象需要专家支持事项等需求，组织开展专题调研，为区、乡镇、村以及涉农企业发展出谋划策。</w:t>
      </w:r>
    </w:p>
    <w:p>
      <w:pPr>
        <w:pStyle w:val="15"/>
        <w:keepNext w:val="0"/>
        <w:keepLines w:val="0"/>
        <w:pageBreakBefore w:val="0"/>
        <w:widowControl w:val="0"/>
        <w:kinsoku/>
        <w:wordWrap/>
        <w:overflowPunct/>
        <w:topLinePunct w:val="0"/>
        <w:autoSpaceDE/>
        <w:autoSpaceDN/>
        <w:bidi w:val="0"/>
        <w:adjustRightInd/>
        <w:snapToGrid/>
        <w:spacing w:line="560" w:lineRule="exact"/>
        <w:ind w:firstLine="964"/>
        <w:jc w:val="both"/>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4）推进成果转化。定期报送要参，根据实际工作需要，结合调研课题阶段性成果，“京郊行”活动、咨政建言等活动中的专家意见建议，动态跟踪整理专家观点，不定期编制《乡村振兴简报》，报送不少于20篇报告，刊发不少于10期。印制调研课题研究报告汇编、决策咨询报告等阶段性成果汇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5）建立健全工作机制和管理机制。一是强化课题研究过程管理。坚持问题导向和目标导向，进一步强化对委托课题研究工作进展情况的调度，严格执行委托课题立项、开题论证、中期检查、课题验收等管理和评价机制，健全“专家团队+主要联系部门（单位）+联络服务部门（单位）+专咨委办公室”共同参与的“四位一体”合作调研机制，强化对课题研究的全过程管理和指导，及时转化研究成果，争取早出成果、多出成果。二是进一步完善课题管理办法等全过程管理机制。三是建立专咨委调研管理系统，推动研究任务线上化、跟踪评价标准化、成果转化可视化，不断增强服务决策的综合能力。</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3.项目资金情况</w:t>
      </w:r>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cs="Times New Roman"/>
          <w:bCs/>
          <w:kern w:val="0"/>
          <w:sz w:val="32"/>
          <w:szCs w:val="28"/>
          <w:highlight w:val="none"/>
          <w:lang w:val="en-US" w:eastAsia="zh-CN"/>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2月</w:t>
      </w:r>
      <w:r>
        <w:rPr>
          <w:rFonts w:hint="eastAsia" w:ascii="仿宋_GB2312" w:eastAsia="仿宋_GB2312"/>
          <w:sz w:val="32"/>
          <w:szCs w:val="32"/>
          <w:highlight w:val="none"/>
        </w:rPr>
        <w:t>，</w:t>
      </w:r>
      <w:r>
        <w:rPr>
          <w:rFonts w:hint="eastAsia" w:ascii="仿宋_GB2312" w:hAnsi="仿宋_GB2312" w:eastAsia="仿宋_GB2312" w:cs="仿宋_GB2312"/>
          <w:snapToGrid w:val="0"/>
          <w:sz w:val="32"/>
          <w:highlight w:val="none"/>
          <w:lang w:val="en-US" w:eastAsia="zh-CN"/>
        </w:rPr>
        <w:t>北京市财政局《关于批复北京市农村经济研究中心2024年预算的函》（京财农指〔2024〕0212号），批复该项目预算</w:t>
      </w:r>
      <w:r>
        <w:rPr>
          <w:rFonts w:hint="eastAsia" w:ascii="仿宋_GB2312" w:eastAsia="仿宋_GB2312"/>
          <w:sz w:val="32"/>
          <w:szCs w:val="32"/>
          <w:highlight w:val="none"/>
        </w:rPr>
        <w:t>619.</w:t>
      </w:r>
      <w:r>
        <w:rPr>
          <w:rFonts w:hint="eastAsia" w:ascii="仿宋_GB2312" w:eastAsia="仿宋_GB2312"/>
          <w:sz w:val="32"/>
          <w:szCs w:val="32"/>
          <w:highlight w:val="none"/>
          <w:lang w:val="en-US" w:eastAsia="zh-CN"/>
        </w:rPr>
        <w:t>90</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2024年12月，</w:t>
      </w:r>
      <w:r>
        <w:rPr>
          <w:rFonts w:hint="eastAsia" w:ascii="仿宋_GB2312" w:eastAsia="仿宋_GB2312"/>
          <w:sz w:val="32"/>
          <w:szCs w:val="32"/>
          <w:highlight w:val="none"/>
        </w:rPr>
        <w:t>北京市财政局</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关于核减北京市农村经济研究中心部门预算的函</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（京财农指</w:t>
      </w:r>
      <w:r>
        <w:rPr>
          <w:rFonts w:hint="eastAsia" w:ascii="仿宋_GB2312" w:hAnsi="仿宋_GB2312" w:eastAsia="仿宋_GB2312" w:cs="仿宋_GB2312"/>
          <w:sz w:val="32"/>
          <w:highlight w:val="none"/>
        </w:rPr>
        <w:t>〔</w:t>
      </w:r>
      <w:r>
        <w:rPr>
          <w:rFonts w:hint="eastAsia" w:ascii="仿宋_GB2312" w:eastAsia="仿宋_GB2312"/>
          <w:sz w:val="32"/>
          <w:szCs w:val="32"/>
          <w:highlight w:val="none"/>
        </w:rPr>
        <w:t>2024</w:t>
      </w:r>
      <w:r>
        <w:rPr>
          <w:rFonts w:hint="eastAsia" w:ascii="仿宋_GB2312" w:hAnsi="仿宋_GB2312" w:eastAsia="仿宋_GB2312" w:cs="仿宋_GB2312"/>
          <w:sz w:val="32"/>
          <w:highlight w:val="none"/>
        </w:rPr>
        <w:t>〕</w:t>
      </w:r>
      <w:r>
        <w:rPr>
          <w:rFonts w:hint="eastAsia" w:ascii="仿宋_GB2312" w:eastAsia="仿宋_GB2312"/>
          <w:sz w:val="32"/>
          <w:szCs w:val="32"/>
          <w:highlight w:val="none"/>
        </w:rPr>
        <w:t>2298号）</w:t>
      </w:r>
      <w:r>
        <w:rPr>
          <w:rFonts w:hint="eastAsia" w:ascii="仿宋_GB2312" w:eastAsia="仿宋_GB2312"/>
          <w:sz w:val="32"/>
          <w:szCs w:val="32"/>
          <w:highlight w:val="none"/>
          <w:lang w:eastAsia="zh-CN"/>
        </w:rPr>
        <w:t>，</w:t>
      </w:r>
      <w:r>
        <w:rPr>
          <w:rFonts w:hint="eastAsia" w:ascii="仿宋_GB2312" w:hAnsi="楷体" w:eastAsia="仿宋_GB2312" w:cs="Times New Roman"/>
          <w:bCs/>
          <w:kern w:val="0"/>
          <w:sz w:val="32"/>
          <w:szCs w:val="28"/>
          <w:highlight w:val="none"/>
          <w:lang w:val="en-US" w:eastAsia="zh-CN"/>
        </w:rPr>
        <w:t>核减该项目预算20.61万元，年度项目预算</w:t>
      </w:r>
      <w:r>
        <w:rPr>
          <w:rFonts w:hint="eastAsia" w:ascii="仿宋_GB2312" w:eastAsia="仿宋_GB2312"/>
          <w:sz w:val="32"/>
          <w:szCs w:val="32"/>
          <w:highlight w:val="none"/>
          <w:lang w:val="en-US" w:eastAsia="zh-CN"/>
        </w:rPr>
        <w:t>599.29</w:t>
      </w:r>
      <w:r>
        <w:rPr>
          <w:rFonts w:hint="eastAsia" w:ascii="仿宋_GB2312" w:hAnsi="楷体" w:eastAsia="仿宋_GB2312" w:cs="Times New Roman"/>
          <w:bCs/>
          <w:kern w:val="0"/>
          <w:sz w:val="32"/>
          <w:szCs w:val="28"/>
          <w:highlight w:val="none"/>
          <w:lang w:val="en-US" w:eastAsia="zh-CN"/>
        </w:rPr>
        <w:t>万元，财政资金100%到位。</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截至202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年12月31日，该项目实际支出</w:t>
      </w:r>
      <w:r>
        <w:rPr>
          <w:rFonts w:hint="eastAsia" w:ascii="仿宋_GB2312" w:eastAsia="仿宋_GB2312"/>
          <w:sz w:val="32"/>
          <w:szCs w:val="32"/>
          <w:highlight w:val="none"/>
          <w:lang w:val="en-US" w:eastAsia="zh-CN"/>
        </w:rPr>
        <w:t>599.29</w:t>
      </w:r>
      <w:r>
        <w:rPr>
          <w:rFonts w:hint="eastAsia" w:ascii="仿宋_GB2312" w:eastAsia="仿宋_GB2312"/>
          <w:sz w:val="32"/>
          <w:szCs w:val="32"/>
          <w:highlight w:val="none"/>
        </w:rPr>
        <w:t>万元，预算执行率为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13" w:name="_Toc104464160"/>
      <w:r>
        <w:rPr>
          <w:rFonts w:hint="eastAsia" w:ascii="楷体" w:hAnsi="楷体" w:eastAsia="楷体"/>
          <w:bCs/>
          <w:kern w:val="0"/>
          <w:sz w:val="32"/>
          <w:szCs w:val="28"/>
          <w:highlight w:val="none"/>
        </w:rPr>
        <w:t>（二）项目绩效目标</w:t>
      </w:r>
      <w:bookmarkEnd w:id="13"/>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bCs/>
          <w:kern w:val="0"/>
          <w:sz w:val="32"/>
          <w:szCs w:val="28"/>
          <w:highlight w:val="none"/>
        </w:rPr>
      </w:pPr>
      <w:r>
        <w:rPr>
          <w:rFonts w:hint="eastAsia" w:ascii="仿宋_GB2312" w:hAnsi="仿宋_GB2312" w:eastAsia="仿宋_GB2312" w:cs="仿宋_GB2312"/>
          <w:sz w:val="32"/>
          <w:highlight w:val="none"/>
        </w:rPr>
        <w:t>1.年度目标：</w:t>
      </w:r>
      <w:r>
        <w:rPr>
          <w:rFonts w:hint="eastAsia" w:ascii="仿宋_GB2312" w:eastAsia="仿宋_GB2312"/>
          <w:sz w:val="32"/>
          <w:szCs w:val="32"/>
          <w:highlight w:val="none"/>
        </w:rPr>
        <w:t>一是组织专家委员开展首都乡村振兴调查研究。围绕北京市贯彻落实中央农村工作会议和中央一号文件精神，选取重点工作设置年度课题，研究文件精神的落地途径和政策建议；由相关领域的专家委员牵头组织咨询研究，形成专题报告，有针对性提供问题解决方案。二是开展政策解读。在中央、市委市政府出台“三农”领域的重大政策或是召开重要会议之后，及时跟进，邀请有关权威专家面向相关政策执行部门和政策执行对象进行政策解读。三是开展论证评估。组织专家就涉农政策出台开展研究论证，提高决策的科学性；组织专家对现行政策“把脉问诊”，推动政策良性运行和有效落实；组织专家对政策的实施效果进行评估，提出完善建议。四是服务基层实践。开展“京郊行”活动，聚焦全市推进乡村振兴的先进典型，总结宣传经验模式，扩大影响力；总结提炼兄弟省市“三农”发展好经验、好做法、好典型，向基层推广复制；围绕薄弱村、后进村及其背后的矛盾问题深入剖析，提供智力支持；组织专家由点及面，分析北京乡村振兴面临的普遍困难与瓶颈，提出对策建议。五是定期成果报送。依托《北京工作》《昨日市情》《乡村振兴简报》以及各专家委员提供的报送渠道，及时收集、整理专咨委工作成果，向市委市政府、有关部门报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highlight w:val="none"/>
        </w:rPr>
      </w:pPr>
      <w:r>
        <w:rPr>
          <w:rFonts w:hint="eastAsia" w:ascii="仿宋_GB2312" w:hAnsi="仿宋_GB2312" w:eastAsia="仿宋_GB2312" w:cs="仿宋_GB2312"/>
          <w:sz w:val="32"/>
          <w:highlight w:val="none"/>
        </w:rPr>
        <w:t>2.绩效指标：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highlight w:val="none"/>
        </w:rPr>
        <w:t>（1）数量指标：完成调研课题≥25项，每项课题至少一篇课题研究报告</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报送《乡村振兴简报》</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20期</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完成重点课题及其他课题的决策咨询研究≥</w:t>
      </w:r>
      <w:r>
        <w:rPr>
          <w:rFonts w:hint="eastAsia" w:ascii="仿宋_GB2312" w:hAnsi="仿宋_GB2312" w:eastAsia="仿宋_GB2312" w:cs="仿宋_GB2312"/>
          <w:sz w:val="32"/>
          <w:highlight w:val="none"/>
          <w:lang w:val="en-US" w:eastAsia="zh-CN"/>
        </w:rPr>
        <w:t>1</w:t>
      </w:r>
      <w:r>
        <w:rPr>
          <w:rFonts w:hint="eastAsia" w:ascii="仿宋_GB2312" w:hAnsi="仿宋_GB2312" w:eastAsia="仿宋_GB2312" w:cs="仿宋_GB2312"/>
          <w:sz w:val="32"/>
          <w:highlight w:val="none"/>
        </w:rPr>
        <w:t>5篇，每项重点课题及其他课题完成至少一篇决策咨询报告</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完成重大课题的决策咨询研究</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20篇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每项重大课题完成至少两篇决策咨询报告</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开展专题研讨、评估论证会5次</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开展京郊行活动4次</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开展政策解读会、专题讲座3次</w:t>
      </w:r>
      <w:r>
        <w:rPr>
          <w:rFonts w:hint="eastAsia" w:ascii="仿宋_GB2312" w:hAnsi="仿宋_GB2312" w:eastAsia="仿宋_GB2312" w:cs="仿宋_GB2312"/>
          <w:sz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rPr>
        <w:t>（2）质量指标：课题研究成果被北京市相关部门采纳，或在供省部级及以上领导参阅的内参上刊发≥15篇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刊发《乡村振兴简报》≥10期</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color w:val="auto"/>
          <w:sz w:val="32"/>
          <w:highlight w:val="none"/>
        </w:rPr>
        <w:t>按照专咨委委托课题管理办法完成结题验收</w:t>
      </w:r>
      <w:r>
        <w:rPr>
          <w:rFonts w:hint="eastAsia" w:ascii="仿宋_GB2312" w:hAnsi="仿宋_GB2312" w:eastAsia="仿宋_GB2312" w:cs="仿宋_GB2312"/>
          <w:color w:val="auto"/>
          <w:sz w:val="32"/>
          <w:highlight w:val="none"/>
          <w:lang w:val="en-US" w:eastAsia="zh-CN"/>
        </w:rPr>
        <w:t>达到优（课题验收质量高）</w:t>
      </w:r>
      <w:r>
        <w:rPr>
          <w:rFonts w:hint="eastAsia" w:ascii="仿宋_GB2312" w:hAnsi="仿宋_GB2312" w:eastAsia="仿宋_GB2312" w:cs="仿宋_GB2312"/>
          <w:sz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rPr>
        <w:t>（3）</w:t>
      </w:r>
      <w:r>
        <w:rPr>
          <w:rFonts w:hint="eastAsia" w:ascii="仿宋_GB2312" w:hAnsi="仿宋_GB2312" w:eastAsia="仿宋_GB2312" w:cs="仿宋_GB2312"/>
          <w:sz w:val="32"/>
          <w:highlight w:val="none"/>
          <w:lang w:val="en-US" w:eastAsia="zh-CN"/>
        </w:rPr>
        <w:t>时效</w:t>
      </w:r>
      <w:r>
        <w:rPr>
          <w:rFonts w:hint="eastAsia" w:ascii="仿宋_GB2312" w:hAnsi="仿宋_GB2312" w:eastAsia="仿宋_GB2312" w:cs="仿宋_GB2312"/>
          <w:sz w:val="32"/>
          <w:highlight w:val="none"/>
        </w:rPr>
        <w:t>指标：2024年底之前完成既定目标</w:t>
      </w:r>
      <w:r>
        <w:rPr>
          <w:rFonts w:hint="eastAsia" w:ascii="仿宋_GB2312" w:hAnsi="仿宋_GB2312" w:eastAsia="仿宋_GB2312" w:cs="仿宋_GB2312"/>
          <w:sz w:val="32"/>
          <w:highlight w:val="none"/>
          <w:lang w:val="en-US" w:eastAsia="zh-CN"/>
        </w:rPr>
        <w:t>≤12月；按时间进度完成支出进度，9月底前完成70%。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highlight w:val="none"/>
        </w:rPr>
        <w:t>（4）成本指标：</w:t>
      </w:r>
      <w:r>
        <w:rPr>
          <w:rFonts w:hint="eastAsia" w:ascii="仿宋_GB2312" w:eastAsia="仿宋_GB2312"/>
          <w:sz w:val="32"/>
          <w:szCs w:val="32"/>
          <w:highlight w:val="none"/>
        </w:rPr>
        <w:t>项目总成本≤599.29</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（5）效益指标：为涉农区“三农”发展实践提供专家意见建议</w:t>
      </w:r>
      <w:r>
        <w:rPr>
          <w:rFonts w:hint="eastAsia" w:ascii="仿宋_GB2312" w:hAnsi="仿宋_GB2312" w:eastAsia="仿宋_GB2312" w:cs="仿宋_GB2312"/>
          <w:sz w:val="32"/>
          <w:highlight w:val="none"/>
          <w:lang w:val="en-US" w:eastAsia="zh-CN"/>
        </w:rPr>
        <w:t>定性优（为涉农区域提供专家意见效果好）；为涉农部门开展工作及制定政策提供智力支撑定性优（为涉农部门提供智力支撑效果好）</w:t>
      </w:r>
      <w:r>
        <w:rPr>
          <w:rFonts w:hint="eastAsia" w:ascii="仿宋_GB2312" w:hAnsi="仿宋_GB2312" w:eastAsia="仿宋_GB2312" w:cs="仿宋_GB2312"/>
          <w:sz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default"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（6）可持续影响指标：持续开展智库建设定性优（建设智库持续性高）。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22"/>
          <w:highlight w:val="none"/>
          <w:lang w:val="en-US" w:eastAsia="zh-CN" w:bidi="ar-SA"/>
        </w:rPr>
      </w:pPr>
      <w:r>
        <w:rPr>
          <w:rFonts w:hint="eastAsia" w:ascii="仿宋_GB2312" w:hAnsi="仿宋_GB2312" w:eastAsia="仿宋_GB2312" w:cs="仿宋_GB2312"/>
          <w:kern w:val="2"/>
          <w:sz w:val="32"/>
          <w:szCs w:val="22"/>
          <w:highlight w:val="none"/>
          <w:lang w:val="en-US" w:eastAsia="zh-CN" w:bidi="ar-SA"/>
        </w:rPr>
        <w:t>（7）服务对象满意指标：相关部门对于专家咨询委员会工作的满意度≥90%；相关涉农区对于专咨委工作的满意度≥90%。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14" w:name="_Toc104464161"/>
      <w:r>
        <w:rPr>
          <w:rFonts w:hint="eastAsia" w:ascii="黑体" w:hAnsi="黑体" w:eastAsia="黑体"/>
          <w:bCs/>
          <w:kern w:val="0"/>
          <w:sz w:val="32"/>
          <w:szCs w:val="28"/>
          <w:highlight w:val="none"/>
        </w:rPr>
        <w:t>二、绩效评价工作开展情况</w:t>
      </w:r>
      <w:bookmarkEnd w:id="1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ascii="楷体" w:hAnsi="楷体" w:eastAsia="楷体"/>
          <w:bCs/>
          <w:kern w:val="0"/>
          <w:sz w:val="32"/>
          <w:szCs w:val="28"/>
          <w:highlight w:val="none"/>
        </w:rPr>
      </w:pPr>
      <w:bookmarkStart w:id="15" w:name="_Toc104464162"/>
      <w:bookmarkStart w:id="16" w:name="_Toc104449868"/>
      <w:bookmarkStart w:id="17" w:name="_Toc104132882"/>
      <w:bookmarkStart w:id="18" w:name="_Toc24897"/>
      <w:bookmarkStart w:id="19" w:name="_Toc72117815"/>
      <w:bookmarkStart w:id="20" w:name="_Toc72129830"/>
      <w:r>
        <w:rPr>
          <w:rFonts w:hint="eastAsia" w:ascii="楷体" w:hAnsi="楷体" w:eastAsia="楷体"/>
          <w:bCs/>
          <w:kern w:val="0"/>
          <w:sz w:val="32"/>
          <w:szCs w:val="28"/>
          <w:highlight w:val="none"/>
        </w:rPr>
        <w:t>（一）绩效评价目的、对象及范围</w:t>
      </w:r>
      <w:bookmarkEnd w:id="15"/>
      <w:bookmarkEnd w:id="16"/>
      <w:bookmarkEnd w:id="17"/>
      <w:bookmarkEnd w:id="1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bookmarkStart w:id="21" w:name="_Toc104449869"/>
      <w:r>
        <w:rPr>
          <w:rFonts w:hint="eastAsia" w:ascii="仿宋_GB2312" w:hAnsi="仿宋_GB2312" w:eastAsia="仿宋_GB2312" w:cs="仿宋_GB2312"/>
          <w:sz w:val="32"/>
          <w:highlight w:val="none"/>
        </w:rPr>
        <w:t>1.评价目的</w:t>
      </w:r>
      <w:bookmarkEnd w:id="19"/>
      <w:bookmarkEnd w:id="20"/>
      <w:bookmarkEnd w:id="2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highlight w:val="none"/>
        </w:rPr>
      </w:pPr>
      <w:bookmarkStart w:id="22" w:name="_Toc72129831"/>
      <w:bookmarkStart w:id="23" w:name="_Toc72117816"/>
      <w:r>
        <w:rPr>
          <w:rFonts w:hint="eastAsia" w:ascii="仿宋_GB2312" w:hAnsi="仿宋_GB2312" w:eastAsia="仿宋_GB2312" w:cs="仿宋_GB2312"/>
          <w:sz w:val="32"/>
          <w:highlight w:val="none"/>
        </w:rPr>
        <w:t>通过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和效率。</w:t>
      </w:r>
    </w:p>
    <w:bookmarkEnd w:id="22"/>
    <w:bookmarkEnd w:id="23"/>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highlight w:val="none"/>
        </w:rPr>
      </w:pPr>
      <w:bookmarkStart w:id="24" w:name="_Toc73028723"/>
      <w:r>
        <w:rPr>
          <w:rFonts w:hint="eastAsia" w:ascii="仿宋_GB2312" w:hAnsi="仿宋_GB2312" w:eastAsia="仿宋_GB2312" w:cs="仿宋_GB2312"/>
          <w:sz w:val="32"/>
          <w:highlight w:val="none"/>
        </w:rPr>
        <w:t>2.评价对象和范围</w:t>
      </w:r>
      <w:bookmarkEnd w:id="2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对</w:t>
      </w:r>
      <w:r>
        <w:rPr>
          <w:rFonts w:hint="eastAsia" w:ascii="仿宋_GB2312" w:hAnsi="仿宋_GB2312" w:eastAsia="仿宋_GB2312" w:cs="仿宋_GB2312"/>
          <w:sz w:val="32"/>
          <w:highlight w:val="none"/>
        </w:rPr>
        <w:t>北京市乡村振兴专家咨询委员会专项经费项目</w:t>
      </w:r>
      <w:r>
        <w:rPr>
          <w:rFonts w:hint="eastAsia" w:ascii="仿宋_GB2312" w:eastAsia="仿宋_GB2312"/>
          <w:sz w:val="32"/>
          <w:szCs w:val="32"/>
          <w:highlight w:val="none"/>
          <w:lang w:val="en-US" w:eastAsia="zh-CN"/>
        </w:rPr>
        <w:t>599.29</w:t>
      </w:r>
      <w:r>
        <w:rPr>
          <w:rFonts w:hint="eastAsia" w:ascii="仿宋_GB2312" w:eastAsia="仿宋_GB2312"/>
          <w:sz w:val="32"/>
          <w:szCs w:val="32"/>
          <w:highlight w:val="none"/>
        </w:rPr>
        <w:t>万元</w:t>
      </w:r>
      <w:r>
        <w:rPr>
          <w:rFonts w:hint="eastAsia" w:ascii="仿宋_GB2312" w:hAnsi="楷体" w:eastAsia="仿宋_GB2312"/>
          <w:bCs/>
          <w:kern w:val="0"/>
          <w:sz w:val="32"/>
          <w:szCs w:val="28"/>
          <w:highlight w:val="none"/>
        </w:rPr>
        <w:t>的资金支出情况开展绩效评价。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25" w:name="_Toc104464163"/>
      <w:r>
        <w:rPr>
          <w:rFonts w:hint="eastAsia" w:ascii="楷体" w:hAnsi="楷体" w:eastAsia="楷体"/>
          <w:bCs/>
          <w:kern w:val="0"/>
          <w:sz w:val="32"/>
          <w:szCs w:val="28"/>
          <w:highlight w:val="none"/>
        </w:rPr>
        <w:t>（二）绩效评价基本情况</w:t>
      </w:r>
      <w:bookmarkEnd w:id="25"/>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bookmarkStart w:id="26" w:name="_Toc72117818"/>
      <w:bookmarkStart w:id="27" w:name="_Toc72129833"/>
      <w:bookmarkStart w:id="28" w:name="_Toc104449871"/>
      <w:r>
        <w:rPr>
          <w:rFonts w:hint="eastAsia" w:ascii="仿宋_GB2312" w:hAnsi="仿宋_GB2312" w:eastAsia="仿宋_GB2312" w:cs="仿宋_GB2312"/>
          <w:sz w:val="32"/>
          <w:highlight w:val="none"/>
        </w:rPr>
        <w:t>1.绩效评价原则及方法</w:t>
      </w:r>
      <w:bookmarkEnd w:id="26"/>
      <w:bookmarkEnd w:id="27"/>
      <w:bookmarkEnd w:id="28"/>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本次绩效评价遵循“客观、公正、科学、规范”的原则，结合项目的特点，采用比较法、因素分析法等方法，</w:t>
      </w:r>
      <w:r>
        <w:rPr>
          <w:rFonts w:hint="eastAsia" w:ascii="仿宋_GB2312" w:hAnsi="仿宋_GB2312" w:eastAsia="仿宋_GB2312" w:cs="仿宋_GB2312"/>
          <w:sz w:val="32"/>
          <w:highlight w:val="none"/>
          <w:lang w:val="en-US" w:eastAsia="zh-CN"/>
        </w:rPr>
        <w:t>通过</w:t>
      </w:r>
      <w:r>
        <w:rPr>
          <w:rFonts w:hint="eastAsia" w:ascii="仿宋_GB2312" w:hAnsi="仿宋_GB2312" w:eastAsia="仿宋_GB2312" w:cs="仿宋_GB2312"/>
          <w:sz w:val="32"/>
          <w:highlight w:val="none"/>
        </w:rPr>
        <w:t>定性与定量相结合，从项目决策、项目过程、项目产出、项目效益四个方面对本项目开展绩效评价。</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bookmarkStart w:id="29" w:name="_Toc72129834"/>
      <w:bookmarkStart w:id="30" w:name="_Toc72117819"/>
      <w:bookmarkStart w:id="31" w:name="_Toc104449872"/>
      <w:r>
        <w:rPr>
          <w:rFonts w:hint="eastAsia" w:ascii="仿宋_GB2312" w:hAnsi="仿宋_GB2312" w:eastAsia="仿宋_GB2312" w:cs="仿宋_GB2312"/>
          <w:sz w:val="32"/>
          <w:highlight w:val="none"/>
        </w:rPr>
        <w:t>2.绩效评价指标体系</w:t>
      </w:r>
      <w:bookmarkEnd w:id="29"/>
      <w:bookmarkEnd w:id="30"/>
      <w:bookmarkEnd w:id="31"/>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仿宋_GB2312" w:eastAsia="仿宋_GB2312" w:cs="仿宋_GB2312"/>
          <w:sz w:val="32"/>
          <w:highlight w:val="none"/>
        </w:rPr>
        <w:t>绩效评价指标体系主要包括项目决策、项目过程、项目产出、项目效益四个方面，满分100分。一是决策指标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10分</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，主要评价项目立项、绩效目标和资金投入内容；二是过程指标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20分</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，主要评价项目资金管理和组织实施内容；三是产出指标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40分</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，主要评价项目产出数量、产出质量、产出时效和产出成本；四是效益指标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30分</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，主要评价项目实施效益和服务对象满意度内容。绩效评价指标体系详见附件。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bookmarkStart w:id="32" w:name="_Toc104449873"/>
      <w:bookmarkStart w:id="33" w:name="_Toc72117820"/>
      <w:bookmarkStart w:id="34" w:name="_Toc72129835"/>
      <w:r>
        <w:rPr>
          <w:rFonts w:hint="eastAsia" w:ascii="仿宋_GB2312" w:hAnsi="仿宋_GB2312" w:eastAsia="仿宋_GB2312" w:cs="仿宋_GB2312"/>
          <w:sz w:val="32"/>
          <w:highlight w:val="none"/>
        </w:rPr>
        <w:t>3.评价标准</w:t>
      </w:r>
      <w:bookmarkEnd w:id="32"/>
      <w:bookmarkEnd w:id="33"/>
      <w:bookmarkEnd w:id="34"/>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本次绩效评价标准为计划标准，以该项目预先制定的目标、计划、预算作为评价标准，对绩效指标完成情况进行比较。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35" w:name="_Toc104449874"/>
      <w:bookmarkStart w:id="36" w:name="_Toc104464164"/>
      <w:r>
        <w:rPr>
          <w:rFonts w:hint="eastAsia" w:ascii="楷体" w:hAnsi="楷体" w:eastAsia="楷体"/>
          <w:bCs/>
          <w:kern w:val="0"/>
          <w:sz w:val="32"/>
          <w:szCs w:val="28"/>
          <w:highlight w:val="none"/>
        </w:rPr>
        <w:t>（三）绩效评价工作过程</w:t>
      </w:r>
      <w:bookmarkEnd w:id="35"/>
      <w:bookmarkEnd w:id="36"/>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Cs/>
          <w:sz w:val="32"/>
          <w:szCs w:val="32"/>
          <w:highlight w:val="none"/>
        </w:rPr>
      </w:pPr>
      <w:r>
        <w:rPr>
          <w:rFonts w:hint="eastAsia" w:ascii="仿宋_GB2312" w:hAnsi="楷体" w:eastAsia="仿宋_GB2312"/>
          <w:bCs/>
          <w:kern w:val="0"/>
          <w:sz w:val="32"/>
          <w:szCs w:val="28"/>
          <w:highlight w:val="none"/>
        </w:rPr>
        <w:t>本次绩效评价工作在成立评价工作组后，</w:t>
      </w:r>
      <w:r>
        <w:rPr>
          <w:rFonts w:hint="eastAsia" w:ascii="仿宋_GB2312" w:hAnsi="楷体" w:eastAsia="仿宋_GB2312" w:cs="Times New Roman"/>
          <w:bCs/>
          <w:kern w:val="0"/>
          <w:sz w:val="32"/>
          <w:szCs w:val="28"/>
          <w:highlight w:val="none"/>
          <w:lang w:val="en-US" w:eastAsia="zh-CN" w:bidi="ar-SA"/>
        </w:rPr>
        <w:t>采用函评</w:t>
      </w:r>
      <w:r>
        <w:rPr>
          <w:rFonts w:hint="eastAsia" w:ascii="仿宋_GB2312" w:hAnsi="楷体" w:eastAsia="仿宋_GB2312"/>
          <w:bCs/>
          <w:kern w:val="0"/>
          <w:sz w:val="32"/>
          <w:szCs w:val="28"/>
          <w:highlight w:val="none"/>
        </w:rPr>
        <w:t>的方式，对项目资料进行逐一核实，了解项目资金使用和取得的效益情况，最终根据绩效评价前期沟通及收集资料情况，</w:t>
      </w:r>
      <w:r>
        <w:rPr>
          <w:rFonts w:hint="eastAsia" w:ascii="仿宋_GB2312" w:hAnsi="楷体" w:eastAsia="仿宋_GB2312"/>
          <w:bCs/>
          <w:kern w:val="0"/>
          <w:sz w:val="32"/>
          <w:szCs w:val="28"/>
          <w:highlight w:val="none"/>
          <w:lang w:val="en-US" w:eastAsia="zh-CN"/>
        </w:rPr>
        <w:t>综合</w:t>
      </w:r>
      <w:r>
        <w:rPr>
          <w:rFonts w:hint="eastAsia" w:ascii="仿宋_GB2312" w:hAnsi="楷体" w:eastAsia="仿宋_GB2312"/>
          <w:bCs/>
          <w:kern w:val="0"/>
          <w:sz w:val="32"/>
          <w:szCs w:val="28"/>
          <w:highlight w:val="none"/>
        </w:rPr>
        <w:t>专家意见形成绩效评价报告。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37" w:name="_Toc104464165"/>
      <w:r>
        <w:rPr>
          <w:rFonts w:hint="eastAsia" w:ascii="黑体" w:hAnsi="黑体" w:eastAsia="黑体"/>
          <w:bCs/>
          <w:kern w:val="0"/>
          <w:sz w:val="32"/>
          <w:szCs w:val="28"/>
          <w:highlight w:val="none"/>
        </w:rPr>
        <w:t>三、综合评价情况及评价结论</w:t>
      </w:r>
      <w:bookmarkEnd w:id="37"/>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val="0"/>
          <w:sz w:val="32"/>
          <w:szCs w:val="22"/>
          <w:highlight w:val="none"/>
        </w:rPr>
      </w:pPr>
      <w:r>
        <w:rPr>
          <w:rFonts w:hint="eastAsia" w:ascii="仿宋_GB2312" w:hAnsi="仿宋" w:eastAsia="仿宋_GB2312" w:cs="仿宋"/>
          <w:bCs/>
          <w:color w:val="000000"/>
          <w:kern w:val="0"/>
          <w:sz w:val="32"/>
          <w:szCs w:val="32"/>
          <w:highlight w:val="none"/>
        </w:rPr>
        <w:t>经综合评价</w:t>
      </w:r>
      <w:r>
        <w:rPr>
          <w:rFonts w:hint="eastAsia" w:ascii="仿宋_GB2312" w:hAnsi="仿宋" w:eastAsia="仿宋_GB2312" w:cs="仿宋"/>
          <w:bCs/>
          <w:color w:val="000000"/>
          <w:kern w:val="0"/>
          <w:sz w:val="32"/>
          <w:szCs w:val="32"/>
          <w:highlight w:val="none"/>
          <w:lang w:eastAsia="zh-CN"/>
        </w:rPr>
        <w:t>，</w:t>
      </w:r>
      <w:r>
        <w:rPr>
          <w:rFonts w:hint="eastAsia" w:ascii="仿宋_GB2312" w:hAnsi="仿宋_GB2312" w:eastAsia="仿宋_GB2312" w:cs="仿宋_GB2312"/>
          <w:color w:val="000000"/>
          <w:sz w:val="32"/>
          <w:highlight w:val="none"/>
        </w:rPr>
        <w:t>北京市乡村振兴专家咨询委员会专项经费</w:t>
      </w:r>
      <w:r>
        <w:rPr>
          <w:rFonts w:hint="eastAsia" w:ascii="仿宋_GB2312" w:eastAsia="仿宋_GB2312"/>
          <w:bCs/>
          <w:sz w:val="32"/>
          <w:szCs w:val="32"/>
          <w:highlight w:val="none"/>
        </w:rPr>
        <w:t>项目绩效评价综合得</w:t>
      </w:r>
      <w:r>
        <w:rPr>
          <w:rFonts w:hint="eastAsia" w:ascii="仿宋_GB2312" w:hAnsi="仿宋_GB2312" w:eastAsia="仿宋_GB2312" w:cs="仿宋_GB2312"/>
          <w:bCs w:val="0"/>
          <w:sz w:val="32"/>
          <w:szCs w:val="22"/>
          <w:highlight w:val="none"/>
        </w:rPr>
        <w:t>分</w:t>
      </w:r>
      <w:r>
        <w:rPr>
          <w:rFonts w:hint="eastAsia" w:ascii="仿宋_GB2312" w:hAnsi="仿宋_GB2312" w:eastAsia="仿宋_GB2312" w:cs="仿宋_GB2312"/>
          <w:sz w:val="32"/>
          <w:highlight w:val="none"/>
        </w:rPr>
        <w:t>86.57</w:t>
      </w:r>
      <w:r>
        <w:rPr>
          <w:rFonts w:hint="eastAsia" w:ascii="仿宋_GB2312" w:hAnsi="仿宋_GB2312" w:eastAsia="仿宋_GB2312" w:cs="仿宋_GB2312"/>
          <w:bCs w:val="0"/>
          <w:sz w:val="32"/>
          <w:szCs w:val="22"/>
          <w:highlight w:val="none"/>
        </w:rPr>
        <w:t>分，绩效评价结果为“</w:t>
      </w:r>
      <w:r>
        <w:rPr>
          <w:rFonts w:hint="eastAsia" w:ascii="仿宋_GB2312" w:hAnsi="仿宋_GB2312" w:eastAsia="仿宋_GB2312" w:cs="仿宋_GB2312"/>
          <w:bCs w:val="0"/>
          <w:sz w:val="32"/>
          <w:szCs w:val="22"/>
          <w:highlight w:val="none"/>
          <w:lang w:val="en-US" w:eastAsia="zh-CN"/>
        </w:rPr>
        <w:t>良好</w:t>
      </w:r>
      <w:r>
        <w:rPr>
          <w:rFonts w:hint="eastAsia" w:ascii="仿宋_GB2312" w:hAnsi="仿宋_GB2312" w:eastAsia="仿宋_GB2312" w:cs="仿宋_GB2312"/>
          <w:bCs w:val="0"/>
          <w:sz w:val="32"/>
          <w:szCs w:val="22"/>
          <w:highlight w:val="none"/>
        </w:rPr>
        <w:t>”。其中，项目决策得分</w:t>
      </w:r>
      <w:r>
        <w:rPr>
          <w:rFonts w:hint="eastAsia" w:ascii="仿宋_GB2312" w:hAnsi="仿宋_GB2312" w:eastAsia="仿宋_GB2312" w:cs="仿宋_GB2312"/>
          <w:sz w:val="32"/>
          <w:highlight w:val="none"/>
        </w:rPr>
        <w:t>8.37</w:t>
      </w:r>
      <w:r>
        <w:rPr>
          <w:rFonts w:hint="eastAsia" w:ascii="仿宋_GB2312" w:hAnsi="仿宋_GB2312" w:eastAsia="仿宋_GB2312" w:cs="仿宋_GB2312"/>
          <w:bCs w:val="0"/>
          <w:sz w:val="32"/>
          <w:szCs w:val="22"/>
          <w:highlight w:val="none"/>
        </w:rPr>
        <w:t>分，项目过程得分</w:t>
      </w:r>
      <w:r>
        <w:rPr>
          <w:rFonts w:hint="eastAsia" w:ascii="仿宋_GB2312" w:hAnsi="仿宋_GB2312" w:eastAsia="仿宋_GB2312" w:cs="仿宋_GB2312"/>
          <w:sz w:val="32"/>
          <w:highlight w:val="none"/>
        </w:rPr>
        <w:t>18.</w:t>
      </w:r>
      <w:r>
        <w:rPr>
          <w:rFonts w:hint="eastAsia" w:ascii="仿宋_GB2312" w:hAnsi="仿宋_GB2312" w:eastAsia="仿宋_GB2312" w:cs="仿宋_GB2312"/>
          <w:sz w:val="32"/>
          <w:highlight w:val="none"/>
          <w:lang w:val="en-US" w:eastAsia="zh-CN"/>
        </w:rPr>
        <w:t>67</w:t>
      </w:r>
      <w:r>
        <w:rPr>
          <w:rFonts w:hint="eastAsia" w:ascii="仿宋_GB2312" w:hAnsi="仿宋_GB2312" w:eastAsia="仿宋_GB2312" w:cs="仿宋_GB2312"/>
          <w:bCs w:val="0"/>
          <w:sz w:val="32"/>
          <w:szCs w:val="22"/>
          <w:highlight w:val="none"/>
        </w:rPr>
        <w:t>分，项目产出得分</w:t>
      </w:r>
      <w:r>
        <w:rPr>
          <w:rFonts w:hint="eastAsia" w:ascii="仿宋_GB2312" w:hAnsi="仿宋_GB2312" w:eastAsia="仿宋_GB2312" w:cs="仿宋_GB2312"/>
          <w:sz w:val="32"/>
          <w:highlight w:val="none"/>
        </w:rPr>
        <w:t>36.20</w:t>
      </w:r>
      <w:r>
        <w:rPr>
          <w:rFonts w:hint="eastAsia" w:ascii="仿宋_GB2312" w:hAnsi="仿宋_GB2312" w:eastAsia="仿宋_GB2312" w:cs="仿宋_GB2312"/>
          <w:bCs w:val="0"/>
          <w:sz w:val="32"/>
          <w:szCs w:val="22"/>
          <w:highlight w:val="none"/>
        </w:rPr>
        <w:t>分，项目效益得分</w:t>
      </w:r>
      <w:r>
        <w:rPr>
          <w:rFonts w:hint="eastAsia" w:ascii="仿宋_GB2312" w:hAnsi="仿宋_GB2312" w:eastAsia="仿宋_GB2312" w:cs="仿宋_GB2312"/>
          <w:sz w:val="32"/>
          <w:highlight w:val="none"/>
        </w:rPr>
        <w:t>23.33</w:t>
      </w:r>
      <w:r>
        <w:rPr>
          <w:rFonts w:hint="eastAsia" w:ascii="仿宋_GB2312" w:hAnsi="仿宋_GB2312" w:eastAsia="仿宋_GB2312" w:cs="仿宋_GB2312"/>
          <w:bCs w:val="0"/>
          <w:sz w:val="32"/>
          <w:szCs w:val="22"/>
          <w:highlight w:val="none"/>
        </w:rPr>
        <w:t>分。</w:t>
      </w:r>
    </w:p>
    <w:p>
      <w:pPr>
        <w:spacing w:line="560" w:lineRule="exact"/>
        <w:ind w:firstLine="640" w:firstLineChars="200"/>
        <w:jc w:val="center"/>
        <w:rPr>
          <w:rFonts w:eastAsia="仿宋_GB2312"/>
          <w:bCs/>
          <w:sz w:val="32"/>
          <w:szCs w:val="32"/>
          <w:highlight w:val="none"/>
        </w:rPr>
      </w:pPr>
      <w:r>
        <w:rPr>
          <w:rFonts w:hint="eastAsia" w:eastAsia="仿宋_GB2312"/>
          <w:bCs/>
          <w:sz w:val="32"/>
          <w:szCs w:val="32"/>
          <w:highlight w:val="none"/>
        </w:rPr>
        <w:t>项目绩效评价结论一览表</w:t>
      </w:r>
    </w:p>
    <w:tbl>
      <w:tblPr>
        <w:tblStyle w:val="10"/>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492"/>
        <w:gridCol w:w="2868"/>
        <w:gridCol w:w="2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评价内容</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分值</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项目决策</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10</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highlight w:val="none"/>
                <w:lang w:val="en-US" w:eastAsia="zh-CN"/>
              </w:rPr>
            </w:pPr>
            <w:r>
              <w:rPr>
                <w:rFonts w:hint="eastAsia" w:ascii="仿宋_GB2312" w:hAnsi="仿宋_GB2312" w:eastAsia="仿宋_GB2312" w:cs="仿宋_GB2312"/>
                <w:sz w:val="32"/>
                <w:highlight w:val="none"/>
              </w:rPr>
              <w:t>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项目过程</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20</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仿宋_GB2312" w:cs="宋体"/>
                <w:kern w:val="0"/>
                <w:sz w:val="28"/>
                <w:szCs w:val="28"/>
                <w:highlight w:val="none"/>
                <w:lang w:val="en-US" w:eastAsia="zh-CN"/>
              </w:rPr>
            </w:pPr>
            <w:r>
              <w:rPr>
                <w:rFonts w:hint="eastAsia" w:ascii="仿宋_GB2312" w:hAnsi="仿宋_GB2312" w:eastAsia="仿宋_GB2312" w:cs="仿宋_GB2312"/>
                <w:sz w:val="32"/>
                <w:highlight w:val="none"/>
              </w:rPr>
              <w:t>18.</w:t>
            </w:r>
            <w:r>
              <w:rPr>
                <w:rFonts w:hint="eastAsia" w:ascii="仿宋_GB2312" w:hAnsi="仿宋_GB2312" w:eastAsia="仿宋_GB2312" w:cs="仿宋_GB2312"/>
                <w:sz w:val="32"/>
                <w:highlight w:val="none"/>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项目产出</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40</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highlight w:val="none"/>
                <w:lang w:val="en-US" w:eastAsia="zh-CN"/>
              </w:rPr>
            </w:pPr>
            <w:r>
              <w:rPr>
                <w:rFonts w:hint="eastAsia" w:ascii="仿宋_GB2312" w:hAnsi="仿宋_GB2312" w:eastAsia="仿宋_GB2312" w:cs="仿宋_GB2312"/>
                <w:sz w:val="32"/>
                <w:highlight w:val="none"/>
              </w:rPr>
              <w:t>36.20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cs="宋体"/>
                <w:kern w:val="0"/>
                <w:sz w:val="28"/>
                <w:szCs w:val="28"/>
                <w:highlight w:val="none"/>
              </w:rPr>
            </w:pPr>
            <w:r>
              <w:rPr>
                <w:rFonts w:hint="eastAsia" w:ascii="宋体" w:hAnsi="宋体" w:cs="宋体"/>
                <w:kern w:val="0"/>
                <w:sz w:val="28"/>
                <w:szCs w:val="28"/>
                <w:highlight w:val="none"/>
              </w:rPr>
              <w:t>项目效益</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cs="宋体"/>
                <w:kern w:val="0"/>
                <w:sz w:val="28"/>
                <w:szCs w:val="28"/>
                <w:highlight w:val="none"/>
              </w:rPr>
            </w:pPr>
            <w:r>
              <w:rPr>
                <w:rFonts w:hint="eastAsia" w:ascii="宋体" w:hAnsi="宋体" w:cs="宋体"/>
                <w:kern w:val="0"/>
                <w:sz w:val="28"/>
                <w:szCs w:val="28"/>
                <w:highlight w:val="none"/>
              </w:rPr>
              <w:t>30</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highlight w:val="none"/>
                <w:lang w:val="en-US" w:eastAsia="zh-CN"/>
              </w:rPr>
            </w:pPr>
            <w:r>
              <w:rPr>
                <w:rFonts w:hint="eastAsia" w:ascii="仿宋_GB2312" w:hAnsi="仿宋_GB2312" w:eastAsia="仿宋_GB2312" w:cs="仿宋_GB2312"/>
                <w:sz w:val="32"/>
                <w:highlight w:val="none"/>
              </w:rPr>
              <w:t>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综合得分</w:t>
            </w:r>
          </w:p>
        </w:tc>
        <w:tc>
          <w:tcPr>
            <w:tcW w:w="2868"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100</w:t>
            </w:r>
          </w:p>
        </w:tc>
        <w:tc>
          <w:tcPr>
            <w:tcW w:w="2696"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宋体" w:hAnsi="宋体" w:eastAsia="宋体" w:cs="宋体"/>
                <w:kern w:val="0"/>
                <w:sz w:val="28"/>
                <w:szCs w:val="28"/>
                <w:highlight w:val="none"/>
                <w:lang w:val="en-US" w:eastAsia="zh-CN"/>
              </w:rPr>
            </w:pPr>
            <w:r>
              <w:rPr>
                <w:rFonts w:hint="eastAsia" w:ascii="仿宋_GB2312" w:hAnsi="仿宋_GB2312" w:eastAsia="仿宋_GB2312" w:cs="仿宋_GB2312"/>
                <w:sz w:val="32"/>
                <w:highlight w:val="none"/>
              </w:rPr>
              <w:t>86.57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3492"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宋体" w:hAnsi="宋体" w:cs="宋体"/>
                <w:kern w:val="0"/>
                <w:sz w:val="28"/>
                <w:szCs w:val="28"/>
                <w:highlight w:val="none"/>
              </w:rPr>
            </w:pPr>
            <w:r>
              <w:rPr>
                <w:rFonts w:hint="eastAsia" w:ascii="宋体" w:hAnsi="宋体" w:cs="宋体"/>
                <w:kern w:val="0"/>
                <w:sz w:val="28"/>
                <w:szCs w:val="28"/>
                <w:highlight w:val="none"/>
              </w:rPr>
              <w:t>绩效评定级别</w:t>
            </w:r>
          </w:p>
        </w:tc>
        <w:tc>
          <w:tcPr>
            <w:tcW w:w="5564" w:type="dxa"/>
            <w:gridSpan w:val="2"/>
            <w:shd w:val="clear" w:color="000000" w:fill="auto"/>
            <w:vAlign w:val="center"/>
          </w:tcPr>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宋体" w:hAnsi="宋体" w:eastAsia="宋体" w:cs="宋体"/>
                <w:kern w:val="0"/>
                <w:sz w:val="28"/>
                <w:szCs w:val="28"/>
                <w:highlight w:val="none"/>
                <w:lang w:val="en-US" w:eastAsia="zh-CN"/>
              </w:rPr>
            </w:pPr>
            <w:r>
              <w:rPr>
                <w:rFonts w:hint="eastAsia" w:ascii="宋体" w:hAnsi="宋体" w:cs="宋体"/>
                <w:kern w:val="0"/>
                <w:sz w:val="28"/>
                <w:szCs w:val="28"/>
                <w:highlight w:val="none"/>
                <w:lang w:val="en-US" w:eastAsia="zh-CN"/>
              </w:rPr>
              <w:t>良好</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38" w:name="_Toc104464166"/>
      <w:r>
        <w:rPr>
          <w:rFonts w:hint="eastAsia" w:ascii="黑体" w:hAnsi="黑体" w:eastAsia="黑体"/>
          <w:bCs/>
          <w:kern w:val="0"/>
          <w:sz w:val="32"/>
          <w:szCs w:val="28"/>
          <w:highlight w:val="none"/>
        </w:rPr>
        <w:t>四、绩效评价指标分析</w:t>
      </w:r>
      <w:bookmarkEnd w:id="3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39" w:name="_Toc104464167"/>
      <w:r>
        <w:rPr>
          <w:rFonts w:hint="eastAsia" w:ascii="楷体" w:hAnsi="楷体" w:eastAsia="楷体"/>
          <w:bCs/>
          <w:kern w:val="0"/>
          <w:sz w:val="32"/>
          <w:szCs w:val="28"/>
          <w:highlight w:val="none"/>
        </w:rPr>
        <w:t>（一）项目决策情况</w:t>
      </w:r>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项目决策指标，满分10分，评价得分为</w:t>
      </w:r>
      <w:r>
        <w:rPr>
          <w:rFonts w:hint="eastAsia" w:ascii="仿宋_GB2312" w:hAnsi="仿宋_GB2312" w:eastAsia="仿宋_GB2312" w:cs="仿宋_GB2312"/>
          <w:sz w:val="32"/>
          <w:highlight w:val="none"/>
        </w:rPr>
        <w:t>8.37</w:t>
      </w:r>
      <w:r>
        <w:rPr>
          <w:rFonts w:hint="eastAsia" w:ascii="仿宋_GB2312" w:hAnsi="楷体" w:eastAsia="仿宋_GB2312"/>
          <w:bCs/>
          <w:kern w:val="0"/>
          <w:sz w:val="32"/>
          <w:szCs w:val="28"/>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lang w:val="en-US" w:eastAsia="zh-CN"/>
        </w:rPr>
      </w:pPr>
      <w:r>
        <w:rPr>
          <w:rFonts w:hint="eastAsia" w:ascii="仿宋_GB2312" w:hAnsi="仿宋_GB2312" w:eastAsia="仿宋_GB2312" w:cs="仿宋_GB2312"/>
          <w:sz w:val="32"/>
          <w:highlight w:val="none"/>
        </w:rPr>
        <w:t>该项目</w:t>
      </w:r>
      <w:r>
        <w:rPr>
          <w:rFonts w:hint="eastAsia" w:ascii="仿宋_GB2312" w:hAnsi="仿宋_GB2312" w:eastAsia="仿宋_GB2312" w:cs="仿宋_GB2312"/>
          <w:sz w:val="32"/>
          <w:highlight w:val="none"/>
          <w:lang w:val="en-US" w:eastAsia="zh-CN"/>
        </w:rPr>
        <w:t>经过专家论证，</w:t>
      </w:r>
      <w:r>
        <w:rPr>
          <w:rFonts w:hint="eastAsia" w:ascii="仿宋_GB2312" w:hAnsi="楷体" w:eastAsia="仿宋_GB2312"/>
          <w:bCs/>
          <w:kern w:val="0"/>
          <w:sz w:val="32"/>
          <w:szCs w:val="28"/>
          <w:highlight w:val="none"/>
        </w:rPr>
        <w:t>决策依据</w:t>
      </w:r>
      <w:r>
        <w:rPr>
          <w:rFonts w:hint="eastAsia" w:ascii="仿宋_GB2312" w:hAnsi="楷体" w:eastAsia="仿宋_GB2312"/>
          <w:bCs/>
          <w:kern w:val="0"/>
          <w:sz w:val="32"/>
          <w:szCs w:val="28"/>
          <w:highlight w:val="none"/>
          <w:lang w:val="en-US" w:eastAsia="zh-CN"/>
        </w:rPr>
        <w:t>基本</w:t>
      </w:r>
      <w:r>
        <w:rPr>
          <w:rFonts w:hint="eastAsia" w:ascii="仿宋_GB2312" w:hAnsi="楷体" w:eastAsia="仿宋_GB2312"/>
          <w:bCs/>
          <w:kern w:val="0"/>
          <w:sz w:val="32"/>
          <w:szCs w:val="28"/>
          <w:highlight w:val="none"/>
        </w:rPr>
        <w:t>充分</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该项目为延续性项目，但对上年执行情况、经费使用情况和本年度对比分析不足；该项目经过事前绩效评估，但对提出的问题后续整改情况在绩效报告中体现不足</w:t>
      </w:r>
      <w:r>
        <w:rPr>
          <w:rFonts w:hint="eastAsia" w:ascii="仿宋_GB2312" w:hAnsi="楷体" w:eastAsia="仿宋_GB2312"/>
          <w:bCs/>
          <w:kern w:val="0"/>
          <w:sz w:val="32"/>
          <w:szCs w:val="28"/>
          <w:highlight w:val="none"/>
        </w:rPr>
        <w:t>；</w:t>
      </w:r>
      <w:r>
        <w:rPr>
          <w:rFonts w:hint="eastAsia" w:ascii="仿宋_GB2312" w:hAnsi="楷体" w:eastAsia="仿宋_GB2312"/>
          <w:bCs/>
          <w:kern w:val="0"/>
          <w:sz w:val="32"/>
          <w:szCs w:val="28"/>
          <w:highlight w:val="none"/>
          <w:lang w:val="en-US" w:eastAsia="zh-CN"/>
        </w:rPr>
        <w:t>绩效目标设置合理，但部分绩效指标设置较为笼统，量化不足，可衡量性差。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40" w:name="_Toc104464168"/>
      <w:r>
        <w:rPr>
          <w:rFonts w:hint="eastAsia" w:ascii="楷体" w:hAnsi="楷体" w:eastAsia="楷体"/>
          <w:bCs/>
          <w:kern w:val="0"/>
          <w:sz w:val="32"/>
          <w:szCs w:val="28"/>
          <w:highlight w:val="none"/>
        </w:rPr>
        <w:t>（二）项目过程情况</w:t>
      </w:r>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项目过程指标，满分20分，评价得分为</w:t>
      </w:r>
      <w:r>
        <w:rPr>
          <w:rFonts w:hint="eastAsia" w:ascii="仿宋_GB2312" w:hAnsi="仿宋_GB2312" w:eastAsia="仿宋_GB2312" w:cs="仿宋_GB2312"/>
          <w:sz w:val="32"/>
          <w:highlight w:val="none"/>
        </w:rPr>
        <w:t>18.</w:t>
      </w:r>
      <w:r>
        <w:rPr>
          <w:rFonts w:hint="eastAsia" w:ascii="仿宋_GB2312" w:hAnsi="仿宋_GB2312" w:eastAsia="仿宋_GB2312" w:cs="仿宋_GB2312"/>
          <w:sz w:val="32"/>
          <w:highlight w:val="none"/>
          <w:lang w:val="en-US" w:eastAsia="zh-CN"/>
        </w:rPr>
        <w:t>67</w:t>
      </w:r>
      <w:r>
        <w:rPr>
          <w:rFonts w:hint="eastAsia" w:ascii="仿宋_GB2312" w:hAnsi="楷体" w:eastAsia="仿宋_GB2312"/>
          <w:bCs/>
          <w:kern w:val="0"/>
          <w:sz w:val="32"/>
          <w:szCs w:val="28"/>
          <w:highlight w:val="none"/>
        </w:rPr>
        <w:t>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bCs/>
          <w:kern w:val="0"/>
          <w:sz w:val="32"/>
          <w:szCs w:val="28"/>
          <w:highlight w:val="none"/>
          <w:lang w:val="en-US" w:eastAsia="zh-CN"/>
        </w:rPr>
      </w:pPr>
      <w:r>
        <w:rPr>
          <w:rFonts w:hint="eastAsia" w:ascii="仿宋_GB2312" w:hAnsi="楷体" w:eastAsia="仿宋_GB2312"/>
          <w:bCs/>
          <w:kern w:val="0"/>
          <w:sz w:val="32"/>
          <w:szCs w:val="28"/>
          <w:highlight w:val="none"/>
        </w:rPr>
        <w:t>在资金管理方面，资金及时足额到位</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财务制度健全完善</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但项目管理过程有待</w:t>
      </w:r>
      <w:r>
        <w:rPr>
          <w:rFonts w:hint="eastAsia" w:ascii="仿宋_GB2312" w:hAnsi="楷体" w:eastAsia="仿宋_GB2312"/>
          <w:bCs/>
          <w:kern w:val="0"/>
          <w:sz w:val="32"/>
          <w:szCs w:val="28"/>
          <w:highlight w:val="none"/>
        </w:rPr>
        <w:t>完善</w:t>
      </w:r>
      <w:r>
        <w:rPr>
          <w:rFonts w:hint="eastAsia" w:ascii="仿宋_GB2312" w:hAnsi="楷体" w:eastAsia="仿宋_GB2312"/>
          <w:bCs/>
          <w:kern w:val="0"/>
          <w:sz w:val="32"/>
          <w:szCs w:val="28"/>
          <w:highlight w:val="none"/>
          <w:lang w:val="en-US" w:eastAsia="zh-CN"/>
        </w:rPr>
        <w:t>，</w:t>
      </w:r>
      <w:r>
        <w:rPr>
          <w:rFonts w:hint="eastAsia" w:ascii="仿宋_GB2312" w:hAnsi="楷体" w:eastAsia="仿宋_GB2312"/>
          <w:bCs/>
          <w:kern w:val="0"/>
          <w:sz w:val="32"/>
          <w:szCs w:val="28"/>
          <w:highlight w:val="none"/>
        </w:rPr>
        <w:t>中期评估发现个别课题“研究方向偏离”“调研不足”，未见跟踪整改方案</w:t>
      </w:r>
      <w:r>
        <w:rPr>
          <w:rFonts w:hint="eastAsia" w:ascii="仿宋_GB2312" w:hAnsi="楷体" w:eastAsia="仿宋_GB2312"/>
          <w:bCs/>
          <w:kern w:val="0"/>
          <w:sz w:val="32"/>
          <w:szCs w:val="28"/>
          <w:highlight w:val="none"/>
          <w:lang w:val="en-US" w:eastAsia="zh-CN"/>
        </w:rPr>
        <w:t>。</w:t>
      </w:r>
      <w:r>
        <w:rPr>
          <w:rFonts w:hint="eastAsia" w:ascii="仿宋_GB2312" w:hAnsi="楷体" w:eastAsia="仿宋_GB2312"/>
          <w:bCs/>
          <w:kern w:val="0"/>
          <w:sz w:val="32"/>
          <w:szCs w:val="28"/>
          <w:highlight w:val="none"/>
        </w:rPr>
        <w:t>在项目实施方面，制定</w:t>
      </w:r>
      <w:r>
        <w:rPr>
          <w:rFonts w:hint="eastAsia" w:ascii="仿宋_GB2312" w:hAnsi="楷体" w:eastAsia="仿宋_GB2312"/>
          <w:bCs/>
          <w:kern w:val="0"/>
          <w:sz w:val="32"/>
          <w:szCs w:val="28"/>
          <w:highlight w:val="none"/>
          <w:lang w:val="en-US" w:eastAsia="zh-CN"/>
        </w:rPr>
        <w:t>项目整体性的</w:t>
      </w:r>
      <w:r>
        <w:rPr>
          <w:rFonts w:hint="eastAsia" w:ascii="仿宋_GB2312" w:hAnsi="楷体" w:eastAsia="仿宋_GB2312"/>
          <w:bCs/>
          <w:kern w:val="0"/>
          <w:sz w:val="32"/>
          <w:szCs w:val="28"/>
          <w:highlight w:val="none"/>
        </w:rPr>
        <w:t>实施方案</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明确项目背景、服务成果及验收标准、项目组织实施、资金使用方式及计划、项目风险防控及措施等内容</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项目制定了相关的管理制度，如</w:t>
      </w:r>
      <w:r>
        <w:rPr>
          <w:rFonts w:hint="eastAsia" w:ascii="仿宋_GB2312" w:hAnsi="楷体" w:eastAsia="仿宋_GB2312"/>
          <w:bCs/>
          <w:kern w:val="0"/>
          <w:sz w:val="32"/>
          <w:szCs w:val="28"/>
          <w:highlight w:val="none"/>
        </w:rPr>
        <w:t>《北京市乡村振兴专家咨询委员会委托课题管理办法</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试行</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rPr>
        <w:t>北京市乡村振兴专家咨询委员会办公室工作规则</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等制度，并严格按照相关制度执行</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该项目由于个别课题取消，经履行预算调整的相关程序，实现项目</w:t>
      </w:r>
      <w:r>
        <w:rPr>
          <w:rFonts w:hint="eastAsia" w:ascii="仿宋_GB2312" w:hAnsi="楷体" w:eastAsia="仿宋_GB2312"/>
          <w:bCs/>
          <w:kern w:val="0"/>
          <w:sz w:val="32"/>
          <w:szCs w:val="28"/>
          <w:highlight w:val="none"/>
        </w:rPr>
        <w:t>预算执行率</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hAnsi="楷体" w:eastAsia="仿宋_GB2312"/>
          <w:bCs/>
          <w:kern w:val="0"/>
          <w:sz w:val="32"/>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41" w:name="_Toc104464169"/>
      <w:r>
        <w:rPr>
          <w:rFonts w:hint="eastAsia" w:ascii="楷体" w:hAnsi="楷体" w:eastAsia="楷体"/>
          <w:bCs/>
          <w:kern w:val="0"/>
          <w:sz w:val="32"/>
          <w:szCs w:val="28"/>
          <w:highlight w:val="none"/>
        </w:rPr>
        <w:t>（三）项目产出情况</w:t>
      </w:r>
      <w:bookmarkEnd w:id="4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项目产出指标，满分40分，评价得分为</w:t>
      </w:r>
      <w:r>
        <w:rPr>
          <w:rFonts w:hint="eastAsia" w:ascii="仿宋_GB2312" w:hAnsi="仿宋_GB2312" w:eastAsia="仿宋_GB2312" w:cs="仿宋_GB2312"/>
          <w:sz w:val="32"/>
          <w:highlight w:val="none"/>
        </w:rPr>
        <w:t>36.20</w:t>
      </w:r>
      <w:r>
        <w:rPr>
          <w:rFonts w:hint="eastAsia" w:ascii="仿宋_GB2312" w:hAnsi="楷体" w:eastAsia="仿宋_GB2312"/>
          <w:bCs/>
          <w:kern w:val="0"/>
          <w:sz w:val="32"/>
          <w:szCs w:val="28"/>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napToGrid w:val="0"/>
          <w:sz w:val="32"/>
          <w:highlight w:val="none"/>
        </w:rPr>
      </w:pPr>
      <w:r>
        <w:rPr>
          <w:rFonts w:hint="eastAsia" w:ascii="仿宋_GB2312" w:hAnsi="仿宋_GB2312" w:eastAsia="仿宋_GB2312" w:cs="仿宋_GB2312"/>
          <w:snapToGrid w:val="0"/>
          <w:kern w:val="2"/>
          <w:sz w:val="32"/>
          <w:szCs w:val="22"/>
          <w:highlight w:val="none"/>
          <w:lang w:val="en-US" w:eastAsia="zh-CN" w:bidi="ar-SA"/>
        </w:rPr>
        <w:t>1.</w:t>
      </w:r>
      <w:r>
        <w:rPr>
          <w:rFonts w:hint="eastAsia" w:ascii="仿宋_GB2312" w:hAnsi="仿宋_GB2312" w:eastAsia="仿宋_GB2312" w:cs="仿宋_GB2312"/>
          <w:snapToGrid w:val="0"/>
          <w:sz w:val="32"/>
          <w:highlight w:val="none"/>
        </w:rPr>
        <w:t>产出数量指标完成情况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napToGrid w:val="0"/>
          <w:kern w:val="2"/>
          <w:sz w:val="32"/>
          <w:szCs w:val="22"/>
          <w:highlight w:val="none"/>
          <w:lang w:val="en-US" w:eastAsia="zh-CN" w:bidi="ar-SA"/>
        </w:rPr>
      </w:pPr>
      <w:r>
        <w:rPr>
          <w:rFonts w:hint="eastAsia" w:ascii="仿宋_GB2312" w:hAnsi="仿宋_GB2312" w:eastAsia="仿宋_GB2312" w:cs="仿宋_GB2312"/>
          <w:sz w:val="32"/>
          <w:highlight w:val="none"/>
          <w:lang w:val="en-US" w:eastAsia="zh-CN"/>
        </w:rPr>
        <w:t>该项目按照年初数量指标设置，</w:t>
      </w:r>
      <w:r>
        <w:rPr>
          <w:rFonts w:hint="eastAsia" w:ascii="仿宋_GB2312" w:hAnsi="仿宋_GB2312" w:eastAsia="仿宋_GB2312" w:cs="仿宋_GB2312"/>
          <w:sz w:val="32"/>
          <w:highlight w:val="none"/>
        </w:rPr>
        <w:t>开展政策解读会、专题讲座</w:t>
      </w:r>
      <w:r>
        <w:rPr>
          <w:rFonts w:hint="eastAsia" w:ascii="仿宋_GB2312" w:hAnsi="仿宋_GB2312" w:eastAsia="仿宋_GB2312" w:cs="仿宋_GB2312"/>
          <w:sz w:val="32"/>
          <w:highlight w:val="none"/>
          <w:lang w:val="en-US" w:eastAsia="zh-CN"/>
        </w:rPr>
        <w:t>4</w:t>
      </w:r>
      <w:r>
        <w:rPr>
          <w:rFonts w:hint="eastAsia" w:ascii="仿宋_GB2312" w:hAnsi="仿宋_GB2312" w:eastAsia="仿宋_GB2312" w:cs="仿宋_GB2312"/>
          <w:sz w:val="32"/>
          <w:highlight w:val="none"/>
        </w:rPr>
        <w:t>次</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完成重大课题的决策咨询研究</w:t>
      </w:r>
      <w:r>
        <w:rPr>
          <w:rFonts w:hint="eastAsia" w:ascii="仿宋_GB2312" w:hAnsi="仿宋_GB2312" w:eastAsia="仿宋_GB2312" w:cs="仿宋_GB2312"/>
          <w:sz w:val="32"/>
          <w:highlight w:val="none"/>
          <w:lang w:val="en-US" w:eastAsia="zh-CN"/>
        </w:rPr>
        <w:t>30篇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报送《乡村振兴简报》20期</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开展专题研讨、评估论证会</w:t>
      </w:r>
      <w:r>
        <w:rPr>
          <w:rFonts w:hint="eastAsia" w:ascii="仿宋_GB2312" w:hAnsi="仿宋_GB2312" w:eastAsia="仿宋_GB2312" w:cs="仿宋_GB2312"/>
          <w:sz w:val="32"/>
          <w:highlight w:val="none"/>
          <w:lang w:val="en-US" w:eastAsia="zh-CN"/>
        </w:rPr>
        <w:t>6</w:t>
      </w:r>
      <w:r>
        <w:rPr>
          <w:rFonts w:hint="eastAsia" w:ascii="仿宋_GB2312" w:hAnsi="仿宋_GB2312" w:eastAsia="仿宋_GB2312" w:cs="仿宋_GB2312"/>
          <w:sz w:val="32"/>
          <w:highlight w:val="none"/>
        </w:rPr>
        <w:t>次</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完成重点课题及其他课题的决策咨询研究</w:t>
      </w:r>
      <w:r>
        <w:rPr>
          <w:rFonts w:hint="eastAsia" w:ascii="仿宋_GB2312" w:hAnsi="仿宋_GB2312" w:eastAsia="仿宋_GB2312" w:cs="仿宋_GB2312"/>
          <w:sz w:val="32"/>
          <w:highlight w:val="none"/>
          <w:lang w:val="en-US" w:eastAsia="zh-CN"/>
        </w:rPr>
        <w:t>28</w:t>
      </w:r>
      <w:r>
        <w:rPr>
          <w:rFonts w:hint="eastAsia" w:ascii="仿宋_GB2312" w:hAnsi="仿宋_GB2312" w:eastAsia="仿宋_GB2312" w:cs="仿宋_GB2312"/>
          <w:sz w:val="32"/>
          <w:highlight w:val="none"/>
        </w:rPr>
        <w:t>篇</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开展京郊行活动4次</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大部分数量指标均已完成，但</w:t>
      </w:r>
      <w:r>
        <w:rPr>
          <w:rFonts w:hint="eastAsia" w:ascii="仿宋_GB2312" w:hAnsi="仿宋_GB2312" w:eastAsia="仿宋_GB2312" w:cs="仿宋_GB2312"/>
          <w:sz w:val="32"/>
          <w:highlight w:val="none"/>
        </w:rPr>
        <w:t>调研课题</w:t>
      </w:r>
      <w:r>
        <w:rPr>
          <w:rFonts w:hint="eastAsia" w:ascii="仿宋_GB2312" w:hAnsi="仿宋_GB2312" w:eastAsia="仿宋_GB2312" w:cs="仿宋_GB2312"/>
          <w:sz w:val="32"/>
          <w:highlight w:val="none"/>
          <w:lang w:val="en-US" w:eastAsia="zh-CN"/>
        </w:rPr>
        <w:t>应完成25项，实际完成</w:t>
      </w:r>
      <w:r>
        <w:rPr>
          <w:rFonts w:hint="eastAsia" w:ascii="仿宋_GB2312" w:hAnsi="仿宋_GB2312" w:eastAsia="仿宋_GB2312" w:cs="仿宋_GB2312"/>
          <w:sz w:val="32"/>
          <w:highlight w:val="none"/>
        </w:rPr>
        <w:t>2</w:t>
      </w:r>
      <w:r>
        <w:rPr>
          <w:rFonts w:hint="eastAsia" w:ascii="仿宋_GB2312" w:hAnsi="仿宋_GB2312" w:eastAsia="仿宋_GB2312" w:cs="仿宋_GB2312"/>
          <w:sz w:val="32"/>
          <w:highlight w:val="none"/>
          <w:lang w:val="en-US" w:eastAsia="zh-CN"/>
        </w:rPr>
        <w:t>4项</w:t>
      </w:r>
      <w:r>
        <w:rPr>
          <w:rFonts w:hint="eastAsia" w:ascii="仿宋_GB2312" w:hAnsi="仿宋_GB2312" w:eastAsia="仿宋_GB2312" w:cs="仿宋_GB2312"/>
          <w:sz w:val="32"/>
          <w:highlight w:val="none"/>
        </w:rPr>
        <w:t>，</w:t>
      </w:r>
      <w:r>
        <w:rPr>
          <w:rFonts w:hint="eastAsia" w:ascii="仿宋_GB2312" w:hAnsi="仿宋_GB2312" w:eastAsia="仿宋_GB2312" w:cs="仿宋_GB2312"/>
          <w:sz w:val="32"/>
          <w:highlight w:val="none"/>
          <w:lang w:val="en-US" w:eastAsia="zh-CN"/>
        </w:rPr>
        <w:t>由于</w:t>
      </w:r>
      <w:r>
        <w:rPr>
          <w:rFonts w:hint="eastAsia" w:ascii="仿宋_GB2312" w:hAnsi="仿宋_GB2312" w:eastAsia="仿宋_GB2312" w:cs="仿宋_GB2312"/>
          <w:sz w:val="32"/>
          <w:highlight w:val="none"/>
          <w:lang w:eastAsia="zh-CN"/>
        </w:rPr>
        <w:t>个别</w:t>
      </w:r>
      <w:r>
        <w:rPr>
          <w:rFonts w:hint="eastAsia" w:ascii="仿宋_GB2312" w:hAnsi="仿宋_GB2312" w:eastAsia="仿宋_GB2312" w:cs="仿宋_GB2312"/>
          <w:sz w:val="32"/>
          <w:highlight w:val="none"/>
        </w:rPr>
        <w:t>课题取消</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后续未开展该课题</w:t>
      </w:r>
      <w:r>
        <w:rPr>
          <w:rFonts w:hint="eastAsia" w:ascii="仿宋_GB2312" w:hAnsi="仿宋_GB2312" w:eastAsia="仿宋_GB2312" w:cs="仿宋_GB2312"/>
          <w:sz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napToGrid w:val="0"/>
          <w:sz w:val="32"/>
          <w:highlight w:val="none"/>
        </w:rPr>
      </w:pPr>
      <w:r>
        <w:rPr>
          <w:rFonts w:hint="eastAsia" w:ascii="仿宋_GB2312" w:hAnsi="仿宋_GB2312" w:eastAsia="仿宋_GB2312" w:cs="仿宋_GB2312"/>
          <w:snapToGrid w:val="0"/>
          <w:kern w:val="2"/>
          <w:sz w:val="32"/>
          <w:szCs w:val="22"/>
          <w:highlight w:val="none"/>
          <w:lang w:val="en-US" w:eastAsia="zh-CN" w:bidi="ar-SA"/>
        </w:rPr>
        <w:t>2.</w:t>
      </w:r>
      <w:r>
        <w:rPr>
          <w:rFonts w:hint="eastAsia" w:ascii="仿宋_GB2312" w:hAnsi="仿宋_GB2312" w:eastAsia="仿宋_GB2312" w:cs="仿宋_GB2312"/>
          <w:snapToGrid w:val="0"/>
          <w:sz w:val="32"/>
          <w:highlight w:val="none"/>
        </w:rPr>
        <w:t>产出</w:t>
      </w:r>
      <w:r>
        <w:rPr>
          <w:rFonts w:hint="eastAsia" w:ascii="仿宋_GB2312" w:hAnsi="仿宋_GB2312" w:eastAsia="仿宋_GB2312" w:cs="仿宋_GB2312"/>
          <w:snapToGrid w:val="0"/>
          <w:sz w:val="32"/>
          <w:highlight w:val="none"/>
          <w:lang w:val="en-US" w:eastAsia="zh-CN"/>
        </w:rPr>
        <w:t>质量</w:t>
      </w:r>
      <w:r>
        <w:rPr>
          <w:rFonts w:hint="eastAsia" w:ascii="仿宋_GB2312" w:hAnsi="仿宋_GB2312" w:eastAsia="仿宋_GB2312" w:cs="仿宋_GB2312"/>
          <w:snapToGrid w:val="0"/>
          <w:sz w:val="32"/>
          <w:highlight w:val="none"/>
        </w:rPr>
        <w:t>指标完成情况</w:t>
      </w:r>
    </w:p>
    <w:p>
      <w:pPr>
        <w:keepNext w:val="0"/>
        <w:keepLines w:val="0"/>
        <w:pageBreakBefore w:val="0"/>
        <w:widowControl/>
        <w:numPr>
          <w:ilvl w:val="-1"/>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highlight w:val="none"/>
        </w:rPr>
        <w:t>刊发《乡村振兴简报》10期</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color w:val="auto"/>
          <w:sz w:val="32"/>
          <w:highlight w:val="none"/>
        </w:rPr>
        <w:t>按照专咨委委托课题管理办法完成结题验收</w:t>
      </w:r>
      <w:r>
        <w:rPr>
          <w:rFonts w:hint="eastAsia" w:ascii="仿宋_GB2312" w:hAnsi="仿宋_GB2312" w:eastAsia="仿宋_GB2312" w:cs="仿宋_GB2312"/>
          <w:color w:val="auto"/>
          <w:sz w:val="32"/>
          <w:highlight w:val="none"/>
          <w:lang w:val="en-US" w:eastAsia="zh-CN"/>
        </w:rPr>
        <w:t>达到优（课题验收质量高）</w:t>
      </w:r>
      <w:r>
        <w:rPr>
          <w:rFonts w:hint="eastAsia" w:ascii="仿宋_GB2312" w:hAnsi="仿宋_GB2312" w:eastAsia="仿宋_GB2312" w:cs="仿宋_GB2312"/>
          <w:sz w:val="32"/>
          <w:highlight w:val="none"/>
          <w:lang w:val="en-US" w:eastAsia="zh-CN"/>
        </w:rPr>
        <w:t>；</w:t>
      </w:r>
      <w:r>
        <w:rPr>
          <w:rFonts w:hint="eastAsia" w:ascii="仿宋_GB2312" w:hAnsi="仿宋_GB2312" w:eastAsia="仿宋_GB2312" w:cs="仿宋_GB2312"/>
          <w:sz w:val="32"/>
          <w:highlight w:val="none"/>
        </w:rPr>
        <w:t>课题研究成果被北京市相关部门采纳，或在供省部级及以上领导参阅的内参上刊发</w:t>
      </w:r>
      <w:r>
        <w:rPr>
          <w:rFonts w:hint="eastAsia" w:ascii="仿宋_GB2312" w:hAnsi="仿宋_GB2312" w:eastAsia="仿宋_GB2312" w:cs="仿宋_GB2312"/>
          <w:sz w:val="32"/>
          <w:highlight w:val="none"/>
          <w:lang w:val="en-US" w:eastAsia="zh-CN"/>
        </w:rPr>
        <w:t>37</w:t>
      </w:r>
      <w:r>
        <w:rPr>
          <w:rFonts w:hint="eastAsia" w:ascii="仿宋_GB2312" w:hAnsi="仿宋_GB2312" w:eastAsia="仿宋_GB2312" w:cs="仿宋_GB2312"/>
          <w:sz w:val="32"/>
          <w:highlight w:val="none"/>
        </w:rPr>
        <w:t>篇</w:t>
      </w:r>
      <w:r>
        <w:rPr>
          <w:rFonts w:hint="eastAsia" w:ascii="仿宋_GB2312" w:hAnsi="仿宋_GB2312" w:eastAsia="仿宋_GB2312" w:cs="仿宋_GB2312"/>
          <w:sz w:val="32"/>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z w:val="32"/>
          <w:highlight w:val="none"/>
        </w:rPr>
      </w:pPr>
      <w:r>
        <w:rPr>
          <w:rFonts w:hint="eastAsia" w:ascii="仿宋_GB2312" w:hAnsi="仿宋_GB2312" w:eastAsia="仿宋_GB2312" w:cs="仿宋_GB2312"/>
          <w:snapToGrid w:val="0"/>
          <w:sz w:val="32"/>
          <w:highlight w:val="none"/>
          <w:lang w:val="en-US" w:eastAsia="zh-CN"/>
        </w:rPr>
        <w:t>3.</w:t>
      </w:r>
      <w:r>
        <w:rPr>
          <w:rFonts w:hint="eastAsia" w:ascii="仿宋_GB2312" w:hAnsi="仿宋_GB2312" w:eastAsia="仿宋_GB2312" w:cs="仿宋_GB2312"/>
          <w:snapToGrid w:val="0"/>
          <w:sz w:val="32"/>
          <w:highlight w:val="none"/>
        </w:rPr>
        <w:t>产出时效指标完成情况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bCs/>
          <w:kern w:val="0"/>
          <w:sz w:val="32"/>
          <w:szCs w:val="28"/>
          <w:highlight w:val="none"/>
          <w:lang w:val="en-US" w:eastAsia="zh-CN"/>
        </w:rPr>
      </w:pPr>
      <w:r>
        <w:rPr>
          <w:rFonts w:hint="eastAsia" w:ascii="仿宋_GB2312" w:hAnsi="仿宋_GB2312" w:eastAsia="仿宋_GB2312" w:cs="仿宋_GB2312"/>
          <w:snapToGrid w:val="0"/>
          <w:sz w:val="32"/>
          <w:highlight w:val="none"/>
          <w:lang w:val="en-US" w:eastAsia="zh-CN"/>
        </w:rPr>
        <w:t>该项目于2024年</w:t>
      </w:r>
      <w:r>
        <w:rPr>
          <w:rFonts w:hint="eastAsia" w:ascii="仿宋_GB2312" w:hAnsi="仿宋_GB2312" w:eastAsia="仿宋_GB2312" w:cs="仿宋_GB2312"/>
          <w:snapToGrid w:val="0"/>
          <w:color w:val="auto"/>
          <w:sz w:val="32"/>
          <w:highlight w:val="none"/>
          <w:lang w:val="en-US" w:eastAsia="zh-CN"/>
        </w:rPr>
        <w:t>6</w:t>
      </w:r>
      <w:r>
        <w:rPr>
          <w:rFonts w:hint="eastAsia" w:ascii="仿宋_GB2312" w:hAnsi="仿宋_GB2312" w:eastAsia="仿宋_GB2312" w:cs="仿宋_GB2312"/>
          <w:snapToGrid w:val="0"/>
          <w:sz w:val="32"/>
          <w:highlight w:val="none"/>
          <w:lang w:val="en-US" w:eastAsia="zh-CN"/>
        </w:rPr>
        <w:t>月完成委托服务费部分采购并签订服务合同，其余各项费用支出均在2024年12月底前完成。截至2024年9月份，支出进度达到</w:t>
      </w:r>
      <w:r>
        <w:rPr>
          <w:rFonts w:hint="eastAsia" w:ascii="仿宋_GB2312" w:hAnsi="楷体" w:eastAsia="仿宋_GB2312"/>
          <w:bCs/>
          <w:kern w:val="0"/>
          <w:sz w:val="32"/>
          <w:szCs w:val="28"/>
          <w:highlight w:val="none"/>
          <w:lang w:val="en-US" w:eastAsia="zh-CN"/>
        </w:rPr>
        <w:t>68.14%</w:t>
      </w:r>
      <w:r>
        <w:rPr>
          <w:rFonts w:hint="eastAsia" w:ascii="仿宋_GB2312" w:hAnsi="仿宋_GB2312" w:eastAsia="仿宋_GB2312" w:cs="仿宋_GB2312"/>
          <w:snapToGrid w:val="0"/>
          <w:sz w:val="32"/>
          <w:highlight w:val="none"/>
          <w:lang w:val="en-US" w:eastAsia="zh-CN"/>
        </w:rPr>
        <w:t>，</w:t>
      </w:r>
      <w:r>
        <w:rPr>
          <w:rFonts w:hint="eastAsia" w:ascii="仿宋_GB2312" w:hAnsi="楷体" w:eastAsia="仿宋_GB2312"/>
          <w:bCs/>
          <w:kern w:val="0"/>
          <w:sz w:val="32"/>
          <w:szCs w:val="28"/>
          <w:highlight w:val="none"/>
          <w:lang w:val="en-US" w:eastAsia="zh-CN"/>
        </w:rPr>
        <w:t>项目进度略有滞后，截至</w:t>
      </w:r>
      <w:r>
        <w:rPr>
          <w:rFonts w:hint="eastAsia" w:ascii="仿宋_GB2312" w:hAnsi="仿宋_GB2312" w:eastAsia="仿宋_GB2312" w:cs="仿宋_GB2312"/>
          <w:snapToGrid w:val="0"/>
          <w:sz w:val="32"/>
          <w:highlight w:val="none"/>
          <w:lang w:val="en-US" w:eastAsia="zh-CN"/>
        </w:rPr>
        <w:t>2024年12月份，项目支出</w:t>
      </w:r>
      <w:r>
        <w:rPr>
          <w:rFonts w:hint="eastAsia" w:ascii="仿宋_GB2312" w:eastAsia="仿宋_GB2312"/>
          <w:sz w:val="32"/>
          <w:szCs w:val="32"/>
          <w:highlight w:val="none"/>
          <w:lang w:val="en-US" w:eastAsia="zh-CN"/>
        </w:rPr>
        <w:t>599.29</w:t>
      </w:r>
      <w:r>
        <w:rPr>
          <w:rFonts w:hint="eastAsia" w:ascii="仿宋_GB2312" w:hAnsi="仿宋_GB2312" w:eastAsia="仿宋_GB2312" w:cs="仿宋_GB2312"/>
          <w:snapToGrid w:val="0"/>
          <w:sz w:val="32"/>
          <w:highlight w:val="none"/>
          <w:lang w:val="en-US" w:eastAsia="zh-CN"/>
        </w:rPr>
        <w:t>万元，支出进度达到100%。</w:t>
      </w:r>
      <w:r>
        <w:rPr>
          <w:rFonts w:hint="eastAsia" w:ascii="仿宋_GB2312" w:hAnsi="仿宋_GB2312" w:eastAsia="仿宋_GB2312" w:cs="仿宋_GB2312"/>
          <w:sz w:val="32"/>
          <w:highlight w:val="none"/>
        </w:rPr>
        <w:t>2024年底之前完成既定目标</w:t>
      </w:r>
      <w:r>
        <w:rPr>
          <w:rFonts w:hint="eastAsia" w:ascii="仿宋_GB2312" w:hAnsi="仿宋_GB2312" w:eastAsia="仿宋_GB2312" w:cs="仿宋_GB2312"/>
          <w:sz w:val="32"/>
          <w:highlight w:val="none"/>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napToGrid w:val="0"/>
          <w:sz w:val="32"/>
          <w:highlight w:val="none"/>
        </w:rPr>
      </w:pPr>
      <w:r>
        <w:rPr>
          <w:rFonts w:hint="eastAsia" w:ascii="仿宋_GB2312" w:hAnsi="仿宋_GB2312" w:eastAsia="仿宋_GB2312" w:cs="仿宋_GB2312"/>
          <w:snapToGrid w:val="0"/>
          <w:sz w:val="32"/>
          <w:highlight w:val="none"/>
          <w:lang w:val="en-US" w:eastAsia="zh-CN"/>
        </w:rPr>
        <w:t>4.</w:t>
      </w:r>
      <w:r>
        <w:rPr>
          <w:rFonts w:hint="eastAsia" w:ascii="仿宋_GB2312" w:hAnsi="仿宋_GB2312" w:eastAsia="仿宋_GB2312" w:cs="仿宋_GB2312"/>
          <w:snapToGrid w:val="0"/>
          <w:sz w:val="32"/>
          <w:highlight w:val="none"/>
        </w:rPr>
        <w:t>产出</w:t>
      </w:r>
      <w:r>
        <w:rPr>
          <w:rFonts w:hint="eastAsia" w:ascii="仿宋_GB2312" w:hAnsi="仿宋_GB2312" w:eastAsia="仿宋_GB2312" w:cs="仿宋_GB2312"/>
          <w:snapToGrid w:val="0"/>
          <w:sz w:val="32"/>
          <w:highlight w:val="none"/>
          <w:lang w:val="en-US" w:eastAsia="zh-CN"/>
        </w:rPr>
        <w:t>成本</w:t>
      </w:r>
      <w:r>
        <w:rPr>
          <w:rFonts w:hint="eastAsia" w:ascii="仿宋_GB2312" w:hAnsi="仿宋_GB2312" w:eastAsia="仿宋_GB2312" w:cs="仿宋_GB2312"/>
          <w:snapToGrid w:val="0"/>
          <w:sz w:val="32"/>
          <w:highlight w:val="none"/>
        </w:rPr>
        <w:t>指标完成情况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napToGrid w:val="0"/>
          <w:sz w:val="32"/>
          <w:highlight w:val="none"/>
        </w:rPr>
        <w:t>截至202</w:t>
      </w:r>
      <w:r>
        <w:rPr>
          <w:rFonts w:hint="eastAsia" w:ascii="仿宋_GB2312" w:hAnsi="仿宋_GB2312" w:eastAsia="仿宋_GB2312" w:cs="仿宋_GB2312"/>
          <w:snapToGrid w:val="0"/>
          <w:sz w:val="32"/>
          <w:highlight w:val="none"/>
          <w:lang w:val="en-US" w:eastAsia="zh-CN"/>
        </w:rPr>
        <w:t>4</w:t>
      </w:r>
      <w:r>
        <w:rPr>
          <w:rFonts w:hint="eastAsia" w:ascii="仿宋_GB2312" w:hAnsi="仿宋_GB2312" w:eastAsia="仿宋_GB2312" w:cs="仿宋_GB2312"/>
          <w:snapToGrid w:val="0"/>
          <w:sz w:val="32"/>
          <w:highlight w:val="none"/>
        </w:rPr>
        <w:t>年12月31日，</w:t>
      </w:r>
      <w:r>
        <w:rPr>
          <w:rFonts w:hint="eastAsia" w:ascii="仿宋_GB2312" w:hAnsi="仿宋_GB2312" w:eastAsia="仿宋_GB2312" w:cs="仿宋_GB2312"/>
          <w:snapToGrid w:val="0"/>
          <w:sz w:val="32"/>
          <w:highlight w:val="none"/>
          <w:lang w:val="en-US" w:eastAsia="zh-CN"/>
        </w:rPr>
        <w:t>项目</w:t>
      </w:r>
      <w:r>
        <w:rPr>
          <w:rFonts w:hint="eastAsia" w:ascii="仿宋_GB2312" w:hAnsi="仿宋_GB2312" w:eastAsia="仿宋_GB2312" w:cs="仿宋_GB2312"/>
          <w:snapToGrid w:val="0"/>
          <w:sz w:val="32"/>
          <w:highlight w:val="none"/>
        </w:rPr>
        <w:t>实际支出金额为</w:t>
      </w:r>
      <w:r>
        <w:rPr>
          <w:rFonts w:hint="eastAsia" w:ascii="仿宋_GB2312" w:eastAsia="仿宋_GB2312"/>
          <w:sz w:val="32"/>
          <w:szCs w:val="32"/>
          <w:highlight w:val="none"/>
          <w:lang w:val="en-US" w:eastAsia="zh-CN"/>
        </w:rPr>
        <w:t>599.29</w:t>
      </w:r>
      <w:r>
        <w:rPr>
          <w:rFonts w:hint="eastAsia" w:ascii="仿宋_GB2312" w:hAnsi="仿宋_GB2312" w:eastAsia="仿宋_GB2312" w:cs="仿宋_GB2312"/>
          <w:snapToGrid w:val="0"/>
          <w:sz w:val="32"/>
          <w:highlight w:val="none"/>
        </w:rPr>
        <w:t>万元</w:t>
      </w:r>
      <w:r>
        <w:rPr>
          <w:rFonts w:hint="eastAsia" w:ascii="仿宋_GB2312" w:hAnsi="仿宋_GB2312" w:eastAsia="仿宋_GB2312" w:cs="仿宋_GB2312"/>
          <w:snapToGrid w:val="0"/>
          <w:sz w:val="32"/>
          <w:highlight w:val="none"/>
          <w:lang w:val="en-US" w:eastAsia="zh-CN"/>
        </w:rPr>
        <w:t>，</w:t>
      </w:r>
      <w:r>
        <w:rPr>
          <w:rFonts w:hint="eastAsia" w:ascii="仿宋_GB2312" w:hAnsi="仿宋_GB2312" w:eastAsia="仿宋_GB2312" w:cs="仿宋_GB2312"/>
          <w:snapToGrid w:val="0"/>
          <w:sz w:val="32"/>
          <w:highlight w:val="none"/>
        </w:rPr>
        <w:t>未超出预算控制数</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楷体" w:hAnsi="楷体" w:eastAsia="楷体"/>
          <w:bCs/>
          <w:kern w:val="0"/>
          <w:sz w:val="32"/>
          <w:szCs w:val="28"/>
          <w:highlight w:val="none"/>
        </w:rPr>
      </w:pPr>
      <w:bookmarkStart w:id="42" w:name="_Toc104464170"/>
      <w:r>
        <w:rPr>
          <w:rFonts w:hint="eastAsia" w:ascii="楷体" w:hAnsi="楷体" w:eastAsia="楷体"/>
          <w:bCs/>
          <w:kern w:val="0"/>
          <w:sz w:val="32"/>
          <w:szCs w:val="28"/>
          <w:highlight w:val="none"/>
        </w:rPr>
        <w:t>（四）项目效益情况</w:t>
      </w:r>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项目效益指标，满分30分，评价得分为</w:t>
      </w:r>
      <w:r>
        <w:rPr>
          <w:rFonts w:hint="eastAsia" w:ascii="仿宋_GB2312" w:hAnsi="仿宋_GB2312" w:eastAsia="仿宋_GB2312" w:cs="仿宋_GB2312"/>
          <w:kern w:val="2"/>
          <w:sz w:val="32"/>
          <w:szCs w:val="22"/>
          <w:highlight w:val="none"/>
          <w:lang w:val="en-US" w:eastAsia="zh-CN"/>
        </w:rPr>
        <w:t>23.33</w:t>
      </w:r>
      <w:r>
        <w:rPr>
          <w:rFonts w:hint="eastAsia" w:ascii="仿宋_GB2312" w:hAnsi="楷体" w:eastAsia="仿宋_GB2312"/>
          <w:bCs/>
          <w:kern w:val="0"/>
          <w:sz w:val="32"/>
          <w:szCs w:val="28"/>
          <w:highlight w:val="none"/>
        </w:rPr>
        <w:t>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楷体" w:eastAsia="仿宋_GB2312"/>
          <w:bCs/>
          <w:kern w:val="0"/>
          <w:sz w:val="32"/>
          <w:szCs w:val="28"/>
          <w:highlight w:val="none"/>
          <w:lang w:val="en-US" w:eastAsia="zh-CN"/>
        </w:rPr>
      </w:pPr>
      <w:r>
        <w:rPr>
          <w:rFonts w:hint="eastAsia" w:ascii="仿宋_GB2312" w:eastAsia="仿宋_GB2312"/>
          <w:sz w:val="32"/>
          <w:szCs w:val="32"/>
          <w:highlight w:val="none"/>
          <w:lang w:eastAsia="zh-CN"/>
        </w:rPr>
        <w:t>2024年，形成专咨委成立以来完成工作情况报告、调研课题研究成果综述，其中《北京市乡村振兴专家咨询委员会2022—2023年调研课题部分成果综述》刊载于《农研参考》2024年第1期，获得市委主管领导批示。</w:t>
      </w:r>
      <w:r>
        <w:rPr>
          <w:rFonts w:hint="eastAsia" w:ascii="仿宋_GB2312" w:hAnsi="楷体" w:eastAsia="仿宋_GB2312"/>
          <w:bCs/>
          <w:kern w:val="0"/>
          <w:sz w:val="32"/>
          <w:szCs w:val="28"/>
          <w:highlight w:val="none"/>
          <w:lang w:val="en-US" w:eastAsia="zh-CN"/>
        </w:rPr>
        <w:t>该项目部分课题刊发在《农研参考》《乡村振兴简报》《京郊调研》等载体上，效益效果呈现较好，但</w:t>
      </w:r>
      <w:r>
        <w:rPr>
          <w:rFonts w:hint="eastAsia" w:ascii="仿宋_GB2312" w:hAnsi="楷体" w:eastAsia="仿宋_GB2312"/>
          <w:bCs/>
          <w:kern w:val="0"/>
          <w:sz w:val="32"/>
          <w:szCs w:val="28"/>
          <w:highlight w:val="none"/>
        </w:rPr>
        <w:t>可持续</w:t>
      </w:r>
      <w:r>
        <w:rPr>
          <w:rFonts w:hint="eastAsia" w:ascii="仿宋_GB2312" w:hAnsi="楷体" w:eastAsia="仿宋_GB2312"/>
          <w:bCs/>
          <w:kern w:val="0"/>
          <w:sz w:val="32"/>
          <w:szCs w:val="28"/>
          <w:highlight w:val="none"/>
          <w:lang w:val="en-US" w:eastAsia="zh-CN"/>
        </w:rPr>
        <w:t>影响</w:t>
      </w:r>
      <w:r>
        <w:rPr>
          <w:rFonts w:hint="eastAsia" w:ascii="仿宋_GB2312" w:hAnsi="楷体" w:eastAsia="仿宋_GB2312"/>
          <w:bCs/>
          <w:kern w:val="0"/>
          <w:sz w:val="32"/>
          <w:szCs w:val="28"/>
          <w:highlight w:val="none"/>
        </w:rPr>
        <w:t>指标和社会效益指标量化不足</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如</w:t>
      </w:r>
      <w:r>
        <w:rPr>
          <w:rFonts w:hint="eastAsia" w:ascii="仿宋_GB2312" w:hAnsi="楷体" w:eastAsia="仿宋_GB2312"/>
          <w:bCs/>
          <w:kern w:val="0"/>
          <w:sz w:val="32"/>
          <w:szCs w:val="28"/>
          <w:highlight w:val="none"/>
        </w:rPr>
        <w:t>“为涉农区提供专家意见”“为部门提供智力支撑”缺乏具体量化成果</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项目成果利用、效益呈现的凝练、挖掘和总结需要进一步加强；满意度问卷形式单一、内容不够全面、样本量较少，缺少全面客观性，且未进行满意度报告分析。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43" w:name="_Toc104464171"/>
      <w:r>
        <w:rPr>
          <w:rFonts w:hint="eastAsia" w:ascii="黑体" w:hAnsi="黑体" w:eastAsia="黑体"/>
          <w:bCs/>
          <w:kern w:val="0"/>
          <w:sz w:val="32"/>
          <w:szCs w:val="28"/>
          <w:highlight w:val="none"/>
        </w:rPr>
        <w:t>五、存在的主要问题</w:t>
      </w:r>
      <w:bookmarkEnd w:id="43"/>
    </w:p>
    <w:p>
      <w:pPr>
        <w:widowControl w:val="0"/>
        <w:spacing w:line="560" w:lineRule="exact"/>
        <w:ind w:firstLine="640" w:firstLineChars="200"/>
        <w:jc w:val="left"/>
        <w:rPr>
          <w:rFonts w:hint="eastAsia" w:ascii="仿宋_GB2312" w:hAnsi="楷体" w:eastAsia="仿宋_GB2312"/>
          <w:bCs/>
          <w:kern w:val="0"/>
          <w:sz w:val="32"/>
          <w:szCs w:val="28"/>
          <w:highlight w:val="none"/>
        </w:rPr>
      </w:pPr>
      <w:r>
        <w:rPr>
          <w:rFonts w:hint="eastAsia" w:ascii="楷体" w:hAnsi="楷体" w:eastAsia="楷体"/>
          <w:bCs/>
          <w:kern w:val="0"/>
          <w:sz w:val="32"/>
          <w:szCs w:val="28"/>
          <w:highlight w:val="none"/>
          <w:lang w:eastAsia="zh-CN"/>
        </w:rPr>
        <w:t>（</w:t>
      </w:r>
      <w:r>
        <w:rPr>
          <w:rFonts w:hint="eastAsia" w:ascii="楷体" w:hAnsi="楷体" w:eastAsia="楷体"/>
          <w:bCs/>
          <w:kern w:val="0"/>
          <w:sz w:val="32"/>
          <w:szCs w:val="28"/>
          <w:highlight w:val="none"/>
        </w:rPr>
        <w:t>一）绩效指标设置不够</w:t>
      </w:r>
      <w:r>
        <w:rPr>
          <w:rFonts w:hint="eastAsia" w:ascii="楷体" w:hAnsi="楷体" w:eastAsia="楷体"/>
          <w:bCs/>
          <w:kern w:val="0"/>
          <w:sz w:val="32"/>
          <w:szCs w:val="28"/>
          <w:highlight w:val="none"/>
          <w:lang w:val="en-US" w:eastAsia="zh-CN"/>
        </w:rPr>
        <w:t>量化、可衡量性不足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楷体" w:eastAsia="仿宋_GB2312"/>
          <w:bCs/>
          <w:color w:val="auto"/>
          <w:kern w:val="0"/>
          <w:sz w:val="32"/>
          <w:szCs w:val="28"/>
          <w:highlight w:val="none"/>
          <w:lang w:val="en-US" w:eastAsia="zh-CN"/>
        </w:rPr>
      </w:pPr>
      <w:r>
        <w:rPr>
          <w:rFonts w:hint="eastAsia" w:ascii="仿宋_GB2312" w:hAnsi="楷体" w:eastAsia="仿宋_GB2312"/>
          <w:bCs/>
          <w:kern w:val="0"/>
          <w:sz w:val="32"/>
          <w:szCs w:val="28"/>
          <w:highlight w:val="none"/>
          <w:lang w:val="en-US" w:eastAsia="zh-CN"/>
        </w:rPr>
        <w:t>该项目部分绩效指标设置过于笼统、可衡量性不足，如质量指标</w:t>
      </w:r>
      <w:r>
        <w:rPr>
          <w:rFonts w:hint="eastAsia" w:ascii="仿宋_GB2312" w:hAnsi="楷体" w:eastAsia="仿宋_GB2312"/>
          <w:bCs/>
          <w:color w:val="auto"/>
          <w:kern w:val="0"/>
          <w:sz w:val="32"/>
          <w:szCs w:val="28"/>
          <w:highlight w:val="none"/>
          <w:lang w:val="en-US" w:eastAsia="zh-CN"/>
        </w:rPr>
        <w:t>“</w:t>
      </w:r>
      <w:r>
        <w:rPr>
          <w:rFonts w:hint="eastAsia" w:ascii="仿宋_GB2312" w:hAnsi="仿宋_GB2312" w:eastAsia="仿宋_GB2312" w:cs="仿宋_GB2312"/>
          <w:color w:val="auto"/>
          <w:sz w:val="32"/>
          <w:highlight w:val="none"/>
        </w:rPr>
        <w:t>按照专咨委委托课题管理办法完成结题验收</w:t>
      </w:r>
      <w:r>
        <w:rPr>
          <w:rFonts w:hint="eastAsia" w:ascii="仿宋_GB2312" w:hAnsi="仿宋_GB2312" w:eastAsia="仿宋_GB2312" w:cs="仿宋_GB2312"/>
          <w:color w:val="auto"/>
          <w:sz w:val="32"/>
          <w:highlight w:val="none"/>
          <w:lang w:val="en-US" w:eastAsia="zh-CN"/>
        </w:rPr>
        <w:t>达到优（课题验收质量高）</w:t>
      </w:r>
      <w:r>
        <w:rPr>
          <w:rFonts w:hint="eastAsia" w:ascii="仿宋_GB2312" w:hAnsi="楷体" w:eastAsia="仿宋_GB2312"/>
          <w:bCs/>
          <w:kern w:val="0"/>
          <w:sz w:val="32"/>
          <w:szCs w:val="28"/>
          <w:highlight w:val="none"/>
          <w:lang w:val="en-US" w:eastAsia="zh-CN"/>
        </w:rPr>
        <w:t>”设置不够合理，缺少可衡量性，验收的标准不清晰。</w:t>
      </w:r>
      <w:r>
        <w:rPr>
          <w:rFonts w:hint="eastAsia" w:ascii="仿宋_GB2312" w:hAnsi="楷体" w:eastAsia="仿宋_GB2312"/>
          <w:bCs/>
          <w:kern w:val="0"/>
          <w:sz w:val="32"/>
          <w:szCs w:val="28"/>
          <w:highlight w:val="none"/>
        </w:rPr>
        <w:t>可持续</w:t>
      </w:r>
      <w:r>
        <w:rPr>
          <w:rFonts w:hint="eastAsia" w:ascii="仿宋_GB2312" w:hAnsi="楷体" w:eastAsia="仿宋_GB2312"/>
          <w:bCs/>
          <w:kern w:val="0"/>
          <w:sz w:val="32"/>
          <w:szCs w:val="28"/>
          <w:highlight w:val="none"/>
          <w:lang w:val="en-US" w:eastAsia="zh-CN"/>
        </w:rPr>
        <w:t>影响</w:t>
      </w:r>
      <w:r>
        <w:rPr>
          <w:rFonts w:hint="eastAsia" w:ascii="仿宋_GB2312" w:hAnsi="楷体" w:eastAsia="仿宋_GB2312"/>
          <w:bCs/>
          <w:kern w:val="0"/>
          <w:sz w:val="32"/>
          <w:szCs w:val="28"/>
          <w:highlight w:val="none"/>
        </w:rPr>
        <w:t>指标和社会效益指标量化不足</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如</w:t>
      </w:r>
      <w:r>
        <w:rPr>
          <w:rFonts w:hint="eastAsia" w:ascii="仿宋_GB2312" w:hAnsi="楷体" w:eastAsia="仿宋_GB2312"/>
          <w:bCs/>
          <w:kern w:val="0"/>
          <w:sz w:val="32"/>
          <w:szCs w:val="28"/>
          <w:highlight w:val="none"/>
        </w:rPr>
        <w:t>“为涉农区提供专家意见”“为部门提供智力支撑”缺乏具体量化成果</w:t>
      </w:r>
      <w:r>
        <w:rPr>
          <w:rFonts w:hint="eastAsia" w:ascii="仿宋_GB2312" w:hAnsi="楷体" w:eastAsia="仿宋_GB2312"/>
          <w:bCs/>
          <w:color w:val="auto"/>
          <w:kern w:val="0"/>
          <w:sz w:val="32"/>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highlight w:val="none"/>
          <w:lang w:val="en-US" w:eastAsia="zh-CN"/>
        </w:rPr>
      </w:pPr>
      <w:r>
        <w:rPr>
          <w:rFonts w:hint="eastAsia" w:ascii="楷体" w:hAnsi="楷体" w:eastAsia="楷体"/>
          <w:bCs/>
          <w:kern w:val="0"/>
          <w:sz w:val="32"/>
          <w:szCs w:val="28"/>
          <w:highlight w:val="none"/>
        </w:rPr>
        <w:t>（二）</w:t>
      </w:r>
      <w:r>
        <w:rPr>
          <w:rFonts w:hint="eastAsia" w:ascii="楷体" w:hAnsi="楷体" w:eastAsia="楷体"/>
          <w:bCs/>
          <w:kern w:val="0"/>
          <w:sz w:val="32"/>
          <w:szCs w:val="28"/>
          <w:highlight w:val="none"/>
          <w:lang w:val="en-US" w:eastAsia="zh-CN"/>
        </w:rPr>
        <w:t>项目管理</w:t>
      </w:r>
      <w:r>
        <w:rPr>
          <w:rFonts w:hint="eastAsia" w:ascii="楷体" w:hAnsi="楷体" w:eastAsia="楷体"/>
          <w:bCs/>
          <w:kern w:val="0"/>
          <w:sz w:val="32"/>
          <w:szCs w:val="28"/>
          <w:highlight w:val="none"/>
        </w:rPr>
        <w:t>过程不够</w:t>
      </w:r>
      <w:r>
        <w:rPr>
          <w:rFonts w:hint="eastAsia" w:ascii="楷体" w:hAnsi="楷体" w:eastAsia="楷体"/>
          <w:bCs/>
          <w:kern w:val="0"/>
          <w:sz w:val="32"/>
          <w:szCs w:val="28"/>
          <w:highlight w:val="none"/>
          <w:lang w:val="en-US" w:eastAsia="zh-CN"/>
        </w:rPr>
        <w:t>细致</w:t>
      </w:r>
    </w:p>
    <w:p>
      <w:pPr>
        <w:widowControl/>
        <w:numPr>
          <w:ilvl w:val="-1"/>
          <w:numId w:val="0"/>
        </w:numPr>
        <w:spacing w:line="560" w:lineRule="exact"/>
        <w:ind w:firstLine="640" w:firstLineChars="200"/>
        <w:jc w:val="left"/>
        <w:rPr>
          <w:rFonts w:hint="eastAsia" w:ascii="仿宋_GB2312" w:hAnsi="楷体" w:eastAsia="仿宋_GB2312"/>
          <w:bCs/>
          <w:kern w:val="0"/>
          <w:sz w:val="32"/>
          <w:szCs w:val="28"/>
          <w:highlight w:val="none"/>
        </w:rPr>
      </w:pPr>
      <w:r>
        <w:rPr>
          <w:rFonts w:hint="eastAsia" w:ascii="仿宋_GB2312" w:hAnsi="楷体" w:eastAsia="仿宋_GB2312"/>
          <w:bCs/>
          <w:kern w:val="0"/>
          <w:sz w:val="32"/>
          <w:szCs w:val="28"/>
          <w:highlight w:val="none"/>
        </w:rPr>
        <w:t>预算标准有待进一步严谨细化</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项目经过预算评审，</w:t>
      </w:r>
      <w:r>
        <w:rPr>
          <w:rFonts w:hint="eastAsia" w:ascii="仿宋_GB2312" w:hAnsi="楷体" w:eastAsia="仿宋_GB2312"/>
          <w:bCs/>
          <w:kern w:val="0"/>
          <w:sz w:val="32"/>
          <w:szCs w:val="28"/>
          <w:highlight w:val="none"/>
        </w:rPr>
        <w:t>审减110万元，审减率15.07%</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该项目为延续性项目，但对上年执行情况、经费使用情况和本年度对比分析不足；项目单位</w:t>
      </w:r>
      <w:r>
        <w:rPr>
          <w:rFonts w:hint="eastAsia" w:ascii="仿宋_GB2312" w:hAnsi="楷体" w:eastAsia="仿宋_GB2312"/>
          <w:bCs/>
          <w:kern w:val="0"/>
          <w:sz w:val="32"/>
          <w:szCs w:val="28"/>
          <w:highlight w:val="none"/>
        </w:rPr>
        <w:t>未就事前绩效</w:t>
      </w:r>
      <w:r>
        <w:rPr>
          <w:rFonts w:hint="eastAsia" w:ascii="仿宋_GB2312" w:hAnsi="楷体" w:eastAsia="仿宋_GB2312"/>
          <w:bCs/>
          <w:kern w:val="0"/>
          <w:sz w:val="32"/>
          <w:szCs w:val="28"/>
          <w:highlight w:val="none"/>
          <w:lang w:val="en-US" w:eastAsia="zh-CN"/>
        </w:rPr>
        <w:t>评估</w:t>
      </w:r>
      <w:r>
        <w:rPr>
          <w:rFonts w:hint="eastAsia" w:ascii="仿宋_GB2312" w:hAnsi="楷体" w:eastAsia="仿宋_GB2312"/>
          <w:bCs/>
          <w:kern w:val="0"/>
          <w:sz w:val="32"/>
          <w:szCs w:val="28"/>
          <w:highlight w:val="none"/>
        </w:rPr>
        <w:t>报告提出的问题进行整改</w:t>
      </w:r>
      <w:r>
        <w:rPr>
          <w:rFonts w:hint="eastAsia" w:ascii="仿宋_GB2312" w:hAnsi="楷体" w:eastAsia="仿宋_GB2312"/>
          <w:bCs/>
          <w:kern w:val="0"/>
          <w:sz w:val="32"/>
          <w:szCs w:val="28"/>
          <w:highlight w:val="none"/>
          <w:lang w:eastAsia="zh-CN"/>
        </w:rPr>
        <w:t>、</w:t>
      </w:r>
      <w:r>
        <w:rPr>
          <w:rFonts w:hint="eastAsia" w:ascii="仿宋_GB2312" w:hAnsi="楷体" w:eastAsia="仿宋_GB2312"/>
          <w:bCs/>
          <w:kern w:val="0"/>
          <w:sz w:val="32"/>
          <w:szCs w:val="28"/>
          <w:highlight w:val="none"/>
          <w:lang w:val="en-US" w:eastAsia="zh-CN"/>
        </w:rPr>
        <w:t>对</w:t>
      </w:r>
      <w:r>
        <w:rPr>
          <w:rFonts w:hint="eastAsia" w:ascii="仿宋_GB2312" w:hAnsi="楷体" w:eastAsia="仿宋_GB2312"/>
          <w:bCs/>
          <w:kern w:val="0"/>
          <w:sz w:val="32"/>
          <w:szCs w:val="28"/>
          <w:highlight w:val="none"/>
        </w:rPr>
        <w:t>事前</w:t>
      </w:r>
      <w:r>
        <w:rPr>
          <w:rFonts w:hint="eastAsia" w:ascii="仿宋_GB2312" w:hAnsi="楷体" w:eastAsia="仿宋_GB2312"/>
          <w:bCs/>
          <w:kern w:val="0"/>
          <w:sz w:val="32"/>
          <w:szCs w:val="28"/>
          <w:highlight w:val="none"/>
          <w:lang w:val="en-US" w:eastAsia="zh-CN"/>
        </w:rPr>
        <w:t>绩效</w:t>
      </w:r>
      <w:r>
        <w:rPr>
          <w:rFonts w:hint="eastAsia" w:ascii="仿宋_GB2312" w:hAnsi="楷体" w:eastAsia="仿宋_GB2312"/>
          <w:bCs/>
          <w:kern w:val="0"/>
          <w:sz w:val="32"/>
          <w:szCs w:val="28"/>
          <w:highlight w:val="none"/>
        </w:rPr>
        <w:t>评估提出的问题整改情况</w:t>
      </w:r>
      <w:r>
        <w:rPr>
          <w:rFonts w:hint="eastAsia" w:ascii="仿宋_GB2312" w:hAnsi="楷体" w:eastAsia="仿宋_GB2312"/>
          <w:bCs/>
          <w:kern w:val="0"/>
          <w:sz w:val="32"/>
          <w:szCs w:val="28"/>
          <w:highlight w:val="none"/>
          <w:lang w:val="en-US" w:eastAsia="zh-CN"/>
        </w:rPr>
        <w:t>在预期</w:t>
      </w:r>
      <w:r>
        <w:rPr>
          <w:rFonts w:hint="eastAsia" w:ascii="仿宋_GB2312" w:hAnsi="楷体" w:eastAsia="仿宋_GB2312"/>
          <w:bCs/>
          <w:kern w:val="0"/>
          <w:sz w:val="32"/>
          <w:szCs w:val="28"/>
          <w:highlight w:val="none"/>
        </w:rPr>
        <w:t>绩效报告</w:t>
      </w:r>
      <w:r>
        <w:rPr>
          <w:rFonts w:hint="eastAsia" w:ascii="仿宋_GB2312" w:hAnsi="楷体" w:eastAsia="仿宋_GB2312"/>
          <w:bCs/>
          <w:kern w:val="0"/>
          <w:sz w:val="32"/>
          <w:szCs w:val="28"/>
          <w:highlight w:val="none"/>
          <w:lang w:val="en-US" w:eastAsia="zh-CN"/>
        </w:rPr>
        <w:t>中</w:t>
      </w:r>
      <w:r>
        <w:rPr>
          <w:rFonts w:hint="eastAsia" w:ascii="仿宋_GB2312" w:hAnsi="楷体" w:eastAsia="仿宋_GB2312"/>
          <w:bCs/>
          <w:kern w:val="0"/>
          <w:sz w:val="32"/>
          <w:szCs w:val="28"/>
          <w:highlight w:val="none"/>
        </w:rPr>
        <w:t>体现不足。中期评估发现个别课题“研究方向偏离”“调研不足”，未见跟踪整改方案</w:t>
      </w:r>
      <w:r>
        <w:rPr>
          <w:rFonts w:hint="eastAsia" w:ascii="仿宋_GB2312" w:hAnsi="楷体" w:eastAsia="仿宋_GB2312"/>
          <w:bCs/>
          <w:kern w:val="0"/>
          <w:sz w:val="32"/>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bCs/>
          <w:kern w:val="0"/>
          <w:sz w:val="32"/>
          <w:szCs w:val="28"/>
          <w:highlight w:val="none"/>
        </w:rPr>
      </w:pPr>
      <w:r>
        <w:rPr>
          <w:rFonts w:hint="eastAsia" w:ascii="楷体" w:hAnsi="楷体" w:eastAsia="楷体"/>
          <w:bCs/>
          <w:kern w:val="0"/>
          <w:sz w:val="32"/>
          <w:szCs w:val="28"/>
          <w:highlight w:val="none"/>
          <w:lang w:eastAsia="zh-CN"/>
        </w:rPr>
        <w:t>（</w:t>
      </w:r>
      <w:r>
        <w:rPr>
          <w:rFonts w:hint="eastAsia" w:ascii="楷体" w:hAnsi="楷体" w:eastAsia="楷体"/>
          <w:bCs/>
          <w:kern w:val="0"/>
          <w:sz w:val="32"/>
          <w:szCs w:val="28"/>
          <w:highlight w:val="none"/>
          <w:lang w:val="en-US" w:eastAsia="zh-CN"/>
        </w:rPr>
        <w:t>三</w:t>
      </w:r>
      <w:r>
        <w:rPr>
          <w:rFonts w:hint="eastAsia" w:ascii="楷体" w:hAnsi="楷体" w:eastAsia="楷体"/>
          <w:bCs/>
          <w:kern w:val="0"/>
          <w:sz w:val="32"/>
          <w:szCs w:val="28"/>
          <w:highlight w:val="none"/>
          <w:lang w:eastAsia="zh-CN"/>
        </w:rPr>
        <w:t>）</w:t>
      </w:r>
      <w:r>
        <w:rPr>
          <w:rFonts w:hint="eastAsia" w:ascii="楷体" w:hAnsi="楷体" w:eastAsia="楷体"/>
          <w:bCs/>
          <w:kern w:val="0"/>
          <w:sz w:val="32"/>
          <w:szCs w:val="28"/>
          <w:highlight w:val="none"/>
        </w:rPr>
        <w:t>项目</w:t>
      </w:r>
      <w:r>
        <w:rPr>
          <w:rFonts w:hint="eastAsia" w:ascii="楷体" w:hAnsi="楷体" w:eastAsia="楷体"/>
          <w:bCs/>
          <w:kern w:val="0"/>
          <w:sz w:val="32"/>
          <w:szCs w:val="28"/>
          <w:highlight w:val="none"/>
          <w:lang w:val="en-US" w:eastAsia="zh-CN"/>
        </w:rPr>
        <w:t>效益效果</w:t>
      </w:r>
      <w:r>
        <w:rPr>
          <w:rFonts w:hint="eastAsia" w:ascii="楷体" w:hAnsi="楷体" w:eastAsia="楷体"/>
          <w:bCs/>
          <w:kern w:val="0"/>
          <w:sz w:val="32"/>
          <w:szCs w:val="28"/>
          <w:highlight w:val="none"/>
        </w:rPr>
        <w:t>体现不足</w:t>
      </w:r>
      <w:r>
        <w:rPr>
          <w:rFonts w:hint="eastAsia" w:ascii="楷体" w:hAnsi="楷体" w:eastAsia="楷体"/>
          <w:bCs/>
          <w:kern w:val="0"/>
          <w:sz w:val="32"/>
          <w:szCs w:val="28"/>
          <w:highlight w:val="none"/>
          <w:lang w:eastAsia="zh-CN"/>
        </w:rPr>
        <w:t>，</w:t>
      </w:r>
      <w:r>
        <w:rPr>
          <w:rFonts w:hint="eastAsia" w:ascii="楷体" w:hAnsi="楷体" w:eastAsia="楷体"/>
          <w:bCs/>
          <w:color w:val="auto"/>
          <w:kern w:val="0"/>
          <w:sz w:val="32"/>
          <w:szCs w:val="28"/>
          <w:highlight w:val="none"/>
        </w:rPr>
        <w:t>满意度调查</w:t>
      </w:r>
      <w:r>
        <w:rPr>
          <w:rFonts w:hint="eastAsia" w:ascii="楷体" w:hAnsi="楷体" w:eastAsia="楷体"/>
          <w:bCs/>
          <w:color w:val="auto"/>
          <w:kern w:val="0"/>
          <w:sz w:val="32"/>
          <w:szCs w:val="28"/>
          <w:highlight w:val="none"/>
          <w:lang w:val="en-US" w:eastAsia="zh-CN"/>
        </w:rPr>
        <w:t>需完善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sz w:val="32"/>
          <w:szCs w:val="32"/>
          <w:highlight w:val="none"/>
          <w:lang w:val="en-US" w:eastAsia="zh-CN"/>
        </w:rPr>
      </w:pPr>
      <w:r>
        <w:rPr>
          <w:rFonts w:hint="eastAsia" w:ascii="仿宋_GB2312" w:hAnsi="宋体" w:eastAsia="仿宋_GB2312"/>
          <w:bCs/>
          <w:sz w:val="32"/>
          <w:szCs w:val="32"/>
          <w:highlight w:val="none"/>
          <w:lang w:val="en-US" w:eastAsia="zh-CN"/>
        </w:rPr>
        <w:t>项目成果利用、效益呈现的凝练、挖掘和总结还需进一步加强。</w:t>
      </w:r>
      <w:r>
        <w:rPr>
          <w:rFonts w:hint="eastAsia" w:ascii="仿宋_GB2312" w:eastAsia="仿宋_GB2312"/>
          <w:bCs/>
          <w:kern w:val="44"/>
          <w:sz w:val="32"/>
          <w:szCs w:val="32"/>
          <w:highlight w:val="none"/>
        </w:rPr>
        <w:t>满意度调查的全面性有待加强</w:t>
      </w:r>
      <w:r>
        <w:rPr>
          <w:rFonts w:hint="eastAsia" w:ascii="仿宋_GB2312" w:hAnsi="宋体" w:eastAsia="仿宋_GB2312"/>
          <w:bCs/>
          <w:sz w:val="32"/>
          <w:szCs w:val="32"/>
          <w:highlight w:val="none"/>
          <w:lang w:val="en-US" w:eastAsia="zh-CN"/>
        </w:rPr>
        <w:t>，</w:t>
      </w:r>
      <w:r>
        <w:rPr>
          <w:rFonts w:hint="eastAsia" w:ascii="仿宋_GB2312" w:hAnsi="宋体" w:eastAsia="仿宋_GB2312"/>
          <w:bCs/>
          <w:sz w:val="32"/>
          <w:szCs w:val="32"/>
          <w:highlight w:val="none"/>
        </w:rPr>
        <w:t>满意度问卷形式单一、内容不够全面、样本量较少，缺少全面客观性体现</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且没有项目满意度分析报告</w:t>
      </w:r>
      <w:r>
        <w:rPr>
          <w:rFonts w:hint="eastAsia" w:ascii="仿宋_GB2312" w:hAnsi="宋体" w:eastAsia="仿宋_GB2312"/>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44" w:name="_Toc104464172"/>
      <w:r>
        <w:rPr>
          <w:rFonts w:hint="eastAsia" w:ascii="黑体" w:hAnsi="黑体" w:eastAsia="黑体"/>
          <w:bCs/>
          <w:kern w:val="0"/>
          <w:sz w:val="32"/>
          <w:szCs w:val="28"/>
          <w:highlight w:val="none"/>
        </w:rPr>
        <w:t>六、有关建议</w:t>
      </w:r>
      <w:bookmarkEnd w:id="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highlight w:val="none"/>
          <w:lang w:val="en-US" w:eastAsia="zh-CN"/>
        </w:rPr>
      </w:pPr>
      <w:r>
        <w:rPr>
          <w:rFonts w:hint="eastAsia" w:ascii="楷体" w:hAnsi="楷体" w:eastAsia="楷体"/>
          <w:bCs/>
          <w:kern w:val="0"/>
          <w:sz w:val="32"/>
          <w:szCs w:val="28"/>
          <w:highlight w:val="none"/>
        </w:rPr>
        <w:t>（一）</w:t>
      </w:r>
      <w:r>
        <w:rPr>
          <w:rFonts w:hint="eastAsia" w:ascii="楷体" w:hAnsi="楷体" w:eastAsia="楷体"/>
          <w:bCs/>
          <w:kern w:val="0"/>
          <w:sz w:val="32"/>
          <w:szCs w:val="28"/>
          <w:highlight w:val="none"/>
          <w:lang w:val="en-US" w:eastAsia="zh-CN"/>
        </w:rPr>
        <w:t>结合项目实际，合理设置绩效指标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sz w:val="32"/>
          <w:szCs w:val="32"/>
          <w:highlight w:val="none"/>
        </w:rPr>
      </w:pPr>
      <w:r>
        <w:rPr>
          <w:rFonts w:hint="eastAsia" w:ascii="仿宋_GB2312" w:hAnsi="仿宋_GB2312" w:eastAsia="仿宋_GB2312" w:cs="仿宋_GB2312"/>
          <w:bCs w:val="0"/>
          <w:color w:val="auto"/>
          <w:kern w:val="2"/>
          <w:sz w:val="32"/>
          <w:szCs w:val="32"/>
          <w:highlight w:val="none"/>
          <w:lang w:val="en-US" w:eastAsia="zh-CN"/>
        </w:rPr>
        <w:t>增强项目绩效管理意识，合理设置绩效指标，尽可能做到全面、细化、量化，</w:t>
      </w:r>
      <w:r>
        <w:rPr>
          <w:rFonts w:hint="eastAsia" w:ascii="仿宋_GB2312" w:hAnsi="仿宋_GB2312" w:eastAsia="仿宋_GB2312" w:cs="仿宋_GB2312"/>
          <w:color w:val="auto"/>
          <w:sz w:val="32"/>
          <w:szCs w:val="32"/>
          <w:highlight w:val="none"/>
        </w:rPr>
        <w:t>增强</w:t>
      </w:r>
      <w:r>
        <w:rPr>
          <w:rFonts w:hint="eastAsia" w:ascii="仿宋_GB2312" w:hAnsi="仿宋_GB2312" w:eastAsia="仿宋_GB2312" w:cs="仿宋_GB2312"/>
          <w:color w:val="auto"/>
          <w:sz w:val="32"/>
          <w:szCs w:val="32"/>
          <w:highlight w:val="none"/>
          <w:lang w:val="en-US" w:eastAsia="zh-CN"/>
        </w:rPr>
        <w:t>绩效指标的</w:t>
      </w:r>
      <w:r>
        <w:rPr>
          <w:rFonts w:hint="eastAsia" w:ascii="仿宋_GB2312" w:hAnsi="仿宋_GB2312" w:eastAsia="仿宋_GB2312" w:cs="仿宋_GB2312"/>
          <w:color w:val="auto"/>
          <w:sz w:val="32"/>
          <w:szCs w:val="32"/>
          <w:highlight w:val="none"/>
        </w:rPr>
        <w:t>可</w:t>
      </w:r>
      <w:r>
        <w:rPr>
          <w:rFonts w:hint="eastAsia" w:ascii="仿宋_GB2312" w:hAnsi="仿宋_GB2312" w:eastAsia="仿宋_GB2312" w:cs="仿宋_GB2312"/>
          <w:color w:val="auto"/>
          <w:sz w:val="32"/>
          <w:szCs w:val="32"/>
          <w:highlight w:val="none"/>
          <w:lang w:val="en-US" w:eastAsia="zh-CN"/>
        </w:rPr>
        <w:t>考核</w:t>
      </w:r>
      <w:r>
        <w:rPr>
          <w:rFonts w:hint="eastAsia" w:ascii="仿宋_GB2312" w:hAnsi="仿宋_GB2312" w:eastAsia="仿宋_GB2312" w:cs="仿宋_GB2312"/>
          <w:color w:val="auto"/>
          <w:sz w:val="32"/>
          <w:szCs w:val="32"/>
          <w:highlight w:val="none"/>
        </w:rPr>
        <w:t>性，便于项目后续绩效</w:t>
      </w:r>
      <w:r>
        <w:rPr>
          <w:rFonts w:hint="eastAsia" w:ascii="仿宋_GB2312" w:hAnsi="仿宋_GB2312" w:eastAsia="仿宋_GB2312" w:cs="仿宋_GB2312"/>
          <w:color w:val="auto"/>
          <w:sz w:val="32"/>
          <w:szCs w:val="32"/>
          <w:highlight w:val="none"/>
          <w:lang w:val="en-US" w:eastAsia="zh-CN"/>
        </w:rPr>
        <w:t>监控和评价</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bCs/>
          <w:kern w:val="0"/>
          <w:sz w:val="32"/>
          <w:szCs w:val="28"/>
          <w:highlight w:val="none"/>
          <w:lang w:val="en-US" w:eastAsia="zh-CN"/>
        </w:rPr>
      </w:pPr>
      <w:r>
        <w:rPr>
          <w:rFonts w:hint="eastAsia" w:ascii="楷体" w:hAnsi="楷体" w:eastAsia="楷体" w:cs="Times New Roman"/>
          <w:bCs/>
          <w:kern w:val="0"/>
          <w:sz w:val="32"/>
          <w:szCs w:val="28"/>
          <w:highlight w:val="none"/>
          <w:lang w:val="en-US" w:eastAsia="zh-CN" w:bidi="ar-SA"/>
        </w:rPr>
        <w:t>（</w:t>
      </w:r>
      <w:r>
        <w:rPr>
          <w:rFonts w:hint="eastAsia" w:ascii="楷体" w:hAnsi="楷体" w:eastAsia="楷体"/>
          <w:bCs/>
          <w:kern w:val="0"/>
          <w:sz w:val="32"/>
          <w:szCs w:val="28"/>
          <w:highlight w:val="none"/>
          <w:lang w:val="en-US" w:eastAsia="zh-CN"/>
        </w:rPr>
        <w:t>二）</w:t>
      </w:r>
      <w:r>
        <w:rPr>
          <w:rFonts w:hint="eastAsia" w:ascii="楷体" w:hAnsi="楷体" w:eastAsia="楷体"/>
          <w:bCs/>
          <w:kern w:val="0"/>
          <w:sz w:val="32"/>
          <w:szCs w:val="28"/>
          <w:highlight w:val="none"/>
        </w:rPr>
        <w:t>加强项目过程管理</w:t>
      </w:r>
    </w:p>
    <w:p>
      <w:pPr>
        <w:widowControl/>
        <w:spacing w:line="560" w:lineRule="exact"/>
        <w:ind w:firstLine="640" w:firstLineChars="200"/>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进一步加强预算需求合理性分析，充分考虑全年预算需求，科学编制预算；</w:t>
      </w:r>
      <w:r>
        <w:rPr>
          <w:rFonts w:hint="eastAsia" w:ascii="仿宋_GB2312" w:hAnsi="楷体" w:eastAsia="仿宋_GB2312"/>
          <w:bCs/>
          <w:kern w:val="0"/>
          <w:sz w:val="32"/>
          <w:szCs w:val="28"/>
          <w:highlight w:val="none"/>
          <w:lang w:val="en-US" w:eastAsia="zh-CN"/>
        </w:rPr>
        <w:t>充分将上年执行情况、经费使用情况与本年度进行对比分析，</w:t>
      </w:r>
      <w:r>
        <w:rPr>
          <w:rFonts w:hint="eastAsia" w:ascii="仿宋_GB2312" w:hAnsi="仿宋_GB2312" w:eastAsia="仿宋_GB2312" w:cs="仿宋_GB2312"/>
          <w:kern w:val="0"/>
          <w:sz w:val="32"/>
          <w:szCs w:val="32"/>
          <w:highlight w:val="none"/>
        </w:rPr>
        <w:t>对事前绩效</w:t>
      </w:r>
      <w:r>
        <w:rPr>
          <w:rFonts w:hint="eastAsia" w:ascii="仿宋_GB2312" w:hAnsi="仿宋_GB2312" w:eastAsia="仿宋_GB2312" w:cs="仿宋_GB2312"/>
          <w:kern w:val="0"/>
          <w:sz w:val="32"/>
          <w:szCs w:val="32"/>
          <w:highlight w:val="none"/>
          <w:lang w:val="en-US" w:eastAsia="zh-CN"/>
        </w:rPr>
        <w:t>评估</w:t>
      </w:r>
      <w:r>
        <w:rPr>
          <w:rFonts w:hint="eastAsia" w:ascii="仿宋_GB2312" w:hAnsi="仿宋_GB2312" w:eastAsia="仿宋_GB2312" w:cs="仿宋_GB2312"/>
          <w:kern w:val="0"/>
          <w:sz w:val="32"/>
          <w:szCs w:val="32"/>
          <w:highlight w:val="none"/>
        </w:rPr>
        <w:t>报告中提出的问题进行整改落实。</w:t>
      </w:r>
      <w:r>
        <w:rPr>
          <w:rFonts w:hint="eastAsia" w:ascii="仿宋_GB2312" w:hAnsi="仿宋_GB2312" w:eastAsia="仿宋_GB2312" w:cs="仿宋_GB2312"/>
          <w:kern w:val="0"/>
          <w:sz w:val="32"/>
          <w:szCs w:val="32"/>
          <w:highlight w:val="none"/>
          <w:lang w:val="en-US" w:eastAsia="zh-CN"/>
        </w:rPr>
        <w:t>加强对项目的全过程监管，对出现问题的课题及时采取整改措施，并留存相关的整改资料。</w:t>
      </w:r>
    </w:p>
    <w:p>
      <w:pPr>
        <w:pStyle w:val="5"/>
        <w:keepNext w:val="0"/>
        <w:keepLines w:val="0"/>
        <w:pageBreakBefore w:val="0"/>
        <w:widowControl w:val="0"/>
        <w:numPr>
          <w:ilvl w:val="0"/>
          <w:numId w:val="0"/>
        </w:numPr>
        <w:tabs>
          <w:tab w:val="left" w:pos="8820"/>
        </w:tabs>
        <w:kinsoku/>
        <w:wordWrap/>
        <w:overflowPunct/>
        <w:topLinePunct w:val="0"/>
        <w:autoSpaceDE/>
        <w:autoSpaceDN/>
        <w:bidi w:val="0"/>
        <w:adjustRightInd/>
        <w:snapToGrid/>
        <w:spacing w:line="560" w:lineRule="exact"/>
        <w:ind w:left="0" w:leftChars="0" w:right="23" w:rightChars="11" w:firstLine="640" w:firstLineChars="200"/>
        <w:textAlignment w:val="auto"/>
        <w:rPr>
          <w:rFonts w:hint="eastAsia" w:ascii="楷体" w:hAnsi="楷体" w:eastAsia="楷体"/>
          <w:bCs/>
          <w:kern w:val="0"/>
          <w:sz w:val="32"/>
          <w:szCs w:val="28"/>
          <w:highlight w:val="none"/>
        </w:rPr>
      </w:pPr>
      <w:r>
        <w:rPr>
          <w:rFonts w:hint="eastAsia" w:ascii="楷体" w:hAnsi="楷体" w:eastAsia="楷体" w:cs="Times New Roman"/>
          <w:bCs/>
          <w:kern w:val="0"/>
          <w:sz w:val="32"/>
          <w:szCs w:val="28"/>
          <w:highlight w:val="none"/>
          <w:lang w:val="en-US" w:eastAsia="zh-CN" w:bidi="ar-SA"/>
        </w:rPr>
        <w:t>（三）</w:t>
      </w:r>
      <w:r>
        <w:rPr>
          <w:rFonts w:hint="eastAsia" w:ascii="楷体" w:hAnsi="楷体" w:eastAsia="楷体"/>
          <w:bCs/>
          <w:kern w:val="0"/>
          <w:sz w:val="32"/>
          <w:szCs w:val="28"/>
          <w:highlight w:val="none"/>
        </w:rPr>
        <w:t>加强项目效益资料归集，全面开展满意度调查</w:t>
      </w:r>
    </w:p>
    <w:p>
      <w:pPr>
        <w:spacing w:line="560" w:lineRule="exact"/>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重视项目效益资料的归集、挖掘和呈现，使项目绩效成果得到有效支撑。强化满意度分类分层意识，注重项目服务对象满意度调查</w:t>
      </w:r>
      <w:r>
        <w:rPr>
          <w:rFonts w:hint="eastAsia" w:ascii="仿宋_GB2312" w:hAnsi="仿宋_GB2312" w:eastAsia="仿宋_GB2312" w:cs="仿宋_GB2312"/>
          <w:kern w:val="0"/>
          <w:sz w:val="32"/>
          <w:szCs w:val="32"/>
          <w:highlight w:val="none"/>
          <w:lang w:val="en-US" w:eastAsia="zh-CN"/>
        </w:rPr>
        <w:t>结果</w:t>
      </w:r>
      <w:r>
        <w:rPr>
          <w:rFonts w:hint="eastAsia" w:ascii="仿宋_GB2312" w:hAnsi="仿宋_GB2312" w:eastAsia="仿宋_GB2312" w:cs="仿宋_GB2312"/>
          <w:kern w:val="0"/>
          <w:sz w:val="32"/>
          <w:szCs w:val="32"/>
          <w:highlight w:val="none"/>
        </w:rPr>
        <w:t>分析，根据项目受益对象范围，采用适当的方式、方法开展满意度调查</w:t>
      </w:r>
      <w:r>
        <w:rPr>
          <w:rFonts w:hint="eastAsia" w:ascii="仿宋_GB2312" w:hAnsi="楷体" w:eastAsia="仿宋_GB2312"/>
          <w:bCs/>
          <w:kern w:val="0"/>
          <w:sz w:val="32"/>
          <w:szCs w:val="28"/>
          <w:highlight w:val="none"/>
        </w:rPr>
        <w:t>，</w:t>
      </w:r>
      <w:r>
        <w:rPr>
          <w:rFonts w:hint="eastAsia" w:ascii="仿宋_GB2312" w:hAnsi="仿宋_GB2312" w:eastAsia="仿宋_GB2312" w:cs="仿宋_GB2312"/>
          <w:kern w:val="0"/>
          <w:sz w:val="32"/>
          <w:szCs w:val="32"/>
          <w:highlight w:val="none"/>
        </w:rPr>
        <w:t>充分反映项目</w:t>
      </w:r>
      <w:r>
        <w:rPr>
          <w:rFonts w:hint="eastAsia" w:ascii="仿宋_GB2312" w:hAnsi="仿宋_GB2312" w:eastAsia="仿宋_GB2312" w:cs="仿宋_GB2312"/>
          <w:kern w:val="0"/>
          <w:sz w:val="32"/>
          <w:szCs w:val="32"/>
          <w:highlight w:val="none"/>
          <w:lang w:val="en-US" w:eastAsia="zh-CN"/>
        </w:rPr>
        <w:t>服务对象满意程度</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45" w:name="_Toc104464173"/>
      <w:r>
        <w:rPr>
          <w:rFonts w:hint="eastAsia" w:ascii="黑体" w:hAnsi="黑体" w:eastAsia="黑体"/>
          <w:bCs/>
          <w:kern w:val="0"/>
          <w:sz w:val="32"/>
          <w:szCs w:val="28"/>
          <w:highlight w:val="none"/>
        </w:rPr>
        <w:t>七、其他说明事项</w:t>
      </w:r>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bCs/>
          <w:kern w:val="0"/>
          <w:sz w:val="32"/>
          <w:szCs w:val="28"/>
          <w:highlight w:val="none"/>
        </w:rPr>
      </w:pPr>
      <w:bookmarkStart w:id="46" w:name="_Toc318275102"/>
      <w:r>
        <w:rPr>
          <w:rFonts w:hint="eastAsia" w:ascii="仿宋_GB2312" w:hAnsi="仿宋_GB2312" w:eastAsia="仿宋_GB2312" w:cs="仿宋_GB2312"/>
          <w:sz w:val="32"/>
          <w:highlight w:val="none"/>
        </w:rPr>
        <w:t>本报告主要是基于市农研中心收集</w:t>
      </w:r>
      <w:r>
        <w:rPr>
          <w:rFonts w:hint="eastAsia" w:ascii="仿宋_GB2312" w:hAnsi="楷体" w:eastAsia="仿宋_GB2312"/>
          <w:bCs/>
          <w:kern w:val="0"/>
          <w:sz w:val="32"/>
          <w:szCs w:val="28"/>
          <w:highlight w:val="none"/>
        </w:rPr>
        <w:t>的决策、过程、产出、效益方面的资料做出的评价，评价工作组对资料的真实性进行了适当的审查与线上沟通，但受资料完整性及线上沟通范围所限，并非每项指标的打分都有充分的资料支撑，个别指标主要是依据项目单位沟通结果及绩效评价专家的专业性判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本次评价采取的是以项目单位为主、第三方机构协助、专家评价为辅的方式，本报告评价结论是借助管理、财务、业务专家的力量，在专家咨询基础上对项目做出的专业性的评价。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bCs/>
          <w:kern w:val="0"/>
          <w:sz w:val="32"/>
          <w:szCs w:val="28"/>
          <w:highlight w:val="none"/>
        </w:rPr>
      </w:pPr>
      <w:bookmarkStart w:id="47" w:name="_Toc104449884"/>
      <w:bookmarkStart w:id="48" w:name="_Toc104464174"/>
      <w:r>
        <w:rPr>
          <w:rFonts w:hint="eastAsia" w:ascii="黑体" w:hAnsi="黑体" w:eastAsia="黑体"/>
          <w:bCs/>
          <w:kern w:val="0"/>
          <w:sz w:val="32"/>
          <w:szCs w:val="28"/>
          <w:highlight w:val="none"/>
        </w:rPr>
        <w:t>八、附件</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bCs/>
          <w:kern w:val="0"/>
          <w:sz w:val="32"/>
          <w:szCs w:val="28"/>
          <w:highlight w:val="none"/>
        </w:rPr>
      </w:pPr>
      <w:r>
        <w:rPr>
          <w:rFonts w:hint="eastAsia" w:ascii="仿宋_GB2312" w:hAnsi="宋体" w:eastAsia="仿宋_GB2312"/>
          <w:bCs/>
          <w:kern w:val="0"/>
          <w:sz w:val="32"/>
          <w:szCs w:val="28"/>
          <w:highlight w:val="none"/>
        </w:rPr>
        <w:t>1.项目预算执行情况表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bCs/>
          <w:kern w:val="0"/>
          <w:sz w:val="32"/>
          <w:szCs w:val="28"/>
          <w:highlight w:val="none"/>
        </w:rPr>
      </w:pPr>
      <w:r>
        <w:rPr>
          <w:rFonts w:hint="eastAsia" w:ascii="仿宋_GB2312" w:hAnsi="宋体" w:eastAsia="仿宋_GB2312"/>
          <w:bCs/>
          <w:kern w:val="0"/>
          <w:sz w:val="32"/>
          <w:szCs w:val="28"/>
          <w:highlight w:val="none"/>
        </w:rPr>
        <w:t>2.项目绩效目标完成情况及收支明细表</w:t>
      </w:r>
    </w:p>
    <w:p>
      <w:pPr>
        <w:spacing w:line="560" w:lineRule="exact"/>
        <w:ind w:firstLine="640" w:firstLineChars="200"/>
        <w:rPr>
          <w:rFonts w:hint="eastAsia" w:ascii="仿宋_GB2312" w:hAnsi="宋体" w:eastAsia="仿宋_GB2312"/>
          <w:bCs/>
          <w:kern w:val="0"/>
          <w:sz w:val="32"/>
          <w:szCs w:val="28"/>
          <w:highlight w:val="none"/>
        </w:rPr>
      </w:pPr>
      <w:r>
        <w:rPr>
          <w:rFonts w:hint="eastAsia" w:ascii="仿宋_GB2312" w:hAnsi="宋体" w:eastAsia="仿宋_GB2312"/>
          <w:bCs/>
          <w:kern w:val="0"/>
          <w:sz w:val="32"/>
          <w:szCs w:val="28"/>
          <w:highlight w:val="none"/>
          <w:lang w:val="en-US" w:eastAsia="zh-CN"/>
        </w:rPr>
        <w:t>3</w:t>
      </w:r>
      <w:r>
        <w:rPr>
          <w:rFonts w:hint="eastAsia" w:ascii="仿宋_GB2312" w:hAnsi="宋体" w:eastAsia="仿宋_GB2312"/>
          <w:bCs/>
          <w:kern w:val="0"/>
          <w:sz w:val="32"/>
          <w:szCs w:val="28"/>
          <w:highlight w:val="none"/>
        </w:rPr>
        <w:t>.专家意见汇总书</w:t>
      </w:r>
    </w:p>
    <w:p>
      <w:pPr>
        <w:spacing w:line="560" w:lineRule="exact"/>
        <w:ind w:firstLine="640" w:firstLineChars="200"/>
        <w:rPr>
          <w:rFonts w:hint="eastAsia" w:ascii="仿宋_GB2312" w:hAnsi="宋体" w:eastAsia="仿宋_GB2312"/>
          <w:bCs/>
          <w:kern w:val="0"/>
          <w:sz w:val="32"/>
          <w:szCs w:val="28"/>
          <w:highlight w:val="none"/>
        </w:rPr>
      </w:pPr>
      <w:r>
        <w:rPr>
          <w:rFonts w:hint="eastAsia" w:ascii="仿宋_GB2312" w:hAnsi="宋体" w:eastAsia="仿宋_GB2312"/>
          <w:bCs/>
          <w:kern w:val="0"/>
          <w:sz w:val="32"/>
          <w:szCs w:val="28"/>
          <w:highlight w:val="none"/>
          <w:lang w:val="en-US" w:eastAsia="zh-CN"/>
        </w:rPr>
        <w:t>4</w:t>
      </w:r>
      <w:r>
        <w:rPr>
          <w:rFonts w:hint="eastAsia" w:ascii="仿宋_GB2312" w:hAnsi="宋体" w:eastAsia="仿宋_GB2312"/>
          <w:bCs/>
          <w:kern w:val="0"/>
          <w:sz w:val="32"/>
          <w:szCs w:val="28"/>
          <w:highlight w:val="none"/>
        </w:rPr>
        <w:t>.项目支出指标体系及评分情况表</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b/>
          <w:bCs/>
          <w:highlight w:val="none"/>
        </w:rPr>
      </w:pPr>
    </w:p>
    <w:p>
      <w:pPr>
        <w:spacing w:line="560" w:lineRule="exact"/>
        <w:ind w:firstLine="640" w:firstLineChars="200"/>
        <w:jc w:val="left"/>
        <w:rPr>
          <w:rFonts w:ascii="黑体" w:hAnsi="黑体" w:eastAsia="黑体"/>
          <w:bCs/>
          <w:kern w:val="0"/>
          <w:sz w:val="32"/>
          <w:szCs w:val="28"/>
          <w:highlight w:val="none"/>
        </w:rPr>
        <w:sectPr>
          <w:footerReference r:id="rId4" w:type="default"/>
          <w:pgSz w:w="11906" w:h="16838"/>
          <w:pgMar w:top="2098" w:right="1474" w:bottom="1985" w:left="1588" w:header="851" w:footer="992" w:gutter="0"/>
          <w:pgBorders>
            <w:top w:val="none" w:sz="0" w:space="0"/>
            <w:left w:val="none" w:sz="0" w:space="0"/>
            <w:bottom w:val="none" w:sz="0" w:space="0"/>
            <w:right w:val="none" w:sz="0" w:space="0"/>
          </w:pgBorders>
          <w:pgNumType w:start="1"/>
          <w:cols w:space="720" w:num="1"/>
          <w:docGrid w:type="linesAndChars" w:linePitch="312" w:charSpace="0"/>
        </w:sectPr>
      </w:pPr>
    </w:p>
    <w:p>
      <w:pPr>
        <w:spacing w:line="560" w:lineRule="exact"/>
        <w:ind w:firstLine="640" w:firstLineChars="200"/>
        <w:jc w:val="left"/>
        <w:rPr>
          <w:rFonts w:hint="eastAsia" w:ascii="黑体" w:hAnsi="黑体" w:eastAsia="黑体"/>
          <w:bCs/>
          <w:kern w:val="0"/>
          <w:sz w:val="32"/>
          <w:szCs w:val="28"/>
          <w:highlight w:val="none"/>
        </w:rPr>
      </w:pPr>
      <w:r>
        <w:rPr>
          <w:rFonts w:hint="eastAsia" w:ascii="黑体" w:hAnsi="黑体" w:eastAsia="黑体"/>
          <w:bCs/>
          <w:kern w:val="0"/>
          <w:sz w:val="32"/>
          <w:szCs w:val="28"/>
          <w:highlight w:val="none"/>
        </w:rPr>
        <w:t>附件1</w:t>
      </w:r>
    </w:p>
    <w:p>
      <w:pPr>
        <w:pStyle w:val="5"/>
        <w:spacing w:line="560" w:lineRule="exact"/>
        <w:ind w:left="0" w:leftChars="0" w:right="1470" w:firstLine="420" w:firstLineChars="200"/>
        <w:jc w:val="left"/>
        <w:rPr>
          <w:highlight w:val="none"/>
        </w:rPr>
      </w:pPr>
      <w:r>
        <w:rPr>
          <w:highlight w:val="none"/>
        </w:rPr>
        <w:drawing>
          <wp:anchor distT="0" distB="0" distL="114300" distR="114300" simplePos="0" relativeHeight="251661312" behindDoc="0" locked="0" layoutInCell="1" allowOverlap="1">
            <wp:simplePos x="0" y="0"/>
            <wp:positionH relativeFrom="column">
              <wp:posOffset>141605</wp:posOffset>
            </wp:positionH>
            <wp:positionV relativeFrom="paragraph">
              <wp:posOffset>147955</wp:posOffset>
            </wp:positionV>
            <wp:extent cx="8092440" cy="2407920"/>
            <wp:effectExtent l="0" t="0" r="3810" b="1905"/>
            <wp:wrapTopAndBottom/>
            <wp:docPr id="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true"/>
                    </pic:cNvPicPr>
                  </pic:nvPicPr>
                  <pic:blipFill>
                    <a:blip r:embed="rId7"/>
                    <a:stretch>
                      <a:fillRect/>
                    </a:stretch>
                  </pic:blipFill>
                  <pic:spPr>
                    <a:xfrm>
                      <a:off x="0" y="0"/>
                      <a:ext cx="8092440" cy="2407920"/>
                    </a:xfrm>
                    <a:prstGeom prst="rect">
                      <a:avLst/>
                    </a:prstGeom>
                    <a:noFill/>
                    <a:ln>
                      <a:noFill/>
                    </a:ln>
                  </pic:spPr>
                </pic:pic>
              </a:graphicData>
            </a:graphic>
          </wp:anchor>
        </w:drawing>
      </w:r>
    </w:p>
    <w:p>
      <w:pPr>
        <w:pStyle w:val="5"/>
        <w:spacing w:line="560" w:lineRule="exact"/>
        <w:ind w:left="0" w:leftChars="0" w:right="1470" w:firstLine="640" w:firstLineChars="200"/>
        <w:jc w:val="left"/>
        <w:rPr>
          <w:rFonts w:hint="eastAsia" w:ascii="黑体" w:hAnsi="黑体" w:eastAsia="黑体"/>
          <w:bCs/>
          <w:kern w:val="0"/>
          <w:sz w:val="32"/>
          <w:szCs w:val="28"/>
          <w:highlight w:val="none"/>
        </w:rPr>
        <w:sectPr>
          <w:pgSz w:w="16838" w:h="11906" w:orient="landscape"/>
          <w:pgMar w:top="1588" w:right="2098" w:bottom="1474" w:left="1985" w:header="851" w:footer="992" w:gutter="0"/>
          <w:pgBorders>
            <w:top w:val="none" w:sz="0" w:space="0"/>
            <w:left w:val="none" w:sz="0" w:space="0"/>
            <w:bottom w:val="none" w:sz="0" w:space="0"/>
            <w:right w:val="none" w:sz="0" w:space="0"/>
          </w:pgBorders>
          <w:cols w:space="720" w:num="1"/>
          <w:docGrid w:type="linesAndChars" w:linePitch="312" w:charSpace="0"/>
        </w:sectPr>
      </w:pPr>
    </w:p>
    <w:p>
      <w:pPr>
        <w:spacing w:line="560" w:lineRule="exact"/>
        <w:jc w:val="left"/>
        <w:rPr>
          <w:rFonts w:hint="eastAsia" w:ascii="黑体" w:hAnsi="黑体" w:eastAsia="黑体"/>
          <w:bCs/>
          <w:kern w:val="0"/>
          <w:sz w:val="32"/>
          <w:szCs w:val="28"/>
          <w:highlight w:val="none"/>
        </w:rPr>
      </w:pPr>
      <w:r>
        <w:rPr>
          <w:rFonts w:hint="eastAsia" w:ascii="黑体" w:hAnsi="黑体" w:eastAsia="黑体"/>
          <w:bCs/>
          <w:kern w:val="0"/>
          <w:sz w:val="32"/>
          <w:szCs w:val="28"/>
          <w:highlight w:val="none"/>
        </w:rPr>
        <w:t>附件2</w:t>
      </w:r>
    </w:p>
    <w:tbl>
      <w:tblPr>
        <w:tblStyle w:val="10"/>
        <w:tblpPr w:leftFromText="180" w:rightFromText="180" w:vertAnchor="text" w:horzAnchor="page" w:tblpX="1495" w:tblpY="569"/>
        <w:tblOverlap w:val="never"/>
        <w:tblW w:w="9173" w:type="dxa"/>
        <w:tblInd w:w="0" w:type="dxa"/>
        <w:tblLayout w:type="fixed"/>
        <w:tblCellMar>
          <w:top w:w="0" w:type="dxa"/>
          <w:left w:w="108" w:type="dxa"/>
          <w:bottom w:w="0" w:type="dxa"/>
          <w:right w:w="108" w:type="dxa"/>
        </w:tblCellMar>
      </w:tblPr>
      <w:tblGrid>
        <w:gridCol w:w="1000"/>
        <w:gridCol w:w="3180"/>
        <w:gridCol w:w="1935"/>
        <w:gridCol w:w="3058"/>
      </w:tblGrid>
      <w:tr>
        <w:tblPrEx>
          <w:tblCellMar>
            <w:top w:w="0" w:type="dxa"/>
            <w:left w:w="108" w:type="dxa"/>
            <w:bottom w:w="0" w:type="dxa"/>
            <w:right w:w="108" w:type="dxa"/>
          </w:tblCellMar>
        </w:tblPrEx>
        <w:trPr>
          <w:trHeight w:val="595" w:hRule="atLeast"/>
          <w:tblHeader/>
        </w:trPr>
        <w:tc>
          <w:tcPr>
            <w:tcW w:w="9173"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720" w:firstLineChars="200"/>
              <w:jc w:val="center"/>
              <w:textAlignment w:val="auto"/>
              <w:rPr>
                <w:rFonts w:ascii="方正小标宋简体" w:hAnsi="宋体" w:eastAsia="方正小标宋简体" w:cs="宋体"/>
                <w:color w:val="000000"/>
                <w:kern w:val="0"/>
                <w:sz w:val="36"/>
                <w:szCs w:val="36"/>
                <w:highlight w:val="none"/>
              </w:rPr>
            </w:pPr>
            <w:r>
              <w:rPr>
                <w:rFonts w:hint="eastAsia" w:ascii="方正小标宋简体" w:hAnsi="宋体" w:eastAsia="方正小标宋简体" w:cs="宋体"/>
                <w:color w:val="000000"/>
                <w:kern w:val="0"/>
                <w:sz w:val="36"/>
                <w:szCs w:val="36"/>
                <w:highlight w:val="none"/>
              </w:rPr>
              <w:t>项目绩效目标完成情况及收支明细表</w:t>
            </w:r>
          </w:p>
        </w:tc>
      </w:tr>
      <w:tr>
        <w:tblPrEx>
          <w:tblCellMar>
            <w:top w:w="0" w:type="dxa"/>
            <w:left w:w="108" w:type="dxa"/>
            <w:bottom w:w="0" w:type="dxa"/>
            <w:right w:w="108" w:type="dxa"/>
          </w:tblCellMar>
        </w:tblPrEx>
        <w:trPr>
          <w:trHeight w:val="454" w:hRule="atLeast"/>
          <w:tblHeader/>
        </w:trPr>
        <w:tc>
          <w:tcPr>
            <w:tcW w:w="418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审核人：</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center"/>
              <w:textAlignment w:val="auto"/>
              <w:rPr>
                <w:rFonts w:hint="eastAsia" w:ascii="宋体" w:hAnsi="宋体" w:cs="宋体"/>
                <w:color w:val="000000"/>
                <w:kern w:val="0"/>
                <w:sz w:val="24"/>
                <w:szCs w:val="24"/>
                <w:highlight w:val="none"/>
              </w:rPr>
            </w:pP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40" w:firstLineChars="200"/>
              <w:jc w:val="center"/>
              <w:textAlignment w:val="auto"/>
              <w:rPr>
                <w:rFonts w:hint="eastAsia" w:ascii="宋体" w:hAnsi="宋体" w:cs="宋体"/>
                <w:color w:val="000000"/>
                <w:kern w:val="0"/>
                <w:sz w:val="22"/>
                <w:highlight w:val="none"/>
              </w:rPr>
            </w:pPr>
            <w:r>
              <w:rPr>
                <w:rFonts w:hint="eastAsia" w:ascii="宋体" w:hAnsi="宋体" w:cs="宋体"/>
                <w:color w:val="000000"/>
                <w:kern w:val="0"/>
                <w:sz w:val="22"/>
                <w:highlight w:val="none"/>
              </w:rPr>
              <w:t>单位：万元</w:t>
            </w:r>
          </w:p>
        </w:tc>
      </w:tr>
      <w:tr>
        <w:tblPrEx>
          <w:tblCellMar>
            <w:top w:w="0" w:type="dxa"/>
            <w:left w:w="108" w:type="dxa"/>
            <w:bottom w:w="0" w:type="dxa"/>
            <w:right w:w="108" w:type="dxa"/>
          </w:tblCellMar>
        </w:tblPrEx>
        <w:trPr>
          <w:trHeight w:val="454" w:hRule="atLeast"/>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绩效目标完成情况</w:t>
            </w: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目标内容</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目标调整情况</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实际完成情况</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开展政策解读会、专题讲座3次</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已完成，共开展4次</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完成重大课题的决策咨询研究，每项重大课题完成至少两篇决策咨询报告，总量不少于20篇</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已完成，总量30篇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报送《乡村振兴简报》20期</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已完成，报送20篇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开展专题研讨、评估论证会5次</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已完成，共开展6次</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完成调研课题≥25项 ，每项课题至少一篇课题研究报告</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总量24篇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完成重点课题及其他课题的决策咨询研究，每项重点课题及其他课题完成至少一篇决策咨询报告，总量不少于15篇</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已完成，总量28篇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开展京郊行活动4次</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已完成，共开展4次</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刊发《乡村振兴简报》10期</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已完成，刊发10篇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按照专咨委委托课题管理办法完成结题验收</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课题研究成果被北京市相关部门采纳，或在供省部级及以上领导参阅的内参上刊发，总量不少于15篇</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已完成，总量37篇</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2024年12月底前完成既定目标</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按时间进度完成支出进度，9月底前完成70%</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支出68.14%，执行率97.34%</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项目总成本≤619.895</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支出599.287，</w:t>
            </w:r>
            <w:r>
              <w:rPr>
                <w:rFonts w:hint="eastAsia" w:ascii="宋体" w:hAnsi="宋体" w:cs="宋体"/>
                <w:i w:val="0"/>
                <w:iCs w:val="0"/>
                <w:color w:val="000000"/>
                <w:kern w:val="0"/>
                <w:sz w:val="22"/>
                <w:szCs w:val="22"/>
                <w:highlight w:val="none"/>
                <w:u w:val="none"/>
                <w:lang w:val="en-US" w:eastAsia="zh-CN" w:bidi="ar"/>
              </w:rPr>
              <w:t>预算调整20.61</w:t>
            </w:r>
            <w:r>
              <w:rPr>
                <w:rFonts w:hint="eastAsia" w:ascii="宋体" w:hAnsi="宋体" w:eastAsia="宋体" w:cs="宋体"/>
                <w:i w:val="0"/>
                <w:iCs w:val="0"/>
                <w:color w:val="000000"/>
                <w:kern w:val="0"/>
                <w:sz w:val="22"/>
                <w:szCs w:val="22"/>
                <w:highlight w:val="none"/>
                <w:u w:val="none"/>
                <w:lang w:val="en-US" w:eastAsia="zh-CN" w:bidi="ar"/>
              </w:rPr>
              <w:t>执行率</w:t>
            </w:r>
            <w:r>
              <w:rPr>
                <w:rFonts w:hint="eastAsia" w:ascii="宋体" w:hAnsi="宋体" w:cs="宋体"/>
                <w:i w:val="0"/>
                <w:iCs w:val="0"/>
                <w:color w:val="000000"/>
                <w:kern w:val="0"/>
                <w:sz w:val="22"/>
                <w:szCs w:val="22"/>
                <w:highlight w:val="none"/>
                <w:u w:val="none"/>
                <w:lang w:val="en-US" w:eastAsia="zh-CN" w:bidi="ar"/>
              </w:rPr>
              <w:t>100</w:t>
            </w:r>
            <w:r>
              <w:rPr>
                <w:rFonts w:hint="eastAsia" w:ascii="宋体" w:hAnsi="宋体" w:eastAsia="宋体" w:cs="宋体"/>
                <w:i w:val="0"/>
                <w:iCs w:val="0"/>
                <w:color w:val="000000"/>
                <w:kern w:val="0"/>
                <w:sz w:val="22"/>
                <w:szCs w:val="22"/>
                <w:highlight w:val="none"/>
                <w:u w:val="none"/>
                <w:lang w:val="en-US" w:eastAsia="zh-CN" w:bidi="ar"/>
              </w:rPr>
              <w:t>%</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为涉农区“三农”发展实践提供专家意见建议</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为涉农部门开展工作及制定政策提供智力支撑</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持续开展智库建设</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auto"/>
                <w:kern w:val="0"/>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相关部门对于专家咨询委员会工作的满意度</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p>
        </w:tc>
        <w:tc>
          <w:tcPr>
            <w:tcW w:w="31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cs="宋体"/>
                <w:color w:val="auto"/>
                <w:kern w:val="0"/>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相关涉农区对于专咨委工作的满意度</w:t>
            </w:r>
          </w:p>
        </w:tc>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4"/>
                <w:szCs w:val="24"/>
                <w:highlight w:val="none"/>
              </w:rPr>
            </w:pPr>
            <w:r>
              <w:rPr>
                <w:rFonts w:hint="eastAsia" w:ascii="宋体" w:hAnsi="宋体" w:eastAsia="宋体" w:cs="宋体"/>
                <w:i w:val="0"/>
                <w:iCs w:val="0"/>
                <w:color w:val="auto"/>
                <w:kern w:val="0"/>
                <w:sz w:val="22"/>
                <w:szCs w:val="22"/>
                <w:highlight w:val="none"/>
                <w:u w:val="none"/>
                <w:lang w:val="en-US" w:eastAsia="zh-CN" w:bidi="ar"/>
              </w:rPr>
              <w:t>无</w:t>
            </w:r>
          </w:p>
        </w:tc>
        <w:tc>
          <w:tcPr>
            <w:tcW w:w="3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auto"/>
                <w:kern w:val="0"/>
                <w:sz w:val="22"/>
                <w:highlight w:val="none"/>
              </w:rPr>
            </w:pPr>
            <w:r>
              <w:rPr>
                <w:rFonts w:hint="eastAsia" w:ascii="宋体" w:hAnsi="宋体" w:eastAsia="宋体" w:cs="宋体"/>
                <w:i w:val="0"/>
                <w:iCs w:val="0"/>
                <w:color w:val="auto"/>
                <w:kern w:val="0"/>
                <w:sz w:val="22"/>
                <w:szCs w:val="22"/>
                <w:highlight w:val="none"/>
                <w:u w:val="none"/>
                <w:lang w:val="en-US" w:eastAsia="zh-CN" w:bidi="ar"/>
              </w:rPr>
              <w:t>已完成</w:t>
            </w:r>
          </w:p>
        </w:tc>
      </w:tr>
      <w:tr>
        <w:tblPrEx>
          <w:tblCellMar>
            <w:top w:w="0" w:type="dxa"/>
            <w:left w:w="108" w:type="dxa"/>
            <w:bottom w:w="0" w:type="dxa"/>
            <w:right w:w="108" w:type="dxa"/>
          </w:tblCellMar>
        </w:tblPrEx>
        <w:trPr>
          <w:trHeight w:val="359" w:hRule="atLeast"/>
        </w:trPr>
        <w:tc>
          <w:tcPr>
            <w:tcW w:w="10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资金到位情况</w:t>
            </w:r>
          </w:p>
        </w:tc>
        <w:tc>
          <w:tcPr>
            <w:tcW w:w="31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项目资金</w:t>
            </w:r>
          </w:p>
        </w:tc>
        <w:tc>
          <w:tcPr>
            <w:tcW w:w="19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预算批复数</w:t>
            </w:r>
          </w:p>
        </w:tc>
        <w:tc>
          <w:tcPr>
            <w:tcW w:w="30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highlight w:val="none"/>
              </w:rPr>
            </w:pPr>
            <w:r>
              <w:rPr>
                <w:rFonts w:hint="eastAsia" w:ascii="宋体" w:hAnsi="宋体" w:cs="宋体"/>
                <w:color w:val="000000"/>
                <w:kern w:val="0"/>
                <w:sz w:val="22"/>
                <w:highlight w:val="none"/>
              </w:rPr>
              <w:t>资金到位情况</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财政拨款</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highlight w:val="none"/>
              </w:rPr>
              <w:t>599.29</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highlight w:val="none"/>
              </w:rPr>
              <w:t>599.29</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项目单位自筹资金</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0.00</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0.00</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其他资金</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0.00</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szCs w:val="22"/>
                <w:highlight w:val="none"/>
                <w:lang w:val="en-US" w:eastAsia="zh-CN"/>
              </w:rPr>
              <w:t>0.00</w:t>
            </w:r>
          </w:p>
        </w:tc>
      </w:tr>
      <w:tr>
        <w:tblPrEx>
          <w:tblCellMar>
            <w:top w:w="0" w:type="dxa"/>
            <w:left w:w="108" w:type="dxa"/>
            <w:bottom w:w="0" w:type="dxa"/>
            <w:right w:w="108" w:type="dxa"/>
          </w:tblCellMar>
        </w:tblPrEx>
        <w:trPr>
          <w:trHeight w:val="454" w:hRule="atLeast"/>
        </w:trPr>
        <w:tc>
          <w:tcPr>
            <w:tcW w:w="10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合计</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szCs w:val="22"/>
                <w:highlight w:val="none"/>
                <w:lang w:val="en-US" w:eastAsia="zh-CN"/>
              </w:rPr>
            </w:pPr>
            <w:r>
              <w:rPr>
                <w:rFonts w:hint="eastAsia" w:ascii="宋体" w:hAnsi="宋体" w:cs="宋体"/>
                <w:color w:val="000000"/>
                <w:kern w:val="0"/>
                <w:sz w:val="22"/>
                <w:highlight w:val="none"/>
              </w:rPr>
              <w:t>599.29</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szCs w:val="22"/>
                <w:highlight w:val="none"/>
                <w:lang w:val="en-US" w:eastAsia="zh-CN"/>
              </w:rPr>
            </w:pPr>
            <w:r>
              <w:rPr>
                <w:rFonts w:hint="eastAsia" w:ascii="宋体" w:hAnsi="宋体" w:cs="宋体"/>
                <w:color w:val="000000"/>
                <w:kern w:val="0"/>
                <w:sz w:val="22"/>
                <w:highlight w:val="none"/>
              </w:rPr>
              <w:t>599.29</w:t>
            </w:r>
          </w:p>
        </w:tc>
      </w:tr>
      <w:tr>
        <w:tblPrEx>
          <w:tblCellMar>
            <w:top w:w="0" w:type="dxa"/>
            <w:left w:w="108" w:type="dxa"/>
            <w:bottom w:w="0" w:type="dxa"/>
            <w:right w:w="108" w:type="dxa"/>
          </w:tblCellMar>
        </w:tblPrEx>
        <w:trPr>
          <w:trHeight w:val="454" w:hRule="atLeast"/>
        </w:trPr>
        <w:tc>
          <w:tcPr>
            <w:tcW w:w="1000" w:type="dxa"/>
            <w:vMerge w:val="restart"/>
            <w:tcBorders>
              <w:top w:val="nil"/>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资金支出情况</w:t>
            </w: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项目预算支出明细</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预算批复数</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color w:val="000000"/>
                <w:kern w:val="0"/>
                <w:sz w:val="22"/>
                <w:highlight w:val="none"/>
              </w:rPr>
            </w:pPr>
            <w:r>
              <w:rPr>
                <w:rFonts w:hint="eastAsia" w:ascii="宋体" w:hAnsi="宋体" w:cs="宋体"/>
                <w:color w:val="000000"/>
                <w:kern w:val="0"/>
                <w:sz w:val="22"/>
                <w:highlight w:val="none"/>
              </w:rPr>
              <w:t>实际支出数</w:t>
            </w:r>
          </w:p>
        </w:tc>
      </w:tr>
      <w:tr>
        <w:tblPrEx>
          <w:tblCellMar>
            <w:top w:w="0" w:type="dxa"/>
            <w:left w:w="108" w:type="dxa"/>
            <w:bottom w:w="0" w:type="dxa"/>
            <w:right w:w="108" w:type="dxa"/>
          </w:tblCellMar>
        </w:tblPrEx>
        <w:trPr>
          <w:trHeight w:val="531" w:hRule="atLeast"/>
        </w:trPr>
        <w:tc>
          <w:tcPr>
            <w:tcW w:w="1000"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委托业务费</w:t>
            </w:r>
            <w:r>
              <w:rPr>
                <w:rFonts w:hint="eastAsia" w:ascii="宋体" w:hAnsi="宋体" w:cs="宋体"/>
                <w:i w:val="0"/>
                <w:iCs w:val="0"/>
                <w:color w:val="000000"/>
                <w:kern w:val="0"/>
                <w:sz w:val="22"/>
                <w:szCs w:val="22"/>
                <w:highlight w:val="none"/>
                <w:u w:val="none"/>
                <w:lang w:val="en-US" w:eastAsia="zh-CN" w:bidi="ar"/>
              </w:rPr>
              <w:t>、印刷费、其他商品和服务支出等</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599.29</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color w:val="000000"/>
                <w:kern w:val="0"/>
                <w:sz w:val="24"/>
                <w:szCs w:val="24"/>
                <w:highlight w:val="none"/>
              </w:rPr>
            </w:pPr>
            <w:r>
              <w:rPr>
                <w:rFonts w:hint="eastAsia" w:ascii="宋体" w:hAnsi="宋体" w:eastAsia="宋体" w:cs="宋体"/>
                <w:i w:val="0"/>
                <w:iCs w:val="0"/>
                <w:color w:val="000000"/>
                <w:kern w:val="0"/>
                <w:sz w:val="22"/>
                <w:szCs w:val="22"/>
                <w:highlight w:val="none"/>
                <w:u w:val="none"/>
                <w:lang w:val="en-US" w:eastAsia="zh-CN" w:bidi="ar"/>
              </w:rPr>
              <w:t>599.29</w:t>
            </w:r>
          </w:p>
        </w:tc>
      </w:tr>
      <w:tr>
        <w:tblPrEx>
          <w:tblCellMar>
            <w:top w:w="0" w:type="dxa"/>
            <w:left w:w="108" w:type="dxa"/>
            <w:bottom w:w="0" w:type="dxa"/>
            <w:right w:w="108" w:type="dxa"/>
          </w:tblCellMar>
        </w:tblPrEx>
        <w:trPr>
          <w:trHeight w:val="454" w:hRule="atLeast"/>
        </w:trPr>
        <w:tc>
          <w:tcPr>
            <w:tcW w:w="1000"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480" w:firstLineChars="200"/>
              <w:jc w:val="left"/>
              <w:textAlignment w:val="auto"/>
              <w:rPr>
                <w:rFonts w:ascii="宋体" w:hAnsi="宋体" w:cs="宋体"/>
                <w:color w:val="000000"/>
                <w:kern w:val="0"/>
                <w:sz w:val="24"/>
                <w:szCs w:val="24"/>
                <w:highlight w:val="none"/>
              </w:rPr>
            </w:pPr>
          </w:p>
        </w:tc>
        <w:tc>
          <w:tcPr>
            <w:tcW w:w="318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合计</w:t>
            </w:r>
          </w:p>
        </w:tc>
        <w:tc>
          <w:tcPr>
            <w:tcW w:w="193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599.29</w:t>
            </w:r>
          </w:p>
        </w:tc>
        <w:tc>
          <w:tcPr>
            <w:tcW w:w="30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599.29</w:t>
            </w:r>
          </w:p>
        </w:tc>
      </w:tr>
      <w:tr>
        <w:tblPrEx>
          <w:tblCellMar>
            <w:top w:w="0" w:type="dxa"/>
            <w:left w:w="108" w:type="dxa"/>
            <w:bottom w:w="0" w:type="dxa"/>
            <w:right w:w="108" w:type="dxa"/>
          </w:tblCellMar>
        </w:tblPrEx>
        <w:trPr>
          <w:trHeight w:val="960" w:hRule="atLeast"/>
        </w:trPr>
        <w:tc>
          <w:tcPr>
            <w:tcW w:w="9173" w:type="dxa"/>
            <w:gridSpan w:val="4"/>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000000"/>
                <w:kern w:val="0"/>
                <w:sz w:val="22"/>
                <w:highlight w:val="none"/>
              </w:rPr>
            </w:pPr>
            <w:r>
              <w:rPr>
                <w:rFonts w:hint="eastAsia" w:ascii="宋体" w:hAnsi="宋体" w:cs="宋体"/>
                <w:color w:val="000000"/>
                <w:kern w:val="0"/>
                <w:sz w:val="22"/>
                <w:highlight w:val="none"/>
              </w:rPr>
              <w:t>注：1.预算批复数为项目年度批复的预算数，包含年初批复和年中的追加核减数；</w:t>
            </w:r>
            <w:r>
              <w:rPr>
                <w:rFonts w:hint="eastAsia" w:ascii="宋体" w:hAnsi="宋体" w:cs="宋体"/>
                <w:color w:val="000000"/>
                <w:kern w:val="0"/>
                <w:sz w:val="22"/>
                <w:highlight w:val="none"/>
              </w:rPr>
              <w:br w:type="textWrapping"/>
            </w:r>
            <w:r>
              <w:rPr>
                <w:rFonts w:hint="eastAsia" w:ascii="宋体" w:hAnsi="宋体" w:cs="宋体"/>
                <w:color w:val="000000"/>
                <w:kern w:val="0"/>
                <w:sz w:val="22"/>
                <w:highlight w:val="none"/>
              </w:rPr>
              <w:t xml:space="preserve">  </w:t>
            </w:r>
            <w:r>
              <w:rPr>
                <w:rFonts w:hint="eastAsia" w:ascii="宋体" w:hAnsi="宋体" w:cs="宋体"/>
                <w:color w:val="000000"/>
                <w:kern w:val="0"/>
                <w:sz w:val="22"/>
                <w:highlight w:val="none"/>
                <w:lang w:val="en-US" w:eastAsia="zh-CN"/>
              </w:rPr>
              <w:t xml:space="preserve"> </w:t>
            </w:r>
            <w:r>
              <w:rPr>
                <w:rFonts w:hint="eastAsia" w:ascii="宋体" w:hAnsi="宋体" w:cs="宋体"/>
                <w:color w:val="000000"/>
                <w:kern w:val="0"/>
                <w:sz w:val="22"/>
                <w:highlight w:val="none"/>
              </w:rPr>
              <w:t xml:space="preserve"> 2.实际支出数是指对应项目明细的实际支出数；</w:t>
            </w:r>
            <w:r>
              <w:rPr>
                <w:rFonts w:hint="eastAsia" w:ascii="宋体" w:hAnsi="宋体" w:cs="宋体"/>
                <w:color w:val="000000"/>
                <w:kern w:val="0"/>
                <w:sz w:val="22"/>
                <w:highlight w:val="none"/>
              </w:rPr>
              <w:br w:type="textWrapping"/>
            </w:r>
            <w:r>
              <w:rPr>
                <w:rFonts w:hint="eastAsia" w:ascii="宋体" w:hAnsi="宋体" w:cs="宋体"/>
                <w:color w:val="000000"/>
                <w:kern w:val="0"/>
                <w:sz w:val="22"/>
                <w:highlight w:val="none"/>
              </w:rPr>
              <w:t xml:space="preserve"> </w:t>
            </w:r>
            <w:r>
              <w:rPr>
                <w:rFonts w:hint="eastAsia" w:ascii="宋体" w:hAnsi="宋体" w:cs="宋体"/>
                <w:color w:val="000000"/>
                <w:kern w:val="0"/>
                <w:sz w:val="22"/>
                <w:highlight w:val="none"/>
                <w:lang w:val="en-US" w:eastAsia="zh-CN"/>
              </w:rPr>
              <w:t xml:space="preserve"> </w:t>
            </w:r>
            <w:r>
              <w:rPr>
                <w:rFonts w:hint="eastAsia" w:ascii="宋体" w:hAnsi="宋体" w:cs="宋体"/>
                <w:color w:val="000000"/>
                <w:kern w:val="0"/>
                <w:sz w:val="22"/>
                <w:highlight w:val="none"/>
              </w:rPr>
              <w:t xml:space="preserve">  3.表中数据以单位实际账面数据为准，保留小数点后两位数字。</w:t>
            </w:r>
          </w:p>
        </w:tc>
      </w:tr>
      <w:bookmarkEnd w:id="46"/>
    </w:tbl>
    <w:p>
      <w:pPr>
        <w:spacing w:line="560" w:lineRule="exact"/>
        <w:ind w:firstLine="640" w:firstLineChars="200"/>
        <w:jc w:val="left"/>
        <w:rPr>
          <w:rFonts w:ascii="黑体" w:hAnsi="黑体" w:eastAsia="黑体"/>
          <w:bCs/>
          <w:kern w:val="0"/>
          <w:sz w:val="32"/>
          <w:szCs w:val="28"/>
          <w:highlight w:val="none"/>
        </w:rPr>
        <w:sectPr>
          <w:footerReference r:id="rId5" w:type="default"/>
          <w:pgSz w:w="11906" w:h="16838"/>
          <w:pgMar w:top="2098" w:right="1474" w:bottom="1985" w:left="1588" w:header="851" w:footer="992" w:gutter="0"/>
          <w:pgBorders>
            <w:top w:val="none" w:sz="0" w:space="0"/>
            <w:left w:val="none" w:sz="0" w:space="0"/>
            <w:bottom w:val="none" w:sz="0" w:space="0"/>
            <w:right w:val="none" w:sz="0" w:space="0"/>
          </w:pgBorders>
          <w:cols w:space="720" w:num="1"/>
          <w:docGrid w:type="linesAndChars" w:linePitch="312" w:charSpace="0"/>
        </w:sectPr>
      </w:pPr>
    </w:p>
    <w:p>
      <w:pPr>
        <w:spacing w:line="560" w:lineRule="exact"/>
        <w:jc w:val="left"/>
        <w:rPr>
          <w:rFonts w:hint="default" w:ascii="黑体" w:hAnsi="黑体" w:eastAsia="黑体"/>
          <w:bCs/>
          <w:kern w:val="0"/>
          <w:sz w:val="32"/>
          <w:szCs w:val="28"/>
          <w:highlight w:val="none"/>
          <w:lang w:val="en-US" w:eastAsia="zh-CN"/>
        </w:rPr>
      </w:pPr>
      <w:r>
        <w:rPr>
          <w:rFonts w:hint="eastAsia" w:ascii="黑体" w:hAnsi="黑体" w:eastAsia="黑体"/>
          <w:bCs/>
          <w:kern w:val="0"/>
          <w:sz w:val="32"/>
          <w:szCs w:val="28"/>
          <w:highlight w:val="none"/>
          <w:lang w:val="en-US" w:eastAsia="zh-CN"/>
        </w:rPr>
        <w:t>附件3</w:t>
      </w:r>
    </w:p>
    <w:p>
      <w:pPr>
        <w:spacing w:line="560" w:lineRule="exact"/>
        <w:ind w:firstLine="722" w:firstLineChars="200"/>
        <w:jc w:val="center"/>
        <w:outlineLvl w:val="9"/>
        <w:rPr>
          <w:rFonts w:ascii="仿宋_GB2312" w:eastAsia="黑体"/>
          <w:b/>
          <w:bCs/>
          <w:sz w:val="36"/>
          <w:szCs w:val="36"/>
          <w:highlight w:val="none"/>
        </w:rPr>
      </w:pPr>
    </w:p>
    <w:p>
      <w:pPr>
        <w:spacing w:line="560" w:lineRule="exact"/>
        <w:ind w:firstLine="722" w:firstLineChars="200"/>
        <w:jc w:val="center"/>
        <w:outlineLvl w:val="9"/>
        <w:rPr>
          <w:rFonts w:ascii="仿宋_GB2312" w:eastAsia="黑体"/>
          <w:b/>
          <w:bCs/>
          <w:sz w:val="36"/>
          <w:szCs w:val="36"/>
          <w:highlight w:val="none"/>
        </w:rPr>
      </w:pPr>
    </w:p>
    <w:p>
      <w:pPr>
        <w:spacing w:line="560" w:lineRule="exact"/>
        <w:ind w:firstLine="722" w:firstLineChars="200"/>
        <w:jc w:val="center"/>
        <w:outlineLvl w:val="9"/>
        <w:rPr>
          <w:rFonts w:ascii="仿宋_GB2312" w:eastAsia="黑体"/>
          <w:b/>
          <w:bCs/>
          <w:sz w:val="36"/>
          <w:szCs w:val="36"/>
          <w:highlight w:val="none"/>
        </w:rPr>
      </w:pPr>
    </w:p>
    <w:p>
      <w:pPr>
        <w:spacing w:line="360" w:lineRule="auto"/>
        <w:jc w:val="center"/>
        <w:outlineLvl w:val="9"/>
        <w:rPr>
          <w:rFonts w:ascii="仿宋_GB2312" w:eastAsia="黑体"/>
          <w:b/>
          <w:bCs/>
          <w:sz w:val="36"/>
          <w:szCs w:val="36"/>
          <w:highlight w:val="none"/>
        </w:rPr>
      </w:pPr>
    </w:p>
    <w:p>
      <w:pPr>
        <w:spacing w:line="360" w:lineRule="auto"/>
        <w:jc w:val="center"/>
        <w:outlineLvl w:val="0"/>
        <w:rPr>
          <w:rFonts w:hint="eastAsia" w:ascii="仿宋_GB2312" w:eastAsia="黑体"/>
          <w:b/>
          <w:bCs/>
          <w:sz w:val="36"/>
          <w:szCs w:val="36"/>
          <w:highlight w:val="none"/>
          <w:lang w:eastAsia="zh-CN"/>
        </w:rPr>
      </w:pPr>
      <w:r>
        <w:rPr>
          <w:rFonts w:hint="eastAsia" w:ascii="仿宋_GB2312" w:eastAsia="黑体"/>
          <w:b/>
          <w:bCs/>
          <w:sz w:val="36"/>
          <w:szCs w:val="36"/>
          <w:highlight w:val="none"/>
        </w:rPr>
        <w:t>北京市项目支出绩效评价</w:t>
      </w:r>
    </w:p>
    <w:p>
      <w:pPr>
        <w:spacing w:line="360" w:lineRule="auto"/>
        <w:jc w:val="center"/>
        <w:outlineLvl w:val="0"/>
        <w:rPr>
          <w:rFonts w:hint="eastAsia" w:ascii="黑体" w:eastAsia="黑体"/>
          <w:b/>
          <w:spacing w:val="20"/>
          <w:sz w:val="36"/>
          <w:szCs w:val="36"/>
          <w:highlight w:val="none"/>
          <w:lang w:eastAsia="zh-CN"/>
        </w:rPr>
      </w:pPr>
      <w:r>
        <w:rPr>
          <w:rFonts w:hint="eastAsia" w:ascii="黑体" w:eastAsia="黑体"/>
          <w:b/>
          <w:spacing w:val="20"/>
          <w:sz w:val="36"/>
          <w:szCs w:val="36"/>
          <w:highlight w:val="none"/>
        </w:rPr>
        <w:t>专家意见汇总书</w:t>
      </w:r>
    </w:p>
    <w:p>
      <w:pPr>
        <w:pStyle w:val="5"/>
        <w:rPr>
          <w:rFonts w:hint="eastAsia"/>
          <w:highlight w:val="none"/>
          <w:lang w:eastAsia="zh-CN"/>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pacing w:line="360" w:lineRule="auto"/>
        <w:ind w:firstLine="960"/>
        <w:jc w:val="center"/>
        <w:rPr>
          <w:rFonts w:ascii="黑体" w:eastAsia="黑体"/>
          <w:sz w:val="48"/>
          <w:szCs w:val="48"/>
          <w:highlight w:val="none"/>
        </w:rPr>
      </w:pPr>
    </w:p>
    <w:p>
      <w:pPr>
        <w:snapToGrid w:val="0"/>
        <w:spacing w:line="420" w:lineRule="auto"/>
        <w:ind w:right="120" w:firstLine="1420" w:firstLineChars="592"/>
        <w:rPr>
          <w:rFonts w:ascii="宋体" w:hAnsi="宋体"/>
          <w:sz w:val="24"/>
          <w:highlight w:val="none"/>
          <w:u w:val="single"/>
        </w:rPr>
      </w:pPr>
      <w:r>
        <w:rPr>
          <w:rFonts w:hint="eastAsia" w:ascii="宋体" w:hAnsi="宋体"/>
          <w:sz w:val="24"/>
          <w:highlight w:val="none"/>
        </w:rPr>
        <w:t>项目名称：</w:t>
      </w:r>
      <w:r>
        <w:rPr>
          <w:rFonts w:ascii="宋体" w:hAnsi="宋体"/>
          <w:sz w:val="24"/>
          <w:highlight w:val="none"/>
          <w:u w:val="single"/>
        </w:rPr>
        <w:t xml:space="preserve"> </w:t>
      </w:r>
      <w:r>
        <w:rPr>
          <w:rFonts w:hint="eastAsia" w:ascii="宋体" w:hAnsi="宋体"/>
          <w:sz w:val="24"/>
          <w:highlight w:val="none"/>
          <w:u w:val="single"/>
        </w:rPr>
        <w:t xml:space="preserve">     北京市乡村振兴专家咨询委员会专项经费 </w:t>
      </w:r>
      <w:r>
        <w:rPr>
          <w:rFonts w:ascii="宋体" w:hAnsi="宋体"/>
          <w:sz w:val="24"/>
          <w:highlight w:val="none"/>
          <w:u w:val="single"/>
        </w:rPr>
        <w:t xml:space="preserve"> </w:t>
      </w:r>
      <w:r>
        <w:rPr>
          <w:rFonts w:hint="eastAsia" w:ascii="宋体" w:hAnsi="宋体"/>
          <w:sz w:val="24"/>
          <w:highlight w:val="none"/>
          <w:u w:val="single"/>
        </w:rPr>
        <w:t xml:space="preserve">   </w:t>
      </w:r>
    </w:p>
    <w:p>
      <w:pPr>
        <w:snapToGrid w:val="0"/>
        <w:spacing w:line="420" w:lineRule="auto"/>
        <w:ind w:right="120" w:firstLine="1420" w:firstLineChars="592"/>
        <w:rPr>
          <w:rFonts w:hint="eastAsia" w:ascii="宋体" w:hAnsi="宋体" w:eastAsia="宋体"/>
          <w:sz w:val="24"/>
          <w:highlight w:val="none"/>
          <w:lang w:val="en-US" w:eastAsia="zh-CN"/>
        </w:rPr>
      </w:pPr>
      <w:r>
        <w:rPr>
          <w:rFonts w:hint="eastAsia" w:ascii="宋体" w:hAnsi="宋体"/>
          <w:sz w:val="24"/>
          <w:highlight w:val="none"/>
        </w:rPr>
        <w:t>项目单位：</w:t>
      </w:r>
      <w:r>
        <w:rPr>
          <w:rFonts w:hint="eastAsia" w:ascii="宋体" w:hAnsi="宋体"/>
          <w:sz w:val="24"/>
          <w:highlight w:val="none"/>
          <w:u w:val="single"/>
        </w:rPr>
        <w:t xml:space="preserve">         北京市农村经济研究中心机关</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p>
    <w:p>
      <w:pPr>
        <w:snapToGrid w:val="0"/>
        <w:spacing w:line="420" w:lineRule="auto"/>
        <w:ind w:right="120" w:firstLine="1420" w:firstLineChars="592"/>
        <w:rPr>
          <w:rFonts w:hint="eastAsia" w:ascii="宋体" w:hAnsi="宋体" w:eastAsia="宋体"/>
          <w:sz w:val="24"/>
          <w:highlight w:val="none"/>
          <w:u w:val="single"/>
          <w:lang w:val="en-US" w:eastAsia="zh-CN"/>
        </w:rPr>
      </w:pPr>
      <w:r>
        <w:rPr>
          <w:rFonts w:hint="eastAsia" w:ascii="宋体" w:hAnsi="宋体"/>
          <w:sz w:val="24"/>
          <w:highlight w:val="none"/>
        </w:rPr>
        <w:t>主管部门：</w:t>
      </w:r>
      <w:r>
        <w:rPr>
          <w:rFonts w:hint="eastAsia" w:ascii="宋体" w:hAnsi="宋体"/>
          <w:sz w:val="24"/>
          <w:highlight w:val="none"/>
          <w:u w:val="single"/>
        </w:rPr>
        <w:t xml:space="preserve">           北京市农村经济研究中心     </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p>
    <w:p>
      <w:pPr>
        <w:snapToGrid w:val="0"/>
        <w:spacing w:line="420" w:lineRule="auto"/>
        <w:ind w:firstLine="1440" w:firstLineChars="600"/>
        <w:rPr>
          <w:rFonts w:ascii="宋体" w:hAnsi="宋体"/>
          <w:sz w:val="24"/>
          <w:highlight w:val="none"/>
        </w:rPr>
      </w:pPr>
      <w:r>
        <w:rPr>
          <w:rFonts w:hint="eastAsia" w:ascii="宋体" w:hAnsi="宋体"/>
          <w:sz w:val="24"/>
          <w:highlight w:val="none"/>
        </w:rPr>
        <w:t>评价时间：</w:t>
      </w:r>
      <w:r>
        <w:rPr>
          <w:rFonts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ascii="宋体" w:hAnsi="宋体"/>
          <w:sz w:val="24"/>
          <w:highlight w:val="none"/>
          <w:u w:val="single"/>
        </w:rPr>
        <w:t xml:space="preserve"> 202</w:t>
      </w:r>
      <w:r>
        <w:rPr>
          <w:rFonts w:hint="eastAsia" w:ascii="宋体" w:hAnsi="宋体"/>
          <w:sz w:val="24"/>
          <w:highlight w:val="none"/>
          <w:u w:val="single"/>
          <w:lang w:val="en-US" w:eastAsia="zh-CN"/>
        </w:rPr>
        <w:t>4</w:t>
      </w: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5</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9</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w:t>
      </w:r>
    </w:p>
    <w:p>
      <w:pPr>
        <w:spacing w:line="560" w:lineRule="exact"/>
        <w:ind w:firstLine="421" w:firstLineChars="200"/>
        <w:rPr>
          <w:b/>
          <w:bCs/>
          <w:highlight w:val="none"/>
        </w:rPr>
      </w:pPr>
    </w:p>
    <w:p>
      <w:pPr>
        <w:spacing w:line="560" w:lineRule="exact"/>
        <w:ind w:firstLine="421" w:firstLineChars="200"/>
        <w:rPr>
          <w:b/>
          <w:bCs/>
          <w:highlight w:val="none"/>
        </w:rPr>
      </w:pPr>
    </w:p>
    <w:p>
      <w:pPr>
        <w:spacing w:line="560" w:lineRule="exact"/>
        <w:ind w:firstLine="642" w:firstLineChars="200"/>
        <w:jc w:val="center"/>
        <w:rPr>
          <w:rFonts w:ascii="黑体" w:hAnsi="黑体" w:eastAsia="黑体" w:cs="黑体"/>
          <w:b/>
          <w:sz w:val="32"/>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0" w:firstLineChars="0"/>
        <w:jc w:val="left"/>
        <w:rPr>
          <w:rFonts w:ascii="黑体" w:hAnsi="黑体" w:eastAsia="黑体" w:cs="黑体"/>
          <w:b/>
          <w:sz w:val="32"/>
          <w:highlight w:val="none"/>
        </w:rPr>
      </w:pPr>
      <w:r>
        <w:rPr>
          <w:rFonts w:hint="eastAsia" w:ascii="仿宋_GB2312" w:hAnsi="仿宋_GB2312" w:eastAsia="仿宋_GB2312" w:cs="仿宋_GB2312"/>
          <w:b/>
          <w:bCs/>
          <w:color w:val="000000"/>
          <w:kern w:val="0"/>
          <w:sz w:val="32"/>
          <w:szCs w:val="32"/>
          <w:highlight w:val="none"/>
        </w:rPr>
        <w:t>一、专家评分汇总表</w:t>
      </w:r>
    </w:p>
    <w:tbl>
      <w:tblPr>
        <w:tblStyle w:val="10"/>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2740"/>
        <w:gridCol w:w="837"/>
        <w:gridCol w:w="1142"/>
        <w:gridCol w:w="1230"/>
        <w:gridCol w:w="118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4318" w:type="dxa"/>
            <w:gridSpan w:val="3"/>
            <w:vAlign w:val="center"/>
          </w:tcPr>
          <w:p>
            <w:pPr>
              <w:widowControl/>
              <w:jc w:val="center"/>
              <w:rPr>
                <w:rFonts w:hint="eastAsia" w:ascii="仿宋_GB2312" w:hAnsi="仿宋_GB2312" w:eastAsia="仿宋_GB2312" w:cs="仿宋_GB2312"/>
                <w:b/>
                <w:bCs/>
                <w:color w:val="000000"/>
                <w:kern w:val="0"/>
                <w:sz w:val="24"/>
                <w:highlight w:val="none"/>
              </w:rPr>
            </w:pPr>
            <w:r>
              <w:rPr>
                <w:rFonts w:hint="eastAsia" w:ascii="仿宋_GB2312" w:hAnsi="仿宋_GB2312" w:eastAsia="仿宋_GB2312" w:cs="仿宋_GB2312"/>
                <w:b/>
                <w:bCs/>
                <w:color w:val="000000"/>
                <w:kern w:val="0"/>
                <w:sz w:val="24"/>
                <w:highlight w:val="none"/>
              </w:rPr>
              <w:t>评价指标及分值</w:t>
            </w:r>
          </w:p>
        </w:tc>
        <w:tc>
          <w:tcPr>
            <w:tcW w:w="4740" w:type="dxa"/>
            <w:gridSpan w:val="4"/>
            <w:vAlign w:val="center"/>
          </w:tcPr>
          <w:p>
            <w:pPr>
              <w:widowControl/>
              <w:jc w:val="center"/>
              <w:rPr>
                <w:rFonts w:hint="eastAsia" w:ascii="仿宋_GB2312" w:hAnsi="仿宋_GB2312" w:eastAsia="仿宋_GB2312" w:cs="仿宋_GB2312"/>
                <w:b/>
                <w:bCs/>
                <w:color w:val="000000"/>
                <w:kern w:val="0"/>
                <w:sz w:val="24"/>
                <w:highlight w:val="none"/>
              </w:rPr>
            </w:pPr>
            <w:r>
              <w:rPr>
                <w:rFonts w:hint="eastAsia" w:ascii="仿宋_GB2312" w:hAnsi="仿宋_GB2312" w:eastAsia="仿宋_GB2312" w:cs="仿宋_GB2312"/>
                <w:b/>
                <w:bCs/>
                <w:color w:val="000000"/>
                <w:kern w:val="0"/>
                <w:sz w:val="24"/>
                <w:highlight w:val="none"/>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3481" w:type="dxa"/>
            <w:gridSpan w:val="2"/>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评价指标</w:t>
            </w:r>
          </w:p>
        </w:tc>
        <w:tc>
          <w:tcPr>
            <w:tcW w:w="837" w:type="dxa"/>
            <w:vAlign w:val="center"/>
          </w:tcPr>
          <w:p>
            <w:pPr>
              <w:widowControl/>
              <w:jc w:val="center"/>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分值</w:t>
            </w:r>
          </w:p>
        </w:tc>
        <w:tc>
          <w:tcPr>
            <w:tcW w:w="1142" w:type="dxa"/>
            <w:vAlign w:val="center"/>
          </w:tcPr>
          <w:p>
            <w:pPr>
              <w:widowControl/>
              <w:jc w:val="center"/>
              <w:rPr>
                <w:rFonts w:ascii="仿宋_GB2312" w:hAnsi="仿宋_GB2312" w:eastAsia="仿宋_GB2312" w:cs="仿宋_GB2312"/>
                <w:b/>
                <w:bCs/>
                <w:color w:val="000000"/>
                <w:kern w:val="0"/>
                <w:sz w:val="24"/>
                <w:highlight w:val="none"/>
              </w:rPr>
            </w:pPr>
            <w:r>
              <w:rPr>
                <w:rFonts w:hint="eastAsia" w:ascii="仿宋_GB2312" w:hAnsi="仿宋_GB2312" w:eastAsia="仿宋_GB2312" w:cs="仿宋_GB2312"/>
                <w:b/>
                <w:bCs/>
                <w:color w:val="000000"/>
                <w:kern w:val="0"/>
                <w:sz w:val="24"/>
                <w:highlight w:val="none"/>
              </w:rPr>
              <w:t>专家1</w:t>
            </w:r>
          </w:p>
        </w:tc>
        <w:tc>
          <w:tcPr>
            <w:tcW w:w="1230" w:type="dxa"/>
            <w:vAlign w:val="center"/>
          </w:tcPr>
          <w:p>
            <w:pPr>
              <w:widowControl/>
              <w:jc w:val="center"/>
              <w:rPr>
                <w:rFonts w:ascii="仿宋_GB2312" w:hAnsi="仿宋_GB2312" w:eastAsia="仿宋_GB2312" w:cs="仿宋_GB2312"/>
                <w:b/>
                <w:bCs/>
                <w:color w:val="000000"/>
                <w:kern w:val="0"/>
                <w:sz w:val="24"/>
                <w:highlight w:val="none"/>
              </w:rPr>
            </w:pPr>
            <w:r>
              <w:rPr>
                <w:rFonts w:hint="eastAsia" w:ascii="仿宋_GB2312" w:hAnsi="仿宋_GB2312" w:eastAsia="仿宋_GB2312" w:cs="仿宋_GB2312"/>
                <w:b/>
                <w:bCs/>
                <w:color w:val="000000"/>
                <w:kern w:val="0"/>
                <w:sz w:val="24"/>
                <w:highlight w:val="none"/>
              </w:rPr>
              <w:t>专家2</w:t>
            </w:r>
          </w:p>
        </w:tc>
        <w:tc>
          <w:tcPr>
            <w:tcW w:w="1187" w:type="dxa"/>
            <w:vAlign w:val="center"/>
          </w:tcPr>
          <w:p>
            <w:pPr>
              <w:widowControl/>
              <w:jc w:val="center"/>
              <w:rPr>
                <w:rFonts w:hint="default" w:ascii="仿宋_GB2312" w:hAnsi="仿宋_GB2312" w:eastAsia="仿宋_GB2312" w:cs="仿宋_GB2312"/>
                <w:b/>
                <w:bCs/>
                <w:color w:val="000000"/>
                <w:kern w:val="0"/>
                <w:sz w:val="24"/>
                <w:highlight w:val="none"/>
                <w:lang w:val="en-US" w:eastAsia="zh-CN"/>
              </w:rPr>
            </w:pPr>
            <w:r>
              <w:rPr>
                <w:rFonts w:hint="eastAsia" w:ascii="仿宋_GB2312" w:hAnsi="仿宋_GB2312" w:eastAsia="仿宋_GB2312" w:cs="仿宋_GB2312"/>
                <w:b/>
                <w:bCs/>
                <w:color w:val="000000"/>
                <w:kern w:val="0"/>
                <w:sz w:val="24"/>
                <w:highlight w:val="none"/>
                <w:lang w:val="en-US" w:eastAsia="zh-CN"/>
              </w:rPr>
              <w:t>专家3</w:t>
            </w:r>
          </w:p>
        </w:tc>
        <w:tc>
          <w:tcPr>
            <w:tcW w:w="1181" w:type="dxa"/>
            <w:vAlign w:val="center"/>
          </w:tcPr>
          <w:p>
            <w:pPr>
              <w:widowControl/>
              <w:jc w:val="center"/>
              <w:rPr>
                <w:rFonts w:ascii="仿宋_GB2312" w:hAnsi="仿宋_GB2312" w:eastAsia="仿宋_GB2312" w:cs="仿宋_GB2312"/>
                <w:b/>
                <w:bCs/>
                <w:color w:val="000000"/>
                <w:kern w:val="0"/>
                <w:sz w:val="24"/>
                <w:highlight w:val="none"/>
              </w:rPr>
            </w:pPr>
            <w:r>
              <w:rPr>
                <w:rFonts w:hint="eastAsia" w:ascii="仿宋_GB2312" w:hAnsi="仿宋_GB2312" w:eastAsia="仿宋_GB2312" w:cs="仿宋_GB2312"/>
                <w:b/>
                <w:bCs/>
                <w:color w:val="000000"/>
                <w:kern w:val="0"/>
                <w:sz w:val="24"/>
                <w:highlight w:val="none"/>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restart"/>
            <w:vAlign w:val="center"/>
          </w:tcPr>
          <w:p>
            <w:pPr>
              <w:jc w:val="center"/>
              <w:rPr>
                <w:rFonts w:ascii="仿宋_GB2312" w:hAnsi="仿宋_GB2312" w:eastAsia="仿宋_GB2312" w:cs="仿宋_GB2312"/>
                <w:sz w:val="24"/>
                <w:highlight w:val="none"/>
              </w:rPr>
            </w:pPr>
            <w:r>
              <w:rPr>
                <w:rFonts w:hint="eastAsia" w:ascii="仿宋_GB2312" w:hAnsi="仿宋_GB2312" w:eastAsia="仿宋_GB2312" w:cs="仿宋_GB2312"/>
                <w:b/>
                <w:bCs/>
                <w:color w:val="000000"/>
                <w:kern w:val="0"/>
                <w:sz w:val="24"/>
                <w:highlight w:val="none"/>
              </w:rPr>
              <w:t>决策</w:t>
            </w: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项目立项</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4</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4.00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3.20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3.50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3.57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b/>
                <w:sz w:val="24"/>
                <w:highlight w:val="none"/>
              </w:rPr>
            </w:pPr>
            <w:r>
              <w:rPr>
                <w:rFonts w:hint="eastAsia" w:ascii="仿宋_GB2312" w:hAnsi="仿宋_GB2312" w:eastAsia="仿宋_GB2312" w:cs="仿宋_GB2312"/>
                <w:sz w:val="24"/>
                <w:highlight w:val="none"/>
              </w:rPr>
              <w:t>立项依据充分性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1.60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b/>
                <w:sz w:val="24"/>
                <w:highlight w:val="none"/>
              </w:rPr>
            </w:pPr>
            <w:r>
              <w:rPr>
                <w:rFonts w:hint="eastAsia" w:ascii="仿宋_GB2312" w:hAnsi="仿宋_GB2312" w:eastAsia="仿宋_GB2312" w:cs="仿宋_GB2312"/>
                <w:sz w:val="24"/>
                <w:highlight w:val="none"/>
              </w:rPr>
              <w:t>立项程序规范性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1.60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绩效目标</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3</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2.60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2.50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绩效目标合理性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1.80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绩效指标明确性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0.80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0.50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资金投入</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3</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2.60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2.20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2.27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预算编制科学性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1.80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资金分配合理性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0.80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0.70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0.83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restart"/>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过程</w:t>
            </w: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资金管理</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资金到位率</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预算执行率</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5</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资金使用合规性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3</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3.00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3.00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bCs/>
                <w:color w:val="000000"/>
                <w:kern w:val="0"/>
                <w:sz w:val="24"/>
                <w:highlight w:val="none"/>
              </w:rPr>
              <w:t>组织实施</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9.50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管理制度健全性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5</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cs="宋体"/>
                <w:i w:val="0"/>
                <w:iCs w:val="0"/>
                <w:color w:val="000000"/>
                <w:kern w:val="0"/>
                <w:sz w:val="22"/>
                <w:szCs w:val="22"/>
                <w:highlight w:val="none"/>
                <w:u w:val="none"/>
                <w:lang w:val="en-US" w:eastAsia="zh-CN" w:bidi="ar"/>
              </w:rPr>
              <w:t>5</w:t>
            </w:r>
            <w:r>
              <w:rPr>
                <w:rFonts w:hint="eastAsia" w:ascii="宋体" w:hAnsi="宋体" w:eastAsia="宋体" w:cs="宋体"/>
                <w:i w:val="0"/>
                <w:iCs w:val="0"/>
                <w:color w:val="000000"/>
                <w:kern w:val="0"/>
                <w:sz w:val="22"/>
                <w:szCs w:val="22"/>
                <w:highlight w:val="none"/>
                <w:u w:val="none"/>
                <w:lang w:val="en-US" w:eastAsia="zh-CN" w:bidi="ar"/>
              </w:rPr>
              <w:t xml:space="preserve">.00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cs="宋体"/>
                <w:color w:val="000000"/>
                <w:kern w:val="0"/>
                <w:sz w:val="22"/>
                <w:highlight w:val="none"/>
                <w:u w:val="none"/>
                <w:lang w:bidi="ar"/>
              </w:rPr>
              <w:t xml:space="preserve">4.67 </w:t>
            </w:r>
            <w:r>
              <w:rPr>
                <w:rFonts w:hint="eastAsia" w:ascii="宋体" w:hAnsi="宋体" w:eastAsia="宋体" w:cs="宋体"/>
                <w:i w:val="0"/>
                <w:iCs w:val="0"/>
                <w:color w:val="000000"/>
                <w:kern w:val="0"/>
                <w:sz w:val="22"/>
                <w:szCs w:val="22"/>
                <w:highlight w:val="none"/>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制度执行有效性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5</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4.50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restart"/>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产出</w:t>
            </w: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产出数量</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9.60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实际完成率</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9.60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产出质量</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Cs/>
                <w:color w:val="000000"/>
                <w:kern w:val="0"/>
                <w:sz w:val="24"/>
                <w:highlight w:val="none"/>
              </w:rPr>
              <w:t>质量达标率</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产出时效</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widowControl/>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完成及时性</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产出成本</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5.00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b/>
                <w:sz w:val="24"/>
                <w:highlight w:val="none"/>
              </w:rPr>
            </w:pPr>
            <w:r>
              <w:rPr>
                <w:rFonts w:hint="eastAsia" w:ascii="仿宋_GB2312" w:hAnsi="仿宋_GB2312" w:eastAsia="仿宋_GB2312" w:cs="仿宋_GB2312"/>
                <w:color w:val="000000"/>
                <w:kern w:val="0"/>
                <w:sz w:val="24"/>
                <w:highlight w:val="none"/>
              </w:rPr>
              <w:t>成本节约率</w:t>
            </w:r>
          </w:p>
        </w:tc>
        <w:tc>
          <w:tcPr>
            <w:tcW w:w="837" w:type="dxa"/>
            <w:vAlign w:val="center"/>
          </w:tcPr>
          <w:p>
            <w:pPr>
              <w:jc w:val="center"/>
              <w:rPr>
                <w:rFonts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restart"/>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效益</w:t>
            </w:r>
          </w:p>
        </w:tc>
        <w:tc>
          <w:tcPr>
            <w:tcW w:w="2740" w:type="dxa"/>
            <w:vAlign w:val="center"/>
          </w:tcPr>
          <w:p>
            <w:pPr>
              <w:rPr>
                <w:rFonts w:ascii="仿宋_GB2312" w:hAnsi="仿宋_GB2312" w:eastAsia="仿宋_GB2312" w:cs="仿宋_GB2312"/>
                <w:b/>
                <w:sz w:val="24"/>
                <w:highlight w:val="none"/>
              </w:rPr>
            </w:pPr>
            <w:r>
              <w:rPr>
                <w:rFonts w:hint="eastAsia" w:ascii="仿宋_GB2312" w:hAnsi="仿宋_GB2312" w:eastAsia="仿宋_GB2312" w:cs="仿宋_GB2312"/>
                <w:b/>
                <w:color w:val="000000"/>
                <w:kern w:val="0"/>
                <w:sz w:val="24"/>
                <w:highlight w:val="none"/>
              </w:rPr>
              <w:t>项目效益</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30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18.00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28.00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24.00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23.33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产生的社会效益</w:t>
            </w:r>
          </w:p>
        </w:tc>
        <w:tc>
          <w:tcPr>
            <w:tcW w:w="837" w:type="dxa"/>
            <w:vAlign w:val="center"/>
          </w:tcPr>
          <w:p>
            <w:pPr>
              <w:jc w:val="center"/>
              <w:rPr>
                <w:rFonts w:hint="default" w:ascii="仿宋_GB2312" w:hAnsi="仿宋_GB2312" w:eastAsia="仿宋_GB2312" w:cs="仿宋_GB2312"/>
                <w:bCs/>
                <w:sz w:val="24"/>
                <w:highlight w:val="none"/>
                <w:lang w:val="en-US" w:eastAsia="zh-CN"/>
              </w:rPr>
            </w:pPr>
            <w:r>
              <w:rPr>
                <w:rFonts w:hint="eastAsia" w:ascii="仿宋_GB2312" w:hAnsi="仿宋_GB2312" w:eastAsia="仿宋_GB2312" w:cs="仿宋_GB2312"/>
                <w:bCs/>
                <w:sz w:val="24"/>
                <w:highlight w:val="none"/>
                <w:lang w:val="en-US" w:eastAsia="zh-CN"/>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6.00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8.50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hint="default" w:ascii="仿宋_GB2312" w:hAnsi="仿宋_GB2312" w:eastAsia="仿宋_GB2312" w:cs="仿宋_GB2312"/>
                <w:color w:val="000000"/>
                <w:kern w:val="0"/>
                <w:sz w:val="24"/>
                <w:highlight w:val="none"/>
                <w:lang w:val="en-US" w:eastAsia="zh-CN"/>
              </w:rPr>
            </w:pPr>
            <w:r>
              <w:rPr>
                <w:rFonts w:hint="eastAsia" w:ascii="仿宋_GB2312" w:hAnsi="仿宋_GB2312" w:eastAsia="仿宋_GB2312" w:cs="仿宋_GB2312"/>
                <w:color w:val="000000"/>
                <w:kern w:val="0"/>
                <w:sz w:val="24"/>
                <w:highlight w:val="none"/>
                <w:lang w:val="en-US" w:eastAsia="zh-CN"/>
              </w:rPr>
              <w:t>产生的可持续影响</w:t>
            </w:r>
          </w:p>
        </w:tc>
        <w:tc>
          <w:tcPr>
            <w:tcW w:w="837" w:type="dxa"/>
            <w:vAlign w:val="center"/>
          </w:tcPr>
          <w:p>
            <w:pPr>
              <w:jc w:val="center"/>
              <w:rPr>
                <w:rFonts w:hint="default" w:ascii="仿宋_GB2312" w:hAnsi="仿宋_GB2312" w:eastAsia="仿宋_GB2312" w:cs="仿宋_GB2312"/>
                <w:bCs/>
                <w:sz w:val="24"/>
                <w:highlight w:val="none"/>
                <w:lang w:val="en-US" w:eastAsia="zh-CN"/>
              </w:rPr>
            </w:pPr>
            <w:r>
              <w:rPr>
                <w:rFonts w:hint="eastAsia" w:ascii="仿宋_GB2312" w:hAnsi="仿宋_GB2312" w:eastAsia="仿宋_GB2312" w:cs="仿宋_GB2312"/>
                <w:bCs/>
                <w:sz w:val="24"/>
                <w:highlight w:val="none"/>
                <w:lang w:val="en-US" w:eastAsia="zh-CN"/>
              </w:rPr>
              <w:t>10</w:t>
            </w:r>
          </w:p>
        </w:tc>
        <w:tc>
          <w:tcPr>
            <w:tcW w:w="1142"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6.00 </w:t>
            </w:r>
          </w:p>
        </w:tc>
        <w:tc>
          <w:tcPr>
            <w:tcW w:w="123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8.00 </w:t>
            </w:r>
          </w:p>
        </w:tc>
        <w:tc>
          <w:tcPr>
            <w:tcW w:w="118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8.50 </w:t>
            </w:r>
          </w:p>
        </w:tc>
        <w:tc>
          <w:tcPr>
            <w:tcW w:w="1181"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741" w:type="dxa"/>
            <w:vMerge w:val="continue"/>
            <w:vAlign w:val="center"/>
          </w:tcPr>
          <w:p>
            <w:pPr>
              <w:jc w:val="center"/>
              <w:rPr>
                <w:rFonts w:ascii="仿宋_GB2312" w:hAnsi="仿宋_GB2312" w:eastAsia="仿宋_GB2312" w:cs="仿宋_GB2312"/>
                <w:b/>
                <w:sz w:val="24"/>
                <w:highlight w:val="none"/>
              </w:rPr>
            </w:pPr>
          </w:p>
        </w:tc>
        <w:tc>
          <w:tcPr>
            <w:tcW w:w="2740" w:type="dxa"/>
            <w:vAlign w:val="center"/>
          </w:tcPr>
          <w:p>
            <w:pPr>
              <w:rPr>
                <w:rFonts w:ascii="仿宋_GB2312" w:hAnsi="仿宋_GB2312" w:eastAsia="仿宋_GB2312" w:cs="仿宋_GB2312"/>
                <w:color w:val="000000"/>
                <w:kern w:val="0"/>
                <w:sz w:val="24"/>
                <w:highlight w:val="none"/>
              </w:rPr>
            </w:pPr>
            <w:r>
              <w:rPr>
                <w:rFonts w:hint="eastAsia" w:ascii="仿宋_GB2312" w:hAnsi="仿宋_GB2312" w:eastAsia="仿宋_GB2312" w:cs="仿宋_GB2312"/>
                <w:color w:val="000000"/>
                <w:kern w:val="0"/>
                <w:sz w:val="24"/>
                <w:highlight w:val="none"/>
              </w:rPr>
              <w:t>服务对象满意度</w:t>
            </w:r>
          </w:p>
        </w:tc>
        <w:tc>
          <w:tcPr>
            <w:tcW w:w="837" w:type="dxa"/>
            <w:vAlign w:val="center"/>
          </w:tcPr>
          <w:p>
            <w:pPr>
              <w:jc w:val="center"/>
              <w:rPr>
                <w:rFonts w:hint="default" w:ascii="仿宋_GB2312" w:hAnsi="仿宋_GB2312" w:eastAsia="仿宋_GB2312" w:cs="仿宋_GB2312"/>
                <w:bCs/>
                <w:sz w:val="24"/>
                <w:highlight w:val="none"/>
                <w:lang w:val="en-US" w:eastAsia="zh-CN"/>
              </w:rPr>
            </w:pPr>
            <w:r>
              <w:rPr>
                <w:rFonts w:hint="eastAsia" w:ascii="仿宋_GB2312" w:hAnsi="仿宋_GB2312" w:eastAsia="仿宋_GB2312" w:cs="仿宋_GB2312"/>
                <w:bCs/>
                <w:sz w:val="24"/>
                <w:highlight w:val="none"/>
                <w:lang w:val="en-US" w:eastAsia="zh-CN"/>
              </w:rPr>
              <w:t>10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6.00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10.00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7.00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Cs/>
                <w:sz w:val="24"/>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7.67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3481" w:type="dxa"/>
            <w:gridSpan w:val="2"/>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合计</w:t>
            </w:r>
          </w:p>
        </w:tc>
        <w:tc>
          <w:tcPr>
            <w:tcW w:w="837"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100</w:t>
            </w:r>
          </w:p>
        </w:tc>
        <w:tc>
          <w:tcPr>
            <w:tcW w:w="1142"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84.70 </w:t>
            </w:r>
          </w:p>
        </w:tc>
        <w:tc>
          <w:tcPr>
            <w:tcW w:w="1230"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8</w:t>
            </w:r>
            <w:r>
              <w:rPr>
                <w:rFonts w:hint="eastAsia" w:ascii="宋体" w:hAnsi="宋体" w:cs="宋体"/>
                <w:b/>
                <w:bCs/>
                <w:i w:val="0"/>
                <w:iCs w:val="0"/>
                <w:color w:val="000000"/>
                <w:kern w:val="0"/>
                <w:sz w:val="22"/>
                <w:szCs w:val="22"/>
                <w:highlight w:val="none"/>
                <w:u w:val="none"/>
                <w:lang w:val="en-US" w:eastAsia="zh-CN" w:bidi="ar"/>
              </w:rPr>
              <w:t>7</w:t>
            </w:r>
            <w:r>
              <w:rPr>
                <w:rFonts w:hint="eastAsia" w:ascii="宋体" w:hAnsi="宋体" w:eastAsia="宋体" w:cs="宋体"/>
                <w:b/>
                <w:bCs/>
                <w:i w:val="0"/>
                <w:iCs w:val="0"/>
                <w:color w:val="000000"/>
                <w:kern w:val="0"/>
                <w:sz w:val="22"/>
                <w:szCs w:val="22"/>
                <w:highlight w:val="none"/>
                <w:u w:val="none"/>
                <w:lang w:val="en-US" w:eastAsia="zh-CN" w:bidi="ar"/>
              </w:rPr>
              <w:t xml:space="preserve">.70 </w:t>
            </w:r>
          </w:p>
        </w:tc>
        <w:tc>
          <w:tcPr>
            <w:tcW w:w="1187"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 xml:space="preserve">87.30 </w:t>
            </w:r>
          </w:p>
        </w:tc>
        <w:tc>
          <w:tcPr>
            <w:tcW w:w="1181" w:type="dxa"/>
            <w:vAlign w:val="center"/>
          </w:tcPr>
          <w:p>
            <w:pPr>
              <w:keepNext w:val="0"/>
              <w:keepLines w:val="0"/>
              <w:widowControl/>
              <w:suppressLineNumbers w:val="0"/>
              <w:jc w:val="center"/>
              <w:textAlignment w:val="center"/>
              <w:rPr>
                <w:rFonts w:ascii="仿宋_GB2312" w:hAnsi="仿宋_GB2312" w:eastAsia="仿宋_GB2312" w:cs="仿宋_GB2312"/>
                <w:b/>
                <w:sz w:val="24"/>
                <w:highlight w:val="none"/>
              </w:rPr>
            </w:pPr>
            <w:r>
              <w:rPr>
                <w:rFonts w:hint="eastAsia" w:ascii="宋体" w:hAnsi="宋体" w:eastAsia="宋体" w:cs="宋体"/>
                <w:b/>
                <w:bCs/>
                <w:i w:val="0"/>
                <w:iCs w:val="0"/>
                <w:color w:val="000000"/>
                <w:kern w:val="0"/>
                <w:sz w:val="22"/>
                <w:szCs w:val="22"/>
                <w:highlight w:val="none"/>
                <w:u w:val="none"/>
                <w:lang w:val="en-US" w:eastAsia="zh-CN" w:bidi="ar"/>
              </w:rPr>
              <w:t>86.</w:t>
            </w:r>
            <w:r>
              <w:rPr>
                <w:rFonts w:hint="eastAsia" w:ascii="宋体" w:hAnsi="宋体" w:cs="宋体"/>
                <w:b/>
                <w:bCs/>
                <w:i w:val="0"/>
                <w:iCs w:val="0"/>
                <w:color w:val="000000"/>
                <w:kern w:val="0"/>
                <w:sz w:val="22"/>
                <w:szCs w:val="22"/>
                <w:highlight w:val="none"/>
                <w:u w:val="none"/>
                <w:lang w:val="en-US" w:eastAsia="zh-CN" w:bidi="ar"/>
              </w:rPr>
              <w:t>57</w:t>
            </w:r>
            <w:r>
              <w:rPr>
                <w:rFonts w:hint="eastAsia" w:ascii="宋体" w:hAnsi="宋体" w:eastAsia="宋体" w:cs="宋体"/>
                <w:b/>
                <w:bCs/>
                <w:i w:val="0"/>
                <w:iCs w:val="0"/>
                <w:color w:val="000000"/>
                <w:kern w:val="0"/>
                <w:sz w:val="22"/>
                <w:szCs w:val="22"/>
                <w:highlight w:val="none"/>
                <w:u w:val="none"/>
                <w:lang w:val="en-US" w:eastAsia="zh-CN" w:bidi="ar"/>
              </w:rPr>
              <w:t xml:space="preserve"> </w:t>
            </w:r>
          </w:p>
        </w:tc>
      </w:tr>
    </w:tbl>
    <w:p>
      <w:pPr>
        <w:spacing w:line="560" w:lineRule="exact"/>
        <w:ind w:firstLine="640" w:firstLineChars="200"/>
        <w:jc w:val="left"/>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br w:type="page"/>
      </w:r>
    </w:p>
    <w:p>
      <w:pPr>
        <w:spacing w:line="560" w:lineRule="exact"/>
        <w:jc w:val="left"/>
        <w:rPr>
          <w:rFonts w:ascii="黑体" w:hAnsi="黑体" w:eastAsia="黑体" w:cs="黑体"/>
          <w:b/>
          <w:sz w:val="32"/>
          <w:highlight w:val="none"/>
        </w:rPr>
      </w:pPr>
      <w:r>
        <w:rPr>
          <w:rFonts w:hint="eastAsia" w:ascii="仿宋_GB2312" w:hAnsi="仿宋_GB2312" w:eastAsia="仿宋_GB2312" w:cs="仿宋_GB2312"/>
          <w:b/>
          <w:bCs/>
          <w:color w:val="000000"/>
          <w:kern w:val="0"/>
          <w:sz w:val="32"/>
          <w:szCs w:val="32"/>
          <w:highlight w:val="none"/>
        </w:rPr>
        <w:t>二、专家评价综合意见</w:t>
      </w:r>
    </w:p>
    <w:tbl>
      <w:tblPr>
        <w:tblStyle w:val="10"/>
        <w:tblW w:w="9495"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8"/>
        <w:gridCol w:w="6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58"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评价得分</w:t>
            </w:r>
          </w:p>
        </w:tc>
        <w:tc>
          <w:tcPr>
            <w:tcW w:w="6637" w:type="dxa"/>
            <w:vAlign w:val="center"/>
          </w:tcPr>
          <w:p>
            <w:pPr>
              <w:snapToGrid w:val="0"/>
              <w:ind w:firstLine="720" w:firstLineChars="300"/>
              <w:jc w:val="left"/>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86.57</w:t>
            </w:r>
            <w:r>
              <w:rPr>
                <w:rFonts w:hint="eastAsia" w:ascii="仿宋_GB2312" w:hAnsi="仿宋_GB2312" w:eastAsia="仿宋_GB2312" w:cs="仿宋_GB2312"/>
                <w:b/>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858" w:type="dxa"/>
            <w:vAlign w:val="center"/>
          </w:tcPr>
          <w:p>
            <w:pPr>
              <w:jc w:val="center"/>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绩效级别</w:t>
            </w:r>
          </w:p>
        </w:tc>
        <w:tc>
          <w:tcPr>
            <w:tcW w:w="6637" w:type="dxa"/>
            <w:vAlign w:val="center"/>
          </w:tcPr>
          <w:p>
            <w:pPr>
              <w:jc w:val="left"/>
              <w:rPr>
                <w:rFonts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优（90分以上）□           良（80-90分）  </w:t>
            </w:r>
            <w:r>
              <w:rPr>
                <w:rFonts w:hint="eastAsia" w:ascii="仿宋_GB2312" w:hAnsi="仿宋_GB2312" w:eastAsia="仿宋_GB2312" w:cs="仿宋_GB2312"/>
                <w:sz w:val="24"/>
                <w:highlight w:val="none"/>
              </w:rPr>
              <w:sym w:font="Wingdings 2" w:char="0052"/>
            </w:r>
          </w:p>
          <w:p>
            <w:pPr>
              <w:jc w:val="left"/>
              <w:rPr>
                <w:rFonts w:ascii="仿宋_GB2312" w:hAnsi="仿宋_GB2312" w:eastAsia="仿宋_GB2312" w:cs="仿宋_GB2312"/>
                <w:b/>
                <w:sz w:val="24"/>
                <w:highlight w:val="none"/>
              </w:rPr>
            </w:pPr>
            <w:r>
              <w:rPr>
                <w:rFonts w:hint="eastAsia" w:ascii="仿宋_GB2312" w:hAnsi="仿宋_GB2312" w:eastAsia="仿宋_GB2312" w:cs="仿宋_GB2312"/>
                <w:sz w:val="24"/>
                <w:highlight w:val="none"/>
              </w:rPr>
              <w:t>中（60-80分） □           差（60分以下）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5" w:type="dxa"/>
            <w:gridSpan w:val="2"/>
          </w:tcPr>
          <w:p>
            <w:pPr>
              <w:widowControl/>
              <w:spacing w:line="500" w:lineRule="exact"/>
              <w:ind w:firstLine="480" w:firstLineChars="200"/>
              <w:jc w:val="left"/>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问题：</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rPr>
              <w:t>一、项目决策</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1.</w:t>
            </w:r>
            <w:r>
              <w:rPr>
                <w:rFonts w:hint="eastAsia" w:ascii="宋体" w:hAnsi="宋体"/>
                <w:color w:val="000000"/>
                <w:kern w:val="0"/>
                <w:sz w:val="24"/>
                <w:szCs w:val="22"/>
                <w:highlight w:val="none"/>
              </w:rPr>
              <w:t>乡村振兴专家咨询委员会的年度工作规划不明确</w:t>
            </w:r>
            <w:r>
              <w:rPr>
                <w:rFonts w:hint="eastAsia" w:ascii="宋体" w:hAnsi="宋体"/>
                <w:color w:val="000000"/>
                <w:kern w:val="0"/>
                <w:sz w:val="24"/>
                <w:szCs w:val="22"/>
                <w:highlight w:val="none"/>
                <w:lang w:eastAsia="zh-CN"/>
              </w:rPr>
              <w:t>，</w:t>
            </w:r>
            <w:r>
              <w:rPr>
                <w:rFonts w:hint="eastAsia" w:ascii="宋体" w:hAnsi="宋体"/>
                <w:color w:val="000000"/>
                <w:kern w:val="0"/>
                <w:sz w:val="24"/>
                <w:szCs w:val="22"/>
                <w:highlight w:val="none"/>
              </w:rPr>
              <w:t>缺少顶层设计，工作计划不清晰。咨询委作为首都乡村振兴战略提供决策咨询的机构，应根据国家和北京市委市政府</w:t>
            </w:r>
            <w:r>
              <w:rPr>
                <w:rFonts w:hint="eastAsia" w:ascii="宋体" w:hAnsi="宋体"/>
                <w:color w:val="000000"/>
                <w:kern w:val="0"/>
                <w:sz w:val="24"/>
                <w:szCs w:val="22"/>
                <w:highlight w:val="none"/>
                <w:lang w:eastAsia="zh-CN"/>
              </w:rPr>
              <w:t>“三农”工作</w:t>
            </w:r>
            <w:r>
              <w:rPr>
                <w:rFonts w:hint="eastAsia" w:ascii="宋体" w:hAnsi="宋体"/>
                <w:color w:val="000000"/>
                <w:kern w:val="0"/>
                <w:sz w:val="24"/>
                <w:szCs w:val="22"/>
                <w:highlight w:val="none"/>
              </w:rPr>
              <w:t>的重点，结合北京三农的实际情况，开展充分的调研，广泛的论证，制定未来3-5年北京乡村振兴相关调查研究和成果转化的计划，明确每年的工作重点和任务，实施方案及目标。</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2.</w:t>
            </w:r>
            <w:r>
              <w:rPr>
                <w:rFonts w:hint="eastAsia" w:ascii="宋体" w:hAnsi="宋体"/>
                <w:color w:val="000000"/>
                <w:kern w:val="0"/>
                <w:sz w:val="24"/>
                <w:szCs w:val="22"/>
                <w:highlight w:val="none"/>
              </w:rPr>
              <w:t>项目为延续性项目，上年执行情况、经费使用情况与本年度对比分析不足。</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3.</w:t>
            </w:r>
            <w:r>
              <w:rPr>
                <w:rFonts w:hint="eastAsia" w:ascii="宋体" w:hAnsi="宋体"/>
                <w:color w:val="000000"/>
                <w:kern w:val="0"/>
                <w:sz w:val="24"/>
                <w:szCs w:val="22"/>
                <w:highlight w:val="none"/>
              </w:rPr>
              <w:t>事前绩效评估与预算评审无明确成效，对事前评估提出的问题整改情况绩效报告体现不足，未就事前绩效报告提出的问题进行整改。</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4.</w:t>
            </w:r>
            <w:r>
              <w:rPr>
                <w:rFonts w:hint="eastAsia" w:ascii="宋体" w:hAnsi="宋体"/>
                <w:color w:val="000000"/>
                <w:kern w:val="0"/>
                <w:sz w:val="24"/>
                <w:szCs w:val="22"/>
                <w:highlight w:val="none"/>
              </w:rPr>
              <w:t>效益指标较为笼统，缺少细化量化的指标值，可考核评价性不足。</w:t>
            </w:r>
            <w:r>
              <w:rPr>
                <w:rFonts w:hint="eastAsia" w:ascii="宋体" w:hAnsi="宋体"/>
                <w:color w:val="000000"/>
                <w:kern w:val="0"/>
                <w:sz w:val="24"/>
                <w:szCs w:val="22"/>
                <w:highlight w:val="none"/>
                <w:lang w:val="en-US" w:eastAsia="zh-CN"/>
              </w:rPr>
              <w:t>如</w:t>
            </w:r>
            <w:r>
              <w:rPr>
                <w:rFonts w:hint="eastAsia" w:ascii="宋体" w:hAnsi="宋体"/>
                <w:color w:val="000000"/>
                <w:kern w:val="0"/>
                <w:sz w:val="24"/>
                <w:szCs w:val="22"/>
                <w:highlight w:val="none"/>
              </w:rPr>
              <w:t>可持续指标和社会效益指标量化不足，可考性、可衡量性差</w:t>
            </w:r>
            <w:r>
              <w:rPr>
                <w:rFonts w:hint="eastAsia" w:ascii="宋体" w:hAnsi="宋体"/>
                <w:color w:val="000000"/>
                <w:kern w:val="0"/>
                <w:sz w:val="24"/>
                <w:szCs w:val="22"/>
                <w:highlight w:val="none"/>
                <w:lang w:eastAsia="zh-CN"/>
              </w:rPr>
              <w:t>；</w:t>
            </w:r>
            <w:r>
              <w:rPr>
                <w:rFonts w:hint="eastAsia" w:ascii="宋体" w:hAnsi="宋体"/>
                <w:color w:val="000000"/>
                <w:kern w:val="0"/>
                <w:sz w:val="24"/>
                <w:szCs w:val="22"/>
                <w:highlight w:val="none"/>
              </w:rPr>
              <w:t>“持续开展智库建设”未设定具体指标</w:t>
            </w:r>
            <w:r>
              <w:rPr>
                <w:rFonts w:hint="eastAsia" w:ascii="宋体" w:hAnsi="宋体"/>
                <w:color w:val="000000"/>
                <w:kern w:val="0"/>
                <w:sz w:val="24"/>
                <w:szCs w:val="22"/>
                <w:highlight w:val="none"/>
                <w:lang w:eastAsia="zh-CN"/>
              </w:rPr>
              <w:t>；</w:t>
            </w:r>
            <w:r>
              <w:rPr>
                <w:rFonts w:hint="eastAsia" w:ascii="宋体" w:hAnsi="宋体"/>
                <w:color w:val="000000"/>
                <w:kern w:val="0"/>
                <w:sz w:val="24"/>
                <w:szCs w:val="22"/>
                <w:highlight w:val="none"/>
              </w:rPr>
              <w:t>“为涉农区提供专家意见”“为部门提供智力支撑”等效益指标缺乏具体量化成果</w:t>
            </w:r>
            <w:r>
              <w:rPr>
                <w:rFonts w:hint="eastAsia" w:ascii="宋体" w:hAnsi="宋体"/>
                <w:color w:val="000000"/>
                <w:kern w:val="0"/>
                <w:sz w:val="24"/>
                <w:szCs w:val="22"/>
                <w:highlight w:val="none"/>
                <w:lang w:eastAsia="zh-CN"/>
              </w:rPr>
              <w:t>。</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rPr>
              <w:t>二、项目管理</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1.</w:t>
            </w:r>
            <w:r>
              <w:rPr>
                <w:rFonts w:hint="eastAsia" w:ascii="宋体" w:hAnsi="宋体"/>
                <w:color w:val="000000"/>
                <w:kern w:val="0"/>
                <w:sz w:val="24"/>
                <w:szCs w:val="22"/>
                <w:highlight w:val="none"/>
              </w:rPr>
              <w:t>预算标准有待进一步严谨细化。预算评审报告，预算申报729.895万元，审定（预算批复）619.895万元，审减110万元，审减率15.07%；实际支出599.287万元，预算执行率96.68%。</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2.</w:t>
            </w:r>
            <w:r>
              <w:rPr>
                <w:rFonts w:hint="eastAsia" w:ascii="宋体" w:hAnsi="宋体"/>
                <w:color w:val="000000"/>
                <w:kern w:val="0"/>
                <w:sz w:val="24"/>
                <w:szCs w:val="22"/>
                <w:highlight w:val="none"/>
              </w:rPr>
              <w:t>中期评估发现个别课题“研究方向偏离”“调研不足”，未见要求跟踪整改方案。</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rPr>
              <w:t>三、项目绩效</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1.</w:t>
            </w:r>
            <w:r>
              <w:rPr>
                <w:rFonts w:hint="eastAsia" w:ascii="宋体" w:hAnsi="宋体"/>
                <w:color w:val="000000"/>
                <w:kern w:val="0"/>
                <w:sz w:val="24"/>
                <w:szCs w:val="22"/>
                <w:highlight w:val="none"/>
              </w:rPr>
              <w:t>课题之间的衔接和从属协同关系不明确。</w:t>
            </w:r>
          </w:p>
          <w:p>
            <w:pPr>
              <w:widowControl/>
              <w:spacing w:line="500" w:lineRule="exact"/>
              <w:ind w:firstLine="480" w:firstLineChars="200"/>
              <w:jc w:val="left"/>
              <w:rPr>
                <w:rFonts w:hint="eastAsia" w:ascii="宋体" w:hAnsi="宋体" w:eastAsia="宋体"/>
                <w:color w:val="000000"/>
                <w:kern w:val="0"/>
                <w:sz w:val="24"/>
                <w:szCs w:val="22"/>
                <w:highlight w:val="none"/>
                <w:lang w:eastAsia="zh-CN"/>
              </w:rPr>
            </w:pPr>
            <w:r>
              <w:rPr>
                <w:rFonts w:hint="eastAsia" w:ascii="宋体" w:hAnsi="宋体"/>
                <w:color w:val="000000"/>
                <w:kern w:val="0"/>
                <w:sz w:val="24"/>
                <w:szCs w:val="22"/>
                <w:highlight w:val="none"/>
                <w:lang w:val="en-US" w:eastAsia="zh-CN"/>
              </w:rPr>
              <w:t>2.</w:t>
            </w:r>
            <w:r>
              <w:rPr>
                <w:rFonts w:hint="eastAsia" w:ascii="宋体" w:hAnsi="宋体"/>
                <w:color w:val="000000"/>
                <w:kern w:val="0"/>
                <w:sz w:val="24"/>
                <w:szCs w:val="22"/>
                <w:highlight w:val="none"/>
              </w:rPr>
              <w:t>数量指标未完成，撤销一个课题，完成24项</w:t>
            </w:r>
            <w:r>
              <w:rPr>
                <w:rFonts w:hint="eastAsia" w:ascii="宋体" w:hAnsi="宋体"/>
                <w:color w:val="000000"/>
                <w:kern w:val="0"/>
                <w:sz w:val="24"/>
                <w:szCs w:val="22"/>
                <w:highlight w:val="none"/>
                <w:lang w:eastAsia="zh-CN"/>
              </w:rPr>
              <w:t>；</w:t>
            </w:r>
            <w:r>
              <w:rPr>
                <w:rFonts w:hint="eastAsia" w:ascii="宋体" w:hAnsi="宋体"/>
                <w:color w:val="000000"/>
                <w:kern w:val="0"/>
                <w:sz w:val="24"/>
                <w:szCs w:val="22"/>
                <w:highlight w:val="none"/>
              </w:rPr>
              <w:t>2024年9月底支出进度仅68.14%，未达到“9月底前完成70%”。</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3.</w:t>
            </w:r>
            <w:r>
              <w:rPr>
                <w:rFonts w:hint="eastAsia" w:ascii="宋体" w:hAnsi="宋体"/>
                <w:color w:val="000000"/>
                <w:kern w:val="0"/>
                <w:sz w:val="24"/>
                <w:szCs w:val="22"/>
                <w:highlight w:val="none"/>
              </w:rPr>
              <w:t>质量指标标准模糊，“课题研究成果被采纳”未明确界定</w:t>
            </w:r>
            <w:r>
              <w:rPr>
                <w:rFonts w:hint="eastAsia" w:ascii="宋体" w:hAnsi="宋体"/>
                <w:color w:val="000000"/>
                <w:kern w:val="0"/>
                <w:sz w:val="24"/>
                <w:szCs w:val="22"/>
                <w:highlight w:val="none"/>
                <w:lang w:val="en-US" w:eastAsia="zh-CN"/>
              </w:rPr>
              <w:t>采纳主体</w:t>
            </w:r>
            <w:r>
              <w:rPr>
                <w:rFonts w:hint="eastAsia" w:ascii="宋体" w:hAnsi="宋体"/>
                <w:color w:val="000000"/>
                <w:kern w:val="0"/>
                <w:sz w:val="24"/>
                <w:szCs w:val="22"/>
                <w:highlight w:val="none"/>
              </w:rPr>
              <w:t>。</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4.</w:t>
            </w:r>
            <w:r>
              <w:rPr>
                <w:rFonts w:hint="eastAsia" w:ascii="宋体" w:hAnsi="宋体"/>
                <w:color w:val="000000"/>
                <w:kern w:val="0"/>
                <w:sz w:val="24"/>
                <w:szCs w:val="22"/>
                <w:highlight w:val="none"/>
              </w:rPr>
              <w:t>项目成果利用、效益呈现的凝练、挖掘和总结需要进一步加强。</w:t>
            </w:r>
          </w:p>
          <w:p>
            <w:pPr>
              <w:widowControl/>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5.</w:t>
            </w:r>
            <w:r>
              <w:rPr>
                <w:rFonts w:hint="eastAsia" w:ascii="宋体" w:hAnsi="宋体"/>
                <w:color w:val="000000"/>
                <w:kern w:val="0"/>
                <w:sz w:val="24"/>
                <w:szCs w:val="22"/>
                <w:highlight w:val="none"/>
              </w:rPr>
              <w:t>项目用户满意度指标设置覆盖面不全。满意度问卷形式单一、内容不够全面、样本量较少，缺少全面客观性体现且没有项目满意度分析报告。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4" w:hRule="atLeast"/>
        </w:trPr>
        <w:tc>
          <w:tcPr>
            <w:tcW w:w="9495" w:type="dxa"/>
            <w:gridSpan w:val="2"/>
          </w:tcPr>
          <w:p>
            <w:pPr>
              <w:spacing w:line="500" w:lineRule="exact"/>
              <w:jc w:val="left"/>
              <w:rPr>
                <w:rFonts w:ascii="仿宋_GB2312" w:hAnsi="仿宋_GB2312" w:eastAsia="仿宋_GB2312" w:cs="仿宋_GB2312"/>
                <w:b/>
                <w:sz w:val="24"/>
                <w:highlight w:val="none"/>
              </w:rPr>
            </w:pPr>
            <w:r>
              <w:rPr>
                <w:rFonts w:hint="eastAsia" w:ascii="仿宋_GB2312" w:hAnsi="仿宋_GB2312" w:eastAsia="仿宋_GB2312" w:cs="仿宋_GB2312"/>
                <w:b/>
                <w:sz w:val="24"/>
                <w:highlight w:val="none"/>
              </w:rPr>
              <w:t>建议：</w:t>
            </w:r>
          </w:p>
          <w:p>
            <w:pPr>
              <w:widowControl/>
              <w:numPr>
                <w:ilvl w:val="0"/>
                <w:numId w:val="0"/>
              </w:numPr>
              <w:spacing w:line="500" w:lineRule="exact"/>
              <w:ind w:firstLine="480" w:firstLineChars="200"/>
              <w:jc w:val="left"/>
              <w:rPr>
                <w:rFonts w:hint="eastAsia" w:ascii="宋体" w:hAnsi="宋体" w:eastAsia="宋体"/>
                <w:color w:val="000000"/>
                <w:kern w:val="0"/>
                <w:sz w:val="24"/>
                <w:szCs w:val="22"/>
                <w:highlight w:val="none"/>
                <w:lang w:val="en-US" w:eastAsia="zh-CN"/>
              </w:rPr>
            </w:pPr>
            <w:r>
              <w:rPr>
                <w:rFonts w:hint="eastAsia" w:ascii="宋体" w:hAnsi="宋体" w:cs="Times New Roman"/>
                <w:color w:val="000000"/>
                <w:kern w:val="0"/>
                <w:sz w:val="24"/>
                <w:szCs w:val="22"/>
                <w:highlight w:val="none"/>
                <w:lang w:val="en-US" w:eastAsia="zh-CN" w:bidi="ar-SA"/>
              </w:rPr>
              <w:t>1</w:t>
            </w:r>
            <w:r>
              <w:rPr>
                <w:rFonts w:hint="eastAsia" w:ascii="宋体" w:hAnsi="宋体" w:eastAsia="宋体" w:cs="Times New Roman"/>
                <w:color w:val="000000"/>
                <w:kern w:val="0"/>
                <w:sz w:val="24"/>
                <w:szCs w:val="22"/>
                <w:highlight w:val="none"/>
                <w:lang w:val="en-US" w:eastAsia="zh-CN" w:bidi="ar-SA"/>
              </w:rPr>
              <w:t>.</w:t>
            </w:r>
            <w:r>
              <w:rPr>
                <w:rFonts w:hint="eastAsia" w:ascii="宋体" w:hAnsi="宋体"/>
                <w:color w:val="000000"/>
                <w:kern w:val="0"/>
                <w:sz w:val="24"/>
                <w:szCs w:val="22"/>
                <w:highlight w:val="none"/>
              </w:rPr>
              <w:t>加强顶层设计和工作计划的统筹协调力。</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s="Times New Roman"/>
                <w:color w:val="000000"/>
                <w:kern w:val="0"/>
                <w:sz w:val="24"/>
                <w:szCs w:val="22"/>
                <w:highlight w:val="none"/>
                <w:lang w:val="en-US" w:eastAsia="zh-CN" w:bidi="ar-SA"/>
              </w:rPr>
              <w:t>2.</w:t>
            </w:r>
            <w:r>
              <w:rPr>
                <w:rFonts w:hint="eastAsia" w:ascii="宋体" w:hAnsi="宋体"/>
                <w:color w:val="000000"/>
                <w:kern w:val="0"/>
                <w:sz w:val="24"/>
                <w:szCs w:val="22"/>
                <w:highlight w:val="none"/>
              </w:rPr>
              <w:t>对研究方向偏离的课题</w:t>
            </w:r>
            <w:r>
              <w:rPr>
                <w:rFonts w:hint="eastAsia" w:ascii="宋体" w:hAnsi="宋体"/>
                <w:color w:val="000000"/>
                <w:kern w:val="0"/>
                <w:sz w:val="24"/>
                <w:szCs w:val="22"/>
                <w:highlight w:val="none"/>
                <w:lang w:val="en-US" w:eastAsia="zh-CN"/>
              </w:rPr>
              <w:t>履行整改过程，并对相关整改过程的资料进行归集</w:t>
            </w:r>
            <w:r>
              <w:rPr>
                <w:rFonts w:hint="eastAsia" w:ascii="宋体" w:hAnsi="宋体"/>
                <w:color w:val="000000"/>
                <w:kern w:val="0"/>
                <w:sz w:val="24"/>
                <w:szCs w:val="22"/>
                <w:highlight w:val="none"/>
              </w:rPr>
              <w:t>，整改无效的课题终止且追回经费。</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3.</w:t>
            </w:r>
            <w:r>
              <w:rPr>
                <w:rFonts w:hint="eastAsia" w:ascii="宋体" w:hAnsi="宋体"/>
                <w:color w:val="000000"/>
                <w:kern w:val="0"/>
                <w:sz w:val="24"/>
                <w:szCs w:val="22"/>
                <w:highlight w:val="none"/>
              </w:rPr>
              <w:t>强化咨询的定位，加大调查研究的质量挖掘。提高项目质量指标的标准，进一步量化社会效益指标和可持续指标，切实发挥咨询委的决策咨询作用。</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s="Times New Roman"/>
                <w:color w:val="000000"/>
                <w:kern w:val="0"/>
                <w:sz w:val="24"/>
                <w:szCs w:val="22"/>
                <w:highlight w:val="none"/>
                <w:lang w:val="en-US" w:eastAsia="zh-CN" w:bidi="ar-SA"/>
              </w:rPr>
              <w:t>4</w:t>
            </w:r>
            <w:r>
              <w:rPr>
                <w:rFonts w:hint="eastAsia" w:ascii="宋体" w:hAnsi="宋体" w:eastAsia="宋体" w:cs="Times New Roman"/>
                <w:color w:val="000000"/>
                <w:kern w:val="0"/>
                <w:sz w:val="24"/>
                <w:szCs w:val="22"/>
                <w:highlight w:val="none"/>
                <w:lang w:val="en-US" w:eastAsia="zh-CN" w:bidi="ar-SA"/>
              </w:rPr>
              <w:t>.</w:t>
            </w:r>
            <w:r>
              <w:rPr>
                <w:rFonts w:hint="eastAsia" w:ascii="宋体" w:hAnsi="宋体"/>
                <w:color w:val="000000"/>
                <w:kern w:val="0"/>
                <w:sz w:val="24"/>
                <w:szCs w:val="22"/>
                <w:highlight w:val="none"/>
              </w:rPr>
              <w:t>作为延续性项目，建议进一步做好项目整体规划和顶层设计，做好需求分析和可行性论证、在此基础上精准做好资金测算。</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olor w:val="000000"/>
                <w:kern w:val="0"/>
                <w:sz w:val="24"/>
                <w:szCs w:val="22"/>
                <w:highlight w:val="none"/>
                <w:lang w:val="en-US" w:eastAsia="zh-CN"/>
              </w:rPr>
              <w:t>5.</w:t>
            </w:r>
            <w:r>
              <w:rPr>
                <w:rFonts w:hint="eastAsia" w:ascii="宋体" w:hAnsi="宋体"/>
                <w:color w:val="000000"/>
                <w:kern w:val="0"/>
                <w:sz w:val="24"/>
                <w:szCs w:val="22"/>
                <w:highlight w:val="none"/>
              </w:rPr>
              <w:t>对事前绩效报告中提出的问题进行整改落实。</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s="Times New Roman"/>
                <w:color w:val="000000"/>
                <w:kern w:val="0"/>
                <w:sz w:val="24"/>
                <w:szCs w:val="22"/>
                <w:highlight w:val="none"/>
                <w:lang w:val="en-US" w:eastAsia="zh-CN" w:bidi="ar-SA"/>
              </w:rPr>
              <w:t>6.</w:t>
            </w:r>
            <w:r>
              <w:rPr>
                <w:rFonts w:hint="eastAsia" w:ascii="宋体" w:hAnsi="宋体"/>
                <w:color w:val="000000"/>
                <w:kern w:val="0"/>
                <w:sz w:val="24"/>
                <w:szCs w:val="22"/>
                <w:highlight w:val="none"/>
              </w:rPr>
              <w:t>严格执行预算绩效一体化管理要求，认真科学编制绩效目标申报表，重视项目效益指标的细化、量化，做到可衡量、可评价，客观准确体现项目目标和目的作用。</w:t>
            </w:r>
          </w:p>
          <w:p>
            <w:pPr>
              <w:widowControl/>
              <w:numPr>
                <w:ilvl w:val="0"/>
                <w:numId w:val="0"/>
              </w:numPr>
              <w:spacing w:line="500" w:lineRule="exact"/>
              <w:ind w:firstLine="480" w:firstLineChars="200"/>
              <w:jc w:val="left"/>
              <w:rPr>
                <w:rFonts w:hint="eastAsia" w:ascii="宋体" w:hAnsi="宋体"/>
                <w:color w:val="000000"/>
                <w:kern w:val="0"/>
                <w:sz w:val="24"/>
                <w:szCs w:val="22"/>
                <w:highlight w:val="none"/>
              </w:rPr>
            </w:pPr>
            <w:r>
              <w:rPr>
                <w:rFonts w:hint="eastAsia" w:ascii="宋体" w:hAnsi="宋体" w:cs="Times New Roman"/>
                <w:color w:val="000000"/>
                <w:kern w:val="0"/>
                <w:sz w:val="24"/>
                <w:szCs w:val="22"/>
                <w:highlight w:val="none"/>
                <w:lang w:val="en-US" w:eastAsia="zh-CN" w:bidi="ar-SA"/>
              </w:rPr>
              <w:t>7.</w:t>
            </w:r>
            <w:r>
              <w:rPr>
                <w:rFonts w:hint="eastAsia" w:ascii="宋体" w:hAnsi="宋体"/>
                <w:color w:val="000000"/>
                <w:kern w:val="0"/>
                <w:sz w:val="24"/>
                <w:szCs w:val="22"/>
                <w:highlight w:val="none"/>
              </w:rPr>
              <w:t>进一步加强项目成果利用和成果的挖掘、凝练和积累呈现，做好项目满意度分析，用客观数据和资料支撑项目效益。</w:t>
            </w:r>
          </w:p>
          <w:p>
            <w:pPr>
              <w:widowControl/>
              <w:spacing w:line="500" w:lineRule="exact"/>
              <w:ind w:firstLine="480" w:firstLineChars="200"/>
              <w:jc w:val="left"/>
              <w:rPr>
                <w:rFonts w:ascii="宋体" w:hAnsi="宋体"/>
                <w:color w:val="000000"/>
                <w:kern w:val="0"/>
                <w:sz w:val="24"/>
                <w:szCs w:val="22"/>
                <w:highlight w:val="none"/>
              </w:rPr>
            </w:pPr>
            <w:r>
              <w:rPr>
                <w:rFonts w:hint="eastAsia" w:ascii="宋体" w:hAnsi="宋体" w:cs="Times New Roman"/>
                <w:color w:val="000000"/>
                <w:kern w:val="0"/>
                <w:sz w:val="24"/>
                <w:szCs w:val="22"/>
                <w:highlight w:val="none"/>
                <w:lang w:val="en-US" w:eastAsia="zh-CN" w:bidi="ar-SA"/>
              </w:rPr>
              <w:t>8</w:t>
            </w:r>
            <w:r>
              <w:rPr>
                <w:rFonts w:hint="eastAsia" w:ascii="宋体" w:hAnsi="宋体" w:eastAsia="宋体" w:cs="Times New Roman"/>
                <w:color w:val="000000"/>
                <w:kern w:val="0"/>
                <w:sz w:val="24"/>
                <w:szCs w:val="22"/>
                <w:highlight w:val="none"/>
                <w:lang w:val="en-US" w:eastAsia="zh-CN" w:bidi="ar-SA"/>
              </w:rPr>
              <w:t>.</w:t>
            </w:r>
            <w:r>
              <w:rPr>
                <w:rFonts w:hint="eastAsia" w:ascii="宋体" w:hAnsi="宋体"/>
                <w:color w:val="000000"/>
                <w:kern w:val="0"/>
                <w:sz w:val="24"/>
                <w:szCs w:val="22"/>
                <w:highlight w:val="none"/>
              </w:rPr>
              <w:t>合理制定项目用户满意度指标。根据项目的用户分不同层次、不同维度的用户满意度指标，切实发挥用户满意度指标对项目的指导和反馈作用。</w:t>
            </w:r>
          </w:p>
          <w:p>
            <w:pPr>
              <w:spacing w:beforeLines="50"/>
              <w:ind w:right="2049" w:rightChars="976"/>
              <w:jc w:val="center"/>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val="en-US" w:eastAsia="zh-CN"/>
              </w:rPr>
              <w:drawing>
                <wp:anchor distT="0" distB="0" distL="114300" distR="114300" simplePos="0" relativeHeight="251662336" behindDoc="0" locked="0" layoutInCell="1" allowOverlap="1">
                  <wp:simplePos x="0" y="0"/>
                  <wp:positionH relativeFrom="column">
                    <wp:posOffset>4246245</wp:posOffset>
                  </wp:positionH>
                  <wp:positionV relativeFrom="paragraph">
                    <wp:posOffset>30480</wp:posOffset>
                  </wp:positionV>
                  <wp:extent cx="1005840" cy="594360"/>
                  <wp:effectExtent l="0" t="0" r="3810" b="5715"/>
                  <wp:wrapSquare wrapText="bothSides"/>
                  <wp:docPr id="4" name="图片 4" descr="af65362bdfea016379eb27f45e073f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af65362bdfea016379eb27f45e073f0"/>
                          <pic:cNvPicPr>
                            <a:picLocks noChangeAspect="true"/>
                          </pic:cNvPicPr>
                        </pic:nvPicPr>
                        <pic:blipFill>
                          <a:blip r:embed="rId8"/>
                          <a:stretch>
                            <a:fillRect/>
                          </a:stretch>
                        </pic:blipFill>
                        <pic:spPr>
                          <a:xfrm>
                            <a:off x="0" y="0"/>
                            <a:ext cx="1005840" cy="594360"/>
                          </a:xfrm>
                          <a:prstGeom prst="rect">
                            <a:avLst/>
                          </a:prstGeom>
                        </pic:spPr>
                      </pic:pic>
                    </a:graphicData>
                  </a:graphic>
                </wp:anchor>
              </w:drawing>
            </w:r>
            <w:r>
              <w:rPr>
                <w:rFonts w:hint="eastAsia" w:ascii="仿宋_GB2312" w:hAnsi="仿宋_GB2312" w:eastAsia="仿宋_GB2312" w:cs="仿宋_GB2312"/>
                <w:sz w:val="24"/>
                <w:highlight w:val="none"/>
              </w:rPr>
              <w:t xml:space="preserve">                      </w:t>
            </w:r>
            <w:r>
              <w:rPr>
                <w:rFonts w:hint="eastAsia" w:ascii="仿宋_GB2312" w:hAnsi="仿宋_GB2312" w:eastAsia="仿宋_GB2312" w:cs="仿宋_GB2312"/>
                <w:sz w:val="24"/>
                <w:highlight w:val="none"/>
                <w:lang w:val="en-US" w:eastAsia="zh-CN"/>
              </w:rPr>
              <w:t xml:space="preserve">   </w:t>
            </w:r>
            <w:r>
              <w:rPr>
                <w:rFonts w:hint="eastAsia" w:ascii="仿宋_GB2312" w:hAnsi="仿宋_GB2312" w:eastAsia="仿宋_GB2312" w:cs="仿宋_GB2312"/>
                <w:sz w:val="24"/>
                <w:highlight w:val="none"/>
              </w:rPr>
              <w:t xml:space="preserve">       专家组组长：</w:t>
            </w:r>
          </w:p>
          <w:p>
            <w:pPr>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 xml:space="preserve">                                 </w:t>
            </w:r>
            <w:r>
              <w:rPr>
                <w:rFonts w:ascii="仿宋_GB2312" w:hAnsi="仿宋_GB2312" w:eastAsia="仿宋_GB2312" w:cs="仿宋_GB2312"/>
                <w:sz w:val="24"/>
                <w:highlight w:val="none"/>
              </w:rPr>
              <w:t>202</w:t>
            </w: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rPr>
              <w:t>年</w:t>
            </w: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rPr>
              <w:t xml:space="preserve">月 </w:t>
            </w:r>
            <w:r>
              <w:rPr>
                <w:rFonts w:hint="eastAsia" w:ascii="仿宋_GB2312" w:hAnsi="仿宋_GB2312" w:eastAsia="仿宋_GB2312" w:cs="仿宋_GB2312"/>
                <w:sz w:val="24"/>
                <w:highlight w:val="none"/>
                <w:lang w:val="en-US" w:eastAsia="zh-CN"/>
              </w:rPr>
              <w:t>9</w:t>
            </w:r>
            <w:r>
              <w:rPr>
                <w:rFonts w:hint="eastAsia" w:ascii="仿宋_GB2312" w:hAnsi="仿宋_GB2312" w:eastAsia="仿宋_GB2312" w:cs="仿宋_GB2312"/>
                <w:sz w:val="24"/>
                <w:highlight w:val="none"/>
              </w:rPr>
              <w:t>日</w:t>
            </w:r>
          </w:p>
          <w:p>
            <w:pPr>
              <w:jc w:val="right"/>
              <w:rPr>
                <w:rFonts w:ascii="宋体" w:hAnsi="宋体"/>
                <w:sz w:val="24"/>
                <w:highlight w:val="none"/>
              </w:rPr>
            </w:pPr>
          </w:p>
        </w:tc>
      </w:tr>
    </w:tbl>
    <w:p>
      <w:pPr>
        <w:pStyle w:val="5"/>
        <w:spacing w:line="560" w:lineRule="exact"/>
        <w:ind w:firstLine="420" w:firstLineChars="200"/>
        <w:rPr>
          <w:rFonts w:hint="eastAsia"/>
          <w:highlight w:val="none"/>
          <w:lang w:val="en-US" w:eastAsia="zh-CN"/>
        </w:rPr>
        <w:sectPr>
          <w:pgSz w:w="11906" w:h="16838"/>
          <w:pgMar w:top="2098" w:right="1474" w:bottom="1985" w:left="1588" w:header="851" w:footer="992" w:gutter="0"/>
          <w:pgBorders>
            <w:top w:val="none" w:sz="0" w:space="0"/>
            <w:left w:val="none" w:sz="0" w:space="0"/>
            <w:bottom w:val="none" w:sz="0" w:space="0"/>
            <w:right w:val="none" w:sz="0" w:space="0"/>
          </w:pgBorders>
          <w:cols w:space="720" w:num="1"/>
          <w:docGrid w:type="linesAndChars" w:linePitch="312" w:charSpace="0"/>
        </w:sectPr>
      </w:pPr>
    </w:p>
    <w:p>
      <w:pPr>
        <w:spacing w:line="560" w:lineRule="exact"/>
        <w:jc w:val="left"/>
        <w:rPr>
          <w:rFonts w:hint="eastAsia" w:ascii="黑体" w:hAnsi="黑体" w:eastAsia="黑体"/>
          <w:bCs/>
          <w:kern w:val="0"/>
          <w:sz w:val="32"/>
          <w:szCs w:val="28"/>
          <w:highlight w:val="none"/>
          <w:lang w:val="en-US" w:eastAsia="zh-CN"/>
        </w:rPr>
      </w:pPr>
      <w:r>
        <w:rPr>
          <w:rFonts w:ascii="黑体" w:hAnsi="黑体" w:eastAsia="黑体"/>
          <w:bCs/>
          <w:kern w:val="0"/>
          <w:sz w:val="32"/>
          <w:szCs w:val="28"/>
          <w:highlight w:val="none"/>
        </w:rPr>
        <w:t>附</w:t>
      </w:r>
      <w:r>
        <w:rPr>
          <w:rFonts w:hint="eastAsia" w:ascii="黑体" w:hAnsi="黑体" w:eastAsia="黑体"/>
          <w:bCs/>
          <w:kern w:val="0"/>
          <w:sz w:val="32"/>
          <w:szCs w:val="28"/>
          <w:highlight w:val="none"/>
        </w:rPr>
        <w:t>件</w:t>
      </w:r>
      <w:r>
        <w:rPr>
          <w:rFonts w:hint="eastAsia" w:ascii="黑体" w:hAnsi="黑体" w:eastAsia="黑体"/>
          <w:bCs/>
          <w:kern w:val="0"/>
          <w:sz w:val="32"/>
          <w:szCs w:val="28"/>
          <w:highlight w:val="none"/>
          <w:lang w:val="en-US" w:eastAsia="zh-CN"/>
        </w:rPr>
        <w:t>4</w:t>
      </w:r>
    </w:p>
    <w:p>
      <w:pPr>
        <w:keepNext w:val="0"/>
        <w:keepLines w:val="0"/>
        <w:pageBreakBefore w:val="0"/>
        <w:widowControl w:val="0"/>
        <w:kinsoku/>
        <w:wordWrap/>
        <w:overflowPunct/>
        <w:topLinePunct w:val="0"/>
        <w:autoSpaceDE/>
        <w:autoSpaceDN/>
        <w:bidi w:val="0"/>
        <w:adjustRightInd/>
        <w:snapToGrid/>
        <w:spacing w:after="157" w:afterLines="50" w:line="560" w:lineRule="exact"/>
        <w:ind w:firstLine="0" w:firstLineChars="0"/>
        <w:jc w:val="center"/>
        <w:textAlignment w:val="auto"/>
        <w:rPr>
          <w:rFonts w:hint="eastAsia"/>
          <w:highlight w:val="none"/>
        </w:rPr>
      </w:pPr>
      <w:bookmarkStart w:id="49" w:name="_Toc515867883"/>
      <w:r>
        <w:rPr>
          <w:rFonts w:hint="eastAsia" w:ascii="方正小标宋简体" w:hAnsi="仿宋_GB2312" w:eastAsia="方正小标宋简体" w:cs="仿宋_GB2312"/>
          <w:sz w:val="44"/>
          <w:szCs w:val="44"/>
          <w:highlight w:val="none"/>
        </w:rPr>
        <w:t>项目支出指标体系及评分情况表</w:t>
      </w:r>
      <w:bookmarkEnd w:id="49"/>
    </w:p>
    <w:tbl>
      <w:tblPr>
        <w:tblStyle w:val="10"/>
        <w:tblW w:w="9480"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27"/>
        <w:gridCol w:w="1428"/>
        <w:gridCol w:w="2361"/>
        <w:gridCol w:w="761"/>
        <w:gridCol w:w="810"/>
        <w:gridCol w:w="2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blHeader/>
        </w:trPr>
        <w:tc>
          <w:tcPr>
            <w:tcW w:w="122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一级指标</w:t>
            </w:r>
          </w:p>
        </w:tc>
        <w:tc>
          <w:tcPr>
            <w:tcW w:w="14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二级指标</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三级指标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分值</w:t>
            </w:r>
          </w:p>
        </w:tc>
        <w:tc>
          <w:tcPr>
            <w:tcW w:w="81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得分</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bCs/>
                <w:color w:val="000000"/>
                <w:kern w:val="0"/>
                <w:sz w:val="22"/>
                <w:highlight w:val="none"/>
              </w:rPr>
            </w:pPr>
            <w:r>
              <w:rPr>
                <w:rFonts w:hint="eastAsia" w:ascii="宋体" w:hAnsi="宋体" w:cs="宋体"/>
                <w:b/>
                <w:bCs/>
                <w:color w:val="000000"/>
                <w:kern w:val="0"/>
                <w:sz w:val="22"/>
                <w:highlight w:val="none"/>
              </w:rPr>
              <w:t>扣分理由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决策</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（1</w:t>
            </w:r>
            <w:r>
              <w:rPr>
                <w:rFonts w:ascii="宋体" w:hAnsi="宋体" w:cs="宋体"/>
                <w:color w:val="000000"/>
                <w:kern w:val="0"/>
                <w:sz w:val="22"/>
                <w:highlight w:val="none"/>
              </w:rPr>
              <w:t>0</w:t>
            </w:r>
            <w:r>
              <w:rPr>
                <w:rFonts w:hint="eastAsia" w:ascii="宋体" w:hAnsi="宋体" w:cs="宋体"/>
                <w:color w:val="000000"/>
                <w:kern w:val="0"/>
                <w:sz w:val="22"/>
                <w:highlight w:val="none"/>
              </w:rPr>
              <w:t>分）</w:t>
            </w: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项目立项</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立项依据充分性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2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1.87 </w:t>
            </w:r>
          </w:p>
        </w:tc>
        <w:tc>
          <w:tcPr>
            <w:tcW w:w="2893" w:type="dxa"/>
            <w:shd w:val="clear" w:color="auto" w:fill="auto"/>
            <w:vAlign w:val="center"/>
          </w:tcPr>
          <w:p>
            <w:pPr>
              <w:keepNext w:val="0"/>
              <w:keepLines w:val="0"/>
              <w:widowControl/>
              <w:suppressLineNumbers w:val="0"/>
              <w:jc w:val="left"/>
              <w:textAlignment w:val="center"/>
              <w:rPr>
                <w:rFonts w:hint="default" w:ascii="宋体" w:hAnsi="宋体" w:eastAsia="宋体" w:cs="宋体"/>
                <w:color w:val="000000"/>
                <w:kern w:val="0"/>
                <w:sz w:val="22"/>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乡村振兴专家咨询委员会的年度工作规划不明确。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立项程序规范性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2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1.70 </w:t>
            </w:r>
          </w:p>
        </w:tc>
        <w:tc>
          <w:tcPr>
            <w:tcW w:w="2893" w:type="dxa"/>
            <w:shd w:val="clear" w:color="auto" w:fill="auto"/>
            <w:vAlign w:val="center"/>
          </w:tcPr>
          <w:p>
            <w:pPr>
              <w:keepNext w:val="0"/>
              <w:keepLines w:val="0"/>
              <w:widowControl/>
              <w:suppressLineNumbers w:val="0"/>
              <w:jc w:val="left"/>
              <w:textAlignment w:val="center"/>
              <w:rPr>
                <w:rFonts w:hint="default" w:ascii="宋体" w:hAnsi="宋体" w:eastAsia="宋体"/>
                <w:color w:val="000000"/>
                <w:sz w:val="22"/>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未就事前绩效报告提出的问题进行整改。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绩效目标</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绩效目标合理性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2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1.93 </w:t>
            </w:r>
          </w:p>
        </w:tc>
        <w:tc>
          <w:tcPr>
            <w:tcW w:w="2893"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质量指标设置不全面；社会效益指标量化不足</w:t>
            </w:r>
            <w:r>
              <w:rPr>
                <w:rFonts w:hint="eastAsia" w:ascii="宋体" w:hAnsi="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t>“持续开展智库建设”未设定具体指标</w:t>
            </w:r>
            <w:r>
              <w:rPr>
                <w:rFonts w:hint="eastAsia" w:ascii="宋体" w:hAnsi="宋体" w:cs="宋体"/>
                <w:i w:val="0"/>
                <w:iCs w:val="0"/>
                <w:color w:val="000000"/>
                <w:kern w:val="0"/>
                <w:sz w:val="22"/>
                <w:szCs w:val="22"/>
                <w:highlight w:val="none"/>
                <w:u w:val="none"/>
                <w:lang w:val="en-US" w:eastAsia="zh-CN" w:bidi="ar"/>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绩效指标明确性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0.60 </w:t>
            </w:r>
          </w:p>
        </w:tc>
        <w:tc>
          <w:tcPr>
            <w:tcW w:w="2893" w:type="dxa"/>
            <w:vMerge w:val="continue"/>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资金投入</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预算编制科学性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2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1.43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预算申报729.895万元，审定619.895万元，审减110万元，审减率15.07。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资金分配合理性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color w:val="000000"/>
                <w:kern w:val="0"/>
                <w:sz w:val="22"/>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 xml:space="preserve">0.83 </w:t>
            </w:r>
          </w:p>
        </w:tc>
        <w:tc>
          <w:tcPr>
            <w:tcW w:w="2893"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highlight w:val="none"/>
                <w:u w:val="none"/>
                <w:lang w:val="en-US" w:eastAsia="zh-CN" w:bidi="ar-SA"/>
              </w:rPr>
            </w:pPr>
            <w:r>
              <w:rPr>
                <w:rFonts w:hint="eastAsia" w:ascii="宋体" w:hAnsi="宋体" w:eastAsia="宋体" w:cs="宋体"/>
                <w:i w:val="0"/>
                <w:iCs w:val="0"/>
                <w:color w:val="000000"/>
                <w:kern w:val="0"/>
                <w:sz w:val="22"/>
                <w:szCs w:val="22"/>
                <w:highlight w:val="none"/>
                <w:u w:val="none"/>
                <w:lang w:val="en-US" w:eastAsia="zh-CN" w:bidi="ar"/>
              </w:rPr>
              <w:t>经费分配平均体现</w:t>
            </w:r>
            <w:r>
              <w:rPr>
                <w:rFonts w:hint="eastAsia" w:ascii="宋体" w:hAnsi="宋体" w:cs="宋体"/>
                <w:i w:val="0"/>
                <w:iCs w:val="0"/>
                <w:color w:val="000000"/>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过程</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（2</w:t>
            </w:r>
            <w:r>
              <w:rPr>
                <w:rFonts w:ascii="宋体" w:hAnsi="宋体" w:cs="宋体"/>
                <w:color w:val="000000"/>
                <w:kern w:val="0"/>
                <w:sz w:val="22"/>
                <w:highlight w:val="none"/>
              </w:rPr>
              <w:t>0</w:t>
            </w:r>
            <w:r>
              <w:rPr>
                <w:rFonts w:hint="eastAsia" w:ascii="宋体" w:hAnsi="宋体" w:cs="宋体"/>
                <w:color w:val="000000"/>
                <w:kern w:val="0"/>
                <w:sz w:val="22"/>
                <w:highlight w:val="none"/>
              </w:rPr>
              <w:t>分）</w:t>
            </w: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资金管理</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资金到位率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2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2.00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预算执行率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2"/>
                <w:highlight w:val="none"/>
                <w:lang w:eastAsia="zh-CN"/>
              </w:rPr>
            </w:pPr>
            <w:r>
              <w:rPr>
                <w:rFonts w:hint="eastAsia" w:ascii="宋体" w:hAnsi="宋体" w:eastAsia="宋体" w:cs="Times New Roman"/>
                <w:color w:val="000000"/>
                <w:sz w:val="22"/>
                <w:highlight w:val="none"/>
                <w:lang w:val="en-US" w:eastAsia="zh-CN"/>
              </w:rPr>
              <w:t xml:space="preserve">5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5.00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ascii="宋体" w:hAnsi="宋体" w:cs="宋体"/>
                <w:color w:val="000000"/>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资金使用合规性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0"/>
                <w:sz w:val="22"/>
                <w:highlight w:val="none"/>
                <w:lang w:eastAsia="zh-CN"/>
              </w:rPr>
            </w:pPr>
            <w:r>
              <w:rPr>
                <w:rFonts w:hint="eastAsia" w:ascii="宋体" w:hAnsi="宋体" w:eastAsia="宋体" w:cs="Times New Roman"/>
                <w:color w:val="000000"/>
                <w:sz w:val="22"/>
                <w:highlight w:val="none"/>
                <w:lang w:val="en-US" w:eastAsia="zh-CN"/>
              </w:rPr>
              <w:t xml:space="preserve">3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2.67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对各单位申报课题的经费预算未做审核。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组织实施</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管理制度健全性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5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4.67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过程性资料待完善。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制度执行有效性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5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4.33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rPr>
              <w:t>中期评估发现个别课题“研究方向偏离”“调研不足”，未见要求跟踪整改方案。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产出</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（4</w:t>
            </w:r>
            <w:r>
              <w:rPr>
                <w:rFonts w:ascii="宋体" w:hAnsi="宋体" w:cs="宋体"/>
                <w:color w:val="000000"/>
                <w:kern w:val="0"/>
                <w:sz w:val="22"/>
                <w:highlight w:val="none"/>
              </w:rPr>
              <w:t>0</w:t>
            </w:r>
            <w:r>
              <w:rPr>
                <w:rFonts w:hint="eastAsia" w:ascii="宋体" w:hAnsi="宋体" w:cs="宋体"/>
                <w:color w:val="000000"/>
                <w:kern w:val="0"/>
                <w:sz w:val="22"/>
                <w:highlight w:val="none"/>
              </w:rPr>
              <w:t>分）</w:t>
            </w:r>
          </w:p>
        </w:tc>
        <w:tc>
          <w:tcPr>
            <w:tcW w:w="14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产出数量</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实际完成率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10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9.53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完成调研课题任务指标≥25项，实际完成24次。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产出质量</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质量达标率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10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9.00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质量控制不够充分。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产出时效</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完成及时性</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10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9.67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default" w:ascii="宋体" w:hAnsi="宋体" w:eastAsia="宋体" w:cs="宋体"/>
                <w:color w:val="000000"/>
                <w:kern w:val="0"/>
                <w:sz w:val="22"/>
                <w:highlight w:val="none"/>
                <w:lang w:val="en-US" w:eastAsia="zh-CN"/>
              </w:rPr>
            </w:pPr>
            <w:r>
              <w:rPr>
                <w:rFonts w:hint="eastAsia" w:ascii="宋体" w:hAnsi="宋体" w:cs="宋体"/>
                <w:color w:val="000000"/>
                <w:kern w:val="0"/>
                <w:sz w:val="22"/>
                <w:highlight w:val="none"/>
                <w:lang w:val="en-US" w:eastAsia="zh-CN"/>
              </w:rPr>
              <w:t>9月底未按进度完成。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产出成本</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sz w:val="22"/>
                <w:highlight w:val="none"/>
              </w:rPr>
              <w:t>成本节约率</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Times New Roman"/>
                <w:color w:val="000000"/>
                <w:sz w:val="22"/>
                <w:highlight w:val="none"/>
                <w:lang w:val="en-US" w:eastAsia="zh-CN"/>
              </w:rPr>
              <w:t xml:space="preserve">10 </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8.00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r>
              <w:rPr>
                <w:rFonts w:hint="eastAsia" w:ascii="宋体" w:hAnsi="宋体" w:cs="宋体"/>
                <w:color w:val="000000"/>
                <w:kern w:val="0"/>
                <w:sz w:val="22"/>
                <w:highlight w:val="none"/>
              </w:rPr>
              <w:t>项目支出金额减少，主要系由于撤销</w:t>
            </w:r>
            <w:r>
              <w:rPr>
                <w:rFonts w:hint="eastAsia" w:ascii="宋体" w:hAnsi="宋体" w:cs="宋体"/>
                <w:color w:val="000000"/>
                <w:kern w:val="0"/>
                <w:sz w:val="22"/>
                <w:highlight w:val="none"/>
                <w:lang w:eastAsia="zh-CN"/>
              </w:rPr>
              <w:t>个别</w:t>
            </w:r>
            <w:r>
              <w:rPr>
                <w:rFonts w:hint="eastAsia" w:ascii="宋体" w:hAnsi="宋体" w:cs="宋体"/>
                <w:color w:val="000000"/>
                <w:kern w:val="0"/>
                <w:sz w:val="22"/>
                <w:highlight w:val="none"/>
              </w:rPr>
              <w:t>课题所致。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27"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效益</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（3</w:t>
            </w:r>
            <w:r>
              <w:rPr>
                <w:rFonts w:ascii="宋体" w:hAnsi="宋体" w:cs="宋体"/>
                <w:color w:val="000000"/>
                <w:kern w:val="0"/>
                <w:sz w:val="22"/>
                <w:highlight w:val="none"/>
              </w:rPr>
              <w:t>0</w:t>
            </w:r>
            <w:r>
              <w:rPr>
                <w:rFonts w:hint="eastAsia" w:ascii="宋体" w:hAnsi="宋体" w:cs="宋体"/>
                <w:color w:val="000000"/>
                <w:kern w:val="0"/>
                <w:sz w:val="22"/>
                <w:highlight w:val="none"/>
              </w:rPr>
              <w:t>分）</w:t>
            </w:r>
          </w:p>
        </w:tc>
        <w:tc>
          <w:tcPr>
            <w:tcW w:w="1428"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项目效益</w:t>
            </w:r>
          </w:p>
        </w:tc>
        <w:tc>
          <w:tcPr>
            <w:tcW w:w="23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产生的社会效益</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olor w:val="000000"/>
                <w:sz w:val="22"/>
                <w:highlight w:val="none"/>
              </w:rPr>
              <w:t>10</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8.17 </w:t>
            </w:r>
          </w:p>
        </w:tc>
        <w:tc>
          <w:tcPr>
            <w:tcW w:w="2893"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color w:val="000000"/>
                <w:kern w:val="0"/>
                <w:sz w:val="22"/>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资料和数据支撑略显不足</w:t>
            </w:r>
            <w:r>
              <w:rPr>
                <w:rFonts w:hint="eastAsia" w:ascii="宋体" w:hAnsi="宋体" w:cs="宋体"/>
                <w:i w:val="0"/>
                <w:iCs w:val="0"/>
                <w:color w:val="000000"/>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auto"/>
              <w:rPr>
                <w:rFonts w:hint="default" w:ascii="宋体" w:hAnsi="宋体" w:cs="宋体"/>
                <w:color w:val="000000"/>
                <w:kern w:val="0"/>
                <w:sz w:val="22"/>
                <w:highlight w:val="none"/>
                <w:lang w:val="en-US"/>
              </w:rPr>
            </w:pPr>
            <w:r>
              <w:rPr>
                <w:rFonts w:hint="eastAsia" w:ascii="宋体" w:hAnsi="宋体" w:eastAsia="宋体" w:cs="宋体"/>
                <w:i w:val="0"/>
                <w:iCs w:val="0"/>
                <w:color w:val="000000"/>
                <w:kern w:val="0"/>
                <w:sz w:val="22"/>
                <w:szCs w:val="22"/>
                <w:highlight w:val="none"/>
                <w:u w:val="none"/>
                <w:lang w:val="en-US" w:eastAsia="zh-CN" w:bidi="ar"/>
              </w:rPr>
              <w:t>产生的</w:t>
            </w:r>
            <w:r>
              <w:rPr>
                <w:rFonts w:hint="eastAsia" w:ascii="宋体" w:hAnsi="宋体" w:cs="宋体"/>
                <w:i w:val="0"/>
                <w:iCs w:val="0"/>
                <w:color w:val="000000"/>
                <w:kern w:val="0"/>
                <w:sz w:val="22"/>
                <w:szCs w:val="22"/>
                <w:highlight w:val="none"/>
                <w:u w:val="none"/>
                <w:lang w:val="en-US" w:eastAsia="zh-CN" w:bidi="ar"/>
              </w:rPr>
              <w:t>可持续影响</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olor w:val="000000"/>
                <w:sz w:val="22"/>
                <w:highlight w:val="none"/>
              </w:rPr>
              <w:t>10</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7.50 </w:t>
            </w:r>
          </w:p>
        </w:tc>
        <w:tc>
          <w:tcPr>
            <w:tcW w:w="2893" w:type="dxa"/>
            <w:vMerge w:val="continue"/>
            <w:shd w:val="clear" w:color="auto" w:fill="auto"/>
            <w:vAlign w:val="center"/>
          </w:tcPr>
          <w:p>
            <w:pPr>
              <w:keepNext w:val="0"/>
              <w:keepLines w:val="0"/>
              <w:widowControl/>
              <w:suppressLineNumbers w:val="0"/>
              <w:jc w:val="left"/>
              <w:textAlignment w:val="center"/>
              <w:rPr>
                <w:rFonts w:hint="default" w:ascii="宋体" w:hAnsi="宋体" w:eastAsia="宋体" w:cs="宋体"/>
                <w:color w:val="000000"/>
                <w:kern w:val="0"/>
                <w:sz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122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142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ascii="宋体" w:hAnsi="宋体" w:cs="宋体"/>
                <w:color w:val="000000"/>
                <w:kern w:val="0"/>
                <w:sz w:val="22"/>
                <w:highlight w:val="none"/>
              </w:rPr>
            </w:pP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s="宋体"/>
                <w:color w:val="000000"/>
                <w:kern w:val="0"/>
                <w:sz w:val="22"/>
                <w:highlight w:val="none"/>
              </w:rPr>
              <w:t>服务对象满意度</w:t>
            </w: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color w:val="000000"/>
                <w:kern w:val="0"/>
                <w:sz w:val="22"/>
                <w:highlight w:val="none"/>
              </w:rPr>
            </w:pPr>
            <w:r>
              <w:rPr>
                <w:rFonts w:hint="eastAsia" w:ascii="宋体" w:hAnsi="宋体"/>
                <w:color w:val="000000"/>
                <w:sz w:val="22"/>
                <w:highlight w:val="none"/>
              </w:rPr>
              <w:t>10</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宋体" w:hAnsi="宋体" w:cs="宋体"/>
                <w:color w:val="000000"/>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 xml:space="preserve">7.67 </w:t>
            </w:r>
          </w:p>
        </w:tc>
        <w:tc>
          <w:tcPr>
            <w:tcW w:w="2893" w:type="dxa"/>
            <w:shd w:val="clear" w:color="auto" w:fill="auto"/>
            <w:vAlign w:val="center"/>
          </w:tcPr>
          <w:p>
            <w:pPr>
              <w:keepNext w:val="0"/>
              <w:keepLines w:val="0"/>
              <w:widowControl/>
              <w:suppressLineNumbers w:val="0"/>
              <w:jc w:val="center"/>
              <w:textAlignment w:val="center"/>
              <w:rPr>
                <w:rFonts w:hint="default" w:ascii="宋体" w:hAnsi="宋体" w:eastAsia="宋体" w:cs="宋体"/>
                <w:color w:val="000000"/>
                <w:kern w:val="0"/>
                <w:sz w:val="22"/>
                <w:highlight w:val="none"/>
                <w:lang w:val="en-US" w:eastAsia="zh-CN"/>
              </w:rPr>
            </w:pPr>
            <w:r>
              <w:rPr>
                <w:rFonts w:hint="eastAsia" w:ascii="宋体" w:hAnsi="宋体" w:eastAsia="宋体" w:cs="宋体"/>
                <w:i w:val="0"/>
                <w:iCs w:val="0"/>
                <w:color w:val="000000"/>
                <w:kern w:val="0"/>
                <w:sz w:val="22"/>
                <w:szCs w:val="22"/>
                <w:highlight w:val="none"/>
                <w:u w:val="none"/>
                <w:lang w:val="en-US" w:eastAsia="zh-CN" w:bidi="ar"/>
              </w:rPr>
              <w:t>满意度问卷形式单一、样本量较少，缺少全面客观性且没有项目满意度分析报告</w:t>
            </w:r>
            <w:r>
              <w:rPr>
                <w:rFonts w:hint="eastAsia" w:ascii="宋体" w:hAnsi="宋体" w:cs="宋体"/>
                <w:i w:val="0"/>
                <w:iCs w:val="0"/>
                <w:color w:val="000000"/>
                <w:kern w:val="0"/>
                <w:sz w:val="22"/>
                <w:szCs w:val="22"/>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655" w:type="dxa"/>
            <w:gridSpan w:val="2"/>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highlight w:val="none"/>
              </w:rPr>
            </w:pPr>
            <w:r>
              <w:rPr>
                <w:rFonts w:hint="eastAsia" w:ascii="宋体" w:hAnsi="宋体" w:cs="宋体"/>
                <w:b/>
                <w:color w:val="000000"/>
                <w:kern w:val="0"/>
                <w:sz w:val="22"/>
                <w:highlight w:val="none"/>
              </w:rPr>
              <w:t>合计</w:t>
            </w:r>
          </w:p>
        </w:tc>
        <w:tc>
          <w:tcPr>
            <w:tcW w:w="23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highlight w:val="none"/>
              </w:rPr>
            </w:pPr>
          </w:p>
        </w:tc>
        <w:tc>
          <w:tcPr>
            <w:tcW w:w="76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highlight w:val="none"/>
              </w:rPr>
            </w:pPr>
            <w:r>
              <w:rPr>
                <w:rFonts w:hint="eastAsia" w:ascii="宋体" w:hAnsi="宋体" w:cs="宋体"/>
                <w:b/>
                <w:color w:val="000000"/>
                <w:kern w:val="0"/>
                <w:sz w:val="22"/>
                <w:highlight w:val="none"/>
              </w:rPr>
              <w:t>100</w:t>
            </w:r>
          </w:p>
        </w:tc>
        <w:tc>
          <w:tcPr>
            <w:tcW w:w="81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cs="宋体"/>
                <w:b/>
                <w:color w:val="000000"/>
                <w:kern w:val="0"/>
                <w:sz w:val="22"/>
                <w:highlight w:val="none"/>
                <w:lang w:val="en-US"/>
              </w:rPr>
            </w:pPr>
            <w:r>
              <w:rPr>
                <w:rFonts w:hint="eastAsia" w:ascii="宋体" w:hAnsi="宋体" w:eastAsia="宋体" w:cs="宋体"/>
                <w:b/>
                <w:bCs/>
                <w:i w:val="0"/>
                <w:iCs w:val="0"/>
                <w:color w:val="000000"/>
                <w:kern w:val="0"/>
                <w:sz w:val="22"/>
                <w:szCs w:val="22"/>
                <w:highlight w:val="none"/>
                <w:u w:val="none"/>
                <w:lang w:val="en-US" w:eastAsia="zh-CN" w:bidi="ar"/>
              </w:rPr>
              <w:t xml:space="preserve">86.57 </w:t>
            </w:r>
          </w:p>
        </w:tc>
        <w:tc>
          <w:tcPr>
            <w:tcW w:w="289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b/>
                <w:color w:val="000000"/>
                <w:kern w:val="0"/>
                <w:sz w:val="22"/>
                <w:highlight w:val="none"/>
              </w:rPr>
            </w:pPr>
          </w:p>
        </w:tc>
      </w:tr>
    </w:tbl>
    <w:p>
      <w:pPr>
        <w:rPr>
          <w:highlight w:val="none"/>
        </w:rPr>
      </w:pPr>
    </w:p>
    <w:sectPr>
      <w:pgSz w:w="11906" w:h="16838"/>
      <w:pgMar w:top="2098" w:right="1474" w:bottom="1985" w:left="1588"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10000" w:usb3="00000001" w:csb0="00010101" w:csb1="00000000"/>
  </w:font>
  <w:font w:name="楷体">
    <w:altName w:val="方正楷体_GBK"/>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11</w:t>
    </w:r>
    <w:r>
      <w:rPr>
        <w:rFonts w:ascii="宋体" w:hAnsi="宋体"/>
        <w:sz w:val="21"/>
        <w:szCs w:val="21"/>
      </w:rPr>
      <w:fldChar w:fldCharType="end"/>
    </w:r>
  </w:p>
  <w:p>
    <w:pPr>
      <w:pStyle w:val="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13</w:t>
    </w:r>
    <w:r>
      <w:rPr>
        <w:rFonts w:ascii="宋体" w:hAnsi="宋体"/>
        <w:sz w:val="21"/>
        <w:szCs w:val="21"/>
      </w:rPr>
      <w:fldChar w:fldCharType="end"/>
    </w:r>
  </w:p>
  <w:p>
    <w:pPr>
      <w:pStyle w:val="6"/>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55574E"/>
    <w:rsid w:val="017D7944"/>
    <w:rsid w:val="01893E80"/>
    <w:rsid w:val="022D6BD4"/>
    <w:rsid w:val="03022479"/>
    <w:rsid w:val="0339649D"/>
    <w:rsid w:val="04D80CE6"/>
    <w:rsid w:val="05D32A1C"/>
    <w:rsid w:val="070579F5"/>
    <w:rsid w:val="07DC0503"/>
    <w:rsid w:val="086016FD"/>
    <w:rsid w:val="089632D4"/>
    <w:rsid w:val="092B07CE"/>
    <w:rsid w:val="09B77034"/>
    <w:rsid w:val="0A580FC7"/>
    <w:rsid w:val="0BB52366"/>
    <w:rsid w:val="0D16137A"/>
    <w:rsid w:val="0DAB10A3"/>
    <w:rsid w:val="0DCA14C2"/>
    <w:rsid w:val="0EA40F5C"/>
    <w:rsid w:val="0FCA3304"/>
    <w:rsid w:val="0FE863E6"/>
    <w:rsid w:val="113B2D40"/>
    <w:rsid w:val="11DD3DDA"/>
    <w:rsid w:val="11E46932"/>
    <w:rsid w:val="129555D3"/>
    <w:rsid w:val="13AE23E0"/>
    <w:rsid w:val="14A979BF"/>
    <w:rsid w:val="169F376F"/>
    <w:rsid w:val="16CA24CD"/>
    <w:rsid w:val="17B92A9E"/>
    <w:rsid w:val="180F6832"/>
    <w:rsid w:val="1AEA48DA"/>
    <w:rsid w:val="1B5F7719"/>
    <w:rsid w:val="1BCC2910"/>
    <w:rsid w:val="1C101915"/>
    <w:rsid w:val="1CDA2E0B"/>
    <w:rsid w:val="1D181B85"/>
    <w:rsid w:val="1D634F95"/>
    <w:rsid w:val="1F1F2628"/>
    <w:rsid w:val="1F6E0793"/>
    <w:rsid w:val="1F88441D"/>
    <w:rsid w:val="20A04C9E"/>
    <w:rsid w:val="20DB35F6"/>
    <w:rsid w:val="220964A4"/>
    <w:rsid w:val="24221676"/>
    <w:rsid w:val="24284DA4"/>
    <w:rsid w:val="247F6D78"/>
    <w:rsid w:val="25241E10"/>
    <w:rsid w:val="26EC2E07"/>
    <w:rsid w:val="270D21E3"/>
    <w:rsid w:val="2756393C"/>
    <w:rsid w:val="27E15995"/>
    <w:rsid w:val="288523D1"/>
    <w:rsid w:val="291E22D1"/>
    <w:rsid w:val="292C7A9D"/>
    <w:rsid w:val="2A385C74"/>
    <w:rsid w:val="2E0878BB"/>
    <w:rsid w:val="2E9A064C"/>
    <w:rsid w:val="2EE47DE0"/>
    <w:rsid w:val="30DA5747"/>
    <w:rsid w:val="31F87921"/>
    <w:rsid w:val="32170C88"/>
    <w:rsid w:val="329A7713"/>
    <w:rsid w:val="34BA5036"/>
    <w:rsid w:val="353211CE"/>
    <w:rsid w:val="35BA4170"/>
    <w:rsid w:val="366C370F"/>
    <w:rsid w:val="3823719B"/>
    <w:rsid w:val="38CC3CB1"/>
    <w:rsid w:val="3A934325"/>
    <w:rsid w:val="3AFD1187"/>
    <w:rsid w:val="3B1E77A1"/>
    <w:rsid w:val="3D154119"/>
    <w:rsid w:val="3F4563B2"/>
    <w:rsid w:val="3F5016C1"/>
    <w:rsid w:val="3F662D2C"/>
    <w:rsid w:val="41BF117A"/>
    <w:rsid w:val="41F85FC5"/>
    <w:rsid w:val="42202ED3"/>
    <w:rsid w:val="42A00D01"/>
    <w:rsid w:val="42C910F7"/>
    <w:rsid w:val="44821BB7"/>
    <w:rsid w:val="45E525F7"/>
    <w:rsid w:val="4628097C"/>
    <w:rsid w:val="481805CA"/>
    <w:rsid w:val="483F5283"/>
    <w:rsid w:val="486C5F17"/>
    <w:rsid w:val="48A71E8C"/>
    <w:rsid w:val="490270C2"/>
    <w:rsid w:val="4A2445C6"/>
    <w:rsid w:val="4A572436"/>
    <w:rsid w:val="4BCB40E3"/>
    <w:rsid w:val="4C84691E"/>
    <w:rsid w:val="4C9D6696"/>
    <w:rsid w:val="4E35193A"/>
    <w:rsid w:val="4EC725B0"/>
    <w:rsid w:val="50757EB0"/>
    <w:rsid w:val="50A53155"/>
    <w:rsid w:val="50CF3868"/>
    <w:rsid w:val="522F1649"/>
    <w:rsid w:val="52E642AB"/>
    <w:rsid w:val="53253ACD"/>
    <w:rsid w:val="535C0B74"/>
    <w:rsid w:val="54433B65"/>
    <w:rsid w:val="54DF51CB"/>
    <w:rsid w:val="55BE0D81"/>
    <w:rsid w:val="56511311"/>
    <w:rsid w:val="56701B0F"/>
    <w:rsid w:val="5A267A56"/>
    <w:rsid w:val="5A9E23B0"/>
    <w:rsid w:val="5B2E628D"/>
    <w:rsid w:val="5C2A6C04"/>
    <w:rsid w:val="5E1F4F11"/>
    <w:rsid w:val="5E745D55"/>
    <w:rsid w:val="5F471C86"/>
    <w:rsid w:val="5F922AF6"/>
    <w:rsid w:val="5FEF4B78"/>
    <w:rsid w:val="60C10C6B"/>
    <w:rsid w:val="61157849"/>
    <w:rsid w:val="611C189C"/>
    <w:rsid w:val="616F44C9"/>
    <w:rsid w:val="62D60F4C"/>
    <w:rsid w:val="64AE0E8A"/>
    <w:rsid w:val="65006CC3"/>
    <w:rsid w:val="65314B5F"/>
    <w:rsid w:val="65454EE5"/>
    <w:rsid w:val="65BB098D"/>
    <w:rsid w:val="66015089"/>
    <w:rsid w:val="665C32BA"/>
    <w:rsid w:val="66BA2932"/>
    <w:rsid w:val="67A96C2F"/>
    <w:rsid w:val="69353622"/>
    <w:rsid w:val="69AE1840"/>
    <w:rsid w:val="6A27139E"/>
    <w:rsid w:val="6B3B73C7"/>
    <w:rsid w:val="6B5669B7"/>
    <w:rsid w:val="6E385475"/>
    <w:rsid w:val="6F3C4EEE"/>
    <w:rsid w:val="6FC75E64"/>
    <w:rsid w:val="725D0E4E"/>
    <w:rsid w:val="726E1C8C"/>
    <w:rsid w:val="729F1036"/>
    <w:rsid w:val="72B507C0"/>
    <w:rsid w:val="72EB27F1"/>
    <w:rsid w:val="73FFD5FD"/>
    <w:rsid w:val="76360227"/>
    <w:rsid w:val="76933ED8"/>
    <w:rsid w:val="77BF115A"/>
    <w:rsid w:val="77E4630B"/>
    <w:rsid w:val="78263CC5"/>
    <w:rsid w:val="789007C9"/>
    <w:rsid w:val="78970D25"/>
    <w:rsid w:val="78C63990"/>
    <w:rsid w:val="78C95383"/>
    <w:rsid w:val="7A6EFF89"/>
    <w:rsid w:val="7ADE57FC"/>
    <w:rsid w:val="7B041F22"/>
    <w:rsid w:val="7B25086A"/>
    <w:rsid w:val="7B3049E2"/>
    <w:rsid w:val="7BBBF9D7"/>
    <w:rsid w:val="7D2F28C3"/>
    <w:rsid w:val="7D48697A"/>
    <w:rsid w:val="7D4A0A5C"/>
    <w:rsid w:val="7D880CE5"/>
    <w:rsid w:val="7DAA32B5"/>
    <w:rsid w:val="96F7917D"/>
    <w:rsid w:val="BFCDA624"/>
    <w:rsid w:val="EF5B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next w:val="4"/>
    <w:qFormat/>
    <w:uiPriority w:val="0"/>
    <w:pPr>
      <w:widowControl/>
      <w:spacing w:after="120" w:line="360" w:lineRule="auto"/>
      <w:ind w:firstLine="0" w:firstLineChars="0"/>
      <w:jc w:val="left"/>
    </w:pPr>
    <w:rPr>
      <w:rFonts w:ascii="Calibri" w:hAnsi="Calibri" w:eastAsia="宋体" w:cs="Times New Roman"/>
      <w:kern w:val="0"/>
      <w:sz w:val="24"/>
      <w:szCs w:val="24"/>
      <w:lang w:val="en-US" w:eastAsia="en-US" w:bidi="en-US"/>
    </w:rPr>
  </w:style>
  <w:style w:type="paragraph" w:customStyle="1" w:styleId="4">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Block Text"/>
    <w:basedOn w:val="1"/>
    <w:qFormat/>
    <w:uiPriority w:val="0"/>
    <w:pPr>
      <w:spacing w:after="120"/>
      <w:ind w:left="1440" w:leftChars="700" w:right="1440" w:rightChars="7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unhideWhenUsed/>
    <w:qFormat/>
    <w:uiPriority w:val="99"/>
    <w:rPr>
      <w:color w:val="0000FF"/>
      <w:u w:val="single"/>
    </w:rPr>
  </w:style>
  <w:style w:type="paragraph" w:customStyle="1" w:styleId="14">
    <w:name w:val="正文1"/>
    <w:basedOn w:val="1"/>
    <w:next w:val="1"/>
    <w:qFormat/>
    <w:uiPriority w:val="0"/>
    <w:pPr>
      <w:widowControl w:val="0"/>
      <w:suppressAutoHyphens/>
      <w:spacing w:line="576" w:lineRule="exact"/>
      <w:ind w:firstLine="640" w:firstLineChars="200"/>
      <w:jc w:val="both"/>
    </w:pPr>
    <w:rPr>
      <w:rFonts w:ascii="仿宋" w:hAnsi="仿宋" w:eastAsia="仿宋_GB2312" w:cs="Calibri"/>
      <w:kern w:val="2"/>
      <w:sz w:val="32"/>
      <w:szCs w:val="32"/>
    </w:rPr>
  </w:style>
  <w:style w:type="paragraph" w:customStyle="1" w:styleId="15">
    <w:name w:val="报告正文"/>
    <w:qFormat/>
    <w:uiPriority w:val="0"/>
    <w:pPr>
      <w:spacing w:line="360" w:lineRule="auto"/>
      <w:ind w:firstLine="200" w:firstLineChars="200"/>
    </w:pPr>
    <w:rPr>
      <w:rFonts w:ascii="Calibri" w:hAnsi="Calibri" w:eastAsia="宋体" w:cs="Times New Roman"/>
      <w:kern w:val="2"/>
      <w:sz w:val="28"/>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9616</Words>
  <Characters>10616</Characters>
  <Lines>0</Lines>
  <Paragraphs>0</Paragraphs>
  <TotalTime>19</TotalTime>
  <ScaleCrop>false</ScaleCrop>
  <LinksUpToDate>false</LinksUpToDate>
  <CharactersWithSpaces>11061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2023-05-20T15:19:00Z</dcterms:created>
  <dc:creator>90994</dc:creator>
  <cp:lastModifiedBy>nyncj</cp:lastModifiedBy>
  <cp:lastPrinted>2023-05-25T10:42:00Z</cp:lastPrinted>
  <dcterms:modified xsi:type="dcterms:W3CDTF">2025-08-25T17:37:46Z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8BE8962A7E4B4B71A8FB1F79D41BE539_13</vt:lpwstr>
  </property>
  <property fmtid="{D5CDD505-2E9C-101B-9397-08002B2CF9AE}" pid="4" name="KSOTemplateDocerSaveRecord">
    <vt:lpwstr>eyJoZGlkIjoiMTA2ZjJiNmRlMGExZTRhZDNmYTFkYmY0ODhhNTVkYzIiLCJ1c2VySWQiOiI5MzMwNTU0MDYifQ==</vt:lpwstr>
  </property>
</Properties>
</file>