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27325"/>
      <w:bookmarkStart w:id="1" w:name="_Toc2502"/>
    </w:p>
    <w:p>
      <w:pPr>
        <w:rPr>
          <w:rFonts w:hint="eastAsia" w:ascii="宋体" w:hAnsi="宋体" w:cs="宋体"/>
          <w:b/>
          <w:bCs/>
          <w:sz w:val="44"/>
          <w:szCs w:val="44"/>
        </w:rPr>
      </w:pPr>
    </w:p>
    <w:p>
      <w:pPr>
        <w:spacing w:line="360" w:lineRule="auto"/>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北京市财政支出项目</w:t>
      </w:r>
    </w:p>
    <w:p>
      <w:pPr>
        <w:spacing w:line="360" w:lineRule="auto"/>
        <w:jc w:val="center"/>
        <w:rPr>
          <w:rFonts w:hint="eastAsia" w:ascii="宋体" w:hAnsi="宋体" w:cs="宋体"/>
          <w:b/>
          <w:bCs/>
          <w:sz w:val="44"/>
          <w:szCs w:val="44"/>
        </w:rPr>
      </w:pPr>
      <w:r>
        <w:rPr>
          <w:rFonts w:hint="eastAsia" w:ascii="方正小标宋简体" w:hAnsi="方正小标宋简体" w:eastAsia="方正小标宋简体" w:cs="方正小标宋简体"/>
          <w:b/>
          <w:bCs/>
          <w:sz w:val="44"/>
          <w:szCs w:val="44"/>
        </w:rPr>
        <w:t>绩效评价报告</w:t>
      </w:r>
      <w:bookmarkEnd w:id="0"/>
      <w:bookmarkEnd w:id="1"/>
    </w:p>
    <w:p>
      <w:pPr>
        <w:spacing w:before="100" w:beforeAutospacing="1" w:after="100" w:afterAutospacing="1" w:line="360" w:lineRule="auto"/>
        <w:rPr>
          <w:rFonts w:hint="eastAsia" w:ascii="宋体" w:hAnsi="宋体"/>
          <w:b/>
          <w:sz w:val="36"/>
          <w:szCs w:val="36"/>
        </w:rPr>
      </w:pPr>
    </w:p>
    <w:p>
      <w:pPr>
        <w:pStyle w:val="13"/>
        <w:ind w:firstLine="640"/>
      </w:pPr>
    </w:p>
    <w:p>
      <w:pPr>
        <w:snapToGrid w:val="0"/>
        <w:spacing w:after="240" w:line="360" w:lineRule="auto"/>
        <w:ind w:firstLine="640" w:firstLineChars="200"/>
        <w:rPr>
          <w:rFonts w:hint="eastAsia" w:ascii="楷体" w:hAnsi="楷体" w:eastAsia="楷体" w:cs="仿宋_GB2312"/>
          <w:sz w:val="32"/>
          <w:szCs w:val="32"/>
          <w:u w:val="single"/>
        </w:rPr>
      </w:pPr>
      <w:r>
        <w:rPr>
          <w:rFonts w:hint="eastAsia" w:ascii="楷体" w:hAnsi="楷体" w:eastAsia="楷体" w:cs="仿宋_GB2312"/>
          <w:sz w:val="32"/>
          <w:szCs w:val="32"/>
        </w:rPr>
        <w:t>主管部门：</w:t>
      </w:r>
      <w:r>
        <w:rPr>
          <w:rFonts w:hint="eastAsia" w:ascii="楷体" w:hAnsi="楷体" w:eastAsia="楷体" w:cs="仿宋_GB2312"/>
          <w:sz w:val="32"/>
          <w:szCs w:val="32"/>
          <w:u w:val="single"/>
        </w:rPr>
        <w:t xml:space="preserve">北京市丰台区人民检察院        </w:t>
      </w:r>
    </w:p>
    <w:p>
      <w:pPr>
        <w:snapToGrid w:val="0"/>
        <w:spacing w:after="240" w:line="360" w:lineRule="auto"/>
        <w:ind w:firstLine="640" w:firstLineChars="200"/>
        <w:rPr>
          <w:rFonts w:hint="eastAsia" w:ascii="楷体" w:hAnsi="楷体" w:eastAsia="楷体" w:cs="仿宋_GB2312"/>
          <w:sz w:val="32"/>
          <w:szCs w:val="32"/>
          <w:u w:val="single"/>
        </w:rPr>
      </w:pPr>
      <w:r>
        <w:rPr>
          <w:rFonts w:hint="eastAsia" w:ascii="楷体" w:hAnsi="楷体" w:eastAsia="楷体" w:cs="仿宋_GB2312"/>
          <w:sz w:val="32"/>
          <w:szCs w:val="32"/>
        </w:rPr>
        <w:t>部门名称：</w:t>
      </w:r>
      <w:r>
        <w:rPr>
          <w:rFonts w:hint="eastAsia" w:ascii="楷体" w:hAnsi="楷体" w:eastAsia="楷体" w:cs="仿宋_GB2312"/>
          <w:sz w:val="32"/>
          <w:szCs w:val="32"/>
          <w:u w:val="single"/>
        </w:rPr>
        <w:t>北京市丰台区人民检察院（本级）</w:t>
      </w:r>
    </w:p>
    <w:p>
      <w:pPr>
        <w:snapToGrid w:val="0"/>
        <w:spacing w:after="240" w:line="360" w:lineRule="auto"/>
        <w:ind w:firstLine="640" w:firstLineChars="200"/>
        <w:rPr>
          <w:rFonts w:hint="eastAsia" w:ascii="楷体" w:hAnsi="楷体" w:eastAsia="楷体" w:cs="仿宋_GB2312"/>
          <w:sz w:val="32"/>
          <w:szCs w:val="32"/>
        </w:rPr>
      </w:pPr>
      <w:r>
        <w:rPr>
          <w:rFonts w:hint="eastAsia" w:ascii="楷体" w:hAnsi="楷体" w:eastAsia="楷体" w:cs="仿宋_GB2312"/>
          <w:sz w:val="32"/>
          <w:szCs w:val="32"/>
        </w:rPr>
        <w:t>项目名称：</w:t>
      </w:r>
      <w:r>
        <w:rPr>
          <w:rFonts w:hint="eastAsia" w:ascii="楷体" w:hAnsi="楷体" w:eastAsia="楷体" w:cs="仿宋_GB2312"/>
          <w:sz w:val="30"/>
          <w:szCs w:val="30"/>
          <w:u w:val="single"/>
        </w:rPr>
        <w:t xml:space="preserve">信息化运维费                    </w:t>
      </w:r>
      <w:r>
        <w:rPr>
          <w:rFonts w:hint="eastAsia" w:ascii="楷体" w:hAnsi="楷体" w:eastAsia="楷体" w:cs="仿宋_GB2312"/>
          <w:sz w:val="32"/>
          <w:szCs w:val="32"/>
        </w:rPr>
        <w:t xml:space="preserve"> </w:t>
      </w:r>
    </w:p>
    <w:p>
      <w:pPr>
        <w:snapToGrid w:val="0"/>
        <w:spacing w:after="240" w:line="360" w:lineRule="auto"/>
        <w:ind w:firstLine="640" w:firstLineChars="200"/>
        <w:rPr>
          <w:rFonts w:hint="eastAsia" w:ascii="楷体" w:hAnsi="楷体" w:eastAsia="楷体" w:cs="仿宋_GB2312"/>
          <w:sz w:val="32"/>
          <w:szCs w:val="32"/>
        </w:rPr>
      </w:pPr>
      <w:r>
        <w:rPr>
          <w:rFonts w:hint="eastAsia" w:ascii="楷体" w:hAnsi="楷体" w:eastAsia="楷体" w:cs="仿宋_GB2312"/>
          <w:sz w:val="32"/>
          <w:szCs w:val="32"/>
        </w:rPr>
        <w:t>评价单位：</w:t>
      </w:r>
      <w:r>
        <w:rPr>
          <w:rFonts w:hint="eastAsia" w:ascii="楷体" w:hAnsi="楷体" w:eastAsia="楷体" w:cs="仿宋_GB2312"/>
          <w:sz w:val="32"/>
          <w:szCs w:val="32"/>
          <w:u w:val="single"/>
        </w:rPr>
        <w:t xml:space="preserve">北京市丰台区人民检察院        </w:t>
      </w:r>
    </w:p>
    <w:p>
      <w:pPr>
        <w:rPr>
          <w:rFonts w:hint="eastAsia" w:ascii="宋体" w:hAnsi="宋体"/>
          <w:sz w:val="36"/>
          <w:szCs w:val="36"/>
        </w:rPr>
      </w:pPr>
    </w:p>
    <w:p>
      <w:pPr>
        <w:rPr>
          <w:rFonts w:hint="eastAsia" w:ascii="宋体" w:hAnsi="宋体"/>
          <w:sz w:val="36"/>
          <w:szCs w:val="36"/>
        </w:rPr>
      </w:pPr>
    </w:p>
    <w:p>
      <w:pPr>
        <w:rPr>
          <w:rFonts w:hint="eastAsia" w:ascii="宋体" w:hAnsi="宋体"/>
          <w:sz w:val="36"/>
          <w:szCs w:val="36"/>
        </w:rPr>
      </w:pPr>
    </w:p>
    <w:p>
      <w:pPr>
        <w:rPr>
          <w:rFonts w:hint="eastAsia" w:ascii="宋体" w:hAnsi="宋体"/>
          <w:sz w:val="36"/>
          <w:szCs w:val="36"/>
        </w:rPr>
      </w:pPr>
    </w:p>
    <w:p>
      <w:pPr>
        <w:rPr>
          <w:rFonts w:hint="eastAsia" w:ascii="宋体" w:hAnsi="宋体"/>
          <w:b/>
          <w:bCs/>
          <w:szCs w:val="32"/>
        </w:rPr>
      </w:pPr>
    </w:p>
    <w:p>
      <w:pPr>
        <w:jc w:val="center"/>
        <w:rPr>
          <w:rFonts w:hint="eastAsia" w:ascii="宋体" w:hAnsi="宋体" w:eastAsia="仿宋_GB2312" w:cs="宋体"/>
          <w:b/>
          <w:sz w:val="32"/>
          <w:szCs w:val="32"/>
        </w:rPr>
      </w:pPr>
      <w:r>
        <w:rPr>
          <w:rFonts w:hint="eastAsia" w:ascii="宋体" w:hAnsi="宋体" w:eastAsia="仿宋_GB2312" w:cs="宋体"/>
          <w:b/>
          <w:sz w:val="32"/>
          <w:szCs w:val="32"/>
        </w:rPr>
        <w:t>北京市丰台区人民检察院</w:t>
      </w:r>
    </w:p>
    <w:p>
      <w:pPr>
        <w:jc w:val="center"/>
        <w:rPr>
          <w:rFonts w:hint="eastAsia" w:ascii="宋体" w:hAnsi="宋体" w:eastAsia="仿宋_GB2312" w:cs="宋体"/>
          <w:b/>
          <w:sz w:val="32"/>
          <w:szCs w:val="32"/>
        </w:rPr>
      </w:pPr>
      <w:r>
        <w:rPr>
          <w:rFonts w:hint="eastAsia" w:ascii="宋体" w:hAnsi="宋体" w:eastAsia="仿宋_GB2312" w:cs="宋体"/>
          <w:b/>
          <w:sz w:val="32"/>
          <w:szCs w:val="32"/>
        </w:rPr>
        <w:t>二〇二五年五月</w:t>
      </w:r>
    </w:p>
    <w:p>
      <w:pPr>
        <w:jc w:val="center"/>
        <w:rPr>
          <w:rFonts w:hint="eastAsia" w:ascii="宋体" w:hAnsi="宋体" w:eastAsia="仿宋_GB2312" w:cs="宋体"/>
          <w:b/>
          <w:sz w:val="32"/>
          <w:szCs w:val="32"/>
        </w:rPr>
        <w:sectPr>
          <w:footerReference r:id="rId3" w:type="default"/>
          <w:pgSz w:w="11906" w:h="16838"/>
          <w:pgMar w:top="1440" w:right="1800" w:bottom="1440" w:left="1800" w:header="851" w:footer="992" w:gutter="0"/>
          <w:pgNumType w:fmt="numberInDash"/>
          <w:cols w:space="425" w:num="1"/>
          <w:titlePg/>
          <w:docGrid w:type="lines" w:linePitch="312" w:charSpace="0"/>
        </w:sectPr>
      </w:pPr>
    </w:p>
    <w:sdt>
      <w:sdtPr>
        <w:rPr>
          <w:rFonts w:ascii="Times New Roman" w:hAnsi="Times New Roman" w:eastAsia="宋体" w:cs="Times New Roman"/>
          <w:color w:val="auto"/>
          <w:kern w:val="2"/>
          <w:sz w:val="21"/>
          <w:szCs w:val="24"/>
        </w:rPr>
        <w:id w:val="147481320"/>
        <w15:color w:val="DBDBDB"/>
        <w:docPartObj>
          <w:docPartGallery w:val="Table of Contents"/>
          <w:docPartUnique/>
        </w:docPartObj>
      </w:sdtPr>
      <w:sdtEndPr>
        <w:rPr>
          <w:rFonts w:ascii="Times New Roman" w:hAnsi="Times New Roman" w:eastAsia="宋体" w:cs="Times New Roman"/>
          <w:bCs/>
          <w:color w:val="auto"/>
          <w:kern w:val="2"/>
          <w:sz w:val="21"/>
          <w:szCs w:val="24"/>
          <w:lang w:val="zh-CN"/>
        </w:rPr>
      </w:sdtEndPr>
      <w:sdtContent>
        <w:p>
          <w:pPr>
            <w:pStyle w:val="21"/>
            <w:spacing w:line="360" w:lineRule="auto"/>
            <w:jc w:val="center"/>
            <w:rPr>
              <w:rFonts w:ascii="Times New Roman" w:hAnsi="Times New Roman" w:eastAsia="宋体" w:cs="Times New Roman"/>
              <w:color w:val="auto"/>
              <w:kern w:val="2"/>
              <w:sz w:val="21"/>
              <w:szCs w:val="24"/>
              <w:lang w:val="zh-CN"/>
            </w:rPr>
          </w:pPr>
          <w:r>
            <w:rPr>
              <w:rFonts w:ascii="Times New Roman" w:hAnsi="Times New Roman" w:eastAsia="宋体" w:cs="Times New Roman"/>
              <w:color w:val="auto"/>
              <w:kern w:val="2"/>
              <w:lang w:val="zh-CN"/>
            </w:rPr>
            <w:t>目</w:t>
          </w:r>
          <w:r>
            <w:rPr>
              <w:rFonts w:hint="eastAsia" w:ascii="Times New Roman" w:hAnsi="Times New Roman" w:eastAsia="宋体" w:cs="Times New Roman"/>
              <w:color w:val="auto"/>
              <w:kern w:val="2"/>
            </w:rPr>
            <w:t xml:space="preserve">  </w:t>
          </w:r>
          <w:r>
            <w:rPr>
              <w:rFonts w:ascii="Times New Roman" w:hAnsi="Times New Roman" w:eastAsia="宋体" w:cs="Times New Roman"/>
              <w:color w:val="auto"/>
              <w:kern w:val="2"/>
              <w:lang w:val="zh-CN"/>
            </w:rPr>
            <w:t>录</w:t>
          </w:r>
        </w:p>
        <w:p>
          <w:pPr>
            <w:pStyle w:val="11"/>
            <w:tabs>
              <w:tab w:val="right" w:leader="dot" w:pos="8312"/>
              <w:tab w:val="clear" w:pos="8302"/>
            </w:tabs>
            <w:spacing w:line="360" w:lineRule="auto"/>
            <w:rPr>
              <w:rFonts w:ascii="Times New Roman" w:hAnsi="Times New Roman" w:eastAsia="黑体"/>
              <w:b w:val="0"/>
              <w:sz w:val="24"/>
              <w:szCs w:val="24"/>
            </w:rPr>
          </w:pPr>
          <w:r>
            <w:rPr>
              <w:rFonts w:ascii="Times New Roman" w:hAnsi="Times New Roman"/>
              <w:sz w:val="24"/>
              <w:szCs w:val="24"/>
              <w:lang w:val="zh-CN"/>
            </w:rPr>
            <w:fldChar w:fldCharType="begin"/>
          </w:r>
          <w:r>
            <w:rPr>
              <w:rFonts w:ascii="Times New Roman" w:hAnsi="Times New Roman"/>
              <w:sz w:val="24"/>
              <w:szCs w:val="24"/>
              <w:lang w:val="zh-CN"/>
            </w:rPr>
            <w:instrText xml:space="preserve">TOC \o "1-2" \h \u </w:instrText>
          </w:r>
          <w:r>
            <w:rPr>
              <w:rFonts w:ascii="Times New Roman" w:hAnsi="Times New Roman"/>
              <w:sz w:val="24"/>
              <w:szCs w:val="24"/>
              <w:lang w:val="zh-CN"/>
            </w:rPr>
            <w:fldChar w:fldCharType="separate"/>
          </w:r>
          <w:r>
            <w:fldChar w:fldCharType="begin"/>
          </w:r>
          <w:r>
            <w:instrText xml:space="preserve"> HYPERLINK \l "_Toc17068" </w:instrText>
          </w:r>
          <w:r>
            <w:fldChar w:fldCharType="separate"/>
          </w:r>
          <w:r>
            <w:rPr>
              <w:rFonts w:ascii="Times New Roman" w:hAnsi="Times New Roman" w:eastAsia="黑体"/>
              <w:b w:val="0"/>
              <w:sz w:val="24"/>
              <w:szCs w:val="24"/>
            </w:rPr>
            <w:t>一、基本情况</w:t>
          </w:r>
          <w:r>
            <w:rPr>
              <w:rFonts w:ascii="Times New Roman" w:hAnsi="Times New Roman" w:eastAsia="黑体"/>
              <w:b w:val="0"/>
              <w:sz w:val="24"/>
              <w:szCs w:val="24"/>
            </w:rPr>
            <w:tab/>
          </w:r>
          <w:r>
            <w:rPr>
              <w:rFonts w:ascii="Times New Roman" w:hAnsi="Times New Roman" w:eastAsia="黑体"/>
              <w:b w:val="0"/>
              <w:sz w:val="24"/>
              <w:szCs w:val="24"/>
            </w:rPr>
            <w:fldChar w:fldCharType="begin"/>
          </w:r>
          <w:r>
            <w:rPr>
              <w:rFonts w:ascii="Times New Roman" w:hAnsi="Times New Roman" w:eastAsia="黑体"/>
              <w:b w:val="0"/>
              <w:sz w:val="24"/>
              <w:szCs w:val="24"/>
            </w:rPr>
            <w:instrText xml:space="preserve"> PAGEREF _Toc17068 \h </w:instrText>
          </w:r>
          <w:r>
            <w:rPr>
              <w:rFonts w:ascii="Times New Roman" w:hAnsi="Times New Roman" w:eastAsia="黑体"/>
              <w:b w:val="0"/>
              <w:sz w:val="24"/>
              <w:szCs w:val="24"/>
            </w:rPr>
            <w:fldChar w:fldCharType="separate"/>
          </w:r>
          <w:r>
            <w:rPr>
              <w:rFonts w:ascii="Times New Roman" w:hAnsi="Times New Roman" w:eastAsia="黑体"/>
              <w:b w:val="0"/>
              <w:sz w:val="24"/>
              <w:szCs w:val="24"/>
            </w:rPr>
            <w:t>- 1 -</w:t>
          </w:r>
          <w:r>
            <w:rPr>
              <w:rFonts w:ascii="Times New Roman" w:hAnsi="Times New Roman" w:eastAsia="黑体"/>
              <w:b w:val="0"/>
              <w:sz w:val="24"/>
              <w:szCs w:val="24"/>
            </w:rPr>
            <w:fldChar w:fldCharType="end"/>
          </w:r>
          <w:r>
            <w:rPr>
              <w:rFonts w:ascii="Times New Roman" w:hAnsi="Times New Roman" w:eastAsia="黑体"/>
              <w:b w:val="0"/>
              <w:sz w:val="24"/>
              <w:szCs w:val="24"/>
            </w:rPr>
            <w:fldChar w:fldCharType="end"/>
          </w:r>
        </w:p>
        <w:p>
          <w:pPr>
            <w:pStyle w:val="12"/>
            <w:tabs>
              <w:tab w:val="right" w:leader="dot" w:pos="8312"/>
            </w:tabs>
            <w:spacing w:line="360" w:lineRule="auto"/>
            <w:rPr>
              <w:sz w:val="24"/>
              <w:szCs w:val="24"/>
            </w:rPr>
          </w:pPr>
          <w:r>
            <w:fldChar w:fldCharType="begin"/>
          </w:r>
          <w:r>
            <w:instrText xml:space="preserve"> HYPERLINK \l "_Toc1517" </w:instrText>
          </w:r>
          <w:r>
            <w:fldChar w:fldCharType="separate"/>
          </w:r>
          <w:r>
            <w:rPr>
              <w:rFonts w:eastAsia="楷体"/>
              <w:sz w:val="24"/>
              <w:szCs w:val="24"/>
            </w:rPr>
            <w:t>（一）项目概况</w:t>
          </w:r>
          <w:r>
            <w:rPr>
              <w:sz w:val="24"/>
              <w:szCs w:val="24"/>
            </w:rPr>
            <w:tab/>
          </w:r>
          <w:r>
            <w:rPr>
              <w:sz w:val="24"/>
              <w:szCs w:val="24"/>
            </w:rPr>
            <w:fldChar w:fldCharType="begin"/>
          </w:r>
          <w:r>
            <w:rPr>
              <w:sz w:val="24"/>
              <w:szCs w:val="24"/>
            </w:rPr>
            <w:instrText xml:space="preserve"> PAGEREF _Toc1517 \h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2"/>
            <w:tabs>
              <w:tab w:val="right" w:leader="dot" w:pos="8312"/>
            </w:tabs>
            <w:spacing w:line="360" w:lineRule="auto"/>
            <w:rPr>
              <w:sz w:val="24"/>
              <w:szCs w:val="24"/>
            </w:rPr>
          </w:pPr>
          <w:r>
            <w:fldChar w:fldCharType="begin"/>
          </w:r>
          <w:r>
            <w:instrText xml:space="preserve"> HYPERLINK \l "_Toc7310" </w:instrText>
          </w:r>
          <w:r>
            <w:fldChar w:fldCharType="separate"/>
          </w:r>
          <w:r>
            <w:rPr>
              <w:rFonts w:eastAsia="楷体"/>
              <w:sz w:val="24"/>
              <w:szCs w:val="24"/>
            </w:rPr>
            <w:t>（二）项目绩效目标</w:t>
          </w:r>
          <w:r>
            <w:rPr>
              <w:sz w:val="24"/>
              <w:szCs w:val="24"/>
            </w:rPr>
            <w:tab/>
          </w:r>
          <w:r>
            <w:rPr>
              <w:sz w:val="24"/>
              <w:szCs w:val="24"/>
            </w:rPr>
            <w:fldChar w:fldCharType="begin"/>
          </w:r>
          <w:r>
            <w:rPr>
              <w:sz w:val="24"/>
              <w:szCs w:val="24"/>
            </w:rPr>
            <w:instrText xml:space="preserve"> PAGEREF _Toc7310 \h </w:instrText>
          </w:r>
          <w:r>
            <w:rPr>
              <w:sz w:val="24"/>
              <w:szCs w:val="24"/>
            </w:rPr>
            <w:fldChar w:fldCharType="separate"/>
          </w:r>
          <w:r>
            <w:rPr>
              <w:sz w:val="24"/>
              <w:szCs w:val="24"/>
            </w:rPr>
            <w:t>- 3 -</w:t>
          </w:r>
          <w:r>
            <w:rPr>
              <w:sz w:val="24"/>
              <w:szCs w:val="24"/>
            </w:rPr>
            <w:fldChar w:fldCharType="end"/>
          </w:r>
          <w:r>
            <w:rPr>
              <w:sz w:val="24"/>
              <w:szCs w:val="24"/>
            </w:rPr>
            <w:fldChar w:fldCharType="end"/>
          </w:r>
        </w:p>
        <w:p>
          <w:pPr>
            <w:pStyle w:val="11"/>
            <w:tabs>
              <w:tab w:val="right" w:leader="dot" w:pos="8312"/>
              <w:tab w:val="clear" w:pos="8302"/>
            </w:tabs>
            <w:spacing w:line="360" w:lineRule="auto"/>
            <w:rPr>
              <w:rFonts w:ascii="Times New Roman" w:hAnsi="Times New Roman" w:eastAsia="黑体"/>
              <w:b w:val="0"/>
              <w:sz w:val="24"/>
              <w:szCs w:val="24"/>
            </w:rPr>
          </w:pPr>
          <w:r>
            <w:fldChar w:fldCharType="begin"/>
          </w:r>
          <w:r>
            <w:instrText xml:space="preserve"> HYPERLINK \l "_Toc15659" </w:instrText>
          </w:r>
          <w:r>
            <w:fldChar w:fldCharType="separate"/>
          </w:r>
          <w:r>
            <w:rPr>
              <w:rFonts w:ascii="Times New Roman" w:hAnsi="Times New Roman" w:eastAsia="黑体"/>
              <w:b w:val="0"/>
              <w:sz w:val="24"/>
              <w:szCs w:val="24"/>
            </w:rPr>
            <w:t>二、绩效评价工作开展情况</w:t>
          </w:r>
          <w:r>
            <w:rPr>
              <w:rFonts w:ascii="Times New Roman" w:hAnsi="Times New Roman" w:eastAsia="黑体"/>
              <w:b w:val="0"/>
              <w:sz w:val="24"/>
              <w:szCs w:val="24"/>
            </w:rPr>
            <w:tab/>
          </w:r>
          <w:r>
            <w:rPr>
              <w:rFonts w:ascii="Times New Roman" w:hAnsi="Times New Roman" w:eastAsia="黑体"/>
              <w:b w:val="0"/>
              <w:sz w:val="24"/>
              <w:szCs w:val="24"/>
            </w:rPr>
            <w:fldChar w:fldCharType="begin"/>
          </w:r>
          <w:r>
            <w:rPr>
              <w:rFonts w:ascii="Times New Roman" w:hAnsi="Times New Roman" w:eastAsia="黑体"/>
              <w:b w:val="0"/>
              <w:sz w:val="24"/>
              <w:szCs w:val="24"/>
            </w:rPr>
            <w:instrText xml:space="preserve"> PAGEREF _Toc15659 \h </w:instrText>
          </w:r>
          <w:r>
            <w:rPr>
              <w:rFonts w:ascii="Times New Roman" w:hAnsi="Times New Roman" w:eastAsia="黑体"/>
              <w:b w:val="0"/>
              <w:sz w:val="24"/>
              <w:szCs w:val="24"/>
            </w:rPr>
            <w:fldChar w:fldCharType="separate"/>
          </w:r>
          <w:r>
            <w:rPr>
              <w:rFonts w:ascii="Times New Roman" w:hAnsi="Times New Roman" w:eastAsia="黑体"/>
              <w:b w:val="0"/>
              <w:sz w:val="24"/>
              <w:szCs w:val="24"/>
            </w:rPr>
            <w:t>- 3 -</w:t>
          </w:r>
          <w:r>
            <w:rPr>
              <w:rFonts w:ascii="Times New Roman" w:hAnsi="Times New Roman" w:eastAsia="黑体"/>
              <w:b w:val="0"/>
              <w:sz w:val="24"/>
              <w:szCs w:val="24"/>
            </w:rPr>
            <w:fldChar w:fldCharType="end"/>
          </w:r>
          <w:r>
            <w:rPr>
              <w:rFonts w:ascii="Times New Roman" w:hAnsi="Times New Roman" w:eastAsia="黑体"/>
              <w:b w:val="0"/>
              <w:sz w:val="24"/>
              <w:szCs w:val="24"/>
            </w:rPr>
            <w:fldChar w:fldCharType="end"/>
          </w:r>
        </w:p>
        <w:p>
          <w:pPr>
            <w:pStyle w:val="12"/>
            <w:tabs>
              <w:tab w:val="right" w:leader="dot" w:pos="8312"/>
            </w:tabs>
            <w:spacing w:line="360" w:lineRule="auto"/>
            <w:rPr>
              <w:sz w:val="24"/>
              <w:szCs w:val="24"/>
            </w:rPr>
          </w:pPr>
          <w:r>
            <w:fldChar w:fldCharType="begin"/>
          </w:r>
          <w:r>
            <w:instrText xml:space="preserve"> HYPERLINK \l "_Toc23752" </w:instrText>
          </w:r>
          <w:r>
            <w:fldChar w:fldCharType="separate"/>
          </w:r>
          <w:r>
            <w:rPr>
              <w:rFonts w:eastAsia="楷体"/>
              <w:sz w:val="24"/>
              <w:szCs w:val="24"/>
            </w:rPr>
            <w:t>（一）绩效评价目的、对象和范围</w:t>
          </w:r>
          <w:r>
            <w:rPr>
              <w:sz w:val="24"/>
              <w:szCs w:val="24"/>
            </w:rPr>
            <w:tab/>
          </w:r>
          <w:r>
            <w:rPr>
              <w:sz w:val="24"/>
              <w:szCs w:val="24"/>
            </w:rPr>
            <w:fldChar w:fldCharType="begin"/>
          </w:r>
          <w:r>
            <w:rPr>
              <w:sz w:val="24"/>
              <w:szCs w:val="24"/>
            </w:rPr>
            <w:instrText xml:space="preserve"> PAGEREF _Toc23752 \h </w:instrText>
          </w:r>
          <w:r>
            <w:rPr>
              <w:sz w:val="24"/>
              <w:szCs w:val="24"/>
            </w:rPr>
            <w:fldChar w:fldCharType="separate"/>
          </w:r>
          <w:r>
            <w:rPr>
              <w:sz w:val="24"/>
              <w:szCs w:val="24"/>
            </w:rPr>
            <w:t>- 3 -</w:t>
          </w:r>
          <w:r>
            <w:rPr>
              <w:sz w:val="24"/>
              <w:szCs w:val="24"/>
            </w:rPr>
            <w:fldChar w:fldCharType="end"/>
          </w:r>
          <w:r>
            <w:rPr>
              <w:sz w:val="24"/>
              <w:szCs w:val="24"/>
            </w:rPr>
            <w:fldChar w:fldCharType="end"/>
          </w:r>
        </w:p>
        <w:p>
          <w:pPr>
            <w:pStyle w:val="12"/>
            <w:tabs>
              <w:tab w:val="right" w:leader="dot" w:pos="8312"/>
            </w:tabs>
            <w:spacing w:line="360" w:lineRule="auto"/>
            <w:rPr>
              <w:sz w:val="24"/>
              <w:szCs w:val="24"/>
            </w:rPr>
          </w:pPr>
          <w:r>
            <w:fldChar w:fldCharType="begin"/>
          </w:r>
          <w:r>
            <w:instrText xml:space="preserve"> HYPERLINK \l "_Toc11464" </w:instrText>
          </w:r>
          <w:r>
            <w:fldChar w:fldCharType="separate"/>
          </w:r>
          <w:r>
            <w:rPr>
              <w:rFonts w:eastAsia="楷体"/>
              <w:sz w:val="24"/>
              <w:szCs w:val="24"/>
            </w:rPr>
            <w:t>（二）绩效评价原则、评价指标体系、评价方法、评价标准</w:t>
          </w:r>
          <w:r>
            <w:rPr>
              <w:sz w:val="24"/>
              <w:szCs w:val="24"/>
            </w:rPr>
            <w:tab/>
          </w:r>
          <w:r>
            <w:rPr>
              <w:sz w:val="24"/>
              <w:szCs w:val="24"/>
            </w:rPr>
            <w:fldChar w:fldCharType="begin"/>
          </w:r>
          <w:r>
            <w:rPr>
              <w:sz w:val="24"/>
              <w:szCs w:val="24"/>
            </w:rPr>
            <w:instrText xml:space="preserve"> PAGEREF _Toc11464 \h </w:instrText>
          </w:r>
          <w:r>
            <w:rPr>
              <w:sz w:val="24"/>
              <w:szCs w:val="24"/>
            </w:rPr>
            <w:fldChar w:fldCharType="separate"/>
          </w:r>
          <w:r>
            <w:rPr>
              <w:sz w:val="24"/>
              <w:szCs w:val="24"/>
            </w:rPr>
            <w:t>- 3 -</w:t>
          </w:r>
          <w:r>
            <w:rPr>
              <w:sz w:val="24"/>
              <w:szCs w:val="24"/>
            </w:rPr>
            <w:fldChar w:fldCharType="end"/>
          </w:r>
          <w:r>
            <w:rPr>
              <w:sz w:val="24"/>
              <w:szCs w:val="24"/>
            </w:rPr>
            <w:fldChar w:fldCharType="end"/>
          </w:r>
        </w:p>
        <w:p>
          <w:pPr>
            <w:pStyle w:val="12"/>
            <w:tabs>
              <w:tab w:val="right" w:leader="dot" w:pos="8312"/>
            </w:tabs>
            <w:spacing w:line="360" w:lineRule="auto"/>
            <w:rPr>
              <w:sz w:val="24"/>
              <w:szCs w:val="24"/>
            </w:rPr>
          </w:pPr>
          <w:r>
            <w:fldChar w:fldCharType="begin"/>
          </w:r>
          <w:r>
            <w:instrText xml:space="preserve"> HYPERLINK \l "_Toc22193" </w:instrText>
          </w:r>
          <w:r>
            <w:fldChar w:fldCharType="separate"/>
          </w:r>
          <w:r>
            <w:rPr>
              <w:rFonts w:eastAsia="楷体"/>
              <w:sz w:val="24"/>
              <w:szCs w:val="24"/>
            </w:rPr>
            <w:t>（三）绩效评价工作过程</w:t>
          </w:r>
          <w:r>
            <w:rPr>
              <w:sz w:val="24"/>
              <w:szCs w:val="24"/>
            </w:rPr>
            <w:tab/>
          </w:r>
          <w:r>
            <w:rPr>
              <w:sz w:val="24"/>
              <w:szCs w:val="24"/>
            </w:rPr>
            <w:fldChar w:fldCharType="begin"/>
          </w:r>
          <w:r>
            <w:rPr>
              <w:sz w:val="24"/>
              <w:szCs w:val="24"/>
            </w:rPr>
            <w:instrText xml:space="preserve"> PAGEREF _Toc22193 \h </w:instrText>
          </w:r>
          <w:r>
            <w:rPr>
              <w:sz w:val="24"/>
              <w:szCs w:val="24"/>
            </w:rPr>
            <w:fldChar w:fldCharType="separate"/>
          </w:r>
          <w:r>
            <w:rPr>
              <w:sz w:val="24"/>
              <w:szCs w:val="24"/>
            </w:rPr>
            <w:t>- 5 -</w:t>
          </w:r>
          <w:r>
            <w:rPr>
              <w:sz w:val="24"/>
              <w:szCs w:val="24"/>
            </w:rPr>
            <w:fldChar w:fldCharType="end"/>
          </w:r>
          <w:r>
            <w:rPr>
              <w:sz w:val="24"/>
              <w:szCs w:val="24"/>
            </w:rPr>
            <w:fldChar w:fldCharType="end"/>
          </w:r>
        </w:p>
        <w:p>
          <w:pPr>
            <w:pStyle w:val="11"/>
            <w:tabs>
              <w:tab w:val="right" w:leader="dot" w:pos="8312"/>
              <w:tab w:val="clear" w:pos="8302"/>
            </w:tabs>
            <w:spacing w:line="360" w:lineRule="auto"/>
            <w:rPr>
              <w:rFonts w:ascii="Times New Roman" w:hAnsi="Times New Roman" w:eastAsia="黑体"/>
              <w:b w:val="0"/>
              <w:sz w:val="24"/>
              <w:szCs w:val="24"/>
            </w:rPr>
          </w:pPr>
          <w:r>
            <w:fldChar w:fldCharType="begin"/>
          </w:r>
          <w:r>
            <w:instrText xml:space="preserve"> HYPERLINK \l "_Toc22500" </w:instrText>
          </w:r>
          <w:r>
            <w:fldChar w:fldCharType="separate"/>
          </w:r>
          <w:r>
            <w:rPr>
              <w:rFonts w:ascii="Times New Roman" w:hAnsi="Times New Roman" w:eastAsia="黑体"/>
              <w:b w:val="0"/>
              <w:sz w:val="24"/>
              <w:szCs w:val="24"/>
            </w:rPr>
            <w:t>三、综合评价情况及评价结论</w:t>
          </w:r>
          <w:r>
            <w:rPr>
              <w:rFonts w:ascii="Times New Roman" w:hAnsi="Times New Roman" w:eastAsia="黑体"/>
              <w:b w:val="0"/>
              <w:sz w:val="24"/>
              <w:szCs w:val="24"/>
            </w:rPr>
            <w:tab/>
          </w:r>
          <w:r>
            <w:rPr>
              <w:rFonts w:ascii="Times New Roman" w:hAnsi="Times New Roman" w:eastAsia="黑体"/>
              <w:b w:val="0"/>
              <w:sz w:val="24"/>
              <w:szCs w:val="24"/>
            </w:rPr>
            <w:fldChar w:fldCharType="begin"/>
          </w:r>
          <w:r>
            <w:rPr>
              <w:rFonts w:ascii="Times New Roman" w:hAnsi="Times New Roman" w:eastAsia="黑体"/>
              <w:b w:val="0"/>
              <w:sz w:val="24"/>
              <w:szCs w:val="24"/>
            </w:rPr>
            <w:instrText xml:space="preserve"> PAGEREF _Toc22500 \h </w:instrText>
          </w:r>
          <w:r>
            <w:rPr>
              <w:rFonts w:ascii="Times New Roman" w:hAnsi="Times New Roman" w:eastAsia="黑体"/>
              <w:b w:val="0"/>
              <w:sz w:val="24"/>
              <w:szCs w:val="24"/>
            </w:rPr>
            <w:fldChar w:fldCharType="separate"/>
          </w:r>
          <w:r>
            <w:rPr>
              <w:rFonts w:ascii="Times New Roman" w:hAnsi="Times New Roman" w:eastAsia="黑体"/>
              <w:b w:val="0"/>
              <w:sz w:val="24"/>
              <w:szCs w:val="24"/>
            </w:rPr>
            <w:t>- 5 -</w:t>
          </w:r>
          <w:r>
            <w:rPr>
              <w:rFonts w:ascii="Times New Roman" w:hAnsi="Times New Roman" w:eastAsia="黑体"/>
              <w:b w:val="0"/>
              <w:sz w:val="24"/>
              <w:szCs w:val="24"/>
            </w:rPr>
            <w:fldChar w:fldCharType="end"/>
          </w:r>
          <w:r>
            <w:rPr>
              <w:rFonts w:ascii="Times New Roman" w:hAnsi="Times New Roman" w:eastAsia="黑体"/>
              <w:b w:val="0"/>
              <w:sz w:val="24"/>
              <w:szCs w:val="24"/>
            </w:rPr>
            <w:fldChar w:fldCharType="end"/>
          </w:r>
        </w:p>
        <w:p>
          <w:pPr>
            <w:pStyle w:val="11"/>
            <w:tabs>
              <w:tab w:val="right" w:leader="dot" w:pos="8312"/>
              <w:tab w:val="clear" w:pos="8302"/>
            </w:tabs>
            <w:spacing w:line="360" w:lineRule="auto"/>
            <w:rPr>
              <w:rFonts w:ascii="Times New Roman" w:hAnsi="Times New Roman" w:eastAsia="黑体"/>
              <w:b w:val="0"/>
              <w:sz w:val="24"/>
              <w:szCs w:val="24"/>
            </w:rPr>
          </w:pPr>
          <w:r>
            <w:fldChar w:fldCharType="begin"/>
          </w:r>
          <w:r>
            <w:instrText xml:space="preserve"> HYPERLINK \l "_Toc12659" </w:instrText>
          </w:r>
          <w:r>
            <w:fldChar w:fldCharType="separate"/>
          </w:r>
          <w:r>
            <w:rPr>
              <w:rFonts w:ascii="Times New Roman" w:hAnsi="Times New Roman" w:eastAsia="黑体"/>
              <w:b w:val="0"/>
              <w:sz w:val="24"/>
              <w:szCs w:val="24"/>
            </w:rPr>
            <w:t>四、绩效评价指标分析</w:t>
          </w:r>
          <w:r>
            <w:rPr>
              <w:rFonts w:ascii="Times New Roman" w:hAnsi="Times New Roman" w:eastAsia="黑体"/>
              <w:b w:val="0"/>
              <w:sz w:val="24"/>
              <w:szCs w:val="24"/>
            </w:rPr>
            <w:tab/>
          </w:r>
          <w:r>
            <w:rPr>
              <w:rFonts w:ascii="Times New Roman" w:hAnsi="Times New Roman" w:eastAsia="黑体"/>
              <w:b w:val="0"/>
              <w:sz w:val="24"/>
              <w:szCs w:val="24"/>
            </w:rPr>
            <w:fldChar w:fldCharType="begin"/>
          </w:r>
          <w:r>
            <w:rPr>
              <w:rFonts w:ascii="Times New Roman" w:hAnsi="Times New Roman" w:eastAsia="黑体"/>
              <w:b w:val="0"/>
              <w:sz w:val="24"/>
              <w:szCs w:val="24"/>
            </w:rPr>
            <w:instrText xml:space="preserve"> PAGEREF _Toc12659 \h </w:instrText>
          </w:r>
          <w:r>
            <w:rPr>
              <w:rFonts w:ascii="Times New Roman" w:hAnsi="Times New Roman" w:eastAsia="黑体"/>
              <w:b w:val="0"/>
              <w:sz w:val="24"/>
              <w:szCs w:val="24"/>
            </w:rPr>
            <w:fldChar w:fldCharType="separate"/>
          </w:r>
          <w:r>
            <w:rPr>
              <w:rFonts w:ascii="Times New Roman" w:hAnsi="Times New Roman" w:eastAsia="黑体"/>
              <w:b w:val="0"/>
              <w:sz w:val="24"/>
              <w:szCs w:val="24"/>
            </w:rPr>
            <w:t>- 6 -</w:t>
          </w:r>
          <w:r>
            <w:rPr>
              <w:rFonts w:ascii="Times New Roman" w:hAnsi="Times New Roman" w:eastAsia="黑体"/>
              <w:b w:val="0"/>
              <w:sz w:val="24"/>
              <w:szCs w:val="24"/>
            </w:rPr>
            <w:fldChar w:fldCharType="end"/>
          </w:r>
          <w:r>
            <w:rPr>
              <w:rFonts w:ascii="Times New Roman" w:hAnsi="Times New Roman" w:eastAsia="黑体"/>
              <w:b w:val="0"/>
              <w:sz w:val="24"/>
              <w:szCs w:val="24"/>
            </w:rPr>
            <w:fldChar w:fldCharType="end"/>
          </w:r>
        </w:p>
        <w:p>
          <w:pPr>
            <w:pStyle w:val="12"/>
            <w:tabs>
              <w:tab w:val="right" w:leader="dot" w:pos="8312"/>
            </w:tabs>
            <w:spacing w:line="360" w:lineRule="auto"/>
            <w:rPr>
              <w:sz w:val="24"/>
              <w:szCs w:val="24"/>
            </w:rPr>
          </w:pPr>
          <w:r>
            <w:fldChar w:fldCharType="begin"/>
          </w:r>
          <w:r>
            <w:instrText xml:space="preserve"> HYPERLINK \l "_Toc16258" </w:instrText>
          </w:r>
          <w:r>
            <w:fldChar w:fldCharType="separate"/>
          </w:r>
          <w:r>
            <w:rPr>
              <w:rFonts w:eastAsia="楷体"/>
              <w:sz w:val="24"/>
              <w:szCs w:val="24"/>
            </w:rPr>
            <w:t>（一）项目决策情况</w:t>
          </w:r>
          <w:r>
            <w:rPr>
              <w:sz w:val="24"/>
              <w:szCs w:val="24"/>
            </w:rPr>
            <w:tab/>
          </w:r>
          <w:r>
            <w:rPr>
              <w:sz w:val="24"/>
              <w:szCs w:val="24"/>
            </w:rPr>
            <w:fldChar w:fldCharType="begin"/>
          </w:r>
          <w:r>
            <w:rPr>
              <w:sz w:val="24"/>
              <w:szCs w:val="24"/>
            </w:rPr>
            <w:instrText xml:space="preserve"> PAGEREF _Toc16258 \h </w:instrText>
          </w:r>
          <w:r>
            <w:rPr>
              <w:sz w:val="24"/>
              <w:szCs w:val="24"/>
            </w:rPr>
            <w:fldChar w:fldCharType="separate"/>
          </w:r>
          <w:r>
            <w:rPr>
              <w:sz w:val="24"/>
              <w:szCs w:val="24"/>
            </w:rPr>
            <w:t>- 6 -</w:t>
          </w:r>
          <w:r>
            <w:rPr>
              <w:sz w:val="24"/>
              <w:szCs w:val="24"/>
            </w:rPr>
            <w:fldChar w:fldCharType="end"/>
          </w:r>
          <w:r>
            <w:rPr>
              <w:sz w:val="24"/>
              <w:szCs w:val="24"/>
            </w:rPr>
            <w:fldChar w:fldCharType="end"/>
          </w:r>
        </w:p>
        <w:p>
          <w:pPr>
            <w:pStyle w:val="12"/>
            <w:tabs>
              <w:tab w:val="right" w:leader="dot" w:pos="8312"/>
            </w:tabs>
            <w:spacing w:line="360" w:lineRule="auto"/>
            <w:rPr>
              <w:sz w:val="24"/>
              <w:szCs w:val="24"/>
            </w:rPr>
          </w:pPr>
          <w:r>
            <w:fldChar w:fldCharType="begin"/>
          </w:r>
          <w:r>
            <w:instrText xml:space="preserve"> HYPERLINK \l "_Toc28306" </w:instrText>
          </w:r>
          <w:r>
            <w:fldChar w:fldCharType="separate"/>
          </w:r>
          <w:r>
            <w:rPr>
              <w:rFonts w:eastAsia="楷体"/>
              <w:sz w:val="24"/>
              <w:szCs w:val="24"/>
            </w:rPr>
            <w:t>（二）项目过程情况</w:t>
          </w:r>
          <w:r>
            <w:rPr>
              <w:sz w:val="24"/>
              <w:szCs w:val="24"/>
            </w:rPr>
            <w:tab/>
          </w:r>
          <w:r>
            <w:rPr>
              <w:sz w:val="24"/>
              <w:szCs w:val="24"/>
            </w:rPr>
            <w:fldChar w:fldCharType="begin"/>
          </w:r>
          <w:r>
            <w:rPr>
              <w:sz w:val="24"/>
              <w:szCs w:val="24"/>
            </w:rPr>
            <w:instrText xml:space="preserve"> PAGEREF _Toc28306 \h </w:instrText>
          </w:r>
          <w:r>
            <w:rPr>
              <w:sz w:val="24"/>
              <w:szCs w:val="24"/>
            </w:rPr>
            <w:fldChar w:fldCharType="separate"/>
          </w:r>
          <w:r>
            <w:rPr>
              <w:sz w:val="24"/>
              <w:szCs w:val="24"/>
            </w:rPr>
            <w:t>- 7 -</w:t>
          </w:r>
          <w:r>
            <w:rPr>
              <w:sz w:val="24"/>
              <w:szCs w:val="24"/>
            </w:rPr>
            <w:fldChar w:fldCharType="end"/>
          </w:r>
          <w:r>
            <w:rPr>
              <w:sz w:val="24"/>
              <w:szCs w:val="24"/>
            </w:rPr>
            <w:fldChar w:fldCharType="end"/>
          </w:r>
        </w:p>
        <w:p>
          <w:pPr>
            <w:pStyle w:val="12"/>
            <w:tabs>
              <w:tab w:val="right" w:leader="dot" w:pos="8312"/>
            </w:tabs>
            <w:spacing w:line="360" w:lineRule="auto"/>
            <w:rPr>
              <w:sz w:val="24"/>
              <w:szCs w:val="24"/>
            </w:rPr>
          </w:pPr>
          <w:r>
            <w:fldChar w:fldCharType="begin"/>
          </w:r>
          <w:r>
            <w:instrText xml:space="preserve"> HYPERLINK \l "_Toc6490" </w:instrText>
          </w:r>
          <w:r>
            <w:fldChar w:fldCharType="separate"/>
          </w:r>
          <w:r>
            <w:rPr>
              <w:rFonts w:eastAsia="楷体"/>
              <w:sz w:val="24"/>
              <w:szCs w:val="24"/>
            </w:rPr>
            <w:t>（三）项目产出情况</w:t>
          </w:r>
          <w:r>
            <w:rPr>
              <w:sz w:val="24"/>
              <w:szCs w:val="24"/>
            </w:rPr>
            <w:tab/>
          </w:r>
          <w:r>
            <w:rPr>
              <w:sz w:val="24"/>
              <w:szCs w:val="24"/>
            </w:rPr>
            <w:fldChar w:fldCharType="begin"/>
          </w:r>
          <w:r>
            <w:rPr>
              <w:sz w:val="24"/>
              <w:szCs w:val="24"/>
            </w:rPr>
            <w:instrText xml:space="preserve"> PAGEREF _Toc6490 \h </w:instrText>
          </w:r>
          <w:r>
            <w:rPr>
              <w:sz w:val="24"/>
              <w:szCs w:val="24"/>
            </w:rPr>
            <w:fldChar w:fldCharType="separate"/>
          </w:r>
          <w:r>
            <w:rPr>
              <w:sz w:val="24"/>
              <w:szCs w:val="24"/>
            </w:rPr>
            <w:t>- 8 -</w:t>
          </w:r>
          <w:r>
            <w:rPr>
              <w:sz w:val="24"/>
              <w:szCs w:val="24"/>
            </w:rPr>
            <w:fldChar w:fldCharType="end"/>
          </w:r>
          <w:r>
            <w:rPr>
              <w:sz w:val="24"/>
              <w:szCs w:val="24"/>
            </w:rPr>
            <w:fldChar w:fldCharType="end"/>
          </w:r>
        </w:p>
        <w:p>
          <w:pPr>
            <w:pStyle w:val="12"/>
            <w:tabs>
              <w:tab w:val="right" w:leader="dot" w:pos="8312"/>
            </w:tabs>
            <w:spacing w:line="360" w:lineRule="auto"/>
            <w:rPr>
              <w:sz w:val="24"/>
              <w:szCs w:val="24"/>
            </w:rPr>
          </w:pPr>
          <w:r>
            <w:fldChar w:fldCharType="begin"/>
          </w:r>
          <w:r>
            <w:instrText xml:space="preserve"> HYPERLINK \l "_Toc26122" </w:instrText>
          </w:r>
          <w:r>
            <w:fldChar w:fldCharType="separate"/>
          </w:r>
          <w:r>
            <w:rPr>
              <w:rFonts w:eastAsia="楷体"/>
              <w:sz w:val="24"/>
              <w:szCs w:val="24"/>
            </w:rPr>
            <w:t>（四）项目效益情况</w:t>
          </w:r>
          <w:r>
            <w:rPr>
              <w:sz w:val="24"/>
              <w:szCs w:val="24"/>
            </w:rPr>
            <w:tab/>
          </w:r>
          <w:r>
            <w:rPr>
              <w:sz w:val="24"/>
              <w:szCs w:val="24"/>
            </w:rPr>
            <w:fldChar w:fldCharType="begin"/>
          </w:r>
          <w:r>
            <w:rPr>
              <w:sz w:val="24"/>
              <w:szCs w:val="24"/>
            </w:rPr>
            <w:instrText xml:space="preserve"> PAGEREF _Toc26122 \h </w:instrText>
          </w:r>
          <w:r>
            <w:rPr>
              <w:sz w:val="24"/>
              <w:szCs w:val="24"/>
            </w:rPr>
            <w:fldChar w:fldCharType="separate"/>
          </w:r>
          <w:r>
            <w:rPr>
              <w:sz w:val="24"/>
              <w:szCs w:val="24"/>
            </w:rPr>
            <w:t>- 9 -</w:t>
          </w:r>
          <w:r>
            <w:rPr>
              <w:sz w:val="24"/>
              <w:szCs w:val="24"/>
            </w:rPr>
            <w:fldChar w:fldCharType="end"/>
          </w:r>
          <w:r>
            <w:rPr>
              <w:sz w:val="24"/>
              <w:szCs w:val="24"/>
            </w:rPr>
            <w:fldChar w:fldCharType="end"/>
          </w:r>
        </w:p>
        <w:p>
          <w:pPr>
            <w:pStyle w:val="11"/>
            <w:tabs>
              <w:tab w:val="right" w:leader="dot" w:pos="8312"/>
              <w:tab w:val="clear" w:pos="8302"/>
            </w:tabs>
            <w:spacing w:line="360" w:lineRule="auto"/>
            <w:rPr>
              <w:rFonts w:ascii="Times New Roman" w:hAnsi="Times New Roman" w:eastAsia="黑体"/>
              <w:b w:val="0"/>
              <w:sz w:val="24"/>
              <w:szCs w:val="24"/>
            </w:rPr>
          </w:pPr>
          <w:r>
            <w:fldChar w:fldCharType="begin"/>
          </w:r>
          <w:r>
            <w:instrText xml:space="preserve"> HYPERLINK \l "_Toc31255" </w:instrText>
          </w:r>
          <w:r>
            <w:fldChar w:fldCharType="separate"/>
          </w:r>
          <w:r>
            <w:rPr>
              <w:rFonts w:ascii="Times New Roman" w:hAnsi="Times New Roman" w:eastAsia="黑体"/>
              <w:b w:val="0"/>
              <w:sz w:val="24"/>
              <w:szCs w:val="24"/>
            </w:rPr>
            <w:t>五、主要经验及做法、存在的问题及原因分析</w:t>
          </w:r>
          <w:r>
            <w:rPr>
              <w:rFonts w:ascii="Times New Roman" w:hAnsi="Times New Roman" w:eastAsia="黑体"/>
              <w:b w:val="0"/>
              <w:sz w:val="24"/>
              <w:szCs w:val="24"/>
            </w:rPr>
            <w:tab/>
          </w:r>
          <w:r>
            <w:rPr>
              <w:rFonts w:ascii="Times New Roman" w:hAnsi="Times New Roman" w:eastAsia="黑体"/>
              <w:b w:val="0"/>
              <w:sz w:val="24"/>
              <w:szCs w:val="24"/>
            </w:rPr>
            <w:fldChar w:fldCharType="begin"/>
          </w:r>
          <w:r>
            <w:rPr>
              <w:rFonts w:ascii="Times New Roman" w:hAnsi="Times New Roman" w:eastAsia="黑体"/>
              <w:b w:val="0"/>
              <w:sz w:val="24"/>
              <w:szCs w:val="24"/>
            </w:rPr>
            <w:instrText xml:space="preserve"> PAGEREF _Toc31255 \h </w:instrText>
          </w:r>
          <w:r>
            <w:rPr>
              <w:rFonts w:ascii="Times New Roman" w:hAnsi="Times New Roman" w:eastAsia="黑体"/>
              <w:b w:val="0"/>
              <w:sz w:val="24"/>
              <w:szCs w:val="24"/>
            </w:rPr>
            <w:fldChar w:fldCharType="separate"/>
          </w:r>
          <w:r>
            <w:rPr>
              <w:rFonts w:ascii="Times New Roman" w:hAnsi="Times New Roman" w:eastAsia="黑体"/>
              <w:b w:val="0"/>
              <w:sz w:val="24"/>
              <w:szCs w:val="24"/>
            </w:rPr>
            <w:t>- 10 -</w:t>
          </w:r>
          <w:r>
            <w:rPr>
              <w:rFonts w:ascii="Times New Roman" w:hAnsi="Times New Roman" w:eastAsia="黑体"/>
              <w:b w:val="0"/>
              <w:sz w:val="24"/>
              <w:szCs w:val="24"/>
            </w:rPr>
            <w:fldChar w:fldCharType="end"/>
          </w:r>
          <w:r>
            <w:rPr>
              <w:rFonts w:ascii="Times New Roman" w:hAnsi="Times New Roman" w:eastAsia="黑体"/>
              <w:b w:val="0"/>
              <w:sz w:val="24"/>
              <w:szCs w:val="24"/>
            </w:rPr>
            <w:fldChar w:fldCharType="end"/>
          </w:r>
        </w:p>
        <w:p>
          <w:pPr>
            <w:pStyle w:val="11"/>
            <w:tabs>
              <w:tab w:val="right" w:leader="dot" w:pos="8312"/>
              <w:tab w:val="clear" w:pos="8302"/>
            </w:tabs>
            <w:spacing w:line="360" w:lineRule="auto"/>
            <w:rPr>
              <w:rFonts w:ascii="Times New Roman" w:hAnsi="Times New Roman" w:eastAsia="黑体"/>
              <w:b w:val="0"/>
              <w:sz w:val="24"/>
              <w:szCs w:val="24"/>
            </w:rPr>
          </w:pPr>
          <w:r>
            <w:fldChar w:fldCharType="begin"/>
          </w:r>
          <w:r>
            <w:instrText xml:space="preserve"> HYPERLINK \l "_Toc27658" </w:instrText>
          </w:r>
          <w:r>
            <w:fldChar w:fldCharType="separate"/>
          </w:r>
          <w:r>
            <w:rPr>
              <w:rFonts w:ascii="Times New Roman" w:hAnsi="Times New Roman" w:eastAsia="黑体"/>
              <w:b w:val="0"/>
              <w:sz w:val="24"/>
              <w:szCs w:val="24"/>
            </w:rPr>
            <w:t>六、有关建议</w:t>
          </w:r>
          <w:r>
            <w:rPr>
              <w:rFonts w:ascii="Times New Roman" w:hAnsi="Times New Roman" w:eastAsia="黑体"/>
              <w:b w:val="0"/>
              <w:sz w:val="24"/>
              <w:szCs w:val="24"/>
            </w:rPr>
            <w:tab/>
          </w:r>
          <w:r>
            <w:rPr>
              <w:rFonts w:ascii="Times New Roman" w:hAnsi="Times New Roman" w:eastAsia="黑体"/>
              <w:b w:val="0"/>
              <w:sz w:val="24"/>
              <w:szCs w:val="24"/>
            </w:rPr>
            <w:fldChar w:fldCharType="begin"/>
          </w:r>
          <w:r>
            <w:rPr>
              <w:rFonts w:ascii="Times New Roman" w:hAnsi="Times New Roman" w:eastAsia="黑体"/>
              <w:b w:val="0"/>
              <w:sz w:val="24"/>
              <w:szCs w:val="24"/>
            </w:rPr>
            <w:instrText xml:space="preserve"> PAGEREF _Toc27658 \h </w:instrText>
          </w:r>
          <w:r>
            <w:rPr>
              <w:rFonts w:ascii="Times New Roman" w:hAnsi="Times New Roman" w:eastAsia="黑体"/>
              <w:b w:val="0"/>
              <w:sz w:val="24"/>
              <w:szCs w:val="24"/>
            </w:rPr>
            <w:fldChar w:fldCharType="separate"/>
          </w:r>
          <w:r>
            <w:rPr>
              <w:rFonts w:ascii="Times New Roman" w:hAnsi="Times New Roman" w:eastAsia="黑体"/>
              <w:b w:val="0"/>
              <w:sz w:val="24"/>
              <w:szCs w:val="24"/>
            </w:rPr>
            <w:t>- 11 -</w:t>
          </w:r>
          <w:r>
            <w:rPr>
              <w:rFonts w:ascii="Times New Roman" w:hAnsi="Times New Roman" w:eastAsia="黑体"/>
              <w:b w:val="0"/>
              <w:sz w:val="24"/>
              <w:szCs w:val="24"/>
            </w:rPr>
            <w:fldChar w:fldCharType="end"/>
          </w:r>
          <w:r>
            <w:rPr>
              <w:rFonts w:ascii="Times New Roman" w:hAnsi="Times New Roman" w:eastAsia="黑体"/>
              <w:b w:val="0"/>
              <w:sz w:val="24"/>
              <w:szCs w:val="24"/>
            </w:rPr>
            <w:fldChar w:fldCharType="end"/>
          </w:r>
        </w:p>
        <w:p>
          <w:pPr>
            <w:pStyle w:val="11"/>
            <w:tabs>
              <w:tab w:val="right" w:leader="dot" w:pos="8312"/>
              <w:tab w:val="clear" w:pos="8302"/>
            </w:tabs>
            <w:spacing w:line="360" w:lineRule="auto"/>
            <w:rPr>
              <w:rFonts w:ascii="Times New Roman" w:hAnsi="Times New Roman" w:eastAsia="黑体"/>
              <w:b w:val="0"/>
              <w:sz w:val="24"/>
              <w:szCs w:val="24"/>
            </w:rPr>
          </w:pPr>
          <w:r>
            <w:fldChar w:fldCharType="begin"/>
          </w:r>
          <w:r>
            <w:instrText xml:space="preserve"> HYPERLINK \l "_Toc30350" </w:instrText>
          </w:r>
          <w:r>
            <w:fldChar w:fldCharType="separate"/>
          </w:r>
          <w:r>
            <w:rPr>
              <w:rFonts w:ascii="Times New Roman" w:hAnsi="Times New Roman" w:eastAsia="黑体"/>
              <w:b w:val="0"/>
              <w:sz w:val="24"/>
              <w:szCs w:val="24"/>
            </w:rPr>
            <w:t>七、其他需要说明的问题</w:t>
          </w:r>
          <w:r>
            <w:rPr>
              <w:rFonts w:ascii="Times New Roman" w:hAnsi="Times New Roman" w:eastAsia="黑体"/>
              <w:b w:val="0"/>
              <w:sz w:val="24"/>
              <w:szCs w:val="24"/>
            </w:rPr>
            <w:tab/>
          </w:r>
          <w:r>
            <w:rPr>
              <w:rFonts w:ascii="Times New Roman" w:hAnsi="Times New Roman" w:eastAsia="黑体"/>
              <w:b w:val="0"/>
              <w:sz w:val="24"/>
              <w:szCs w:val="24"/>
            </w:rPr>
            <w:fldChar w:fldCharType="begin"/>
          </w:r>
          <w:r>
            <w:rPr>
              <w:rFonts w:ascii="Times New Roman" w:hAnsi="Times New Roman" w:eastAsia="黑体"/>
              <w:b w:val="0"/>
              <w:sz w:val="24"/>
              <w:szCs w:val="24"/>
            </w:rPr>
            <w:instrText xml:space="preserve"> PAGEREF _Toc30350 \h </w:instrText>
          </w:r>
          <w:r>
            <w:rPr>
              <w:rFonts w:ascii="Times New Roman" w:hAnsi="Times New Roman" w:eastAsia="黑体"/>
              <w:b w:val="0"/>
              <w:sz w:val="24"/>
              <w:szCs w:val="24"/>
            </w:rPr>
            <w:fldChar w:fldCharType="separate"/>
          </w:r>
          <w:r>
            <w:rPr>
              <w:rFonts w:ascii="Times New Roman" w:hAnsi="Times New Roman" w:eastAsia="黑体"/>
              <w:b w:val="0"/>
              <w:sz w:val="24"/>
              <w:szCs w:val="24"/>
            </w:rPr>
            <w:t>- 11 -</w:t>
          </w:r>
          <w:r>
            <w:rPr>
              <w:rFonts w:ascii="Times New Roman" w:hAnsi="Times New Roman" w:eastAsia="黑体"/>
              <w:b w:val="0"/>
              <w:sz w:val="24"/>
              <w:szCs w:val="24"/>
            </w:rPr>
            <w:fldChar w:fldCharType="end"/>
          </w:r>
          <w:r>
            <w:rPr>
              <w:rFonts w:ascii="Times New Roman" w:hAnsi="Times New Roman" w:eastAsia="黑体"/>
              <w:b w:val="0"/>
              <w:sz w:val="24"/>
              <w:szCs w:val="24"/>
            </w:rPr>
            <w:fldChar w:fldCharType="end"/>
          </w:r>
        </w:p>
        <w:p>
          <w:pPr>
            <w:pStyle w:val="11"/>
            <w:tabs>
              <w:tab w:val="right" w:leader="dot" w:pos="8312"/>
              <w:tab w:val="clear" w:pos="8302"/>
            </w:tabs>
            <w:spacing w:line="360" w:lineRule="auto"/>
            <w:rPr>
              <w:rFonts w:ascii="Times New Roman" w:hAnsi="Times New Roman" w:eastAsia="黑体"/>
              <w:b w:val="0"/>
              <w:sz w:val="24"/>
              <w:szCs w:val="24"/>
            </w:rPr>
          </w:pPr>
          <w:r>
            <w:fldChar w:fldCharType="begin"/>
          </w:r>
          <w:r>
            <w:instrText xml:space="preserve"> HYPERLINK \l "_Toc13780" </w:instrText>
          </w:r>
          <w:r>
            <w:fldChar w:fldCharType="separate"/>
          </w:r>
          <w:r>
            <w:rPr>
              <w:rFonts w:ascii="Times New Roman" w:hAnsi="Times New Roman" w:eastAsia="黑体"/>
              <w:b w:val="0"/>
              <w:sz w:val="24"/>
              <w:szCs w:val="24"/>
            </w:rPr>
            <w:t>八、附件</w:t>
          </w:r>
          <w:r>
            <w:rPr>
              <w:rFonts w:ascii="Times New Roman" w:hAnsi="Times New Roman" w:eastAsia="黑体"/>
              <w:b w:val="0"/>
              <w:sz w:val="24"/>
              <w:szCs w:val="24"/>
            </w:rPr>
            <w:tab/>
          </w:r>
          <w:r>
            <w:rPr>
              <w:rFonts w:ascii="Times New Roman" w:hAnsi="Times New Roman" w:eastAsia="黑体"/>
              <w:b w:val="0"/>
              <w:sz w:val="24"/>
              <w:szCs w:val="24"/>
            </w:rPr>
            <w:fldChar w:fldCharType="begin"/>
          </w:r>
          <w:r>
            <w:rPr>
              <w:rFonts w:ascii="Times New Roman" w:hAnsi="Times New Roman" w:eastAsia="黑体"/>
              <w:b w:val="0"/>
              <w:sz w:val="24"/>
              <w:szCs w:val="24"/>
            </w:rPr>
            <w:instrText xml:space="preserve"> PAGEREF _Toc13780 \h </w:instrText>
          </w:r>
          <w:r>
            <w:rPr>
              <w:rFonts w:ascii="Times New Roman" w:hAnsi="Times New Roman" w:eastAsia="黑体"/>
              <w:b w:val="0"/>
              <w:sz w:val="24"/>
              <w:szCs w:val="24"/>
            </w:rPr>
            <w:fldChar w:fldCharType="separate"/>
          </w:r>
          <w:r>
            <w:rPr>
              <w:rFonts w:ascii="Times New Roman" w:hAnsi="Times New Roman" w:eastAsia="黑体"/>
              <w:b w:val="0"/>
              <w:sz w:val="24"/>
              <w:szCs w:val="24"/>
            </w:rPr>
            <w:t>- 12 -</w:t>
          </w:r>
          <w:r>
            <w:rPr>
              <w:rFonts w:ascii="Times New Roman" w:hAnsi="Times New Roman" w:eastAsia="黑体"/>
              <w:b w:val="0"/>
              <w:sz w:val="24"/>
              <w:szCs w:val="24"/>
            </w:rPr>
            <w:fldChar w:fldCharType="end"/>
          </w:r>
          <w:r>
            <w:rPr>
              <w:rFonts w:ascii="Times New Roman" w:hAnsi="Times New Roman" w:eastAsia="黑体"/>
              <w:b w:val="0"/>
              <w:sz w:val="24"/>
              <w:szCs w:val="24"/>
            </w:rPr>
            <w:fldChar w:fldCharType="end"/>
          </w:r>
        </w:p>
        <w:p>
          <w:pPr>
            <w:spacing w:line="360" w:lineRule="auto"/>
            <w:rPr>
              <w:bCs/>
              <w:szCs w:val="24"/>
              <w:lang w:val="zh-CN"/>
            </w:rPr>
          </w:pPr>
          <w:r>
            <w:rPr>
              <w:bCs/>
              <w:sz w:val="24"/>
              <w:szCs w:val="24"/>
              <w:lang w:val="zh-CN"/>
            </w:rPr>
            <w:fldChar w:fldCharType="end"/>
          </w:r>
        </w:p>
      </w:sdtContent>
    </w:sdt>
    <w:p>
      <w:pPr>
        <w:rPr>
          <w:bCs/>
          <w:szCs w:val="24"/>
          <w:lang w:val="zh-CN"/>
        </w:rPr>
      </w:pPr>
    </w:p>
    <w:p/>
    <w:p>
      <w:pPr>
        <w:spacing w:line="560" w:lineRule="exact"/>
        <w:rPr>
          <w:rFonts w:ascii="仿宋_GB2312" w:eastAsia="仿宋_GB2312"/>
          <w:sz w:val="32"/>
          <w:szCs w:val="32"/>
        </w:rPr>
        <w:sectPr>
          <w:footerReference r:id="rId4" w:type="default"/>
          <w:pgSz w:w="11906" w:h="16838"/>
          <w:pgMar w:top="1440" w:right="1797" w:bottom="1440" w:left="1797" w:header="851" w:footer="992" w:gutter="0"/>
          <w:pgNumType w:start="1"/>
          <w:cols w:space="720" w:num="1"/>
          <w:docGrid w:linePitch="312" w:charSpace="0"/>
        </w:sectPr>
      </w:pP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北京市丰台区人民检察院</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信息化运维费项目支出绩效评价报告</w:t>
      </w:r>
    </w:p>
    <w:p>
      <w:pPr>
        <w:spacing w:line="560" w:lineRule="exact"/>
        <w:jc w:val="center"/>
        <w:rPr>
          <w:rFonts w:ascii="方正小标宋简体" w:eastAsia="方正小标宋简体"/>
          <w:sz w:val="36"/>
          <w:szCs w:val="36"/>
        </w:rPr>
      </w:pPr>
    </w:p>
    <w:p>
      <w:pPr>
        <w:spacing w:line="560" w:lineRule="exact"/>
        <w:ind w:firstLine="640" w:firstLineChars="200"/>
        <w:rPr>
          <w:rFonts w:ascii="仿宋_GB2312" w:eastAsia="仿宋_GB2312"/>
          <w:sz w:val="32"/>
          <w:szCs w:val="32"/>
        </w:rPr>
      </w:pPr>
      <w:r>
        <w:rPr>
          <w:rFonts w:hint="eastAsia" w:ascii="仿宋_GB2312" w:hAnsi="宋体" w:eastAsia="仿宋_GB2312" w:cs="宋体"/>
          <w:color w:val="000000"/>
          <w:kern w:val="0"/>
          <w:sz w:val="32"/>
          <w:szCs w:val="32"/>
        </w:rPr>
        <w:t>为进一步推进预算绩效管理工作，提升财政资金使用效率和部门绩效管理水平，并为2024年度决算公开做好准备，根据《中共北京市委北京市人民政府关于全面实施预算绩效管理的实施意见》(京发〔2019〕12号)、《北京市预算绩效管理办法》(京财绩效〔2019〕2129号)和《北京市项目支出绩效评价管理办法》(京财绩效〔2020〕2146号)等制度规范，《北京市财政局关于2025年预算绩效管理工作的通知》（京财绩效(2025)245号）工作安排，</w:t>
      </w:r>
      <w:r>
        <w:rPr>
          <w:rFonts w:hint="eastAsia" w:ascii="仿宋_GB2312" w:eastAsia="仿宋_GB2312"/>
          <w:sz w:val="32"/>
          <w:szCs w:val="32"/>
        </w:rPr>
        <w:t>北京市丰台区人民检察院（以下简称“丰台检察院”）组建绩效评价工作组，</w:t>
      </w:r>
      <w:r>
        <w:rPr>
          <w:rFonts w:hint="eastAsia" w:ascii="仿宋_GB2312" w:hAnsi="宋体" w:eastAsia="仿宋_GB2312" w:cs="宋体"/>
          <w:color w:val="000000"/>
          <w:kern w:val="0"/>
          <w:sz w:val="32"/>
          <w:szCs w:val="32"/>
        </w:rPr>
        <w:t>开展对2024年度</w:t>
      </w:r>
      <w:bookmarkStart w:id="2" w:name="OLE_LINK1"/>
      <w:r>
        <w:rPr>
          <w:rFonts w:hint="eastAsia" w:ascii="仿宋_GB2312" w:hAnsi="宋体" w:eastAsia="仿宋_GB2312" w:cs="宋体"/>
          <w:color w:val="000000"/>
          <w:kern w:val="0"/>
          <w:sz w:val="32"/>
          <w:szCs w:val="32"/>
        </w:rPr>
        <w:t>北京市丰台区人民检察院</w:t>
      </w:r>
      <w:bookmarkEnd w:id="2"/>
      <w:r>
        <w:rPr>
          <w:rFonts w:hint="eastAsia" w:ascii="仿宋_GB2312" w:eastAsia="仿宋_GB2312"/>
          <w:sz w:val="32"/>
          <w:szCs w:val="32"/>
        </w:rPr>
        <w:t>“信息化运维费”项目（以下简称“该项目”）的绩效情况实施绩效评价，形成本绩效评价报告。</w:t>
      </w:r>
    </w:p>
    <w:p>
      <w:pPr>
        <w:pStyle w:val="3"/>
        <w:spacing w:before="0" w:after="0" w:line="560" w:lineRule="exact"/>
        <w:ind w:firstLine="640" w:firstLineChars="200"/>
        <w:rPr>
          <w:rFonts w:hint="eastAsia" w:ascii="黑体" w:hAnsi="黑体" w:eastAsia="黑体"/>
          <w:b w:val="0"/>
          <w:bCs w:val="0"/>
          <w:sz w:val="32"/>
          <w:szCs w:val="32"/>
        </w:rPr>
      </w:pPr>
      <w:bookmarkStart w:id="3" w:name="_Toc6640"/>
      <w:bookmarkStart w:id="4" w:name="_Toc13094"/>
      <w:bookmarkStart w:id="5" w:name="_Toc5819"/>
      <w:bookmarkStart w:id="6" w:name="_Toc17068"/>
      <w:bookmarkStart w:id="7" w:name="_Toc826"/>
      <w:bookmarkStart w:id="8" w:name="_Toc26229"/>
      <w:bookmarkStart w:id="9" w:name="_Toc135057632"/>
      <w:bookmarkStart w:id="10" w:name="_Toc72423391"/>
      <w:bookmarkStart w:id="11" w:name="_Toc7870"/>
      <w:r>
        <w:rPr>
          <w:rFonts w:hint="eastAsia" w:ascii="黑体" w:hAnsi="黑体" w:eastAsia="黑体"/>
          <w:b w:val="0"/>
          <w:bCs w:val="0"/>
          <w:sz w:val="32"/>
          <w:szCs w:val="32"/>
        </w:rPr>
        <w:t>一、基本情况</w:t>
      </w:r>
      <w:bookmarkEnd w:id="3"/>
      <w:bookmarkEnd w:id="4"/>
      <w:bookmarkEnd w:id="5"/>
      <w:bookmarkEnd w:id="6"/>
      <w:bookmarkEnd w:id="7"/>
      <w:bookmarkEnd w:id="8"/>
      <w:bookmarkEnd w:id="9"/>
      <w:bookmarkEnd w:id="10"/>
      <w:bookmarkEnd w:id="11"/>
    </w:p>
    <w:p>
      <w:pPr>
        <w:pStyle w:val="4"/>
        <w:spacing w:before="0" w:after="0" w:line="560" w:lineRule="exact"/>
        <w:ind w:firstLine="640" w:firstLineChars="200"/>
        <w:rPr>
          <w:rFonts w:hint="eastAsia" w:ascii="楷体" w:hAnsi="楷体" w:eastAsia="楷体"/>
          <w:b w:val="0"/>
          <w:bCs w:val="0"/>
        </w:rPr>
      </w:pPr>
      <w:bookmarkStart w:id="12" w:name="_Toc8459"/>
      <w:bookmarkStart w:id="13" w:name="_Toc1517"/>
      <w:bookmarkStart w:id="14" w:name="_Toc3674"/>
      <w:bookmarkStart w:id="15" w:name="_Toc72423392"/>
      <w:bookmarkStart w:id="16" w:name="_Toc27039"/>
      <w:bookmarkStart w:id="17" w:name="_Toc26758"/>
      <w:bookmarkStart w:id="18" w:name="_Toc3119"/>
      <w:bookmarkStart w:id="19" w:name="_Toc17800"/>
      <w:bookmarkStart w:id="20" w:name="_Toc135057633"/>
      <w:r>
        <w:rPr>
          <w:rFonts w:hint="eastAsia" w:ascii="楷体" w:hAnsi="楷体" w:eastAsia="楷体"/>
          <w:b w:val="0"/>
          <w:bCs w:val="0"/>
        </w:rPr>
        <w:t>（一）项目概况</w:t>
      </w:r>
      <w:bookmarkEnd w:id="12"/>
      <w:bookmarkEnd w:id="13"/>
      <w:bookmarkEnd w:id="14"/>
      <w:bookmarkEnd w:id="15"/>
      <w:bookmarkEnd w:id="16"/>
      <w:bookmarkEnd w:id="17"/>
      <w:bookmarkEnd w:id="18"/>
      <w:bookmarkEnd w:id="19"/>
      <w:bookmarkEnd w:id="20"/>
    </w:p>
    <w:p>
      <w:pPr>
        <w:spacing w:line="600" w:lineRule="exact"/>
        <w:ind w:firstLine="640" w:firstLineChars="200"/>
        <w:rPr>
          <w:rFonts w:hint="eastAsia" w:ascii="楷体_GB2312" w:hAnsi="楷体_GB2312" w:eastAsia="楷体_GB2312" w:cs="楷体_GB2312"/>
          <w:b/>
          <w:bCs/>
        </w:rPr>
      </w:pPr>
      <w:bookmarkStart w:id="21" w:name="_Toc14329"/>
      <w:bookmarkStart w:id="22" w:name="_Toc1711"/>
      <w:bookmarkStart w:id="23" w:name="_Toc120"/>
      <w:bookmarkStart w:id="24" w:name="_Toc72423393"/>
      <w:r>
        <w:rPr>
          <w:rFonts w:ascii="楷体_GB2312" w:hAnsi="楷体_GB2312" w:eastAsia="楷体_GB2312" w:cs="楷体_GB2312"/>
          <w:sz w:val="32"/>
          <w:szCs w:val="32"/>
        </w:rPr>
        <w:t>1.</w:t>
      </w:r>
      <w:r>
        <w:rPr>
          <w:rFonts w:hint="eastAsia" w:ascii="楷体_GB2312" w:hAnsi="楷体_GB2312" w:eastAsia="楷体_GB2312" w:cs="楷体_GB2312"/>
          <w:sz w:val="32"/>
          <w:szCs w:val="32"/>
        </w:rPr>
        <w:t>项目背景</w:t>
      </w:r>
      <w:bookmarkEnd w:id="21"/>
      <w:bookmarkEnd w:id="22"/>
      <w:bookmarkEnd w:id="23"/>
      <w:bookmarkEnd w:id="24"/>
    </w:p>
    <w:p>
      <w:pPr>
        <w:spacing w:line="560" w:lineRule="exact"/>
        <w:ind w:firstLine="640" w:firstLineChars="200"/>
        <w:rPr>
          <w:rFonts w:ascii="仿宋_GB2312" w:eastAsia="仿宋_GB2312"/>
          <w:sz w:val="32"/>
          <w:szCs w:val="32"/>
        </w:rPr>
      </w:pPr>
      <w:r>
        <w:rPr>
          <w:rFonts w:hint="eastAsia" w:ascii="仿宋_GB2312" w:eastAsia="仿宋_GB2312"/>
          <w:sz w:val="32"/>
          <w:szCs w:val="32"/>
        </w:rPr>
        <w:t>丰台检察院以党中央关于信息化建设的相关精神为指导，落实北京市人民检察院有关信息化建设的工作要求，加强领导，深入调研，反复论证，紧紧围绕检察工作主题和执法规范化、队伍专业化、管理科学化和保障现代化的总体要求，努力探索建立符合检察工作特点和规律的信息化建设，应用及管理的新模式，信息化应用的推广工作取得了全面进展，信息化已经完全融入了检察业务和办公工作，成为了重要的、不可或轴的工作方式。以全国检察业务应用软件为核心的所有软、硬件系统的运行维护管理工作是丰台区人民检察院正常办案、办公的重要保障。为了更好地为丰台检察院各项工作的顺利实施保驾护航，保障院内机房设备、网络设备、内外网的正常运行，满足各项检察工作对信息系统的需求，为检察工作的开展提供有力的支撑，申请“信息化运维费”项目</w:t>
      </w:r>
      <w:r>
        <w:rPr>
          <w:rFonts w:ascii="仿宋_GB2312" w:eastAsia="仿宋_GB2312"/>
          <w:sz w:val="32"/>
          <w:szCs w:val="32"/>
        </w:rPr>
        <w:t>（以下简称</w:t>
      </w:r>
      <w:r>
        <w:rPr>
          <w:rFonts w:hint="eastAsia" w:ascii="仿宋_GB2312" w:eastAsia="仿宋_GB2312"/>
          <w:sz w:val="32"/>
          <w:szCs w:val="32"/>
        </w:rPr>
        <w:t>“</w:t>
      </w:r>
      <w:r>
        <w:rPr>
          <w:rFonts w:ascii="仿宋_GB2312" w:eastAsia="仿宋_GB2312"/>
          <w:sz w:val="32"/>
          <w:szCs w:val="32"/>
        </w:rPr>
        <w:t>该项目</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w:t>
      </w:r>
    </w:p>
    <w:p>
      <w:pPr>
        <w:spacing w:line="600" w:lineRule="exact"/>
        <w:ind w:firstLine="640" w:firstLineChars="200"/>
        <w:rPr>
          <w:rFonts w:hint="eastAsia" w:ascii="楷体_GB2312" w:hAnsi="楷体_GB2312" w:eastAsia="楷体_GB2312" w:cs="楷体_GB2312"/>
          <w:b/>
          <w:bCs/>
          <w:color w:val="000000"/>
        </w:rPr>
      </w:pPr>
      <w:bookmarkStart w:id="25" w:name="_Toc72423394"/>
      <w:bookmarkStart w:id="26" w:name="_Toc3757"/>
      <w:bookmarkStart w:id="27" w:name="_Toc22614"/>
      <w:bookmarkStart w:id="28" w:name="_Toc26058"/>
      <w:r>
        <w:rPr>
          <w:rFonts w:ascii="楷体_GB2312" w:hAnsi="楷体_GB2312" w:eastAsia="楷体_GB2312" w:cs="楷体_GB2312"/>
          <w:sz w:val="32"/>
          <w:szCs w:val="32"/>
        </w:rPr>
        <w:t>2.</w:t>
      </w:r>
      <w:r>
        <w:rPr>
          <w:rFonts w:hint="eastAsia" w:ascii="楷体_GB2312" w:hAnsi="楷体_GB2312" w:eastAsia="楷体_GB2312" w:cs="楷体_GB2312"/>
          <w:sz w:val="32"/>
          <w:szCs w:val="32"/>
        </w:rPr>
        <w:t>主要内容</w:t>
      </w:r>
      <w:bookmarkEnd w:id="25"/>
      <w:r>
        <w:rPr>
          <w:rFonts w:hint="eastAsia" w:ascii="楷体_GB2312" w:hAnsi="楷体_GB2312" w:eastAsia="楷体_GB2312" w:cs="楷体_GB2312"/>
          <w:sz w:val="32"/>
          <w:szCs w:val="32"/>
        </w:rPr>
        <w:t>及实施情况</w:t>
      </w:r>
      <w:bookmarkEnd w:id="26"/>
      <w:bookmarkEnd w:id="27"/>
      <w:bookmarkEnd w:id="28"/>
    </w:p>
    <w:p>
      <w:pPr>
        <w:spacing w:line="560" w:lineRule="exact"/>
        <w:ind w:firstLine="640" w:firstLineChars="200"/>
        <w:rPr>
          <w:rFonts w:ascii="仿宋_GB2312" w:eastAsia="仿宋_GB2312"/>
          <w:sz w:val="32"/>
          <w:szCs w:val="32"/>
        </w:rPr>
      </w:pPr>
      <w:bookmarkStart w:id="216" w:name="_GoBack"/>
      <w:bookmarkEnd w:id="216"/>
      <w:r>
        <w:rPr>
          <w:rFonts w:hint="eastAsia" w:ascii="仿宋_GB2312" w:eastAsia="仿宋_GB2312"/>
          <w:sz w:val="32"/>
          <w:szCs w:val="32"/>
          <w:lang w:eastAsia="zh-CN"/>
        </w:rPr>
        <w:t>第三方</w:t>
      </w:r>
      <w:r>
        <w:rPr>
          <w:rFonts w:hint="eastAsia" w:ascii="仿宋_GB2312" w:eastAsia="仿宋_GB2312"/>
          <w:sz w:val="32"/>
          <w:szCs w:val="32"/>
        </w:rPr>
        <w:t>为北京市丰台区人民检察院的近园路办公区和第二办公区分别派驻3名和1名工程师提供运维服务。维护期限：近园路办公区为2024年7月4日起至2025 年7月3日; 第二办公区为2024年9月21日起至 2025年9月20日。</w:t>
      </w:r>
    </w:p>
    <w:p>
      <w:pPr>
        <w:spacing w:line="560" w:lineRule="exact"/>
        <w:ind w:firstLine="640" w:firstLineChars="200"/>
        <w:rPr>
          <w:rFonts w:hint="eastAsia" w:ascii="楷体_GB2312" w:hAnsi="楷体_GB2312" w:eastAsia="楷体_GB2312" w:cs="楷体_GB2312"/>
          <w:sz w:val="32"/>
          <w:szCs w:val="32"/>
        </w:rPr>
      </w:pPr>
      <w:bookmarkStart w:id="29" w:name="_Toc72423395"/>
      <w:r>
        <w:rPr>
          <w:rFonts w:hint="eastAsia" w:ascii="楷体_GB2312" w:hAnsi="楷体_GB2312" w:eastAsia="楷体_GB2312" w:cs="楷体_GB2312"/>
          <w:sz w:val="32"/>
          <w:szCs w:val="32"/>
        </w:rPr>
        <w:t>3.项目资金情况</w:t>
      </w:r>
    </w:p>
    <w:bookmarkEnd w:id="29"/>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该项目2024年度预算</w:t>
      </w:r>
      <w:r>
        <w:rPr>
          <w:rFonts w:ascii="仿宋_GB2312" w:hAnsi="宋体" w:eastAsia="仿宋_GB2312" w:cs="宋体"/>
          <w:color w:val="000000"/>
          <w:kern w:val="0"/>
          <w:sz w:val="32"/>
          <w:szCs w:val="32"/>
        </w:rPr>
        <w:t>111.7</w:t>
      </w:r>
      <w:r>
        <w:rPr>
          <w:rFonts w:hint="eastAsia" w:ascii="仿宋_GB2312" w:hAnsi="宋体" w:eastAsia="仿宋_GB2312" w:cs="宋体"/>
          <w:color w:val="000000"/>
          <w:kern w:val="0"/>
          <w:sz w:val="32"/>
          <w:szCs w:val="32"/>
        </w:rPr>
        <w:t>38万元。</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2024年该项目实际到位资金111.738万元，实际支出资金111.738万元，结余资金0.00万元，预算执行率100.00%。</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丰台检察院与</w:t>
      </w:r>
      <w:r>
        <w:rPr>
          <w:rFonts w:hint="eastAsia" w:ascii="仿宋_GB2312" w:eastAsia="仿宋_GB2312"/>
          <w:sz w:val="32"/>
          <w:szCs w:val="32"/>
          <w:lang w:eastAsia="zh-CN"/>
        </w:rPr>
        <w:t>第三方</w:t>
      </w:r>
      <w:r>
        <w:rPr>
          <w:rFonts w:hint="eastAsia" w:ascii="仿宋_GB2312" w:eastAsia="仿宋_GB2312"/>
          <w:sz w:val="32"/>
          <w:szCs w:val="32"/>
        </w:rPr>
        <w:t>签订了信息化运维费项目合同，合同固定价格合计为</w:t>
      </w:r>
      <w:r>
        <w:rPr>
          <w:rFonts w:hint="eastAsia" w:ascii="仿宋_GB2312" w:hAnsi="宋体" w:eastAsia="仿宋_GB2312" w:cs="宋体"/>
          <w:color w:val="000000"/>
          <w:kern w:val="0"/>
          <w:sz w:val="32"/>
          <w:szCs w:val="32"/>
        </w:rPr>
        <w:t>111.738</w:t>
      </w:r>
      <w:r>
        <w:rPr>
          <w:rFonts w:hint="eastAsia" w:ascii="仿宋_GB2312" w:eastAsia="仿宋_GB2312"/>
          <w:sz w:val="32"/>
          <w:szCs w:val="32"/>
        </w:rPr>
        <w:t>万元。按照合同约定，结算付款采用80%首付款、20%尾款支付手续，该项目使用的是财政资金，丰台检察院的付款时间为向政府财政支付部门提出办理财政支付手续的时间，不包含财政支付部门审核的时间。</w:t>
      </w:r>
    </w:p>
    <w:p>
      <w:pPr>
        <w:pStyle w:val="4"/>
        <w:spacing w:before="0" w:after="0" w:line="560" w:lineRule="exact"/>
        <w:ind w:firstLine="640" w:firstLineChars="200"/>
        <w:rPr>
          <w:rFonts w:hint="eastAsia" w:ascii="楷体" w:hAnsi="楷体" w:eastAsia="楷体"/>
          <w:b w:val="0"/>
          <w:bCs w:val="0"/>
        </w:rPr>
      </w:pPr>
      <w:bookmarkStart w:id="30" w:name="_Toc135057634"/>
      <w:bookmarkStart w:id="31" w:name="_Toc16366"/>
      <w:bookmarkStart w:id="32" w:name="_Toc4708"/>
      <w:bookmarkStart w:id="33" w:name="_Toc7310"/>
      <w:bookmarkStart w:id="34" w:name="_Toc72423396"/>
      <w:bookmarkStart w:id="35" w:name="_Toc21341"/>
      <w:bookmarkStart w:id="36" w:name="_Toc18286"/>
      <w:bookmarkStart w:id="37" w:name="_Toc1836"/>
      <w:bookmarkStart w:id="38" w:name="_Toc49"/>
      <w:r>
        <w:rPr>
          <w:rFonts w:hint="eastAsia" w:ascii="楷体" w:hAnsi="楷体" w:eastAsia="楷体"/>
          <w:b w:val="0"/>
          <w:bCs w:val="0"/>
        </w:rPr>
        <w:t>（二）项目绩效目标</w:t>
      </w:r>
      <w:bookmarkEnd w:id="30"/>
      <w:bookmarkEnd w:id="31"/>
      <w:bookmarkEnd w:id="32"/>
      <w:bookmarkEnd w:id="33"/>
      <w:bookmarkEnd w:id="34"/>
      <w:bookmarkEnd w:id="35"/>
      <w:bookmarkEnd w:id="36"/>
      <w:bookmarkEnd w:id="37"/>
      <w:bookmarkEnd w:id="38"/>
    </w:p>
    <w:p>
      <w:pPr>
        <w:spacing w:line="600" w:lineRule="exact"/>
        <w:ind w:firstLine="640" w:firstLineChars="200"/>
        <w:rPr>
          <w:rFonts w:ascii="仿宋_GB2312" w:eastAsia="仿宋_GB2312"/>
          <w:sz w:val="32"/>
          <w:szCs w:val="32"/>
        </w:rPr>
      </w:pPr>
      <w:r>
        <w:rPr>
          <w:rFonts w:hint="eastAsia" w:ascii="仿宋_GB2312" w:eastAsia="仿宋_GB2312"/>
          <w:sz w:val="32"/>
          <w:szCs w:val="32"/>
        </w:rPr>
        <w:t>通过项目实施，保障院内机房设备、网络设备、内外网的正常运行，满足丰台检察院各项检察工作对信息系统的需求，为检察工作的开展提供有力的支撑。</w:t>
      </w:r>
    </w:p>
    <w:p>
      <w:pPr>
        <w:pStyle w:val="3"/>
        <w:spacing w:before="0" w:after="0" w:line="560" w:lineRule="exact"/>
        <w:ind w:firstLine="640" w:firstLineChars="200"/>
        <w:rPr>
          <w:rFonts w:hint="eastAsia" w:ascii="黑体" w:hAnsi="黑体" w:eastAsia="黑体"/>
          <w:b w:val="0"/>
          <w:bCs w:val="0"/>
          <w:sz w:val="32"/>
          <w:szCs w:val="32"/>
        </w:rPr>
      </w:pPr>
      <w:bookmarkStart w:id="39" w:name="_Toc135057635"/>
      <w:bookmarkStart w:id="40" w:name="_Toc29320"/>
      <w:bookmarkStart w:id="41" w:name="_Toc5373"/>
      <w:bookmarkStart w:id="42" w:name="_Toc15659"/>
      <w:bookmarkStart w:id="43" w:name="_Toc5039"/>
      <w:bookmarkStart w:id="44" w:name="_Toc2988"/>
      <w:bookmarkStart w:id="45" w:name="_Toc567"/>
      <w:bookmarkStart w:id="46" w:name="_Toc7722"/>
      <w:bookmarkStart w:id="47" w:name="_Toc72423397"/>
      <w:r>
        <w:rPr>
          <w:rFonts w:hint="eastAsia" w:ascii="黑体" w:hAnsi="黑体" w:eastAsia="黑体"/>
          <w:b w:val="0"/>
          <w:bCs w:val="0"/>
          <w:sz w:val="32"/>
          <w:szCs w:val="32"/>
        </w:rPr>
        <w:t>二、绩效评价工作开展情况</w:t>
      </w:r>
      <w:bookmarkEnd w:id="39"/>
      <w:bookmarkEnd w:id="40"/>
      <w:bookmarkEnd w:id="41"/>
      <w:bookmarkEnd w:id="42"/>
      <w:bookmarkEnd w:id="43"/>
      <w:bookmarkEnd w:id="44"/>
      <w:bookmarkEnd w:id="45"/>
      <w:bookmarkEnd w:id="46"/>
      <w:bookmarkEnd w:id="47"/>
    </w:p>
    <w:p>
      <w:pPr>
        <w:pStyle w:val="4"/>
        <w:spacing w:before="0" w:after="0" w:line="560" w:lineRule="exact"/>
        <w:ind w:firstLine="640" w:firstLineChars="200"/>
        <w:rPr>
          <w:rFonts w:hint="eastAsia" w:ascii="楷体" w:hAnsi="楷体" w:eastAsia="楷体"/>
          <w:b w:val="0"/>
          <w:bCs w:val="0"/>
        </w:rPr>
      </w:pPr>
      <w:bookmarkStart w:id="48" w:name="_Toc12997"/>
      <w:bookmarkStart w:id="49" w:name="_Toc949"/>
      <w:bookmarkStart w:id="50" w:name="_Toc5228"/>
      <w:bookmarkStart w:id="51" w:name="_Toc72423398"/>
      <w:bookmarkStart w:id="52" w:name="_Toc27601"/>
      <w:bookmarkStart w:id="53" w:name="_Toc23752"/>
      <w:bookmarkStart w:id="54" w:name="_Toc1338"/>
      <w:bookmarkStart w:id="55" w:name="_Toc135057636"/>
      <w:bookmarkStart w:id="56" w:name="_Toc31457"/>
      <w:r>
        <w:rPr>
          <w:rFonts w:hint="eastAsia" w:ascii="楷体" w:hAnsi="楷体" w:eastAsia="楷体"/>
          <w:b w:val="0"/>
          <w:bCs w:val="0"/>
        </w:rPr>
        <w:t>（一）绩效评价目的、对象和范围</w:t>
      </w:r>
      <w:bookmarkEnd w:id="48"/>
      <w:bookmarkEnd w:id="49"/>
      <w:bookmarkEnd w:id="50"/>
      <w:bookmarkEnd w:id="51"/>
      <w:bookmarkEnd w:id="52"/>
      <w:bookmarkEnd w:id="53"/>
      <w:bookmarkEnd w:id="54"/>
      <w:bookmarkEnd w:id="55"/>
      <w:bookmarkEnd w:id="56"/>
    </w:p>
    <w:p>
      <w:pPr>
        <w:spacing w:line="600" w:lineRule="exact"/>
        <w:ind w:firstLine="640" w:firstLineChars="200"/>
        <w:rPr>
          <w:rFonts w:hint="eastAsia" w:ascii="楷体_GB2312" w:hAnsi="楷体_GB2312" w:eastAsia="楷体_GB2312" w:cs="楷体_GB2312"/>
          <w:b/>
          <w:bCs/>
        </w:rPr>
      </w:pPr>
      <w:bookmarkStart w:id="57" w:name="_Toc72423399"/>
      <w:bookmarkStart w:id="58" w:name="_Toc12541"/>
      <w:bookmarkStart w:id="59" w:name="_Toc26071"/>
      <w:bookmarkStart w:id="60" w:name="_Toc7059"/>
      <w:r>
        <w:rPr>
          <w:rFonts w:ascii="楷体_GB2312" w:hAnsi="楷体_GB2312" w:eastAsia="楷体_GB2312" w:cs="楷体_GB2312"/>
          <w:sz w:val="32"/>
          <w:szCs w:val="32"/>
        </w:rPr>
        <w:t>1.</w:t>
      </w:r>
      <w:r>
        <w:rPr>
          <w:rFonts w:hint="eastAsia" w:ascii="楷体_GB2312" w:hAnsi="楷体_GB2312" w:eastAsia="楷体_GB2312" w:cs="楷体_GB2312"/>
          <w:sz w:val="32"/>
          <w:szCs w:val="32"/>
        </w:rPr>
        <w:t>绩效评价目的</w:t>
      </w:r>
      <w:bookmarkEnd w:id="57"/>
      <w:bookmarkEnd w:id="58"/>
      <w:bookmarkEnd w:id="59"/>
      <w:bookmarkEnd w:id="60"/>
    </w:p>
    <w:p>
      <w:pPr>
        <w:spacing w:line="560" w:lineRule="exact"/>
        <w:ind w:firstLine="640" w:firstLineChars="200"/>
        <w:rPr>
          <w:rFonts w:ascii="仿宋_GB2312" w:eastAsia="仿宋_GB2312"/>
          <w:sz w:val="32"/>
          <w:szCs w:val="32"/>
        </w:rPr>
      </w:pPr>
      <w:r>
        <w:rPr>
          <w:rFonts w:hint="eastAsia" w:ascii="仿宋_GB2312" w:eastAsia="仿宋_GB2312"/>
          <w:sz w:val="32"/>
          <w:szCs w:val="32"/>
        </w:rPr>
        <w:t>通过绩效评价，对该项目整体情况进行分析，全面、客观地反映项目单位的工作成效，对项目决策、项目过程、项目产出、项目效益方面存在的不足提出合理化建议，使预算管理更加科学、完善，加强项目预算绩效管理，提高财政资金使用效益和效率，得出是否完成绩效目标的结论。</w:t>
      </w:r>
    </w:p>
    <w:p>
      <w:pPr>
        <w:spacing w:line="600" w:lineRule="exact"/>
        <w:ind w:firstLine="640" w:firstLineChars="200"/>
        <w:rPr>
          <w:rFonts w:hint="eastAsia" w:ascii="楷体_GB2312" w:hAnsi="楷体_GB2312" w:eastAsia="楷体_GB2312" w:cs="楷体_GB2312"/>
          <w:b/>
          <w:bCs/>
        </w:rPr>
      </w:pPr>
      <w:bookmarkStart w:id="61" w:name="_Toc21485"/>
      <w:bookmarkStart w:id="62" w:name="_Toc2605"/>
      <w:bookmarkStart w:id="63" w:name="_Toc6497"/>
      <w:bookmarkStart w:id="64" w:name="_Toc72423400"/>
      <w:r>
        <w:rPr>
          <w:rFonts w:ascii="楷体_GB2312" w:hAnsi="楷体_GB2312" w:eastAsia="楷体_GB2312" w:cs="楷体_GB2312"/>
          <w:sz w:val="32"/>
          <w:szCs w:val="32"/>
        </w:rPr>
        <w:t>2.</w:t>
      </w:r>
      <w:r>
        <w:rPr>
          <w:rFonts w:hint="eastAsia" w:ascii="楷体_GB2312" w:hAnsi="楷体_GB2312" w:eastAsia="楷体_GB2312" w:cs="楷体_GB2312"/>
          <w:sz w:val="32"/>
          <w:szCs w:val="32"/>
        </w:rPr>
        <w:t>评价对象和范围</w:t>
      </w:r>
      <w:bookmarkEnd w:id="61"/>
      <w:bookmarkEnd w:id="62"/>
      <w:bookmarkEnd w:id="63"/>
      <w:bookmarkEnd w:id="64"/>
    </w:p>
    <w:p>
      <w:pPr>
        <w:spacing w:line="560" w:lineRule="exact"/>
        <w:ind w:firstLine="640" w:firstLineChars="200"/>
        <w:rPr>
          <w:rFonts w:ascii="仿宋_GB2312" w:eastAsia="仿宋_GB2312"/>
          <w:sz w:val="32"/>
          <w:szCs w:val="32"/>
        </w:rPr>
      </w:pPr>
      <w:r>
        <w:rPr>
          <w:rFonts w:hint="eastAsia" w:ascii="仿宋_GB2312" w:eastAsia="仿宋_GB2312"/>
          <w:sz w:val="32"/>
          <w:szCs w:val="32"/>
        </w:rPr>
        <w:t>对丰台检察院“信息化运维费”项目资金111.738万元的资金支出情况开展绩效评价。</w:t>
      </w:r>
    </w:p>
    <w:p>
      <w:pPr>
        <w:pStyle w:val="4"/>
        <w:spacing w:before="0" w:after="0" w:line="560" w:lineRule="exact"/>
        <w:ind w:firstLine="640" w:firstLineChars="200"/>
        <w:rPr>
          <w:rFonts w:hint="eastAsia" w:ascii="楷体" w:hAnsi="楷体" w:eastAsia="楷体"/>
          <w:b w:val="0"/>
          <w:bCs w:val="0"/>
        </w:rPr>
      </w:pPr>
      <w:bookmarkStart w:id="65" w:name="_Toc135057637"/>
      <w:bookmarkStart w:id="66" w:name="_Toc24606"/>
      <w:bookmarkStart w:id="67" w:name="_Toc14503"/>
      <w:bookmarkStart w:id="68" w:name="_Toc13857"/>
      <w:bookmarkStart w:id="69" w:name="_Toc27506"/>
      <w:bookmarkStart w:id="70" w:name="_Toc16433"/>
      <w:bookmarkStart w:id="71" w:name="_Toc733"/>
      <w:bookmarkStart w:id="72" w:name="_Toc11464"/>
      <w:r>
        <w:rPr>
          <w:rFonts w:hint="eastAsia" w:ascii="楷体" w:hAnsi="楷体" w:eastAsia="楷体"/>
          <w:b w:val="0"/>
          <w:bCs w:val="0"/>
        </w:rPr>
        <w:t>（二）绩效评价原则、评价指标体系、评价方法、评价标准</w:t>
      </w:r>
      <w:bookmarkEnd w:id="65"/>
      <w:bookmarkEnd w:id="66"/>
      <w:bookmarkEnd w:id="67"/>
      <w:bookmarkEnd w:id="68"/>
      <w:bookmarkEnd w:id="69"/>
      <w:bookmarkEnd w:id="70"/>
      <w:bookmarkEnd w:id="71"/>
      <w:bookmarkEnd w:id="72"/>
    </w:p>
    <w:p>
      <w:pPr>
        <w:spacing w:line="600" w:lineRule="exact"/>
        <w:ind w:firstLine="640" w:firstLineChars="200"/>
        <w:rPr>
          <w:rFonts w:hint="eastAsia" w:ascii="楷体_GB2312" w:hAnsi="楷体_GB2312" w:eastAsia="楷体_GB2312" w:cs="楷体_GB2312"/>
          <w:sz w:val="32"/>
          <w:szCs w:val="32"/>
        </w:rPr>
      </w:pPr>
      <w:bookmarkStart w:id="73" w:name="_Toc23112"/>
      <w:bookmarkStart w:id="74" w:name="_Toc23770"/>
      <w:bookmarkStart w:id="75" w:name="_Toc27403"/>
      <w:r>
        <w:rPr>
          <w:rFonts w:hint="eastAsia" w:ascii="楷体_GB2312" w:hAnsi="楷体_GB2312" w:eastAsia="楷体_GB2312" w:cs="楷体_GB2312"/>
          <w:sz w:val="32"/>
          <w:szCs w:val="32"/>
        </w:rPr>
        <w:t>1.绩效评价原则及评价方法</w:t>
      </w:r>
    </w:p>
    <w:bookmarkEnd w:id="73"/>
    <w:bookmarkEnd w:id="74"/>
    <w:bookmarkEnd w:id="75"/>
    <w:p>
      <w:pPr>
        <w:spacing w:line="560" w:lineRule="exact"/>
        <w:ind w:firstLine="640" w:firstLineChars="200"/>
        <w:rPr>
          <w:rFonts w:ascii="仿宋_GB2312" w:eastAsia="仿宋_GB2312"/>
          <w:sz w:val="32"/>
          <w:szCs w:val="32"/>
        </w:rPr>
      </w:pPr>
      <w:r>
        <w:rPr>
          <w:rFonts w:hint="eastAsia" w:ascii="仿宋_GB2312" w:eastAsia="仿宋_GB2312"/>
          <w:sz w:val="32"/>
          <w:szCs w:val="32"/>
        </w:rPr>
        <w:t>本次绩效评价遵循“客观、公正、公平、规范”的原则，按照政府采购流程规范、信息化运维费合同约定的内容进行绩效评分并计算综合得分。</w:t>
      </w:r>
    </w:p>
    <w:p>
      <w:pPr>
        <w:spacing w:line="600" w:lineRule="exact"/>
        <w:ind w:firstLine="640" w:firstLineChars="200"/>
        <w:rPr>
          <w:rFonts w:hint="eastAsia" w:ascii="楷体_GB2312" w:hAnsi="楷体_GB2312" w:eastAsia="楷体_GB2312" w:cs="楷体_GB2312"/>
          <w:sz w:val="32"/>
          <w:szCs w:val="32"/>
        </w:rPr>
      </w:pPr>
      <w:bookmarkStart w:id="76" w:name="_Toc26963"/>
      <w:bookmarkStart w:id="77" w:name="_Toc72423403"/>
      <w:bookmarkStart w:id="78" w:name="_Toc13226"/>
      <w:bookmarkStart w:id="79" w:name="_Toc5787"/>
      <w:r>
        <w:rPr>
          <w:rFonts w:hint="eastAsia" w:ascii="楷体_GB2312" w:hAnsi="楷体_GB2312" w:eastAsia="楷体_GB2312" w:cs="楷体_GB2312"/>
          <w:sz w:val="32"/>
          <w:szCs w:val="32"/>
        </w:rPr>
        <w:t>1.绩效评价原则及评价方法</w:t>
      </w:r>
    </w:p>
    <w:bookmarkEnd w:id="76"/>
    <w:bookmarkEnd w:id="77"/>
    <w:bookmarkEnd w:id="78"/>
    <w:bookmarkEnd w:id="79"/>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绩效评价指标体系主要包括项目决策、项目过程、项目产出、项目效益</w:t>
      </w: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个方面，满分100分。一是决策指标(</w:t>
      </w:r>
      <w:r>
        <w:rPr>
          <w:rFonts w:ascii="仿宋_GB2312" w:hAnsi="宋体" w:eastAsia="仿宋_GB2312" w:cs="宋体"/>
          <w:color w:val="000000"/>
          <w:kern w:val="0"/>
          <w:sz w:val="32"/>
          <w:szCs w:val="32"/>
        </w:rPr>
        <w:t>15</w:t>
      </w:r>
      <w:r>
        <w:rPr>
          <w:rFonts w:hint="eastAsia" w:ascii="仿宋_GB2312" w:hAnsi="宋体" w:eastAsia="仿宋_GB2312" w:cs="宋体"/>
          <w:color w:val="000000"/>
          <w:kern w:val="0"/>
          <w:sz w:val="32"/>
          <w:szCs w:val="32"/>
        </w:rPr>
        <w:t>分)，主要评价项目立项、绩效目标、资金投入等内容；二是过程指标(2</w:t>
      </w:r>
      <w:r>
        <w:rPr>
          <w:rFonts w:ascii="仿宋_GB2312" w:hAnsi="宋体" w:eastAsia="仿宋_GB2312" w:cs="宋体"/>
          <w:color w:val="000000"/>
          <w:kern w:val="0"/>
          <w:sz w:val="32"/>
          <w:szCs w:val="32"/>
        </w:rPr>
        <w:t>0</w:t>
      </w:r>
      <w:r>
        <w:rPr>
          <w:rFonts w:hint="eastAsia" w:ascii="仿宋_GB2312" w:hAnsi="宋体" w:eastAsia="仿宋_GB2312" w:cs="宋体"/>
          <w:color w:val="000000"/>
          <w:kern w:val="0"/>
          <w:sz w:val="32"/>
          <w:szCs w:val="32"/>
        </w:rPr>
        <w:t>分)，主要评价资金管理和组织实施等内容；三是产出指标(</w:t>
      </w:r>
      <w:r>
        <w:rPr>
          <w:rFonts w:ascii="仿宋_GB2312" w:hAnsi="宋体" w:eastAsia="仿宋_GB2312" w:cs="宋体"/>
          <w:color w:val="000000"/>
          <w:kern w:val="0"/>
          <w:sz w:val="32"/>
          <w:szCs w:val="32"/>
        </w:rPr>
        <w:t>34</w:t>
      </w:r>
      <w:r>
        <w:rPr>
          <w:rFonts w:hint="eastAsia" w:ascii="仿宋_GB2312" w:hAnsi="宋体" w:eastAsia="仿宋_GB2312" w:cs="宋体"/>
          <w:color w:val="000000"/>
          <w:kern w:val="0"/>
          <w:sz w:val="32"/>
          <w:szCs w:val="32"/>
        </w:rPr>
        <w:t>分)，主要评价项目产出数量、产出质量、产出时效和产出成本等内容；四是效益指标（</w:t>
      </w:r>
      <w:r>
        <w:rPr>
          <w:rFonts w:ascii="仿宋_GB2312" w:hAnsi="宋体" w:eastAsia="仿宋_GB2312" w:cs="宋体"/>
          <w:color w:val="000000"/>
          <w:kern w:val="0"/>
          <w:sz w:val="32"/>
          <w:szCs w:val="32"/>
        </w:rPr>
        <w:t>31</w:t>
      </w:r>
      <w:r>
        <w:rPr>
          <w:rFonts w:hint="eastAsia" w:ascii="仿宋_GB2312" w:hAnsi="宋体" w:eastAsia="仿宋_GB2312" w:cs="宋体"/>
          <w:color w:val="000000"/>
          <w:kern w:val="0"/>
          <w:sz w:val="32"/>
          <w:szCs w:val="32"/>
        </w:rPr>
        <w:t>分），主要评价实施效益和满意度等内容。具体内容见下表：</w:t>
      </w:r>
    </w:p>
    <w:p>
      <w:pPr>
        <w:keepNext/>
        <w:spacing w:after="120" w:afterLines="50" w:line="560" w:lineRule="exact"/>
        <w:ind w:firstLine="562" w:firstLineChars="200"/>
        <w:jc w:val="center"/>
        <w:rPr>
          <w:rFonts w:hint="eastAsia" w:ascii="楷体" w:hAnsi="楷体" w:eastAsia="楷体" w:cs="宋体"/>
          <w:b/>
          <w:bCs/>
          <w:kern w:val="0"/>
          <w:sz w:val="28"/>
          <w:szCs w:val="28"/>
        </w:rPr>
      </w:pPr>
      <w:r>
        <w:rPr>
          <w:rFonts w:hint="eastAsia" w:ascii="楷体" w:hAnsi="楷体" w:eastAsia="楷体" w:cs="宋体"/>
          <w:b/>
          <w:bCs/>
          <w:kern w:val="0"/>
          <w:sz w:val="28"/>
          <w:szCs w:val="28"/>
        </w:rPr>
        <w:t>2024年度北京市丰台区人民检察院“信息化运维费”项目绩效评价指标体系表</w:t>
      </w:r>
    </w:p>
    <w:tbl>
      <w:tblPr>
        <w:tblStyle w:val="14"/>
        <w:tblW w:w="9056" w:type="dxa"/>
        <w:tblInd w:w="0" w:type="dxa"/>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947"/>
        <w:gridCol w:w="1288"/>
        <w:gridCol w:w="1748"/>
        <w:gridCol w:w="648"/>
        <w:gridCol w:w="4425"/>
      </w:tblGrid>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2" w:hRule="atLeast"/>
          <w:tblHeader/>
        </w:trPr>
        <w:tc>
          <w:tcPr>
            <w:tcW w:w="947" w:type="dxa"/>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一级</w:t>
            </w:r>
          </w:p>
        </w:tc>
        <w:tc>
          <w:tcPr>
            <w:tcW w:w="1288" w:type="dxa"/>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二级</w:t>
            </w:r>
          </w:p>
        </w:tc>
        <w:tc>
          <w:tcPr>
            <w:tcW w:w="1748" w:type="dxa"/>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三级</w:t>
            </w:r>
          </w:p>
        </w:tc>
        <w:tc>
          <w:tcPr>
            <w:tcW w:w="648" w:type="dxa"/>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分值</w:t>
            </w:r>
          </w:p>
        </w:tc>
        <w:tc>
          <w:tcPr>
            <w:tcW w:w="4425" w:type="dxa"/>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指标解释</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42" w:hRule="atLeast"/>
        </w:trPr>
        <w:tc>
          <w:tcPr>
            <w:tcW w:w="947"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项目决策（</w:t>
            </w:r>
            <w:r>
              <w:rPr>
                <w:rFonts w:ascii="楷体" w:hAnsi="楷体" w:eastAsia="楷体" w:cs="宋体"/>
                <w:color w:val="000000"/>
                <w:kern w:val="0"/>
                <w:szCs w:val="21"/>
                <w:lang w:bidi="ar"/>
              </w:rPr>
              <w:t>15</w:t>
            </w:r>
            <w:r>
              <w:rPr>
                <w:rFonts w:hint="eastAsia" w:ascii="楷体" w:hAnsi="楷体" w:eastAsia="楷体" w:cs="宋体"/>
                <w:color w:val="000000"/>
                <w:kern w:val="0"/>
                <w:szCs w:val="21"/>
                <w:lang w:bidi="ar"/>
              </w:rPr>
              <w:t>分）</w:t>
            </w:r>
          </w:p>
        </w:tc>
        <w:tc>
          <w:tcPr>
            <w:tcW w:w="1288"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项目立项（</w:t>
            </w:r>
            <w:r>
              <w:rPr>
                <w:rFonts w:ascii="楷体" w:hAnsi="楷体" w:eastAsia="楷体" w:cs="宋体"/>
                <w:color w:val="000000"/>
                <w:kern w:val="0"/>
                <w:szCs w:val="21"/>
                <w:lang w:bidi="ar"/>
              </w:rPr>
              <w:t>5</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立项依据充分性</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3</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项目立项是否符合法律法规、相关政策、发展规划以及部门职责，用以反映和考核项目立项依据情况。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pPr>
              <w:jc w:val="center"/>
              <w:rPr>
                <w:rFonts w:hint="eastAsia" w:ascii="楷体" w:hAnsi="楷体" w:eastAsia="楷体" w:cs="宋体"/>
                <w:color w:val="000000"/>
                <w:szCs w:val="21"/>
              </w:rPr>
            </w:pP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立项程序规范性</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项目申请、设立过程是否符合相关要求，用以反映和考核项目立项的规范情况。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08"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绩效目标（</w:t>
            </w:r>
            <w:r>
              <w:rPr>
                <w:rFonts w:ascii="楷体" w:hAnsi="楷体" w:eastAsia="楷体" w:cs="宋体"/>
                <w:color w:val="000000"/>
                <w:kern w:val="0"/>
                <w:szCs w:val="21"/>
                <w:lang w:bidi="ar"/>
              </w:rPr>
              <w:t>6</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绩效目标合理性</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3</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项目所设定的绩效目标是否依据充分，是否符合客观实际，用以反映和考核项目绩效目标与项目实施的相符情况。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pPr>
              <w:jc w:val="center"/>
              <w:rPr>
                <w:rFonts w:hint="eastAsia" w:ascii="楷体" w:hAnsi="楷体" w:eastAsia="楷体" w:cs="宋体"/>
                <w:color w:val="000000"/>
                <w:szCs w:val="21"/>
              </w:rPr>
            </w:pP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绩效指标明确性</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3</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依据绩效目标设定的绩效指标是否清晰、细化、可衡量等，用以反映和考核项目绩效目标的明细化情况。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82"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资金投入（</w:t>
            </w:r>
            <w:r>
              <w:rPr>
                <w:rFonts w:ascii="楷体" w:hAnsi="楷体" w:eastAsia="楷体" w:cs="宋体"/>
                <w:color w:val="000000"/>
                <w:kern w:val="0"/>
                <w:szCs w:val="21"/>
                <w:lang w:bidi="ar"/>
              </w:rPr>
              <w:t>4</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预算编制科学性</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项目预算编制是否经过科学论证、有明确标准，资金额度与年度目标是否相适应，用以反映和考核项目预算编制的科学性、合理性情况。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182"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pPr>
              <w:jc w:val="center"/>
              <w:rPr>
                <w:rFonts w:hint="eastAsia" w:ascii="楷体" w:hAnsi="楷体" w:eastAsia="楷体" w:cs="宋体"/>
                <w:color w:val="000000"/>
                <w:szCs w:val="21"/>
              </w:rPr>
            </w:pP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资金分配合理性</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项目预算资金分配是否有测算依据，与补助单位或地方实际是否相适应，用以反映和考核项目预算资金分配的科学性、合理性情况。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47"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项目过程（</w:t>
            </w:r>
            <w:r>
              <w:rPr>
                <w:rFonts w:ascii="楷体" w:hAnsi="楷体" w:eastAsia="楷体" w:cs="宋体"/>
                <w:color w:val="000000"/>
                <w:kern w:val="0"/>
                <w:szCs w:val="21"/>
                <w:lang w:bidi="ar"/>
              </w:rPr>
              <w:t>20</w:t>
            </w:r>
            <w:r>
              <w:rPr>
                <w:rFonts w:hint="eastAsia" w:ascii="楷体" w:hAnsi="楷体" w:eastAsia="楷体" w:cs="宋体"/>
                <w:color w:val="000000"/>
                <w:kern w:val="0"/>
                <w:szCs w:val="21"/>
                <w:lang w:bidi="ar"/>
              </w:rPr>
              <w:t>分）</w:t>
            </w:r>
          </w:p>
        </w:tc>
        <w:tc>
          <w:tcPr>
            <w:tcW w:w="1288"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资金管理（</w:t>
            </w:r>
            <w:r>
              <w:rPr>
                <w:rFonts w:ascii="楷体" w:hAnsi="楷体" w:eastAsia="楷体" w:cs="宋体"/>
                <w:color w:val="000000"/>
                <w:kern w:val="0"/>
                <w:szCs w:val="21"/>
                <w:lang w:bidi="ar"/>
              </w:rPr>
              <w:t>8</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资金到位率</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实际到位资金与预算资金的比率，用以反映和考核资金落实情况对项目实施的总体保障程度。</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14"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pPr>
              <w:jc w:val="center"/>
              <w:rPr>
                <w:rFonts w:hint="eastAsia" w:ascii="楷体" w:hAnsi="楷体" w:eastAsia="楷体" w:cs="宋体"/>
                <w:color w:val="000000"/>
                <w:szCs w:val="21"/>
              </w:rPr>
            </w:pP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预算执行率</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425" w:type="dxa"/>
            <w:tcBorders>
              <w:tl2br w:val="nil"/>
              <w:tr2bl w:val="nil"/>
            </w:tcBorders>
            <w:vAlign w:val="center"/>
          </w:tcPr>
          <w:p>
            <w:pPr>
              <w:rPr>
                <w:rFonts w:hint="eastAsia" w:ascii="楷体" w:hAnsi="楷体" w:eastAsia="楷体" w:cs="宋体"/>
                <w:color w:val="000000"/>
                <w:szCs w:val="21"/>
              </w:rPr>
            </w:pPr>
            <w:r>
              <w:rPr>
                <w:rFonts w:hint="eastAsia" w:ascii="楷体" w:hAnsi="楷体" w:eastAsia="楷体" w:cs="宋体"/>
                <w:color w:val="000000"/>
                <w:kern w:val="0"/>
                <w:szCs w:val="21"/>
                <w:lang w:bidi="ar"/>
              </w:rPr>
              <w:t>项目预算资金是否按照计划执行，用以反映或考核项目预算执行情况。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24"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pPr>
              <w:jc w:val="center"/>
              <w:rPr>
                <w:rFonts w:hint="eastAsia" w:ascii="楷体" w:hAnsi="楷体" w:eastAsia="楷体" w:cs="宋体"/>
                <w:color w:val="000000"/>
                <w:szCs w:val="21"/>
              </w:rPr>
            </w:pP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资金使用合规性</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4</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项目资金使用是否符合相关的财务管理制度规定，用以反映和考核项目资金的规范运行情况。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20"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组织实施（</w:t>
            </w:r>
            <w:r>
              <w:rPr>
                <w:rFonts w:ascii="楷体" w:hAnsi="楷体" w:eastAsia="楷体" w:cs="宋体"/>
                <w:color w:val="000000"/>
                <w:kern w:val="0"/>
                <w:szCs w:val="21"/>
                <w:lang w:bidi="ar"/>
              </w:rPr>
              <w:t>12</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管理制度健全性</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4</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项目实施单位的财务和业务管理制度是否健全，用以反映和考核财务和业务管理制度对项目顺利实施的保障情况。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42"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pPr>
              <w:jc w:val="center"/>
              <w:rPr>
                <w:rFonts w:hint="eastAsia" w:ascii="楷体" w:hAnsi="楷体" w:eastAsia="楷体" w:cs="宋体"/>
                <w:color w:val="000000"/>
                <w:szCs w:val="21"/>
              </w:rPr>
            </w:pP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制度实施有效性</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8</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项目实施是否符合相关管理规定，用以反映和考核相关管理制度的有效执行情况。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47"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项目产出（</w:t>
            </w:r>
            <w:r>
              <w:rPr>
                <w:rFonts w:ascii="楷体" w:hAnsi="楷体" w:eastAsia="楷体" w:cs="宋体"/>
                <w:color w:val="000000"/>
                <w:kern w:val="0"/>
                <w:szCs w:val="21"/>
                <w:lang w:bidi="ar"/>
              </w:rPr>
              <w:t>34</w:t>
            </w:r>
            <w:r>
              <w:rPr>
                <w:rFonts w:hint="eastAsia" w:ascii="楷体" w:hAnsi="楷体" w:eastAsia="楷体" w:cs="宋体"/>
                <w:color w:val="000000"/>
                <w:kern w:val="0"/>
                <w:szCs w:val="21"/>
                <w:lang w:bidi="ar"/>
              </w:rPr>
              <w:t>分）</w:t>
            </w:r>
          </w:p>
        </w:tc>
        <w:tc>
          <w:tcPr>
            <w:tcW w:w="128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产出数量（</w:t>
            </w:r>
            <w:r>
              <w:rPr>
                <w:rFonts w:ascii="楷体" w:hAnsi="楷体" w:eastAsia="楷体" w:cs="宋体"/>
                <w:color w:val="000000"/>
                <w:kern w:val="0"/>
                <w:szCs w:val="21"/>
                <w:lang w:bidi="ar"/>
              </w:rPr>
              <w:t>8</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实际完成率</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szCs w:val="21"/>
              </w:rPr>
              <w:t>8</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项目实施的实际产出数与计划产出数的比率，用以反映和考核项目产出数量目标的实现程度。</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产出质量（</w:t>
            </w:r>
            <w:r>
              <w:rPr>
                <w:rFonts w:ascii="楷体" w:hAnsi="楷体" w:eastAsia="楷体" w:cs="宋体"/>
                <w:color w:val="000000"/>
                <w:kern w:val="0"/>
                <w:szCs w:val="21"/>
                <w:lang w:bidi="ar"/>
              </w:rPr>
              <w:t>12</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质量达标率</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szCs w:val="21"/>
              </w:rPr>
              <w:t>12</w:t>
            </w:r>
          </w:p>
        </w:tc>
        <w:tc>
          <w:tcPr>
            <w:tcW w:w="4425" w:type="dxa"/>
            <w:tcBorders>
              <w:tl2br w:val="nil"/>
              <w:tr2bl w:val="nil"/>
            </w:tcBorders>
            <w:vAlign w:val="center"/>
          </w:tcPr>
          <w:p>
            <w:pPr>
              <w:rPr>
                <w:rFonts w:hint="eastAsia" w:ascii="楷体" w:hAnsi="楷体" w:eastAsia="楷体" w:cs="宋体"/>
                <w:color w:val="000000"/>
                <w:szCs w:val="21"/>
              </w:rPr>
            </w:pPr>
            <w:r>
              <w:rPr>
                <w:rFonts w:hint="eastAsia" w:ascii="楷体" w:hAnsi="楷体" w:eastAsia="楷体" w:cs="宋体"/>
                <w:color w:val="000000"/>
                <w:kern w:val="0"/>
                <w:szCs w:val="21"/>
                <w:lang w:bidi="ar"/>
              </w:rPr>
              <w:t>项目完成的质量达标产出数与实际产出数的比率，用以反映和考核项目产出质量目标的实现程度。</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36"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产出时效（</w:t>
            </w:r>
            <w:r>
              <w:rPr>
                <w:rFonts w:ascii="楷体" w:hAnsi="楷体" w:eastAsia="楷体" w:cs="宋体"/>
                <w:color w:val="000000"/>
                <w:kern w:val="0"/>
                <w:szCs w:val="21"/>
                <w:lang w:bidi="ar"/>
              </w:rPr>
              <w:t>8</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完成及时性</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szCs w:val="21"/>
              </w:rPr>
              <w:t>8</w:t>
            </w:r>
          </w:p>
        </w:tc>
        <w:tc>
          <w:tcPr>
            <w:tcW w:w="4425" w:type="dxa"/>
            <w:tcBorders>
              <w:tl2br w:val="nil"/>
              <w:tr2bl w:val="nil"/>
            </w:tcBorders>
            <w:vAlign w:val="center"/>
          </w:tcPr>
          <w:p>
            <w:pPr>
              <w:rPr>
                <w:rFonts w:hint="eastAsia" w:ascii="楷体" w:hAnsi="楷体" w:eastAsia="楷体" w:cs="宋体"/>
                <w:color w:val="000000"/>
                <w:szCs w:val="21"/>
              </w:rPr>
            </w:pPr>
            <w:r>
              <w:rPr>
                <w:rFonts w:hint="eastAsia" w:ascii="楷体" w:hAnsi="楷体" w:eastAsia="楷体" w:cs="宋体"/>
                <w:color w:val="000000"/>
                <w:kern w:val="0"/>
                <w:szCs w:val="21"/>
                <w:lang w:bidi="ar"/>
              </w:rPr>
              <w:t>项目实际完成时间与计划完成时间的比较，用以反映和考核项目产出时效目标的实现程度。</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产出成本（</w:t>
            </w:r>
            <w:r>
              <w:rPr>
                <w:rFonts w:ascii="楷体" w:hAnsi="楷体" w:eastAsia="楷体" w:cs="宋体"/>
                <w:color w:val="000000"/>
                <w:kern w:val="0"/>
                <w:szCs w:val="21"/>
                <w:lang w:bidi="ar"/>
              </w:rPr>
              <w:t>6</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成本节约率</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szCs w:val="21"/>
              </w:rPr>
              <w:t>6</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完成项目计划工作目标的实际节约成本与计划成本的比率，用以反映和考核项目的成本节约程度。</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47"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项目效益（</w:t>
            </w:r>
            <w:r>
              <w:rPr>
                <w:rFonts w:ascii="楷体" w:hAnsi="楷体" w:eastAsia="楷体" w:cs="宋体"/>
                <w:color w:val="000000"/>
                <w:kern w:val="0"/>
                <w:szCs w:val="21"/>
                <w:lang w:bidi="ar"/>
              </w:rPr>
              <w:t>31</w:t>
            </w:r>
            <w:r>
              <w:rPr>
                <w:rFonts w:hint="eastAsia" w:ascii="楷体" w:hAnsi="楷体" w:eastAsia="楷体" w:cs="宋体"/>
                <w:color w:val="000000"/>
                <w:kern w:val="0"/>
                <w:szCs w:val="21"/>
                <w:lang w:bidi="ar"/>
              </w:rPr>
              <w:t>分）</w:t>
            </w:r>
          </w:p>
        </w:tc>
        <w:tc>
          <w:tcPr>
            <w:tcW w:w="1288"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项目效益（</w:t>
            </w:r>
            <w:r>
              <w:rPr>
                <w:rFonts w:ascii="楷体" w:hAnsi="楷体" w:eastAsia="楷体" w:cs="宋体"/>
                <w:color w:val="000000"/>
                <w:kern w:val="0"/>
                <w:szCs w:val="21"/>
                <w:lang w:bidi="ar"/>
              </w:rPr>
              <w:t>31</w:t>
            </w:r>
            <w:r>
              <w:rPr>
                <w:rFonts w:hint="eastAsia" w:ascii="楷体" w:hAnsi="楷体" w:eastAsia="楷体" w:cs="宋体"/>
                <w:color w:val="000000"/>
                <w:kern w:val="0"/>
                <w:szCs w:val="21"/>
                <w:lang w:bidi="ar"/>
              </w:rPr>
              <w:t>分）</w:t>
            </w: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实施效益</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20</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szCs w:val="21"/>
              </w:rPr>
              <w:t>项目实施所产生的效益。</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47" w:type="dxa"/>
            <w:vMerge w:val="continue"/>
            <w:tcBorders>
              <w:tl2br w:val="nil"/>
              <w:tr2bl w:val="nil"/>
            </w:tcBorders>
            <w:vAlign w:val="center"/>
          </w:tcPr>
          <w:p>
            <w:pPr>
              <w:jc w:val="center"/>
              <w:rPr>
                <w:rFonts w:hint="eastAsia" w:ascii="楷体" w:hAnsi="楷体" w:eastAsia="楷体" w:cs="宋体"/>
                <w:color w:val="000000"/>
                <w:szCs w:val="21"/>
              </w:rPr>
            </w:pPr>
          </w:p>
        </w:tc>
        <w:tc>
          <w:tcPr>
            <w:tcW w:w="1288" w:type="dxa"/>
            <w:vMerge w:val="continue"/>
            <w:tcBorders>
              <w:tl2br w:val="nil"/>
              <w:tr2bl w:val="nil"/>
            </w:tcBorders>
            <w:vAlign w:val="center"/>
          </w:tcPr>
          <w:p>
            <w:pPr>
              <w:jc w:val="center"/>
              <w:rPr>
                <w:rFonts w:hint="eastAsia" w:ascii="楷体" w:hAnsi="楷体" w:eastAsia="楷体" w:cs="宋体"/>
                <w:color w:val="000000"/>
                <w:szCs w:val="21"/>
              </w:rPr>
            </w:pPr>
          </w:p>
        </w:tc>
        <w:tc>
          <w:tcPr>
            <w:tcW w:w="1748"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满意度</w:t>
            </w:r>
          </w:p>
        </w:tc>
        <w:tc>
          <w:tcPr>
            <w:tcW w:w="648"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1</w:t>
            </w:r>
            <w:r>
              <w:rPr>
                <w:rFonts w:ascii="楷体" w:hAnsi="楷体" w:eastAsia="楷体" w:cs="宋体"/>
                <w:color w:val="000000"/>
                <w:kern w:val="0"/>
                <w:szCs w:val="21"/>
                <w:lang w:bidi="ar"/>
              </w:rPr>
              <w:t>1</w:t>
            </w:r>
          </w:p>
        </w:tc>
        <w:tc>
          <w:tcPr>
            <w:tcW w:w="4425"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szCs w:val="21"/>
              </w:rPr>
              <w:t>社会公众或服务对象对项目实施效果的满意程度。</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983" w:type="dxa"/>
            <w:gridSpan w:val="3"/>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合计</w:t>
            </w:r>
          </w:p>
        </w:tc>
        <w:tc>
          <w:tcPr>
            <w:tcW w:w="648" w:type="dxa"/>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100</w:t>
            </w:r>
          </w:p>
        </w:tc>
        <w:tc>
          <w:tcPr>
            <w:tcW w:w="4425" w:type="dxa"/>
            <w:tcBorders>
              <w:tl2br w:val="nil"/>
              <w:tr2bl w:val="nil"/>
            </w:tcBorders>
            <w:vAlign w:val="center"/>
          </w:tcPr>
          <w:p>
            <w:pPr>
              <w:jc w:val="center"/>
              <w:rPr>
                <w:rFonts w:hint="eastAsia" w:ascii="楷体" w:hAnsi="楷体" w:eastAsia="楷体" w:cs="宋体"/>
                <w:b/>
                <w:bCs/>
                <w:color w:val="000000"/>
                <w:szCs w:val="21"/>
              </w:rPr>
            </w:pPr>
          </w:p>
        </w:tc>
      </w:tr>
    </w:tbl>
    <w:p>
      <w:pPr>
        <w:pStyle w:val="4"/>
        <w:spacing w:before="0" w:after="0" w:line="560" w:lineRule="exact"/>
        <w:ind w:firstLine="640" w:firstLineChars="200"/>
        <w:rPr>
          <w:rFonts w:hint="eastAsia" w:ascii="楷体" w:hAnsi="楷体" w:eastAsia="楷体"/>
          <w:b w:val="0"/>
          <w:bCs w:val="0"/>
        </w:rPr>
      </w:pPr>
      <w:bookmarkStart w:id="80" w:name="_Toc19462"/>
      <w:bookmarkStart w:id="81" w:name="_Toc17250"/>
      <w:bookmarkStart w:id="82" w:name="_Toc24683"/>
      <w:bookmarkStart w:id="83" w:name="_Toc430"/>
      <w:bookmarkStart w:id="84" w:name="_Toc72423405"/>
      <w:bookmarkStart w:id="85" w:name="_Toc26893"/>
      <w:bookmarkStart w:id="86" w:name="_Toc135057638"/>
      <w:bookmarkStart w:id="87" w:name="_Toc28070"/>
      <w:bookmarkStart w:id="88" w:name="_Toc22193"/>
      <w:r>
        <w:rPr>
          <w:rFonts w:hint="eastAsia" w:ascii="楷体" w:hAnsi="楷体" w:eastAsia="楷体"/>
          <w:b w:val="0"/>
          <w:bCs w:val="0"/>
        </w:rPr>
        <w:t>（三）绩效评价工作过程</w:t>
      </w:r>
      <w:bookmarkEnd w:id="80"/>
      <w:bookmarkEnd w:id="81"/>
      <w:bookmarkEnd w:id="82"/>
      <w:bookmarkEnd w:id="83"/>
      <w:bookmarkEnd w:id="84"/>
      <w:bookmarkEnd w:id="85"/>
      <w:bookmarkEnd w:id="86"/>
      <w:bookmarkEnd w:id="87"/>
      <w:bookmarkEnd w:id="88"/>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次绩效评价工作在成立绩效评价工作组后，绩效评价工作组加强绩效评价相关业务的学习，明确绩效评价目的、要点，设置绩效评分标准表，通过线上沟通和审核评价资料的方式，对项目资料进行逐一核实，了解项目资金的使用和取得的效益情况，梳理和分析该项目的立项报批、施工单位竞争性磋商等实际情况，在此基础上对该项目进行评价，最终根据评价前期沟通及收集资料情况，形成绩效评价报告。</w:t>
      </w:r>
    </w:p>
    <w:p>
      <w:pPr>
        <w:pStyle w:val="3"/>
        <w:spacing w:before="0" w:after="0" w:line="560" w:lineRule="exact"/>
        <w:ind w:firstLine="640" w:firstLineChars="200"/>
        <w:rPr>
          <w:rFonts w:hint="eastAsia" w:ascii="黑体" w:hAnsi="黑体" w:eastAsia="黑体"/>
          <w:b w:val="0"/>
          <w:bCs w:val="0"/>
          <w:sz w:val="32"/>
          <w:szCs w:val="32"/>
        </w:rPr>
      </w:pPr>
      <w:bookmarkStart w:id="89" w:name="_Toc16320"/>
      <w:bookmarkStart w:id="90" w:name="_Toc1241"/>
      <w:bookmarkStart w:id="91" w:name="_Toc7284"/>
      <w:bookmarkStart w:id="92" w:name="_Toc72423406"/>
      <w:bookmarkStart w:id="93" w:name="_Toc135057639"/>
      <w:bookmarkStart w:id="94" w:name="_Toc8866"/>
      <w:bookmarkStart w:id="95" w:name="_Toc15163"/>
      <w:bookmarkStart w:id="96" w:name="_Toc6919"/>
      <w:bookmarkStart w:id="97" w:name="_Toc22500"/>
      <w:r>
        <w:rPr>
          <w:rFonts w:hint="eastAsia" w:ascii="黑体" w:hAnsi="黑体" w:eastAsia="黑体"/>
          <w:b w:val="0"/>
          <w:bCs w:val="0"/>
          <w:sz w:val="32"/>
          <w:szCs w:val="32"/>
        </w:rPr>
        <w:t>三、综合评价情况及评价结论</w:t>
      </w:r>
      <w:bookmarkEnd w:id="89"/>
      <w:bookmarkEnd w:id="90"/>
      <w:bookmarkEnd w:id="91"/>
      <w:bookmarkEnd w:id="92"/>
      <w:bookmarkEnd w:id="93"/>
      <w:bookmarkEnd w:id="94"/>
      <w:bookmarkEnd w:id="95"/>
      <w:bookmarkEnd w:id="96"/>
      <w:bookmarkEnd w:id="97"/>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2024年度丰台检察院“信息化运维费”项目，项目绩效评价综合得分88</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5</w:t>
      </w:r>
      <w:r>
        <w:rPr>
          <w:rFonts w:ascii="仿宋_GB2312" w:hAnsi="宋体" w:eastAsia="仿宋_GB2312" w:cs="宋体"/>
          <w:color w:val="000000"/>
          <w:kern w:val="0"/>
          <w:sz w:val="32"/>
          <w:szCs w:val="32"/>
        </w:rPr>
        <w:t>0</w:t>
      </w:r>
      <w:r>
        <w:rPr>
          <w:rFonts w:hint="eastAsia" w:ascii="仿宋_GB2312" w:hAnsi="宋体" w:eastAsia="仿宋_GB2312" w:cs="宋体"/>
          <w:color w:val="000000"/>
          <w:kern w:val="0"/>
          <w:sz w:val="32"/>
          <w:szCs w:val="32"/>
        </w:rPr>
        <w:t>分，其中项目决策</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3</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5</w:t>
      </w:r>
      <w:r>
        <w:rPr>
          <w:rFonts w:ascii="仿宋_GB2312" w:hAnsi="宋体" w:eastAsia="仿宋_GB2312" w:cs="宋体"/>
          <w:color w:val="000000"/>
          <w:kern w:val="0"/>
          <w:sz w:val="32"/>
          <w:szCs w:val="32"/>
        </w:rPr>
        <w:t>0</w:t>
      </w:r>
      <w:r>
        <w:rPr>
          <w:rFonts w:hint="eastAsia" w:ascii="仿宋_GB2312" w:hAnsi="宋体" w:eastAsia="仿宋_GB2312" w:cs="宋体"/>
          <w:color w:val="000000"/>
          <w:kern w:val="0"/>
          <w:sz w:val="32"/>
          <w:szCs w:val="32"/>
        </w:rPr>
        <w:t>分、项目过程</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9</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0</w:t>
      </w:r>
      <w:r>
        <w:rPr>
          <w:rFonts w:ascii="仿宋_GB2312" w:hAnsi="宋体" w:eastAsia="仿宋_GB2312" w:cs="宋体"/>
          <w:color w:val="000000"/>
          <w:kern w:val="0"/>
          <w:sz w:val="32"/>
          <w:szCs w:val="32"/>
        </w:rPr>
        <w:t>0</w:t>
      </w:r>
      <w:r>
        <w:rPr>
          <w:rFonts w:hint="eastAsia" w:ascii="仿宋_GB2312" w:hAnsi="宋体" w:eastAsia="仿宋_GB2312" w:cs="宋体"/>
          <w:color w:val="000000"/>
          <w:kern w:val="0"/>
          <w:sz w:val="32"/>
          <w:szCs w:val="32"/>
        </w:rPr>
        <w:t>分、项目产出29</w:t>
      </w:r>
      <w:r>
        <w:rPr>
          <w:rFonts w:ascii="仿宋_GB2312" w:hAnsi="宋体" w:eastAsia="仿宋_GB2312" w:cs="宋体"/>
          <w:color w:val="000000"/>
          <w:kern w:val="0"/>
          <w:sz w:val="32"/>
          <w:szCs w:val="32"/>
        </w:rPr>
        <w:t>.00</w:t>
      </w:r>
      <w:r>
        <w:rPr>
          <w:rFonts w:hint="eastAsia" w:ascii="仿宋_GB2312" w:hAnsi="宋体" w:eastAsia="仿宋_GB2312" w:cs="宋体"/>
          <w:color w:val="000000"/>
          <w:kern w:val="0"/>
          <w:sz w:val="32"/>
          <w:szCs w:val="32"/>
        </w:rPr>
        <w:t>分，项目效益</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7</w:t>
      </w:r>
      <w:r>
        <w:rPr>
          <w:rFonts w:ascii="仿宋_GB2312" w:hAnsi="宋体" w:eastAsia="仿宋_GB2312" w:cs="宋体"/>
          <w:color w:val="000000"/>
          <w:kern w:val="0"/>
          <w:sz w:val="32"/>
          <w:szCs w:val="32"/>
        </w:rPr>
        <w:t>.00</w:t>
      </w:r>
      <w:r>
        <w:rPr>
          <w:rFonts w:hint="eastAsia" w:ascii="仿宋_GB2312" w:hAnsi="宋体" w:eastAsia="仿宋_GB2312" w:cs="宋体"/>
          <w:color w:val="000000"/>
          <w:kern w:val="0"/>
          <w:sz w:val="32"/>
          <w:szCs w:val="32"/>
        </w:rPr>
        <w:t>分，绩效评定结论为“良”。</w:t>
      </w:r>
    </w:p>
    <w:p>
      <w:pPr>
        <w:spacing w:after="120" w:afterLines="50" w:line="560" w:lineRule="exact"/>
        <w:jc w:val="center"/>
        <w:rPr>
          <w:rFonts w:hint="eastAsia" w:ascii="楷体" w:hAnsi="楷体" w:eastAsia="楷体" w:cs="宋体"/>
          <w:b/>
          <w:sz w:val="28"/>
          <w:szCs w:val="28"/>
        </w:rPr>
      </w:pPr>
      <w:r>
        <w:rPr>
          <w:rFonts w:hint="eastAsia" w:ascii="楷体" w:hAnsi="楷体" w:eastAsia="楷体" w:cs="宋体"/>
          <w:b/>
          <w:sz w:val="28"/>
          <w:szCs w:val="28"/>
        </w:rPr>
        <w:t>2024年度“北京市丰台区人民检察院信息化运维费项目”项目</w:t>
      </w:r>
    </w:p>
    <w:p>
      <w:pPr>
        <w:spacing w:after="120" w:afterLines="50" w:line="560" w:lineRule="exact"/>
        <w:jc w:val="center"/>
        <w:rPr>
          <w:rFonts w:hint="eastAsia" w:ascii="楷体" w:hAnsi="楷体" w:eastAsia="楷体" w:cs="宋体"/>
          <w:b/>
          <w:sz w:val="28"/>
          <w:szCs w:val="28"/>
        </w:rPr>
      </w:pPr>
      <w:r>
        <w:rPr>
          <w:rFonts w:hint="eastAsia" w:ascii="楷体" w:hAnsi="楷体" w:eastAsia="楷体" w:cs="宋体"/>
          <w:b/>
          <w:sz w:val="28"/>
          <w:szCs w:val="28"/>
        </w:rPr>
        <w:t>绩效评价结论一览表</w:t>
      </w:r>
    </w:p>
    <w:tbl>
      <w:tblPr>
        <w:tblStyle w:val="14"/>
        <w:tblW w:w="8505" w:type="dxa"/>
        <w:tblInd w:w="108"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
      <w:tblGrid>
        <w:gridCol w:w="3381"/>
        <w:gridCol w:w="2899"/>
        <w:gridCol w:w="2225"/>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shd w:val="clear" w:color="000000" w:fill="auto"/>
        </w:tblPrEx>
        <w:trPr>
          <w:trHeight w:val="397" w:hRule="exact"/>
          <w:tblHeader/>
        </w:trPr>
        <w:tc>
          <w:tcPr>
            <w:tcW w:w="3381" w:type="dxa"/>
            <w:tcBorders>
              <w:tl2br w:val="nil"/>
              <w:tr2bl w:val="nil"/>
            </w:tcBorders>
            <w:shd w:val="clear" w:color="000000" w:fill="auto"/>
            <w:vAlign w:val="center"/>
          </w:tcPr>
          <w:p>
            <w:pPr>
              <w:widowControl/>
              <w:jc w:val="center"/>
              <w:rPr>
                <w:rFonts w:hint="eastAsia" w:ascii="楷体" w:hAnsi="楷体" w:eastAsia="楷体" w:cs="宋体"/>
                <w:b/>
                <w:bCs/>
                <w:kern w:val="0"/>
                <w:szCs w:val="21"/>
              </w:rPr>
            </w:pPr>
            <w:r>
              <w:rPr>
                <w:rFonts w:hint="eastAsia" w:ascii="楷体" w:hAnsi="楷体" w:eastAsia="楷体" w:cs="宋体"/>
                <w:b/>
                <w:bCs/>
                <w:kern w:val="0"/>
                <w:szCs w:val="21"/>
              </w:rPr>
              <w:t>评价内容</w:t>
            </w:r>
          </w:p>
        </w:tc>
        <w:tc>
          <w:tcPr>
            <w:tcW w:w="2899" w:type="dxa"/>
            <w:tcBorders>
              <w:tl2br w:val="nil"/>
              <w:tr2bl w:val="nil"/>
            </w:tcBorders>
            <w:shd w:val="clear" w:color="000000" w:fill="auto"/>
            <w:vAlign w:val="center"/>
          </w:tcPr>
          <w:p>
            <w:pPr>
              <w:widowControl/>
              <w:jc w:val="center"/>
              <w:rPr>
                <w:rFonts w:hint="eastAsia" w:ascii="楷体" w:hAnsi="楷体" w:eastAsia="楷体" w:cs="宋体"/>
                <w:b/>
                <w:bCs/>
                <w:kern w:val="0"/>
                <w:szCs w:val="21"/>
              </w:rPr>
            </w:pPr>
            <w:r>
              <w:rPr>
                <w:rFonts w:hint="eastAsia" w:ascii="楷体" w:hAnsi="楷体" w:eastAsia="楷体" w:cs="宋体"/>
                <w:b/>
                <w:bCs/>
                <w:kern w:val="0"/>
                <w:szCs w:val="21"/>
              </w:rPr>
              <w:t>分值</w:t>
            </w:r>
          </w:p>
        </w:tc>
        <w:tc>
          <w:tcPr>
            <w:tcW w:w="2225" w:type="dxa"/>
            <w:tcBorders>
              <w:tl2br w:val="nil"/>
              <w:tr2bl w:val="nil"/>
            </w:tcBorders>
            <w:shd w:val="clear" w:color="000000" w:fill="auto"/>
            <w:vAlign w:val="center"/>
          </w:tcPr>
          <w:p>
            <w:pPr>
              <w:widowControl/>
              <w:jc w:val="center"/>
              <w:rPr>
                <w:rFonts w:hint="eastAsia" w:ascii="楷体" w:hAnsi="楷体" w:eastAsia="楷体" w:cs="宋体"/>
                <w:b/>
                <w:bCs/>
                <w:kern w:val="0"/>
                <w:szCs w:val="21"/>
              </w:rPr>
            </w:pPr>
            <w:r>
              <w:rPr>
                <w:rFonts w:hint="eastAsia" w:ascii="楷体" w:hAnsi="楷体" w:eastAsia="楷体" w:cs="宋体"/>
                <w:b/>
                <w:bCs/>
                <w:kern w:val="0"/>
                <w:szCs w:val="21"/>
              </w:rPr>
              <w:t>评价得分</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项目决策</w:t>
            </w:r>
          </w:p>
        </w:tc>
        <w:tc>
          <w:tcPr>
            <w:tcW w:w="2899"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15.00</w:t>
            </w:r>
          </w:p>
        </w:tc>
        <w:tc>
          <w:tcPr>
            <w:tcW w:w="2225"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13.50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项目过程</w:t>
            </w:r>
          </w:p>
        </w:tc>
        <w:tc>
          <w:tcPr>
            <w:tcW w:w="2899"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20.00</w:t>
            </w:r>
          </w:p>
        </w:tc>
        <w:tc>
          <w:tcPr>
            <w:tcW w:w="2225"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ascii="楷体" w:hAnsi="楷体" w:eastAsia="楷体" w:cs="宋体"/>
                <w:kern w:val="0"/>
                <w:szCs w:val="21"/>
              </w:rPr>
              <w:t>1</w:t>
            </w:r>
            <w:r>
              <w:rPr>
                <w:rFonts w:hint="eastAsia" w:ascii="楷体" w:hAnsi="楷体" w:eastAsia="楷体" w:cs="宋体"/>
                <w:kern w:val="0"/>
                <w:szCs w:val="21"/>
              </w:rPr>
              <w:t>9</w:t>
            </w:r>
            <w:r>
              <w:rPr>
                <w:rFonts w:ascii="楷体" w:hAnsi="楷体" w:eastAsia="楷体" w:cs="宋体"/>
                <w:kern w:val="0"/>
                <w:szCs w:val="21"/>
              </w:rPr>
              <w:t>.</w:t>
            </w:r>
            <w:r>
              <w:rPr>
                <w:rFonts w:hint="eastAsia" w:ascii="楷体" w:hAnsi="楷体" w:eastAsia="楷体" w:cs="宋体"/>
                <w:kern w:val="0"/>
                <w:szCs w:val="21"/>
              </w:rPr>
              <w:t>0</w:t>
            </w:r>
            <w:r>
              <w:rPr>
                <w:rFonts w:ascii="楷体" w:hAnsi="楷体" w:eastAsia="楷体" w:cs="宋体"/>
                <w:kern w:val="0"/>
                <w:szCs w:val="21"/>
              </w:rPr>
              <w:t>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项目产出</w:t>
            </w:r>
          </w:p>
        </w:tc>
        <w:tc>
          <w:tcPr>
            <w:tcW w:w="2899"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34.00</w:t>
            </w:r>
          </w:p>
        </w:tc>
        <w:tc>
          <w:tcPr>
            <w:tcW w:w="2225"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29.00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bCs/>
                <w:szCs w:val="21"/>
              </w:rPr>
              <w:t>项目效益</w:t>
            </w:r>
          </w:p>
        </w:tc>
        <w:tc>
          <w:tcPr>
            <w:tcW w:w="2899"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31.00</w:t>
            </w:r>
          </w:p>
        </w:tc>
        <w:tc>
          <w:tcPr>
            <w:tcW w:w="2225"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ascii="楷体" w:hAnsi="楷体" w:eastAsia="楷体" w:cs="宋体"/>
                <w:kern w:val="0"/>
                <w:szCs w:val="21"/>
              </w:rPr>
              <w:t>2</w:t>
            </w:r>
            <w:r>
              <w:rPr>
                <w:rFonts w:hint="eastAsia" w:ascii="楷体" w:hAnsi="楷体" w:eastAsia="楷体" w:cs="宋体"/>
                <w:kern w:val="0"/>
                <w:szCs w:val="21"/>
              </w:rPr>
              <w:t>7.00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综合得分</w:t>
            </w:r>
          </w:p>
        </w:tc>
        <w:tc>
          <w:tcPr>
            <w:tcW w:w="2899"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100.00</w:t>
            </w:r>
          </w:p>
        </w:tc>
        <w:tc>
          <w:tcPr>
            <w:tcW w:w="2225"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ascii="楷体" w:hAnsi="楷体" w:eastAsia="楷体" w:cs="宋体"/>
                <w:kern w:val="0"/>
                <w:szCs w:val="21"/>
              </w:rPr>
              <w:t>88</w:t>
            </w:r>
            <w:r>
              <w:rPr>
                <w:rFonts w:hint="eastAsia" w:ascii="楷体" w:hAnsi="楷体" w:eastAsia="楷体" w:cs="宋体"/>
                <w:kern w:val="0"/>
                <w:szCs w:val="21"/>
              </w:rPr>
              <w:t>.50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绩效评定级别</w:t>
            </w:r>
          </w:p>
        </w:tc>
        <w:tc>
          <w:tcPr>
            <w:tcW w:w="5124" w:type="dxa"/>
            <w:gridSpan w:val="2"/>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良</w:t>
            </w:r>
          </w:p>
        </w:tc>
      </w:tr>
    </w:tbl>
    <w:p>
      <w:pPr>
        <w:pStyle w:val="3"/>
        <w:spacing w:before="0" w:after="0" w:line="560" w:lineRule="exact"/>
        <w:ind w:firstLine="640" w:firstLineChars="200"/>
        <w:rPr>
          <w:rFonts w:hint="eastAsia" w:ascii="黑体" w:hAnsi="黑体" w:eastAsia="黑体"/>
          <w:b w:val="0"/>
          <w:bCs w:val="0"/>
          <w:sz w:val="32"/>
          <w:szCs w:val="32"/>
        </w:rPr>
      </w:pPr>
      <w:bookmarkStart w:id="98" w:name="_Toc72423407"/>
      <w:bookmarkStart w:id="99" w:name="_Toc135057640"/>
      <w:bookmarkStart w:id="100" w:name="_Toc21779"/>
      <w:bookmarkStart w:id="101" w:name="_Toc21008"/>
      <w:bookmarkStart w:id="102" w:name="_Toc17851"/>
      <w:bookmarkStart w:id="103" w:name="_Toc13729"/>
      <w:bookmarkStart w:id="104" w:name="_Toc12659"/>
      <w:bookmarkStart w:id="105" w:name="_Toc2656"/>
      <w:bookmarkStart w:id="106" w:name="_Toc2880"/>
      <w:r>
        <w:rPr>
          <w:rFonts w:hint="eastAsia" w:ascii="黑体" w:hAnsi="黑体" w:eastAsia="黑体"/>
          <w:b w:val="0"/>
          <w:bCs w:val="0"/>
          <w:sz w:val="32"/>
          <w:szCs w:val="32"/>
        </w:rPr>
        <w:t>四、绩效评价指标</w:t>
      </w:r>
      <w:bookmarkEnd w:id="98"/>
      <w:r>
        <w:rPr>
          <w:rFonts w:hint="eastAsia" w:ascii="黑体" w:hAnsi="黑体" w:eastAsia="黑体"/>
          <w:b w:val="0"/>
          <w:bCs w:val="0"/>
          <w:sz w:val="32"/>
          <w:szCs w:val="32"/>
        </w:rPr>
        <w:t>分析</w:t>
      </w:r>
      <w:bookmarkEnd w:id="99"/>
      <w:bookmarkEnd w:id="100"/>
      <w:bookmarkEnd w:id="101"/>
      <w:bookmarkEnd w:id="102"/>
      <w:bookmarkEnd w:id="103"/>
      <w:bookmarkEnd w:id="104"/>
      <w:bookmarkEnd w:id="105"/>
      <w:bookmarkEnd w:id="106"/>
    </w:p>
    <w:p>
      <w:pPr>
        <w:pStyle w:val="4"/>
        <w:spacing w:before="0" w:after="0" w:line="560" w:lineRule="exact"/>
        <w:ind w:firstLine="640" w:firstLineChars="200"/>
        <w:rPr>
          <w:rFonts w:hint="eastAsia" w:ascii="楷体" w:hAnsi="楷体" w:eastAsia="楷体"/>
          <w:b w:val="0"/>
          <w:bCs w:val="0"/>
        </w:rPr>
      </w:pPr>
      <w:bookmarkStart w:id="107" w:name="_Toc28082"/>
      <w:bookmarkStart w:id="108" w:name="_Toc72423408"/>
      <w:bookmarkStart w:id="109" w:name="_Toc5645"/>
      <w:bookmarkStart w:id="110" w:name="_Toc16258"/>
      <w:bookmarkStart w:id="111" w:name="_Toc9610"/>
      <w:bookmarkStart w:id="112" w:name="_Toc29008"/>
      <w:bookmarkStart w:id="113" w:name="_Toc2828"/>
      <w:bookmarkStart w:id="114" w:name="_Toc27941"/>
      <w:bookmarkStart w:id="115" w:name="_Toc135057641"/>
      <w:r>
        <w:rPr>
          <w:rFonts w:hint="eastAsia" w:ascii="楷体" w:hAnsi="楷体" w:eastAsia="楷体"/>
          <w:b w:val="0"/>
          <w:bCs w:val="0"/>
        </w:rPr>
        <w:t>（一）项目决策情况</w:t>
      </w:r>
      <w:bookmarkEnd w:id="107"/>
      <w:bookmarkEnd w:id="108"/>
      <w:bookmarkEnd w:id="109"/>
      <w:bookmarkEnd w:id="110"/>
      <w:bookmarkEnd w:id="111"/>
      <w:bookmarkEnd w:id="112"/>
      <w:bookmarkEnd w:id="113"/>
      <w:bookmarkEnd w:id="114"/>
      <w:bookmarkEnd w:id="115"/>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（1）立项依据充分性评价分析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立项依据较充分，丰台检察院是负责代表国家履行法律监督职能，肩负打击犯罪、保护人民、巩固政权、保障社会主义现代化顺利进行的重要职责的区政府组成部门。2024年度申请信息化运维费111.738万元，通过项目实施，保障院内机房设备、网络设备、内外网的正常运行，满足了丰台区检察院各项检察工作对信息系统的需求，为检察工作的开展提供有力的支撑。</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（2）立项程序规范性评价分析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该项目立项程序较规范，严格按照规定的立项程序执行预算编制工作。</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2.绩效目标</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（1）绩效目标合理性评价分析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该项目绩效目标基本合理，丰台区检察院在申报2024年预算时填制了“项目支出绩效目标申报表”，设立了该项目的相应绩效目标。</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（2）绩效指标明确性评价分析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该项目绩效指标较为明确、细化，具有可衡量性。该项目将绩效目标按照产出指标、成本指标等一级指标以及质量、经济成本、可持续影响、服务对象满意度等二级指标进行细化分解。</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3.资金投入</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（1）预算编制科学性评价分析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该项目预算编制较为科学，对项目的支出按照对预算的要求进行了二级项目的划分，进一步保障了项目预算编制的科学性。</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（2）资金分配合理性评价分析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该项目预算资金分配基本合理，分配情况如下：信息化运维费用</w:t>
      </w:r>
      <w:r>
        <w:rPr>
          <w:rFonts w:ascii="仿宋_GB2312" w:hAnsi="宋体" w:eastAsia="仿宋_GB2312" w:cs="宋体"/>
          <w:color w:val="000000"/>
          <w:kern w:val="0"/>
          <w:sz w:val="32"/>
          <w:szCs w:val="32"/>
        </w:rPr>
        <w:t>111.738</w:t>
      </w:r>
      <w:r>
        <w:rPr>
          <w:rFonts w:hint="eastAsia" w:ascii="仿宋_GB2312" w:hAnsi="宋体" w:eastAsia="仿宋_GB2312" w:cs="宋体"/>
          <w:color w:val="000000"/>
          <w:kern w:val="0"/>
          <w:sz w:val="32"/>
          <w:szCs w:val="32"/>
        </w:rPr>
        <w:t>万元，与实际支出情况基本相符。</w:t>
      </w:r>
    </w:p>
    <w:p>
      <w:pPr>
        <w:pStyle w:val="4"/>
        <w:spacing w:before="0" w:after="0" w:line="560" w:lineRule="exact"/>
        <w:ind w:firstLine="640" w:firstLineChars="200"/>
        <w:rPr>
          <w:rFonts w:hint="eastAsia" w:ascii="楷体" w:hAnsi="楷体" w:eastAsia="楷体"/>
          <w:b w:val="0"/>
          <w:bCs w:val="0"/>
        </w:rPr>
      </w:pPr>
      <w:bookmarkStart w:id="116" w:name="_Toc72423409"/>
      <w:bookmarkStart w:id="117" w:name="_Toc28306"/>
      <w:bookmarkStart w:id="118" w:name="_Toc135057642"/>
      <w:bookmarkStart w:id="119" w:name="_Toc5769"/>
      <w:bookmarkStart w:id="120" w:name="_Toc12689"/>
      <w:bookmarkStart w:id="121" w:name="_Toc31601"/>
      <w:bookmarkStart w:id="122" w:name="_Toc27121"/>
      <w:bookmarkStart w:id="123" w:name="_Toc28655"/>
      <w:bookmarkStart w:id="124" w:name="_Toc30627"/>
      <w:r>
        <w:rPr>
          <w:rFonts w:hint="eastAsia" w:ascii="楷体" w:hAnsi="楷体" w:eastAsia="楷体"/>
          <w:b w:val="0"/>
          <w:bCs w:val="0"/>
        </w:rPr>
        <w:t>（二）项目过程情况</w:t>
      </w:r>
      <w:bookmarkEnd w:id="116"/>
      <w:bookmarkEnd w:id="117"/>
      <w:bookmarkEnd w:id="118"/>
      <w:bookmarkEnd w:id="119"/>
      <w:bookmarkEnd w:id="120"/>
      <w:bookmarkEnd w:id="121"/>
      <w:bookmarkEnd w:id="122"/>
      <w:bookmarkEnd w:id="123"/>
      <w:bookmarkEnd w:id="124"/>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1.资金管理</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（1）资金到位率评价分析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该项目的资金到位率为100.00%。</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资金到位率=（实际到位资金/预算资金）×100%=（</w:t>
      </w:r>
      <w:r>
        <w:rPr>
          <w:rFonts w:ascii="仿宋_GB2312" w:hAnsi="宋体" w:eastAsia="仿宋_GB2312" w:cs="宋体"/>
          <w:color w:val="000000"/>
          <w:kern w:val="0"/>
          <w:sz w:val="32"/>
          <w:szCs w:val="32"/>
        </w:rPr>
        <w:t>111.738</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111.738</w:t>
      </w:r>
      <w:r>
        <w:rPr>
          <w:rFonts w:hint="eastAsia" w:ascii="仿宋_GB2312" w:hAnsi="宋体" w:eastAsia="仿宋_GB2312" w:cs="宋体"/>
          <w:color w:val="000000"/>
          <w:kern w:val="0"/>
          <w:sz w:val="32"/>
          <w:szCs w:val="32"/>
        </w:rPr>
        <w:t>万元）×100%=100.00%。</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（2）预算执行率评价分析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该项目的预算执行率为100.00</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预算执行率=（实际支出资金/实际到位资金）×100%=（</w:t>
      </w:r>
      <w:r>
        <w:rPr>
          <w:rFonts w:ascii="仿宋_GB2312" w:hAnsi="宋体" w:eastAsia="仿宋_GB2312" w:cs="仿宋_GB2312"/>
          <w:color w:val="000000"/>
          <w:kern w:val="0"/>
          <w:sz w:val="32"/>
          <w:szCs w:val="32"/>
          <w:lang w:bidi="ar"/>
        </w:rPr>
        <w:t>111.738</w:t>
      </w:r>
      <w:r>
        <w:rPr>
          <w:rFonts w:hint="eastAsia" w:ascii="仿宋_GB2312" w:hAnsi="宋体" w:eastAsia="仿宋_GB2312" w:cs="宋体"/>
          <w:color w:val="000000"/>
          <w:kern w:val="0"/>
          <w:sz w:val="32"/>
          <w:szCs w:val="32"/>
        </w:rPr>
        <w:t>万元/</w:t>
      </w:r>
      <w:r>
        <w:rPr>
          <w:rFonts w:ascii="仿宋_GB2312" w:hAnsi="宋体" w:eastAsia="仿宋_GB2312" w:cs="仿宋_GB2312"/>
          <w:color w:val="000000"/>
          <w:kern w:val="0"/>
          <w:sz w:val="32"/>
          <w:szCs w:val="32"/>
          <w:lang w:bidi="ar"/>
        </w:rPr>
        <w:t>111.738</w:t>
      </w:r>
      <w:r>
        <w:rPr>
          <w:rFonts w:hint="eastAsia" w:ascii="仿宋_GB2312" w:hAnsi="宋体" w:eastAsia="仿宋_GB2312" w:cs="宋体"/>
          <w:color w:val="000000"/>
          <w:kern w:val="0"/>
          <w:sz w:val="32"/>
          <w:szCs w:val="32"/>
        </w:rPr>
        <w:t>万元）×100%=</w:t>
      </w:r>
      <w:bookmarkStart w:id="125" w:name="_Hlk195563964"/>
      <w:r>
        <w:rPr>
          <w:rFonts w:hint="eastAsia" w:ascii="仿宋_GB2312" w:hAnsi="宋体" w:eastAsia="仿宋_GB2312" w:cs="宋体"/>
          <w:color w:val="000000"/>
          <w:kern w:val="0"/>
          <w:sz w:val="32"/>
          <w:szCs w:val="32"/>
        </w:rPr>
        <w:t>100.00%</w:t>
      </w:r>
      <w:bookmarkEnd w:id="125"/>
      <w:r>
        <w:rPr>
          <w:rFonts w:hint="eastAsia" w:ascii="仿宋_GB2312" w:hAnsi="宋体" w:eastAsia="仿宋_GB2312" w:cs="宋体"/>
          <w:color w:val="000000"/>
          <w:kern w:val="0"/>
          <w:sz w:val="32"/>
          <w:szCs w:val="32"/>
        </w:rPr>
        <w:t>。</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（3）资金使用合规性</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在预算资金管理方面，资金及时足额到位，财务制度健全完善，预算执行符合规定且资金使用规范；预算编制符合该项目实际情况，合同签订后预算年度年初预算调整规范手续完备；在项目实施方面，该项目认真履行了《信息化运维费合同》。</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2.组织实施</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（1）管理制度健全性评价分析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该项目涉及的管理制度，包括《北京市丰台区人民检察院财务管理实施细则》、《北京市丰台区人民检察院项目管理办法》等制度，对项目顺利实施提供了一定保障。</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（2）制度执行有效性评价分析</w:t>
      </w:r>
    </w:p>
    <w:p>
      <w:pPr>
        <w:spacing w:line="56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执行过程中，均严格遵守相关法律法规和相关管理规定，项目支出手续均完备，项目中涉及的合同、信息运维服务总结、验收报告等资料均齐全并及时归档，项目实施的人员条件、场地设备、信息支撑等均落实到位。</w:t>
      </w:r>
    </w:p>
    <w:p>
      <w:pPr>
        <w:pStyle w:val="4"/>
        <w:spacing w:before="0" w:after="0" w:line="560" w:lineRule="exact"/>
        <w:ind w:firstLine="640" w:firstLineChars="200"/>
        <w:rPr>
          <w:rFonts w:hint="eastAsia" w:ascii="楷体" w:hAnsi="楷体" w:eastAsia="楷体"/>
          <w:b w:val="0"/>
          <w:bCs w:val="0"/>
        </w:rPr>
      </w:pPr>
      <w:bookmarkStart w:id="126" w:name="_Toc11279"/>
      <w:bookmarkStart w:id="127" w:name="_Toc30274"/>
      <w:bookmarkStart w:id="128" w:name="_Toc12034"/>
      <w:bookmarkStart w:id="129" w:name="_Toc6490"/>
      <w:bookmarkStart w:id="130" w:name="_Toc72423410"/>
      <w:bookmarkStart w:id="131" w:name="_Toc20397"/>
      <w:bookmarkStart w:id="132" w:name="_Toc135057643"/>
      <w:bookmarkStart w:id="133" w:name="_Toc9684"/>
      <w:bookmarkStart w:id="134" w:name="_Toc15098"/>
      <w:r>
        <w:rPr>
          <w:rFonts w:hint="eastAsia" w:ascii="楷体" w:hAnsi="楷体" w:eastAsia="楷体"/>
          <w:b w:val="0"/>
          <w:bCs w:val="0"/>
        </w:rPr>
        <w:t>（三）项目产出情况</w:t>
      </w:r>
      <w:bookmarkEnd w:id="126"/>
      <w:bookmarkEnd w:id="127"/>
      <w:bookmarkEnd w:id="128"/>
      <w:bookmarkEnd w:id="129"/>
      <w:bookmarkEnd w:id="130"/>
      <w:bookmarkEnd w:id="131"/>
      <w:bookmarkEnd w:id="132"/>
      <w:bookmarkEnd w:id="133"/>
      <w:bookmarkEnd w:id="134"/>
    </w:p>
    <w:p>
      <w:pPr>
        <w:spacing w:line="600" w:lineRule="exact"/>
        <w:ind w:firstLine="640" w:firstLineChars="200"/>
        <w:rPr>
          <w:rFonts w:ascii="仿宋_GB2312" w:eastAsia="仿宋_GB2312"/>
          <w:sz w:val="32"/>
          <w:szCs w:val="32"/>
        </w:rPr>
      </w:pPr>
      <w:r>
        <w:rPr>
          <w:rFonts w:hint="eastAsia" w:ascii="仿宋_GB2312" w:eastAsia="仿宋_GB2312"/>
          <w:sz w:val="32"/>
          <w:szCs w:val="32"/>
        </w:rPr>
        <w:t>在项目期限内，按照项目进度安排支出并最终完成运维。</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1.产出质量</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完成好丰台检察院信息系统的运行维护，管理和完善运维服务体系，确保向丰台检察院提供科学、规范、高质量的信息化运维管理服务。保障院内机房设备、网络设备、内外网的正常运行，减少问题出现、问题实时处理、以及系统优化工作。</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2.产出数量</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2024年</w:t>
      </w:r>
      <w:r>
        <w:rPr>
          <w:rFonts w:hint="eastAsia" w:ascii="仿宋_GB2312" w:hAnsi="宋体" w:eastAsia="仿宋_GB2312" w:cs="宋体"/>
          <w:color w:val="000000"/>
          <w:kern w:val="0"/>
          <w:sz w:val="32"/>
          <w:szCs w:val="32"/>
          <w:lang w:eastAsia="zh-CN"/>
        </w:rPr>
        <w:t>第三方</w:t>
      </w:r>
      <w:r>
        <w:rPr>
          <w:rFonts w:hint="eastAsia" w:ascii="仿宋_GB2312" w:hAnsi="宋体" w:eastAsia="仿宋_GB2312" w:cs="宋体"/>
          <w:color w:val="000000"/>
          <w:kern w:val="0"/>
          <w:sz w:val="32"/>
          <w:szCs w:val="32"/>
        </w:rPr>
        <w:t>共接到丰台区检察院提交的各类系统事件1736件，其中终端电脑事件572件，会议保障470件，打印机337；共接到各类维护事件2165件，其中应用类事件441件；系统类运维1724件，包括机房环境、网络、终端等事件。日常对包括邮件系统、检委会系统、大数据法律监督模型平台等系统进行维护；共完成统一业务应用系统升级7次版本升级。</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3</w:t>
      </w:r>
      <w:r>
        <w:rPr>
          <w:rFonts w:ascii="楷体_GB2312" w:hAnsi="楷体_GB2312" w:eastAsia="楷体_GB2312" w:cs="楷体_GB2312"/>
          <w:sz w:val="32"/>
          <w:szCs w:val="32"/>
        </w:rPr>
        <w:t>.</w:t>
      </w:r>
      <w:r>
        <w:rPr>
          <w:rFonts w:hint="eastAsia" w:ascii="楷体_GB2312" w:hAnsi="楷体_GB2312" w:eastAsia="楷体_GB2312" w:cs="楷体_GB2312"/>
          <w:sz w:val="32"/>
          <w:szCs w:val="32"/>
        </w:rPr>
        <w:t>产出时效</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项目启动和完成及时</w:t>
      </w:r>
      <w:r>
        <w:rPr>
          <w:rFonts w:ascii="仿宋_GB2312" w:hAnsi="宋体" w:eastAsia="仿宋_GB2312" w:cs="宋体"/>
          <w:color w:val="000000"/>
          <w:kern w:val="0"/>
          <w:sz w:val="32"/>
          <w:szCs w:val="32"/>
        </w:rPr>
        <w:t>。</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4.产出</w:t>
      </w:r>
      <w:r>
        <w:rPr>
          <w:rFonts w:ascii="楷体_GB2312" w:hAnsi="楷体_GB2312" w:eastAsia="楷体_GB2312" w:cs="楷体_GB2312"/>
          <w:sz w:val="32"/>
          <w:szCs w:val="32"/>
        </w:rPr>
        <w:t>成本</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项目预算控制数</w:t>
      </w:r>
      <w:r>
        <w:rPr>
          <w:rFonts w:hint="eastAsia" w:ascii="仿宋_GB2312" w:eastAsia="仿宋_GB2312"/>
          <w:sz w:val="32"/>
          <w:szCs w:val="32"/>
        </w:rPr>
        <w:t>111.738</w:t>
      </w:r>
      <w:r>
        <w:rPr>
          <w:rFonts w:hint="eastAsia" w:ascii="仿宋_GB2312" w:hAnsi="宋体" w:eastAsia="仿宋_GB2312" w:cs="宋体"/>
          <w:color w:val="000000"/>
          <w:kern w:val="0"/>
          <w:sz w:val="32"/>
          <w:szCs w:val="32"/>
        </w:rPr>
        <w:t>万元。</w:t>
      </w:r>
    </w:p>
    <w:p>
      <w:pPr>
        <w:pStyle w:val="4"/>
        <w:spacing w:before="0" w:after="0" w:line="560" w:lineRule="exact"/>
        <w:ind w:firstLine="640" w:firstLineChars="200"/>
        <w:rPr>
          <w:rFonts w:hint="eastAsia" w:ascii="楷体" w:hAnsi="楷体" w:eastAsia="楷体"/>
          <w:b w:val="0"/>
          <w:bCs w:val="0"/>
        </w:rPr>
      </w:pPr>
      <w:bookmarkStart w:id="135" w:name="_Toc72423411"/>
      <w:bookmarkStart w:id="136" w:name="_Toc2785"/>
      <w:bookmarkStart w:id="137" w:name="_Toc135057644"/>
      <w:bookmarkStart w:id="138" w:name="_Toc24753"/>
      <w:bookmarkStart w:id="139" w:name="_Toc6965"/>
      <w:bookmarkStart w:id="140" w:name="_Toc26122"/>
      <w:bookmarkStart w:id="141" w:name="_Toc3900"/>
      <w:bookmarkStart w:id="142" w:name="_Toc22337"/>
      <w:bookmarkStart w:id="143" w:name="_Toc24371"/>
      <w:r>
        <w:rPr>
          <w:rFonts w:hint="eastAsia" w:ascii="楷体" w:hAnsi="楷体" w:eastAsia="楷体"/>
          <w:b w:val="0"/>
          <w:bCs w:val="0"/>
        </w:rPr>
        <w:t>（</w:t>
      </w:r>
      <w:r>
        <w:rPr>
          <w:rFonts w:ascii="楷体" w:hAnsi="楷体" w:eastAsia="楷体"/>
          <w:b w:val="0"/>
          <w:bCs w:val="0"/>
        </w:rPr>
        <w:t>四</w:t>
      </w:r>
      <w:r>
        <w:rPr>
          <w:rFonts w:hint="eastAsia" w:ascii="楷体" w:hAnsi="楷体" w:eastAsia="楷体"/>
          <w:b w:val="0"/>
          <w:bCs w:val="0"/>
        </w:rPr>
        <w:t>）项目效益情况</w:t>
      </w:r>
      <w:bookmarkEnd w:id="135"/>
      <w:bookmarkEnd w:id="136"/>
      <w:bookmarkEnd w:id="137"/>
      <w:bookmarkEnd w:id="138"/>
      <w:bookmarkEnd w:id="139"/>
      <w:bookmarkEnd w:id="140"/>
      <w:bookmarkEnd w:id="141"/>
      <w:bookmarkEnd w:id="142"/>
      <w:bookmarkEnd w:id="143"/>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1.实施效益评价分析</w:t>
      </w:r>
    </w:p>
    <w:p>
      <w:pPr>
        <w:widowControl/>
        <w:spacing w:line="600" w:lineRule="exact"/>
        <w:ind w:firstLine="640" w:firstLineChars="200"/>
        <w:rPr>
          <w:rFonts w:ascii="仿宋_GB2312" w:eastAsia="仿宋_GB2312"/>
          <w:sz w:val="32"/>
          <w:szCs w:val="32"/>
        </w:rPr>
      </w:pPr>
      <w:r>
        <w:rPr>
          <w:rFonts w:hint="eastAsia" w:ascii="仿宋_GB2312" w:eastAsia="仿宋_GB2312"/>
          <w:sz w:val="32"/>
          <w:szCs w:val="32"/>
        </w:rPr>
        <w:t>通过该项目的顺利开展，以全国检察业务应用软件为核心的所有软、硬件系统的运行维护管理工作为丰台区检察院正常办案、办公提供了重要保障。</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信息化项目的实施，能够有效</w:t>
      </w:r>
      <w:r>
        <w:rPr>
          <w:rFonts w:ascii="仿宋_GB2312" w:hAnsi="宋体" w:eastAsia="仿宋_GB2312" w:cs="宋体"/>
          <w:color w:val="000000"/>
          <w:kern w:val="0"/>
          <w:sz w:val="32"/>
          <w:szCs w:val="32"/>
        </w:rPr>
        <w:t>预防</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减少</w:t>
      </w:r>
      <w:r>
        <w:rPr>
          <w:rFonts w:hint="eastAsia" w:ascii="仿宋_GB2312" w:hAnsi="宋体" w:eastAsia="仿宋_GB2312" w:cs="宋体"/>
          <w:color w:val="000000"/>
          <w:kern w:val="0"/>
          <w:sz w:val="32"/>
          <w:szCs w:val="32"/>
        </w:rPr>
        <w:t>违法</w:t>
      </w:r>
      <w:r>
        <w:rPr>
          <w:rFonts w:ascii="仿宋_GB2312" w:hAnsi="宋体" w:eastAsia="仿宋_GB2312" w:cs="宋体"/>
          <w:color w:val="000000"/>
          <w:kern w:val="0"/>
          <w:sz w:val="32"/>
          <w:szCs w:val="32"/>
        </w:rPr>
        <w:t>犯罪</w:t>
      </w:r>
      <w:r>
        <w:rPr>
          <w:rFonts w:hint="eastAsia" w:ascii="仿宋_GB2312" w:hAnsi="宋体" w:eastAsia="仿宋_GB2312" w:cs="宋体"/>
          <w:color w:val="000000"/>
          <w:kern w:val="0"/>
          <w:sz w:val="32"/>
          <w:szCs w:val="32"/>
        </w:rPr>
        <w:t>，维护</w:t>
      </w:r>
      <w:r>
        <w:rPr>
          <w:rFonts w:ascii="仿宋_GB2312" w:hAnsi="宋体" w:eastAsia="仿宋_GB2312" w:cs="宋体"/>
          <w:color w:val="000000"/>
          <w:kern w:val="0"/>
          <w:sz w:val="32"/>
          <w:szCs w:val="32"/>
        </w:rPr>
        <w:t>四分院</w:t>
      </w:r>
      <w:r>
        <w:rPr>
          <w:rFonts w:hint="eastAsia" w:ascii="仿宋_GB2312" w:hAnsi="宋体" w:eastAsia="仿宋_GB2312" w:cs="宋体"/>
          <w:color w:val="000000"/>
          <w:kern w:val="0"/>
          <w:sz w:val="32"/>
          <w:szCs w:val="32"/>
        </w:rPr>
        <w:t>正常办公</w:t>
      </w:r>
      <w:r>
        <w:rPr>
          <w:rFonts w:ascii="仿宋_GB2312" w:hAnsi="宋体" w:eastAsia="仿宋_GB2312" w:cs="宋体"/>
          <w:color w:val="000000"/>
          <w:kern w:val="0"/>
          <w:sz w:val="32"/>
          <w:szCs w:val="32"/>
        </w:rPr>
        <w:t>秩序，</w:t>
      </w:r>
      <w:r>
        <w:rPr>
          <w:rFonts w:hint="eastAsia" w:ascii="仿宋_GB2312" w:hAnsi="宋体" w:eastAsia="仿宋_GB2312" w:cs="宋体"/>
          <w:color w:val="000000"/>
          <w:kern w:val="0"/>
          <w:sz w:val="32"/>
          <w:szCs w:val="32"/>
        </w:rPr>
        <w:t>维护公民合法</w:t>
      </w:r>
      <w:r>
        <w:rPr>
          <w:rFonts w:ascii="仿宋_GB2312" w:hAnsi="宋体" w:eastAsia="仿宋_GB2312" w:cs="宋体"/>
          <w:color w:val="000000"/>
          <w:kern w:val="0"/>
          <w:sz w:val="32"/>
          <w:szCs w:val="32"/>
        </w:rPr>
        <w:t>权益</w:t>
      </w:r>
      <w:r>
        <w:rPr>
          <w:rFonts w:hint="eastAsia" w:ascii="仿宋_GB2312" w:hAnsi="宋体" w:eastAsia="仿宋_GB2312" w:cs="宋体"/>
          <w:color w:val="000000"/>
          <w:kern w:val="0"/>
          <w:sz w:val="32"/>
          <w:szCs w:val="32"/>
        </w:rPr>
        <w:t>，扩大检察工作影响力</w:t>
      </w:r>
      <w:r>
        <w:rPr>
          <w:rFonts w:ascii="仿宋_GB2312" w:hAnsi="宋体" w:eastAsia="仿宋_GB2312" w:cs="宋体"/>
          <w:color w:val="000000"/>
          <w:kern w:val="0"/>
          <w:sz w:val="32"/>
          <w:szCs w:val="32"/>
        </w:rPr>
        <w:t>。</w:t>
      </w:r>
    </w:p>
    <w:p>
      <w:pPr>
        <w:widowControl/>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eastAsia="仿宋_GB2312"/>
          <w:sz w:val="32"/>
          <w:szCs w:val="32"/>
        </w:rPr>
        <w:t>信息化项目的实施，使得法律法规得到比较广泛的普及；广大人民群众的法制观念得到普遍提高，遵纪守法的自觉性和运用法律维护自身合法权益的能力不断增强；各级领导干部的法律意识明显增强，依法决策、依法行政、依法管理的能力逐步提高；随着普法教育的深入，依法治理工作全面展开，为推进依法治国进程，维护社会稳定，促进经济发展和社会全面进步都发挥了积极重要的作用。</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2.满意</w:t>
      </w:r>
      <w:r>
        <w:rPr>
          <w:rFonts w:ascii="楷体_GB2312" w:hAnsi="楷体_GB2312" w:eastAsia="楷体_GB2312" w:cs="楷体_GB2312"/>
          <w:sz w:val="32"/>
          <w:szCs w:val="32"/>
        </w:rPr>
        <w:t>度评价分析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信息化运维费项目情况良好，保障了人员顺利办公，满足使用人员需求，丰台区检察院对院内各部门开展了满意度调查，满意度达到95%以上。</w:t>
      </w:r>
    </w:p>
    <w:p>
      <w:pPr>
        <w:pStyle w:val="3"/>
        <w:spacing w:before="0" w:after="0" w:line="560" w:lineRule="exact"/>
        <w:ind w:firstLine="640" w:firstLineChars="200"/>
        <w:rPr>
          <w:rFonts w:hint="eastAsia" w:ascii="黑体" w:hAnsi="黑体" w:eastAsia="黑体"/>
          <w:b w:val="0"/>
          <w:bCs w:val="0"/>
          <w:sz w:val="32"/>
          <w:szCs w:val="32"/>
        </w:rPr>
      </w:pPr>
      <w:bookmarkStart w:id="144" w:name="_Toc27875"/>
      <w:bookmarkStart w:id="145" w:name="_Toc25010"/>
      <w:bookmarkStart w:id="146" w:name="_Toc3630"/>
      <w:bookmarkStart w:id="147" w:name="_Toc135057645"/>
      <w:bookmarkStart w:id="148" w:name="_Toc31255"/>
      <w:bookmarkStart w:id="149" w:name="_Toc17499"/>
      <w:r>
        <w:rPr>
          <w:rFonts w:hint="eastAsia" w:ascii="黑体" w:hAnsi="黑体" w:eastAsia="黑体"/>
          <w:b w:val="0"/>
          <w:bCs w:val="0"/>
          <w:sz w:val="32"/>
          <w:szCs w:val="32"/>
        </w:rPr>
        <w:t>五、主要经验及做法、存在的问题及原因分析</w:t>
      </w:r>
      <w:bookmarkEnd w:id="144"/>
      <w:bookmarkEnd w:id="145"/>
      <w:bookmarkEnd w:id="146"/>
      <w:bookmarkEnd w:id="147"/>
      <w:bookmarkEnd w:id="148"/>
      <w:bookmarkEnd w:id="149"/>
    </w:p>
    <w:p>
      <w:pPr>
        <w:spacing w:line="560" w:lineRule="exact"/>
        <w:ind w:firstLine="640" w:firstLineChars="200"/>
        <w:rPr>
          <w:rFonts w:hint="eastAsia" w:ascii="楷体" w:hAnsi="楷体" w:eastAsia="楷体"/>
          <w:sz w:val="32"/>
          <w:szCs w:val="32"/>
        </w:rPr>
      </w:pPr>
      <w:bookmarkStart w:id="150" w:name="_Toc17539"/>
      <w:bookmarkStart w:id="151" w:name="_Toc22618"/>
      <w:bookmarkStart w:id="152" w:name="_Toc179"/>
      <w:bookmarkStart w:id="153" w:name="_Toc20062"/>
      <w:bookmarkStart w:id="154" w:name="_Toc17510"/>
      <w:bookmarkStart w:id="155" w:name="_Toc135057494"/>
      <w:bookmarkStart w:id="156" w:name="_Toc135057646"/>
      <w:r>
        <w:rPr>
          <w:rFonts w:hint="eastAsia" w:ascii="楷体" w:hAnsi="楷体" w:eastAsia="楷体"/>
          <w:sz w:val="32"/>
          <w:szCs w:val="32"/>
        </w:rPr>
        <w:t>（一）绩效指标设定缺乏合理性，不够细化、量化</w:t>
      </w:r>
      <w:bookmarkEnd w:id="150"/>
      <w:bookmarkEnd w:id="151"/>
      <w:bookmarkEnd w:id="152"/>
      <w:bookmarkEnd w:id="153"/>
      <w:bookmarkEnd w:id="154"/>
      <w:bookmarkEnd w:id="155"/>
      <w:bookmarkEnd w:id="156"/>
    </w:p>
    <w:p>
      <w:pPr>
        <w:spacing w:line="560" w:lineRule="exact"/>
        <w:ind w:firstLine="640" w:firstLineChars="200"/>
        <w:rPr>
          <w:rFonts w:ascii="仿宋_GB2312" w:eastAsia="仿宋_GB2312"/>
          <w:sz w:val="32"/>
          <w:szCs w:val="32"/>
        </w:rPr>
      </w:pPr>
      <w:r>
        <w:rPr>
          <w:rFonts w:hint="eastAsia" w:ascii="仿宋_GB2312" w:eastAsia="仿宋_GB2312"/>
          <w:sz w:val="32"/>
          <w:szCs w:val="32"/>
        </w:rPr>
        <w:t>该项目绩效目标基本符合信息化运维费项目相关政策要求，但部分指标设置与项目实际合同履约结合不够紧密，如成本节约率指标未结合具体项目合同履约过程中信息化运维实际成本开支情况；产生的社会效益、可持续影响指标需要较长时间的工作考验体察，不利于考核与评价。</w:t>
      </w:r>
    </w:p>
    <w:p>
      <w:pPr>
        <w:spacing w:line="560" w:lineRule="exact"/>
        <w:ind w:firstLine="640" w:firstLineChars="200"/>
        <w:rPr>
          <w:rFonts w:hint="eastAsia" w:ascii="楷体" w:hAnsi="楷体" w:eastAsia="楷体"/>
          <w:sz w:val="32"/>
          <w:szCs w:val="32"/>
        </w:rPr>
      </w:pPr>
      <w:bookmarkStart w:id="157" w:name="_Toc7845"/>
      <w:bookmarkStart w:id="158" w:name="_Toc24617"/>
      <w:bookmarkStart w:id="159" w:name="_Toc28775"/>
      <w:bookmarkStart w:id="160" w:name="_Toc12750"/>
      <w:bookmarkStart w:id="161" w:name="_Toc135057647"/>
      <w:bookmarkStart w:id="162" w:name="_Toc135057495"/>
      <w:bookmarkStart w:id="163" w:name="_Toc21370"/>
      <w:r>
        <w:rPr>
          <w:rFonts w:hint="eastAsia" w:ascii="楷体" w:hAnsi="楷体" w:eastAsia="楷体"/>
          <w:sz w:val="32"/>
          <w:szCs w:val="32"/>
        </w:rPr>
        <w:t>（二）项目预算编制与资金支出的匹配度吻合，但与项目合同履约实际成本开支的补偿结算欠缺合理性</w:t>
      </w:r>
      <w:bookmarkEnd w:id="157"/>
      <w:bookmarkEnd w:id="158"/>
      <w:bookmarkEnd w:id="159"/>
      <w:bookmarkEnd w:id="160"/>
      <w:bookmarkEnd w:id="161"/>
      <w:bookmarkEnd w:id="162"/>
      <w:bookmarkEnd w:id="163"/>
    </w:p>
    <w:p>
      <w:pPr>
        <w:spacing w:line="560" w:lineRule="exact"/>
        <w:ind w:firstLine="640" w:firstLineChars="200"/>
        <w:rPr>
          <w:rFonts w:ascii="仿宋_GB2312" w:eastAsia="仿宋_GB2312"/>
          <w:sz w:val="32"/>
          <w:szCs w:val="32"/>
        </w:rPr>
      </w:pPr>
      <w:r>
        <w:rPr>
          <w:rFonts w:hint="eastAsia" w:ascii="仿宋_GB2312" w:eastAsia="仿宋_GB2312"/>
          <w:sz w:val="32"/>
          <w:szCs w:val="32"/>
        </w:rPr>
        <w:t>该项目预算编制依据充分，测算准确。信息化运维单位在项目合同履约过程中实际成本支出包含固定费用和变动费用二部分，但第一阶段结算付款占总价款80%，合同预付款比例较大，给信息化运维工作实施提供了有力保障，但对信息化运维工作质量缺乏有效监督措施和相应的经济约束手段。</w:t>
      </w:r>
    </w:p>
    <w:p>
      <w:pPr>
        <w:spacing w:line="560" w:lineRule="exact"/>
        <w:ind w:firstLine="640" w:firstLineChars="200"/>
        <w:rPr>
          <w:rFonts w:hint="eastAsia" w:ascii="楷体" w:hAnsi="楷体" w:eastAsia="楷体"/>
          <w:sz w:val="32"/>
          <w:szCs w:val="32"/>
        </w:rPr>
      </w:pPr>
      <w:bookmarkStart w:id="164" w:name="_Toc135057496"/>
      <w:bookmarkStart w:id="165" w:name="_Toc135057648"/>
      <w:bookmarkStart w:id="166" w:name="_Toc21946"/>
      <w:bookmarkStart w:id="167" w:name="_Toc1117"/>
      <w:bookmarkStart w:id="168" w:name="_Toc2578"/>
      <w:r>
        <w:rPr>
          <w:rFonts w:hint="eastAsia" w:ascii="楷体" w:hAnsi="楷体" w:eastAsia="楷体"/>
          <w:sz w:val="32"/>
          <w:szCs w:val="32"/>
        </w:rPr>
        <w:t>（三）</w:t>
      </w:r>
      <w:bookmarkEnd w:id="164"/>
      <w:bookmarkEnd w:id="165"/>
      <w:bookmarkStart w:id="169" w:name="_Toc135057497"/>
      <w:bookmarkStart w:id="170" w:name="_Toc135057649"/>
      <w:r>
        <w:rPr>
          <w:rFonts w:hint="eastAsia" w:ascii="楷体" w:hAnsi="楷体" w:eastAsia="楷体"/>
          <w:sz w:val="32"/>
          <w:szCs w:val="32"/>
        </w:rPr>
        <w:t>项目绩效评价资料不够充分</w:t>
      </w:r>
      <w:bookmarkEnd w:id="166"/>
      <w:bookmarkEnd w:id="167"/>
      <w:bookmarkEnd w:id="168"/>
      <w:bookmarkEnd w:id="169"/>
      <w:bookmarkEnd w:id="170"/>
    </w:p>
    <w:p>
      <w:pPr>
        <w:spacing w:line="560" w:lineRule="exact"/>
        <w:ind w:firstLine="640" w:firstLineChars="200"/>
        <w:rPr>
          <w:rFonts w:ascii="仿宋_GB2312" w:eastAsia="仿宋_GB2312"/>
          <w:sz w:val="32"/>
          <w:szCs w:val="32"/>
        </w:rPr>
      </w:pPr>
      <w:r>
        <w:rPr>
          <w:rFonts w:hint="eastAsia" w:ascii="仿宋_GB2312" w:eastAsia="仿宋_GB2312"/>
          <w:sz w:val="32"/>
          <w:szCs w:val="32"/>
        </w:rPr>
        <w:t>该项目对于“成本节约率指标”、“产生的社会效益、可持续影响”等指标证明性材料关联性不足、充分性不够。</w:t>
      </w:r>
    </w:p>
    <w:p>
      <w:pPr>
        <w:pStyle w:val="3"/>
        <w:spacing w:before="0" w:after="0" w:line="560" w:lineRule="exact"/>
        <w:ind w:firstLine="640" w:firstLineChars="200"/>
        <w:rPr>
          <w:rFonts w:hint="eastAsia" w:ascii="黑体" w:hAnsi="黑体" w:eastAsia="黑体"/>
          <w:b w:val="0"/>
          <w:bCs w:val="0"/>
          <w:sz w:val="32"/>
          <w:szCs w:val="32"/>
        </w:rPr>
      </w:pPr>
      <w:bookmarkStart w:id="171" w:name="_Toc14982"/>
      <w:bookmarkStart w:id="172" w:name="_Toc27991"/>
      <w:bookmarkStart w:id="173" w:name="_Toc4241"/>
      <w:bookmarkStart w:id="174" w:name="_Toc26491"/>
      <w:bookmarkStart w:id="175" w:name="_Toc32115"/>
      <w:bookmarkStart w:id="176" w:name="_Toc135057650"/>
      <w:bookmarkStart w:id="177" w:name="_Toc72423413"/>
      <w:bookmarkStart w:id="178" w:name="_Toc27658"/>
      <w:bookmarkStart w:id="179" w:name="_Toc5573"/>
      <w:r>
        <w:rPr>
          <w:rFonts w:hint="eastAsia" w:ascii="黑体" w:hAnsi="黑体" w:eastAsia="黑体"/>
          <w:b w:val="0"/>
          <w:bCs w:val="0"/>
          <w:sz w:val="32"/>
          <w:szCs w:val="32"/>
        </w:rPr>
        <w:t>六、有关建议</w:t>
      </w:r>
      <w:bookmarkEnd w:id="171"/>
      <w:bookmarkEnd w:id="172"/>
      <w:bookmarkEnd w:id="173"/>
      <w:bookmarkEnd w:id="174"/>
      <w:bookmarkEnd w:id="175"/>
      <w:bookmarkEnd w:id="176"/>
      <w:bookmarkEnd w:id="177"/>
      <w:bookmarkEnd w:id="178"/>
      <w:bookmarkEnd w:id="179"/>
    </w:p>
    <w:p>
      <w:pPr>
        <w:spacing w:line="560" w:lineRule="exact"/>
        <w:ind w:firstLine="640" w:firstLineChars="200"/>
        <w:rPr>
          <w:rFonts w:hint="eastAsia" w:ascii="楷体" w:hAnsi="楷体" w:eastAsia="楷体"/>
          <w:sz w:val="32"/>
          <w:szCs w:val="32"/>
        </w:rPr>
      </w:pPr>
      <w:bookmarkStart w:id="180" w:name="_Toc21504"/>
      <w:bookmarkStart w:id="181" w:name="_Toc281"/>
      <w:bookmarkStart w:id="182" w:name="_Toc14161"/>
      <w:bookmarkStart w:id="183" w:name="_Toc135057651"/>
      <w:bookmarkStart w:id="184" w:name="_Toc12807"/>
      <w:bookmarkStart w:id="185" w:name="_Toc135057499"/>
      <w:bookmarkStart w:id="186" w:name="_Toc1514"/>
      <w:bookmarkStart w:id="187" w:name="_Toc15118"/>
      <w:r>
        <w:rPr>
          <w:rFonts w:hint="eastAsia" w:ascii="楷体" w:hAnsi="楷体" w:eastAsia="楷体"/>
          <w:sz w:val="32"/>
          <w:szCs w:val="32"/>
        </w:rPr>
        <w:t>（一）合理设置绩效指标，增强指标的可衡量性、可考核性</w:t>
      </w:r>
      <w:bookmarkEnd w:id="180"/>
      <w:bookmarkEnd w:id="181"/>
      <w:bookmarkEnd w:id="182"/>
      <w:bookmarkEnd w:id="183"/>
      <w:bookmarkEnd w:id="184"/>
      <w:bookmarkEnd w:id="185"/>
      <w:bookmarkEnd w:id="186"/>
      <w:bookmarkEnd w:id="187"/>
    </w:p>
    <w:p>
      <w:pPr>
        <w:spacing w:line="560" w:lineRule="exact"/>
        <w:ind w:firstLine="640" w:firstLineChars="200"/>
        <w:rPr>
          <w:rFonts w:ascii="仿宋_GB2312" w:eastAsia="仿宋_GB2312"/>
          <w:sz w:val="32"/>
          <w:szCs w:val="32"/>
        </w:rPr>
      </w:pPr>
      <w:r>
        <w:rPr>
          <w:rFonts w:hint="eastAsia" w:ascii="仿宋_GB2312" w:eastAsia="仿宋_GB2312"/>
          <w:sz w:val="32"/>
          <w:szCs w:val="32"/>
        </w:rPr>
        <w:t>进一步提高预算绩效管理意识，加强对常态化绩效目标的理解，结合项目预算和具体实施内容设置绩效指标，全面体现项目的目标和效果，参考以前年度项目完成情况，合理设定指标值，做到绩效指标设置准确、合理、细化，注重绩效指标的可衡量、可考核性。</w:t>
      </w:r>
    </w:p>
    <w:p>
      <w:pPr>
        <w:spacing w:line="560" w:lineRule="exact"/>
        <w:ind w:firstLine="640" w:firstLineChars="200"/>
        <w:rPr>
          <w:rFonts w:hint="eastAsia" w:ascii="楷体" w:hAnsi="楷体" w:eastAsia="楷体"/>
          <w:sz w:val="32"/>
          <w:szCs w:val="32"/>
        </w:rPr>
      </w:pPr>
      <w:bookmarkStart w:id="188" w:name="_Toc20573"/>
      <w:bookmarkStart w:id="189" w:name="_Toc6419"/>
      <w:bookmarkStart w:id="190" w:name="_Toc10031"/>
      <w:bookmarkStart w:id="191" w:name="_Toc135057500"/>
      <w:bookmarkStart w:id="192" w:name="_Toc20221"/>
      <w:bookmarkStart w:id="193" w:name="_Toc135057652"/>
      <w:bookmarkStart w:id="194" w:name="_Toc20069"/>
      <w:bookmarkStart w:id="195" w:name="_Toc1648"/>
      <w:r>
        <w:rPr>
          <w:rFonts w:hint="eastAsia" w:ascii="楷体" w:hAnsi="楷体" w:eastAsia="楷体"/>
          <w:sz w:val="32"/>
          <w:szCs w:val="32"/>
        </w:rPr>
        <w:t>（二）规范预算编制，结合项目合同实际，合理进行资金支出</w:t>
      </w:r>
      <w:bookmarkEnd w:id="188"/>
      <w:bookmarkEnd w:id="189"/>
      <w:bookmarkEnd w:id="190"/>
      <w:bookmarkEnd w:id="191"/>
      <w:bookmarkEnd w:id="192"/>
      <w:bookmarkEnd w:id="193"/>
      <w:bookmarkEnd w:id="194"/>
      <w:bookmarkEnd w:id="195"/>
    </w:p>
    <w:p>
      <w:pPr>
        <w:spacing w:line="560" w:lineRule="exact"/>
        <w:ind w:firstLine="640" w:firstLineChars="200"/>
        <w:rPr>
          <w:rFonts w:ascii="仿宋_GB2312" w:eastAsia="仿宋_GB2312"/>
          <w:sz w:val="32"/>
          <w:szCs w:val="32"/>
        </w:rPr>
      </w:pPr>
      <w:r>
        <w:rPr>
          <w:rFonts w:hint="eastAsia" w:ascii="仿宋_GB2312" w:eastAsia="仿宋_GB2312"/>
          <w:sz w:val="32"/>
          <w:szCs w:val="32"/>
        </w:rPr>
        <w:t>建议结合项目合同的预算需求和资金支出规范化要求，细化合同进度款支付条款，结合项目合同履约实际特点，合理结算支付资金。</w:t>
      </w:r>
    </w:p>
    <w:p>
      <w:pPr>
        <w:spacing w:line="560" w:lineRule="exact"/>
        <w:ind w:firstLine="640" w:firstLineChars="200"/>
        <w:rPr>
          <w:rFonts w:hint="eastAsia" w:ascii="楷体" w:hAnsi="楷体" w:eastAsia="楷体"/>
          <w:sz w:val="32"/>
          <w:szCs w:val="32"/>
        </w:rPr>
      </w:pPr>
      <w:bookmarkStart w:id="196" w:name="_Toc135057501"/>
      <w:bookmarkStart w:id="197" w:name="_Toc135057653"/>
      <w:bookmarkStart w:id="198" w:name="_Toc9889"/>
      <w:bookmarkStart w:id="199" w:name="_Toc708"/>
      <w:bookmarkStart w:id="200" w:name="_Toc18056"/>
      <w:bookmarkStart w:id="201" w:name="_Toc19162"/>
      <w:r>
        <w:rPr>
          <w:rFonts w:hint="eastAsia" w:ascii="楷体" w:hAnsi="楷体" w:eastAsia="楷体"/>
          <w:sz w:val="32"/>
          <w:szCs w:val="32"/>
        </w:rPr>
        <w:t>（三）</w:t>
      </w:r>
      <w:bookmarkEnd w:id="196"/>
      <w:bookmarkEnd w:id="197"/>
      <w:bookmarkStart w:id="202" w:name="_Toc135057502"/>
      <w:bookmarkStart w:id="203" w:name="_Toc135057654"/>
      <w:r>
        <w:rPr>
          <w:rFonts w:hint="eastAsia" w:ascii="楷体" w:hAnsi="楷体" w:eastAsia="楷体"/>
          <w:sz w:val="32"/>
          <w:szCs w:val="32"/>
        </w:rPr>
        <w:t>注重项目产出和效益效果资料归集</w:t>
      </w:r>
      <w:bookmarkEnd w:id="198"/>
      <w:bookmarkEnd w:id="199"/>
      <w:bookmarkEnd w:id="200"/>
      <w:bookmarkEnd w:id="201"/>
      <w:bookmarkEnd w:id="202"/>
      <w:bookmarkEnd w:id="203"/>
    </w:p>
    <w:p>
      <w:pPr>
        <w:spacing w:line="560" w:lineRule="exact"/>
        <w:ind w:firstLine="640" w:firstLineChars="200"/>
        <w:rPr>
          <w:rFonts w:ascii="仿宋_GB2312" w:eastAsia="仿宋_GB2312"/>
          <w:sz w:val="32"/>
          <w:szCs w:val="32"/>
        </w:rPr>
      </w:pPr>
      <w:r>
        <w:rPr>
          <w:rFonts w:hint="eastAsia" w:ascii="仿宋_GB2312" w:eastAsia="仿宋_GB2312"/>
          <w:sz w:val="32"/>
          <w:szCs w:val="32"/>
        </w:rPr>
        <w:t>注重项目过程和成果资料的收集、归档，切实做好痕迹管理，注重项目合同的前期、后期有关联性资料的收集，使项目效益的实现得到有效支撑，项目效果得以客观体现。</w:t>
      </w:r>
    </w:p>
    <w:p>
      <w:pPr>
        <w:pStyle w:val="3"/>
        <w:spacing w:before="0" w:after="0" w:line="560" w:lineRule="exact"/>
        <w:ind w:firstLine="640" w:firstLineChars="200"/>
        <w:rPr>
          <w:rFonts w:hint="eastAsia" w:ascii="黑体" w:hAnsi="黑体" w:eastAsia="黑体"/>
          <w:b w:val="0"/>
          <w:bCs w:val="0"/>
          <w:sz w:val="32"/>
          <w:szCs w:val="32"/>
        </w:rPr>
      </w:pPr>
      <w:bookmarkStart w:id="204" w:name="_Toc30350"/>
      <w:bookmarkStart w:id="205" w:name="_Toc12094"/>
      <w:bookmarkStart w:id="206" w:name="_Toc135057655"/>
      <w:bookmarkStart w:id="207" w:name="_Toc8217"/>
      <w:bookmarkStart w:id="208" w:name="_Toc28376"/>
      <w:bookmarkStart w:id="209" w:name="_Toc2300"/>
      <w:bookmarkStart w:id="210" w:name="_Toc8615"/>
      <w:bookmarkStart w:id="211" w:name="_Toc28274"/>
      <w:r>
        <w:rPr>
          <w:rFonts w:hint="eastAsia" w:ascii="黑体" w:hAnsi="黑体" w:eastAsia="黑体"/>
          <w:b w:val="0"/>
          <w:bCs w:val="0"/>
          <w:sz w:val="32"/>
          <w:szCs w:val="32"/>
        </w:rPr>
        <w:t>七、其他需要说明的问题</w:t>
      </w:r>
      <w:bookmarkEnd w:id="204"/>
      <w:bookmarkEnd w:id="205"/>
      <w:bookmarkEnd w:id="206"/>
      <w:bookmarkEnd w:id="207"/>
      <w:bookmarkEnd w:id="208"/>
      <w:bookmarkEnd w:id="209"/>
      <w:bookmarkEnd w:id="210"/>
      <w:bookmarkEnd w:id="211"/>
    </w:p>
    <w:p>
      <w:pPr>
        <w:spacing w:line="560" w:lineRule="exact"/>
        <w:ind w:firstLine="640" w:firstLineChars="200"/>
        <w:rPr>
          <w:rFonts w:ascii="仿宋_GB2312" w:eastAsia="仿宋_GB2312"/>
          <w:sz w:val="32"/>
          <w:szCs w:val="32"/>
        </w:rPr>
      </w:pPr>
      <w:r>
        <w:rPr>
          <w:rFonts w:hint="eastAsia" w:ascii="仿宋_GB2312" w:eastAsia="仿宋_GB2312"/>
          <w:sz w:val="32"/>
          <w:szCs w:val="32"/>
        </w:rPr>
        <w:t>无。</w:t>
      </w:r>
    </w:p>
    <w:p>
      <w:pPr>
        <w:keepNext/>
        <w:spacing w:line="600" w:lineRule="exact"/>
        <w:ind w:firstLine="640" w:firstLineChars="200"/>
        <w:outlineLvl w:val="0"/>
        <w:rPr>
          <w:rFonts w:hint="eastAsia" w:ascii="黑体" w:hAnsi="黑体" w:eastAsia="黑体" w:cs="黑体"/>
          <w:sz w:val="32"/>
          <w:szCs w:val="32"/>
        </w:rPr>
      </w:pPr>
      <w:bookmarkStart w:id="212" w:name="_Toc168499433"/>
      <w:bookmarkStart w:id="213" w:name="_Toc13780"/>
      <w:bookmarkStart w:id="214" w:name="_Toc24713"/>
      <w:bookmarkStart w:id="215" w:name="_Toc26440"/>
      <w:r>
        <w:rPr>
          <w:rFonts w:hint="eastAsia" w:ascii="黑体" w:hAnsi="黑体" w:eastAsia="黑体" w:cs="黑体"/>
          <w:sz w:val="32"/>
          <w:szCs w:val="32"/>
        </w:rPr>
        <w:t>八、附件</w:t>
      </w:r>
      <w:bookmarkEnd w:id="212"/>
      <w:bookmarkEnd w:id="213"/>
      <w:bookmarkEnd w:id="214"/>
      <w:bookmarkEnd w:id="215"/>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1.北京市丰台区人民检察院信息化运维费项目预算执行情况表</w:t>
      </w:r>
    </w:p>
    <w:p>
      <w:pPr>
        <w:spacing w:line="600" w:lineRule="exact"/>
        <w:ind w:firstLine="640" w:firstLineChars="200"/>
        <w:rPr>
          <w:rFonts w:hint="eastAsia" w:ascii="宋体" w:hAnsi="宋体"/>
          <w:kern w:val="44"/>
          <w:szCs w:val="28"/>
        </w:rPr>
      </w:pPr>
      <w:r>
        <w:rPr>
          <w:rFonts w:hint="eastAsia" w:ascii="仿宋_GB2312" w:hAnsi="宋体" w:eastAsia="仿宋_GB2312" w:cs="宋体"/>
          <w:color w:val="000000"/>
          <w:kern w:val="0"/>
          <w:sz w:val="32"/>
          <w:szCs w:val="32"/>
        </w:rPr>
        <w:t>2.北京市丰台区人民检察院信息化运维费项目绩效目标完成情况及收支明细表</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3.北京市丰台区人民检察院信息化运维费项目支出绩效评价指标体系</w:t>
      </w:r>
    </w:p>
    <w:sectPr>
      <w:footerReference r:id="rId5" w:type="default"/>
      <w:pgSz w:w="11906" w:h="16838"/>
      <w:pgMar w:top="1440" w:right="1797" w:bottom="1440" w:left="1797" w:header="851" w:footer="992" w:gutter="0"/>
      <w:pgNumType w:fmt="numberInDash"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rPr>
        <w:rFonts w:hint="eastAsia"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rPr>
        <w:rFonts w:hint="eastAsia"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11</w:t>
    </w:r>
    <w:r>
      <w:rPr>
        <w:rFonts w:ascii="宋体" w:hAnsi="宋体"/>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742AD7"/>
    <w:multiLevelType w:val="multilevel"/>
    <w:tmpl w:val="5B742AD7"/>
    <w:lvl w:ilvl="0" w:tentative="0">
      <w:start w:val="1"/>
      <w:numFmt w:val="chineseCountingThousand"/>
      <w:suff w:val="nothing"/>
      <w:lvlText w:val="第%1章"/>
      <w:lvlJc w:val="left"/>
      <w:pPr>
        <w:ind w:left="0" w:firstLine="0"/>
      </w:p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pStyle w:val="2"/>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085D27"/>
    <w:rsid w:val="000A36DA"/>
    <w:rsid w:val="000C61BC"/>
    <w:rsid w:val="000E524C"/>
    <w:rsid w:val="001B4735"/>
    <w:rsid w:val="00233AE2"/>
    <w:rsid w:val="00262249"/>
    <w:rsid w:val="00312884"/>
    <w:rsid w:val="003A41C0"/>
    <w:rsid w:val="003F1753"/>
    <w:rsid w:val="004313A5"/>
    <w:rsid w:val="004830F0"/>
    <w:rsid w:val="004B1297"/>
    <w:rsid w:val="004E24CF"/>
    <w:rsid w:val="0050530F"/>
    <w:rsid w:val="006B0590"/>
    <w:rsid w:val="006B241B"/>
    <w:rsid w:val="00722697"/>
    <w:rsid w:val="00767069"/>
    <w:rsid w:val="007700FA"/>
    <w:rsid w:val="007D5DCC"/>
    <w:rsid w:val="008E3BB4"/>
    <w:rsid w:val="008F0292"/>
    <w:rsid w:val="008F38DB"/>
    <w:rsid w:val="0091650A"/>
    <w:rsid w:val="009638F1"/>
    <w:rsid w:val="00A37FA2"/>
    <w:rsid w:val="00B0759D"/>
    <w:rsid w:val="00BC0250"/>
    <w:rsid w:val="00BD20E3"/>
    <w:rsid w:val="00BF548F"/>
    <w:rsid w:val="00C46EA1"/>
    <w:rsid w:val="00C61D45"/>
    <w:rsid w:val="00CD4382"/>
    <w:rsid w:val="00D71536"/>
    <w:rsid w:val="00D72F9F"/>
    <w:rsid w:val="00DD5D25"/>
    <w:rsid w:val="00E14A1D"/>
    <w:rsid w:val="00E21A0C"/>
    <w:rsid w:val="00EF40F2"/>
    <w:rsid w:val="01252A72"/>
    <w:rsid w:val="017603F5"/>
    <w:rsid w:val="01781CF1"/>
    <w:rsid w:val="01890E5A"/>
    <w:rsid w:val="01897AEF"/>
    <w:rsid w:val="02076FFB"/>
    <w:rsid w:val="021266E1"/>
    <w:rsid w:val="027E4D5D"/>
    <w:rsid w:val="028B0D4A"/>
    <w:rsid w:val="0318047E"/>
    <w:rsid w:val="0344247F"/>
    <w:rsid w:val="03994551"/>
    <w:rsid w:val="04252C52"/>
    <w:rsid w:val="04312351"/>
    <w:rsid w:val="04441F9D"/>
    <w:rsid w:val="04B6188D"/>
    <w:rsid w:val="0523641A"/>
    <w:rsid w:val="052E1AE3"/>
    <w:rsid w:val="05713A01"/>
    <w:rsid w:val="05934D04"/>
    <w:rsid w:val="0661504E"/>
    <w:rsid w:val="067364B0"/>
    <w:rsid w:val="06945054"/>
    <w:rsid w:val="06C035A4"/>
    <w:rsid w:val="0703276E"/>
    <w:rsid w:val="071B0C67"/>
    <w:rsid w:val="076E3C0F"/>
    <w:rsid w:val="078D5D86"/>
    <w:rsid w:val="08172231"/>
    <w:rsid w:val="08516717"/>
    <w:rsid w:val="087C311A"/>
    <w:rsid w:val="091D5AAD"/>
    <w:rsid w:val="09256859"/>
    <w:rsid w:val="09B3501C"/>
    <w:rsid w:val="0A3129B1"/>
    <w:rsid w:val="0AE04E67"/>
    <w:rsid w:val="0B0141A9"/>
    <w:rsid w:val="0B117C23"/>
    <w:rsid w:val="0B2E7E71"/>
    <w:rsid w:val="0B3B406B"/>
    <w:rsid w:val="0B752EB0"/>
    <w:rsid w:val="0B8079BA"/>
    <w:rsid w:val="0B903CEC"/>
    <w:rsid w:val="0BB05809"/>
    <w:rsid w:val="0BB341DB"/>
    <w:rsid w:val="0C4B6468"/>
    <w:rsid w:val="0D141A13"/>
    <w:rsid w:val="0D784B2F"/>
    <w:rsid w:val="0D797C3E"/>
    <w:rsid w:val="0D866FFB"/>
    <w:rsid w:val="0DB72A9D"/>
    <w:rsid w:val="0E5D30A2"/>
    <w:rsid w:val="0E65527E"/>
    <w:rsid w:val="0E9B19B0"/>
    <w:rsid w:val="0EDD3ADE"/>
    <w:rsid w:val="0FA55FAB"/>
    <w:rsid w:val="0FCD1943"/>
    <w:rsid w:val="0FEA4DB0"/>
    <w:rsid w:val="10316E09"/>
    <w:rsid w:val="10783670"/>
    <w:rsid w:val="10830364"/>
    <w:rsid w:val="10BF3E2A"/>
    <w:rsid w:val="11067330"/>
    <w:rsid w:val="11636B71"/>
    <w:rsid w:val="11E67BD9"/>
    <w:rsid w:val="12AE436C"/>
    <w:rsid w:val="12D04174"/>
    <w:rsid w:val="12EA560C"/>
    <w:rsid w:val="12EA6E9D"/>
    <w:rsid w:val="133E2287"/>
    <w:rsid w:val="146648C3"/>
    <w:rsid w:val="148138BE"/>
    <w:rsid w:val="15147FB2"/>
    <w:rsid w:val="154603F3"/>
    <w:rsid w:val="15EE407F"/>
    <w:rsid w:val="1653052F"/>
    <w:rsid w:val="16730CFB"/>
    <w:rsid w:val="16887DA7"/>
    <w:rsid w:val="16A9301C"/>
    <w:rsid w:val="17256E32"/>
    <w:rsid w:val="17815DB8"/>
    <w:rsid w:val="1782340F"/>
    <w:rsid w:val="17DB257A"/>
    <w:rsid w:val="17F31AFF"/>
    <w:rsid w:val="18010D13"/>
    <w:rsid w:val="188C6835"/>
    <w:rsid w:val="18AE1BF6"/>
    <w:rsid w:val="18E737AF"/>
    <w:rsid w:val="191E34FB"/>
    <w:rsid w:val="196A60A0"/>
    <w:rsid w:val="19816863"/>
    <w:rsid w:val="19A52C89"/>
    <w:rsid w:val="19BC7216"/>
    <w:rsid w:val="1A055384"/>
    <w:rsid w:val="1A156F76"/>
    <w:rsid w:val="1A68416F"/>
    <w:rsid w:val="1A780B02"/>
    <w:rsid w:val="1AEA1935"/>
    <w:rsid w:val="1AEC3A7C"/>
    <w:rsid w:val="1B346B8D"/>
    <w:rsid w:val="1B8F3F72"/>
    <w:rsid w:val="1BBC34ED"/>
    <w:rsid w:val="1C0A5585"/>
    <w:rsid w:val="1CF860EB"/>
    <w:rsid w:val="1D6F485F"/>
    <w:rsid w:val="1D7E2174"/>
    <w:rsid w:val="1DA571B8"/>
    <w:rsid w:val="1DA76AD2"/>
    <w:rsid w:val="1DFA3B04"/>
    <w:rsid w:val="1F20426E"/>
    <w:rsid w:val="1F7C73F4"/>
    <w:rsid w:val="1FD71865"/>
    <w:rsid w:val="20232734"/>
    <w:rsid w:val="20C21C50"/>
    <w:rsid w:val="20CB60A3"/>
    <w:rsid w:val="20E00EAE"/>
    <w:rsid w:val="21541C1D"/>
    <w:rsid w:val="216454A2"/>
    <w:rsid w:val="223B7E73"/>
    <w:rsid w:val="22431A0B"/>
    <w:rsid w:val="236105DE"/>
    <w:rsid w:val="23F61A77"/>
    <w:rsid w:val="261A55CA"/>
    <w:rsid w:val="26AA51E8"/>
    <w:rsid w:val="26C33D50"/>
    <w:rsid w:val="27023E18"/>
    <w:rsid w:val="270A351B"/>
    <w:rsid w:val="273D3C37"/>
    <w:rsid w:val="275666D9"/>
    <w:rsid w:val="277B0C0D"/>
    <w:rsid w:val="28120C36"/>
    <w:rsid w:val="283853F3"/>
    <w:rsid w:val="28536D39"/>
    <w:rsid w:val="28C820CA"/>
    <w:rsid w:val="295774DA"/>
    <w:rsid w:val="29A34A8E"/>
    <w:rsid w:val="29A421F7"/>
    <w:rsid w:val="29C04C69"/>
    <w:rsid w:val="29F85BC4"/>
    <w:rsid w:val="2A0B063F"/>
    <w:rsid w:val="2A4E195C"/>
    <w:rsid w:val="2AA0258F"/>
    <w:rsid w:val="2AB60477"/>
    <w:rsid w:val="2AD44D0D"/>
    <w:rsid w:val="2BF70586"/>
    <w:rsid w:val="2C077485"/>
    <w:rsid w:val="2C967F42"/>
    <w:rsid w:val="2CB918A5"/>
    <w:rsid w:val="2CF16E9A"/>
    <w:rsid w:val="2D3E42EF"/>
    <w:rsid w:val="2D934809"/>
    <w:rsid w:val="2DB16705"/>
    <w:rsid w:val="2DB25348"/>
    <w:rsid w:val="2DE95D45"/>
    <w:rsid w:val="2DEB40D2"/>
    <w:rsid w:val="2E4F7DC2"/>
    <w:rsid w:val="2EBE5D8C"/>
    <w:rsid w:val="2FB436EC"/>
    <w:rsid w:val="2FD20ABD"/>
    <w:rsid w:val="2FFA68ED"/>
    <w:rsid w:val="30711D5C"/>
    <w:rsid w:val="310D39D1"/>
    <w:rsid w:val="31157FA1"/>
    <w:rsid w:val="31D5064F"/>
    <w:rsid w:val="31E053EA"/>
    <w:rsid w:val="32194AF7"/>
    <w:rsid w:val="32514E75"/>
    <w:rsid w:val="3298636F"/>
    <w:rsid w:val="336A52C9"/>
    <w:rsid w:val="33AF5DEF"/>
    <w:rsid w:val="33C51E65"/>
    <w:rsid w:val="33F36123"/>
    <w:rsid w:val="343F60AC"/>
    <w:rsid w:val="34606CC7"/>
    <w:rsid w:val="34815F49"/>
    <w:rsid w:val="34D13898"/>
    <w:rsid w:val="353B0072"/>
    <w:rsid w:val="35D12264"/>
    <w:rsid w:val="36B46C13"/>
    <w:rsid w:val="36B6600D"/>
    <w:rsid w:val="374850CB"/>
    <w:rsid w:val="379A211C"/>
    <w:rsid w:val="37C16AA1"/>
    <w:rsid w:val="38247E2D"/>
    <w:rsid w:val="38AF7086"/>
    <w:rsid w:val="39085D27"/>
    <w:rsid w:val="3A0D7806"/>
    <w:rsid w:val="3ACF18D4"/>
    <w:rsid w:val="3AE0198B"/>
    <w:rsid w:val="3B1574C7"/>
    <w:rsid w:val="3B870DE1"/>
    <w:rsid w:val="3C426346"/>
    <w:rsid w:val="3C5B01AF"/>
    <w:rsid w:val="3D490512"/>
    <w:rsid w:val="3D5442DD"/>
    <w:rsid w:val="3D8F6BDE"/>
    <w:rsid w:val="3D942C2D"/>
    <w:rsid w:val="3E65383D"/>
    <w:rsid w:val="3EA65983"/>
    <w:rsid w:val="3EAB2595"/>
    <w:rsid w:val="3ECE0167"/>
    <w:rsid w:val="3F194B8E"/>
    <w:rsid w:val="3F346BAD"/>
    <w:rsid w:val="3FD96F74"/>
    <w:rsid w:val="405B797D"/>
    <w:rsid w:val="40C14163"/>
    <w:rsid w:val="40D721B6"/>
    <w:rsid w:val="411057C3"/>
    <w:rsid w:val="41703847"/>
    <w:rsid w:val="41705220"/>
    <w:rsid w:val="41D80150"/>
    <w:rsid w:val="42667749"/>
    <w:rsid w:val="42D07C2E"/>
    <w:rsid w:val="42E54CC0"/>
    <w:rsid w:val="43736085"/>
    <w:rsid w:val="43AF15E3"/>
    <w:rsid w:val="43F51552"/>
    <w:rsid w:val="442554A7"/>
    <w:rsid w:val="445E7DE2"/>
    <w:rsid w:val="449D48E9"/>
    <w:rsid w:val="45895617"/>
    <w:rsid w:val="459E58FD"/>
    <w:rsid w:val="45A23EEA"/>
    <w:rsid w:val="467A144A"/>
    <w:rsid w:val="470A341B"/>
    <w:rsid w:val="471A0EFD"/>
    <w:rsid w:val="47982A06"/>
    <w:rsid w:val="47EC51FC"/>
    <w:rsid w:val="4917156B"/>
    <w:rsid w:val="49183CF1"/>
    <w:rsid w:val="49724CC0"/>
    <w:rsid w:val="49A650C9"/>
    <w:rsid w:val="4AC0609B"/>
    <w:rsid w:val="4B426D38"/>
    <w:rsid w:val="4B5C6248"/>
    <w:rsid w:val="4BCE7F1B"/>
    <w:rsid w:val="4C2B0C27"/>
    <w:rsid w:val="4C2C59E7"/>
    <w:rsid w:val="4C5063D0"/>
    <w:rsid w:val="4C710D6C"/>
    <w:rsid w:val="4D143346"/>
    <w:rsid w:val="4D544BA2"/>
    <w:rsid w:val="4DB41C6B"/>
    <w:rsid w:val="4E764E88"/>
    <w:rsid w:val="4EA5073B"/>
    <w:rsid w:val="4EEE6576"/>
    <w:rsid w:val="4EFC259F"/>
    <w:rsid w:val="4F100D74"/>
    <w:rsid w:val="4F4C77CF"/>
    <w:rsid w:val="4F614308"/>
    <w:rsid w:val="4F7E6B7E"/>
    <w:rsid w:val="503638BE"/>
    <w:rsid w:val="503E2251"/>
    <w:rsid w:val="50AB7390"/>
    <w:rsid w:val="51C512AF"/>
    <w:rsid w:val="51DD1DF8"/>
    <w:rsid w:val="52080A34"/>
    <w:rsid w:val="525B3CD1"/>
    <w:rsid w:val="52E24CA6"/>
    <w:rsid w:val="535D6C88"/>
    <w:rsid w:val="53C9268D"/>
    <w:rsid w:val="53CB4C55"/>
    <w:rsid w:val="5417367C"/>
    <w:rsid w:val="54287CC7"/>
    <w:rsid w:val="54A84C3F"/>
    <w:rsid w:val="54D16306"/>
    <w:rsid w:val="54D568A6"/>
    <w:rsid w:val="55353B9C"/>
    <w:rsid w:val="55F128BE"/>
    <w:rsid w:val="56DE1E9B"/>
    <w:rsid w:val="573D6695"/>
    <w:rsid w:val="583C2A7C"/>
    <w:rsid w:val="584A3053"/>
    <w:rsid w:val="58C90E69"/>
    <w:rsid w:val="58ED4EC5"/>
    <w:rsid w:val="5974092A"/>
    <w:rsid w:val="59947880"/>
    <w:rsid w:val="59ED40D5"/>
    <w:rsid w:val="5A3F790F"/>
    <w:rsid w:val="5A614B96"/>
    <w:rsid w:val="5B955F9B"/>
    <w:rsid w:val="5BD53074"/>
    <w:rsid w:val="5C56783F"/>
    <w:rsid w:val="5C816615"/>
    <w:rsid w:val="5CF94AE4"/>
    <w:rsid w:val="5CFB7DBB"/>
    <w:rsid w:val="5D1968FD"/>
    <w:rsid w:val="5D656DDB"/>
    <w:rsid w:val="5DAB07B9"/>
    <w:rsid w:val="5DD13458"/>
    <w:rsid w:val="5DD72F0A"/>
    <w:rsid w:val="5E1D7BF2"/>
    <w:rsid w:val="5E260795"/>
    <w:rsid w:val="5E5A240A"/>
    <w:rsid w:val="5EE02BC9"/>
    <w:rsid w:val="5F1B6F3D"/>
    <w:rsid w:val="5F393523"/>
    <w:rsid w:val="5FF01F83"/>
    <w:rsid w:val="602D2AFF"/>
    <w:rsid w:val="603105DB"/>
    <w:rsid w:val="612F2AED"/>
    <w:rsid w:val="617638F7"/>
    <w:rsid w:val="61EB1032"/>
    <w:rsid w:val="62080CF6"/>
    <w:rsid w:val="6237441A"/>
    <w:rsid w:val="624050D2"/>
    <w:rsid w:val="62D60C06"/>
    <w:rsid w:val="62D9537E"/>
    <w:rsid w:val="6387416D"/>
    <w:rsid w:val="63D20335"/>
    <w:rsid w:val="63E22612"/>
    <w:rsid w:val="63F82E6C"/>
    <w:rsid w:val="64A2645E"/>
    <w:rsid w:val="64F812FB"/>
    <w:rsid w:val="65401B67"/>
    <w:rsid w:val="65675B08"/>
    <w:rsid w:val="657D6285"/>
    <w:rsid w:val="65D33E67"/>
    <w:rsid w:val="66181A24"/>
    <w:rsid w:val="663D2D59"/>
    <w:rsid w:val="66A6331C"/>
    <w:rsid w:val="66B06882"/>
    <w:rsid w:val="688A7028"/>
    <w:rsid w:val="68983AF3"/>
    <w:rsid w:val="691A7B82"/>
    <w:rsid w:val="694F27A4"/>
    <w:rsid w:val="6A0F0B60"/>
    <w:rsid w:val="6A223330"/>
    <w:rsid w:val="6B3B2B24"/>
    <w:rsid w:val="6BDD6E49"/>
    <w:rsid w:val="6C9213C4"/>
    <w:rsid w:val="6CF83A8E"/>
    <w:rsid w:val="6D9956CA"/>
    <w:rsid w:val="6DC910D1"/>
    <w:rsid w:val="6E1B33FB"/>
    <w:rsid w:val="6EA53AFF"/>
    <w:rsid w:val="6EAA70BD"/>
    <w:rsid w:val="6ED9032B"/>
    <w:rsid w:val="6EE473A7"/>
    <w:rsid w:val="6EED6DD2"/>
    <w:rsid w:val="6EF72BE6"/>
    <w:rsid w:val="6EFB5E9F"/>
    <w:rsid w:val="6F777F45"/>
    <w:rsid w:val="6F791C57"/>
    <w:rsid w:val="6FA5268E"/>
    <w:rsid w:val="704362A4"/>
    <w:rsid w:val="70595852"/>
    <w:rsid w:val="71096F70"/>
    <w:rsid w:val="71704CB4"/>
    <w:rsid w:val="71B60AFB"/>
    <w:rsid w:val="72BB21C3"/>
    <w:rsid w:val="72D320E2"/>
    <w:rsid w:val="73714E9E"/>
    <w:rsid w:val="73A56BEC"/>
    <w:rsid w:val="73B33E3D"/>
    <w:rsid w:val="73C366D5"/>
    <w:rsid w:val="740A4F64"/>
    <w:rsid w:val="74B50A99"/>
    <w:rsid w:val="75182C9C"/>
    <w:rsid w:val="756A0838"/>
    <w:rsid w:val="75980621"/>
    <w:rsid w:val="75AE4B8D"/>
    <w:rsid w:val="760503BB"/>
    <w:rsid w:val="7612286B"/>
    <w:rsid w:val="763675FC"/>
    <w:rsid w:val="76D70465"/>
    <w:rsid w:val="76F93973"/>
    <w:rsid w:val="77750BD0"/>
    <w:rsid w:val="778F6FE6"/>
    <w:rsid w:val="78DE70DC"/>
    <w:rsid w:val="79672E98"/>
    <w:rsid w:val="79FA1786"/>
    <w:rsid w:val="7A410BF4"/>
    <w:rsid w:val="7A552C9B"/>
    <w:rsid w:val="7AFC25FC"/>
    <w:rsid w:val="7B402334"/>
    <w:rsid w:val="7BF40A7A"/>
    <w:rsid w:val="7C6D4C99"/>
    <w:rsid w:val="7D124EE7"/>
    <w:rsid w:val="7D461A10"/>
    <w:rsid w:val="7E4D0ABC"/>
    <w:rsid w:val="7E681284"/>
    <w:rsid w:val="7E880F0E"/>
    <w:rsid w:val="7EDE1D72"/>
    <w:rsid w:val="7F5C2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9"/>
    <w:pPr>
      <w:keepNext/>
      <w:keepLines/>
      <w:spacing w:before="260" w:after="260" w:line="416" w:lineRule="auto"/>
      <w:outlineLvl w:val="1"/>
    </w:pPr>
    <w:rPr>
      <w:rFonts w:ascii="等线 Light" w:hAnsi="等线 Light" w:eastAsia="等线 Light"/>
      <w:b/>
      <w:bCs/>
      <w:sz w:val="32"/>
      <w:szCs w:val="32"/>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paragraph" w:styleId="2">
    <w:name w:val="heading 4"/>
    <w:basedOn w:val="1"/>
    <w:next w:val="1"/>
    <w:qFormat/>
    <w:uiPriority w:val="0"/>
    <w:pPr>
      <w:keepNext/>
      <w:keepLines/>
      <w:numPr>
        <w:ilvl w:val="3"/>
        <w:numId w:val="1"/>
      </w:numPr>
      <w:spacing w:before="280" w:after="290" w:line="374" w:lineRule="auto"/>
      <w:outlineLvl w:val="3"/>
    </w:pPr>
    <w:rPr>
      <w:rFonts w:ascii="Arial" w:hAnsi="Arial" w:eastAsia="黑体"/>
      <w:b/>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Indent"/>
    <w:basedOn w:val="1"/>
    <w:semiHidden/>
    <w:unhideWhenUsed/>
    <w:qFormat/>
    <w:uiPriority w:val="0"/>
    <w:pPr>
      <w:spacing w:after="120"/>
      <w:ind w:left="420" w:leftChars="200"/>
    </w:pPr>
  </w:style>
  <w:style w:type="paragraph" w:styleId="8">
    <w:name w:val="toc 3"/>
    <w:basedOn w:val="1"/>
    <w:next w:val="1"/>
    <w:qFormat/>
    <w:uiPriority w:val="0"/>
    <w:pPr>
      <w:ind w:left="840" w:leftChars="400"/>
    </w:p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unhideWhenUsed/>
    <w:qFormat/>
    <w:uiPriority w:val="39"/>
    <w:pPr>
      <w:tabs>
        <w:tab w:val="right" w:leader="dot" w:pos="8302"/>
      </w:tabs>
    </w:pPr>
    <w:rPr>
      <w:rFonts w:ascii="仿宋_GB2312" w:hAnsi="黑体" w:eastAsia="仿宋_GB2312"/>
      <w:b/>
      <w:bCs/>
      <w:sz w:val="28"/>
      <w:szCs w:val="28"/>
    </w:rPr>
  </w:style>
  <w:style w:type="paragraph" w:styleId="12">
    <w:name w:val="toc 2"/>
    <w:basedOn w:val="1"/>
    <w:next w:val="1"/>
    <w:unhideWhenUsed/>
    <w:qFormat/>
    <w:uiPriority w:val="39"/>
    <w:pPr>
      <w:ind w:left="420" w:leftChars="200"/>
    </w:pPr>
  </w:style>
  <w:style w:type="paragraph" w:styleId="13">
    <w:name w:val="Body Text First Indent 2"/>
    <w:basedOn w:val="7"/>
    <w:qFormat/>
    <w:uiPriority w:val="99"/>
    <w:pPr>
      <w:spacing w:after="360"/>
      <w:ind w:left="0" w:leftChars="0" w:firstLine="420" w:firstLineChars="200"/>
    </w:pPr>
    <w:rPr>
      <w:rFonts w:eastAsia="仿宋_GB2312"/>
      <w:kern w:val="1"/>
      <w:sz w:val="32"/>
      <w:szCs w:val="20"/>
    </w:rPr>
  </w:style>
  <w:style w:type="character" w:styleId="16">
    <w:name w:val="Hyperlink"/>
    <w:basedOn w:val="15"/>
    <w:unhideWhenUsed/>
    <w:qFormat/>
    <w:uiPriority w:val="99"/>
    <w:rPr>
      <w:color w:val="0563C1"/>
      <w:u w:val="single"/>
    </w:rPr>
  </w:style>
  <w:style w:type="character" w:styleId="17">
    <w:name w:val="annotation reference"/>
    <w:basedOn w:val="15"/>
    <w:qFormat/>
    <w:uiPriority w:val="0"/>
    <w:rPr>
      <w:sz w:val="21"/>
      <w:szCs w:val="21"/>
    </w:rPr>
  </w:style>
  <w:style w:type="character" w:customStyle="1" w:styleId="18">
    <w:name w:val="font21"/>
    <w:basedOn w:val="15"/>
    <w:qFormat/>
    <w:uiPriority w:val="0"/>
    <w:rPr>
      <w:rFonts w:hint="eastAsia" w:ascii="宋体" w:hAnsi="宋体" w:eastAsia="宋体" w:cs="宋体"/>
      <w:color w:val="000000"/>
      <w:sz w:val="22"/>
      <w:szCs w:val="22"/>
      <w:u w:val="none"/>
    </w:rPr>
  </w:style>
  <w:style w:type="character" w:customStyle="1" w:styleId="19">
    <w:name w:val="font41"/>
    <w:basedOn w:val="15"/>
    <w:qFormat/>
    <w:uiPriority w:val="0"/>
    <w:rPr>
      <w:rFonts w:hint="default" w:ascii="Times New Roman" w:hAnsi="Times New Roman" w:cs="Times New Roman"/>
      <w:color w:val="000000"/>
      <w:sz w:val="21"/>
      <w:szCs w:val="21"/>
      <w:u w:val="none"/>
    </w:rPr>
  </w:style>
  <w:style w:type="character" w:customStyle="1" w:styleId="20">
    <w:name w:val="font31"/>
    <w:basedOn w:val="15"/>
    <w:qFormat/>
    <w:uiPriority w:val="0"/>
    <w:rPr>
      <w:rFonts w:hint="eastAsia" w:ascii="宋体" w:hAnsi="宋体" w:eastAsia="宋体" w:cs="宋体"/>
      <w:color w:val="000000"/>
      <w:sz w:val="21"/>
      <w:szCs w:val="21"/>
      <w:u w:val="none"/>
    </w:rPr>
  </w:style>
  <w:style w:type="paragraph" w:customStyle="1" w:styleId="21">
    <w:name w:val="TOC 标题2"/>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54A1" w:themeColor="accent1" w:themeShade="BF"/>
      <w:kern w:val="0"/>
      <w:sz w:val="32"/>
      <w:szCs w:val="32"/>
    </w:rPr>
  </w:style>
  <w:style w:type="paragraph" w:customStyle="1" w:styleId="22">
    <w:name w:val="修订1"/>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1112</Words>
  <Characters>6344</Characters>
  <Lines>52</Lines>
  <Paragraphs>14</Paragraphs>
  <TotalTime>204</TotalTime>
  <ScaleCrop>false</ScaleCrop>
  <LinksUpToDate>false</LinksUpToDate>
  <CharactersWithSpaces>7442</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2025-04-24T01:49:00Z</dcterms:created>
  <dc:creator>黄新甜</dc:creator>
  <cp:lastModifiedBy>jincaiwang</cp:lastModifiedBy>
  <dcterms:modified xsi:type="dcterms:W3CDTF">2025-08-26T09:41:21Z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0BC477EE79E140738E0A0EA9AA829B0E_13</vt:lpwstr>
  </property>
  <property fmtid="{D5CDD505-2E9C-101B-9397-08002B2CF9AE}" pid="4" name="KSOTemplateDocerSaveRecord">
    <vt:lpwstr>eyJoZGlkIjoiYzkxNzRmZDRlNzc1NjdlMThhYWYwZjZkNmM4MDIzOTIiLCJ1c2VySWQiOiIzMDY5Mjk4NDUifQ==</vt:lpwstr>
  </property>
</Properties>
</file>