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36"/>
          <w:szCs w:val="36"/>
        </w:rPr>
      </w:pPr>
    </w:p>
    <w:p>
      <w:pPr>
        <w:spacing w:line="600" w:lineRule="exact"/>
        <w:jc w:val="center"/>
        <w:rPr>
          <w:rFonts w:hint="eastAsia" w:ascii="方正小标宋简体" w:hAnsi="方正小标宋简体" w:eastAsia="方正小标宋简体" w:cs="方正小标宋简体"/>
          <w:sz w:val="36"/>
          <w:szCs w:val="36"/>
        </w:rPr>
      </w:pPr>
    </w:p>
    <w:p>
      <w:pPr>
        <w:spacing w:line="600" w:lineRule="exact"/>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年度中央对</w:t>
      </w:r>
      <w:r>
        <w:rPr>
          <w:rFonts w:hint="eastAsia" w:ascii="方正小标宋简体" w:hAnsi="方正小标宋简体" w:eastAsia="方正小标宋简体" w:cs="方正小标宋简体"/>
          <w:sz w:val="36"/>
          <w:szCs w:val="36"/>
          <w:lang w:val="en-US" w:eastAsia="zh-CN"/>
        </w:rPr>
        <w:t>北京</w:t>
      </w:r>
      <w:r>
        <w:rPr>
          <w:rFonts w:hint="eastAsia" w:ascii="方正小标宋简体" w:hAnsi="方正小标宋简体" w:eastAsia="方正小标宋简体" w:cs="方正小标宋简体"/>
          <w:sz w:val="36"/>
          <w:szCs w:val="36"/>
          <w:lang w:eastAsia="zh-CN"/>
        </w:rPr>
        <w:t>重大公共卫生服务补助资金</w:t>
      </w:r>
    </w:p>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转移支付预算执行情况绩效自评报告</w:t>
      </w: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一、转移支付基本情况</w:t>
      </w:r>
    </w:p>
    <w:p>
      <w:pPr>
        <w:spacing w:line="600" w:lineRule="exact"/>
        <w:ind w:firstLine="642" w:firstLine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rPr>
        <w:t>（一）转移支付</w:t>
      </w:r>
      <w:r>
        <w:rPr>
          <w:rFonts w:hint="eastAsia" w:ascii="楷体_GB2312" w:hAnsi="楷体_GB2312" w:eastAsia="楷体_GB2312" w:cs="楷体_GB2312"/>
          <w:b/>
          <w:bCs/>
          <w:sz w:val="32"/>
          <w:szCs w:val="32"/>
          <w:lang w:eastAsia="zh-CN"/>
        </w:rPr>
        <w:t>资金</w:t>
      </w:r>
      <w:r>
        <w:rPr>
          <w:rFonts w:hint="eastAsia" w:ascii="楷体_GB2312" w:hAnsi="楷体_GB2312" w:eastAsia="楷体_GB2312" w:cs="楷体_GB2312"/>
          <w:b/>
          <w:bCs/>
          <w:sz w:val="32"/>
          <w:szCs w:val="32"/>
        </w:rPr>
        <w:t>概况</w:t>
      </w:r>
    </w:p>
    <w:p>
      <w:pPr>
        <w:spacing w:line="600" w:lineRule="exact"/>
        <w:ind w:firstLine="640" w:firstLineChars="200"/>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2024年北京市</w:t>
      </w:r>
      <w:r>
        <w:rPr>
          <w:rFonts w:hint="eastAsia" w:ascii="仿宋_GB2312" w:hAnsi="仿宋_GB2312" w:eastAsia="仿宋_GB2312" w:cs="仿宋_GB2312"/>
          <w:sz w:val="32"/>
          <w:szCs w:val="32"/>
          <w:lang w:eastAsia="zh-CN"/>
        </w:rPr>
        <w:t>重大公共卫生服务补助资金</w:t>
      </w:r>
      <w:r>
        <w:rPr>
          <w:rFonts w:hint="eastAsia" w:ascii="仿宋_GB2312" w:hAnsi="仿宋_GB2312" w:eastAsia="仿宋_GB2312" w:cs="仿宋_GB2312"/>
          <w:sz w:val="32"/>
          <w:szCs w:val="32"/>
        </w:rPr>
        <w:t>转移支付补助资金共计36,608万元，分两次下达，其中：提前</w:t>
      </w:r>
      <w:r>
        <w:rPr>
          <w:rFonts w:hint="eastAsia" w:ascii="仿宋_GB2312" w:hAnsi="仿宋_GB2312" w:eastAsia="仿宋_GB2312" w:cs="仿宋_GB2312"/>
          <w:sz w:val="32"/>
          <w:szCs w:val="32"/>
          <w:lang w:eastAsia="zh-CN"/>
        </w:rPr>
        <w:t>批</w:t>
      </w:r>
      <w:r>
        <w:rPr>
          <w:rFonts w:hint="eastAsia" w:ascii="仿宋_GB2312" w:hAnsi="仿宋_GB2312" w:eastAsia="仿宋_GB2312" w:cs="仿宋_GB2312"/>
          <w:sz w:val="32"/>
          <w:szCs w:val="32"/>
        </w:rPr>
        <w:t>下达30,950万元；</w:t>
      </w:r>
      <w:r>
        <w:rPr>
          <w:rFonts w:hint="eastAsia" w:ascii="仿宋_GB2312" w:hAnsi="仿宋_GB2312" w:eastAsia="仿宋_GB2312" w:cs="仿宋_GB2312"/>
          <w:sz w:val="32"/>
          <w:szCs w:val="32"/>
          <w:lang w:eastAsia="zh-CN"/>
        </w:rPr>
        <w:t>核定批</w:t>
      </w:r>
      <w:r>
        <w:rPr>
          <w:rFonts w:hint="eastAsia" w:ascii="仿宋_GB2312" w:hAnsi="仿宋_GB2312" w:eastAsia="仿宋_GB2312" w:cs="仿宋_GB2312"/>
          <w:sz w:val="32"/>
          <w:szCs w:val="32"/>
        </w:rPr>
        <w:t>下达资金5,658万元。</w:t>
      </w:r>
    </w:p>
    <w:p>
      <w:pPr>
        <w:spacing w:line="600" w:lineRule="exact"/>
        <w:ind w:firstLine="64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（二）资金投入情况分析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w:t>
      </w:r>
      <w:r>
        <w:rPr>
          <w:rFonts w:hint="eastAsia" w:ascii="仿宋_GB2312" w:hAnsi="仿宋_GB2312" w:eastAsia="仿宋_GB2312" w:cs="仿宋_GB2312"/>
          <w:sz w:val="32"/>
          <w:szCs w:val="32"/>
          <w:lang w:eastAsia="zh-CN"/>
        </w:rPr>
        <w:t>重大公共卫生服务补助资金</w:t>
      </w:r>
      <w:r>
        <w:rPr>
          <w:rFonts w:hint="eastAsia" w:ascii="仿宋_GB2312" w:hAnsi="仿宋_GB2312" w:eastAsia="仿宋_GB2312" w:cs="仿宋_GB2312"/>
          <w:sz w:val="32"/>
          <w:szCs w:val="32"/>
        </w:rPr>
        <w:t>转移支付资金预算共计38,440.99万元，截至2024年12月31日，实际支出19,045.21万元，资金执行率为49.54%。其中：中央财政资金预算36,608万元，实际支出17,688.38万元，资金执行率为48.32%；地方资金预算1,038.31万元，实际支出561.93万元，资金执行率为54.13%；其他资金预算794.89万元，实际支出794.89万元，资金执行率为100%。</w:t>
      </w:r>
    </w:p>
    <w:p>
      <w:pPr>
        <w:spacing w:line="600" w:lineRule="exact"/>
        <w:ind w:firstLine="64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（三）资金管理情况分析</w:t>
      </w:r>
    </w:p>
    <w:p>
      <w:pPr>
        <w:pStyle w:val="4"/>
        <w:spacing w:line="580" w:lineRule="exact"/>
        <w:ind w:firstLine="640" w:firstLineChars="200"/>
        <w:jc w:val="both"/>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lang w:eastAsia="zh-CN"/>
        </w:rPr>
        <w:t>2024年度</w:t>
      </w:r>
      <w:r>
        <w:rPr>
          <w:rFonts w:hint="eastAsia" w:ascii="仿宋_GB2312" w:hAnsi="仿宋_GB2312" w:eastAsia="仿宋_GB2312" w:cs="仿宋_GB2312"/>
          <w:bCs/>
          <w:color w:val="auto"/>
          <w:sz w:val="32"/>
          <w:szCs w:val="32"/>
        </w:rPr>
        <w:t>转移支付资金</w:t>
      </w:r>
      <w:r>
        <w:rPr>
          <w:rFonts w:hint="eastAsia" w:ascii="仿宋_GB2312" w:hAnsi="仿宋_GB2312" w:eastAsia="仿宋_GB2312" w:cs="仿宋_GB2312"/>
          <w:bCs/>
          <w:color w:val="auto"/>
          <w:sz w:val="32"/>
          <w:szCs w:val="32"/>
          <w:lang w:val="en-US" w:eastAsia="zh-CN"/>
        </w:rPr>
        <w:t>分配</w:t>
      </w:r>
      <w:r>
        <w:rPr>
          <w:rFonts w:hint="eastAsia" w:ascii="仿宋_GB2312" w:hAnsi="仿宋_GB2312" w:eastAsia="仿宋_GB2312" w:cs="仿宋_GB2312"/>
          <w:bCs/>
          <w:color w:val="auto"/>
          <w:sz w:val="32"/>
          <w:szCs w:val="32"/>
        </w:rPr>
        <w:t>情况</w:t>
      </w:r>
    </w:p>
    <w:p>
      <w:pPr>
        <w:spacing w:line="600" w:lineRule="exact"/>
        <w:ind w:firstLine="640" w:firstLineChars="200"/>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北京市重大公共卫生服务补助资金转移支付涉及包括各区卫健委及北京经济技术开发区社会事业局等17个区卫生健康委员会、市卫生健康委及直属单位，其他单位。资金预算共38,440.99万元，实际到位资金38,440.99万元，其中中央财政资金36,608万元、地方资金1,038.10万元、其他资金794.89万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lang w:val="en-US" w:eastAsia="zh-CN"/>
        </w:rPr>
        <w:t>2.</w:t>
      </w:r>
      <w:r>
        <w:rPr>
          <w:rFonts w:hint="eastAsia" w:ascii="仿宋_GB2312" w:hAnsi="仿宋_GB2312" w:eastAsia="仿宋_GB2312" w:cs="仿宋_GB2312"/>
          <w:bCs/>
          <w:color w:val="auto"/>
          <w:sz w:val="32"/>
          <w:szCs w:val="32"/>
          <w:lang w:eastAsia="zh-CN"/>
        </w:rPr>
        <w:t>2024年度</w:t>
      </w:r>
      <w:r>
        <w:rPr>
          <w:rFonts w:hint="eastAsia" w:ascii="仿宋_GB2312" w:hAnsi="仿宋_GB2312" w:eastAsia="仿宋_GB2312" w:cs="仿宋_GB2312"/>
          <w:bCs/>
          <w:color w:val="auto"/>
          <w:sz w:val="32"/>
          <w:szCs w:val="32"/>
        </w:rPr>
        <w:t>转移支付资金下达情况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北京市卫生健康委员会根据</w:t>
      </w:r>
      <w:r>
        <w:rPr>
          <w:rFonts w:hint="eastAsia" w:ascii="仿宋_GB2312" w:hAnsi="仿宋_GB2312" w:eastAsia="仿宋_GB2312" w:cs="仿宋_GB2312"/>
          <w:sz w:val="32"/>
          <w:szCs w:val="32"/>
          <w:lang w:eastAsia="zh-CN"/>
        </w:rPr>
        <w:t>国家工作</w:t>
      </w:r>
      <w:r>
        <w:rPr>
          <w:rFonts w:hint="eastAsia" w:ascii="仿宋_GB2312" w:hAnsi="仿宋_GB2312" w:eastAsia="仿宋_GB2312" w:cs="仿宋_GB2312"/>
          <w:sz w:val="32"/>
          <w:szCs w:val="32"/>
        </w:rPr>
        <w:t>文件要求，结合北京市实际情况，制定了各项传染病防治的实施方案，明确了各项目工作的目标、任务、落实要求及项目资金情况。</w:t>
      </w:r>
    </w:p>
    <w:p>
      <w:pPr>
        <w:spacing w:line="600" w:lineRule="exact"/>
        <w:ind w:firstLine="640" w:firstLineChars="200"/>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北京市财政局根据北京市卫生健康委员会的资金分配方案，结合资金额度情况，分批次下达各单位中央转移支付重大公共卫生项目经费共计36,608万元，市级层面未配套资金，各区根据区情确定是否配套资金。</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各区卫生健康委员会根据下达预算通知和北京市卫生健康委员会制定的实施方案，结合各区重大公共卫生任务情况和区级实际情况，制定了重大公共卫生项目实施方案和资金分配方案</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3.资金拨付合规性</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w:t>
      </w:r>
      <w:r>
        <w:rPr>
          <w:rFonts w:hint="eastAsia" w:ascii="仿宋_GB2312" w:hAnsi="仿宋_GB2312" w:eastAsia="仿宋_GB2312" w:cs="仿宋_GB2312"/>
          <w:sz w:val="32"/>
          <w:szCs w:val="32"/>
          <w:lang w:eastAsia="zh-CN"/>
        </w:rPr>
        <w:t>重大公共卫生服务补助资金</w:t>
      </w:r>
      <w:r>
        <w:rPr>
          <w:rFonts w:hint="eastAsia" w:ascii="仿宋_GB2312" w:hAnsi="仿宋_GB2312" w:eastAsia="仿宋_GB2312" w:cs="仿宋_GB2312"/>
          <w:sz w:val="32"/>
          <w:szCs w:val="32"/>
        </w:rPr>
        <w:t>转移支付经费严格按照北京市国库集中支付制度有关规定支付资金，未出现违规将资金从国库转入财政专户或支付到预算单位实有资金账户等问题。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4.资金使用规范性</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w:t>
      </w:r>
      <w:r>
        <w:rPr>
          <w:rFonts w:hint="eastAsia" w:ascii="仿宋_GB2312" w:hAnsi="仿宋_GB2312" w:eastAsia="仿宋_GB2312" w:cs="仿宋_GB2312"/>
          <w:sz w:val="32"/>
          <w:szCs w:val="32"/>
          <w:lang w:eastAsia="zh-CN"/>
        </w:rPr>
        <w:t>重大公共卫生服务补助资金</w:t>
      </w:r>
      <w:r>
        <w:rPr>
          <w:rFonts w:hint="eastAsia" w:ascii="仿宋_GB2312" w:hAnsi="仿宋_GB2312" w:eastAsia="仿宋_GB2312" w:cs="仿宋_GB2312"/>
          <w:sz w:val="32"/>
          <w:szCs w:val="32"/>
        </w:rPr>
        <w:t>转移支付根据《</w:t>
      </w:r>
      <w:r>
        <w:rPr>
          <w:rFonts w:hint="eastAsia" w:ascii="仿宋_GB2312" w:hAnsi="仿宋_GB2312" w:eastAsia="仿宋_GB2312" w:cs="仿宋_GB2312"/>
          <w:sz w:val="32"/>
          <w:szCs w:val="32"/>
          <w:lang w:eastAsia="zh-CN"/>
        </w:rPr>
        <w:t>重大公共卫生服务补助资金</w:t>
      </w:r>
      <w:r>
        <w:rPr>
          <w:rFonts w:hint="eastAsia" w:ascii="仿宋_GB2312" w:hAnsi="仿宋_GB2312" w:eastAsia="仿宋_GB2312" w:cs="仿宋_GB2312"/>
          <w:sz w:val="32"/>
          <w:szCs w:val="32"/>
        </w:rPr>
        <w:t>管理办法》《财政部 国家卫生健康委员会 国家疾控局关于提前下达2024年</w:t>
      </w:r>
      <w:r>
        <w:rPr>
          <w:rFonts w:hint="eastAsia" w:ascii="仿宋_GB2312" w:hAnsi="仿宋_GB2312" w:eastAsia="仿宋_GB2312" w:cs="仿宋_GB2312"/>
          <w:sz w:val="32"/>
          <w:szCs w:val="32"/>
          <w:lang w:eastAsia="zh-CN"/>
        </w:rPr>
        <w:t>重大公共卫生服务补助资金</w:t>
      </w:r>
      <w:r>
        <w:rPr>
          <w:rFonts w:hint="eastAsia" w:ascii="仿宋_GB2312" w:hAnsi="仿宋_GB2312" w:eastAsia="仿宋_GB2312" w:cs="仿宋_GB2312"/>
          <w:sz w:val="32"/>
          <w:szCs w:val="32"/>
        </w:rPr>
        <w:t>预算的通知》《财政部 国家卫生健康委员会 国家疾控局关于下达2024年</w:t>
      </w:r>
      <w:r>
        <w:rPr>
          <w:rFonts w:hint="eastAsia" w:ascii="仿宋_GB2312" w:hAnsi="仿宋_GB2312" w:eastAsia="仿宋_GB2312" w:cs="仿宋_GB2312"/>
          <w:sz w:val="32"/>
          <w:szCs w:val="32"/>
          <w:lang w:eastAsia="zh-CN"/>
        </w:rPr>
        <w:t>重大公共卫生服务补助资金</w:t>
      </w:r>
      <w:r>
        <w:rPr>
          <w:rFonts w:hint="eastAsia" w:ascii="仿宋_GB2312" w:hAnsi="仿宋_GB2312" w:eastAsia="仿宋_GB2312" w:cs="仿宋_GB2312"/>
          <w:sz w:val="32"/>
          <w:szCs w:val="32"/>
        </w:rPr>
        <w:t>预算的通知》要求，能够做到专款专用，严格按照下达预算的科目和项目执行，未出现截留、挤占、挪用或擅自调整等问题，资金管理使用较为规范。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预算绩效管理情况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w:t>
      </w:r>
      <w:r>
        <w:rPr>
          <w:rFonts w:hint="eastAsia" w:ascii="仿宋_GB2312" w:hAnsi="仿宋_GB2312" w:eastAsia="仿宋_GB2312" w:cs="仿宋_GB2312"/>
          <w:sz w:val="32"/>
          <w:szCs w:val="32"/>
          <w:lang w:eastAsia="zh-CN"/>
        </w:rPr>
        <w:t>重大公共卫生服务补助资金</w:t>
      </w:r>
      <w:r>
        <w:rPr>
          <w:rFonts w:hint="eastAsia" w:ascii="仿宋_GB2312" w:hAnsi="仿宋_GB2312" w:eastAsia="仿宋_GB2312" w:cs="仿宋_GB2312"/>
          <w:sz w:val="32"/>
          <w:szCs w:val="32"/>
        </w:rPr>
        <w:t>转移支付在细化下达预算时同步下达绩效目标，北京市卫生健康委员会、16个区级卫生健康委员会和相关资金使用单位按照</w:t>
      </w:r>
      <w:r>
        <w:rPr>
          <w:rFonts w:hint="eastAsia" w:ascii="仿宋_GB2312" w:hAnsi="仿宋_GB2312" w:eastAsia="仿宋_GB2312" w:cs="仿宋_GB2312"/>
          <w:sz w:val="32"/>
          <w:szCs w:val="32"/>
          <w:lang w:eastAsia="zh-CN"/>
        </w:rPr>
        <w:t>国家统一部署</w:t>
      </w:r>
      <w:r>
        <w:rPr>
          <w:rFonts w:hint="eastAsia" w:ascii="仿宋_GB2312" w:hAnsi="仿宋_GB2312" w:eastAsia="仿宋_GB2312" w:cs="仿宋_GB2312"/>
          <w:sz w:val="32"/>
          <w:szCs w:val="32"/>
        </w:rPr>
        <w:t>要求，组织开展绩效自评工作。</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二、绩效目标实现情况</w:t>
      </w:r>
    </w:p>
    <w:p>
      <w:pPr>
        <w:spacing w:line="600" w:lineRule="exact"/>
        <w:ind w:firstLine="64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（一）总体绩效目标完成情况分析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随着中央转移支付重大公共卫生项目经费支持力度不断加大，2024年整体绩效目标完成情况如下：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扩大国家免疫规划项目。完成国家免疫规划疫苗采购工作。适龄儿童能够得到良好的预防接种服务，2024年全市适龄儿童免疫规划疫苗累计应种349.9万剂次，实际接种349.6万剂次，接种率为99.93%。保证适龄儿童获得了很高的疫苗接种率，在人群中建立了免疫屏障，极大降低了疫苗可预防传染病的发病率。</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2.艾滋病防治项目。2024年全年完成艾滋病高危人群（暗娼、男男性行为人群）检测比例达100%。</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3.结核病防治项目。全市肺结核患者治疗任务完成率为91.2%。全市登记患者成功治疗率91.60%。病原学阳性肺结核患者耐药筛查率为97.7%。</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4.开展吸血病查灭螺，降低传播风险，查治包虫病病人，开展包虫病传染源管理，土食源性寄生虫病监测点3个，完成寄生虫病监测。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慢性非传染性疾病防治项目。在全市范围内开展全人群死因监测及肿瘤随访登记，年度死因编码评价及数据上报及时性、审核及时性均达到国家标准。开展慢性病与营养监测工作，建立食物中反式脂肪酸、有机酸的检测方法，做好监测区学校的营养监测工作。推进口腔卫生保健服务，窝沟封闭存留率98.19%。</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精神卫生管理项目。截至2024年底，北京市完成了国家分配的精神卫生项目各项指标任务和绩效指标。其中，严重精神障碍筛查任务完成率100%；在册严重精神障碍患者治疗率88.33%；开展社会心理服务体系建设试点工作，面向全市全面开展社会心理服务体系建设试点经验推广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重点传染病及健康危害因素监测。开展自然疫源性疾病及手足口病防治项目、鼠疫禽流感监测、流感和不明原因肺炎监测、新冠病毒监测、病毒性腹泻监测、细菌性传染病监测和麻风病监测等工作，组织监测单位定期收集数据等，并对发现和报告的疫情及时进行处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消除母婴传播，孕产妇艾滋病、梅毒和乙肝检测率达99%，艾滋病感染孕产妇抗艾滋病毒用药率达100%，所生婴儿抗艾滋病毒用药率达100%，梅毒感染孕产妇治疗率达100%，乙肝感染孕产妇所生儿童首剂乙肝疫苗及时接种率及乙肝免疫球蛋白及时注射率达99.97%。2024年，随访到的艾滋病孕妇所分娩儿童，早期核酸诊断及抗体筛查均为阴性，未发现母婴传播病例。</w:t>
      </w:r>
    </w:p>
    <w:p>
      <w:pPr>
        <w:spacing w:line="600" w:lineRule="exact"/>
        <w:ind w:firstLine="642"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b/>
          <w:bCs/>
          <w:sz w:val="32"/>
          <w:szCs w:val="32"/>
        </w:rPr>
        <w:t>（二）绩效指标完成情况分析</w:t>
      </w:r>
    </w:p>
    <w:p>
      <w:pPr>
        <w:spacing w:line="580" w:lineRule="exact"/>
        <w:ind w:firstLine="640" w:firstLineChars="200"/>
        <w:jc w:val="both"/>
        <w:rPr>
          <w:rFonts w:ascii="仿宋_GB2312" w:hAnsi="仿宋_GB2312" w:eastAsia="仿宋_GB2312" w:cs="仿宋_GB2312"/>
          <w:bCs/>
          <w:color w:val="36363D"/>
          <w:sz w:val="32"/>
          <w:szCs w:val="32"/>
          <w:highlight w:val="none"/>
        </w:rPr>
      </w:pPr>
      <w:r>
        <w:rPr>
          <w:rFonts w:hint="eastAsia" w:ascii="仿宋_GB2312" w:hAnsi="仿宋_GB2312" w:eastAsia="仿宋_GB2312" w:cs="仿宋_GB2312"/>
          <w:bCs/>
          <w:color w:val="36363D"/>
          <w:sz w:val="32"/>
          <w:szCs w:val="32"/>
          <w:highlight w:val="none"/>
        </w:rPr>
        <w:t>1.产出指标完成情况分析</w:t>
      </w:r>
    </w:p>
    <w:p>
      <w:pPr>
        <w:pStyle w:val="3"/>
        <w:spacing w:after="0" w:line="580" w:lineRule="exact"/>
        <w:ind w:firstLine="640" w:firstLineChars="200"/>
        <w:rPr>
          <w:rFonts w:ascii="仿宋_GB2312" w:hAnsi="仿宋_GB2312" w:eastAsia="仿宋_GB2312" w:cs="仿宋_GB2312"/>
          <w:color w:val="36363D"/>
          <w:sz w:val="32"/>
          <w:szCs w:val="32"/>
          <w:highlight w:val="none"/>
        </w:rPr>
      </w:pPr>
      <w:r>
        <w:rPr>
          <w:rFonts w:hint="eastAsia" w:ascii="仿宋_GB2312" w:hAnsi="仿宋_GB2312" w:eastAsia="仿宋_GB2312" w:cs="仿宋_GB2312"/>
          <w:color w:val="36363D"/>
          <w:sz w:val="32"/>
          <w:szCs w:val="32"/>
          <w:highlight w:val="none"/>
        </w:rPr>
        <w:t>（1）数量指标</w:t>
      </w:r>
    </w:p>
    <w:p>
      <w:pPr>
        <w:spacing w:line="580" w:lineRule="exact"/>
        <w:ind w:firstLine="640" w:firstLineChars="200"/>
        <w:jc w:val="both"/>
        <w:rPr>
          <w:rFonts w:ascii="仿宋_GB2312" w:hAnsi="仿宋" w:eastAsia="仿宋_GB2312"/>
          <w:color w:val="36363D"/>
          <w:sz w:val="32"/>
          <w:szCs w:val="32"/>
          <w:highlight w:val="none"/>
        </w:rPr>
      </w:pPr>
      <w:r>
        <w:rPr>
          <w:rFonts w:hint="eastAsia" w:ascii="仿宋_GB2312" w:hAnsi="楷体" w:eastAsia="仿宋_GB2312" w:cs="仿宋_GB2312"/>
          <w:bCs/>
          <w:color w:val="36363D"/>
          <w:sz w:val="32"/>
          <w:szCs w:val="32"/>
          <w:highlight w:val="none"/>
        </w:rPr>
        <w:t>202</w:t>
      </w:r>
      <w:r>
        <w:rPr>
          <w:rFonts w:hint="eastAsia" w:ascii="仿宋_GB2312" w:hAnsi="楷体" w:eastAsia="仿宋_GB2312" w:cs="仿宋_GB2312"/>
          <w:bCs/>
          <w:color w:val="36363D"/>
          <w:sz w:val="32"/>
          <w:szCs w:val="32"/>
          <w:highlight w:val="none"/>
          <w:lang w:val="en-US" w:eastAsia="zh-CN"/>
        </w:rPr>
        <w:t>4</w:t>
      </w:r>
      <w:r>
        <w:rPr>
          <w:rFonts w:hint="eastAsia" w:ascii="仿宋_GB2312" w:hAnsi="楷体" w:eastAsia="仿宋_GB2312" w:cs="仿宋_GB2312"/>
          <w:bCs/>
          <w:color w:val="36363D"/>
          <w:sz w:val="32"/>
          <w:szCs w:val="32"/>
          <w:highlight w:val="none"/>
        </w:rPr>
        <w:t>年</w:t>
      </w:r>
      <w:r>
        <w:rPr>
          <w:rFonts w:hint="eastAsia" w:ascii="仿宋_GB2312" w:hAnsi="仿宋_GB2312" w:eastAsia="仿宋_GB2312" w:cs="仿宋_GB2312"/>
          <w:bCs/>
          <w:color w:val="36363D"/>
          <w:sz w:val="32"/>
          <w:szCs w:val="32"/>
          <w:highlight w:val="none"/>
          <w:lang w:eastAsia="zh-CN"/>
        </w:rPr>
        <w:t>北京市重大公共卫生服务补助资金转移支付</w:t>
      </w:r>
      <w:r>
        <w:rPr>
          <w:rFonts w:hint="eastAsia" w:ascii="仿宋_GB2312" w:hAnsi="仿宋" w:eastAsia="仿宋_GB2312"/>
          <w:color w:val="36363D"/>
          <w:sz w:val="32"/>
          <w:szCs w:val="32"/>
          <w:highlight w:val="none"/>
        </w:rPr>
        <w:t>设定的产出数量指标共</w:t>
      </w:r>
      <w:r>
        <w:rPr>
          <w:rFonts w:hint="eastAsia" w:ascii="仿宋_GB2312" w:hAnsi="仿宋" w:eastAsia="仿宋_GB2312"/>
          <w:color w:val="36363D"/>
          <w:sz w:val="32"/>
          <w:szCs w:val="32"/>
          <w:highlight w:val="none"/>
          <w:lang w:val="en-US" w:eastAsia="zh-CN"/>
        </w:rPr>
        <w:t>13</w:t>
      </w:r>
      <w:r>
        <w:rPr>
          <w:rFonts w:hint="eastAsia" w:ascii="仿宋_GB2312" w:hAnsi="仿宋" w:eastAsia="仿宋_GB2312"/>
          <w:color w:val="36363D"/>
          <w:sz w:val="32"/>
          <w:szCs w:val="32"/>
          <w:highlight w:val="none"/>
        </w:rPr>
        <w:t>项。预期目标已全部完成。具体情况见下表</w:t>
      </w:r>
      <w:r>
        <w:rPr>
          <w:rFonts w:hint="eastAsia" w:ascii="仿宋_GB2312" w:hAnsi="仿宋" w:eastAsia="仿宋_GB2312"/>
          <w:color w:val="36363D"/>
          <w:sz w:val="32"/>
          <w:szCs w:val="32"/>
          <w:highlight w:val="none"/>
          <w:lang w:val="en-US" w:eastAsia="zh-CN"/>
        </w:rPr>
        <w:t>1</w:t>
      </w:r>
      <w:r>
        <w:rPr>
          <w:rFonts w:ascii="仿宋_GB2312" w:hAnsi="仿宋" w:eastAsia="仿宋_GB2312"/>
          <w:color w:val="36363D"/>
          <w:sz w:val="32"/>
          <w:szCs w:val="32"/>
          <w:highlight w:val="none"/>
        </w:rPr>
        <w:t>：</w:t>
      </w:r>
    </w:p>
    <w:p>
      <w:pPr>
        <w:pStyle w:val="3"/>
        <w:widowControl w:val="0"/>
        <w:kinsoku/>
        <w:autoSpaceDE/>
        <w:autoSpaceDN/>
        <w:adjustRightInd/>
        <w:snapToGrid/>
        <w:spacing w:after="0" w:line="240" w:lineRule="auto"/>
        <w:ind w:firstLine="560"/>
        <w:jc w:val="center"/>
        <w:textAlignment w:val="auto"/>
        <w:rPr>
          <w:color w:val="36363D"/>
          <w:highlight w:val="none"/>
        </w:rPr>
      </w:pPr>
      <w:r>
        <w:rPr>
          <w:rFonts w:hint="eastAsia" w:ascii="仿宋_GB2312" w:hAnsi="仿宋_GB2312" w:eastAsia="仿宋_GB2312" w:cs="仿宋_GB2312"/>
          <w:snapToGrid/>
          <w:color w:val="36363D"/>
          <w:kern w:val="2"/>
          <w:sz w:val="28"/>
          <w:szCs w:val="28"/>
          <w:highlight w:val="none"/>
        </w:rPr>
        <w:t>表</w:t>
      </w:r>
      <w:r>
        <w:rPr>
          <w:rFonts w:hint="eastAsia" w:ascii="仿宋_GB2312" w:hAnsi="仿宋_GB2312" w:eastAsia="仿宋_GB2312" w:cs="仿宋_GB2312"/>
          <w:snapToGrid/>
          <w:color w:val="36363D"/>
          <w:kern w:val="2"/>
          <w:sz w:val="28"/>
          <w:szCs w:val="28"/>
          <w:highlight w:val="none"/>
          <w:lang w:val="en-US" w:eastAsia="zh-CN"/>
        </w:rPr>
        <w:t>1</w:t>
      </w:r>
      <w:r>
        <w:rPr>
          <w:rFonts w:hint="eastAsia" w:ascii="仿宋_GB2312" w:hAnsi="仿宋_GB2312" w:eastAsia="仿宋_GB2312" w:cs="仿宋_GB2312"/>
          <w:snapToGrid/>
          <w:color w:val="36363D"/>
          <w:kern w:val="2"/>
          <w:sz w:val="28"/>
          <w:szCs w:val="28"/>
          <w:highlight w:val="none"/>
        </w:rPr>
        <w:t>：产出数量指标完成情况表</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292"/>
        <w:gridCol w:w="2745"/>
        <w:gridCol w:w="1812"/>
        <w:gridCol w:w="1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23"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序号</w:t>
            </w:r>
          </w:p>
        </w:tc>
        <w:tc>
          <w:tcPr>
            <w:tcW w:w="758"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指标类型</w:t>
            </w:r>
          </w:p>
        </w:tc>
        <w:tc>
          <w:tcPr>
            <w:tcW w:w="1611"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三级指标</w:t>
            </w:r>
          </w:p>
        </w:tc>
        <w:tc>
          <w:tcPr>
            <w:tcW w:w="1063"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指标值</w:t>
            </w:r>
          </w:p>
        </w:tc>
        <w:tc>
          <w:tcPr>
            <w:tcW w:w="1144"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1</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鼠疫监测报告数量</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1个</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2</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土食源性寄生虫病监测点</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3个</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3</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黑热病防控项目县（区）</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3个</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4</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呼吸道传染病综合检测任务完成率</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≥85%</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5</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开展城市污水重点传染病病原体检测工作县（区）数量</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1个</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6</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孕产妇艾滋病、梅毒、乙肝检测率</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≥99%</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7</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梅毒感染孕产妇治疗率</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≥90%</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8</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艾滋病感染孕产妇及所生儿童抗病毒用药率</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≥95%</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9</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肺结核患者治疗任务完成率</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≥85%</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10</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艾滋病免费抗病毒治疗任务完成率</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11</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严重精神障碍筛查任务完成率</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snapToGrid w:val="0"/>
                <w:color w:val="36363D"/>
                <w:kern w:val="0"/>
                <w:sz w:val="20"/>
                <w:szCs w:val="20"/>
                <w:highlight w:val="none"/>
                <w:u w:val="none"/>
                <w:lang w:val="en-US" w:eastAsia="zh-CN"/>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12</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农村癫痫防治项目县患者筛查任务完成率</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snapToGrid w:val="0"/>
                <w:color w:val="36363D"/>
                <w:kern w:val="0"/>
                <w:sz w:val="20"/>
                <w:szCs w:val="20"/>
                <w:highlight w:val="none"/>
                <w:u w:val="none"/>
                <w:lang w:val="en-US" w:eastAsia="zh-CN"/>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423"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13</w:t>
            </w:r>
          </w:p>
        </w:tc>
        <w:tc>
          <w:tcPr>
            <w:tcW w:w="758"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rPr>
              <w:t>数量指标</w:t>
            </w:r>
          </w:p>
        </w:tc>
        <w:tc>
          <w:tcPr>
            <w:tcW w:w="1611"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乙肝感染孕产妇所生儿童首剂乙肝疫苗及时接种率及乙肝免疫球蛋白及时注射率</w:t>
            </w:r>
          </w:p>
        </w:tc>
        <w:tc>
          <w:tcPr>
            <w:tcW w:w="10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≥95%</w:t>
            </w:r>
          </w:p>
        </w:tc>
        <w:tc>
          <w:tcPr>
            <w:tcW w:w="114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bl>
    <w:p>
      <w:pPr>
        <w:pStyle w:val="3"/>
        <w:spacing w:after="0" w:line="580" w:lineRule="exact"/>
        <w:ind w:firstLine="640" w:firstLineChars="200"/>
        <w:rPr>
          <w:rFonts w:ascii="仿宋_GB2312" w:hAnsi="仿宋" w:eastAsia="仿宋_GB2312"/>
          <w:color w:val="36363D"/>
          <w:sz w:val="32"/>
          <w:szCs w:val="32"/>
          <w:highlight w:val="none"/>
        </w:rPr>
      </w:pPr>
      <w:r>
        <w:rPr>
          <w:rFonts w:ascii="仿宋_GB2312" w:hAnsi="仿宋" w:eastAsia="仿宋_GB2312"/>
          <w:color w:val="36363D"/>
          <w:sz w:val="32"/>
          <w:szCs w:val="32"/>
          <w:highlight w:val="none"/>
        </w:rPr>
        <w:t>（2）</w:t>
      </w:r>
      <w:r>
        <w:rPr>
          <w:rFonts w:hint="eastAsia" w:ascii="仿宋_GB2312" w:hAnsi="仿宋" w:eastAsia="仿宋_GB2312"/>
          <w:color w:val="36363D"/>
          <w:sz w:val="32"/>
          <w:szCs w:val="32"/>
          <w:highlight w:val="none"/>
        </w:rPr>
        <w:t>质量指标</w:t>
      </w:r>
    </w:p>
    <w:p>
      <w:pPr>
        <w:pStyle w:val="3"/>
        <w:spacing w:after="0" w:line="580" w:lineRule="exact"/>
        <w:ind w:firstLine="640" w:firstLineChars="200"/>
        <w:jc w:val="both"/>
        <w:rPr>
          <w:rFonts w:hint="eastAsia" w:ascii="仿宋_GB2312" w:hAnsi="仿宋_GB2312" w:eastAsia="仿宋_GB2312" w:cs="仿宋_GB2312"/>
          <w:snapToGrid/>
          <w:color w:val="36363D"/>
          <w:kern w:val="2"/>
          <w:sz w:val="28"/>
          <w:szCs w:val="28"/>
          <w:highlight w:val="none"/>
        </w:rPr>
      </w:pPr>
      <w:r>
        <w:rPr>
          <w:rFonts w:hint="eastAsia" w:ascii="仿宋_GB2312" w:hAnsi="仿宋" w:eastAsia="仿宋_GB2312"/>
          <w:color w:val="36363D"/>
          <w:sz w:val="32"/>
          <w:szCs w:val="32"/>
          <w:highlight w:val="none"/>
        </w:rPr>
        <w:t>202</w:t>
      </w:r>
      <w:r>
        <w:rPr>
          <w:rFonts w:hint="eastAsia" w:ascii="仿宋_GB2312" w:hAnsi="仿宋" w:eastAsia="仿宋_GB2312"/>
          <w:color w:val="36363D"/>
          <w:sz w:val="32"/>
          <w:szCs w:val="32"/>
          <w:highlight w:val="none"/>
          <w:lang w:val="en-US" w:eastAsia="zh-CN"/>
        </w:rPr>
        <w:t>4</w:t>
      </w:r>
      <w:r>
        <w:rPr>
          <w:rFonts w:hint="eastAsia" w:ascii="仿宋_GB2312" w:hAnsi="仿宋" w:eastAsia="仿宋_GB2312"/>
          <w:color w:val="36363D"/>
          <w:sz w:val="32"/>
          <w:szCs w:val="32"/>
          <w:highlight w:val="none"/>
        </w:rPr>
        <w:t>年</w:t>
      </w:r>
      <w:r>
        <w:rPr>
          <w:rFonts w:hint="eastAsia" w:ascii="仿宋_GB2312" w:hAnsi="仿宋" w:eastAsia="仿宋_GB2312"/>
          <w:color w:val="36363D"/>
          <w:sz w:val="32"/>
          <w:szCs w:val="32"/>
          <w:highlight w:val="none"/>
          <w:lang w:eastAsia="zh-CN"/>
        </w:rPr>
        <w:t>北京市重大公共卫生服务补助资金转移支付</w:t>
      </w:r>
      <w:r>
        <w:rPr>
          <w:rFonts w:hint="eastAsia" w:ascii="仿宋_GB2312" w:hAnsi="仿宋" w:eastAsia="仿宋_GB2312"/>
          <w:color w:val="36363D"/>
          <w:sz w:val="32"/>
          <w:szCs w:val="32"/>
          <w:highlight w:val="none"/>
        </w:rPr>
        <w:t>设定的产出质量指标共</w:t>
      </w:r>
      <w:r>
        <w:rPr>
          <w:rFonts w:hint="eastAsia" w:ascii="仿宋_GB2312" w:hAnsi="仿宋" w:eastAsia="仿宋_GB2312"/>
          <w:color w:val="36363D"/>
          <w:sz w:val="32"/>
          <w:szCs w:val="32"/>
          <w:highlight w:val="none"/>
          <w:lang w:val="en-US" w:eastAsia="zh-CN"/>
        </w:rPr>
        <w:t>18</w:t>
      </w:r>
      <w:r>
        <w:rPr>
          <w:rFonts w:hint="eastAsia" w:ascii="仿宋_GB2312" w:hAnsi="仿宋" w:eastAsia="仿宋_GB2312"/>
          <w:color w:val="36363D"/>
          <w:sz w:val="32"/>
          <w:szCs w:val="32"/>
          <w:highlight w:val="none"/>
        </w:rPr>
        <w:t>项，均已完成。具体情况见下表</w:t>
      </w:r>
      <w:r>
        <w:rPr>
          <w:rFonts w:hint="eastAsia" w:ascii="仿宋_GB2312" w:hAnsi="仿宋" w:eastAsia="仿宋_GB2312"/>
          <w:color w:val="36363D"/>
          <w:sz w:val="32"/>
          <w:szCs w:val="32"/>
          <w:highlight w:val="none"/>
          <w:lang w:val="en-US" w:eastAsia="zh-CN"/>
        </w:rPr>
        <w:t>2</w:t>
      </w:r>
      <w:r>
        <w:rPr>
          <w:rFonts w:ascii="仿宋_GB2312" w:hAnsi="仿宋" w:eastAsia="仿宋_GB2312"/>
          <w:color w:val="36363D"/>
          <w:sz w:val="32"/>
          <w:szCs w:val="32"/>
          <w:highlight w:val="none"/>
        </w:rPr>
        <w:t>：</w:t>
      </w:r>
    </w:p>
    <w:p>
      <w:pPr>
        <w:pStyle w:val="3"/>
        <w:widowControl w:val="0"/>
        <w:kinsoku/>
        <w:autoSpaceDE/>
        <w:autoSpaceDN/>
        <w:adjustRightInd/>
        <w:snapToGrid/>
        <w:spacing w:after="0" w:line="240" w:lineRule="auto"/>
        <w:ind w:firstLine="560"/>
        <w:jc w:val="center"/>
        <w:textAlignment w:val="auto"/>
        <w:rPr>
          <w:rFonts w:ascii="仿宋_GB2312" w:hAnsi="仿宋" w:eastAsia="仿宋_GB2312"/>
          <w:color w:val="36363D"/>
          <w:sz w:val="32"/>
          <w:szCs w:val="32"/>
          <w:highlight w:val="none"/>
        </w:rPr>
      </w:pPr>
      <w:r>
        <w:rPr>
          <w:rFonts w:hint="eastAsia" w:ascii="仿宋_GB2312" w:hAnsi="仿宋_GB2312" w:eastAsia="仿宋_GB2312" w:cs="仿宋_GB2312"/>
          <w:snapToGrid/>
          <w:color w:val="36363D"/>
          <w:kern w:val="2"/>
          <w:sz w:val="28"/>
          <w:szCs w:val="28"/>
          <w:highlight w:val="none"/>
        </w:rPr>
        <w:t>表</w:t>
      </w:r>
      <w:r>
        <w:rPr>
          <w:rFonts w:hint="eastAsia" w:ascii="仿宋_GB2312" w:hAnsi="仿宋_GB2312" w:eastAsia="仿宋_GB2312" w:cs="仿宋_GB2312"/>
          <w:snapToGrid/>
          <w:color w:val="36363D"/>
          <w:kern w:val="2"/>
          <w:sz w:val="28"/>
          <w:szCs w:val="28"/>
          <w:highlight w:val="none"/>
          <w:lang w:val="en-US" w:eastAsia="zh-CN"/>
        </w:rPr>
        <w:t>2</w:t>
      </w:r>
      <w:r>
        <w:rPr>
          <w:rFonts w:hint="eastAsia" w:ascii="仿宋_GB2312" w:hAnsi="仿宋_GB2312" w:eastAsia="仿宋_GB2312" w:cs="仿宋_GB2312"/>
          <w:snapToGrid/>
          <w:color w:val="36363D"/>
          <w:kern w:val="2"/>
          <w:sz w:val="28"/>
          <w:szCs w:val="28"/>
          <w:highlight w:val="none"/>
        </w:rPr>
        <w:t>：产出质量指标完成情况表</w:t>
      </w:r>
    </w:p>
    <w:tbl>
      <w:tblPr>
        <w:tblStyle w:val="6"/>
        <w:tblW w:w="5055" w:type="pct"/>
        <w:tblInd w:w="0" w:type="dxa"/>
        <w:tblLayout w:type="autofit"/>
        <w:tblCellMar>
          <w:top w:w="0" w:type="dxa"/>
          <w:left w:w="108" w:type="dxa"/>
          <w:bottom w:w="0" w:type="dxa"/>
          <w:right w:w="108" w:type="dxa"/>
        </w:tblCellMar>
      </w:tblPr>
      <w:tblGrid>
        <w:gridCol w:w="636"/>
        <w:gridCol w:w="1181"/>
        <w:gridCol w:w="3227"/>
        <w:gridCol w:w="1582"/>
        <w:gridCol w:w="1990"/>
      </w:tblGrid>
      <w:tr>
        <w:tblPrEx>
          <w:tblCellMar>
            <w:top w:w="0" w:type="dxa"/>
            <w:left w:w="108" w:type="dxa"/>
            <w:bottom w:w="0" w:type="dxa"/>
            <w:right w:w="108" w:type="dxa"/>
          </w:tblCellMar>
        </w:tblPrEx>
        <w:trPr>
          <w:trHeight w:val="555" w:hRule="atLeast"/>
          <w:tblHeader/>
        </w:trPr>
        <w:tc>
          <w:tcPr>
            <w:tcW w:w="369" w:type="pct"/>
            <w:tcBorders>
              <w:top w:val="single" w:color="000000" w:sz="4" w:space="0"/>
              <w:left w:val="single" w:color="000000" w:sz="4" w:space="0"/>
              <w:bottom w:val="single" w:color="000000" w:sz="4" w:space="0"/>
              <w:right w:val="single" w:color="000000"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序号</w:t>
            </w:r>
          </w:p>
        </w:tc>
        <w:tc>
          <w:tcPr>
            <w:tcW w:w="685" w:type="pct"/>
            <w:tcBorders>
              <w:top w:val="single" w:color="000000" w:sz="4" w:space="0"/>
              <w:left w:val="single" w:color="000000" w:sz="4" w:space="0"/>
              <w:bottom w:val="single" w:color="000000" w:sz="4" w:space="0"/>
              <w:right w:val="single" w:color="000000"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指标类型</w:t>
            </w:r>
          </w:p>
        </w:tc>
        <w:tc>
          <w:tcPr>
            <w:tcW w:w="1872" w:type="pct"/>
            <w:tcBorders>
              <w:top w:val="single" w:color="000000" w:sz="4" w:space="0"/>
              <w:left w:val="single" w:color="000000" w:sz="4" w:space="0"/>
              <w:bottom w:val="single" w:color="000000" w:sz="4" w:space="0"/>
              <w:right w:val="single" w:color="000000"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三级指标</w:t>
            </w:r>
          </w:p>
        </w:tc>
        <w:tc>
          <w:tcPr>
            <w:tcW w:w="918" w:type="pct"/>
            <w:tcBorders>
              <w:top w:val="single" w:color="000000" w:sz="4" w:space="0"/>
              <w:left w:val="single" w:color="000000" w:sz="4" w:space="0"/>
              <w:bottom w:val="single" w:color="000000" w:sz="4" w:space="0"/>
              <w:right w:val="single" w:color="000000"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指标值</w:t>
            </w:r>
          </w:p>
        </w:tc>
        <w:tc>
          <w:tcPr>
            <w:tcW w:w="1154" w:type="pct"/>
            <w:tcBorders>
              <w:top w:val="single" w:color="000000" w:sz="4" w:space="0"/>
              <w:left w:val="single" w:color="000000" w:sz="4" w:space="0"/>
              <w:bottom w:val="single" w:color="000000" w:sz="4" w:space="0"/>
              <w:right w:val="single" w:color="000000"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实际完成值</w:t>
            </w:r>
          </w:p>
        </w:tc>
      </w:tr>
      <w:tr>
        <w:tblPrEx>
          <w:tblCellMar>
            <w:top w:w="0" w:type="dxa"/>
            <w:left w:w="108" w:type="dxa"/>
            <w:bottom w:w="0" w:type="dxa"/>
            <w:right w:w="108" w:type="dxa"/>
          </w:tblCellMar>
        </w:tblPrEx>
        <w:trPr>
          <w:trHeight w:val="408"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麻风病可疑线索报告率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96.50%</w:t>
            </w:r>
          </w:p>
        </w:tc>
      </w:tr>
      <w:tr>
        <w:tblPrEx>
          <w:tblCellMar>
            <w:top w:w="0" w:type="dxa"/>
            <w:left w:w="108" w:type="dxa"/>
            <w:bottom w:w="0" w:type="dxa"/>
            <w:right w:w="108" w:type="dxa"/>
          </w:tblCellMar>
        </w:tblPrEx>
        <w:trPr>
          <w:trHeight w:val="448"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2</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适龄儿童免疫规划疫苗接种率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99.93%</w:t>
            </w:r>
          </w:p>
        </w:tc>
      </w:tr>
      <w:tr>
        <w:tblPrEx>
          <w:tblCellMar>
            <w:top w:w="0" w:type="dxa"/>
            <w:left w:w="108" w:type="dxa"/>
            <w:bottom w:w="0" w:type="dxa"/>
            <w:right w:w="108" w:type="dxa"/>
          </w:tblCellMar>
        </w:tblPrEx>
        <w:trPr>
          <w:trHeight w:val="486"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3</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伤害监测漏报率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9.20%</w:t>
            </w:r>
          </w:p>
        </w:tc>
      </w:tr>
      <w:tr>
        <w:tblPrEx>
          <w:tblCellMar>
            <w:top w:w="0" w:type="dxa"/>
            <w:left w:w="108" w:type="dxa"/>
            <w:bottom w:w="0" w:type="dxa"/>
            <w:right w:w="108" w:type="dxa"/>
          </w:tblCellMar>
        </w:tblPrEx>
        <w:trPr>
          <w:trHeight w:val="509"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4</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饮用水和环境卫生监测完成率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≥95%</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CellMar>
            <w:top w:w="0" w:type="dxa"/>
            <w:left w:w="108" w:type="dxa"/>
            <w:bottom w:w="0" w:type="dxa"/>
            <w:right w:w="108" w:type="dxa"/>
          </w:tblCellMar>
        </w:tblPrEx>
        <w:trPr>
          <w:trHeight w:val="410"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5</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细菌性传染病网络实验室考核合格率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≥85%</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CellMar>
            <w:top w:w="0" w:type="dxa"/>
            <w:left w:w="108" w:type="dxa"/>
            <w:bottom w:w="0" w:type="dxa"/>
            <w:right w:w="108" w:type="dxa"/>
          </w:tblCellMar>
        </w:tblPrEx>
        <w:trPr>
          <w:trHeight w:val="410"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6</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病媒生物监测报告分析报告率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≥85%</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100%</w:t>
            </w:r>
          </w:p>
        </w:tc>
      </w:tr>
      <w:tr>
        <w:tblPrEx>
          <w:tblCellMar>
            <w:top w:w="0" w:type="dxa"/>
            <w:left w:w="108" w:type="dxa"/>
            <w:bottom w:w="0" w:type="dxa"/>
            <w:right w:w="108" w:type="dxa"/>
          </w:tblCellMar>
        </w:tblPrEx>
        <w:trPr>
          <w:trHeight w:val="409"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7</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麻风病按规定随访到位率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CellMar>
            <w:top w:w="0" w:type="dxa"/>
            <w:left w:w="108" w:type="dxa"/>
            <w:bottom w:w="0" w:type="dxa"/>
            <w:right w:w="108" w:type="dxa"/>
          </w:tblCellMar>
        </w:tblPrEx>
        <w:trPr>
          <w:trHeight w:val="360"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8</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艾滋病高危人群（暗娼、男男同性行为人群）检测比例</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CellMar>
            <w:top w:w="0" w:type="dxa"/>
            <w:left w:w="108" w:type="dxa"/>
            <w:bottom w:w="0" w:type="dxa"/>
            <w:right w:w="108" w:type="dxa"/>
          </w:tblCellMar>
        </w:tblPrEx>
        <w:trPr>
          <w:trHeight w:val="472"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9</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肺结核患者成功治疗率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91.60%</w:t>
            </w:r>
          </w:p>
        </w:tc>
      </w:tr>
      <w:tr>
        <w:tblPrEx>
          <w:tblCellMar>
            <w:top w:w="0" w:type="dxa"/>
            <w:left w:w="108" w:type="dxa"/>
            <w:bottom w:w="0" w:type="dxa"/>
            <w:right w:w="108" w:type="dxa"/>
          </w:tblCellMar>
        </w:tblPrEx>
        <w:trPr>
          <w:trHeight w:val="780"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10</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病原学阳性肺结核患者耐药筛查率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97.70%</w:t>
            </w:r>
          </w:p>
        </w:tc>
      </w:tr>
      <w:tr>
        <w:tblPrEx>
          <w:tblCellMar>
            <w:top w:w="0" w:type="dxa"/>
            <w:left w:w="108" w:type="dxa"/>
            <w:bottom w:w="0" w:type="dxa"/>
            <w:right w:w="108" w:type="dxa"/>
          </w:tblCellMar>
        </w:tblPrEx>
        <w:trPr>
          <w:trHeight w:val="535"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11</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临床用血核酸检测覆盖率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CellMar>
            <w:top w:w="0" w:type="dxa"/>
            <w:left w:w="108" w:type="dxa"/>
            <w:bottom w:w="0" w:type="dxa"/>
            <w:right w:w="108" w:type="dxa"/>
          </w:tblCellMar>
        </w:tblPrEx>
        <w:trPr>
          <w:trHeight w:val="412"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12</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妇幼健康监测年度质量控制合格率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CellMar>
            <w:top w:w="0" w:type="dxa"/>
            <w:left w:w="108" w:type="dxa"/>
            <w:bottom w:w="0" w:type="dxa"/>
            <w:right w:w="108" w:type="dxa"/>
          </w:tblCellMar>
        </w:tblPrEx>
        <w:trPr>
          <w:trHeight w:val="464"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13</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居民健康素养数据合格率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100%</w:t>
            </w:r>
          </w:p>
        </w:tc>
      </w:tr>
      <w:tr>
        <w:tblPrEx>
          <w:tblCellMar>
            <w:top w:w="0" w:type="dxa"/>
            <w:left w:w="108" w:type="dxa"/>
            <w:bottom w:w="0" w:type="dxa"/>
            <w:right w:w="108" w:type="dxa"/>
          </w:tblCellMar>
        </w:tblPrEx>
        <w:trPr>
          <w:trHeight w:val="409"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14</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在册严重精神障碍患者治疗率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≥60%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snapToGrid w:val="0"/>
                <w:color w:val="36363D"/>
                <w:kern w:val="0"/>
                <w:sz w:val="20"/>
                <w:szCs w:val="20"/>
                <w:highlight w:val="none"/>
                <w:u w:val="none"/>
                <w:lang w:val="en-US" w:eastAsia="zh-CN"/>
              </w:rPr>
            </w:pPr>
            <w:r>
              <w:rPr>
                <w:rFonts w:hint="eastAsia" w:ascii="宋体" w:hAnsi="宋体" w:eastAsia="宋体" w:cs="宋体"/>
                <w:i w:val="0"/>
                <w:iCs w:val="0"/>
                <w:snapToGrid w:val="0"/>
                <w:color w:val="36363D"/>
                <w:kern w:val="0"/>
                <w:sz w:val="20"/>
                <w:szCs w:val="20"/>
                <w:highlight w:val="none"/>
                <w:u w:val="none"/>
                <w:lang w:val="en-US" w:eastAsia="zh-CN"/>
              </w:rPr>
              <w:t>88.33%</w:t>
            </w:r>
          </w:p>
        </w:tc>
      </w:tr>
      <w:tr>
        <w:tblPrEx>
          <w:tblCellMar>
            <w:top w:w="0" w:type="dxa"/>
            <w:left w:w="108" w:type="dxa"/>
            <w:bottom w:w="0" w:type="dxa"/>
            <w:right w:w="108" w:type="dxa"/>
          </w:tblCellMar>
        </w:tblPrEx>
        <w:trPr>
          <w:trHeight w:val="472"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15</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污染物和有害因素的监测样品数的完成率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≥90%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snapToGrid w:val="0"/>
                <w:color w:val="36363D"/>
                <w:kern w:val="0"/>
                <w:sz w:val="20"/>
                <w:szCs w:val="20"/>
                <w:highlight w:val="none"/>
                <w:u w:val="none"/>
                <w:lang w:val="en-US" w:eastAsia="zh-CN"/>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CellMar>
            <w:top w:w="0" w:type="dxa"/>
            <w:left w:w="108" w:type="dxa"/>
            <w:bottom w:w="0" w:type="dxa"/>
            <w:right w:w="108" w:type="dxa"/>
          </w:tblCellMar>
        </w:tblPrEx>
        <w:trPr>
          <w:trHeight w:val="446"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16</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窝沟封闭存留率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≥85%</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snapToGrid w:val="0"/>
                <w:color w:val="36363D"/>
                <w:kern w:val="0"/>
                <w:sz w:val="20"/>
                <w:szCs w:val="20"/>
                <w:highlight w:val="none"/>
                <w:u w:val="none"/>
                <w:lang w:val="en-US" w:eastAsia="zh-CN"/>
              </w:rPr>
            </w:pPr>
            <w:r>
              <w:rPr>
                <w:rFonts w:hint="eastAsia" w:ascii="宋体" w:hAnsi="宋体" w:eastAsia="宋体" w:cs="宋体"/>
                <w:i w:val="0"/>
                <w:iCs w:val="0"/>
                <w:snapToGrid w:val="0"/>
                <w:color w:val="36363D"/>
                <w:kern w:val="0"/>
                <w:sz w:val="20"/>
                <w:szCs w:val="20"/>
                <w:highlight w:val="none"/>
                <w:u w:val="none"/>
                <w:lang w:val="en-US" w:eastAsia="zh-CN"/>
              </w:rPr>
              <w:t>98.19%</w:t>
            </w:r>
          </w:p>
        </w:tc>
      </w:tr>
      <w:tr>
        <w:tblPrEx>
          <w:tblCellMar>
            <w:top w:w="0" w:type="dxa"/>
            <w:left w:w="108" w:type="dxa"/>
            <w:bottom w:w="0" w:type="dxa"/>
            <w:right w:w="108" w:type="dxa"/>
          </w:tblCellMar>
        </w:tblPrEx>
        <w:trPr>
          <w:trHeight w:val="422"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17</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死因监测数据规范报告率</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≥80%</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snapToGrid w:val="0"/>
                <w:color w:val="36363D"/>
                <w:kern w:val="0"/>
                <w:sz w:val="20"/>
                <w:szCs w:val="20"/>
                <w:highlight w:val="none"/>
                <w:u w:val="none"/>
                <w:lang w:val="en-US" w:eastAsia="zh-CN"/>
              </w:rPr>
            </w:pPr>
            <w:r>
              <w:rPr>
                <w:rFonts w:hint="eastAsia" w:ascii="宋体" w:hAnsi="宋体" w:eastAsia="宋体" w:cs="宋体"/>
                <w:i w:val="0"/>
                <w:iCs w:val="0"/>
                <w:snapToGrid w:val="0"/>
                <w:color w:val="36363D"/>
                <w:kern w:val="0"/>
                <w:sz w:val="20"/>
                <w:szCs w:val="20"/>
                <w:highlight w:val="none"/>
                <w:u w:val="none"/>
                <w:lang w:val="en-US" w:eastAsia="zh-CN"/>
              </w:rPr>
              <w:t>100%</w:t>
            </w:r>
          </w:p>
        </w:tc>
      </w:tr>
      <w:tr>
        <w:tblPrEx>
          <w:tblCellMar>
            <w:top w:w="0" w:type="dxa"/>
            <w:left w:w="108" w:type="dxa"/>
            <w:bottom w:w="0" w:type="dxa"/>
            <w:right w:w="108" w:type="dxa"/>
          </w:tblCellMar>
        </w:tblPrEx>
        <w:trPr>
          <w:trHeight w:val="385" w:hRule="atLeast"/>
        </w:trPr>
        <w:tc>
          <w:tcPr>
            <w:tcW w:w="369"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2"/>
                <w:szCs w:val="22"/>
                <w:highlight w:val="none"/>
              </w:rPr>
              <w:t>18</w:t>
            </w:r>
          </w:p>
        </w:tc>
        <w:tc>
          <w:tcPr>
            <w:tcW w:w="685"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质量指标</w:t>
            </w:r>
          </w:p>
        </w:tc>
        <w:tc>
          <w:tcPr>
            <w:tcW w:w="1872" w:type="pct"/>
            <w:tcBorders>
              <w:top w:val="single" w:color="000000" w:sz="4" w:space="0"/>
              <w:left w:val="single" w:color="000000" w:sz="4" w:space="0"/>
              <w:bottom w:val="single" w:color="000000" w:sz="4" w:space="0"/>
              <w:right w:val="single" w:color="000000" w:sz="4" w:space="0"/>
            </w:tcBorders>
            <w:noWrap w:val="0"/>
            <w:vAlign w:val="center"/>
          </w:tcPr>
          <w:p>
            <w:pPr>
              <w:jc w:val="center"/>
              <w:textAlignment w:val="center"/>
              <w:rPr>
                <w:rFonts w:hint="eastAsia" w:ascii="宋体" w:hAnsi="宋体" w:eastAsia="宋体" w:cs="宋体"/>
                <w:color w:val="36363D"/>
                <w:sz w:val="20"/>
                <w:szCs w:val="20"/>
                <w:highlight w:val="none"/>
              </w:rPr>
            </w:pPr>
            <w:r>
              <w:rPr>
                <w:rFonts w:hint="eastAsia" w:ascii="宋体" w:hAnsi="宋体" w:eastAsia="宋体" w:cs="宋体"/>
                <w:color w:val="36363D"/>
                <w:sz w:val="20"/>
                <w:szCs w:val="20"/>
                <w:highlight w:val="none"/>
                <w:lang w:val="en-US" w:eastAsia="zh-CN"/>
              </w:rPr>
              <w:t>全国成人烟草流行调查应答率(实际完成调查人数占应调查人数的比例)</w:t>
            </w:r>
          </w:p>
        </w:tc>
        <w:tc>
          <w:tcPr>
            <w:tcW w:w="9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color w:val="36363D"/>
                <w:sz w:val="20"/>
                <w:szCs w:val="20"/>
                <w:highlight w:val="none"/>
              </w:rPr>
            </w:pPr>
            <w:r>
              <w:rPr>
                <w:rFonts w:hint="eastAsia" w:ascii="宋体" w:hAnsi="宋体" w:eastAsia="宋体" w:cs="宋体"/>
                <w:i w:val="0"/>
                <w:iCs w:val="0"/>
                <w:snapToGrid w:val="0"/>
                <w:color w:val="36363D"/>
                <w:kern w:val="0"/>
                <w:sz w:val="20"/>
                <w:szCs w:val="20"/>
                <w:highlight w:val="none"/>
                <w:u w:val="none"/>
                <w:lang w:val="en-US" w:eastAsia="zh-CN"/>
              </w:rPr>
              <w:t>≥75%</w:t>
            </w:r>
          </w:p>
        </w:tc>
        <w:tc>
          <w:tcPr>
            <w:tcW w:w="1154"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36363D"/>
                <w:sz w:val="20"/>
                <w:szCs w:val="20"/>
                <w:highlight w:val="none"/>
                <w:lang w:val="en-US" w:eastAsia="zh-CN"/>
              </w:rPr>
            </w:pPr>
            <w:r>
              <w:rPr>
                <w:rFonts w:hint="eastAsia" w:ascii="宋体" w:hAnsi="宋体" w:eastAsia="宋体" w:cs="宋体"/>
                <w:color w:val="36363D"/>
                <w:sz w:val="20"/>
                <w:szCs w:val="20"/>
                <w:highlight w:val="none"/>
                <w:lang w:val="en-US" w:eastAsia="zh-CN"/>
              </w:rPr>
              <w:t>89.40%</w:t>
            </w:r>
          </w:p>
        </w:tc>
      </w:tr>
    </w:tbl>
    <w:p>
      <w:pPr>
        <w:spacing w:line="580" w:lineRule="exact"/>
        <w:ind w:firstLine="640" w:firstLineChars="200"/>
        <w:jc w:val="both"/>
        <w:rPr>
          <w:rFonts w:ascii="仿宋_GB2312" w:hAnsi="仿宋_GB2312" w:eastAsia="仿宋_GB2312" w:cs="仿宋_GB2312"/>
          <w:bCs/>
          <w:color w:val="36363D"/>
          <w:sz w:val="32"/>
          <w:szCs w:val="32"/>
          <w:highlight w:val="none"/>
        </w:rPr>
      </w:pPr>
      <w:r>
        <w:rPr>
          <w:rFonts w:hint="eastAsia" w:ascii="仿宋_GB2312" w:hAnsi="仿宋_GB2312" w:eastAsia="仿宋_GB2312" w:cs="仿宋_GB2312"/>
          <w:bCs/>
          <w:color w:val="36363D"/>
          <w:sz w:val="32"/>
          <w:szCs w:val="32"/>
          <w:highlight w:val="none"/>
        </w:rPr>
        <w:t>2.效益指标完成情况分析</w:t>
      </w:r>
    </w:p>
    <w:p>
      <w:pPr>
        <w:pStyle w:val="3"/>
        <w:spacing w:after="0" w:line="580" w:lineRule="exact"/>
        <w:ind w:firstLine="640" w:firstLineChars="200"/>
        <w:rPr>
          <w:rFonts w:ascii="仿宋_GB2312" w:hAnsi="仿宋" w:eastAsia="仿宋_GB2312"/>
          <w:color w:val="36363D"/>
          <w:sz w:val="32"/>
          <w:szCs w:val="32"/>
          <w:highlight w:val="none"/>
        </w:rPr>
      </w:pPr>
      <w:r>
        <w:rPr>
          <w:rFonts w:hint="eastAsia" w:ascii="仿宋_GB2312" w:hAnsi="仿宋" w:eastAsia="仿宋_GB2312"/>
          <w:color w:val="36363D"/>
          <w:sz w:val="32"/>
          <w:szCs w:val="32"/>
          <w:highlight w:val="none"/>
        </w:rPr>
        <w:t>（1）可持续影响效益指标</w:t>
      </w:r>
    </w:p>
    <w:p>
      <w:pPr>
        <w:pStyle w:val="3"/>
        <w:spacing w:after="0" w:line="580" w:lineRule="exact"/>
        <w:ind w:firstLine="640" w:firstLineChars="200"/>
        <w:jc w:val="both"/>
        <w:rPr>
          <w:rFonts w:ascii="仿宋_GB2312" w:hAnsi="仿宋" w:eastAsia="仿宋_GB2312"/>
          <w:color w:val="36363D"/>
          <w:sz w:val="32"/>
          <w:szCs w:val="32"/>
          <w:highlight w:val="none"/>
        </w:rPr>
      </w:pPr>
      <w:r>
        <w:rPr>
          <w:rFonts w:hint="eastAsia" w:ascii="仿宋_GB2312" w:hAnsi="仿宋" w:eastAsia="仿宋_GB2312"/>
          <w:color w:val="36363D"/>
          <w:sz w:val="32"/>
          <w:szCs w:val="32"/>
          <w:highlight w:val="none"/>
        </w:rPr>
        <w:t>202</w:t>
      </w:r>
      <w:r>
        <w:rPr>
          <w:rFonts w:hint="eastAsia" w:ascii="仿宋_GB2312" w:hAnsi="仿宋" w:eastAsia="仿宋_GB2312"/>
          <w:color w:val="36363D"/>
          <w:sz w:val="32"/>
          <w:szCs w:val="32"/>
          <w:highlight w:val="none"/>
          <w:lang w:val="en-US" w:eastAsia="zh-CN"/>
        </w:rPr>
        <w:t>4</w:t>
      </w:r>
      <w:r>
        <w:rPr>
          <w:rFonts w:hint="eastAsia" w:ascii="仿宋_GB2312" w:hAnsi="仿宋" w:eastAsia="仿宋_GB2312"/>
          <w:color w:val="36363D"/>
          <w:sz w:val="32"/>
          <w:szCs w:val="32"/>
          <w:highlight w:val="none"/>
        </w:rPr>
        <w:t>年</w:t>
      </w:r>
      <w:r>
        <w:rPr>
          <w:rFonts w:hint="eastAsia" w:ascii="仿宋_GB2312" w:hAnsi="仿宋" w:eastAsia="仿宋_GB2312"/>
          <w:color w:val="36363D"/>
          <w:sz w:val="32"/>
          <w:szCs w:val="32"/>
          <w:highlight w:val="none"/>
          <w:lang w:eastAsia="zh-CN"/>
        </w:rPr>
        <w:t>北京市重大公共卫生服务补助资金转移支付</w:t>
      </w:r>
      <w:r>
        <w:rPr>
          <w:rFonts w:hint="eastAsia" w:ascii="仿宋_GB2312" w:hAnsi="仿宋" w:eastAsia="仿宋_GB2312"/>
          <w:color w:val="36363D"/>
          <w:sz w:val="32"/>
          <w:szCs w:val="32"/>
          <w:highlight w:val="none"/>
        </w:rPr>
        <w:t>设定的可持续影响效益指标共1项，预期目标已完成。具体情况见下表</w:t>
      </w:r>
      <w:r>
        <w:rPr>
          <w:rFonts w:hint="eastAsia" w:ascii="仿宋_GB2312" w:hAnsi="仿宋" w:eastAsia="仿宋_GB2312"/>
          <w:color w:val="36363D"/>
          <w:sz w:val="32"/>
          <w:szCs w:val="32"/>
          <w:highlight w:val="none"/>
          <w:lang w:val="en-US" w:eastAsia="zh-CN"/>
        </w:rPr>
        <w:t>3</w:t>
      </w:r>
      <w:r>
        <w:rPr>
          <w:rFonts w:ascii="仿宋_GB2312" w:hAnsi="仿宋" w:eastAsia="仿宋_GB2312"/>
          <w:color w:val="36363D"/>
          <w:sz w:val="32"/>
          <w:szCs w:val="32"/>
          <w:highlight w:val="none"/>
        </w:rPr>
        <w:t>：</w:t>
      </w:r>
    </w:p>
    <w:p>
      <w:pPr>
        <w:pStyle w:val="3"/>
        <w:widowControl w:val="0"/>
        <w:kinsoku/>
        <w:autoSpaceDE/>
        <w:autoSpaceDN/>
        <w:adjustRightInd/>
        <w:snapToGrid/>
        <w:spacing w:after="0" w:line="240" w:lineRule="auto"/>
        <w:ind w:firstLine="560"/>
        <w:jc w:val="center"/>
        <w:textAlignment w:val="auto"/>
        <w:rPr>
          <w:rFonts w:ascii="仿宋_GB2312" w:hAnsi="仿宋" w:eastAsia="仿宋_GB2312"/>
          <w:color w:val="36363D"/>
          <w:sz w:val="32"/>
          <w:szCs w:val="32"/>
          <w:highlight w:val="none"/>
        </w:rPr>
      </w:pPr>
      <w:r>
        <w:rPr>
          <w:rFonts w:hint="eastAsia" w:ascii="仿宋_GB2312" w:hAnsi="仿宋_GB2312" w:eastAsia="仿宋_GB2312" w:cs="仿宋_GB2312"/>
          <w:snapToGrid/>
          <w:color w:val="36363D"/>
          <w:kern w:val="2"/>
          <w:sz w:val="28"/>
          <w:szCs w:val="28"/>
          <w:highlight w:val="none"/>
        </w:rPr>
        <w:t>表</w:t>
      </w:r>
      <w:r>
        <w:rPr>
          <w:rFonts w:hint="eastAsia" w:ascii="仿宋_GB2312" w:hAnsi="仿宋_GB2312" w:eastAsia="仿宋_GB2312" w:cs="仿宋_GB2312"/>
          <w:snapToGrid/>
          <w:color w:val="36363D"/>
          <w:kern w:val="2"/>
          <w:sz w:val="28"/>
          <w:szCs w:val="28"/>
          <w:highlight w:val="none"/>
          <w:lang w:val="en-US" w:eastAsia="zh-CN"/>
        </w:rPr>
        <w:t>3</w:t>
      </w:r>
      <w:r>
        <w:rPr>
          <w:rFonts w:hint="eastAsia" w:ascii="仿宋_GB2312" w:hAnsi="仿宋_GB2312" w:eastAsia="仿宋_GB2312" w:cs="仿宋_GB2312"/>
          <w:snapToGrid/>
          <w:color w:val="36363D"/>
          <w:kern w:val="2"/>
          <w:sz w:val="28"/>
          <w:szCs w:val="28"/>
          <w:highlight w:val="none"/>
        </w:rPr>
        <w:t>：可持续影响效益指标完成情况表</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
        <w:gridCol w:w="1730"/>
        <w:gridCol w:w="2651"/>
        <w:gridCol w:w="1878"/>
        <w:gridCol w:w="1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blHeader/>
          <w:jc w:val="center"/>
        </w:trPr>
        <w:tc>
          <w:tcPr>
            <w:tcW w:w="361"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序号</w:t>
            </w:r>
          </w:p>
        </w:tc>
        <w:tc>
          <w:tcPr>
            <w:tcW w:w="101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指标类型</w:t>
            </w:r>
          </w:p>
        </w:tc>
        <w:tc>
          <w:tcPr>
            <w:tcW w:w="155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三级指标</w:t>
            </w:r>
          </w:p>
        </w:tc>
        <w:tc>
          <w:tcPr>
            <w:tcW w:w="1102"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指标值</w:t>
            </w:r>
          </w:p>
        </w:tc>
        <w:tc>
          <w:tcPr>
            <w:tcW w:w="96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61"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1</w:t>
            </w:r>
          </w:p>
        </w:tc>
        <w:tc>
          <w:tcPr>
            <w:tcW w:w="1015"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可持续影响指标</w:t>
            </w:r>
          </w:p>
        </w:tc>
        <w:tc>
          <w:tcPr>
            <w:tcW w:w="1555"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艾滋病疫情处于低流行水平</w:t>
            </w:r>
          </w:p>
        </w:tc>
        <w:tc>
          <w:tcPr>
            <w:tcW w:w="1102"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中长期</w:t>
            </w:r>
          </w:p>
        </w:tc>
        <w:tc>
          <w:tcPr>
            <w:tcW w:w="965"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中长期处于低流行水平</w:t>
            </w:r>
          </w:p>
        </w:tc>
      </w:tr>
    </w:tbl>
    <w:p>
      <w:pPr>
        <w:spacing w:line="580" w:lineRule="exact"/>
        <w:ind w:firstLine="640" w:firstLineChars="200"/>
        <w:jc w:val="both"/>
        <w:rPr>
          <w:rFonts w:ascii="仿宋_GB2312" w:hAnsi="仿宋_GB2312" w:eastAsia="仿宋_GB2312" w:cs="仿宋_GB2312"/>
          <w:bCs/>
          <w:color w:val="36363D"/>
          <w:sz w:val="32"/>
          <w:szCs w:val="32"/>
          <w:highlight w:val="none"/>
        </w:rPr>
      </w:pPr>
      <w:r>
        <w:rPr>
          <w:rFonts w:hint="eastAsia" w:ascii="仿宋_GB2312" w:hAnsi="仿宋_GB2312" w:eastAsia="仿宋_GB2312" w:cs="仿宋_GB2312"/>
          <w:bCs/>
          <w:color w:val="36363D"/>
          <w:sz w:val="32"/>
          <w:szCs w:val="32"/>
          <w:highlight w:val="none"/>
        </w:rPr>
        <w:t>3.服务对象满意度指标完成情况分析</w:t>
      </w:r>
    </w:p>
    <w:p>
      <w:pPr>
        <w:pStyle w:val="3"/>
        <w:spacing w:after="0" w:line="580" w:lineRule="exact"/>
        <w:ind w:firstLine="640" w:firstLineChars="200"/>
        <w:rPr>
          <w:color w:val="36363D"/>
          <w:highlight w:val="none"/>
        </w:rPr>
      </w:pPr>
      <w:r>
        <w:rPr>
          <w:rFonts w:hint="eastAsia" w:ascii="仿宋_GB2312" w:hAnsi="仿宋" w:eastAsia="仿宋_GB2312"/>
          <w:color w:val="36363D"/>
          <w:sz w:val="32"/>
          <w:szCs w:val="32"/>
          <w:highlight w:val="none"/>
        </w:rPr>
        <w:t>202</w:t>
      </w:r>
      <w:r>
        <w:rPr>
          <w:rFonts w:hint="eastAsia" w:ascii="仿宋_GB2312" w:hAnsi="仿宋" w:eastAsia="仿宋_GB2312"/>
          <w:color w:val="36363D"/>
          <w:sz w:val="32"/>
          <w:szCs w:val="32"/>
          <w:highlight w:val="none"/>
          <w:lang w:val="en-US" w:eastAsia="zh-CN"/>
        </w:rPr>
        <w:t>4</w:t>
      </w:r>
      <w:r>
        <w:rPr>
          <w:rFonts w:hint="eastAsia" w:ascii="仿宋_GB2312" w:hAnsi="仿宋" w:eastAsia="仿宋_GB2312"/>
          <w:color w:val="36363D"/>
          <w:sz w:val="32"/>
          <w:szCs w:val="32"/>
          <w:highlight w:val="none"/>
        </w:rPr>
        <w:t>年</w:t>
      </w:r>
      <w:r>
        <w:rPr>
          <w:rFonts w:hint="eastAsia" w:ascii="仿宋_GB2312" w:hAnsi="仿宋" w:eastAsia="仿宋_GB2312"/>
          <w:color w:val="36363D"/>
          <w:sz w:val="32"/>
          <w:szCs w:val="32"/>
          <w:highlight w:val="none"/>
          <w:lang w:eastAsia="zh-CN"/>
        </w:rPr>
        <w:t>北京市重大公共卫生服务补助资金转移支付</w:t>
      </w:r>
      <w:r>
        <w:rPr>
          <w:rFonts w:hint="eastAsia" w:ascii="仿宋_GB2312" w:hAnsi="仿宋" w:eastAsia="仿宋_GB2312"/>
          <w:color w:val="36363D"/>
          <w:sz w:val="32"/>
          <w:szCs w:val="32"/>
          <w:highlight w:val="none"/>
        </w:rPr>
        <w:t>设定的</w:t>
      </w:r>
      <w:r>
        <w:rPr>
          <w:rFonts w:hint="eastAsia" w:ascii="仿宋_GB2312" w:hAnsi="仿宋_GB2312" w:eastAsia="仿宋_GB2312" w:cs="仿宋_GB2312"/>
          <w:bCs/>
          <w:color w:val="36363D"/>
          <w:sz w:val="32"/>
          <w:szCs w:val="32"/>
          <w:highlight w:val="none"/>
        </w:rPr>
        <w:t>服务对象满意度指标</w:t>
      </w:r>
      <w:r>
        <w:rPr>
          <w:rFonts w:hint="eastAsia" w:ascii="仿宋_GB2312" w:hAnsi="仿宋" w:eastAsia="仿宋_GB2312"/>
          <w:color w:val="36363D"/>
          <w:sz w:val="32"/>
          <w:szCs w:val="32"/>
          <w:highlight w:val="none"/>
        </w:rPr>
        <w:t>共1项，预期目标已完成。具体情况见下表</w:t>
      </w:r>
      <w:r>
        <w:rPr>
          <w:rFonts w:hint="eastAsia" w:ascii="仿宋_GB2312" w:hAnsi="仿宋" w:eastAsia="仿宋_GB2312"/>
          <w:color w:val="36363D"/>
          <w:sz w:val="32"/>
          <w:szCs w:val="32"/>
          <w:highlight w:val="none"/>
          <w:lang w:val="en-US" w:eastAsia="zh-CN"/>
        </w:rPr>
        <w:t>4</w:t>
      </w:r>
      <w:r>
        <w:rPr>
          <w:rFonts w:ascii="仿宋_GB2312" w:hAnsi="仿宋" w:eastAsia="仿宋_GB2312"/>
          <w:color w:val="36363D"/>
          <w:sz w:val="32"/>
          <w:szCs w:val="32"/>
          <w:highlight w:val="none"/>
        </w:rPr>
        <w:t>：</w:t>
      </w:r>
    </w:p>
    <w:p>
      <w:pPr>
        <w:pStyle w:val="3"/>
        <w:widowControl w:val="0"/>
        <w:kinsoku/>
        <w:autoSpaceDE/>
        <w:autoSpaceDN/>
        <w:adjustRightInd/>
        <w:snapToGrid/>
        <w:spacing w:after="0" w:line="240" w:lineRule="auto"/>
        <w:ind w:firstLine="560"/>
        <w:jc w:val="center"/>
        <w:textAlignment w:val="auto"/>
        <w:rPr>
          <w:rFonts w:ascii="仿宋_GB2312" w:hAnsi="仿宋" w:eastAsia="仿宋_GB2312"/>
          <w:color w:val="36363D"/>
          <w:sz w:val="32"/>
          <w:szCs w:val="32"/>
          <w:highlight w:val="none"/>
        </w:rPr>
      </w:pPr>
      <w:r>
        <w:rPr>
          <w:rFonts w:hint="eastAsia" w:ascii="仿宋_GB2312" w:hAnsi="仿宋_GB2312" w:eastAsia="仿宋_GB2312" w:cs="仿宋_GB2312"/>
          <w:snapToGrid/>
          <w:color w:val="36363D"/>
          <w:kern w:val="2"/>
          <w:sz w:val="28"/>
          <w:szCs w:val="28"/>
          <w:highlight w:val="none"/>
        </w:rPr>
        <w:t>表</w:t>
      </w:r>
      <w:r>
        <w:rPr>
          <w:rFonts w:hint="eastAsia" w:ascii="仿宋_GB2312" w:hAnsi="仿宋_GB2312" w:eastAsia="仿宋_GB2312" w:cs="仿宋_GB2312"/>
          <w:snapToGrid/>
          <w:color w:val="36363D"/>
          <w:kern w:val="2"/>
          <w:sz w:val="28"/>
          <w:szCs w:val="28"/>
          <w:highlight w:val="none"/>
          <w:lang w:val="en-US" w:eastAsia="zh-CN"/>
        </w:rPr>
        <w:t>4</w:t>
      </w:r>
      <w:r>
        <w:rPr>
          <w:rFonts w:hint="eastAsia" w:ascii="仿宋_GB2312" w:hAnsi="仿宋_GB2312" w:eastAsia="仿宋_GB2312" w:cs="仿宋_GB2312"/>
          <w:snapToGrid/>
          <w:color w:val="36363D"/>
          <w:kern w:val="2"/>
          <w:sz w:val="28"/>
          <w:szCs w:val="28"/>
          <w:highlight w:val="none"/>
        </w:rPr>
        <w:t>：服务对象满意度指标完成情况表</w:t>
      </w:r>
    </w:p>
    <w:tbl>
      <w:tblPr>
        <w:tblStyle w:val="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603"/>
        <w:gridCol w:w="2532"/>
        <w:gridCol w:w="1998"/>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3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序号</w:t>
            </w:r>
          </w:p>
        </w:tc>
        <w:tc>
          <w:tcPr>
            <w:tcW w:w="940"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指标类型</w:t>
            </w:r>
          </w:p>
        </w:tc>
        <w:tc>
          <w:tcPr>
            <w:tcW w:w="148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三级指标</w:t>
            </w:r>
          </w:p>
        </w:tc>
        <w:tc>
          <w:tcPr>
            <w:tcW w:w="1172"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指标值</w:t>
            </w:r>
          </w:p>
        </w:tc>
        <w:tc>
          <w:tcPr>
            <w:tcW w:w="96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spacing w:line="240" w:lineRule="atLeast"/>
              <w:jc w:val="center"/>
              <w:rPr>
                <w:rFonts w:ascii="宋体" w:hAnsi="宋体" w:eastAsia="宋体" w:cs="宋体"/>
                <w:b/>
                <w:color w:val="36363D"/>
                <w:sz w:val="20"/>
                <w:szCs w:val="20"/>
                <w:highlight w:val="none"/>
              </w:rPr>
            </w:pPr>
            <w:r>
              <w:rPr>
                <w:rFonts w:hint="eastAsia" w:ascii="宋体" w:hAnsi="宋体" w:eastAsia="宋体" w:cs="宋体"/>
                <w:b/>
                <w:color w:val="36363D"/>
                <w:sz w:val="20"/>
                <w:szCs w:val="20"/>
                <w:highlight w:val="none"/>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435"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1</w:t>
            </w:r>
          </w:p>
        </w:tc>
        <w:tc>
          <w:tcPr>
            <w:tcW w:w="940"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服务对象满意度指标</w:t>
            </w:r>
          </w:p>
        </w:tc>
        <w:tc>
          <w:tcPr>
            <w:tcW w:w="1485"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网络实验室培训满意度</w:t>
            </w:r>
          </w:p>
        </w:tc>
        <w:tc>
          <w:tcPr>
            <w:tcW w:w="1172"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宋体" w:hAnsi="宋体" w:eastAsia="宋体" w:cs="宋体"/>
                <w:color w:val="36363D"/>
                <w:sz w:val="20"/>
                <w:szCs w:val="20"/>
                <w:highlight w:val="none"/>
              </w:rPr>
            </w:pPr>
            <w:r>
              <w:rPr>
                <w:rFonts w:hint="eastAsia" w:ascii="宋体" w:hAnsi="宋体" w:eastAsia="宋体" w:cs="宋体"/>
                <w:color w:val="36363D"/>
                <w:sz w:val="20"/>
                <w:szCs w:val="20"/>
                <w:highlight w:val="none"/>
              </w:rPr>
              <w:t>≥90%</w:t>
            </w:r>
          </w:p>
        </w:tc>
        <w:tc>
          <w:tcPr>
            <w:tcW w:w="965" w:type="pct"/>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eastAsia="宋体" w:cs="宋体"/>
                <w:color w:val="36363D"/>
                <w:sz w:val="20"/>
                <w:szCs w:val="20"/>
                <w:highlight w:val="none"/>
              </w:rPr>
            </w:pPr>
            <w:r>
              <w:rPr>
                <w:rFonts w:ascii="宋体" w:hAnsi="宋体" w:eastAsia="宋体" w:cs="宋体"/>
                <w:color w:val="36363D"/>
                <w:sz w:val="20"/>
                <w:szCs w:val="20"/>
                <w:highlight w:val="none"/>
              </w:rPr>
              <w:t>9</w:t>
            </w:r>
            <w:r>
              <w:rPr>
                <w:rFonts w:hint="eastAsia" w:ascii="宋体" w:hAnsi="宋体" w:eastAsia="宋体" w:cs="宋体"/>
                <w:color w:val="36363D"/>
                <w:sz w:val="20"/>
                <w:szCs w:val="20"/>
                <w:highlight w:val="none"/>
                <w:lang w:val="en-US" w:eastAsia="zh-CN"/>
              </w:rPr>
              <w:t>5</w:t>
            </w:r>
            <w:r>
              <w:rPr>
                <w:rFonts w:ascii="宋体" w:hAnsi="宋体" w:eastAsia="宋体" w:cs="宋体"/>
                <w:color w:val="36363D"/>
                <w:sz w:val="20"/>
                <w:szCs w:val="20"/>
                <w:highlight w:val="none"/>
              </w:rPr>
              <w:t>%</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三、绩效自评结论</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b/>
          <w:snapToGrid/>
          <w:kern w:val="2"/>
          <w:sz w:val="32"/>
          <w:szCs w:val="32"/>
          <w:lang w:eastAsia="zh-CN"/>
        </w:rPr>
      </w:pPr>
      <w:r>
        <w:rPr>
          <w:rFonts w:hint="eastAsia" w:ascii="仿宋_GB2312" w:hAnsi="仿宋_GB2312" w:eastAsia="仿宋_GB2312" w:cs="仿宋_GB2312"/>
          <w:kern w:val="2"/>
          <w:sz w:val="32"/>
          <w:szCs w:val="32"/>
          <w:lang w:val="en-US" w:eastAsia="zh-CN" w:bidi="ar-SA"/>
        </w:rPr>
        <w:t>综合本次绩效评价工作绩效目标、绩效指标完成情况，2024年北京市重大公共卫生服务补助资金转移支付共设置33项绩效指标，33项预期绩效目标均已全部实现。在全市大目标均已完成的背景下，各区级部门基本完成立项总体目标。</w:t>
      </w:r>
      <w:r>
        <w:rPr>
          <w:rFonts w:hint="eastAsia" w:ascii="仿宋_GB2312" w:hAnsi="仿宋_GB2312" w:eastAsia="仿宋_GB2312" w:cs="仿宋_GB2312"/>
          <w:snapToGrid/>
          <w:kern w:val="2"/>
          <w:sz w:val="32"/>
          <w:szCs w:val="32"/>
          <w:lang w:eastAsia="zh-CN" w:bidi="ar"/>
        </w:rPr>
        <w:t>为进一步提升中央转移支付资金使用效益，计划从以下方面进行改进：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一方面，强化项目监管，压实管理责任。下一步将持续强化中央转移支付资金项目全流程管理，推动项目管理责任落实，聚焦项目绩效目标管理，根据完成情况及时纠偏，不断压实部门项目执行和绩效管理职责。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pPr>
      <w:r>
        <w:rPr>
          <w:rFonts w:hint="eastAsia" w:ascii="仿宋_GB2312" w:hAnsi="仿宋_GB2312" w:eastAsia="仿宋_GB2312" w:cs="仿宋_GB2312"/>
          <w:kern w:val="2"/>
          <w:sz w:val="32"/>
          <w:szCs w:val="32"/>
          <w:lang w:val="en-US" w:eastAsia="zh-CN" w:bidi="ar-SA"/>
        </w:rPr>
        <w:t>另一方面，优化资金分配，完善资金执行。严格落实中央转移支付资金管理文件要求，切实增强资金使用单位支出进度意识，提高中央转移支付资金使用效益，及时下达、拨付项目资金，相关业务方案也应随资金分配及时下达各单位，不断深化项目资金执行监督，持续强化项目预算执行硬约束。同时强化绩效评价结果应用，提升资金精细化管理程度，促使财政资金使用提质增效。</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B94FF6"/>
    <w:rsid w:val="0EC591B8"/>
    <w:rsid w:val="55B94FF6"/>
    <w:rsid w:val="69100C84"/>
    <w:rsid w:val="6FD5C969"/>
    <w:rsid w:val="70FE5BF1"/>
    <w:rsid w:val="7FE7093A"/>
    <w:rsid w:val="B6FD74D9"/>
    <w:rsid w:val="ECF6E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9"/>
    <w:basedOn w:val="1"/>
    <w:next w:val="1"/>
    <w:qFormat/>
    <w:uiPriority w:val="99"/>
    <w:pPr>
      <w:ind w:firstLine="420"/>
    </w:pPr>
    <w:rPr>
      <w:rFonts w:eastAsia="仿宋_GB2312"/>
      <w:bCs/>
      <w:sz w:val="28"/>
      <w:szCs w:val="28"/>
    </w:rPr>
  </w:style>
  <w:style w:type="paragraph" w:styleId="3">
    <w:name w:val="Body Text"/>
    <w:basedOn w:val="1"/>
    <w:next w:val="1"/>
    <w:qFormat/>
    <w:uiPriority w:val="0"/>
    <w:pPr>
      <w:spacing w:after="120" w:line="360" w:lineRule="auto"/>
    </w:pPr>
  </w:style>
  <w:style w:type="paragraph" w:styleId="4">
    <w:name w:val="Plain Text"/>
    <w:basedOn w:val="1"/>
    <w:qFormat/>
    <w:uiPriority w:val="99"/>
    <w:rPr>
      <w:rFonts w:ascii="宋体" w:hAnsi="Courier New"/>
    </w:rPr>
  </w:style>
  <w:style w:type="paragraph" w:styleId="5">
    <w:name w:val="Balloon Text"/>
    <w:basedOn w:val="1"/>
    <w:qFormat/>
    <w:uiPriority w:val="0"/>
    <w:rPr>
      <w:sz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2025-08-27T00:56:00Z</dcterms:created>
  <dc:creator>WPS_1599385647</dc:creator>
  <cp:lastModifiedBy>admin</cp:lastModifiedBy>
  <dcterms:modified xsi:type="dcterms:W3CDTF">2025-08-26T19:22:43Z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C349B0BB62734A6D86CEA1048AA38E76_13</vt:lpwstr>
  </property>
  <property fmtid="{D5CDD505-2E9C-101B-9397-08002B2CF9AE}" pid="4" name="KSOTemplateDocerSaveRecord">
    <vt:lpwstr>eyJoZGlkIjoiYTQyNjNiYmQ5OTcwYzU1MjcwODM4OTYzMjU4ZjZiNzQiLCJ1c2VySWQiOiIxMDgzNDI5MTk2In0=</vt:lpwstr>
  </property>
</Properties>
</file>