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方正小标宋简体" w:hAnsi="方正小标宋简体" w:eastAsia="方正小标宋简体" w:cs="方正小标宋简体"/>
          <w:sz w:val="36"/>
          <w:szCs w:val="36"/>
        </w:rPr>
      </w:pPr>
    </w:p>
    <w:p>
      <w:pPr>
        <w:spacing w:line="600" w:lineRule="exact"/>
        <w:jc w:val="center"/>
        <w:rPr>
          <w:rFonts w:hint="eastAsia" w:ascii="方正小标宋简体" w:hAnsi="方正小标宋简体" w:eastAsia="方正小标宋简体" w:cs="方正小标宋简体"/>
          <w:sz w:val="36"/>
          <w:szCs w:val="36"/>
        </w:rPr>
      </w:pPr>
    </w:p>
    <w:p>
      <w:pPr>
        <w:spacing w:line="600" w:lineRule="exact"/>
        <w:jc w:val="center"/>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202</w:t>
      </w:r>
      <w:r>
        <w:rPr>
          <w:rFonts w:hint="eastAsia" w:ascii="方正小标宋简体" w:hAnsi="方正小标宋简体" w:eastAsia="方正小标宋简体" w:cs="方正小标宋简体"/>
          <w:sz w:val="36"/>
          <w:szCs w:val="36"/>
          <w:lang w:val="en-US" w:eastAsia="zh-CN"/>
        </w:rPr>
        <w:t>4</w:t>
      </w:r>
      <w:r>
        <w:rPr>
          <w:rFonts w:hint="eastAsia" w:ascii="方正小标宋简体" w:hAnsi="方正小标宋简体" w:eastAsia="方正小标宋简体" w:cs="方正小标宋简体"/>
          <w:sz w:val="36"/>
          <w:szCs w:val="36"/>
        </w:rPr>
        <w:t>年度中央对北京</w:t>
      </w:r>
      <w:r>
        <w:rPr>
          <w:rFonts w:hint="eastAsia" w:ascii="方正小标宋简体" w:hAnsi="方正小标宋简体" w:eastAsia="方正小标宋简体" w:cs="方正小标宋简体"/>
          <w:sz w:val="36"/>
          <w:szCs w:val="36"/>
          <w:lang w:eastAsia="zh-CN"/>
        </w:rPr>
        <w:t>医疗服务与保障能力提升补助资金</w:t>
      </w:r>
      <w:r>
        <w:rPr>
          <w:rFonts w:hint="eastAsia" w:ascii="方正小标宋简体" w:hAnsi="方正小标宋简体" w:eastAsia="方正小标宋简体" w:cs="方正小标宋简体"/>
          <w:sz w:val="36"/>
          <w:szCs w:val="36"/>
        </w:rPr>
        <w:t>转移支付预算执行情况绩效自评报告</w:t>
      </w:r>
    </w:p>
    <w:p>
      <w:pPr>
        <w:spacing w:line="600" w:lineRule="exact"/>
        <w:ind w:firstLine="640" w:firstLineChars="200"/>
        <w:rPr>
          <w:rFonts w:hint="eastAsia" w:ascii="黑体" w:hAnsi="黑体" w:eastAsia="黑体" w:cs="黑体"/>
          <w:sz w:val="32"/>
          <w:szCs w:val="32"/>
        </w:rPr>
      </w:pPr>
    </w:p>
    <w:p>
      <w:pPr>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一、转移支付基本情况</w:t>
      </w:r>
    </w:p>
    <w:p>
      <w:pPr>
        <w:spacing w:line="600" w:lineRule="exact"/>
        <w:ind w:firstLine="642" w:firstLineChars="200"/>
        <w:rPr>
          <w:rFonts w:hint="eastAsia" w:ascii="楷体_GB2312" w:hAnsi="楷体_GB2312" w:eastAsia="楷体_GB2312" w:cs="楷体_GB2312"/>
          <w:b/>
          <w:bCs/>
          <w:sz w:val="32"/>
          <w:szCs w:val="32"/>
          <w:lang w:eastAsia="zh-CN"/>
        </w:rPr>
      </w:pPr>
      <w:r>
        <w:rPr>
          <w:rFonts w:hint="eastAsia" w:ascii="楷体_GB2312" w:hAnsi="楷体_GB2312" w:eastAsia="楷体_GB2312" w:cs="楷体_GB2312"/>
          <w:b/>
          <w:bCs/>
          <w:sz w:val="32"/>
          <w:szCs w:val="32"/>
        </w:rPr>
        <w:t>（一）</w:t>
      </w:r>
      <w:r>
        <w:rPr>
          <w:rFonts w:hint="eastAsia" w:ascii="楷体_GB2312" w:hAnsi="楷体_GB2312" w:eastAsia="楷体_GB2312" w:cs="楷体_GB2312"/>
          <w:b/>
          <w:bCs/>
          <w:sz w:val="32"/>
          <w:szCs w:val="32"/>
          <w:lang w:eastAsia="zh-CN"/>
        </w:rPr>
        <w:t>转移支付资金概况</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2024年北京市医疗服务与保障能力提升补助资金转移支付共计56,524万元，资金</w:t>
      </w:r>
      <w:r>
        <w:rPr>
          <w:rFonts w:hint="eastAsia" w:ascii="仿宋_GB2312" w:hAnsi="仿宋_GB2312" w:eastAsia="仿宋_GB2312" w:cs="仿宋_GB2312"/>
          <w:sz w:val="32"/>
          <w:szCs w:val="32"/>
          <w:lang w:eastAsia="zh-CN"/>
        </w:rPr>
        <w:t>按照国家工作安排</w:t>
      </w:r>
      <w:r>
        <w:rPr>
          <w:rFonts w:hint="eastAsia" w:ascii="仿宋_GB2312" w:hAnsi="仿宋_GB2312" w:eastAsia="仿宋_GB2312" w:cs="仿宋_GB2312"/>
          <w:sz w:val="32"/>
          <w:szCs w:val="32"/>
        </w:rPr>
        <w:t>分9次下达。</w:t>
      </w:r>
    </w:p>
    <w:p>
      <w:pPr>
        <w:spacing w:line="600" w:lineRule="exact"/>
        <w:ind w:firstLine="642" w:firstLineChars="200"/>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（二）资金投入情况分析</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2024年北京市医疗服务与保障能力提升补助资金转移支付预算金额共计138,622.71万元，截至2024年12月31日，实际支出金额97,977.87万元，资金执行率为70.68%。其中：中央财政资金预算金额为56,524万元，实际支出21,747.51万元，资金执行率为38.47%；地方配套资金预算金额为76,704.65万元，实际支出74,143.28万元，资金执行率为96.66%；其他资金预算金额为5,394.06万元，实际支出2,087.09万元，资金执行率为38.69%。</w:t>
      </w:r>
    </w:p>
    <w:p>
      <w:pPr>
        <w:spacing w:line="600" w:lineRule="exact"/>
        <w:ind w:firstLine="642" w:firstLineChars="200"/>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（三）资金管理情况分析</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bCs/>
          <w:color w:val="auto"/>
          <w:sz w:val="32"/>
          <w:szCs w:val="32"/>
          <w:lang w:eastAsia="zh-CN"/>
        </w:rPr>
        <w:t>2024年度</w:t>
      </w:r>
      <w:r>
        <w:rPr>
          <w:rFonts w:hint="eastAsia" w:ascii="仿宋_GB2312" w:hAnsi="仿宋_GB2312" w:eastAsia="仿宋_GB2312" w:cs="仿宋_GB2312"/>
          <w:bCs/>
          <w:color w:val="auto"/>
          <w:sz w:val="32"/>
          <w:szCs w:val="32"/>
        </w:rPr>
        <w:t>转移支付资金</w:t>
      </w:r>
      <w:r>
        <w:rPr>
          <w:rFonts w:hint="eastAsia" w:ascii="仿宋_GB2312" w:hAnsi="仿宋_GB2312" w:eastAsia="仿宋_GB2312" w:cs="仿宋_GB2312"/>
          <w:bCs/>
          <w:color w:val="auto"/>
          <w:sz w:val="32"/>
          <w:szCs w:val="32"/>
          <w:lang w:val="en-US" w:eastAsia="zh-CN"/>
        </w:rPr>
        <w:t>分配</w:t>
      </w:r>
      <w:r>
        <w:rPr>
          <w:rFonts w:hint="eastAsia" w:ascii="仿宋_GB2312" w:hAnsi="仿宋_GB2312" w:eastAsia="仿宋_GB2312" w:cs="仿宋_GB2312"/>
          <w:bCs/>
          <w:color w:val="auto"/>
          <w:sz w:val="32"/>
          <w:szCs w:val="32"/>
        </w:rPr>
        <w:t>情况</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北京市财政局根据北京市卫生健康委员会的分配方案，分批次下达2024年医疗服务与保障能力提升（公立医院综合改革）补助资金23,689万元，2024年医疗服务与保障能力提升（医疗卫生机构能力建设）补助资金16,750万元，2024年医疗服务与保障能力提升（卫生健康人才培养）补助资金16,085万元。各区根据区情确定是否配套资金。</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2024年北京市医疗服务与保障能力提升补助资金包含2024年医疗服务与保障能力提升（公立医院综合改革）补助资金、2024年医疗服务与保障能力提升（医疗卫生机构能力建设）补助资金和2024年医疗服务与保障能力提升（卫生健康人才培养）补助资金三部分内容。其中2024年医疗服务与保障能力提升（公立医院综合改革）补助资金涉及16个区卫生健康委，预算资金共100,727.12万元，实际到位资金100,727.12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其中</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中央财政资金23,689万元、地方配套资金76,704.65万元、其他资金333.47万元。</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2024年医疗服务与保障能力提升（医疗卫生机构能力建设）补助资金涉及</w:t>
      </w:r>
      <w:r>
        <w:rPr>
          <w:rFonts w:hint="eastAsia" w:ascii="仿宋_GB2312" w:hAnsi="仿宋_GB2312" w:eastAsia="仿宋_GB2312" w:cs="仿宋_GB2312"/>
          <w:sz w:val="32"/>
          <w:szCs w:val="32"/>
          <w:lang w:eastAsia="zh-CN"/>
        </w:rPr>
        <w:t>各</w:t>
      </w:r>
      <w:r>
        <w:rPr>
          <w:rFonts w:hint="eastAsia" w:ascii="仿宋_GB2312" w:hAnsi="仿宋_GB2312" w:eastAsia="仿宋_GB2312" w:cs="仿宋_GB2312"/>
          <w:sz w:val="32"/>
          <w:szCs w:val="32"/>
        </w:rPr>
        <w:t>区卫生健康委，市卫生健康委</w:t>
      </w:r>
      <w:r>
        <w:rPr>
          <w:rFonts w:hint="eastAsia" w:ascii="仿宋_GB2312" w:hAnsi="仿宋_GB2312" w:eastAsia="仿宋_GB2312" w:cs="仿宋_GB2312"/>
          <w:sz w:val="32"/>
          <w:szCs w:val="32"/>
          <w:lang w:eastAsia="zh-CN"/>
        </w:rPr>
        <w:t>及直属单位、央属及市属医院</w:t>
      </w:r>
      <w:r>
        <w:rPr>
          <w:rFonts w:hint="eastAsia" w:ascii="仿宋_GB2312" w:hAnsi="仿宋_GB2312" w:eastAsia="仿宋_GB2312" w:cs="仿宋_GB2312"/>
          <w:sz w:val="32"/>
          <w:szCs w:val="32"/>
        </w:rPr>
        <w:t>，预算资金共21,810.59万元，实际到位资金21,810.59万元，其中中央财政资金16,750万元、其他资金5,060.59万元。</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2024年北京市医疗服务与保障能力提升（卫生健康人才培养）补助资金涉及</w:t>
      </w:r>
      <w:r>
        <w:rPr>
          <w:rFonts w:hint="eastAsia" w:ascii="仿宋_GB2312" w:hAnsi="仿宋_GB2312" w:eastAsia="仿宋_GB2312" w:cs="仿宋_GB2312"/>
          <w:sz w:val="32"/>
          <w:szCs w:val="32"/>
          <w:lang w:eastAsia="zh-CN"/>
        </w:rPr>
        <w:t>各</w:t>
      </w:r>
      <w:r>
        <w:rPr>
          <w:rFonts w:hint="eastAsia" w:ascii="仿宋_GB2312" w:hAnsi="仿宋_GB2312" w:eastAsia="仿宋_GB2312" w:cs="仿宋_GB2312"/>
          <w:sz w:val="32"/>
          <w:szCs w:val="32"/>
        </w:rPr>
        <w:t>区卫生健康委，市卫生健康委</w:t>
      </w:r>
      <w:r>
        <w:rPr>
          <w:rFonts w:hint="eastAsia" w:ascii="仿宋_GB2312" w:hAnsi="仿宋_GB2312" w:eastAsia="仿宋_GB2312" w:cs="仿宋_GB2312"/>
          <w:sz w:val="32"/>
          <w:szCs w:val="32"/>
          <w:lang w:eastAsia="zh-CN"/>
        </w:rPr>
        <w:t>及直属单位、央属及市属医院</w:t>
      </w:r>
      <w:r>
        <w:rPr>
          <w:rFonts w:hint="eastAsia" w:ascii="仿宋_GB2312" w:hAnsi="仿宋_GB2312" w:eastAsia="仿宋_GB2312" w:cs="仿宋_GB2312"/>
          <w:sz w:val="32"/>
          <w:szCs w:val="32"/>
        </w:rPr>
        <w:t>，预算资金共16,085万元，实际到位资金16,085万元，均为中央财政资金。</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bCs/>
          <w:color w:val="auto"/>
          <w:sz w:val="32"/>
          <w:szCs w:val="32"/>
          <w:lang w:eastAsia="zh-CN"/>
        </w:rPr>
        <w:t>2024年度</w:t>
      </w:r>
      <w:r>
        <w:rPr>
          <w:rFonts w:hint="eastAsia" w:ascii="仿宋_GB2312" w:hAnsi="仿宋_GB2312" w:eastAsia="仿宋_GB2312" w:cs="仿宋_GB2312"/>
          <w:bCs/>
          <w:color w:val="auto"/>
          <w:sz w:val="32"/>
          <w:szCs w:val="32"/>
        </w:rPr>
        <w:t>转移支付资金下达情况</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北京市卫生健康委员会制定了资金分配表后，严格按照预算法及其实施条例，向北京市财政局提出申请，由北京市财政局及时将项目资金拨付给</w:t>
      </w:r>
      <w:r>
        <w:rPr>
          <w:rFonts w:hint="eastAsia" w:ascii="仿宋_GB2312" w:hAnsi="仿宋_GB2312" w:eastAsia="仿宋_GB2312" w:cs="仿宋_GB2312"/>
          <w:sz w:val="32"/>
          <w:szCs w:val="32"/>
          <w:lang w:eastAsia="zh-CN"/>
        </w:rPr>
        <w:t>资金分配</w:t>
      </w:r>
      <w:r>
        <w:rPr>
          <w:rFonts w:hint="eastAsia" w:ascii="仿宋_GB2312" w:hAnsi="仿宋_GB2312" w:eastAsia="仿宋_GB2312" w:cs="仿宋_GB2312"/>
          <w:sz w:val="32"/>
          <w:szCs w:val="32"/>
        </w:rPr>
        <w:t>单位。</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各区卫生健康委在收到资金下达的通知后，根据各区的实际情况结合北京市卫生健康委员会制定的实施方案情况，制定本区的资金分配方案，由区财政局将项目资金及时下达给各个项目资金使用单位。各个资金使用单位根据资金分配表情况组织实施各项工作，项目整体资金下达较为及时。</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3.资金拨付合规性</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2024年北京市医疗服务与保障能力提升补助资金转移支付严格按照北京市国库集中支付制度有关规定支付资金，未出现违规将资金从国库转入财政专户或支付到预算单位实有资金账户等问题。</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4.资金使用规范性</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2024年北京市医疗服务与保障能力提升补助资金转移支付根据国家、北京市级工作实施方案及相应资金管理办法等文件要求，结合各个资金使用单位的项目资金管理制度，能够做到专款专用，严格按照下达预算的科目和项目执行，未出现截留、挤占、挪用或擅自调整等问题。并按照财务管理要求进行财务核算，资金管理使用较为规范。</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.预算绩效管理情况</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2024年北京市医疗服务与保障能力提升补助资金转移支付在细化下达预算时同步下达绩效目标，北京市卫生健康委员会、16个区级卫生健康委员会和相关资金使用单位按照统一工作部署要求，组织开展绩效自评工作。</w:t>
      </w:r>
    </w:p>
    <w:p>
      <w:pPr>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二、绩效目标实现情况</w:t>
      </w:r>
    </w:p>
    <w:p>
      <w:pPr>
        <w:spacing w:line="600" w:lineRule="exact"/>
        <w:ind w:firstLine="642" w:firstLineChars="200"/>
        <w:rPr>
          <w:rFonts w:hint="eastAsia" w:ascii="楷体_GB2312" w:hAnsi="楷体_GB2312" w:eastAsia="楷体_GB2312" w:cs="楷体_GB2312"/>
          <w:b/>
          <w:bCs/>
          <w:sz w:val="32"/>
          <w:szCs w:val="32"/>
          <w:lang w:eastAsia="zh-CN"/>
        </w:rPr>
      </w:pPr>
      <w:r>
        <w:rPr>
          <w:rFonts w:hint="eastAsia" w:ascii="楷体_GB2312" w:hAnsi="楷体_GB2312" w:eastAsia="楷体_GB2312" w:cs="楷体_GB2312"/>
          <w:b/>
          <w:bCs/>
          <w:sz w:val="32"/>
          <w:szCs w:val="32"/>
        </w:rPr>
        <w:t>（一）总体绩效目标完成情况分析。</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随着医疗服务与保障能力提升补助资金转移支付支持力度不断加大，2024年整体绩效目标完成情况如下：</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深化以公益性为导向的公立医院改革，2024年北京市重点推进国家公立医院高质量发展试点和海淀区公立医院改革与高质量发展示范项目，推动公立医院高质量发展，深入推广三明医改经验，促进医保、医疗、医药协同发展和治理；全市、4家在京试点医院、海淀区主要绩效指标持续改进。</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2.2024年北京市做到落实</w:t>
      </w:r>
      <w:r>
        <w:rPr>
          <w:rFonts w:hint="eastAsia" w:ascii="仿宋_GB2312" w:hAnsi="仿宋_GB2312" w:eastAsia="仿宋_GB2312" w:cs="仿宋_GB2312"/>
          <w:sz w:val="32"/>
          <w:szCs w:val="32"/>
          <w:lang w:eastAsia="zh-CN"/>
        </w:rPr>
        <w:t>国家工作部署要求</w:t>
      </w:r>
      <w:r>
        <w:rPr>
          <w:rFonts w:hint="eastAsia" w:ascii="仿宋_GB2312" w:hAnsi="仿宋_GB2312" w:eastAsia="仿宋_GB2312" w:cs="仿宋_GB2312"/>
          <w:sz w:val="32"/>
          <w:szCs w:val="32"/>
        </w:rPr>
        <w:t>，加大卫生健康人才培养培训力度。经住院医师规范化培训的临床医师进一步增加，全科、精神科、儿科等紧缺专业卫生健康人才进一步充实，基层医疗卫生机构医疗水平不断提升，整个卫生健康人才队伍的专业结构、城乡结构和区域分布不断优化，促进人才与卫生健康事业发展更加适应，加快构建适合我国国情的整合型医疗卫生服务体系。</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3.2024年9月完成2024年度中央财政关于医疗卫生机构能力建设转移支付建设项目的遴选，明确了8个建设项目。各单位承担建设以来，共完成8个新技术新项目。</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4.普惠托育服务发展示范项目方面</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整体扩大托位数供给，以满足婴幼儿的入托需求为目标，并逐步增加可接收2岁以下婴幼儿入托的托位。确保托育机构能够提供专业的医疗服务与指导，保障婴幼儿身心健康发展</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通过培训与考核提高托育从业者专业水平，保障婴幼儿的受教育质量水平。满足群众想要“托得好”的需求。</w:t>
      </w:r>
      <w:r>
        <w:rPr>
          <w:rFonts w:hint="eastAsia" w:ascii="仿宋_GB2312" w:hAnsi="仿宋_GB2312" w:eastAsia="仿宋_GB2312" w:cs="仿宋_GB2312"/>
          <w:sz w:val="32"/>
          <w:szCs w:val="32"/>
          <w:lang w:eastAsia="zh-CN"/>
        </w:rPr>
        <w:t>增加</w:t>
      </w:r>
      <w:r>
        <w:rPr>
          <w:rFonts w:hint="eastAsia" w:ascii="仿宋_GB2312" w:hAnsi="仿宋_GB2312" w:eastAsia="仿宋_GB2312" w:cs="仿宋_GB2312"/>
          <w:sz w:val="32"/>
          <w:szCs w:val="32"/>
        </w:rPr>
        <w:t>社区托育服务机构覆盖</w:t>
      </w:r>
      <w:r>
        <w:rPr>
          <w:rFonts w:hint="eastAsia" w:ascii="仿宋_GB2312" w:hAnsi="仿宋_GB2312" w:eastAsia="仿宋_GB2312" w:cs="仿宋_GB2312"/>
          <w:sz w:val="32"/>
          <w:szCs w:val="32"/>
          <w:lang w:eastAsia="zh-CN"/>
        </w:rPr>
        <w:t>面，提升</w:t>
      </w:r>
      <w:r>
        <w:rPr>
          <w:rFonts w:hint="eastAsia" w:ascii="仿宋_GB2312" w:hAnsi="仿宋_GB2312" w:eastAsia="仿宋_GB2312" w:cs="仿宋_GB2312"/>
          <w:sz w:val="32"/>
          <w:szCs w:val="32"/>
        </w:rPr>
        <w:t>用人单位、产业园区和商业楼宇托育服务机构的覆盖</w:t>
      </w:r>
      <w:r>
        <w:rPr>
          <w:rFonts w:hint="eastAsia" w:ascii="仿宋_GB2312" w:hAnsi="仿宋_GB2312" w:eastAsia="仿宋_GB2312" w:cs="仿宋_GB2312"/>
          <w:sz w:val="32"/>
          <w:szCs w:val="32"/>
          <w:lang w:eastAsia="zh-CN"/>
        </w:rPr>
        <w:t>面</w:t>
      </w:r>
      <w:bookmarkStart w:id="0" w:name="_GoBack"/>
      <w:bookmarkEnd w:id="0"/>
      <w:r>
        <w:rPr>
          <w:rFonts w:hint="eastAsia" w:ascii="仿宋_GB2312" w:hAnsi="仿宋_GB2312" w:eastAsia="仿宋_GB2312" w:cs="仿宋_GB2312"/>
          <w:sz w:val="32"/>
          <w:szCs w:val="32"/>
          <w:lang w:eastAsia="zh-CN"/>
        </w:rPr>
        <w:t>。降低家庭</w:t>
      </w:r>
      <w:r>
        <w:rPr>
          <w:rFonts w:hint="eastAsia" w:ascii="仿宋_GB2312" w:hAnsi="仿宋_GB2312" w:eastAsia="仿宋_GB2312" w:cs="仿宋_GB2312"/>
          <w:sz w:val="32"/>
          <w:szCs w:val="32"/>
        </w:rPr>
        <w:t>托育</w:t>
      </w:r>
      <w:r>
        <w:rPr>
          <w:rFonts w:hint="eastAsia" w:ascii="仿宋_GB2312" w:hAnsi="仿宋_GB2312" w:eastAsia="仿宋_GB2312" w:cs="仿宋_GB2312"/>
          <w:sz w:val="32"/>
          <w:szCs w:val="32"/>
          <w:lang w:eastAsia="zh-CN"/>
        </w:rPr>
        <w:t>负担</w:t>
      </w:r>
      <w:r>
        <w:rPr>
          <w:rFonts w:hint="eastAsia" w:ascii="仿宋_GB2312" w:hAnsi="仿宋_GB2312" w:eastAsia="仿宋_GB2312" w:cs="仿宋_GB2312"/>
          <w:sz w:val="32"/>
          <w:szCs w:val="32"/>
        </w:rPr>
        <w:t>。托育服务与群众需求相匹配，3岁以下婴幼儿入托家庭服务满意度</w:t>
      </w:r>
      <w:r>
        <w:rPr>
          <w:rFonts w:hint="eastAsia" w:ascii="仿宋_GB2312" w:hAnsi="仿宋_GB2312" w:eastAsia="仿宋_GB2312" w:cs="仿宋_GB2312"/>
          <w:sz w:val="32"/>
          <w:szCs w:val="32"/>
          <w:lang w:eastAsia="zh-CN"/>
        </w:rPr>
        <w:t>有所</w:t>
      </w:r>
      <w:r>
        <w:rPr>
          <w:rFonts w:hint="eastAsia" w:ascii="仿宋_GB2312" w:hAnsi="仿宋_GB2312" w:eastAsia="仿宋_GB2312" w:cs="仿宋_GB2312"/>
          <w:sz w:val="32"/>
          <w:szCs w:val="32"/>
        </w:rPr>
        <w:t>提高。</w:t>
      </w:r>
    </w:p>
    <w:p>
      <w:pPr>
        <w:spacing w:line="600" w:lineRule="exact"/>
        <w:ind w:firstLine="642" w:firstLineChars="200"/>
        <w:rPr>
          <w:rFonts w:hint="eastAsia" w:ascii="楷体_GB2312" w:hAnsi="楷体_GB2312" w:eastAsia="楷体_GB2312" w:cs="楷体_GB2312"/>
          <w:b/>
          <w:bCs/>
          <w:sz w:val="32"/>
          <w:szCs w:val="32"/>
          <w:lang w:eastAsia="zh-CN"/>
        </w:rPr>
      </w:pPr>
      <w:r>
        <w:rPr>
          <w:rFonts w:hint="eastAsia" w:ascii="楷体_GB2312" w:hAnsi="楷体_GB2312" w:eastAsia="楷体_GB2312" w:cs="楷体_GB2312"/>
          <w:b/>
          <w:bCs/>
          <w:sz w:val="32"/>
          <w:szCs w:val="32"/>
        </w:rPr>
        <w:t>（二）绩效指标完成情况分析</w:t>
      </w:r>
    </w:p>
    <w:p>
      <w:pPr>
        <w:pStyle w:val="3"/>
        <w:spacing w:after="0" w:line="580" w:lineRule="exact"/>
        <w:ind w:firstLine="640" w:firstLineChars="200"/>
        <w:rPr>
          <w:rFonts w:ascii="仿宋_GB2312" w:hAnsi="仿宋_GB2312" w:eastAsia="仿宋_GB2312" w:cs="仿宋_GB2312"/>
          <w:bCs/>
          <w:color w:val="FF0000"/>
          <w:sz w:val="32"/>
          <w:szCs w:val="32"/>
        </w:rPr>
      </w:pPr>
      <w:r>
        <w:rPr>
          <w:rFonts w:hint="eastAsia" w:ascii="仿宋_GB2312" w:hAnsi="仿宋_GB2312" w:eastAsia="仿宋_GB2312" w:cs="仿宋_GB2312"/>
          <w:bCs/>
          <w:sz w:val="32"/>
          <w:szCs w:val="32"/>
        </w:rPr>
        <w:t>（1）数量指标</w:t>
      </w:r>
    </w:p>
    <w:p>
      <w:pPr>
        <w:spacing w:line="580" w:lineRule="exact"/>
        <w:ind w:firstLine="640" w:firstLineChars="200"/>
        <w:jc w:val="both"/>
        <w:rPr>
          <w:rFonts w:ascii="仿宋_GB2312" w:hAnsi="仿宋" w:eastAsia="仿宋_GB2312"/>
          <w:sz w:val="36"/>
          <w:szCs w:val="36"/>
        </w:rPr>
      </w:pPr>
      <w:r>
        <w:rPr>
          <w:rFonts w:hint="eastAsia" w:ascii="仿宋_GB2312" w:hAnsi="仿宋" w:eastAsia="仿宋_GB2312"/>
          <w:bCs/>
          <w:sz w:val="32"/>
          <w:szCs w:val="32"/>
          <w:lang w:eastAsia="zh-CN"/>
        </w:rPr>
        <w:t>2024年</w:t>
      </w:r>
      <w:r>
        <w:rPr>
          <w:rFonts w:hint="eastAsia" w:ascii="仿宋_GB2312" w:hAnsi="仿宋" w:eastAsia="仿宋_GB2312"/>
          <w:bCs/>
          <w:sz w:val="32"/>
          <w:szCs w:val="32"/>
        </w:rPr>
        <w:t>北京市医疗服务与保障能力提升补助资金转移支付</w:t>
      </w:r>
      <w:r>
        <w:rPr>
          <w:rFonts w:hint="eastAsia" w:ascii="仿宋_GB2312" w:hAnsi="仿宋" w:eastAsia="仿宋_GB2312" w:cs="仿宋_GB2312"/>
          <w:bCs/>
          <w:sz w:val="32"/>
          <w:szCs w:val="32"/>
        </w:rPr>
        <w:t>项目</w:t>
      </w:r>
      <w:r>
        <w:rPr>
          <w:rFonts w:hint="eastAsia" w:ascii="仿宋_GB2312" w:hAnsi="仿宋" w:eastAsia="仿宋_GB2312"/>
          <w:bCs/>
          <w:sz w:val="32"/>
          <w:szCs w:val="32"/>
        </w:rPr>
        <w:t>设定的产出数量指标共</w:t>
      </w:r>
      <w:r>
        <w:rPr>
          <w:rFonts w:hint="eastAsia" w:ascii="仿宋_GB2312" w:hAnsi="仿宋" w:eastAsia="仿宋_GB2312"/>
          <w:bCs/>
          <w:sz w:val="32"/>
          <w:szCs w:val="32"/>
          <w:lang w:val="en-US" w:eastAsia="zh-CN"/>
        </w:rPr>
        <w:t>19</w:t>
      </w:r>
      <w:r>
        <w:rPr>
          <w:rFonts w:hint="eastAsia" w:ascii="仿宋_GB2312" w:hAnsi="仿宋" w:eastAsia="仿宋_GB2312"/>
          <w:bCs/>
          <w:sz w:val="32"/>
          <w:szCs w:val="32"/>
        </w:rPr>
        <w:t>项</w:t>
      </w:r>
      <w:r>
        <w:rPr>
          <w:rFonts w:hint="eastAsia" w:ascii="仿宋_GB2312" w:hAnsi="仿宋" w:eastAsia="仿宋_GB2312"/>
          <w:bCs/>
          <w:sz w:val="32"/>
          <w:szCs w:val="32"/>
          <w:highlight w:val="none"/>
        </w:rPr>
        <w:t>，已完成</w:t>
      </w:r>
      <w:r>
        <w:rPr>
          <w:rFonts w:hint="eastAsia" w:ascii="仿宋_GB2312" w:hAnsi="仿宋" w:eastAsia="仿宋_GB2312"/>
          <w:bCs/>
          <w:sz w:val="32"/>
          <w:szCs w:val="32"/>
          <w:highlight w:val="none"/>
          <w:lang w:val="en-US" w:eastAsia="zh-CN"/>
        </w:rPr>
        <w:t>17</w:t>
      </w:r>
      <w:r>
        <w:rPr>
          <w:rFonts w:hint="eastAsia" w:ascii="仿宋_GB2312" w:hAnsi="仿宋" w:eastAsia="仿宋_GB2312"/>
          <w:bCs/>
          <w:sz w:val="32"/>
          <w:szCs w:val="32"/>
          <w:highlight w:val="none"/>
        </w:rPr>
        <w:t>项指标，</w:t>
      </w:r>
      <w:r>
        <w:rPr>
          <w:rFonts w:hint="eastAsia" w:ascii="仿宋_GB2312" w:hAnsi="仿宋" w:eastAsia="仿宋_GB2312"/>
          <w:bCs/>
          <w:sz w:val="32"/>
          <w:szCs w:val="32"/>
          <w:highlight w:val="none"/>
          <w:lang w:val="en-US" w:eastAsia="zh-CN"/>
        </w:rPr>
        <w:t>2</w:t>
      </w:r>
      <w:r>
        <w:rPr>
          <w:rFonts w:hint="eastAsia" w:ascii="仿宋_GB2312" w:hAnsi="仿宋" w:eastAsia="仿宋_GB2312"/>
          <w:bCs/>
          <w:sz w:val="32"/>
          <w:szCs w:val="32"/>
          <w:highlight w:val="none"/>
        </w:rPr>
        <w:t>项指标未完成</w:t>
      </w:r>
      <w:r>
        <w:rPr>
          <w:rFonts w:ascii="仿宋_GB2312" w:hAnsi="仿宋" w:eastAsia="仿宋_GB2312"/>
          <w:bCs/>
          <w:sz w:val="32"/>
          <w:szCs w:val="32"/>
        </w:rPr>
        <w:t>，</w:t>
      </w:r>
      <w:r>
        <w:rPr>
          <w:rFonts w:hint="eastAsia" w:ascii="仿宋_GB2312" w:hAnsi="仿宋" w:eastAsia="仿宋_GB2312"/>
          <w:bCs/>
          <w:sz w:val="32"/>
          <w:szCs w:val="32"/>
        </w:rPr>
        <w:t>具体情况如下表</w:t>
      </w:r>
      <w:r>
        <w:rPr>
          <w:rFonts w:hint="eastAsia" w:ascii="仿宋_GB2312" w:hAnsi="仿宋" w:eastAsia="仿宋_GB2312"/>
          <w:bCs/>
          <w:sz w:val="32"/>
          <w:szCs w:val="32"/>
          <w:lang w:val="en-US" w:eastAsia="zh-CN"/>
        </w:rPr>
        <w:t>1</w:t>
      </w:r>
      <w:r>
        <w:rPr>
          <w:rFonts w:ascii="仿宋_GB2312" w:hAnsi="仿宋" w:eastAsia="仿宋_GB2312"/>
          <w:bCs/>
          <w:sz w:val="32"/>
          <w:szCs w:val="32"/>
        </w:rPr>
        <w:t>：</w:t>
      </w:r>
    </w:p>
    <w:p>
      <w:pPr>
        <w:pStyle w:val="3"/>
        <w:widowControl w:val="0"/>
        <w:kinsoku/>
        <w:autoSpaceDE/>
        <w:autoSpaceDN/>
        <w:adjustRightInd/>
        <w:snapToGrid/>
        <w:spacing w:after="0" w:line="240" w:lineRule="auto"/>
        <w:jc w:val="center"/>
        <w:textAlignment w:val="auto"/>
      </w:pPr>
      <w:r>
        <w:rPr>
          <w:rFonts w:hint="eastAsia" w:ascii="仿宋_GB2312" w:hAnsi="仿宋_GB2312" w:eastAsia="仿宋_GB2312" w:cs="仿宋_GB2312"/>
          <w:snapToGrid/>
          <w:kern w:val="2"/>
          <w:sz w:val="28"/>
          <w:szCs w:val="28"/>
        </w:rPr>
        <w:t>表</w:t>
      </w:r>
      <w:r>
        <w:rPr>
          <w:rFonts w:hint="eastAsia" w:ascii="仿宋_GB2312" w:hAnsi="仿宋_GB2312" w:eastAsia="仿宋_GB2312" w:cs="仿宋_GB2312"/>
          <w:snapToGrid/>
          <w:kern w:val="2"/>
          <w:sz w:val="28"/>
          <w:szCs w:val="28"/>
          <w:lang w:val="en-US" w:eastAsia="zh-CN"/>
        </w:rPr>
        <w:t>1</w:t>
      </w:r>
      <w:r>
        <w:rPr>
          <w:rFonts w:hint="eastAsia" w:ascii="仿宋_GB2312" w:hAnsi="仿宋_GB2312" w:eastAsia="仿宋_GB2312" w:cs="仿宋_GB2312"/>
          <w:snapToGrid/>
          <w:kern w:val="2"/>
          <w:sz w:val="28"/>
          <w:szCs w:val="28"/>
        </w:rPr>
        <w:t>：产出数量指标完成情况表</w:t>
      </w:r>
    </w:p>
    <w:tbl>
      <w:tblPr>
        <w:tblStyle w:val="6"/>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3"/>
        <w:gridCol w:w="1255"/>
        <w:gridCol w:w="2982"/>
        <w:gridCol w:w="1771"/>
        <w:gridCol w:w="16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9" w:hRule="atLeast"/>
          <w:tblHeader/>
          <w:jc w:val="center"/>
        </w:trPr>
        <w:tc>
          <w:tcPr>
            <w:tcW w:w="500" w:type="pct"/>
            <w:tcBorders>
              <w:top w:val="single" w:color="auto" w:sz="4" w:space="0"/>
              <w:left w:val="single" w:color="auto" w:sz="4" w:space="0"/>
              <w:bottom w:val="single" w:color="auto" w:sz="4" w:space="0"/>
              <w:right w:val="single" w:color="auto" w:sz="4" w:space="0"/>
            </w:tcBorders>
            <w:shd w:val="clear" w:color="auto" w:fill="A6A6A6"/>
            <w:noWrap w:val="0"/>
            <w:vAlign w:val="center"/>
          </w:tcPr>
          <w:p>
            <w:pPr>
              <w:jc w:val="center"/>
              <w:rPr>
                <w:rFonts w:ascii="宋体" w:hAnsi="宋体" w:eastAsia="宋体" w:cs="宋体"/>
                <w:b/>
                <w:sz w:val="20"/>
                <w:szCs w:val="20"/>
              </w:rPr>
            </w:pPr>
            <w:r>
              <w:rPr>
                <w:rFonts w:hint="eastAsia" w:ascii="宋体" w:hAnsi="宋体" w:eastAsia="宋体" w:cs="宋体"/>
                <w:b/>
                <w:sz w:val="20"/>
                <w:szCs w:val="20"/>
              </w:rPr>
              <w:t>序号</w:t>
            </w:r>
          </w:p>
        </w:tc>
        <w:tc>
          <w:tcPr>
            <w:tcW w:w="736" w:type="pct"/>
            <w:tcBorders>
              <w:top w:val="single" w:color="auto" w:sz="4" w:space="0"/>
              <w:left w:val="single" w:color="auto" w:sz="4" w:space="0"/>
              <w:bottom w:val="single" w:color="auto" w:sz="4" w:space="0"/>
              <w:right w:val="single" w:color="auto" w:sz="4" w:space="0"/>
            </w:tcBorders>
            <w:shd w:val="clear" w:color="auto" w:fill="A6A6A6"/>
            <w:noWrap w:val="0"/>
            <w:vAlign w:val="center"/>
          </w:tcPr>
          <w:p>
            <w:pPr>
              <w:jc w:val="center"/>
              <w:rPr>
                <w:rFonts w:ascii="宋体" w:hAnsi="宋体" w:eastAsia="宋体" w:cs="宋体"/>
                <w:b/>
                <w:sz w:val="20"/>
                <w:szCs w:val="20"/>
              </w:rPr>
            </w:pPr>
            <w:r>
              <w:rPr>
                <w:rFonts w:hint="eastAsia" w:ascii="宋体" w:hAnsi="宋体" w:eastAsia="宋体" w:cs="宋体"/>
                <w:b/>
                <w:sz w:val="20"/>
                <w:szCs w:val="20"/>
              </w:rPr>
              <w:t>指标类型</w:t>
            </w:r>
          </w:p>
        </w:tc>
        <w:tc>
          <w:tcPr>
            <w:tcW w:w="1749" w:type="pct"/>
            <w:tcBorders>
              <w:top w:val="single" w:color="auto" w:sz="4" w:space="0"/>
              <w:left w:val="single" w:color="auto" w:sz="4" w:space="0"/>
              <w:bottom w:val="single" w:color="auto" w:sz="4" w:space="0"/>
              <w:right w:val="single" w:color="auto" w:sz="4" w:space="0"/>
            </w:tcBorders>
            <w:shd w:val="clear" w:color="auto" w:fill="A6A6A6"/>
            <w:noWrap w:val="0"/>
            <w:vAlign w:val="center"/>
          </w:tcPr>
          <w:p>
            <w:pPr>
              <w:jc w:val="center"/>
              <w:rPr>
                <w:rFonts w:ascii="宋体" w:hAnsi="宋体" w:eastAsia="宋体" w:cs="宋体"/>
                <w:b/>
                <w:sz w:val="20"/>
                <w:szCs w:val="20"/>
              </w:rPr>
            </w:pPr>
            <w:r>
              <w:rPr>
                <w:rFonts w:hint="eastAsia" w:ascii="宋体" w:hAnsi="宋体" w:eastAsia="宋体" w:cs="宋体"/>
                <w:b/>
                <w:sz w:val="20"/>
                <w:szCs w:val="20"/>
              </w:rPr>
              <w:t>三级指标</w:t>
            </w:r>
          </w:p>
        </w:tc>
        <w:tc>
          <w:tcPr>
            <w:tcW w:w="1039" w:type="pct"/>
            <w:tcBorders>
              <w:top w:val="single" w:color="auto" w:sz="4" w:space="0"/>
              <w:left w:val="single" w:color="auto" w:sz="4" w:space="0"/>
              <w:bottom w:val="single" w:color="auto" w:sz="4" w:space="0"/>
              <w:right w:val="single" w:color="auto" w:sz="4" w:space="0"/>
            </w:tcBorders>
            <w:shd w:val="clear" w:color="auto" w:fill="A6A6A6"/>
            <w:noWrap w:val="0"/>
            <w:vAlign w:val="center"/>
          </w:tcPr>
          <w:p>
            <w:pPr>
              <w:jc w:val="center"/>
              <w:rPr>
                <w:rFonts w:ascii="宋体" w:hAnsi="宋体" w:eastAsia="宋体" w:cs="宋体"/>
                <w:b/>
                <w:sz w:val="20"/>
                <w:szCs w:val="20"/>
              </w:rPr>
            </w:pPr>
            <w:r>
              <w:rPr>
                <w:rFonts w:hint="eastAsia" w:ascii="宋体" w:hAnsi="宋体" w:eastAsia="宋体" w:cs="宋体"/>
                <w:b/>
                <w:sz w:val="20"/>
                <w:szCs w:val="20"/>
              </w:rPr>
              <w:t>指标值</w:t>
            </w:r>
          </w:p>
        </w:tc>
        <w:tc>
          <w:tcPr>
            <w:tcW w:w="973" w:type="pct"/>
            <w:tcBorders>
              <w:top w:val="single" w:color="auto" w:sz="4" w:space="0"/>
              <w:left w:val="single" w:color="auto" w:sz="4" w:space="0"/>
              <w:bottom w:val="single" w:color="auto" w:sz="4" w:space="0"/>
              <w:right w:val="single" w:color="auto" w:sz="4" w:space="0"/>
            </w:tcBorders>
            <w:shd w:val="clear" w:color="auto" w:fill="A6A6A6"/>
            <w:noWrap w:val="0"/>
            <w:vAlign w:val="center"/>
          </w:tcPr>
          <w:p>
            <w:pPr>
              <w:jc w:val="center"/>
              <w:rPr>
                <w:rFonts w:ascii="宋体" w:hAnsi="宋体" w:eastAsia="宋体" w:cs="宋体"/>
                <w:b/>
                <w:sz w:val="20"/>
                <w:szCs w:val="20"/>
              </w:rPr>
            </w:pPr>
            <w:r>
              <w:rPr>
                <w:rFonts w:hint="eastAsia" w:ascii="宋体" w:hAnsi="宋体" w:eastAsia="宋体" w:cs="宋体"/>
                <w:b/>
                <w:sz w:val="20"/>
                <w:szCs w:val="20"/>
              </w:rPr>
              <w:t>实际完成值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500" w:type="pct"/>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cs="宋体"/>
                <w:sz w:val="20"/>
                <w:szCs w:val="20"/>
              </w:rPr>
            </w:pPr>
            <w:r>
              <w:rPr>
                <w:rFonts w:hint="eastAsia" w:ascii="宋体" w:hAnsi="宋体" w:eastAsia="宋体" w:cs="宋体"/>
                <w:sz w:val="20"/>
                <w:szCs w:val="20"/>
              </w:rPr>
              <w:t>1</w:t>
            </w:r>
          </w:p>
        </w:tc>
        <w:tc>
          <w:tcPr>
            <w:tcW w:w="736" w:type="pct"/>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0"/>
                <w:szCs w:val="20"/>
              </w:rPr>
            </w:pPr>
            <w:r>
              <w:rPr>
                <w:rFonts w:hint="eastAsia" w:ascii="宋体" w:hAnsi="宋体" w:eastAsia="宋体" w:cs="宋体"/>
                <w:sz w:val="20"/>
                <w:szCs w:val="20"/>
              </w:rPr>
              <w:t>数量指标</w:t>
            </w:r>
          </w:p>
        </w:tc>
        <w:tc>
          <w:tcPr>
            <w:tcW w:w="1749" w:type="pct"/>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0"/>
                <w:szCs w:val="20"/>
              </w:rPr>
            </w:pPr>
            <w:r>
              <w:rPr>
                <w:rFonts w:hint="eastAsia" w:ascii="宋体" w:hAnsi="宋体" w:eastAsia="宋体" w:cs="宋体"/>
                <w:sz w:val="20"/>
                <w:szCs w:val="20"/>
                <w:lang w:val="en-US" w:eastAsia="zh-CN"/>
              </w:rPr>
              <w:t>国家临床重点专科建设项目数量</w:t>
            </w:r>
          </w:p>
        </w:tc>
        <w:tc>
          <w:tcPr>
            <w:tcW w:w="1039"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eastAsia="宋体" w:cs="宋体"/>
                <w:sz w:val="20"/>
                <w:szCs w:val="20"/>
              </w:rPr>
            </w:pPr>
            <w:r>
              <w:rPr>
                <w:rFonts w:hint="eastAsia" w:ascii="宋体" w:hAnsi="宋体" w:eastAsia="宋体" w:cs="宋体"/>
                <w:i w:val="0"/>
                <w:iCs w:val="0"/>
                <w:snapToGrid w:val="0"/>
                <w:color w:val="000000"/>
                <w:kern w:val="0"/>
                <w:sz w:val="20"/>
                <w:szCs w:val="20"/>
                <w:u w:val="none"/>
                <w:lang w:val="en-US" w:eastAsia="zh-CN" w:bidi="ar"/>
              </w:rPr>
              <w:t>8个</w:t>
            </w:r>
          </w:p>
        </w:tc>
        <w:tc>
          <w:tcPr>
            <w:tcW w:w="973"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right"/>
              <w:textAlignment w:val="center"/>
              <w:rPr>
                <w:rFonts w:ascii="宋体" w:hAnsi="宋体" w:eastAsia="宋体" w:cs="宋体"/>
                <w:sz w:val="20"/>
                <w:szCs w:val="20"/>
              </w:rPr>
            </w:pPr>
            <w:r>
              <w:rPr>
                <w:rFonts w:hint="eastAsia" w:ascii="宋体" w:hAnsi="宋体" w:eastAsia="宋体" w:cs="宋体"/>
                <w:i w:val="0"/>
                <w:iCs w:val="0"/>
                <w:snapToGrid w:val="0"/>
                <w:color w:val="000000"/>
                <w:kern w:val="0"/>
                <w:sz w:val="20"/>
                <w:szCs w:val="20"/>
                <w:u w:val="none"/>
                <w:lang w:val="en-US" w:eastAsia="zh-CN" w:bidi="ar"/>
              </w:rPr>
              <w:t>8个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jc w:val="center"/>
        </w:trPr>
        <w:tc>
          <w:tcPr>
            <w:tcW w:w="500" w:type="pct"/>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cs="宋体"/>
                <w:sz w:val="20"/>
                <w:szCs w:val="20"/>
              </w:rPr>
            </w:pPr>
            <w:r>
              <w:rPr>
                <w:rFonts w:hint="eastAsia" w:ascii="宋体" w:hAnsi="宋体" w:eastAsia="宋体" w:cs="宋体"/>
                <w:sz w:val="20"/>
                <w:szCs w:val="20"/>
              </w:rPr>
              <w:t>2</w:t>
            </w:r>
          </w:p>
        </w:tc>
        <w:tc>
          <w:tcPr>
            <w:tcW w:w="736" w:type="pct"/>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0"/>
                <w:szCs w:val="20"/>
              </w:rPr>
            </w:pPr>
            <w:r>
              <w:rPr>
                <w:rFonts w:hint="eastAsia" w:ascii="宋体" w:hAnsi="宋体" w:eastAsia="宋体" w:cs="宋体"/>
                <w:sz w:val="20"/>
                <w:szCs w:val="20"/>
              </w:rPr>
              <w:t>数量指标</w:t>
            </w:r>
          </w:p>
        </w:tc>
        <w:tc>
          <w:tcPr>
            <w:tcW w:w="1749" w:type="pct"/>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0"/>
                <w:szCs w:val="20"/>
              </w:rPr>
            </w:pPr>
            <w:r>
              <w:rPr>
                <w:rFonts w:hint="eastAsia" w:ascii="宋体" w:hAnsi="宋体" w:eastAsia="宋体" w:cs="宋体"/>
                <w:sz w:val="20"/>
                <w:szCs w:val="20"/>
                <w:lang w:val="en-US" w:eastAsia="zh-CN"/>
              </w:rPr>
              <w:t>住院医师规范化培训招收完成率</w:t>
            </w:r>
          </w:p>
        </w:tc>
        <w:tc>
          <w:tcPr>
            <w:tcW w:w="1039"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eastAsia="宋体" w:cs="宋体"/>
                <w:sz w:val="20"/>
                <w:szCs w:val="20"/>
              </w:rPr>
            </w:pPr>
            <w:r>
              <w:rPr>
                <w:rFonts w:hint="eastAsia" w:ascii="宋体" w:hAnsi="宋体" w:eastAsia="宋体" w:cs="宋体"/>
                <w:i w:val="0"/>
                <w:iCs w:val="0"/>
                <w:snapToGrid w:val="0"/>
                <w:color w:val="000000"/>
                <w:kern w:val="0"/>
                <w:sz w:val="20"/>
                <w:szCs w:val="20"/>
                <w:u w:val="none"/>
                <w:lang w:val="en-US" w:eastAsia="zh-CN" w:bidi="ar"/>
              </w:rPr>
              <w:t>≥90%</w:t>
            </w:r>
          </w:p>
        </w:tc>
        <w:tc>
          <w:tcPr>
            <w:tcW w:w="973"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right"/>
              <w:textAlignment w:val="center"/>
              <w:rPr>
                <w:rFonts w:ascii="宋体" w:hAnsi="宋体" w:eastAsia="宋体" w:cs="宋体"/>
                <w:sz w:val="20"/>
                <w:szCs w:val="20"/>
              </w:rPr>
            </w:pPr>
            <w:r>
              <w:rPr>
                <w:rFonts w:hint="eastAsia" w:ascii="宋体" w:hAnsi="宋体" w:eastAsia="宋体" w:cs="宋体"/>
                <w:i w:val="0"/>
                <w:iCs w:val="0"/>
                <w:snapToGrid w:val="0"/>
                <w:color w:val="auto"/>
                <w:kern w:val="0"/>
                <w:sz w:val="20"/>
                <w:szCs w:val="20"/>
                <w:u w:val="none"/>
                <w:lang w:val="en-US" w:eastAsia="zh-CN"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atLeast"/>
          <w:jc w:val="center"/>
        </w:trPr>
        <w:tc>
          <w:tcPr>
            <w:tcW w:w="500" w:type="pct"/>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cs="宋体"/>
                <w:sz w:val="20"/>
                <w:szCs w:val="20"/>
              </w:rPr>
            </w:pPr>
            <w:r>
              <w:rPr>
                <w:rFonts w:hint="eastAsia" w:ascii="宋体" w:hAnsi="宋体" w:eastAsia="宋体" w:cs="宋体"/>
                <w:sz w:val="20"/>
                <w:szCs w:val="20"/>
              </w:rPr>
              <w:t>3</w:t>
            </w:r>
          </w:p>
        </w:tc>
        <w:tc>
          <w:tcPr>
            <w:tcW w:w="736" w:type="pct"/>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cs="宋体"/>
                <w:sz w:val="20"/>
                <w:szCs w:val="20"/>
              </w:rPr>
            </w:pPr>
            <w:r>
              <w:rPr>
                <w:rFonts w:hint="eastAsia" w:ascii="宋体" w:hAnsi="宋体" w:eastAsia="宋体" w:cs="宋体"/>
                <w:sz w:val="20"/>
                <w:szCs w:val="20"/>
              </w:rPr>
              <w:t>数量指标</w:t>
            </w:r>
          </w:p>
        </w:tc>
        <w:tc>
          <w:tcPr>
            <w:tcW w:w="1749"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ascii="宋体" w:hAnsi="宋体" w:eastAsia="宋体" w:cs="宋体"/>
                <w:sz w:val="20"/>
                <w:szCs w:val="20"/>
              </w:rPr>
            </w:pPr>
            <w:r>
              <w:rPr>
                <w:rFonts w:hint="eastAsia" w:ascii="宋体" w:hAnsi="宋体" w:eastAsia="宋体" w:cs="宋体"/>
                <w:i w:val="0"/>
                <w:iCs w:val="0"/>
                <w:snapToGrid w:val="0"/>
                <w:color w:val="000000"/>
                <w:kern w:val="0"/>
                <w:sz w:val="20"/>
                <w:szCs w:val="20"/>
                <w:u w:val="none"/>
                <w:lang w:val="en-US" w:eastAsia="zh-CN" w:bidi="ar"/>
              </w:rPr>
              <w:t>住院医师规范化培训项目紧缺专业招收完成率</w:t>
            </w:r>
          </w:p>
        </w:tc>
        <w:tc>
          <w:tcPr>
            <w:tcW w:w="1039"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eastAsia="宋体" w:cs="宋体"/>
                <w:sz w:val="20"/>
                <w:szCs w:val="20"/>
              </w:rPr>
            </w:pPr>
            <w:r>
              <w:rPr>
                <w:rFonts w:hint="eastAsia" w:ascii="宋体" w:hAnsi="宋体" w:eastAsia="宋体" w:cs="宋体"/>
                <w:i w:val="0"/>
                <w:iCs w:val="0"/>
                <w:snapToGrid w:val="0"/>
                <w:color w:val="000000"/>
                <w:kern w:val="0"/>
                <w:sz w:val="20"/>
                <w:szCs w:val="20"/>
                <w:u w:val="none"/>
                <w:lang w:val="en-US" w:eastAsia="zh-CN" w:bidi="ar"/>
              </w:rPr>
              <w:t>≥80%</w:t>
            </w:r>
          </w:p>
        </w:tc>
        <w:tc>
          <w:tcPr>
            <w:tcW w:w="973"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right"/>
              <w:textAlignment w:val="center"/>
              <w:rPr>
                <w:rFonts w:ascii="宋体" w:hAnsi="宋体" w:eastAsia="宋体" w:cs="宋体"/>
                <w:sz w:val="20"/>
                <w:szCs w:val="20"/>
              </w:rPr>
            </w:pPr>
            <w:r>
              <w:rPr>
                <w:rFonts w:hint="eastAsia" w:ascii="宋体" w:hAnsi="宋体" w:eastAsia="宋体" w:cs="宋体"/>
                <w:i w:val="0"/>
                <w:iCs w:val="0"/>
                <w:snapToGrid w:val="0"/>
                <w:color w:val="000000"/>
                <w:kern w:val="0"/>
                <w:sz w:val="20"/>
                <w:szCs w:val="20"/>
                <w:u w:val="none"/>
                <w:lang w:val="en-US" w:eastAsia="zh-CN" w:bidi="ar"/>
              </w:rPr>
              <w:t>83.80%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9" w:hRule="atLeast"/>
          <w:jc w:val="center"/>
        </w:trPr>
        <w:tc>
          <w:tcPr>
            <w:tcW w:w="500" w:type="pct"/>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cs="宋体"/>
                <w:sz w:val="20"/>
                <w:szCs w:val="20"/>
              </w:rPr>
            </w:pPr>
            <w:r>
              <w:rPr>
                <w:rFonts w:hint="eastAsia" w:ascii="宋体" w:hAnsi="宋体" w:eastAsia="宋体" w:cs="宋体"/>
                <w:sz w:val="20"/>
                <w:szCs w:val="20"/>
              </w:rPr>
              <w:t>4</w:t>
            </w:r>
          </w:p>
        </w:tc>
        <w:tc>
          <w:tcPr>
            <w:tcW w:w="736" w:type="pct"/>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cs="宋体"/>
                <w:sz w:val="20"/>
                <w:szCs w:val="20"/>
              </w:rPr>
            </w:pPr>
            <w:r>
              <w:rPr>
                <w:rFonts w:hint="eastAsia" w:ascii="宋体" w:hAnsi="宋体" w:eastAsia="宋体" w:cs="宋体"/>
                <w:sz w:val="20"/>
                <w:szCs w:val="20"/>
              </w:rPr>
              <w:t>数量指标</w:t>
            </w:r>
          </w:p>
        </w:tc>
        <w:tc>
          <w:tcPr>
            <w:tcW w:w="1749"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ascii="宋体" w:hAnsi="宋体" w:eastAsia="宋体" w:cs="宋体"/>
                <w:sz w:val="20"/>
                <w:szCs w:val="20"/>
              </w:rPr>
            </w:pPr>
            <w:r>
              <w:rPr>
                <w:rFonts w:hint="eastAsia" w:ascii="宋体" w:hAnsi="宋体" w:eastAsia="宋体" w:cs="宋体"/>
                <w:i w:val="0"/>
                <w:iCs w:val="0"/>
                <w:snapToGrid w:val="0"/>
                <w:color w:val="000000"/>
                <w:kern w:val="0"/>
                <w:sz w:val="20"/>
                <w:szCs w:val="20"/>
                <w:u w:val="none"/>
                <w:lang w:val="en-US" w:eastAsia="zh-CN" w:bidi="ar"/>
              </w:rPr>
              <w:t>紧缺人才培训-癌症早诊人员培训招收完成率</w:t>
            </w:r>
          </w:p>
        </w:tc>
        <w:tc>
          <w:tcPr>
            <w:tcW w:w="1039"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eastAsia="宋体" w:cs="宋体"/>
                <w:sz w:val="20"/>
                <w:szCs w:val="20"/>
              </w:rPr>
            </w:pPr>
            <w:r>
              <w:rPr>
                <w:rFonts w:hint="eastAsia" w:ascii="宋体" w:hAnsi="宋体" w:eastAsia="宋体" w:cs="宋体"/>
                <w:i w:val="0"/>
                <w:iCs w:val="0"/>
                <w:snapToGrid w:val="0"/>
                <w:color w:val="000000"/>
                <w:kern w:val="0"/>
                <w:sz w:val="20"/>
                <w:szCs w:val="20"/>
                <w:u w:val="none"/>
                <w:lang w:val="en-US" w:eastAsia="zh-CN" w:bidi="ar"/>
              </w:rPr>
              <w:t>≥80%</w:t>
            </w:r>
          </w:p>
        </w:tc>
        <w:tc>
          <w:tcPr>
            <w:tcW w:w="973"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宋体" w:hAnsi="宋体" w:eastAsia="宋体" w:cs="宋体"/>
                <w:sz w:val="20"/>
                <w:szCs w:val="20"/>
                <w:highlight w:val="yellow"/>
                <w:lang w:val="en-US"/>
              </w:rPr>
            </w:pPr>
            <w:r>
              <w:rPr>
                <w:rFonts w:hint="eastAsia" w:ascii="宋体" w:hAnsi="宋体" w:eastAsia="宋体" w:cs="宋体"/>
                <w:i w:val="0"/>
                <w:iCs w:val="0"/>
                <w:snapToGrid w:val="0"/>
                <w:color w:val="000000"/>
                <w:kern w:val="0"/>
                <w:sz w:val="20"/>
                <w:szCs w:val="20"/>
                <w:highlight w:val="none"/>
                <w:u w:val="none"/>
                <w:lang w:val="en-US" w:eastAsia="zh-CN"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atLeast"/>
          <w:jc w:val="center"/>
        </w:trPr>
        <w:tc>
          <w:tcPr>
            <w:tcW w:w="500" w:type="pct"/>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cs="宋体"/>
                <w:sz w:val="20"/>
                <w:szCs w:val="20"/>
              </w:rPr>
            </w:pPr>
            <w:r>
              <w:rPr>
                <w:rFonts w:hint="eastAsia" w:ascii="宋体" w:hAnsi="宋体" w:eastAsia="宋体" w:cs="宋体"/>
                <w:sz w:val="20"/>
                <w:szCs w:val="20"/>
              </w:rPr>
              <w:t>5</w:t>
            </w:r>
          </w:p>
        </w:tc>
        <w:tc>
          <w:tcPr>
            <w:tcW w:w="736" w:type="pct"/>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cs="宋体"/>
                <w:sz w:val="20"/>
                <w:szCs w:val="20"/>
              </w:rPr>
            </w:pPr>
            <w:r>
              <w:rPr>
                <w:rFonts w:hint="eastAsia" w:ascii="宋体" w:hAnsi="宋体" w:eastAsia="宋体" w:cs="宋体"/>
                <w:sz w:val="20"/>
                <w:szCs w:val="20"/>
              </w:rPr>
              <w:t>数量指标</w:t>
            </w:r>
          </w:p>
        </w:tc>
        <w:tc>
          <w:tcPr>
            <w:tcW w:w="1749"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ascii="宋体" w:hAnsi="宋体" w:eastAsia="宋体" w:cs="宋体"/>
                <w:sz w:val="20"/>
                <w:szCs w:val="20"/>
              </w:rPr>
            </w:pPr>
            <w:r>
              <w:rPr>
                <w:rFonts w:hint="eastAsia" w:ascii="宋体" w:hAnsi="宋体" w:eastAsia="宋体" w:cs="宋体"/>
                <w:i w:val="0"/>
                <w:iCs w:val="0"/>
                <w:snapToGrid w:val="0"/>
                <w:color w:val="000000"/>
                <w:kern w:val="0"/>
                <w:sz w:val="20"/>
                <w:szCs w:val="20"/>
                <w:u w:val="none"/>
                <w:lang w:val="en-US" w:eastAsia="zh-CN" w:bidi="ar"/>
              </w:rPr>
              <w:t>紧缺人才培训-职业病防治人才培训招收完成率</w:t>
            </w:r>
          </w:p>
        </w:tc>
        <w:tc>
          <w:tcPr>
            <w:tcW w:w="1039"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eastAsia="宋体" w:cs="宋体"/>
                <w:sz w:val="20"/>
                <w:szCs w:val="20"/>
              </w:rPr>
            </w:pPr>
            <w:r>
              <w:rPr>
                <w:rFonts w:hint="eastAsia" w:ascii="宋体" w:hAnsi="宋体" w:eastAsia="宋体" w:cs="宋体"/>
                <w:i w:val="0"/>
                <w:iCs w:val="0"/>
                <w:snapToGrid w:val="0"/>
                <w:color w:val="000000"/>
                <w:kern w:val="0"/>
                <w:sz w:val="20"/>
                <w:szCs w:val="20"/>
                <w:u w:val="none"/>
                <w:lang w:val="en-US" w:eastAsia="zh-CN" w:bidi="ar"/>
              </w:rPr>
              <w:t>≥80%</w:t>
            </w:r>
          </w:p>
        </w:tc>
        <w:tc>
          <w:tcPr>
            <w:tcW w:w="973"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宋体" w:hAnsi="宋体" w:eastAsia="宋体" w:cs="宋体"/>
                <w:sz w:val="20"/>
                <w:szCs w:val="20"/>
                <w:highlight w:val="yellow"/>
                <w:lang w:val="en-US"/>
              </w:rPr>
            </w:pPr>
            <w:r>
              <w:rPr>
                <w:rFonts w:hint="eastAsia" w:ascii="宋体" w:hAnsi="宋体" w:eastAsia="宋体" w:cs="宋体"/>
                <w:i w:val="0"/>
                <w:iCs w:val="0"/>
                <w:snapToGrid w:val="0"/>
                <w:color w:val="000000"/>
                <w:kern w:val="0"/>
                <w:sz w:val="20"/>
                <w:szCs w:val="20"/>
                <w:highlight w:val="none"/>
                <w:u w:val="none"/>
                <w:lang w:val="en-US" w:eastAsia="zh-CN"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500" w:type="pct"/>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cs="宋体"/>
                <w:sz w:val="20"/>
                <w:szCs w:val="20"/>
              </w:rPr>
            </w:pPr>
            <w:r>
              <w:rPr>
                <w:rFonts w:hint="eastAsia" w:ascii="宋体" w:hAnsi="宋体" w:eastAsia="宋体" w:cs="宋体"/>
                <w:sz w:val="20"/>
                <w:szCs w:val="20"/>
              </w:rPr>
              <w:t>6</w:t>
            </w:r>
          </w:p>
        </w:tc>
        <w:tc>
          <w:tcPr>
            <w:tcW w:w="736" w:type="pct"/>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cs="宋体"/>
                <w:sz w:val="20"/>
                <w:szCs w:val="20"/>
              </w:rPr>
            </w:pPr>
            <w:r>
              <w:rPr>
                <w:rFonts w:hint="eastAsia" w:ascii="宋体" w:hAnsi="宋体" w:eastAsia="宋体" w:cs="宋体"/>
                <w:sz w:val="20"/>
                <w:szCs w:val="20"/>
              </w:rPr>
              <w:t>数量指标</w:t>
            </w:r>
          </w:p>
        </w:tc>
        <w:tc>
          <w:tcPr>
            <w:tcW w:w="1749"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ascii="宋体" w:hAnsi="宋体" w:eastAsia="宋体" w:cs="宋体"/>
                <w:sz w:val="20"/>
                <w:szCs w:val="20"/>
              </w:rPr>
            </w:pPr>
            <w:r>
              <w:rPr>
                <w:rFonts w:hint="eastAsia" w:ascii="宋体" w:hAnsi="宋体" w:eastAsia="宋体" w:cs="宋体"/>
                <w:i w:val="0"/>
                <w:iCs w:val="0"/>
                <w:snapToGrid w:val="0"/>
                <w:color w:val="000000"/>
                <w:kern w:val="0"/>
                <w:sz w:val="20"/>
                <w:szCs w:val="20"/>
                <w:u w:val="none"/>
                <w:lang w:val="en-US" w:eastAsia="zh-CN" w:bidi="ar"/>
              </w:rPr>
              <w:t>紧缺人才培训-院前急救医务人员</w:t>
            </w:r>
          </w:p>
        </w:tc>
        <w:tc>
          <w:tcPr>
            <w:tcW w:w="1039"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eastAsia="宋体" w:cs="宋体"/>
                <w:sz w:val="20"/>
                <w:szCs w:val="20"/>
              </w:rPr>
            </w:pPr>
            <w:r>
              <w:rPr>
                <w:rFonts w:hint="eastAsia" w:ascii="宋体" w:hAnsi="宋体" w:eastAsia="宋体" w:cs="宋体"/>
                <w:i w:val="0"/>
                <w:iCs w:val="0"/>
                <w:snapToGrid w:val="0"/>
                <w:color w:val="000000"/>
                <w:kern w:val="0"/>
                <w:sz w:val="20"/>
                <w:szCs w:val="20"/>
                <w:u w:val="none"/>
                <w:lang w:val="en-US" w:eastAsia="zh-CN" w:bidi="ar"/>
              </w:rPr>
              <w:t>≥80%</w:t>
            </w:r>
          </w:p>
        </w:tc>
        <w:tc>
          <w:tcPr>
            <w:tcW w:w="973"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宋体" w:hAnsi="宋体" w:eastAsia="宋体" w:cs="宋体"/>
                <w:sz w:val="20"/>
                <w:szCs w:val="20"/>
                <w:lang w:val="en-US"/>
              </w:rPr>
            </w:pPr>
            <w:r>
              <w:rPr>
                <w:rFonts w:hint="eastAsia" w:ascii="宋体" w:hAnsi="宋体" w:eastAsia="宋体" w:cs="宋体"/>
                <w:i w:val="0"/>
                <w:iCs w:val="0"/>
                <w:snapToGrid w:val="0"/>
                <w:color w:val="000000"/>
                <w:kern w:val="0"/>
                <w:sz w:val="20"/>
                <w:szCs w:val="20"/>
                <w:u w:val="none"/>
                <w:lang w:val="en-US" w:eastAsia="zh-CN" w:bidi="ar"/>
              </w:rPr>
              <w:t>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jc w:val="center"/>
        </w:trPr>
        <w:tc>
          <w:tcPr>
            <w:tcW w:w="500" w:type="pct"/>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cs="宋体"/>
                <w:sz w:val="20"/>
                <w:szCs w:val="20"/>
              </w:rPr>
            </w:pPr>
            <w:r>
              <w:rPr>
                <w:rFonts w:hint="eastAsia" w:ascii="宋体" w:hAnsi="宋体" w:eastAsia="宋体" w:cs="宋体"/>
                <w:sz w:val="20"/>
                <w:szCs w:val="20"/>
              </w:rPr>
              <w:t>7</w:t>
            </w:r>
          </w:p>
        </w:tc>
        <w:tc>
          <w:tcPr>
            <w:tcW w:w="736" w:type="pct"/>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cs="宋体"/>
                <w:sz w:val="20"/>
                <w:szCs w:val="20"/>
              </w:rPr>
            </w:pPr>
            <w:r>
              <w:rPr>
                <w:rFonts w:hint="eastAsia" w:ascii="宋体" w:hAnsi="宋体" w:eastAsia="宋体" w:cs="宋体"/>
                <w:sz w:val="20"/>
                <w:szCs w:val="20"/>
              </w:rPr>
              <w:t>数量指标</w:t>
            </w:r>
          </w:p>
        </w:tc>
        <w:tc>
          <w:tcPr>
            <w:tcW w:w="1749"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ascii="宋体" w:hAnsi="宋体" w:eastAsia="宋体" w:cs="宋体"/>
                <w:sz w:val="20"/>
                <w:szCs w:val="20"/>
              </w:rPr>
            </w:pPr>
            <w:r>
              <w:rPr>
                <w:rFonts w:hint="eastAsia" w:ascii="宋体" w:hAnsi="宋体" w:eastAsia="宋体" w:cs="宋体"/>
                <w:i w:val="0"/>
                <w:iCs w:val="0"/>
                <w:snapToGrid w:val="0"/>
                <w:color w:val="000000"/>
                <w:kern w:val="0"/>
                <w:sz w:val="20"/>
                <w:szCs w:val="20"/>
                <w:u w:val="none"/>
                <w:lang w:val="en-US" w:eastAsia="zh-CN" w:bidi="ar"/>
              </w:rPr>
              <w:t>紧缺人才培训-药师岗位规范培训</w:t>
            </w:r>
          </w:p>
        </w:tc>
        <w:tc>
          <w:tcPr>
            <w:tcW w:w="1039"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eastAsia="宋体" w:cs="宋体"/>
                <w:sz w:val="20"/>
                <w:szCs w:val="20"/>
              </w:rPr>
            </w:pPr>
            <w:r>
              <w:rPr>
                <w:rFonts w:hint="eastAsia" w:ascii="宋体" w:hAnsi="宋体" w:eastAsia="宋体" w:cs="宋体"/>
                <w:i w:val="0"/>
                <w:iCs w:val="0"/>
                <w:snapToGrid w:val="0"/>
                <w:color w:val="000000"/>
                <w:kern w:val="0"/>
                <w:sz w:val="20"/>
                <w:szCs w:val="20"/>
                <w:u w:val="none"/>
                <w:lang w:val="en-US" w:eastAsia="zh-CN" w:bidi="ar"/>
              </w:rPr>
              <w:t>≥80%</w:t>
            </w:r>
          </w:p>
        </w:tc>
        <w:tc>
          <w:tcPr>
            <w:tcW w:w="973"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宋体" w:hAnsi="宋体" w:eastAsia="宋体" w:cs="宋体"/>
                <w:sz w:val="20"/>
                <w:szCs w:val="20"/>
                <w:lang w:val="en-US" w:bidi="ar"/>
              </w:rPr>
            </w:pPr>
            <w:r>
              <w:rPr>
                <w:rFonts w:hint="eastAsia" w:ascii="宋体" w:hAnsi="宋体" w:eastAsia="宋体" w:cs="宋体"/>
                <w:i w:val="0"/>
                <w:iCs w:val="0"/>
                <w:snapToGrid w:val="0"/>
                <w:color w:val="000000"/>
                <w:kern w:val="0"/>
                <w:sz w:val="20"/>
                <w:szCs w:val="20"/>
                <w:u w:val="none"/>
                <w:lang w:val="en-US" w:eastAsia="zh-CN"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jc w:val="center"/>
        </w:trPr>
        <w:tc>
          <w:tcPr>
            <w:tcW w:w="500" w:type="pct"/>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cs="宋体"/>
                <w:sz w:val="20"/>
                <w:szCs w:val="20"/>
              </w:rPr>
            </w:pPr>
            <w:r>
              <w:rPr>
                <w:rFonts w:hint="eastAsia" w:ascii="宋体" w:hAnsi="宋体" w:eastAsia="宋体" w:cs="宋体"/>
                <w:sz w:val="20"/>
                <w:szCs w:val="20"/>
              </w:rPr>
              <w:t>8</w:t>
            </w:r>
          </w:p>
        </w:tc>
        <w:tc>
          <w:tcPr>
            <w:tcW w:w="736" w:type="pct"/>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cs="宋体"/>
                <w:sz w:val="20"/>
                <w:szCs w:val="20"/>
              </w:rPr>
            </w:pPr>
            <w:r>
              <w:rPr>
                <w:rFonts w:hint="eastAsia" w:ascii="宋体" w:hAnsi="宋体" w:eastAsia="宋体" w:cs="宋体"/>
                <w:sz w:val="20"/>
                <w:szCs w:val="20"/>
              </w:rPr>
              <w:t>数量指标</w:t>
            </w:r>
          </w:p>
        </w:tc>
        <w:tc>
          <w:tcPr>
            <w:tcW w:w="1749"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ascii="宋体" w:hAnsi="宋体" w:eastAsia="宋体" w:cs="宋体"/>
                <w:sz w:val="20"/>
                <w:szCs w:val="20"/>
              </w:rPr>
            </w:pPr>
            <w:r>
              <w:rPr>
                <w:rFonts w:hint="eastAsia" w:ascii="宋体" w:hAnsi="宋体" w:eastAsia="宋体" w:cs="宋体"/>
                <w:i w:val="0"/>
                <w:iCs w:val="0"/>
                <w:snapToGrid w:val="0"/>
                <w:color w:val="000000"/>
                <w:kern w:val="0"/>
                <w:sz w:val="20"/>
                <w:szCs w:val="20"/>
                <w:u w:val="none"/>
                <w:lang w:val="en-US" w:eastAsia="zh-CN" w:bidi="ar"/>
              </w:rPr>
              <w:t>紧缺人才培训-老年医学人才</w:t>
            </w:r>
          </w:p>
        </w:tc>
        <w:tc>
          <w:tcPr>
            <w:tcW w:w="1039"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eastAsia="宋体" w:cs="宋体"/>
                <w:sz w:val="20"/>
                <w:szCs w:val="20"/>
              </w:rPr>
            </w:pPr>
            <w:r>
              <w:rPr>
                <w:rFonts w:hint="eastAsia" w:ascii="宋体" w:hAnsi="宋体" w:eastAsia="宋体" w:cs="宋体"/>
                <w:i w:val="0"/>
                <w:iCs w:val="0"/>
                <w:snapToGrid w:val="0"/>
                <w:color w:val="000000"/>
                <w:kern w:val="0"/>
                <w:sz w:val="20"/>
                <w:szCs w:val="20"/>
                <w:u w:val="none"/>
                <w:lang w:val="en-US" w:eastAsia="zh-CN" w:bidi="ar"/>
              </w:rPr>
              <w:t>≥80%</w:t>
            </w:r>
          </w:p>
        </w:tc>
        <w:tc>
          <w:tcPr>
            <w:tcW w:w="973"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right"/>
              <w:textAlignment w:val="center"/>
              <w:rPr>
                <w:rFonts w:ascii="宋体" w:hAnsi="宋体" w:eastAsia="宋体" w:cs="宋体"/>
                <w:sz w:val="20"/>
                <w:szCs w:val="20"/>
              </w:rPr>
            </w:pPr>
            <w:r>
              <w:rPr>
                <w:rFonts w:hint="eastAsia" w:ascii="宋体" w:hAnsi="宋体" w:eastAsia="宋体" w:cs="宋体"/>
                <w:i w:val="0"/>
                <w:iCs w:val="0"/>
                <w:snapToGrid w:val="0"/>
                <w:color w:val="000000"/>
                <w:kern w:val="0"/>
                <w:sz w:val="20"/>
                <w:szCs w:val="20"/>
                <w:u w:val="none"/>
                <w:lang w:val="en-US" w:eastAsia="zh-CN"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jc w:val="center"/>
        </w:trPr>
        <w:tc>
          <w:tcPr>
            <w:tcW w:w="500" w:type="pct"/>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cs="宋体"/>
                <w:sz w:val="20"/>
                <w:szCs w:val="20"/>
              </w:rPr>
            </w:pPr>
            <w:r>
              <w:rPr>
                <w:rFonts w:hint="eastAsia" w:ascii="宋体" w:hAnsi="宋体" w:eastAsia="宋体" w:cs="宋体"/>
                <w:sz w:val="20"/>
                <w:szCs w:val="20"/>
              </w:rPr>
              <w:t>9</w:t>
            </w:r>
          </w:p>
        </w:tc>
        <w:tc>
          <w:tcPr>
            <w:tcW w:w="736" w:type="pct"/>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cs="宋体"/>
                <w:sz w:val="20"/>
                <w:szCs w:val="20"/>
              </w:rPr>
            </w:pPr>
            <w:r>
              <w:rPr>
                <w:rFonts w:hint="eastAsia" w:ascii="宋体" w:hAnsi="宋体" w:eastAsia="宋体" w:cs="宋体"/>
                <w:sz w:val="20"/>
                <w:szCs w:val="20"/>
              </w:rPr>
              <w:t>数量指标</w:t>
            </w:r>
          </w:p>
        </w:tc>
        <w:tc>
          <w:tcPr>
            <w:tcW w:w="1749"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ascii="宋体" w:hAnsi="宋体" w:eastAsia="宋体" w:cs="宋体"/>
                <w:sz w:val="20"/>
                <w:szCs w:val="20"/>
              </w:rPr>
            </w:pPr>
            <w:r>
              <w:rPr>
                <w:rFonts w:hint="eastAsia" w:ascii="宋体" w:hAnsi="宋体" w:eastAsia="宋体" w:cs="宋体"/>
                <w:i w:val="0"/>
                <w:iCs w:val="0"/>
                <w:snapToGrid w:val="0"/>
                <w:color w:val="000000"/>
                <w:kern w:val="0"/>
                <w:sz w:val="20"/>
                <w:szCs w:val="20"/>
                <w:u w:val="none"/>
                <w:lang w:val="en-US" w:eastAsia="zh-CN" w:bidi="ar"/>
              </w:rPr>
              <w:t>紧缺人才培训-临床药师</w:t>
            </w:r>
          </w:p>
        </w:tc>
        <w:tc>
          <w:tcPr>
            <w:tcW w:w="1039"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eastAsia="宋体" w:cs="宋体"/>
                <w:sz w:val="20"/>
                <w:szCs w:val="20"/>
              </w:rPr>
            </w:pPr>
            <w:r>
              <w:rPr>
                <w:rFonts w:hint="eastAsia" w:ascii="宋体" w:hAnsi="宋体" w:eastAsia="宋体" w:cs="宋体"/>
                <w:i w:val="0"/>
                <w:iCs w:val="0"/>
                <w:snapToGrid w:val="0"/>
                <w:color w:val="000000"/>
                <w:kern w:val="0"/>
                <w:sz w:val="20"/>
                <w:szCs w:val="20"/>
                <w:u w:val="none"/>
                <w:lang w:val="en-US" w:eastAsia="zh-CN" w:bidi="ar"/>
              </w:rPr>
              <w:t>≥80%</w:t>
            </w:r>
          </w:p>
        </w:tc>
        <w:tc>
          <w:tcPr>
            <w:tcW w:w="973"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right"/>
              <w:textAlignment w:val="center"/>
              <w:rPr>
                <w:rFonts w:ascii="宋体" w:hAnsi="宋体" w:eastAsia="宋体" w:cs="宋体"/>
                <w:sz w:val="20"/>
                <w:szCs w:val="20"/>
              </w:rPr>
            </w:pPr>
            <w:r>
              <w:rPr>
                <w:rFonts w:hint="eastAsia" w:ascii="宋体" w:hAnsi="宋体" w:eastAsia="宋体" w:cs="宋体"/>
                <w:i w:val="0"/>
                <w:iCs w:val="0"/>
                <w:snapToGrid w:val="0"/>
                <w:color w:val="000000"/>
                <w:kern w:val="0"/>
                <w:sz w:val="20"/>
                <w:szCs w:val="20"/>
                <w:u w:val="none"/>
                <w:lang w:val="en-US" w:eastAsia="zh-CN"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5" w:hRule="atLeast"/>
          <w:jc w:val="center"/>
        </w:trPr>
        <w:tc>
          <w:tcPr>
            <w:tcW w:w="500" w:type="pct"/>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cs="宋体"/>
                <w:sz w:val="20"/>
                <w:szCs w:val="20"/>
              </w:rPr>
            </w:pPr>
            <w:r>
              <w:rPr>
                <w:rFonts w:hint="eastAsia" w:ascii="宋体" w:hAnsi="宋体" w:eastAsia="宋体" w:cs="宋体"/>
                <w:sz w:val="20"/>
                <w:szCs w:val="20"/>
              </w:rPr>
              <w:t>10</w:t>
            </w:r>
          </w:p>
        </w:tc>
        <w:tc>
          <w:tcPr>
            <w:tcW w:w="736" w:type="pct"/>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cs="宋体"/>
                <w:sz w:val="20"/>
                <w:szCs w:val="20"/>
              </w:rPr>
            </w:pPr>
            <w:r>
              <w:rPr>
                <w:rFonts w:hint="eastAsia" w:ascii="宋体" w:hAnsi="宋体" w:eastAsia="宋体" w:cs="宋体"/>
                <w:sz w:val="20"/>
                <w:szCs w:val="20"/>
              </w:rPr>
              <w:t>数量指标</w:t>
            </w:r>
          </w:p>
        </w:tc>
        <w:tc>
          <w:tcPr>
            <w:tcW w:w="1749"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ascii="宋体" w:hAnsi="宋体" w:eastAsia="宋体" w:cs="宋体"/>
                <w:sz w:val="20"/>
                <w:szCs w:val="20"/>
              </w:rPr>
            </w:pPr>
            <w:r>
              <w:rPr>
                <w:rFonts w:hint="eastAsia" w:ascii="宋体" w:hAnsi="宋体" w:eastAsia="宋体" w:cs="宋体"/>
                <w:i w:val="0"/>
                <w:iCs w:val="0"/>
                <w:snapToGrid w:val="0"/>
                <w:color w:val="000000"/>
                <w:kern w:val="0"/>
                <w:sz w:val="20"/>
                <w:szCs w:val="20"/>
                <w:u w:val="none"/>
                <w:lang w:val="en-US" w:eastAsia="zh-CN" w:bidi="ar"/>
              </w:rPr>
              <w:t>紧缺人才培训-病原微生物实验室生物安全人员</w:t>
            </w:r>
          </w:p>
        </w:tc>
        <w:tc>
          <w:tcPr>
            <w:tcW w:w="1039"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eastAsia="宋体" w:cs="宋体"/>
                <w:sz w:val="20"/>
                <w:szCs w:val="20"/>
              </w:rPr>
            </w:pPr>
            <w:r>
              <w:rPr>
                <w:rFonts w:hint="eastAsia" w:ascii="宋体" w:hAnsi="宋体" w:eastAsia="宋体" w:cs="宋体"/>
                <w:i w:val="0"/>
                <w:iCs w:val="0"/>
                <w:snapToGrid w:val="0"/>
                <w:color w:val="000000"/>
                <w:kern w:val="0"/>
                <w:sz w:val="20"/>
                <w:szCs w:val="20"/>
                <w:u w:val="none"/>
                <w:lang w:val="en-US" w:eastAsia="zh-CN" w:bidi="ar"/>
              </w:rPr>
              <w:t>≥80%</w:t>
            </w:r>
          </w:p>
        </w:tc>
        <w:tc>
          <w:tcPr>
            <w:tcW w:w="973"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right"/>
              <w:textAlignment w:val="center"/>
              <w:rPr>
                <w:rFonts w:ascii="宋体" w:hAnsi="宋体" w:eastAsia="宋体" w:cs="宋体"/>
                <w:sz w:val="20"/>
                <w:szCs w:val="20"/>
              </w:rPr>
            </w:pPr>
            <w:r>
              <w:rPr>
                <w:rFonts w:hint="eastAsia" w:ascii="宋体" w:hAnsi="宋体" w:eastAsia="宋体" w:cs="宋体"/>
                <w:i w:val="0"/>
                <w:iCs w:val="0"/>
                <w:snapToGrid w:val="0"/>
                <w:color w:val="000000"/>
                <w:kern w:val="0"/>
                <w:sz w:val="20"/>
                <w:szCs w:val="20"/>
                <w:u w:val="none"/>
                <w:lang w:val="en-US" w:eastAsia="zh-CN"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7" w:hRule="atLeast"/>
          <w:jc w:val="center"/>
        </w:trPr>
        <w:tc>
          <w:tcPr>
            <w:tcW w:w="500" w:type="pct"/>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cs="宋体"/>
                <w:sz w:val="20"/>
                <w:szCs w:val="20"/>
              </w:rPr>
            </w:pPr>
            <w:r>
              <w:rPr>
                <w:rFonts w:hint="eastAsia" w:ascii="宋体" w:hAnsi="宋体" w:eastAsia="宋体" w:cs="宋体"/>
                <w:sz w:val="20"/>
                <w:szCs w:val="20"/>
              </w:rPr>
              <w:t>11</w:t>
            </w:r>
          </w:p>
        </w:tc>
        <w:tc>
          <w:tcPr>
            <w:tcW w:w="736" w:type="pct"/>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cs="宋体"/>
                <w:sz w:val="20"/>
                <w:szCs w:val="20"/>
              </w:rPr>
            </w:pPr>
            <w:r>
              <w:rPr>
                <w:rFonts w:hint="eastAsia" w:ascii="宋体" w:hAnsi="宋体" w:eastAsia="宋体" w:cs="宋体"/>
                <w:sz w:val="20"/>
                <w:szCs w:val="20"/>
              </w:rPr>
              <w:t>数量指标</w:t>
            </w:r>
          </w:p>
        </w:tc>
        <w:tc>
          <w:tcPr>
            <w:tcW w:w="1749"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ascii="宋体" w:hAnsi="宋体" w:eastAsia="宋体" w:cs="宋体"/>
                <w:sz w:val="20"/>
                <w:szCs w:val="20"/>
              </w:rPr>
            </w:pPr>
            <w:r>
              <w:rPr>
                <w:rFonts w:hint="eastAsia" w:ascii="宋体" w:hAnsi="宋体" w:eastAsia="宋体" w:cs="宋体"/>
                <w:i w:val="0"/>
                <w:iCs w:val="0"/>
                <w:snapToGrid w:val="0"/>
                <w:color w:val="000000"/>
                <w:kern w:val="0"/>
                <w:sz w:val="20"/>
                <w:szCs w:val="20"/>
                <w:u w:val="none"/>
                <w:lang w:val="en-US" w:eastAsia="zh-CN" w:bidi="ar"/>
              </w:rPr>
              <w:t>紧缺人才培训-出生缺陷防治人员</w:t>
            </w:r>
          </w:p>
        </w:tc>
        <w:tc>
          <w:tcPr>
            <w:tcW w:w="1039"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eastAsia="宋体" w:cs="宋体"/>
                <w:sz w:val="20"/>
                <w:szCs w:val="20"/>
              </w:rPr>
            </w:pPr>
            <w:r>
              <w:rPr>
                <w:rFonts w:hint="eastAsia" w:ascii="宋体" w:hAnsi="宋体" w:eastAsia="宋体" w:cs="宋体"/>
                <w:i w:val="0"/>
                <w:iCs w:val="0"/>
                <w:snapToGrid w:val="0"/>
                <w:color w:val="000000"/>
                <w:kern w:val="0"/>
                <w:sz w:val="20"/>
                <w:szCs w:val="20"/>
                <w:u w:val="none"/>
                <w:lang w:val="en-US" w:eastAsia="zh-CN" w:bidi="ar"/>
              </w:rPr>
              <w:t>≥80%</w:t>
            </w:r>
          </w:p>
        </w:tc>
        <w:tc>
          <w:tcPr>
            <w:tcW w:w="973"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right"/>
              <w:textAlignment w:val="center"/>
              <w:rPr>
                <w:rFonts w:ascii="宋体" w:hAnsi="宋体" w:eastAsia="宋体" w:cs="宋体"/>
                <w:sz w:val="20"/>
                <w:szCs w:val="20"/>
              </w:rPr>
            </w:pPr>
            <w:r>
              <w:rPr>
                <w:rFonts w:hint="eastAsia" w:ascii="宋体" w:hAnsi="宋体" w:eastAsia="宋体" w:cs="宋体"/>
                <w:i w:val="0"/>
                <w:iCs w:val="0"/>
                <w:snapToGrid w:val="0"/>
                <w:color w:val="000000"/>
                <w:kern w:val="0"/>
                <w:sz w:val="20"/>
                <w:szCs w:val="20"/>
                <w:u w:val="none"/>
                <w:lang w:val="en-US" w:eastAsia="zh-CN"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jc w:val="center"/>
        </w:trPr>
        <w:tc>
          <w:tcPr>
            <w:tcW w:w="500" w:type="pct"/>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cs="宋体"/>
                <w:sz w:val="20"/>
                <w:szCs w:val="20"/>
              </w:rPr>
            </w:pPr>
            <w:r>
              <w:rPr>
                <w:rFonts w:hint="eastAsia" w:ascii="宋体" w:hAnsi="宋体" w:eastAsia="宋体" w:cs="宋体"/>
                <w:sz w:val="20"/>
                <w:szCs w:val="20"/>
              </w:rPr>
              <w:t>12</w:t>
            </w:r>
          </w:p>
        </w:tc>
        <w:tc>
          <w:tcPr>
            <w:tcW w:w="736" w:type="pct"/>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cs="宋体"/>
                <w:sz w:val="20"/>
                <w:szCs w:val="20"/>
              </w:rPr>
            </w:pPr>
            <w:r>
              <w:rPr>
                <w:rFonts w:hint="eastAsia" w:ascii="宋体" w:hAnsi="宋体" w:eastAsia="宋体" w:cs="宋体"/>
                <w:sz w:val="20"/>
                <w:szCs w:val="20"/>
              </w:rPr>
              <w:t>数量指标</w:t>
            </w:r>
          </w:p>
        </w:tc>
        <w:tc>
          <w:tcPr>
            <w:tcW w:w="1749"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ascii="宋体" w:hAnsi="宋体" w:eastAsia="宋体" w:cs="宋体"/>
                <w:sz w:val="20"/>
                <w:szCs w:val="20"/>
              </w:rPr>
            </w:pPr>
            <w:r>
              <w:rPr>
                <w:rFonts w:hint="eastAsia" w:ascii="宋体" w:hAnsi="宋体" w:eastAsia="宋体" w:cs="宋体"/>
                <w:i w:val="0"/>
                <w:iCs w:val="0"/>
                <w:snapToGrid w:val="0"/>
                <w:color w:val="000000"/>
                <w:kern w:val="0"/>
                <w:sz w:val="20"/>
                <w:szCs w:val="20"/>
                <w:u w:val="none"/>
                <w:lang w:val="en-US" w:eastAsia="zh-CN" w:bidi="ar"/>
              </w:rPr>
              <w:t>县乡村卫生人才能力提升培训招收完成率</w:t>
            </w:r>
          </w:p>
        </w:tc>
        <w:tc>
          <w:tcPr>
            <w:tcW w:w="1039"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eastAsia="宋体" w:cs="宋体"/>
                <w:sz w:val="20"/>
                <w:szCs w:val="20"/>
              </w:rPr>
            </w:pPr>
            <w:r>
              <w:rPr>
                <w:rFonts w:hint="eastAsia" w:ascii="宋体" w:hAnsi="宋体" w:eastAsia="宋体" w:cs="宋体"/>
                <w:i w:val="0"/>
                <w:iCs w:val="0"/>
                <w:snapToGrid w:val="0"/>
                <w:color w:val="000000"/>
                <w:kern w:val="0"/>
                <w:sz w:val="20"/>
                <w:szCs w:val="20"/>
                <w:u w:val="none"/>
                <w:lang w:val="en-US" w:eastAsia="zh-CN" w:bidi="ar"/>
              </w:rPr>
              <w:t>≥80%</w:t>
            </w:r>
          </w:p>
        </w:tc>
        <w:tc>
          <w:tcPr>
            <w:tcW w:w="973"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right"/>
              <w:textAlignment w:val="center"/>
              <w:rPr>
                <w:rFonts w:ascii="宋体" w:hAnsi="宋体" w:eastAsia="宋体" w:cs="宋体"/>
                <w:sz w:val="20"/>
                <w:szCs w:val="20"/>
              </w:rPr>
            </w:pPr>
            <w:r>
              <w:rPr>
                <w:rFonts w:hint="eastAsia" w:ascii="宋体" w:hAnsi="宋体" w:eastAsia="宋体" w:cs="宋体"/>
                <w:i w:val="0"/>
                <w:iCs w:val="0"/>
                <w:snapToGrid w:val="0"/>
                <w:color w:val="000000"/>
                <w:kern w:val="0"/>
                <w:sz w:val="20"/>
                <w:szCs w:val="20"/>
                <w:u w:val="none"/>
                <w:lang w:val="en-US" w:eastAsia="zh-CN"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jc w:val="center"/>
        </w:trPr>
        <w:tc>
          <w:tcPr>
            <w:tcW w:w="500" w:type="pct"/>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cs="宋体"/>
                <w:sz w:val="20"/>
                <w:szCs w:val="20"/>
              </w:rPr>
            </w:pPr>
            <w:r>
              <w:rPr>
                <w:rFonts w:hint="eastAsia" w:ascii="宋体" w:hAnsi="宋体" w:eastAsia="宋体" w:cs="宋体"/>
                <w:sz w:val="20"/>
                <w:szCs w:val="20"/>
              </w:rPr>
              <w:t>13</w:t>
            </w:r>
          </w:p>
        </w:tc>
        <w:tc>
          <w:tcPr>
            <w:tcW w:w="736" w:type="pct"/>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cs="宋体"/>
                <w:sz w:val="20"/>
                <w:szCs w:val="20"/>
              </w:rPr>
            </w:pPr>
            <w:r>
              <w:rPr>
                <w:rFonts w:hint="eastAsia" w:ascii="宋体" w:hAnsi="宋体" w:eastAsia="宋体" w:cs="宋体"/>
                <w:sz w:val="20"/>
                <w:szCs w:val="20"/>
              </w:rPr>
              <w:t>数量指标</w:t>
            </w:r>
          </w:p>
        </w:tc>
        <w:tc>
          <w:tcPr>
            <w:tcW w:w="1749"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ascii="宋体" w:hAnsi="宋体" w:eastAsia="宋体" w:cs="宋体"/>
                <w:sz w:val="20"/>
                <w:szCs w:val="20"/>
              </w:rPr>
            </w:pPr>
            <w:r>
              <w:rPr>
                <w:rFonts w:hint="eastAsia" w:ascii="宋体" w:hAnsi="宋体" w:eastAsia="宋体" w:cs="宋体"/>
                <w:i w:val="0"/>
                <w:iCs w:val="0"/>
                <w:snapToGrid w:val="0"/>
                <w:color w:val="000000"/>
                <w:kern w:val="0"/>
                <w:sz w:val="20"/>
                <w:szCs w:val="20"/>
                <w:u w:val="none"/>
                <w:lang w:val="en-US" w:eastAsia="zh-CN" w:bidi="ar"/>
              </w:rPr>
              <w:t>国家临床重点专科建设项目每项目开展新技术新项目数量</w:t>
            </w:r>
          </w:p>
        </w:tc>
        <w:tc>
          <w:tcPr>
            <w:tcW w:w="1039"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eastAsia="宋体" w:cs="宋体"/>
                <w:sz w:val="20"/>
                <w:szCs w:val="20"/>
              </w:rPr>
            </w:pPr>
            <w:r>
              <w:rPr>
                <w:rFonts w:hint="eastAsia" w:ascii="宋体" w:hAnsi="宋体" w:eastAsia="宋体" w:cs="宋体"/>
                <w:i w:val="0"/>
                <w:iCs w:val="0"/>
                <w:snapToGrid w:val="0"/>
                <w:color w:val="000000"/>
                <w:kern w:val="0"/>
                <w:sz w:val="20"/>
                <w:szCs w:val="20"/>
                <w:u w:val="none"/>
                <w:lang w:val="en-US" w:eastAsia="zh-CN" w:bidi="ar"/>
              </w:rPr>
              <w:t>≥1项</w:t>
            </w:r>
          </w:p>
        </w:tc>
        <w:tc>
          <w:tcPr>
            <w:tcW w:w="973" w:type="pct"/>
            <w:tcBorders>
              <w:top w:val="single" w:color="auto" w:sz="4" w:space="0"/>
              <w:left w:val="single" w:color="auto" w:sz="4" w:space="0"/>
              <w:bottom w:val="single" w:color="auto" w:sz="4" w:space="0"/>
              <w:right w:val="single" w:color="auto" w:sz="4" w:space="0"/>
            </w:tcBorders>
            <w:noWrap w:val="0"/>
            <w:vAlign w:val="center"/>
          </w:tcPr>
          <w:p>
            <w:pPr>
              <w:jc w:val="right"/>
              <w:rPr>
                <w:rFonts w:hint="default" w:ascii="宋体" w:hAnsi="宋体" w:eastAsia="宋体" w:cs="宋体"/>
                <w:sz w:val="20"/>
                <w:szCs w:val="20"/>
                <w:lang w:val="en-US" w:eastAsia="zh-CN"/>
              </w:rPr>
            </w:pPr>
            <w:r>
              <w:rPr>
                <w:rFonts w:hint="eastAsia" w:ascii="宋体" w:hAnsi="宋体" w:eastAsia="宋体" w:cs="宋体"/>
                <w:sz w:val="20"/>
                <w:szCs w:val="20"/>
                <w:lang w:val="en-US" w:eastAsia="zh-CN"/>
              </w:rPr>
              <w:t>8项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0" w:hRule="atLeast"/>
          <w:jc w:val="center"/>
        </w:trPr>
        <w:tc>
          <w:tcPr>
            <w:tcW w:w="500" w:type="pct"/>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cs="宋体"/>
                <w:sz w:val="20"/>
                <w:szCs w:val="20"/>
              </w:rPr>
            </w:pPr>
            <w:r>
              <w:rPr>
                <w:rFonts w:hint="eastAsia" w:ascii="宋体" w:hAnsi="宋体" w:eastAsia="宋体" w:cs="宋体"/>
                <w:sz w:val="20"/>
                <w:szCs w:val="20"/>
              </w:rPr>
              <w:t>14</w:t>
            </w:r>
          </w:p>
        </w:tc>
        <w:tc>
          <w:tcPr>
            <w:tcW w:w="736" w:type="pct"/>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cs="宋体"/>
                <w:sz w:val="20"/>
                <w:szCs w:val="20"/>
              </w:rPr>
            </w:pPr>
            <w:r>
              <w:rPr>
                <w:rFonts w:hint="eastAsia" w:ascii="宋体" w:hAnsi="宋体" w:eastAsia="宋体" w:cs="宋体"/>
                <w:sz w:val="20"/>
                <w:szCs w:val="20"/>
              </w:rPr>
              <w:t>数量指标</w:t>
            </w:r>
          </w:p>
        </w:tc>
        <w:tc>
          <w:tcPr>
            <w:tcW w:w="1749"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ascii="宋体" w:hAnsi="宋体" w:eastAsia="宋体" w:cs="宋体"/>
                <w:sz w:val="20"/>
                <w:szCs w:val="20"/>
              </w:rPr>
            </w:pPr>
            <w:r>
              <w:rPr>
                <w:rFonts w:hint="eastAsia" w:ascii="宋体" w:hAnsi="宋体" w:eastAsia="宋体" w:cs="宋体"/>
                <w:i w:val="0"/>
                <w:iCs w:val="0"/>
                <w:snapToGrid w:val="0"/>
                <w:color w:val="000000"/>
                <w:kern w:val="0"/>
                <w:sz w:val="20"/>
                <w:szCs w:val="20"/>
                <w:u w:val="none"/>
                <w:lang w:val="en-US" w:eastAsia="zh-CN" w:bidi="ar"/>
              </w:rPr>
              <w:t>公立医院医疗服务收入（不含药品、耗材、检查、化验收入）占医疗收入的比例</w:t>
            </w:r>
          </w:p>
        </w:tc>
        <w:tc>
          <w:tcPr>
            <w:tcW w:w="1039"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eastAsia="宋体" w:cs="宋体"/>
                <w:sz w:val="20"/>
                <w:szCs w:val="20"/>
              </w:rPr>
            </w:pPr>
            <w:r>
              <w:rPr>
                <w:rFonts w:hint="eastAsia" w:ascii="宋体" w:hAnsi="宋体" w:eastAsia="宋体" w:cs="宋体"/>
                <w:i w:val="0"/>
                <w:iCs w:val="0"/>
                <w:snapToGrid w:val="0"/>
                <w:color w:val="000000"/>
                <w:kern w:val="0"/>
                <w:sz w:val="20"/>
                <w:szCs w:val="20"/>
                <w:u w:val="none"/>
                <w:lang w:val="en-US" w:eastAsia="zh-CN" w:bidi="ar"/>
              </w:rPr>
              <w:t>较上年提高</w:t>
            </w:r>
          </w:p>
        </w:tc>
        <w:tc>
          <w:tcPr>
            <w:tcW w:w="973"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right"/>
              <w:textAlignment w:val="center"/>
              <w:rPr>
                <w:rFonts w:ascii="宋体" w:hAnsi="宋体" w:eastAsia="宋体" w:cs="宋体"/>
                <w:sz w:val="20"/>
                <w:szCs w:val="20"/>
              </w:rPr>
            </w:pPr>
            <w:r>
              <w:rPr>
                <w:rFonts w:hint="eastAsia" w:ascii="宋体" w:hAnsi="宋体" w:eastAsia="宋体" w:cs="宋体"/>
                <w:i w:val="0"/>
                <w:iCs w:val="0"/>
                <w:snapToGrid w:val="0"/>
                <w:color w:val="000000"/>
                <w:kern w:val="0"/>
                <w:sz w:val="20"/>
                <w:szCs w:val="20"/>
                <w:u w:val="none"/>
                <w:lang w:val="en-US" w:eastAsia="zh-CN" w:bidi="ar"/>
              </w:rPr>
              <w:t>较上年提高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3" w:hRule="atLeast"/>
          <w:jc w:val="center"/>
        </w:trPr>
        <w:tc>
          <w:tcPr>
            <w:tcW w:w="500" w:type="pct"/>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cs="宋体"/>
                <w:sz w:val="20"/>
                <w:szCs w:val="20"/>
              </w:rPr>
            </w:pPr>
            <w:r>
              <w:rPr>
                <w:rFonts w:hint="eastAsia" w:ascii="宋体" w:hAnsi="宋体" w:eastAsia="宋体" w:cs="宋体"/>
                <w:sz w:val="20"/>
                <w:szCs w:val="20"/>
              </w:rPr>
              <w:t>15</w:t>
            </w:r>
          </w:p>
        </w:tc>
        <w:tc>
          <w:tcPr>
            <w:tcW w:w="736" w:type="pct"/>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cs="宋体"/>
                <w:sz w:val="20"/>
                <w:szCs w:val="20"/>
              </w:rPr>
            </w:pPr>
            <w:r>
              <w:rPr>
                <w:rFonts w:hint="eastAsia" w:ascii="宋体" w:hAnsi="宋体" w:eastAsia="宋体" w:cs="宋体"/>
                <w:sz w:val="20"/>
                <w:szCs w:val="20"/>
              </w:rPr>
              <w:t>数量指标</w:t>
            </w:r>
          </w:p>
        </w:tc>
        <w:tc>
          <w:tcPr>
            <w:tcW w:w="1749"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ascii="宋体" w:hAnsi="宋体" w:eastAsia="宋体" w:cs="宋体"/>
                <w:sz w:val="20"/>
                <w:szCs w:val="20"/>
              </w:rPr>
            </w:pPr>
            <w:r>
              <w:rPr>
                <w:rFonts w:hint="eastAsia" w:ascii="宋体" w:hAnsi="宋体" w:eastAsia="宋体" w:cs="宋体"/>
                <w:i w:val="0"/>
                <w:iCs w:val="0"/>
                <w:snapToGrid w:val="0"/>
                <w:color w:val="000000"/>
                <w:kern w:val="0"/>
                <w:sz w:val="20"/>
                <w:szCs w:val="20"/>
                <w:u w:val="none"/>
                <w:lang w:val="en-US" w:eastAsia="zh-CN" w:bidi="ar"/>
              </w:rPr>
              <w:t>按病种付费的住院参保人员占总住院参保人员的比例</w:t>
            </w:r>
          </w:p>
        </w:tc>
        <w:tc>
          <w:tcPr>
            <w:tcW w:w="1039"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eastAsia="宋体" w:cs="宋体"/>
                <w:sz w:val="20"/>
                <w:szCs w:val="20"/>
              </w:rPr>
            </w:pPr>
            <w:r>
              <w:rPr>
                <w:rFonts w:hint="eastAsia" w:ascii="宋体" w:hAnsi="宋体" w:eastAsia="宋体" w:cs="宋体"/>
                <w:i w:val="0"/>
                <w:iCs w:val="0"/>
                <w:snapToGrid w:val="0"/>
                <w:color w:val="000000"/>
                <w:kern w:val="0"/>
                <w:sz w:val="20"/>
                <w:szCs w:val="20"/>
                <w:u w:val="none"/>
                <w:lang w:val="en-US" w:eastAsia="zh-CN" w:bidi="ar"/>
              </w:rPr>
              <w:t>较上年提高</w:t>
            </w:r>
          </w:p>
        </w:tc>
        <w:tc>
          <w:tcPr>
            <w:tcW w:w="973"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right"/>
              <w:textAlignment w:val="center"/>
              <w:rPr>
                <w:rFonts w:ascii="宋体" w:hAnsi="宋体" w:eastAsia="宋体" w:cs="宋体"/>
                <w:sz w:val="20"/>
                <w:szCs w:val="20"/>
              </w:rPr>
            </w:pPr>
            <w:r>
              <w:rPr>
                <w:rFonts w:hint="eastAsia" w:ascii="宋体" w:hAnsi="宋体" w:eastAsia="宋体" w:cs="宋体"/>
                <w:i w:val="0"/>
                <w:iCs w:val="0"/>
                <w:snapToGrid w:val="0"/>
                <w:color w:val="000000"/>
                <w:kern w:val="0"/>
                <w:sz w:val="20"/>
                <w:szCs w:val="20"/>
                <w:u w:val="none"/>
                <w:lang w:val="en-US" w:eastAsia="zh-CN" w:bidi="ar"/>
              </w:rPr>
              <w:t>较上年提高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500" w:type="pct"/>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cs="宋体"/>
                <w:sz w:val="20"/>
                <w:szCs w:val="20"/>
              </w:rPr>
            </w:pPr>
            <w:r>
              <w:rPr>
                <w:rFonts w:hint="eastAsia" w:ascii="宋体" w:hAnsi="宋体" w:eastAsia="宋体" w:cs="宋体"/>
                <w:sz w:val="20"/>
                <w:szCs w:val="20"/>
              </w:rPr>
              <w:t>16</w:t>
            </w:r>
          </w:p>
        </w:tc>
        <w:tc>
          <w:tcPr>
            <w:tcW w:w="736" w:type="pct"/>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cs="宋体"/>
                <w:sz w:val="20"/>
                <w:szCs w:val="20"/>
                <w:highlight w:val="none"/>
              </w:rPr>
            </w:pPr>
            <w:r>
              <w:rPr>
                <w:rFonts w:hint="eastAsia" w:ascii="宋体" w:hAnsi="宋体" w:eastAsia="宋体" w:cs="宋体"/>
                <w:sz w:val="20"/>
                <w:szCs w:val="20"/>
                <w:highlight w:val="none"/>
              </w:rPr>
              <w:t>数量指标</w:t>
            </w:r>
          </w:p>
        </w:tc>
        <w:tc>
          <w:tcPr>
            <w:tcW w:w="1749"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ascii="宋体" w:hAnsi="宋体" w:eastAsia="宋体" w:cs="宋体"/>
                <w:sz w:val="20"/>
                <w:szCs w:val="20"/>
                <w:highlight w:val="none"/>
              </w:rPr>
            </w:pPr>
            <w:r>
              <w:rPr>
                <w:rFonts w:hint="eastAsia" w:ascii="宋体" w:hAnsi="宋体" w:eastAsia="宋体" w:cs="宋体"/>
                <w:i w:val="0"/>
                <w:iCs w:val="0"/>
                <w:snapToGrid w:val="0"/>
                <w:color w:val="000000"/>
                <w:kern w:val="0"/>
                <w:sz w:val="20"/>
                <w:szCs w:val="20"/>
                <w:u w:val="none"/>
                <w:lang w:val="en-US" w:eastAsia="zh-CN" w:bidi="ar"/>
              </w:rPr>
              <w:t>二级以上公立医院安检覆盖率</w:t>
            </w:r>
          </w:p>
        </w:tc>
        <w:tc>
          <w:tcPr>
            <w:tcW w:w="1039"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eastAsia="宋体" w:cs="宋体"/>
                <w:sz w:val="20"/>
                <w:szCs w:val="20"/>
                <w:highlight w:val="none"/>
              </w:rPr>
            </w:pPr>
            <w:r>
              <w:rPr>
                <w:rFonts w:hint="eastAsia" w:ascii="宋体" w:hAnsi="宋体" w:eastAsia="宋体" w:cs="宋体"/>
                <w:i w:val="0"/>
                <w:iCs w:val="0"/>
                <w:snapToGrid w:val="0"/>
                <w:color w:val="000000"/>
                <w:kern w:val="0"/>
                <w:sz w:val="20"/>
                <w:szCs w:val="20"/>
                <w:u w:val="none"/>
                <w:lang w:val="en-US" w:eastAsia="zh-CN" w:bidi="ar"/>
              </w:rPr>
              <w:t>≥75%</w:t>
            </w:r>
          </w:p>
        </w:tc>
        <w:tc>
          <w:tcPr>
            <w:tcW w:w="973"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right"/>
              <w:textAlignment w:val="center"/>
              <w:rPr>
                <w:rFonts w:ascii="宋体" w:hAnsi="宋体" w:eastAsia="宋体" w:cs="宋体"/>
                <w:sz w:val="20"/>
                <w:szCs w:val="20"/>
                <w:highlight w:val="none"/>
              </w:rPr>
            </w:pPr>
            <w:r>
              <w:rPr>
                <w:rFonts w:hint="eastAsia" w:ascii="宋体" w:hAnsi="宋体" w:eastAsia="宋体" w:cs="宋体"/>
                <w:i w:val="0"/>
                <w:iCs w:val="0"/>
                <w:snapToGrid w:val="0"/>
                <w:color w:val="000000"/>
                <w:kern w:val="0"/>
                <w:sz w:val="20"/>
                <w:szCs w:val="20"/>
                <w:u w:val="none"/>
                <w:lang w:val="en-US" w:eastAsia="zh-CN" w:bidi="ar"/>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8" w:hRule="atLeast"/>
          <w:jc w:val="center"/>
        </w:trPr>
        <w:tc>
          <w:tcPr>
            <w:tcW w:w="500" w:type="pct"/>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cs="宋体"/>
                <w:sz w:val="20"/>
                <w:szCs w:val="20"/>
              </w:rPr>
            </w:pPr>
            <w:r>
              <w:rPr>
                <w:rFonts w:hint="eastAsia" w:ascii="宋体" w:hAnsi="宋体" w:eastAsia="宋体" w:cs="宋体"/>
                <w:sz w:val="20"/>
                <w:szCs w:val="20"/>
              </w:rPr>
              <w:t>17</w:t>
            </w:r>
          </w:p>
        </w:tc>
        <w:tc>
          <w:tcPr>
            <w:tcW w:w="736" w:type="pct"/>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cs="宋体"/>
                <w:sz w:val="20"/>
                <w:szCs w:val="20"/>
              </w:rPr>
            </w:pPr>
            <w:r>
              <w:rPr>
                <w:rFonts w:hint="eastAsia" w:ascii="宋体" w:hAnsi="宋体" w:eastAsia="宋体" w:cs="宋体"/>
                <w:sz w:val="20"/>
                <w:szCs w:val="20"/>
              </w:rPr>
              <w:t>数量指标</w:t>
            </w:r>
          </w:p>
        </w:tc>
        <w:tc>
          <w:tcPr>
            <w:tcW w:w="1749"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ascii="宋体" w:hAnsi="宋体" w:eastAsia="宋体" w:cs="宋体"/>
                <w:sz w:val="20"/>
                <w:szCs w:val="20"/>
              </w:rPr>
            </w:pPr>
            <w:r>
              <w:rPr>
                <w:rFonts w:hint="eastAsia" w:ascii="宋体" w:hAnsi="宋体" w:eastAsia="宋体" w:cs="宋体"/>
                <w:i w:val="0"/>
                <w:iCs w:val="0"/>
                <w:snapToGrid w:val="0"/>
                <w:color w:val="000000"/>
                <w:kern w:val="0"/>
                <w:sz w:val="20"/>
                <w:szCs w:val="20"/>
                <w:u w:val="none"/>
                <w:lang w:val="en-US" w:eastAsia="zh-CN" w:bidi="ar"/>
              </w:rPr>
              <w:t>二级以上公立医院安防系统建设达标率</w:t>
            </w:r>
          </w:p>
        </w:tc>
        <w:tc>
          <w:tcPr>
            <w:tcW w:w="1039"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eastAsia="宋体" w:cs="宋体"/>
                <w:sz w:val="20"/>
                <w:szCs w:val="20"/>
              </w:rPr>
            </w:pPr>
            <w:r>
              <w:rPr>
                <w:rFonts w:hint="eastAsia" w:ascii="宋体" w:hAnsi="宋体" w:eastAsia="宋体" w:cs="宋体"/>
                <w:i w:val="0"/>
                <w:iCs w:val="0"/>
                <w:snapToGrid w:val="0"/>
                <w:color w:val="000000"/>
                <w:kern w:val="0"/>
                <w:sz w:val="20"/>
                <w:szCs w:val="20"/>
                <w:u w:val="none"/>
                <w:lang w:val="en-US" w:eastAsia="zh-CN" w:bidi="ar"/>
              </w:rPr>
              <w:t>≥85%</w:t>
            </w:r>
          </w:p>
        </w:tc>
        <w:tc>
          <w:tcPr>
            <w:tcW w:w="973"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right"/>
              <w:textAlignment w:val="center"/>
              <w:rPr>
                <w:rFonts w:ascii="宋体" w:hAnsi="宋体" w:eastAsia="宋体" w:cs="宋体"/>
                <w:sz w:val="20"/>
                <w:szCs w:val="20"/>
              </w:rPr>
            </w:pPr>
            <w:r>
              <w:rPr>
                <w:rFonts w:hint="eastAsia" w:ascii="宋体" w:hAnsi="宋体" w:eastAsia="宋体" w:cs="宋体"/>
                <w:i w:val="0"/>
                <w:iCs w:val="0"/>
                <w:snapToGrid w:val="0"/>
                <w:color w:val="000000"/>
                <w:kern w:val="0"/>
                <w:sz w:val="20"/>
                <w:szCs w:val="20"/>
                <w:u w:val="none"/>
                <w:lang w:val="en-US" w:eastAsia="zh-CN" w:bidi="ar"/>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0" w:hRule="atLeast"/>
          <w:jc w:val="center"/>
        </w:trPr>
        <w:tc>
          <w:tcPr>
            <w:tcW w:w="500" w:type="pct"/>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cs="宋体"/>
                <w:sz w:val="20"/>
                <w:szCs w:val="20"/>
              </w:rPr>
            </w:pPr>
            <w:r>
              <w:rPr>
                <w:rFonts w:hint="eastAsia" w:ascii="宋体" w:hAnsi="宋体" w:eastAsia="宋体" w:cs="宋体"/>
                <w:sz w:val="20"/>
                <w:szCs w:val="20"/>
              </w:rPr>
              <w:t>18</w:t>
            </w:r>
          </w:p>
        </w:tc>
        <w:tc>
          <w:tcPr>
            <w:tcW w:w="736" w:type="pct"/>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cs="宋体"/>
                <w:sz w:val="20"/>
                <w:szCs w:val="20"/>
              </w:rPr>
            </w:pPr>
            <w:r>
              <w:rPr>
                <w:rFonts w:hint="eastAsia" w:ascii="宋体" w:hAnsi="宋体" w:eastAsia="宋体" w:cs="宋体"/>
                <w:sz w:val="20"/>
                <w:szCs w:val="20"/>
              </w:rPr>
              <w:t>数量指标</w:t>
            </w:r>
          </w:p>
        </w:tc>
        <w:tc>
          <w:tcPr>
            <w:tcW w:w="1749"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ascii="宋体" w:hAnsi="宋体" w:eastAsia="宋体" w:cs="宋体"/>
                <w:sz w:val="20"/>
                <w:szCs w:val="20"/>
                <w:highlight w:val="none"/>
                <w:lang w:bidi="ar"/>
              </w:rPr>
            </w:pPr>
            <w:r>
              <w:rPr>
                <w:rFonts w:hint="eastAsia" w:ascii="宋体" w:hAnsi="宋体" w:eastAsia="宋体" w:cs="宋体"/>
                <w:i w:val="0"/>
                <w:iCs w:val="0"/>
                <w:snapToGrid w:val="0"/>
                <w:color w:val="000000"/>
                <w:kern w:val="0"/>
                <w:sz w:val="20"/>
                <w:szCs w:val="20"/>
                <w:highlight w:val="none"/>
                <w:u w:val="none"/>
                <w:lang w:val="en-US" w:eastAsia="zh-CN" w:bidi="ar"/>
              </w:rPr>
              <w:t>每千人口拥有3岁以下婴幼儿托位数</w:t>
            </w:r>
          </w:p>
        </w:tc>
        <w:tc>
          <w:tcPr>
            <w:tcW w:w="1039"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sz w:val="20"/>
                <w:szCs w:val="20"/>
                <w:highlight w:val="none"/>
                <w:lang w:val="en-US" w:bidi="ar"/>
              </w:rPr>
            </w:pPr>
            <w:r>
              <w:rPr>
                <w:rFonts w:hint="eastAsia" w:ascii="宋体" w:hAnsi="宋体" w:eastAsia="宋体" w:cs="宋体"/>
                <w:i w:val="0"/>
                <w:iCs w:val="0"/>
                <w:snapToGrid w:val="0"/>
                <w:color w:val="000000"/>
                <w:kern w:val="0"/>
                <w:sz w:val="20"/>
                <w:szCs w:val="20"/>
                <w:highlight w:val="none"/>
                <w:u w:val="none"/>
                <w:lang w:val="en-US" w:eastAsia="zh-CN" w:bidi="ar"/>
              </w:rPr>
              <w:t>≥4.6个</w:t>
            </w:r>
          </w:p>
        </w:tc>
        <w:tc>
          <w:tcPr>
            <w:tcW w:w="973"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宋体" w:hAnsi="宋体" w:eastAsia="宋体" w:cs="宋体"/>
                <w:sz w:val="20"/>
                <w:szCs w:val="20"/>
                <w:highlight w:val="none"/>
                <w:lang w:val="en-US" w:bidi="ar"/>
              </w:rPr>
            </w:pPr>
            <w:r>
              <w:rPr>
                <w:rFonts w:hint="eastAsia" w:ascii="宋体" w:hAnsi="宋体" w:eastAsia="宋体" w:cs="宋体"/>
                <w:i w:val="0"/>
                <w:iCs w:val="0"/>
                <w:snapToGrid w:val="0"/>
                <w:color w:val="000000"/>
                <w:kern w:val="0"/>
                <w:sz w:val="20"/>
                <w:szCs w:val="20"/>
                <w:highlight w:val="none"/>
                <w:u w:val="none"/>
                <w:lang w:val="en-US" w:eastAsia="zh-CN" w:bidi="ar"/>
              </w:rPr>
              <w:t>3.7个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00" w:type="pct"/>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cs="宋体"/>
                <w:sz w:val="20"/>
                <w:szCs w:val="20"/>
              </w:rPr>
            </w:pPr>
            <w:r>
              <w:rPr>
                <w:rFonts w:hint="eastAsia" w:ascii="宋体" w:hAnsi="宋体" w:eastAsia="宋体" w:cs="宋体"/>
                <w:sz w:val="20"/>
                <w:szCs w:val="20"/>
              </w:rPr>
              <w:t>19</w:t>
            </w:r>
          </w:p>
        </w:tc>
        <w:tc>
          <w:tcPr>
            <w:tcW w:w="736" w:type="pct"/>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cs="宋体"/>
                <w:sz w:val="20"/>
                <w:szCs w:val="20"/>
              </w:rPr>
            </w:pPr>
            <w:r>
              <w:rPr>
                <w:rFonts w:hint="eastAsia" w:ascii="宋体" w:hAnsi="宋体" w:eastAsia="宋体" w:cs="宋体"/>
                <w:sz w:val="20"/>
                <w:szCs w:val="20"/>
              </w:rPr>
              <w:t>数量指标</w:t>
            </w:r>
          </w:p>
        </w:tc>
        <w:tc>
          <w:tcPr>
            <w:tcW w:w="1749"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ascii="宋体" w:hAnsi="宋体" w:eastAsia="宋体" w:cs="宋体"/>
                <w:sz w:val="20"/>
                <w:szCs w:val="20"/>
                <w:highlight w:val="none"/>
                <w:lang w:bidi="ar"/>
              </w:rPr>
            </w:pPr>
            <w:r>
              <w:rPr>
                <w:rFonts w:hint="eastAsia" w:ascii="宋体" w:hAnsi="宋体" w:eastAsia="宋体" w:cs="宋体"/>
                <w:i w:val="0"/>
                <w:iCs w:val="0"/>
                <w:snapToGrid w:val="0"/>
                <w:color w:val="000000"/>
                <w:kern w:val="0"/>
                <w:sz w:val="20"/>
                <w:szCs w:val="20"/>
                <w:highlight w:val="none"/>
                <w:u w:val="none"/>
                <w:lang w:val="en-US" w:eastAsia="zh-CN" w:bidi="ar"/>
              </w:rPr>
              <w:t>每千名3岁以下婴幼儿拥有托位数</w:t>
            </w:r>
          </w:p>
        </w:tc>
        <w:tc>
          <w:tcPr>
            <w:tcW w:w="1039"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sz w:val="20"/>
                <w:szCs w:val="20"/>
                <w:highlight w:val="none"/>
                <w:lang w:val="en-US" w:bidi="ar"/>
              </w:rPr>
            </w:pPr>
            <w:r>
              <w:rPr>
                <w:rFonts w:hint="eastAsia" w:ascii="宋体" w:hAnsi="宋体" w:eastAsia="宋体" w:cs="宋体"/>
                <w:i w:val="0"/>
                <w:iCs w:val="0"/>
                <w:snapToGrid w:val="0"/>
                <w:color w:val="000000"/>
                <w:kern w:val="0"/>
                <w:sz w:val="20"/>
                <w:szCs w:val="20"/>
                <w:highlight w:val="none"/>
                <w:u w:val="none"/>
                <w:lang w:val="en-US" w:eastAsia="zh-CN" w:bidi="ar"/>
              </w:rPr>
              <w:t>≥289个</w:t>
            </w:r>
          </w:p>
        </w:tc>
        <w:tc>
          <w:tcPr>
            <w:tcW w:w="973"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right"/>
              <w:textAlignment w:val="center"/>
              <w:rPr>
                <w:rFonts w:hint="default" w:ascii="宋体" w:hAnsi="宋体" w:eastAsia="宋体" w:cs="宋体"/>
                <w:sz w:val="20"/>
                <w:szCs w:val="20"/>
                <w:highlight w:val="none"/>
                <w:lang w:val="en-US" w:bidi="ar"/>
              </w:rPr>
            </w:pPr>
            <w:r>
              <w:rPr>
                <w:rFonts w:hint="eastAsia" w:ascii="宋体" w:hAnsi="宋体" w:eastAsia="宋体" w:cs="宋体"/>
                <w:i w:val="0"/>
                <w:iCs w:val="0"/>
                <w:snapToGrid w:val="0"/>
                <w:color w:val="000000"/>
                <w:kern w:val="0"/>
                <w:sz w:val="20"/>
                <w:szCs w:val="20"/>
                <w:highlight w:val="none"/>
                <w:u w:val="none"/>
                <w:lang w:val="en-US" w:eastAsia="zh-CN" w:bidi="ar"/>
              </w:rPr>
              <w:t>238个</w:t>
            </w:r>
          </w:p>
        </w:tc>
      </w:tr>
    </w:tbl>
    <w:p>
      <w:pPr>
        <w:pStyle w:val="3"/>
        <w:spacing w:after="0" w:line="58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（2）</w:t>
      </w:r>
      <w:r>
        <w:rPr>
          <w:rFonts w:hint="eastAsia" w:ascii="仿宋_GB2312" w:hAnsi="仿宋_GB2312" w:eastAsia="仿宋_GB2312" w:cs="仿宋_GB2312"/>
          <w:sz w:val="32"/>
          <w:szCs w:val="32"/>
        </w:rPr>
        <w:t>质量指标</w:t>
      </w:r>
    </w:p>
    <w:p>
      <w:pPr>
        <w:pStyle w:val="3"/>
        <w:spacing w:after="0" w:line="580" w:lineRule="exact"/>
        <w:ind w:firstLine="640" w:firstLineChars="200"/>
        <w:rPr>
          <w:rFonts w:ascii="仿宋_GB2312" w:hAnsi="仿宋" w:eastAsia="仿宋_GB2312"/>
          <w:sz w:val="32"/>
          <w:szCs w:val="32"/>
        </w:rPr>
      </w:pPr>
      <w:r>
        <w:rPr>
          <w:rFonts w:hint="eastAsia" w:ascii="仿宋_GB2312" w:hAnsi="仿宋" w:eastAsia="仿宋_GB2312"/>
          <w:sz w:val="32"/>
          <w:szCs w:val="32"/>
          <w:lang w:eastAsia="zh-CN"/>
        </w:rPr>
        <w:t>2024年</w:t>
      </w:r>
      <w:r>
        <w:rPr>
          <w:rFonts w:hint="eastAsia" w:ascii="仿宋_GB2312" w:hAnsi="仿宋" w:eastAsia="仿宋_GB2312"/>
          <w:sz w:val="32"/>
          <w:szCs w:val="32"/>
        </w:rPr>
        <w:t>北京市医疗服务与保障能力提升补助资金转移支付项目设定的质量指标共</w:t>
      </w:r>
      <w:r>
        <w:rPr>
          <w:rFonts w:hint="eastAsia" w:ascii="仿宋_GB2312" w:hAnsi="仿宋" w:eastAsia="仿宋_GB2312"/>
          <w:sz w:val="32"/>
          <w:szCs w:val="32"/>
          <w:lang w:val="en-US" w:eastAsia="zh-CN"/>
        </w:rPr>
        <w:t>5</w:t>
      </w:r>
      <w:r>
        <w:rPr>
          <w:rFonts w:hint="eastAsia" w:ascii="仿宋_GB2312" w:hAnsi="仿宋" w:eastAsia="仿宋_GB2312"/>
          <w:sz w:val="32"/>
          <w:szCs w:val="32"/>
        </w:rPr>
        <w:t>项，</w:t>
      </w:r>
      <w:r>
        <w:rPr>
          <w:rFonts w:hint="eastAsia" w:ascii="仿宋_GB2312" w:hAnsi="仿宋" w:eastAsia="仿宋_GB2312"/>
          <w:bCs/>
          <w:sz w:val="32"/>
          <w:szCs w:val="32"/>
          <w:highlight w:val="none"/>
        </w:rPr>
        <w:t>已完成</w:t>
      </w:r>
      <w:r>
        <w:rPr>
          <w:rFonts w:hint="eastAsia" w:ascii="仿宋_GB2312" w:hAnsi="仿宋" w:eastAsia="仿宋_GB2312"/>
          <w:bCs/>
          <w:sz w:val="32"/>
          <w:szCs w:val="32"/>
          <w:highlight w:val="none"/>
          <w:lang w:val="en-US" w:eastAsia="zh-CN"/>
        </w:rPr>
        <w:t>3</w:t>
      </w:r>
      <w:r>
        <w:rPr>
          <w:rFonts w:hint="eastAsia" w:ascii="仿宋_GB2312" w:hAnsi="仿宋" w:eastAsia="仿宋_GB2312"/>
          <w:bCs/>
          <w:sz w:val="32"/>
          <w:szCs w:val="32"/>
          <w:highlight w:val="none"/>
        </w:rPr>
        <w:t>项指标，</w:t>
      </w:r>
      <w:r>
        <w:rPr>
          <w:rFonts w:hint="eastAsia" w:ascii="仿宋_GB2312" w:hAnsi="仿宋" w:eastAsia="仿宋_GB2312"/>
          <w:bCs/>
          <w:sz w:val="32"/>
          <w:szCs w:val="32"/>
          <w:highlight w:val="none"/>
          <w:lang w:val="en-US" w:eastAsia="zh-CN"/>
        </w:rPr>
        <w:t>2</w:t>
      </w:r>
      <w:r>
        <w:rPr>
          <w:rFonts w:hint="eastAsia" w:ascii="仿宋_GB2312" w:hAnsi="仿宋" w:eastAsia="仿宋_GB2312"/>
          <w:bCs/>
          <w:sz w:val="32"/>
          <w:szCs w:val="32"/>
          <w:highlight w:val="none"/>
        </w:rPr>
        <w:t>项指标未完成</w:t>
      </w:r>
      <w:r>
        <w:rPr>
          <w:rFonts w:ascii="仿宋_GB2312" w:hAnsi="仿宋" w:eastAsia="仿宋_GB2312"/>
          <w:sz w:val="32"/>
          <w:szCs w:val="32"/>
        </w:rPr>
        <w:t>，</w:t>
      </w:r>
      <w:r>
        <w:rPr>
          <w:rFonts w:hint="eastAsia" w:ascii="仿宋_GB2312" w:hAnsi="仿宋" w:eastAsia="仿宋_GB2312"/>
          <w:sz w:val="32"/>
          <w:szCs w:val="32"/>
        </w:rPr>
        <w:t>具体情况如下表</w:t>
      </w:r>
      <w:r>
        <w:rPr>
          <w:rFonts w:hint="eastAsia" w:ascii="仿宋_GB2312" w:hAnsi="仿宋" w:eastAsia="仿宋_GB2312"/>
          <w:sz w:val="32"/>
          <w:szCs w:val="32"/>
          <w:lang w:val="en-US" w:eastAsia="zh-CN"/>
        </w:rPr>
        <w:t>2</w:t>
      </w:r>
      <w:r>
        <w:rPr>
          <w:rFonts w:ascii="仿宋_GB2312" w:hAnsi="仿宋" w:eastAsia="仿宋_GB2312"/>
          <w:sz w:val="32"/>
          <w:szCs w:val="32"/>
        </w:rPr>
        <w:t>：</w:t>
      </w:r>
    </w:p>
    <w:p>
      <w:pPr>
        <w:pStyle w:val="3"/>
        <w:widowControl w:val="0"/>
        <w:kinsoku/>
        <w:autoSpaceDE/>
        <w:autoSpaceDN/>
        <w:adjustRightInd/>
        <w:snapToGrid/>
        <w:spacing w:after="0" w:line="240" w:lineRule="auto"/>
        <w:jc w:val="center"/>
        <w:textAlignment w:val="auto"/>
        <w:rPr>
          <w:rFonts w:ascii="仿宋_GB2312" w:hAnsi="仿宋" w:eastAsia="仿宋_GB2312"/>
          <w:sz w:val="32"/>
          <w:szCs w:val="32"/>
        </w:rPr>
      </w:pPr>
      <w:r>
        <w:rPr>
          <w:rFonts w:hint="eastAsia" w:ascii="仿宋_GB2312" w:hAnsi="仿宋_GB2312" w:eastAsia="仿宋_GB2312" w:cs="仿宋_GB2312"/>
          <w:snapToGrid/>
          <w:kern w:val="2"/>
          <w:sz w:val="28"/>
          <w:szCs w:val="28"/>
        </w:rPr>
        <w:t>表</w:t>
      </w:r>
      <w:r>
        <w:rPr>
          <w:rFonts w:hint="eastAsia" w:ascii="仿宋_GB2312" w:hAnsi="仿宋_GB2312" w:eastAsia="仿宋_GB2312" w:cs="仿宋_GB2312"/>
          <w:snapToGrid/>
          <w:kern w:val="2"/>
          <w:sz w:val="28"/>
          <w:szCs w:val="28"/>
          <w:lang w:val="en-US" w:eastAsia="zh-CN"/>
        </w:rPr>
        <w:t>2</w:t>
      </w:r>
      <w:r>
        <w:rPr>
          <w:rFonts w:hint="eastAsia" w:ascii="仿宋_GB2312" w:hAnsi="仿宋_GB2312" w:eastAsia="仿宋_GB2312" w:cs="仿宋_GB2312"/>
          <w:snapToGrid/>
          <w:kern w:val="2"/>
          <w:sz w:val="28"/>
          <w:szCs w:val="28"/>
        </w:rPr>
        <w:t>：产出质量指标完成情况表</w:t>
      </w:r>
    </w:p>
    <w:tbl>
      <w:tblPr>
        <w:tblStyle w:val="6"/>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9"/>
        <w:gridCol w:w="1254"/>
        <w:gridCol w:w="3054"/>
        <w:gridCol w:w="1660"/>
        <w:gridCol w:w="16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tblHeader/>
          <w:jc w:val="center"/>
        </w:trPr>
        <w:tc>
          <w:tcPr>
            <w:tcW w:w="510" w:type="pct"/>
            <w:tcBorders>
              <w:top w:val="single" w:color="auto" w:sz="4" w:space="0"/>
              <w:left w:val="single" w:color="auto" w:sz="4" w:space="0"/>
              <w:bottom w:val="single" w:color="auto" w:sz="4" w:space="0"/>
              <w:right w:val="single" w:color="auto" w:sz="4" w:space="0"/>
            </w:tcBorders>
            <w:shd w:val="clear" w:color="auto" w:fill="A6A6A6"/>
            <w:noWrap w:val="0"/>
            <w:vAlign w:val="center"/>
          </w:tcPr>
          <w:p>
            <w:pPr>
              <w:jc w:val="center"/>
              <w:rPr>
                <w:rFonts w:ascii="宋体" w:hAnsi="宋体" w:eastAsia="宋体" w:cs="宋体"/>
                <w:b/>
                <w:sz w:val="20"/>
                <w:szCs w:val="20"/>
              </w:rPr>
            </w:pPr>
            <w:r>
              <w:rPr>
                <w:rFonts w:hint="eastAsia" w:ascii="宋体" w:hAnsi="宋体" w:eastAsia="宋体" w:cs="宋体"/>
                <w:b/>
                <w:sz w:val="20"/>
                <w:szCs w:val="20"/>
              </w:rPr>
              <w:t>序号</w:t>
            </w:r>
          </w:p>
        </w:tc>
        <w:tc>
          <w:tcPr>
            <w:tcW w:w="736" w:type="pct"/>
            <w:tcBorders>
              <w:top w:val="single" w:color="auto" w:sz="4" w:space="0"/>
              <w:left w:val="single" w:color="auto" w:sz="4" w:space="0"/>
              <w:bottom w:val="single" w:color="auto" w:sz="4" w:space="0"/>
              <w:right w:val="single" w:color="auto" w:sz="4" w:space="0"/>
            </w:tcBorders>
            <w:shd w:val="clear" w:color="auto" w:fill="A6A6A6"/>
            <w:noWrap w:val="0"/>
            <w:vAlign w:val="center"/>
          </w:tcPr>
          <w:p>
            <w:pPr>
              <w:jc w:val="center"/>
              <w:rPr>
                <w:rFonts w:ascii="宋体" w:hAnsi="宋体" w:eastAsia="宋体" w:cs="宋体"/>
                <w:b/>
                <w:sz w:val="20"/>
                <w:szCs w:val="20"/>
              </w:rPr>
            </w:pPr>
            <w:r>
              <w:rPr>
                <w:rFonts w:hint="eastAsia" w:ascii="宋体" w:hAnsi="宋体" w:eastAsia="宋体" w:cs="宋体"/>
                <w:b/>
                <w:sz w:val="20"/>
                <w:szCs w:val="20"/>
              </w:rPr>
              <w:t>指标类型</w:t>
            </w:r>
          </w:p>
        </w:tc>
        <w:tc>
          <w:tcPr>
            <w:tcW w:w="1792" w:type="pct"/>
            <w:tcBorders>
              <w:top w:val="single" w:color="auto" w:sz="4" w:space="0"/>
              <w:left w:val="single" w:color="auto" w:sz="4" w:space="0"/>
              <w:bottom w:val="single" w:color="auto" w:sz="4" w:space="0"/>
              <w:right w:val="single" w:color="auto" w:sz="4" w:space="0"/>
            </w:tcBorders>
            <w:shd w:val="clear" w:color="auto" w:fill="A6A6A6"/>
            <w:noWrap w:val="0"/>
            <w:vAlign w:val="center"/>
          </w:tcPr>
          <w:p>
            <w:pPr>
              <w:jc w:val="center"/>
              <w:rPr>
                <w:rFonts w:ascii="宋体" w:hAnsi="宋体" w:eastAsia="宋体" w:cs="宋体"/>
                <w:b/>
                <w:sz w:val="20"/>
                <w:szCs w:val="20"/>
              </w:rPr>
            </w:pPr>
            <w:r>
              <w:rPr>
                <w:rFonts w:hint="eastAsia" w:ascii="宋体" w:hAnsi="宋体" w:eastAsia="宋体" w:cs="宋体"/>
                <w:b/>
                <w:sz w:val="20"/>
                <w:szCs w:val="20"/>
              </w:rPr>
              <w:t>三级指标</w:t>
            </w:r>
          </w:p>
        </w:tc>
        <w:tc>
          <w:tcPr>
            <w:tcW w:w="974" w:type="pct"/>
            <w:tcBorders>
              <w:top w:val="single" w:color="auto" w:sz="4" w:space="0"/>
              <w:left w:val="single" w:color="auto" w:sz="4" w:space="0"/>
              <w:bottom w:val="single" w:color="auto" w:sz="4" w:space="0"/>
              <w:right w:val="single" w:color="auto" w:sz="4" w:space="0"/>
            </w:tcBorders>
            <w:shd w:val="clear" w:color="auto" w:fill="A6A6A6"/>
            <w:noWrap w:val="0"/>
            <w:vAlign w:val="center"/>
          </w:tcPr>
          <w:p>
            <w:pPr>
              <w:jc w:val="center"/>
              <w:rPr>
                <w:rFonts w:ascii="宋体" w:hAnsi="宋体" w:eastAsia="宋体" w:cs="宋体"/>
                <w:b/>
                <w:sz w:val="20"/>
                <w:szCs w:val="20"/>
              </w:rPr>
            </w:pPr>
            <w:r>
              <w:rPr>
                <w:rFonts w:hint="eastAsia" w:ascii="宋体" w:hAnsi="宋体" w:eastAsia="宋体" w:cs="宋体"/>
                <w:b/>
                <w:sz w:val="20"/>
                <w:szCs w:val="20"/>
              </w:rPr>
              <w:t>指标值</w:t>
            </w:r>
          </w:p>
        </w:tc>
        <w:tc>
          <w:tcPr>
            <w:tcW w:w="986" w:type="pct"/>
            <w:tcBorders>
              <w:top w:val="single" w:color="auto" w:sz="4" w:space="0"/>
              <w:left w:val="single" w:color="auto" w:sz="4" w:space="0"/>
              <w:bottom w:val="single" w:color="auto" w:sz="4" w:space="0"/>
              <w:right w:val="single" w:color="auto" w:sz="4" w:space="0"/>
            </w:tcBorders>
            <w:shd w:val="clear" w:color="auto" w:fill="A6A6A6"/>
            <w:noWrap w:val="0"/>
            <w:vAlign w:val="center"/>
          </w:tcPr>
          <w:p>
            <w:pPr>
              <w:jc w:val="center"/>
              <w:rPr>
                <w:rFonts w:ascii="宋体" w:hAnsi="宋体" w:eastAsia="宋体" w:cs="宋体"/>
                <w:b/>
                <w:sz w:val="20"/>
                <w:szCs w:val="20"/>
              </w:rPr>
            </w:pPr>
            <w:r>
              <w:rPr>
                <w:rFonts w:hint="eastAsia" w:ascii="宋体" w:hAnsi="宋体" w:eastAsia="宋体" w:cs="宋体"/>
                <w:b/>
                <w:sz w:val="20"/>
                <w:szCs w:val="20"/>
              </w:rPr>
              <w:t>实际完成值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510" w:type="pct"/>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cs="宋体"/>
                <w:sz w:val="20"/>
                <w:szCs w:val="20"/>
              </w:rPr>
            </w:pPr>
            <w:r>
              <w:rPr>
                <w:rFonts w:hint="eastAsia" w:ascii="宋体" w:hAnsi="宋体" w:eastAsia="宋体" w:cs="宋体"/>
                <w:sz w:val="20"/>
                <w:szCs w:val="20"/>
              </w:rPr>
              <w:t>1</w:t>
            </w:r>
          </w:p>
        </w:tc>
        <w:tc>
          <w:tcPr>
            <w:tcW w:w="736" w:type="pct"/>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0"/>
                <w:szCs w:val="20"/>
              </w:rPr>
            </w:pPr>
            <w:r>
              <w:rPr>
                <w:rFonts w:hint="eastAsia" w:ascii="宋体" w:hAnsi="宋体" w:eastAsia="宋体" w:cs="宋体"/>
                <w:sz w:val="20"/>
                <w:szCs w:val="20"/>
              </w:rPr>
              <w:t>质量指标</w:t>
            </w:r>
          </w:p>
        </w:tc>
        <w:tc>
          <w:tcPr>
            <w:tcW w:w="1792" w:type="pct"/>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0"/>
                <w:szCs w:val="20"/>
              </w:rPr>
            </w:pPr>
            <w:r>
              <w:rPr>
                <w:rFonts w:hint="eastAsia" w:ascii="宋体" w:hAnsi="宋体" w:eastAsia="宋体" w:cs="宋体"/>
                <w:sz w:val="20"/>
                <w:szCs w:val="20"/>
                <w:lang w:val="en-US" w:eastAsia="zh-CN"/>
              </w:rPr>
              <w:t>住院医师规范化培训结业考试通过率</w:t>
            </w:r>
          </w:p>
        </w:tc>
        <w:tc>
          <w:tcPr>
            <w:tcW w:w="97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eastAsia="宋体" w:cs="宋体"/>
                <w:sz w:val="20"/>
                <w:szCs w:val="20"/>
              </w:rPr>
            </w:pPr>
            <w:r>
              <w:rPr>
                <w:rFonts w:hint="eastAsia" w:ascii="宋体" w:hAnsi="宋体" w:eastAsia="宋体" w:cs="宋体"/>
                <w:i w:val="0"/>
                <w:iCs w:val="0"/>
                <w:snapToGrid w:val="0"/>
                <w:color w:val="000000"/>
                <w:kern w:val="0"/>
                <w:sz w:val="20"/>
                <w:szCs w:val="20"/>
                <w:u w:val="none"/>
                <w:lang w:val="en-US" w:eastAsia="zh-CN" w:bidi="ar"/>
              </w:rPr>
              <w:t>≥80%</w:t>
            </w:r>
          </w:p>
        </w:tc>
        <w:tc>
          <w:tcPr>
            <w:tcW w:w="986"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right"/>
              <w:textAlignment w:val="center"/>
              <w:rPr>
                <w:rFonts w:ascii="宋体" w:hAnsi="宋体" w:eastAsia="宋体" w:cs="宋体"/>
                <w:sz w:val="20"/>
                <w:szCs w:val="20"/>
              </w:rPr>
            </w:pPr>
            <w:r>
              <w:rPr>
                <w:rFonts w:hint="eastAsia" w:ascii="宋体" w:hAnsi="宋体" w:eastAsia="宋体" w:cs="宋体"/>
                <w:i w:val="0"/>
                <w:iCs w:val="0"/>
                <w:snapToGrid w:val="0"/>
                <w:color w:val="000000"/>
                <w:kern w:val="0"/>
                <w:sz w:val="20"/>
                <w:szCs w:val="20"/>
                <w:u w:val="none"/>
                <w:lang w:val="en-US" w:eastAsia="zh-CN" w:bidi="ar"/>
              </w:rPr>
              <w:t>94.26%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510" w:type="pct"/>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cs="宋体"/>
                <w:sz w:val="20"/>
                <w:szCs w:val="20"/>
              </w:rPr>
            </w:pPr>
            <w:r>
              <w:rPr>
                <w:rFonts w:hint="eastAsia" w:ascii="宋体" w:hAnsi="宋体" w:eastAsia="宋体" w:cs="宋体"/>
                <w:sz w:val="20"/>
                <w:szCs w:val="20"/>
              </w:rPr>
              <w:t>2</w:t>
            </w:r>
          </w:p>
        </w:tc>
        <w:tc>
          <w:tcPr>
            <w:tcW w:w="736" w:type="pct"/>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0"/>
                <w:szCs w:val="20"/>
              </w:rPr>
            </w:pPr>
            <w:r>
              <w:rPr>
                <w:rFonts w:hint="eastAsia" w:ascii="宋体" w:hAnsi="宋体" w:eastAsia="宋体" w:cs="宋体"/>
                <w:sz w:val="20"/>
                <w:szCs w:val="20"/>
              </w:rPr>
              <w:t>质量指标</w:t>
            </w:r>
          </w:p>
        </w:tc>
        <w:tc>
          <w:tcPr>
            <w:tcW w:w="1792" w:type="pct"/>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0"/>
                <w:szCs w:val="20"/>
              </w:rPr>
            </w:pPr>
            <w:r>
              <w:rPr>
                <w:rFonts w:hint="eastAsia" w:ascii="宋体" w:hAnsi="宋体" w:eastAsia="宋体" w:cs="宋体"/>
                <w:sz w:val="20"/>
                <w:szCs w:val="20"/>
                <w:lang w:val="en-US" w:eastAsia="zh-CN"/>
              </w:rPr>
              <w:t>三级公立医院平均住院日</w:t>
            </w:r>
          </w:p>
        </w:tc>
        <w:tc>
          <w:tcPr>
            <w:tcW w:w="97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eastAsia="宋体" w:cs="宋体"/>
                <w:sz w:val="20"/>
                <w:szCs w:val="20"/>
              </w:rPr>
            </w:pPr>
            <w:r>
              <w:rPr>
                <w:rFonts w:hint="eastAsia" w:ascii="宋体" w:hAnsi="宋体" w:eastAsia="宋体" w:cs="宋体"/>
                <w:i w:val="0"/>
                <w:iCs w:val="0"/>
                <w:snapToGrid w:val="0"/>
                <w:color w:val="000000"/>
                <w:kern w:val="0"/>
                <w:sz w:val="20"/>
                <w:szCs w:val="20"/>
                <w:u w:val="none"/>
                <w:lang w:val="en-US" w:eastAsia="zh-CN" w:bidi="ar"/>
              </w:rPr>
              <w:t>较上年降低</w:t>
            </w:r>
          </w:p>
        </w:tc>
        <w:tc>
          <w:tcPr>
            <w:tcW w:w="986"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eastAsia="宋体" w:cs="宋体"/>
                <w:sz w:val="20"/>
                <w:szCs w:val="20"/>
              </w:rPr>
            </w:pPr>
            <w:r>
              <w:rPr>
                <w:rFonts w:hint="eastAsia" w:ascii="宋体" w:hAnsi="宋体" w:eastAsia="宋体" w:cs="宋体"/>
                <w:i w:val="0"/>
                <w:iCs w:val="0"/>
                <w:snapToGrid w:val="0"/>
                <w:color w:val="000000"/>
                <w:kern w:val="0"/>
                <w:sz w:val="20"/>
                <w:szCs w:val="20"/>
                <w:u w:val="none"/>
                <w:lang w:val="en-US" w:eastAsia="zh-CN" w:bidi="ar"/>
              </w:rPr>
              <w:t>较上年降低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510" w:type="pct"/>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cs="宋体"/>
                <w:sz w:val="20"/>
                <w:szCs w:val="20"/>
              </w:rPr>
            </w:pPr>
            <w:r>
              <w:rPr>
                <w:rFonts w:hint="eastAsia" w:ascii="宋体" w:hAnsi="宋体" w:eastAsia="宋体" w:cs="宋体"/>
                <w:sz w:val="20"/>
                <w:szCs w:val="20"/>
              </w:rPr>
              <w:t>3</w:t>
            </w:r>
          </w:p>
        </w:tc>
        <w:tc>
          <w:tcPr>
            <w:tcW w:w="736" w:type="pct"/>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0"/>
                <w:szCs w:val="20"/>
              </w:rPr>
            </w:pPr>
            <w:r>
              <w:rPr>
                <w:rFonts w:hint="eastAsia" w:ascii="宋体" w:hAnsi="宋体" w:eastAsia="宋体" w:cs="宋体"/>
                <w:sz w:val="20"/>
                <w:szCs w:val="20"/>
              </w:rPr>
              <w:t>质量指标</w:t>
            </w:r>
          </w:p>
        </w:tc>
        <w:tc>
          <w:tcPr>
            <w:tcW w:w="1792" w:type="pct"/>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0"/>
                <w:szCs w:val="20"/>
              </w:rPr>
            </w:pPr>
            <w:r>
              <w:rPr>
                <w:rFonts w:hint="eastAsia" w:ascii="宋体" w:hAnsi="宋体" w:eastAsia="宋体" w:cs="宋体"/>
                <w:sz w:val="20"/>
                <w:szCs w:val="20"/>
                <w:lang w:val="en-US" w:eastAsia="zh-CN"/>
              </w:rPr>
              <w:t>医疗机构与托育服务机构签约指导率</w:t>
            </w:r>
          </w:p>
        </w:tc>
        <w:tc>
          <w:tcPr>
            <w:tcW w:w="97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eastAsia="宋体" w:cs="宋体"/>
                <w:sz w:val="20"/>
                <w:szCs w:val="20"/>
              </w:rPr>
            </w:pPr>
            <w:r>
              <w:rPr>
                <w:rFonts w:hint="eastAsia" w:ascii="宋体" w:hAnsi="宋体" w:eastAsia="宋体" w:cs="宋体"/>
                <w:i w:val="0"/>
                <w:iCs w:val="0"/>
                <w:snapToGrid w:val="0"/>
                <w:color w:val="000000"/>
                <w:kern w:val="0"/>
                <w:sz w:val="20"/>
                <w:szCs w:val="20"/>
                <w:u w:val="none"/>
                <w:lang w:val="en-US" w:eastAsia="zh-CN" w:bidi="ar"/>
              </w:rPr>
              <w:t>100%</w:t>
            </w:r>
          </w:p>
        </w:tc>
        <w:tc>
          <w:tcPr>
            <w:tcW w:w="986"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eastAsia="宋体" w:cs="宋体"/>
                <w:sz w:val="20"/>
                <w:szCs w:val="20"/>
              </w:rPr>
            </w:pPr>
            <w:r>
              <w:rPr>
                <w:rFonts w:hint="eastAsia" w:ascii="宋体" w:hAnsi="宋体" w:eastAsia="宋体" w:cs="宋体"/>
                <w:i w:val="0"/>
                <w:iCs w:val="0"/>
                <w:snapToGrid w:val="0"/>
                <w:color w:val="000000"/>
                <w:kern w:val="0"/>
                <w:sz w:val="20"/>
                <w:szCs w:val="20"/>
                <w:u w:val="none"/>
                <w:lang w:val="en-US" w:eastAsia="zh-CN"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jc w:val="center"/>
        </w:trPr>
        <w:tc>
          <w:tcPr>
            <w:tcW w:w="510" w:type="pct"/>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cs="宋体"/>
                <w:sz w:val="20"/>
                <w:szCs w:val="20"/>
              </w:rPr>
            </w:pPr>
            <w:r>
              <w:rPr>
                <w:rFonts w:hint="eastAsia" w:ascii="宋体" w:hAnsi="宋体" w:eastAsia="宋体" w:cs="宋体"/>
                <w:sz w:val="20"/>
                <w:szCs w:val="20"/>
              </w:rPr>
              <w:t>4</w:t>
            </w:r>
          </w:p>
        </w:tc>
        <w:tc>
          <w:tcPr>
            <w:tcW w:w="736" w:type="pct"/>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0"/>
                <w:szCs w:val="20"/>
              </w:rPr>
            </w:pPr>
            <w:r>
              <w:rPr>
                <w:rFonts w:hint="eastAsia" w:ascii="宋体" w:hAnsi="宋体" w:eastAsia="宋体" w:cs="宋体"/>
                <w:sz w:val="20"/>
                <w:szCs w:val="20"/>
              </w:rPr>
              <w:t>质量指标</w:t>
            </w:r>
          </w:p>
        </w:tc>
        <w:tc>
          <w:tcPr>
            <w:tcW w:w="1792" w:type="pct"/>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0"/>
                <w:szCs w:val="20"/>
              </w:rPr>
            </w:pPr>
            <w:r>
              <w:rPr>
                <w:rFonts w:hint="eastAsia" w:ascii="宋体" w:hAnsi="宋体" w:eastAsia="宋体" w:cs="宋体"/>
                <w:sz w:val="20"/>
                <w:szCs w:val="20"/>
                <w:lang w:val="en-US" w:eastAsia="zh-CN"/>
              </w:rPr>
              <w:t>2岁以下婴幼儿托位占比</w:t>
            </w:r>
          </w:p>
        </w:tc>
        <w:tc>
          <w:tcPr>
            <w:tcW w:w="97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eastAsia="宋体" w:cs="宋体"/>
                <w:sz w:val="20"/>
                <w:szCs w:val="20"/>
              </w:rPr>
            </w:pPr>
            <w:r>
              <w:rPr>
                <w:rFonts w:hint="eastAsia" w:ascii="宋体" w:hAnsi="宋体" w:eastAsia="宋体" w:cs="宋体"/>
                <w:i w:val="0"/>
                <w:iCs w:val="0"/>
                <w:snapToGrid w:val="0"/>
                <w:color w:val="000000"/>
                <w:kern w:val="0"/>
                <w:sz w:val="20"/>
                <w:szCs w:val="20"/>
                <w:u w:val="none"/>
                <w:lang w:val="en-US" w:eastAsia="zh-CN" w:bidi="ar"/>
              </w:rPr>
              <w:t>≥40%</w:t>
            </w:r>
          </w:p>
        </w:tc>
        <w:tc>
          <w:tcPr>
            <w:tcW w:w="986"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eastAsia="宋体" w:cs="宋体"/>
                <w:sz w:val="20"/>
                <w:szCs w:val="20"/>
                <w:highlight w:val="none"/>
              </w:rPr>
            </w:pPr>
            <w:r>
              <w:rPr>
                <w:rFonts w:hint="eastAsia" w:ascii="宋体" w:hAnsi="宋体" w:eastAsia="宋体" w:cs="宋体"/>
                <w:i w:val="0"/>
                <w:iCs w:val="0"/>
                <w:snapToGrid w:val="0"/>
                <w:color w:val="000000"/>
                <w:kern w:val="0"/>
                <w:sz w:val="20"/>
                <w:szCs w:val="20"/>
                <w:highlight w:val="none"/>
                <w:u w:val="none"/>
                <w:lang w:val="en-US" w:eastAsia="zh-CN" w:bidi="ar"/>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510" w:type="pct"/>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cs="宋体"/>
                <w:sz w:val="20"/>
                <w:szCs w:val="20"/>
              </w:rPr>
            </w:pPr>
            <w:r>
              <w:rPr>
                <w:rFonts w:hint="eastAsia" w:ascii="宋体" w:hAnsi="宋体" w:eastAsia="宋体" w:cs="宋体"/>
                <w:sz w:val="20"/>
                <w:szCs w:val="20"/>
              </w:rPr>
              <w:t>5</w:t>
            </w:r>
          </w:p>
        </w:tc>
        <w:tc>
          <w:tcPr>
            <w:tcW w:w="736" w:type="pct"/>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0"/>
                <w:szCs w:val="20"/>
              </w:rPr>
            </w:pPr>
            <w:r>
              <w:rPr>
                <w:rFonts w:hint="eastAsia" w:ascii="宋体" w:hAnsi="宋体" w:eastAsia="宋体" w:cs="宋体"/>
                <w:sz w:val="20"/>
                <w:szCs w:val="20"/>
              </w:rPr>
              <w:t>质量指标</w:t>
            </w:r>
          </w:p>
        </w:tc>
        <w:tc>
          <w:tcPr>
            <w:tcW w:w="1792" w:type="pct"/>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0"/>
                <w:szCs w:val="20"/>
              </w:rPr>
            </w:pPr>
            <w:r>
              <w:rPr>
                <w:rFonts w:hint="eastAsia" w:ascii="宋体" w:hAnsi="宋体" w:eastAsia="宋体" w:cs="宋体"/>
                <w:sz w:val="20"/>
                <w:szCs w:val="20"/>
                <w:lang w:val="en-US" w:eastAsia="zh-CN"/>
              </w:rPr>
              <w:t>托育服务从业人员持有初级及以上保育师资格证书占比</w:t>
            </w:r>
          </w:p>
        </w:tc>
        <w:tc>
          <w:tcPr>
            <w:tcW w:w="97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eastAsia="宋体" w:cs="宋体"/>
                <w:sz w:val="20"/>
                <w:szCs w:val="20"/>
              </w:rPr>
            </w:pPr>
            <w:r>
              <w:rPr>
                <w:rFonts w:hint="eastAsia" w:ascii="宋体" w:hAnsi="宋体" w:eastAsia="宋体" w:cs="宋体"/>
                <w:i w:val="0"/>
                <w:iCs w:val="0"/>
                <w:snapToGrid w:val="0"/>
                <w:color w:val="000000"/>
                <w:kern w:val="0"/>
                <w:sz w:val="20"/>
                <w:szCs w:val="20"/>
                <w:u w:val="none"/>
                <w:lang w:val="en-US" w:eastAsia="zh-CN" w:bidi="ar"/>
              </w:rPr>
              <w:t>100%</w:t>
            </w:r>
          </w:p>
        </w:tc>
        <w:tc>
          <w:tcPr>
            <w:tcW w:w="986"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eastAsia="宋体" w:cs="宋体"/>
                <w:sz w:val="16"/>
                <w:szCs w:val="16"/>
                <w:highlight w:val="none"/>
              </w:rPr>
            </w:pPr>
            <w:r>
              <w:rPr>
                <w:rFonts w:hint="eastAsia" w:ascii="宋体" w:hAnsi="宋体" w:eastAsia="宋体" w:cs="宋体"/>
                <w:i w:val="0"/>
                <w:iCs w:val="0"/>
                <w:snapToGrid w:val="0"/>
                <w:color w:val="000000"/>
                <w:kern w:val="0"/>
                <w:sz w:val="20"/>
                <w:szCs w:val="20"/>
                <w:highlight w:val="none"/>
                <w:u w:val="none"/>
                <w:lang w:val="en-US" w:eastAsia="zh-CN" w:bidi="ar"/>
              </w:rPr>
              <w:t>90%</w:t>
            </w:r>
          </w:p>
        </w:tc>
      </w:tr>
    </w:tbl>
    <w:p>
      <w:pPr>
        <w:spacing w:line="580" w:lineRule="exact"/>
        <w:ind w:firstLine="640" w:firstLineChars="200"/>
        <w:jc w:val="both"/>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2.效益指标完成情况分析</w:t>
      </w:r>
    </w:p>
    <w:p>
      <w:pPr>
        <w:pStyle w:val="3"/>
        <w:spacing w:after="0" w:line="58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w:t>
      </w:r>
      <w:r>
        <w:rPr>
          <w:rFonts w:hint="eastAsia" w:ascii="仿宋_GB2312" w:hAnsi="仿宋_GB2312" w:eastAsia="仿宋_GB2312" w:cs="仿宋_GB2312"/>
          <w:sz w:val="32"/>
          <w:szCs w:val="32"/>
        </w:rPr>
        <w:t>1</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社会效益指标</w:t>
      </w:r>
    </w:p>
    <w:p>
      <w:pPr>
        <w:pStyle w:val="3"/>
        <w:spacing w:after="0" w:line="580" w:lineRule="exact"/>
        <w:ind w:firstLine="640" w:firstLineChars="200"/>
        <w:rPr>
          <w:rFonts w:ascii="仿宋_GB2312" w:hAnsi="仿宋" w:eastAsia="仿宋_GB2312"/>
          <w:bCs/>
          <w:sz w:val="32"/>
          <w:szCs w:val="32"/>
        </w:rPr>
      </w:pPr>
      <w:r>
        <w:rPr>
          <w:rFonts w:hint="eastAsia" w:ascii="仿宋_GB2312" w:hAnsi="仿宋" w:eastAsia="仿宋_GB2312"/>
          <w:bCs/>
          <w:sz w:val="32"/>
          <w:szCs w:val="32"/>
          <w:lang w:eastAsia="zh-CN"/>
        </w:rPr>
        <w:t>2024年</w:t>
      </w:r>
      <w:r>
        <w:rPr>
          <w:rFonts w:hint="eastAsia" w:ascii="仿宋_GB2312" w:hAnsi="仿宋" w:eastAsia="仿宋_GB2312"/>
          <w:bCs/>
          <w:sz w:val="32"/>
          <w:szCs w:val="32"/>
        </w:rPr>
        <w:t>北京市医疗服务与保障能力提升补助资金转移支付项目设定的社会效益指标共</w:t>
      </w:r>
      <w:r>
        <w:rPr>
          <w:rFonts w:hint="eastAsia" w:ascii="仿宋_GB2312" w:hAnsi="仿宋" w:eastAsia="仿宋_GB2312"/>
          <w:bCs/>
          <w:sz w:val="32"/>
          <w:szCs w:val="32"/>
          <w:lang w:val="en-US" w:eastAsia="zh-CN"/>
        </w:rPr>
        <w:t>9</w:t>
      </w:r>
      <w:r>
        <w:rPr>
          <w:rFonts w:hint="eastAsia" w:ascii="仿宋_GB2312" w:hAnsi="仿宋" w:eastAsia="仿宋_GB2312"/>
          <w:bCs/>
          <w:sz w:val="32"/>
          <w:szCs w:val="32"/>
        </w:rPr>
        <w:t>项，</w:t>
      </w:r>
      <w:r>
        <w:rPr>
          <w:rFonts w:hint="eastAsia" w:ascii="仿宋_GB2312" w:hAnsi="仿宋" w:eastAsia="仿宋_GB2312"/>
          <w:bCs/>
          <w:sz w:val="32"/>
          <w:szCs w:val="32"/>
          <w:highlight w:val="none"/>
        </w:rPr>
        <w:t>已完成</w:t>
      </w:r>
      <w:r>
        <w:rPr>
          <w:rFonts w:hint="eastAsia" w:ascii="仿宋_GB2312" w:hAnsi="仿宋" w:eastAsia="仿宋_GB2312"/>
          <w:bCs/>
          <w:sz w:val="32"/>
          <w:szCs w:val="32"/>
          <w:highlight w:val="none"/>
          <w:lang w:val="en-US" w:eastAsia="zh-CN"/>
        </w:rPr>
        <w:t>8</w:t>
      </w:r>
      <w:r>
        <w:rPr>
          <w:rFonts w:hint="eastAsia" w:ascii="仿宋_GB2312" w:hAnsi="仿宋" w:eastAsia="仿宋_GB2312"/>
          <w:bCs/>
          <w:sz w:val="32"/>
          <w:szCs w:val="32"/>
          <w:highlight w:val="none"/>
        </w:rPr>
        <w:t>项指标，</w:t>
      </w:r>
      <w:r>
        <w:rPr>
          <w:rFonts w:hint="eastAsia" w:ascii="仿宋_GB2312" w:hAnsi="仿宋" w:eastAsia="仿宋_GB2312"/>
          <w:bCs/>
          <w:sz w:val="32"/>
          <w:szCs w:val="32"/>
          <w:highlight w:val="none"/>
          <w:lang w:val="en-US" w:eastAsia="zh-CN"/>
        </w:rPr>
        <w:t>1</w:t>
      </w:r>
      <w:r>
        <w:rPr>
          <w:rFonts w:hint="eastAsia" w:ascii="仿宋_GB2312" w:hAnsi="仿宋" w:eastAsia="仿宋_GB2312"/>
          <w:bCs/>
          <w:sz w:val="32"/>
          <w:szCs w:val="32"/>
          <w:highlight w:val="none"/>
        </w:rPr>
        <w:t>项指标未完成</w:t>
      </w:r>
      <w:r>
        <w:rPr>
          <w:rFonts w:ascii="仿宋_GB2312" w:hAnsi="仿宋" w:eastAsia="仿宋_GB2312"/>
          <w:bCs/>
          <w:sz w:val="32"/>
          <w:szCs w:val="32"/>
        </w:rPr>
        <w:t>，</w:t>
      </w:r>
      <w:r>
        <w:rPr>
          <w:rFonts w:hint="eastAsia" w:ascii="仿宋_GB2312" w:hAnsi="仿宋" w:eastAsia="仿宋_GB2312"/>
          <w:bCs/>
          <w:sz w:val="32"/>
          <w:szCs w:val="32"/>
        </w:rPr>
        <w:t>具体情况如下表</w:t>
      </w:r>
      <w:r>
        <w:rPr>
          <w:rFonts w:hint="eastAsia" w:ascii="仿宋_GB2312" w:hAnsi="仿宋" w:eastAsia="仿宋_GB2312"/>
          <w:bCs/>
          <w:sz w:val="32"/>
          <w:szCs w:val="32"/>
          <w:lang w:val="en-US" w:eastAsia="zh-CN"/>
        </w:rPr>
        <w:t>3</w:t>
      </w:r>
      <w:r>
        <w:rPr>
          <w:rFonts w:ascii="仿宋_GB2312" w:hAnsi="仿宋" w:eastAsia="仿宋_GB2312"/>
          <w:bCs/>
          <w:sz w:val="32"/>
          <w:szCs w:val="32"/>
        </w:rPr>
        <w:t>：</w:t>
      </w:r>
    </w:p>
    <w:p>
      <w:pPr>
        <w:pStyle w:val="3"/>
        <w:widowControl w:val="0"/>
        <w:kinsoku/>
        <w:autoSpaceDE/>
        <w:autoSpaceDN/>
        <w:adjustRightInd/>
        <w:snapToGrid/>
        <w:spacing w:after="0" w:line="240" w:lineRule="auto"/>
        <w:jc w:val="center"/>
        <w:textAlignment w:val="auto"/>
        <w:rPr>
          <w:rFonts w:ascii="仿宋_GB2312" w:hAnsi="仿宋" w:eastAsia="仿宋_GB2312"/>
          <w:sz w:val="32"/>
          <w:szCs w:val="32"/>
        </w:rPr>
      </w:pPr>
      <w:r>
        <w:rPr>
          <w:rFonts w:hint="eastAsia" w:ascii="仿宋_GB2312" w:hAnsi="仿宋_GB2312" w:eastAsia="仿宋_GB2312" w:cs="仿宋_GB2312"/>
          <w:snapToGrid/>
          <w:kern w:val="2"/>
          <w:sz w:val="28"/>
          <w:szCs w:val="28"/>
        </w:rPr>
        <w:t>表</w:t>
      </w:r>
      <w:r>
        <w:rPr>
          <w:rFonts w:hint="eastAsia" w:ascii="仿宋_GB2312" w:hAnsi="仿宋_GB2312" w:eastAsia="仿宋_GB2312" w:cs="仿宋_GB2312"/>
          <w:snapToGrid/>
          <w:kern w:val="2"/>
          <w:sz w:val="28"/>
          <w:szCs w:val="28"/>
          <w:lang w:val="en-US" w:eastAsia="zh-CN"/>
        </w:rPr>
        <w:t>3</w:t>
      </w:r>
      <w:r>
        <w:rPr>
          <w:rFonts w:hint="eastAsia" w:ascii="仿宋_GB2312" w:hAnsi="仿宋_GB2312" w:eastAsia="仿宋_GB2312" w:cs="仿宋_GB2312"/>
          <w:snapToGrid/>
          <w:kern w:val="2"/>
          <w:sz w:val="28"/>
          <w:szCs w:val="28"/>
        </w:rPr>
        <w:t>：社会效益指标完成情况表</w:t>
      </w:r>
    </w:p>
    <w:tbl>
      <w:tblPr>
        <w:tblStyle w:val="6"/>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8"/>
        <w:gridCol w:w="1537"/>
        <w:gridCol w:w="2911"/>
        <w:gridCol w:w="1642"/>
        <w:gridCol w:w="17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tblHeader/>
          <w:jc w:val="center"/>
        </w:trPr>
        <w:tc>
          <w:tcPr>
            <w:tcW w:w="398" w:type="pct"/>
            <w:tcBorders>
              <w:top w:val="single" w:color="auto" w:sz="4" w:space="0"/>
              <w:left w:val="single" w:color="auto" w:sz="4" w:space="0"/>
              <w:bottom w:val="single" w:color="auto" w:sz="4" w:space="0"/>
              <w:right w:val="single" w:color="auto" w:sz="4" w:space="0"/>
            </w:tcBorders>
            <w:shd w:val="clear" w:color="auto" w:fill="A6A6A6"/>
            <w:noWrap w:val="0"/>
            <w:vAlign w:val="center"/>
          </w:tcPr>
          <w:p>
            <w:pPr>
              <w:jc w:val="center"/>
              <w:rPr>
                <w:rFonts w:ascii="宋体" w:hAnsi="宋体" w:eastAsia="宋体" w:cs="宋体"/>
                <w:b/>
                <w:sz w:val="20"/>
                <w:szCs w:val="20"/>
              </w:rPr>
            </w:pPr>
            <w:r>
              <w:rPr>
                <w:rFonts w:hint="eastAsia" w:ascii="宋体" w:hAnsi="宋体" w:eastAsia="宋体" w:cs="宋体"/>
                <w:b/>
                <w:sz w:val="20"/>
                <w:szCs w:val="20"/>
              </w:rPr>
              <w:t>序号</w:t>
            </w:r>
          </w:p>
        </w:tc>
        <w:tc>
          <w:tcPr>
            <w:tcW w:w="902" w:type="pct"/>
            <w:tcBorders>
              <w:top w:val="single" w:color="auto" w:sz="4" w:space="0"/>
              <w:left w:val="single" w:color="auto" w:sz="4" w:space="0"/>
              <w:bottom w:val="single" w:color="auto" w:sz="4" w:space="0"/>
              <w:right w:val="single" w:color="auto" w:sz="4" w:space="0"/>
            </w:tcBorders>
            <w:shd w:val="clear" w:color="auto" w:fill="A6A6A6"/>
            <w:noWrap w:val="0"/>
            <w:vAlign w:val="center"/>
          </w:tcPr>
          <w:p>
            <w:pPr>
              <w:jc w:val="center"/>
              <w:rPr>
                <w:rFonts w:ascii="宋体" w:hAnsi="宋体" w:eastAsia="宋体" w:cs="宋体"/>
                <w:b/>
                <w:sz w:val="20"/>
                <w:szCs w:val="20"/>
              </w:rPr>
            </w:pPr>
            <w:r>
              <w:rPr>
                <w:rFonts w:hint="eastAsia" w:ascii="宋体" w:hAnsi="宋体" w:eastAsia="宋体" w:cs="宋体"/>
                <w:b/>
                <w:sz w:val="20"/>
                <w:szCs w:val="20"/>
              </w:rPr>
              <w:t>指标类型</w:t>
            </w:r>
          </w:p>
        </w:tc>
        <w:tc>
          <w:tcPr>
            <w:tcW w:w="1708" w:type="pct"/>
            <w:tcBorders>
              <w:top w:val="single" w:color="auto" w:sz="4" w:space="0"/>
              <w:left w:val="single" w:color="auto" w:sz="4" w:space="0"/>
              <w:bottom w:val="single" w:color="auto" w:sz="4" w:space="0"/>
              <w:right w:val="single" w:color="auto" w:sz="4" w:space="0"/>
            </w:tcBorders>
            <w:shd w:val="clear" w:color="auto" w:fill="A6A6A6"/>
            <w:noWrap w:val="0"/>
            <w:vAlign w:val="center"/>
          </w:tcPr>
          <w:p>
            <w:pPr>
              <w:jc w:val="center"/>
              <w:rPr>
                <w:rFonts w:ascii="宋体" w:hAnsi="宋体" w:eastAsia="宋体" w:cs="宋体"/>
                <w:b/>
                <w:sz w:val="20"/>
                <w:szCs w:val="20"/>
              </w:rPr>
            </w:pPr>
            <w:r>
              <w:rPr>
                <w:rFonts w:hint="eastAsia" w:ascii="宋体" w:hAnsi="宋体" w:eastAsia="宋体" w:cs="宋体"/>
                <w:b/>
                <w:sz w:val="20"/>
                <w:szCs w:val="20"/>
              </w:rPr>
              <w:t>三级指标</w:t>
            </w:r>
          </w:p>
        </w:tc>
        <w:tc>
          <w:tcPr>
            <w:tcW w:w="963" w:type="pct"/>
            <w:tcBorders>
              <w:top w:val="single" w:color="auto" w:sz="4" w:space="0"/>
              <w:left w:val="single" w:color="auto" w:sz="4" w:space="0"/>
              <w:bottom w:val="single" w:color="auto" w:sz="4" w:space="0"/>
              <w:right w:val="single" w:color="auto" w:sz="4" w:space="0"/>
            </w:tcBorders>
            <w:shd w:val="clear" w:color="auto" w:fill="A6A6A6"/>
            <w:noWrap w:val="0"/>
            <w:vAlign w:val="center"/>
          </w:tcPr>
          <w:p>
            <w:pPr>
              <w:jc w:val="center"/>
              <w:rPr>
                <w:rFonts w:ascii="宋体" w:hAnsi="宋体" w:eastAsia="宋体" w:cs="宋体"/>
                <w:b/>
                <w:sz w:val="20"/>
                <w:szCs w:val="20"/>
              </w:rPr>
            </w:pPr>
            <w:r>
              <w:rPr>
                <w:rFonts w:hint="eastAsia" w:ascii="宋体" w:hAnsi="宋体" w:eastAsia="宋体" w:cs="宋体"/>
                <w:b/>
                <w:sz w:val="20"/>
                <w:szCs w:val="20"/>
              </w:rPr>
              <w:t>指标值</w:t>
            </w:r>
          </w:p>
        </w:tc>
        <w:tc>
          <w:tcPr>
            <w:tcW w:w="1027" w:type="pct"/>
            <w:tcBorders>
              <w:top w:val="single" w:color="auto" w:sz="4" w:space="0"/>
              <w:left w:val="single" w:color="auto" w:sz="4" w:space="0"/>
              <w:bottom w:val="single" w:color="auto" w:sz="4" w:space="0"/>
              <w:right w:val="single" w:color="auto" w:sz="4" w:space="0"/>
            </w:tcBorders>
            <w:shd w:val="clear" w:color="auto" w:fill="A6A6A6"/>
            <w:noWrap w:val="0"/>
            <w:vAlign w:val="center"/>
          </w:tcPr>
          <w:p>
            <w:pPr>
              <w:jc w:val="center"/>
              <w:rPr>
                <w:rFonts w:ascii="宋体" w:hAnsi="宋体" w:eastAsia="宋体" w:cs="宋体"/>
                <w:b/>
                <w:sz w:val="20"/>
                <w:szCs w:val="20"/>
              </w:rPr>
            </w:pPr>
            <w:r>
              <w:rPr>
                <w:rFonts w:hint="eastAsia" w:ascii="宋体" w:hAnsi="宋体" w:eastAsia="宋体" w:cs="宋体"/>
                <w:b/>
                <w:sz w:val="20"/>
                <w:szCs w:val="20"/>
              </w:rPr>
              <w:t>实际完成值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jc w:val="center"/>
        </w:trPr>
        <w:tc>
          <w:tcPr>
            <w:tcW w:w="398" w:type="pct"/>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cs="宋体"/>
                <w:bCs/>
                <w:sz w:val="20"/>
                <w:szCs w:val="20"/>
              </w:rPr>
            </w:pPr>
            <w:r>
              <w:rPr>
                <w:rFonts w:hint="eastAsia" w:ascii="宋体" w:hAnsi="宋体" w:eastAsia="宋体" w:cs="宋体"/>
                <w:bCs/>
                <w:sz w:val="20"/>
                <w:szCs w:val="20"/>
              </w:rPr>
              <w:t>1</w:t>
            </w:r>
          </w:p>
        </w:tc>
        <w:tc>
          <w:tcPr>
            <w:tcW w:w="902" w:type="pct"/>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cs="宋体"/>
                <w:bCs/>
                <w:sz w:val="20"/>
                <w:szCs w:val="20"/>
              </w:rPr>
            </w:pPr>
            <w:r>
              <w:rPr>
                <w:rFonts w:hint="eastAsia" w:ascii="宋体" w:hAnsi="宋体" w:eastAsia="宋体" w:cs="宋体"/>
                <w:bCs/>
                <w:sz w:val="20"/>
                <w:szCs w:val="20"/>
              </w:rPr>
              <w:t>社会效益指标</w:t>
            </w:r>
          </w:p>
        </w:tc>
        <w:tc>
          <w:tcPr>
            <w:tcW w:w="1708"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ascii="宋体" w:hAnsi="宋体" w:eastAsia="宋体" w:cs="宋体"/>
                <w:bCs/>
                <w:sz w:val="20"/>
                <w:szCs w:val="20"/>
              </w:rPr>
            </w:pPr>
            <w:r>
              <w:rPr>
                <w:rFonts w:hint="eastAsia" w:ascii="宋体" w:hAnsi="宋体" w:eastAsia="宋体" w:cs="宋体"/>
                <w:i w:val="0"/>
                <w:iCs w:val="0"/>
                <w:snapToGrid w:val="0"/>
                <w:color w:val="000000"/>
                <w:kern w:val="0"/>
                <w:sz w:val="20"/>
                <w:szCs w:val="20"/>
                <w:u w:val="none"/>
                <w:lang w:val="en-US" w:eastAsia="zh-CN" w:bidi="ar"/>
              </w:rPr>
              <w:t>参培医师业务水平</w:t>
            </w:r>
          </w:p>
        </w:tc>
        <w:tc>
          <w:tcPr>
            <w:tcW w:w="963"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eastAsia="宋体" w:cs="宋体"/>
                <w:bCs/>
                <w:sz w:val="20"/>
                <w:szCs w:val="20"/>
              </w:rPr>
            </w:pPr>
            <w:r>
              <w:rPr>
                <w:rFonts w:hint="eastAsia" w:ascii="宋体" w:hAnsi="宋体" w:eastAsia="宋体" w:cs="宋体"/>
                <w:i w:val="0"/>
                <w:iCs w:val="0"/>
                <w:snapToGrid w:val="0"/>
                <w:color w:val="000000"/>
                <w:kern w:val="0"/>
                <w:sz w:val="20"/>
                <w:szCs w:val="20"/>
                <w:u w:val="none"/>
                <w:lang w:val="en-US" w:eastAsia="zh-CN" w:bidi="ar"/>
              </w:rPr>
              <w:t>大幅提高</w:t>
            </w:r>
          </w:p>
        </w:tc>
        <w:tc>
          <w:tcPr>
            <w:tcW w:w="1027" w:type="pct"/>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cs="宋体"/>
                <w:bCs/>
                <w:sz w:val="20"/>
                <w:szCs w:val="20"/>
                <w:highlight w:val="none"/>
                <w:lang w:val="en-US" w:eastAsia="zh-CN"/>
              </w:rPr>
            </w:pPr>
            <w:r>
              <w:rPr>
                <w:rFonts w:hint="eastAsia" w:ascii="宋体" w:hAnsi="宋体" w:eastAsia="宋体" w:cs="宋体"/>
                <w:i w:val="0"/>
                <w:iCs w:val="0"/>
                <w:snapToGrid w:val="0"/>
                <w:color w:val="000000"/>
                <w:kern w:val="0"/>
                <w:sz w:val="20"/>
                <w:szCs w:val="20"/>
                <w:highlight w:val="none"/>
                <w:u w:val="none"/>
                <w:lang w:val="en-US" w:eastAsia="zh-CN" w:bidi="ar"/>
              </w:rPr>
              <w:t>大幅提高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jc w:val="center"/>
        </w:trPr>
        <w:tc>
          <w:tcPr>
            <w:tcW w:w="398" w:type="pct"/>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cs="宋体"/>
                <w:bCs/>
                <w:sz w:val="20"/>
                <w:szCs w:val="20"/>
              </w:rPr>
            </w:pPr>
            <w:r>
              <w:rPr>
                <w:rFonts w:hint="eastAsia" w:ascii="宋体" w:hAnsi="宋体" w:eastAsia="宋体" w:cs="宋体"/>
                <w:bCs/>
                <w:sz w:val="20"/>
                <w:szCs w:val="20"/>
              </w:rPr>
              <w:t>2</w:t>
            </w:r>
          </w:p>
        </w:tc>
        <w:tc>
          <w:tcPr>
            <w:tcW w:w="902" w:type="pct"/>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cs="宋体"/>
                <w:bCs/>
                <w:sz w:val="20"/>
                <w:szCs w:val="20"/>
              </w:rPr>
            </w:pPr>
            <w:r>
              <w:rPr>
                <w:rFonts w:hint="eastAsia" w:ascii="宋体" w:hAnsi="宋体" w:eastAsia="宋体" w:cs="宋体"/>
                <w:bCs/>
                <w:sz w:val="20"/>
                <w:szCs w:val="20"/>
              </w:rPr>
              <w:t>社会效益指标</w:t>
            </w:r>
          </w:p>
        </w:tc>
        <w:tc>
          <w:tcPr>
            <w:tcW w:w="1708"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ascii="宋体" w:hAnsi="宋体" w:eastAsia="宋体" w:cs="宋体"/>
                <w:sz w:val="20"/>
                <w:szCs w:val="20"/>
              </w:rPr>
            </w:pPr>
            <w:r>
              <w:rPr>
                <w:rFonts w:hint="eastAsia" w:ascii="宋体" w:hAnsi="宋体" w:eastAsia="宋体" w:cs="宋体"/>
                <w:i w:val="0"/>
                <w:iCs w:val="0"/>
                <w:snapToGrid w:val="0"/>
                <w:color w:val="000000"/>
                <w:kern w:val="0"/>
                <w:sz w:val="20"/>
                <w:szCs w:val="20"/>
                <w:u w:val="none"/>
                <w:lang w:val="en-US" w:eastAsia="zh-CN" w:bidi="ar"/>
              </w:rPr>
              <w:t>基层医疗卫生诊疗量占总诊疗量比例</w:t>
            </w:r>
          </w:p>
        </w:tc>
        <w:tc>
          <w:tcPr>
            <w:tcW w:w="963"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eastAsia="宋体" w:cs="宋体"/>
                <w:sz w:val="20"/>
                <w:szCs w:val="20"/>
              </w:rPr>
            </w:pPr>
            <w:r>
              <w:rPr>
                <w:rFonts w:hint="eastAsia" w:ascii="宋体" w:hAnsi="宋体" w:eastAsia="宋体" w:cs="宋体"/>
                <w:i w:val="0"/>
                <w:iCs w:val="0"/>
                <w:snapToGrid w:val="0"/>
                <w:color w:val="000000"/>
                <w:kern w:val="0"/>
                <w:sz w:val="20"/>
                <w:szCs w:val="20"/>
                <w:u w:val="none"/>
                <w:lang w:val="en-US" w:eastAsia="zh-CN" w:bidi="ar"/>
              </w:rPr>
              <w:t>较上年提高</w:t>
            </w:r>
          </w:p>
        </w:tc>
        <w:tc>
          <w:tcPr>
            <w:tcW w:w="1027"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eastAsia="宋体" w:cs="宋体"/>
                <w:sz w:val="20"/>
                <w:szCs w:val="20"/>
              </w:rPr>
            </w:pPr>
            <w:r>
              <w:rPr>
                <w:rFonts w:hint="eastAsia" w:ascii="宋体" w:hAnsi="宋体" w:eastAsia="宋体" w:cs="宋体"/>
                <w:i w:val="0"/>
                <w:iCs w:val="0"/>
                <w:snapToGrid w:val="0"/>
                <w:color w:val="000000"/>
                <w:kern w:val="0"/>
                <w:sz w:val="20"/>
                <w:szCs w:val="20"/>
                <w:u w:val="none"/>
                <w:lang w:val="en-US" w:eastAsia="zh-CN" w:bidi="ar"/>
              </w:rPr>
              <w:t>较上年提高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jc w:val="center"/>
        </w:trPr>
        <w:tc>
          <w:tcPr>
            <w:tcW w:w="398" w:type="pct"/>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cs="宋体"/>
                <w:bCs/>
                <w:sz w:val="20"/>
                <w:szCs w:val="20"/>
              </w:rPr>
            </w:pPr>
            <w:r>
              <w:rPr>
                <w:rFonts w:hint="eastAsia" w:ascii="宋体" w:hAnsi="宋体" w:eastAsia="宋体" w:cs="宋体"/>
                <w:bCs/>
                <w:sz w:val="20"/>
                <w:szCs w:val="20"/>
              </w:rPr>
              <w:t>3</w:t>
            </w:r>
          </w:p>
        </w:tc>
        <w:tc>
          <w:tcPr>
            <w:tcW w:w="902" w:type="pct"/>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cs="宋体"/>
                <w:bCs/>
                <w:sz w:val="20"/>
                <w:szCs w:val="20"/>
              </w:rPr>
            </w:pPr>
            <w:r>
              <w:rPr>
                <w:rFonts w:hint="eastAsia" w:ascii="宋体" w:hAnsi="宋体" w:eastAsia="宋体" w:cs="宋体"/>
                <w:bCs/>
                <w:sz w:val="20"/>
                <w:szCs w:val="20"/>
              </w:rPr>
              <w:t>社会效益指标</w:t>
            </w:r>
          </w:p>
        </w:tc>
        <w:tc>
          <w:tcPr>
            <w:tcW w:w="1708"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ascii="宋体" w:hAnsi="宋体" w:eastAsia="宋体" w:cs="宋体"/>
                <w:sz w:val="20"/>
                <w:szCs w:val="20"/>
              </w:rPr>
            </w:pPr>
            <w:r>
              <w:rPr>
                <w:rFonts w:hint="eastAsia" w:ascii="宋体" w:hAnsi="宋体" w:eastAsia="宋体" w:cs="宋体"/>
                <w:i w:val="0"/>
                <w:iCs w:val="0"/>
                <w:snapToGrid w:val="0"/>
                <w:color w:val="000000"/>
                <w:kern w:val="0"/>
                <w:sz w:val="20"/>
                <w:szCs w:val="20"/>
                <w:u w:val="none"/>
                <w:lang w:val="en-US" w:eastAsia="zh-CN" w:bidi="ar"/>
              </w:rPr>
              <w:t>三级公立医院门诊人次数与出院人次数比</w:t>
            </w:r>
          </w:p>
        </w:tc>
        <w:tc>
          <w:tcPr>
            <w:tcW w:w="963"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eastAsia="宋体" w:cs="宋体"/>
                <w:sz w:val="20"/>
                <w:szCs w:val="20"/>
              </w:rPr>
            </w:pPr>
            <w:r>
              <w:rPr>
                <w:rFonts w:hint="eastAsia" w:ascii="宋体" w:hAnsi="宋体" w:eastAsia="宋体" w:cs="宋体"/>
                <w:i w:val="0"/>
                <w:iCs w:val="0"/>
                <w:snapToGrid w:val="0"/>
                <w:color w:val="000000"/>
                <w:kern w:val="0"/>
                <w:sz w:val="20"/>
                <w:szCs w:val="20"/>
                <w:u w:val="none"/>
                <w:lang w:val="en-US" w:eastAsia="zh-CN" w:bidi="ar"/>
              </w:rPr>
              <w:t>较上年降低</w:t>
            </w:r>
          </w:p>
        </w:tc>
        <w:tc>
          <w:tcPr>
            <w:tcW w:w="1027"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eastAsia="宋体" w:cs="宋体"/>
                <w:sz w:val="20"/>
                <w:szCs w:val="20"/>
              </w:rPr>
            </w:pPr>
            <w:r>
              <w:rPr>
                <w:rFonts w:hint="eastAsia" w:ascii="宋体" w:hAnsi="宋体" w:eastAsia="宋体" w:cs="宋体"/>
                <w:i w:val="0"/>
                <w:iCs w:val="0"/>
                <w:snapToGrid w:val="0"/>
                <w:color w:val="000000"/>
                <w:kern w:val="0"/>
                <w:sz w:val="20"/>
                <w:szCs w:val="20"/>
                <w:u w:val="none"/>
                <w:lang w:val="en-US" w:eastAsia="zh-CN" w:bidi="ar"/>
              </w:rPr>
              <w:t>较上年降低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98" w:type="pct"/>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cs="宋体"/>
                <w:bCs/>
                <w:sz w:val="20"/>
                <w:szCs w:val="20"/>
              </w:rPr>
            </w:pPr>
            <w:r>
              <w:rPr>
                <w:rFonts w:hint="eastAsia" w:ascii="宋体" w:hAnsi="宋体" w:eastAsia="宋体" w:cs="宋体"/>
                <w:bCs/>
                <w:sz w:val="20"/>
                <w:szCs w:val="20"/>
              </w:rPr>
              <w:t>4</w:t>
            </w:r>
          </w:p>
        </w:tc>
        <w:tc>
          <w:tcPr>
            <w:tcW w:w="902" w:type="pct"/>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cs="宋体"/>
                <w:bCs/>
                <w:sz w:val="20"/>
                <w:szCs w:val="20"/>
              </w:rPr>
            </w:pPr>
            <w:r>
              <w:rPr>
                <w:rFonts w:hint="eastAsia" w:ascii="宋体" w:hAnsi="宋体" w:eastAsia="宋体" w:cs="宋体"/>
                <w:bCs/>
                <w:sz w:val="20"/>
                <w:szCs w:val="20"/>
              </w:rPr>
              <w:t>社会效益指标</w:t>
            </w:r>
          </w:p>
        </w:tc>
        <w:tc>
          <w:tcPr>
            <w:tcW w:w="1708"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ascii="宋体" w:hAnsi="宋体" w:eastAsia="宋体" w:cs="宋体"/>
                <w:sz w:val="20"/>
                <w:szCs w:val="20"/>
              </w:rPr>
            </w:pPr>
            <w:r>
              <w:rPr>
                <w:rFonts w:hint="eastAsia" w:ascii="宋体" w:hAnsi="宋体" w:eastAsia="宋体" w:cs="宋体"/>
                <w:i w:val="0"/>
                <w:iCs w:val="0"/>
                <w:snapToGrid w:val="0"/>
                <w:color w:val="000000"/>
                <w:kern w:val="0"/>
                <w:sz w:val="20"/>
                <w:szCs w:val="20"/>
                <w:u w:val="none"/>
                <w:lang w:val="en-US" w:eastAsia="zh-CN" w:bidi="ar"/>
              </w:rPr>
              <w:t>托育服务平均价格占居民人均可支配收入比重（%）</w:t>
            </w:r>
          </w:p>
        </w:tc>
        <w:tc>
          <w:tcPr>
            <w:tcW w:w="963"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eastAsia="宋体" w:cs="宋体"/>
                <w:sz w:val="20"/>
                <w:szCs w:val="20"/>
              </w:rPr>
            </w:pPr>
            <w:r>
              <w:rPr>
                <w:rFonts w:hint="eastAsia" w:ascii="宋体" w:hAnsi="宋体" w:eastAsia="宋体" w:cs="宋体"/>
                <w:i w:val="0"/>
                <w:iCs w:val="0"/>
                <w:snapToGrid w:val="0"/>
                <w:color w:val="000000"/>
                <w:kern w:val="0"/>
                <w:sz w:val="20"/>
                <w:szCs w:val="20"/>
                <w:u w:val="none"/>
                <w:lang w:val="en-US" w:eastAsia="zh-CN" w:bidi="ar"/>
              </w:rPr>
              <w:t>≤32%</w:t>
            </w:r>
          </w:p>
        </w:tc>
        <w:tc>
          <w:tcPr>
            <w:tcW w:w="1027"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eastAsia="宋体" w:cs="宋体"/>
                <w:sz w:val="20"/>
                <w:szCs w:val="20"/>
              </w:rPr>
            </w:pPr>
            <w:r>
              <w:rPr>
                <w:rFonts w:hint="eastAsia" w:ascii="宋体" w:hAnsi="宋体" w:eastAsia="宋体" w:cs="宋体"/>
                <w:i w:val="0"/>
                <w:iCs w:val="0"/>
                <w:snapToGrid w:val="0"/>
                <w:color w:val="000000"/>
                <w:kern w:val="0"/>
                <w:sz w:val="20"/>
                <w:szCs w:val="20"/>
                <w:u w:val="none"/>
                <w:lang w:val="en-US" w:eastAsia="zh-CN" w:bidi="ar"/>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jc w:val="center"/>
        </w:trPr>
        <w:tc>
          <w:tcPr>
            <w:tcW w:w="398" w:type="pct"/>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cs="宋体"/>
                <w:bCs/>
                <w:sz w:val="20"/>
                <w:szCs w:val="20"/>
              </w:rPr>
            </w:pPr>
            <w:r>
              <w:rPr>
                <w:rFonts w:hint="eastAsia" w:ascii="宋体" w:hAnsi="宋体" w:eastAsia="宋体" w:cs="宋体"/>
                <w:bCs/>
                <w:sz w:val="20"/>
                <w:szCs w:val="20"/>
              </w:rPr>
              <w:t>5</w:t>
            </w:r>
          </w:p>
        </w:tc>
        <w:tc>
          <w:tcPr>
            <w:tcW w:w="902" w:type="pct"/>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cs="宋体"/>
                <w:bCs/>
                <w:sz w:val="20"/>
                <w:szCs w:val="20"/>
              </w:rPr>
            </w:pPr>
            <w:r>
              <w:rPr>
                <w:rFonts w:hint="eastAsia" w:ascii="宋体" w:hAnsi="宋体" w:eastAsia="宋体" w:cs="宋体"/>
                <w:bCs/>
                <w:sz w:val="20"/>
                <w:szCs w:val="20"/>
              </w:rPr>
              <w:t>社会效益指标</w:t>
            </w:r>
          </w:p>
        </w:tc>
        <w:tc>
          <w:tcPr>
            <w:tcW w:w="1708"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ascii="宋体" w:hAnsi="宋体" w:eastAsia="宋体" w:cs="宋体"/>
                <w:sz w:val="20"/>
                <w:szCs w:val="20"/>
              </w:rPr>
            </w:pPr>
            <w:r>
              <w:rPr>
                <w:rFonts w:hint="eastAsia" w:ascii="宋体" w:hAnsi="宋体" w:eastAsia="宋体" w:cs="宋体"/>
                <w:i w:val="0"/>
                <w:iCs w:val="0"/>
                <w:snapToGrid w:val="0"/>
                <w:color w:val="000000"/>
                <w:kern w:val="0"/>
                <w:sz w:val="20"/>
                <w:szCs w:val="20"/>
                <w:u w:val="none"/>
                <w:lang w:val="en-US" w:eastAsia="zh-CN" w:bidi="ar"/>
              </w:rPr>
              <w:t>普惠托位占总托位比例（%）</w:t>
            </w:r>
          </w:p>
        </w:tc>
        <w:tc>
          <w:tcPr>
            <w:tcW w:w="963"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eastAsia="宋体" w:cs="宋体"/>
                <w:sz w:val="20"/>
                <w:szCs w:val="20"/>
              </w:rPr>
            </w:pPr>
            <w:r>
              <w:rPr>
                <w:rFonts w:hint="eastAsia" w:ascii="宋体" w:hAnsi="宋体" w:eastAsia="宋体" w:cs="宋体"/>
                <w:i w:val="0"/>
                <w:iCs w:val="0"/>
                <w:snapToGrid w:val="0"/>
                <w:color w:val="000000"/>
                <w:kern w:val="0"/>
                <w:sz w:val="20"/>
                <w:szCs w:val="20"/>
                <w:u w:val="none"/>
                <w:lang w:val="en-US" w:eastAsia="zh-CN" w:bidi="ar"/>
              </w:rPr>
              <w:t>≥70%</w:t>
            </w:r>
          </w:p>
        </w:tc>
        <w:tc>
          <w:tcPr>
            <w:tcW w:w="1027"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eastAsia="宋体" w:cs="宋体"/>
                <w:sz w:val="20"/>
                <w:szCs w:val="20"/>
                <w:highlight w:val="none"/>
              </w:rPr>
            </w:pPr>
            <w:r>
              <w:rPr>
                <w:rFonts w:hint="eastAsia" w:ascii="宋体" w:hAnsi="宋体" w:eastAsia="宋体" w:cs="宋体"/>
                <w:i w:val="0"/>
                <w:iCs w:val="0"/>
                <w:snapToGrid w:val="0"/>
                <w:color w:val="000000"/>
                <w:kern w:val="0"/>
                <w:sz w:val="20"/>
                <w:szCs w:val="20"/>
                <w:highlight w:val="none"/>
                <w:u w:val="none"/>
                <w:lang w:val="en-US" w:eastAsia="zh-CN" w:bidi="ar"/>
              </w:rPr>
              <w:t>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398" w:type="pct"/>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cs="宋体"/>
                <w:bCs/>
                <w:sz w:val="20"/>
                <w:szCs w:val="20"/>
              </w:rPr>
            </w:pPr>
            <w:r>
              <w:rPr>
                <w:rFonts w:hint="eastAsia" w:ascii="宋体" w:hAnsi="宋体" w:eastAsia="宋体" w:cs="宋体"/>
                <w:bCs/>
                <w:sz w:val="20"/>
                <w:szCs w:val="20"/>
              </w:rPr>
              <w:t>6</w:t>
            </w:r>
          </w:p>
        </w:tc>
        <w:tc>
          <w:tcPr>
            <w:tcW w:w="902" w:type="pct"/>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cs="宋体"/>
                <w:bCs/>
                <w:sz w:val="20"/>
                <w:szCs w:val="20"/>
              </w:rPr>
            </w:pPr>
            <w:r>
              <w:rPr>
                <w:rFonts w:hint="eastAsia" w:ascii="宋体" w:hAnsi="宋体" w:eastAsia="宋体" w:cs="宋体"/>
                <w:bCs/>
                <w:sz w:val="20"/>
                <w:szCs w:val="20"/>
              </w:rPr>
              <w:t>社会效益指标</w:t>
            </w:r>
          </w:p>
        </w:tc>
        <w:tc>
          <w:tcPr>
            <w:tcW w:w="1708"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ascii="宋体" w:hAnsi="宋体" w:eastAsia="宋体" w:cs="宋体"/>
                <w:sz w:val="20"/>
                <w:szCs w:val="20"/>
              </w:rPr>
            </w:pPr>
            <w:r>
              <w:rPr>
                <w:rFonts w:hint="eastAsia" w:ascii="宋体" w:hAnsi="宋体" w:eastAsia="宋体" w:cs="宋体"/>
                <w:i w:val="0"/>
                <w:iCs w:val="0"/>
                <w:snapToGrid w:val="0"/>
                <w:color w:val="000000"/>
                <w:kern w:val="0"/>
                <w:sz w:val="20"/>
                <w:szCs w:val="20"/>
                <w:u w:val="none"/>
                <w:lang w:val="en-US" w:eastAsia="zh-CN" w:bidi="ar"/>
              </w:rPr>
              <w:t>社区托育服务机构覆盖率（%）</w:t>
            </w:r>
          </w:p>
        </w:tc>
        <w:tc>
          <w:tcPr>
            <w:tcW w:w="963"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eastAsia="宋体" w:cs="宋体"/>
                <w:sz w:val="20"/>
                <w:szCs w:val="20"/>
              </w:rPr>
            </w:pPr>
            <w:r>
              <w:rPr>
                <w:rFonts w:hint="eastAsia" w:ascii="宋体" w:hAnsi="宋体" w:eastAsia="宋体" w:cs="宋体"/>
                <w:i w:val="0"/>
                <w:iCs w:val="0"/>
                <w:snapToGrid w:val="0"/>
                <w:color w:val="000000"/>
                <w:kern w:val="0"/>
                <w:sz w:val="20"/>
                <w:szCs w:val="20"/>
                <w:u w:val="none"/>
                <w:lang w:val="en-US" w:eastAsia="zh-CN" w:bidi="ar"/>
              </w:rPr>
              <w:t>≥50%</w:t>
            </w:r>
          </w:p>
        </w:tc>
        <w:tc>
          <w:tcPr>
            <w:tcW w:w="1027"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eastAsia="宋体" w:cs="宋体"/>
                <w:b/>
                <w:bCs/>
                <w:sz w:val="20"/>
                <w:szCs w:val="20"/>
              </w:rPr>
            </w:pPr>
            <w:r>
              <w:rPr>
                <w:rFonts w:hint="eastAsia" w:ascii="宋体" w:hAnsi="宋体" w:eastAsia="宋体" w:cs="宋体"/>
                <w:i w:val="0"/>
                <w:iCs w:val="0"/>
                <w:snapToGrid w:val="0"/>
                <w:color w:val="000000"/>
                <w:kern w:val="0"/>
                <w:sz w:val="20"/>
                <w:szCs w:val="20"/>
                <w:u w:val="none"/>
                <w:lang w:val="en-US" w:eastAsia="zh-CN" w:bidi="ar"/>
              </w:rPr>
              <w:t>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398" w:type="pct"/>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cs="宋体"/>
                <w:bCs/>
                <w:sz w:val="20"/>
                <w:szCs w:val="20"/>
              </w:rPr>
            </w:pPr>
            <w:r>
              <w:rPr>
                <w:rFonts w:hint="eastAsia" w:ascii="宋体" w:hAnsi="宋体" w:eastAsia="宋体" w:cs="宋体"/>
                <w:bCs/>
                <w:sz w:val="20"/>
                <w:szCs w:val="20"/>
              </w:rPr>
              <w:t>7</w:t>
            </w:r>
          </w:p>
        </w:tc>
        <w:tc>
          <w:tcPr>
            <w:tcW w:w="902" w:type="pct"/>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cs="宋体"/>
                <w:bCs/>
                <w:sz w:val="20"/>
                <w:szCs w:val="20"/>
              </w:rPr>
            </w:pPr>
            <w:r>
              <w:rPr>
                <w:rFonts w:hint="eastAsia" w:ascii="宋体" w:hAnsi="宋体" w:eastAsia="宋体" w:cs="宋体"/>
                <w:bCs/>
                <w:sz w:val="20"/>
                <w:szCs w:val="20"/>
              </w:rPr>
              <w:t>社会效益指标</w:t>
            </w:r>
          </w:p>
        </w:tc>
        <w:tc>
          <w:tcPr>
            <w:tcW w:w="1708"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ascii="宋体" w:hAnsi="宋体" w:eastAsia="宋体" w:cs="宋体"/>
                <w:sz w:val="20"/>
                <w:szCs w:val="20"/>
              </w:rPr>
            </w:pPr>
            <w:r>
              <w:rPr>
                <w:rFonts w:hint="eastAsia" w:ascii="宋体" w:hAnsi="宋体" w:eastAsia="宋体" w:cs="宋体"/>
                <w:i w:val="0"/>
                <w:iCs w:val="0"/>
                <w:snapToGrid w:val="0"/>
                <w:color w:val="000000"/>
                <w:kern w:val="0"/>
                <w:sz w:val="20"/>
                <w:szCs w:val="20"/>
                <w:u w:val="none"/>
                <w:lang w:val="en-US" w:eastAsia="zh-CN" w:bidi="ar"/>
              </w:rPr>
              <w:t>用人单位、产业园区和商业楼宇托育服务机构的覆盖率（%）</w:t>
            </w:r>
          </w:p>
        </w:tc>
        <w:tc>
          <w:tcPr>
            <w:tcW w:w="963"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eastAsia="宋体" w:cs="宋体"/>
                <w:sz w:val="20"/>
                <w:szCs w:val="20"/>
              </w:rPr>
            </w:pPr>
            <w:r>
              <w:rPr>
                <w:rFonts w:hint="eastAsia" w:ascii="宋体" w:hAnsi="宋体" w:eastAsia="宋体" w:cs="宋体"/>
                <w:i w:val="0"/>
                <w:iCs w:val="0"/>
                <w:snapToGrid w:val="0"/>
                <w:color w:val="000000"/>
                <w:kern w:val="0"/>
                <w:sz w:val="20"/>
                <w:szCs w:val="20"/>
                <w:u w:val="none"/>
                <w:lang w:val="en-US" w:eastAsia="zh-CN" w:bidi="ar"/>
              </w:rPr>
              <w:t>≥30%</w:t>
            </w:r>
          </w:p>
        </w:tc>
        <w:tc>
          <w:tcPr>
            <w:tcW w:w="1027"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eastAsia="宋体" w:cs="宋体"/>
                <w:sz w:val="20"/>
                <w:szCs w:val="20"/>
              </w:rPr>
            </w:pPr>
            <w:r>
              <w:rPr>
                <w:rFonts w:hint="eastAsia" w:ascii="宋体" w:hAnsi="宋体" w:eastAsia="宋体" w:cs="宋体"/>
                <w:i w:val="0"/>
                <w:iCs w:val="0"/>
                <w:snapToGrid w:val="0"/>
                <w:color w:val="000000"/>
                <w:kern w:val="0"/>
                <w:sz w:val="20"/>
                <w:szCs w:val="20"/>
                <w:u w:val="none"/>
                <w:lang w:val="en-US" w:eastAsia="zh-CN" w:bidi="ar"/>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398" w:type="pct"/>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bCs/>
                <w:sz w:val="20"/>
                <w:szCs w:val="20"/>
                <w:lang w:val="en-US" w:eastAsia="zh-CN"/>
              </w:rPr>
            </w:pPr>
            <w:r>
              <w:rPr>
                <w:rFonts w:hint="eastAsia" w:ascii="宋体" w:hAnsi="宋体" w:eastAsia="宋体" w:cs="宋体"/>
                <w:bCs/>
                <w:sz w:val="20"/>
                <w:szCs w:val="20"/>
                <w:lang w:val="en-US" w:eastAsia="zh-CN"/>
              </w:rPr>
              <w:t>8</w:t>
            </w:r>
          </w:p>
        </w:tc>
        <w:tc>
          <w:tcPr>
            <w:tcW w:w="902" w:type="pct"/>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bCs/>
                <w:sz w:val="20"/>
                <w:szCs w:val="20"/>
              </w:rPr>
            </w:pPr>
            <w:r>
              <w:rPr>
                <w:rFonts w:hint="eastAsia" w:ascii="宋体" w:hAnsi="宋体" w:eastAsia="宋体" w:cs="宋体"/>
                <w:bCs/>
                <w:sz w:val="20"/>
                <w:szCs w:val="20"/>
              </w:rPr>
              <w:t>社会效益指标</w:t>
            </w:r>
          </w:p>
        </w:tc>
        <w:tc>
          <w:tcPr>
            <w:tcW w:w="1708"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ascii="宋体" w:hAnsi="宋体" w:eastAsia="宋体" w:cs="宋体"/>
                <w:sz w:val="20"/>
                <w:szCs w:val="20"/>
              </w:rPr>
            </w:pPr>
            <w:r>
              <w:rPr>
                <w:rFonts w:hint="eastAsia" w:ascii="宋体" w:hAnsi="宋体" w:eastAsia="宋体" w:cs="宋体"/>
                <w:i w:val="0"/>
                <w:iCs w:val="0"/>
                <w:snapToGrid w:val="0"/>
                <w:color w:val="000000"/>
                <w:kern w:val="0"/>
                <w:sz w:val="20"/>
                <w:szCs w:val="20"/>
                <w:u w:val="none"/>
                <w:lang w:val="en-US" w:eastAsia="zh-CN" w:bidi="ar"/>
              </w:rPr>
              <w:t>农村托育服务平均价格占农村居民可支配收入比重（%）</w:t>
            </w:r>
          </w:p>
        </w:tc>
        <w:tc>
          <w:tcPr>
            <w:tcW w:w="963"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eastAsia="宋体" w:cs="宋体"/>
                <w:sz w:val="20"/>
                <w:szCs w:val="20"/>
              </w:rPr>
            </w:pPr>
            <w:r>
              <w:rPr>
                <w:rFonts w:hint="eastAsia" w:ascii="宋体" w:hAnsi="宋体" w:eastAsia="宋体" w:cs="宋体"/>
                <w:i w:val="0"/>
                <w:iCs w:val="0"/>
                <w:snapToGrid w:val="0"/>
                <w:color w:val="000000"/>
                <w:kern w:val="0"/>
                <w:sz w:val="20"/>
                <w:szCs w:val="20"/>
                <w:u w:val="none"/>
                <w:lang w:val="en-US" w:eastAsia="zh-CN" w:bidi="ar"/>
              </w:rPr>
              <w:t>≤45%</w:t>
            </w:r>
          </w:p>
        </w:tc>
        <w:tc>
          <w:tcPr>
            <w:tcW w:w="1027"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eastAsia="宋体" w:cs="宋体"/>
                <w:sz w:val="20"/>
                <w:szCs w:val="20"/>
              </w:rPr>
            </w:pPr>
            <w:r>
              <w:rPr>
                <w:rFonts w:hint="eastAsia" w:ascii="宋体" w:hAnsi="宋体" w:eastAsia="宋体" w:cs="宋体"/>
                <w:i w:val="0"/>
                <w:iCs w:val="0"/>
                <w:snapToGrid w:val="0"/>
                <w:color w:val="000000"/>
                <w:kern w:val="0"/>
                <w:sz w:val="20"/>
                <w:szCs w:val="20"/>
                <w:u w:val="none"/>
                <w:lang w:val="en-US" w:eastAsia="zh-CN" w:bidi="ar"/>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398" w:type="pct"/>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bCs/>
                <w:sz w:val="20"/>
                <w:szCs w:val="20"/>
                <w:lang w:val="en-US" w:eastAsia="zh-CN"/>
              </w:rPr>
            </w:pPr>
            <w:r>
              <w:rPr>
                <w:rFonts w:hint="eastAsia" w:ascii="宋体" w:hAnsi="宋体" w:eastAsia="宋体" w:cs="宋体"/>
                <w:bCs/>
                <w:sz w:val="20"/>
                <w:szCs w:val="20"/>
                <w:lang w:val="en-US" w:eastAsia="zh-CN"/>
              </w:rPr>
              <w:t>9</w:t>
            </w:r>
          </w:p>
        </w:tc>
        <w:tc>
          <w:tcPr>
            <w:tcW w:w="902" w:type="pct"/>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bCs/>
                <w:sz w:val="20"/>
                <w:szCs w:val="20"/>
              </w:rPr>
            </w:pPr>
            <w:r>
              <w:rPr>
                <w:rFonts w:hint="eastAsia" w:ascii="宋体" w:hAnsi="宋体" w:eastAsia="宋体" w:cs="宋体"/>
                <w:bCs/>
                <w:sz w:val="20"/>
                <w:szCs w:val="20"/>
              </w:rPr>
              <w:t>社会效益指标</w:t>
            </w:r>
          </w:p>
        </w:tc>
        <w:tc>
          <w:tcPr>
            <w:tcW w:w="1708"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ascii="宋体" w:hAnsi="宋体" w:eastAsia="宋体" w:cs="宋体"/>
                <w:sz w:val="20"/>
                <w:szCs w:val="20"/>
              </w:rPr>
            </w:pPr>
            <w:r>
              <w:rPr>
                <w:rFonts w:hint="eastAsia" w:ascii="宋体" w:hAnsi="宋体" w:eastAsia="宋体" w:cs="宋体"/>
                <w:i w:val="0"/>
                <w:iCs w:val="0"/>
                <w:snapToGrid w:val="0"/>
                <w:color w:val="000000"/>
                <w:kern w:val="0"/>
                <w:sz w:val="20"/>
                <w:szCs w:val="20"/>
                <w:u w:val="none"/>
                <w:lang w:val="en-US" w:eastAsia="zh-CN" w:bidi="ar"/>
              </w:rPr>
              <w:t>托位实际使用率</w:t>
            </w:r>
          </w:p>
        </w:tc>
        <w:tc>
          <w:tcPr>
            <w:tcW w:w="963"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eastAsia="宋体" w:cs="宋体"/>
                <w:sz w:val="20"/>
                <w:szCs w:val="20"/>
              </w:rPr>
            </w:pPr>
            <w:r>
              <w:rPr>
                <w:rFonts w:hint="eastAsia" w:ascii="宋体" w:hAnsi="宋体" w:eastAsia="宋体" w:cs="宋体"/>
                <w:i w:val="0"/>
                <w:iCs w:val="0"/>
                <w:snapToGrid w:val="0"/>
                <w:color w:val="000000"/>
                <w:kern w:val="0"/>
                <w:sz w:val="20"/>
                <w:szCs w:val="20"/>
                <w:u w:val="none"/>
                <w:lang w:val="en-US" w:eastAsia="zh-CN" w:bidi="ar"/>
              </w:rPr>
              <w:t>≥75%</w:t>
            </w:r>
          </w:p>
        </w:tc>
        <w:tc>
          <w:tcPr>
            <w:tcW w:w="1027"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eastAsia="宋体" w:cs="宋体"/>
                <w:sz w:val="20"/>
                <w:szCs w:val="20"/>
              </w:rPr>
            </w:pPr>
            <w:r>
              <w:rPr>
                <w:rFonts w:hint="eastAsia" w:ascii="宋体" w:hAnsi="宋体" w:eastAsia="宋体" w:cs="宋体"/>
                <w:i w:val="0"/>
                <w:iCs w:val="0"/>
                <w:snapToGrid w:val="0"/>
                <w:color w:val="000000"/>
                <w:kern w:val="0"/>
                <w:sz w:val="20"/>
                <w:szCs w:val="20"/>
                <w:highlight w:val="none"/>
                <w:u w:val="none"/>
                <w:lang w:val="en-US" w:eastAsia="zh-CN" w:bidi="ar"/>
              </w:rPr>
              <w:t>34%</w:t>
            </w:r>
          </w:p>
        </w:tc>
      </w:tr>
    </w:tbl>
    <w:p>
      <w:pPr>
        <w:spacing w:line="580" w:lineRule="exact"/>
        <w:ind w:firstLine="640" w:firstLineChars="200"/>
        <w:jc w:val="both"/>
        <w:rPr>
          <w:rFonts w:ascii="仿宋_GB2312" w:hAnsi="仿宋_GB2312" w:eastAsia="仿宋_GB2312" w:cs="仿宋_GB2312"/>
          <w:b/>
          <w:sz w:val="32"/>
          <w:szCs w:val="32"/>
        </w:rPr>
      </w:pPr>
      <w:r>
        <w:rPr>
          <w:rFonts w:hint="eastAsia" w:ascii="仿宋_GB2312" w:hAnsi="仿宋_GB2312" w:eastAsia="仿宋_GB2312" w:cs="仿宋_GB2312"/>
          <w:bCs/>
          <w:sz w:val="32"/>
          <w:szCs w:val="32"/>
        </w:rPr>
        <w:t>（2）可持续影响指标</w:t>
      </w:r>
    </w:p>
    <w:p>
      <w:pPr>
        <w:spacing w:line="580" w:lineRule="exact"/>
        <w:ind w:firstLine="640" w:firstLineChars="200"/>
        <w:jc w:val="both"/>
        <w:rPr>
          <w:rFonts w:ascii="仿宋_GB2312" w:hAnsi="仿宋" w:eastAsia="仿宋_GB2312"/>
          <w:sz w:val="32"/>
          <w:szCs w:val="32"/>
        </w:rPr>
      </w:pPr>
      <w:r>
        <w:rPr>
          <w:rFonts w:hint="eastAsia" w:ascii="仿宋_GB2312" w:hAnsi="仿宋" w:eastAsia="仿宋_GB2312"/>
          <w:sz w:val="32"/>
          <w:szCs w:val="32"/>
          <w:lang w:eastAsia="zh-CN"/>
        </w:rPr>
        <w:t>2024年</w:t>
      </w:r>
      <w:r>
        <w:rPr>
          <w:rFonts w:hint="eastAsia" w:ascii="仿宋_GB2312" w:hAnsi="仿宋" w:eastAsia="仿宋_GB2312"/>
          <w:sz w:val="32"/>
          <w:szCs w:val="32"/>
        </w:rPr>
        <w:t>北京市医疗服务与保障能力提升补助资金转移支付项目设定的可持续影响指标共</w:t>
      </w:r>
      <w:r>
        <w:rPr>
          <w:rFonts w:hint="eastAsia" w:ascii="仿宋_GB2312" w:hAnsi="仿宋" w:eastAsia="仿宋_GB2312"/>
          <w:sz w:val="32"/>
          <w:szCs w:val="32"/>
          <w:lang w:val="en-US" w:eastAsia="zh-CN"/>
        </w:rPr>
        <w:t>2</w:t>
      </w:r>
      <w:r>
        <w:rPr>
          <w:rFonts w:hint="eastAsia" w:ascii="仿宋_GB2312" w:hAnsi="仿宋" w:eastAsia="仿宋_GB2312"/>
          <w:sz w:val="32"/>
          <w:szCs w:val="32"/>
        </w:rPr>
        <w:t>项，</w:t>
      </w:r>
      <w:r>
        <w:rPr>
          <w:rFonts w:hint="eastAsia" w:ascii="仿宋_GB2312" w:hAnsi="仿宋" w:eastAsia="仿宋_GB2312"/>
          <w:bCs/>
          <w:sz w:val="32"/>
          <w:szCs w:val="32"/>
          <w:highlight w:val="none"/>
        </w:rPr>
        <w:t>已完成</w:t>
      </w:r>
      <w:r>
        <w:rPr>
          <w:rFonts w:hint="eastAsia" w:ascii="仿宋_GB2312" w:hAnsi="仿宋" w:eastAsia="仿宋_GB2312"/>
          <w:bCs/>
          <w:sz w:val="32"/>
          <w:szCs w:val="32"/>
          <w:highlight w:val="none"/>
          <w:lang w:val="en-US" w:eastAsia="zh-CN"/>
        </w:rPr>
        <w:t>1</w:t>
      </w:r>
      <w:r>
        <w:rPr>
          <w:rFonts w:hint="eastAsia" w:ascii="仿宋_GB2312" w:hAnsi="仿宋" w:eastAsia="仿宋_GB2312"/>
          <w:bCs/>
          <w:sz w:val="32"/>
          <w:szCs w:val="32"/>
          <w:highlight w:val="none"/>
        </w:rPr>
        <w:t>项指标，</w:t>
      </w:r>
      <w:r>
        <w:rPr>
          <w:rFonts w:hint="eastAsia" w:ascii="仿宋_GB2312" w:hAnsi="仿宋" w:eastAsia="仿宋_GB2312"/>
          <w:bCs/>
          <w:sz w:val="32"/>
          <w:szCs w:val="32"/>
          <w:highlight w:val="none"/>
          <w:lang w:val="en-US" w:eastAsia="zh-CN"/>
        </w:rPr>
        <w:t>1</w:t>
      </w:r>
      <w:r>
        <w:rPr>
          <w:rFonts w:hint="eastAsia" w:ascii="仿宋_GB2312" w:hAnsi="仿宋" w:eastAsia="仿宋_GB2312"/>
          <w:bCs/>
          <w:sz w:val="32"/>
          <w:szCs w:val="32"/>
          <w:highlight w:val="none"/>
        </w:rPr>
        <w:t>项指标未完成</w:t>
      </w:r>
      <w:r>
        <w:rPr>
          <w:rFonts w:ascii="仿宋_GB2312" w:hAnsi="仿宋" w:eastAsia="仿宋_GB2312"/>
          <w:sz w:val="32"/>
          <w:szCs w:val="32"/>
        </w:rPr>
        <w:t>，</w:t>
      </w:r>
      <w:r>
        <w:rPr>
          <w:rFonts w:hint="eastAsia" w:ascii="仿宋_GB2312" w:hAnsi="仿宋" w:eastAsia="仿宋_GB2312"/>
          <w:sz w:val="32"/>
          <w:szCs w:val="32"/>
        </w:rPr>
        <w:t>具体情况如下表</w:t>
      </w:r>
      <w:r>
        <w:rPr>
          <w:rFonts w:hint="eastAsia" w:ascii="仿宋_GB2312" w:hAnsi="仿宋" w:eastAsia="仿宋_GB2312"/>
          <w:sz w:val="32"/>
          <w:szCs w:val="32"/>
          <w:lang w:val="en-US" w:eastAsia="zh-CN"/>
        </w:rPr>
        <w:t>4</w:t>
      </w:r>
      <w:r>
        <w:rPr>
          <w:rFonts w:ascii="仿宋_GB2312" w:hAnsi="仿宋" w:eastAsia="仿宋_GB2312"/>
          <w:sz w:val="32"/>
          <w:szCs w:val="32"/>
        </w:rPr>
        <w:t>：</w:t>
      </w:r>
    </w:p>
    <w:p>
      <w:pPr>
        <w:pStyle w:val="3"/>
        <w:widowControl w:val="0"/>
        <w:kinsoku/>
        <w:autoSpaceDE/>
        <w:autoSpaceDN/>
        <w:adjustRightInd/>
        <w:snapToGrid/>
        <w:spacing w:after="0" w:line="240" w:lineRule="auto"/>
        <w:jc w:val="center"/>
        <w:textAlignment w:val="auto"/>
        <w:rPr>
          <w:rFonts w:ascii="仿宋_GB2312" w:hAnsi="仿宋" w:eastAsia="仿宋_GB2312"/>
          <w:sz w:val="32"/>
          <w:szCs w:val="32"/>
        </w:rPr>
      </w:pPr>
      <w:r>
        <w:rPr>
          <w:rFonts w:hint="eastAsia" w:ascii="仿宋_GB2312" w:hAnsi="仿宋_GB2312" w:eastAsia="仿宋_GB2312" w:cs="仿宋_GB2312"/>
          <w:snapToGrid/>
          <w:kern w:val="2"/>
          <w:sz w:val="28"/>
          <w:szCs w:val="28"/>
        </w:rPr>
        <w:t>表</w:t>
      </w:r>
      <w:r>
        <w:rPr>
          <w:rFonts w:hint="eastAsia" w:ascii="仿宋_GB2312" w:hAnsi="仿宋_GB2312" w:eastAsia="仿宋_GB2312" w:cs="仿宋_GB2312"/>
          <w:snapToGrid/>
          <w:kern w:val="2"/>
          <w:sz w:val="28"/>
          <w:szCs w:val="28"/>
          <w:lang w:val="en-US" w:eastAsia="zh-CN"/>
        </w:rPr>
        <w:t>4</w:t>
      </w:r>
      <w:r>
        <w:rPr>
          <w:rFonts w:hint="eastAsia" w:ascii="仿宋_GB2312" w:hAnsi="仿宋_GB2312" w:eastAsia="仿宋_GB2312" w:cs="仿宋_GB2312"/>
          <w:snapToGrid/>
          <w:kern w:val="2"/>
          <w:sz w:val="28"/>
          <w:szCs w:val="28"/>
        </w:rPr>
        <w:t>：可持续影响指标完成情况表</w:t>
      </w:r>
    </w:p>
    <w:tbl>
      <w:tblPr>
        <w:tblStyle w:val="6"/>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4"/>
        <w:gridCol w:w="1662"/>
        <w:gridCol w:w="2611"/>
        <w:gridCol w:w="1641"/>
        <w:gridCol w:w="17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tblHeader/>
          <w:jc w:val="center"/>
        </w:trPr>
        <w:tc>
          <w:tcPr>
            <w:tcW w:w="501" w:type="pct"/>
            <w:tcBorders>
              <w:top w:val="single" w:color="auto" w:sz="4" w:space="0"/>
              <w:left w:val="single" w:color="auto" w:sz="4" w:space="0"/>
              <w:bottom w:val="single" w:color="auto" w:sz="4" w:space="0"/>
              <w:right w:val="single" w:color="auto" w:sz="4" w:space="0"/>
            </w:tcBorders>
            <w:shd w:val="clear" w:color="auto" w:fill="A6A6A6"/>
            <w:noWrap w:val="0"/>
            <w:vAlign w:val="center"/>
          </w:tcPr>
          <w:p>
            <w:pPr>
              <w:jc w:val="center"/>
              <w:rPr>
                <w:rFonts w:ascii="宋体" w:hAnsi="宋体" w:eastAsia="宋体" w:cs="宋体"/>
                <w:b/>
                <w:sz w:val="20"/>
                <w:szCs w:val="20"/>
              </w:rPr>
            </w:pPr>
            <w:r>
              <w:rPr>
                <w:rFonts w:hint="eastAsia" w:ascii="宋体" w:hAnsi="宋体" w:eastAsia="宋体" w:cs="宋体"/>
                <w:b/>
                <w:sz w:val="20"/>
                <w:szCs w:val="20"/>
              </w:rPr>
              <w:t>序号</w:t>
            </w:r>
          </w:p>
        </w:tc>
        <w:tc>
          <w:tcPr>
            <w:tcW w:w="975" w:type="pct"/>
            <w:tcBorders>
              <w:top w:val="single" w:color="auto" w:sz="4" w:space="0"/>
              <w:left w:val="single" w:color="auto" w:sz="4" w:space="0"/>
              <w:bottom w:val="single" w:color="auto" w:sz="4" w:space="0"/>
              <w:right w:val="single" w:color="auto" w:sz="4" w:space="0"/>
            </w:tcBorders>
            <w:shd w:val="clear" w:color="auto" w:fill="A6A6A6"/>
            <w:noWrap w:val="0"/>
            <w:vAlign w:val="center"/>
          </w:tcPr>
          <w:p>
            <w:pPr>
              <w:jc w:val="center"/>
              <w:rPr>
                <w:rFonts w:ascii="宋体" w:hAnsi="宋体" w:eastAsia="宋体" w:cs="宋体"/>
                <w:b/>
                <w:sz w:val="20"/>
                <w:szCs w:val="20"/>
              </w:rPr>
            </w:pPr>
            <w:r>
              <w:rPr>
                <w:rFonts w:hint="eastAsia" w:ascii="宋体" w:hAnsi="宋体" w:eastAsia="宋体" w:cs="宋体"/>
                <w:b/>
                <w:sz w:val="20"/>
                <w:szCs w:val="20"/>
              </w:rPr>
              <w:t>指标类型</w:t>
            </w:r>
          </w:p>
        </w:tc>
        <w:tc>
          <w:tcPr>
            <w:tcW w:w="1532" w:type="pct"/>
            <w:tcBorders>
              <w:top w:val="single" w:color="auto" w:sz="4" w:space="0"/>
              <w:left w:val="single" w:color="auto" w:sz="4" w:space="0"/>
              <w:bottom w:val="single" w:color="auto" w:sz="4" w:space="0"/>
              <w:right w:val="single" w:color="auto" w:sz="4" w:space="0"/>
            </w:tcBorders>
            <w:shd w:val="clear" w:color="auto" w:fill="A6A6A6"/>
            <w:noWrap w:val="0"/>
            <w:vAlign w:val="center"/>
          </w:tcPr>
          <w:p>
            <w:pPr>
              <w:jc w:val="center"/>
              <w:rPr>
                <w:rFonts w:ascii="宋体" w:hAnsi="宋体" w:eastAsia="宋体" w:cs="宋体"/>
                <w:b/>
                <w:sz w:val="20"/>
                <w:szCs w:val="20"/>
              </w:rPr>
            </w:pPr>
            <w:r>
              <w:rPr>
                <w:rFonts w:hint="eastAsia" w:ascii="宋体" w:hAnsi="宋体" w:eastAsia="宋体" w:cs="宋体"/>
                <w:b/>
                <w:sz w:val="20"/>
                <w:szCs w:val="20"/>
              </w:rPr>
              <w:t>三级指标</w:t>
            </w:r>
          </w:p>
        </w:tc>
        <w:tc>
          <w:tcPr>
            <w:tcW w:w="963" w:type="pct"/>
            <w:tcBorders>
              <w:top w:val="single" w:color="auto" w:sz="4" w:space="0"/>
              <w:left w:val="single" w:color="auto" w:sz="4" w:space="0"/>
              <w:bottom w:val="single" w:color="auto" w:sz="4" w:space="0"/>
              <w:right w:val="single" w:color="auto" w:sz="4" w:space="0"/>
            </w:tcBorders>
            <w:shd w:val="clear" w:color="auto" w:fill="A6A6A6"/>
            <w:noWrap w:val="0"/>
            <w:vAlign w:val="center"/>
          </w:tcPr>
          <w:p>
            <w:pPr>
              <w:jc w:val="center"/>
              <w:rPr>
                <w:rFonts w:ascii="宋体" w:hAnsi="宋体" w:eastAsia="宋体" w:cs="宋体"/>
                <w:b/>
                <w:sz w:val="20"/>
                <w:szCs w:val="20"/>
              </w:rPr>
            </w:pPr>
            <w:r>
              <w:rPr>
                <w:rFonts w:hint="eastAsia" w:ascii="宋体" w:hAnsi="宋体" w:eastAsia="宋体" w:cs="宋体"/>
                <w:b/>
                <w:sz w:val="20"/>
                <w:szCs w:val="20"/>
              </w:rPr>
              <w:t>指标值</w:t>
            </w:r>
          </w:p>
        </w:tc>
        <w:tc>
          <w:tcPr>
            <w:tcW w:w="1027" w:type="pct"/>
            <w:tcBorders>
              <w:top w:val="single" w:color="auto" w:sz="4" w:space="0"/>
              <w:left w:val="single" w:color="auto" w:sz="4" w:space="0"/>
              <w:bottom w:val="single" w:color="auto" w:sz="4" w:space="0"/>
              <w:right w:val="single" w:color="auto" w:sz="4" w:space="0"/>
            </w:tcBorders>
            <w:shd w:val="clear" w:color="auto" w:fill="A6A6A6"/>
            <w:noWrap w:val="0"/>
            <w:vAlign w:val="center"/>
          </w:tcPr>
          <w:p>
            <w:pPr>
              <w:jc w:val="center"/>
              <w:rPr>
                <w:rFonts w:ascii="宋体" w:hAnsi="宋体" w:eastAsia="宋体" w:cs="宋体"/>
                <w:b/>
                <w:sz w:val="20"/>
                <w:szCs w:val="20"/>
              </w:rPr>
            </w:pPr>
            <w:r>
              <w:rPr>
                <w:rFonts w:hint="eastAsia" w:ascii="宋体" w:hAnsi="宋体" w:eastAsia="宋体" w:cs="宋体"/>
                <w:b/>
                <w:sz w:val="20"/>
                <w:szCs w:val="20"/>
              </w:rPr>
              <w:t>实际完成值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jc w:val="center"/>
        </w:trPr>
        <w:tc>
          <w:tcPr>
            <w:tcW w:w="501" w:type="pct"/>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cs="宋体"/>
                <w:bCs/>
                <w:sz w:val="20"/>
                <w:szCs w:val="20"/>
              </w:rPr>
            </w:pPr>
            <w:r>
              <w:rPr>
                <w:rFonts w:hint="eastAsia" w:ascii="宋体" w:hAnsi="宋体" w:eastAsia="宋体" w:cs="宋体"/>
                <w:bCs/>
                <w:sz w:val="20"/>
                <w:szCs w:val="20"/>
              </w:rPr>
              <w:t>1</w:t>
            </w:r>
          </w:p>
        </w:tc>
        <w:tc>
          <w:tcPr>
            <w:tcW w:w="975" w:type="pct"/>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cs="宋体"/>
                <w:bCs/>
                <w:sz w:val="20"/>
                <w:szCs w:val="20"/>
              </w:rPr>
            </w:pPr>
            <w:r>
              <w:rPr>
                <w:rFonts w:hint="eastAsia" w:ascii="宋体" w:hAnsi="宋体" w:eastAsia="宋体" w:cs="宋体"/>
                <w:bCs/>
                <w:sz w:val="20"/>
                <w:szCs w:val="20"/>
              </w:rPr>
              <w:t>可持续影响指标</w:t>
            </w:r>
          </w:p>
        </w:tc>
        <w:tc>
          <w:tcPr>
            <w:tcW w:w="1532"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ascii="宋体" w:hAnsi="宋体" w:eastAsia="宋体" w:cs="宋体"/>
                <w:bCs/>
                <w:sz w:val="20"/>
                <w:szCs w:val="20"/>
              </w:rPr>
            </w:pPr>
            <w:r>
              <w:rPr>
                <w:rFonts w:hint="eastAsia" w:ascii="宋体" w:hAnsi="宋体" w:eastAsia="宋体" w:cs="宋体"/>
                <w:i w:val="0"/>
                <w:iCs w:val="0"/>
                <w:snapToGrid w:val="0"/>
                <w:color w:val="000000"/>
                <w:kern w:val="0"/>
                <w:sz w:val="20"/>
                <w:szCs w:val="20"/>
                <w:u w:val="none"/>
                <w:lang w:val="en-US" w:eastAsia="zh-CN" w:bidi="ar"/>
              </w:rPr>
              <w:t>公立医院资产负债率</w:t>
            </w:r>
          </w:p>
        </w:tc>
        <w:tc>
          <w:tcPr>
            <w:tcW w:w="963"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eastAsia="宋体" w:cs="宋体"/>
                <w:bCs/>
                <w:sz w:val="20"/>
                <w:szCs w:val="20"/>
              </w:rPr>
            </w:pPr>
            <w:r>
              <w:rPr>
                <w:rFonts w:hint="eastAsia" w:ascii="宋体" w:hAnsi="宋体" w:eastAsia="宋体" w:cs="宋体"/>
                <w:i w:val="0"/>
                <w:iCs w:val="0"/>
                <w:snapToGrid w:val="0"/>
                <w:color w:val="000000"/>
                <w:kern w:val="0"/>
                <w:sz w:val="20"/>
                <w:szCs w:val="20"/>
                <w:u w:val="none"/>
                <w:lang w:val="en-US" w:eastAsia="zh-CN" w:bidi="ar"/>
              </w:rPr>
              <w:t>较上年降低</w:t>
            </w:r>
          </w:p>
        </w:tc>
        <w:tc>
          <w:tcPr>
            <w:tcW w:w="1027"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eastAsia="宋体" w:cs="宋体"/>
                <w:bCs/>
                <w:sz w:val="20"/>
                <w:szCs w:val="20"/>
              </w:rPr>
            </w:pPr>
            <w:r>
              <w:rPr>
                <w:rFonts w:hint="eastAsia" w:ascii="宋体" w:hAnsi="宋体" w:eastAsia="宋体" w:cs="宋体"/>
                <w:i w:val="0"/>
                <w:iCs w:val="0"/>
                <w:snapToGrid w:val="0"/>
                <w:color w:val="000000"/>
                <w:kern w:val="0"/>
                <w:sz w:val="20"/>
                <w:szCs w:val="20"/>
                <w:u w:val="none"/>
                <w:lang w:val="en-US" w:eastAsia="zh-CN" w:bidi="ar"/>
              </w:rPr>
              <w:t>较上年降低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jc w:val="center"/>
        </w:trPr>
        <w:tc>
          <w:tcPr>
            <w:tcW w:w="501" w:type="pct"/>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cs="宋体"/>
                <w:bCs/>
                <w:sz w:val="20"/>
                <w:szCs w:val="20"/>
              </w:rPr>
            </w:pPr>
            <w:r>
              <w:rPr>
                <w:rFonts w:hint="eastAsia" w:ascii="宋体" w:hAnsi="宋体" w:eastAsia="宋体" w:cs="宋体"/>
                <w:bCs/>
                <w:sz w:val="20"/>
                <w:szCs w:val="20"/>
              </w:rPr>
              <w:t>2</w:t>
            </w:r>
          </w:p>
        </w:tc>
        <w:tc>
          <w:tcPr>
            <w:tcW w:w="975" w:type="pct"/>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cs="宋体"/>
                <w:bCs/>
                <w:sz w:val="20"/>
                <w:szCs w:val="20"/>
              </w:rPr>
            </w:pPr>
            <w:r>
              <w:rPr>
                <w:rFonts w:hint="eastAsia" w:ascii="宋体" w:hAnsi="宋体" w:eastAsia="宋体" w:cs="宋体"/>
                <w:bCs/>
                <w:sz w:val="20"/>
                <w:szCs w:val="20"/>
              </w:rPr>
              <w:t>可持续影响指标</w:t>
            </w:r>
          </w:p>
        </w:tc>
        <w:tc>
          <w:tcPr>
            <w:tcW w:w="1532"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ascii="宋体" w:hAnsi="宋体" w:eastAsia="宋体" w:cs="宋体"/>
                <w:sz w:val="20"/>
                <w:szCs w:val="20"/>
              </w:rPr>
            </w:pPr>
            <w:r>
              <w:rPr>
                <w:rFonts w:hint="eastAsia" w:ascii="宋体" w:hAnsi="宋体" w:eastAsia="宋体" w:cs="宋体"/>
                <w:i w:val="0"/>
                <w:iCs w:val="0"/>
                <w:snapToGrid w:val="0"/>
                <w:color w:val="000000"/>
                <w:kern w:val="0"/>
                <w:sz w:val="20"/>
                <w:szCs w:val="20"/>
                <w:u w:val="none"/>
                <w:lang w:val="en-US" w:eastAsia="zh-CN" w:bidi="ar"/>
              </w:rPr>
              <w:t>实现收支平衡的公立医院数占公立医院总数的比例</w:t>
            </w:r>
          </w:p>
        </w:tc>
        <w:tc>
          <w:tcPr>
            <w:tcW w:w="963"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eastAsia="宋体" w:cs="宋体"/>
                <w:color w:val="auto"/>
                <w:sz w:val="20"/>
                <w:szCs w:val="20"/>
              </w:rPr>
            </w:pPr>
            <w:r>
              <w:rPr>
                <w:rFonts w:hint="eastAsia" w:ascii="宋体" w:hAnsi="宋体" w:eastAsia="宋体" w:cs="宋体"/>
                <w:i w:val="0"/>
                <w:iCs w:val="0"/>
                <w:snapToGrid w:val="0"/>
                <w:color w:val="auto"/>
                <w:kern w:val="0"/>
                <w:sz w:val="20"/>
                <w:szCs w:val="20"/>
                <w:u w:val="none"/>
                <w:lang w:val="en-US" w:eastAsia="zh-CN" w:bidi="ar"/>
              </w:rPr>
              <w:t>较上年提高</w:t>
            </w:r>
          </w:p>
        </w:tc>
        <w:tc>
          <w:tcPr>
            <w:tcW w:w="1027"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eastAsia="宋体" w:cs="宋体"/>
                <w:color w:val="auto"/>
                <w:sz w:val="20"/>
                <w:szCs w:val="20"/>
              </w:rPr>
            </w:pPr>
            <w:r>
              <w:rPr>
                <w:rFonts w:hint="eastAsia" w:ascii="宋体" w:hAnsi="宋体" w:eastAsia="宋体" w:cs="宋体"/>
                <w:i w:val="0"/>
                <w:iCs w:val="0"/>
                <w:snapToGrid w:val="0"/>
                <w:color w:val="auto"/>
                <w:kern w:val="0"/>
                <w:sz w:val="20"/>
                <w:szCs w:val="20"/>
                <w:u w:val="none"/>
                <w:lang w:val="en-US" w:eastAsia="zh-CN" w:bidi="ar"/>
              </w:rPr>
              <w:t>较上年降低</w:t>
            </w:r>
          </w:p>
        </w:tc>
      </w:tr>
    </w:tbl>
    <w:p>
      <w:pPr>
        <w:spacing w:line="580" w:lineRule="exact"/>
        <w:ind w:firstLine="640" w:firstLineChars="200"/>
        <w:jc w:val="both"/>
        <w:rPr>
          <w:rFonts w:ascii="仿宋_GB2312" w:hAnsi="仿宋_GB2312" w:eastAsia="仿宋_GB2312" w:cs="仿宋_GB2312"/>
          <w:bCs/>
          <w:sz w:val="32"/>
          <w:szCs w:val="32"/>
        </w:rPr>
      </w:pPr>
      <w:r>
        <w:rPr>
          <w:rFonts w:hint="eastAsia" w:ascii="仿宋_GB2312" w:hAnsi="仿宋_GB2312" w:eastAsia="仿宋_GB2312" w:cs="仿宋_GB2312"/>
          <w:bCs/>
          <w:sz w:val="32"/>
          <w:szCs w:val="32"/>
        </w:rPr>
        <w:t>3.服务对象满意度指标完成情况分析</w:t>
      </w:r>
    </w:p>
    <w:p>
      <w:pPr>
        <w:pStyle w:val="3"/>
        <w:spacing w:after="0" w:line="580" w:lineRule="exact"/>
        <w:ind w:firstLine="640" w:firstLineChars="200"/>
        <w:rPr>
          <w:rFonts w:ascii="仿宋_GB2312" w:hAnsi="仿宋" w:eastAsia="仿宋_GB2312"/>
          <w:sz w:val="36"/>
          <w:szCs w:val="36"/>
        </w:rPr>
      </w:pPr>
      <w:r>
        <w:rPr>
          <w:rFonts w:hint="eastAsia" w:ascii="仿宋_GB2312" w:hAnsi="仿宋" w:eastAsia="仿宋_GB2312"/>
          <w:bCs/>
          <w:sz w:val="32"/>
          <w:szCs w:val="32"/>
          <w:lang w:eastAsia="zh-CN"/>
        </w:rPr>
        <w:t>2024年</w:t>
      </w:r>
      <w:r>
        <w:rPr>
          <w:rFonts w:hint="eastAsia" w:ascii="仿宋_GB2312" w:hAnsi="仿宋" w:eastAsia="仿宋_GB2312"/>
          <w:bCs/>
          <w:sz w:val="32"/>
          <w:szCs w:val="32"/>
        </w:rPr>
        <w:t>北京市医疗服务与保障能力提升补助资金转移支付项目设定的</w:t>
      </w:r>
      <w:r>
        <w:rPr>
          <w:rFonts w:hint="eastAsia" w:ascii="仿宋_GB2312" w:hAnsi="仿宋_GB2312" w:eastAsia="仿宋_GB2312" w:cs="仿宋_GB2312"/>
          <w:bCs/>
          <w:sz w:val="32"/>
          <w:szCs w:val="32"/>
        </w:rPr>
        <w:t>服务对象满意度</w:t>
      </w:r>
      <w:r>
        <w:rPr>
          <w:rFonts w:hint="eastAsia" w:ascii="仿宋_GB2312" w:hAnsi="仿宋" w:eastAsia="仿宋_GB2312"/>
          <w:bCs/>
          <w:sz w:val="32"/>
          <w:szCs w:val="32"/>
        </w:rPr>
        <w:t>共4项，</w:t>
      </w:r>
      <w:r>
        <w:rPr>
          <w:rFonts w:hint="eastAsia" w:ascii="仿宋_GB2312" w:hAnsi="仿宋" w:eastAsia="仿宋_GB2312"/>
          <w:sz w:val="32"/>
          <w:szCs w:val="32"/>
        </w:rPr>
        <w:t>3项指标已完成，</w:t>
      </w:r>
      <w:r>
        <w:rPr>
          <w:rFonts w:hint="eastAsia" w:ascii="仿宋_GB2312" w:hAnsi="仿宋" w:eastAsia="仿宋_GB2312"/>
          <w:sz w:val="32"/>
          <w:szCs w:val="32"/>
          <w:lang w:val="en-US" w:eastAsia="zh-CN"/>
        </w:rPr>
        <w:t>2</w:t>
      </w:r>
      <w:r>
        <w:rPr>
          <w:rFonts w:hint="eastAsia" w:ascii="仿宋_GB2312" w:hAnsi="仿宋" w:eastAsia="仿宋_GB2312"/>
          <w:sz w:val="32"/>
          <w:szCs w:val="32"/>
        </w:rPr>
        <w:t>项指标未完成</w:t>
      </w:r>
      <w:r>
        <w:rPr>
          <w:rFonts w:ascii="仿宋_GB2312" w:hAnsi="仿宋" w:eastAsia="仿宋_GB2312"/>
          <w:bCs/>
          <w:sz w:val="32"/>
          <w:szCs w:val="32"/>
        </w:rPr>
        <w:t>，</w:t>
      </w:r>
      <w:r>
        <w:rPr>
          <w:rFonts w:hint="eastAsia" w:ascii="仿宋_GB2312" w:hAnsi="仿宋" w:eastAsia="仿宋_GB2312"/>
          <w:bCs/>
          <w:sz w:val="32"/>
          <w:szCs w:val="32"/>
        </w:rPr>
        <w:t>具体情况如下表</w:t>
      </w:r>
      <w:r>
        <w:rPr>
          <w:rFonts w:hint="eastAsia" w:ascii="仿宋_GB2312" w:hAnsi="仿宋" w:eastAsia="仿宋_GB2312"/>
          <w:bCs/>
          <w:sz w:val="32"/>
          <w:szCs w:val="32"/>
          <w:lang w:val="en-US" w:eastAsia="zh-CN"/>
        </w:rPr>
        <w:t>5</w:t>
      </w:r>
      <w:r>
        <w:rPr>
          <w:rFonts w:ascii="仿宋_GB2312" w:hAnsi="仿宋" w:eastAsia="仿宋_GB2312"/>
          <w:bCs/>
          <w:sz w:val="32"/>
          <w:szCs w:val="32"/>
        </w:rPr>
        <w:t>：</w:t>
      </w:r>
    </w:p>
    <w:p>
      <w:pPr>
        <w:pStyle w:val="3"/>
        <w:widowControl w:val="0"/>
        <w:kinsoku/>
        <w:autoSpaceDE/>
        <w:autoSpaceDN/>
        <w:adjustRightInd/>
        <w:snapToGrid/>
        <w:spacing w:after="0" w:line="240" w:lineRule="auto"/>
        <w:jc w:val="center"/>
        <w:textAlignment w:val="auto"/>
        <w:rPr>
          <w:rFonts w:ascii="仿宋_GB2312" w:hAnsi="仿宋" w:eastAsia="仿宋_GB2312"/>
          <w:sz w:val="32"/>
          <w:szCs w:val="32"/>
        </w:rPr>
      </w:pPr>
      <w:r>
        <w:rPr>
          <w:rFonts w:hint="eastAsia" w:ascii="仿宋_GB2312" w:hAnsi="仿宋_GB2312" w:eastAsia="仿宋_GB2312" w:cs="仿宋_GB2312"/>
          <w:snapToGrid/>
          <w:kern w:val="2"/>
          <w:sz w:val="28"/>
          <w:szCs w:val="28"/>
        </w:rPr>
        <w:t>表</w:t>
      </w:r>
      <w:r>
        <w:rPr>
          <w:rFonts w:hint="eastAsia" w:ascii="仿宋_GB2312" w:hAnsi="仿宋_GB2312" w:eastAsia="仿宋_GB2312" w:cs="仿宋_GB2312"/>
          <w:snapToGrid/>
          <w:kern w:val="2"/>
          <w:sz w:val="28"/>
          <w:szCs w:val="28"/>
          <w:lang w:val="en-US" w:eastAsia="zh-CN"/>
        </w:rPr>
        <w:t>5</w:t>
      </w:r>
      <w:r>
        <w:rPr>
          <w:rFonts w:hint="eastAsia" w:ascii="仿宋_GB2312" w:hAnsi="仿宋_GB2312" w:eastAsia="仿宋_GB2312" w:cs="仿宋_GB2312"/>
          <w:snapToGrid/>
          <w:kern w:val="2"/>
          <w:sz w:val="28"/>
          <w:szCs w:val="28"/>
        </w:rPr>
        <w:t>：服务对象满意度指标完成情况表</w:t>
      </w:r>
    </w:p>
    <w:tbl>
      <w:tblPr>
        <w:tblStyle w:val="6"/>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3"/>
        <w:gridCol w:w="1786"/>
        <w:gridCol w:w="2367"/>
        <w:gridCol w:w="1642"/>
        <w:gridCol w:w="17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blHeader/>
          <w:jc w:val="center"/>
        </w:trPr>
        <w:tc>
          <w:tcPr>
            <w:tcW w:w="571" w:type="pct"/>
            <w:tcBorders>
              <w:top w:val="single" w:color="auto" w:sz="4" w:space="0"/>
              <w:left w:val="single" w:color="auto" w:sz="4" w:space="0"/>
              <w:bottom w:val="single" w:color="auto" w:sz="4" w:space="0"/>
              <w:right w:val="single" w:color="auto" w:sz="4" w:space="0"/>
            </w:tcBorders>
            <w:shd w:val="clear" w:color="auto" w:fill="A6A6A6"/>
            <w:noWrap w:val="0"/>
            <w:vAlign w:val="center"/>
          </w:tcPr>
          <w:p>
            <w:pPr>
              <w:jc w:val="center"/>
              <w:rPr>
                <w:rFonts w:ascii="宋体" w:hAnsi="宋体" w:eastAsia="宋体" w:cs="宋体"/>
                <w:b/>
                <w:sz w:val="20"/>
                <w:szCs w:val="20"/>
              </w:rPr>
            </w:pPr>
            <w:r>
              <w:rPr>
                <w:rFonts w:hint="eastAsia" w:ascii="宋体" w:hAnsi="宋体" w:eastAsia="宋体" w:cs="宋体"/>
                <w:b/>
                <w:sz w:val="20"/>
                <w:szCs w:val="20"/>
              </w:rPr>
              <w:t>序号</w:t>
            </w:r>
          </w:p>
        </w:tc>
        <w:tc>
          <w:tcPr>
            <w:tcW w:w="1048" w:type="pct"/>
            <w:tcBorders>
              <w:top w:val="single" w:color="auto" w:sz="4" w:space="0"/>
              <w:left w:val="single" w:color="auto" w:sz="4" w:space="0"/>
              <w:bottom w:val="single" w:color="auto" w:sz="4" w:space="0"/>
              <w:right w:val="single" w:color="auto" w:sz="4" w:space="0"/>
            </w:tcBorders>
            <w:shd w:val="clear" w:color="auto" w:fill="A6A6A6"/>
            <w:noWrap w:val="0"/>
            <w:vAlign w:val="center"/>
          </w:tcPr>
          <w:p>
            <w:pPr>
              <w:jc w:val="center"/>
              <w:rPr>
                <w:rFonts w:ascii="宋体" w:hAnsi="宋体" w:eastAsia="宋体" w:cs="宋体"/>
                <w:b/>
                <w:sz w:val="20"/>
                <w:szCs w:val="20"/>
              </w:rPr>
            </w:pPr>
            <w:r>
              <w:rPr>
                <w:rFonts w:hint="eastAsia" w:ascii="宋体" w:hAnsi="宋体" w:eastAsia="宋体" w:cs="宋体"/>
                <w:b/>
                <w:sz w:val="20"/>
                <w:szCs w:val="20"/>
              </w:rPr>
              <w:t>指标类型</w:t>
            </w:r>
          </w:p>
        </w:tc>
        <w:tc>
          <w:tcPr>
            <w:tcW w:w="1389" w:type="pct"/>
            <w:tcBorders>
              <w:top w:val="single" w:color="auto" w:sz="4" w:space="0"/>
              <w:left w:val="single" w:color="auto" w:sz="4" w:space="0"/>
              <w:bottom w:val="single" w:color="auto" w:sz="4" w:space="0"/>
              <w:right w:val="single" w:color="auto" w:sz="4" w:space="0"/>
            </w:tcBorders>
            <w:shd w:val="clear" w:color="auto" w:fill="A6A6A6"/>
            <w:noWrap w:val="0"/>
            <w:vAlign w:val="center"/>
          </w:tcPr>
          <w:p>
            <w:pPr>
              <w:jc w:val="center"/>
              <w:rPr>
                <w:rFonts w:ascii="宋体" w:hAnsi="宋体" w:eastAsia="宋体" w:cs="宋体"/>
                <w:b/>
                <w:sz w:val="20"/>
                <w:szCs w:val="20"/>
              </w:rPr>
            </w:pPr>
            <w:r>
              <w:rPr>
                <w:rFonts w:hint="eastAsia" w:ascii="宋体" w:hAnsi="宋体" w:eastAsia="宋体" w:cs="宋体"/>
                <w:b/>
                <w:sz w:val="20"/>
                <w:szCs w:val="20"/>
              </w:rPr>
              <w:t>三级指标</w:t>
            </w:r>
          </w:p>
        </w:tc>
        <w:tc>
          <w:tcPr>
            <w:tcW w:w="963" w:type="pct"/>
            <w:tcBorders>
              <w:top w:val="single" w:color="auto" w:sz="4" w:space="0"/>
              <w:left w:val="single" w:color="auto" w:sz="4" w:space="0"/>
              <w:bottom w:val="single" w:color="auto" w:sz="4" w:space="0"/>
              <w:right w:val="single" w:color="auto" w:sz="4" w:space="0"/>
            </w:tcBorders>
            <w:shd w:val="clear" w:color="auto" w:fill="A6A6A6"/>
            <w:noWrap w:val="0"/>
            <w:vAlign w:val="center"/>
          </w:tcPr>
          <w:p>
            <w:pPr>
              <w:jc w:val="center"/>
              <w:rPr>
                <w:rFonts w:ascii="宋体" w:hAnsi="宋体" w:eastAsia="宋体" w:cs="宋体"/>
                <w:b/>
                <w:sz w:val="20"/>
                <w:szCs w:val="20"/>
              </w:rPr>
            </w:pPr>
            <w:r>
              <w:rPr>
                <w:rFonts w:hint="eastAsia" w:ascii="宋体" w:hAnsi="宋体" w:eastAsia="宋体" w:cs="宋体"/>
                <w:b/>
                <w:sz w:val="20"/>
                <w:szCs w:val="20"/>
              </w:rPr>
              <w:t>指标值</w:t>
            </w:r>
          </w:p>
        </w:tc>
        <w:tc>
          <w:tcPr>
            <w:tcW w:w="1027" w:type="pct"/>
            <w:tcBorders>
              <w:top w:val="single" w:color="auto" w:sz="4" w:space="0"/>
              <w:left w:val="single" w:color="auto" w:sz="4" w:space="0"/>
              <w:bottom w:val="single" w:color="auto" w:sz="4" w:space="0"/>
              <w:right w:val="single" w:color="auto" w:sz="4" w:space="0"/>
            </w:tcBorders>
            <w:shd w:val="clear" w:color="auto" w:fill="A6A6A6"/>
            <w:noWrap w:val="0"/>
            <w:vAlign w:val="center"/>
          </w:tcPr>
          <w:p>
            <w:pPr>
              <w:jc w:val="center"/>
              <w:rPr>
                <w:rFonts w:ascii="宋体" w:hAnsi="宋体" w:eastAsia="宋体" w:cs="宋体"/>
                <w:b/>
                <w:sz w:val="20"/>
                <w:szCs w:val="20"/>
              </w:rPr>
            </w:pPr>
            <w:r>
              <w:rPr>
                <w:rFonts w:hint="eastAsia" w:ascii="宋体" w:hAnsi="宋体" w:eastAsia="宋体" w:cs="宋体"/>
                <w:b/>
                <w:sz w:val="20"/>
                <w:szCs w:val="20"/>
              </w:rPr>
              <w:t>实际完成值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2" w:hRule="atLeast"/>
          <w:jc w:val="center"/>
        </w:trPr>
        <w:tc>
          <w:tcPr>
            <w:tcW w:w="571" w:type="pct"/>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cs="宋体"/>
                <w:bCs/>
                <w:sz w:val="20"/>
                <w:szCs w:val="20"/>
              </w:rPr>
            </w:pPr>
            <w:r>
              <w:rPr>
                <w:rFonts w:hint="eastAsia" w:ascii="宋体" w:hAnsi="宋体" w:eastAsia="宋体" w:cs="宋体"/>
                <w:bCs/>
                <w:sz w:val="20"/>
                <w:szCs w:val="20"/>
              </w:rPr>
              <w:t>1</w:t>
            </w:r>
          </w:p>
        </w:tc>
        <w:tc>
          <w:tcPr>
            <w:tcW w:w="1048" w:type="pct"/>
            <w:tcBorders>
              <w:top w:val="single" w:color="auto" w:sz="4" w:space="0"/>
              <w:left w:val="single" w:color="auto" w:sz="4" w:space="0"/>
              <w:bottom w:val="single" w:color="auto" w:sz="4" w:space="0"/>
              <w:right w:val="single" w:color="auto" w:sz="4" w:space="0"/>
            </w:tcBorders>
            <w:noWrap w:val="0"/>
            <w:vAlign w:val="center"/>
          </w:tcPr>
          <w:p>
            <w:pPr>
              <w:jc w:val="center"/>
              <w:textAlignment w:val="center"/>
              <w:rPr>
                <w:rFonts w:ascii="宋体" w:hAnsi="宋体" w:eastAsia="宋体" w:cs="宋体"/>
                <w:bCs/>
                <w:sz w:val="20"/>
                <w:szCs w:val="20"/>
              </w:rPr>
            </w:pPr>
            <w:r>
              <w:rPr>
                <w:rFonts w:hint="eastAsia" w:ascii="宋体" w:hAnsi="宋体" w:eastAsia="宋体" w:cs="宋体"/>
                <w:sz w:val="20"/>
                <w:szCs w:val="20"/>
              </w:rPr>
              <w:t>服务对象满意度指标</w:t>
            </w:r>
          </w:p>
        </w:tc>
        <w:tc>
          <w:tcPr>
            <w:tcW w:w="1389"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ascii="宋体" w:hAnsi="宋体" w:eastAsia="宋体" w:cs="宋体"/>
                <w:bCs/>
                <w:sz w:val="20"/>
                <w:szCs w:val="20"/>
              </w:rPr>
            </w:pPr>
            <w:r>
              <w:rPr>
                <w:rFonts w:hint="eastAsia" w:ascii="宋体" w:hAnsi="宋体" w:eastAsia="宋体" w:cs="宋体"/>
                <w:i w:val="0"/>
                <w:iCs w:val="0"/>
                <w:snapToGrid w:val="0"/>
                <w:color w:val="000000"/>
                <w:kern w:val="0"/>
                <w:sz w:val="20"/>
                <w:szCs w:val="20"/>
                <w:u w:val="none"/>
                <w:lang w:val="en-US" w:eastAsia="zh-CN" w:bidi="ar"/>
              </w:rPr>
              <w:t>住院医师参培学员满意度</w:t>
            </w:r>
          </w:p>
        </w:tc>
        <w:tc>
          <w:tcPr>
            <w:tcW w:w="963"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eastAsia="宋体" w:cs="宋体"/>
                <w:bCs/>
                <w:sz w:val="20"/>
                <w:szCs w:val="20"/>
              </w:rPr>
            </w:pPr>
            <w:r>
              <w:rPr>
                <w:rFonts w:hint="eastAsia" w:ascii="宋体" w:hAnsi="宋体" w:eastAsia="宋体" w:cs="宋体"/>
                <w:i w:val="0"/>
                <w:iCs w:val="0"/>
                <w:snapToGrid w:val="0"/>
                <w:color w:val="000000"/>
                <w:kern w:val="0"/>
                <w:sz w:val="20"/>
                <w:szCs w:val="20"/>
                <w:u w:val="none"/>
                <w:lang w:val="en-US" w:eastAsia="zh-CN" w:bidi="ar"/>
              </w:rPr>
              <w:t>≥80%</w:t>
            </w:r>
          </w:p>
        </w:tc>
        <w:tc>
          <w:tcPr>
            <w:tcW w:w="1027"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eastAsia="宋体" w:cs="宋体"/>
                <w:bCs/>
                <w:sz w:val="20"/>
                <w:szCs w:val="20"/>
              </w:rPr>
            </w:pPr>
            <w:r>
              <w:rPr>
                <w:rFonts w:hint="eastAsia" w:ascii="宋体" w:hAnsi="宋体" w:eastAsia="宋体" w:cs="宋体"/>
                <w:i w:val="0"/>
                <w:iCs w:val="0"/>
                <w:snapToGrid w:val="0"/>
                <w:color w:val="000000"/>
                <w:kern w:val="0"/>
                <w:sz w:val="20"/>
                <w:szCs w:val="20"/>
                <w:u w:val="none"/>
                <w:lang w:val="en-US" w:eastAsia="zh-CN" w:bidi="ar"/>
              </w:rPr>
              <w:t>90.50%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jc w:val="center"/>
        </w:trPr>
        <w:tc>
          <w:tcPr>
            <w:tcW w:w="571" w:type="pct"/>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cs="宋体"/>
                <w:bCs/>
                <w:sz w:val="20"/>
                <w:szCs w:val="20"/>
              </w:rPr>
            </w:pPr>
            <w:r>
              <w:rPr>
                <w:rFonts w:hint="eastAsia" w:ascii="宋体" w:hAnsi="宋体" w:eastAsia="宋体" w:cs="宋体"/>
                <w:bCs/>
                <w:sz w:val="20"/>
                <w:szCs w:val="20"/>
              </w:rPr>
              <w:t>2</w:t>
            </w:r>
          </w:p>
        </w:tc>
        <w:tc>
          <w:tcPr>
            <w:tcW w:w="1048" w:type="pct"/>
            <w:tcBorders>
              <w:top w:val="single" w:color="auto" w:sz="4" w:space="0"/>
              <w:left w:val="single" w:color="auto" w:sz="4" w:space="0"/>
              <w:bottom w:val="single" w:color="auto" w:sz="4" w:space="0"/>
              <w:right w:val="single" w:color="auto" w:sz="4" w:space="0"/>
            </w:tcBorders>
            <w:noWrap w:val="0"/>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服务对象满意度指标</w:t>
            </w:r>
          </w:p>
        </w:tc>
        <w:tc>
          <w:tcPr>
            <w:tcW w:w="1389"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ascii="宋体" w:hAnsi="宋体" w:eastAsia="宋体" w:cs="宋体"/>
                <w:sz w:val="20"/>
                <w:szCs w:val="20"/>
              </w:rPr>
            </w:pPr>
            <w:r>
              <w:rPr>
                <w:rFonts w:hint="eastAsia" w:ascii="宋体" w:hAnsi="宋体" w:eastAsia="宋体" w:cs="宋体"/>
                <w:i w:val="0"/>
                <w:iCs w:val="0"/>
                <w:snapToGrid w:val="0"/>
                <w:color w:val="000000"/>
                <w:kern w:val="0"/>
                <w:sz w:val="20"/>
                <w:szCs w:val="20"/>
                <w:u w:val="none"/>
                <w:lang w:val="en-US" w:eastAsia="zh-CN" w:bidi="ar"/>
              </w:rPr>
              <w:t>公立医院次均门诊费用增幅</w:t>
            </w:r>
          </w:p>
        </w:tc>
        <w:tc>
          <w:tcPr>
            <w:tcW w:w="963"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eastAsia="宋体" w:cs="宋体"/>
                <w:sz w:val="20"/>
                <w:szCs w:val="20"/>
              </w:rPr>
            </w:pPr>
            <w:r>
              <w:rPr>
                <w:rFonts w:hint="eastAsia" w:ascii="宋体" w:hAnsi="宋体" w:eastAsia="宋体" w:cs="宋体"/>
                <w:i w:val="0"/>
                <w:iCs w:val="0"/>
                <w:snapToGrid w:val="0"/>
                <w:color w:val="000000"/>
                <w:kern w:val="0"/>
                <w:sz w:val="20"/>
                <w:szCs w:val="20"/>
                <w:u w:val="none"/>
                <w:lang w:val="en-US" w:eastAsia="zh-CN" w:bidi="ar"/>
              </w:rPr>
              <w:t>较上年降低</w:t>
            </w:r>
          </w:p>
        </w:tc>
        <w:tc>
          <w:tcPr>
            <w:tcW w:w="1027"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eastAsia="宋体" w:cs="宋体"/>
                <w:color w:val="auto"/>
                <w:sz w:val="20"/>
                <w:szCs w:val="20"/>
              </w:rPr>
            </w:pPr>
            <w:r>
              <w:rPr>
                <w:rFonts w:hint="eastAsia" w:ascii="宋体" w:hAnsi="宋体" w:eastAsia="宋体" w:cs="宋体"/>
                <w:i w:val="0"/>
                <w:iCs w:val="0"/>
                <w:snapToGrid w:val="0"/>
                <w:color w:val="auto"/>
                <w:kern w:val="0"/>
                <w:sz w:val="20"/>
                <w:szCs w:val="20"/>
                <w:u w:val="none"/>
                <w:lang w:val="en-US" w:eastAsia="zh-CN" w:bidi="ar"/>
              </w:rPr>
              <w:t>较上年提高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5" w:hRule="atLeast"/>
          <w:jc w:val="center"/>
        </w:trPr>
        <w:tc>
          <w:tcPr>
            <w:tcW w:w="571" w:type="pct"/>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cs="宋体"/>
                <w:bCs/>
                <w:sz w:val="20"/>
                <w:szCs w:val="20"/>
              </w:rPr>
            </w:pPr>
            <w:r>
              <w:rPr>
                <w:rFonts w:hint="eastAsia" w:ascii="宋体" w:hAnsi="宋体" w:eastAsia="宋体" w:cs="宋体"/>
                <w:bCs/>
                <w:sz w:val="20"/>
                <w:szCs w:val="20"/>
              </w:rPr>
              <w:t>3</w:t>
            </w:r>
          </w:p>
        </w:tc>
        <w:tc>
          <w:tcPr>
            <w:tcW w:w="1048" w:type="pct"/>
            <w:tcBorders>
              <w:top w:val="single" w:color="auto" w:sz="4" w:space="0"/>
              <w:left w:val="single" w:color="auto" w:sz="4" w:space="0"/>
              <w:bottom w:val="single" w:color="auto" w:sz="4" w:space="0"/>
              <w:right w:val="single" w:color="auto" w:sz="4" w:space="0"/>
            </w:tcBorders>
            <w:noWrap w:val="0"/>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服务对象满意度指标</w:t>
            </w:r>
          </w:p>
        </w:tc>
        <w:tc>
          <w:tcPr>
            <w:tcW w:w="1389"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ascii="宋体" w:hAnsi="宋体" w:eastAsia="宋体" w:cs="宋体"/>
                <w:sz w:val="20"/>
                <w:szCs w:val="20"/>
              </w:rPr>
            </w:pPr>
            <w:r>
              <w:rPr>
                <w:rFonts w:hint="eastAsia" w:ascii="宋体" w:hAnsi="宋体" w:eastAsia="宋体" w:cs="宋体"/>
                <w:i w:val="0"/>
                <w:iCs w:val="0"/>
                <w:snapToGrid w:val="0"/>
                <w:color w:val="000000"/>
                <w:kern w:val="0"/>
                <w:sz w:val="20"/>
                <w:szCs w:val="20"/>
                <w:u w:val="none"/>
                <w:lang w:val="en-US" w:eastAsia="zh-CN" w:bidi="ar"/>
              </w:rPr>
              <w:t>公立医院人均住院费用增幅</w:t>
            </w:r>
          </w:p>
        </w:tc>
        <w:tc>
          <w:tcPr>
            <w:tcW w:w="963"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eastAsia="宋体" w:cs="宋体"/>
                <w:sz w:val="20"/>
                <w:szCs w:val="20"/>
              </w:rPr>
            </w:pPr>
            <w:r>
              <w:rPr>
                <w:rFonts w:hint="eastAsia" w:ascii="宋体" w:hAnsi="宋体" w:eastAsia="宋体" w:cs="宋体"/>
                <w:i w:val="0"/>
                <w:iCs w:val="0"/>
                <w:snapToGrid w:val="0"/>
                <w:color w:val="000000"/>
                <w:kern w:val="0"/>
                <w:sz w:val="20"/>
                <w:szCs w:val="20"/>
                <w:u w:val="none"/>
                <w:lang w:val="en-US" w:eastAsia="zh-CN" w:bidi="ar"/>
              </w:rPr>
              <w:t>较上年降低</w:t>
            </w:r>
          </w:p>
        </w:tc>
        <w:tc>
          <w:tcPr>
            <w:tcW w:w="1027"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eastAsia="宋体" w:cs="宋体"/>
                <w:color w:val="auto"/>
                <w:sz w:val="20"/>
                <w:szCs w:val="20"/>
              </w:rPr>
            </w:pPr>
            <w:r>
              <w:rPr>
                <w:rFonts w:hint="eastAsia" w:ascii="宋体" w:hAnsi="宋体" w:eastAsia="宋体" w:cs="宋体"/>
                <w:i w:val="0"/>
                <w:iCs w:val="0"/>
                <w:snapToGrid w:val="0"/>
                <w:color w:val="auto"/>
                <w:kern w:val="0"/>
                <w:sz w:val="20"/>
                <w:szCs w:val="20"/>
                <w:u w:val="none"/>
                <w:lang w:val="en-US" w:eastAsia="zh-CN" w:bidi="ar"/>
              </w:rPr>
              <w:t>较上年降低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atLeast"/>
          <w:jc w:val="center"/>
        </w:trPr>
        <w:tc>
          <w:tcPr>
            <w:tcW w:w="571" w:type="pct"/>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cs="宋体"/>
                <w:bCs/>
                <w:sz w:val="20"/>
                <w:szCs w:val="20"/>
              </w:rPr>
            </w:pPr>
            <w:r>
              <w:rPr>
                <w:rFonts w:hint="eastAsia" w:ascii="宋体" w:hAnsi="宋体" w:eastAsia="宋体" w:cs="宋体"/>
                <w:bCs/>
                <w:sz w:val="20"/>
                <w:szCs w:val="20"/>
              </w:rPr>
              <w:t>4</w:t>
            </w:r>
          </w:p>
        </w:tc>
        <w:tc>
          <w:tcPr>
            <w:tcW w:w="1048" w:type="pct"/>
            <w:tcBorders>
              <w:top w:val="single" w:color="auto" w:sz="4" w:space="0"/>
              <w:left w:val="single" w:color="auto" w:sz="4" w:space="0"/>
              <w:bottom w:val="single" w:color="auto" w:sz="4" w:space="0"/>
              <w:right w:val="single" w:color="auto" w:sz="4" w:space="0"/>
            </w:tcBorders>
            <w:noWrap w:val="0"/>
            <w:vAlign w:val="center"/>
          </w:tcPr>
          <w:p>
            <w:pPr>
              <w:jc w:val="center"/>
              <w:textAlignment w:val="center"/>
              <w:rPr>
                <w:rFonts w:ascii="宋体" w:hAnsi="宋体" w:eastAsia="宋体" w:cs="宋体"/>
                <w:sz w:val="20"/>
                <w:szCs w:val="20"/>
              </w:rPr>
            </w:pPr>
            <w:r>
              <w:rPr>
                <w:rFonts w:hint="eastAsia" w:ascii="宋体" w:hAnsi="宋体" w:eastAsia="宋体" w:cs="宋体"/>
                <w:sz w:val="20"/>
                <w:szCs w:val="20"/>
              </w:rPr>
              <w:t>服务对象满意度指标</w:t>
            </w:r>
          </w:p>
        </w:tc>
        <w:tc>
          <w:tcPr>
            <w:tcW w:w="1389"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ascii="宋体" w:hAnsi="宋体" w:eastAsia="宋体" w:cs="宋体"/>
                <w:sz w:val="20"/>
                <w:szCs w:val="20"/>
              </w:rPr>
            </w:pPr>
            <w:r>
              <w:rPr>
                <w:rFonts w:hint="eastAsia" w:ascii="宋体" w:hAnsi="宋体" w:eastAsia="宋体" w:cs="宋体"/>
                <w:i w:val="0"/>
                <w:iCs w:val="0"/>
                <w:snapToGrid w:val="0"/>
                <w:color w:val="000000"/>
                <w:kern w:val="0"/>
                <w:sz w:val="20"/>
                <w:szCs w:val="20"/>
                <w:u w:val="none"/>
                <w:lang w:val="en-US" w:eastAsia="zh-CN" w:bidi="ar"/>
              </w:rPr>
              <w:t>3岁以下婴幼儿入托家庭服务满意度</w:t>
            </w:r>
          </w:p>
        </w:tc>
        <w:tc>
          <w:tcPr>
            <w:tcW w:w="963"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eastAsia="宋体" w:cs="宋体"/>
                <w:sz w:val="20"/>
                <w:szCs w:val="20"/>
              </w:rPr>
            </w:pPr>
            <w:r>
              <w:rPr>
                <w:rFonts w:hint="eastAsia" w:ascii="宋体" w:hAnsi="宋体" w:eastAsia="宋体" w:cs="宋体"/>
                <w:i w:val="0"/>
                <w:iCs w:val="0"/>
                <w:snapToGrid w:val="0"/>
                <w:color w:val="000000"/>
                <w:kern w:val="0"/>
                <w:sz w:val="20"/>
                <w:szCs w:val="20"/>
                <w:u w:val="none"/>
                <w:lang w:val="en-US" w:eastAsia="zh-CN" w:bidi="ar"/>
              </w:rPr>
              <w:t>≥98%</w:t>
            </w:r>
          </w:p>
        </w:tc>
        <w:tc>
          <w:tcPr>
            <w:tcW w:w="1027"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eastAsia="宋体" w:cs="宋体"/>
                <w:color w:val="auto"/>
                <w:sz w:val="20"/>
                <w:szCs w:val="20"/>
              </w:rPr>
            </w:pPr>
            <w:r>
              <w:rPr>
                <w:rFonts w:hint="eastAsia" w:ascii="宋体" w:hAnsi="宋体" w:eastAsia="宋体" w:cs="宋体"/>
                <w:i w:val="0"/>
                <w:iCs w:val="0"/>
                <w:snapToGrid w:val="0"/>
                <w:color w:val="auto"/>
                <w:kern w:val="0"/>
                <w:sz w:val="20"/>
                <w:szCs w:val="20"/>
                <w:u w:val="none"/>
                <w:lang w:val="en-US" w:eastAsia="zh-CN" w:bidi="ar"/>
              </w:rPr>
              <w:t>90%</w:t>
            </w:r>
          </w:p>
        </w:tc>
      </w:tr>
    </w:tbl>
    <w:p>
      <w:pPr>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三、绩效自评结论</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综合本次绩效评价工作绩效目标、绩效指标完成情况，北京市基本药物制度补助资金转移支付资金共设置39项绩效指标，31项指标已完成，8项指标未完成，</w:t>
      </w:r>
      <w:r>
        <w:rPr>
          <w:rFonts w:hint="eastAsia" w:ascii="仿宋_GB2312" w:hAnsi="仿宋_GB2312" w:eastAsia="仿宋_GB2312" w:cs="仿宋_GB2312"/>
          <w:snapToGrid/>
          <w:kern w:val="2"/>
          <w:sz w:val="32"/>
          <w:szCs w:val="32"/>
          <w:lang w:eastAsia="zh-CN" w:bidi="ar"/>
        </w:rPr>
        <w:t>为进一步提升中央转移支付资金使用效益，计划从以下方面进行改进：</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一是强化项目监管，压实管理责任。下一步将持续强化中央转移支付资金项目全流程管理，推动项目管理责任落实，聚焦项目绩效目标管理，根据完成情况及时纠偏，不断压实部门项目执行和绩效管理职责。</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二是健全公益导向的外部激励约束机制。健全公立医院补偿机制，实施差异化财政补偿政策，建立健全医疗服务价格成本调查机制和动态调整机制，使医疗服务价格成本回收率回归合理水平。探索建立以院长年薪制和医务人员薪金制为核心的薪酬制度，破除薪酬与医院收入挂钩的逐利机制。持续加强公立医院运行效率和成本管控水平。</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pPr>
      <w:r>
        <w:rPr>
          <w:rFonts w:hint="eastAsia" w:ascii="仿宋_GB2312" w:hAnsi="仿宋_GB2312" w:eastAsia="仿宋_GB2312" w:cs="仿宋_GB2312"/>
          <w:kern w:val="2"/>
          <w:sz w:val="32"/>
          <w:szCs w:val="32"/>
          <w:lang w:val="en-US" w:eastAsia="zh-CN" w:bidi="ar-SA"/>
        </w:rPr>
        <w:t>三是规范资金执行，强化预算约束。严格落实中央转移支付资金管理文件要求，切实增强资金使用单位支出进度意识，提高中央转移支付资金使用效益，不断深化项目资金执行监督，持续强化项目预算执行硬约束。同时强化绩效评价结果应用，提升资金精细化管理程度，促使财政资金使用提质增效。</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modern"/>
    <w:pitch w:val="default"/>
    <w:sig w:usb0="00000001" w:usb1="080E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5B94FF6"/>
    <w:rsid w:val="2BAB25BC"/>
    <w:rsid w:val="55B94FF6"/>
    <w:rsid w:val="57FDE142"/>
    <w:rsid w:val="663FE7CC"/>
    <w:rsid w:val="69100C84"/>
    <w:rsid w:val="77BC2721"/>
    <w:rsid w:val="C4D71EF8"/>
    <w:rsid w:val="DF7604DB"/>
    <w:rsid w:val="FF7695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qFormat="1" w:unhideWhenUsed="0" w:uiPriority="99"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index 9"/>
    <w:basedOn w:val="1"/>
    <w:next w:val="1"/>
    <w:qFormat/>
    <w:uiPriority w:val="99"/>
    <w:pPr>
      <w:ind w:firstLine="420"/>
    </w:pPr>
    <w:rPr>
      <w:rFonts w:eastAsia="仿宋_GB2312"/>
      <w:bCs/>
      <w:sz w:val="28"/>
      <w:szCs w:val="28"/>
    </w:rPr>
  </w:style>
  <w:style w:type="paragraph" w:styleId="3">
    <w:name w:val="Body Text"/>
    <w:basedOn w:val="1"/>
    <w:next w:val="1"/>
    <w:qFormat/>
    <w:uiPriority w:val="0"/>
    <w:pPr>
      <w:spacing w:after="120" w:line="360" w:lineRule="auto"/>
    </w:pPr>
  </w:style>
  <w:style w:type="paragraph" w:styleId="4">
    <w:name w:val="Balloon Text"/>
    <w:basedOn w:val="1"/>
    <w:qFormat/>
    <w:uiPriority w:val="0"/>
    <w:rPr>
      <w:sz w:val="18"/>
    </w:rPr>
  </w:style>
  <w:style w:type="table" w:styleId="6">
    <w:name w:val="Table Grid"/>
    <w:basedOn w:val="5"/>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4</TotalTime>
  <ScaleCrop>false</ScaleCrop>
  <LinksUpToDate>false</LinksUpToDate>
  <CharactersWithSpaces>0</CharactersWithSpaces>
  <Application>WPS Office_11.8.2.10587_F1E327BC-269C-435d-A152-05C5408002CA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2025-08-27T00:56:00Z</dcterms:created>
  <dc:creator>WPS_1599385647</dc:creator>
  <cp:lastModifiedBy>admin</cp:lastModifiedBy>
  <dcterms:modified xsi:type="dcterms:W3CDTF">2025-08-26T19:21:45Z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2052-11.8.2.10587</vt:lpwstr>
  </property>
  <property fmtid="{D5CDD505-2E9C-101B-9397-08002B2CF9AE}" pid="3" name="ICV">
    <vt:lpwstr>28531D064D8C46BB91CC070C49E8D668_11</vt:lpwstr>
  </property>
  <property fmtid="{D5CDD505-2E9C-101B-9397-08002B2CF9AE}" pid="4" name="KSOTemplateDocerSaveRecord">
    <vt:lpwstr>eyJoZGlkIjoiYTQyNjNiYmQ5OTcwYzU1MjcwODM4OTYzMjU4ZjZiNzQiLCJ1c2VySWQiOiIxMDgzNDI5MTk2In0=</vt:lpwstr>
  </property>
</Properties>
</file>