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EEF60" w14:textId="77777777" w:rsidR="00F9633E" w:rsidRDefault="00000000">
      <w:pPr>
        <w:spacing w:line="480" w:lineRule="exact"/>
        <w:rPr>
          <w:rFonts w:ascii="方正黑体_GBK" w:eastAsia="方正黑体_GBK" w:hAnsi="方正黑体_GBK" w:cs="方正黑体_GBK" w:hint="eastAsia"/>
          <w:sz w:val="32"/>
          <w:lang w:eastAsia="zh-CN"/>
        </w:rPr>
      </w:pPr>
      <w:r>
        <w:rPr>
          <w:rFonts w:ascii="方正黑体_GBK" w:eastAsia="方正黑体_GBK" w:hAnsi="方正黑体_GBK" w:cs="方正黑体_GBK" w:hint="eastAsia"/>
          <w:sz w:val="32"/>
          <w:lang w:eastAsia="zh-CN"/>
        </w:rPr>
        <w:t>附件1</w:t>
      </w:r>
    </w:p>
    <w:p w14:paraId="6B91ECF2" w14:textId="77777777" w:rsidR="00F9633E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  <w:lang w:eastAsia="zh-CN"/>
        </w:rPr>
      </w:pPr>
      <w:r>
        <w:rPr>
          <w:rFonts w:ascii="方正小标宋简体" w:eastAsia="方正小标宋简体" w:hAnsi="黑体" w:hint="eastAsia"/>
          <w:sz w:val="36"/>
          <w:szCs w:val="36"/>
          <w:lang w:eastAsia="zh-CN"/>
        </w:rPr>
        <w:t>项目支出绩效自评表</w:t>
      </w:r>
    </w:p>
    <w:p w14:paraId="583BED29" w14:textId="77777777" w:rsidR="00F9633E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0E061171" w14:textId="77777777" w:rsidR="00F9633E" w:rsidRDefault="00F9633E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19D7E3D6" w14:textId="77777777" w:rsidR="00F9633E" w:rsidRDefault="00F9633E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0A4C3CAC" w14:textId="77777777" w:rsidR="00F9633E" w:rsidRDefault="00F9633E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29C0413E" w14:textId="77777777" w:rsidR="00F9633E" w:rsidRDefault="00F9633E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4F93A830" w14:textId="77777777" w:rsidR="00F9633E" w:rsidRDefault="00F9633E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6EA809E8" w14:textId="77777777" w:rsidR="00F9633E" w:rsidRDefault="00F9633E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3F910CA2" w14:textId="77777777" w:rsidR="00F9633E" w:rsidRDefault="00F9633E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tbl>
      <w:tblPr>
        <w:tblW w:w="5152" w:type="pct"/>
        <w:tblInd w:w="-225" w:type="dxa"/>
        <w:tblLook w:val="04A0" w:firstRow="1" w:lastRow="0" w:firstColumn="1" w:lastColumn="0" w:noHBand="0" w:noVBand="1"/>
      </w:tblPr>
      <w:tblGrid>
        <w:gridCol w:w="747"/>
        <w:gridCol w:w="1186"/>
        <w:gridCol w:w="1745"/>
        <w:gridCol w:w="3713"/>
        <w:gridCol w:w="1343"/>
        <w:gridCol w:w="3744"/>
        <w:gridCol w:w="694"/>
        <w:gridCol w:w="847"/>
        <w:gridCol w:w="1673"/>
      </w:tblGrid>
      <w:tr w:rsidR="00F9633E" w14:paraId="7D6ADD6D" w14:textId="77777777" w:rsidTr="00582E7A">
        <w:trPr>
          <w:trHeight w:val="387"/>
        </w:trPr>
        <w:tc>
          <w:tcPr>
            <w:tcW w:w="6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E665D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项目名称</w:t>
            </w:r>
          </w:p>
        </w:tc>
        <w:tc>
          <w:tcPr>
            <w:tcW w:w="438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CA82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11000024T000002861831-排水管道局部综合修复技术研究与应用</w:t>
            </w:r>
          </w:p>
        </w:tc>
      </w:tr>
      <w:tr w:rsidR="00F9633E" w14:paraId="69445C52" w14:textId="77777777" w:rsidTr="00582E7A">
        <w:trPr>
          <w:trHeight w:val="402"/>
        </w:trPr>
        <w:tc>
          <w:tcPr>
            <w:tcW w:w="6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96A3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主管部门</w:t>
            </w:r>
          </w:p>
        </w:tc>
        <w:tc>
          <w:tcPr>
            <w:tcW w:w="21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89E65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3E7D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实施单位</w:t>
            </w:r>
          </w:p>
        </w:tc>
        <w:tc>
          <w:tcPr>
            <w:tcW w:w="10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72B4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</w:tr>
      <w:tr w:rsidR="00F9633E" w14:paraId="1F1E6EF1" w14:textId="77777777" w:rsidTr="00582E7A">
        <w:trPr>
          <w:trHeight w:val="390"/>
        </w:trPr>
        <w:tc>
          <w:tcPr>
            <w:tcW w:w="61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969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项目资金(万元)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3921" w14:textId="77777777" w:rsidR="00F9633E" w:rsidRDefault="00F9633E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A731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年初预算数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2D48D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全年预算数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DF3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全年执行数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03172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5D4E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执行率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590BC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得分</w:t>
            </w:r>
          </w:p>
        </w:tc>
      </w:tr>
      <w:tr w:rsidR="00F9633E" w14:paraId="4A984738" w14:textId="77777777" w:rsidTr="00582E7A">
        <w:trPr>
          <w:trHeight w:val="390"/>
        </w:trPr>
        <w:tc>
          <w:tcPr>
            <w:tcW w:w="61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C394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5EF2A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年度资金总额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F567" w14:textId="77777777" w:rsidR="00F9633E" w:rsidRDefault="00000000">
            <w:pPr>
              <w:jc w:val="right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85.00 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2D6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85.00 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B5E96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85.00 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54DE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10 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80C4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100.00%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E14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10.00 </w:t>
            </w:r>
          </w:p>
        </w:tc>
      </w:tr>
      <w:tr w:rsidR="00F9633E" w14:paraId="1C95B5DF" w14:textId="77777777" w:rsidTr="00582E7A">
        <w:trPr>
          <w:trHeight w:val="390"/>
        </w:trPr>
        <w:tc>
          <w:tcPr>
            <w:tcW w:w="61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14CC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7ADB4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其中：当年财政拨款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F92D4" w14:textId="77777777" w:rsidR="00F9633E" w:rsidRDefault="00000000">
            <w:pPr>
              <w:jc w:val="right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85.00 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B0F2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85.00 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911D44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85.00 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7C2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43584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100.00%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5F647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</w:p>
        </w:tc>
      </w:tr>
      <w:tr w:rsidR="00F9633E" w14:paraId="4AC3FD33" w14:textId="77777777" w:rsidTr="00582E7A">
        <w:trPr>
          <w:trHeight w:val="420"/>
        </w:trPr>
        <w:tc>
          <w:tcPr>
            <w:tcW w:w="2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BC2FB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年度总体目标</w:t>
            </w:r>
          </w:p>
        </w:tc>
        <w:tc>
          <w:tcPr>
            <w:tcW w:w="2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FCE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预期目标</w:t>
            </w:r>
          </w:p>
        </w:tc>
        <w:tc>
          <w:tcPr>
            <w:tcW w:w="22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504A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实际完成情况</w:t>
            </w:r>
          </w:p>
        </w:tc>
      </w:tr>
      <w:tr w:rsidR="00F9633E" w14:paraId="1ABBCA65" w14:textId="77777777" w:rsidTr="00582E7A">
        <w:trPr>
          <w:trHeight w:val="427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570F5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4245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成果目标:①依托研究项目申请发明专利1项；②依托试验成果发表核心论文1篇。</w:t>
            </w:r>
          </w:p>
        </w:tc>
        <w:tc>
          <w:tcPr>
            <w:tcW w:w="221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A0DB0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Style w:val="font31"/>
                <w:rFonts w:hint="default"/>
                <w:lang w:eastAsia="zh-CN" w:bidi="ar"/>
              </w:rPr>
              <w:t>成果完成情况:①申请发明专利2项；②发表论文1篇。</w:t>
            </w:r>
          </w:p>
        </w:tc>
      </w:tr>
      <w:tr w:rsidR="00F9633E" w14:paraId="7717B570" w14:textId="77777777" w:rsidTr="00582E7A">
        <w:trPr>
          <w:trHeight w:val="360"/>
        </w:trPr>
        <w:tc>
          <w:tcPr>
            <w:tcW w:w="2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15033AC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绩效指标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230D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一级指标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C9432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二级指标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E205A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三级指标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DC8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年度指标值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84451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实际完成值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D262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D64A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得分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A2C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偏差原因分析及改进措施</w:t>
            </w:r>
          </w:p>
        </w:tc>
      </w:tr>
      <w:tr w:rsidR="00F9633E" w14:paraId="0B35498D" w14:textId="77777777" w:rsidTr="00582E7A">
        <w:trPr>
          <w:trHeight w:val="360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3988C83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35D1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产出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br/>
              <w:t>指标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85EC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9D815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专利数量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36FE6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B555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12B23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0AC77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52766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1FC67269" w14:textId="77777777" w:rsidTr="00582E7A">
        <w:trPr>
          <w:trHeight w:val="379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653635E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7C905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77D4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3E40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论文数量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41570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1篇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72AA7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C0EA6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E92C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001EA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687E775A" w14:textId="77777777" w:rsidTr="00582E7A">
        <w:trPr>
          <w:trHeight w:val="382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B1FD820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2FD05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187E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76FA6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形成管道局部修复工艺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31F20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028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441F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BF34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B0E40" w14:textId="77777777" w:rsidR="00F9633E" w:rsidRDefault="00F9633E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20539F42" w14:textId="77777777" w:rsidTr="00582E7A">
        <w:trPr>
          <w:trHeight w:val="387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B5AA2F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EBBE5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0C77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A2DFC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研发膨胀地质聚合物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30705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12901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ECB35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65A71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85EA5" w14:textId="77777777" w:rsidR="00F9633E" w:rsidRDefault="00F9633E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2A152191" w14:textId="77777777" w:rsidTr="00582E7A">
        <w:trPr>
          <w:trHeight w:val="395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3116D1C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3A59D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34BA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4A25A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研发气囊式管道机器人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54E4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8F61A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6040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96C7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60B1C" w14:textId="77777777" w:rsidR="00F9633E" w:rsidRDefault="00F9633E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5EE04EFD" w14:textId="77777777" w:rsidTr="00582E7A">
        <w:trPr>
          <w:trHeight w:val="417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B57CD7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2EA51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17B1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BB36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研发高分子树脂材料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4059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87A0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5382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6A74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EE83D" w14:textId="77777777" w:rsidR="00F9633E" w:rsidRDefault="00F9633E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0A930F80" w14:textId="77777777" w:rsidTr="00582E7A">
        <w:trPr>
          <w:trHeight w:val="539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433027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B25C1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431E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时效指标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68FB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一季度：项目启动；</w:t>
            </w:r>
          </w:p>
          <w:p w14:paraId="6A541FC6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二季度：完成高分子树脂材料的研发。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3F0C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8FA2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2822B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85BB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3B994" w14:textId="77777777" w:rsidR="00F9633E" w:rsidRDefault="00F9633E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4536ADC3" w14:textId="77777777" w:rsidTr="00582E7A">
        <w:trPr>
          <w:trHeight w:val="739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6C665D6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D8F65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2E891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时效指标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0B21B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三季度：气囊式管道机器人的研制及局部修复工艺的研究；</w:t>
            </w:r>
          </w:p>
          <w:p w14:paraId="140D8ED4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四季度：实际应用工程，相关论文、专利撰写工作，及研究报告的整理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D0666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B576A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5479C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1E2B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6F9B7" w14:textId="77777777" w:rsidR="00F9633E" w:rsidRDefault="00F9633E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4A06BD9E" w14:textId="77777777" w:rsidTr="00582E7A">
        <w:trPr>
          <w:trHeight w:val="379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DB4D8DF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C457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3BF0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成本指标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2341" w14:textId="77777777" w:rsidR="00F9633E" w:rsidRDefault="00000000">
            <w:pP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项目总成本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E4FE1" w14:textId="77777777" w:rsidR="00F9633E" w:rsidRDefault="0000000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≤85万元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275B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85万元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1A5E0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557B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3036A" w14:textId="77777777" w:rsidR="00F9633E" w:rsidRDefault="00F9633E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2DE1EE82" w14:textId="77777777" w:rsidTr="00582E7A">
        <w:trPr>
          <w:trHeight w:val="1160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A53481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C3E75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效益</w:t>
            </w: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br/>
              <w:t>指标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5099D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经济效益指标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E904C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渗漏、腐蚀、管壁损害、承插口错位是排水管道最常见的病害，非开挖修复是解决这类问题的最有效措施，提前布局新领域，开发新技术，能够尽快形成管道修复领域技术优势。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2794C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093D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60%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3E93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904E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0C066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实际验证数据样本较少，还有待进一步提升</w:t>
            </w:r>
          </w:p>
        </w:tc>
      </w:tr>
      <w:tr w:rsidR="00F9633E" w14:paraId="0E07D713" w14:textId="77777777" w:rsidTr="00582E7A">
        <w:trPr>
          <w:trHeight w:val="706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F87C8F8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5A078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9F548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社会效益指标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3B541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通过该项目的实施有利于恢复管道功能，可在一定程度上延长管道的使用寿命，为城市安全运营提供保障。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D603E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21E5D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80%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A8BB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CEAB2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4838E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长期效果还有待进一步确认</w:t>
            </w:r>
          </w:p>
        </w:tc>
      </w:tr>
      <w:tr w:rsidR="00F9633E" w14:paraId="79B63A14" w14:textId="77777777" w:rsidTr="00582E7A">
        <w:trPr>
          <w:trHeight w:val="679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DD2AA60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F00BC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C20AA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生态效益指标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D0AE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本项目研究过程中使用的的材料均对环境无毒、无害，非开挖修复可以降低粉尘对周边环境的影响，具备良好的生态效益。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B8285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B03F5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60%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3871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2B3A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30B53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长期效果还有待进一步确认</w:t>
            </w:r>
          </w:p>
        </w:tc>
      </w:tr>
      <w:tr w:rsidR="00F9633E" w14:paraId="57F30A97" w14:textId="77777777" w:rsidTr="00582E7A">
        <w:trPr>
          <w:trHeight w:val="543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DF03AE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D1223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DA015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可持续影响指标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31787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本项目研究成果将为管道非开挖修复提供技术支持，具有较好的可持续性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A5DF9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2项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01AE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80%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6374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1A8D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48304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长期效果还有待进一步确认</w:t>
            </w:r>
          </w:p>
        </w:tc>
      </w:tr>
      <w:tr w:rsidR="00F9633E" w14:paraId="476BFBEF" w14:textId="77777777" w:rsidTr="00582E7A">
        <w:trPr>
          <w:trHeight w:val="600"/>
        </w:trPr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1EA3067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A853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满意度指标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947D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服务对象满意度指标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4067" w14:textId="77777777" w:rsidR="00F9633E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现场应用后基本满足业主单位的管理需求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E9C23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总体满意度达到95%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DA0F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97%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484A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C2CBA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C059" w14:textId="77777777" w:rsidR="00F9633E" w:rsidRDefault="00F9633E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F9633E" w14:paraId="1148A60E" w14:textId="77777777" w:rsidTr="00582E7A">
        <w:trPr>
          <w:trHeight w:val="360"/>
        </w:trPr>
        <w:tc>
          <w:tcPr>
            <w:tcW w:w="397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CE55B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总分</w:t>
            </w:r>
          </w:p>
        </w:tc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78C41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C7C4C" w14:textId="77777777" w:rsidR="00F9633E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92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2B8E" w14:textId="77777777" w:rsidR="00F9633E" w:rsidRDefault="00F9633E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</w:tbl>
    <w:p w14:paraId="2B1714CB" w14:textId="77777777" w:rsidR="00F9633E" w:rsidRDefault="00F9633E"/>
    <w:sectPr w:rsidR="00F9633E">
      <w:pgSz w:w="16838" w:h="11905" w:orient="landscape"/>
      <w:pgMar w:top="567" w:right="918" w:bottom="567" w:left="907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B440" w14:textId="77777777" w:rsidR="00F634EF" w:rsidRDefault="00F634EF">
      <w:r>
        <w:separator/>
      </w:r>
    </w:p>
  </w:endnote>
  <w:endnote w:type="continuationSeparator" w:id="0">
    <w:p w14:paraId="174813D9" w14:textId="77777777" w:rsidR="00F634EF" w:rsidRDefault="00F6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8676C" w14:textId="77777777" w:rsidR="00F634EF" w:rsidRDefault="00F634EF">
      <w:r>
        <w:separator/>
      </w:r>
    </w:p>
  </w:footnote>
  <w:footnote w:type="continuationSeparator" w:id="0">
    <w:p w14:paraId="2335B9C5" w14:textId="77777777" w:rsidR="00F634EF" w:rsidRDefault="00F63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633E"/>
    <w:rsid w:val="00340829"/>
    <w:rsid w:val="00582E7A"/>
    <w:rsid w:val="00F634EF"/>
    <w:rsid w:val="00F9633E"/>
    <w:rsid w:val="04EE72A6"/>
    <w:rsid w:val="066E5BC6"/>
    <w:rsid w:val="0B835865"/>
    <w:rsid w:val="0E710BF6"/>
    <w:rsid w:val="0FDF3BF3"/>
    <w:rsid w:val="13FC61B5"/>
    <w:rsid w:val="1C5B51F6"/>
    <w:rsid w:val="23024BB7"/>
    <w:rsid w:val="275E11BF"/>
    <w:rsid w:val="28866BF1"/>
    <w:rsid w:val="314F3970"/>
    <w:rsid w:val="31AC0DC2"/>
    <w:rsid w:val="35AE2C2F"/>
    <w:rsid w:val="37B44A9B"/>
    <w:rsid w:val="3BC06454"/>
    <w:rsid w:val="406B009A"/>
    <w:rsid w:val="415B1EBD"/>
    <w:rsid w:val="42AF60B3"/>
    <w:rsid w:val="52B75DE8"/>
    <w:rsid w:val="58DF2F7C"/>
    <w:rsid w:val="5CDA5221"/>
    <w:rsid w:val="5E86554E"/>
    <w:rsid w:val="603718EF"/>
    <w:rsid w:val="66680A54"/>
    <w:rsid w:val="71C819A7"/>
    <w:rsid w:val="73B37B09"/>
    <w:rsid w:val="7488729E"/>
    <w:rsid w:val="7A0A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CD2F60"/>
  <w15:docId w15:val="{BE730441-1A5B-45F0-BCDB-5B793F19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4"/>
      <w:szCs w:val="14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41">
    <w:name w:val="font41"/>
    <w:basedOn w:val="a0"/>
    <w:qFormat/>
    <w:rPr>
      <w:rFonts w:ascii="Calibri" w:hAnsi="Calibri" w:cs="Calibri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614</Characters>
  <Application>Microsoft Office Word</Application>
  <DocSecurity>0</DocSecurity>
  <Lines>153</Lines>
  <Paragraphs>165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fkf</dc:creator>
  <cp:lastModifiedBy>1349789148@qq.com</cp:lastModifiedBy>
  <cp:revision>3</cp:revision>
  <dcterms:created xsi:type="dcterms:W3CDTF">2025-05-07T09:26:00Z</dcterms:created>
  <dcterms:modified xsi:type="dcterms:W3CDTF">2025-08-23T05:29:00Z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2025-05-07T09:28:00Z</vt:filetime>
  </property>
  <property fmtid="{D5CDD505-2E9C-101B-9397-08002B2CF9AE}" pid="4" name="KSOTemplateDocerSaveRecord">
    <vt:lpwstr>eyJoZGlkIjoiNzUxOTVkN2ZmMjVjM2EzNTY4MWNhM2I2OGZkMjAyOTMiLCJ1c2VySWQiOiIxOTczNjI2MDYifQ==</vt:lpwstr>
  </property>
  <property fmtid="{D5CDD505-2E9C-101B-9397-08002B2CF9AE}" pid="5" name="KSOProductBuildVer">
    <vt:lpwstr>2052-12.1.0.21915</vt:lpwstr>
  </property>
  <property fmtid="{D5CDD505-2E9C-101B-9397-08002B2CF9AE}" pid="6" name="ICV">
    <vt:lpwstr>8B07F15585104C81A96043102E21BFE1_12</vt:lpwstr>
  </property>
</Properties>
</file>