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19609">
      <w:pPr>
        <w:adjustRightInd w:val="0"/>
        <w:snapToGrid w:val="0"/>
        <w:spacing w:line="360" w:lineRule="auto"/>
        <w:jc w:val="center"/>
        <w:rPr>
          <w:rFonts w:hint="eastAsia" w:ascii="宋体" w:hAnsi="宋体"/>
          <w:b/>
          <w:sz w:val="48"/>
          <w:szCs w:val="21"/>
        </w:rPr>
      </w:pPr>
    </w:p>
    <w:p w14:paraId="6765B8E6">
      <w:pPr>
        <w:adjustRightInd w:val="0"/>
        <w:snapToGrid w:val="0"/>
        <w:spacing w:line="360" w:lineRule="auto"/>
        <w:jc w:val="center"/>
        <w:rPr>
          <w:rFonts w:hint="eastAsia" w:ascii="宋体" w:hAnsi="宋体"/>
          <w:b/>
          <w:sz w:val="48"/>
          <w:szCs w:val="21"/>
        </w:rPr>
      </w:pPr>
    </w:p>
    <w:p w14:paraId="44734365">
      <w:pPr>
        <w:adjustRightInd w:val="0"/>
        <w:snapToGrid w:val="0"/>
        <w:spacing w:line="360" w:lineRule="auto"/>
        <w:jc w:val="center"/>
        <w:rPr>
          <w:rFonts w:hint="eastAsia" w:ascii="宋体" w:hAnsi="宋体"/>
          <w:b/>
          <w:sz w:val="48"/>
          <w:szCs w:val="21"/>
        </w:rPr>
      </w:pPr>
    </w:p>
    <w:p w14:paraId="14ED4C7D">
      <w:pPr>
        <w:adjustRightInd w:val="0"/>
        <w:snapToGrid w:val="0"/>
        <w:spacing w:line="360" w:lineRule="auto"/>
        <w:jc w:val="center"/>
        <w:rPr>
          <w:rFonts w:hint="eastAsia" w:ascii="宋体" w:hAnsi="宋体"/>
          <w:b/>
          <w:bCs/>
          <w:spacing w:val="-20"/>
          <w:sz w:val="48"/>
          <w:szCs w:val="48"/>
        </w:rPr>
      </w:pPr>
      <w:r>
        <w:rPr>
          <w:rFonts w:hint="eastAsia" w:ascii="宋体" w:hAnsi="宋体"/>
          <w:b/>
          <w:sz w:val="48"/>
          <w:szCs w:val="21"/>
        </w:rPr>
        <w:t>2024年度</w:t>
      </w:r>
      <w:r>
        <w:rPr>
          <w:rFonts w:hint="eastAsia" w:ascii="宋体" w:hAnsi="宋体"/>
          <w:b/>
          <w:bCs/>
          <w:spacing w:val="-20"/>
          <w:sz w:val="48"/>
          <w:szCs w:val="48"/>
        </w:rPr>
        <w:t>北京市石景山区人民法院</w:t>
      </w:r>
    </w:p>
    <w:p w14:paraId="6E9C263B">
      <w:pPr>
        <w:adjustRightInd w:val="0"/>
        <w:snapToGrid w:val="0"/>
        <w:spacing w:line="360" w:lineRule="auto"/>
        <w:jc w:val="center"/>
        <w:rPr>
          <w:rFonts w:hint="eastAsia" w:ascii="宋体" w:hAnsi="宋体"/>
          <w:b/>
          <w:bCs/>
          <w:sz w:val="48"/>
          <w:szCs w:val="48"/>
        </w:rPr>
      </w:pPr>
      <w:r>
        <w:rPr>
          <w:rFonts w:hint="eastAsia" w:ascii="宋体" w:hAnsi="宋体"/>
          <w:b/>
          <w:bCs/>
          <w:sz w:val="48"/>
          <w:szCs w:val="48"/>
        </w:rPr>
        <w:t>部门整体绩效评价报告</w:t>
      </w:r>
    </w:p>
    <w:p w14:paraId="7773A8EE">
      <w:pPr>
        <w:adjustRightInd w:val="0"/>
        <w:snapToGrid w:val="0"/>
        <w:spacing w:line="360" w:lineRule="auto"/>
        <w:ind w:firstLine="1044" w:firstLineChars="200"/>
        <w:jc w:val="center"/>
        <w:rPr>
          <w:rFonts w:hint="eastAsia" w:ascii="宋体" w:hAnsi="宋体"/>
          <w:b/>
          <w:sz w:val="52"/>
        </w:rPr>
      </w:pPr>
    </w:p>
    <w:p w14:paraId="2B24AA46">
      <w:pPr>
        <w:adjustRightInd w:val="0"/>
        <w:snapToGrid w:val="0"/>
        <w:spacing w:line="360" w:lineRule="auto"/>
        <w:ind w:firstLine="600" w:firstLineChars="200"/>
        <w:jc w:val="center"/>
        <w:rPr>
          <w:rFonts w:ascii="仿宋_GB2312" w:eastAsia="仿宋_GB2312"/>
          <w:sz w:val="30"/>
        </w:rPr>
      </w:pPr>
    </w:p>
    <w:p w14:paraId="38A503FD">
      <w:pPr>
        <w:adjustRightInd w:val="0"/>
        <w:snapToGrid w:val="0"/>
        <w:spacing w:line="360" w:lineRule="auto"/>
        <w:ind w:firstLine="600" w:firstLineChars="200"/>
        <w:jc w:val="center"/>
        <w:rPr>
          <w:rFonts w:ascii="仿宋_GB2312" w:eastAsia="仿宋_GB2312"/>
          <w:sz w:val="30"/>
        </w:rPr>
      </w:pPr>
    </w:p>
    <w:p w14:paraId="2D96E278">
      <w:pPr>
        <w:adjustRightInd w:val="0"/>
        <w:snapToGrid w:val="0"/>
        <w:spacing w:line="360" w:lineRule="auto"/>
        <w:ind w:firstLine="600" w:firstLineChars="200"/>
        <w:jc w:val="center"/>
        <w:rPr>
          <w:rFonts w:ascii="仿宋_GB2312" w:eastAsia="仿宋_GB2312"/>
          <w:sz w:val="30"/>
        </w:rPr>
      </w:pPr>
    </w:p>
    <w:p w14:paraId="107ADC1B">
      <w:pPr>
        <w:adjustRightInd w:val="0"/>
        <w:snapToGrid w:val="0"/>
        <w:spacing w:line="360" w:lineRule="auto"/>
        <w:ind w:firstLine="600" w:firstLineChars="200"/>
        <w:jc w:val="center"/>
        <w:rPr>
          <w:rFonts w:ascii="仿宋_GB2312" w:eastAsia="仿宋_GB2312"/>
          <w:sz w:val="30"/>
        </w:rPr>
      </w:pPr>
    </w:p>
    <w:p w14:paraId="545AA85C">
      <w:pPr>
        <w:pStyle w:val="7"/>
      </w:pPr>
    </w:p>
    <w:p w14:paraId="34F9C63C">
      <w:pPr>
        <w:adjustRightInd w:val="0"/>
        <w:snapToGrid w:val="0"/>
        <w:spacing w:line="360" w:lineRule="auto"/>
        <w:ind w:firstLine="600" w:firstLineChars="200"/>
        <w:rPr>
          <w:rFonts w:ascii="仿宋_GB2312" w:eastAsia="仿宋_GB2312"/>
          <w:sz w:val="30"/>
        </w:rPr>
      </w:pPr>
    </w:p>
    <w:p w14:paraId="6D36CC74">
      <w:pPr>
        <w:adjustRightInd w:val="0"/>
        <w:snapToGrid w:val="0"/>
        <w:spacing w:line="360" w:lineRule="auto"/>
        <w:ind w:firstLine="640" w:firstLineChars="200"/>
        <w:jc w:val="left"/>
        <w:rPr>
          <w:rFonts w:hint="eastAsia" w:ascii="宋体" w:hAnsi="宋体"/>
          <w:sz w:val="32"/>
        </w:rPr>
      </w:pPr>
    </w:p>
    <w:p w14:paraId="6A4E641E">
      <w:pPr>
        <w:adjustRightInd w:val="0"/>
        <w:snapToGrid w:val="0"/>
        <w:spacing w:line="360" w:lineRule="auto"/>
        <w:ind w:firstLine="640" w:firstLineChars="200"/>
        <w:rPr>
          <w:rFonts w:hint="eastAsia" w:ascii="仿宋_GB2312" w:hAnsi="宋体" w:eastAsia="仿宋_GB2312"/>
          <w:sz w:val="32"/>
          <w:szCs w:val="32"/>
        </w:rPr>
      </w:pPr>
    </w:p>
    <w:p w14:paraId="7822D21A">
      <w:pPr>
        <w:adjustRightInd w:val="0"/>
        <w:snapToGrid w:val="0"/>
        <w:spacing w:line="360" w:lineRule="auto"/>
        <w:jc w:val="center"/>
        <w:rPr>
          <w:rFonts w:ascii="黑体" w:eastAsia="黑体"/>
          <w:sz w:val="36"/>
          <w:szCs w:val="36"/>
        </w:rPr>
      </w:pPr>
    </w:p>
    <w:p w14:paraId="6AE3363D">
      <w:pPr>
        <w:adjustRightInd w:val="0"/>
        <w:snapToGrid w:val="0"/>
        <w:spacing w:line="360" w:lineRule="auto"/>
        <w:jc w:val="center"/>
        <w:rPr>
          <w:rFonts w:ascii="黑体" w:eastAsia="黑体"/>
          <w:sz w:val="36"/>
          <w:szCs w:val="36"/>
        </w:rPr>
      </w:pPr>
    </w:p>
    <w:p w14:paraId="29A4B9AC">
      <w:pPr>
        <w:adjustRightInd w:val="0"/>
        <w:snapToGrid w:val="0"/>
        <w:spacing w:line="360" w:lineRule="auto"/>
        <w:jc w:val="center"/>
        <w:rPr>
          <w:b/>
          <w:bCs/>
          <w:sz w:val="52"/>
          <w:szCs w:val="52"/>
        </w:rPr>
      </w:pPr>
      <w:r>
        <w:rPr>
          <w:rFonts w:hint="eastAsia" w:ascii="黑体" w:eastAsia="黑体"/>
          <w:sz w:val="36"/>
          <w:szCs w:val="36"/>
        </w:rPr>
        <w:t>二〇二五年五月</w:t>
      </w:r>
    </w:p>
    <w:p w14:paraId="2F73CA89">
      <w:pPr>
        <w:adjustRightInd w:val="0"/>
        <w:snapToGrid w:val="0"/>
        <w:spacing w:line="360" w:lineRule="auto"/>
        <w:jc w:val="center"/>
        <w:rPr>
          <w:rFonts w:ascii="方正小标宋简体" w:eastAsia="方正小标宋简体"/>
          <w:sz w:val="36"/>
          <w:szCs w:val="36"/>
        </w:rPr>
        <w:sectPr>
          <w:pgSz w:w="11906" w:h="16838"/>
          <w:pgMar w:top="1440" w:right="1800" w:bottom="1440" w:left="1800" w:header="851" w:footer="992" w:gutter="0"/>
          <w:cols w:space="425" w:num="1"/>
          <w:docGrid w:type="lines" w:linePitch="312" w:charSpace="0"/>
        </w:sectPr>
      </w:pPr>
    </w:p>
    <w:sdt>
      <w:sdtPr>
        <w:rPr>
          <w:rFonts w:hint="eastAsia" w:ascii="黑体" w:hAnsi="黑体" w:eastAsia="黑体" w:cs="黑体"/>
          <w:b/>
          <w:bCs/>
          <w:sz w:val="32"/>
          <w:szCs w:val="32"/>
        </w:rPr>
        <w:id w:val="147456552"/>
        <w:docPartObj>
          <w:docPartGallery w:val="Table of Contents"/>
          <w:docPartUnique/>
        </w:docPartObj>
      </w:sdtPr>
      <w:sdtEndPr>
        <w:rPr>
          <w:rFonts w:hint="default" w:ascii="Times New Roman" w:hAnsi="Times New Roman" w:eastAsia="宋体" w:cs="Times New Roman"/>
          <w:b/>
          <w:bCs/>
          <w:sz w:val="21"/>
          <w:szCs w:val="24"/>
        </w:rPr>
      </w:sdtEndPr>
      <w:sdtContent>
        <w:p w14:paraId="082DB573">
          <w:pPr>
            <w:adjustRightInd w:val="0"/>
            <w:snapToGrid w:val="0"/>
            <w:spacing w:line="360" w:lineRule="auto"/>
            <w:ind w:firstLine="643" w:firstLineChars="200"/>
            <w:jc w:val="center"/>
            <w:rPr>
              <w:rFonts w:hint="eastAsia" w:ascii="黑体" w:hAnsi="黑体" w:eastAsia="黑体" w:cs="黑体"/>
              <w:sz w:val="32"/>
              <w:szCs w:val="32"/>
            </w:rPr>
          </w:pPr>
          <w:r>
            <w:rPr>
              <w:rFonts w:hint="eastAsia" w:ascii="黑体" w:hAnsi="黑体" w:eastAsia="黑体" w:cs="黑体"/>
              <w:b/>
              <w:bCs/>
              <w:sz w:val="32"/>
              <w:szCs w:val="32"/>
            </w:rPr>
            <w:t>目 录</w:t>
          </w:r>
        </w:p>
        <w:p w14:paraId="5C96C1C9">
          <w:pPr>
            <w:pStyle w:val="11"/>
            <w:tabs>
              <w:tab w:val="right" w:leader="dot" w:pos="8306"/>
              <w:tab w:val="clear" w:pos="8296"/>
            </w:tabs>
            <w:rPr>
              <w:rFonts w:hint="eastAsia" w:cs="黑体"/>
            </w:rPr>
          </w:pPr>
          <w:r>
            <w:rPr>
              <w:rFonts w:hint="eastAsia" w:cs="黑体"/>
            </w:rPr>
            <w:fldChar w:fldCharType="begin"/>
          </w:r>
          <w:r>
            <w:rPr>
              <w:rFonts w:hint="eastAsia" w:cs="黑体"/>
            </w:rPr>
            <w:instrText xml:space="preserve">TOC \o "1-3" \h \u </w:instrText>
          </w:r>
          <w:r>
            <w:rPr>
              <w:rFonts w:hint="eastAsia" w:cs="黑体"/>
            </w:rPr>
            <w:fldChar w:fldCharType="separate"/>
          </w:r>
          <w:r>
            <w:fldChar w:fldCharType="begin"/>
          </w:r>
          <w:r>
            <w:instrText xml:space="preserve"> HYPERLINK \l "_Toc22386" </w:instrText>
          </w:r>
          <w:r>
            <w:fldChar w:fldCharType="separate"/>
          </w:r>
          <w:r>
            <w:rPr>
              <w:rFonts w:hint="eastAsia" w:cs="黑体"/>
              <w:kern w:val="0"/>
              <w:szCs w:val="32"/>
            </w:rPr>
            <w:t>一、部门概况</w:t>
          </w:r>
          <w:r>
            <w:rPr>
              <w:rFonts w:hint="eastAsia" w:cs="黑体"/>
            </w:rPr>
            <w:tab/>
          </w:r>
          <w:r>
            <w:rPr>
              <w:rFonts w:hint="eastAsia" w:cs="黑体"/>
            </w:rPr>
            <w:fldChar w:fldCharType="begin"/>
          </w:r>
          <w:r>
            <w:rPr>
              <w:rFonts w:hint="eastAsia" w:cs="黑体"/>
            </w:rPr>
            <w:instrText xml:space="preserve"> PAGEREF _Toc22386 \h </w:instrText>
          </w:r>
          <w:r>
            <w:rPr>
              <w:rFonts w:hint="eastAsia" w:cs="黑体"/>
            </w:rPr>
            <w:fldChar w:fldCharType="separate"/>
          </w:r>
          <w:r>
            <w:rPr>
              <w:rFonts w:hint="eastAsia" w:cs="黑体"/>
            </w:rPr>
            <w:t>1</w:t>
          </w:r>
          <w:r>
            <w:rPr>
              <w:rFonts w:hint="eastAsia" w:cs="黑体"/>
            </w:rPr>
            <w:fldChar w:fldCharType="end"/>
          </w:r>
          <w:r>
            <w:rPr>
              <w:rFonts w:hint="eastAsia" w:cs="黑体"/>
            </w:rPr>
            <w:fldChar w:fldCharType="end"/>
          </w:r>
        </w:p>
        <w:p w14:paraId="1E952106">
          <w:pPr>
            <w:pStyle w:val="14"/>
            <w:tabs>
              <w:tab w:val="right" w:leader="dot" w:pos="8306"/>
              <w:tab w:val="clear" w:pos="8296"/>
            </w:tabs>
            <w:rPr>
              <w:rFonts w:hint="eastAsia" w:cs="黑体"/>
            </w:rPr>
          </w:pPr>
          <w:r>
            <w:fldChar w:fldCharType="begin"/>
          </w:r>
          <w:r>
            <w:instrText xml:space="preserve"> HYPERLINK \l "_Toc24732" </w:instrText>
          </w:r>
          <w:r>
            <w:fldChar w:fldCharType="separate"/>
          </w:r>
          <w:r>
            <w:rPr>
              <w:rFonts w:hint="eastAsia" w:cs="黑体"/>
              <w:szCs w:val="32"/>
            </w:rPr>
            <w:t>（一）机构设置及职责工作任务情况</w:t>
          </w:r>
          <w:r>
            <w:rPr>
              <w:rFonts w:hint="eastAsia" w:cs="黑体"/>
            </w:rPr>
            <w:tab/>
          </w:r>
          <w:r>
            <w:rPr>
              <w:rFonts w:hint="eastAsia" w:cs="黑体"/>
            </w:rPr>
            <w:fldChar w:fldCharType="begin"/>
          </w:r>
          <w:r>
            <w:rPr>
              <w:rFonts w:hint="eastAsia" w:cs="黑体"/>
            </w:rPr>
            <w:instrText xml:space="preserve"> PAGEREF _Toc24732 \h </w:instrText>
          </w:r>
          <w:r>
            <w:rPr>
              <w:rFonts w:hint="eastAsia" w:cs="黑体"/>
            </w:rPr>
            <w:fldChar w:fldCharType="separate"/>
          </w:r>
          <w:r>
            <w:rPr>
              <w:rFonts w:hint="eastAsia" w:cs="黑体"/>
            </w:rPr>
            <w:t>1</w:t>
          </w:r>
          <w:r>
            <w:rPr>
              <w:rFonts w:hint="eastAsia" w:cs="黑体"/>
            </w:rPr>
            <w:fldChar w:fldCharType="end"/>
          </w:r>
          <w:r>
            <w:rPr>
              <w:rFonts w:hint="eastAsia" w:cs="黑体"/>
            </w:rPr>
            <w:fldChar w:fldCharType="end"/>
          </w:r>
        </w:p>
        <w:p w14:paraId="5A20B753">
          <w:pPr>
            <w:pStyle w:val="14"/>
            <w:tabs>
              <w:tab w:val="right" w:leader="dot" w:pos="8306"/>
              <w:tab w:val="clear" w:pos="8296"/>
            </w:tabs>
            <w:rPr>
              <w:rFonts w:hint="eastAsia" w:cs="黑体"/>
            </w:rPr>
          </w:pPr>
          <w:r>
            <w:fldChar w:fldCharType="begin"/>
          </w:r>
          <w:r>
            <w:instrText xml:space="preserve"> HYPERLINK \l "_Toc763" </w:instrText>
          </w:r>
          <w:r>
            <w:fldChar w:fldCharType="separate"/>
          </w:r>
          <w:r>
            <w:rPr>
              <w:rFonts w:hint="eastAsia" w:cs="黑体"/>
              <w:szCs w:val="32"/>
            </w:rPr>
            <w:t>（二）部门整体绩效目标设立情况</w:t>
          </w:r>
          <w:r>
            <w:rPr>
              <w:rFonts w:hint="eastAsia" w:cs="黑体"/>
            </w:rPr>
            <w:tab/>
          </w:r>
          <w:r>
            <w:rPr>
              <w:rFonts w:hint="eastAsia" w:cs="黑体"/>
            </w:rPr>
            <w:fldChar w:fldCharType="begin"/>
          </w:r>
          <w:r>
            <w:rPr>
              <w:rFonts w:hint="eastAsia" w:cs="黑体"/>
            </w:rPr>
            <w:instrText xml:space="preserve"> PAGEREF _Toc763 \h </w:instrText>
          </w:r>
          <w:r>
            <w:rPr>
              <w:rFonts w:hint="eastAsia" w:cs="黑体"/>
            </w:rPr>
            <w:fldChar w:fldCharType="separate"/>
          </w:r>
          <w:r>
            <w:rPr>
              <w:rFonts w:hint="eastAsia" w:cs="黑体"/>
            </w:rPr>
            <w:t>2</w:t>
          </w:r>
          <w:r>
            <w:rPr>
              <w:rFonts w:hint="eastAsia" w:cs="黑体"/>
            </w:rPr>
            <w:fldChar w:fldCharType="end"/>
          </w:r>
          <w:r>
            <w:rPr>
              <w:rFonts w:hint="eastAsia" w:cs="黑体"/>
            </w:rPr>
            <w:fldChar w:fldCharType="end"/>
          </w:r>
        </w:p>
        <w:p w14:paraId="3425C451">
          <w:pPr>
            <w:pStyle w:val="11"/>
            <w:tabs>
              <w:tab w:val="right" w:leader="dot" w:pos="8306"/>
              <w:tab w:val="clear" w:pos="8296"/>
            </w:tabs>
            <w:rPr>
              <w:rFonts w:hint="eastAsia" w:cs="黑体"/>
            </w:rPr>
          </w:pPr>
          <w:r>
            <w:fldChar w:fldCharType="begin"/>
          </w:r>
          <w:r>
            <w:instrText xml:space="preserve"> HYPERLINK \l "_Toc25080" </w:instrText>
          </w:r>
          <w:r>
            <w:fldChar w:fldCharType="separate"/>
          </w:r>
          <w:r>
            <w:rPr>
              <w:rFonts w:hint="eastAsia" w:cs="黑体"/>
              <w:kern w:val="0"/>
              <w:szCs w:val="32"/>
            </w:rPr>
            <w:t>二、当年预算执行情况</w:t>
          </w:r>
          <w:r>
            <w:rPr>
              <w:rFonts w:hint="eastAsia" w:cs="黑体"/>
            </w:rPr>
            <w:tab/>
          </w:r>
          <w:r>
            <w:rPr>
              <w:rFonts w:hint="eastAsia" w:cs="黑体"/>
            </w:rPr>
            <w:fldChar w:fldCharType="begin"/>
          </w:r>
          <w:r>
            <w:rPr>
              <w:rFonts w:hint="eastAsia" w:cs="黑体"/>
            </w:rPr>
            <w:instrText xml:space="preserve"> PAGEREF _Toc25080 \h </w:instrText>
          </w:r>
          <w:r>
            <w:rPr>
              <w:rFonts w:hint="eastAsia" w:cs="黑体"/>
            </w:rPr>
            <w:fldChar w:fldCharType="separate"/>
          </w:r>
          <w:r>
            <w:rPr>
              <w:rFonts w:hint="eastAsia" w:cs="黑体"/>
            </w:rPr>
            <w:t>4</w:t>
          </w:r>
          <w:r>
            <w:rPr>
              <w:rFonts w:hint="eastAsia" w:cs="黑体"/>
            </w:rPr>
            <w:fldChar w:fldCharType="end"/>
          </w:r>
          <w:r>
            <w:rPr>
              <w:rFonts w:hint="eastAsia" w:cs="黑体"/>
            </w:rPr>
            <w:fldChar w:fldCharType="end"/>
          </w:r>
        </w:p>
        <w:p w14:paraId="27E9371C">
          <w:pPr>
            <w:pStyle w:val="11"/>
            <w:tabs>
              <w:tab w:val="right" w:leader="dot" w:pos="8306"/>
              <w:tab w:val="clear" w:pos="8296"/>
            </w:tabs>
            <w:rPr>
              <w:rFonts w:hint="eastAsia" w:cs="黑体"/>
            </w:rPr>
          </w:pPr>
          <w:r>
            <w:fldChar w:fldCharType="begin"/>
          </w:r>
          <w:r>
            <w:instrText xml:space="preserve"> HYPERLINK \l "_Toc13215" </w:instrText>
          </w:r>
          <w:r>
            <w:fldChar w:fldCharType="separate"/>
          </w:r>
          <w:r>
            <w:rPr>
              <w:rFonts w:hint="eastAsia" w:cs="黑体"/>
              <w:kern w:val="0"/>
              <w:szCs w:val="32"/>
            </w:rPr>
            <w:t>三、整体绩效目标实现情况</w:t>
          </w:r>
          <w:r>
            <w:rPr>
              <w:rFonts w:hint="eastAsia" w:cs="黑体"/>
            </w:rPr>
            <w:tab/>
          </w:r>
          <w:r>
            <w:rPr>
              <w:rFonts w:hint="eastAsia" w:cs="黑体"/>
            </w:rPr>
            <w:fldChar w:fldCharType="begin"/>
          </w:r>
          <w:r>
            <w:rPr>
              <w:rFonts w:hint="eastAsia" w:cs="黑体"/>
            </w:rPr>
            <w:instrText xml:space="preserve"> PAGEREF _Toc13215 \h </w:instrText>
          </w:r>
          <w:r>
            <w:rPr>
              <w:rFonts w:hint="eastAsia" w:cs="黑体"/>
            </w:rPr>
            <w:fldChar w:fldCharType="separate"/>
          </w:r>
          <w:r>
            <w:rPr>
              <w:rFonts w:hint="eastAsia" w:cs="黑体"/>
            </w:rPr>
            <w:t>4</w:t>
          </w:r>
          <w:r>
            <w:rPr>
              <w:rFonts w:hint="eastAsia" w:cs="黑体"/>
            </w:rPr>
            <w:fldChar w:fldCharType="end"/>
          </w:r>
          <w:r>
            <w:rPr>
              <w:rFonts w:hint="eastAsia" w:cs="黑体"/>
            </w:rPr>
            <w:fldChar w:fldCharType="end"/>
          </w:r>
        </w:p>
        <w:p w14:paraId="38F4054A">
          <w:pPr>
            <w:pStyle w:val="14"/>
            <w:tabs>
              <w:tab w:val="right" w:leader="dot" w:pos="8306"/>
              <w:tab w:val="clear" w:pos="8296"/>
            </w:tabs>
            <w:rPr>
              <w:rFonts w:hint="eastAsia" w:cs="黑体"/>
            </w:rPr>
          </w:pPr>
          <w:r>
            <w:fldChar w:fldCharType="begin"/>
          </w:r>
          <w:r>
            <w:instrText xml:space="preserve"> HYPERLINK \l "_Toc28675" </w:instrText>
          </w:r>
          <w:r>
            <w:fldChar w:fldCharType="separate"/>
          </w:r>
          <w:r>
            <w:rPr>
              <w:rFonts w:hint="eastAsia" w:cs="黑体"/>
              <w:szCs w:val="32"/>
            </w:rPr>
            <w:t>（一）产出完成情况分析</w:t>
          </w:r>
          <w:r>
            <w:rPr>
              <w:rFonts w:hint="eastAsia" w:cs="黑体"/>
            </w:rPr>
            <w:tab/>
          </w:r>
          <w:r>
            <w:rPr>
              <w:rFonts w:hint="eastAsia" w:cs="黑体"/>
            </w:rPr>
            <w:fldChar w:fldCharType="begin"/>
          </w:r>
          <w:r>
            <w:rPr>
              <w:rFonts w:hint="eastAsia" w:cs="黑体"/>
            </w:rPr>
            <w:instrText xml:space="preserve"> PAGEREF _Toc28675 \h </w:instrText>
          </w:r>
          <w:r>
            <w:rPr>
              <w:rFonts w:hint="eastAsia" w:cs="黑体"/>
            </w:rPr>
            <w:fldChar w:fldCharType="separate"/>
          </w:r>
          <w:r>
            <w:rPr>
              <w:rFonts w:hint="eastAsia" w:cs="黑体"/>
            </w:rPr>
            <w:t>4</w:t>
          </w:r>
          <w:r>
            <w:rPr>
              <w:rFonts w:hint="eastAsia" w:cs="黑体"/>
            </w:rPr>
            <w:fldChar w:fldCharType="end"/>
          </w:r>
          <w:r>
            <w:rPr>
              <w:rFonts w:hint="eastAsia" w:cs="黑体"/>
            </w:rPr>
            <w:fldChar w:fldCharType="end"/>
          </w:r>
        </w:p>
        <w:p w14:paraId="047BB2BD">
          <w:pPr>
            <w:pStyle w:val="14"/>
            <w:tabs>
              <w:tab w:val="right" w:leader="dot" w:pos="8306"/>
              <w:tab w:val="clear" w:pos="8296"/>
            </w:tabs>
            <w:rPr>
              <w:rFonts w:hint="eastAsia" w:cs="黑体"/>
            </w:rPr>
          </w:pPr>
          <w:r>
            <w:fldChar w:fldCharType="begin"/>
          </w:r>
          <w:r>
            <w:instrText xml:space="preserve"> HYPERLINK \l "_Toc28480" </w:instrText>
          </w:r>
          <w:r>
            <w:fldChar w:fldCharType="separate"/>
          </w:r>
          <w:r>
            <w:rPr>
              <w:rFonts w:hint="eastAsia" w:cs="黑体"/>
              <w:szCs w:val="32"/>
            </w:rPr>
            <w:t>（二）效果实现情况分析</w:t>
          </w:r>
          <w:r>
            <w:rPr>
              <w:rFonts w:hint="eastAsia" w:cs="黑体"/>
            </w:rPr>
            <w:tab/>
          </w:r>
          <w:r>
            <w:rPr>
              <w:rFonts w:hint="eastAsia" w:cs="黑体"/>
            </w:rPr>
            <w:fldChar w:fldCharType="begin"/>
          </w:r>
          <w:r>
            <w:rPr>
              <w:rFonts w:hint="eastAsia" w:cs="黑体"/>
            </w:rPr>
            <w:instrText xml:space="preserve"> PAGEREF _Toc28480 \h </w:instrText>
          </w:r>
          <w:r>
            <w:rPr>
              <w:rFonts w:hint="eastAsia" w:cs="黑体"/>
            </w:rPr>
            <w:fldChar w:fldCharType="separate"/>
          </w:r>
          <w:r>
            <w:rPr>
              <w:rFonts w:hint="eastAsia" w:cs="黑体"/>
            </w:rPr>
            <w:t>9</w:t>
          </w:r>
          <w:r>
            <w:rPr>
              <w:rFonts w:hint="eastAsia" w:cs="黑体"/>
            </w:rPr>
            <w:fldChar w:fldCharType="end"/>
          </w:r>
          <w:r>
            <w:rPr>
              <w:rFonts w:hint="eastAsia" w:cs="黑体"/>
            </w:rPr>
            <w:fldChar w:fldCharType="end"/>
          </w:r>
        </w:p>
        <w:p w14:paraId="1884C1BF">
          <w:pPr>
            <w:pStyle w:val="11"/>
            <w:tabs>
              <w:tab w:val="right" w:leader="dot" w:pos="8306"/>
              <w:tab w:val="clear" w:pos="8296"/>
            </w:tabs>
            <w:rPr>
              <w:rFonts w:hint="eastAsia" w:cs="黑体"/>
            </w:rPr>
          </w:pPr>
          <w:r>
            <w:fldChar w:fldCharType="begin"/>
          </w:r>
          <w:r>
            <w:instrText xml:space="preserve"> HYPERLINK \l "_Toc15100" </w:instrText>
          </w:r>
          <w:r>
            <w:fldChar w:fldCharType="separate"/>
          </w:r>
          <w:r>
            <w:rPr>
              <w:rFonts w:hint="eastAsia" w:cs="黑体"/>
              <w:kern w:val="0"/>
              <w:szCs w:val="32"/>
            </w:rPr>
            <w:t>四、预算管理情况分析</w:t>
          </w:r>
          <w:r>
            <w:rPr>
              <w:rFonts w:hint="eastAsia" w:cs="黑体"/>
            </w:rPr>
            <w:tab/>
          </w:r>
          <w:r>
            <w:rPr>
              <w:rFonts w:hint="eastAsia" w:cs="黑体"/>
            </w:rPr>
            <w:fldChar w:fldCharType="begin"/>
          </w:r>
          <w:r>
            <w:rPr>
              <w:rFonts w:hint="eastAsia" w:cs="黑体"/>
            </w:rPr>
            <w:instrText xml:space="preserve"> PAGEREF _Toc15100 \h </w:instrText>
          </w:r>
          <w:r>
            <w:rPr>
              <w:rFonts w:hint="eastAsia" w:cs="黑体"/>
            </w:rPr>
            <w:fldChar w:fldCharType="separate"/>
          </w:r>
          <w:r>
            <w:rPr>
              <w:rFonts w:hint="eastAsia" w:cs="黑体"/>
            </w:rPr>
            <w:t>12</w:t>
          </w:r>
          <w:r>
            <w:rPr>
              <w:rFonts w:hint="eastAsia" w:cs="黑体"/>
            </w:rPr>
            <w:fldChar w:fldCharType="end"/>
          </w:r>
          <w:r>
            <w:rPr>
              <w:rFonts w:hint="eastAsia" w:cs="黑体"/>
            </w:rPr>
            <w:fldChar w:fldCharType="end"/>
          </w:r>
        </w:p>
        <w:p w14:paraId="380981FF">
          <w:pPr>
            <w:pStyle w:val="14"/>
            <w:tabs>
              <w:tab w:val="right" w:leader="dot" w:pos="8306"/>
              <w:tab w:val="clear" w:pos="8296"/>
            </w:tabs>
            <w:rPr>
              <w:rFonts w:hint="eastAsia" w:cs="黑体"/>
            </w:rPr>
          </w:pPr>
          <w:r>
            <w:fldChar w:fldCharType="begin"/>
          </w:r>
          <w:r>
            <w:instrText xml:space="preserve"> HYPERLINK \l "_Toc1890" </w:instrText>
          </w:r>
          <w:r>
            <w:fldChar w:fldCharType="separate"/>
          </w:r>
          <w:r>
            <w:rPr>
              <w:rFonts w:hint="eastAsia" w:cs="黑体"/>
              <w:szCs w:val="32"/>
            </w:rPr>
            <w:t>（一）财务管理</w:t>
          </w:r>
          <w:r>
            <w:rPr>
              <w:rFonts w:hint="eastAsia" w:cs="黑体"/>
            </w:rPr>
            <w:tab/>
          </w:r>
          <w:r>
            <w:rPr>
              <w:rFonts w:hint="eastAsia" w:cs="黑体"/>
            </w:rPr>
            <w:fldChar w:fldCharType="begin"/>
          </w:r>
          <w:r>
            <w:rPr>
              <w:rFonts w:hint="eastAsia" w:cs="黑体"/>
            </w:rPr>
            <w:instrText xml:space="preserve"> PAGEREF _Toc1890 \h </w:instrText>
          </w:r>
          <w:r>
            <w:rPr>
              <w:rFonts w:hint="eastAsia" w:cs="黑体"/>
            </w:rPr>
            <w:fldChar w:fldCharType="separate"/>
          </w:r>
          <w:r>
            <w:rPr>
              <w:rFonts w:hint="eastAsia" w:cs="黑体"/>
            </w:rPr>
            <w:t>12</w:t>
          </w:r>
          <w:r>
            <w:rPr>
              <w:rFonts w:hint="eastAsia" w:cs="黑体"/>
            </w:rPr>
            <w:fldChar w:fldCharType="end"/>
          </w:r>
          <w:r>
            <w:rPr>
              <w:rFonts w:hint="eastAsia" w:cs="黑体"/>
            </w:rPr>
            <w:fldChar w:fldCharType="end"/>
          </w:r>
        </w:p>
        <w:p w14:paraId="5FCCE3A9">
          <w:pPr>
            <w:pStyle w:val="14"/>
            <w:tabs>
              <w:tab w:val="right" w:leader="dot" w:pos="8306"/>
              <w:tab w:val="clear" w:pos="8296"/>
            </w:tabs>
            <w:rPr>
              <w:rFonts w:hint="eastAsia" w:cs="黑体"/>
            </w:rPr>
          </w:pPr>
          <w:r>
            <w:fldChar w:fldCharType="begin"/>
          </w:r>
          <w:r>
            <w:instrText xml:space="preserve"> HYPERLINK \l "_Toc12179" </w:instrText>
          </w:r>
          <w:r>
            <w:fldChar w:fldCharType="separate"/>
          </w:r>
          <w:r>
            <w:rPr>
              <w:rFonts w:hint="eastAsia" w:cs="黑体"/>
              <w:szCs w:val="32"/>
            </w:rPr>
            <w:t>（二）资产管理</w:t>
          </w:r>
          <w:r>
            <w:rPr>
              <w:rFonts w:hint="eastAsia" w:cs="黑体"/>
            </w:rPr>
            <w:tab/>
          </w:r>
          <w:r>
            <w:rPr>
              <w:rFonts w:hint="eastAsia" w:cs="黑体"/>
            </w:rPr>
            <w:fldChar w:fldCharType="begin"/>
          </w:r>
          <w:r>
            <w:rPr>
              <w:rFonts w:hint="eastAsia" w:cs="黑体"/>
            </w:rPr>
            <w:instrText xml:space="preserve"> PAGEREF _Toc12179 \h </w:instrText>
          </w:r>
          <w:r>
            <w:rPr>
              <w:rFonts w:hint="eastAsia" w:cs="黑体"/>
            </w:rPr>
            <w:fldChar w:fldCharType="separate"/>
          </w:r>
          <w:r>
            <w:rPr>
              <w:rFonts w:hint="eastAsia" w:cs="黑体"/>
            </w:rPr>
            <w:t>14</w:t>
          </w:r>
          <w:r>
            <w:rPr>
              <w:rFonts w:hint="eastAsia" w:cs="黑体"/>
            </w:rPr>
            <w:fldChar w:fldCharType="end"/>
          </w:r>
          <w:r>
            <w:rPr>
              <w:rFonts w:hint="eastAsia" w:cs="黑体"/>
            </w:rPr>
            <w:fldChar w:fldCharType="end"/>
          </w:r>
        </w:p>
        <w:p w14:paraId="5246A3EF">
          <w:pPr>
            <w:pStyle w:val="14"/>
            <w:tabs>
              <w:tab w:val="right" w:leader="dot" w:pos="8306"/>
              <w:tab w:val="clear" w:pos="8296"/>
            </w:tabs>
            <w:rPr>
              <w:rFonts w:hint="eastAsia" w:cs="黑体"/>
            </w:rPr>
          </w:pPr>
          <w:r>
            <w:fldChar w:fldCharType="begin"/>
          </w:r>
          <w:r>
            <w:instrText xml:space="preserve"> HYPERLINK \l "_Toc31300" </w:instrText>
          </w:r>
          <w:r>
            <w:fldChar w:fldCharType="separate"/>
          </w:r>
          <w:r>
            <w:rPr>
              <w:rFonts w:hint="eastAsia" w:cs="黑体"/>
              <w:szCs w:val="32"/>
            </w:rPr>
            <w:t>（三）绩效管理</w:t>
          </w:r>
          <w:r>
            <w:rPr>
              <w:rFonts w:hint="eastAsia" w:cs="黑体"/>
            </w:rPr>
            <w:tab/>
          </w:r>
          <w:r>
            <w:rPr>
              <w:rFonts w:hint="eastAsia" w:cs="黑体"/>
            </w:rPr>
            <w:fldChar w:fldCharType="begin"/>
          </w:r>
          <w:r>
            <w:rPr>
              <w:rFonts w:hint="eastAsia" w:cs="黑体"/>
            </w:rPr>
            <w:instrText xml:space="preserve"> PAGEREF _Toc31300 \h </w:instrText>
          </w:r>
          <w:r>
            <w:rPr>
              <w:rFonts w:hint="eastAsia" w:cs="黑体"/>
            </w:rPr>
            <w:fldChar w:fldCharType="separate"/>
          </w:r>
          <w:r>
            <w:rPr>
              <w:rFonts w:hint="eastAsia" w:cs="黑体"/>
            </w:rPr>
            <w:t>15</w:t>
          </w:r>
          <w:r>
            <w:rPr>
              <w:rFonts w:hint="eastAsia" w:cs="黑体"/>
            </w:rPr>
            <w:fldChar w:fldCharType="end"/>
          </w:r>
          <w:r>
            <w:rPr>
              <w:rFonts w:hint="eastAsia" w:cs="黑体"/>
            </w:rPr>
            <w:fldChar w:fldCharType="end"/>
          </w:r>
        </w:p>
        <w:p w14:paraId="7B0BE3FC">
          <w:pPr>
            <w:pStyle w:val="14"/>
            <w:tabs>
              <w:tab w:val="right" w:leader="dot" w:pos="8306"/>
              <w:tab w:val="clear" w:pos="8296"/>
            </w:tabs>
            <w:rPr>
              <w:rFonts w:hint="eastAsia" w:cs="黑体"/>
            </w:rPr>
          </w:pPr>
          <w:r>
            <w:fldChar w:fldCharType="begin"/>
          </w:r>
          <w:r>
            <w:instrText xml:space="preserve"> HYPERLINK \l "_Toc19989" </w:instrText>
          </w:r>
          <w:r>
            <w:fldChar w:fldCharType="separate"/>
          </w:r>
          <w:r>
            <w:rPr>
              <w:rFonts w:hint="eastAsia" w:cs="黑体"/>
              <w:szCs w:val="32"/>
            </w:rPr>
            <w:t>（四）结转结余率</w:t>
          </w:r>
          <w:r>
            <w:rPr>
              <w:rFonts w:hint="eastAsia" w:cs="黑体"/>
            </w:rPr>
            <w:tab/>
          </w:r>
          <w:r>
            <w:rPr>
              <w:rFonts w:hint="eastAsia" w:cs="黑体"/>
            </w:rPr>
            <w:fldChar w:fldCharType="begin"/>
          </w:r>
          <w:r>
            <w:rPr>
              <w:rFonts w:hint="eastAsia" w:cs="黑体"/>
            </w:rPr>
            <w:instrText xml:space="preserve"> PAGEREF _Toc19989 \h </w:instrText>
          </w:r>
          <w:r>
            <w:rPr>
              <w:rFonts w:hint="eastAsia" w:cs="黑体"/>
            </w:rPr>
            <w:fldChar w:fldCharType="separate"/>
          </w:r>
          <w:r>
            <w:rPr>
              <w:rFonts w:hint="eastAsia" w:cs="黑体"/>
            </w:rPr>
            <w:t>16</w:t>
          </w:r>
          <w:r>
            <w:rPr>
              <w:rFonts w:hint="eastAsia" w:cs="黑体"/>
            </w:rPr>
            <w:fldChar w:fldCharType="end"/>
          </w:r>
          <w:r>
            <w:rPr>
              <w:rFonts w:hint="eastAsia" w:cs="黑体"/>
            </w:rPr>
            <w:fldChar w:fldCharType="end"/>
          </w:r>
        </w:p>
        <w:p w14:paraId="1236246C">
          <w:pPr>
            <w:pStyle w:val="14"/>
            <w:tabs>
              <w:tab w:val="right" w:leader="dot" w:pos="8306"/>
              <w:tab w:val="clear" w:pos="8296"/>
            </w:tabs>
            <w:rPr>
              <w:rFonts w:hint="eastAsia" w:cs="黑体"/>
            </w:rPr>
          </w:pPr>
          <w:r>
            <w:fldChar w:fldCharType="begin"/>
          </w:r>
          <w:r>
            <w:instrText xml:space="preserve"> HYPERLINK \l "_Toc32227" </w:instrText>
          </w:r>
          <w:r>
            <w:fldChar w:fldCharType="separate"/>
          </w:r>
          <w:r>
            <w:rPr>
              <w:rFonts w:hint="eastAsia" w:cs="黑体"/>
              <w:szCs w:val="32"/>
            </w:rPr>
            <w:t>（五）部门预决算差异率</w:t>
          </w:r>
          <w:r>
            <w:rPr>
              <w:rFonts w:hint="eastAsia" w:cs="黑体"/>
            </w:rPr>
            <w:tab/>
          </w:r>
          <w:r>
            <w:rPr>
              <w:rFonts w:hint="eastAsia" w:cs="黑体"/>
            </w:rPr>
            <w:fldChar w:fldCharType="begin"/>
          </w:r>
          <w:r>
            <w:rPr>
              <w:rFonts w:hint="eastAsia" w:cs="黑体"/>
            </w:rPr>
            <w:instrText xml:space="preserve"> PAGEREF _Toc32227 \h </w:instrText>
          </w:r>
          <w:r>
            <w:rPr>
              <w:rFonts w:hint="eastAsia" w:cs="黑体"/>
            </w:rPr>
            <w:fldChar w:fldCharType="separate"/>
          </w:r>
          <w:r>
            <w:rPr>
              <w:rFonts w:hint="eastAsia" w:cs="黑体"/>
            </w:rPr>
            <w:t>16</w:t>
          </w:r>
          <w:r>
            <w:rPr>
              <w:rFonts w:hint="eastAsia" w:cs="黑体"/>
            </w:rPr>
            <w:fldChar w:fldCharType="end"/>
          </w:r>
          <w:r>
            <w:rPr>
              <w:rFonts w:hint="eastAsia" w:cs="黑体"/>
            </w:rPr>
            <w:fldChar w:fldCharType="end"/>
          </w:r>
        </w:p>
        <w:p w14:paraId="42201009">
          <w:pPr>
            <w:pStyle w:val="11"/>
            <w:tabs>
              <w:tab w:val="right" w:leader="dot" w:pos="8306"/>
              <w:tab w:val="clear" w:pos="8296"/>
            </w:tabs>
            <w:rPr>
              <w:rFonts w:hint="eastAsia" w:cs="黑体"/>
            </w:rPr>
          </w:pPr>
          <w:r>
            <w:fldChar w:fldCharType="begin"/>
          </w:r>
          <w:r>
            <w:instrText xml:space="preserve"> HYPERLINK \l "_Toc22501" </w:instrText>
          </w:r>
          <w:r>
            <w:fldChar w:fldCharType="separate"/>
          </w:r>
          <w:r>
            <w:rPr>
              <w:rFonts w:hint="eastAsia" w:cs="黑体"/>
              <w:kern w:val="0"/>
              <w:szCs w:val="32"/>
            </w:rPr>
            <w:t>五、总体评价结论</w:t>
          </w:r>
          <w:r>
            <w:rPr>
              <w:rFonts w:hint="eastAsia" w:cs="黑体"/>
            </w:rPr>
            <w:tab/>
          </w:r>
          <w:r>
            <w:rPr>
              <w:rFonts w:hint="eastAsia" w:cs="黑体"/>
            </w:rPr>
            <w:fldChar w:fldCharType="begin"/>
          </w:r>
          <w:r>
            <w:rPr>
              <w:rFonts w:hint="eastAsia" w:cs="黑体"/>
            </w:rPr>
            <w:instrText xml:space="preserve"> PAGEREF _Toc22501 \h </w:instrText>
          </w:r>
          <w:r>
            <w:rPr>
              <w:rFonts w:hint="eastAsia" w:cs="黑体"/>
            </w:rPr>
            <w:fldChar w:fldCharType="separate"/>
          </w:r>
          <w:r>
            <w:rPr>
              <w:rFonts w:hint="eastAsia" w:cs="黑体"/>
            </w:rPr>
            <w:t>16</w:t>
          </w:r>
          <w:r>
            <w:rPr>
              <w:rFonts w:hint="eastAsia" w:cs="黑体"/>
            </w:rPr>
            <w:fldChar w:fldCharType="end"/>
          </w:r>
          <w:r>
            <w:rPr>
              <w:rFonts w:hint="eastAsia" w:cs="黑体"/>
            </w:rPr>
            <w:fldChar w:fldCharType="end"/>
          </w:r>
        </w:p>
        <w:p w14:paraId="63140A13">
          <w:pPr>
            <w:pStyle w:val="14"/>
            <w:tabs>
              <w:tab w:val="right" w:leader="dot" w:pos="8306"/>
              <w:tab w:val="clear" w:pos="8296"/>
            </w:tabs>
            <w:rPr>
              <w:rFonts w:hint="eastAsia" w:cs="黑体"/>
            </w:rPr>
          </w:pPr>
          <w:r>
            <w:fldChar w:fldCharType="begin"/>
          </w:r>
          <w:r>
            <w:instrText xml:space="preserve"> HYPERLINK \l "_Toc3081" </w:instrText>
          </w:r>
          <w:r>
            <w:fldChar w:fldCharType="separate"/>
          </w:r>
          <w:r>
            <w:rPr>
              <w:rFonts w:hint="eastAsia" w:cs="黑体"/>
              <w:szCs w:val="32"/>
            </w:rPr>
            <w:t>（一）评价得分情况</w:t>
          </w:r>
          <w:r>
            <w:rPr>
              <w:rFonts w:hint="eastAsia" w:cs="黑体"/>
            </w:rPr>
            <w:tab/>
          </w:r>
          <w:r>
            <w:rPr>
              <w:rFonts w:hint="eastAsia" w:cs="黑体"/>
            </w:rPr>
            <w:fldChar w:fldCharType="begin"/>
          </w:r>
          <w:r>
            <w:rPr>
              <w:rFonts w:hint="eastAsia" w:cs="黑体"/>
            </w:rPr>
            <w:instrText xml:space="preserve"> PAGEREF _Toc3081 \h </w:instrText>
          </w:r>
          <w:r>
            <w:rPr>
              <w:rFonts w:hint="eastAsia" w:cs="黑体"/>
            </w:rPr>
            <w:fldChar w:fldCharType="separate"/>
          </w:r>
          <w:r>
            <w:rPr>
              <w:rFonts w:hint="eastAsia" w:cs="黑体"/>
            </w:rPr>
            <w:t>17</w:t>
          </w:r>
          <w:r>
            <w:rPr>
              <w:rFonts w:hint="eastAsia" w:cs="黑体"/>
            </w:rPr>
            <w:fldChar w:fldCharType="end"/>
          </w:r>
          <w:r>
            <w:rPr>
              <w:rFonts w:hint="eastAsia" w:cs="黑体"/>
            </w:rPr>
            <w:fldChar w:fldCharType="end"/>
          </w:r>
        </w:p>
        <w:p w14:paraId="12D36ED2">
          <w:pPr>
            <w:pStyle w:val="14"/>
            <w:tabs>
              <w:tab w:val="right" w:leader="dot" w:pos="8306"/>
              <w:tab w:val="clear" w:pos="8296"/>
            </w:tabs>
            <w:rPr>
              <w:rFonts w:hint="eastAsia" w:cs="黑体"/>
            </w:rPr>
          </w:pPr>
          <w:r>
            <w:fldChar w:fldCharType="begin"/>
          </w:r>
          <w:r>
            <w:instrText xml:space="preserve"> HYPERLINK \l "_Toc28113" </w:instrText>
          </w:r>
          <w:r>
            <w:fldChar w:fldCharType="separate"/>
          </w:r>
          <w:r>
            <w:rPr>
              <w:rFonts w:hint="eastAsia" w:cs="黑体"/>
              <w:szCs w:val="32"/>
            </w:rPr>
            <w:t>（二）存在的问题及原因分析</w:t>
          </w:r>
          <w:r>
            <w:rPr>
              <w:rFonts w:hint="eastAsia" w:cs="黑体"/>
            </w:rPr>
            <w:tab/>
          </w:r>
          <w:r>
            <w:rPr>
              <w:rFonts w:hint="eastAsia" w:cs="黑体"/>
            </w:rPr>
            <w:fldChar w:fldCharType="begin"/>
          </w:r>
          <w:r>
            <w:rPr>
              <w:rFonts w:hint="eastAsia" w:cs="黑体"/>
            </w:rPr>
            <w:instrText xml:space="preserve"> PAGEREF _Toc28113 \h </w:instrText>
          </w:r>
          <w:r>
            <w:rPr>
              <w:rFonts w:hint="eastAsia" w:cs="黑体"/>
            </w:rPr>
            <w:fldChar w:fldCharType="separate"/>
          </w:r>
          <w:r>
            <w:rPr>
              <w:rFonts w:hint="eastAsia" w:cs="黑体"/>
            </w:rPr>
            <w:t>17</w:t>
          </w:r>
          <w:r>
            <w:rPr>
              <w:rFonts w:hint="eastAsia" w:cs="黑体"/>
            </w:rPr>
            <w:fldChar w:fldCharType="end"/>
          </w:r>
          <w:r>
            <w:rPr>
              <w:rFonts w:hint="eastAsia" w:cs="黑体"/>
            </w:rPr>
            <w:fldChar w:fldCharType="end"/>
          </w:r>
        </w:p>
        <w:p w14:paraId="544F21B0">
          <w:pPr>
            <w:pStyle w:val="11"/>
            <w:tabs>
              <w:tab w:val="right" w:leader="dot" w:pos="8306"/>
              <w:tab w:val="clear" w:pos="8296"/>
            </w:tabs>
            <w:rPr>
              <w:rFonts w:hint="eastAsia" w:cs="黑体"/>
            </w:rPr>
          </w:pPr>
          <w:r>
            <w:fldChar w:fldCharType="begin"/>
          </w:r>
          <w:r>
            <w:instrText xml:space="preserve"> HYPERLINK \l "_Toc16335" </w:instrText>
          </w:r>
          <w:r>
            <w:fldChar w:fldCharType="separate"/>
          </w:r>
          <w:r>
            <w:rPr>
              <w:rFonts w:hint="eastAsia" w:cs="黑体"/>
              <w:kern w:val="0"/>
              <w:szCs w:val="32"/>
            </w:rPr>
            <w:t>六、措施建议</w:t>
          </w:r>
          <w:r>
            <w:rPr>
              <w:rFonts w:hint="eastAsia" w:cs="黑体"/>
            </w:rPr>
            <w:tab/>
          </w:r>
          <w:r>
            <w:rPr>
              <w:rFonts w:hint="eastAsia" w:cs="黑体"/>
            </w:rPr>
            <w:t>1</w:t>
          </w:r>
          <w:r>
            <w:rPr>
              <w:rFonts w:hint="eastAsia" w:cs="黑体"/>
            </w:rPr>
            <w:fldChar w:fldCharType="end"/>
          </w:r>
          <w:r>
            <w:rPr>
              <w:rFonts w:hint="eastAsia" w:cs="黑体"/>
            </w:rPr>
            <w:t>9</w:t>
          </w:r>
        </w:p>
        <w:p w14:paraId="7ACC4E00">
          <w:pPr>
            <w:pStyle w:val="11"/>
            <w:tabs>
              <w:tab w:val="right" w:leader="dot" w:pos="8306"/>
              <w:tab w:val="clear" w:pos="8296"/>
            </w:tabs>
            <w:rPr>
              <w:rFonts w:hint="eastAsia"/>
            </w:rPr>
          </w:pPr>
          <w:r>
            <w:fldChar w:fldCharType="begin"/>
          </w:r>
          <w:r>
            <w:instrText xml:space="preserve"> HYPERLINK \l "_Toc19973" </w:instrText>
          </w:r>
          <w:r>
            <w:fldChar w:fldCharType="separate"/>
          </w:r>
          <w:r>
            <w:rPr>
              <w:rFonts w:hint="eastAsia" w:cs="黑体"/>
              <w:kern w:val="0"/>
              <w:szCs w:val="32"/>
            </w:rPr>
            <w:t>七、附件</w:t>
          </w:r>
          <w:r>
            <w:rPr>
              <w:rFonts w:hint="eastAsia" w:cs="黑体"/>
            </w:rPr>
            <w:tab/>
          </w:r>
          <w:r>
            <w:rPr>
              <w:rFonts w:hint="eastAsia" w:cs="黑体"/>
            </w:rPr>
            <w:t>2</w:t>
          </w:r>
          <w:r>
            <w:rPr>
              <w:rFonts w:hint="eastAsia" w:cs="黑体"/>
            </w:rPr>
            <w:fldChar w:fldCharType="end"/>
          </w:r>
          <w:r>
            <w:rPr>
              <w:rFonts w:hint="eastAsia" w:cs="黑体"/>
            </w:rPr>
            <w:t>1</w:t>
          </w:r>
        </w:p>
        <w:p w14:paraId="0AD959E1">
          <w:pPr>
            <w:adjustRightInd w:val="0"/>
            <w:snapToGrid w:val="0"/>
            <w:spacing w:line="540" w:lineRule="exact"/>
            <w:ind w:left="420" w:leftChars="200" w:firstLine="420" w:firstLineChars="200"/>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黑体" w:hAnsi="黑体" w:eastAsia="黑体" w:cs="黑体"/>
              <w:szCs w:val="28"/>
            </w:rPr>
            <w:fldChar w:fldCharType="end"/>
          </w:r>
        </w:p>
      </w:sdtContent>
    </w:sdt>
    <w:p w14:paraId="4F59B43A">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2024年度北京石景山区人民法院</w:t>
      </w:r>
    </w:p>
    <w:p w14:paraId="3F63E458">
      <w:pPr>
        <w:spacing w:line="560" w:lineRule="exact"/>
        <w:jc w:val="center"/>
        <w:rPr>
          <w:rFonts w:ascii="仿宋_GB2312"/>
          <w:szCs w:val="30"/>
        </w:rPr>
      </w:pPr>
      <w:r>
        <w:rPr>
          <w:rFonts w:hint="eastAsia" w:ascii="方正小标宋简体" w:eastAsia="方正小标宋简体"/>
          <w:sz w:val="36"/>
          <w:szCs w:val="36"/>
        </w:rPr>
        <w:t>部门整体绩效评价报告</w:t>
      </w:r>
    </w:p>
    <w:p w14:paraId="763BE48C">
      <w:pPr>
        <w:spacing w:line="600" w:lineRule="exact"/>
        <w:ind w:firstLine="640" w:firstLineChars="200"/>
        <w:outlineLvl w:val="0"/>
        <w:rPr>
          <w:rFonts w:hint="eastAsia" w:ascii="黑体" w:hAnsi="黑体" w:eastAsia="黑体" w:cs="宋体"/>
          <w:color w:val="000000"/>
          <w:kern w:val="0"/>
          <w:sz w:val="32"/>
          <w:szCs w:val="32"/>
        </w:rPr>
      </w:pPr>
      <w:bookmarkStart w:id="0" w:name="_Toc22386"/>
      <w:r>
        <w:rPr>
          <w:rFonts w:hint="eastAsia" w:ascii="黑体" w:hAnsi="黑体" w:eastAsia="黑体" w:cs="宋体"/>
          <w:color w:val="000000"/>
          <w:kern w:val="0"/>
          <w:sz w:val="32"/>
          <w:szCs w:val="32"/>
        </w:rPr>
        <w:t>一、部门概况</w:t>
      </w:r>
      <w:bookmarkEnd w:id="0"/>
    </w:p>
    <w:p w14:paraId="72BBD43B">
      <w:pPr>
        <w:spacing w:line="600" w:lineRule="exact"/>
        <w:ind w:firstLine="640" w:firstLineChars="200"/>
        <w:outlineLvl w:val="1"/>
        <w:rPr>
          <w:rFonts w:ascii="楷体_GB2312" w:eastAsia="楷体_GB2312"/>
          <w:sz w:val="32"/>
          <w:szCs w:val="32"/>
        </w:rPr>
      </w:pPr>
      <w:bookmarkStart w:id="1" w:name="_Toc25937"/>
      <w:bookmarkStart w:id="2" w:name="_Toc24732"/>
      <w:r>
        <w:rPr>
          <w:rFonts w:hint="eastAsia" w:ascii="楷体_GB2312" w:eastAsia="楷体_GB2312"/>
          <w:sz w:val="32"/>
          <w:szCs w:val="32"/>
        </w:rPr>
        <w:t>（一）机构设置及职责工作任务情况</w:t>
      </w:r>
      <w:bookmarkEnd w:id="1"/>
      <w:bookmarkEnd w:id="2"/>
    </w:p>
    <w:p w14:paraId="2AC9C190">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北京市石景山区人民法院（以下简称“石景山区人民法院”）包括北京市石景山区人民法院本级、北京市石景山区人民法院综合事务中心，北京市石景山区人民法院本级单位性质为行政单位，北京市石景山区人民法院综合事务中心为公益一类事业单位。北京市石景山区人民法院本级共含内设机构数量12个，分别为政治部（机关党委、机关纪委）、综合办公室、立案庭（诉讼服务中心）、刑事审判庭、民事审判一庭、民事审判二庭、行政审判庭（知识产权审判庭）、综合审判庭、执行局、审判管理办公室（研究室）、司法警察大队、五里坨人民法庭。</w:t>
      </w:r>
    </w:p>
    <w:p w14:paraId="19137AF8">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石景山区人民法院作为国家审判机关，在本辖区内依法独立行使审判权，审判工作受北京市高级人民法院、北京市第一中级人民法院的监督、指导，并对石景山区人民代表大会及其常务委员会负责并报告工作。其主要职责如下：依照法律规定，审判本辖区内由石景山区人民法院管辖的刑事、民事、行政等第一审案件；受理和审查各类告诉、申诉案件，处理来信来访，对其中确有错误的已发生法律效力的判决、裁定根据审判监督程序进行再审；依法行使司法执行权和司法决定权；按照干部管理权限管理石景山区人民法院的法官、执行员、书记员、司法警察及司法行政人员；负责石景山区人民法院党的思想、组织、作风建设工作，负责石景山区人民法院群团工作；负责石景山区人民法院的监察工作；承办其他应由石景山区人民法院负责的工作。</w:t>
      </w:r>
    </w:p>
    <w:p w14:paraId="1B6144C7">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石景山区人民法院坚持以习近平新时代中国特色社会主义思想为指导，学习贯彻党的二十届三中全会精神热潮，举办学习贯彻党的二十届三中全会精神专题培训班、研讨班，全面深入领会精神实质和实践要求。认真贯彻政法工作条例，严格落实重大事项请示报告制度，坚决执行上级党委决策部署。</w:t>
      </w:r>
    </w:p>
    <w:p w14:paraId="7D98411C">
      <w:pPr>
        <w:spacing w:line="600" w:lineRule="exact"/>
        <w:ind w:firstLine="640" w:firstLineChars="200"/>
        <w:outlineLvl w:val="1"/>
        <w:rPr>
          <w:rFonts w:ascii="楷体_GB2312" w:eastAsia="楷体_GB2312"/>
          <w:sz w:val="32"/>
          <w:szCs w:val="32"/>
        </w:rPr>
      </w:pPr>
      <w:bookmarkStart w:id="3" w:name="_Toc763"/>
      <w:bookmarkStart w:id="4" w:name="_Toc20769"/>
      <w:r>
        <w:rPr>
          <w:rFonts w:hint="eastAsia" w:ascii="楷体_GB2312" w:eastAsia="楷体_GB2312"/>
          <w:sz w:val="32"/>
          <w:szCs w:val="32"/>
        </w:rPr>
        <w:t>（二）部门整体绩效目标设立情况</w:t>
      </w:r>
      <w:bookmarkEnd w:id="3"/>
      <w:bookmarkEnd w:id="4"/>
    </w:p>
    <w:p w14:paraId="5506BF90">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2024年，石景山区人民法院依据部门职能、年度工作任务和工作重点设置了部门绩效目标，主要内容如下：北京市石景山区人民法院的职责是依照法律规定，审判本辖区内由区人民法院管辖的刑事、民事、行政等第一审案件；受理和审查各类告诉、申诉案件，处理来信来访，对其中确有错误的已发生法律效力的判决、裁定根据审判监督程序进行再审；依法行使司法执行权和司法决定权；按照干部管理权限管理本院的法官、执行员、书记员、司法警察及司法行政人员；承办其他应由本院负责的工作等，确保在本辖区内依法独立行使审判权，为人民群众提供优质高效的司法服务，促进石景山区司法事业科学发展。</w:t>
      </w:r>
    </w:p>
    <w:p w14:paraId="7EEFE2D5">
      <w:pPr>
        <w:spacing w:after="156" w:afterLines="50"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石景山区人民法院在对2024年度部门绩效目标分解细化的基础上，进一步设置了部门绩效指标，具体如下:</w:t>
      </w:r>
    </w:p>
    <w:p w14:paraId="53DDF851">
      <w:pPr>
        <w:adjustRightInd w:val="0"/>
        <w:snapToGrid w:val="0"/>
        <w:spacing w:after="156" w:afterLines="50"/>
        <w:jc w:val="center"/>
        <w:rPr>
          <w:rFonts w:hint="eastAsia" w:ascii="宋体" w:hAnsi="宋体"/>
          <w:b/>
          <w:sz w:val="24"/>
        </w:rPr>
      </w:pPr>
      <w:r>
        <w:rPr>
          <w:rFonts w:hint="eastAsia" w:ascii="宋体" w:hAnsi="宋体"/>
          <w:b/>
          <w:sz w:val="24"/>
        </w:rPr>
        <w:t>表1</w:t>
      </w:r>
      <w:r>
        <w:rPr>
          <w:rFonts w:ascii="宋体" w:hAnsi="宋体"/>
          <w:b/>
          <w:sz w:val="24"/>
        </w:rPr>
        <w:t xml:space="preserve"> 202</w:t>
      </w:r>
      <w:r>
        <w:rPr>
          <w:rFonts w:hint="eastAsia" w:ascii="宋体" w:hAnsi="宋体"/>
          <w:b/>
          <w:sz w:val="24"/>
        </w:rPr>
        <w:t>4</w:t>
      </w:r>
      <w:r>
        <w:rPr>
          <w:rFonts w:ascii="宋体" w:hAnsi="宋体"/>
          <w:b/>
          <w:sz w:val="24"/>
        </w:rPr>
        <w:t>年度</w:t>
      </w:r>
      <w:r>
        <w:rPr>
          <w:rFonts w:hint="eastAsia" w:ascii="宋体" w:hAnsi="宋体"/>
          <w:b/>
          <w:sz w:val="24"/>
        </w:rPr>
        <w:t>石景山区人民法院</w:t>
      </w:r>
      <w:r>
        <w:rPr>
          <w:rFonts w:ascii="宋体" w:hAnsi="宋体"/>
          <w:b/>
          <w:sz w:val="24"/>
        </w:rPr>
        <w:t>部门绩效指标设置情况</w:t>
      </w:r>
    </w:p>
    <w:tbl>
      <w:tblPr>
        <w:tblStyle w:val="16"/>
        <w:tblW w:w="7873" w:type="dxa"/>
        <w:tblInd w:w="96" w:type="dxa"/>
        <w:tblLayout w:type="autofit"/>
        <w:tblCellMar>
          <w:top w:w="0" w:type="dxa"/>
          <w:left w:w="108" w:type="dxa"/>
          <w:bottom w:w="0" w:type="dxa"/>
          <w:right w:w="108" w:type="dxa"/>
        </w:tblCellMar>
      </w:tblPr>
      <w:tblGrid>
        <w:gridCol w:w="1288"/>
        <w:gridCol w:w="3729"/>
        <w:gridCol w:w="948"/>
        <w:gridCol w:w="960"/>
        <w:gridCol w:w="948"/>
      </w:tblGrid>
      <w:tr w14:paraId="492DB829">
        <w:tblPrEx>
          <w:tblCellMar>
            <w:top w:w="0" w:type="dxa"/>
            <w:left w:w="108" w:type="dxa"/>
            <w:bottom w:w="0" w:type="dxa"/>
            <w:right w:w="108" w:type="dxa"/>
          </w:tblCellMar>
        </w:tblPrEx>
        <w:trPr>
          <w:trHeight w:val="288" w:hRule="atLeast"/>
        </w:trPr>
        <w:tc>
          <w:tcPr>
            <w:tcW w:w="1288" w:type="dxa"/>
            <w:tcBorders>
              <w:top w:val="single" w:color="C0C0C0" w:sz="4" w:space="0"/>
              <w:left w:val="single" w:color="C0C0C0" w:sz="4" w:space="0"/>
              <w:bottom w:val="single" w:color="C0C0C0" w:sz="4" w:space="0"/>
              <w:right w:val="single" w:color="C0C0C0" w:sz="4" w:space="0"/>
            </w:tcBorders>
            <w:shd w:val="clear" w:color="EFF2F7" w:fill="EFF2F7"/>
            <w:vAlign w:val="center"/>
          </w:tcPr>
          <w:p w14:paraId="058C2DD8">
            <w:pPr>
              <w:widowControl/>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活动</w:t>
            </w:r>
          </w:p>
        </w:tc>
        <w:tc>
          <w:tcPr>
            <w:tcW w:w="3729" w:type="dxa"/>
            <w:tcBorders>
              <w:top w:val="single" w:color="C0C0C0" w:sz="4" w:space="0"/>
              <w:left w:val="single" w:color="C0C0C0" w:sz="4" w:space="0"/>
              <w:bottom w:val="single" w:color="C0C0C0" w:sz="4" w:space="0"/>
              <w:right w:val="single" w:color="C0C0C0" w:sz="4" w:space="0"/>
            </w:tcBorders>
            <w:shd w:val="clear" w:color="EFF2F7" w:fill="EFF2F7"/>
            <w:vAlign w:val="center"/>
          </w:tcPr>
          <w:p w14:paraId="6DC778F4">
            <w:pPr>
              <w:widowControl/>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绩效指标</w:t>
            </w:r>
          </w:p>
        </w:tc>
        <w:tc>
          <w:tcPr>
            <w:tcW w:w="948" w:type="dxa"/>
            <w:tcBorders>
              <w:top w:val="single" w:color="C0C0C0" w:sz="4" w:space="0"/>
              <w:left w:val="single" w:color="C0C0C0" w:sz="4" w:space="0"/>
              <w:bottom w:val="single" w:color="C0C0C0" w:sz="4" w:space="0"/>
              <w:right w:val="single" w:color="C0C0C0" w:sz="4" w:space="0"/>
            </w:tcBorders>
            <w:shd w:val="clear" w:color="EFF2F7" w:fill="EFF2F7"/>
            <w:vAlign w:val="center"/>
          </w:tcPr>
          <w:p w14:paraId="18781F68">
            <w:pPr>
              <w:widowControl/>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指标性质</w:t>
            </w:r>
          </w:p>
        </w:tc>
        <w:tc>
          <w:tcPr>
            <w:tcW w:w="960" w:type="dxa"/>
            <w:tcBorders>
              <w:top w:val="single" w:color="C0C0C0" w:sz="4" w:space="0"/>
              <w:left w:val="single" w:color="C0C0C0" w:sz="4" w:space="0"/>
              <w:bottom w:val="single" w:color="C0C0C0" w:sz="4" w:space="0"/>
              <w:right w:val="single" w:color="C0C0C0" w:sz="4" w:space="0"/>
            </w:tcBorders>
            <w:shd w:val="clear" w:color="EFF2F7" w:fill="EFF2F7"/>
            <w:vAlign w:val="center"/>
          </w:tcPr>
          <w:p w14:paraId="53598882">
            <w:pPr>
              <w:widowControl/>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指标值</w:t>
            </w:r>
          </w:p>
        </w:tc>
        <w:tc>
          <w:tcPr>
            <w:tcW w:w="948" w:type="dxa"/>
            <w:tcBorders>
              <w:top w:val="single" w:color="C0C0C0" w:sz="4" w:space="0"/>
              <w:left w:val="single" w:color="C0C0C0" w:sz="4" w:space="0"/>
              <w:bottom w:val="single" w:color="C0C0C0" w:sz="4" w:space="0"/>
              <w:right w:val="single" w:color="C0C0C0" w:sz="4" w:space="0"/>
            </w:tcBorders>
            <w:shd w:val="clear" w:color="EFF2F7" w:fill="EFF2F7"/>
            <w:vAlign w:val="center"/>
          </w:tcPr>
          <w:p w14:paraId="2CD6D81E">
            <w:pPr>
              <w:widowControl/>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度量单位</w:t>
            </w:r>
          </w:p>
        </w:tc>
      </w:tr>
      <w:tr w14:paraId="69CD1851">
        <w:tblPrEx>
          <w:tblCellMar>
            <w:top w:w="0" w:type="dxa"/>
            <w:left w:w="108" w:type="dxa"/>
            <w:bottom w:w="0" w:type="dxa"/>
            <w:right w:w="108" w:type="dxa"/>
          </w:tblCellMar>
        </w:tblPrEx>
        <w:trPr>
          <w:trHeight w:val="288" w:hRule="atLeast"/>
        </w:trPr>
        <w:tc>
          <w:tcPr>
            <w:tcW w:w="1288" w:type="dxa"/>
            <w:vMerge w:val="restart"/>
            <w:tcBorders>
              <w:top w:val="single" w:color="C0C0C0" w:sz="4" w:space="0"/>
              <w:left w:val="single" w:color="C0C0C0" w:sz="4" w:space="0"/>
              <w:bottom w:val="single" w:color="C0C0C0" w:sz="4" w:space="0"/>
              <w:right w:val="single" w:color="C0C0C0" w:sz="4" w:space="0"/>
            </w:tcBorders>
            <w:shd w:val="clear" w:color="FFFFFF" w:fill="auto"/>
            <w:vAlign w:val="center"/>
          </w:tcPr>
          <w:p w14:paraId="79FEDEBF">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“两庭”建设</w:t>
            </w:r>
          </w:p>
        </w:tc>
        <w:tc>
          <w:tcPr>
            <w:tcW w:w="3729"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41B44E22">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产出指标数量指标购置业务装备</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3D2634DC">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7DC6B2D6">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50</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4AC7B08E">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台（套）</w:t>
            </w:r>
          </w:p>
        </w:tc>
      </w:tr>
      <w:tr w14:paraId="4764AA4E">
        <w:tblPrEx>
          <w:tblCellMar>
            <w:top w:w="0" w:type="dxa"/>
            <w:left w:w="108" w:type="dxa"/>
            <w:bottom w:w="0" w:type="dxa"/>
            <w:right w:w="108" w:type="dxa"/>
          </w:tblCellMar>
        </w:tblPrEx>
        <w:trPr>
          <w:trHeight w:val="288" w:hRule="atLeast"/>
        </w:trPr>
        <w:tc>
          <w:tcPr>
            <w:tcW w:w="1288"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14:paraId="7C2AC85E">
            <w:pPr>
              <w:jc w:val="center"/>
              <w:rPr>
                <w:rFonts w:hint="eastAsia" w:ascii="宋体" w:hAnsi="宋体" w:cs="宋体"/>
                <w:color w:val="000000"/>
                <w:sz w:val="18"/>
                <w:szCs w:val="18"/>
              </w:rPr>
            </w:pPr>
          </w:p>
        </w:tc>
        <w:tc>
          <w:tcPr>
            <w:tcW w:w="3729"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1055C266">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产出指标数量指标完成维修工作</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450F8D75">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00B2A982">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10</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611D9832">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项</w:t>
            </w:r>
          </w:p>
        </w:tc>
      </w:tr>
      <w:tr w14:paraId="0008AB73">
        <w:tblPrEx>
          <w:tblCellMar>
            <w:top w:w="0" w:type="dxa"/>
            <w:left w:w="108" w:type="dxa"/>
            <w:bottom w:w="0" w:type="dxa"/>
            <w:right w:w="108" w:type="dxa"/>
          </w:tblCellMar>
        </w:tblPrEx>
        <w:trPr>
          <w:trHeight w:val="288" w:hRule="atLeast"/>
        </w:trPr>
        <w:tc>
          <w:tcPr>
            <w:tcW w:w="1288"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14:paraId="7BE6461A">
            <w:pPr>
              <w:jc w:val="center"/>
              <w:rPr>
                <w:rFonts w:hint="eastAsia" w:ascii="宋体" w:hAnsi="宋体" w:cs="宋体"/>
                <w:color w:val="000000"/>
                <w:sz w:val="18"/>
                <w:szCs w:val="18"/>
              </w:rPr>
            </w:pPr>
          </w:p>
        </w:tc>
        <w:tc>
          <w:tcPr>
            <w:tcW w:w="3729"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4C1C567F">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产出指标数量指标租赁办公区数量</w:t>
            </w:r>
          </w:p>
        </w:tc>
        <w:tc>
          <w:tcPr>
            <w:tcW w:w="948" w:type="dxa"/>
            <w:tcBorders>
              <w:top w:val="single" w:color="C0C0C0" w:sz="4" w:space="0"/>
              <w:left w:val="single" w:color="C0C0C0" w:sz="4" w:space="0"/>
              <w:bottom w:val="single" w:color="C0C0C0" w:sz="4" w:space="0"/>
              <w:right w:val="single" w:color="C0C0C0" w:sz="4" w:space="0"/>
            </w:tcBorders>
            <w:shd w:val="clear" w:color="FFFFFF" w:fill="auto"/>
          </w:tcPr>
          <w:p w14:paraId="762F1422">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tcPr>
          <w:p w14:paraId="07245FEE">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2</w:t>
            </w:r>
          </w:p>
        </w:tc>
        <w:tc>
          <w:tcPr>
            <w:tcW w:w="948" w:type="dxa"/>
            <w:tcBorders>
              <w:top w:val="single" w:color="C0C0C0" w:sz="4" w:space="0"/>
              <w:left w:val="single" w:color="C0C0C0" w:sz="4" w:space="0"/>
              <w:bottom w:val="single" w:color="C0C0C0" w:sz="4" w:space="0"/>
              <w:right w:val="single" w:color="C0C0C0" w:sz="4" w:space="0"/>
            </w:tcBorders>
            <w:shd w:val="clear" w:color="FFFFFF" w:fill="auto"/>
          </w:tcPr>
          <w:p w14:paraId="1980DF71">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个</w:t>
            </w:r>
          </w:p>
        </w:tc>
      </w:tr>
      <w:tr w14:paraId="19F4338A">
        <w:tblPrEx>
          <w:tblCellMar>
            <w:top w:w="0" w:type="dxa"/>
            <w:left w:w="108" w:type="dxa"/>
            <w:bottom w:w="0" w:type="dxa"/>
            <w:right w:w="108" w:type="dxa"/>
          </w:tblCellMar>
        </w:tblPrEx>
        <w:trPr>
          <w:trHeight w:val="288" w:hRule="atLeast"/>
        </w:trPr>
        <w:tc>
          <w:tcPr>
            <w:tcW w:w="1288"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14:paraId="67A6137F">
            <w:pPr>
              <w:jc w:val="center"/>
              <w:rPr>
                <w:rFonts w:hint="eastAsia" w:ascii="宋体" w:hAnsi="宋体" w:cs="宋体"/>
                <w:color w:val="000000"/>
                <w:sz w:val="18"/>
                <w:szCs w:val="18"/>
              </w:rPr>
            </w:pPr>
          </w:p>
        </w:tc>
        <w:tc>
          <w:tcPr>
            <w:tcW w:w="3729"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6946DC3B">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产出指标质量指标购置设备使用率</w:t>
            </w:r>
          </w:p>
        </w:tc>
        <w:tc>
          <w:tcPr>
            <w:tcW w:w="948" w:type="dxa"/>
            <w:tcBorders>
              <w:top w:val="single" w:color="C0C0C0" w:sz="4" w:space="0"/>
              <w:left w:val="single" w:color="C0C0C0" w:sz="4" w:space="0"/>
              <w:bottom w:val="single" w:color="C0C0C0" w:sz="4" w:space="0"/>
              <w:right w:val="single" w:color="C0C0C0" w:sz="4" w:space="0"/>
            </w:tcBorders>
            <w:shd w:val="clear" w:color="FFFFFF" w:fill="auto"/>
          </w:tcPr>
          <w:p w14:paraId="5E7BBCE4">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tcPr>
          <w:p w14:paraId="4C0A6187">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95</w:t>
            </w:r>
          </w:p>
        </w:tc>
        <w:tc>
          <w:tcPr>
            <w:tcW w:w="948" w:type="dxa"/>
            <w:tcBorders>
              <w:top w:val="single" w:color="C0C0C0" w:sz="4" w:space="0"/>
              <w:left w:val="single" w:color="C0C0C0" w:sz="4" w:space="0"/>
              <w:bottom w:val="single" w:color="C0C0C0" w:sz="4" w:space="0"/>
              <w:right w:val="single" w:color="C0C0C0" w:sz="4" w:space="0"/>
            </w:tcBorders>
            <w:shd w:val="clear" w:color="FFFFFF" w:fill="auto"/>
          </w:tcPr>
          <w:p w14:paraId="454C44B2">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r>
      <w:tr w14:paraId="1EB0C07B">
        <w:tblPrEx>
          <w:tblCellMar>
            <w:top w:w="0" w:type="dxa"/>
            <w:left w:w="108" w:type="dxa"/>
            <w:bottom w:w="0" w:type="dxa"/>
            <w:right w:w="108" w:type="dxa"/>
          </w:tblCellMar>
        </w:tblPrEx>
        <w:trPr>
          <w:trHeight w:val="288" w:hRule="atLeast"/>
        </w:trPr>
        <w:tc>
          <w:tcPr>
            <w:tcW w:w="1288"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14:paraId="4869E490">
            <w:pPr>
              <w:jc w:val="center"/>
              <w:rPr>
                <w:rFonts w:hint="eastAsia" w:ascii="宋体" w:hAnsi="宋体" w:cs="宋体"/>
                <w:color w:val="000000"/>
                <w:sz w:val="18"/>
                <w:szCs w:val="18"/>
              </w:rPr>
            </w:pPr>
          </w:p>
        </w:tc>
        <w:tc>
          <w:tcPr>
            <w:tcW w:w="3729"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21724154">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产出指标质量指标施工质量合格率</w:t>
            </w:r>
          </w:p>
        </w:tc>
        <w:tc>
          <w:tcPr>
            <w:tcW w:w="948" w:type="dxa"/>
            <w:tcBorders>
              <w:top w:val="single" w:color="C0C0C0" w:sz="4" w:space="0"/>
              <w:left w:val="single" w:color="C0C0C0" w:sz="4" w:space="0"/>
              <w:bottom w:val="single" w:color="C0C0C0" w:sz="4" w:space="0"/>
              <w:right w:val="single" w:color="C0C0C0" w:sz="4" w:space="0"/>
            </w:tcBorders>
            <w:shd w:val="clear" w:color="FFFFFF" w:fill="auto"/>
          </w:tcPr>
          <w:p w14:paraId="37410543">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tcPr>
          <w:p w14:paraId="5473BBB2">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95</w:t>
            </w:r>
          </w:p>
        </w:tc>
        <w:tc>
          <w:tcPr>
            <w:tcW w:w="948" w:type="dxa"/>
            <w:tcBorders>
              <w:top w:val="single" w:color="C0C0C0" w:sz="4" w:space="0"/>
              <w:left w:val="single" w:color="C0C0C0" w:sz="4" w:space="0"/>
              <w:bottom w:val="single" w:color="C0C0C0" w:sz="4" w:space="0"/>
              <w:right w:val="single" w:color="C0C0C0" w:sz="4" w:space="0"/>
            </w:tcBorders>
            <w:shd w:val="clear" w:color="FFFFFF" w:fill="auto"/>
          </w:tcPr>
          <w:p w14:paraId="76F48C21">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r>
      <w:tr w14:paraId="4FE33BCF">
        <w:tblPrEx>
          <w:tblCellMar>
            <w:top w:w="0" w:type="dxa"/>
            <w:left w:w="108" w:type="dxa"/>
            <w:bottom w:w="0" w:type="dxa"/>
            <w:right w:w="108" w:type="dxa"/>
          </w:tblCellMar>
        </w:tblPrEx>
        <w:trPr>
          <w:trHeight w:val="288" w:hRule="atLeast"/>
        </w:trPr>
        <w:tc>
          <w:tcPr>
            <w:tcW w:w="1288"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14:paraId="2C03987A">
            <w:pPr>
              <w:jc w:val="center"/>
              <w:rPr>
                <w:rFonts w:hint="eastAsia" w:ascii="宋体" w:hAnsi="宋体" w:cs="宋体"/>
                <w:color w:val="000000"/>
                <w:sz w:val="18"/>
                <w:szCs w:val="18"/>
              </w:rPr>
            </w:pPr>
          </w:p>
        </w:tc>
        <w:tc>
          <w:tcPr>
            <w:tcW w:w="3729"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20FD4D80">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产出指标时效指标办公业务用房租赁时间</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3092DE6C">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0D6BB48C">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12</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77FA1421">
            <w:pP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月</w:t>
            </w:r>
          </w:p>
        </w:tc>
      </w:tr>
      <w:tr w14:paraId="772088EE">
        <w:tblPrEx>
          <w:tblCellMar>
            <w:top w:w="0" w:type="dxa"/>
            <w:left w:w="108" w:type="dxa"/>
            <w:bottom w:w="0" w:type="dxa"/>
            <w:right w:w="108" w:type="dxa"/>
          </w:tblCellMar>
        </w:tblPrEx>
        <w:trPr>
          <w:trHeight w:val="288" w:hRule="atLeast"/>
        </w:trPr>
        <w:tc>
          <w:tcPr>
            <w:tcW w:w="1288"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14:paraId="7DD4F723">
            <w:pPr>
              <w:jc w:val="center"/>
              <w:rPr>
                <w:rFonts w:hint="eastAsia" w:ascii="宋体" w:hAnsi="宋体" w:cs="宋体"/>
                <w:color w:val="000000"/>
                <w:sz w:val="18"/>
                <w:szCs w:val="18"/>
              </w:rPr>
            </w:pPr>
          </w:p>
        </w:tc>
        <w:tc>
          <w:tcPr>
            <w:tcW w:w="3729"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6E19EC5A">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产出指标质量指标符合相关租赁合同、改善办公环境，满足诉调对接、法庭审判、案件执行、诉讼服务等工作需求</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738D3599">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定性</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0B4E26FF">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优良中低差</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503AB437">
            <w:pPr>
              <w:rPr>
                <w:rFonts w:hint="eastAsia" w:ascii="宋体" w:hAnsi="宋体" w:cs="宋体"/>
                <w:color w:val="000000"/>
                <w:kern w:val="0"/>
                <w:sz w:val="18"/>
                <w:szCs w:val="18"/>
                <w:lang w:bidi="ar"/>
              </w:rPr>
            </w:pPr>
          </w:p>
        </w:tc>
      </w:tr>
      <w:tr w14:paraId="7238E0FA">
        <w:tblPrEx>
          <w:tblCellMar>
            <w:top w:w="0" w:type="dxa"/>
            <w:left w:w="108" w:type="dxa"/>
            <w:bottom w:w="0" w:type="dxa"/>
            <w:right w:w="108" w:type="dxa"/>
          </w:tblCellMar>
        </w:tblPrEx>
        <w:trPr>
          <w:trHeight w:val="432" w:hRule="atLeast"/>
        </w:trPr>
        <w:tc>
          <w:tcPr>
            <w:tcW w:w="1288"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14:paraId="48F35BE6">
            <w:pPr>
              <w:jc w:val="center"/>
              <w:rPr>
                <w:rFonts w:hint="eastAsia" w:ascii="宋体" w:hAnsi="宋体" w:cs="宋体"/>
                <w:color w:val="000000"/>
                <w:sz w:val="18"/>
                <w:szCs w:val="18"/>
              </w:rPr>
            </w:pPr>
          </w:p>
        </w:tc>
        <w:tc>
          <w:tcPr>
            <w:tcW w:w="3729"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3B195DEC">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效益指标可持续影响指标提升公共服务能力</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5734F8A1">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定性</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263326C9">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优良中低差</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1363AEE2">
            <w:pPr>
              <w:rPr>
                <w:rFonts w:hint="eastAsia" w:ascii="宋体" w:hAnsi="宋体" w:cs="宋体"/>
                <w:color w:val="000000"/>
                <w:sz w:val="18"/>
                <w:szCs w:val="18"/>
              </w:rPr>
            </w:pPr>
          </w:p>
        </w:tc>
      </w:tr>
      <w:tr w14:paraId="1886116E">
        <w:tblPrEx>
          <w:tblCellMar>
            <w:top w:w="0" w:type="dxa"/>
            <w:left w:w="108" w:type="dxa"/>
            <w:bottom w:w="0" w:type="dxa"/>
            <w:right w:w="108" w:type="dxa"/>
          </w:tblCellMar>
        </w:tblPrEx>
        <w:trPr>
          <w:trHeight w:val="288" w:hRule="atLeast"/>
        </w:trPr>
        <w:tc>
          <w:tcPr>
            <w:tcW w:w="1288" w:type="dxa"/>
            <w:vMerge w:val="restart"/>
            <w:tcBorders>
              <w:top w:val="single" w:color="C0C0C0" w:sz="4" w:space="0"/>
              <w:left w:val="single" w:color="C0C0C0" w:sz="4" w:space="0"/>
              <w:bottom w:val="single" w:color="C0C0C0" w:sz="4" w:space="0"/>
              <w:right w:val="single" w:color="C0C0C0" w:sz="4" w:space="0"/>
            </w:tcBorders>
            <w:shd w:val="clear" w:color="FFFFFF" w:fill="auto"/>
            <w:vAlign w:val="center"/>
          </w:tcPr>
          <w:p w14:paraId="0B1BBE9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案件审判</w:t>
            </w:r>
          </w:p>
        </w:tc>
        <w:tc>
          <w:tcPr>
            <w:tcW w:w="3729" w:type="dxa"/>
            <w:tcBorders>
              <w:top w:val="single" w:color="C0C0C0" w:sz="4" w:space="0"/>
              <w:left w:val="single" w:color="C0C0C0" w:sz="4" w:space="0"/>
              <w:bottom w:val="single" w:color="C0C0C0" w:sz="4" w:space="0"/>
              <w:right w:val="single" w:color="C0C0C0" w:sz="4" w:space="0"/>
            </w:tcBorders>
            <w:shd w:val="clear" w:color="FFFFFF" w:fill="auto"/>
          </w:tcPr>
          <w:p w14:paraId="426BBD16">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产出指标数量指标安检工作量</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3A41D61A">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0ABF6682">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50000</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6BCC5281">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人次</w:t>
            </w:r>
          </w:p>
        </w:tc>
      </w:tr>
      <w:tr w14:paraId="0B1E5140">
        <w:tblPrEx>
          <w:tblCellMar>
            <w:top w:w="0" w:type="dxa"/>
            <w:left w:w="108" w:type="dxa"/>
            <w:bottom w:w="0" w:type="dxa"/>
            <w:right w:w="108" w:type="dxa"/>
          </w:tblCellMar>
        </w:tblPrEx>
        <w:trPr>
          <w:trHeight w:val="432" w:hRule="atLeast"/>
        </w:trPr>
        <w:tc>
          <w:tcPr>
            <w:tcW w:w="1288"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14:paraId="6EB1EE74">
            <w:pPr>
              <w:jc w:val="center"/>
              <w:rPr>
                <w:rFonts w:hint="eastAsia" w:ascii="宋体" w:hAnsi="宋体" w:cs="宋体"/>
                <w:color w:val="000000"/>
                <w:sz w:val="18"/>
                <w:szCs w:val="18"/>
              </w:rPr>
            </w:pPr>
          </w:p>
        </w:tc>
        <w:tc>
          <w:tcPr>
            <w:tcW w:w="3729" w:type="dxa"/>
            <w:tcBorders>
              <w:top w:val="single" w:color="C0C0C0" w:sz="4" w:space="0"/>
              <w:left w:val="single" w:color="C0C0C0" w:sz="4" w:space="0"/>
              <w:bottom w:val="single" w:color="C0C0C0" w:sz="4" w:space="0"/>
              <w:right w:val="single" w:color="C0C0C0" w:sz="4" w:space="0"/>
            </w:tcBorders>
            <w:shd w:val="clear" w:color="FFFFFF" w:fill="auto"/>
          </w:tcPr>
          <w:p w14:paraId="3B15D532">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产出指标数量指标购买媒体数据服务项目</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4FA0BF26">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64D1E26E">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62E876B1">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项</w:t>
            </w:r>
          </w:p>
        </w:tc>
      </w:tr>
      <w:tr w14:paraId="1AD79897">
        <w:tblPrEx>
          <w:tblCellMar>
            <w:top w:w="0" w:type="dxa"/>
            <w:left w:w="108" w:type="dxa"/>
            <w:bottom w:w="0" w:type="dxa"/>
            <w:right w:w="108" w:type="dxa"/>
          </w:tblCellMar>
        </w:tblPrEx>
        <w:trPr>
          <w:trHeight w:val="432" w:hRule="atLeast"/>
        </w:trPr>
        <w:tc>
          <w:tcPr>
            <w:tcW w:w="1288"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14:paraId="4F900538">
            <w:pPr>
              <w:jc w:val="center"/>
              <w:rPr>
                <w:rFonts w:hint="eastAsia" w:ascii="宋体" w:hAnsi="宋体" w:cs="宋体"/>
                <w:color w:val="000000"/>
                <w:sz w:val="18"/>
                <w:szCs w:val="18"/>
              </w:rPr>
            </w:pPr>
          </w:p>
        </w:tc>
        <w:tc>
          <w:tcPr>
            <w:tcW w:w="3729" w:type="dxa"/>
            <w:tcBorders>
              <w:top w:val="single" w:color="C0C0C0" w:sz="4" w:space="0"/>
              <w:left w:val="single" w:color="C0C0C0" w:sz="4" w:space="0"/>
              <w:bottom w:val="single" w:color="C0C0C0" w:sz="4" w:space="0"/>
              <w:right w:val="single" w:color="C0C0C0" w:sz="4" w:space="0"/>
            </w:tcBorders>
            <w:shd w:val="clear" w:color="FFFFFF" w:fill="auto"/>
          </w:tcPr>
          <w:p w14:paraId="6325072A">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产出指标数量指标购买知网数据库项目</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1E90BD96">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31C5E97A">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109AB9D3">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项</w:t>
            </w:r>
          </w:p>
        </w:tc>
      </w:tr>
      <w:tr w14:paraId="462B9E06">
        <w:tblPrEx>
          <w:tblCellMar>
            <w:top w:w="0" w:type="dxa"/>
            <w:left w:w="108" w:type="dxa"/>
            <w:bottom w:w="0" w:type="dxa"/>
            <w:right w:w="108" w:type="dxa"/>
          </w:tblCellMar>
        </w:tblPrEx>
        <w:trPr>
          <w:trHeight w:val="432" w:hRule="atLeast"/>
        </w:trPr>
        <w:tc>
          <w:tcPr>
            <w:tcW w:w="1288"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14:paraId="0F3D73BA">
            <w:pPr>
              <w:jc w:val="center"/>
              <w:rPr>
                <w:rFonts w:hint="eastAsia" w:ascii="宋体" w:hAnsi="宋体" w:cs="宋体"/>
                <w:color w:val="000000"/>
                <w:sz w:val="18"/>
                <w:szCs w:val="18"/>
              </w:rPr>
            </w:pPr>
          </w:p>
        </w:tc>
        <w:tc>
          <w:tcPr>
            <w:tcW w:w="3729" w:type="dxa"/>
            <w:tcBorders>
              <w:top w:val="single" w:color="C0C0C0" w:sz="4" w:space="0"/>
              <w:left w:val="single" w:color="C0C0C0" w:sz="4" w:space="0"/>
              <w:bottom w:val="single" w:color="C0C0C0" w:sz="4" w:space="0"/>
              <w:right w:val="single" w:color="C0C0C0" w:sz="4" w:space="0"/>
            </w:tcBorders>
            <w:shd w:val="clear" w:color="FFFFFF" w:fill="auto"/>
          </w:tcPr>
          <w:p w14:paraId="438D5374">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产出指标数量指标会计、审计、评审服务</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1FC75B6A">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3E0AB5EB">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3BF1CBFE">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个</w:t>
            </w:r>
          </w:p>
        </w:tc>
      </w:tr>
      <w:tr w14:paraId="2F8F17E3">
        <w:tblPrEx>
          <w:tblCellMar>
            <w:top w:w="0" w:type="dxa"/>
            <w:left w:w="108" w:type="dxa"/>
            <w:bottom w:w="0" w:type="dxa"/>
            <w:right w:w="108" w:type="dxa"/>
          </w:tblCellMar>
        </w:tblPrEx>
        <w:trPr>
          <w:trHeight w:val="432" w:hRule="atLeast"/>
        </w:trPr>
        <w:tc>
          <w:tcPr>
            <w:tcW w:w="1288"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14:paraId="135FC97D">
            <w:pPr>
              <w:jc w:val="center"/>
              <w:rPr>
                <w:rFonts w:hint="eastAsia" w:ascii="宋体" w:hAnsi="宋体" w:cs="宋体"/>
                <w:color w:val="000000"/>
                <w:sz w:val="18"/>
                <w:szCs w:val="18"/>
              </w:rPr>
            </w:pPr>
          </w:p>
        </w:tc>
        <w:tc>
          <w:tcPr>
            <w:tcW w:w="3729" w:type="dxa"/>
            <w:tcBorders>
              <w:top w:val="single" w:color="C0C0C0" w:sz="4" w:space="0"/>
              <w:left w:val="single" w:color="C0C0C0" w:sz="4" w:space="0"/>
              <w:bottom w:val="single" w:color="C0C0C0" w:sz="4" w:space="0"/>
              <w:right w:val="single" w:color="C0C0C0" w:sz="4" w:space="0"/>
            </w:tcBorders>
            <w:shd w:val="clear" w:color="FFFFFF" w:fill="auto"/>
          </w:tcPr>
          <w:p w14:paraId="5CC17D66">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产出指标数量指标员额法官人均结案数</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05F4ACB7">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1692A939">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380</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1372A0CA">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件</w:t>
            </w:r>
          </w:p>
        </w:tc>
      </w:tr>
      <w:tr w14:paraId="0F821017">
        <w:tblPrEx>
          <w:tblCellMar>
            <w:top w:w="0" w:type="dxa"/>
            <w:left w:w="108" w:type="dxa"/>
            <w:bottom w:w="0" w:type="dxa"/>
            <w:right w:w="108" w:type="dxa"/>
          </w:tblCellMar>
        </w:tblPrEx>
        <w:trPr>
          <w:trHeight w:val="432" w:hRule="atLeast"/>
        </w:trPr>
        <w:tc>
          <w:tcPr>
            <w:tcW w:w="1288"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14:paraId="2D2BDFD6">
            <w:pPr>
              <w:jc w:val="center"/>
              <w:rPr>
                <w:rFonts w:hint="eastAsia" w:ascii="宋体" w:hAnsi="宋体" w:cs="宋体"/>
                <w:color w:val="000000"/>
                <w:sz w:val="18"/>
                <w:szCs w:val="18"/>
              </w:rPr>
            </w:pPr>
          </w:p>
        </w:tc>
        <w:tc>
          <w:tcPr>
            <w:tcW w:w="3729"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0736D423">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产出指标质量指标发回重改率</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5D74E974">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692CDD75">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7938B4EE">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r>
      <w:tr w14:paraId="01A487C8">
        <w:tblPrEx>
          <w:tblCellMar>
            <w:top w:w="0" w:type="dxa"/>
            <w:left w:w="108" w:type="dxa"/>
            <w:bottom w:w="0" w:type="dxa"/>
            <w:right w:w="108" w:type="dxa"/>
          </w:tblCellMar>
        </w:tblPrEx>
        <w:trPr>
          <w:trHeight w:val="432" w:hRule="atLeast"/>
        </w:trPr>
        <w:tc>
          <w:tcPr>
            <w:tcW w:w="1288"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14:paraId="6A577875">
            <w:pPr>
              <w:jc w:val="center"/>
              <w:rPr>
                <w:rFonts w:hint="eastAsia" w:ascii="宋体" w:hAnsi="宋体" w:cs="宋体"/>
                <w:color w:val="000000"/>
                <w:sz w:val="18"/>
                <w:szCs w:val="18"/>
              </w:rPr>
            </w:pPr>
          </w:p>
        </w:tc>
        <w:tc>
          <w:tcPr>
            <w:tcW w:w="3729"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38B515FE">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满意度指标服务对象满意度指标办公人员满意度</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161983EC">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6BE6B59F">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95</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0CD27A25">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w:t>
            </w:r>
          </w:p>
        </w:tc>
      </w:tr>
      <w:tr w14:paraId="5EC9D09D">
        <w:tblPrEx>
          <w:tblCellMar>
            <w:top w:w="0" w:type="dxa"/>
            <w:left w:w="108" w:type="dxa"/>
            <w:bottom w:w="0" w:type="dxa"/>
            <w:right w:w="108" w:type="dxa"/>
          </w:tblCellMar>
        </w:tblPrEx>
        <w:trPr>
          <w:trHeight w:val="288" w:hRule="atLeast"/>
        </w:trPr>
        <w:tc>
          <w:tcPr>
            <w:tcW w:w="1288"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14:paraId="4FFB281A">
            <w:pPr>
              <w:jc w:val="center"/>
              <w:rPr>
                <w:rFonts w:hint="eastAsia" w:ascii="宋体" w:hAnsi="宋体" w:cs="宋体"/>
                <w:color w:val="000000"/>
                <w:sz w:val="18"/>
                <w:szCs w:val="18"/>
              </w:rPr>
            </w:pPr>
          </w:p>
        </w:tc>
        <w:tc>
          <w:tcPr>
            <w:tcW w:w="3729"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713E5F69">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产出指标质量指标安检工作符合相关规定标准</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00DF238D">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定性</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0B639AFD">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优良中低差</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073D8952">
            <w:pPr>
              <w:rPr>
                <w:rFonts w:hint="eastAsia" w:ascii="宋体" w:hAnsi="宋体" w:cs="宋体"/>
                <w:color w:val="000000"/>
                <w:sz w:val="18"/>
                <w:szCs w:val="18"/>
              </w:rPr>
            </w:pPr>
          </w:p>
        </w:tc>
      </w:tr>
      <w:tr w14:paraId="75ADFCAB">
        <w:tblPrEx>
          <w:tblCellMar>
            <w:top w:w="0" w:type="dxa"/>
            <w:left w:w="108" w:type="dxa"/>
            <w:bottom w:w="0" w:type="dxa"/>
            <w:right w:w="108" w:type="dxa"/>
          </w:tblCellMar>
        </w:tblPrEx>
        <w:trPr>
          <w:trHeight w:val="432" w:hRule="atLeast"/>
        </w:trPr>
        <w:tc>
          <w:tcPr>
            <w:tcW w:w="1288"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14:paraId="7F54F39B">
            <w:pPr>
              <w:jc w:val="center"/>
              <w:rPr>
                <w:rFonts w:hint="eastAsia" w:ascii="宋体" w:hAnsi="宋体" w:cs="宋体"/>
                <w:color w:val="000000"/>
                <w:sz w:val="18"/>
                <w:szCs w:val="18"/>
              </w:rPr>
            </w:pPr>
          </w:p>
        </w:tc>
        <w:tc>
          <w:tcPr>
            <w:tcW w:w="3729"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79127E49">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效益指标社会效益指标增加案件审判的透明度，提升办案效率效果，保障法院依法行使职能，维护社会安定稳定及社会公平正义</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5583B5D2">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定性</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38E32A82">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优良中低差</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7DE2824F">
            <w:pPr>
              <w:rPr>
                <w:rFonts w:hint="eastAsia" w:ascii="宋体" w:hAnsi="宋体" w:cs="宋体"/>
                <w:color w:val="000000"/>
                <w:sz w:val="18"/>
                <w:szCs w:val="18"/>
              </w:rPr>
            </w:pPr>
          </w:p>
        </w:tc>
      </w:tr>
      <w:tr w14:paraId="0374F9B2">
        <w:tblPrEx>
          <w:tblCellMar>
            <w:top w:w="0" w:type="dxa"/>
            <w:left w:w="108" w:type="dxa"/>
            <w:bottom w:w="0" w:type="dxa"/>
            <w:right w:w="108" w:type="dxa"/>
          </w:tblCellMar>
        </w:tblPrEx>
        <w:trPr>
          <w:trHeight w:val="288" w:hRule="atLeast"/>
        </w:trPr>
        <w:tc>
          <w:tcPr>
            <w:tcW w:w="1288" w:type="dxa"/>
            <w:vMerge w:val="restart"/>
            <w:tcBorders>
              <w:top w:val="single" w:color="C0C0C0" w:sz="4" w:space="0"/>
              <w:left w:val="single" w:color="C0C0C0" w:sz="4" w:space="0"/>
              <w:bottom w:val="single" w:color="C0C0C0" w:sz="4" w:space="0"/>
              <w:right w:val="single" w:color="C0C0C0" w:sz="4" w:space="0"/>
            </w:tcBorders>
            <w:shd w:val="clear" w:color="FFFFFF" w:fill="auto"/>
            <w:vAlign w:val="center"/>
          </w:tcPr>
          <w:p w14:paraId="6EF31D6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信息化系统建设和运维</w:t>
            </w:r>
          </w:p>
        </w:tc>
        <w:tc>
          <w:tcPr>
            <w:tcW w:w="3729"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7FBC1923">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产出指标数量指标信息化运维项目</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6E1D4561">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73FB8934">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7</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13CB908C">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个</w:t>
            </w:r>
          </w:p>
        </w:tc>
      </w:tr>
      <w:tr w14:paraId="6C8D3511">
        <w:tblPrEx>
          <w:tblCellMar>
            <w:top w:w="0" w:type="dxa"/>
            <w:left w:w="108" w:type="dxa"/>
            <w:bottom w:w="0" w:type="dxa"/>
            <w:right w:w="108" w:type="dxa"/>
          </w:tblCellMar>
        </w:tblPrEx>
        <w:trPr>
          <w:trHeight w:val="288" w:hRule="atLeast"/>
        </w:trPr>
        <w:tc>
          <w:tcPr>
            <w:tcW w:w="1288"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14:paraId="399BC2EF">
            <w:pPr>
              <w:jc w:val="center"/>
              <w:rPr>
                <w:rFonts w:hint="eastAsia" w:ascii="宋体" w:hAnsi="宋体" w:cs="宋体"/>
                <w:color w:val="000000"/>
                <w:sz w:val="18"/>
                <w:szCs w:val="18"/>
              </w:rPr>
            </w:pPr>
          </w:p>
        </w:tc>
        <w:tc>
          <w:tcPr>
            <w:tcW w:w="3729"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2792172E">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产出指标数量指标电路及网络租赁</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2A8FF6B6">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6FF86407">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3</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27225E6D">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条</w:t>
            </w:r>
          </w:p>
        </w:tc>
      </w:tr>
      <w:tr w14:paraId="798FCF1F">
        <w:tblPrEx>
          <w:tblCellMar>
            <w:top w:w="0" w:type="dxa"/>
            <w:left w:w="108" w:type="dxa"/>
            <w:bottom w:w="0" w:type="dxa"/>
            <w:right w:w="108" w:type="dxa"/>
          </w:tblCellMar>
        </w:tblPrEx>
        <w:trPr>
          <w:trHeight w:val="432" w:hRule="atLeast"/>
        </w:trPr>
        <w:tc>
          <w:tcPr>
            <w:tcW w:w="1288"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14:paraId="5442D694">
            <w:pPr>
              <w:jc w:val="center"/>
              <w:rPr>
                <w:rFonts w:hint="eastAsia" w:ascii="宋体" w:hAnsi="宋体" w:cs="宋体"/>
                <w:color w:val="000000"/>
                <w:sz w:val="18"/>
                <w:szCs w:val="18"/>
              </w:rPr>
            </w:pPr>
          </w:p>
        </w:tc>
        <w:tc>
          <w:tcPr>
            <w:tcW w:w="3729"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232ED1F8">
            <w:pPr>
              <w:widowControl/>
              <w:jc w:val="left"/>
              <w:rPr>
                <w:color w:val="000000"/>
                <w:kern w:val="0"/>
                <w:sz w:val="22"/>
                <w:szCs w:val="22"/>
              </w:rPr>
            </w:pPr>
            <w:r>
              <w:rPr>
                <w:rFonts w:hint="eastAsia" w:ascii="宋体" w:hAnsi="宋体" w:cs="宋体"/>
                <w:color w:val="000000"/>
                <w:kern w:val="0"/>
                <w:sz w:val="18"/>
                <w:szCs w:val="18"/>
                <w:lang w:bidi="ar"/>
              </w:rPr>
              <w:t>产出指标时效指标运维保障时间</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5639E7A4">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06786289">
            <w:pPr>
              <w:widowControl/>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12</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5368E115">
            <w:pP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月</w:t>
            </w:r>
          </w:p>
        </w:tc>
      </w:tr>
      <w:tr w14:paraId="4D4B1713">
        <w:tblPrEx>
          <w:tblCellMar>
            <w:top w:w="0" w:type="dxa"/>
            <w:left w:w="108" w:type="dxa"/>
            <w:bottom w:w="0" w:type="dxa"/>
            <w:right w:w="108" w:type="dxa"/>
          </w:tblCellMar>
        </w:tblPrEx>
        <w:trPr>
          <w:trHeight w:val="432" w:hRule="atLeast"/>
        </w:trPr>
        <w:tc>
          <w:tcPr>
            <w:tcW w:w="1288"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14:paraId="0039B33B">
            <w:pPr>
              <w:jc w:val="center"/>
              <w:rPr>
                <w:rFonts w:hint="eastAsia" w:ascii="宋体" w:hAnsi="宋体" w:cs="宋体"/>
                <w:color w:val="000000"/>
                <w:sz w:val="18"/>
                <w:szCs w:val="18"/>
              </w:rPr>
            </w:pPr>
          </w:p>
        </w:tc>
        <w:tc>
          <w:tcPr>
            <w:tcW w:w="3729"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409DA132">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产出指标质量指标租赁网络使用质量达到审判执行业务标准</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7A3DCEEF">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定性</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303891E6">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优良中低差</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0541EDC3">
            <w:pPr>
              <w:rPr>
                <w:rFonts w:hint="eastAsia" w:ascii="宋体" w:hAnsi="宋体" w:cs="宋体"/>
                <w:color w:val="000000"/>
                <w:sz w:val="18"/>
                <w:szCs w:val="18"/>
              </w:rPr>
            </w:pPr>
          </w:p>
        </w:tc>
      </w:tr>
      <w:tr w14:paraId="6DC341D6">
        <w:tblPrEx>
          <w:tblCellMar>
            <w:top w:w="0" w:type="dxa"/>
            <w:left w:w="108" w:type="dxa"/>
            <w:bottom w:w="0" w:type="dxa"/>
            <w:right w:w="108" w:type="dxa"/>
          </w:tblCellMar>
        </w:tblPrEx>
        <w:trPr>
          <w:trHeight w:val="432" w:hRule="atLeast"/>
        </w:trPr>
        <w:tc>
          <w:tcPr>
            <w:tcW w:w="1288" w:type="dxa"/>
            <w:vMerge w:val="continue"/>
            <w:tcBorders>
              <w:top w:val="single" w:color="C0C0C0" w:sz="4" w:space="0"/>
              <w:left w:val="single" w:color="C0C0C0" w:sz="4" w:space="0"/>
              <w:bottom w:val="single" w:color="C0C0C0" w:sz="4" w:space="0"/>
              <w:right w:val="single" w:color="C0C0C0" w:sz="4" w:space="0"/>
            </w:tcBorders>
            <w:shd w:val="clear" w:color="FFFFFF" w:fill="auto"/>
            <w:vAlign w:val="center"/>
          </w:tcPr>
          <w:p w14:paraId="54C10772">
            <w:pPr>
              <w:jc w:val="center"/>
              <w:rPr>
                <w:rFonts w:hint="eastAsia" w:ascii="宋体" w:hAnsi="宋体" w:cs="宋体"/>
                <w:color w:val="000000"/>
                <w:sz w:val="18"/>
                <w:szCs w:val="18"/>
              </w:rPr>
            </w:pPr>
          </w:p>
        </w:tc>
        <w:tc>
          <w:tcPr>
            <w:tcW w:w="3729"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0C478E90">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效益指标经济效益指标保障各类办公办案平台正常运转，审判执行系统使用正常，为干警办公办案提供技术支撑</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3034DE3D">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定性</w:t>
            </w:r>
          </w:p>
        </w:tc>
        <w:tc>
          <w:tcPr>
            <w:tcW w:w="960"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773E9F47">
            <w:pPr>
              <w:widowControl/>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优良中低差</w:t>
            </w:r>
          </w:p>
        </w:tc>
        <w:tc>
          <w:tcPr>
            <w:tcW w:w="948" w:type="dxa"/>
            <w:tcBorders>
              <w:top w:val="single" w:color="C0C0C0" w:sz="4" w:space="0"/>
              <w:left w:val="single" w:color="C0C0C0" w:sz="4" w:space="0"/>
              <w:bottom w:val="single" w:color="C0C0C0" w:sz="4" w:space="0"/>
              <w:right w:val="single" w:color="C0C0C0" w:sz="4" w:space="0"/>
            </w:tcBorders>
            <w:shd w:val="clear" w:color="FFFFFF" w:fill="auto"/>
            <w:vAlign w:val="center"/>
          </w:tcPr>
          <w:p w14:paraId="38714DD2">
            <w:pPr>
              <w:rPr>
                <w:rFonts w:hint="eastAsia" w:ascii="宋体" w:hAnsi="宋体" w:cs="宋体"/>
                <w:color w:val="000000"/>
                <w:sz w:val="18"/>
                <w:szCs w:val="18"/>
              </w:rPr>
            </w:pPr>
          </w:p>
        </w:tc>
      </w:tr>
    </w:tbl>
    <w:p w14:paraId="59A9F055">
      <w:pPr>
        <w:spacing w:before="156" w:beforeLines="50"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石景山区人民法院2024年度依据部门职责、年度工作和工作重点设置了部门绩效目标，绩效目标设立依据充分，目标与职责任务相匹配；同时，对总体目标进行分解和细化，设置了部门绩效指标，绩效指标完整、合理。部门总体目标在本年度内履职预期达到了总体产出和效果，按照定量和定性相结合的方式进行设定。</w:t>
      </w:r>
    </w:p>
    <w:p w14:paraId="2B8EFB71">
      <w:pPr>
        <w:spacing w:line="600" w:lineRule="exact"/>
        <w:ind w:firstLine="640" w:firstLineChars="200"/>
        <w:outlineLvl w:val="0"/>
        <w:rPr>
          <w:rFonts w:hint="eastAsia" w:ascii="黑体" w:hAnsi="黑体" w:eastAsia="黑体" w:cs="宋体"/>
          <w:color w:val="000000"/>
          <w:kern w:val="0"/>
          <w:sz w:val="32"/>
          <w:szCs w:val="32"/>
        </w:rPr>
      </w:pPr>
      <w:bookmarkStart w:id="5" w:name="_Toc25080"/>
      <w:r>
        <w:rPr>
          <w:rFonts w:hint="eastAsia" w:ascii="黑体" w:hAnsi="黑体" w:eastAsia="黑体" w:cs="宋体"/>
          <w:color w:val="000000"/>
          <w:kern w:val="0"/>
          <w:sz w:val="32"/>
          <w:szCs w:val="32"/>
        </w:rPr>
        <w:t>二、当年预算执行情况</w:t>
      </w:r>
      <w:bookmarkEnd w:id="5"/>
    </w:p>
    <w:p w14:paraId="2750E0E3">
      <w:pPr>
        <w:adjustRightInd w:val="0"/>
        <w:snapToGrid w:val="0"/>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2024年全年预算数</w:t>
      </w:r>
      <w:r>
        <w:rPr>
          <w:rFonts w:ascii="仿宋_GB2312" w:hAnsi="宋体" w:eastAsia="仿宋_GB2312" w:cs="宋体"/>
          <w:kern w:val="0"/>
          <w:sz w:val="32"/>
          <w:szCs w:val="32"/>
        </w:rPr>
        <w:t>15,192.89</w:t>
      </w:r>
      <w:r>
        <w:rPr>
          <w:rFonts w:hint="eastAsia" w:ascii="仿宋_GB2312" w:hAnsi="宋体" w:eastAsia="仿宋_GB2312" w:cs="宋体"/>
          <w:kern w:val="0"/>
          <w:sz w:val="32"/>
          <w:szCs w:val="32"/>
        </w:rPr>
        <w:t>万元，其中，基本支出预算数</w:t>
      </w:r>
      <w:r>
        <w:rPr>
          <w:rFonts w:ascii="仿宋_GB2312" w:hAnsi="宋体" w:eastAsia="仿宋_GB2312" w:cs="宋体"/>
          <w:kern w:val="0"/>
          <w:sz w:val="32"/>
          <w:szCs w:val="32"/>
        </w:rPr>
        <w:t>11,168.73</w:t>
      </w:r>
      <w:r>
        <w:rPr>
          <w:rFonts w:hint="eastAsia" w:ascii="仿宋_GB2312" w:hAnsi="宋体" w:eastAsia="仿宋_GB2312" w:cs="宋体"/>
          <w:kern w:val="0"/>
          <w:sz w:val="32"/>
          <w:szCs w:val="32"/>
        </w:rPr>
        <w:t>万元，项目支出预算数</w:t>
      </w:r>
      <w:r>
        <w:rPr>
          <w:rFonts w:ascii="仿宋_GB2312" w:hAnsi="宋体" w:eastAsia="仿宋_GB2312" w:cs="宋体"/>
          <w:kern w:val="0"/>
          <w:sz w:val="32"/>
          <w:szCs w:val="32"/>
        </w:rPr>
        <w:t>4,024.16</w:t>
      </w:r>
      <w:r>
        <w:rPr>
          <w:rFonts w:hint="eastAsia" w:ascii="仿宋_GB2312" w:hAnsi="宋体" w:eastAsia="仿宋_GB2312" w:cs="宋体"/>
          <w:kern w:val="0"/>
          <w:sz w:val="32"/>
          <w:szCs w:val="32"/>
        </w:rPr>
        <w:t>万元，其他支出预算数0万元。资金总体支出</w:t>
      </w:r>
      <w:r>
        <w:rPr>
          <w:rFonts w:ascii="仿宋_GB2312" w:hAnsi="宋体" w:eastAsia="仿宋_GB2312" w:cs="宋体"/>
          <w:kern w:val="0"/>
          <w:sz w:val="32"/>
          <w:szCs w:val="32"/>
        </w:rPr>
        <w:t>15,149.84</w:t>
      </w:r>
      <w:r>
        <w:rPr>
          <w:rFonts w:hint="eastAsia" w:ascii="仿宋_GB2312" w:hAnsi="宋体" w:eastAsia="仿宋_GB2312" w:cs="宋体"/>
          <w:kern w:val="0"/>
          <w:sz w:val="32"/>
          <w:szCs w:val="32"/>
        </w:rPr>
        <w:t>万元，其中，基本支出</w:t>
      </w:r>
      <w:r>
        <w:rPr>
          <w:rFonts w:ascii="仿宋_GB2312" w:hAnsi="宋体" w:eastAsia="仿宋_GB2312" w:cs="宋体"/>
          <w:kern w:val="0"/>
          <w:sz w:val="32"/>
          <w:szCs w:val="32"/>
        </w:rPr>
        <w:t>11,148.23</w:t>
      </w:r>
      <w:r>
        <w:rPr>
          <w:rFonts w:hint="eastAsia" w:ascii="仿宋_GB2312" w:hAnsi="宋体" w:eastAsia="仿宋_GB2312" w:cs="宋体"/>
          <w:kern w:val="0"/>
          <w:sz w:val="32"/>
          <w:szCs w:val="32"/>
        </w:rPr>
        <w:t>万元，项目支出</w:t>
      </w:r>
      <w:r>
        <w:rPr>
          <w:rFonts w:ascii="仿宋_GB2312" w:hAnsi="宋体" w:eastAsia="仿宋_GB2312" w:cs="宋体"/>
          <w:kern w:val="0"/>
          <w:sz w:val="32"/>
          <w:szCs w:val="32"/>
        </w:rPr>
        <w:t>4,001.61</w:t>
      </w:r>
      <w:r>
        <w:rPr>
          <w:rFonts w:hint="eastAsia" w:ascii="仿宋_GB2312" w:hAnsi="宋体" w:eastAsia="仿宋_GB2312" w:cs="宋体"/>
          <w:kern w:val="0"/>
          <w:sz w:val="32"/>
          <w:szCs w:val="32"/>
        </w:rPr>
        <w:t>万元，其他支出0万元。预算执行率为99.72%。</w:t>
      </w:r>
    </w:p>
    <w:p w14:paraId="64D03F33">
      <w:pPr>
        <w:spacing w:line="600" w:lineRule="exact"/>
        <w:ind w:firstLine="640" w:firstLineChars="200"/>
        <w:outlineLvl w:val="0"/>
        <w:rPr>
          <w:rFonts w:hint="eastAsia" w:ascii="黑体" w:hAnsi="黑体" w:eastAsia="黑体" w:cs="宋体"/>
          <w:color w:val="000000"/>
          <w:kern w:val="0"/>
          <w:sz w:val="32"/>
          <w:szCs w:val="32"/>
        </w:rPr>
      </w:pPr>
      <w:bookmarkStart w:id="6" w:name="_Toc13215"/>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6"/>
    </w:p>
    <w:p w14:paraId="24158675">
      <w:pPr>
        <w:adjustRightInd w:val="0"/>
        <w:snapToGrid w:val="0"/>
        <w:spacing w:line="600" w:lineRule="exact"/>
        <w:ind w:firstLine="640" w:firstLineChars="200"/>
        <w:outlineLvl w:val="1"/>
        <w:rPr>
          <w:rFonts w:ascii="楷体_GB2312" w:eastAsia="楷体_GB2312"/>
          <w:sz w:val="32"/>
          <w:szCs w:val="32"/>
        </w:rPr>
      </w:pPr>
      <w:bookmarkStart w:id="7" w:name="_Toc28675"/>
      <w:r>
        <w:rPr>
          <w:rFonts w:hint="eastAsia" w:ascii="楷体_GB2312" w:eastAsia="楷体_GB2312"/>
          <w:sz w:val="32"/>
          <w:szCs w:val="32"/>
        </w:rPr>
        <w:t>（一）产出完成情况分析</w:t>
      </w:r>
      <w:bookmarkEnd w:id="7"/>
    </w:p>
    <w:p w14:paraId="68D404CD">
      <w:pPr>
        <w:adjustRightInd w:val="0"/>
        <w:snapToGrid w:val="0"/>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1.案件审判工作产出</w:t>
      </w:r>
    </w:p>
    <w:p w14:paraId="28C9258F">
      <w:pPr>
        <w:adjustRightInd w:val="0"/>
        <w:snapToGrid w:val="0"/>
        <w:spacing w:line="600" w:lineRule="exact"/>
        <w:ind w:firstLine="640" w:firstLineChars="200"/>
        <w:rPr>
          <w:rFonts w:hint="eastAsia" w:ascii="仿宋_GB2312" w:hAnsi="仿宋" w:eastAsia="仿宋_GB2312"/>
          <w:sz w:val="32"/>
          <w:szCs w:val="32"/>
        </w:rPr>
      </w:pPr>
      <w:r>
        <w:rPr>
          <w:rFonts w:hint="eastAsia" w:ascii="仿宋_GB2312" w:hAnsi="宋体" w:eastAsia="仿宋_GB2312" w:cs="宋体"/>
          <w:kern w:val="0"/>
          <w:sz w:val="32"/>
          <w:szCs w:val="32"/>
        </w:rPr>
        <w:t>①</w:t>
      </w:r>
      <w:r>
        <w:rPr>
          <w:rFonts w:hint="eastAsia" w:ascii="仿宋_GB2312" w:hAnsi="仿宋" w:eastAsia="仿宋_GB2312"/>
          <w:sz w:val="32"/>
          <w:szCs w:val="32"/>
        </w:rPr>
        <w:t>新收各类案件</w:t>
      </w:r>
      <w:r>
        <w:rPr>
          <w:rFonts w:ascii="仿宋_GB2312" w:hAnsi="仿宋" w:eastAsia="仿宋_GB2312"/>
          <w:sz w:val="32"/>
          <w:szCs w:val="32"/>
        </w:rPr>
        <w:t>27839</w:t>
      </w:r>
      <w:r>
        <w:rPr>
          <w:rFonts w:hint="eastAsia" w:ascii="仿宋_GB2312" w:hAnsi="仿宋" w:eastAsia="仿宋_GB2312"/>
          <w:sz w:val="32"/>
          <w:szCs w:val="32"/>
        </w:rPr>
        <w:t>件，结案</w:t>
      </w:r>
      <w:r>
        <w:rPr>
          <w:rFonts w:ascii="仿宋_GB2312" w:hAnsi="仿宋" w:eastAsia="仿宋_GB2312"/>
          <w:sz w:val="32"/>
          <w:szCs w:val="32"/>
        </w:rPr>
        <w:t>29150</w:t>
      </w:r>
      <w:r>
        <w:rPr>
          <w:rFonts w:hint="eastAsia" w:ascii="仿宋_GB2312" w:hAnsi="仿宋" w:eastAsia="仿宋_GB2312"/>
          <w:sz w:val="32"/>
          <w:szCs w:val="32"/>
        </w:rPr>
        <w:t>件，结收比</w:t>
      </w:r>
      <w:r>
        <w:rPr>
          <w:rFonts w:ascii="仿宋_GB2312" w:hAnsi="仿宋" w:eastAsia="仿宋_GB2312"/>
          <w:sz w:val="32"/>
          <w:szCs w:val="32"/>
        </w:rPr>
        <w:t>104.71%</w:t>
      </w:r>
      <w:r>
        <w:rPr>
          <w:rFonts w:hint="eastAsia" w:ascii="仿宋_GB2312" w:hAnsi="仿宋" w:eastAsia="仿宋_GB2312"/>
          <w:sz w:val="32"/>
          <w:szCs w:val="32"/>
        </w:rPr>
        <w:t>，法官人均结案</w:t>
      </w:r>
      <w:r>
        <w:rPr>
          <w:rFonts w:ascii="仿宋_GB2312" w:hAnsi="仿宋" w:eastAsia="仿宋_GB2312"/>
          <w:sz w:val="32"/>
          <w:szCs w:val="32"/>
        </w:rPr>
        <w:t>485.85</w:t>
      </w:r>
      <w:r>
        <w:rPr>
          <w:rFonts w:hint="eastAsia" w:ascii="仿宋_GB2312" w:hAnsi="仿宋" w:eastAsia="仿宋_GB2312"/>
          <w:sz w:val="32"/>
          <w:szCs w:val="32"/>
        </w:rPr>
        <w:t>件，2023年未结案清理率达99%以上，一审服判息诉率</w:t>
      </w:r>
      <w:r>
        <w:rPr>
          <w:rFonts w:ascii="仿宋_GB2312" w:hAnsi="仿宋" w:eastAsia="仿宋_GB2312"/>
          <w:sz w:val="32"/>
          <w:szCs w:val="32"/>
        </w:rPr>
        <w:t>91.81%</w:t>
      </w:r>
      <w:r>
        <w:rPr>
          <w:rFonts w:hint="eastAsia" w:ascii="仿宋_GB2312" w:hAnsi="仿宋" w:eastAsia="仿宋_GB2312"/>
          <w:sz w:val="32"/>
          <w:szCs w:val="32"/>
        </w:rPr>
        <w:t>,发回重改率</w:t>
      </w:r>
      <w:r>
        <w:rPr>
          <w:rFonts w:ascii="仿宋_GB2312" w:hAnsi="仿宋" w:eastAsia="仿宋_GB2312"/>
          <w:sz w:val="32"/>
          <w:szCs w:val="32"/>
        </w:rPr>
        <w:t>0.164%</w:t>
      </w:r>
      <w:r>
        <w:rPr>
          <w:rFonts w:hint="eastAsia" w:ascii="仿宋_GB2312" w:hAnsi="仿宋" w:eastAsia="仿宋_GB2312"/>
          <w:sz w:val="32"/>
          <w:szCs w:val="32"/>
        </w:rPr>
        <w:t>，位居全市法院前列，审判质量管理指标位于全市法院第一梯队，审判态势呈现前所未有的良好局面。</w:t>
      </w:r>
    </w:p>
    <w:p w14:paraId="47B2A6CE">
      <w:pPr>
        <w:adjustRightInd w:val="0"/>
        <w:snapToGrid w:val="0"/>
        <w:spacing w:line="600" w:lineRule="exact"/>
        <w:ind w:firstLine="640" w:firstLineChars="200"/>
        <w:rPr>
          <w:rFonts w:hint="eastAsia" w:ascii="仿宋_GB2312" w:hAnsi="宋体" w:eastAsia="仿宋_GB2312" w:cs="宋体"/>
          <w:kern w:val="0"/>
          <w:sz w:val="32"/>
          <w:szCs w:val="32"/>
        </w:rPr>
      </w:pPr>
      <w:r>
        <w:rPr>
          <w:rFonts w:hint="eastAsia" w:ascii="仿宋_GB2312" w:hAnsi="仿宋" w:eastAsia="仿宋_GB2312"/>
          <w:sz w:val="32"/>
          <w:szCs w:val="32"/>
        </w:rPr>
        <w:t>②</w:t>
      </w:r>
      <w:r>
        <w:rPr>
          <w:rFonts w:hint="eastAsia" w:ascii="仿宋_GB2312" w:hAnsi="宋体" w:eastAsia="仿宋_GB2312" w:cs="宋体"/>
          <w:kern w:val="0"/>
          <w:sz w:val="32"/>
          <w:szCs w:val="32"/>
        </w:rPr>
        <w:t>推进切实解决执行难，执结案件</w:t>
      </w:r>
      <w:r>
        <w:rPr>
          <w:rFonts w:ascii="仿宋_GB2312" w:hAnsi="宋体" w:eastAsia="仿宋_GB2312" w:cs="宋体"/>
          <w:kern w:val="0"/>
          <w:sz w:val="32"/>
          <w:szCs w:val="32"/>
        </w:rPr>
        <w:t>9032</w:t>
      </w:r>
      <w:r>
        <w:rPr>
          <w:rFonts w:hint="eastAsia" w:ascii="仿宋_GB2312" w:hAnsi="宋体" w:eastAsia="仿宋_GB2312" w:cs="宋体"/>
          <w:kern w:val="0"/>
          <w:sz w:val="32"/>
          <w:szCs w:val="32"/>
        </w:rPr>
        <w:t>件。一强化查控处置，切实发挥财产线索接转中心作用，查收财产线索</w:t>
      </w:r>
      <w:r>
        <w:rPr>
          <w:rFonts w:ascii="仿宋_GB2312" w:hAnsi="宋体" w:eastAsia="仿宋_GB2312" w:cs="宋体"/>
          <w:kern w:val="0"/>
          <w:sz w:val="32"/>
          <w:szCs w:val="32"/>
        </w:rPr>
        <w:t>133</w:t>
      </w:r>
      <w:r>
        <w:rPr>
          <w:rFonts w:hint="eastAsia" w:ascii="仿宋_GB2312" w:hAnsi="宋体" w:eastAsia="仿宋_GB2312" w:cs="宋体"/>
          <w:kern w:val="0"/>
          <w:sz w:val="32"/>
          <w:szCs w:val="32"/>
        </w:rPr>
        <w:t>条，执行到位金额</w:t>
      </w:r>
      <w:r>
        <w:rPr>
          <w:rFonts w:ascii="仿宋_GB2312" w:hAnsi="宋体" w:eastAsia="仿宋_GB2312" w:cs="宋体"/>
          <w:kern w:val="0"/>
          <w:sz w:val="32"/>
          <w:szCs w:val="32"/>
        </w:rPr>
        <w:t>3462.8</w:t>
      </w:r>
      <w:r>
        <w:rPr>
          <w:rFonts w:hint="eastAsia" w:ascii="仿宋_GB2312" w:hAnsi="宋体" w:eastAsia="仿宋_GB2312" w:cs="宋体"/>
          <w:kern w:val="0"/>
          <w:sz w:val="32"/>
          <w:szCs w:val="32"/>
        </w:rPr>
        <w:t>万元。积极开展京外线下执行，司法网络拍卖305次，成交金额2.65亿元，执行到位金额</w:t>
      </w:r>
      <w:r>
        <w:rPr>
          <w:rFonts w:ascii="仿宋_GB2312" w:hAnsi="宋体" w:eastAsia="仿宋_GB2312" w:cs="宋体"/>
          <w:kern w:val="0"/>
          <w:sz w:val="32"/>
          <w:szCs w:val="32"/>
        </w:rPr>
        <w:t>17.36</w:t>
      </w:r>
      <w:r>
        <w:rPr>
          <w:rFonts w:hint="eastAsia" w:ascii="仿宋_GB2312" w:hAnsi="宋体" w:eastAsia="仿宋_GB2312" w:cs="宋体"/>
          <w:kern w:val="0"/>
          <w:sz w:val="32"/>
          <w:szCs w:val="32"/>
        </w:rPr>
        <w:t>亿元，实际保全到位金额64.24亿元。2023年旧存案件均已清理完毕。</w:t>
      </w:r>
    </w:p>
    <w:p w14:paraId="28B6F11F">
      <w:pPr>
        <w:pStyle w:val="5"/>
        <w:adjustRightInd w:val="0"/>
        <w:snapToGrid w:val="0"/>
        <w:spacing w:line="600" w:lineRule="exact"/>
        <w:ind w:firstLine="640" w:firstLineChars="20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③强化民生司法保障。审结民事案件20137件。一是用心办好群众身边案。审结涉房产物业、医疗损害、食品安全、人格名誉等各类民生案件3784件，公正裁判“电动自行车充电车棚起火”系列索赔案件，让群众安居生活。审结劳动争议案件751件，在涉网络主播、外卖骑手等案件中依法保障新就业形态劳动者权益，筑牢“劳有所得”民生底线。准确适用“彩礼新规”，引导树立彩礼适度良好风尚，让彩礼回归“礼”的底色。二是倾力守护“一老一小”。审结关乎老年人切身利益的赡养、继承、分家析产、居住权纠纷等案件990件，实质化解养老服务合同纠纷，帮助老人在10天内拿到补偿；准确识别超龄劳动者多样化用工形式，合理确定各方权利义务，真正实现老有所养、老有所依、老有所居、老有所为。审理幼儿教育培训合同案件265件，发送司法建议推动加强教培机构监管。在离婚、抚养权纠纷等案件审理中广泛开展“关爱未成年人提示”，引导当事人履行监护职责，督促“依法带娃”。三是保障残疾人合法权益。在诉讼中为残疾人提供无障碍信息交流服务，让聋哑被告人“听见庭审”。在“国际助残日”发布“让渡相邻权保障残疾人出行便利”等6起典型案例，以爱化“碍”，让残疾人得到分量十足的保护，培育全社会扶残助残良善风尚。</w:t>
      </w:r>
    </w:p>
    <w:p w14:paraId="02477FB8">
      <w:pPr>
        <w:adjustRightInd w:val="0"/>
        <w:snapToGrid w:val="0"/>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2.“两庭”建设产出</w:t>
      </w:r>
    </w:p>
    <w:p w14:paraId="0BFB76E3">
      <w:pPr>
        <w:adjustRightInd w:val="0"/>
        <w:snapToGrid w:val="0"/>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石景山区人民法院以“审判质效提升攻坚年”为主题开展了一系列“两庭”建设工作，主要包括：①按照实际办公用房需要，完成了石景山法院第二审判区办公用房租赁工作，租赁面积共计</w:t>
      </w:r>
      <w:r>
        <w:rPr>
          <w:rFonts w:ascii="仿宋_GB2312" w:hAnsi="宋体" w:eastAsia="仿宋_GB2312" w:cs="宋体"/>
          <w:kern w:val="0"/>
          <w:sz w:val="32"/>
          <w:szCs w:val="32"/>
        </w:rPr>
        <w:t>8343.31</w:t>
      </w:r>
      <w:r>
        <w:rPr>
          <w:rFonts w:hint="eastAsia" w:ascii="仿宋_GB2312" w:hAnsi="宋体" w:eastAsia="仿宋_GB2312" w:cs="宋体"/>
          <w:kern w:val="0"/>
          <w:sz w:val="32"/>
          <w:szCs w:val="32"/>
        </w:rPr>
        <w:t>平方米。②整修男女浴室，陆续更换浴室灯具、衣架、软凳，购置吹风机；配发过滤式消防自救呼吸器；更换办公室、食堂灯具等</w:t>
      </w:r>
      <w:bookmarkStart w:id="60" w:name="_GoBack"/>
      <w:bookmarkEnd w:id="60"/>
      <w:r>
        <w:rPr>
          <w:rFonts w:hint="eastAsia" w:ascii="仿宋_GB2312" w:hAnsi="宋体" w:eastAsia="仿宋_GB2312" w:cs="宋体"/>
          <w:kern w:val="0"/>
          <w:sz w:val="32"/>
          <w:szCs w:val="32"/>
        </w:rPr>
        <w:t>，积极做好办公用品及耗材的管理核发工作，全年共发放办公用品千余人次，保障了干警办公的需要。③进行住房补贴及物业、供暖费计发工作，保障水、电、暖、冷的正常供给，按时缴纳两个办公区的水电费。④加强物业管理，建立物业奖惩制度。从会议服务、环境清洁、洗衣服务等方面，强化物业公司工作服务意识，全年物业共完成派工单维修近3000次。搬运、安装干警办公家具及用品200余次。完成会议接待任务600余次。⑤对照石景山区人民法院“固定资产管理系统”数据进行对账，核算盘赢、盘亏，完善“固定资产管理系统”数据。⑥推进落实五里坨法庭基础设施建设工作、按计划完成主楼外墙、台阶、地面维修及二办公区多项修缮等日常物业管理工作。⑦加强隐患排查，特别是法定节假日，两会等敏感时期的检查力度，日常消防检查1500余次、消防安全演习15次。加强巡检维护，换季前对院通风管道、排水管线的维保及清洗，尤其院内路面、大台阶地面施工期间重点巡视，确保设备平稳安全运行。⑧定期对食品安全、操作安全、环境卫生进行检查。各供货商的资质、检疫报告等进行上墙公示。加强食品卫生监督，确保食材新鲜干净卫生。</w:t>
      </w:r>
    </w:p>
    <w:p w14:paraId="490C890E">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3.信息化系统建设和运维产出</w:t>
      </w:r>
    </w:p>
    <w:p w14:paraId="00F2BD77">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以保障能力和设备设施“双提升”为着力点，竭力促使信息化工作提质增效，完成了涉及运维、业务、办公、设施等多项保障工作，具体内容如下：①通过电话、微信群、现场等方式处理业务系统各类工单4200余件，保障各类会议450余次，保障书记员庭审系统使用10700余次、时长7300余小时，集中刻录庭审视频光盘2800余张，及时解决电话机房因院内施工导致的进水问题，确保审执业务、安防监控、网络电话等设备和系统稳定运行。②根据市场监管部门的技术要求和诉服办的统筹安排，配备5台查询企业档案专用政务外网电脑，提升办案过程中查询企业档案的便利性；为立案窗口采购身份证读卡器排队叫号机，提升立案工作效率，协助维护立案秩序；更换第二法庭音响设备，确保重大庭审和对外宣传的活动效果；为12368坐席员配备专用电脑和耳机，确保热线电话及时接听处理；考虑到部分速录机年限长、故障多的问题，采购8台速录机进行补充；管理案例库、法答网、内网网站等系统，完成账户开通、密码更新等工作80余次，庭审录像、监控视频补刻240余次，飘窗制作发布25次。③</w:t>
      </w:r>
      <w:bookmarkStart w:id="8" w:name="_Hlk198215748"/>
      <w:r>
        <w:rPr>
          <w:rFonts w:hint="eastAsia" w:ascii="仿宋_GB2312" w:hAnsi="宋体" w:eastAsia="仿宋_GB2312" w:cs="宋体"/>
          <w:kern w:val="0"/>
          <w:sz w:val="32"/>
          <w:szCs w:val="32"/>
        </w:rPr>
        <w:t>针对一体机与内网办公电脑不完全适配，且使用年限较久的问题，采购与UOS操作系统适配的一体机20台来更换旧的一体机；采购人脸指纹二合一考勤机6台，</w:t>
      </w:r>
      <w:r>
        <w:rPr>
          <w:rFonts w:hint="eastAsia" w:ascii="仿宋_GB2312" w:hAnsi="宋体" w:eastAsia="仿宋_GB2312" w:cs="宋体"/>
          <w:color w:val="000000"/>
          <w:kern w:val="0"/>
          <w:sz w:val="32"/>
          <w:szCs w:val="32"/>
        </w:rPr>
        <w:t>为干警办公办案提供了有力的技术支撑。</w:t>
      </w:r>
      <w:r>
        <w:rPr>
          <w:rFonts w:hint="eastAsia" w:ascii="仿宋_GB2312" w:hAnsi="宋体" w:eastAsia="仿宋_GB2312" w:cs="宋体"/>
          <w:kern w:val="0"/>
          <w:sz w:val="32"/>
          <w:szCs w:val="32"/>
        </w:rPr>
        <w:t>；采购财务数据存储设备7台，采购相关终端设备2台，为庭审工作提供保障；更换二办的庭审视频光盘刻录机，保障二办庭审视频刻录正常进行；为图书馆配备投影仪、音响等会议设备，提升使用效果；上半年对笔记本电脑配备情况进行摸底排查并登记在账，下半年启动信创笔记本电脑配发工作，保障日常办公需求。④</w:t>
      </w:r>
      <w:bookmarkEnd w:id="8"/>
      <w:r>
        <w:rPr>
          <w:rFonts w:hint="eastAsia" w:ascii="仿宋_GB2312" w:hAnsi="宋体" w:eastAsia="仿宋_GB2312" w:cs="宋体"/>
          <w:kern w:val="0"/>
          <w:sz w:val="32"/>
          <w:szCs w:val="32"/>
        </w:rPr>
        <w:t>更换网络机房使用年限较久的精密空调，保障网络设备安全稳定运行，；更换东附楼弱电间和电话机房的不间断电源（UPS），提升设备运行稳定性；采购新的存储设备以保障今后五年的数据存储需求。将石景山区人民法院和二办的150余台百兆级的交换机、无线AP等互联网设备更换为千兆级设备，实现了网速的大幅提升。⑤进行底账排查10次，上报各类台账表格32张和2个工作方案。</w:t>
      </w:r>
    </w:p>
    <w:p w14:paraId="1B79D260">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4.纪检监察产出</w:t>
      </w:r>
    </w:p>
    <w:p w14:paraId="16AAAE2A">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color w:val="000000"/>
          <w:kern w:val="0"/>
          <w:sz w:val="32"/>
          <w:szCs w:val="32"/>
        </w:rPr>
        <w:t>①</w:t>
      </w:r>
      <w:r>
        <w:rPr>
          <w:rFonts w:hint="eastAsia" w:ascii="仿宋_GB2312" w:hAnsi="宋体" w:eastAsia="仿宋_GB2312" w:cs="宋体"/>
          <w:kern w:val="0"/>
          <w:sz w:val="32"/>
          <w:szCs w:val="32"/>
        </w:rPr>
        <w:t>坚持以案为鉴抓警示、形式多样抓培训、学用结合抓成效，开展党组书记讲党课、专题辅导、交流研讨、党日活动等42次。举办学习贯彻党的二十届三中全会精神专题培训班、研讨班，全面深入领会精神实质和实践要求。</w:t>
      </w:r>
      <w:r>
        <w:rPr>
          <w:rFonts w:hint="eastAsia" w:ascii="仿宋_GB2312" w:hAnsi="宋体" w:eastAsia="仿宋_GB2312" w:cs="宋体"/>
          <w:color w:val="000000"/>
          <w:kern w:val="0"/>
          <w:sz w:val="32"/>
          <w:szCs w:val="32"/>
        </w:rPr>
        <w:t>②开展司法突出问题整治整改、职务犯罪突出风险隐患排查，对全面从严治党专项检查中发现的问题立行立改、务求实效。创新监督形式，设置审务督察“每月一题”，开展司法作风督察68次。③对关键岗位负责人、新任职干部、新入职干警等开展集体谈心谈话10次204人次，不断增强干警拒腐防变能力。④出台《八小时外监督管理办法》，邀请亲情廉政监督员共同参与廉政教育，家院共建构筑司法公正廉洁防线。⑤坚持向区人大及其常委会季度报告工作，法院党组定期走访人大代表，用心办理代表建议、委员提案。主动在知识产权司法保护、未成年人法治教育等领域争取代表委员支持，邀请代表、委员80人次观摩庭审、参加案件通报会等活动17场。⑥通过新闻媒体加强与社会公众互动，接待媒体记者采访报道102人次，召开发布会2场，充分保障媒体和公众的知情权、监督权。</w:t>
      </w:r>
    </w:p>
    <w:p w14:paraId="293E441D">
      <w:pPr>
        <w:spacing w:line="600" w:lineRule="exact"/>
        <w:ind w:firstLine="640" w:firstLineChars="200"/>
        <w:outlineLvl w:val="1"/>
        <w:rPr>
          <w:rFonts w:ascii="楷体_GB2312" w:eastAsia="楷体_GB2312"/>
          <w:sz w:val="32"/>
          <w:szCs w:val="32"/>
        </w:rPr>
      </w:pPr>
      <w:bookmarkStart w:id="9" w:name="_Toc28480"/>
      <w:r>
        <w:rPr>
          <w:rFonts w:hint="eastAsia" w:ascii="楷体_GB2312" w:eastAsia="楷体_GB2312"/>
          <w:sz w:val="32"/>
          <w:szCs w:val="32"/>
        </w:rPr>
        <w:t>（二）效果实现情况分析</w:t>
      </w:r>
      <w:bookmarkEnd w:id="9"/>
    </w:p>
    <w:p w14:paraId="54C7E686">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1.增加案件审判的透明度，提升办案效率效果，保障法院依法行使职能，维护社会安定稳定及社会公平正义。</w:t>
      </w:r>
    </w:p>
    <w:p w14:paraId="75B949C0">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以习近平新时代中国特色社会主义思想为指导，全面贯彻党的二十大和二十届二中、三中全会精神，深入落实习近平法治思想，坚持公正与效率主题，以人民群众对司法公正的切身感受为导向，以矛盾纠纷实质化解为目标，扎实推进立案、诉服、调解、速裁等各项任务。速裁团队以质效和效率为主线，对速裁案件全面开展“快立、快送、快调、快审、快判”，全年速裁收结案在民商事案件总量、人均收结案均达到历史最高水平，民事案件平均结时间同比缩短44.79天；知产案件审结877件，其中小额诉讼程序适用率由2023年的14%提升至51%。</w:t>
      </w:r>
    </w:p>
    <w:p w14:paraId="209EA414">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建立“案件周调度”工作机制，以每周审判管理会为依托，分析问题原因、总结经验做法，健全完善案件规范化、流程化办理标准。充分利用“一库一网”审判资源，要求将人民法院案例库、法答网检索作为案件审理的必经环节，同时向人民法院案例库选送案例19篇、法答网提问106次，有效提升个案审结效率，审限内结案率98.98%。</w:t>
      </w:r>
    </w:p>
    <w:p w14:paraId="11C5004E">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在行政审判工作中，区政府主要领导亲自出庭应诉，实质化解行政纠纷，全年负责人出庭案件占全部案件33%，主要领导亲自出庭占比20%；通过多种途径充分发挥行政复议成为化解行政争议主渠道作用，经复议后又提起诉讼的案件数仅为案件总数34%。 </w:t>
      </w:r>
    </w:p>
    <w:p w14:paraId="049A2EA3">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对“政法民声热线”中反映的问题，要求负责干警认真对待，关注涉诉信访人的合理诉求，确保当事人能够及时联系到法官，认真答复当事人诉求，及时答复、实时反馈，不断提高“12345”政法民声热线办理效率，确保群众来电“件件有着落”。2024年，共办理涉及立案、审判、执行等各类型政法民声热线565件，按期答复率为100%。</w:t>
      </w:r>
    </w:p>
    <w:p w14:paraId="4E79B1CF">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2.保障各类办公办案平台正常运转，审判执行系统使用正常，为干警办公办案提供技术支撑</w:t>
      </w:r>
    </w:p>
    <w:p w14:paraId="51B4C7F2">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石景山区人民法院通过日常网络运维工作，保障目前在用的审判业务系统、网上办公系统、智汇云系统、云开庭、执行办案系统、12368语音诉讼服务系统、文书校对系统、视频会议系统等30余个系统，以及安防监控、电话语音等弱电设备能够平稳运行，保障裁判文书制作的规范化和准确性，确保本院的网络信息安全和数据安全，提升网络安全工作水平，提高司法公信力。其中，业务系统运维团队处理业务系统各类工单4200余件，弱电设备运维团队保障各类会议450余次，及时解决电话机房因院内施工导致的进水问题，确保审执业务、安防监控、网络电话等设备和系统稳定运行。</w:t>
      </w:r>
    </w:p>
    <w:p w14:paraId="1C95490D">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此外，针对一体机与内网办公电脑不适配且年限较久问题，本年采购并更换了与UOS操作系统适配的一体机20台；并将石景山区人民法院和二办的150余台百兆级的交换机、无线AP等互联网设备更换为千兆级设备，实现了网速的大幅提升。采购人脸指纹二合一考勤机6台，为干警办公办案提供了有力的技术支撑。 </w:t>
      </w:r>
    </w:p>
    <w:p w14:paraId="049007EF">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3.保障日常办公顺利开展，满足“两庭”建设需求，提升公共服务能力</w:t>
      </w:r>
    </w:p>
    <w:p w14:paraId="248D0D21">
      <w:pPr>
        <w:spacing w:line="600" w:lineRule="exact"/>
        <w:ind w:firstLine="640" w:firstLineChars="200"/>
        <w:rPr>
          <w:rFonts w:ascii="仿宋_GB2312" w:eastAsia="仿宋_GB2312"/>
          <w:sz w:val="32"/>
          <w:szCs w:val="32"/>
        </w:rPr>
      </w:pPr>
      <w:r>
        <w:rPr>
          <w:rFonts w:hint="eastAsia" w:ascii="仿宋_GB2312" w:eastAsia="仿宋_GB2312"/>
          <w:sz w:val="32"/>
          <w:szCs w:val="32"/>
        </w:rPr>
        <w:t>2024年诉服窗口全年接待53600余人次，提供服务37500余次；为满足“两庭”建设需求，给12368坐席员配备专用电脑和耳机，本年12368热线接听48936件次，确保了热线电话及时接听处理。为解决部分速录机年限长、故障多的问题，采购8台速录机进行补充，本年办理平台热线及网络留言20938件，各类工单回访4290件，满意度97.13%；全年移送纸质卷70本448册，电子卷1868本；接收纸质79本501册，电子卷1798本；寄发专递58231件及挂号信9233件；外出送达521件；委托鉴定评估467件。</w:t>
      </w:r>
    </w:p>
    <w:p w14:paraId="37AF5249">
      <w:pPr>
        <w:spacing w:line="600" w:lineRule="exact"/>
        <w:ind w:firstLine="640" w:firstLineChars="200"/>
        <w:outlineLvl w:val="0"/>
        <w:rPr>
          <w:rFonts w:hint="eastAsia" w:ascii="黑体" w:hAnsi="黑体" w:eastAsia="黑体" w:cs="宋体"/>
          <w:color w:val="000000"/>
          <w:kern w:val="0"/>
          <w:sz w:val="32"/>
          <w:szCs w:val="32"/>
        </w:rPr>
      </w:pPr>
      <w:bookmarkStart w:id="10" w:name="_Toc8907"/>
      <w:bookmarkStart w:id="11" w:name="_Toc15100"/>
      <w:bookmarkStart w:id="12" w:name="_Toc79495668"/>
      <w:r>
        <w:rPr>
          <w:rFonts w:hint="eastAsia" w:ascii="黑体" w:hAnsi="黑体" w:eastAsia="黑体" w:cs="宋体"/>
          <w:color w:val="000000"/>
          <w:kern w:val="0"/>
          <w:sz w:val="32"/>
          <w:szCs w:val="32"/>
        </w:rPr>
        <w:t>四、预算管理情况分析</w:t>
      </w:r>
      <w:bookmarkEnd w:id="10"/>
      <w:bookmarkEnd w:id="11"/>
    </w:p>
    <w:p w14:paraId="5BF49AF3">
      <w:pPr>
        <w:spacing w:line="600" w:lineRule="exact"/>
        <w:ind w:firstLine="640" w:firstLineChars="200"/>
        <w:outlineLvl w:val="1"/>
        <w:rPr>
          <w:rFonts w:ascii="楷体_GB2312" w:eastAsia="楷体_GB2312"/>
          <w:sz w:val="32"/>
          <w:szCs w:val="32"/>
        </w:rPr>
      </w:pPr>
      <w:bookmarkStart w:id="13" w:name="_Toc10081"/>
      <w:bookmarkStart w:id="14" w:name="_Toc1890"/>
      <w:r>
        <w:rPr>
          <w:rFonts w:hint="eastAsia" w:ascii="楷体_GB2312" w:eastAsia="楷体_GB2312"/>
          <w:sz w:val="32"/>
          <w:szCs w:val="32"/>
        </w:rPr>
        <w:t>（一）财务管理</w:t>
      </w:r>
      <w:bookmarkEnd w:id="13"/>
      <w:bookmarkEnd w:id="14"/>
    </w:p>
    <w:p w14:paraId="51E953B6">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1.财务管理制度健全性</w:t>
      </w:r>
    </w:p>
    <w:p w14:paraId="7F3D5B7C">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石景山区人民法院为加强财务管理，根据有关法律、法规的规定，结合实际情况建立了《内控控制手册》，包括《案款财务管理规定》《诉讼费退费管理办法(试行)》《差旅费报销实施办法》《固定资产管理制度》《财务管理审批权限制度》《发票、收据管理制度》《基建财务管理制度》</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库存现金管理制度</w:t>
      </w:r>
      <w:r>
        <w:rPr>
          <w:rFonts w:ascii="仿宋_GB2312" w:hAnsi="宋体" w:eastAsia="仿宋_GB2312" w:cs="宋体"/>
          <w:color w:val="000000"/>
          <w:kern w:val="0"/>
          <w:sz w:val="32"/>
          <w:szCs w:val="32"/>
        </w:rPr>
        <w:t>》《会计档案管理制度》</w:t>
      </w:r>
      <w:r>
        <w:rPr>
          <w:rFonts w:hint="eastAsia" w:ascii="仿宋_GB2312" w:hAnsi="宋体" w:eastAsia="仿宋_GB2312" w:cs="宋体"/>
          <w:color w:val="000000"/>
          <w:kern w:val="0"/>
          <w:sz w:val="32"/>
          <w:szCs w:val="32"/>
        </w:rPr>
        <w:t>《单位会议费管理办法》</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采购管理制度</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等相关财务管理制度；严格按照中央八项规定安排“三公”经费支出，加大各类资金统筹力度，出台《重大项目内控评审小组工作办法》，强化预算管理和经费使用审批，规范财务行为，建立了责权较为清晰、相互牵制为架构的财务管理模式。</w:t>
      </w:r>
    </w:p>
    <w:p w14:paraId="6FEB933D">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2.资金使用合规性和安全性</w:t>
      </w:r>
    </w:p>
    <w:p w14:paraId="3B7C7A48">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石景山区人民法院支付资金严格按照国家财经法规、财务管理制度、有关专项资金管理办法以及《石景山区人民法院财务管理制度》《石景山区人民法院单位经费审批制度》《石景山区人民法院财务管理审批权限制度》</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库存现金管理制度</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等相关制度执行。</w:t>
      </w:r>
    </w:p>
    <w:p w14:paraId="316BDE05">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在资金审批方面，石景山区人民法院各部门使用资金需拟定书面计划，注明所需费用事项、金额等，并报综合办公室主任</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主管财务院领导及主管院长审批批准后，方可执行。在财务管理审批权限中，凡属“三重一大”的决策事项，都要以会议形式集体讨论决定，遇重大突发事件和紧急情况临时做出的决策，事后向院党组会会议及时报告。</w:t>
      </w:r>
    </w:p>
    <w:p w14:paraId="123132B2">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在资金监管方面，石景山区人民法院严格规范经费支出内容及其用途，明确经费支出标准，且不同的资金支付事项使用不同的资金支付单据，现金随时存放保险柜中，保险柜钥匙和密码分开保管，存放地点安装防护设施</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提取大额现金提前预约，双人提款，专车接送，人不离款，款不离车</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保障资金支付</w:t>
      </w:r>
      <w:r>
        <w:rPr>
          <w:rFonts w:ascii="仿宋_GB2312" w:hAnsi="宋体" w:eastAsia="仿宋_GB2312" w:cs="宋体"/>
          <w:color w:val="000000"/>
          <w:kern w:val="0"/>
          <w:sz w:val="32"/>
          <w:szCs w:val="32"/>
        </w:rPr>
        <w:t>及提取</w:t>
      </w:r>
      <w:r>
        <w:rPr>
          <w:rFonts w:hint="eastAsia" w:ascii="仿宋_GB2312" w:hAnsi="宋体" w:eastAsia="仿宋_GB2312" w:cs="宋体"/>
          <w:color w:val="000000"/>
          <w:kern w:val="0"/>
          <w:sz w:val="32"/>
          <w:szCs w:val="32"/>
        </w:rPr>
        <w:t>的安全性。此外，加强对内部专项资金的监督管理，相关领导、财务人员等对专项资金的支出进行审核把关，确保票据来源合法，内容真实完整、合规。对未经批准、不按规定开支人员进行严肃处理。</w:t>
      </w:r>
    </w:p>
    <w:p w14:paraId="04729815">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3.会计基础信息完善性</w:t>
      </w:r>
    </w:p>
    <w:p w14:paraId="3B4100B2">
      <w:pPr>
        <w:spacing w:line="60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石景山区人民法院始终贯彻执行党和国家的财经方针、政策，参照《事业单位会计制度》</w:t>
      </w:r>
      <w:r>
        <w:rPr>
          <w:rFonts w:ascii="仿宋_GB2312" w:hAnsi="宋体" w:eastAsia="仿宋_GB2312" w:cs="宋体"/>
          <w:color w:val="000000"/>
          <w:kern w:val="0"/>
          <w:sz w:val="32"/>
          <w:szCs w:val="32"/>
        </w:rPr>
        <w:t>《</w:t>
      </w:r>
      <w:bookmarkStart w:id="15" w:name="_Toc11742"/>
      <w:bookmarkStart w:id="16" w:name="_Toc25563"/>
      <w:bookmarkStart w:id="17" w:name="_Toc26606"/>
      <w:bookmarkStart w:id="18" w:name="_Toc22744"/>
      <w:bookmarkStart w:id="19" w:name="_Toc31961"/>
      <w:bookmarkStart w:id="20" w:name="_Toc13449"/>
      <w:bookmarkStart w:id="21" w:name="_Toc5083"/>
      <w:bookmarkStart w:id="22" w:name="_Toc93395163"/>
      <w:bookmarkStart w:id="23" w:name="_Toc2025"/>
      <w:bookmarkStart w:id="24" w:name="_Toc23925"/>
      <w:bookmarkStart w:id="25" w:name="_Toc32345"/>
      <w:bookmarkStart w:id="26" w:name="_Toc20498"/>
      <w:bookmarkStart w:id="27" w:name="_Toc19314"/>
      <w:bookmarkStart w:id="28" w:name="_Toc9842"/>
      <w:bookmarkStart w:id="29" w:name="_Toc32760"/>
      <w:bookmarkStart w:id="30" w:name="_Toc27216"/>
      <w:bookmarkStart w:id="31" w:name="_Toc467432349"/>
      <w:bookmarkStart w:id="32" w:name="_Toc24911"/>
      <w:bookmarkStart w:id="33" w:name="_Toc17993"/>
      <w:bookmarkStart w:id="34" w:name="_Toc80968474"/>
      <w:bookmarkStart w:id="35" w:name="_Toc28123842"/>
      <w:bookmarkStart w:id="36" w:name="_Toc81221855"/>
      <w:r>
        <w:rPr>
          <w:rFonts w:hint="eastAsia" w:ascii="仿宋_GB2312" w:hAnsi="宋体" w:eastAsia="仿宋_GB2312" w:cs="宋体"/>
          <w:color w:val="000000"/>
          <w:kern w:val="0"/>
          <w:sz w:val="32"/>
          <w:szCs w:val="32"/>
        </w:rPr>
        <w:t>财务工作岗位责任制</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会计档案管理制度</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等相关法律法规进行资金管理和核算，严格实施财会监督，及时反馈真实、准确、完整、全面的基础数据信息和会计信息。具体如下：①经费实行专项管理，专款专用，未发现出现截留、挪用和违反合同约定支付等现象，资金使用规范，会计核算真实、完整、准确、及时。②在使用政府收支分类规定的科目的基础上，对专项资金的不同来源渠道性质予以区分，各类明细分类账记载、结账及时准确，资金支付安全、透明、规范，提高财政资金的支付效率。③科目发生余额表及账簿按月复核，财务核算原始凭证、记账凭证、账簿、报表等均</w:t>
      </w:r>
      <w:r>
        <w:rPr>
          <w:rFonts w:ascii="仿宋_GB2312" w:hAnsi="宋体" w:eastAsia="仿宋_GB2312" w:cs="宋体"/>
          <w:color w:val="000000"/>
          <w:kern w:val="0"/>
          <w:sz w:val="32"/>
          <w:szCs w:val="32"/>
        </w:rPr>
        <w:t>按要求</w:t>
      </w:r>
      <w:r>
        <w:rPr>
          <w:rFonts w:hint="eastAsia" w:ascii="仿宋_GB2312" w:hAnsi="宋体" w:eastAsia="仿宋_GB2312" w:cs="宋体"/>
          <w:color w:val="000000"/>
          <w:kern w:val="0"/>
          <w:sz w:val="32"/>
          <w:szCs w:val="32"/>
        </w:rPr>
        <w:t>整理立卷，装订成册，编制会计档案保管清册</w:t>
      </w:r>
      <w:r>
        <w:rPr>
          <w:rFonts w:ascii="仿宋_GB2312" w:hAnsi="宋体" w:eastAsia="仿宋_GB2312" w:cs="宋体"/>
          <w:color w:val="000000"/>
          <w:kern w:val="0"/>
          <w:sz w:val="32"/>
          <w:szCs w:val="32"/>
        </w:rPr>
        <w:t>后</w:t>
      </w:r>
      <w:r>
        <w:rPr>
          <w:rFonts w:hint="eastAsia" w:ascii="仿宋_GB2312" w:hAnsi="宋体" w:eastAsia="仿宋_GB2312" w:cs="宋体"/>
          <w:color w:val="000000"/>
          <w:kern w:val="0"/>
          <w:sz w:val="32"/>
          <w:szCs w:val="32"/>
        </w:rPr>
        <w:t>移交档案室</w:t>
      </w:r>
      <w:r>
        <w:rPr>
          <w:rFonts w:ascii="仿宋_GB2312" w:hAnsi="宋体" w:eastAsia="仿宋_GB2312" w:cs="宋体"/>
          <w:color w:val="000000"/>
          <w:kern w:val="0"/>
          <w:sz w:val="32"/>
          <w:szCs w:val="32"/>
        </w:rPr>
        <w:t>保管</w:t>
      </w:r>
      <w:r>
        <w:rPr>
          <w:rFonts w:hint="eastAsia" w:ascii="仿宋_GB2312" w:hAnsi="宋体" w:eastAsia="仿宋_GB2312" w:cs="宋体"/>
          <w:color w:val="000000"/>
          <w:kern w:val="0"/>
          <w:sz w:val="32"/>
          <w:szCs w:val="32"/>
        </w:rPr>
        <w:t>。④对已到保管期限的会计档案，由档案部门会同财务部门提出销毁意见，编制销毁清册</w:t>
      </w:r>
      <w:r>
        <w:rPr>
          <w:rFonts w:ascii="仿宋_GB2312" w:hAnsi="宋体" w:eastAsia="仿宋_GB2312" w:cs="宋体"/>
          <w:color w:val="000000"/>
          <w:kern w:val="0"/>
          <w:sz w:val="32"/>
          <w:szCs w:val="32"/>
        </w:rPr>
        <w:t>等。</w:t>
      </w:r>
    </w:p>
    <w:p w14:paraId="47C486CD">
      <w:pPr>
        <w:spacing w:line="600" w:lineRule="exact"/>
        <w:ind w:firstLine="640" w:firstLineChars="200"/>
        <w:outlineLvl w:val="1"/>
        <w:rPr>
          <w:rFonts w:ascii="楷体_GB2312" w:eastAsia="楷体_GB2312"/>
          <w:sz w:val="32"/>
          <w:szCs w:val="32"/>
        </w:rPr>
      </w:pPr>
      <w:bookmarkStart w:id="37" w:name="_Toc12179"/>
      <w:bookmarkStart w:id="38" w:name="_Toc32428"/>
      <w:bookmarkStart w:id="39" w:name="_Toc24470"/>
      <w:r>
        <w:rPr>
          <w:rFonts w:hint="eastAsia" w:ascii="楷体_GB2312" w:eastAsia="楷体_GB2312"/>
          <w:sz w:val="32"/>
          <w:szCs w:val="32"/>
        </w:rPr>
        <w:t>（二）资产管理</w:t>
      </w:r>
      <w:bookmarkEnd w:id="37"/>
      <w:bookmarkEnd w:id="38"/>
    </w:p>
    <w:p w14:paraId="59745404">
      <w:pPr>
        <w:adjustRightInd w:val="0"/>
        <w:snapToGrid w:val="0"/>
        <w:spacing w:line="600" w:lineRule="exact"/>
        <w:ind w:firstLine="640" w:firstLineChars="200"/>
        <w:rPr>
          <w:rFonts w:hint="eastAsia" w:ascii="仿宋_GB2312" w:hAnsi="宋体" w:eastAsia="仿宋_GB2312" w:cs="宋体"/>
          <w:color w:val="000000"/>
          <w:kern w:val="0"/>
          <w:sz w:val="32"/>
          <w:szCs w:val="32"/>
        </w:rPr>
      </w:pPr>
      <w:r>
        <w:rPr>
          <w:rFonts w:ascii="仿宋_GB2312" w:hAnsi="宋体" w:eastAsia="仿宋_GB2312" w:cs="宋体"/>
          <w:color w:val="000000"/>
          <w:kern w:val="0"/>
          <w:sz w:val="32"/>
          <w:szCs w:val="32"/>
        </w:rPr>
        <w:t>石景山区人民法院根据市高院要求及本院固定资产管理工作需要，逐步完善了《北京市石景山区人民法院固定资产管理制度》《北京市石景山区人民法院固定资产处置管理办法》等固定资产管理相关制度，旨在合理配置各部门的固定资产，提高固定资产的使用效益，保障固定资产的安全和完整，形成产权清晰、配置科学、使用合理、处置规范、监督公正的资产管理格局。</w:t>
      </w:r>
    </w:p>
    <w:p w14:paraId="5EC80CB8">
      <w:pPr>
        <w:adjustRightInd w:val="0"/>
        <w:snapToGrid w:val="0"/>
        <w:spacing w:line="600" w:lineRule="exact"/>
        <w:ind w:firstLine="640" w:firstLineChars="200"/>
        <w:rPr>
          <w:rFonts w:hint="eastAsia" w:ascii="仿宋_GB2312" w:hAnsi="宋体" w:eastAsia="仿宋_GB2312" w:cs="宋体"/>
          <w:color w:val="000000"/>
          <w:kern w:val="0"/>
          <w:sz w:val="32"/>
          <w:szCs w:val="32"/>
        </w:rPr>
      </w:pPr>
      <w:r>
        <w:rPr>
          <w:rFonts w:ascii="仿宋_GB2312" w:hAnsi="宋体" w:eastAsia="仿宋_GB2312" w:cs="宋体"/>
          <w:color w:val="000000"/>
          <w:kern w:val="0"/>
          <w:sz w:val="32"/>
          <w:szCs w:val="32"/>
        </w:rPr>
        <w:t>同时，石景山区人民法院还建立了完善的固定资产管理机制，由院综合事务中心负责并确定一名固定资产管理员，与院办公室财务组、院办公室信息技术工作组、院法警队、院审判管理办公室（研究室）联合管理固定资产。其中，固定资产管理员负责全院固定资产的登统计、盘点、报废等工作；院综合事务中心负责家具类固定资产实物管理；院办公室信息技术工作组负责信息化设备的实物管理；院法警队负责警用装备的实物管理；院审判管理办公室（研究室）负责图书类固定资产的实物管理。</w:t>
      </w:r>
    </w:p>
    <w:p w14:paraId="3B9CE4EE">
      <w:pPr>
        <w:adjustRightInd w:val="0"/>
        <w:snapToGrid w:val="0"/>
        <w:spacing w:line="600" w:lineRule="exact"/>
        <w:ind w:firstLine="640" w:firstLineChars="200"/>
        <w:rPr>
          <w:rFonts w:hint="eastAsia" w:ascii="仿宋_GB2312" w:hAnsi="宋体" w:eastAsia="仿宋_GB2312" w:cs="宋体"/>
          <w:color w:val="000000"/>
          <w:kern w:val="0"/>
          <w:sz w:val="32"/>
          <w:szCs w:val="32"/>
        </w:rPr>
      </w:pPr>
      <w:r>
        <w:rPr>
          <w:rFonts w:ascii="仿宋_GB2312" w:hAnsi="宋体" w:eastAsia="仿宋_GB2312" w:cs="宋体"/>
          <w:color w:val="auto"/>
          <w:kern w:val="0"/>
          <w:sz w:val="32"/>
          <w:szCs w:val="32"/>
          <w:highlight w:val="none"/>
        </w:rPr>
        <w:t>截至</w:t>
      </w:r>
      <w:r>
        <w:rPr>
          <w:rFonts w:hint="eastAsia" w:ascii="仿宋_GB2312" w:hAnsi="宋体" w:eastAsia="仿宋_GB2312" w:cs="宋体"/>
          <w:color w:val="auto"/>
          <w:kern w:val="0"/>
          <w:sz w:val="32"/>
          <w:szCs w:val="32"/>
          <w:highlight w:val="none"/>
        </w:rPr>
        <w:t>2024</w:t>
      </w:r>
      <w:r>
        <w:rPr>
          <w:rFonts w:ascii="仿宋_GB2312" w:hAnsi="宋体" w:eastAsia="仿宋_GB2312" w:cs="宋体"/>
          <w:color w:val="auto"/>
          <w:kern w:val="0"/>
          <w:sz w:val="32"/>
          <w:szCs w:val="32"/>
          <w:highlight w:val="none"/>
        </w:rPr>
        <w:t>年12月31日，石景山区人民法院资产总额合计</w:t>
      </w:r>
      <w:r>
        <w:rPr>
          <w:rFonts w:hint="eastAsia" w:ascii="仿宋_GB2312" w:hAnsi="宋体" w:eastAsia="仿宋_GB2312" w:cs="宋体"/>
          <w:color w:val="auto"/>
          <w:kern w:val="0"/>
          <w:sz w:val="32"/>
          <w:szCs w:val="32"/>
          <w:highlight w:val="none"/>
          <w:lang w:val="en-US" w:eastAsia="zh-CN"/>
        </w:rPr>
        <w:t>11469.42</w:t>
      </w:r>
      <w:r>
        <w:rPr>
          <w:rFonts w:ascii="仿宋_GB2312" w:hAnsi="宋体" w:eastAsia="仿宋_GB2312" w:cs="宋体"/>
          <w:color w:val="auto"/>
          <w:kern w:val="0"/>
          <w:sz w:val="32"/>
          <w:szCs w:val="32"/>
          <w:highlight w:val="none"/>
        </w:rPr>
        <w:t>万元。在资产配置方面，</w:t>
      </w:r>
      <w:r>
        <w:rPr>
          <w:rFonts w:hint="eastAsia" w:ascii="仿宋_GB2312" w:hAnsi="宋体" w:eastAsia="仿宋_GB2312" w:cs="宋体"/>
          <w:color w:val="auto"/>
          <w:kern w:val="0"/>
          <w:sz w:val="32"/>
          <w:szCs w:val="32"/>
          <w:highlight w:val="none"/>
        </w:rPr>
        <w:t>2024</w:t>
      </w:r>
      <w:r>
        <w:rPr>
          <w:rFonts w:ascii="仿宋_GB2312" w:hAnsi="宋体" w:eastAsia="仿宋_GB2312" w:cs="宋体"/>
          <w:color w:val="auto"/>
          <w:kern w:val="0"/>
          <w:sz w:val="32"/>
          <w:szCs w:val="32"/>
          <w:highlight w:val="none"/>
        </w:rPr>
        <w:t>年度配置固定资产</w:t>
      </w:r>
      <w:r>
        <w:rPr>
          <w:rFonts w:hint="eastAsia" w:ascii="仿宋_GB2312" w:hAnsi="宋体" w:eastAsia="仿宋_GB2312" w:cs="宋体"/>
          <w:color w:val="auto"/>
          <w:kern w:val="0"/>
          <w:sz w:val="32"/>
          <w:szCs w:val="32"/>
          <w:highlight w:val="none"/>
          <w:lang w:val="en-US" w:eastAsia="zh-CN"/>
        </w:rPr>
        <w:t>8422.94</w:t>
      </w:r>
      <w:r>
        <w:rPr>
          <w:rFonts w:ascii="仿宋_GB2312" w:hAnsi="宋体" w:eastAsia="仿宋_GB2312" w:cs="宋体"/>
          <w:color w:val="auto"/>
          <w:kern w:val="0"/>
          <w:sz w:val="32"/>
          <w:szCs w:val="32"/>
          <w:highlight w:val="none"/>
        </w:rPr>
        <w:t>万元</w:t>
      </w:r>
      <w:r>
        <w:rPr>
          <w:rFonts w:hint="eastAsia" w:ascii="仿宋_GB2312" w:hAnsi="宋体" w:eastAsia="仿宋_GB2312" w:cs="宋体"/>
          <w:color w:val="auto"/>
          <w:kern w:val="0"/>
          <w:sz w:val="32"/>
          <w:szCs w:val="32"/>
          <w:highlight w:val="none"/>
        </w:rPr>
        <w:t>，包括</w:t>
      </w:r>
      <w:r>
        <w:rPr>
          <w:rFonts w:ascii="仿宋_GB2312" w:hAnsi="宋体" w:eastAsia="仿宋_GB2312" w:cs="宋体"/>
          <w:color w:val="auto"/>
          <w:kern w:val="0"/>
          <w:sz w:val="32"/>
          <w:szCs w:val="32"/>
          <w:highlight w:val="none"/>
        </w:rPr>
        <w:t>设备</w:t>
      </w:r>
      <w:r>
        <w:rPr>
          <w:rFonts w:hint="eastAsia" w:ascii="仿宋_GB2312" w:hAnsi="宋体" w:eastAsia="仿宋_GB2312" w:cs="宋体"/>
          <w:color w:val="auto"/>
          <w:kern w:val="0"/>
          <w:sz w:val="32"/>
          <w:szCs w:val="32"/>
          <w:highlight w:val="none"/>
        </w:rPr>
        <w:t>、</w:t>
      </w:r>
      <w:r>
        <w:rPr>
          <w:rFonts w:ascii="仿宋_GB2312" w:hAnsi="宋体" w:eastAsia="仿宋_GB2312" w:cs="宋体"/>
          <w:color w:val="auto"/>
          <w:kern w:val="0"/>
          <w:sz w:val="32"/>
          <w:szCs w:val="32"/>
          <w:highlight w:val="none"/>
        </w:rPr>
        <w:t>图书档案</w:t>
      </w:r>
      <w:r>
        <w:rPr>
          <w:rFonts w:hint="eastAsia" w:ascii="仿宋_GB2312" w:hAnsi="宋体" w:eastAsia="仿宋_GB2312" w:cs="宋体"/>
          <w:color w:val="auto"/>
          <w:kern w:val="0"/>
          <w:sz w:val="32"/>
          <w:szCs w:val="32"/>
          <w:highlight w:val="none"/>
        </w:rPr>
        <w:t>、</w:t>
      </w:r>
      <w:r>
        <w:rPr>
          <w:rFonts w:ascii="仿宋_GB2312" w:hAnsi="宋体" w:eastAsia="仿宋_GB2312" w:cs="宋体"/>
          <w:color w:val="auto"/>
          <w:kern w:val="0"/>
          <w:sz w:val="32"/>
          <w:szCs w:val="32"/>
          <w:highlight w:val="none"/>
        </w:rPr>
        <w:t>家具及用具</w:t>
      </w:r>
      <w:r>
        <w:rPr>
          <w:rFonts w:hint="eastAsia" w:ascii="仿宋_GB2312" w:hAnsi="宋体" w:eastAsia="仿宋_GB2312" w:cs="宋体"/>
          <w:color w:val="auto"/>
          <w:kern w:val="0"/>
          <w:sz w:val="32"/>
          <w:szCs w:val="32"/>
          <w:highlight w:val="none"/>
        </w:rPr>
        <w:t>等类别，按规定补记</w:t>
      </w:r>
      <w:r>
        <w:rPr>
          <w:rFonts w:ascii="仿宋_GB2312" w:hAnsi="宋体" w:eastAsia="仿宋_GB2312" w:cs="宋体"/>
          <w:color w:val="auto"/>
          <w:kern w:val="0"/>
          <w:sz w:val="32"/>
          <w:szCs w:val="32"/>
          <w:highlight w:val="none"/>
        </w:rPr>
        <w:t>固定</w:t>
      </w:r>
      <w:r>
        <w:rPr>
          <w:rFonts w:ascii="仿宋_GB2312" w:hAnsi="宋体" w:eastAsia="仿宋_GB2312" w:cs="宋体"/>
          <w:color w:val="000000"/>
          <w:kern w:val="0"/>
          <w:sz w:val="32"/>
          <w:szCs w:val="32"/>
        </w:rPr>
        <w:t>资产</w:t>
      </w:r>
      <w:r>
        <w:rPr>
          <w:rFonts w:hint="eastAsia" w:ascii="仿宋_GB2312" w:hAnsi="宋体" w:eastAsia="仿宋_GB2312" w:cs="宋体"/>
          <w:color w:val="000000"/>
          <w:kern w:val="0"/>
          <w:sz w:val="32"/>
          <w:szCs w:val="32"/>
        </w:rPr>
        <w:t>及</w:t>
      </w:r>
      <w:r>
        <w:rPr>
          <w:rFonts w:ascii="仿宋_GB2312" w:hAnsi="宋体" w:eastAsia="仿宋_GB2312" w:cs="宋体"/>
          <w:color w:val="000000"/>
          <w:kern w:val="0"/>
          <w:sz w:val="32"/>
          <w:szCs w:val="32"/>
        </w:rPr>
        <w:t>无调拨固定资产。在资产使用方面，均为自用固定资产，无出租出借及对外投资资产。在资产处置方面，202</w:t>
      </w:r>
      <w:r>
        <w:rPr>
          <w:rFonts w:hint="eastAsia" w:ascii="仿宋_GB2312" w:hAnsi="宋体" w:eastAsia="仿宋_GB2312" w:cs="宋体"/>
          <w:color w:val="000000"/>
          <w:kern w:val="0"/>
          <w:sz w:val="32"/>
          <w:szCs w:val="32"/>
        </w:rPr>
        <w:t>4</w:t>
      </w:r>
      <w:r>
        <w:rPr>
          <w:rFonts w:ascii="仿宋_GB2312" w:hAnsi="宋体" w:eastAsia="仿宋_GB2312" w:cs="宋体"/>
          <w:color w:val="000000"/>
          <w:kern w:val="0"/>
          <w:sz w:val="32"/>
          <w:szCs w:val="32"/>
        </w:rPr>
        <w:t>年度无固定资产处置情况。</w:t>
      </w:r>
    </w:p>
    <w:p w14:paraId="0D07627E">
      <w:pPr>
        <w:spacing w:line="600" w:lineRule="exact"/>
        <w:ind w:firstLine="640" w:firstLineChars="200"/>
        <w:outlineLvl w:val="1"/>
        <w:rPr>
          <w:rFonts w:ascii="楷体_GB2312" w:eastAsia="楷体_GB2312"/>
          <w:sz w:val="32"/>
          <w:szCs w:val="32"/>
        </w:rPr>
      </w:pPr>
      <w:bookmarkStart w:id="40" w:name="_Toc31300"/>
      <w:r>
        <w:rPr>
          <w:rFonts w:hint="eastAsia" w:ascii="楷体_GB2312" w:eastAsia="楷体_GB2312"/>
          <w:sz w:val="32"/>
          <w:szCs w:val="32"/>
        </w:rPr>
        <w:t>（三）绩效管理</w:t>
      </w:r>
      <w:bookmarkEnd w:id="39"/>
      <w:bookmarkEnd w:id="40"/>
    </w:p>
    <w:p w14:paraId="6F5A420E">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石景山区人民法</w:t>
      </w:r>
      <w:r>
        <w:rPr>
          <w:rFonts w:hint="eastAsia" w:ascii="仿宋_GB2312" w:hAnsi="宋体" w:eastAsia="仿宋_GB2312" w:cs="宋体"/>
          <w:color w:val="000000"/>
          <w:kern w:val="0"/>
          <w:sz w:val="32"/>
          <w:szCs w:val="32"/>
          <w:highlight w:val="none"/>
        </w:rPr>
        <w:t>院非常重视绩效管理工作，成立了绩效管理工作领导小组，并于2025年5月完成了绩效自评</w:t>
      </w:r>
      <w:r>
        <w:rPr>
          <w:rFonts w:ascii="仿宋_GB2312" w:hAnsi="宋体" w:eastAsia="仿宋_GB2312" w:cs="宋体"/>
          <w:color w:val="000000"/>
          <w:kern w:val="0"/>
          <w:sz w:val="32"/>
          <w:szCs w:val="32"/>
          <w:highlight w:val="none"/>
        </w:rPr>
        <w:t>工作</w:t>
      </w:r>
      <w:r>
        <w:rPr>
          <w:rFonts w:hint="eastAsia" w:ascii="仿宋_GB2312" w:hAnsi="宋体" w:eastAsia="仿宋_GB2312" w:cs="宋体"/>
          <w:color w:val="000000"/>
          <w:kern w:val="0"/>
          <w:sz w:val="32"/>
          <w:szCs w:val="32"/>
          <w:highlight w:val="none"/>
        </w:rPr>
        <w:t>。其中，</w:t>
      </w:r>
      <w:r>
        <w:rPr>
          <w:rFonts w:ascii="仿宋_GB2312" w:hAnsi="宋体" w:eastAsia="仿宋_GB2312" w:cs="宋体"/>
          <w:color w:val="000000"/>
          <w:kern w:val="0"/>
          <w:sz w:val="32"/>
          <w:szCs w:val="32"/>
          <w:highlight w:val="none"/>
        </w:rPr>
        <w:t>项目支出</w:t>
      </w:r>
      <w:r>
        <w:rPr>
          <w:rFonts w:hint="eastAsia" w:ascii="仿宋_GB2312" w:hAnsi="宋体" w:eastAsia="仿宋_GB2312" w:cs="宋体"/>
          <w:color w:val="000000"/>
          <w:kern w:val="0"/>
          <w:sz w:val="32"/>
          <w:szCs w:val="32"/>
          <w:highlight w:val="none"/>
        </w:rPr>
        <w:t>自评涵盖2024年度所有项目，各项目均需填报《项目支出绩效自评表》；选取</w:t>
      </w:r>
      <w:r>
        <w:rPr>
          <w:rFonts w:hint="eastAsia" w:ascii="仿宋_GB2312" w:hAnsi="宋体" w:eastAsia="仿宋_GB2312" w:cs="宋体"/>
          <w:color w:val="000000"/>
          <w:kern w:val="0"/>
          <w:sz w:val="32"/>
          <w:szCs w:val="32"/>
        </w:rPr>
        <w:t>“网络运维费”项目进行重点评价；最后，针对2024年度部门整体支出情况进行绩效评价，形成《部门整体绩效评价报告》。</w:t>
      </w:r>
    </w:p>
    <w:p w14:paraId="74A4FB75">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石景山区人民法院及时对绩效信息进行了汇总、分析和整理，针对绩效评价发现的问题进行了整改，并按要求将《项目支出绩效自评表》《重点项目绩效评价报告》《部门整体绩效评价报告》等上传至预算绩效管理系统，为后续绩效管理信息的应用提供了支撑和保障。</w:t>
      </w:r>
    </w:p>
    <w:p w14:paraId="784FB8C1">
      <w:pPr>
        <w:spacing w:line="600" w:lineRule="exact"/>
        <w:ind w:firstLine="640" w:firstLineChars="200"/>
        <w:outlineLvl w:val="1"/>
        <w:rPr>
          <w:rFonts w:ascii="楷体_GB2312" w:eastAsia="楷体_GB2312"/>
          <w:sz w:val="32"/>
          <w:szCs w:val="32"/>
        </w:rPr>
      </w:pPr>
      <w:bookmarkStart w:id="41" w:name="_Toc19989"/>
      <w:bookmarkStart w:id="42" w:name="_Toc1707"/>
      <w:r>
        <w:rPr>
          <w:rFonts w:hint="eastAsia" w:ascii="楷体_GB2312" w:eastAsia="楷体_GB2312"/>
          <w:sz w:val="32"/>
          <w:szCs w:val="32"/>
        </w:rPr>
        <w:t>（四）结转结余率</w:t>
      </w:r>
      <w:bookmarkEnd w:id="41"/>
      <w:bookmarkEnd w:id="42"/>
    </w:p>
    <w:p w14:paraId="256FAAB1">
      <w:pPr>
        <w:spacing w:line="600" w:lineRule="exact"/>
        <w:ind w:firstLine="640" w:firstLineChars="200"/>
        <w:rPr>
          <w:rFonts w:hint="eastAsia" w:ascii="仿宋_GB2312" w:hAnsi="宋体" w:eastAsia="仿宋_GB2312" w:cs="宋体"/>
          <w:color w:val="000000"/>
          <w:kern w:val="0"/>
          <w:sz w:val="32"/>
          <w:szCs w:val="32"/>
        </w:rPr>
      </w:pPr>
      <w:bookmarkStart w:id="43" w:name="_Toc31075"/>
      <w:bookmarkStart w:id="44" w:name="_Toc32227"/>
      <w:r>
        <w:rPr>
          <w:rFonts w:hint="eastAsia" w:ascii="仿宋_GB2312" w:hAnsi="宋体" w:eastAsia="仿宋_GB2312" w:cs="宋体"/>
          <w:color w:val="000000"/>
          <w:kern w:val="0"/>
          <w:sz w:val="32"/>
          <w:szCs w:val="32"/>
        </w:rPr>
        <w:t>石景山区人民法院2024年收支结转结余</w:t>
      </w:r>
      <w:r>
        <w:rPr>
          <w:rFonts w:ascii="仿宋_GB2312" w:hAnsi="宋体" w:eastAsia="仿宋_GB2312" w:cs="宋体"/>
          <w:color w:val="000000"/>
          <w:kern w:val="0"/>
          <w:sz w:val="32"/>
          <w:szCs w:val="32"/>
        </w:rPr>
        <w:t>60.82</w:t>
      </w:r>
      <w:r>
        <w:rPr>
          <w:rFonts w:hint="eastAsia" w:ascii="仿宋_GB2312" w:hAnsi="宋体" w:eastAsia="仿宋_GB2312" w:cs="宋体"/>
          <w:color w:val="000000"/>
          <w:kern w:val="0"/>
          <w:sz w:val="32"/>
          <w:szCs w:val="32"/>
        </w:rPr>
        <w:t>万元，结转结余率0.40%，较上年度减少</w:t>
      </w:r>
      <w:r>
        <w:rPr>
          <w:rFonts w:ascii="仿宋_GB2312" w:hAnsi="宋体" w:eastAsia="仿宋_GB2312" w:cs="宋体"/>
          <w:color w:val="000000"/>
          <w:kern w:val="0"/>
          <w:sz w:val="32"/>
          <w:szCs w:val="32"/>
        </w:rPr>
        <w:t>96.71%</w:t>
      </w:r>
      <w:r>
        <w:rPr>
          <w:rFonts w:hint="eastAsia" w:ascii="仿宋_GB2312" w:hAnsi="宋体" w:eastAsia="仿宋_GB2312" w:cs="宋体"/>
          <w:color w:val="000000"/>
          <w:kern w:val="0"/>
          <w:sz w:val="32"/>
          <w:szCs w:val="32"/>
        </w:rPr>
        <w:t>个百分点（主要核减了2023年度账户结余资金1820.25万元）。其中，基本经费结转至2025年使用的人员类和公用类结余资金</w:t>
      </w:r>
      <w:r>
        <w:rPr>
          <w:rFonts w:ascii="仿宋_GB2312" w:hAnsi="宋体" w:eastAsia="仿宋_GB2312" w:cs="宋体"/>
          <w:color w:val="000000"/>
          <w:kern w:val="0"/>
          <w:sz w:val="32"/>
          <w:szCs w:val="32"/>
        </w:rPr>
        <w:t>38.26</w:t>
      </w:r>
      <w:r>
        <w:rPr>
          <w:rFonts w:hint="eastAsia" w:ascii="仿宋_GB2312" w:hAnsi="宋体" w:eastAsia="仿宋_GB2312" w:cs="宋体"/>
          <w:color w:val="000000"/>
          <w:kern w:val="0"/>
          <w:sz w:val="32"/>
          <w:szCs w:val="32"/>
        </w:rPr>
        <w:t>万元，项目经费结转至2025年使用的结余资金</w:t>
      </w:r>
      <w:r>
        <w:rPr>
          <w:rFonts w:ascii="仿宋_GB2312" w:hAnsi="宋体" w:eastAsia="仿宋_GB2312" w:cs="宋体"/>
          <w:color w:val="000000"/>
          <w:kern w:val="0"/>
          <w:sz w:val="32"/>
          <w:szCs w:val="32"/>
        </w:rPr>
        <w:t>22.56</w:t>
      </w:r>
      <w:r>
        <w:rPr>
          <w:rFonts w:hint="eastAsia" w:ascii="仿宋_GB2312" w:hAnsi="宋体" w:eastAsia="仿宋_GB2312" w:cs="宋体"/>
          <w:color w:val="000000"/>
          <w:kern w:val="0"/>
          <w:sz w:val="32"/>
          <w:szCs w:val="32"/>
        </w:rPr>
        <w:t>万元。</w:t>
      </w:r>
    </w:p>
    <w:p w14:paraId="79E5E6BB">
      <w:pPr>
        <w:spacing w:line="600" w:lineRule="exact"/>
        <w:ind w:firstLine="640" w:firstLineChars="200"/>
        <w:outlineLvl w:val="1"/>
        <w:rPr>
          <w:rFonts w:ascii="楷体_GB2312" w:eastAsia="楷体_GB2312"/>
          <w:sz w:val="32"/>
          <w:szCs w:val="32"/>
        </w:rPr>
      </w:pPr>
      <w:r>
        <w:rPr>
          <w:rFonts w:hint="eastAsia" w:ascii="楷体_GB2312" w:eastAsia="楷体_GB2312"/>
          <w:sz w:val="32"/>
          <w:szCs w:val="32"/>
        </w:rPr>
        <w:t>（五）部门预决算差异率</w:t>
      </w:r>
      <w:bookmarkEnd w:id="43"/>
      <w:bookmarkEnd w:id="44"/>
    </w:p>
    <w:p w14:paraId="03D19DBB">
      <w:pPr>
        <w:adjustRightInd w:val="0"/>
        <w:snapToGrid w:val="0"/>
        <w:spacing w:line="520" w:lineRule="exact"/>
        <w:ind w:firstLine="640" w:firstLineChars="200"/>
        <w:rPr>
          <w:rFonts w:hint="eastAsia" w:ascii="仿宋_GB2312" w:hAnsi="仿宋" w:eastAsia="仿宋_GB2312"/>
          <w:color w:val="000000"/>
          <w:sz w:val="32"/>
          <w:szCs w:val="32"/>
        </w:rPr>
      </w:pPr>
      <w:bookmarkStart w:id="45" w:name="_Toc22787"/>
      <w:bookmarkStart w:id="46" w:name="_Toc22501"/>
      <w:r>
        <w:rPr>
          <w:rFonts w:hint="eastAsia" w:ascii="仿宋_GB2312" w:hAnsi="仿宋" w:eastAsia="仿宋_GB2312"/>
          <w:color w:val="000000"/>
          <w:sz w:val="32"/>
          <w:szCs w:val="32"/>
        </w:rPr>
        <w:t>2024年年初预算收入数</w:t>
      </w:r>
      <w:r>
        <w:rPr>
          <w:rFonts w:ascii="仿宋_GB2312" w:hAnsi="仿宋" w:eastAsia="仿宋_GB2312"/>
          <w:sz w:val="32"/>
          <w:szCs w:val="32"/>
        </w:rPr>
        <w:t>15,644.11</w:t>
      </w:r>
      <w:r>
        <w:rPr>
          <w:rFonts w:hint="eastAsia" w:ascii="仿宋_GB2312" w:hAnsi="仿宋" w:eastAsia="仿宋_GB2312"/>
          <w:color w:val="000000"/>
          <w:sz w:val="32"/>
          <w:szCs w:val="32"/>
        </w:rPr>
        <w:t>万元，决算数</w:t>
      </w:r>
      <w:r>
        <w:rPr>
          <w:rFonts w:ascii="仿宋_GB2312" w:hAnsi="仿宋" w:eastAsia="仿宋_GB2312"/>
          <w:sz w:val="32"/>
          <w:szCs w:val="32"/>
        </w:rPr>
        <w:t>15,192.89</w:t>
      </w:r>
      <w:r>
        <w:rPr>
          <w:rFonts w:hint="eastAsia" w:ascii="仿宋_GB2312" w:hAnsi="仿宋" w:eastAsia="仿宋_GB2312"/>
          <w:color w:val="000000"/>
          <w:sz w:val="32"/>
          <w:szCs w:val="32"/>
        </w:rPr>
        <w:t>万元，差异率</w:t>
      </w:r>
      <w:r>
        <w:rPr>
          <w:rFonts w:ascii="仿宋_GB2312" w:hAnsi="仿宋" w:eastAsia="仿宋_GB2312"/>
          <w:color w:val="000000"/>
          <w:sz w:val="32"/>
          <w:szCs w:val="32"/>
        </w:rPr>
        <w:t>-2.88%</w:t>
      </w:r>
      <w:r>
        <w:rPr>
          <w:rFonts w:hint="eastAsia" w:ascii="仿宋_GB2312" w:hAnsi="仿宋" w:eastAsia="仿宋_GB2312"/>
          <w:color w:val="000000"/>
          <w:sz w:val="32"/>
          <w:szCs w:val="32"/>
        </w:rPr>
        <w:t>。其中：一般公共预算财政拨款收入年初预算数</w:t>
      </w:r>
      <w:r>
        <w:rPr>
          <w:rFonts w:ascii="仿宋_GB2312" w:hAnsi="仿宋" w:eastAsia="仿宋_GB2312"/>
          <w:color w:val="000000"/>
          <w:sz w:val="32"/>
          <w:szCs w:val="32"/>
        </w:rPr>
        <w:t>15,317.21</w:t>
      </w:r>
      <w:r>
        <w:rPr>
          <w:rFonts w:hint="eastAsia" w:ascii="仿宋_GB2312" w:hAnsi="仿宋" w:eastAsia="仿宋_GB2312"/>
          <w:color w:val="000000"/>
          <w:sz w:val="32"/>
          <w:szCs w:val="32"/>
        </w:rPr>
        <w:t>万元，决算数</w:t>
      </w:r>
      <w:r>
        <w:rPr>
          <w:rFonts w:ascii="仿宋_GB2312" w:hAnsi="仿宋" w:eastAsia="仿宋_GB2312"/>
          <w:color w:val="000000"/>
          <w:sz w:val="32"/>
          <w:szCs w:val="32"/>
        </w:rPr>
        <w:t>14,829.05</w:t>
      </w:r>
      <w:r>
        <w:rPr>
          <w:rFonts w:hint="eastAsia" w:ascii="仿宋_GB2312" w:hAnsi="仿宋" w:eastAsia="仿宋_GB2312"/>
          <w:color w:val="000000"/>
          <w:sz w:val="32"/>
          <w:szCs w:val="32"/>
        </w:rPr>
        <w:t>万元，差异率</w:t>
      </w:r>
      <w:r>
        <w:rPr>
          <w:rFonts w:ascii="仿宋_GB2312" w:hAnsi="仿宋" w:eastAsia="仿宋_GB2312"/>
          <w:color w:val="000000"/>
          <w:sz w:val="32"/>
          <w:szCs w:val="32"/>
        </w:rPr>
        <w:t>-3.19%</w:t>
      </w:r>
      <w:r>
        <w:rPr>
          <w:rFonts w:hint="eastAsia" w:ascii="仿宋_GB2312" w:hAnsi="仿宋" w:eastAsia="仿宋_GB2312"/>
          <w:color w:val="000000"/>
          <w:sz w:val="32"/>
          <w:szCs w:val="32"/>
        </w:rPr>
        <w:t>；其他收入年初预算数</w:t>
      </w:r>
      <w:r>
        <w:rPr>
          <w:rFonts w:ascii="仿宋_GB2312" w:hAnsi="仿宋" w:eastAsia="仿宋_GB2312"/>
          <w:color w:val="000000"/>
          <w:sz w:val="32"/>
          <w:szCs w:val="32"/>
        </w:rPr>
        <w:t>326.90</w:t>
      </w:r>
      <w:r>
        <w:rPr>
          <w:rFonts w:hint="eastAsia" w:ascii="仿宋_GB2312" w:hAnsi="仿宋" w:eastAsia="仿宋_GB2312"/>
          <w:color w:val="000000"/>
          <w:sz w:val="32"/>
          <w:szCs w:val="32"/>
        </w:rPr>
        <w:t>万元，决算数</w:t>
      </w:r>
      <w:r>
        <w:rPr>
          <w:rFonts w:ascii="仿宋_GB2312" w:hAnsi="仿宋" w:eastAsia="仿宋_GB2312"/>
          <w:color w:val="000000"/>
          <w:sz w:val="32"/>
          <w:szCs w:val="32"/>
        </w:rPr>
        <w:t>363.84</w:t>
      </w:r>
      <w:r>
        <w:rPr>
          <w:rFonts w:hint="eastAsia" w:ascii="仿宋_GB2312" w:hAnsi="仿宋" w:eastAsia="仿宋_GB2312"/>
          <w:color w:val="000000"/>
          <w:sz w:val="32"/>
          <w:szCs w:val="32"/>
        </w:rPr>
        <w:t>万元，差异率</w:t>
      </w:r>
      <w:r>
        <w:rPr>
          <w:rFonts w:ascii="仿宋_GB2312" w:hAnsi="仿宋" w:eastAsia="仿宋_GB2312"/>
          <w:color w:val="000000"/>
          <w:sz w:val="32"/>
          <w:szCs w:val="32"/>
        </w:rPr>
        <w:t>11.30%</w:t>
      </w:r>
      <w:r>
        <w:rPr>
          <w:rFonts w:hint="eastAsia" w:ascii="仿宋_GB2312" w:hAnsi="仿宋" w:eastAsia="仿宋_GB2312"/>
          <w:color w:val="000000"/>
          <w:sz w:val="32"/>
          <w:szCs w:val="32"/>
        </w:rPr>
        <w:t>。</w:t>
      </w:r>
    </w:p>
    <w:p w14:paraId="1B9CC3E9">
      <w:pPr>
        <w:adjustRightInd w:val="0"/>
        <w:snapToGrid w:val="0"/>
        <w:spacing w:line="52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2024年年初预算支出数</w:t>
      </w:r>
      <w:r>
        <w:rPr>
          <w:rFonts w:ascii="仿宋_GB2312" w:hAnsi="仿宋" w:eastAsia="仿宋_GB2312"/>
          <w:color w:val="000000"/>
          <w:sz w:val="32"/>
          <w:szCs w:val="32"/>
        </w:rPr>
        <w:t>17,482.12</w:t>
      </w:r>
      <w:r>
        <w:rPr>
          <w:rFonts w:hint="eastAsia" w:ascii="仿宋_GB2312" w:hAnsi="仿宋" w:eastAsia="仿宋_GB2312"/>
          <w:color w:val="000000"/>
          <w:sz w:val="32"/>
          <w:szCs w:val="32"/>
        </w:rPr>
        <w:t>万元，决算数</w:t>
      </w:r>
      <w:r>
        <w:rPr>
          <w:rFonts w:ascii="仿宋_GB2312" w:hAnsi="仿宋" w:eastAsia="仿宋_GB2312"/>
          <w:color w:val="000000"/>
          <w:sz w:val="32"/>
          <w:szCs w:val="32"/>
        </w:rPr>
        <w:t>15,149.84</w:t>
      </w:r>
      <w:r>
        <w:rPr>
          <w:rFonts w:hint="eastAsia" w:ascii="仿宋_GB2312" w:hAnsi="仿宋" w:eastAsia="仿宋_GB2312"/>
          <w:color w:val="000000"/>
          <w:sz w:val="32"/>
          <w:szCs w:val="32"/>
        </w:rPr>
        <w:t>万元，差异率</w:t>
      </w:r>
      <w:r>
        <w:rPr>
          <w:rFonts w:ascii="仿宋_GB2312" w:hAnsi="仿宋" w:eastAsia="仿宋_GB2312"/>
          <w:color w:val="000000"/>
          <w:sz w:val="32"/>
          <w:szCs w:val="32"/>
        </w:rPr>
        <w:t>-13.34%</w:t>
      </w:r>
      <w:r>
        <w:rPr>
          <w:rFonts w:hint="eastAsia" w:ascii="仿宋_GB2312" w:hAnsi="仿宋" w:eastAsia="仿宋_GB2312"/>
          <w:color w:val="000000"/>
          <w:sz w:val="32"/>
          <w:szCs w:val="32"/>
        </w:rPr>
        <w:t>。其中：基本经费支出预算数</w:t>
      </w:r>
      <w:r>
        <w:rPr>
          <w:rFonts w:ascii="仿宋_GB2312" w:hAnsi="仿宋" w:eastAsia="仿宋_GB2312"/>
          <w:color w:val="000000"/>
          <w:sz w:val="32"/>
          <w:szCs w:val="32"/>
        </w:rPr>
        <w:t>11,527.23</w:t>
      </w:r>
      <w:r>
        <w:rPr>
          <w:rFonts w:hint="eastAsia" w:ascii="仿宋_GB2312" w:hAnsi="仿宋" w:eastAsia="仿宋_GB2312"/>
          <w:color w:val="000000"/>
          <w:sz w:val="32"/>
          <w:szCs w:val="32"/>
        </w:rPr>
        <w:t>万元，决算数</w:t>
      </w:r>
      <w:r>
        <w:rPr>
          <w:rFonts w:ascii="仿宋_GB2312" w:hAnsi="仿宋" w:eastAsia="仿宋_GB2312"/>
          <w:color w:val="000000"/>
          <w:sz w:val="32"/>
          <w:szCs w:val="32"/>
        </w:rPr>
        <w:t>11,148.23</w:t>
      </w:r>
      <w:r>
        <w:rPr>
          <w:rFonts w:hint="eastAsia" w:ascii="仿宋_GB2312" w:hAnsi="仿宋" w:eastAsia="仿宋_GB2312"/>
          <w:color w:val="000000"/>
          <w:sz w:val="32"/>
          <w:szCs w:val="32"/>
        </w:rPr>
        <w:t>万元，差异率</w:t>
      </w:r>
      <w:r>
        <w:rPr>
          <w:rFonts w:ascii="仿宋_GB2312" w:hAnsi="仿宋" w:eastAsia="仿宋_GB2312"/>
          <w:color w:val="000000"/>
          <w:sz w:val="32"/>
          <w:szCs w:val="32"/>
        </w:rPr>
        <w:t>-3.29%</w:t>
      </w:r>
      <w:r>
        <w:rPr>
          <w:rFonts w:hint="eastAsia" w:ascii="仿宋_GB2312" w:hAnsi="仿宋" w:eastAsia="仿宋_GB2312"/>
          <w:color w:val="000000"/>
          <w:sz w:val="32"/>
          <w:szCs w:val="32"/>
        </w:rPr>
        <w:t>，项目经费支出预算数</w:t>
      </w:r>
      <w:r>
        <w:rPr>
          <w:rFonts w:ascii="仿宋_GB2312" w:hAnsi="仿宋" w:eastAsia="仿宋_GB2312"/>
          <w:color w:val="000000"/>
          <w:sz w:val="32"/>
          <w:szCs w:val="32"/>
        </w:rPr>
        <w:t>5,954.89</w:t>
      </w:r>
      <w:r>
        <w:rPr>
          <w:rFonts w:hint="eastAsia" w:ascii="仿宋_GB2312" w:hAnsi="仿宋" w:eastAsia="仿宋_GB2312"/>
          <w:color w:val="000000"/>
          <w:sz w:val="32"/>
          <w:szCs w:val="32"/>
        </w:rPr>
        <w:t>万元</w:t>
      </w:r>
      <w:r>
        <w:rPr>
          <w:rFonts w:ascii="仿宋_GB2312" w:hAnsi="仿宋" w:eastAsia="仿宋_GB2312"/>
          <w:color w:val="000000"/>
          <w:sz w:val="32"/>
          <w:szCs w:val="32"/>
        </w:rPr>
        <w:tab/>
      </w:r>
      <w:r>
        <w:rPr>
          <w:rFonts w:hint="eastAsia" w:ascii="仿宋_GB2312" w:hAnsi="仿宋" w:eastAsia="仿宋_GB2312"/>
          <w:color w:val="000000"/>
          <w:sz w:val="32"/>
          <w:szCs w:val="32"/>
        </w:rPr>
        <w:t>，决算数</w:t>
      </w:r>
      <w:r>
        <w:rPr>
          <w:rFonts w:ascii="仿宋_GB2312" w:hAnsi="仿宋" w:eastAsia="仿宋_GB2312"/>
          <w:color w:val="000000"/>
          <w:sz w:val="32"/>
          <w:szCs w:val="32"/>
        </w:rPr>
        <w:t>4,001.61</w:t>
      </w:r>
      <w:r>
        <w:rPr>
          <w:rFonts w:hint="eastAsia" w:ascii="仿宋_GB2312" w:hAnsi="仿宋" w:eastAsia="仿宋_GB2312"/>
          <w:color w:val="000000"/>
          <w:sz w:val="32"/>
          <w:szCs w:val="32"/>
        </w:rPr>
        <w:t>万元，差异率</w:t>
      </w:r>
      <w:r>
        <w:rPr>
          <w:rFonts w:ascii="仿宋_GB2312" w:hAnsi="仿宋" w:eastAsia="仿宋_GB2312"/>
          <w:color w:val="000000"/>
          <w:sz w:val="32"/>
          <w:szCs w:val="32"/>
        </w:rPr>
        <w:t>-32.80%</w:t>
      </w:r>
      <w:r>
        <w:rPr>
          <w:rFonts w:hint="eastAsia" w:ascii="仿宋_GB2312" w:hAnsi="仿宋" w:eastAsia="仿宋_GB2312"/>
          <w:color w:val="000000"/>
          <w:sz w:val="32"/>
          <w:szCs w:val="32"/>
        </w:rPr>
        <w:t>（主要</w:t>
      </w:r>
      <w:bookmarkStart w:id="47" w:name="_Hlk198124728"/>
      <w:r>
        <w:rPr>
          <w:rFonts w:hint="eastAsia" w:ascii="仿宋_GB2312" w:hAnsi="仿宋" w:eastAsia="仿宋_GB2312"/>
          <w:color w:val="000000"/>
          <w:sz w:val="32"/>
          <w:szCs w:val="32"/>
        </w:rPr>
        <w:t>核减了2023年度账户结余资金1820.25万元</w:t>
      </w:r>
      <w:bookmarkEnd w:id="47"/>
      <w:r>
        <w:rPr>
          <w:rFonts w:hint="eastAsia" w:ascii="仿宋_GB2312" w:hAnsi="仿宋" w:eastAsia="仿宋_GB2312"/>
          <w:color w:val="000000"/>
          <w:sz w:val="32"/>
          <w:szCs w:val="32"/>
        </w:rPr>
        <w:t>）。</w:t>
      </w:r>
    </w:p>
    <w:p w14:paraId="6814853A">
      <w:pPr>
        <w:spacing w:line="600" w:lineRule="exact"/>
        <w:ind w:firstLine="640" w:firstLineChars="200"/>
        <w:outlineLvl w:val="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五、总体评价结论</w:t>
      </w:r>
      <w:bookmarkEnd w:id="45"/>
      <w:bookmarkEnd w:id="46"/>
    </w:p>
    <w:p w14:paraId="7647FC20">
      <w:pPr>
        <w:spacing w:line="600" w:lineRule="exact"/>
        <w:ind w:firstLine="640" w:firstLineChars="200"/>
        <w:outlineLvl w:val="1"/>
        <w:rPr>
          <w:rFonts w:ascii="楷体_GB2312" w:eastAsia="楷体_GB2312"/>
          <w:sz w:val="32"/>
          <w:szCs w:val="32"/>
        </w:rPr>
      </w:pPr>
      <w:bookmarkStart w:id="48" w:name="_Toc3081"/>
      <w:bookmarkStart w:id="49" w:name="_Toc957"/>
      <w:r>
        <w:rPr>
          <w:rFonts w:hint="eastAsia" w:ascii="楷体_GB2312" w:eastAsia="楷体_GB2312"/>
          <w:sz w:val="32"/>
          <w:szCs w:val="32"/>
        </w:rPr>
        <w:t>（一）评价得分情况</w:t>
      </w:r>
      <w:bookmarkEnd w:id="48"/>
      <w:bookmarkEnd w:id="49"/>
    </w:p>
    <w:p w14:paraId="42A053B5">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经评价，2024年度石景山区人民法院部门整体绩效评价综合得分</w:t>
      </w:r>
      <w:r>
        <w:rPr>
          <w:rFonts w:ascii="仿宋_GB2312" w:hAnsi="宋体" w:eastAsia="仿宋_GB2312" w:cs="宋体"/>
          <w:color w:val="000000"/>
          <w:kern w:val="0"/>
          <w:sz w:val="32"/>
          <w:szCs w:val="32"/>
        </w:rPr>
        <w:t>94.54</w:t>
      </w:r>
      <w:r>
        <w:rPr>
          <w:rFonts w:hint="eastAsia" w:ascii="仿宋_GB2312" w:hAnsi="宋体" w:eastAsia="仿宋_GB2312" w:cs="宋体"/>
          <w:color w:val="000000"/>
          <w:kern w:val="0"/>
          <w:sz w:val="32"/>
          <w:szCs w:val="32"/>
        </w:rPr>
        <w:t>分，其中：当年预算执行情况</w:t>
      </w:r>
      <w:r>
        <w:rPr>
          <w:rFonts w:ascii="仿宋_GB2312" w:hAnsi="宋体" w:eastAsia="仿宋_GB2312" w:cs="宋体"/>
          <w:color w:val="000000"/>
          <w:kern w:val="0"/>
          <w:sz w:val="32"/>
          <w:szCs w:val="32"/>
        </w:rPr>
        <w:t>19.94</w:t>
      </w:r>
      <w:r>
        <w:rPr>
          <w:rFonts w:hint="eastAsia" w:ascii="仿宋_GB2312" w:hAnsi="宋体" w:eastAsia="仿宋_GB2312" w:cs="宋体"/>
          <w:color w:val="000000"/>
          <w:kern w:val="0"/>
          <w:sz w:val="32"/>
          <w:szCs w:val="32"/>
        </w:rPr>
        <w:t>分，整体绩效目标实现情况</w:t>
      </w:r>
      <w:r>
        <w:rPr>
          <w:rFonts w:ascii="仿宋_GB2312" w:hAnsi="宋体" w:eastAsia="仿宋_GB2312" w:cs="宋体"/>
          <w:color w:val="000000"/>
          <w:kern w:val="0"/>
          <w:sz w:val="32"/>
          <w:szCs w:val="32"/>
        </w:rPr>
        <w:t>57.20</w:t>
      </w:r>
      <w:r>
        <w:rPr>
          <w:rFonts w:hint="eastAsia" w:ascii="仿宋_GB2312" w:hAnsi="宋体" w:eastAsia="仿宋_GB2312" w:cs="宋体"/>
          <w:color w:val="000000"/>
          <w:kern w:val="0"/>
          <w:sz w:val="32"/>
          <w:szCs w:val="32"/>
        </w:rPr>
        <w:t>分，预算管理情况</w:t>
      </w:r>
      <w:r>
        <w:rPr>
          <w:rFonts w:ascii="仿宋_GB2312" w:hAnsi="宋体" w:eastAsia="仿宋_GB2312" w:cs="宋体"/>
          <w:color w:val="000000"/>
          <w:kern w:val="0"/>
          <w:sz w:val="32"/>
          <w:szCs w:val="32"/>
        </w:rPr>
        <w:t>17.40</w:t>
      </w:r>
      <w:r>
        <w:rPr>
          <w:rFonts w:hint="eastAsia" w:ascii="仿宋_GB2312" w:hAnsi="宋体" w:eastAsia="仿宋_GB2312" w:cs="宋体"/>
          <w:color w:val="000000"/>
          <w:kern w:val="0"/>
          <w:sz w:val="32"/>
          <w:szCs w:val="32"/>
        </w:rPr>
        <w:t>分，绩效评定结论为“优”。</w:t>
      </w:r>
    </w:p>
    <w:p w14:paraId="1BB818CE">
      <w:pPr>
        <w:spacing w:line="360" w:lineRule="auto"/>
        <w:contextualSpacing/>
        <w:jc w:val="center"/>
        <w:rPr>
          <w:rFonts w:hint="eastAsia" w:ascii="宋体" w:hAnsi="宋体" w:cs="仿宋_GB2312"/>
          <w:b/>
          <w:sz w:val="28"/>
          <w:szCs w:val="28"/>
        </w:rPr>
      </w:pPr>
      <w:r>
        <w:rPr>
          <w:rFonts w:hint="eastAsia" w:ascii="宋体" w:hAnsi="宋体" w:cs="仿宋_GB2312"/>
          <w:b/>
          <w:sz w:val="28"/>
          <w:szCs w:val="28"/>
        </w:rPr>
        <w:t>绩效评价结论一览表</w:t>
      </w:r>
    </w:p>
    <w:tbl>
      <w:tblPr>
        <w:tblStyle w:val="16"/>
        <w:tblW w:w="86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918"/>
        <w:gridCol w:w="2832"/>
        <w:gridCol w:w="2929"/>
      </w:tblGrid>
      <w:tr w14:paraId="446C9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40" w:hRule="atLeast"/>
          <w:jc w:val="center"/>
        </w:trPr>
        <w:tc>
          <w:tcPr>
            <w:tcW w:w="2918" w:type="dxa"/>
            <w:shd w:val="clear" w:color="auto" w:fill="D9D9D9"/>
            <w:vAlign w:val="center"/>
          </w:tcPr>
          <w:p w14:paraId="009C4658">
            <w:pPr>
              <w:adjustRightInd w:val="0"/>
              <w:snapToGrid w:val="0"/>
              <w:spacing w:before="120" w:after="60"/>
              <w:jc w:val="center"/>
              <w:rPr>
                <w:rFonts w:hint="eastAsia" w:ascii="宋体" w:hAnsi="宋体" w:cs="宋体"/>
                <w:b/>
                <w:szCs w:val="21"/>
              </w:rPr>
            </w:pPr>
            <w:r>
              <w:rPr>
                <w:rFonts w:hint="eastAsia" w:ascii="宋体" w:hAnsi="宋体" w:cs="宋体"/>
                <w:b/>
                <w:szCs w:val="21"/>
              </w:rPr>
              <w:t>评价内容</w:t>
            </w:r>
          </w:p>
        </w:tc>
        <w:tc>
          <w:tcPr>
            <w:tcW w:w="2832" w:type="dxa"/>
            <w:shd w:val="clear" w:color="auto" w:fill="D9D9D9"/>
            <w:vAlign w:val="center"/>
          </w:tcPr>
          <w:p w14:paraId="06435798">
            <w:pPr>
              <w:adjustRightInd w:val="0"/>
              <w:snapToGrid w:val="0"/>
              <w:spacing w:before="120" w:after="60"/>
              <w:jc w:val="center"/>
              <w:rPr>
                <w:rFonts w:hint="eastAsia" w:ascii="宋体" w:hAnsi="宋体" w:cs="宋体"/>
                <w:b/>
                <w:szCs w:val="21"/>
              </w:rPr>
            </w:pPr>
            <w:r>
              <w:rPr>
                <w:rFonts w:hint="eastAsia" w:ascii="宋体" w:hAnsi="宋体" w:cs="宋体"/>
                <w:b/>
                <w:szCs w:val="21"/>
              </w:rPr>
              <w:t>分值</w:t>
            </w:r>
          </w:p>
        </w:tc>
        <w:tc>
          <w:tcPr>
            <w:tcW w:w="2929" w:type="dxa"/>
            <w:shd w:val="clear" w:color="auto" w:fill="D9D9D9"/>
            <w:vAlign w:val="center"/>
          </w:tcPr>
          <w:p w14:paraId="6084097B">
            <w:pPr>
              <w:adjustRightInd w:val="0"/>
              <w:snapToGrid w:val="0"/>
              <w:spacing w:before="120" w:after="60"/>
              <w:jc w:val="center"/>
              <w:rPr>
                <w:rFonts w:hint="eastAsia" w:ascii="宋体" w:hAnsi="宋体" w:cs="宋体"/>
                <w:b/>
                <w:szCs w:val="21"/>
              </w:rPr>
            </w:pPr>
            <w:r>
              <w:rPr>
                <w:rFonts w:hint="eastAsia" w:ascii="宋体" w:hAnsi="宋体" w:cs="宋体"/>
                <w:b/>
                <w:szCs w:val="21"/>
              </w:rPr>
              <w:t>评价得分</w:t>
            </w:r>
          </w:p>
        </w:tc>
      </w:tr>
      <w:tr w14:paraId="61811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40" w:hRule="atLeast"/>
          <w:jc w:val="center"/>
        </w:trPr>
        <w:tc>
          <w:tcPr>
            <w:tcW w:w="2918" w:type="dxa"/>
            <w:vAlign w:val="center"/>
          </w:tcPr>
          <w:p w14:paraId="163FA1A3">
            <w:pPr>
              <w:adjustRightInd w:val="0"/>
              <w:snapToGrid w:val="0"/>
              <w:spacing w:before="120" w:after="60"/>
              <w:jc w:val="center"/>
              <w:rPr>
                <w:rFonts w:hint="eastAsia" w:ascii="宋体" w:hAnsi="宋体" w:cs="宋体"/>
                <w:szCs w:val="21"/>
              </w:rPr>
            </w:pPr>
            <w:r>
              <w:rPr>
                <w:rFonts w:hint="eastAsia" w:ascii="宋体" w:hAnsi="宋体" w:cs="宋体"/>
                <w:szCs w:val="21"/>
              </w:rPr>
              <w:t>当年预算执行情况</w:t>
            </w:r>
          </w:p>
        </w:tc>
        <w:tc>
          <w:tcPr>
            <w:tcW w:w="2832" w:type="dxa"/>
            <w:vAlign w:val="center"/>
          </w:tcPr>
          <w:p w14:paraId="2228A496">
            <w:pPr>
              <w:adjustRightInd w:val="0"/>
              <w:snapToGrid w:val="0"/>
              <w:spacing w:before="120" w:after="60"/>
              <w:jc w:val="center"/>
              <w:rPr>
                <w:rFonts w:hint="eastAsia" w:ascii="宋体" w:hAnsi="宋体" w:cs="宋体"/>
                <w:szCs w:val="21"/>
              </w:rPr>
            </w:pPr>
            <w:r>
              <w:rPr>
                <w:rFonts w:hint="eastAsia" w:ascii="宋体" w:hAnsi="宋体" w:cs="宋体"/>
                <w:szCs w:val="21"/>
              </w:rPr>
              <w:t>20</w:t>
            </w:r>
          </w:p>
        </w:tc>
        <w:tc>
          <w:tcPr>
            <w:tcW w:w="2929" w:type="dxa"/>
            <w:vAlign w:val="center"/>
          </w:tcPr>
          <w:p w14:paraId="0C3ED514">
            <w:pPr>
              <w:adjustRightInd w:val="0"/>
              <w:snapToGrid w:val="0"/>
              <w:spacing w:before="120" w:after="60"/>
              <w:jc w:val="center"/>
              <w:rPr>
                <w:rFonts w:hint="eastAsia" w:ascii="宋体" w:hAnsi="宋体" w:cs="宋体"/>
                <w:szCs w:val="21"/>
              </w:rPr>
            </w:pPr>
            <w:r>
              <w:rPr>
                <w:rFonts w:ascii="宋体" w:hAnsi="宋体" w:cs="宋体"/>
                <w:szCs w:val="21"/>
              </w:rPr>
              <w:t>19.94</w:t>
            </w:r>
          </w:p>
        </w:tc>
      </w:tr>
      <w:tr w14:paraId="36544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40" w:hRule="atLeast"/>
          <w:jc w:val="center"/>
        </w:trPr>
        <w:tc>
          <w:tcPr>
            <w:tcW w:w="2918" w:type="dxa"/>
            <w:vAlign w:val="center"/>
          </w:tcPr>
          <w:p w14:paraId="307A6AB7">
            <w:pPr>
              <w:adjustRightInd w:val="0"/>
              <w:snapToGrid w:val="0"/>
              <w:spacing w:before="120" w:after="60"/>
              <w:jc w:val="center"/>
              <w:rPr>
                <w:rFonts w:hint="eastAsia" w:ascii="宋体" w:hAnsi="宋体" w:cs="宋体"/>
                <w:szCs w:val="21"/>
              </w:rPr>
            </w:pPr>
            <w:r>
              <w:rPr>
                <w:rFonts w:hint="eastAsia" w:ascii="宋体" w:hAnsi="宋体" w:cs="宋体"/>
                <w:szCs w:val="21"/>
              </w:rPr>
              <w:t>整体绩效目标实现情况</w:t>
            </w:r>
          </w:p>
        </w:tc>
        <w:tc>
          <w:tcPr>
            <w:tcW w:w="2832" w:type="dxa"/>
            <w:vAlign w:val="center"/>
          </w:tcPr>
          <w:p w14:paraId="635CA926">
            <w:pPr>
              <w:adjustRightInd w:val="0"/>
              <w:snapToGrid w:val="0"/>
              <w:spacing w:before="120" w:after="60"/>
              <w:jc w:val="center"/>
              <w:rPr>
                <w:rFonts w:hint="eastAsia" w:ascii="宋体" w:hAnsi="宋体" w:cs="宋体"/>
                <w:szCs w:val="21"/>
              </w:rPr>
            </w:pPr>
            <w:r>
              <w:rPr>
                <w:rFonts w:hint="eastAsia" w:ascii="宋体" w:hAnsi="宋体" w:cs="宋体"/>
                <w:szCs w:val="21"/>
              </w:rPr>
              <w:t>60</w:t>
            </w:r>
          </w:p>
        </w:tc>
        <w:tc>
          <w:tcPr>
            <w:tcW w:w="2929" w:type="dxa"/>
            <w:vAlign w:val="center"/>
          </w:tcPr>
          <w:p w14:paraId="74D1F942">
            <w:pPr>
              <w:adjustRightInd w:val="0"/>
              <w:snapToGrid w:val="0"/>
              <w:spacing w:before="120" w:after="60"/>
              <w:jc w:val="center"/>
              <w:rPr>
                <w:rFonts w:hint="eastAsia" w:ascii="宋体" w:hAnsi="宋体" w:cs="宋体"/>
                <w:szCs w:val="21"/>
              </w:rPr>
            </w:pPr>
            <w:r>
              <w:rPr>
                <w:rFonts w:hint="eastAsia" w:ascii="宋体" w:hAnsi="宋体" w:cs="宋体"/>
                <w:szCs w:val="21"/>
              </w:rPr>
              <w:t>57.20</w:t>
            </w:r>
          </w:p>
        </w:tc>
      </w:tr>
      <w:tr w14:paraId="2ED34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40" w:hRule="atLeast"/>
          <w:jc w:val="center"/>
        </w:trPr>
        <w:tc>
          <w:tcPr>
            <w:tcW w:w="2918" w:type="dxa"/>
            <w:vAlign w:val="center"/>
          </w:tcPr>
          <w:p w14:paraId="5B10E0ED">
            <w:pPr>
              <w:adjustRightInd w:val="0"/>
              <w:snapToGrid w:val="0"/>
              <w:spacing w:before="120" w:after="60"/>
              <w:jc w:val="center"/>
              <w:rPr>
                <w:rFonts w:hint="eastAsia" w:ascii="宋体" w:hAnsi="宋体" w:cs="宋体"/>
                <w:szCs w:val="21"/>
              </w:rPr>
            </w:pPr>
            <w:r>
              <w:rPr>
                <w:rFonts w:hint="eastAsia" w:ascii="宋体" w:hAnsi="宋体" w:cs="宋体"/>
                <w:szCs w:val="21"/>
              </w:rPr>
              <w:t>预算管理情况</w:t>
            </w:r>
          </w:p>
        </w:tc>
        <w:tc>
          <w:tcPr>
            <w:tcW w:w="2832" w:type="dxa"/>
            <w:vAlign w:val="center"/>
          </w:tcPr>
          <w:p w14:paraId="3191BE03">
            <w:pPr>
              <w:adjustRightInd w:val="0"/>
              <w:snapToGrid w:val="0"/>
              <w:spacing w:before="120" w:after="60"/>
              <w:jc w:val="center"/>
              <w:rPr>
                <w:rFonts w:hint="eastAsia" w:ascii="宋体" w:hAnsi="宋体" w:cs="宋体"/>
                <w:szCs w:val="21"/>
              </w:rPr>
            </w:pPr>
            <w:r>
              <w:rPr>
                <w:rFonts w:hint="eastAsia" w:ascii="宋体" w:hAnsi="宋体" w:cs="宋体"/>
                <w:szCs w:val="21"/>
              </w:rPr>
              <w:t>20</w:t>
            </w:r>
          </w:p>
        </w:tc>
        <w:tc>
          <w:tcPr>
            <w:tcW w:w="2929" w:type="dxa"/>
            <w:vAlign w:val="center"/>
          </w:tcPr>
          <w:p w14:paraId="3F3351BB">
            <w:pPr>
              <w:adjustRightInd w:val="0"/>
              <w:snapToGrid w:val="0"/>
              <w:spacing w:before="120" w:after="60"/>
              <w:jc w:val="center"/>
              <w:rPr>
                <w:rFonts w:hint="eastAsia" w:ascii="宋体" w:hAnsi="宋体" w:cs="宋体"/>
                <w:szCs w:val="21"/>
              </w:rPr>
            </w:pPr>
            <w:r>
              <w:rPr>
                <w:rFonts w:hint="eastAsia" w:ascii="宋体" w:hAnsi="宋体" w:cs="宋体"/>
                <w:szCs w:val="21"/>
              </w:rPr>
              <w:t>17.40</w:t>
            </w:r>
          </w:p>
        </w:tc>
      </w:tr>
      <w:tr w14:paraId="56265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40" w:hRule="atLeast"/>
          <w:jc w:val="center"/>
        </w:trPr>
        <w:tc>
          <w:tcPr>
            <w:tcW w:w="2918" w:type="dxa"/>
            <w:vAlign w:val="center"/>
          </w:tcPr>
          <w:p w14:paraId="7A85C17D">
            <w:pPr>
              <w:adjustRightInd w:val="0"/>
              <w:snapToGrid w:val="0"/>
              <w:spacing w:before="120" w:after="60"/>
              <w:jc w:val="center"/>
              <w:rPr>
                <w:rFonts w:hint="eastAsia" w:ascii="宋体" w:hAnsi="宋体" w:cs="宋体"/>
                <w:szCs w:val="21"/>
              </w:rPr>
            </w:pPr>
            <w:r>
              <w:rPr>
                <w:rFonts w:hint="eastAsia" w:ascii="宋体" w:hAnsi="宋体" w:cs="宋体"/>
                <w:szCs w:val="21"/>
              </w:rPr>
              <w:t>综合得分</w:t>
            </w:r>
          </w:p>
        </w:tc>
        <w:tc>
          <w:tcPr>
            <w:tcW w:w="2832" w:type="dxa"/>
            <w:vAlign w:val="center"/>
          </w:tcPr>
          <w:p w14:paraId="785CC700">
            <w:pPr>
              <w:adjustRightInd w:val="0"/>
              <w:snapToGrid w:val="0"/>
              <w:spacing w:before="120" w:after="60"/>
              <w:jc w:val="center"/>
              <w:rPr>
                <w:rFonts w:hint="eastAsia" w:ascii="宋体" w:hAnsi="宋体" w:cs="宋体"/>
                <w:szCs w:val="21"/>
              </w:rPr>
            </w:pPr>
            <w:r>
              <w:rPr>
                <w:rFonts w:hint="eastAsia" w:ascii="宋体" w:hAnsi="宋体" w:cs="宋体"/>
                <w:szCs w:val="21"/>
              </w:rPr>
              <w:t>100</w:t>
            </w:r>
          </w:p>
        </w:tc>
        <w:tc>
          <w:tcPr>
            <w:tcW w:w="2929" w:type="dxa"/>
            <w:vAlign w:val="center"/>
          </w:tcPr>
          <w:p w14:paraId="1A4B4F1A">
            <w:pPr>
              <w:adjustRightInd w:val="0"/>
              <w:snapToGrid w:val="0"/>
              <w:spacing w:before="120" w:after="60"/>
              <w:jc w:val="center"/>
              <w:rPr>
                <w:rFonts w:hint="eastAsia" w:ascii="宋体" w:hAnsi="宋体" w:cs="宋体"/>
                <w:szCs w:val="21"/>
              </w:rPr>
            </w:pPr>
            <w:r>
              <w:rPr>
                <w:rFonts w:hint="eastAsia" w:ascii="宋体" w:hAnsi="宋体" w:cs="宋体"/>
                <w:szCs w:val="21"/>
              </w:rPr>
              <w:t>94.54</w:t>
            </w:r>
          </w:p>
        </w:tc>
      </w:tr>
      <w:tr w14:paraId="1F86A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40" w:hRule="atLeast"/>
          <w:jc w:val="center"/>
        </w:trPr>
        <w:tc>
          <w:tcPr>
            <w:tcW w:w="2918" w:type="dxa"/>
            <w:vAlign w:val="center"/>
          </w:tcPr>
          <w:p w14:paraId="17945EE4">
            <w:pPr>
              <w:adjustRightInd w:val="0"/>
              <w:snapToGrid w:val="0"/>
              <w:spacing w:before="120" w:after="60"/>
              <w:jc w:val="center"/>
              <w:rPr>
                <w:rFonts w:hint="eastAsia" w:ascii="宋体" w:hAnsi="宋体" w:cs="宋体"/>
                <w:szCs w:val="21"/>
              </w:rPr>
            </w:pPr>
            <w:r>
              <w:rPr>
                <w:rFonts w:hint="eastAsia" w:ascii="宋体" w:hAnsi="宋体" w:cs="宋体"/>
                <w:szCs w:val="21"/>
              </w:rPr>
              <w:t>绩效评定级别</w:t>
            </w:r>
          </w:p>
        </w:tc>
        <w:tc>
          <w:tcPr>
            <w:tcW w:w="5761" w:type="dxa"/>
            <w:gridSpan w:val="2"/>
            <w:vAlign w:val="center"/>
          </w:tcPr>
          <w:p w14:paraId="3209080D">
            <w:pPr>
              <w:adjustRightInd w:val="0"/>
              <w:snapToGrid w:val="0"/>
              <w:spacing w:before="120" w:after="60"/>
              <w:jc w:val="center"/>
              <w:rPr>
                <w:rFonts w:hint="eastAsia" w:ascii="宋体" w:hAnsi="宋体" w:cs="宋体"/>
                <w:szCs w:val="21"/>
              </w:rPr>
            </w:pPr>
            <w:r>
              <w:rPr>
                <w:rFonts w:hint="eastAsia" w:ascii="宋体" w:hAnsi="宋体" w:cs="宋体"/>
                <w:szCs w:val="21"/>
              </w:rPr>
              <w:t>优</w:t>
            </w:r>
          </w:p>
        </w:tc>
      </w:tr>
      <w:tr w14:paraId="2DDB4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40" w:hRule="atLeast"/>
          <w:jc w:val="center"/>
        </w:trPr>
        <w:tc>
          <w:tcPr>
            <w:tcW w:w="2918" w:type="dxa"/>
            <w:vAlign w:val="center"/>
          </w:tcPr>
          <w:p w14:paraId="0D0932A7">
            <w:pPr>
              <w:adjustRightInd w:val="0"/>
              <w:snapToGrid w:val="0"/>
              <w:spacing w:before="120" w:after="60"/>
              <w:jc w:val="center"/>
              <w:rPr>
                <w:rFonts w:hint="eastAsia" w:ascii="宋体" w:hAnsi="宋体" w:cs="宋体"/>
                <w:szCs w:val="21"/>
              </w:rPr>
            </w:pPr>
            <w:r>
              <w:rPr>
                <w:rFonts w:hint="eastAsia" w:ascii="宋体" w:hAnsi="宋体" w:cs="宋体"/>
                <w:szCs w:val="21"/>
              </w:rPr>
              <w:t>绩效级别</w:t>
            </w:r>
          </w:p>
        </w:tc>
        <w:tc>
          <w:tcPr>
            <w:tcW w:w="5761" w:type="dxa"/>
            <w:gridSpan w:val="2"/>
            <w:vAlign w:val="center"/>
          </w:tcPr>
          <w:p w14:paraId="34E8EB43">
            <w:pPr>
              <w:jc w:val="left"/>
              <w:rPr>
                <w:rFonts w:hint="eastAsia" w:ascii="宋体" w:hAnsi="宋体" w:cs="宋体"/>
                <w:szCs w:val="21"/>
              </w:rPr>
            </w:pPr>
            <w:r>
              <w:rPr>
                <w:rFonts w:hint="eastAsia" w:ascii="宋体" w:hAnsi="宋体" w:cs="宋体"/>
                <w:szCs w:val="21"/>
              </w:rPr>
              <w:t>优(90分以上)          良(80-90分)</w:t>
            </w:r>
          </w:p>
          <w:p w14:paraId="669644D3">
            <w:pPr>
              <w:adjustRightInd w:val="0"/>
              <w:snapToGrid w:val="0"/>
              <w:spacing w:before="120" w:after="60"/>
              <w:jc w:val="left"/>
              <w:rPr>
                <w:rFonts w:hint="eastAsia" w:ascii="宋体" w:hAnsi="宋体" w:cs="宋体"/>
                <w:szCs w:val="21"/>
              </w:rPr>
            </w:pPr>
            <w:r>
              <w:rPr>
                <w:rFonts w:hint="eastAsia" w:ascii="宋体" w:hAnsi="宋体" w:cs="宋体"/>
                <w:szCs w:val="21"/>
              </w:rPr>
              <w:t>中（60-80分）         差（60分以下）</w:t>
            </w:r>
          </w:p>
        </w:tc>
      </w:tr>
    </w:tbl>
    <w:p w14:paraId="50C75B96">
      <w:pPr>
        <w:spacing w:before="156" w:beforeLines="50" w:line="600" w:lineRule="exact"/>
        <w:ind w:firstLine="640" w:firstLineChars="200"/>
        <w:outlineLvl w:val="1"/>
        <w:rPr>
          <w:rFonts w:ascii="楷体_GB2312" w:eastAsia="楷体_GB2312"/>
          <w:sz w:val="32"/>
          <w:szCs w:val="32"/>
          <w:highlight w:val="none"/>
        </w:rPr>
      </w:pPr>
      <w:bookmarkStart w:id="50" w:name="_Toc5105"/>
      <w:bookmarkStart w:id="51" w:name="_Toc28113"/>
      <w:r>
        <w:rPr>
          <w:rFonts w:hint="eastAsia" w:ascii="楷体_GB2312" w:eastAsia="楷体_GB2312"/>
          <w:sz w:val="32"/>
          <w:szCs w:val="32"/>
          <w:highlight w:val="none"/>
        </w:rPr>
        <w:t>（二）存在的问题及原因分析</w:t>
      </w:r>
      <w:bookmarkEnd w:id="50"/>
      <w:bookmarkEnd w:id="51"/>
    </w:p>
    <w:p w14:paraId="0B115FF7">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1.绩效目标填报质量需进一步提高</w:t>
      </w:r>
    </w:p>
    <w:p w14:paraId="349B2B5F">
      <w:pPr>
        <w:spacing w:line="600" w:lineRule="exact"/>
        <w:ind w:firstLine="640" w:firstLineChars="200"/>
      </w:pPr>
      <w:r>
        <w:rPr>
          <w:rFonts w:hint="eastAsia" w:ascii="仿宋_GB2312" w:hAnsi="仿宋" w:eastAsia="仿宋_GB2312"/>
          <w:sz w:val="32"/>
          <w:szCs w:val="32"/>
        </w:rPr>
        <w:t>石景山区人民法院部门整体支出绩效目标和项目绩效目标设定依据较充分，绩效指标较为完整。但</w:t>
      </w:r>
      <w:r>
        <w:rPr>
          <w:rFonts w:hint="eastAsia" w:ascii="仿宋_GB2312" w:hAnsi="宋体" w:eastAsia="仿宋_GB2312" w:cs="宋体"/>
          <w:color w:val="000000"/>
          <w:kern w:val="0"/>
          <w:sz w:val="32"/>
          <w:szCs w:val="32"/>
        </w:rPr>
        <w:t>年度重点任务目标不够清晰、完整，绩效指标和指标值细化、量化不足，难以体现部门履职效率、效能</w:t>
      </w:r>
      <w:r>
        <w:rPr>
          <w:rFonts w:hint="eastAsia" w:ascii="仿宋_GB2312" w:hAnsi="仿宋" w:eastAsia="仿宋_GB2312"/>
          <w:sz w:val="32"/>
          <w:szCs w:val="32"/>
        </w:rPr>
        <w:t>；个别项目编制的绩效目标存在细化程度不足、涵盖内容不全面、可衡量性不足等问题。</w:t>
      </w:r>
    </w:p>
    <w:p w14:paraId="3FDBAE88">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2.绩效实现情况佐证材料不够充分</w:t>
      </w:r>
    </w:p>
    <w:p w14:paraId="69C37B22">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单位相关工作成果绩效资料留存、收集不够充分，一是在审结案件、调解案件、审判执行文书、推进诉讼服务现代化建设以及强化民生司法保障等方面部门绩效实现情况的证明材料需要注意收集、保存；二是石景山区人民法院2024年度未针对多元调解对象、知网数据库使用人员等服务对象开展满意度调查工作，完成工作的满意度缺少数据、材料支撑。</w:t>
      </w:r>
    </w:p>
    <w:p w14:paraId="0B57BE7E">
      <w:pPr>
        <w:spacing w:line="600" w:lineRule="exact"/>
        <w:ind w:firstLine="640" w:firstLineChars="200"/>
        <w:outlineLvl w:val="0"/>
        <w:rPr>
          <w:rFonts w:hint="eastAsia" w:ascii="黑体" w:hAnsi="黑体" w:eastAsia="黑体" w:cs="宋体"/>
          <w:color w:val="000000"/>
          <w:kern w:val="0"/>
          <w:sz w:val="32"/>
          <w:szCs w:val="32"/>
          <w:highlight w:val="none"/>
        </w:rPr>
      </w:pPr>
      <w:bookmarkStart w:id="52" w:name="_Toc10908"/>
      <w:bookmarkStart w:id="53" w:name="_Toc16335"/>
      <w:r>
        <w:rPr>
          <w:rFonts w:hint="eastAsia" w:ascii="黑体" w:hAnsi="黑体" w:eastAsia="黑体" w:cs="宋体"/>
          <w:color w:val="000000"/>
          <w:kern w:val="0"/>
          <w:sz w:val="32"/>
          <w:szCs w:val="32"/>
          <w:highlight w:val="none"/>
        </w:rPr>
        <w:t>六、措施建议</w:t>
      </w:r>
      <w:bookmarkEnd w:id="52"/>
      <w:bookmarkEnd w:id="53"/>
    </w:p>
    <w:p w14:paraId="403393E8">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一）建议注重顶层设计，按照财政部门要求填报部门整体绩效目标，全面反映石景山区人民法院部门职责和年度重点工作和预期效果。同时，提高项目指标设定的细化和量化程度，保证数量、质量、满意度等相关指标的可衡量性。</w:t>
      </w:r>
    </w:p>
    <w:p w14:paraId="15BE0499">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二）建议进一步完善项目管理制度体系，细化项目管理要求，明确项目的具体组织实施、职责分工、执行标准、过程控制、资金支付及总结验收等规定，以保证项目在实施过程中能够有章可循，有据可依，提高项目开展的规范性和有效性，便于对项目质量进行监督检查和验收考核。</w:t>
      </w:r>
    </w:p>
    <w:p w14:paraId="35C328D7">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三）建议进一步提升预算绩效管理意识，提升绩效评价工作水平。一是注重收集和梳理部门履职产出、效果相关的资料，为部门绩效提供更加全面的支撑；二是注重开展满意度调查工作，通过被调查人员的反馈来促进部门工作改进提升。</w:t>
      </w:r>
    </w:p>
    <w:p w14:paraId="1B028FFB">
      <w:pPr>
        <w:spacing w:line="600" w:lineRule="exact"/>
        <w:ind w:firstLine="640" w:firstLineChars="200"/>
        <w:outlineLvl w:val="0"/>
        <w:rPr>
          <w:rFonts w:hint="eastAsia" w:ascii="黑体" w:hAnsi="黑体" w:eastAsia="黑体" w:cs="宋体"/>
          <w:color w:val="000000"/>
          <w:kern w:val="0"/>
          <w:sz w:val="32"/>
          <w:szCs w:val="32"/>
        </w:rPr>
      </w:pPr>
      <w:bookmarkStart w:id="54" w:name="_Toc19973"/>
      <w:r>
        <w:rPr>
          <w:rFonts w:hint="eastAsia" w:ascii="黑体" w:hAnsi="黑体" w:eastAsia="黑体" w:cs="宋体"/>
          <w:color w:val="000000"/>
          <w:kern w:val="0"/>
          <w:sz w:val="32"/>
          <w:szCs w:val="32"/>
        </w:rPr>
        <w:t>七、附件</w:t>
      </w:r>
      <w:bookmarkEnd w:id="12"/>
      <w:bookmarkEnd w:id="54"/>
    </w:p>
    <w:p w14:paraId="4C5A5BC9">
      <w:pPr>
        <w:spacing w:line="600" w:lineRule="exact"/>
        <w:ind w:firstLine="641"/>
        <w:rPr>
          <w:rFonts w:hint="eastAsia" w:ascii="仿宋_GB2312" w:hAnsi="仿宋_GB2312" w:eastAsia="仿宋_GB2312" w:cs="仿宋_GB2312"/>
          <w:sz w:val="32"/>
          <w:szCs w:val="32"/>
        </w:rPr>
      </w:pPr>
      <w:bookmarkStart w:id="55" w:name="_Toc493771738"/>
      <w:bookmarkStart w:id="56" w:name="_Toc493771734"/>
      <w:bookmarkStart w:id="57" w:name="_Toc455558626"/>
      <w:r>
        <w:rPr>
          <w:rFonts w:hint="eastAsia" w:ascii="仿宋_GB2312" w:hAnsi="仿宋_GB2312" w:eastAsia="仿宋_GB2312" w:cs="仿宋_GB2312"/>
          <w:sz w:val="32"/>
          <w:szCs w:val="32"/>
        </w:rPr>
        <w:t>1.</w:t>
      </w:r>
      <w:bookmarkEnd w:id="55"/>
      <w:r>
        <w:rPr>
          <w:rFonts w:hint="eastAsia" w:ascii="仿宋_GB2312" w:hAnsi="仿宋_GB2312" w:eastAsia="仿宋_GB2312" w:cs="仿宋_GB2312"/>
          <w:sz w:val="32"/>
          <w:szCs w:val="32"/>
        </w:rPr>
        <w:t>2024年石景山区人民法院部门收入支出决算总表</w:t>
      </w:r>
    </w:p>
    <w:p w14:paraId="4180126C">
      <w:pPr>
        <w:spacing w:line="600" w:lineRule="exact"/>
        <w:ind w:firstLine="641"/>
        <w:rPr>
          <w:rFonts w:hint="eastAsia" w:ascii="仿宋_GB2312" w:hAnsi="仿宋_GB2312" w:eastAsia="仿宋_GB2312" w:cs="仿宋_GB2312"/>
          <w:sz w:val="32"/>
          <w:szCs w:val="32"/>
        </w:rPr>
      </w:pPr>
      <w:bookmarkStart w:id="58" w:name="_Toc455558634"/>
      <w:bookmarkStart w:id="59" w:name="_Toc493771739"/>
      <w:r>
        <w:rPr>
          <w:rFonts w:hint="eastAsia" w:ascii="仿宋_GB2312" w:hAnsi="仿宋_GB2312" w:eastAsia="仿宋_GB2312" w:cs="仿宋_GB2312"/>
          <w:sz w:val="32"/>
          <w:szCs w:val="32"/>
        </w:rPr>
        <w:t>2.</w:t>
      </w:r>
      <w:bookmarkEnd w:id="58"/>
      <w:bookmarkEnd w:id="59"/>
      <w:r>
        <w:rPr>
          <w:rFonts w:hint="eastAsia" w:ascii="仿宋_GB2312" w:hAnsi="仿宋_GB2312" w:eastAsia="仿宋_GB2312" w:cs="仿宋_GB2312"/>
          <w:sz w:val="32"/>
          <w:szCs w:val="32"/>
        </w:rPr>
        <w:t>2024年石景山区人民法院部门整体绩效评价指标体系评分表</w:t>
      </w:r>
    </w:p>
    <w:bookmarkEnd w:id="56"/>
    <w:bookmarkEnd w:id="57"/>
    <w:p w14:paraId="694FA25B">
      <w:pPr>
        <w:rPr>
          <w:rFonts w:hint="eastAsia" w:ascii="仿宋_GB2312" w:hAnsi="仿宋" w:eastAsia="仿宋_GB2312"/>
          <w:sz w:val="32"/>
          <w:szCs w:val="32"/>
        </w:rPr>
      </w:pPr>
    </w:p>
    <w:p w14:paraId="2F147731">
      <w:pPr>
        <w:pStyle w:val="7"/>
        <w:rPr>
          <w:rFonts w:hint="eastAsia" w:ascii="仿宋_GB2312" w:hAnsi="仿宋" w:eastAsia="仿宋_GB2312"/>
          <w:sz w:val="32"/>
          <w:szCs w:val="32"/>
        </w:rPr>
      </w:pPr>
    </w:p>
    <w:p w14:paraId="3F2D6F7D">
      <w:pPr>
        <w:rPr>
          <w:rFonts w:hint="eastAsia" w:ascii="仿宋_GB2312" w:hAnsi="仿宋" w:eastAsia="仿宋_GB2312"/>
          <w:sz w:val="32"/>
          <w:szCs w:val="32"/>
        </w:rPr>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pPr>
    </w:p>
    <w:p w14:paraId="4D1ADC56">
      <w:pPr>
        <w:pStyle w:val="7"/>
      </w:pPr>
      <w:r>
        <w:rPr>
          <w:rFonts w:hint="eastAsia"/>
        </w:rPr>
        <w:t>附件1：</w:t>
      </w:r>
    </w:p>
    <w:tbl>
      <w:tblPr>
        <w:tblStyle w:val="16"/>
        <w:tblW w:w="4895" w:type="pct"/>
        <w:jc w:val="center"/>
        <w:tblLayout w:type="fixed"/>
        <w:tblCellMar>
          <w:top w:w="0" w:type="dxa"/>
          <w:left w:w="108" w:type="dxa"/>
          <w:bottom w:w="0" w:type="dxa"/>
          <w:right w:w="108" w:type="dxa"/>
        </w:tblCellMar>
      </w:tblPr>
      <w:tblGrid>
        <w:gridCol w:w="3508"/>
        <w:gridCol w:w="2112"/>
        <w:gridCol w:w="3984"/>
        <w:gridCol w:w="4275"/>
      </w:tblGrid>
      <w:tr w14:paraId="47706282">
        <w:tblPrEx>
          <w:tblCellMar>
            <w:top w:w="0" w:type="dxa"/>
            <w:left w:w="108" w:type="dxa"/>
            <w:bottom w:w="0" w:type="dxa"/>
            <w:right w:w="108" w:type="dxa"/>
          </w:tblCellMar>
        </w:tblPrEx>
        <w:trPr>
          <w:trHeight w:val="587" w:hRule="atLeast"/>
          <w:jc w:val="center"/>
        </w:trPr>
        <w:tc>
          <w:tcPr>
            <w:tcW w:w="13879" w:type="dxa"/>
            <w:gridSpan w:val="4"/>
            <w:tcBorders>
              <w:top w:val="nil"/>
              <w:left w:val="nil"/>
              <w:bottom w:val="nil"/>
              <w:right w:val="nil"/>
            </w:tcBorders>
            <w:shd w:val="clear" w:color="auto" w:fill="auto"/>
            <w:noWrap/>
            <w:vAlign w:val="center"/>
          </w:tcPr>
          <w:p w14:paraId="1A83A57D">
            <w:pPr>
              <w:keepNext w:val="0"/>
              <w:keepLines w:val="0"/>
              <w:widowControl/>
              <w:suppressLineNumbers w:val="0"/>
              <w:jc w:val="center"/>
              <w:textAlignment w:val="center"/>
              <w:rPr>
                <w:rFonts w:hint="eastAsia" w:ascii="宋体" w:hAnsi="宋体" w:cs="宋体"/>
                <w:color w:val="000000"/>
                <w:sz w:val="15"/>
                <w:szCs w:val="15"/>
                <w:highlight w:val="green"/>
              </w:rPr>
            </w:pPr>
            <w:r>
              <w:rPr>
                <w:rFonts w:hint="eastAsia" w:ascii="宋体" w:hAnsi="宋体" w:eastAsia="宋体" w:cs="宋体"/>
                <w:b/>
                <w:bCs/>
                <w:i w:val="0"/>
                <w:iCs w:val="0"/>
                <w:color w:val="000000"/>
                <w:kern w:val="0"/>
                <w:sz w:val="28"/>
                <w:szCs w:val="28"/>
                <w:u w:val="none"/>
                <w:lang w:val="en-US" w:eastAsia="zh-CN" w:bidi="ar"/>
              </w:rPr>
              <w:t>收入支出决算总表</w:t>
            </w:r>
          </w:p>
        </w:tc>
      </w:tr>
      <w:tr w14:paraId="72720017">
        <w:tblPrEx>
          <w:tblCellMar>
            <w:top w:w="0" w:type="dxa"/>
            <w:left w:w="108" w:type="dxa"/>
            <w:bottom w:w="0" w:type="dxa"/>
            <w:right w:w="108" w:type="dxa"/>
          </w:tblCellMar>
        </w:tblPrEx>
        <w:trPr>
          <w:trHeight w:val="233" w:hRule="atLeast"/>
          <w:jc w:val="center"/>
        </w:trPr>
        <w:tc>
          <w:tcPr>
            <w:tcW w:w="9604" w:type="dxa"/>
            <w:gridSpan w:val="3"/>
            <w:tcBorders>
              <w:top w:val="single" w:color="000000" w:sz="4" w:space="0"/>
              <w:left w:val="single" w:color="000000" w:sz="4" w:space="0"/>
              <w:bottom w:val="single" w:color="000000" w:sz="4" w:space="0"/>
              <w:right w:val="single" w:color="000000" w:sz="4" w:space="0"/>
            </w:tcBorders>
            <w:shd w:val="clear" w:color="FFFFFF" w:fill="C0C0C0"/>
            <w:noWrap/>
            <w:vAlign w:val="bottom"/>
          </w:tcPr>
          <w:p w14:paraId="5C6A5BFC">
            <w:r>
              <w:rPr>
                <w:rFonts w:hint="eastAsia" w:ascii="宋体" w:hAnsi="宋体" w:eastAsia="宋体" w:cs="宋体"/>
                <w:b/>
                <w:bCs/>
                <w:i w:val="0"/>
                <w:iCs w:val="0"/>
                <w:color w:val="000000"/>
                <w:kern w:val="0"/>
                <w:sz w:val="22"/>
                <w:szCs w:val="22"/>
                <w:u w:val="none"/>
                <w:lang w:val="en-US" w:eastAsia="zh-CN" w:bidi="ar"/>
              </w:rPr>
              <w:t>单位名称：北京市石景山区人民法院</w:t>
            </w:r>
          </w:p>
        </w:tc>
        <w:tc>
          <w:tcPr>
            <w:tcW w:w="4275" w:type="dxa"/>
            <w:tcBorders>
              <w:top w:val="single" w:color="000000" w:sz="4" w:space="0"/>
              <w:left w:val="nil"/>
              <w:bottom w:val="single" w:color="000000" w:sz="4" w:space="0"/>
              <w:right w:val="single" w:color="000000" w:sz="4" w:space="0"/>
            </w:tcBorders>
            <w:shd w:val="clear" w:color="FFFFFF" w:fill="C0C0C0"/>
            <w:noWrap/>
            <w:vAlign w:val="bottom"/>
          </w:tcPr>
          <w:p w14:paraId="218B96EE">
            <w:pPr>
              <w:keepNext w:val="0"/>
              <w:keepLines w:val="0"/>
              <w:widowControl/>
              <w:suppressLineNumbers w:val="0"/>
              <w:jc w:val="right"/>
              <w:textAlignment w:val="bottom"/>
            </w:pPr>
            <w:r>
              <w:rPr>
                <w:rFonts w:hint="eastAsia" w:ascii="宋体" w:hAnsi="宋体" w:eastAsia="宋体" w:cs="宋体"/>
                <w:b/>
                <w:bCs/>
                <w:i w:val="0"/>
                <w:iCs w:val="0"/>
                <w:color w:val="000000"/>
                <w:kern w:val="0"/>
                <w:sz w:val="22"/>
                <w:szCs w:val="22"/>
                <w:u w:val="none"/>
                <w:lang w:val="en-US" w:eastAsia="zh-CN" w:bidi="ar"/>
              </w:rPr>
              <w:t>单位:万元</w:t>
            </w:r>
          </w:p>
        </w:tc>
      </w:tr>
      <w:tr w14:paraId="040DBDB3">
        <w:tblPrEx>
          <w:tblCellMar>
            <w:top w:w="0" w:type="dxa"/>
            <w:left w:w="108" w:type="dxa"/>
            <w:bottom w:w="0" w:type="dxa"/>
            <w:right w:w="108" w:type="dxa"/>
          </w:tblCellMar>
        </w:tblPrEx>
        <w:trPr>
          <w:trHeight w:val="199" w:hRule="atLeast"/>
          <w:jc w:val="center"/>
        </w:trPr>
        <w:tc>
          <w:tcPr>
            <w:tcW w:w="5620" w:type="dxa"/>
            <w:gridSpan w:val="2"/>
            <w:tcBorders>
              <w:top w:val="nil"/>
              <w:left w:val="single" w:color="000000" w:sz="4" w:space="0"/>
              <w:bottom w:val="single" w:color="000000" w:sz="4" w:space="0"/>
              <w:right w:val="single" w:color="000000" w:sz="4" w:space="0"/>
            </w:tcBorders>
            <w:shd w:val="clear" w:color="FFFFFF" w:fill="C0C0C0"/>
            <w:noWrap/>
            <w:vAlign w:val="center"/>
          </w:tcPr>
          <w:p w14:paraId="4DF2EBAD">
            <w:pPr>
              <w:keepNext w:val="0"/>
              <w:keepLines w:val="0"/>
              <w:widowControl/>
              <w:suppressLineNumbers w:val="0"/>
              <w:jc w:val="center"/>
              <w:textAlignment w:val="center"/>
              <w:rPr>
                <w:rFonts w:hint="eastAsia" w:ascii="宋体" w:hAnsi="宋体" w:cs="宋体"/>
                <w:color w:val="000000"/>
                <w:sz w:val="13"/>
                <w:szCs w:val="13"/>
              </w:rPr>
            </w:pPr>
            <w:r>
              <w:rPr>
                <w:rFonts w:hint="eastAsia" w:ascii="宋体" w:hAnsi="宋体" w:eastAsia="宋体" w:cs="宋体"/>
                <w:b/>
                <w:bCs/>
                <w:i w:val="0"/>
                <w:iCs w:val="0"/>
                <w:color w:val="000000"/>
                <w:kern w:val="0"/>
                <w:sz w:val="22"/>
                <w:szCs w:val="22"/>
                <w:u w:val="none"/>
                <w:lang w:val="en-US" w:eastAsia="zh-CN" w:bidi="ar"/>
              </w:rPr>
              <w:t>收入</w:t>
            </w:r>
          </w:p>
        </w:tc>
        <w:tc>
          <w:tcPr>
            <w:tcW w:w="8259" w:type="dxa"/>
            <w:gridSpan w:val="2"/>
            <w:tcBorders>
              <w:top w:val="nil"/>
              <w:left w:val="nil"/>
              <w:bottom w:val="single" w:color="000000" w:sz="4" w:space="0"/>
              <w:right w:val="single" w:color="000000" w:sz="4" w:space="0"/>
            </w:tcBorders>
            <w:shd w:val="clear" w:color="FFFFFF" w:fill="C0C0C0"/>
            <w:noWrap/>
            <w:vAlign w:val="center"/>
          </w:tcPr>
          <w:p w14:paraId="2E8A2081">
            <w:pPr>
              <w:keepNext w:val="0"/>
              <w:keepLines w:val="0"/>
              <w:widowControl/>
              <w:suppressLineNumbers w:val="0"/>
              <w:jc w:val="center"/>
              <w:textAlignment w:val="center"/>
              <w:rPr>
                <w:rFonts w:hint="eastAsia" w:ascii="宋体" w:hAnsi="宋体" w:cs="宋体"/>
                <w:color w:val="000000"/>
                <w:sz w:val="13"/>
                <w:szCs w:val="13"/>
              </w:rPr>
            </w:pPr>
            <w:r>
              <w:rPr>
                <w:rFonts w:hint="eastAsia" w:ascii="宋体" w:hAnsi="宋体" w:eastAsia="宋体" w:cs="宋体"/>
                <w:b/>
                <w:bCs/>
                <w:i w:val="0"/>
                <w:iCs w:val="0"/>
                <w:color w:val="000000"/>
                <w:kern w:val="0"/>
                <w:sz w:val="22"/>
                <w:szCs w:val="22"/>
                <w:u w:val="none"/>
                <w:lang w:val="en-US" w:eastAsia="zh-CN" w:bidi="ar"/>
              </w:rPr>
              <w:t>支出</w:t>
            </w:r>
          </w:p>
        </w:tc>
      </w:tr>
      <w:tr w14:paraId="34206C2A">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2A22D706">
            <w:pPr>
              <w:keepNext w:val="0"/>
              <w:keepLines w:val="0"/>
              <w:widowControl/>
              <w:suppressLineNumbers w:val="0"/>
              <w:jc w:val="center"/>
              <w:textAlignment w:val="center"/>
              <w:rPr>
                <w:rFonts w:hint="eastAsia" w:ascii="宋体" w:hAnsi="宋体" w:cs="宋体"/>
                <w:color w:val="000000"/>
                <w:sz w:val="13"/>
                <w:szCs w:val="13"/>
              </w:rPr>
            </w:pPr>
            <w:r>
              <w:rPr>
                <w:rFonts w:hint="eastAsia" w:ascii="宋体" w:hAnsi="宋体" w:eastAsia="宋体" w:cs="宋体"/>
                <w:b/>
                <w:bCs/>
                <w:i w:val="0"/>
                <w:iCs w:val="0"/>
                <w:color w:val="000000"/>
                <w:kern w:val="0"/>
                <w:sz w:val="22"/>
                <w:szCs w:val="22"/>
                <w:u w:val="none"/>
                <w:lang w:val="en-US" w:eastAsia="zh-CN" w:bidi="ar"/>
              </w:rPr>
              <w:t>项目</w:t>
            </w:r>
          </w:p>
        </w:tc>
        <w:tc>
          <w:tcPr>
            <w:tcW w:w="2112" w:type="dxa"/>
            <w:tcBorders>
              <w:top w:val="nil"/>
              <w:left w:val="nil"/>
              <w:bottom w:val="single" w:color="000000" w:sz="4" w:space="0"/>
              <w:right w:val="single" w:color="000000" w:sz="4" w:space="0"/>
            </w:tcBorders>
            <w:shd w:val="clear" w:color="FFFFFF" w:fill="C0C0C0"/>
            <w:noWrap/>
            <w:vAlign w:val="center"/>
          </w:tcPr>
          <w:p w14:paraId="159FC717">
            <w:pPr>
              <w:keepNext w:val="0"/>
              <w:keepLines w:val="0"/>
              <w:widowControl/>
              <w:suppressLineNumbers w:val="0"/>
              <w:jc w:val="center"/>
              <w:textAlignment w:val="center"/>
              <w:rPr>
                <w:rFonts w:hint="eastAsia" w:ascii="宋体" w:hAnsi="宋体" w:cs="宋体"/>
                <w:color w:val="000000"/>
                <w:sz w:val="13"/>
                <w:szCs w:val="13"/>
              </w:rPr>
            </w:pPr>
            <w:r>
              <w:rPr>
                <w:rFonts w:hint="eastAsia" w:ascii="宋体" w:hAnsi="宋体" w:eastAsia="宋体" w:cs="宋体"/>
                <w:b/>
                <w:bCs/>
                <w:i w:val="0"/>
                <w:iCs w:val="0"/>
                <w:color w:val="000000"/>
                <w:kern w:val="0"/>
                <w:sz w:val="22"/>
                <w:szCs w:val="22"/>
                <w:u w:val="none"/>
                <w:lang w:val="en-US" w:eastAsia="zh-CN" w:bidi="ar"/>
              </w:rPr>
              <w:t>决算数</w:t>
            </w:r>
          </w:p>
        </w:tc>
        <w:tc>
          <w:tcPr>
            <w:tcW w:w="3984" w:type="dxa"/>
            <w:tcBorders>
              <w:top w:val="nil"/>
              <w:left w:val="nil"/>
              <w:bottom w:val="single" w:color="000000" w:sz="4" w:space="0"/>
              <w:right w:val="single" w:color="000000" w:sz="4" w:space="0"/>
            </w:tcBorders>
            <w:shd w:val="clear" w:color="FFFFFF" w:fill="C0C0C0"/>
            <w:noWrap/>
            <w:vAlign w:val="center"/>
          </w:tcPr>
          <w:p w14:paraId="2DA582E4">
            <w:pPr>
              <w:keepNext w:val="0"/>
              <w:keepLines w:val="0"/>
              <w:widowControl/>
              <w:suppressLineNumbers w:val="0"/>
              <w:jc w:val="center"/>
              <w:textAlignment w:val="center"/>
              <w:rPr>
                <w:rFonts w:hint="eastAsia" w:ascii="宋体" w:hAnsi="宋体" w:cs="宋体"/>
                <w:color w:val="000000"/>
                <w:sz w:val="13"/>
                <w:szCs w:val="13"/>
              </w:rPr>
            </w:pPr>
            <w:r>
              <w:rPr>
                <w:rFonts w:hint="eastAsia" w:ascii="宋体" w:hAnsi="宋体" w:eastAsia="宋体" w:cs="宋体"/>
                <w:b/>
                <w:bCs/>
                <w:i w:val="0"/>
                <w:iCs w:val="0"/>
                <w:color w:val="000000"/>
                <w:kern w:val="0"/>
                <w:sz w:val="22"/>
                <w:szCs w:val="22"/>
                <w:u w:val="none"/>
                <w:lang w:val="en-US" w:eastAsia="zh-CN" w:bidi="ar"/>
              </w:rPr>
              <w:t>项目（按功能分类）</w:t>
            </w:r>
          </w:p>
        </w:tc>
        <w:tc>
          <w:tcPr>
            <w:tcW w:w="4275" w:type="dxa"/>
            <w:tcBorders>
              <w:top w:val="nil"/>
              <w:left w:val="nil"/>
              <w:bottom w:val="single" w:color="000000" w:sz="4" w:space="0"/>
              <w:right w:val="single" w:color="000000" w:sz="4" w:space="0"/>
            </w:tcBorders>
            <w:shd w:val="clear" w:color="FFFFFF" w:fill="C0C0C0"/>
            <w:noWrap/>
            <w:vAlign w:val="center"/>
          </w:tcPr>
          <w:p w14:paraId="0C6FB286">
            <w:pPr>
              <w:keepNext w:val="0"/>
              <w:keepLines w:val="0"/>
              <w:widowControl/>
              <w:suppressLineNumbers w:val="0"/>
              <w:jc w:val="center"/>
              <w:textAlignment w:val="center"/>
              <w:rPr>
                <w:rFonts w:hint="eastAsia" w:ascii="宋体" w:hAnsi="宋体" w:cs="宋体"/>
                <w:color w:val="000000"/>
                <w:sz w:val="13"/>
                <w:szCs w:val="13"/>
              </w:rPr>
            </w:pPr>
            <w:r>
              <w:rPr>
                <w:rFonts w:hint="eastAsia" w:ascii="宋体" w:hAnsi="宋体" w:eastAsia="宋体" w:cs="宋体"/>
                <w:b/>
                <w:bCs/>
                <w:i w:val="0"/>
                <w:iCs w:val="0"/>
                <w:color w:val="000000"/>
                <w:kern w:val="0"/>
                <w:sz w:val="22"/>
                <w:szCs w:val="22"/>
                <w:u w:val="none"/>
                <w:lang w:val="en-US" w:eastAsia="zh-CN" w:bidi="ar"/>
              </w:rPr>
              <w:t>决算数</w:t>
            </w:r>
          </w:p>
        </w:tc>
      </w:tr>
      <w:tr w14:paraId="2A0244C1">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356C9F07">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2112" w:type="dxa"/>
            <w:tcBorders>
              <w:top w:val="nil"/>
              <w:left w:val="nil"/>
              <w:bottom w:val="single" w:color="000000" w:sz="4" w:space="0"/>
              <w:right w:val="single" w:color="000000" w:sz="4" w:space="0"/>
            </w:tcBorders>
            <w:shd w:val="clear" w:color="auto" w:fill="auto"/>
            <w:noWrap/>
            <w:vAlign w:val="center"/>
          </w:tcPr>
          <w:p w14:paraId="231DA62A">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14,829.050330</w:t>
            </w:r>
          </w:p>
        </w:tc>
        <w:tc>
          <w:tcPr>
            <w:tcW w:w="3984" w:type="dxa"/>
            <w:tcBorders>
              <w:top w:val="nil"/>
              <w:left w:val="nil"/>
              <w:bottom w:val="single" w:color="000000" w:sz="4" w:space="0"/>
              <w:right w:val="single" w:color="000000" w:sz="4" w:space="0"/>
            </w:tcBorders>
            <w:shd w:val="clear" w:color="FFFFFF" w:fill="C0C0C0"/>
            <w:noWrap/>
            <w:vAlign w:val="center"/>
          </w:tcPr>
          <w:p w14:paraId="437C4BD6">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4275" w:type="dxa"/>
            <w:tcBorders>
              <w:top w:val="nil"/>
              <w:left w:val="nil"/>
              <w:bottom w:val="single" w:color="000000" w:sz="4" w:space="0"/>
              <w:right w:val="single" w:color="000000" w:sz="4" w:space="0"/>
            </w:tcBorders>
            <w:shd w:val="clear" w:color="FFFFFF" w:fill="C0C0C0"/>
            <w:noWrap/>
            <w:vAlign w:val="center"/>
          </w:tcPr>
          <w:p w14:paraId="1EC5EC2D">
            <w:pPr>
              <w:keepNext w:val="0"/>
              <w:keepLines w:val="0"/>
              <w:widowControl/>
              <w:suppressLineNumbers w:val="0"/>
              <w:jc w:val="right"/>
              <w:textAlignment w:val="center"/>
              <w:rPr>
                <w:rFonts w:hint="eastAsia" w:ascii="宋体" w:hAnsi="宋体" w:cs="宋体"/>
                <w:color w:val="000000"/>
                <w:kern w:val="0"/>
                <w:sz w:val="13"/>
                <w:szCs w:val="13"/>
                <w:lang w:bidi="ar"/>
              </w:rPr>
            </w:pPr>
            <w:r>
              <w:rPr>
                <w:rFonts w:hint="eastAsia" w:ascii="宋体" w:hAnsi="宋体" w:eastAsia="宋体" w:cs="宋体"/>
                <w:i w:val="0"/>
                <w:iCs w:val="0"/>
                <w:color w:val="000000"/>
                <w:kern w:val="0"/>
                <w:sz w:val="22"/>
                <w:szCs w:val="22"/>
                <w:u w:val="none"/>
                <w:lang w:val="en-US" w:eastAsia="zh-CN" w:bidi="ar"/>
              </w:rPr>
              <w:t>0.000000</w:t>
            </w:r>
          </w:p>
        </w:tc>
      </w:tr>
      <w:tr w14:paraId="4BAA728D">
        <w:tblPrEx>
          <w:tblCellMar>
            <w:top w:w="0" w:type="dxa"/>
            <w:left w:w="108" w:type="dxa"/>
            <w:bottom w:w="0" w:type="dxa"/>
            <w:right w:w="108" w:type="dxa"/>
          </w:tblCellMar>
        </w:tblPrEx>
        <w:trPr>
          <w:trHeight w:val="16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0EB01D3D">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2112" w:type="dxa"/>
            <w:tcBorders>
              <w:top w:val="nil"/>
              <w:left w:val="nil"/>
              <w:bottom w:val="single" w:color="000000" w:sz="4" w:space="0"/>
              <w:right w:val="single" w:color="000000" w:sz="4" w:space="0"/>
            </w:tcBorders>
            <w:shd w:val="clear" w:color="auto" w:fill="auto"/>
            <w:noWrap/>
            <w:vAlign w:val="center"/>
          </w:tcPr>
          <w:p w14:paraId="155E54FD">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c>
          <w:tcPr>
            <w:tcW w:w="3984" w:type="dxa"/>
            <w:tcBorders>
              <w:top w:val="nil"/>
              <w:left w:val="nil"/>
              <w:bottom w:val="single" w:color="000000" w:sz="4" w:space="0"/>
              <w:right w:val="single" w:color="000000" w:sz="4" w:space="0"/>
            </w:tcBorders>
            <w:shd w:val="clear" w:color="FFFFFF" w:fill="C0C0C0"/>
            <w:noWrap/>
            <w:vAlign w:val="center"/>
          </w:tcPr>
          <w:p w14:paraId="5EEF22FF">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二、外交支出</w:t>
            </w:r>
          </w:p>
        </w:tc>
        <w:tc>
          <w:tcPr>
            <w:tcW w:w="4275" w:type="dxa"/>
            <w:tcBorders>
              <w:top w:val="nil"/>
              <w:left w:val="nil"/>
              <w:bottom w:val="single" w:color="000000" w:sz="4" w:space="0"/>
              <w:right w:val="single" w:color="000000" w:sz="4" w:space="0"/>
            </w:tcBorders>
            <w:shd w:val="clear" w:color="FFFFFF" w:fill="C0C0C0"/>
            <w:noWrap/>
            <w:vAlign w:val="center"/>
          </w:tcPr>
          <w:p w14:paraId="047D080C">
            <w:pPr>
              <w:keepNext w:val="0"/>
              <w:keepLines w:val="0"/>
              <w:widowControl/>
              <w:suppressLineNumbers w:val="0"/>
              <w:jc w:val="right"/>
              <w:textAlignment w:val="center"/>
              <w:rPr>
                <w:rFonts w:hint="eastAsia" w:ascii="宋体" w:hAnsi="宋体" w:cs="宋体"/>
                <w:color w:val="000000"/>
                <w:kern w:val="0"/>
                <w:sz w:val="13"/>
                <w:szCs w:val="13"/>
                <w:lang w:bidi="ar"/>
              </w:rPr>
            </w:pPr>
            <w:r>
              <w:rPr>
                <w:rFonts w:hint="eastAsia" w:ascii="宋体" w:hAnsi="宋体" w:eastAsia="宋体" w:cs="宋体"/>
                <w:i w:val="0"/>
                <w:iCs w:val="0"/>
                <w:color w:val="000000"/>
                <w:kern w:val="0"/>
                <w:sz w:val="22"/>
                <w:szCs w:val="22"/>
                <w:u w:val="none"/>
                <w:lang w:val="en-US" w:eastAsia="zh-CN" w:bidi="ar"/>
              </w:rPr>
              <w:t>0.000000</w:t>
            </w:r>
          </w:p>
        </w:tc>
      </w:tr>
      <w:tr w14:paraId="2CD6BB91">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4D483843">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2112" w:type="dxa"/>
            <w:tcBorders>
              <w:top w:val="nil"/>
              <w:left w:val="nil"/>
              <w:bottom w:val="single" w:color="000000" w:sz="4" w:space="0"/>
              <w:right w:val="single" w:color="000000" w:sz="4" w:space="0"/>
            </w:tcBorders>
            <w:shd w:val="clear" w:color="auto" w:fill="auto"/>
            <w:noWrap/>
            <w:vAlign w:val="center"/>
          </w:tcPr>
          <w:p w14:paraId="66A33FC6">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c>
          <w:tcPr>
            <w:tcW w:w="3984" w:type="dxa"/>
            <w:tcBorders>
              <w:top w:val="nil"/>
              <w:left w:val="nil"/>
              <w:bottom w:val="single" w:color="000000" w:sz="4" w:space="0"/>
              <w:right w:val="single" w:color="000000" w:sz="4" w:space="0"/>
            </w:tcBorders>
            <w:shd w:val="clear" w:color="FFFFFF" w:fill="C0C0C0"/>
            <w:noWrap/>
            <w:vAlign w:val="center"/>
          </w:tcPr>
          <w:p w14:paraId="1FD27C2D">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三、国防支出</w:t>
            </w:r>
          </w:p>
        </w:tc>
        <w:tc>
          <w:tcPr>
            <w:tcW w:w="4275" w:type="dxa"/>
            <w:tcBorders>
              <w:top w:val="nil"/>
              <w:left w:val="nil"/>
              <w:bottom w:val="single" w:color="000000" w:sz="4" w:space="0"/>
              <w:right w:val="single" w:color="000000" w:sz="4" w:space="0"/>
            </w:tcBorders>
            <w:shd w:val="clear" w:color="FFFFFF" w:fill="C0C0C0"/>
            <w:noWrap/>
            <w:vAlign w:val="center"/>
          </w:tcPr>
          <w:p w14:paraId="52735027">
            <w:pPr>
              <w:keepNext w:val="0"/>
              <w:keepLines w:val="0"/>
              <w:widowControl/>
              <w:suppressLineNumbers w:val="0"/>
              <w:jc w:val="right"/>
              <w:textAlignment w:val="center"/>
              <w:rPr>
                <w:rFonts w:hint="eastAsia" w:ascii="宋体" w:hAnsi="宋体" w:cs="宋体"/>
                <w:color w:val="000000"/>
                <w:kern w:val="0"/>
                <w:sz w:val="13"/>
                <w:szCs w:val="13"/>
                <w:lang w:bidi="ar"/>
              </w:rPr>
            </w:pPr>
            <w:r>
              <w:rPr>
                <w:rFonts w:hint="eastAsia" w:ascii="宋体" w:hAnsi="宋体" w:eastAsia="宋体" w:cs="宋体"/>
                <w:i w:val="0"/>
                <w:iCs w:val="0"/>
                <w:color w:val="000000"/>
                <w:kern w:val="0"/>
                <w:sz w:val="22"/>
                <w:szCs w:val="22"/>
                <w:u w:val="none"/>
                <w:lang w:val="en-US" w:eastAsia="zh-CN" w:bidi="ar"/>
              </w:rPr>
              <w:t>0.000000</w:t>
            </w:r>
          </w:p>
        </w:tc>
      </w:tr>
      <w:tr w14:paraId="0ED0DD22">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5584C7D9">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四、上级补助收入</w:t>
            </w:r>
          </w:p>
        </w:tc>
        <w:tc>
          <w:tcPr>
            <w:tcW w:w="2112" w:type="dxa"/>
            <w:tcBorders>
              <w:top w:val="nil"/>
              <w:left w:val="nil"/>
              <w:bottom w:val="single" w:color="000000" w:sz="4" w:space="0"/>
              <w:right w:val="single" w:color="000000" w:sz="4" w:space="0"/>
            </w:tcBorders>
            <w:shd w:val="clear" w:color="auto" w:fill="auto"/>
            <w:noWrap/>
            <w:vAlign w:val="center"/>
          </w:tcPr>
          <w:p w14:paraId="61F3A433">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c>
          <w:tcPr>
            <w:tcW w:w="3984" w:type="dxa"/>
            <w:tcBorders>
              <w:top w:val="nil"/>
              <w:left w:val="nil"/>
              <w:bottom w:val="single" w:color="000000" w:sz="4" w:space="0"/>
              <w:right w:val="single" w:color="000000" w:sz="4" w:space="0"/>
            </w:tcBorders>
            <w:shd w:val="clear" w:color="FFFFFF" w:fill="C0C0C0"/>
            <w:noWrap/>
            <w:vAlign w:val="center"/>
          </w:tcPr>
          <w:p w14:paraId="5AEF2698">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四、公共安全支出</w:t>
            </w:r>
          </w:p>
        </w:tc>
        <w:tc>
          <w:tcPr>
            <w:tcW w:w="4275" w:type="dxa"/>
            <w:tcBorders>
              <w:top w:val="nil"/>
              <w:left w:val="nil"/>
              <w:bottom w:val="single" w:color="000000" w:sz="4" w:space="0"/>
              <w:right w:val="single" w:color="000000" w:sz="4" w:space="0"/>
            </w:tcBorders>
            <w:shd w:val="clear" w:color="FFFFFF" w:fill="C0C0C0"/>
            <w:noWrap/>
            <w:vAlign w:val="center"/>
          </w:tcPr>
          <w:p w14:paraId="53EB8EC4">
            <w:pPr>
              <w:keepNext w:val="0"/>
              <w:keepLines w:val="0"/>
              <w:widowControl/>
              <w:suppressLineNumbers w:val="0"/>
              <w:jc w:val="right"/>
              <w:textAlignment w:val="center"/>
              <w:rPr>
                <w:rFonts w:hint="eastAsia" w:ascii="宋体" w:hAnsi="宋体" w:cs="宋体"/>
                <w:color w:val="000000"/>
                <w:kern w:val="0"/>
                <w:sz w:val="13"/>
                <w:szCs w:val="13"/>
                <w:lang w:bidi="ar"/>
              </w:rPr>
            </w:pPr>
            <w:r>
              <w:rPr>
                <w:rFonts w:hint="eastAsia" w:ascii="宋体" w:hAnsi="宋体" w:eastAsia="宋体" w:cs="宋体"/>
                <w:i w:val="0"/>
                <w:iCs w:val="0"/>
                <w:color w:val="000000"/>
                <w:kern w:val="0"/>
                <w:sz w:val="22"/>
                <w:szCs w:val="22"/>
                <w:u w:val="none"/>
                <w:lang w:val="en-US" w:eastAsia="zh-CN" w:bidi="ar"/>
              </w:rPr>
              <w:t>13,480.630940</w:t>
            </w:r>
          </w:p>
        </w:tc>
      </w:tr>
      <w:tr w14:paraId="08920999">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4C8CFEF4">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五、事业收入</w:t>
            </w:r>
          </w:p>
        </w:tc>
        <w:tc>
          <w:tcPr>
            <w:tcW w:w="2112" w:type="dxa"/>
            <w:tcBorders>
              <w:top w:val="nil"/>
              <w:left w:val="nil"/>
              <w:bottom w:val="single" w:color="000000" w:sz="4" w:space="0"/>
              <w:right w:val="single" w:color="000000" w:sz="4" w:space="0"/>
            </w:tcBorders>
            <w:shd w:val="clear" w:color="auto" w:fill="auto"/>
            <w:noWrap/>
            <w:vAlign w:val="center"/>
          </w:tcPr>
          <w:p w14:paraId="581DC502">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c>
          <w:tcPr>
            <w:tcW w:w="3984" w:type="dxa"/>
            <w:tcBorders>
              <w:top w:val="nil"/>
              <w:left w:val="nil"/>
              <w:bottom w:val="single" w:color="000000" w:sz="4" w:space="0"/>
              <w:right w:val="single" w:color="000000" w:sz="4" w:space="0"/>
            </w:tcBorders>
            <w:shd w:val="clear" w:color="FFFFFF" w:fill="C0C0C0"/>
            <w:noWrap/>
            <w:vAlign w:val="center"/>
          </w:tcPr>
          <w:p w14:paraId="091BCCEC">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五、教育支出</w:t>
            </w:r>
          </w:p>
        </w:tc>
        <w:tc>
          <w:tcPr>
            <w:tcW w:w="4275" w:type="dxa"/>
            <w:tcBorders>
              <w:top w:val="nil"/>
              <w:left w:val="nil"/>
              <w:bottom w:val="single" w:color="000000" w:sz="4" w:space="0"/>
              <w:right w:val="single" w:color="000000" w:sz="4" w:space="0"/>
            </w:tcBorders>
            <w:shd w:val="clear" w:color="FFFFFF" w:fill="C0C0C0"/>
            <w:noWrap/>
            <w:vAlign w:val="center"/>
          </w:tcPr>
          <w:p w14:paraId="5639F5A8">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1.878570</w:t>
            </w:r>
          </w:p>
        </w:tc>
      </w:tr>
      <w:tr w14:paraId="6BA86DB8">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0300E174">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六、经营收入</w:t>
            </w:r>
          </w:p>
        </w:tc>
        <w:tc>
          <w:tcPr>
            <w:tcW w:w="2112" w:type="dxa"/>
            <w:tcBorders>
              <w:top w:val="nil"/>
              <w:left w:val="nil"/>
              <w:bottom w:val="single" w:color="000000" w:sz="4" w:space="0"/>
              <w:right w:val="single" w:color="000000" w:sz="4" w:space="0"/>
            </w:tcBorders>
            <w:shd w:val="clear" w:color="auto" w:fill="auto"/>
            <w:noWrap/>
            <w:vAlign w:val="center"/>
          </w:tcPr>
          <w:p w14:paraId="53D5CF9E">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c>
          <w:tcPr>
            <w:tcW w:w="3984" w:type="dxa"/>
            <w:tcBorders>
              <w:top w:val="nil"/>
              <w:left w:val="nil"/>
              <w:bottom w:val="single" w:color="000000" w:sz="4" w:space="0"/>
              <w:right w:val="single" w:color="000000" w:sz="4" w:space="0"/>
            </w:tcBorders>
            <w:shd w:val="clear" w:color="FFFFFF" w:fill="C0C0C0"/>
            <w:noWrap/>
            <w:vAlign w:val="center"/>
          </w:tcPr>
          <w:p w14:paraId="4C8ACE3F">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六、科学技术支出</w:t>
            </w:r>
          </w:p>
        </w:tc>
        <w:tc>
          <w:tcPr>
            <w:tcW w:w="4275" w:type="dxa"/>
            <w:tcBorders>
              <w:top w:val="nil"/>
              <w:left w:val="nil"/>
              <w:bottom w:val="single" w:color="000000" w:sz="4" w:space="0"/>
              <w:right w:val="single" w:color="000000" w:sz="4" w:space="0"/>
            </w:tcBorders>
            <w:shd w:val="clear" w:color="FFFFFF" w:fill="C0C0C0"/>
            <w:noWrap/>
            <w:vAlign w:val="center"/>
          </w:tcPr>
          <w:p w14:paraId="228F39C8">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r>
      <w:tr w14:paraId="3D857C48">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2D52685A">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2112" w:type="dxa"/>
            <w:tcBorders>
              <w:top w:val="nil"/>
              <w:left w:val="nil"/>
              <w:bottom w:val="single" w:color="000000" w:sz="4" w:space="0"/>
              <w:right w:val="single" w:color="000000" w:sz="4" w:space="0"/>
            </w:tcBorders>
            <w:shd w:val="clear" w:color="auto" w:fill="auto"/>
            <w:noWrap/>
            <w:vAlign w:val="center"/>
          </w:tcPr>
          <w:p w14:paraId="4D7A1312">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c>
          <w:tcPr>
            <w:tcW w:w="3984" w:type="dxa"/>
            <w:tcBorders>
              <w:top w:val="nil"/>
              <w:left w:val="nil"/>
              <w:bottom w:val="single" w:color="000000" w:sz="4" w:space="0"/>
              <w:right w:val="single" w:color="000000" w:sz="4" w:space="0"/>
            </w:tcBorders>
            <w:shd w:val="clear" w:color="FFFFFF" w:fill="C0C0C0"/>
            <w:noWrap/>
            <w:vAlign w:val="center"/>
          </w:tcPr>
          <w:p w14:paraId="5F3A733A">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4275" w:type="dxa"/>
            <w:tcBorders>
              <w:top w:val="nil"/>
              <w:left w:val="nil"/>
              <w:bottom w:val="single" w:color="000000" w:sz="4" w:space="0"/>
              <w:right w:val="single" w:color="000000" w:sz="4" w:space="0"/>
            </w:tcBorders>
            <w:shd w:val="clear" w:color="FFFFFF" w:fill="C0C0C0"/>
            <w:noWrap/>
            <w:vAlign w:val="center"/>
          </w:tcPr>
          <w:p w14:paraId="6F557C11">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r>
      <w:tr w14:paraId="4C737C51">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5172B109">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八、其他收入</w:t>
            </w:r>
          </w:p>
        </w:tc>
        <w:tc>
          <w:tcPr>
            <w:tcW w:w="2112" w:type="dxa"/>
            <w:tcBorders>
              <w:top w:val="nil"/>
              <w:left w:val="nil"/>
              <w:bottom w:val="single" w:color="000000" w:sz="4" w:space="0"/>
              <w:right w:val="single" w:color="000000" w:sz="4" w:space="0"/>
            </w:tcBorders>
            <w:shd w:val="clear" w:color="auto" w:fill="auto"/>
            <w:noWrap/>
            <w:vAlign w:val="center"/>
          </w:tcPr>
          <w:p w14:paraId="37FE8175">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363.840409</w:t>
            </w:r>
          </w:p>
        </w:tc>
        <w:tc>
          <w:tcPr>
            <w:tcW w:w="3984" w:type="dxa"/>
            <w:tcBorders>
              <w:top w:val="nil"/>
              <w:left w:val="nil"/>
              <w:bottom w:val="single" w:color="000000" w:sz="4" w:space="0"/>
              <w:right w:val="single" w:color="000000" w:sz="4" w:space="0"/>
            </w:tcBorders>
            <w:shd w:val="clear" w:color="FFFFFF" w:fill="C0C0C0"/>
            <w:noWrap/>
            <w:vAlign w:val="center"/>
          </w:tcPr>
          <w:p w14:paraId="39B94184">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4275" w:type="dxa"/>
            <w:tcBorders>
              <w:top w:val="nil"/>
              <w:left w:val="nil"/>
              <w:bottom w:val="single" w:color="000000" w:sz="4" w:space="0"/>
              <w:right w:val="single" w:color="000000" w:sz="4" w:space="0"/>
            </w:tcBorders>
            <w:shd w:val="clear" w:color="FFFFFF" w:fill="C0C0C0"/>
            <w:noWrap/>
            <w:vAlign w:val="center"/>
          </w:tcPr>
          <w:p w14:paraId="71C5CDC2">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920.243780</w:t>
            </w:r>
          </w:p>
        </w:tc>
      </w:tr>
      <w:tr w14:paraId="159BD20E">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7921A2A5">
            <w:pPr>
              <w:rPr>
                <w:rFonts w:hint="eastAsia" w:ascii="宋体" w:hAnsi="宋体" w:cs="宋体"/>
                <w:color w:val="000000"/>
                <w:sz w:val="13"/>
                <w:szCs w:val="13"/>
              </w:rPr>
            </w:pPr>
          </w:p>
        </w:tc>
        <w:tc>
          <w:tcPr>
            <w:tcW w:w="2112" w:type="dxa"/>
            <w:tcBorders>
              <w:top w:val="nil"/>
              <w:left w:val="nil"/>
              <w:bottom w:val="single" w:color="000000" w:sz="4" w:space="0"/>
              <w:right w:val="single" w:color="000000" w:sz="4" w:space="0"/>
            </w:tcBorders>
            <w:shd w:val="clear" w:color="auto" w:fill="auto"/>
            <w:noWrap/>
            <w:vAlign w:val="center"/>
          </w:tcPr>
          <w:p w14:paraId="1A698037">
            <w:pPr>
              <w:rPr>
                <w:rFonts w:hint="eastAsia" w:ascii="宋体" w:hAnsi="宋体" w:cs="宋体"/>
                <w:color w:val="000000"/>
                <w:sz w:val="13"/>
                <w:szCs w:val="13"/>
              </w:rPr>
            </w:pPr>
          </w:p>
        </w:tc>
        <w:tc>
          <w:tcPr>
            <w:tcW w:w="3984" w:type="dxa"/>
            <w:tcBorders>
              <w:top w:val="nil"/>
              <w:left w:val="nil"/>
              <w:bottom w:val="single" w:color="000000" w:sz="4" w:space="0"/>
              <w:right w:val="single" w:color="000000" w:sz="4" w:space="0"/>
            </w:tcBorders>
            <w:shd w:val="clear" w:color="FFFFFF" w:fill="C0C0C0"/>
            <w:noWrap/>
            <w:vAlign w:val="center"/>
          </w:tcPr>
          <w:p w14:paraId="5C688396">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九、卫生健康支出</w:t>
            </w:r>
          </w:p>
        </w:tc>
        <w:tc>
          <w:tcPr>
            <w:tcW w:w="4275" w:type="dxa"/>
            <w:tcBorders>
              <w:top w:val="nil"/>
              <w:left w:val="nil"/>
              <w:bottom w:val="single" w:color="000000" w:sz="4" w:space="0"/>
              <w:right w:val="single" w:color="000000" w:sz="4" w:space="0"/>
            </w:tcBorders>
            <w:shd w:val="clear" w:color="FFFFFF" w:fill="C0C0C0"/>
            <w:noWrap/>
            <w:vAlign w:val="center"/>
          </w:tcPr>
          <w:p w14:paraId="609029AE">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747.082606</w:t>
            </w:r>
          </w:p>
        </w:tc>
      </w:tr>
      <w:tr w14:paraId="31E877E8">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4FF31215">
            <w:pPr>
              <w:rPr>
                <w:rFonts w:hint="eastAsia" w:ascii="宋体" w:hAnsi="宋体" w:cs="宋体"/>
                <w:color w:val="000000"/>
                <w:sz w:val="13"/>
                <w:szCs w:val="13"/>
              </w:rPr>
            </w:pPr>
          </w:p>
        </w:tc>
        <w:tc>
          <w:tcPr>
            <w:tcW w:w="2112" w:type="dxa"/>
            <w:tcBorders>
              <w:top w:val="nil"/>
              <w:left w:val="nil"/>
              <w:bottom w:val="single" w:color="000000" w:sz="4" w:space="0"/>
              <w:right w:val="single" w:color="000000" w:sz="4" w:space="0"/>
            </w:tcBorders>
            <w:shd w:val="clear" w:color="auto" w:fill="auto"/>
            <w:noWrap/>
            <w:vAlign w:val="center"/>
          </w:tcPr>
          <w:p w14:paraId="3B097DDB">
            <w:pPr>
              <w:rPr>
                <w:rFonts w:hint="eastAsia" w:ascii="宋体" w:hAnsi="宋体" w:cs="宋体"/>
                <w:color w:val="000000"/>
                <w:sz w:val="13"/>
                <w:szCs w:val="13"/>
              </w:rPr>
            </w:pPr>
          </w:p>
        </w:tc>
        <w:tc>
          <w:tcPr>
            <w:tcW w:w="3984" w:type="dxa"/>
            <w:tcBorders>
              <w:top w:val="nil"/>
              <w:left w:val="nil"/>
              <w:bottom w:val="single" w:color="000000" w:sz="4" w:space="0"/>
              <w:right w:val="single" w:color="000000" w:sz="4" w:space="0"/>
            </w:tcBorders>
            <w:shd w:val="clear" w:color="FFFFFF" w:fill="C0C0C0"/>
            <w:noWrap/>
            <w:vAlign w:val="center"/>
          </w:tcPr>
          <w:p w14:paraId="762E064F">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十、节能环保支出</w:t>
            </w:r>
          </w:p>
        </w:tc>
        <w:tc>
          <w:tcPr>
            <w:tcW w:w="4275" w:type="dxa"/>
            <w:tcBorders>
              <w:top w:val="nil"/>
              <w:left w:val="nil"/>
              <w:bottom w:val="single" w:color="000000" w:sz="4" w:space="0"/>
              <w:right w:val="single" w:color="000000" w:sz="4" w:space="0"/>
            </w:tcBorders>
            <w:shd w:val="clear" w:color="FFFFFF" w:fill="C0C0C0"/>
            <w:noWrap/>
            <w:vAlign w:val="center"/>
          </w:tcPr>
          <w:p w14:paraId="3BD33D6E">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r>
      <w:tr w14:paraId="38261A6E">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25A266E4">
            <w:pPr>
              <w:rPr>
                <w:rFonts w:hint="eastAsia" w:ascii="宋体" w:hAnsi="宋体" w:cs="宋体"/>
                <w:color w:val="000000"/>
                <w:sz w:val="13"/>
                <w:szCs w:val="13"/>
              </w:rPr>
            </w:pPr>
          </w:p>
        </w:tc>
        <w:tc>
          <w:tcPr>
            <w:tcW w:w="2112" w:type="dxa"/>
            <w:tcBorders>
              <w:top w:val="nil"/>
              <w:left w:val="nil"/>
              <w:bottom w:val="single" w:color="000000" w:sz="4" w:space="0"/>
              <w:right w:val="single" w:color="000000" w:sz="4" w:space="0"/>
            </w:tcBorders>
            <w:shd w:val="clear" w:color="auto" w:fill="auto"/>
            <w:noWrap/>
            <w:vAlign w:val="center"/>
          </w:tcPr>
          <w:p w14:paraId="62520AF3">
            <w:pPr>
              <w:rPr>
                <w:rFonts w:hint="eastAsia" w:ascii="宋体" w:hAnsi="宋体" w:cs="宋体"/>
                <w:color w:val="000000"/>
                <w:sz w:val="13"/>
                <w:szCs w:val="13"/>
              </w:rPr>
            </w:pPr>
          </w:p>
        </w:tc>
        <w:tc>
          <w:tcPr>
            <w:tcW w:w="3984" w:type="dxa"/>
            <w:tcBorders>
              <w:top w:val="nil"/>
              <w:left w:val="nil"/>
              <w:bottom w:val="single" w:color="000000" w:sz="4" w:space="0"/>
              <w:right w:val="single" w:color="000000" w:sz="4" w:space="0"/>
            </w:tcBorders>
            <w:shd w:val="clear" w:color="FFFFFF" w:fill="C0C0C0"/>
            <w:noWrap/>
            <w:vAlign w:val="center"/>
          </w:tcPr>
          <w:p w14:paraId="007AE91E">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十一、城乡社区支出</w:t>
            </w:r>
          </w:p>
        </w:tc>
        <w:tc>
          <w:tcPr>
            <w:tcW w:w="4275" w:type="dxa"/>
            <w:tcBorders>
              <w:top w:val="nil"/>
              <w:left w:val="nil"/>
              <w:bottom w:val="single" w:color="000000" w:sz="4" w:space="0"/>
              <w:right w:val="single" w:color="000000" w:sz="4" w:space="0"/>
            </w:tcBorders>
            <w:shd w:val="clear" w:color="FFFFFF" w:fill="C0C0C0"/>
            <w:noWrap/>
            <w:vAlign w:val="center"/>
          </w:tcPr>
          <w:p w14:paraId="7ED478AA">
            <w:pPr>
              <w:keepNext w:val="0"/>
              <w:keepLines w:val="0"/>
              <w:widowControl/>
              <w:suppressLineNumbers w:val="0"/>
              <w:jc w:val="right"/>
              <w:textAlignment w:val="center"/>
              <w:rPr>
                <w:rFonts w:hint="eastAsia" w:ascii="宋体" w:hAnsi="宋体" w:cs="宋体"/>
                <w:color w:val="000000"/>
                <w:kern w:val="0"/>
                <w:sz w:val="13"/>
                <w:szCs w:val="13"/>
                <w:lang w:bidi="ar"/>
              </w:rPr>
            </w:pPr>
            <w:r>
              <w:rPr>
                <w:rFonts w:hint="eastAsia" w:ascii="宋体" w:hAnsi="宋体" w:eastAsia="宋体" w:cs="宋体"/>
                <w:i w:val="0"/>
                <w:iCs w:val="0"/>
                <w:color w:val="000000"/>
                <w:kern w:val="0"/>
                <w:sz w:val="22"/>
                <w:szCs w:val="22"/>
                <w:u w:val="none"/>
                <w:lang w:val="en-US" w:eastAsia="zh-CN" w:bidi="ar"/>
              </w:rPr>
              <w:t>0.000000</w:t>
            </w:r>
          </w:p>
        </w:tc>
      </w:tr>
      <w:tr w14:paraId="62F49C00">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689A02AA">
            <w:pPr>
              <w:rPr>
                <w:rFonts w:hint="eastAsia" w:ascii="宋体" w:hAnsi="宋体" w:cs="宋体"/>
                <w:color w:val="000000"/>
                <w:sz w:val="13"/>
                <w:szCs w:val="13"/>
              </w:rPr>
            </w:pPr>
          </w:p>
        </w:tc>
        <w:tc>
          <w:tcPr>
            <w:tcW w:w="2112" w:type="dxa"/>
            <w:tcBorders>
              <w:top w:val="nil"/>
              <w:left w:val="nil"/>
              <w:bottom w:val="single" w:color="000000" w:sz="4" w:space="0"/>
              <w:right w:val="single" w:color="000000" w:sz="4" w:space="0"/>
            </w:tcBorders>
            <w:shd w:val="clear" w:color="auto" w:fill="auto"/>
            <w:noWrap/>
            <w:vAlign w:val="center"/>
          </w:tcPr>
          <w:p w14:paraId="77652C50">
            <w:pPr>
              <w:rPr>
                <w:rFonts w:hint="eastAsia" w:ascii="宋体" w:hAnsi="宋体" w:cs="宋体"/>
                <w:color w:val="000000"/>
                <w:sz w:val="13"/>
                <w:szCs w:val="13"/>
              </w:rPr>
            </w:pPr>
          </w:p>
        </w:tc>
        <w:tc>
          <w:tcPr>
            <w:tcW w:w="3984" w:type="dxa"/>
            <w:tcBorders>
              <w:top w:val="nil"/>
              <w:left w:val="nil"/>
              <w:bottom w:val="single" w:color="000000" w:sz="4" w:space="0"/>
              <w:right w:val="single" w:color="000000" w:sz="4" w:space="0"/>
            </w:tcBorders>
            <w:shd w:val="clear" w:color="FFFFFF" w:fill="C0C0C0"/>
            <w:noWrap/>
            <w:vAlign w:val="center"/>
          </w:tcPr>
          <w:p w14:paraId="7F62033A">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十二、农林水支出</w:t>
            </w:r>
          </w:p>
        </w:tc>
        <w:tc>
          <w:tcPr>
            <w:tcW w:w="4275" w:type="dxa"/>
            <w:tcBorders>
              <w:top w:val="nil"/>
              <w:left w:val="nil"/>
              <w:bottom w:val="single" w:color="000000" w:sz="4" w:space="0"/>
              <w:right w:val="single" w:color="000000" w:sz="4" w:space="0"/>
            </w:tcBorders>
            <w:shd w:val="clear" w:color="FFFFFF" w:fill="C0C0C0"/>
            <w:noWrap/>
            <w:vAlign w:val="center"/>
          </w:tcPr>
          <w:p w14:paraId="7D09259B">
            <w:pPr>
              <w:keepNext w:val="0"/>
              <w:keepLines w:val="0"/>
              <w:widowControl/>
              <w:suppressLineNumbers w:val="0"/>
              <w:jc w:val="right"/>
              <w:textAlignment w:val="center"/>
              <w:rPr>
                <w:rFonts w:hint="eastAsia" w:ascii="宋体" w:hAnsi="宋体" w:cs="宋体"/>
                <w:color w:val="000000"/>
                <w:kern w:val="0"/>
                <w:sz w:val="13"/>
                <w:szCs w:val="13"/>
                <w:lang w:bidi="ar"/>
              </w:rPr>
            </w:pPr>
            <w:r>
              <w:rPr>
                <w:rFonts w:hint="eastAsia" w:ascii="宋体" w:hAnsi="宋体" w:eastAsia="宋体" w:cs="宋体"/>
                <w:i w:val="0"/>
                <w:iCs w:val="0"/>
                <w:color w:val="000000"/>
                <w:kern w:val="0"/>
                <w:sz w:val="22"/>
                <w:szCs w:val="22"/>
                <w:u w:val="none"/>
                <w:lang w:val="en-US" w:eastAsia="zh-CN" w:bidi="ar"/>
              </w:rPr>
              <w:t>0.000000</w:t>
            </w:r>
          </w:p>
        </w:tc>
      </w:tr>
      <w:tr w14:paraId="03FB2BDF">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055C4E5E">
            <w:pPr>
              <w:rPr>
                <w:rFonts w:hint="eastAsia" w:ascii="宋体" w:hAnsi="宋体" w:cs="宋体"/>
                <w:color w:val="000000"/>
                <w:sz w:val="13"/>
                <w:szCs w:val="13"/>
              </w:rPr>
            </w:pPr>
          </w:p>
        </w:tc>
        <w:tc>
          <w:tcPr>
            <w:tcW w:w="2112" w:type="dxa"/>
            <w:tcBorders>
              <w:top w:val="nil"/>
              <w:left w:val="nil"/>
              <w:bottom w:val="single" w:color="000000" w:sz="4" w:space="0"/>
              <w:right w:val="single" w:color="000000" w:sz="4" w:space="0"/>
            </w:tcBorders>
            <w:shd w:val="clear" w:color="auto" w:fill="auto"/>
            <w:noWrap/>
            <w:vAlign w:val="center"/>
          </w:tcPr>
          <w:p w14:paraId="41371330">
            <w:pPr>
              <w:rPr>
                <w:rFonts w:hint="eastAsia" w:ascii="宋体" w:hAnsi="宋体" w:cs="宋体"/>
                <w:color w:val="000000"/>
                <w:sz w:val="13"/>
                <w:szCs w:val="13"/>
              </w:rPr>
            </w:pPr>
          </w:p>
        </w:tc>
        <w:tc>
          <w:tcPr>
            <w:tcW w:w="3984" w:type="dxa"/>
            <w:tcBorders>
              <w:top w:val="nil"/>
              <w:left w:val="nil"/>
              <w:bottom w:val="single" w:color="000000" w:sz="4" w:space="0"/>
              <w:right w:val="single" w:color="000000" w:sz="4" w:space="0"/>
            </w:tcBorders>
            <w:shd w:val="clear" w:color="FFFFFF" w:fill="C0C0C0"/>
            <w:noWrap/>
            <w:vAlign w:val="center"/>
          </w:tcPr>
          <w:p w14:paraId="78E7E443">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十三、交通运输支出</w:t>
            </w:r>
          </w:p>
        </w:tc>
        <w:tc>
          <w:tcPr>
            <w:tcW w:w="4275" w:type="dxa"/>
            <w:tcBorders>
              <w:top w:val="nil"/>
              <w:left w:val="nil"/>
              <w:bottom w:val="single" w:color="000000" w:sz="4" w:space="0"/>
              <w:right w:val="single" w:color="000000" w:sz="4" w:space="0"/>
            </w:tcBorders>
            <w:shd w:val="clear" w:color="FFFFFF" w:fill="C0C0C0"/>
            <w:noWrap/>
            <w:vAlign w:val="center"/>
          </w:tcPr>
          <w:p w14:paraId="64253F52">
            <w:pPr>
              <w:keepNext w:val="0"/>
              <w:keepLines w:val="0"/>
              <w:widowControl/>
              <w:suppressLineNumbers w:val="0"/>
              <w:jc w:val="right"/>
              <w:textAlignment w:val="center"/>
              <w:rPr>
                <w:rFonts w:hint="eastAsia" w:ascii="宋体" w:hAnsi="宋体" w:cs="宋体"/>
                <w:color w:val="000000"/>
                <w:kern w:val="0"/>
                <w:sz w:val="13"/>
                <w:szCs w:val="13"/>
                <w:lang w:bidi="ar"/>
              </w:rPr>
            </w:pPr>
            <w:r>
              <w:rPr>
                <w:rFonts w:hint="eastAsia" w:ascii="宋体" w:hAnsi="宋体" w:eastAsia="宋体" w:cs="宋体"/>
                <w:i w:val="0"/>
                <w:iCs w:val="0"/>
                <w:color w:val="000000"/>
                <w:kern w:val="0"/>
                <w:sz w:val="22"/>
                <w:szCs w:val="22"/>
                <w:u w:val="none"/>
                <w:lang w:val="en-US" w:eastAsia="zh-CN" w:bidi="ar"/>
              </w:rPr>
              <w:t>0.000000</w:t>
            </w:r>
          </w:p>
        </w:tc>
      </w:tr>
      <w:tr w14:paraId="31477C5B">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77A431F1">
            <w:pPr>
              <w:rPr>
                <w:rFonts w:hint="eastAsia" w:ascii="宋体" w:hAnsi="宋体" w:cs="宋体"/>
                <w:color w:val="000000"/>
                <w:sz w:val="13"/>
                <w:szCs w:val="13"/>
              </w:rPr>
            </w:pPr>
          </w:p>
        </w:tc>
        <w:tc>
          <w:tcPr>
            <w:tcW w:w="2112" w:type="dxa"/>
            <w:tcBorders>
              <w:top w:val="nil"/>
              <w:left w:val="nil"/>
              <w:bottom w:val="single" w:color="000000" w:sz="4" w:space="0"/>
              <w:right w:val="single" w:color="000000" w:sz="4" w:space="0"/>
            </w:tcBorders>
            <w:shd w:val="clear" w:color="auto" w:fill="auto"/>
            <w:noWrap/>
            <w:vAlign w:val="center"/>
          </w:tcPr>
          <w:p w14:paraId="711CD984">
            <w:pPr>
              <w:rPr>
                <w:rFonts w:hint="eastAsia" w:ascii="宋体" w:hAnsi="宋体" w:cs="宋体"/>
                <w:color w:val="000000"/>
                <w:sz w:val="13"/>
                <w:szCs w:val="13"/>
              </w:rPr>
            </w:pPr>
          </w:p>
        </w:tc>
        <w:tc>
          <w:tcPr>
            <w:tcW w:w="3984" w:type="dxa"/>
            <w:tcBorders>
              <w:top w:val="nil"/>
              <w:left w:val="nil"/>
              <w:bottom w:val="single" w:color="000000" w:sz="4" w:space="0"/>
              <w:right w:val="single" w:color="000000" w:sz="4" w:space="0"/>
            </w:tcBorders>
            <w:shd w:val="clear" w:color="FFFFFF" w:fill="C0C0C0"/>
            <w:noWrap/>
            <w:vAlign w:val="center"/>
          </w:tcPr>
          <w:p w14:paraId="7AD19D9A">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4275" w:type="dxa"/>
            <w:tcBorders>
              <w:top w:val="nil"/>
              <w:left w:val="nil"/>
              <w:bottom w:val="single" w:color="000000" w:sz="4" w:space="0"/>
              <w:right w:val="single" w:color="000000" w:sz="4" w:space="0"/>
            </w:tcBorders>
            <w:shd w:val="clear" w:color="FFFFFF" w:fill="C0C0C0"/>
            <w:noWrap/>
            <w:vAlign w:val="center"/>
          </w:tcPr>
          <w:p w14:paraId="36568C0C">
            <w:pPr>
              <w:keepNext w:val="0"/>
              <w:keepLines w:val="0"/>
              <w:widowControl/>
              <w:suppressLineNumbers w:val="0"/>
              <w:jc w:val="right"/>
              <w:textAlignment w:val="center"/>
              <w:rPr>
                <w:rFonts w:hint="eastAsia" w:ascii="宋体" w:hAnsi="宋体" w:cs="宋体"/>
                <w:color w:val="000000"/>
                <w:kern w:val="0"/>
                <w:sz w:val="13"/>
                <w:szCs w:val="13"/>
                <w:lang w:bidi="ar"/>
              </w:rPr>
            </w:pPr>
            <w:r>
              <w:rPr>
                <w:rFonts w:hint="eastAsia" w:ascii="宋体" w:hAnsi="宋体" w:eastAsia="宋体" w:cs="宋体"/>
                <w:i w:val="0"/>
                <w:iCs w:val="0"/>
                <w:color w:val="000000"/>
                <w:kern w:val="0"/>
                <w:sz w:val="22"/>
                <w:szCs w:val="22"/>
                <w:u w:val="none"/>
                <w:lang w:val="en-US" w:eastAsia="zh-CN" w:bidi="ar"/>
              </w:rPr>
              <w:t>0.000000</w:t>
            </w:r>
          </w:p>
        </w:tc>
      </w:tr>
      <w:tr w14:paraId="4530FC47">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5BB22A72">
            <w:pPr>
              <w:rPr>
                <w:rFonts w:hint="eastAsia" w:ascii="宋体" w:hAnsi="宋体" w:cs="宋体"/>
                <w:color w:val="000000"/>
                <w:sz w:val="13"/>
                <w:szCs w:val="13"/>
              </w:rPr>
            </w:pPr>
          </w:p>
        </w:tc>
        <w:tc>
          <w:tcPr>
            <w:tcW w:w="2112" w:type="dxa"/>
            <w:tcBorders>
              <w:top w:val="nil"/>
              <w:left w:val="nil"/>
              <w:bottom w:val="single" w:color="000000" w:sz="4" w:space="0"/>
              <w:right w:val="single" w:color="000000" w:sz="4" w:space="0"/>
            </w:tcBorders>
            <w:shd w:val="clear" w:color="auto" w:fill="auto"/>
            <w:noWrap/>
            <w:vAlign w:val="center"/>
          </w:tcPr>
          <w:p w14:paraId="5D132EC7">
            <w:pPr>
              <w:rPr>
                <w:rFonts w:hint="eastAsia" w:ascii="宋体" w:hAnsi="宋体" w:cs="宋体"/>
                <w:color w:val="000000"/>
                <w:sz w:val="13"/>
                <w:szCs w:val="13"/>
              </w:rPr>
            </w:pPr>
          </w:p>
        </w:tc>
        <w:tc>
          <w:tcPr>
            <w:tcW w:w="3984" w:type="dxa"/>
            <w:tcBorders>
              <w:top w:val="nil"/>
              <w:left w:val="nil"/>
              <w:bottom w:val="single" w:color="000000" w:sz="4" w:space="0"/>
              <w:right w:val="single" w:color="000000" w:sz="4" w:space="0"/>
            </w:tcBorders>
            <w:shd w:val="clear" w:color="FFFFFF" w:fill="C0C0C0"/>
            <w:noWrap/>
            <w:vAlign w:val="center"/>
          </w:tcPr>
          <w:p w14:paraId="43F6808E">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4275" w:type="dxa"/>
            <w:tcBorders>
              <w:top w:val="nil"/>
              <w:left w:val="nil"/>
              <w:bottom w:val="single" w:color="000000" w:sz="4" w:space="0"/>
              <w:right w:val="single" w:color="000000" w:sz="4" w:space="0"/>
            </w:tcBorders>
            <w:shd w:val="clear" w:color="FFFFFF" w:fill="C0C0C0"/>
            <w:noWrap/>
            <w:vAlign w:val="center"/>
          </w:tcPr>
          <w:p w14:paraId="5FCFE27F">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r>
      <w:tr w14:paraId="411D85F9">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6DF19DB9">
            <w:pPr>
              <w:rPr>
                <w:rFonts w:hint="eastAsia" w:ascii="宋体" w:hAnsi="宋体" w:cs="宋体"/>
                <w:color w:val="000000"/>
                <w:sz w:val="13"/>
                <w:szCs w:val="13"/>
              </w:rPr>
            </w:pPr>
          </w:p>
        </w:tc>
        <w:tc>
          <w:tcPr>
            <w:tcW w:w="2112" w:type="dxa"/>
            <w:tcBorders>
              <w:top w:val="nil"/>
              <w:left w:val="nil"/>
              <w:bottom w:val="single" w:color="000000" w:sz="4" w:space="0"/>
              <w:right w:val="single" w:color="000000" w:sz="4" w:space="0"/>
            </w:tcBorders>
            <w:shd w:val="clear" w:color="auto" w:fill="auto"/>
            <w:noWrap/>
            <w:vAlign w:val="center"/>
          </w:tcPr>
          <w:p w14:paraId="693CB84B">
            <w:pPr>
              <w:rPr>
                <w:rFonts w:hint="eastAsia" w:ascii="宋体" w:hAnsi="宋体" w:cs="宋体"/>
                <w:color w:val="000000"/>
                <w:sz w:val="13"/>
                <w:szCs w:val="13"/>
              </w:rPr>
            </w:pPr>
          </w:p>
        </w:tc>
        <w:tc>
          <w:tcPr>
            <w:tcW w:w="3984" w:type="dxa"/>
            <w:tcBorders>
              <w:top w:val="nil"/>
              <w:left w:val="nil"/>
              <w:bottom w:val="single" w:color="000000" w:sz="4" w:space="0"/>
              <w:right w:val="single" w:color="000000" w:sz="4" w:space="0"/>
            </w:tcBorders>
            <w:shd w:val="clear" w:color="FFFFFF" w:fill="C0C0C0"/>
            <w:noWrap/>
            <w:vAlign w:val="center"/>
          </w:tcPr>
          <w:p w14:paraId="5977105A">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十六、金融支出</w:t>
            </w:r>
          </w:p>
        </w:tc>
        <w:tc>
          <w:tcPr>
            <w:tcW w:w="4275" w:type="dxa"/>
            <w:tcBorders>
              <w:top w:val="nil"/>
              <w:left w:val="nil"/>
              <w:bottom w:val="single" w:color="000000" w:sz="4" w:space="0"/>
              <w:right w:val="single" w:color="000000" w:sz="4" w:space="0"/>
            </w:tcBorders>
            <w:shd w:val="clear" w:color="FFFFFF" w:fill="C0C0C0"/>
            <w:noWrap/>
            <w:vAlign w:val="center"/>
          </w:tcPr>
          <w:p w14:paraId="305B7ED5">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r>
      <w:tr w14:paraId="4A39DE74">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170F7B9C">
            <w:pPr>
              <w:rPr>
                <w:rFonts w:hint="eastAsia" w:ascii="宋体" w:hAnsi="宋体" w:cs="宋体"/>
                <w:color w:val="000000"/>
                <w:sz w:val="13"/>
                <w:szCs w:val="13"/>
              </w:rPr>
            </w:pPr>
          </w:p>
        </w:tc>
        <w:tc>
          <w:tcPr>
            <w:tcW w:w="2112" w:type="dxa"/>
            <w:tcBorders>
              <w:top w:val="nil"/>
              <w:left w:val="nil"/>
              <w:bottom w:val="single" w:color="000000" w:sz="4" w:space="0"/>
              <w:right w:val="single" w:color="000000" w:sz="4" w:space="0"/>
            </w:tcBorders>
            <w:shd w:val="clear" w:color="auto" w:fill="auto"/>
            <w:noWrap/>
            <w:vAlign w:val="center"/>
          </w:tcPr>
          <w:p w14:paraId="4805D3C8">
            <w:pPr>
              <w:rPr>
                <w:rFonts w:hint="eastAsia" w:ascii="宋体" w:hAnsi="宋体" w:cs="宋体"/>
                <w:color w:val="000000"/>
                <w:sz w:val="13"/>
                <w:szCs w:val="13"/>
              </w:rPr>
            </w:pPr>
          </w:p>
        </w:tc>
        <w:tc>
          <w:tcPr>
            <w:tcW w:w="3984" w:type="dxa"/>
            <w:tcBorders>
              <w:top w:val="nil"/>
              <w:left w:val="nil"/>
              <w:bottom w:val="single" w:color="000000" w:sz="4" w:space="0"/>
              <w:right w:val="single" w:color="000000" w:sz="4" w:space="0"/>
            </w:tcBorders>
            <w:shd w:val="clear" w:color="FFFFFF" w:fill="C0C0C0"/>
            <w:noWrap/>
            <w:vAlign w:val="center"/>
          </w:tcPr>
          <w:p w14:paraId="229A7DC5">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4275" w:type="dxa"/>
            <w:tcBorders>
              <w:top w:val="nil"/>
              <w:left w:val="nil"/>
              <w:bottom w:val="single" w:color="000000" w:sz="4" w:space="0"/>
              <w:right w:val="single" w:color="000000" w:sz="4" w:space="0"/>
            </w:tcBorders>
            <w:shd w:val="clear" w:color="FFFFFF" w:fill="C0C0C0"/>
            <w:noWrap/>
            <w:vAlign w:val="center"/>
          </w:tcPr>
          <w:p w14:paraId="49AE993F">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r>
      <w:tr w14:paraId="6FCA72C3">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128A7FC6">
            <w:pPr>
              <w:rPr>
                <w:rFonts w:hint="eastAsia" w:ascii="宋体" w:hAnsi="宋体" w:cs="宋体"/>
                <w:color w:val="000000"/>
                <w:sz w:val="13"/>
                <w:szCs w:val="13"/>
              </w:rPr>
            </w:pPr>
          </w:p>
        </w:tc>
        <w:tc>
          <w:tcPr>
            <w:tcW w:w="2112" w:type="dxa"/>
            <w:tcBorders>
              <w:top w:val="nil"/>
              <w:left w:val="nil"/>
              <w:bottom w:val="single" w:color="000000" w:sz="4" w:space="0"/>
              <w:right w:val="single" w:color="000000" w:sz="4" w:space="0"/>
            </w:tcBorders>
            <w:shd w:val="clear" w:color="auto" w:fill="auto"/>
            <w:noWrap/>
            <w:vAlign w:val="center"/>
          </w:tcPr>
          <w:p w14:paraId="665496C9">
            <w:pPr>
              <w:rPr>
                <w:rFonts w:hint="eastAsia" w:ascii="宋体" w:hAnsi="宋体" w:cs="宋体"/>
                <w:color w:val="000000"/>
                <w:sz w:val="13"/>
                <w:szCs w:val="13"/>
              </w:rPr>
            </w:pPr>
          </w:p>
        </w:tc>
        <w:tc>
          <w:tcPr>
            <w:tcW w:w="3984" w:type="dxa"/>
            <w:tcBorders>
              <w:top w:val="nil"/>
              <w:left w:val="nil"/>
              <w:bottom w:val="single" w:color="000000" w:sz="4" w:space="0"/>
              <w:right w:val="single" w:color="000000" w:sz="4" w:space="0"/>
            </w:tcBorders>
            <w:shd w:val="clear" w:color="FFFFFF" w:fill="C0C0C0"/>
            <w:noWrap/>
            <w:vAlign w:val="center"/>
          </w:tcPr>
          <w:p w14:paraId="56297E47">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4275" w:type="dxa"/>
            <w:tcBorders>
              <w:top w:val="nil"/>
              <w:left w:val="nil"/>
              <w:bottom w:val="single" w:color="000000" w:sz="4" w:space="0"/>
              <w:right w:val="single" w:color="000000" w:sz="4" w:space="0"/>
            </w:tcBorders>
            <w:shd w:val="clear" w:color="FFFFFF" w:fill="C0C0C0"/>
            <w:noWrap/>
            <w:vAlign w:val="center"/>
          </w:tcPr>
          <w:p w14:paraId="3A1C6E91">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r>
      <w:tr w14:paraId="205915D5">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0369A341">
            <w:pPr>
              <w:rPr>
                <w:rFonts w:hint="eastAsia" w:ascii="宋体" w:hAnsi="宋体" w:cs="宋体"/>
                <w:color w:val="000000"/>
                <w:sz w:val="13"/>
                <w:szCs w:val="13"/>
              </w:rPr>
            </w:pPr>
          </w:p>
        </w:tc>
        <w:tc>
          <w:tcPr>
            <w:tcW w:w="2112" w:type="dxa"/>
            <w:tcBorders>
              <w:top w:val="nil"/>
              <w:left w:val="nil"/>
              <w:bottom w:val="single" w:color="000000" w:sz="4" w:space="0"/>
              <w:right w:val="single" w:color="000000" w:sz="4" w:space="0"/>
            </w:tcBorders>
            <w:shd w:val="clear" w:color="auto" w:fill="auto"/>
            <w:noWrap/>
            <w:vAlign w:val="center"/>
          </w:tcPr>
          <w:p w14:paraId="06A89FC7">
            <w:pPr>
              <w:rPr>
                <w:rFonts w:hint="eastAsia" w:ascii="宋体" w:hAnsi="宋体" w:cs="宋体"/>
                <w:color w:val="000000"/>
                <w:sz w:val="13"/>
                <w:szCs w:val="13"/>
              </w:rPr>
            </w:pPr>
          </w:p>
        </w:tc>
        <w:tc>
          <w:tcPr>
            <w:tcW w:w="3984" w:type="dxa"/>
            <w:tcBorders>
              <w:top w:val="nil"/>
              <w:left w:val="nil"/>
              <w:bottom w:val="single" w:color="000000" w:sz="4" w:space="0"/>
              <w:right w:val="single" w:color="000000" w:sz="4" w:space="0"/>
            </w:tcBorders>
            <w:shd w:val="clear" w:color="FFFFFF" w:fill="C0C0C0"/>
            <w:noWrap/>
            <w:vAlign w:val="center"/>
          </w:tcPr>
          <w:p w14:paraId="0E063A63">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十九、住房保障支出</w:t>
            </w:r>
          </w:p>
        </w:tc>
        <w:tc>
          <w:tcPr>
            <w:tcW w:w="4275" w:type="dxa"/>
            <w:tcBorders>
              <w:top w:val="nil"/>
              <w:left w:val="nil"/>
              <w:bottom w:val="single" w:color="000000" w:sz="4" w:space="0"/>
              <w:right w:val="single" w:color="000000" w:sz="4" w:space="0"/>
            </w:tcBorders>
            <w:shd w:val="clear" w:color="FFFFFF" w:fill="C0C0C0"/>
            <w:noWrap/>
            <w:vAlign w:val="center"/>
          </w:tcPr>
          <w:p w14:paraId="24D1D159">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r>
      <w:tr w14:paraId="3AE8B67F">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6F356722">
            <w:pPr>
              <w:rPr>
                <w:rFonts w:hint="eastAsia" w:ascii="宋体" w:hAnsi="宋体" w:cs="宋体"/>
                <w:color w:val="000000"/>
                <w:sz w:val="13"/>
                <w:szCs w:val="13"/>
              </w:rPr>
            </w:pPr>
          </w:p>
        </w:tc>
        <w:tc>
          <w:tcPr>
            <w:tcW w:w="2112" w:type="dxa"/>
            <w:tcBorders>
              <w:top w:val="nil"/>
              <w:left w:val="nil"/>
              <w:bottom w:val="single" w:color="000000" w:sz="4" w:space="0"/>
              <w:right w:val="single" w:color="000000" w:sz="4" w:space="0"/>
            </w:tcBorders>
            <w:shd w:val="clear" w:color="auto" w:fill="auto"/>
            <w:noWrap/>
            <w:vAlign w:val="center"/>
          </w:tcPr>
          <w:p w14:paraId="6EC27996">
            <w:pPr>
              <w:rPr>
                <w:rFonts w:hint="eastAsia" w:ascii="宋体" w:hAnsi="宋体" w:cs="宋体"/>
                <w:color w:val="000000"/>
                <w:sz w:val="13"/>
                <w:szCs w:val="13"/>
              </w:rPr>
            </w:pPr>
          </w:p>
        </w:tc>
        <w:tc>
          <w:tcPr>
            <w:tcW w:w="3984" w:type="dxa"/>
            <w:tcBorders>
              <w:top w:val="nil"/>
              <w:left w:val="nil"/>
              <w:bottom w:val="single" w:color="000000" w:sz="4" w:space="0"/>
              <w:right w:val="single" w:color="000000" w:sz="4" w:space="0"/>
            </w:tcBorders>
            <w:shd w:val="clear" w:color="FFFFFF" w:fill="C0C0C0"/>
            <w:noWrap/>
            <w:vAlign w:val="center"/>
          </w:tcPr>
          <w:p w14:paraId="35BF619C">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4275" w:type="dxa"/>
            <w:tcBorders>
              <w:top w:val="nil"/>
              <w:left w:val="nil"/>
              <w:bottom w:val="single" w:color="000000" w:sz="4" w:space="0"/>
              <w:right w:val="single" w:color="000000" w:sz="4" w:space="0"/>
            </w:tcBorders>
            <w:shd w:val="clear" w:color="FFFFFF" w:fill="C0C0C0"/>
            <w:noWrap/>
            <w:vAlign w:val="center"/>
          </w:tcPr>
          <w:p w14:paraId="2E20C9C1">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r>
      <w:tr w14:paraId="1DE23A3E">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0B671E4E">
            <w:pPr>
              <w:rPr>
                <w:rFonts w:hint="eastAsia" w:ascii="宋体" w:hAnsi="宋体" w:cs="宋体"/>
                <w:color w:val="000000"/>
                <w:sz w:val="13"/>
                <w:szCs w:val="13"/>
              </w:rPr>
            </w:pPr>
          </w:p>
        </w:tc>
        <w:tc>
          <w:tcPr>
            <w:tcW w:w="2112" w:type="dxa"/>
            <w:tcBorders>
              <w:top w:val="nil"/>
              <w:left w:val="nil"/>
              <w:bottom w:val="single" w:color="000000" w:sz="4" w:space="0"/>
              <w:right w:val="single" w:color="000000" w:sz="4" w:space="0"/>
            </w:tcBorders>
            <w:shd w:val="clear" w:color="auto" w:fill="auto"/>
            <w:noWrap/>
            <w:vAlign w:val="center"/>
          </w:tcPr>
          <w:p w14:paraId="0E024B04">
            <w:pPr>
              <w:rPr>
                <w:rFonts w:hint="eastAsia" w:ascii="宋体" w:hAnsi="宋体" w:cs="宋体"/>
                <w:color w:val="000000"/>
                <w:sz w:val="13"/>
                <w:szCs w:val="13"/>
              </w:rPr>
            </w:pPr>
          </w:p>
        </w:tc>
        <w:tc>
          <w:tcPr>
            <w:tcW w:w="3984" w:type="dxa"/>
            <w:tcBorders>
              <w:top w:val="nil"/>
              <w:left w:val="nil"/>
              <w:bottom w:val="single" w:color="000000" w:sz="4" w:space="0"/>
              <w:right w:val="single" w:color="000000" w:sz="4" w:space="0"/>
            </w:tcBorders>
            <w:shd w:val="clear" w:color="FFFFFF" w:fill="C0C0C0"/>
            <w:noWrap/>
            <w:vAlign w:val="center"/>
          </w:tcPr>
          <w:p w14:paraId="0904802B">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4275" w:type="dxa"/>
            <w:tcBorders>
              <w:top w:val="nil"/>
              <w:left w:val="nil"/>
              <w:bottom w:val="single" w:color="000000" w:sz="4" w:space="0"/>
              <w:right w:val="single" w:color="000000" w:sz="4" w:space="0"/>
            </w:tcBorders>
            <w:shd w:val="clear" w:color="FFFFFF" w:fill="C0C0C0"/>
            <w:noWrap/>
            <w:vAlign w:val="center"/>
          </w:tcPr>
          <w:p w14:paraId="30614008">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r>
      <w:tr w14:paraId="303FF1D1">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76BCA6D8">
            <w:pPr>
              <w:rPr>
                <w:rFonts w:hint="eastAsia" w:ascii="宋体" w:hAnsi="宋体" w:cs="宋体"/>
                <w:color w:val="000000"/>
                <w:sz w:val="13"/>
                <w:szCs w:val="13"/>
              </w:rPr>
            </w:pPr>
          </w:p>
        </w:tc>
        <w:tc>
          <w:tcPr>
            <w:tcW w:w="2112" w:type="dxa"/>
            <w:tcBorders>
              <w:top w:val="nil"/>
              <w:left w:val="nil"/>
              <w:bottom w:val="single" w:color="000000" w:sz="4" w:space="0"/>
              <w:right w:val="single" w:color="000000" w:sz="4" w:space="0"/>
            </w:tcBorders>
            <w:shd w:val="clear" w:color="auto" w:fill="auto"/>
            <w:noWrap/>
            <w:vAlign w:val="center"/>
          </w:tcPr>
          <w:p w14:paraId="3E59913F">
            <w:pPr>
              <w:rPr>
                <w:rFonts w:hint="eastAsia" w:ascii="宋体" w:hAnsi="宋体" w:cs="宋体"/>
                <w:color w:val="000000"/>
                <w:sz w:val="13"/>
                <w:szCs w:val="13"/>
              </w:rPr>
            </w:pPr>
          </w:p>
        </w:tc>
        <w:tc>
          <w:tcPr>
            <w:tcW w:w="3984" w:type="dxa"/>
            <w:tcBorders>
              <w:top w:val="nil"/>
              <w:left w:val="nil"/>
              <w:bottom w:val="single" w:color="000000" w:sz="4" w:space="0"/>
              <w:right w:val="single" w:color="000000" w:sz="4" w:space="0"/>
            </w:tcBorders>
            <w:shd w:val="clear" w:color="FFFFFF" w:fill="C0C0C0"/>
            <w:noWrap/>
            <w:vAlign w:val="center"/>
          </w:tcPr>
          <w:p w14:paraId="0D260391">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4275" w:type="dxa"/>
            <w:tcBorders>
              <w:top w:val="nil"/>
              <w:left w:val="nil"/>
              <w:bottom w:val="single" w:color="000000" w:sz="4" w:space="0"/>
              <w:right w:val="single" w:color="000000" w:sz="4" w:space="0"/>
            </w:tcBorders>
            <w:shd w:val="clear" w:color="FFFFFF" w:fill="C0C0C0"/>
            <w:noWrap/>
            <w:vAlign w:val="center"/>
          </w:tcPr>
          <w:p w14:paraId="34F82F6B">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r>
      <w:tr w14:paraId="64BCC02A">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6AF05475">
            <w:pPr>
              <w:rPr>
                <w:rFonts w:hint="eastAsia" w:ascii="宋体" w:hAnsi="宋体" w:cs="宋体"/>
                <w:color w:val="000000"/>
                <w:sz w:val="13"/>
                <w:szCs w:val="13"/>
              </w:rPr>
            </w:pPr>
          </w:p>
        </w:tc>
        <w:tc>
          <w:tcPr>
            <w:tcW w:w="2112" w:type="dxa"/>
            <w:tcBorders>
              <w:top w:val="nil"/>
              <w:left w:val="nil"/>
              <w:bottom w:val="single" w:color="000000" w:sz="4" w:space="0"/>
              <w:right w:val="single" w:color="000000" w:sz="4" w:space="0"/>
            </w:tcBorders>
            <w:shd w:val="clear" w:color="auto" w:fill="auto"/>
            <w:noWrap/>
            <w:vAlign w:val="center"/>
          </w:tcPr>
          <w:p w14:paraId="20E4ED9D">
            <w:pPr>
              <w:rPr>
                <w:rFonts w:hint="eastAsia" w:ascii="宋体" w:hAnsi="宋体" w:cs="宋体"/>
                <w:color w:val="000000"/>
                <w:sz w:val="13"/>
                <w:szCs w:val="13"/>
              </w:rPr>
            </w:pPr>
          </w:p>
        </w:tc>
        <w:tc>
          <w:tcPr>
            <w:tcW w:w="3984" w:type="dxa"/>
            <w:tcBorders>
              <w:top w:val="nil"/>
              <w:left w:val="nil"/>
              <w:bottom w:val="single" w:color="000000" w:sz="4" w:space="0"/>
              <w:right w:val="single" w:color="000000" w:sz="4" w:space="0"/>
            </w:tcBorders>
            <w:shd w:val="clear" w:color="FFFFFF" w:fill="C0C0C0"/>
            <w:noWrap/>
            <w:vAlign w:val="center"/>
          </w:tcPr>
          <w:p w14:paraId="097C631A">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二十三、其他支出</w:t>
            </w:r>
          </w:p>
        </w:tc>
        <w:tc>
          <w:tcPr>
            <w:tcW w:w="4275" w:type="dxa"/>
            <w:tcBorders>
              <w:top w:val="nil"/>
              <w:left w:val="nil"/>
              <w:bottom w:val="single" w:color="000000" w:sz="4" w:space="0"/>
              <w:right w:val="single" w:color="000000" w:sz="4" w:space="0"/>
            </w:tcBorders>
            <w:shd w:val="clear" w:color="FFFFFF" w:fill="C0C0C0"/>
            <w:noWrap/>
            <w:vAlign w:val="center"/>
          </w:tcPr>
          <w:p w14:paraId="4BE9D5D2">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r>
      <w:tr w14:paraId="59B915BF">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7CB787C2">
            <w:pPr>
              <w:rPr>
                <w:rFonts w:hint="eastAsia" w:ascii="宋体" w:hAnsi="宋体" w:cs="宋体"/>
                <w:color w:val="000000"/>
                <w:sz w:val="13"/>
                <w:szCs w:val="13"/>
              </w:rPr>
            </w:pPr>
          </w:p>
        </w:tc>
        <w:tc>
          <w:tcPr>
            <w:tcW w:w="2112" w:type="dxa"/>
            <w:tcBorders>
              <w:top w:val="nil"/>
              <w:left w:val="nil"/>
              <w:bottom w:val="single" w:color="000000" w:sz="4" w:space="0"/>
              <w:right w:val="single" w:color="000000" w:sz="4" w:space="0"/>
            </w:tcBorders>
            <w:shd w:val="clear" w:color="auto" w:fill="auto"/>
            <w:noWrap/>
            <w:vAlign w:val="center"/>
          </w:tcPr>
          <w:p w14:paraId="27E00687">
            <w:pPr>
              <w:rPr>
                <w:rFonts w:hint="eastAsia" w:ascii="宋体" w:hAnsi="宋体" w:cs="宋体"/>
                <w:color w:val="000000"/>
                <w:sz w:val="13"/>
                <w:szCs w:val="13"/>
              </w:rPr>
            </w:pPr>
          </w:p>
        </w:tc>
        <w:tc>
          <w:tcPr>
            <w:tcW w:w="3984" w:type="dxa"/>
            <w:tcBorders>
              <w:top w:val="nil"/>
              <w:left w:val="nil"/>
              <w:bottom w:val="single" w:color="000000" w:sz="4" w:space="0"/>
              <w:right w:val="single" w:color="000000" w:sz="4" w:space="0"/>
            </w:tcBorders>
            <w:shd w:val="clear" w:color="FFFFFF" w:fill="C0C0C0"/>
            <w:noWrap/>
            <w:vAlign w:val="center"/>
          </w:tcPr>
          <w:p w14:paraId="586735FE">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4275" w:type="dxa"/>
            <w:tcBorders>
              <w:top w:val="nil"/>
              <w:left w:val="nil"/>
              <w:bottom w:val="single" w:color="000000" w:sz="4" w:space="0"/>
              <w:right w:val="single" w:color="000000" w:sz="4" w:space="0"/>
            </w:tcBorders>
            <w:shd w:val="clear" w:color="FFFFFF" w:fill="C0C0C0"/>
            <w:noWrap/>
            <w:vAlign w:val="center"/>
          </w:tcPr>
          <w:p w14:paraId="3CF9E453">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r>
      <w:tr w14:paraId="20752024">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67921F54">
            <w:pPr>
              <w:rPr>
                <w:rFonts w:hint="eastAsia" w:ascii="宋体" w:hAnsi="宋体" w:cs="宋体"/>
                <w:color w:val="000000"/>
                <w:sz w:val="13"/>
                <w:szCs w:val="13"/>
              </w:rPr>
            </w:pPr>
          </w:p>
        </w:tc>
        <w:tc>
          <w:tcPr>
            <w:tcW w:w="2112" w:type="dxa"/>
            <w:tcBorders>
              <w:top w:val="nil"/>
              <w:left w:val="nil"/>
              <w:bottom w:val="single" w:color="000000" w:sz="4" w:space="0"/>
              <w:right w:val="single" w:color="000000" w:sz="4" w:space="0"/>
            </w:tcBorders>
            <w:shd w:val="clear" w:color="auto" w:fill="auto"/>
            <w:noWrap/>
            <w:vAlign w:val="center"/>
          </w:tcPr>
          <w:p w14:paraId="6BC8CB41">
            <w:pPr>
              <w:rPr>
                <w:rFonts w:hint="eastAsia" w:ascii="宋体" w:hAnsi="宋体" w:cs="宋体"/>
                <w:color w:val="000000"/>
                <w:sz w:val="13"/>
                <w:szCs w:val="13"/>
              </w:rPr>
            </w:pPr>
          </w:p>
        </w:tc>
        <w:tc>
          <w:tcPr>
            <w:tcW w:w="3984" w:type="dxa"/>
            <w:tcBorders>
              <w:top w:val="nil"/>
              <w:left w:val="nil"/>
              <w:bottom w:val="single" w:color="000000" w:sz="4" w:space="0"/>
              <w:right w:val="single" w:color="000000" w:sz="4" w:space="0"/>
            </w:tcBorders>
            <w:shd w:val="clear" w:color="FFFFFF" w:fill="C0C0C0"/>
            <w:noWrap/>
            <w:vAlign w:val="center"/>
          </w:tcPr>
          <w:p w14:paraId="112A727B">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4275" w:type="dxa"/>
            <w:tcBorders>
              <w:top w:val="nil"/>
              <w:left w:val="nil"/>
              <w:bottom w:val="single" w:color="000000" w:sz="4" w:space="0"/>
              <w:right w:val="single" w:color="000000" w:sz="4" w:space="0"/>
            </w:tcBorders>
            <w:shd w:val="clear" w:color="FFFFFF" w:fill="C0C0C0"/>
            <w:noWrap/>
            <w:vAlign w:val="center"/>
          </w:tcPr>
          <w:p w14:paraId="5BECA4A4">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r>
      <w:tr w14:paraId="5333CDC1">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7659400E">
            <w:pPr>
              <w:rPr>
                <w:rFonts w:hint="eastAsia" w:ascii="宋体" w:hAnsi="宋体" w:cs="宋体"/>
                <w:color w:val="000000"/>
                <w:sz w:val="13"/>
                <w:szCs w:val="13"/>
              </w:rPr>
            </w:pPr>
          </w:p>
        </w:tc>
        <w:tc>
          <w:tcPr>
            <w:tcW w:w="2112" w:type="dxa"/>
            <w:tcBorders>
              <w:top w:val="nil"/>
              <w:left w:val="nil"/>
              <w:bottom w:val="single" w:color="000000" w:sz="4" w:space="0"/>
              <w:right w:val="single" w:color="000000" w:sz="4" w:space="0"/>
            </w:tcBorders>
            <w:shd w:val="clear" w:color="auto" w:fill="auto"/>
            <w:noWrap/>
            <w:vAlign w:val="center"/>
          </w:tcPr>
          <w:p w14:paraId="58FB4DD3">
            <w:pPr>
              <w:rPr>
                <w:rFonts w:hint="eastAsia" w:ascii="宋体" w:hAnsi="宋体" w:cs="宋体"/>
                <w:color w:val="000000"/>
                <w:sz w:val="13"/>
                <w:szCs w:val="13"/>
              </w:rPr>
            </w:pPr>
          </w:p>
        </w:tc>
        <w:tc>
          <w:tcPr>
            <w:tcW w:w="3984" w:type="dxa"/>
            <w:tcBorders>
              <w:top w:val="nil"/>
              <w:left w:val="nil"/>
              <w:bottom w:val="single" w:color="000000" w:sz="4" w:space="0"/>
              <w:right w:val="single" w:color="000000" w:sz="4" w:space="0"/>
            </w:tcBorders>
            <w:shd w:val="clear" w:color="FFFFFF" w:fill="C0C0C0"/>
            <w:noWrap/>
            <w:vAlign w:val="center"/>
          </w:tcPr>
          <w:p w14:paraId="3BE5717E">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4275" w:type="dxa"/>
            <w:tcBorders>
              <w:top w:val="nil"/>
              <w:left w:val="nil"/>
              <w:bottom w:val="single" w:color="000000" w:sz="4" w:space="0"/>
              <w:right w:val="single" w:color="000000" w:sz="4" w:space="0"/>
            </w:tcBorders>
            <w:shd w:val="clear" w:color="FFFFFF" w:fill="C0C0C0"/>
            <w:noWrap/>
            <w:vAlign w:val="center"/>
          </w:tcPr>
          <w:p w14:paraId="6008F88B">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r>
      <w:tr w14:paraId="1F76BBB9">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304DB793">
            <w:pPr>
              <w:keepNext w:val="0"/>
              <w:keepLines w:val="0"/>
              <w:widowControl/>
              <w:suppressLineNumbers w:val="0"/>
              <w:jc w:val="center"/>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本年收入合计</w:t>
            </w:r>
          </w:p>
        </w:tc>
        <w:tc>
          <w:tcPr>
            <w:tcW w:w="2112" w:type="dxa"/>
            <w:tcBorders>
              <w:top w:val="nil"/>
              <w:left w:val="nil"/>
              <w:bottom w:val="single" w:color="000000" w:sz="4" w:space="0"/>
              <w:right w:val="single" w:color="000000" w:sz="4" w:space="0"/>
            </w:tcBorders>
            <w:shd w:val="clear" w:color="auto" w:fill="auto"/>
            <w:noWrap/>
            <w:vAlign w:val="center"/>
          </w:tcPr>
          <w:p w14:paraId="30884F5B">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15,192.890739</w:t>
            </w:r>
          </w:p>
        </w:tc>
        <w:tc>
          <w:tcPr>
            <w:tcW w:w="3984" w:type="dxa"/>
            <w:tcBorders>
              <w:top w:val="nil"/>
              <w:left w:val="nil"/>
              <w:bottom w:val="single" w:color="000000" w:sz="4" w:space="0"/>
              <w:right w:val="single" w:color="000000" w:sz="4" w:space="0"/>
            </w:tcBorders>
            <w:shd w:val="clear" w:color="FFFFFF" w:fill="C0C0C0"/>
            <w:noWrap/>
            <w:vAlign w:val="center"/>
          </w:tcPr>
          <w:p w14:paraId="78591E70">
            <w:pPr>
              <w:keepNext w:val="0"/>
              <w:keepLines w:val="0"/>
              <w:widowControl/>
              <w:suppressLineNumbers w:val="0"/>
              <w:jc w:val="center"/>
              <w:textAlignment w:val="center"/>
              <w:rPr>
                <w:rFonts w:hint="eastAsia" w:ascii="宋体" w:hAnsi="宋体" w:cs="宋体"/>
                <w:b/>
                <w:bCs/>
                <w:color w:val="000000"/>
                <w:sz w:val="13"/>
                <w:szCs w:val="13"/>
              </w:rPr>
            </w:pPr>
            <w:r>
              <w:rPr>
                <w:rFonts w:hint="eastAsia" w:ascii="宋体" w:hAnsi="宋体" w:eastAsia="宋体" w:cs="宋体"/>
                <w:i w:val="0"/>
                <w:iCs w:val="0"/>
                <w:color w:val="000000"/>
                <w:kern w:val="0"/>
                <w:sz w:val="22"/>
                <w:szCs w:val="22"/>
                <w:u w:val="none"/>
                <w:lang w:val="en-US" w:eastAsia="zh-CN" w:bidi="ar"/>
              </w:rPr>
              <w:t>本年支出合计</w:t>
            </w:r>
          </w:p>
        </w:tc>
        <w:tc>
          <w:tcPr>
            <w:tcW w:w="4275" w:type="dxa"/>
            <w:tcBorders>
              <w:top w:val="nil"/>
              <w:left w:val="nil"/>
              <w:bottom w:val="single" w:color="000000" w:sz="4" w:space="0"/>
              <w:right w:val="single" w:color="000000" w:sz="4" w:space="0"/>
            </w:tcBorders>
            <w:shd w:val="clear" w:color="FFFFFF" w:fill="C0C0C0"/>
            <w:noWrap/>
            <w:vAlign w:val="center"/>
          </w:tcPr>
          <w:p w14:paraId="08BB9604">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15,149.835896</w:t>
            </w:r>
          </w:p>
        </w:tc>
      </w:tr>
      <w:tr w14:paraId="26E30569">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59A79FEF">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年初结转和结余</w:t>
            </w:r>
          </w:p>
        </w:tc>
        <w:tc>
          <w:tcPr>
            <w:tcW w:w="2112" w:type="dxa"/>
            <w:tcBorders>
              <w:top w:val="nil"/>
              <w:left w:val="nil"/>
              <w:bottom w:val="single" w:color="000000" w:sz="4" w:space="0"/>
              <w:right w:val="single" w:color="000000" w:sz="4" w:space="0"/>
            </w:tcBorders>
            <w:shd w:val="clear" w:color="auto" w:fill="auto"/>
            <w:noWrap/>
            <w:vAlign w:val="center"/>
          </w:tcPr>
          <w:p w14:paraId="0EAF8917">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17.765066</w:t>
            </w:r>
          </w:p>
        </w:tc>
        <w:tc>
          <w:tcPr>
            <w:tcW w:w="3984" w:type="dxa"/>
            <w:tcBorders>
              <w:top w:val="nil"/>
              <w:left w:val="nil"/>
              <w:bottom w:val="single" w:color="000000" w:sz="4" w:space="0"/>
              <w:right w:val="single" w:color="000000" w:sz="4" w:space="0"/>
            </w:tcBorders>
            <w:shd w:val="clear" w:color="FFFFFF" w:fill="C0C0C0"/>
            <w:noWrap/>
            <w:vAlign w:val="center"/>
          </w:tcPr>
          <w:p w14:paraId="7F2AF518">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结余分配</w:t>
            </w:r>
          </w:p>
        </w:tc>
        <w:tc>
          <w:tcPr>
            <w:tcW w:w="4275" w:type="dxa"/>
            <w:tcBorders>
              <w:top w:val="nil"/>
              <w:left w:val="nil"/>
              <w:bottom w:val="single" w:color="000000" w:sz="4" w:space="0"/>
              <w:right w:val="single" w:color="000000" w:sz="4" w:space="0"/>
            </w:tcBorders>
            <w:shd w:val="clear" w:color="FFFFFF" w:fill="C0C0C0"/>
            <w:noWrap/>
            <w:vAlign w:val="center"/>
          </w:tcPr>
          <w:p w14:paraId="3F7FDA35">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0.000000</w:t>
            </w:r>
          </w:p>
        </w:tc>
      </w:tr>
      <w:tr w14:paraId="067569D9">
        <w:tblPrEx>
          <w:tblCellMar>
            <w:top w:w="0" w:type="dxa"/>
            <w:left w:w="108" w:type="dxa"/>
            <w:bottom w:w="0" w:type="dxa"/>
            <w:right w:w="108" w:type="dxa"/>
          </w:tblCellMar>
        </w:tblPrEx>
        <w:trPr>
          <w:trHeight w:val="199" w:hRule="atLeast"/>
          <w:jc w:val="center"/>
        </w:trPr>
        <w:tc>
          <w:tcPr>
            <w:tcW w:w="3508" w:type="dxa"/>
            <w:tcBorders>
              <w:top w:val="nil"/>
              <w:left w:val="single" w:color="000000" w:sz="4" w:space="0"/>
              <w:bottom w:val="single" w:color="000000" w:sz="4" w:space="0"/>
              <w:right w:val="single" w:color="000000" w:sz="4" w:space="0"/>
            </w:tcBorders>
            <w:shd w:val="clear" w:color="FFFFFF" w:fill="C0C0C0"/>
            <w:noWrap/>
            <w:vAlign w:val="center"/>
          </w:tcPr>
          <w:p w14:paraId="1057E696">
            <w:pPr>
              <w:rPr>
                <w:rFonts w:hint="eastAsia" w:ascii="宋体" w:hAnsi="宋体" w:cs="宋体"/>
                <w:color w:val="000000"/>
                <w:sz w:val="13"/>
                <w:szCs w:val="13"/>
              </w:rPr>
            </w:pPr>
          </w:p>
        </w:tc>
        <w:tc>
          <w:tcPr>
            <w:tcW w:w="2112" w:type="dxa"/>
            <w:tcBorders>
              <w:top w:val="nil"/>
              <w:left w:val="nil"/>
              <w:bottom w:val="single" w:color="000000" w:sz="4" w:space="0"/>
              <w:right w:val="single" w:color="000000" w:sz="4" w:space="0"/>
            </w:tcBorders>
            <w:shd w:val="clear" w:color="auto" w:fill="auto"/>
            <w:noWrap/>
            <w:vAlign w:val="center"/>
          </w:tcPr>
          <w:p w14:paraId="1735B394">
            <w:pPr>
              <w:rPr>
                <w:rFonts w:hint="eastAsia" w:ascii="宋体" w:hAnsi="宋体" w:cs="宋体"/>
                <w:color w:val="000000"/>
                <w:sz w:val="13"/>
                <w:szCs w:val="13"/>
              </w:rPr>
            </w:pPr>
          </w:p>
        </w:tc>
        <w:tc>
          <w:tcPr>
            <w:tcW w:w="3984" w:type="dxa"/>
            <w:tcBorders>
              <w:top w:val="nil"/>
              <w:left w:val="nil"/>
              <w:bottom w:val="single" w:color="000000" w:sz="4" w:space="0"/>
              <w:right w:val="single" w:color="000000" w:sz="4" w:space="0"/>
            </w:tcBorders>
            <w:shd w:val="clear" w:color="FFFFFF" w:fill="C0C0C0"/>
            <w:noWrap/>
            <w:vAlign w:val="center"/>
          </w:tcPr>
          <w:p w14:paraId="0236F941">
            <w:pPr>
              <w:keepNext w:val="0"/>
              <w:keepLines w:val="0"/>
              <w:widowControl/>
              <w:suppressLineNumbers w:val="0"/>
              <w:jc w:val="lef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年末结转和结余</w:t>
            </w:r>
          </w:p>
        </w:tc>
        <w:tc>
          <w:tcPr>
            <w:tcW w:w="4275" w:type="dxa"/>
            <w:tcBorders>
              <w:top w:val="nil"/>
              <w:left w:val="nil"/>
              <w:bottom w:val="single" w:color="000000" w:sz="4" w:space="0"/>
              <w:right w:val="single" w:color="000000" w:sz="4" w:space="0"/>
            </w:tcBorders>
            <w:shd w:val="clear" w:color="FFFFFF" w:fill="C0C0C0"/>
            <w:noWrap/>
            <w:vAlign w:val="center"/>
          </w:tcPr>
          <w:p w14:paraId="611890BC">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60.819909</w:t>
            </w:r>
          </w:p>
        </w:tc>
      </w:tr>
      <w:tr w14:paraId="60BFB20D">
        <w:tblPrEx>
          <w:tblCellMar>
            <w:top w:w="0" w:type="dxa"/>
            <w:left w:w="108" w:type="dxa"/>
            <w:bottom w:w="0" w:type="dxa"/>
            <w:right w:w="108" w:type="dxa"/>
          </w:tblCellMar>
        </w:tblPrEx>
        <w:trPr>
          <w:trHeight w:val="390" w:hRule="atLeast"/>
          <w:jc w:val="center"/>
        </w:trPr>
        <w:tc>
          <w:tcPr>
            <w:tcW w:w="3508" w:type="dxa"/>
            <w:tcBorders>
              <w:top w:val="nil"/>
              <w:left w:val="single" w:color="000000" w:sz="4" w:space="0"/>
              <w:bottom w:val="single" w:color="000000" w:sz="8" w:space="0"/>
              <w:right w:val="single" w:color="000000" w:sz="4" w:space="0"/>
            </w:tcBorders>
            <w:shd w:val="clear" w:color="FFFFFF" w:fill="C0C0C0"/>
            <w:noWrap/>
            <w:vAlign w:val="center"/>
          </w:tcPr>
          <w:p w14:paraId="4600CE99">
            <w:pPr>
              <w:keepNext w:val="0"/>
              <w:keepLines w:val="0"/>
              <w:widowControl/>
              <w:suppressLineNumbers w:val="0"/>
              <w:jc w:val="center"/>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总计</w:t>
            </w:r>
          </w:p>
        </w:tc>
        <w:tc>
          <w:tcPr>
            <w:tcW w:w="2112" w:type="dxa"/>
            <w:tcBorders>
              <w:top w:val="nil"/>
              <w:left w:val="nil"/>
              <w:bottom w:val="single" w:color="000000" w:sz="8" w:space="0"/>
              <w:right w:val="single" w:color="000000" w:sz="4" w:space="0"/>
            </w:tcBorders>
            <w:shd w:val="clear" w:color="auto" w:fill="auto"/>
            <w:noWrap/>
            <w:vAlign w:val="center"/>
          </w:tcPr>
          <w:p w14:paraId="2802A79D">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15,210.655805</w:t>
            </w:r>
          </w:p>
        </w:tc>
        <w:tc>
          <w:tcPr>
            <w:tcW w:w="3984" w:type="dxa"/>
            <w:tcBorders>
              <w:top w:val="nil"/>
              <w:left w:val="nil"/>
              <w:bottom w:val="single" w:color="000000" w:sz="8" w:space="0"/>
              <w:right w:val="single" w:color="000000" w:sz="4" w:space="0"/>
            </w:tcBorders>
            <w:shd w:val="clear" w:color="FFFFFF" w:fill="C0C0C0"/>
            <w:noWrap/>
            <w:vAlign w:val="center"/>
          </w:tcPr>
          <w:p w14:paraId="08E4F852">
            <w:pPr>
              <w:keepNext w:val="0"/>
              <w:keepLines w:val="0"/>
              <w:widowControl/>
              <w:suppressLineNumbers w:val="0"/>
              <w:jc w:val="center"/>
              <w:textAlignment w:val="center"/>
              <w:rPr>
                <w:rFonts w:hint="eastAsia" w:ascii="宋体" w:hAnsi="宋体" w:cs="宋体"/>
                <w:b/>
                <w:bCs/>
                <w:color w:val="000000"/>
                <w:sz w:val="13"/>
                <w:szCs w:val="13"/>
              </w:rPr>
            </w:pPr>
            <w:r>
              <w:rPr>
                <w:rFonts w:hint="eastAsia" w:ascii="宋体" w:hAnsi="宋体" w:eastAsia="宋体" w:cs="宋体"/>
                <w:i w:val="0"/>
                <w:iCs w:val="0"/>
                <w:color w:val="000000"/>
                <w:kern w:val="0"/>
                <w:sz w:val="22"/>
                <w:szCs w:val="22"/>
                <w:u w:val="none"/>
                <w:lang w:val="en-US" w:eastAsia="zh-CN" w:bidi="ar"/>
              </w:rPr>
              <w:t>总计</w:t>
            </w:r>
          </w:p>
        </w:tc>
        <w:tc>
          <w:tcPr>
            <w:tcW w:w="4275" w:type="dxa"/>
            <w:tcBorders>
              <w:top w:val="nil"/>
              <w:left w:val="nil"/>
              <w:bottom w:val="single" w:color="000000" w:sz="8" w:space="0"/>
              <w:right w:val="single" w:color="000000" w:sz="4" w:space="0"/>
            </w:tcBorders>
            <w:shd w:val="clear" w:color="FFFFFF" w:fill="C0C0C0"/>
            <w:noWrap/>
            <w:vAlign w:val="center"/>
          </w:tcPr>
          <w:p w14:paraId="39C54A49">
            <w:pPr>
              <w:keepNext w:val="0"/>
              <w:keepLines w:val="0"/>
              <w:widowControl/>
              <w:suppressLineNumbers w:val="0"/>
              <w:jc w:val="right"/>
              <w:textAlignment w:val="center"/>
              <w:rPr>
                <w:rFonts w:hint="eastAsia" w:ascii="宋体" w:hAnsi="宋体" w:cs="宋体"/>
                <w:color w:val="000000"/>
                <w:sz w:val="13"/>
                <w:szCs w:val="13"/>
              </w:rPr>
            </w:pPr>
            <w:r>
              <w:rPr>
                <w:rFonts w:hint="eastAsia" w:ascii="宋体" w:hAnsi="宋体" w:eastAsia="宋体" w:cs="宋体"/>
                <w:i w:val="0"/>
                <w:iCs w:val="0"/>
                <w:color w:val="000000"/>
                <w:kern w:val="0"/>
                <w:sz w:val="22"/>
                <w:szCs w:val="22"/>
                <w:u w:val="none"/>
                <w:lang w:val="en-US" w:eastAsia="zh-CN" w:bidi="ar"/>
              </w:rPr>
              <w:t>15,210.655805</w:t>
            </w:r>
          </w:p>
        </w:tc>
      </w:tr>
    </w:tbl>
    <w:p w14:paraId="0F9A0183">
      <w:pPr>
        <w:pStyle w:val="7"/>
        <w:rPr>
          <w:rFonts w:hint="eastAsia"/>
        </w:rPr>
      </w:pPr>
    </w:p>
    <w:p w14:paraId="3BBB59A5">
      <w:pPr>
        <w:pStyle w:val="7"/>
        <w:rPr>
          <w:rFonts w:hint="eastAsia"/>
        </w:rPr>
      </w:pPr>
    </w:p>
    <w:p w14:paraId="5E47F04A">
      <w:pPr>
        <w:pStyle w:val="7"/>
        <w:rPr>
          <w:rFonts w:hint="eastAsia"/>
        </w:rPr>
      </w:pPr>
    </w:p>
    <w:p w14:paraId="6B301A06">
      <w:pPr>
        <w:pStyle w:val="7"/>
        <w:rPr>
          <w:rFonts w:hint="eastAsia"/>
        </w:rPr>
      </w:pPr>
    </w:p>
    <w:p w14:paraId="14AA20B5">
      <w:pPr>
        <w:pStyle w:val="7"/>
        <w:rPr>
          <w:rFonts w:hint="eastAsia"/>
        </w:rPr>
      </w:pPr>
    </w:p>
    <w:p w14:paraId="6E77FA32">
      <w:pPr>
        <w:pStyle w:val="7"/>
        <w:rPr>
          <w:rFonts w:hint="eastAsia"/>
        </w:rPr>
      </w:pPr>
    </w:p>
    <w:p w14:paraId="6409696D">
      <w:pPr>
        <w:pStyle w:val="7"/>
        <w:rPr>
          <w:rFonts w:hint="eastAsia"/>
        </w:rPr>
      </w:pPr>
    </w:p>
    <w:p w14:paraId="01D58E44">
      <w:pPr>
        <w:pStyle w:val="7"/>
        <w:rPr>
          <w:rFonts w:hint="eastAsia"/>
        </w:rPr>
      </w:pPr>
    </w:p>
    <w:p w14:paraId="0C77505C">
      <w:pPr>
        <w:pStyle w:val="7"/>
        <w:rPr>
          <w:rFonts w:hint="eastAsia"/>
        </w:rPr>
      </w:pPr>
    </w:p>
    <w:p w14:paraId="4D093AD6">
      <w:pPr>
        <w:pStyle w:val="7"/>
        <w:rPr>
          <w:rFonts w:hint="eastAsia"/>
        </w:rPr>
      </w:pPr>
    </w:p>
    <w:p w14:paraId="76BBFDDD">
      <w:pPr>
        <w:pStyle w:val="7"/>
        <w:rPr>
          <w:rFonts w:hint="eastAsia"/>
        </w:rPr>
      </w:pPr>
    </w:p>
    <w:p w14:paraId="4B8B21DB">
      <w:pPr>
        <w:pStyle w:val="7"/>
        <w:rPr>
          <w:rFonts w:hint="eastAsia"/>
        </w:rPr>
      </w:pPr>
    </w:p>
    <w:p w14:paraId="2D1FBB30">
      <w:pPr>
        <w:pStyle w:val="7"/>
        <w:rPr>
          <w:rFonts w:hint="eastAsia"/>
        </w:rPr>
      </w:pPr>
    </w:p>
    <w:p w14:paraId="77F47E1F">
      <w:pPr>
        <w:pStyle w:val="7"/>
        <w:rPr>
          <w:rFonts w:hint="eastAsia"/>
        </w:rPr>
      </w:pPr>
    </w:p>
    <w:p w14:paraId="351E8D44">
      <w:pPr>
        <w:pStyle w:val="7"/>
      </w:pPr>
      <w:r>
        <w:rPr>
          <w:rFonts w:hint="eastAsia"/>
        </w:rPr>
        <w:t>附件2：</w:t>
      </w:r>
    </w:p>
    <w:tbl>
      <w:tblPr>
        <w:tblStyle w:val="16"/>
        <w:tblW w:w="5124" w:type="pct"/>
        <w:tblInd w:w="31" w:type="dxa"/>
        <w:tblLayout w:type="fixed"/>
        <w:tblCellMar>
          <w:top w:w="0" w:type="dxa"/>
          <w:left w:w="108" w:type="dxa"/>
          <w:bottom w:w="0" w:type="dxa"/>
          <w:right w:w="108" w:type="dxa"/>
        </w:tblCellMar>
      </w:tblPr>
      <w:tblGrid>
        <w:gridCol w:w="985"/>
        <w:gridCol w:w="1113"/>
        <w:gridCol w:w="1522"/>
        <w:gridCol w:w="1214"/>
        <w:gridCol w:w="2037"/>
        <w:gridCol w:w="712"/>
        <w:gridCol w:w="712"/>
        <w:gridCol w:w="2379"/>
        <w:gridCol w:w="3852"/>
      </w:tblGrid>
      <w:tr w14:paraId="3245F311">
        <w:tblPrEx>
          <w:tblCellMar>
            <w:top w:w="0" w:type="dxa"/>
            <w:left w:w="108" w:type="dxa"/>
            <w:bottom w:w="0" w:type="dxa"/>
            <w:right w:w="108" w:type="dxa"/>
          </w:tblCellMar>
        </w:tblPrEx>
        <w:trPr>
          <w:trHeight w:val="780" w:hRule="atLeast"/>
        </w:trPr>
        <w:tc>
          <w:tcPr>
            <w:tcW w:w="5000" w:type="pct"/>
            <w:gridSpan w:val="9"/>
            <w:tcBorders>
              <w:top w:val="nil"/>
              <w:left w:val="nil"/>
              <w:bottom w:val="single" w:color="auto" w:sz="4" w:space="0"/>
              <w:right w:val="nil"/>
            </w:tcBorders>
            <w:shd w:val="clear" w:color="auto" w:fill="auto"/>
            <w:noWrap/>
            <w:vAlign w:val="center"/>
          </w:tcPr>
          <w:p w14:paraId="701E3CCC">
            <w:pPr>
              <w:widowControl/>
              <w:adjustRightInd w:val="0"/>
              <w:snapToGrid w:val="0"/>
              <w:jc w:val="center"/>
              <w:textAlignment w:val="center"/>
            </w:pPr>
            <w:r>
              <w:rPr>
                <w:rFonts w:hint="eastAsia"/>
                <w:b/>
                <w:bCs/>
                <w:sz w:val="44"/>
                <w:szCs w:val="52"/>
              </w:rPr>
              <w:t>2023</w:t>
            </w:r>
            <w:r>
              <w:rPr>
                <w:b/>
                <w:bCs/>
                <w:sz w:val="44"/>
                <w:szCs w:val="52"/>
              </w:rPr>
              <w:t>年北京市石景山区人民法院部门整体绩效评价指标体系评分表</w:t>
            </w:r>
            <w:r>
              <w:t xml:space="preserve"> </w:t>
            </w:r>
          </w:p>
          <w:p w14:paraId="530F48CE"/>
          <w:p w14:paraId="0C68F9DB">
            <w:pPr>
              <w:pStyle w:val="7"/>
            </w:pPr>
          </w:p>
        </w:tc>
      </w:tr>
      <w:tr w14:paraId="22810B1C">
        <w:tblPrEx>
          <w:tblCellMar>
            <w:top w:w="0" w:type="dxa"/>
            <w:left w:w="108" w:type="dxa"/>
            <w:bottom w:w="0" w:type="dxa"/>
            <w:right w:w="108" w:type="dxa"/>
          </w:tblCellMar>
        </w:tblPrEx>
        <w:trPr>
          <w:trHeight w:val="550" w:hRule="atLeast"/>
        </w:trPr>
        <w:tc>
          <w:tcPr>
            <w:tcW w:w="5000" w:type="pct"/>
            <w:gridSpan w:val="9"/>
            <w:tcBorders>
              <w:top w:val="single" w:color="auto" w:sz="4" w:space="0"/>
              <w:left w:val="single" w:color="auto" w:sz="4" w:space="0"/>
              <w:bottom w:val="single" w:color="auto" w:sz="4" w:space="0"/>
              <w:right w:val="single" w:color="auto" w:sz="4" w:space="0"/>
            </w:tcBorders>
            <w:shd w:val="clear" w:color="auto" w:fill="auto"/>
            <w:vAlign w:val="center"/>
          </w:tcPr>
          <w:p w14:paraId="408AA8F8">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一、当年预算执行情况（20分）</w:t>
            </w:r>
          </w:p>
        </w:tc>
      </w:tr>
      <w:tr w14:paraId="549E2585">
        <w:tblPrEx>
          <w:tblCellMar>
            <w:top w:w="0" w:type="dxa"/>
            <w:left w:w="108" w:type="dxa"/>
            <w:bottom w:w="0" w:type="dxa"/>
            <w:right w:w="108" w:type="dxa"/>
          </w:tblCellMar>
        </w:tblPrEx>
        <w:trPr>
          <w:trHeight w:val="600" w:hRule="atLeast"/>
        </w:trPr>
        <w:tc>
          <w:tcPr>
            <w:tcW w:w="339" w:type="pct"/>
            <w:tcBorders>
              <w:top w:val="single" w:color="auto" w:sz="4" w:space="0"/>
              <w:left w:val="single" w:color="auto" w:sz="4" w:space="0"/>
              <w:bottom w:val="single" w:color="auto" w:sz="4" w:space="0"/>
              <w:right w:val="single" w:color="auto" w:sz="4" w:space="0"/>
            </w:tcBorders>
            <w:shd w:val="clear" w:color="auto" w:fill="auto"/>
            <w:vAlign w:val="center"/>
          </w:tcPr>
          <w:p w14:paraId="4B9402EB">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一级指标　</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0840D1BC">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二级指标　</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14:paraId="39BABD0A">
            <w:pPr>
              <w:widowControl/>
              <w:adjustRightInd w:val="0"/>
              <w:snapToGrid w:val="0"/>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预算数</w:t>
            </w:r>
          </w:p>
          <w:p w14:paraId="4BF2F4C2">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（万元）</w:t>
            </w:r>
          </w:p>
        </w:tc>
        <w:tc>
          <w:tcPr>
            <w:tcW w:w="418" w:type="pct"/>
            <w:tcBorders>
              <w:top w:val="single" w:color="auto" w:sz="4" w:space="0"/>
              <w:left w:val="single" w:color="auto" w:sz="4" w:space="0"/>
              <w:bottom w:val="single" w:color="auto" w:sz="4" w:space="0"/>
              <w:right w:val="single" w:color="auto" w:sz="4" w:space="0"/>
            </w:tcBorders>
            <w:shd w:val="clear" w:color="auto" w:fill="auto"/>
            <w:vAlign w:val="center"/>
          </w:tcPr>
          <w:p w14:paraId="42A4A54C">
            <w:pPr>
              <w:widowControl/>
              <w:adjustRightInd w:val="0"/>
              <w:snapToGrid w:val="0"/>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执行数</w:t>
            </w:r>
          </w:p>
          <w:p w14:paraId="416620E3">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（万元）</w:t>
            </w:r>
          </w:p>
        </w:tc>
        <w:tc>
          <w:tcPr>
            <w:tcW w:w="701" w:type="pct"/>
            <w:tcBorders>
              <w:top w:val="single" w:color="auto" w:sz="4" w:space="0"/>
              <w:left w:val="single" w:color="auto" w:sz="4" w:space="0"/>
              <w:bottom w:val="single" w:color="auto" w:sz="4" w:space="0"/>
              <w:right w:val="single" w:color="auto" w:sz="4" w:space="0"/>
            </w:tcBorders>
            <w:shd w:val="clear" w:color="auto" w:fill="auto"/>
            <w:vAlign w:val="center"/>
          </w:tcPr>
          <w:p w14:paraId="06087ADC">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预算执行率</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0E5E0DF6">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分值</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494A4725">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得分</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419839CC">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指标解释</w:t>
            </w:r>
          </w:p>
        </w:tc>
        <w:tc>
          <w:tcPr>
            <w:tcW w:w="1326" w:type="pct"/>
            <w:tcBorders>
              <w:top w:val="single" w:color="auto" w:sz="4" w:space="0"/>
              <w:left w:val="single" w:color="auto" w:sz="4" w:space="0"/>
              <w:bottom w:val="single" w:color="auto" w:sz="4" w:space="0"/>
              <w:right w:val="single" w:color="auto" w:sz="4" w:space="0"/>
            </w:tcBorders>
            <w:shd w:val="clear" w:color="auto" w:fill="auto"/>
            <w:vAlign w:val="center"/>
          </w:tcPr>
          <w:p w14:paraId="07EE1B68">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评分标准</w:t>
            </w:r>
          </w:p>
        </w:tc>
      </w:tr>
      <w:tr w14:paraId="73B2940B">
        <w:tblPrEx>
          <w:tblCellMar>
            <w:top w:w="0" w:type="dxa"/>
            <w:left w:w="108" w:type="dxa"/>
            <w:bottom w:w="0" w:type="dxa"/>
            <w:right w:w="108" w:type="dxa"/>
          </w:tblCellMar>
        </w:tblPrEx>
        <w:trPr>
          <w:trHeight w:val="1324" w:hRule="atLeast"/>
        </w:trPr>
        <w:tc>
          <w:tcPr>
            <w:tcW w:w="33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236C2">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当年预算执行情况（20）</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1FCB8958">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资金总体</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14:paraId="5E60B8C7">
            <w:pPr>
              <w:widowControl/>
              <w:adjustRightInd w:val="0"/>
              <w:snapToGrid w:val="0"/>
              <w:jc w:val="center"/>
              <w:textAlignment w:val="center"/>
              <w:rPr>
                <w:rFonts w:hint="eastAsia" w:ascii="宋体" w:hAnsi="宋体" w:cs="宋体"/>
                <w:color w:val="000000"/>
                <w:kern w:val="0"/>
                <w:sz w:val="18"/>
                <w:szCs w:val="18"/>
                <w:lang w:bidi="ar"/>
              </w:rPr>
            </w:pPr>
            <w:r>
              <w:rPr>
                <w:rFonts w:ascii="宋体" w:hAnsi="宋体" w:cs="宋体"/>
                <w:color w:val="000000"/>
                <w:kern w:val="0"/>
                <w:sz w:val="18"/>
                <w:szCs w:val="18"/>
                <w:lang w:bidi="ar"/>
              </w:rPr>
              <w:t>15,192.89</w:t>
            </w:r>
          </w:p>
        </w:tc>
        <w:tc>
          <w:tcPr>
            <w:tcW w:w="418" w:type="pct"/>
            <w:tcBorders>
              <w:top w:val="single" w:color="auto" w:sz="4" w:space="0"/>
              <w:left w:val="single" w:color="auto" w:sz="4" w:space="0"/>
              <w:bottom w:val="single" w:color="auto" w:sz="4" w:space="0"/>
              <w:right w:val="single" w:color="auto" w:sz="4" w:space="0"/>
            </w:tcBorders>
            <w:shd w:val="clear" w:color="auto" w:fill="auto"/>
            <w:vAlign w:val="center"/>
          </w:tcPr>
          <w:p w14:paraId="3F9D92E5">
            <w:pPr>
              <w:widowControl/>
              <w:adjustRightInd w:val="0"/>
              <w:snapToGrid w:val="0"/>
              <w:jc w:val="center"/>
              <w:textAlignment w:val="center"/>
              <w:rPr>
                <w:rFonts w:hint="eastAsia" w:ascii="宋体" w:hAnsi="宋体" w:cs="宋体"/>
                <w:color w:val="000000"/>
                <w:kern w:val="0"/>
                <w:sz w:val="18"/>
                <w:szCs w:val="18"/>
                <w:lang w:bidi="ar"/>
              </w:rPr>
            </w:pPr>
            <w:r>
              <w:rPr>
                <w:rFonts w:ascii="宋体" w:hAnsi="宋体" w:cs="宋体"/>
                <w:color w:val="000000"/>
                <w:kern w:val="0"/>
                <w:sz w:val="18"/>
                <w:szCs w:val="18"/>
                <w:lang w:bidi="ar"/>
              </w:rPr>
              <w:t>15,149.84</w:t>
            </w:r>
          </w:p>
        </w:tc>
        <w:tc>
          <w:tcPr>
            <w:tcW w:w="701" w:type="pct"/>
            <w:tcBorders>
              <w:top w:val="single" w:color="auto" w:sz="4" w:space="0"/>
              <w:left w:val="single" w:color="auto" w:sz="4" w:space="0"/>
              <w:bottom w:val="single" w:color="auto" w:sz="4" w:space="0"/>
              <w:right w:val="single" w:color="auto" w:sz="4" w:space="0"/>
            </w:tcBorders>
            <w:shd w:val="clear" w:color="auto" w:fill="auto"/>
            <w:vAlign w:val="center"/>
          </w:tcPr>
          <w:p w14:paraId="1B19248C">
            <w:pPr>
              <w:widowControl/>
              <w:adjustRightInd w:val="0"/>
              <w:snapToGrid w:val="0"/>
              <w:jc w:val="center"/>
              <w:textAlignment w:val="center"/>
              <w:rPr>
                <w:rFonts w:hint="eastAsia" w:ascii="宋体" w:hAnsi="宋体" w:cs="宋体"/>
                <w:color w:val="000000"/>
                <w:sz w:val="18"/>
                <w:szCs w:val="18"/>
              </w:rPr>
            </w:pPr>
            <w:r>
              <w:rPr>
                <w:rFonts w:ascii="宋体" w:hAnsi="宋体" w:cs="宋体"/>
                <w:color w:val="000000"/>
                <w:kern w:val="0"/>
                <w:sz w:val="18"/>
                <w:szCs w:val="18"/>
                <w:lang w:bidi="ar"/>
              </w:rPr>
              <w:t>99.72%</w:t>
            </w:r>
          </w:p>
        </w:tc>
        <w:tc>
          <w:tcPr>
            <w:tcW w:w="24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E9BE208">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20</w:t>
            </w:r>
          </w:p>
        </w:tc>
        <w:tc>
          <w:tcPr>
            <w:tcW w:w="24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D3B1836">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19.94 </w:t>
            </w:r>
          </w:p>
        </w:tc>
        <w:tc>
          <w:tcPr>
            <w:tcW w:w="81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1C9826">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部门全年执行数与全年预算数的比率。资金总体=基本支出+项目支出+其他</w:t>
            </w:r>
          </w:p>
        </w:tc>
        <w:tc>
          <w:tcPr>
            <w:tcW w:w="132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05BD0E">
            <w:pPr>
              <w:widowControl/>
              <w:adjustRightInd w:val="0"/>
              <w:snapToGrid w:val="0"/>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①得分一档最高不能超过该指标分值上限（20分）。</w:t>
            </w:r>
          </w:p>
          <w:p w14:paraId="52326DFE">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14:paraId="76287C52">
        <w:tblPrEx>
          <w:tblCellMar>
            <w:top w:w="0" w:type="dxa"/>
            <w:left w:w="108" w:type="dxa"/>
            <w:bottom w:w="0" w:type="dxa"/>
            <w:right w:w="108" w:type="dxa"/>
          </w:tblCellMar>
        </w:tblPrEx>
        <w:trPr>
          <w:trHeight w:val="1228" w:hRule="atLeast"/>
        </w:trPr>
        <w:tc>
          <w:tcPr>
            <w:tcW w:w="33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E663FB">
            <w:pPr>
              <w:adjustRightInd w:val="0"/>
              <w:snapToGrid w:val="0"/>
              <w:jc w:val="center"/>
              <w:rPr>
                <w:rFonts w:hint="eastAsia" w:ascii="宋体" w:hAnsi="宋体" w:cs="宋体"/>
                <w:color w:val="000000"/>
                <w:sz w:val="18"/>
                <w:szCs w:val="18"/>
              </w:rPr>
            </w:pP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359662EF">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基本支出</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14:paraId="655E40FD">
            <w:pPr>
              <w:widowControl/>
              <w:adjustRightInd w:val="0"/>
              <w:snapToGrid w:val="0"/>
              <w:jc w:val="center"/>
              <w:textAlignment w:val="center"/>
              <w:rPr>
                <w:rFonts w:hint="eastAsia" w:ascii="宋体" w:hAnsi="宋体" w:cs="宋体"/>
                <w:color w:val="000000"/>
                <w:kern w:val="0"/>
                <w:sz w:val="18"/>
                <w:szCs w:val="18"/>
                <w:lang w:bidi="ar"/>
              </w:rPr>
            </w:pPr>
            <w:r>
              <w:rPr>
                <w:rFonts w:ascii="宋体" w:hAnsi="宋体" w:cs="宋体"/>
                <w:color w:val="000000"/>
                <w:kern w:val="0"/>
                <w:sz w:val="18"/>
                <w:szCs w:val="18"/>
                <w:lang w:bidi="ar"/>
              </w:rPr>
              <w:t>11,168.73</w:t>
            </w:r>
          </w:p>
        </w:tc>
        <w:tc>
          <w:tcPr>
            <w:tcW w:w="418" w:type="pct"/>
            <w:tcBorders>
              <w:top w:val="single" w:color="auto" w:sz="4" w:space="0"/>
              <w:left w:val="single" w:color="auto" w:sz="4" w:space="0"/>
              <w:bottom w:val="single" w:color="auto" w:sz="4" w:space="0"/>
              <w:right w:val="single" w:color="auto" w:sz="4" w:space="0"/>
            </w:tcBorders>
            <w:shd w:val="clear" w:color="auto" w:fill="auto"/>
            <w:vAlign w:val="center"/>
          </w:tcPr>
          <w:p w14:paraId="6BF025C4">
            <w:pPr>
              <w:widowControl/>
              <w:adjustRightInd w:val="0"/>
              <w:snapToGrid w:val="0"/>
              <w:jc w:val="center"/>
              <w:textAlignment w:val="center"/>
              <w:rPr>
                <w:rFonts w:hint="eastAsia" w:ascii="宋体" w:hAnsi="宋体" w:cs="宋体"/>
                <w:color w:val="000000"/>
                <w:kern w:val="0"/>
                <w:sz w:val="18"/>
                <w:szCs w:val="18"/>
                <w:lang w:bidi="ar"/>
              </w:rPr>
            </w:pPr>
            <w:r>
              <w:rPr>
                <w:rFonts w:ascii="宋体" w:hAnsi="宋体" w:cs="宋体"/>
                <w:color w:val="000000"/>
                <w:kern w:val="0"/>
                <w:sz w:val="18"/>
                <w:szCs w:val="18"/>
                <w:lang w:bidi="ar"/>
              </w:rPr>
              <w:t>11,148.23</w:t>
            </w:r>
          </w:p>
        </w:tc>
        <w:tc>
          <w:tcPr>
            <w:tcW w:w="70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E5B3B4">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w:t>
            </w:r>
          </w:p>
        </w:tc>
        <w:tc>
          <w:tcPr>
            <w:tcW w:w="24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52C08FC">
            <w:pPr>
              <w:adjustRightInd w:val="0"/>
              <w:snapToGrid w:val="0"/>
              <w:jc w:val="center"/>
              <w:rPr>
                <w:rFonts w:hint="eastAsia" w:ascii="宋体" w:hAnsi="宋体" w:cs="宋体"/>
                <w:color w:val="000000"/>
                <w:sz w:val="18"/>
                <w:szCs w:val="18"/>
              </w:rPr>
            </w:pPr>
          </w:p>
        </w:tc>
        <w:tc>
          <w:tcPr>
            <w:tcW w:w="24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5618A7B">
            <w:pPr>
              <w:adjustRightInd w:val="0"/>
              <w:snapToGrid w:val="0"/>
              <w:jc w:val="center"/>
              <w:rPr>
                <w:rFonts w:hint="eastAsia" w:ascii="宋体" w:hAnsi="宋体" w:cs="宋体"/>
                <w:color w:val="000000"/>
                <w:sz w:val="18"/>
                <w:szCs w:val="18"/>
              </w:rPr>
            </w:pPr>
          </w:p>
        </w:tc>
        <w:tc>
          <w:tcPr>
            <w:tcW w:w="81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0A6FD7">
            <w:pPr>
              <w:adjustRightInd w:val="0"/>
              <w:snapToGrid w:val="0"/>
              <w:jc w:val="left"/>
              <w:rPr>
                <w:rFonts w:hint="eastAsia" w:ascii="宋体" w:hAnsi="宋体" w:cs="宋体"/>
                <w:color w:val="000000"/>
                <w:sz w:val="18"/>
                <w:szCs w:val="18"/>
              </w:rPr>
            </w:pPr>
          </w:p>
        </w:tc>
        <w:tc>
          <w:tcPr>
            <w:tcW w:w="132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717F2C">
            <w:pPr>
              <w:adjustRightInd w:val="0"/>
              <w:snapToGrid w:val="0"/>
              <w:jc w:val="left"/>
              <w:rPr>
                <w:rFonts w:hint="eastAsia" w:ascii="宋体" w:hAnsi="宋体" w:cs="宋体"/>
                <w:color w:val="000000"/>
                <w:sz w:val="18"/>
                <w:szCs w:val="18"/>
              </w:rPr>
            </w:pPr>
          </w:p>
        </w:tc>
      </w:tr>
      <w:tr w14:paraId="6D27A6F3">
        <w:tblPrEx>
          <w:tblCellMar>
            <w:top w:w="0" w:type="dxa"/>
            <w:left w:w="108" w:type="dxa"/>
            <w:bottom w:w="0" w:type="dxa"/>
            <w:right w:w="108" w:type="dxa"/>
          </w:tblCellMar>
        </w:tblPrEx>
        <w:trPr>
          <w:trHeight w:val="1324" w:hRule="atLeast"/>
        </w:trPr>
        <w:tc>
          <w:tcPr>
            <w:tcW w:w="33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363E9E">
            <w:pPr>
              <w:adjustRightInd w:val="0"/>
              <w:snapToGrid w:val="0"/>
              <w:jc w:val="center"/>
              <w:rPr>
                <w:rFonts w:hint="eastAsia" w:ascii="宋体" w:hAnsi="宋体" w:cs="宋体"/>
                <w:color w:val="000000"/>
                <w:sz w:val="18"/>
                <w:szCs w:val="18"/>
              </w:rPr>
            </w:pP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5E0CEB5E">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项目支出</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14:paraId="30AE694A">
            <w:pPr>
              <w:widowControl/>
              <w:adjustRightInd w:val="0"/>
              <w:snapToGrid w:val="0"/>
              <w:jc w:val="center"/>
              <w:textAlignment w:val="center"/>
              <w:rPr>
                <w:rFonts w:hint="eastAsia" w:ascii="宋体" w:hAnsi="宋体" w:cs="宋体"/>
                <w:color w:val="000000"/>
                <w:kern w:val="0"/>
                <w:sz w:val="18"/>
                <w:szCs w:val="18"/>
                <w:lang w:bidi="ar"/>
              </w:rPr>
            </w:pPr>
            <w:r>
              <w:rPr>
                <w:rFonts w:ascii="宋体" w:hAnsi="宋体" w:cs="宋体"/>
                <w:color w:val="000000"/>
                <w:kern w:val="0"/>
                <w:sz w:val="18"/>
                <w:szCs w:val="18"/>
                <w:lang w:bidi="ar"/>
              </w:rPr>
              <w:t>4,024.16</w:t>
            </w:r>
          </w:p>
        </w:tc>
        <w:tc>
          <w:tcPr>
            <w:tcW w:w="418" w:type="pct"/>
            <w:tcBorders>
              <w:top w:val="single" w:color="auto" w:sz="4" w:space="0"/>
              <w:left w:val="single" w:color="auto" w:sz="4" w:space="0"/>
              <w:bottom w:val="single" w:color="auto" w:sz="4" w:space="0"/>
              <w:right w:val="single" w:color="auto" w:sz="4" w:space="0"/>
            </w:tcBorders>
            <w:shd w:val="clear" w:color="auto" w:fill="auto"/>
            <w:vAlign w:val="center"/>
          </w:tcPr>
          <w:p w14:paraId="2E0A0431">
            <w:pPr>
              <w:widowControl/>
              <w:adjustRightInd w:val="0"/>
              <w:snapToGrid w:val="0"/>
              <w:jc w:val="center"/>
              <w:textAlignment w:val="center"/>
              <w:rPr>
                <w:rFonts w:hint="eastAsia" w:ascii="宋体" w:hAnsi="宋体" w:cs="宋体"/>
                <w:color w:val="000000"/>
                <w:kern w:val="0"/>
                <w:sz w:val="18"/>
                <w:szCs w:val="18"/>
                <w:lang w:bidi="ar"/>
              </w:rPr>
            </w:pPr>
            <w:r>
              <w:rPr>
                <w:rFonts w:ascii="宋体" w:hAnsi="宋体" w:cs="宋体"/>
                <w:color w:val="000000"/>
                <w:kern w:val="0"/>
                <w:sz w:val="18"/>
                <w:szCs w:val="18"/>
                <w:lang w:bidi="ar"/>
              </w:rPr>
              <w:t>4,001.61</w:t>
            </w:r>
          </w:p>
        </w:tc>
        <w:tc>
          <w:tcPr>
            <w:tcW w:w="70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4F8A24">
            <w:pPr>
              <w:adjustRightInd w:val="0"/>
              <w:snapToGrid w:val="0"/>
              <w:jc w:val="center"/>
              <w:rPr>
                <w:rFonts w:hint="eastAsia" w:ascii="宋体" w:hAnsi="宋体" w:cs="宋体"/>
                <w:color w:val="000000"/>
                <w:sz w:val="18"/>
                <w:szCs w:val="18"/>
              </w:rPr>
            </w:pPr>
          </w:p>
        </w:tc>
        <w:tc>
          <w:tcPr>
            <w:tcW w:w="24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37365B6">
            <w:pPr>
              <w:adjustRightInd w:val="0"/>
              <w:snapToGrid w:val="0"/>
              <w:jc w:val="center"/>
              <w:rPr>
                <w:rFonts w:hint="eastAsia" w:ascii="宋体" w:hAnsi="宋体" w:cs="宋体"/>
                <w:color w:val="000000"/>
                <w:sz w:val="18"/>
                <w:szCs w:val="18"/>
              </w:rPr>
            </w:pPr>
          </w:p>
        </w:tc>
        <w:tc>
          <w:tcPr>
            <w:tcW w:w="24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D11E0C4">
            <w:pPr>
              <w:adjustRightInd w:val="0"/>
              <w:snapToGrid w:val="0"/>
              <w:jc w:val="center"/>
              <w:rPr>
                <w:rFonts w:hint="eastAsia" w:ascii="宋体" w:hAnsi="宋体" w:cs="宋体"/>
                <w:color w:val="000000"/>
                <w:sz w:val="18"/>
                <w:szCs w:val="18"/>
              </w:rPr>
            </w:pPr>
          </w:p>
        </w:tc>
        <w:tc>
          <w:tcPr>
            <w:tcW w:w="81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E89D8A">
            <w:pPr>
              <w:adjustRightInd w:val="0"/>
              <w:snapToGrid w:val="0"/>
              <w:jc w:val="left"/>
              <w:rPr>
                <w:rFonts w:hint="eastAsia" w:ascii="宋体" w:hAnsi="宋体" w:cs="宋体"/>
                <w:color w:val="000000"/>
                <w:sz w:val="18"/>
                <w:szCs w:val="18"/>
              </w:rPr>
            </w:pPr>
          </w:p>
        </w:tc>
        <w:tc>
          <w:tcPr>
            <w:tcW w:w="132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F084E8">
            <w:pPr>
              <w:adjustRightInd w:val="0"/>
              <w:snapToGrid w:val="0"/>
              <w:jc w:val="left"/>
              <w:rPr>
                <w:rFonts w:hint="eastAsia" w:ascii="宋体" w:hAnsi="宋体" w:cs="宋体"/>
                <w:color w:val="000000"/>
                <w:sz w:val="18"/>
                <w:szCs w:val="18"/>
              </w:rPr>
            </w:pPr>
          </w:p>
        </w:tc>
      </w:tr>
      <w:tr w14:paraId="6AF50088">
        <w:tblPrEx>
          <w:tblCellMar>
            <w:top w:w="0" w:type="dxa"/>
            <w:left w:w="108" w:type="dxa"/>
            <w:bottom w:w="0" w:type="dxa"/>
            <w:right w:w="108" w:type="dxa"/>
          </w:tblCellMar>
        </w:tblPrEx>
        <w:trPr>
          <w:trHeight w:val="1412" w:hRule="atLeast"/>
        </w:trPr>
        <w:tc>
          <w:tcPr>
            <w:tcW w:w="33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3C9D0F">
            <w:pPr>
              <w:adjustRightInd w:val="0"/>
              <w:snapToGrid w:val="0"/>
              <w:jc w:val="center"/>
              <w:rPr>
                <w:rFonts w:hint="eastAsia" w:ascii="宋体" w:hAnsi="宋体" w:cs="宋体"/>
                <w:color w:val="000000"/>
                <w:sz w:val="18"/>
                <w:szCs w:val="18"/>
              </w:rPr>
            </w:pP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216207C4">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其他</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14:paraId="48D0B056">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0</w:t>
            </w:r>
          </w:p>
        </w:tc>
        <w:tc>
          <w:tcPr>
            <w:tcW w:w="418" w:type="pct"/>
            <w:tcBorders>
              <w:top w:val="single" w:color="auto" w:sz="4" w:space="0"/>
              <w:left w:val="single" w:color="auto" w:sz="4" w:space="0"/>
              <w:bottom w:val="single" w:color="auto" w:sz="4" w:space="0"/>
              <w:right w:val="single" w:color="auto" w:sz="4" w:space="0"/>
            </w:tcBorders>
            <w:shd w:val="clear" w:color="auto" w:fill="auto"/>
            <w:vAlign w:val="center"/>
          </w:tcPr>
          <w:p w14:paraId="0909ADAF">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0</w:t>
            </w:r>
          </w:p>
        </w:tc>
        <w:tc>
          <w:tcPr>
            <w:tcW w:w="70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58CF44">
            <w:pPr>
              <w:adjustRightInd w:val="0"/>
              <w:snapToGrid w:val="0"/>
              <w:jc w:val="center"/>
              <w:rPr>
                <w:rFonts w:hint="eastAsia" w:ascii="宋体" w:hAnsi="宋体" w:cs="宋体"/>
                <w:color w:val="000000"/>
                <w:sz w:val="18"/>
                <w:szCs w:val="18"/>
              </w:rPr>
            </w:pPr>
          </w:p>
        </w:tc>
        <w:tc>
          <w:tcPr>
            <w:tcW w:w="24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114427E">
            <w:pPr>
              <w:adjustRightInd w:val="0"/>
              <w:snapToGrid w:val="0"/>
              <w:jc w:val="center"/>
              <w:rPr>
                <w:rFonts w:hint="eastAsia" w:ascii="宋体" w:hAnsi="宋体" w:cs="宋体"/>
                <w:color w:val="000000"/>
                <w:sz w:val="18"/>
                <w:szCs w:val="18"/>
              </w:rPr>
            </w:pPr>
          </w:p>
        </w:tc>
        <w:tc>
          <w:tcPr>
            <w:tcW w:w="24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14786A2">
            <w:pPr>
              <w:adjustRightInd w:val="0"/>
              <w:snapToGrid w:val="0"/>
              <w:jc w:val="center"/>
              <w:rPr>
                <w:rFonts w:hint="eastAsia" w:ascii="宋体" w:hAnsi="宋体" w:cs="宋体"/>
                <w:color w:val="000000"/>
                <w:sz w:val="18"/>
                <w:szCs w:val="18"/>
              </w:rPr>
            </w:pPr>
          </w:p>
        </w:tc>
        <w:tc>
          <w:tcPr>
            <w:tcW w:w="81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04CACB">
            <w:pPr>
              <w:adjustRightInd w:val="0"/>
              <w:snapToGrid w:val="0"/>
              <w:jc w:val="left"/>
              <w:rPr>
                <w:rFonts w:hint="eastAsia" w:ascii="宋体" w:hAnsi="宋体" w:cs="宋体"/>
                <w:color w:val="000000"/>
                <w:sz w:val="18"/>
                <w:szCs w:val="18"/>
              </w:rPr>
            </w:pPr>
          </w:p>
        </w:tc>
        <w:tc>
          <w:tcPr>
            <w:tcW w:w="132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E4B4B3">
            <w:pPr>
              <w:adjustRightInd w:val="0"/>
              <w:snapToGrid w:val="0"/>
              <w:jc w:val="left"/>
              <w:rPr>
                <w:rFonts w:hint="eastAsia" w:ascii="宋体" w:hAnsi="宋体" w:cs="宋体"/>
                <w:color w:val="000000"/>
                <w:sz w:val="18"/>
                <w:szCs w:val="18"/>
              </w:rPr>
            </w:pPr>
          </w:p>
        </w:tc>
      </w:tr>
      <w:tr w14:paraId="415E8504">
        <w:tblPrEx>
          <w:tblCellMar>
            <w:top w:w="0" w:type="dxa"/>
            <w:left w:w="108" w:type="dxa"/>
            <w:bottom w:w="0" w:type="dxa"/>
            <w:right w:w="108" w:type="dxa"/>
          </w:tblCellMar>
        </w:tblPrEx>
        <w:trPr>
          <w:trHeight w:val="630" w:hRule="atLeast"/>
        </w:trPr>
        <w:tc>
          <w:tcPr>
            <w:tcW w:w="5000" w:type="pct"/>
            <w:gridSpan w:val="9"/>
            <w:tcBorders>
              <w:top w:val="single" w:color="auto" w:sz="4" w:space="0"/>
              <w:left w:val="single" w:color="auto" w:sz="4" w:space="0"/>
              <w:bottom w:val="single" w:color="auto" w:sz="4" w:space="0"/>
              <w:right w:val="single" w:color="auto" w:sz="4" w:space="0"/>
            </w:tcBorders>
            <w:shd w:val="clear" w:color="auto" w:fill="auto"/>
            <w:vAlign w:val="center"/>
          </w:tcPr>
          <w:p w14:paraId="54224283">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二、整体绩效目标实现情况（60分）</w:t>
            </w:r>
          </w:p>
        </w:tc>
      </w:tr>
      <w:tr w14:paraId="0AE1303C">
        <w:tblPrEx>
          <w:tblCellMar>
            <w:top w:w="0" w:type="dxa"/>
            <w:left w:w="108" w:type="dxa"/>
            <w:bottom w:w="0" w:type="dxa"/>
            <w:right w:w="108" w:type="dxa"/>
          </w:tblCellMar>
        </w:tblPrEx>
        <w:trPr>
          <w:trHeight w:val="556" w:hRule="atLeast"/>
        </w:trPr>
        <w:tc>
          <w:tcPr>
            <w:tcW w:w="339" w:type="pct"/>
            <w:tcBorders>
              <w:top w:val="single" w:color="auto" w:sz="4" w:space="0"/>
              <w:left w:val="single" w:color="auto" w:sz="4" w:space="0"/>
              <w:bottom w:val="single" w:color="auto" w:sz="4" w:space="0"/>
              <w:right w:val="single" w:color="auto" w:sz="4" w:space="0"/>
            </w:tcBorders>
            <w:shd w:val="clear" w:color="auto" w:fill="auto"/>
            <w:vAlign w:val="center"/>
          </w:tcPr>
          <w:p w14:paraId="6221B3BB">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一级指标</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41F8FF80">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二级指标　</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14:paraId="086EA0ED">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三级指标　</w:t>
            </w:r>
          </w:p>
        </w:tc>
        <w:tc>
          <w:tcPr>
            <w:tcW w:w="418" w:type="pct"/>
            <w:tcBorders>
              <w:top w:val="single" w:color="auto" w:sz="4" w:space="0"/>
              <w:left w:val="single" w:color="auto" w:sz="4" w:space="0"/>
              <w:bottom w:val="single" w:color="auto" w:sz="4" w:space="0"/>
              <w:right w:val="single" w:color="auto" w:sz="4" w:space="0"/>
            </w:tcBorders>
            <w:shd w:val="clear" w:color="auto" w:fill="auto"/>
            <w:vAlign w:val="center"/>
          </w:tcPr>
          <w:p w14:paraId="17206C42">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指标值</w:t>
            </w:r>
          </w:p>
        </w:tc>
        <w:tc>
          <w:tcPr>
            <w:tcW w:w="701" w:type="pct"/>
            <w:tcBorders>
              <w:top w:val="single" w:color="auto" w:sz="4" w:space="0"/>
              <w:left w:val="single" w:color="auto" w:sz="4" w:space="0"/>
              <w:bottom w:val="single" w:color="auto" w:sz="4" w:space="0"/>
              <w:right w:val="single" w:color="auto" w:sz="4" w:space="0"/>
            </w:tcBorders>
            <w:shd w:val="clear" w:color="auto" w:fill="auto"/>
            <w:vAlign w:val="center"/>
          </w:tcPr>
          <w:p w14:paraId="51E5D061">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完成值</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7878001D">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分值</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2EA94170">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得分</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2E40248E">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指标解释</w:t>
            </w:r>
          </w:p>
        </w:tc>
        <w:tc>
          <w:tcPr>
            <w:tcW w:w="1326" w:type="pct"/>
            <w:tcBorders>
              <w:top w:val="single" w:color="auto" w:sz="4" w:space="0"/>
              <w:left w:val="single" w:color="auto" w:sz="4" w:space="0"/>
              <w:bottom w:val="single" w:color="auto" w:sz="4" w:space="0"/>
              <w:right w:val="single" w:color="auto" w:sz="4" w:space="0"/>
            </w:tcBorders>
            <w:shd w:val="clear" w:color="auto" w:fill="auto"/>
            <w:vAlign w:val="center"/>
          </w:tcPr>
          <w:p w14:paraId="6DC71E45">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评分标准</w:t>
            </w:r>
          </w:p>
        </w:tc>
      </w:tr>
      <w:tr w14:paraId="4C7E9195">
        <w:tblPrEx>
          <w:tblCellMar>
            <w:top w:w="0" w:type="dxa"/>
            <w:left w:w="108" w:type="dxa"/>
            <w:bottom w:w="0" w:type="dxa"/>
            <w:right w:w="108" w:type="dxa"/>
          </w:tblCellMar>
        </w:tblPrEx>
        <w:trPr>
          <w:trHeight w:val="1780" w:hRule="atLeast"/>
        </w:trPr>
        <w:tc>
          <w:tcPr>
            <w:tcW w:w="339" w:type="pct"/>
            <w:vMerge w:val="restart"/>
            <w:tcBorders>
              <w:top w:val="single" w:color="auto" w:sz="4" w:space="0"/>
              <w:left w:val="single" w:color="auto" w:sz="4" w:space="0"/>
              <w:right w:val="single" w:color="auto" w:sz="4" w:space="0"/>
            </w:tcBorders>
            <w:shd w:val="clear" w:color="auto" w:fill="auto"/>
            <w:vAlign w:val="center"/>
          </w:tcPr>
          <w:p w14:paraId="7C042850">
            <w:pPr>
              <w:jc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整体绩效目标实现情况</w:t>
            </w:r>
          </w:p>
          <w:p w14:paraId="468B7FF2">
            <w:pPr>
              <w:jc w:val="center"/>
              <w:rPr>
                <w:rFonts w:hint="eastAsia" w:ascii="宋体" w:hAnsi="宋体" w:cs="宋体"/>
                <w:color w:val="000000"/>
                <w:sz w:val="18"/>
                <w:szCs w:val="18"/>
              </w:rPr>
            </w:pPr>
            <w:r>
              <w:rPr>
                <w:rFonts w:hint="eastAsia" w:ascii="宋体" w:hAnsi="宋体" w:cs="宋体"/>
                <w:color w:val="000000"/>
                <w:kern w:val="0"/>
                <w:sz w:val="18"/>
                <w:szCs w:val="18"/>
                <w:lang w:bidi="ar"/>
              </w:rPr>
              <w:t>（60分）</w:t>
            </w:r>
          </w:p>
        </w:tc>
        <w:tc>
          <w:tcPr>
            <w:tcW w:w="383" w:type="pct"/>
            <w:vMerge w:val="restart"/>
            <w:tcBorders>
              <w:top w:val="single" w:color="auto" w:sz="4" w:space="0"/>
              <w:left w:val="single" w:color="auto" w:sz="4" w:space="0"/>
              <w:right w:val="single" w:color="auto" w:sz="4" w:space="0"/>
            </w:tcBorders>
            <w:shd w:val="clear" w:color="auto" w:fill="auto"/>
            <w:vAlign w:val="center"/>
          </w:tcPr>
          <w:p w14:paraId="70B83C8E">
            <w:pPr>
              <w:jc w:val="center"/>
              <w:rPr>
                <w:rFonts w:hint="eastAsia" w:ascii="宋体" w:hAnsi="宋体" w:cs="宋体"/>
                <w:color w:val="000000"/>
                <w:sz w:val="18"/>
                <w:szCs w:val="18"/>
              </w:rPr>
            </w:pPr>
            <w:r>
              <w:rPr>
                <w:rFonts w:hint="eastAsia" w:ascii="宋体" w:hAnsi="宋体" w:cs="宋体"/>
                <w:color w:val="000000"/>
                <w:kern w:val="0"/>
                <w:sz w:val="18"/>
                <w:szCs w:val="18"/>
                <w:lang w:bidi="ar"/>
              </w:rPr>
              <w:t>产出（30）</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14:paraId="66F80506">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sz w:val="18"/>
                <w:szCs w:val="18"/>
              </w:rPr>
              <w:t>案件审判工作产出</w:t>
            </w:r>
          </w:p>
        </w:tc>
        <w:tc>
          <w:tcPr>
            <w:tcW w:w="418" w:type="pct"/>
            <w:tcBorders>
              <w:top w:val="single" w:color="auto" w:sz="4" w:space="0"/>
              <w:left w:val="single" w:color="auto" w:sz="4" w:space="0"/>
              <w:bottom w:val="single" w:color="auto" w:sz="4" w:space="0"/>
              <w:right w:val="single" w:color="auto" w:sz="4" w:space="0"/>
            </w:tcBorders>
            <w:shd w:val="clear" w:color="auto" w:fill="auto"/>
            <w:vAlign w:val="center"/>
          </w:tcPr>
          <w:p w14:paraId="53E5B7AE">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701" w:type="pct"/>
            <w:tcBorders>
              <w:top w:val="single" w:color="auto" w:sz="4" w:space="0"/>
              <w:left w:val="single" w:color="auto" w:sz="4" w:space="0"/>
              <w:bottom w:val="single" w:color="auto" w:sz="4" w:space="0"/>
              <w:right w:val="single" w:color="auto" w:sz="4" w:space="0"/>
            </w:tcBorders>
            <w:shd w:val="clear" w:color="auto" w:fill="auto"/>
            <w:vAlign w:val="center"/>
          </w:tcPr>
          <w:p w14:paraId="2EC47BC2">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2CC8A62">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BE5A153">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736AD12E">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在案件审判工作等方面的产出完成情况。</w:t>
            </w:r>
          </w:p>
        </w:tc>
        <w:tc>
          <w:tcPr>
            <w:tcW w:w="1326" w:type="pct"/>
            <w:tcBorders>
              <w:top w:val="single" w:color="auto" w:sz="4" w:space="0"/>
              <w:left w:val="single" w:color="auto" w:sz="4" w:space="0"/>
              <w:bottom w:val="single" w:color="auto" w:sz="4" w:space="0"/>
              <w:right w:val="single" w:color="auto" w:sz="4" w:space="0"/>
            </w:tcBorders>
            <w:shd w:val="clear" w:color="auto" w:fill="auto"/>
            <w:vAlign w:val="center"/>
          </w:tcPr>
          <w:p w14:paraId="63E7BE5B">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完成情况好得9分，否则根据实际情况酌情打分。</w:t>
            </w:r>
          </w:p>
        </w:tc>
      </w:tr>
      <w:tr w14:paraId="6278D4C4">
        <w:tblPrEx>
          <w:tblCellMar>
            <w:top w:w="0" w:type="dxa"/>
            <w:left w:w="108" w:type="dxa"/>
            <w:bottom w:w="0" w:type="dxa"/>
            <w:right w:w="108" w:type="dxa"/>
          </w:tblCellMar>
        </w:tblPrEx>
        <w:trPr>
          <w:trHeight w:val="1470" w:hRule="atLeast"/>
        </w:trPr>
        <w:tc>
          <w:tcPr>
            <w:tcW w:w="339" w:type="pct"/>
            <w:vMerge w:val="continue"/>
            <w:tcBorders>
              <w:left w:val="single" w:color="auto" w:sz="4" w:space="0"/>
              <w:right w:val="single" w:color="auto" w:sz="4" w:space="0"/>
            </w:tcBorders>
            <w:shd w:val="clear" w:color="auto" w:fill="auto"/>
            <w:vAlign w:val="center"/>
          </w:tcPr>
          <w:p w14:paraId="2EA3E9E1">
            <w:pPr>
              <w:widowControl/>
              <w:adjustRightInd w:val="0"/>
              <w:snapToGrid w:val="0"/>
              <w:jc w:val="center"/>
              <w:textAlignment w:val="center"/>
              <w:rPr>
                <w:rFonts w:hint="eastAsia" w:ascii="宋体" w:hAnsi="宋体" w:cs="宋体"/>
                <w:color w:val="000000"/>
                <w:sz w:val="18"/>
                <w:szCs w:val="18"/>
              </w:rPr>
            </w:pPr>
          </w:p>
        </w:tc>
        <w:tc>
          <w:tcPr>
            <w:tcW w:w="383" w:type="pct"/>
            <w:vMerge w:val="continue"/>
            <w:tcBorders>
              <w:left w:val="single" w:color="auto" w:sz="4" w:space="0"/>
              <w:right w:val="single" w:color="auto" w:sz="4" w:space="0"/>
            </w:tcBorders>
            <w:shd w:val="clear" w:color="auto" w:fill="auto"/>
            <w:vAlign w:val="center"/>
          </w:tcPr>
          <w:p w14:paraId="61503407">
            <w:pPr>
              <w:widowControl/>
              <w:adjustRightInd w:val="0"/>
              <w:snapToGrid w:val="0"/>
              <w:jc w:val="center"/>
              <w:textAlignment w:val="center"/>
              <w:rPr>
                <w:rFonts w:hint="eastAsia" w:ascii="宋体" w:hAnsi="宋体" w:cs="宋体"/>
                <w:color w:val="000000"/>
                <w:sz w:val="18"/>
                <w:szCs w:val="18"/>
              </w:rPr>
            </w:pP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14:paraId="5CE8E1D5">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“两庭”建设工作</w:t>
            </w:r>
            <w:r>
              <w:rPr>
                <w:rFonts w:hint="eastAsia" w:ascii="宋体" w:hAnsi="宋体" w:cs="宋体"/>
                <w:color w:val="000000"/>
                <w:sz w:val="18"/>
                <w:szCs w:val="18"/>
              </w:rPr>
              <w:t>产出</w:t>
            </w:r>
          </w:p>
        </w:tc>
        <w:tc>
          <w:tcPr>
            <w:tcW w:w="418" w:type="pct"/>
            <w:tcBorders>
              <w:top w:val="single" w:color="auto" w:sz="4" w:space="0"/>
              <w:left w:val="single" w:color="auto" w:sz="4" w:space="0"/>
              <w:bottom w:val="single" w:color="auto" w:sz="4" w:space="0"/>
              <w:right w:val="single" w:color="auto" w:sz="4" w:space="0"/>
            </w:tcBorders>
            <w:shd w:val="clear" w:color="auto" w:fill="auto"/>
            <w:vAlign w:val="center"/>
          </w:tcPr>
          <w:p w14:paraId="6D2C9ACB">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701" w:type="pct"/>
            <w:tcBorders>
              <w:top w:val="single" w:color="auto" w:sz="4" w:space="0"/>
              <w:left w:val="single" w:color="auto" w:sz="4" w:space="0"/>
              <w:bottom w:val="single" w:color="auto" w:sz="4" w:space="0"/>
              <w:right w:val="single" w:color="auto" w:sz="4" w:space="0"/>
            </w:tcBorders>
            <w:shd w:val="clear" w:color="auto" w:fill="auto"/>
            <w:vAlign w:val="center"/>
          </w:tcPr>
          <w:p w14:paraId="633B4598">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3E9CF21">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7</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BBC08F1">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sz w:val="18"/>
                <w:szCs w:val="18"/>
              </w:rPr>
              <w:t>6</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27AFEB61">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在“两庭”建设工作等方面的产出完成情况。</w:t>
            </w:r>
          </w:p>
        </w:tc>
        <w:tc>
          <w:tcPr>
            <w:tcW w:w="1326" w:type="pct"/>
            <w:tcBorders>
              <w:top w:val="single" w:color="auto" w:sz="4" w:space="0"/>
              <w:left w:val="single" w:color="auto" w:sz="4" w:space="0"/>
              <w:bottom w:val="single" w:color="auto" w:sz="4" w:space="0"/>
              <w:right w:val="single" w:color="auto" w:sz="4" w:space="0"/>
            </w:tcBorders>
            <w:shd w:val="clear" w:color="auto" w:fill="auto"/>
            <w:vAlign w:val="center"/>
          </w:tcPr>
          <w:p w14:paraId="22E5BC63">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完成情况好得7分，否则根据实际情况酌情打分。</w:t>
            </w:r>
          </w:p>
        </w:tc>
      </w:tr>
      <w:tr w14:paraId="142FD4B4">
        <w:tblPrEx>
          <w:tblCellMar>
            <w:top w:w="0" w:type="dxa"/>
            <w:left w:w="108" w:type="dxa"/>
            <w:bottom w:w="0" w:type="dxa"/>
            <w:right w:w="108" w:type="dxa"/>
          </w:tblCellMar>
        </w:tblPrEx>
        <w:trPr>
          <w:trHeight w:val="1516" w:hRule="atLeast"/>
        </w:trPr>
        <w:tc>
          <w:tcPr>
            <w:tcW w:w="339" w:type="pct"/>
            <w:vMerge w:val="continue"/>
            <w:tcBorders>
              <w:left w:val="single" w:color="auto" w:sz="4" w:space="0"/>
              <w:right w:val="single" w:color="auto" w:sz="4" w:space="0"/>
            </w:tcBorders>
            <w:shd w:val="clear" w:color="auto" w:fill="auto"/>
            <w:vAlign w:val="center"/>
          </w:tcPr>
          <w:p w14:paraId="508742E3">
            <w:pPr>
              <w:adjustRightInd w:val="0"/>
              <w:snapToGrid w:val="0"/>
              <w:jc w:val="center"/>
              <w:rPr>
                <w:rFonts w:hint="eastAsia" w:ascii="宋体" w:hAnsi="宋体" w:cs="宋体"/>
                <w:color w:val="000000"/>
                <w:sz w:val="18"/>
                <w:szCs w:val="18"/>
              </w:rPr>
            </w:pPr>
          </w:p>
        </w:tc>
        <w:tc>
          <w:tcPr>
            <w:tcW w:w="383" w:type="pct"/>
            <w:vMerge w:val="continue"/>
            <w:tcBorders>
              <w:left w:val="single" w:color="auto" w:sz="4" w:space="0"/>
              <w:right w:val="single" w:color="auto" w:sz="4" w:space="0"/>
            </w:tcBorders>
            <w:shd w:val="clear" w:color="auto" w:fill="auto"/>
            <w:vAlign w:val="center"/>
          </w:tcPr>
          <w:p w14:paraId="701DD694">
            <w:pPr>
              <w:adjustRightInd w:val="0"/>
              <w:snapToGrid w:val="0"/>
              <w:jc w:val="center"/>
              <w:rPr>
                <w:rFonts w:hint="eastAsia" w:ascii="宋体" w:hAnsi="宋体" w:cs="宋体"/>
                <w:color w:val="000000"/>
                <w:sz w:val="18"/>
                <w:szCs w:val="18"/>
              </w:rPr>
            </w:pP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14:paraId="43BDDCFB">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信息化系统建设和运维工作</w:t>
            </w:r>
            <w:r>
              <w:rPr>
                <w:rFonts w:hint="eastAsia" w:ascii="宋体" w:hAnsi="宋体" w:cs="宋体"/>
                <w:color w:val="000000"/>
                <w:sz w:val="18"/>
                <w:szCs w:val="18"/>
              </w:rPr>
              <w:t>产出</w:t>
            </w:r>
          </w:p>
        </w:tc>
        <w:tc>
          <w:tcPr>
            <w:tcW w:w="418" w:type="pct"/>
            <w:tcBorders>
              <w:top w:val="single" w:color="auto" w:sz="4" w:space="0"/>
              <w:left w:val="single" w:color="auto" w:sz="4" w:space="0"/>
              <w:bottom w:val="single" w:color="auto" w:sz="4" w:space="0"/>
              <w:right w:val="single" w:color="auto" w:sz="4" w:space="0"/>
            </w:tcBorders>
            <w:shd w:val="clear" w:color="auto" w:fill="auto"/>
            <w:vAlign w:val="center"/>
          </w:tcPr>
          <w:p w14:paraId="65D374B4">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701" w:type="pct"/>
            <w:tcBorders>
              <w:top w:val="single" w:color="auto" w:sz="4" w:space="0"/>
              <w:left w:val="single" w:color="auto" w:sz="4" w:space="0"/>
              <w:bottom w:val="single" w:color="auto" w:sz="4" w:space="0"/>
              <w:right w:val="single" w:color="auto" w:sz="4" w:space="0"/>
            </w:tcBorders>
            <w:shd w:val="clear" w:color="auto" w:fill="auto"/>
            <w:vAlign w:val="center"/>
          </w:tcPr>
          <w:p w14:paraId="7C311054">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14C58C9">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7</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8F6CAA5">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7</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5EC8FB8D">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在信息化系统建设和运维工作等方面的产出完成情况。</w:t>
            </w:r>
          </w:p>
        </w:tc>
        <w:tc>
          <w:tcPr>
            <w:tcW w:w="1326" w:type="pct"/>
            <w:tcBorders>
              <w:top w:val="single" w:color="auto" w:sz="4" w:space="0"/>
              <w:left w:val="single" w:color="auto" w:sz="4" w:space="0"/>
              <w:bottom w:val="single" w:color="auto" w:sz="4" w:space="0"/>
              <w:right w:val="single" w:color="auto" w:sz="4" w:space="0"/>
            </w:tcBorders>
            <w:shd w:val="clear" w:color="auto" w:fill="auto"/>
            <w:vAlign w:val="center"/>
          </w:tcPr>
          <w:p w14:paraId="5F672CD5">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完成情况好得7分，否则根据实际情况酌情打分。</w:t>
            </w:r>
          </w:p>
        </w:tc>
      </w:tr>
      <w:tr w14:paraId="0A081868">
        <w:tblPrEx>
          <w:tblCellMar>
            <w:top w:w="0" w:type="dxa"/>
            <w:left w:w="108" w:type="dxa"/>
            <w:bottom w:w="0" w:type="dxa"/>
            <w:right w:w="108" w:type="dxa"/>
          </w:tblCellMar>
        </w:tblPrEx>
        <w:trPr>
          <w:trHeight w:val="1750" w:hRule="atLeast"/>
        </w:trPr>
        <w:tc>
          <w:tcPr>
            <w:tcW w:w="339" w:type="pct"/>
            <w:vMerge w:val="continue"/>
            <w:tcBorders>
              <w:left w:val="single" w:color="auto" w:sz="4" w:space="0"/>
              <w:bottom w:val="single" w:color="auto" w:sz="4" w:space="0"/>
              <w:right w:val="single" w:color="auto" w:sz="4" w:space="0"/>
            </w:tcBorders>
            <w:shd w:val="clear" w:color="auto" w:fill="auto"/>
            <w:vAlign w:val="center"/>
          </w:tcPr>
          <w:p w14:paraId="09FFB165">
            <w:pPr>
              <w:adjustRightInd w:val="0"/>
              <w:snapToGrid w:val="0"/>
              <w:jc w:val="center"/>
              <w:rPr>
                <w:rFonts w:hint="eastAsia" w:ascii="宋体" w:hAnsi="宋体" w:cs="宋体"/>
                <w:color w:val="000000"/>
                <w:sz w:val="18"/>
                <w:szCs w:val="18"/>
              </w:rPr>
            </w:pPr>
          </w:p>
        </w:tc>
        <w:tc>
          <w:tcPr>
            <w:tcW w:w="383" w:type="pct"/>
            <w:vMerge w:val="continue"/>
            <w:tcBorders>
              <w:left w:val="single" w:color="auto" w:sz="4" w:space="0"/>
              <w:bottom w:val="single" w:color="auto" w:sz="4" w:space="0"/>
              <w:right w:val="single" w:color="auto" w:sz="4" w:space="0"/>
            </w:tcBorders>
            <w:shd w:val="clear" w:color="auto" w:fill="auto"/>
            <w:vAlign w:val="center"/>
          </w:tcPr>
          <w:p w14:paraId="3145256B">
            <w:pPr>
              <w:adjustRightInd w:val="0"/>
              <w:snapToGrid w:val="0"/>
              <w:jc w:val="center"/>
              <w:rPr>
                <w:rFonts w:hint="eastAsia" w:ascii="宋体" w:hAnsi="宋体" w:cs="宋体"/>
                <w:color w:val="000000"/>
                <w:sz w:val="18"/>
                <w:szCs w:val="18"/>
              </w:rPr>
            </w:pP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14:paraId="44B9366A">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纪检监察工作</w:t>
            </w:r>
            <w:r>
              <w:rPr>
                <w:rFonts w:hint="eastAsia" w:ascii="宋体" w:hAnsi="宋体" w:cs="宋体"/>
                <w:color w:val="000000"/>
                <w:sz w:val="18"/>
                <w:szCs w:val="18"/>
              </w:rPr>
              <w:t>产出</w:t>
            </w:r>
          </w:p>
        </w:tc>
        <w:tc>
          <w:tcPr>
            <w:tcW w:w="418" w:type="pct"/>
            <w:tcBorders>
              <w:top w:val="single" w:color="auto" w:sz="4" w:space="0"/>
              <w:left w:val="single" w:color="auto" w:sz="4" w:space="0"/>
              <w:bottom w:val="single" w:color="auto" w:sz="4" w:space="0"/>
              <w:right w:val="single" w:color="auto" w:sz="4" w:space="0"/>
            </w:tcBorders>
            <w:shd w:val="clear" w:color="auto" w:fill="auto"/>
            <w:vAlign w:val="center"/>
          </w:tcPr>
          <w:p w14:paraId="1069515C">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701" w:type="pct"/>
            <w:tcBorders>
              <w:top w:val="single" w:color="auto" w:sz="4" w:space="0"/>
              <w:left w:val="single" w:color="auto" w:sz="4" w:space="0"/>
              <w:bottom w:val="single" w:color="auto" w:sz="4" w:space="0"/>
              <w:right w:val="single" w:color="auto" w:sz="4" w:space="0"/>
            </w:tcBorders>
            <w:shd w:val="clear" w:color="auto" w:fill="auto"/>
            <w:vAlign w:val="center"/>
          </w:tcPr>
          <w:p w14:paraId="3362E986">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4A58EDF">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7</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E66EF03">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7</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1DEBEC15">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在纪检监察工作等方面的产出完成情况。</w:t>
            </w:r>
          </w:p>
        </w:tc>
        <w:tc>
          <w:tcPr>
            <w:tcW w:w="1326" w:type="pct"/>
            <w:tcBorders>
              <w:top w:val="single" w:color="auto" w:sz="4" w:space="0"/>
              <w:left w:val="single" w:color="auto" w:sz="4" w:space="0"/>
              <w:bottom w:val="single" w:color="auto" w:sz="4" w:space="0"/>
              <w:right w:val="single" w:color="auto" w:sz="4" w:space="0"/>
            </w:tcBorders>
            <w:shd w:val="clear" w:color="auto" w:fill="auto"/>
            <w:vAlign w:val="center"/>
          </w:tcPr>
          <w:p w14:paraId="7ECC989F">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完成情况好得7分，否则根据实际情况酌情打分。</w:t>
            </w:r>
          </w:p>
        </w:tc>
      </w:tr>
      <w:tr w14:paraId="5EBC0302">
        <w:tblPrEx>
          <w:tblCellMar>
            <w:top w:w="0" w:type="dxa"/>
            <w:left w:w="108" w:type="dxa"/>
            <w:bottom w:w="0" w:type="dxa"/>
            <w:right w:w="108" w:type="dxa"/>
          </w:tblCellMar>
        </w:tblPrEx>
        <w:trPr>
          <w:trHeight w:val="1709" w:hRule="atLeast"/>
        </w:trPr>
        <w:tc>
          <w:tcPr>
            <w:tcW w:w="339" w:type="pct"/>
            <w:vMerge w:val="restart"/>
            <w:tcBorders>
              <w:top w:val="single" w:color="auto" w:sz="4" w:space="0"/>
              <w:left w:val="single" w:color="auto" w:sz="4" w:space="0"/>
              <w:right w:val="single" w:color="auto" w:sz="4" w:space="0"/>
            </w:tcBorders>
            <w:shd w:val="clear" w:color="auto" w:fill="auto"/>
            <w:vAlign w:val="center"/>
          </w:tcPr>
          <w:p w14:paraId="739CFF02">
            <w:pPr>
              <w:adjustRightInd w:val="0"/>
              <w:snapToGrid w:val="0"/>
              <w:jc w:val="center"/>
              <w:rPr>
                <w:rFonts w:hint="eastAsia" w:ascii="宋体" w:hAnsi="宋体" w:cs="宋体"/>
                <w:color w:val="000000"/>
                <w:sz w:val="18"/>
                <w:szCs w:val="18"/>
              </w:rPr>
            </w:pPr>
            <w:r>
              <w:rPr>
                <w:rFonts w:hint="eastAsia" w:ascii="宋体" w:hAnsi="宋体" w:cs="宋体"/>
                <w:color w:val="000000"/>
                <w:sz w:val="18"/>
                <w:szCs w:val="18"/>
              </w:rPr>
              <w:t>续上页</w:t>
            </w:r>
          </w:p>
        </w:tc>
        <w:tc>
          <w:tcPr>
            <w:tcW w:w="38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EFD687">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效果（30）</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14:paraId="5405DAF9">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sz w:val="18"/>
                <w:szCs w:val="18"/>
              </w:rPr>
              <w:t>保障案件审判工作顺利开展，增加加案件审判的透明度，提升办案效率效果，保障法院依法行使职能，维护社会安定稳定及社会公平正义</w:t>
            </w:r>
          </w:p>
        </w:tc>
        <w:tc>
          <w:tcPr>
            <w:tcW w:w="418" w:type="pct"/>
            <w:tcBorders>
              <w:top w:val="single" w:color="auto" w:sz="4" w:space="0"/>
              <w:left w:val="single" w:color="auto" w:sz="4" w:space="0"/>
              <w:bottom w:val="single" w:color="auto" w:sz="4" w:space="0"/>
              <w:right w:val="single" w:color="auto" w:sz="4" w:space="0"/>
            </w:tcBorders>
            <w:shd w:val="clear" w:color="auto" w:fill="auto"/>
            <w:vAlign w:val="center"/>
          </w:tcPr>
          <w:p w14:paraId="7FAE6BCD">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优</w:t>
            </w:r>
          </w:p>
        </w:tc>
        <w:tc>
          <w:tcPr>
            <w:tcW w:w="701" w:type="pct"/>
            <w:tcBorders>
              <w:top w:val="single" w:color="auto" w:sz="4" w:space="0"/>
              <w:left w:val="single" w:color="auto" w:sz="4" w:space="0"/>
              <w:bottom w:val="single" w:color="auto" w:sz="4" w:space="0"/>
              <w:right w:val="single" w:color="auto" w:sz="4" w:space="0"/>
            </w:tcBorders>
            <w:shd w:val="clear" w:color="auto" w:fill="auto"/>
            <w:vAlign w:val="center"/>
          </w:tcPr>
          <w:p w14:paraId="616AA682">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sz w:val="18"/>
                <w:szCs w:val="18"/>
              </w:rPr>
              <w:t>保障案件审判工作顺利开展，增加加案件审判的透明度，提升办案效率效果，保障法院依法行使职能，维护社会安定稳定及社会公平正义作用</w:t>
            </w:r>
            <w:r>
              <w:rPr>
                <w:rFonts w:hint="eastAsia" w:ascii="宋体" w:hAnsi="宋体" w:cs="宋体"/>
                <w:color w:val="000000"/>
                <w:kern w:val="0"/>
                <w:sz w:val="18"/>
                <w:szCs w:val="18"/>
                <w:lang w:bidi="ar"/>
              </w:rPr>
              <w:t>显著。</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382BFFD">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A0C22ED">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9.3</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1EA4CC05">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在</w:t>
            </w:r>
            <w:r>
              <w:rPr>
                <w:rFonts w:hint="eastAsia" w:ascii="宋体" w:hAnsi="宋体" w:cs="宋体"/>
                <w:color w:val="000000"/>
                <w:sz w:val="18"/>
                <w:szCs w:val="18"/>
              </w:rPr>
              <w:t>保障案件审判工作顺利开展，增加加案件审判的透明度，提升办案效率效果，保障法院依法行使职能，维护社会安定稳定及社会公平正义作用</w:t>
            </w:r>
            <w:r>
              <w:rPr>
                <w:rFonts w:hint="eastAsia" w:ascii="宋体" w:hAnsi="宋体" w:cs="宋体"/>
                <w:color w:val="000000"/>
                <w:kern w:val="0"/>
                <w:sz w:val="18"/>
                <w:szCs w:val="18"/>
                <w:lang w:bidi="ar"/>
              </w:rPr>
              <w:t>是否显著。</w:t>
            </w:r>
          </w:p>
        </w:tc>
        <w:tc>
          <w:tcPr>
            <w:tcW w:w="1326" w:type="pct"/>
            <w:tcBorders>
              <w:top w:val="single" w:color="auto" w:sz="4" w:space="0"/>
              <w:left w:val="single" w:color="auto" w:sz="4" w:space="0"/>
              <w:bottom w:val="single" w:color="auto" w:sz="4" w:space="0"/>
              <w:right w:val="single" w:color="auto" w:sz="4" w:space="0"/>
            </w:tcBorders>
            <w:shd w:val="clear" w:color="auto" w:fill="auto"/>
            <w:vAlign w:val="center"/>
          </w:tcPr>
          <w:p w14:paraId="3333A133">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石景山区人民法院相关工作在该方面效果显著得10分，否则根据实际情况酌情打分。</w:t>
            </w:r>
          </w:p>
        </w:tc>
      </w:tr>
      <w:tr w14:paraId="137947C2">
        <w:tblPrEx>
          <w:tblCellMar>
            <w:top w:w="0" w:type="dxa"/>
            <w:left w:w="108" w:type="dxa"/>
            <w:bottom w:w="0" w:type="dxa"/>
            <w:right w:w="108" w:type="dxa"/>
          </w:tblCellMar>
        </w:tblPrEx>
        <w:trPr>
          <w:trHeight w:val="1599" w:hRule="atLeast"/>
        </w:trPr>
        <w:tc>
          <w:tcPr>
            <w:tcW w:w="339" w:type="pct"/>
            <w:vMerge w:val="continue"/>
            <w:tcBorders>
              <w:left w:val="single" w:color="auto" w:sz="4" w:space="0"/>
              <w:right w:val="single" w:color="auto" w:sz="4" w:space="0"/>
            </w:tcBorders>
            <w:shd w:val="clear" w:color="auto" w:fill="auto"/>
            <w:vAlign w:val="center"/>
          </w:tcPr>
          <w:p w14:paraId="6DCC49A0">
            <w:pPr>
              <w:adjustRightInd w:val="0"/>
              <w:snapToGrid w:val="0"/>
              <w:jc w:val="center"/>
              <w:rPr>
                <w:rFonts w:hint="eastAsia" w:ascii="宋体" w:hAnsi="宋体" w:cs="宋体"/>
                <w:color w:val="000000"/>
                <w:sz w:val="18"/>
                <w:szCs w:val="18"/>
              </w:rPr>
            </w:pPr>
          </w:p>
        </w:tc>
        <w:tc>
          <w:tcPr>
            <w:tcW w:w="38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318087">
            <w:pPr>
              <w:adjustRightInd w:val="0"/>
              <w:snapToGrid w:val="0"/>
              <w:jc w:val="center"/>
              <w:rPr>
                <w:rFonts w:hint="eastAsia" w:ascii="宋体" w:hAnsi="宋体" w:cs="宋体"/>
                <w:color w:val="000000"/>
                <w:sz w:val="18"/>
                <w:szCs w:val="18"/>
              </w:rPr>
            </w:pP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14:paraId="731C8931">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保障各类办公办案平台正常运转，审判执行系统使用正常，为干警办公办案提供技术支撑</w:t>
            </w:r>
          </w:p>
        </w:tc>
        <w:tc>
          <w:tcPr>
            <w:tcW w:w="418" w:type="pct"/>
            <w:tcBorders>
              <w:top w:val="single" w:color="auto" w:sz="4" w:space="0"/>
              <w:left w:val="single" w:color="auto" w:sz="4" w:space="0"/>
              <w:bottom w:val="single" w:color="auto" w:sz="4" w:space="0"/>
              <w:right w:val="single" w:color="auto" w:sz="4" w:space="0"/>
            </w:tcBorders>
            <w:shd w:val="clear" w:color="auto" w:fill="auto"/>
            <w:vAlign w:val="center"/>
          </w:tcPr>
          <w:p w14:paraId="28C807F3">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优</w:t>
            </w:r>
          </w:p>
        </w:tc>
        <w:tc>
          <w:tcPr>
            <w:tcW w:w="701" w:type="pct"/>
            <w:tcBorders>
              <w:top w:val="single" w:color="auto" w:sz="4" w:space="0"/>
              <w:left w:val="single" w:color="auto" w:sz="4" w:space="0"/>
              <w:bottom w:val="single" w:color="auto" w:sz="4" w:space="0"/>
              <w:right w:val="single" w:color="auto" w:sz="4" w:space="0"/>
            </w:tcBorders>
            <w:shd w:val="clear" w:color="auto" w:fill="auto"/>
            <w:vAlign w:val="center"/>
          </w:tcPr>
          <w:p w14:paraId="1CE5C587">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保障各类办公办案平台正常运转，审判执行系统使用正常，为干警办公办案提供技术支撑作用显著。</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5D79420">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A5A5F6D">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9.3</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680B9D3B">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在保障各类办公办案平台正常运转，审判执行系统使用正常，为干警办公办案提供技术支撑作用是否显著。</w:t>
            </w:r>
          </w:p>
        </w:tc>
        <w:tc>
          <w:tcPr>
            <w:tcW w:w="1326" w:type="pct"/>
            <w:tcBorders>
              <w:top w:val="single" w:color="auto" w:sz="4" w:space="0"/>
              <w:left w:val="single" w:color="auto" w:sz="4" w:space="0"/>
              <w:bottom w:val="single" w:color="auto" w:sz="4" w:space="0"/>
              <w:right w:val="single" w:color="auto" w:sz="4" w:space="0"/>
            </w:tcBorders>
            <w:shd w:val="clear" w:color="auto" w:fill="auto"/>
            <w:vAlign w:val="center"/>
          </w:tcPr>
          <w:p w14:paraId="209BC8F6">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石景山区人民法院相关工作在该方面效果显著得10分，否则根据实际情况酌情打分。</w:t>
            </w:r>
          </w:p>
        </w:tc>
      </w:tr>
      <w:tr w14:paraId="4EF5D6B6">
        <w:tblPrEx>
          <w:tblCellMar>
            <w:top w:w="0" w:type="dxa"/>
            <w:left w:w="108" w:type="dxa"/>
            <w:bottom w:w="0" w:type="dxa"/>
            <w:right w:w="108" w:type="dxa"/>
          </w:tblCellMar>
        </w:tblPrEx>
        <w:trPr>
          <w:trHeight w:val="1594" w:hRule="atLeast"/>
        </w:trPr>
        <w:tc>
          <w:tcPr>
            <w:tcW w:w="339" w:type="pct"/>
            <w:vMerge w:val="continue"/>
            <w:tcBorders>
              <w:left w:val="single" w:color="auto" w:sz="4" w:space="0"/>
              <w:right w:val="single" w:color="auto" w:sz="4" w:space="0"/>
            </w:tcBorders>
            <w:shd w:val="clear" w:color="auto" w:fill="auto"/>
            <w:vAlign w:val="center"/>
          </w:tcPr>
          <w:p w14:paraId="2EC28E68">
            <w:pPr>
              <w:adjustRightInd w:val="0"/>
              <w:snapToGrid w:val="0"/>
              <w:jc w:val="center"/>
              <w:rPr>
                <w:rFonts w:hint="eastAsia" w:ascii="宋体" w:hAnsi="宋体" w:cs="宋体"/>
                <w:color w:val="000000"/>
                <w:sz w:val="18"/>
                <w:szCs w:val="18"/>
              </w:rPr>
            </w:pPr>
          </w:p>
        </w:tc>
        <w:tc>
          <w:tcPr>
            <w:tcW w:w="38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DDF6B5">
            <w:pPr>
              <w:adjustRightInd w:val="0"/>
              <w:snapToGrid w:val="0"/>
              <w:jc w:val="center"/>
              <w:rPr>
                <w:rFonts w:hint="eastAsia" w:ascii="宋体" w:hAnsi="宋体" w:cs="宋体"/>
                <w:color w:val="000000"/>
                <w:sz w:val="18"/>
                <w:szCs w:val="18"/>
              </w:rPr>
            </w:pP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14:paraId="764E702B">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保障日常办公顺利开展，满足“两庭”建设需求，提升公共服务能力</w:t>
            </w:r>
          </w:p>
        </w:tc>
        <w:tc>
          <w:tcPr>
            <w:tcW w:w="418" w:type="pct"/>
            <w:tcBorders>
              <w:top w:val="single" w:color="auto" w:sz="4" w:space="0"/>
              <w:left w:val="single" w:color="auto" w:sz="4" w:space="0"/>
              <w:bottom w:val="single" w:color="auto" w:sz="4" w:space="0"/>
              <w:right w:val="single" w:color="auto" w:sz="4" w:space="0"/>
            </w:tcBorders>
            <w:shd w:val="clear" w:color="auto" w:fill="auto"/>
            <w:vAlign w:val="center"/>
          </w:tcPr>
          <w:p w14:paraId="3A32098C">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优</w:t>
            </w:r>
          </w:p>
        </w:tc>
        <w:tc>
          <w:tcPr>
            <w:tcW w:w="701" w:type="pct"/>
            <w:tcBorders>
              <w:top w:val="single" w:color="auto" w:sz="4" w:space="0"/>
              <w:left w:val="single" w:color="auto" w:sz="4" w:space="0"/>
              <w:bottom w:val="single" w:color="auto" w:sz="4" w:space="0"/>
              <w:right w:val="single" w:color="auto" w:sz="4" w:space="0"/>
            </w:tcBorders>
            <w:shd w:val="clear" w:color="auto" w:fill="auto"/>
            <w:vAlign w:val="center"/>
          </w:tcPr>
          <w:p w14:paraId="2CA5174D">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保障日常办公顺利开展，满足“两庭”建设需求，提升公共服务能力作用显著。</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47BBDD6">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A2EA4EB">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9.6</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5A798D9B">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在保障日常办公顺利开展，满足“两庭”建设需求，提升公共服务能力等方面起到的作用是否显著。</w:t>
            </w:r>
          </w:p>
        </w:tc>
        <w:tc>
          <w:tcPr>
            <w:tcW w:w="1326" w:type="pct"/>
            <w:tcBorders>
              <w:top w:val="single" w:color="auto" w:sz="4" w:space="0"/>
              <w:left w:val="single" w:color="auto" w:sz="4" w:space="0"/>
              <w:bottom w:val="single" w:color="auto" w:sz="4" w:space="0"/>
              <w:right w:val="single" w:color="auto" w:sz="4" w:space="0"/>
            </w:tcBorders>
            <w:shd w:val="clear" w:color="auto" w:fill="auto"/>
            <w:vAlign w:val="center"/>
          </w:tcPr>
          <w:p w14:paraId="043A6308">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石景山区人民法院相关工作在该方面效果显著得10分，否则根据实际情况酌情打分。</w:t>
            </w:r>
          </w:p>
        </w:tc>
      </w:tr>
      <w:tr w14:paraId="7E877175">
        <w:tblPrEx>
          <w:tblCellMar>
            <w:top w:w="0" w:type="dxa"/>
            <w:left w:w="108" w:type="dxa"/>
            <w:bottom w:w="0" w:type="dxa"/>
            <w:right w:w="108" w:type="dxa"/>
          </w:tblCellMar>
        </w:tblPrEx>
        <w:trPr>
          <w:trHeight w:val="420" w:hRule="atLeast"/>
        </w:trPr>
        <w:tc>
          <w:tcPr>
            <w:tcW w:w="5000" w:type="pct"/>
            <w:gridSpan w:val="9"/>
            <w:tcBorders>
              <w:top w:val="single" w:color="auto" w:sz="4" w:space="0"/>
              <w:left w:val="single" w:color="auto" w:sz="4" w:space="0"/>
              <w:bottom w:val="single" w:color="auto" w:sz="4" w:space="0"/>
              <w:right w:val="single" w:color="auto" w:sz="4" w:space="0"/>
            </w:tcBorders>
            <w:shd w:val="clear" w:color="auto" w:fill="auto"/>
            <w:vAlign w:val="center"/>
          </w:tcPr>
          <w:p w14:paraId="208DE498">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三、预算管理情况（20分）</w:t>
            </w:r>
          </w:p>
        </w:tc>
      </w:tr>
      <w:tr w14:paraId="33F574DF">
        <w:tblPrEx>
          <w:tblCellMar>
            <w:top w:w="0" w:type="dxa"/>
            <w:left w:w="108" w:type="dxa"/>
            <w:bottom w:w="0" w:type="dxa"/>
            <w:right w:w="108" w:type="dxa"/>
          </w:tblCellMar>
        </w:tblPrEx>
        <w:trPr>
          <w:trHeight w:val="380" w:hRule="atLeast"/>
        </w:trPr>
        <w:tc>
          <w:tcPr>
            <w:tcW w:w="339" w:type="pct"/>
            <w:tcBorders>
              <w:top w:val="single" w:color="auto" w:sz="4" w:space="0"/>
              <w:left w:val="single" w:color="auto" w:sz="4" w:space="0"/>
              <w:bottom w:val="single" w:color="auto" w:sz="4" w:space="0"/>
              <w:right w:val="single" w:color="auto" w:sz="4" w:space="0"/>
            </w:tcBorders>
            <w:shd w:val="clear" w:color="auto" w:fill="auto"/>
            <w:vAlign w:val="center"/>
          </w:tcPr>
          <w:p w14:paraId="2D189855">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一级指标</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2398AE0D">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二级指标</w:t>
            </w:r>
          </w:p>
        </w:tc>
        <w:tc>
          <w:tcPr>
            <w:tcW w:w="164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3359F2E7">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三级指标</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CC85B04">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分值</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D586CCA">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得分</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54524E09">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指标解释</w:t>
            </w:r>
          </w:p>
        </w:tc>
        <w:tc>
          <w:tcPr>
            <w:tcW w:w="1326" w:type="pct"/>
            <w:tcBorders>
              <w:top w:val="single" w:color="auto" w:sz="4" w:space="0"/>
              <w:left w:val="single" w:color="auto" w:sz="4" w:space="0"/>
              <w:bottom w:val="single" w:color="auto" w:sz="4" w:space="0"/>
              <w:right w:val="single" w:color="auto" w:sz="4" w:space="0"/>
            </w:tcBorders>
            <w:shd w:val="clear" w:color="auto" w:fill="auto"/>
            <w:vAlign w:val="center"/>
          </w:tcPr>
          <w:p w14:paraId="74888223">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评分标准</w:t>
            </w:r>
          </w:p>
        </w:tc>
      </w:tr>
      <w:tr w14:paraId="3DA5DBB0">
        <w:tblPrEx>
          <w:tblCellMar>
            <w:top w:w="0" w:type="dxa"/>
            <w:left w:w="108" w:type="dxa"/>
            <w:bottom w:w="0" w:type="dxa"/>
            <w:right w:w="108" w:type="dxa"/>
          </w:tblCellMar>
        </w:tblPrEx>
        <w:trPr>
          <w:trHeight w:val="2175" w:hRule="atLeast"/>
        </w:trPr>
        <w:tc>
          <w:tcPr>
            <w:tcW w:w="339" w:type="pct"/>
            <w:vMerge w:val="restart"/>
            <w:tcBorders>
              <w:top w:val="single" w:color="auto" w:sz="4" w:space="0"/>
              <w:left w:val="single" w:color="auto" w:sz="4" w:space="0"/>
              <w:right w:val="single" w:color="auto" w:sz="4" w:space="0"/>
            </w:tcBorders>
            <w:shd w:val="clear" w:color="auto" w:fill="auto"/>
            <w:vAlign w:val="center"/>
          </w:tcPr>
          <w:p w14:paraId="6A916819">
            <w:pPr>
              <w:jc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预算管理情况</w:t>
            </w:r>
          </w:p>
          <w:p w14:paraId="67538629">
            <w:pPr>
              <w:jc w:val="center"/>
            </w:pPr>
            <w:r>
              <w:rPr>
                <w:rFonts w:hint="eastAsia" w:ascii="宋体" w:hAnsi="宋体" w:cs="宋体"/>
                <w:color w:val="000000"/>
                <w:kern w:val="0"/>
                <w:sz w:val="18"/>
                <w:szCs w:val="18"/>
                <w:lang w:bidi="ar"/>
              </w:rPr>
              <w:t>（20）</w:t>
            </w:r>
          </w:p>
          <w:p w14:paraId="0A4EAF23">
            <w:pPr>
              <w:widowControl/>
              <w:adjustRightInd w:val="0"/>
              <w:snapToGrid w:val="0"/>
              <w:jc w:val="center"/>
              <w:textAlignment w:val="center"/>
              <w:rPr>
                <w:rFonts w:hint="eastAsia" w:ascii="宋体" w:hAnsi="宋体" w:cs="宋体"/>
                <w:color w:val="000000"/>
                <w:sz w:val="18"/>
                <w:szCs w:val="18"/>
              </w:rPr>
            </w:pPr>
          </w:p>
        </w:tc>
        <w:tc>
          <w:tcPr>
            <w:tcW w:w="38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A175D6">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财务管理（4）</w:t>
            </w:r>
          </w:p>
        </w:tc>
        <w:tc>
          <w:tcPr>
            <w:tcW w:w="164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3234FC">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财务管理制度健全性</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92781C3">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BA9E3FE">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0.8</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5F9C4C0E">
            <w:pPr>
              <w:widowControl/>
              <w:adjustRightInd w:val="0"/>
              <w:snapToGrid w:val="0"/>
              <w:jc w:val="left"/>
              <w:textAlignment w:val="center"/>
              <w:rPr>
                <w:rFonts w:hint="eastAsia" w:ascii="宋体" w:hAnsi="宋体" w:cs="宋体"/>
                <w:b/>
                <w:bCs/>
                <w:color w:val="000000"/>
                <w:sz w:val="18"/>
                <w:szCs w:val="18"/>
              </w:rPr>
            </w:pPr>
            <w:r>
              <w:rPr>
                <w:rFonts w:hint="eastAsia" w:ascii="宋体" w:hAnsi="宋体" w:cs="宋体"/>
                <w:b/>
                <w:bCs/>
                <w:color w:val="000000"/>
                <w:kern w:val="0"/>
                <w:sz w:val="18"/>
                <w:szCs w:val="18"/>
                <w:lang w:bidi="ar"/>
              </w:rPr>
              <w:t>财务管理制度健全性:</w:t>
            </w:r>
            <w:r>
              <w:rPr>
                <w:rStyle w:val="29"/>
                <w:rFonts w:hint="default"/>
                <w:lang w:bidi="ar"/>
              </w:rPr>
              <w:t>部门（单位）为加强财务管理、规范财务行为而制定的管理制度。</w:t>
            </w:r>
          </w:p>
        </w:tc>
        <w:tc>
          <w:tcPr>
            <w:tcW w:w="1326" w:type="pct"/>
            <w:tcBorders>
              <w:top w:val="single" w:color="auto" w:sz="4" w:space="0"/>
              <w:left w:val="single" w:color="auto" w:sz="4" w:space="0"/>
              <w:bottom w:val="single" w:color="auto" w:sz="4" w:space="0"/>
              <w:right w:val="single" w:color="auto" w:sz="4" w:space="0"/>
            </w:tcBorders>
            <w:shd w:val="clear" w:color="auto" w:fill="auto"/>
            <w:vAlign w:val="center"/>
          </w:tcPr>
          <w:p w14:paraId="0A1EAB8D">
            <w:pPr>
              <w:widowControl/>
              <w:adjustRightInd w:val="0"/>
              <w:snapToGrid w:val="0"/>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①预算资金管理办法、绩效跟踪管理办法、资产管理办法等各项制度是否健全；</w:t>
            </w:r>
          </w:p>
          <w:p w14:paraId="55A7FA5E">
            <w:pPr>
              <w:widowControl/>
              <w:adjustRightInd w:val="0"/>
              <w:snapToGrid w:val="0"/>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②部门内部财务管理制度是否完整、合规；</w:t>
            </w:r>
          </w:p>
          <w:p w14:paraId="283CC031">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③会计核算制度是否完整、合规。每有一项不合格扣0.5分，扣完为止。</w:t>
            </w:r>
          </w:p>
        </w:tc>
      </w:tr>
      <w:tr w14:paraId="2696EC4F">
        <w:tblPrEx>
          <w:tblCellMar>
            <w:top w:w="0" w:type="dxa"/>
            <w:left w:w="108" w:type="dxa"/>
            <w:bottom w:w="0" w:type="dxa"/>
            <w:right w:w="108" w:type="dxa"/>
          </w:tblCellMar>
        </w:tblPrEx>
        <w:trPr>
          <w:trHeight w:val="2538" w:hRule="atLeast"/>
        </w:trPr>
        <w:tc>
          <w:tcPr>
            <w:tcW w:w="339" w:type="pct"/>
            <w:vMerge w:val="continue"/>
            <w:tcBorders>
              <w:left w:val="single" w:color="auto" w:sz="4" w:space="0"/>
              <w:right w:val="single" w:color="auto" w:sz="4" w:space="0"/>
            </w:tcBorders>
            <w:shd w:val="clear" w:color="auto" w:fill="auto"/>
            <w:vAlign w:val="center"/>
          </w:tcPr>
          <w:p w14:paraId="1EE9B825">
            <w:pPr>
              <w:adjustRightInd w:val="0"/>
              <w:snapToGrid w:val="0"/>
              <w:jc w:val="center"/>
              <w:rPr>
                <w:rFonts w:hint="eastAsia" w:ascii="宋体" w:hAnsi="宋体" w:cs="宋体"/>
                <w:color w:val="000000"/>
                <w:sz w:val="18"/>
                <w:szCs w:val="18"/>
              </w:rPr>
            </w:pPr>
          </w:p>
        </w:tc>
        <w:tc>
          <w:tcPr>
            <w:tcW w:w="38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4A28AE">
            <w:pPr>
              <w:adjustRightInd w:val="0"/>
              <w:snapToGrid w:val="0"/>
              <w:jc w:val="center"/>
              <w:rPr>
                <w:rFonts w:hint="eastAsia" w:ascii="宋体" w:hAnsi="宋体" w:cs="宋体"/>
                <w:color w:val="000000"/>
                <w:sz w:val="18"/>
                <w:szCs w:val="18"/>
              </w:rPr>
            </w:pPr>
          </w:p>
        </w:tc>
        <w:tc>
          <w:tcPr>
            <w:tcW w:w="164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3074865">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资金使用合规性和安全性</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971127A">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1DE863F">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1.80</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60D0F401">
            <w:pPr>
              <w:widowControl/>
              <w:adjustRightInd w:val="0"/>
              <w:snapToGrid w:val="0"/>
              <w:jc w:val="left"/>
              <w:textAlignment w:val="center"/>
              <w:rPr>
                <w:rFonts w:hint="eastAsia" w:ascii="宋体" w:hAnsi="宋体" w:cs="宋体"/>
                <w:b/>
                <w:bCs/>
                <w:color w:val="000000"/>
                <w:sz w:val="18"/>
                <w:szCs w:val="18"/>
              </w:rPr>
            </w:pPr>
            <w:r>
              <w:rPr>
                <w:rFonts w:hint="eastAsia" w:ascii="宋体" w:hAnsi="宋体" w:cs="宋体"/>
                <w:b/>
                <w:bCs/>
                <w:color w:val="000000"/>
                <w:kern w:val="0"/>
                <w:sz w:val="18"/>
                <w:szCs w:val="18"/>
                <w:lang w:bidi="ar"/>
              </w:rPr>
              <w:t>资金使用合规性和安全性:</w:t>
            </w:r>
            <w:r>
              <w:rPr>
                <w:rStyle w:val="29"/>
                <w:rFonts w:hint="default"/>
                <w:lang w:bidi="ar"/>
              </w:rPr>
              <w:t>部门（单位）使用预算资金是否符合相关的预算财务管理制度的规定，是否符合相关规定的开支范围，用以反映考核部门（单位）预算资金的规范运行和安全运行情况。</w:t>
            </w:r>
          </w:p>
        </w:tc>
        <w:tc>
          <w:tcPr>
            <w:tcW w:w="1326" w:type="pct"/>
            <w:tcBorders>
              <w:top w:val="single" w:color="auto" w:sz="4" w:space="0"/>
              <w:left w:val="single" w:color="auto" w:sz="4" w:space="0"/>
              <w:bottom w:val="single" w:color="auto" w:sz="4" w:space="0"/>
              <w:right w:val="single" w:color="auto" w:sz="4" w:space="0"/>
            </w:tcBorders>
            <w:shd w:val="clear" w:color="auto" w:fill="auto"/>
            <w:vAlign w:val="center"/>
          </w:tcPr>
          <w:p w14:paraId="4B2DB164">
            <w:pPr>
              <w:widowControl/>
              <w:adjustRightInd w:val="0"/>
              <w:snapToGrid w:val="0"/>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①是否符合国家财经法规和财务管理制度规定以及有关专项资金管理办法的规定；</w:t>
            </w:r>
          </w:p>
          <w:p w14:paraId="32FB19CD">
            <w:pPr>
              <w:widowControl/>
              <w:adjustRightInd w:val="0"/>
              <w:snapToGrid w:val="0"/>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②资金的拨付是否有完整的审批程序和手续；</w:t>
            </w:r>
          </w:p>
          <w:p w14:paraId="6619AA75">
            <w:pPr>
              <w:widowControl/>
              <w:adjustRightInd w:val="0"/>
              <w:snapToGrid w:val="0"/>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③项目的重大开支是否经过评估论证；</w:t>
            </w:r>
          </w:p>
          <w:p w14:paraId="01AD344F">
            <w:pPr>
              <w:widowControl/>
              <w:adjustRightInd w:val="0"/>
              <w:snapToGrid w:val="0"/>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④是否符合部门预算批复的用途；</w:t>
            </w:r>
          </w:p>
          <w:p w14:paraId="6CBC5A17">
            <w:pPr>
              <w:widowControl/>
              <w:adjustRightInd w:val="0"/>
              <w:snapToGrid w:val="0"/>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⑤是否存在截留、挤占、挪用情况；</w:t>
            </w:r>
          </w:p>
          <w:p w14:paraId="10D928AF">
            <w:pPr>
              <w:widowControl/>
              <w:adjustRightInd w:val="0"/>
              <w:snapToGrid w:val="0"/>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⑥资金使用是否符合政府采购的程序和流程；</w:t>
            </w:r>
          </w:p>
          <w:p w14:paraId="75FA8395">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⑦资金使用是否符合公务卡结算相关制度和规定。每有一项不合格扣0.5分，扣完为止。</w:t>
            </w:r>
          </w:p>
        </w:tc>
      </w:tr>
      <w:tr w14:paraId="6CFF04C7">
        <w:tblPrEx>
          <w:tblCellMar>
            <w:top w:w="0" w:type="dxa"/>
            <w:left w:w="108" w:type="dxa"/>
            <w:bottom w:w="0" w:type="dxa"/>
            <w:right w:w="108" w:type="dxa"/>
          </w:tblCellMar>
        </w:tblPrEx>
        <w:trPr>
          <w:trHeight w:val="2423" w:hRule="atLeast"/>
        </w:trPr>
        <w:tc>
          <w:tcPr>
            <w:tcW w:w="339" w:type="pct"/>
            <w:vMerge w:val="continue"/>
            <w:tcBorders>
              <w:left w:val="single" w:color="auto" w:sz="4" w:space="0"/>
              <w:bottom w:val="single" w:color="auto" w:sz="4" w:space="0"/>
              <w:right w:val="single" w:color="auto" w:sz="4" w:space="0"/>
            </w:tcBorders>
            <w:shd w:val="clear" w:color="auto" w:fill="auto"/>
            <w:vAlign w:val="center"/>
          </w:tcPr>
          <w:p w14:paraId="06F44BE0">
            <w:pPr>
              <w:adjustRightInd w:val="0"/>
              <w:snapToGrid w:val="0"/>
              <w:jc w:val="center"/>
              <w:rPr>
                <w:rFonts w:hint="eastAsia" w:ascii="宋体" w:hAnsi="宋体" w:cs="宋体"/>
                <w:color w:val="000000"/>
                <w:sz w:val="18"/>
                <w:szCs w:val="18"/>
              </w:rPr>
            </w:pPr>
          </w:p>
        </w:tc>
        <w:tc>
          <w:tcPr>
            <w:tcW w:w="38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0F7430">
            <w:pPr>
              <w:adjustRightInd w:val="0"/>
              <w:snapToGrid w:val="0"/>
              <w:jc w:val="center"/>
              <w:rPr>
                <w:rFonts w:hint="eastAsia" w:ascii="宋体" w:hAnsi="宋体" w:cs="宋体"/>
                <w:color w:val="000000"/>
                <w:sz w:val="18"/>
                <w:szCs w:val="18"/>
              </w:rPr>
            </w:pPr>
          </w:p>
        </w:tc>
        <w:tc>
          <w:tcPr>
            <w:tcW w:w="164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CE94EE6">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会计基础信息完善性</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D8491E4">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w:t>
            </w:r>
          </w:p>
        </w:tc>
        <w:tc>
          <w:tcPr>
            <w:tcW w:w="24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1DDA47B">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0.8</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4EFBD58E">
            <w:pPr>
              <w:widowControl/>
              <w:adjustRightInd w:val="0"/>
              <w:snapToGrid w:val="0"/>
              <w:jc w:val="left"/>
              <w:textAlignment w:val="center"/>
              <w:rPr>
                <w:rFonts w:hint="eastAsia" w:ascii="宋体" w:hAnsi="宋体" w:cs="宋体"/>
                <w:b/>
                <w:bCs/>
                <w:color w:val="000000"/>
                <w:sz w:val="18"/>
                <w:szCs w:val="18"/>
              </w:rPr>
            </w:pPr>
            <w:r>
              <w:rPr>
                <w:rFonts w:hint="eastAsia" w:ascii="宋体" w:hAnsi="宋体" w:cs="宋体"/>
                <w:b/>
                <w:bCs/>
                <w:color w:val="000000"/>
                <w:kern w:val="0"/>
                <w:sz w:val="18"/>
                <w:szCs w:val="18"/>
                <w:lang w:bidi="ar"/>
              </w:rPr>
              <w:t>会计基础信息完善性:</w:t>
            </w:r>
            <w:r>
              <w:rPr>
                <w:rStyle w:val="29"/>
                <w:rFonts w:hint="default"/>
                <w:lang w:bidi="ar"/>
              </w:rPr>
              <w:t>部门（单位）会计基础信息情况。</w:t>
            </w:r>
          </w:p>
        </w:tc>
        <w:tc>
          <w:tcPr>
            <w:tcW w:w="1326" w:type="pct"/>
            <w:tcBorders>
              <w:top w:val="single" w:color="auto" w:sz="4" w:space="0"/>
              <w:left w:val="single" w:color="auto" w:sz="4" w:space="0"/>
              <w:bottom w:val="single" w:color="auto" w:sz="4" w:space="0"/>
              <w:right w:val="single" w:color="auto" w:sz="4" w:space="0"/>
            </w:tcBorders>
            <w:shd w:val="clear" w:color="auto" w:fill="auto"/>
            <w:vAlign w:val="center"/>
          </w:tcPr>
          <w:p w14:paraId="2E3C7E61">
            <w:pPr>
              <w:widowControl/>
              <w:adjustRightInd w:val="0"/>
              <w:snapToGrid w:val="0"/>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①基础数据信息和会计信息资料是否真实；</w:t>
            </w:r>
          </w:p>
          <w:p w14:paraId="61C92840">
            <w:pPr>
              <w:widowControl/>
              <w:adjustRightInd w:val="0"/>
              <w:snapToGrid w:val="0"/>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②基础数据信息和会计信息资料是否完整；</w:t>
            </w:r>
          </w:p>
          <w:p w14:paraId="7D1A175B">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③基础数据信息和会计信息资料是否准确。每有一项不合格扣0.5分，扣完为止。</w:t>
            </w:r>
          </w:p>
        </w:tc>
      </w:tr>
      <w:tr w14:paraId="518B40D6">
        <w:tblPrEx>
          <w:tblCellMar>
            <w:top w:w="0" w:type="dxa"/>
            <w:left w:w="108" w:type="dxa"/>
            <w:bottom w:w="0" w:type="dxa"/>
            <w:right w:w="108" w:type="dxa"/>
          </w:tblCellMar>
        </w:tblPrEx>
        <w:trPr>
          <w:trHeight w:val="454" w:hRule="atLeast"/>
        </w:trPr>
        <w:tc>
          <w:tcPr>
            <w:tcW w:w="339" w:type="pct"/>
            <w:vMerge w:val="restart"/>
            <w:tcBorders>
              <w:top w:val="single" w:color="auto" w:sz="4" w:space="0"/>
              <w:left w:val="single" w:color="auto" w:sz="4" w:space="0"/>
              <w:right w:val="single" w:color="auto" w:sz="4" w:space="0"/>
            </w:tcBorders>
            <w:shd w:val="clear" w:color="auto" w:fill="auto"/>
            <w:vAlign w:val="center"/>
          </w:tcPr>
          <w:p w14:paraId="0E6736EA">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sz w:val="18"/>
                <w:szCs w:val="18"/>
              </w:rPr>
              <w:t>续上页</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28B262C9">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资产管理（4）</w:t>
            </w:r>
          </w:p>
        </w:tc>
        <w:tc>
          <w:tcPr>
            <w:tcW w:w="164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5E848033">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资产管理规范性</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1C3713CC">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07FF48D6">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3.5</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6799F768">
            <w:pPr>
              <w:widowControl/>
              <w:adjustRightInd w:val="0"/>
              <w:snapToGrid w:val="0"/>
              <w:jc w:val="left"/>
              <w:textAlignment w:val="center"/>
              <w:rPr>
                <w:rFonts w:hint="eastAsia" w:ascii="宋体" w:hAnsi="宋体" w:cs="宋体"/>
                <w:b/>
                <w:bCs/>
                <w:color w:val="000000"/>
                <w:sz w:val="18"/>
                <w:szCs w:val="18"/>
              </w:rPr>
            </w:pPr>
            <w:r>
              <w:rPr>
                <w:rFonts w:hint="eastAsia" w:ascii="宋体" w:hAnsi="宋体" w:cs="宋体"/>
                <w:b/>
                <w:bCs/>
                <w:color w:val="000000"/>
                <w:kern w:val="0"/>
                <w:sz w:val="18"/>
                <w:szCs w:val="18"/>
                <w:lang w:bidi="ar"/>
              </w:rPr>
              <w:t>资产管理规范性:</w:t>
            </w:r>
            <w:r>
              <w:rPr>
                <w:rStyle w:val="29"/>
                <w:rFonts w:hint="default"/>
                <w:lang w:bidi="ar"/>
              </w:rPr>
              <w:t>部门（单位）的资产是否保持安全完整，资产配置是否合理，资产使用和资产处理是否规范，用以反映和考核部门（单位）资产管理的整体水平。</w:t>
            </w:r>
          </w:p>
        </w:tc>
        <w:tc>
          <w:tcPr>
            <w:tcW w:w="1326" w:type="pct"/>
            <w:tcBorders>
              <w:top w:val="single" w:color="auto" w:sz="4" w:space="0"/>
              <w:left w:val="single" w:color="auto" w:sz="4" w:space="0"/>
              <w:bottom w:val="single" w:color="auto" w:sz="4" w:space="0"/>
              <w:right w:val="single" w:color="auto" w:sz="4" w:space="0"/>
            </w:tcBorders>
            <w:shd w:val="clear" w:color="auto" w:fill="auto"/>
            <w:vAlign w:val="center"/>
          </w:tcPr>
          <w:p w14:paraId="18B53D6E">
            <w:pPr>
              <w:widowControl/>
              <w:adjustRightInd w:val="0"/>
              <w:snapToGrid w:val="0"/>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①对外投资行为是否经审批，是否存在投资亏损；</w:t>
            </w:r>
          </w:p>
          <w:p w14:paraId="7C0266F8">
            <w:pPr>
              <w:widowControl/>
              <w:adjustRightInd w:val="0"/>
              <w:snapToGrid w:val="0"/>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②是否有因管理不当发生严重资产损失和丢失情况；</w:t>
            </w:r>
          </w:p>
          <w:p w14:paraId="03353946">
            <w:pPr>
              <w:widowControl/>
              <w:adjustRightInd w:val="0"/>
              <w:snapToGrid w:val="0"/>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③是否存在超标准配置资产；</w:t>
            </w:r>
          </w:p>
          <w:p w14:paraId="2BE2EB9A">
            <w:pPr>
              <w:widowControl/>
              <w:adjustRightInd w:val="0"/>
              <w:snapToGrid w:val="0"/>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④资产使用是否规范，是否存在未经批准擅自出租、出借资产行为；</w:t>
            </w:r>
          </w:p>
          <w:p w14:paraId="3B753D21">
            <w:pPr>
              <w:widowControl/>
              <w:adjustRightInd w:val="0"/>
              <w:snapToGrid w:val="0"/>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⑤资产处置是否规范，是否存在不按要求进行报批或资产不公开处置行为；</w:t>
            </w:r>
          </w:p>
          <w:p w14:paraId="1BB6DEBA">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⑥其它资产管理制度办法执行情况。每有一项不合格扣0.8分，扣完为止。</w:t>
            </w:r>
          </w:p>
        </w:tc>
      </w:tr>
      <w:tr w14:paraId="22C7610E">
        <w:tblPrEx>
          <w:tblCellMar>
            <w:top w:w="0" w:type="dxa"/>
            <w:left w:w="108" w:type="dxa"/>
            <w:bottom w:w="0" w:type="dxa"/>
            <w:right w:w="108" w:type="dxa"/>
          </w:tblCellMar>
        </w:tblPrEx>
        <w:trPr>
          <w:trHeight w:val="1531" w:hRule="atLeast"/>
        </w:trPr>
        <w:tc>
          <w:tcPr>
            <w:tcW w:w="339" w:type="pct"/>
            <w:vMerge w:val="continue"/>
            <w:tcBorders>
              <w:left w:val="single" w:color="auto" w:sz="4" w:space="0"/>
              <w:right w:val="single" w:color="auto" w:sz="4" w:space="0"/>
            </w:tcBorders>
            <w:shd w:val="clear" w:color="auto" w:fill="auto"/>
            <w:vAlign w:val="center"/>
          </w:tcPr>
          <w:p w14:paraId="66434594">
            <w:pPr>
              <w:widowControl/>
              <w:adjustRightInd w:val="0"/>
              <w:snapToGrid w:val="0"/>
              <w:jc w:val="center"/>
              <w:textAlignment w:val="center"/>
              <w:rPr>
                <w:rFonts w:hint="eastAsia" w:ascii="宋体" w:hAnsi="宋体" w:cs="宋体"/>
                <w:color w:val="000000"/>
                <w:sz w:val="18"/>
                <w:szCs w:val="18"/>
              </w:rPr>
            </w:pP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3DD137ED">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绩效管理（4）</w:t>
            </w:r>
          </w:p>
        </w:tc>
        <w:tc>
          <w:tcPr>
            <w:tcW w:w="164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1E5B4DED">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绩效管理情况</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2FC933DF">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54D7C362">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2.5</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746F6A7A">
            <w:pPr>
              <w:widowControl/>
              <w:adjustRightInd w:val="0"/>
              <w:snapToGrid w:val="0"/>
              <w:jc w:val="left"/>
              <w:textAlignment w:val="center"/>
              <w:rPr>
                <w:rFonts w:hint="eastAsia" w:ascii="宋体" w:hAnsi="宋体" w:cs="宋体"/>
                <w:b/>
                <w:bCs/>
                <w:color w:val="000000"/>
                <w:sz w:val="18"/>
                <w:szCs w:val="18"/>
              </w:rPr>
            </w:pPr>
            <w:r>
              <w:rPr>
                <w:rFonts w:hint="eastAsia" w:ascii="宋体" w:hAnsi="宋体" w:cs="宋体"/>
                <w:b/>
                <w:bCs/>
                <w:color w:val="000000"/>
                <w:kern w:val="0"/>
                <w:sz w:val="18"/>
                <w:szCs w:val="18"/>
                <w:lang w:bidi="ar"/>
              </w:rPr>
              <w:t>绩效管理情况:</w:t>
            </w:r>
            <w:r>
              <w:rPr>
                <w:rStyle w:val="29"/>
                <w:rFonts w:hint="default"/>
                <w:lang w:bidi="ar"/>
              </w:rPr>
              <w:t>考核部门（单位）在绩效管理信息的汇总和应用情况。</w:t>
            </w:r>
          </w:p>
        </w:tc>
        <w:tc>
          <w:tcPr>
            <w:tcW w:w="1326" w:type="pct"/>
            <w:tcBorders>
              <w:top w:val="single" w:color="auto" w:sz="4" w:space="0"/>
              <w:left w:val="single" w:color="auto" w:sz="4" w:space="0"/>
              <w:bottom w:val="single" w:color="auto" w:sz="4" w:space="0"/>
              <w:right w:val="single" w:color="auto" w:sz="4" w:space="0"/>
            </w:tcBorders>
            <w:shd w:val="clear" w:color="auto" w:fill="auto"/>
            <w:vAlign w:val="center"/>
          </w:tcPr>
          <w:p w14:paraId="7154CF64">
            <w:pPr>
              <w:widowControl/>
              <w:adjustRightInd w:val="0"/>
              <w:snapToGrid w:val="0"/>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①部门（单位）是否及时对绩效信息进行汇总分析整理；</w:t>
            </w:r>
          </w:p>
          <w:p w14:paraId="5DA51FF2">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②部门（单位）是否对绩效目标偏离情况及时进行矫正。每有一项不合格扣2分。</w:t>
            </w:r>
          </w:p>
        </w:tc>
      </w:tr>
      <w:tr w14:paraId="4C655CD1">
        <w:tblPrEx>
          <w:tblCellMar>
            <w:top w:w="0" w:type="dxa"/>
            <w:left w:w="108" w:type="dxa"/>
            <w:bottom w:w="0" w:type="dxa"/>
            <w:right w:w="108" w:type="dxa"/>
          </w:tblCellMar>
        </w:tblPrEx>
        <w:trPr>
          <w:trHeight w:val="387" w:hRule="atLeast"/>
        </w:trPr>
        <w:tc>
          <w:tcPr>
            <w:tcW w:w="339" w:type="pct"/>
            <w:vMerge w:val="continue"/>
            <w:tcBorders>
              <w:left w:val="single" w:color="auto" w:sz="4" w:space="0"/>
              <w:right w:val="single" w:color="auto" w:sz="4" w:space="0"/>
            </w:tcBorders>
            <w:shd w:val="clear" w:color="auto" w:fill="auto"/>
            <w:vAlign w:val="center"/>
          </w:tcPr>
          <w:p w14:paraId="55E31D44">
            <w:pPr>
              <w:widowControl/>
              <w:adjustRightInd w:val="0"/>
              <w:snapToGrid w:val="0"/>
              <w:jc w:val="center"/>
              <w:textAlignment w:val="center"/>
              <w:rPr>
                <w:rFonts w:hint="eastAsia" w:ascii="宋体" w:hAnsi="宋体" w:cs="宋体"/>
                <w:color w:val="000000"/>
                <w:sz w:val="18"/>
                <w:szCs w:val="18"/>
              </w:rPr>
            </w:pP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04E6A8FA">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　</w:t>
            </w:r>
          </w:p>
        </w:tc>
        <w:tc>
          <w:tcPr>
            <w:tcW w:w="94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ED282F">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2023年</w:t>
            </w:r>
          </w:p>
        </w:tc>
        <w:tc>
          <w:tcPr>
            <w:tcW w:w="701" w:type="pct"/>
            <w:tcBorders>
              <w:top w:val="single" w:color="auto" w:sz="4" w:space="0"/>
              <w:left w:val="single" w:color="auto" w:sz="4" w:space="0"/>
              <w:bottom w:val="single" w:color="auto" w:sz="4" w:space="0"/>
              <w:right w:val="single" w:color="auto" w:sz="4" w:space="0"/>
            </w:tcBorders>
            <w:shd w:val="clear" w:color="auto" w:fill="auto"/>
            <w:vAlign w:val="center"/>
          </w:tcPr>
          <w:p w14:paraId="682B50BD">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2024年</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60C54F4E">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分值</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0C804BB7">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得分</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30E55FEE">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指标解释</w:t>
            </w:r>
          </w:p>
        </w:tc>
        <w:tc>
          <w:tcPr>
            <w:tcW w:w="1326" w:type="pct"/>
            <w:tcBorders>
              <w:top w:val="single" w:color="auto" w:sz="4" w:space="0"/>
              <w:left w:val="single" w:color="auto" w:sz="4" w:space="0"/>
              <w:bottom w:val="single" w:color="auto" w:sz="4" w:space="0"/>
              <w:right w:val="single" w:color="auto" w:sz="4" w:space="0"/>
            </w:tcBorders>
            <w:shd w:val="clear" w:color="auto" w:fill="auto"/>
            <w:vAlign w:val="center"/>
          </w:tcPr>
          <w:p w14:paraId="6A9E0CFE">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评分标准</w:t>
            </w:r>
          </w:p>
        </w:tc>
      </w:tr>
      <w:tr w14:paraId="78619086">
        <w:tblPrEx>
          <w:tblCellMar>
            <w:top w:w="0" w:type="dxa"/>
            <w:left w:w="108" w:type="dxa"/>
            <w:bottom w:w="0" w:type="dxa"/>
            <w:right w:w="108" w:type="dxa"/>
          </w:tblCellMar>
        </w:tblPrEx>
        <w:trPr>
          <w:trHeight w:val="759" w:hRule="atLeast"/>
        </w:trPr>
        <w:tc>
          <w:tcPr>
            <w:tcW w:w="339" w:type="pct"/>
            <w:vMerge w:val="continue"/>
            <w:tcBorders>
              <w:left w:val="single" w:color="auto" w:sz="4" w:space="0"/>
              <w:right w:val="single" w:color="auto" w:sz="4" w:space="0"/>
            </w:tcBorders>
            <w:shd w:val="clear" w:color="auto" w:fill="auto"/>
            <w:vAlign w:val="center"/>
          </w:tcPr>
          <w:p w14:paraId="67A69105">
            <w:pPr>
              <w:adjustRightInd w:val="0"/>
              <w:snapToGrid w:val="0"/>
              <w:jc w:val="center"/>
              <w:rPr>
                <w:rFonts w:hint="eastAsia" w:ascii="宋体" w:hAnsi="宋体" w:cs="宋体"/>
                <w:color w:val="000000"/>
                <w:sz w:val="18"/>
                <w:szCs w:val="18"/>
              </w:rPr>
            </w:pPr>
          </w:p>
        </w:tc>
        <w:tc>
          <w:tcPr>
            <w:tcW w:w="38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165783">
            <w:pPr>
              <w:widowControl/>
              <w:adjustRightInd w:val="0"/>
              <w:snapToGrid w:val="0"/>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结转</w:t>
            </w:r>
          </w:p>
          <w:p w14:paraId="00282F9C">
            <w:pPr>
              <w:widowControl/>
              <w:adjustRightInd w:val="0"/>
              <w:snapToGrid w:val="0"/>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结余率</w:t>
            </w:r>
          </w:p>
          <w:p w14:paraId="20B72042">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w:t>
            </w:r>
          </w:p>
        </w:tc>
        <w:tc>
          <w:tcPr>
            <w:tcW w:w="942"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5D3A61">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11.15%</w:t>
            </w:r>
          </w:p>
        </w:tc>
        <w:tc>
          <w:tcPr>
            <w:tcW w:w="70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955829">
            <w:pPr>
              <w:widowControl/>
              <w:adjustRightInd w:val="0"/>
              <w:snapToGrid w:val="0"/>
              <w:jc w:val="center"/>
              <w:textAlignment w:val="center"/>
              <w:rPr>
                <w:rFonts w:hint="eastAsia" w:ascii="宋体" w:hAnsi="宋体" w:cs="宋体"/>
                <w:color w:val="000000"/>
                <w:sz w:val="18"/>
                <w:szCs w:val="18"/>
              </w:rPr>
            </w:pPr>
            <w:r>
              <w:rPr>
                <w:rFonts w:ascii="宋体" w:hAnsi="宋体" w:cs="宋体"/>
                <w:color w:val="000000"/>
                <w:kern w:val="0"/>
                <w:sz w:val="18"/>
                <w:szCs w:val="18"/>
                <w:lang w:bidi="ar"/>
              </w:rPr>
              <w:t>0.40%</w:t>
            </w:r>
          </w:p>
        </w:tc>
        <w:tc>
          <w:tcPr>
            <w:tcW w:w="24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63C3DB">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w:t>
            </w:r>
          </w:p>
        </w:tc>
        <w:tc>
          <w:tcPr>
            <w:tcW w:w="24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5D93C7">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5DFB36CC">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结转结余率=结转结余总额/支出预算数×100%。</w:t>
            </w:r>
          </w:p>
        </w:tc>
        <w:tc>
          <w:tcPr>
            <w:tcW w:w="132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721378">
            <w:pPr>
              <w:widowControl/>
              <w:adjustRightInd w:val="0"/>
              <w:snapToGrid w:val="0"/>
              <w:jc w:val="left"/>
              <w:textAlignment w:val="center"/>
              <w:rPr>
                <w:rFonts w:hint="eastAsia" w:ascii="宋体" w:hAnsi="宋体" w:cs="宋体"/>
                <w:color w:val="000000"/>
                <w:sz w:val="18"/>
                <w:szCs w:val="18"/>
                <w:highlight w:val="yellow"/>
              </w:rPr>
            </w:pPr>
            <w:r>
              <w:rPr>
                <w:rFonts w:hint="eastAsia" w:ascii="宋体" w:hAnsi="宋体" w:cs="宋体"/>
                <w:color w:val="000000"/>
                <w:kern w:val="0"/>
                <w:sz w:val="18"/>
                <w:szCs w:val="18"/>
                <w:lang w:bidi="ar"/>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14:paraId="00233E69">
        <w:tblPrEx>
          <w:tblCellMar>
            <w:top w:w="0" w:type="dxa"/>
            <w:left w:w="108" w:type="dxa"/>
            <w:bottom w:w="0" w:type="dxa"/>
            <w:right w:w="108" w:type="dxa"/>
          </w:tblCellMar>
        </w:tblPrEx>
        <w:trPr>
          <w:trHeight w:val="792" w:hRule="atLeast"/>
        </w:trPr>
        <w:tc>
          <w:tcPr>
            <w:tcW w:w="339" w:type="pct"/>
            <w:vMerge w:val="continue"/>
            <w:tcBorders>
              <w:left w:val="single" w:color="auto" w:sz="4" w:space="0"/>
              <w:right w:val="single" w:color="auto" w:sz="4" w:space="0"/>
            </w:tcBorders>
            <w:shd w:val="clear" w:color="auto" w:fill="auto"/>
            <w:vAlign w:val="center"/>
          </w:tcPr>
          <w:p w14:paraId="51F24BC8">
            <w:pPr>
              <w:adjustRightInd w:val="0"/>
              <w:snapToGrid w:val="0"/>
              <w:jc w:val="center"/>
              <w:rPr>
                <w:rFonts w:hint="eastAsia" w:ascii="宋体" w:hAnsi="宋体" w:cs="宋体"/>
                <w:color w:val="000000"/>
                <w:sz w:val="18"/>
                <w:szCs w:val="18"/>
              </w:rPr>
            </w:pPr>
          </w:p>
        </w:tc>
        <w:tc>
          <w:tcPr>
            <w:tcW w:w="38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520F19">
            <w:pPr>
              <w:adjustRightInd w:val="0"/>
              <w:snapToGrid w:val="0"/>
              <w:jc w:val="center"/>
              <w:rPr>
                <w:rFonts w:hint="eastAsia" w:ascii="宋体" w:hAnsi="宋体" w:cs="宋体"/>
                <w:color w:val="000000"/>
                <w:sz w:val="18"/>
                <w:szCs w:val="18"/>
              </w:rPr>
            </w:pPr>
          </w:p>
        </w:tc>
        <w:tc>
          <w:tcPr>
            <w:tcW w:w="942"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1A0AF3">
            <w:pPr>
              <w:adjustRightInd w:val="0"/>
              <w:snapToGrid w:val="0"/>
              <w:jc w:val="center"/>
              <w:rPr>
                <w:rFonts w:hint="eastAsia" w:ascii="宋体" w:hAnsi="宋体" w:cs="宋体"/>
                <w:color w:val="000000"/>
                <w:sz w:val="18"/>
                <w:szCs w:val="18"/>
              </w:rPr>
            </w:pPr>
          </w:p>
        </w:tc>
        <w:tc>
          <w:tcPr>
            <w:tcW w:w="70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22D017">
            <w:pPr>
              <w:adjustRightInd w:val="0"/>
              <w:snapToGrid w:val="0"/>
              <w:jc w:val="center"/>
              <w:rPr>
                <w:rFonts w:hint="eastAsia" w:ascii="宋体" w:hAnsi="宋体" w:cs="宋体"/>
                <w:color w:val="000000"/>
                <w:sz w:val="18"/>
                <w:szCs w:val="18"/>
              </w:rPr>
            </w:pPr>
          </w:p>
        </w:tc>
        <w:tc>
          <w:tcPr>
            <w:tcW w:w="24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95C499">
            <w:pPr>
              <w:adjustRightInd w:val="0"/>
              <w:snapToGrid w:val="0"/>
              <w:jc w:val="center"/>
              <w:rPr>
                <w:rFonts w:hint="eastAsia" w:ascii="宋体" w:hAnsi="宋体" w:cs="宋体"/>
                <w:color w:val="000000"/>
                <w:sz w:val="18"/>
                <w:szCs w:val="18"/>
              </w:rPr>
            </w:pPr>
          </w:p>
        </w:tc>
        <w:tc>
          <w:tcPr>
            <w:tcW w:w="24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A3DB93">
            <w:pPr>
              <w:adjustRightInd w:val="0"/>
              <w:snapToGrid w:val="0"/>
              <w:jc w:val="center"/>
              <w:rPr>
                <w:rFonts w:hint="eastAsia" w:ascii="宋体" w:hAnsi="宋体" w:cs="宋体"/>
                <w:color w:val="000000"/>
                <w:sz w:val="18"/>
                <w:szCs w:val="18"/>
              </w:rPr>
            </w:pP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132B86DF">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结转结余总额：部门（单位）本年度的结转资金与结余资金之和。</w:t>
            </w:r>
          </w:p>
        </w:tc>
        <w:tc>
          <w:tcPr>
            <w:tcW w:w="132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E1E538">
            <w:pPr>
              <w:adjustRightInd w:val="0"/>
              <w:snapToGrid w:val="0"/>
              <w:jc w:val="left"/>
              <w:rPr>
                <w:rFonts w:hint="eastAsia" w:ascii="宋体" w:hAnsi="宋体" w:cs="宋体"/>
                <w:color w:val="000000"/>
                <w:sz w:val="18"/>
                <w:szCs w:val="18"/>
              </w:rPr>
            </w:pPr>
          </w:p>
        </w:tc>
      </w:tr>
      <w:tr w14:paraId="0A53AACB">
        <w:tblPrEx>
          <w:tblCellMar>
            <w:top w:w="0" w:type="dxa"/>
            <w:left w:w="108" w:type="dxa"/>
            <w:bottom w:w="0" w:type="dxa"/>
            <w:right w:w="108" w:type="dxa"/>
          </w:tblCellMar>
        </w:tblPrEx>
        <w:trPr>
          <w:trHeight w:val="1279" w:hRule="atLeast"/>
        </w:trPr>
        <w:tc>
          <w:tcPr>
            <w:tcW w:w="339" w:type="pct"/>
            <w:vMerge w:val="continue"/>
            <w:tcBorders>
              <w:left w:val="single" w:color="auto" w:sz="4" w:space="0"/>
              <w:bottom w:val="single" w:color="auto" w:sz="4" w:space="0"/>
              <w:right w:val="single" w:color="auto" w:sz="4" w:space="0"/>
            </w:tcBorders>
            <w:shd w:val="clear" w:color="auto" w:fill="auto"/>
            <w:vAlign w:val="center"/>
          </w:tcPr>
          <w:p w14:paraId="631DE3EF">
            <w:pPr>
              <w:adjustRightInd w:val="0"/>
              <w:snapToGrid w:val="0"/>
              <w:jc w:val="center"/>
              <w:rPr>
                <w:rFonts w:hint="eastAsia" w:ascii="宋体" w:hAnsi="宋体" w:cs="宋体"/>
                <w:color w:val="000000"/>
                <w:sz w:val="18"/>
                <w:szCs w:val="18"/>
              </w:rPr>
            </w:pP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14:paraId="0CBE44F6">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部门预决算差异率（4）</w:t>
            </w:r>
          </w:p>
        </w:tc>
        <w:tc>
          <w:tcPr>
            <w:tcW w:w="94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6839E6">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12.58%</w:t>
            </w:r>
          </w:p>
        </w:tc>
        <w:tc>
          <w:tcPr>
            <w:tcW w:w="701" w:type="pct"/>
            <w:tcBorders>
              <w:top w:val="single" w:color="auto" w:sz="4" w:space="0"/>
              <w:left w:val="single" w:color="auto" w:sz="4" w:space="0"/>
              <w:bottom w:val="single" w:color="auto" w:sz="4" w:space="0"/>
              <w:right w:val="single" w:color="auto" w:sz="4" w:space="0"/>
            </w:tcBorders>
            <w:shd w:val="clear" w:color="auto" w:fill="auto"/>
            <w:vAlign w:val="center"/>
          </w:tcPr>
          <w:p w14:paraId="0B823707">
            <w:pPr>
              <w:widowControl/>
              <w:adjustRightInd w:val="0"/>
              <w:snapToGrid w:val="0"/>
              <w:jc w:val="center"/>
              <w:textAlignment w:val="center"/>
              <w:rPr>
                <w:rFonts w:hint="eastAsia" w:ascii="宋体" w:hAnsi="宋体" w:cs="宋体"/>
                <w:color w:val="000000"/>
                <w:sz w:val="18"/>
                <w:szCs w:val="18"/>
              </w:rPr>
            </w:pPr>
            <w:r>
              <w:rPr>
                <w:rFonts w:ascii="宋体" w:hAnsi="宋体" w:cs="宋体"/>
                <w:color w:val="000000"/>
                <w:kern w:val="0"/>
                <w:sz w:val="18"/>
                <w:szCs w:val="18"/>
                <w:lang w:bidi="ar"/>
              </w:rPr>
              <w:t>-2.88%</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1D85AE6F">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2C819637">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4</w:t>
            </w:r>
          </w:p>
        </w:tc>
        <w:tc>
          <w:tcPr>
            <w:tcW w:w="819" w:type="pct"/>
            <w:tcBorders>
              <w:top w:val="single" w:color="auto" w:sz="4" w:space="0"/>
              <w:left w:val="single" w:color="auto" w:sz="4" w:space="0"/>
              <w:bottom w:val="single" w:color="auto" w:sz="4" w:space="0"/>
              <w:right w:val="single" w:color="auto" w:sz="4" w:space="0"/>
            </w:tcBorders>
            <w:shd w:val="clear" w:color="auto" w:fill="auto"/>
            <w:vAlign w:val="center"/>
          </w:tcPr>
          <w:p w14:paraId="026C972C">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通过年度部门决算与年初部门预算对比，对部门的年度支出情况进行考核，衡量部门预算的约束力。</w:t>
            </w:r>
          </w:p>
        </w:tc>
        <w:tc>
          <w:tcPr>
            <w:tcW w:w="1326" w:type="pct"/>
            <w:tcBorders>
              <w:top w:val="single" w:color="auto" w:sz="4" w:space="0"/>
              <w:left w:val="single" w:color="auto" w:sz="4" w:space="0"/>
              <w:bottom w:val="single" w:color="auto" w:sz="4" w:space="0"/>
              <w:right w:val="single" w:color="auto" w:sz="4" w:space="0"/>
            </w:tcBorders>
            <w:shd w:val="clear" w:color="auto" w:fill="auto"/>
            <w:vAlign w:val="center"/>
          </w:tcPr>
          <w:p w14:paraId="1AF028A3">
            <w:pPr>
              <w:widowControl/>
              <w:adjustRightInd w:val="0"/>
              <w:snapToGrid w:val="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部门预决算差异率高于市级平均差异率（28.3%）的，每高出10%（含），扣0.4分，扣完为止。</w:t>
            </w:r>
          </w:p>
        </w:tc>
      </w:tr>
      <w:tr w14:paraId="5410B487">
        <w:tblPrEx>
          <w:tblCellMar>
            <w:top w:w="0" w:type="dxa"/>
            <w:left w:w="108" w:type="dxa"/>
            <w:bottom w:w="0" w:type="dxa"/>
            <w:right w:w="108" w:type="dxa"/>
          </w:tblCellMar>
        </w:tblPrEx>
        <w:trPr>
          <w:trHeight w:val="396" w:hRule="atLeast"/>
        </w:trPr>
        <w:tc>
          <w:tcPr>
            <w:tcW w:w="2365"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46CBF35B">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合计</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1943BA16">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245" w:type="pct"/>
            <w:tcBorders>
              <w:top w:val="single" w:color="auto" w:sz="4" w:space="0"/>
              <w:left w:val="single" w:color="auto" w:sz="4" w:space="0"/>
              <w:bottom w:val="single" w:color="auto" w:sz="4" w:space="0"/>
              <w:right w:val="single" w:color="auto" w:sz="4" w:space="0"/>
            </w:tcBorders>
            <w:shd w:val="clear" w:color="auto" w:fill="auto"/>
            <w:vAlign w:val="center"/>
          </w:tcPr>
          <w:p w14:paraId="5646912B">
            <w:pPr>
              <w:widowControl/>
              <w:adjustRightInd w:val="0"/>
              <w:snapToGrid w:val="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94.54 </w:t>
            </w:r>
          </w:p>
        </w:tc>
        <w:tc>
          <w:tcPr>
            <w:tcW w:w="214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3BFAC8">
            <w:pPr>
              <w:adjustRightInd w:val="0"/>
              <w:snapToGrid w:val="0"/>
              <w:jc w:val="center"/>
              <w:rPr>
                <w:rFonts w:hint="eastAsia" w:ascii="宋体" w:hAnsi="宋体" w:cs="宋体"/>
                <w:color w:val="000000"/>
                <w:sz w:val="18"/>
                <w:szCs w:val="18"/>
              </w:rPr>
            </w:pPr>
          </w:p>
        </w:tc>
      </w:tr>
    </w:tbl>
    <w:p w14:paraId="1FEA9236">
      <w:pPr>
        <w:adjustRightInd w:val="0"/>
        <w:snapToGrid w:val="0"/>
        <w:spacing w:line="360" w:lineRule="auto"/>
        <w:rPr>
          <w:rFonts w:hint="eastAsia" w:ascii="仿宋_GB2312" w:hAnsi="仿宋" w:eastAsia="仿宋_GB2312"/>
          <w:sz w:val="32"/>
          <w:szCs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仿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D6EE0">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52769">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730612">
                          <w:pPr>
                            <w:pStyle w:val="9"/>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7730612">
                    <w:pPr>
                      <w:pStyle w:val="9"/>
                    </w:pPr>
                    <w:r>
                      <w:fldChar w:fldCharType="begin"/>
                    </w:r>
                    <w:r>
                      <w:instrText xml:space="preserve"> PAGE  \* MERGEFORMAT </w:instrText>
                    </w:r>
                    <w:r>
                      <w:fldChar w:fldCharType="separate"/>
                    </w:r>
                    <w:r>
                      <w:t>23</w:t>
                    </w:r>
                    <w:r>
                      <w:fldChar w:fldCharType="end"/>
                    </w: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91589">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3F8282">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wY2E1NWZiZDJkMzA3Zjc5MzQ4ZDExN2FiYTQ0NDgifQ=="/>
  </w:docVars>
  <w:rsids>
    <w:rsidRoot w:val="00450BCE"/>
    <w:rsid w:val="000024BA"/>
    <w:rsid w:val="00011FB3"/>
    <w:rsid w:val="0006156F"/>
    <w:rsid w:val="000658B7"/>
    <w:rsid w:val="000A2236"/>
    <w:rsid w:val="000B679B"/>
    <w:rsid w:val="000E589D"/>
    <w:rsid w:val="001142CE"/>
    <w:rsid w:val="00123E0C"/>
    <w:rsid w:val="0012797C"/>
    <w:rsid w:val="00191B01"/>
    <w:rsid w:val="00193462"/>
    <w:rsid w:val="001A2143"/>
    <w:rsid w:val="001A56EE"/>
    <w:rsid w:val="001C2EB5"/>
    <w:rsid w:val="001F5FEC"/>
    <w:rsid w:val="002027A9"/>
    <w:rsid w:val="00210393"/>
    <w:rsid w:val="0021779C"/>
    <w:rsid w:val="002975E9"/>
    <w:rsid w:val="002A426A"/>
    <w:rsid w:val="002D1D6E"/>
    <w:rsid w:val="002E2901"/>
    <w:rsid w:val="002F4E1D"/>
    <w:rsid w:val="00326483"/>
    <w:rsid w:val="003338DC"/>
    <w:rsid w:val="0034447C"/>
    <w:rsid w:val="003777F3"/>
    <w:rsid w:val="00392594"/>
    <w:rsid w:val="00397CD7"/>
    <w:rsid w:val="003A3E12"/>
    <w:rsid w:val="003F0D83"/>
    <w:rsid w:val="004234D4"/>
    <w:rsid w:val="00450BCE"/>
    <w:rsid w:val="004575F1"/>
    <w:rsid w:val="0047653A"/>
    <w:rsid w:val="00483CA9"/>
    <w:rsid w:val="004A331F"/>
    <w:rsid w:val="004E3278"/>
    <w:rsid w:val="004E337C"/>
    <w:rsid w:val="00502135"/>
    <w:rsid w:val="005032E8"/>
    <w:rsid w:val="00517DF6"/>
    <w:rsid w:val="00531FDA"/>
    <w:rsid w:val="0054225D"/>
    <w:rsid w:val="0056063F"/>
    <w:rsid w:val="00583AAB"/>
    <w:rsid w:val="005A4E49"/>
    <w:rsid w:val="005C0D12"/>
    <w:rsid w:val="00615D52"/>
    <w:rsid w:val="006227CB"/>
    <w:rsid w:val="00622B50"/>
    <w:rsid w:val="00653F18"/>
    <w:rsid w:val="00670825"/>
    <w:rsid w:val="00675331"/>
    <w:rsid w:val="006938E0"/>
    <w:rsid w:val="00695E26"/>
    <w:rsid w:val="006B7585"/>
    <w:rsid w:val="00776845"/>
    <w:rsid w:val="007A2618"/>
    <w:rsid w:val="007C17C9"/>
    <w:rsid w:val="007C3097"/>
    <w:rsid w:val="007D4CC7"/>
    <w:rsid w:val="00816543"/>
    <w:rsid w:val="00842F7D"/>
    <w:rsid w:val="0085620F"/>
    <w:rsid w:val="0087167F"/>
    <w:rsid w:val="0088204B"/>
    <w:rsid w:val="008C050D"/>
    <w:rsid w:val="008D21F5"/>
    <w:rsid w:val="00912F94"/>
    <w:rsid w:val="009239EE"/>
    <w:rsid w:val="009407D6"/>
    <w:rsid w:val="009574F2"/>
    <w:rsid w:val="00973905"/>
    <w:rsid w:val="00975F7B"/>
    <w:rsid w:val="009A30FD"/>
    <w:rsid w:val="009C11D6"/>
    <w:rsid w:val="009D343C"/>
    <w:rsid w:val="009D5052"/>
    <w:rsid w:val="009E7637"/>
    <w:rsid w:val="009F0F3F"/>
    <w:rsid w:val="009F28E1"/>
    <w:rsid w:val="00A41DF3"/>
    <w:rsid w:val="00A46B34"/>
    <w:rsid w:val="00A508FC"/>
    <w:rsid w:val="00A50D90"/>
    <w:rsid w:val="00A51195"/>
    <w:rsid w:val="00A55036"/>
    <w:rsid w:val="00A72C41"/>
    <w:rsid w:val="00A860E8"/>
    <w:rsid w:val="00AA031A"/>
    <w:rsid w:val="00AA442B"/>
    <w:rsid w:val="00AB1382"/>
    <w:rsid w:val="00AC13FE"/>
    <w:rsid w:val="00AD348A"/>
    <w:rsid w:val="00AE6575"/>
    <w:rsid w:val="00AF1AB2"/>
    <w:rsid w:val="00B13268"/>
    <w:rsid w:val="00B93C3B"/>
    <w:rsid w:val="00B95050"/>
    <w:rsid w:val="00BD5D60"/>
    <w:rsid w:val="00C01A7A"/>
    <w:rsid w:val="00C310DC"/>
    <w:rsid w:val="00C44587"/>
    <w:rsid w:val="00C46A4D"/>
    <w:rsid w:val="00C51855"/>
    <w:rsid w:val="00C62A43"/>
    <w:rsid w:val="00C676CE"/>
    <w:rsid w:val="00C70074"/>
    <w:rsid w:val="00C7150F"/>
    <w:rsid w:val="00C74003"/>
    <w:rsid w:val="00C7507F"/>
    <w:rsid w:val="00CB2D21"/>
    <w:rsid w:val="00CE0E79"/>
    <w:rsid w:val="00CE6654"/>
    <w:rsid w:val="00CF34F6"/>
    <w:rsid w:val="00CF6B35"/>
    <w:rsid w:val="00CF6EA1"/>
    <w:rsid w:val="00D019FA"/>
    <w:rsid w:val="00D27C24"/>
    <w:rsid w:val="00D73073"/>
    <w:rsid w:val="00D76FAA"/>
    <w:rsid w:val="00DC39B9"/>
    <w:rsid w:val="00DE7D24"/>
    <w:rsid w:val="00E0701C"/>
    <w:rsid w:val="00E16D46"/>
    <w:rsid w:val="00E26F9E"/>
    <w:rsid w:val="00E354EE"/>
    <w:rsid w:val="00E452CD"/>
    <w:rsid w:val="00E60A9C"/>
    <w:rsid w:val="00E71D91"/>
    <w:rsid w:val="00E806A8"/>
    <w:rsid w:val="00E873C3"/>
    <w:rsid w:val="00EB0C68"/>
    <w:rsid w:val="00EC7FF1"/>
    <w:rsid w:val="00ED2A45"/>
    <w:rsid w:val="00ED30A9"/>
    <w:rsid w:val="00F14931"/>
    <w:rsid w:val="00F928B4"/>
    <w:rsid w:val="00FB020D"/>
    <w:rsid w:val="00FB217B"/>
    <w:rsid w:val="00FC662B"/>
    <w:rsid w:val="00FE4E88"/>
    <w:rsid w:val="01260E98"/>
    <w:rsid w:val="01CF7782"/>
    <w:rsid w:val="02DA51D0"/>
    <w:rsid w:val="034F0B7A"/>
    <w:rsid w:val="03722A49"/>
    <w:rsid w:val="03A378B9"/>
    <w:rsid w:val="03B82ACE"/>
    <w:rsid w:val="03EA2651"/>
    <w:rsid w:val="041476CE"/>
    <w:rsid w:val="04421116"/>
    <w:rsid w:val="04635AFE"/>
    <w:rsid w:val="04A96068"/>
    <w:rsid w:val="052D1CE0"/>
    <w:rsid w:val="05323C89"/>
    <w:rsid w:val="053F2AC7"/>
    <w:rsid w:val="05413AD7"/>
    <w:rsid w:val="05545FD4"/>
    <w:rsid w:val="058825A2"/>
    <w:rsid w:val="05ED6429"/>
    <w:rsid w:val="06432F0A"/>
    <w:rsid w:val="06587544"/>
    <w:rsid w:val="06730D61"/>
    <w:rsid w:val="07CC27F3"/>
    <w:rsid w:val="087150EF"/>
    <w:rsid w:val="08B65FD7"/>
    <w:rsid w:val="08CC4A1B"/>
    <w:rsid w:val="08CC67C9"/>
    <w:rsid w:val="0A7B4636"/>
    <w:rsid w:val="0B2E72C7"/>
    <w:rsid w:val="0B492353"/>
    <w:rsid w:val="0B786794"/>
    <w:rsid w:val="0B9A495D"/>
    <w:rsid w:val="0BDE6F3F"/>
    <w:rsid w:val="0C50326D"/>
    <w:rsid w:val="0C60098A"/>
    <w:rsid w:val="0CFE685B"/>
    <w:rsid w:val="0D4D6A15"/>
    <w:rsid w:val="0DB937C0"/>
    <w:rsid w:val="0E15476E"/>
    <w:rsid w:val="0E2A0D5E"/>
    <w:rsid w:val="0E6B438E"/>
    <w:rsid w:val="0EC97DE0"/>
    <w:rsid w:val="0F2E5AE8"/>
    <w:rsid w:val="0F5840E5"/>
    <w:rsid w:val="0FC8369B"/>
    <w:rsid w:val="103A04BC"/>
    <w:rsid w:val="103D11F8"/>
    <w:rsid w:val="10593038"/>
    <w:rsid w:val="108654B0"/>
    <w:rsid w:val="10BC6302"/>
    <w:rsid w:val="11274EE5"/>
    <w:rsid w:val="11665A0D"/>
    <w:rsid w:val="118916FB"/>
    <w:rsid w:val="11BA40BE"/>
    <w:rsid w:val="11E51E8A"/>
    <w:rsid w:val="12280F14"/>
    <w:rsid w:val="12A72E93"/>
    <w:rsid w:val="13367661"/>
    <w:rsid w:val="13CE5AEB"/>
    <w:rsid w:val="13DC40BA"/>
    <w:rsid w:val="144477DD"/>
    <w:rsid w:val="148166BA"/>
    <w:rsid w:val="14C667C2"/>
    <w:rsid w:val="15C50828"/>
    <w:rsid w:val="15C77891"/>
    <w:rsid w:val="15E769F0"/>
    <w:rsid w:val="15FA5057"/>
    <w:rsid w:val="167C538B"/>
    <w:rsid w:val="16BF171B"/>
    <w:rsid w:val="17991F6C"/>
    <w:rsid w:val="17B0246F"/>
    <w:rsid w:val="17C3523B"/>
    <w:rsid w:val="180B1639"/>
    <w:rsid w:val="18371A34"/>
    <w:rsid w:val="186131B1"/>
    <w:rsid w:val="18911F28"/>
    <w:rsid w:val="18BA0D0B"/>
    <w:rsid w:val="19A86AD3"/>
    <w:rsid w:val="1AC54639"/>
    <w:rsid w:val="1B1A7868"/>
    <w:rsid w:val="1B3A3A66"/>
    <w:rsid w:val="1B522B5E"/>
    <w:rsid w:val="1B9427B1"/>
    <w:rsid w:val="1BAD4238"/>
    <w:rsid w:val="1C735D4E"/>
    <w:rsid w:val="1C821221"/>
    <w:rsid w:val="1C8256C5"/>
    <w:rsid w:val="1C9A2A0F"/>
    <w:rsid w:val="1D1C148A"/>
    <w:rsid w:val="1DC108B9"/>
    <w:rsid w:val="1DCE3EB8"/>
    <w:rsid w:val="1DFC5003"/>
    <w:rsid w:val="1E0A7720"/>
    <w:rsid w:val="1E451225"/>
    <w:rsid w:val="1E876FC3"/>
    <w:rsid w:val="1EBA7398"/>
    <w:rsid w:val="1F4818BA"/>
    <w:rsid w:val="1F6B0692"/>
    <w:rsid w:val="1F751511"/>
    <w:rsid w:val="1FA616CA"/>
    <w:rsid w:val="1FF572A6"/>
    <w:rsid w:val="1FF870A7"/>
    <w:rsid w:val="201B3E66"/>
    <w:rsid w:val="208A0FEC"/>
    <w:rsid w:val="2092223B"/>
    <w:rsid w:val="20C242E2"/>
    <w:rsid w:val="20D858B3"/>
    <w:rsid w:val="20F621DE"/>
    <w:rsid w:val="21224669"/>
    <w:rsid w:val="2129610F"/>
    <w:rsid w:val="215F5FD5"/>
    <w:rsid w:val="219F0AC7"/>
    <w:rsid w:val="21B31E7D"/>
    <w:rsid w:val="225C42C2"/>
    <w:rsid w:val="230F7587"/>
    <w:rsid w:val="23563407"/>
    <w:rsid w:val="23CD5478"/>
    <w:rsid w:val="241D7C15"/>
    <w:rsid w:val="246A0F18"/>
    <w:rsid w:val="24A80466"/>
    <w:rsid w:val="24AA57B9"/>
    <w:rsid w:val="24F84776"/>
    <w:rsid w:val="255A71DF"/>
    <w:rsid w:val="25995391"/>
    <w:rsid w:val="25F94B91"/>
    <w:rsid w:val="26170669"/>
    <w:rsid w:val="2652435A"/>
    <w:rsid w:val="26760048"/>
    <w:rsid w:val="274703C4"/>
    <w:rsid w:val="278247CB"/>
    <w:rsid w:val="27BE7C55"/>
    <w:rsid w:val="27EC45DC"/>
    <w:rsid w:val="280B2A12"/>
    <w:rsid w:val="28927BEE"/>
    <w:rsid w:val="28956780"/>
    <w:rsid w:val="28A6273B"/>
    <w:rsid w:val="28D9666D"/>
    <w:rsid w:val="28E17834"/>
    <w:rsid w:val="29000DA6"/>
    <w:rsid w:val="292F44DF"/>
    <w:rsid w:val="295A0AA5"/>
    <w:rsid w:val="295E6B72"/>
    <w:rsid w:val="299904B2"/>
    <w:rsid w:val="29E4176D"/>
    <w:rsid w:val="2A157B78"/>
    <w:rsid w:val="2A331DAD"/>
    <w:rsid w:val="2A541FD2"/>
    <w:rsid w:val="2AEB5809"/>
    <w:rsid w:val="2AFC7A77"/>
    <w:rsid w:val="2B125E66"/>
    <w:rsid w:val="2C02237E"/>
    <w:rsid w:val="2C2736A5"/>
    <w:rsid w:val="2C352F66"/>
    <w:rsid w:val="2C5D75B5"/>
    <w:rsid w:val="2CA86A82"/>
    <w:rsid w:val="2CAB6572"/>
    <w:rsid w:val="2D0A70C1"/>
    <w:rsid w:val="2D0B38B7"/>
    <w:rsid w:val="2D9B2143"/>
    <w:rsid w:val="2DD057D4"/>
    <w:rsid w:val="2E2B796A"/>
    <w:rsid w:val="2E463973"/>
    <w:rsid w:val="2E4862BB"/>
    <w:rsid w:val="2F6C023B"/>
    <w:rsid w:val="2FFB336C"/>
    <w:rsid w:val="2FFB4F8B"/>
    <w:rsid w:val="302723B3"/>
    <w:rsid w:val="30450A8C"/>
    <w:rsid w:val="308C5F1F"/>
    <w:rsid w:val="31A6555A"/>
    <w:rsid w:val="327E24CB"/>
    <w:rsid w:val="33222542"/>
    <w:rsid w:val="33784CD4"/>
    <w:rsid w:val="33A849E0"/>
    <w:rsid w:val="3457391A"/>
    <w:rsid w:val="34F673A3"/>
    <w:rsid w:val="35831DF6"/>
    <w:rsid w:val="359526FD"/>
    <w:rsid w:val="35FB26A1"/>
    <w:rsid w:val="36462E68"/>
    <w:rsid w:val="36873BAC"/>
    <w:rsid w:val="36FA25D0"/>
    <w:rsid w:val="36FD3E6E"/>
    <w:rsid w:val="375635EC"/>
    <w:rsid w:val="376B527C"/>
    <w:rsid w:val="378A39CB"/>
    <w:rsid w:val="37B10790"/>
    <w:rsid w:val="383C4522"/>
    <w:rsid w:val="39283D9F"/>
    <w:rsid w:val="395104A1"/>
    <w:rsid w:val="397D658A"/>
    <w:rsid w:val="39A13C7F"/>
    <w:rsid w:val="3A2F07E2"/>
    <w:rsid w:val="3B7301D5"/>
    <w:rsid w:val="3BDC22A4"/>
    <w:rsid w:val="3BFC2258"/>
    <w:rsid w:val="3C0255BF"/>
    <w:rsid w:val="3C1A0693"/>
    <w:rsid w:val="3CD93927"/>
    <w:rsid w:val="3E0F1A33"/>
    <w:rsid w:val="3E2B282C"/>
    <w:rsid w:val="3E3A3F15"/>
    <w:rsid w:val="3EBC3E32"/>
    <w:rsid w:val="3EE6495F"/>
    <w:rsid w:val="3F6E3B5B"/>
    <w:rsid w:val="3FA96941"/>
    <w:rsid w:val="40582115"/>
    <w:rsid w:val="4168583B"/>
    <w:rsid w:val="42440BA3"/>
    <w:rsid w:val="42446DF5"/>
    <w:rsid w:val="425539F8"/>
    <w:rsid w:val="42997141"/>
    <w:rsid w:val="42A358C7"/>
    <w:rsid w:val="42C65A5C"/>
    <w:rsid w:val="42E56902"/>
    <w:rsid w:val="43620070"/>
    <w:rsid w:val="43761230"/>
    <w:rsid w:val="43FA5102"/>
    <w:rsid w:val="442F5527"/>
    <w:rsid w:val="44377815"/>
    <w:rsid w:val="448636F5"/>
    <w:rsid w:val="44894F93"/>
    <w:rsid w:val="45097E82"/>
    <w:rsid w:val="450D1720"/>
    <w:rsid w:val="451A4345"/>
    <w:rsid w:val="456A0921"/>
    <w:rsid w:val="45863281"/>
    <w:rsid w:val="459914C1"/>
    <w:rsid w:val="45B147A1"/>
    <w:rsid w:val="465869CB"/>
    <w:rsid w:val="46B06807"/>
    <w:rsid w:val="46B67B95"/>
    <w:rsid w:val="46FB4A0B"/>
    <w:rsid w:val="4707209D"/>
    <w:rsid w:val="471A45C8"/>
    <w:rsid w:val="476777B4"/>
    <w:rsid w:val="47E96E38"/>
    <w:rsid w:val="47F37C22"/>
    <w:rsid w:val="484311B7"/>
    <w:rsid w:val="48573115"/>
    <w:rsid w:val="49AF724A"/>
    <w:rsid w:val="4A064BFA"/>
    <w:rsid w:val="4A5751EC"/>
    <w:rsid w:val="4A62606A"/>
    <w:rsid w:val="4A802994"/>
    <w:rsid w:val="4B1E6493"/>
    <w:rsid w:val="4B62209A"/>
    <w:rsid w:val="4B7D6ED4"/>
    <w:rsid w:val="4BF947AC"/>
    <w:rsid w:val="4CF440D2"/>
    <w:rsid w:val="4DC42B98"/>
    <w:rsid w:val="4DD454D1"/>
    <w:rsid w:val="4DF416CF"/>
    <w:rsid w:val="4DFA0CB0"/>
    <w:rsid w:val="4E1F24C4"/>
    <w:rsid w:val="4E623A6E"/>
    <w:rsid w:val="4E9F5A46"/>
    <w:rsid w:val="4ED27537"/>
    <w:rsid w:val="4F3A75B6"/>
    <w:rsid w:val="4F934F18"/>
    <w:rsid w:val="4F9D5D96"/>
    <w:rsid w:val="4FDA48F5"/>
    <w:rsid w:val="50666C01"/>
    <w:rsid w:val="50850D04"/>
    <w:rsid w:val="50FE4613"/>
    <w:rsid w:val="51AE5372"/>
    <w:rsid w:val="51C74243"/>
    <w:rsid w:val="52232583"/>
    <w:rsid w:val="52506890"/>
    <w:rsid w:val="52594EA1"/>
    <w:rsid w:val="529A65BD"/>
    <w:rsid w:val="52B6146D"/>
    <w:rsid w:val="52CF4E6B"/>
    <w:rsid w:val="52FE08FA"/>
    <w:rsid w:val="53065A01"/>
    <w:rsid w:val="530D7AD5"/>
    <w:rsid w:val="534D53DE"/>
    <w:rsid w:val="53F705B4"/>
    <w:rsid w:val="5401690D"/>
    <w:rsid w:val="540E7263"/>
    <w:rsid w:val="547370C6"/>
    <w:rsid w:val="54E104D3"/>
    <w:rsid w:val="55021B79"/>
    <w:rsid w:val="550B72FE"/>
    <w:rsid w:val="551B39E5"/>
    <w:rsid w:val="55320D2F"/>
    <w:rsid w:val="559417F6"/>
    <w:rsid w:val="55950A6D"/>
    <w:rsid w:val="56435D7C"/>
    <w:rsid w:val="5661367A"/>
    <w:rsid w:val="567333AD"/>
    <w:rsid w:val="56B55774"/>
    <w:rsid w:val="570A5ABF"/>
    <w:rsid w:val="571921A6"/>
    <w:rsid w:val="57407733"/>
    <w:rsid w:val="57603931"/>
    <w:rsid w:val="57816536"/>
    <w:rsid w:val="58D04AE7"/>
    <w:rsid w:val="592334C7"/>
    <w:rsid w:val="593F61EF"/>
    <w:rsid w:val="59C032B8"/>
    <w:rsid w:val="59C4289D"/>
    <w:rsid w:val="5A032C9A"/>
    <w:rsid w:val="5A1F5D26"/>
    <w:rsid w:val="5B222965"/>
    <w:rsid w:val="5B305D11"/>
    <w:rsid w:val="5CB63FF4"/>
    <w:rsid w:val="5CC6692D"/>
    <w:rsid w:val="5CDA5F34"/>
    <w:rsid w:val="5CFA46CE"/>
    <w:rsid w:val="5D1D3F29"/>
    <w:rsid w:val="5D600B2F"/>
    <w:rsid w:val="5D643F22"/>
    <w:rsid w:val="5DAF6825"/>
    <w:rsid w:val="5E3653EC"/>
    <w:rsid w:val="5E6769C4"/>
    <w:rsid w:val="5EF01A3F"/>
    <w:rsid w:val="5F7F36A9"/>
    <w:rsid w:val="5F8D54E0"/>
    <w:rsid w:val="5FAF0290"/>
    <w:rsid w:val="600A073C"/>
    <w:rsid w:val="601646E4"/>
    <w:rsid w:val="60465E3B"/>
    <w:rsid w:val="604F09E7"/>
    <w:rsid w:val="6062696C"/>
    <w:rsid w:val="607448F1"/>
    <w:rsid w:val="609E371C"/>
    <w:rsid w:val="611F1075"/>
    <w:rsid w:val="61C72714"/>
    <w:rsid w:val="61FB0E26"/>
    <w:rsid w:val="62130DE2"/>
    <w:rsid w:val="621B0137"/>
    <w:rsid w:val="62562501"/>
    <w:rsid w:val="62877DA0"/>
    <w:rsid w:val="629923ED"/>
    <w:rsid w:val="62D90A3C"/>
    <w:rsid w:val="63942E22"/>
    <w:rsid w:val="63D92749"/>
    <w:rsid w:val="64346872"/>
    <w:rsid w:val="64403ED8"/>
    <w:rsid w:val="646507D9"/>
    <w:rsid w:val="648D3965"/>
    <w:rsid w:val="65430F17"/>
    <w:rsid w:val="655B1BDC"/>
    <w:rsid w:val="65801643"/>
    <w:rsid w:val="658A426F"/>
    <w:rsid w:val="658D5BDA"/>
    <w:rsid w:val="65B55790"/>
    <w:rsid w:val="65C34A8B"/>
    <w:rsid w:val="65F53DDF"/>
    <w:rsid w:val="663E2573"/>
    <w:rsid w:val="66521231"/>
    <w:rsid w:val="665E10CA"/>
    <w:rsid w:val="67980EC5"/>
    <w:rsid w:val="67D0065F"/>
    <w:rsid w:val="68263424"/>
    <w:rsid w:val="68792AA5"/>
    <w:rsid w:val="68923B67"/>
    <w:rsid w:val="69C87064"/>
    <w:rsid w:val="6A2151A2"/>
    <w:rsid w:val="6B2667E8"/>
    <w:rsid w:val="6B304E9E"/>
    <w:rsid w:val="6B74654A"/>
    <w:rsid w:val="6BCC7390"/>
    <w:rsid w:val="6BD9385B"/>
    <w:rsid w:val="6C1C0987"/>
    <w:rsid w:val="6C5C4BB7"/>
    <w:rsid w:val="6C624437"/>
    <w:rsid w:val="6CC440AA"/>
    <w:rsid w:val="6CCB5899"/>
    <w:rsid w:val="6CDA5ADC"/>
    <w:rsid w:val="6D21370B"/>
    <w:rsid w:val="6DC66213"/>
    <w:rsid w:val="6DD02C0B"/>
    <w:rsid w:val="6E0252EB"/>
    <w:rsid w:val="6E5024FA"/>
    <w:rsid w:val="6E81119C"/>
    <w:rsid w:val="6EE92007"/>
    <w:rsid w:val="6F2C5769"/>
    <w:rsid w:val="6F3232B4"/>
    <w:rsid w:val="6FFC2728"/>
    <w:rsid w:val="700370F8"/>
    <w:rsid w:val="700C06A3"/>
    <w:rsid w:val="70117A67"/>
    <w:rsid w:val="702A6D7B"/>
    <w:rsid w:val="707953FD"/>
    <w:rsid w:val="70CD40F9"/>
    <w:rsid w:val="710B2708"/>
    <w:rsid w:val="71DF6C3B"/>
    <w:rsid w:val="71EC5D63"/>
    <w:rsid w:val="7238752D"/>
    <w:rsid w:val="727750B2"/>
    <w:rsid w:val="727F515C"/>
    <w:rsid w:val="73F2195D"/>
    <w:rsid w:val="74583EB6"/>
    <w:rsid w:val="748F3650"/>
    <w:rsid w:val="74B2697D"/>
    <w:rsid w:val="74BB61F3"/>
    <w:rsid w:val="74E514C2"/>
    <w:rsid w:val="750E6C6B"/>
    <w:rsid w:val="75104791"/>
    <w:rsid w:val="75B415C0"/>
    <w:rsid w:val="75CC658F"/>
    <w:rsid w:val="75CD18A3"/>
    <w:rsid w:val="75D73DE6"/>
    <w:rsid w:val="761526A2"/>
    <w:rsid w:val="76585081"/>
    <w:rsid w:val="766A6123"/>
    <w:rsid w:val="76B37445"/>
    <w:rsid w:val="76EE4DDF"/>
    <w:rsid w:val="77057BFA"/>
    <w:rsid w:val="77401CA7"/>
    <w:rsid w:val="78202F3D"/>
    <w:rsid w:val="796732EC"/>
    <w:rsid w:val="796C21B2"/>
    <w:rsid w:val="79A90D10"/>
    <w:rsid w:val="79B53B59"/>
    <w:rsid w:val="79C92B45"/>
    <w:rsid w:val="79D33FDF"/>
    <w:rsid w:val="79FF6B82"/>
    <w:rsid w:val="7AAF05A8"/>
    <w:rsid w:val="7AAF73E7"/>
    <w:rsid w:val="7B2014A6"/>
    <w:rsid w:val="7B767318"/>
    <w:rsid w:val="7B8D6BCE"/>
    <w:rsid w:val="7BFD3595"/>
    <w:rsid w:val="7C2A16F0"/>
    <w:rsid w:val="7C444D20"/>
    <w:rsid w:val="7C67749B"/>
    <w:rsid w:val="7D957F29"/>
    <w:rsid w:val="7DAC7021"/>
    <w:rsid w:val="7E15161E"/>
    <w:rsid w:val="7E525E1A"/>
    <w:rsid w:val="7EF173E1"/>
    <w:rsid w:val="7F436576"/>
    <w:rsid w:val="7F5931D8"/>
    <w:rsid w:val="7FCA19E0"/>
    <w:rsid w:val="7FF16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9"/>
    <w:pPr>
      <w:keepNext/>
      <w:keepLines/>
      <w:spacing w:before="260" w:after="260" w:line="360" w:lineRule="auto"/>
      <w:jc w:val="left"/>
      <w:outlineLvl w:val="1"/>
    </w:pPr>
    <w:rPr>
      <w:rFonts w:asciiTheme="majorHAnsi" w:hAnsiTheme="majorHAnsi" w:eastAsiaTheme="majorEastAsia" w:cstheme="majorBidi"/>
      <w:b/>
      <w:bCs/>
      <w:sz w:val="32"/>
      <w:szCs w:val="3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semiHidden/>
    <w:qFormat/>
    <w:uiPriority w:val="0"/>
    <w:rPr>
      <w:rFonts w:ascii="仿宋" w:hAnsi="仿宋" w:eastAsia="仿宋" w:cs="仿宋"/>
      <w:sz w:val="30"/>
      <w:szCs w:val="30"/>
      <w:lang w:eastAsia="en-US"/>
    </w:rPr>
  </w:style>
  <w:style w:type="paragraph" w:styleId="6">
    <w:name w:val="toc 3"/>
    <w:basedOn w:val="1"/>
    <w:next w:val="1"/>
    <w:qFormat/>
    <w:uiPriority w:val="0"/>
    <w:pPr>
      <w:ind w:left="840" w:leftChars="400"/>
    </w:pPr>
  </w:style>
  <w:style w:type="paragraph" w:styleId="7">
    <w:name w:val="Plain Text"/>
    <w:basedOn w:val="1"/>
    <w:next w:val="1"/>
    <w:qFormat/>
    <w:uiPriority w:val="0"/>
    <w:rPr>
      <w:rFonts w:ascii="宋体" w:hAnsi="Courier New"/>
      <w:sz w:val="20"/>
      <w:szCs w:val="21"/>
    </w:rPr>
  </w:style>
  <w:style w:type="paragraph" w:styleId="8">
    <w:name w:val="Balloon Text"/>
    <w:basedOn w:val="1"/>
    <w:link w:val="33"/>
    <w:qFormat/>
    <w:uiPriority w:val="0"/>
    <w:rPr>
      <w:sz w:val="18"/>
      <w:szCs w:val="18"/>
    </w:rPr>
  </w:style>
  <w:style w:type="paragraph" w:styleId="9">
    <w:name w:val="footer"/>
    <w:basedOn w:val="1"/>
    <w:qFormat/>
    <w:uiPriority w:val="0"/>
    <w:pPr>
      <w:tabs>
        <w:tab w:val="center" w:pos="4153"/>
        <w:tab w:val="right" w:pos="8306"/>
      </w:tabs>
      <w:snapToGrid w:val="0"/>
      <w:jc w:val="left"/>
    </w:pPr>
    <w:rPr>
      <w:kern w:val="0"/>
      <w:sz w:val="18"/>
      <w:szCs w:val="20"/>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39"/>
    <w:pPr>
      <w:tabs>
        <w:tab w:val="right" w:leader="dot" w:pos="8296"/>
      </w:tabs>
      <w:jc w:val="center"/>
    </w:pPr>
    <w:rPr>
      <w:rFonts w:ascii="黑体" w:hAnsi="黑体" w:eastAsia="黑体"/>
      <w:bCs/>
      <w:sz w:val="28"/>
      <w:szCs w:val="28"/>
    </w:rPr>
  </w:style>
  <w:style w:type="paragraph" w:styleId="12">
    <w:name w:val="Subtitle"/>
    <w:basedOn w:val="1"/>
    <w:next w:val="1"/>
    <w:qFormat/>
    <w:uiPriority w:val="0"/>
    <w:pPr>
      <w:jc w:val="left"/>
      <w:outlineLvl w:val="2"/>
    </w:pPr>
    <w:rPr>
      <w:rFonts w:ascii="Cambria" w:hAnsi="Cambria" w:eastAsia="黑体"/>
      <w:bCs/>
      <w:kern w:val="28"/>
      <w:szCs w:val="32"/>
    </w:rPr>
  </w:style>
  <w:style w:type="paragraph" w:styleId="13">
    <w:name w:val="footnote text"/>
    <w:basedOn w:val="1"/>
    <w:semiHidden/>
    <w:unhideWhenUsed/>
    <w:qFormat/>
    <w:uiPriority w:val="99"/>
    <w:pPr>
      <w:snapToGrid w:val="0"/>
      <w:jc w:val="left"/>
    </w:pPr>
    <w:rPr>
      <w:sz w:val="18"/>
      <w:szCs w:val="18"/>
    </w:rPr>
  </w:style>
  <w:style w:type="paragraph" w:styleId="14">
    <w:name w:val="toc 2"/>
    <w:basedOn w:val="1"/>
    <w:next w:val="1"/>
    <w:unhideWhenUsed/>
    <w:qFormat/>
    <w:uiPriority w:val="39"/>
    <w:pPr>
      <w:tabs>
        <w:tab w:val="right" w:leader="dot" w:pos="8296"/>
      </w:tabs>
      <w:ind w:left="420" w:leftChars="200"/>
    </w:pPr>
    <w:rPr>
      <w:rFonts w:ascii="黑体" w:hAnsi="黑体" w:eastAsia="黑体"/>
      <w:sz w:val="28"/>
      <w:szCs w:val="28"/>
    </w:rPr>
  </w:style>
  <w:style w:type="paragraph" w:styleId="15">
    <w:name w:val="Normal (Web)"/>
    <w:basedOn w:val="1"/>
    <w:qFormat/>
    <w:uiPriority w:val="0"/>
    <w:pPr>
      <w:spacing w:beforeAutospacing="1" w:afterAutospacing="1"/>
      <w:jc w:val="left"/>
    </w:pPr>
    <w:rPr>
      <w:kern w:val="0"/>
      <w:sz w:val="24"/>
    </w:rPr>
  </w:style>
  <w:style w:type="character" w:styleId="18">
    <w:name w:val="Strong"/>
    <w:basedOn w:val="17"/>
    <w:qFormat/>
    <w:uiPriority w:val="0"/>
    <w:rPr>
      <w:b/>
    </w:rPr>
  </w:style>
  <w:style w:type="character" w:styleId="19">
    <w:name w:val="Hyperlink"/>
    <w:basedOn w:val="17"/>
    <w:unhideWhenUsed/>
    <w:qFormat/>
    <w:uiPriority w:val="99"/>
    <w:rPr>
      <w:color w:val="0563C1" w:themeColor="hyperlink"/>
      <w:u w:val="single"/>
      <w14:textFill>
        <w14:solidFill>
          <w14:schemeClr w14:val="hlink"/>
        </w14:solidFill>
      </w14:textFill>
    </w:rPr>
  </w:style>
  <w:style w:type="character" w:styleId="20">
    <w:name w:val="annotation reference"/>
    <w:basedOn w:val="17"/>
    <w:qFormat/>
    <w:uiPriority w:val="0"/>
    <w:rPr>
      <w:sz w:val="21"/>
      <w:szCs w:val="21"/>
    </w:rPr>
  </w:style>
  <w:style w:type="character" w:styleId="21">
    <w:name w:val="footnote reference"/>
    <w:basedOn w:val="17"/>
    <w:semiHidden/>
    <w:unhideWhenUsed/>
    <w:qFormat/>
    <w:uiPriority w:val="99"/>
    <w:rPr>
      <w:vertAlign w:val="superscript"/>
    </w:rPr>
  </w:style>
  <w:style w:type="character" w:customStyle="1" w:styleId="22">
    <w:name w:val="标题 1 字符"/>
    <w:link w:val="2"/>
    <w:qFormat/>
    <w:uiPriority w:val="0"/>
    <w:rPr>
      <w:b/>
      <w:kern w:val="44"/>
      <w:sz w:val="44"/>
    </w:rPr>
  </w:style>
  <w:style w:type="paragraph" w:customStyle="1" w:styleId="23">
    <w:name w:val="表内文字"/>
    <w:basedOn w:val="7"/>
    <w:qFormat/>
    <w:uiPriority w:val="0"/>
    <w:rPr>
      <w:rFonts w:hAnsi="宋体"/>
      <w:sz w:val="18"/>
    </w:rPr>
  </w:style>
  <w:style w:type="paragraph" w:customStyle="1" w:styleId="2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7">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28">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29">
    <w:name w:val="font31"/>
    <w:basedOn w:val="17"/>
    <w:qFormat/>
    <w:uiPriority w:val="0"/>
    <w:rPr>
      <w:rFonts w:hint="eastAsia" w:ascii="宋体" w:hAnsi="宋体" w:eastAsia="宋体" w:cs="宋体"/>
      <w:color w:val="000000"/>
      <w:sz w:val="18"/>
      <w:szCs w:val="18"/>
      <w:u w:val="none"/>
    </w:rPr>
  </w:style>
  <w:style w:type="character" w:customStyle="1" w:styleId="30">
    <w:name w:val="ds-reads-from"/>
    <w:basedOn w:val="17"/>
    <w:qFormat/>
    <w:uiPriority w:val="0"/>
  </w:style>
  <w:style w:type="character" w:customStyle="1" w:styleId="31">
    <w:name w:val="NormalCharacter"/>
    <w:semiHidden/>
    <w:qFormat/>
    <w:uiPriority w:val="0"/>
    <w:rPr>
      <w:rFonts w:ascii="Calibri" w:hAnsi="Calibri" w:eastAsia="宋体" w:cs="Times New Roman"/>
      <w:kern w:val="2"/>
      <w:sz w:val="21"/>
      <w:szCs w:val="24"/>
      <w:lang w:val="en-US" w:eastAsia="zh-CN" w:bidi="ar-SA"/>
    </w:rPr>
  </w:style>
  <w:style w:type="paragraph" w:customStyle="1" w:styleId="32">
    <w:name w:val="附件栏"/>
    <w:basedOn w:val="1"/>
    <w:qFormat/>
    <w:uiPriority w:val="99"/>
    <w:pPr>
      <w:autoSpaceDE w:val="0"/>
      <w:autoSpaceDN w:val="0"/>
      <w:snapToGrid w:val="0"/>
      <w:spacing w:line="590" w:lineRule="atLeast"/>
      <w:ind w:firstLine="624"/>
    </w:pPr>
    <w:rPr>
      <w:rFonts w:eastAsia="方正仿宋_GBK"/>
      <w:kern w:val="0"/>
      <w:sz w:val="32"/>
      <w:szCs w:val="32"/>
    </w:rPr>
  </w:style>
  <w:style w:type="character" w:customStyle="1" w:styleId="33">
    <w:name w:val="批注框文本 字符"/>
    <w:basedOn w:val="17"/>
    <w:link w:val="8"/>
    <w:qFormat/>
    <w:uiPriority w:val="0"/>
    <w:rPr>
      <w:kern w:val="2"/>
      <w:sz w:val="18"/>
      <w:szCs w:val="18"/>
    </w:rPr>
  </w:style>
  <w:style w:type="paragraph" w:styleId="34">
    <w:name w:val="List Paragraph"/>
    <w:basedOn w:val="1"/>
    <w:unhideWhenUsed/>
    <w:qFormat/>
    <w:uiPriority w:val="99"/>
    <w:pPr>
      <w:ind w:firstLine="420" w:firstLineChars="200"/>
    </w:pPr>
  </w:style>
  <w:style w:type="paragraph" w:customStyle="1" w:styleId="35">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BF9E05-7524-4A0B-83DE-3CB5DFAC20FA}">
  <ds:schemaRefs/>
</ds:datastoreItem>
</file>

<file path=docProps/app.xml><?xml version="1.0" encoding="utf-8"?>
<Properties xmlns="http://schemas.openxmlformats.org/officeDocument/2006/extended-properties" xmlns:vt="http://schemas.openxmlformats.org/officeDocument/2006/docPropsVTypes">
  <Template>Normal</Template>
  <Pages>27</Pages>
  <Words>1369</Words>
  <Characters>1397</Characters>
  <Lines>755</Lines>
  <Paragraphs>689</Paragraphs>
  <TotalTime>9</TotalTime>
  <ScaleCrop>false</ScaleCrop>
  <LinksUpToDate>false</LinksUpToDate>
  <CharactersWithSpaces>1453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2022-05-30T18:46:00Z</dcterms:created>
  <dc:creator>杨胖子的电脑</dc:creator>
  <cp:lastModifiedBy>小Yue儿</cp:lastModifiedBy>
  <cp:lastPrinted>2025-05-16T07:21:00Z</cp:lastPrinted>
  <dcterms:modified xsi:type="dcterms:W3CDTF">2025-08-27T01:48:56Z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796F7A3A86324F33992D980766361B24_13</vt:lpwstr>
  </property>
  <property fmtid="{D5CDD505-2E9C-101B-9397-08002B2CF9AE}" pid="4" name="KSOTemplateDocerSaveRecord">
    <vt:lpwstr>eyJoZGlkIjoiNDAwY2E1NWZiZDJkMzA3Zjc5MzQ4ZDExN2FiYTQ0NDgiLCJ1c2VySWQiOiI2OTM5NDY0NDAifQ==</vt:lpwstr>
  </property>
</Properties>
</file>