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601F0">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 xml:space="preserve"> 北京市市级财政支出项目</w:t>
      </w:r>
    </w:p>
    <w:p w14:paraId="629CB3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b/>
          <w:bCs/>
          <w:sz w:val="44"/>
          <w:szCs w:val="44"/>
        </w:rPr>
      </w:pPr>
      <w:r>
        <w:rPr>
          <w:rFonts w:hint="eastAsia" w:ascii="方正小标宋简体" w:hAnsi="方正小标宋简体" w:eastAsia="方正小标宋简体" w:cs="方正小标宋简体"/>
          <w:b/>
          <w:bCs/>
          <w:sz w:val="44"/>
          <w:szCs w:val="44"/>
        </w:rPr>
        <w:t>绩效评价报告</w:t>
      </w:r>
    </w:p>
    <w:p w14:paraId="12BDA37E">
      <w:pPr>
        <w:spacing w:before="100" w:beforeAutospacing="1" w:after="100" w:afterAutospacing="1" w:line="360" w:lineRule="auto"/>
        <w:rPr>
          <w:rFonts w:ascii="宋体" w:hAnsi="宋体"/>
          <w:b/>
          <w:sz w:val="36"/>
          <w:szCs w:val="36"/>
        </w:rPr>
      </w:pPr>
    </w:p>
    <w:p w14:paraId="5B67A737">
      <w:pPr>
        <w:outlineLvl w:val="9"/>
      </w:pPr>
    </w:p>
    <w:p w14:paraId="348A0BB5"/>
    <w:p w14:paraId="42DD64CB">
      <w:pPr>
        <w:pStyle w:val="11"/>
        <w:ind w:firstLine="640"/>
        <w:rPr>
          <w:rFonts w:hint="eastAsia" w:ascii="仿宋_GB2312" w:hAnsi="仿宋_GB2312" w:cs="仿宋_GB2312"/>
          <w:szCs w:val="32"/>
        </w:rPr>
      </w:pPr>
    </w:p>
    <w:p w14:paraId="02CC0792">
      <w:pPr>
        <w:tabs>
          <w:tab w:val="left" w:pos="8640"/>
        </w:tabs>
        <w:snapToGrid w:val="0"/>
        <w:spacing w:after="240" w:line="360" w:lineRule="auto"/>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主管部门  </w:t>
      </w:r>
      <w:r>
        <w:rPr>
          <w:rFonts w:hint="eastAsia" w:ascii="仿宋_GB2312" w:hAnsi="仿宋_GB2312" w:eastAsia="仿宋_GB2312" w:cs="仿宋_GB2312"/>
          <w:sz w:val="32"/>
          <w:szCs w:val="32"/>
          <w:u w:val="single"/>
        </w:rPr>
        <w:t>北京市门头沟区人民检察院</w:t>
      </w:r>
      <w:bookmarkStart w:id="30" w:name="_GoBack"/>
      <w:bookmarkEnd w:id="30"/>
    </w:p>
    <w:p w14:paraId="5EF3361A">
      <w:pPr>
        <w:tabs>
          <w:tab w:val="left" w:pos="8640"/>
        </w:tabs>
        <w:snapToGrid w:val="0"/>
        <w:spacing w:after="240" w:line="360" w:lineRule="auto"/>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项目单位  </w:t>
      </w:r>
      <w:r>
        <w:rPr>
          <w:rFonts w:hint="eastAsia" w:ascii="仿宋_GB2312" w:hAnsi="仿宋_GB2312" w:eastAsia="仿宋_GB2312" w:cs="仿宋_GB2312"/>
          <w:sz w:val="32"/>
          <w:szCs w:val="32"/>
          <w:u w:val="single"/>
        </w:rPr>
        <w:t>北京市门头沟区人民检察院</w:t>
      </w:r>
    </w:p>
    <w:p w14:paraId="10F8C9C3">
      <w:pPr>
        <w:tabs>
          <w:tab w:val="left" w:pos="8640"/>
        </w:tabs>
        <w:snapToGrid w:val="0"/>
        <w:spacing w:after="240" w:line="360" w:lineRule="auto"/>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项目名称  </w:t>
      </w:r>
      <w:r>
        <w:rPr>
          <w:rFonts w:hint="eastAsia" w:ascii="仿宋_GB2312" w:hAnsi="仿宋_GB2312" w:eastAsia="仿宋_GB2312" w:cs="仿宋_GB2312"/>
          <w:sz w:val="32"/>
          <w:szCs w:val="32"/>
          <w:u w:val="single"/>
        </w:rPr>
        <w:t>绩效评审咨询服务费项目</w:t>
      </w:r>
    </w:p>
    <w:p w14:paraId="2CB2C26B">
      <w:pPr>
        <w:snapToGrid w:val="0"/>
        <w:spacing w:line="360" w:lineRule="auto"/>
        <w:ind w:firstLine="420" w:firstLineChars="200"/>
        <w:rPr>
          <w:rFonts w:hint="eastAsia" w:ascii="仿宋_GB2312" w:hAnsi="仿宋_GB2312" w:cs="仿宋_GB2312"/>
          <w:szCs w:val="32"/>
        </w:rPr>
      </w:pPr>
    </w:p>
    <w:p w14:paraId="5EEF37A6">
      <w:pPr>
        <w:pStyle w:val="11"/>
        <w:ind w:firstLine="640"/>
        <w:rPr>
          <w:rFonts w:hint="eastAsia"/>
        </w:rPr>
      </w:pPr>
    </w:p>
    <w:p w14:paraId="0049325C">
      <w:pPr>
        <w:pStyle w:val="11"/>
        <w:ind w:firstLine="640"/>
        <w:rPr>
          <w:rFonts w:hint="eastAsia"/>
        </w:rPr>
      </w:pPr>
    </w:p>
    <w:p w14:paraId="29FD78E9">
      <w:pPr>
        <w:snapToGrid w:val="0"/>
        <w:spacing w:line="360" w:lineRule="auto"/>
        <w:ind w:firstLine="640" w:firstLineChars="200"/>
        <w:rPr>
          <w:rFonts w:hint="eastAsia" w:ascii="宋体" w:hAnsi="宋体"/>
          <w:sz w:val="32"/>
          <w:szCs w:val="32"/>
        </w:rPr>
      </w:pPr>
    </w:p>
    <w:p w14:paraId="78961C8F">
      <w:pPr>
        <w:rPr>
          <w:rFonts w:ascii="宋体" w:hAnsi="宋体"/>
          <w:sz w:val="32"/>
          <w:szCs w:val="32"/>
        </w:rPr>
      </w:pPr>
    </w:p>
    <w:p w14:paraId="6CC65BBB">
      <w:pPr>
        <w:jc w:val="center"/>
        <w:rPr>
          <w:rFonts w:ascii="宋体" w:hAnsi="宋体"/>
          <w:b/>
          <w:bCs/>
          <w:sz w:val="32"/>
          <w:szCs w:val="32"/>
        </w:rPr>
      </w:pPr>
      <w:r>
        <w:rPr>
          <w:rFonts w:hint="eastAsia" w:ascii="宋体" w:hAnsi="宋体"/>
          <w:b/>
          <w:bCs/>
          <w:sz w:val="32"/>
          <w:szCs w:val="32"/>
        </w:rPr>
        <w:t>202</w:t>
      </w:r>
      <w:r>
        <w:rPr>
          <w:rFonts w:hint="eastAsia" w:ascii="宋体" w:hAnsi="宋体"/>
          <w:b/>
          <w:bCs/>
          <w:sz w:val="32"/>
          <w:szCs w:val="32"/>
          <w:lang w:val="en-US" w:eastAsia="zh-CN"/>
        </w:rPr>
        <w:t>5</w:t>
      </w:r>
      <w:r>
        <w:rPr>
          <w:rFonts w:hint="eastAsia" w:ascii="宋体" w:hAnsi="宋体"/>
          <w:b/>
          <w:bCs/>
          <w:sz w:val="32"/>
          <w:szCs w:val="32"/>
        </w:rPr>
        <w:t>年</w:t>
      </w:r>
      <w:r>
        <w:rPr>
          <w:rFonts w:hint="eastAsia" w:ascii="宋体" w:hAnsi="宋体"/>
          <w:b/>
          <w:bCs/>
          <w:sz w:val="32"/>
          <w:szCs w:val="32"/>
          <w:lang w:val="en-US" w:eastAsia="zh-CN"/>
        </w:rPr>
        <w:t>5</w:t>
      </w:r>
      <w:r>
        <w:rPr>
          <w:rFonts w:hint="eastAsia" w:ascii="宋体" w:hAnsi="宋体"/>
          <w:b/>
          <w:bCs/>
          <w:sz w:val="32"/>
          <w:szCs w:val="32"/>
        </w:rPr>
        <w:t>月</w:t>
      </w:r>
    </w:p>
    <w:p w14:paraId="452CED1B">
      <w:pPr>
        <w:jc w:val="center"/>
        <w:rPr>
          <w:rFonts w:hint="eastAsia" w:ascii="华文中宋" w:hAnsi="华文中宋" w:eastAsia="华文中宋" w:cs="华文中宋"/>
          <w:b w:val="0"/>
          <w:bCs w:val="0"/>
          <w:sz w:val="36"/>
          <w:szCs w:val="36"/>
          <w:lang w:val="en-US" w:eastAsia="zh-CN"/>
        </w:rPr>
      </w:pPr>
    </w:p>
    <w:p w14:paraId="2B1A85F3">
      <w:pPr>
        <w:pStyle w:val="11"/>
        <w:rPr>
          <w:rFonts w:hint="eastAsia" w:ascii="华文中宋" w:hAnsi="华文中宋" w:eastAsia="华文中宋" w:cs="华文中宋"/>
          <w:b w:val="0"/>
          <w:bCs w:val="0"/>
          <w:sz w:val="36"/>
          <w:szCs w:val="36"/>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imes New Roman"/>
          <w:kern w:val="2"/>
          <w:sz w:val="21"/>
          <w:szCs w:val="24"/>
          <w:lang w:val="en-US" w:eastAsia="zh-CN" w:bidi="ar-SA"/>
        </w:rPr>
        <w:id w:val="147475776"/>
        <w15:color w:val="DBDBDB"/>
        <w:docPartObj>
          <w:docPartGallery w:val="Table of Contents"/>
          <w:docPartUnique/>
        </w:docPartObj>
      </w:sdtPr>
      <w:sdtEndPr>
        <w:rPr>
          <w:rFonts w:hint="eastAsia" w:ascii="华文中宋" w:hAnsi="华文中宋" w:eastAsia="华文中宋" w:cs="华文中宋"/>
          <w:bCs w:val="0"/>
          <w:kern w:val="2"/>
          <w:sz w:val="21"/>
          <w:szCs w:val="36"/>
          <w:lang w:val="en-US" w:eastAsia="zh-CN" w:bidi="ar-SA"/>
        </w:rPr>
      </w:sdtEndPr>
      <w:sdtContent>
        <w:p w14:paraId="33452AA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sz w:val="32"/>
              <w:szCs w:val="32"/>
            </w:rPr>
          </w:pPr>
          <w:r>
            <w:rPr>
              <w:rFonts w:ascii="宋体" w:hAnsi="宋体" w:eastAsia="宋体"/>
              <w:sz w:val="32"/>
              <w:szCs w:val="32"/>
            </w:rPr>
            <w:t>目</w:t>
          </w:r>
          <w:r>
            <w:rPr>
              <w:rFonts w:hint="eastAsia" w:ascii="宋体" w:hAnsi="宋体"/>
              <w:sz w:val="32"/>
              <w:szCs w:val="32"/>
              <w:lang w:val="en-US" w:eastAsia="zh-CN"/>
            </w:rPr>
            <w:t xml:space="preserve">  </w:t>
          </w:r>
          <w:r>
            <w:rPr>
              <w:rFonts w:ascii="宋体" w:hAnsi="宋体" w:eastAsia="宋体"/>
              <w:sz w:val="32"/>
              <w:szCs w:val="32"/>
            </w:rPr>
            <w:t>录</w:t>
          </w:r>
        </w:p>
        <w:p w14:paraId="16AC6802">
          <w:pPr>
            <w:pStyle w:val="8"/>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华文中宋" w:hAnsi="华文中宋" w:eastAsia="华文中宋" w:cs="华文中宋"/>
              <w:b w:val="0"/>
              <w:bCs w:val="0"/>
              <w:sz w:val="32"/>
              <w:szCs w:val="32"/>
              <w:lang w:val="en-US" w:eastAsia="zh-CN"/>
            </w:rPr>
            <w:fldChar w:fldCharType="begin"/>
          </w:r>
          <w:r>
            <w:rPr>
              <w:rFonts w:hint="eastAsia" w:ascii="华文中宋" w:hAnsi="华文中宋" w:eastAsia="华文中宋" w:cs="华文中宋"/>
              <w:b w:val="0"/>
              <w:bCs w:val="0"/>
              <w:sz w:val="32"/>
              <w:szCs w:val="32"/>
              <w:lang w:val="en-US" w:eastAsia="zh-CN"/>
            </w:rPr>
            <w:instrText xml:space="preserve">TOC \o "1-3" \h \u </w:instrText>
          </w:r>
          <w:r>
            <w:rPr>
              <w:rFonts w:hint="eastAsia" w:ascii="华文中宋" w:hAnsi="华文中宋" w:eastAsia="华文中宋" w:cs="华文中宋"/>
              <w:b w:val="0"/>
              <w:bCs w:val="0"/>
              <w:sz w:val="32"/>
              <w:szCs w:val="32"/>
              <w:lang w:val="en-US" w:eastAsia="zh-CN"/>
            </w:rPr>
            <w:fldChar w:fldCharType="separate"/>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_Toc7558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一、基本情况</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_Toc7558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1</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256E5FA8">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_Toc28424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（一）项目概况</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_Toc28424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1</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27684C29">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_Toc13221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（二）项目绩效目标</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_Toc13221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3</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0A9EA878">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_Toc17042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（三）绩效指标设定情况</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_Toc17042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3</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20E37813">
          <w:pPr>
            <w:pStyle w:val="8"/>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_Toc9970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二、绩效评价工作开展情况</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_Toc9970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4</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4BFF3407">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_Toc4110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（一）绩效评价目的、对象和范围</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_Toc4110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4</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5821D3E9">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_Toc29942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（二）绩效评价原则、评价指标体系、评价方法、评价标准</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_Toc29942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4</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56EB1370">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_Toc31929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（三）绩效评价工作过程</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_Toc31929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5</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2460EFC9">
          <w:pPr>
            <w:pStyle w:val="8"/>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_Toc15469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三、综合评价情况及评价结论</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_Toc15469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6</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5B9AE54F">
          <w:pPr>
            <w:pStyle w:val="8"/>
            <w:tabs>
              <w:tab w:val="right" w:leader="dot" w:pos="8306"/>
            </w:tabs>
            <w:rPr>
              <w:rFonts w:hint="eastAsia" w:ascii="仿宋_GB2312" w:hAnsi="仿宋_GB2312" w:eastAsia="仿宋_GB2312" w:cs="仿宋_GB2312"/>
              <w:b/>
              <w:bCs w:val="0"/>
              <w:color w:val="000000"/>
              <w:kern w:val="0"/>
              <w:sz w:val="32"/>
              <w:szCs w:val="32"/>
              <w:lang w:val="en-US" w:eastAsia="zh-CN" w:bidi="ar-SA"/>
            </w:rPr>
          </w:pP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_Toc18700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四、绩效评价指标分析</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_Toc18700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7</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0AC3331A">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_Toc3566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（一）项目决策情况</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_Toc3566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7</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13336D5F">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_Toc21816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（二）项目过程情况</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_Toc21816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8</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3E95CB63">
          <w:pPr>
            <w:pStyle w:val="9"/>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HYPERLINK \l _Toc31480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（三）项目产出情况</w:t>
          </w:r>
          <w:r>
            <w:rPr>
              <w:rFonts w:hint="eastAsia" w:ascii="仿宋_GB2312" w:hAnsi="仿宋_GB2312" w:eastAsia="仿宋_GB2312" w:cs="仿宋_GB2312"/>
              <w:b w:val="0"/>
              <w:bCs/>
              <w:color w:val="000000"/>
              <w:kern w:val="0"/>
              <w:sz w:val="32"/>
              <w:szCs w:val="32"/>
              <w:lang w:val="en-US" w:eastAsia="zh-CN" w:bidi="ar-SA"/>
            </w:rPr>
            <w:tab/>
          </w:r>
          <w:r>
            <w:rPr>
              <w:rFonts w:hint="eastAsia" w:ascii="仿宋_GB2312" w:hAnsi="仿宋_GB2312" w:eastAsia="仿宋_GB2312" w:cs="仿宋_GB2312"/>
              <w:b w:val="0"/>
              <w:bCs/>
              <w:color w:val="000000"/>
              <w:kern w:val="0"/>
              <w:sz w:val="32"/>
              <w:szCs w:val="32"/>
              <w:lang w:val="en-US" w:eastAsia="zh-CN" w:bidi="ar-SA"/>
            </w:rPr>
            <w:fldChar w:fldCharType="begin"/>
          </w:r>
          <w:r>
            <w:rPr>
              <w:rFonts w:hint="eastAsia" w:ascii="仿宋_GB2312" w:hAnsi="仿宋_GB2312" w:eastAsia="仿宋_GB2312" w:cs="仿宋_GB2312"/>
              <w:b w:val="0"/>
              <w:bCs/>
              <w:color w:val="000000"/>
              <w:kern w:val="0"/>
              <w:sz w:val="32"/>
              <w:szCs w:val="32"/>
              <w:lang w:val="en-US" w:eastAsia="zh-CN" w:bidi="ar-SA"/>
            </w:rPr>
            <w:instrText xml:space="preserve"> PAGEREF _Toc31480 \h </w:instrText>
          </w:r>
          <w:r>
            <w:rPr>
              <w:rFonts w:hint="eastAsia" w:ascii="仿宋_GB2312" w:hAnsi="仿宋_GB2312" w:eastAsia="仿宋_GB2312" w:cs="仿宋_GB2312"/>
              <w:b w:val="0"/>
              <w:bCs/>
              <w:color w:val="000000"/>
              <w:kern w:val="0"/>
              <w:sz w:val="32"/>
              <w:szCs w:val="32"/>
              <w:lang w:val="en-US" w:eastAsia="zh-CN" w:bidi="ar-SA"/>
            </w:rPr>
            <w:fldChar w:fldCharType="separate"/>
          </w:r>
          <w:r>
            <w:rPr>
              <w:rFonts w:hint="eastAsia" w:ascii="仿宋_GB2312" w:hAnsi="仿宋_GB2312" w:eastAsia="仿宋_GB2312" w:cs="仿宋_GB2312"/>
              <w:b w:val="0"/>
              <w:bCs/>
              <w:color w:val="000000"/>
              <w:kern w:val="0"/>
              <w:sz w:val="32"/>
              <w:szCs w:val="32"/>
              <w:lang w:val="en-US" w:eastAsia="zh-CN" w:bidi="ar-SA"/>
            </w:rPr>
            <w:t>9</w:t>
          </w:r>
          <w:r>
            <w:rPr>
              <w:rFonts w:hint="eastAsia" w:ascii="仿宋_GB2312" w:hAnsi="仿宋_GB2312" w:eastAsia="仿宋_GB2312" w:cs="仿宋_GB2312"/>
              <w:b w:val="0"/>
              <w:bCs/>
              <w:color w:val="000000"/>
              <w:kern w:val="0"/>
              <w:sz w:val="32"/>
              <w:szCs w:val="32"/>
              <w:lang w:val="en-US" w:eastAsia="zh-CN" w:bidi="ar-SA"/>
            </w:rPr>
            <w:fldChar w:fldCharType="end"/>
          </w:r>
          <w:r>
            <w:rPr>
              <w:rFonts w:hint="eastAsia" w:ascii="仿宋_GB2312" w:hAnsi="仿宋_GB2312" w:eastAsia="仿宋_GB2312" w:cs="仿宋_GB2312"/>
              <w:b w:val="0"/>
              <w:bCs/>
              <w:color w:val="000000"/>
              <w:kern w:val="0"/>
              <w:sz w:val="32"/>
              <w:szCs w:val="32"/>
              <w:lang w:val="en-US" w:eastAsia="zh-CN" w:bidi="ar-SA"/>
            </w:rPr>
            <w:fldChar w:fldCharType="end"/>
          </w:r>
        </w:p>
        <w:p w14:paraId="3C8B8749">
          <w:pPr>
            <w:pStyle w:val="8"/>
            <w:tabs>
              <w:tab w:val="right" w:leader="dot" w:pos="8306"/>
            </w:tabs>
            <w:rPr>
              <w:rFonts w:hint="eastAsia" w:ascii="仿宋_GB2312" w:hAnsi="仿宋_GB2312" w:eastAsia="仿宋_GB2312" w:cs="仿宋_GB2312"/>
              <w:b/>
              <w:bCs w:val="0"/>
              <w:color w:val="000000"/>
              <w:kern w:val="0"/>
              <w:sz w:val="32"/>
              <w:szCs w:val="32"/>
              <w:lang w:val="en-US" w:eastAsia="zh-CN" w:bidi="ar-SA"/>
            </w:rPr>
          </w:pP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_Toc7822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五、存在的问题</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_Toc7822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11</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4CF9643B">
          <w:pPr>
            <w:pStyle w:val="8"/>
            <w:tabs>
              <w:tab w:val="right" w:leader="dot" w:pos="8306"/>
            </w:tabs>
            <w:rPr>
              <w:rFonts w:hint="eastAsia" w:ascii="仿宋_GB2312" w:hAnsi="仿宋_GB2312" w:eastAsia="仿宋_GB2312" w:cs="仿宋_GB2312"/>
              <w:b w:val="0"/>
              <w:bCs/>
              <w:color w:val="000000"/>
              <w:kern w:val="0"/>
              <w:sz w:val="32"/>
              <w:szCs w:val="32"/>
              <w:lang w:val="en-US" w:eastAsia="zh-CN" w:bidi="ar-SA"/>
            </w:rPr>
          </w:pP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HYPERLINK \l _Toc7740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六、有关建议</w:t>
          </w:r>
          <w:r>
            <w:rPr>
              <w:rFonts w:hint="eastAsia" w:ascii="仿宋_GB2312" w:hAnsi="仿宋_GB2312" w:eastAsia="仿宋_GB2312" w:cs="仿宋_GB2312"/>
              <w:b/>
              <w:bCs w:val="0"/>
              <w:color w:val="000000"/>
              <w:kern w:val="0"/>
              <w:sz w:val="32"/>
              <w:szCs w:val="32"/>
              <w:lang w:val="en-US" w:eastAsia="zh-CN" w:bidi="ar-SA"/>
            </w:rPr>
            <w:tab/>
          </w:r>
          <w:r>
            <w:rPr>
              <w:rFonts w:hint="eastAsia" w:ascii="仿宋_GB2312" w:hAnsi="仿宋_GB2312" w:eastAsia="仿宋_GB2312" w:cs="仿宋_GB2312"/>
              <w:b/>
              <w:bCs w:val="0"/>
              <w:color w:val="000000"/>
              <w:kern w:val="0"/>
              <w:sz w:val="32"/>
              <w:szCs w:val="32"/>
              <w:lang w:val="en-US" w:eastAsia="zh-CN" w:bidi="ar-SA"/>
            </w:rPr>
            <w:fldChar w:fldCharType="begin"/>
          </w:r>
          <w:r>
            <w:rPr>
              <w:rFonts w:hint="eastAsia" w:ascii="仿宋_GB2312" w:hAnsi="仿宋_GB2312" w:eastAsia="仿宋_GB2312" w:cs="仿宋_GB2312"/>
              <w:b/>
              <w:bCs w:val="0"/>
              <w:color w:val="000000"/>
              <w:kern w:val="0"/>
              <w:sz w:val="32"/>
              <w:szCs w:val="32"/>
              <w:lang w:val="en-US" w:eastAsia="zh-CN" w:bidi="ar-SA"/>
            </w:rPr>
            <w:instrText xml:space="preserve"> PAGEREF _Toc7740 \h </w:instrText>
          </w:r>
          <w:r>
            <w:rPr>
              <w:rFonts w:hint="eastAsia" w:ascii="仿宋_GB2312" w:hAnsi="仿宋_GB2312" w:eastAsia="仿宋_GB2312" w:cs="仿宋_GB2312"/>
              <w:b/>
              <w:bCs w:val="0"/>
              <w:color w:val="000000"/>
              <w:kern w:val="0"/>
              <w:sz w:val="32"/>
              <w:szCs w:val="32"/>
              <w:lang w:val="en-US" w:eastAsia="zh-CN" w:bidi="ar-SA"/>
            </w:rPr>
            <w:fldChar w:fldCharType="separate"/>
          </w:r>
          <w:r>
            <w:rPr>
              <w:rFonts w:hint="eastAsia" w:ascii="仿宋_GB2312" w:hAnsi="仿宋_GB2312" w:eastAsia="仿宋_GB2312" w:cs="仿宋_GB2312"/>
              <w:b/>
              <w:bCs w:val="0"/>
              <w:color w:val="000000"/>
              <w:kern w:val="0"/>
              <w:sz w:val="32"/>
              <w:szCs w:val="32"/>
              <w:lang w:val="en-US" w:eastAsia="zh-CN" w:bidi="ar-SA"/>
            </w:rPr>
            <w:t>11</w:t>
          </w:r>
          <w:r>
            <w:rPr>
              <w:rFonts w:hint="eastAsia" w:ascii="仿宋_GB2312" w:hAnsi="仿宋_GB2312" w:eastAsia="仿宋_GB2312" w:cs="仿宋_GB2312"/>
              <w:b/>
              <w:bCs w:val="0"/>
              <w:color w:val="000000"/>
              <w:kern w:val="0"/>
              <w:sz w:val="32"/>
              <w:szCs w:val="32"/>
              <w:lang w:val="en-US" w:eastAsia="zh-CN" w:bidi="ar-SA"/>
            </w:rPr>
            <w:fldChar w:fldCharType="end"/>
          </w:r>
          <w:r>
            <w:rPr>
              <w:rFonts w:hint="eastAsia" w:ascii="仿宋_GB2312" w:hAnsi="仿宋_GB2312" w:eastAsia="仿宋_GB2312" w:cs="仿宋_GB2312"/>
              <w:b/>
              <w:bCs w:val="0"/>
              <w:color w:val="000000"/>
              <w:kern w:val="0"/>
              <w:sz w:val="32"/>
              <w:szCs w:val="32"/>
              <w:lang w:val="en-US" w:eastAsia="zh-CN" w:bidi="ar-SA"/>
            </w:rPr>
            <w:fldChar w:fldCharType="end"/>
          </w:r>
        </w:p>
        <w:p w14:paraId="1E3936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华文中宋"/>
              <w:b w:val="0"/>
              <w:bCs w:val="0"/>
              <w:sz w:val="36"/>
              <w:szCs w:val="36"/>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华文中宋" w:hAnsi="华文中宋" w:eastAsia="华文中宋" w:cs="华文中宋"/>
              <w:bCs w:val="0"/>
              <w:szCs w:val="32"/>
              <w:lang w:val="en-US" w:eastAsia="zh-CN"/>
            </w:rPr>
            <w:fldChar w:fldCharType="end"/>
          </w:r>
        </w:p>
      </w:sdtContent>
    </w:sdt>
    <w:p w14:paraId="771A85FC">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Leelawadee UI" w:eastAsia="方正小标宋简体" w:cs="Leelawadee UI"/>
          <w:b/>
          <w:bCs w:val="0"/>
          <w:color w:val="auto"/>
          <w:kern w:val="0"/>
          <w:sz w:val="36"/>
          <w:szCs w:val="36"/>
          <w:lang w:val="en-US" w:eastAsia="zh-CN"/>
        </w:rPr>
      </w:pPr>
      <w:bookmarkStart w:id="0" w:name="_Toc28431"/>
      <w:r>
        <w:rPr>
          <w:rFonts w:hint="eastAsia" w:ascii="方正小标宋简体" w:hAnsi="Leelawadee UI" w:eastAsia="方正小标宋简体" w:cs="Leelawadee UI"/>
          <w:b/>
          <w:bCs w:val="0"/>
          <w:color w:val="auto"/>
          <w:kern w:val="0"/>
          <w:sz w:val="36"/>
          <w:szCs w:val="36"/>
          <w:lang w:val="en-US" w:eastAsia="zh-CN"/>
        </w:rPr>
        <w:t>北京市门头沟区人民检察院</w:t>
      </w:r>
      <w:bookmarkEnd w:id="0"/>
      <w:bookmarkStart w:id="1" w:name="_Toc11408"/>
    </w:p>
    <w:p w14:paraId="3B8B7228">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Leelawadee UI" w:eastAsia="方正小标宋简体" w:cs="Leelawadee UI"/>
          <w:b/>
          <w:bCs w:val="0"/>
          <w:color w:val="auto"/>
          <w:kern w:val="0"/>
          <w:sz w:val="36"/>
          <w:szCs w:val="36"/>
        </w:rPr>
      </w:pPr>
      <w:r>
        <w:rPr>
          <w:rFonts w:hint="eastAsia" w:ascii="方正小标宋简体" w:hAnsi="Leelawadee UI" w:eastAsia="方正小标宋简体" w:cs="Leelawadee UI"/>
          <w:b/>
          <w:bCs w:val="0"/>
          <w:color w:val="auto"/>
          <w:kern w:val="0"/>
          <w:sz w:val="36"/>
          <w:szCs w:val="36"/>
        </w:rPr>
        <w:t>绩效评审咨询服务费项目支出绩效评价报告</w:t>
      </w:r>
      <w:bookmarkEnd w:id="1"/>
    </w:p>
    <w:p w14:paraId="5C78AFAF">
      <w:pPr>
        <w:spacing w:line="600" w:lineRule="exact"/>
        <w:ind w:firstLine="442" w:firstLineChars="200"/>
        <w:rPr>
          <w:rFonts w:hint="eastAsia" w:ascii="宋体" w:hAnsi="宋体" w:cs="宋体"/>
          <w:b/>
          <w:color w:val="000000"/>
          <w:kern w:val="0"/>
          <w:sz w:val="22"/>
        </w:rPr>
      </w:pPr>
    </w:p>
    <w:p w14:paraId="37AA3C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bookmarkStart w:id="2" w:name="_Toc15811"/>
      <w:r>
        <w:rPr>
          <w:rFonts w:hint="eastAsia" w:ascii="仿宋_GB2312" w:hAnsi="仿宋_GB2312" w:eastAsia="仿宋_GB2312" w:cs="仿宋_GB2312"/>
          <w:b w:val="0"/>
          <w:bCs/>
          <w:color w:val="000000"/>
          <w:kern w:val="0"/>
          <w:sz w:val="32"/>
          <w:szCs w:val="32"/>
        </w:rPr>
        <w:t>为进一步推进预算绩效管理工作，提升财政资金使用效率</w:t>
      </w:r>
      <w:r>
        <w:rPr>
          <w:rFonts w:hint="eastAsia" w:ascii="仿宋_GB2312" w:hAnsi="仿宋_GB2312" w:eastAsia="仿宋_GB2312" w:cs="仿宋_GB2312"/>
          <w:color w:val="auto"/>
          <w:sz w:val="32"/>
        </w:rPr>
        <w:t>和部门绩效管理水平</w:t>
      </w:r>
      <w:r>
        <w:rPr>
          <w:rFonts w:hint="eastAsia" w:ascii="仿宋_GB2312" w:hAnsi="仿宋_GB2312" w:eastAsia="仿宋_GB2312" w:cs="仿宋_GB2312"/>
          <w:b w:val="0"/>
          <w:bCs/>
          <w:color w:val="000000"/>
          <w:kern w:val="0"/>
          <w:sz w:val="32"/>
          <w:szCs w:val="32"/>
        </w:rPr>
        <w:t>，根据《中共北京市委北京市人民政府关于全面实施预算绩效管理的实施意见》</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京发〔2019〕12号</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《北京市项目支出绩效评</w:t>
      </w:r>
      <w:r>
        <w:rPr>
          <w:rFonts w:hint="eastAsia" w:ascii="仿宋_GB2312" w:hAnsi="仿宋_GB2312" w:eastAsia="仿宋_GB2312" w:cs="仿宋_GB2312"/>
          <w:b w:val="0"/>
          <w:bCs/>
          <w:color w:val="000000"/>
          <w:kern w:val="0"/>
          <w:sz w:val="32"/>
          <w:szCs w:val="32"/>
          <w:highlight w:val="none"/>
        </w:rPr>
        <w:t>价管理办法》</w:t>
      </w:r>
      <w:r>
        <w:rPr>
          <w:rFonts w:hint="eastAsia" w:ascii="仿宋_GB2312" w:hAnsi="仿宋_GB2312" w:eastAsia="仿宋_GB2312" w:cs="仿宋_GB2312"/>
          <w:b w:val="0"/>
          <w:bCs/>
          <w:color w:val="000000"/>
          <w:kern w:val="0"/>
          <w:sz w:val="32"/>
          <w:szCs w:val="32"/>
          <w:highlight w:val="none"/>
          <w:lang w:eastAsia="zh-CN"/>
        </w:rPr>
        <w:t>（</w:t>
      </w:r>
      <w:r>
        <w:rPr>
          <w:rFonts w:hint="eastAsia" w:ascii="仿宋_GB2312" w:hAnsi="仿宋_GB2312" w:eastAsia="仿宋_GB2312" w:cs="仿宋_GB2312"/>
          <w:b w:val="0"/>
          <w:bCs/>
          <w:color w:val="000000"/>
          <w:kern w:val="0"/>
          <w:sz w:val="32"/>
          <w:szCs w:val="32"/>
          <w:highlight w:val="none"/>
        </w:rPr>
        <w:t>京财绩效〔2020〕2146号</w:t>
      </w:r>
      <w:r>
        <w:rPr>
          <w:rFonts w:hint="eastAsia" w:ascii="仿宋_GB2312" w:hAnsi="仿宋_GB2312" w:eastAsia="仿宋_GB2312" w:cs="仿宋_GB2312"/>
          <w:b w:val="0"/>
          <w:bCs/>
          <w:color w:val="000000"/>
          <w:kern w:val="0"/>
          <w:sz w:val="32"/>
          <w:szCs w:val="32"/>
          <w:highlight w:val="none"/>
          <w:lang w:eastAsia="zh-CN"/>
        </w:rPr>
        <w:t>）</w:t>
      </w:r>
      <w:r>
        <w:rPr>
          <w:rFonts w:hint="eastAsia" w:ascii="仿宋_GB2312" w:hAnsi="仿宋_GB2312" w:eastAsia="仿宋_GB2312" w:cs="仿宋_GB2312"/>
          <w:b w:val="0"/>
          <w:bCs/>
          <w:color w:val="000000"/>
          <w:kern w:val="0"/>
          <w:sz w:val="32"/>
          <w:szCs w:val="32"/>
          <w:highlight w:val="none"/>
        </w:rPr>
        <w:t>等有关规定，结合</w:t>
      </w:r>
      <w:r>
        <w:rPr>
          <w:rFonts w:hint="eastAsia" w:ascii="仿宋_GB2312" w:hAnsi="仿宋_GB2312" w:eastAsia="仿宋_GB2312" w:cs="仿宋_GB2312"/>
          <w:b w:val="0"/>
          <w:bCs/>
          <w:color w:val="000000"/>
          <w:kern w:val="0"/>
          <w:sz w:val="32"/>
          <w:szCs w:val="32"/>
          <w:highlight w:val="none"/>
          <w:lang w:val="en-US" w:eastAsia="zh-CN"/>
        </w:rPr>
        <w:t>《关于开展2025年预算绩效管理相关工作的函》</w:t>
      </w:r>
      <w:r>
        <w:rPr>
          <w:rFonts w:hint="eastAsia" w:ascii="仿宋_GB2312" w:hAnsi="仿宋_GB2312" w:eastAsia="仿宋_GB2312" w:cs="仿宋_GB2312"/>
          <w:b w:val="0"/>
          <w:bCs/>
          <w:color w:val="000000"/>
          <w:kern w:val="0"/>
          <w:sz w:val="32"/>
          <w:szCs w:val="32"/>
          <w:highlight w:val="none"/>
        </w:rPr>
        <w:t>要求，北京市门头沟区人民</w:t>
      </w:r>
      <w:r>
        <w:rPr>
          <w:rFonts w:hint="eastAsia" w:ascii="仿宋_GB2312" w:hAnsi="仿宋_GB2312" w:eastAsia="仿宋_GB2312" w:cs="仿宋_GB2312"/>
          <w:b w:val="0"/>
          <w:bCs/>
          <w:color w:val="000000"/>
          <w:kern w:val="0"/>
          <w:sz w:val="32"/>
          <w:szCs w:val="32"/>
          <w:highlight w:val="none"/>
          <w:lang w:val="en-US" w:eastAsia="zh-CN"/>
        </w:rPr>
        <w:t>检察院</w:t>
      </w:r>
      <w:r>
        <w:rPr>
          <w:rFonts w:hint="eastAsia" w:ascii="仿宋_GB2312" w:hAnsi="仿宋_GB2312" w:eastAsia="仿宋_GB2312" w:cs="仿宋_GB2312"/>
          <w:b w:val="0"/>
          <w:bCs/>
          <w:color w:val="000000"/>
          <w:kern w:val="0"/>
          <w:sz w:val="32"/>
          <w:szCs w:val="32"/>
          <w:highlight w:val="none"/>
        </w:rPr>
        <w:t>（以下简称“</w:t>
      </w:r>
      <w:r>
        <w:rPr>
          <w:rFonts w:hint="eastAsia" w:ascii="仿宋_GB2312" w:hAnsi="仿宋_GB2312" w:eastAsia="仿宋_GB2312" w:cs="仿宋_GB2312"/>
          <w:b w:val="0"/>
          <w:bCs/>
          <w:color w:val="000000"/>
          <w:kern w:val="0"/>
          <w:sz w:val="32"/>
          <w:szCs w:val="32"/>
          <w:highlight w:val="none"/>
          <w:lang w:val="en-US" w:eastAsia="zh-CN"/>
        </w:rPr>
        <w:t>门头沟检察院</w:t>
      </w:r>
      <w:r>
        <w:rPr>
          <w:rFonts w:hint="eastAsia" w:ascii="仿宋_GB2312" w:hAnsi="仿宋_GB2312" w:eastAsia="仿宋_GB2312" w:cs="仿宋_GB2312"/>
          <w:b w:val="0"/>
          <w:bCs/>
          <w:color w:val="000000"/>
          <w:kern w:val="0"/>
          <w:sz w:val="32"/>
          <w:szCs w:val="32"/>
          <w:highlight w:val="none"/>
        </w:rPr>
        <w:t>”）组建绩效</w:t>
      </w:r>
      <w:r>
        <w:rPr>
          <w:rFonts w:hint="eastAsia" w:ascii="仿宋_GB2312" w:hAnsi="仿宋_GB2312" w:eastAsia="仿宋_GB2312" w:cs="仿宋_GB2312"/>
          <w:b w:val="0"/>
          <w:bCs/>
          <w:color w:val="000000"/>
          <w:kern w:val="0"/>
          <w:sz w:val="32"/>
          <w:szCs w:val="32"/>
        </w:rPr>
        <w:t>评价工作</w:t>
      </w:r>
      <w:r>
        <w:rPr>
          <w:rFonts w:hint="eastAsia" w:ascii="仿宋_GB2312" w:hAnsi="仿宋_GB2312" w:eastAsia="仿宋_GB2312" w:cs="仿宋_GB2312"/>
          <w:b w:val="0"/>
          <w:bCs/>
          <w:color w:val="000000"/>
          <w:kern w:val="0"/>
          <w:sz w:val="32"/>
          <w:szCs w:val="32"/>
          <w:lang w:val="en-US" w:eastAsia="zh-CN"/>
        </w:rPr>
        <w:t>小</w:t>
      </w:r>
      <w:r>
        <w:rPr>
          <w:rFonts w:hint="eastAsia" w:ascii="仿宋_GB2312" w:hAnsi="仿宋_GB2312" w:eastAsia="仿宋_GB2312" w:cs="仿宋_GB2312"/>
          <w:b w:val="0"/>
          <w:bCs/>
          <w:color w:val="000000"/>
          <w:kern w:val="0"/>
          <w:sz w:val="32"/>
          <w:szCs w:val="32"/>
        </w:rPr>
        <w:t>组，对202</w:t>
      </w:r>
      <w:r>
        <w:rPr>
          <w:rFonts w:hint="eastAsia" w:ascii="仿宋_GB2312" w:hAnsi="仿宋_GB2312" w:eastAsia="仿宋_GB2312" w:cs="仿宋_GB2312"/>
          <w:b w:val="0"/>
          <w:bCs/>
          <w:color w:val="000000"/>
          <w:kern w:val="0"/>
          <w:sz w:val="32"/>
          <w:szCs w:val="32"/>
          <w:lang w:val="en-US" w:eastAsia="zh-CN"/>
        </w:rPr>
        <w:t>4</w:t>
      </w:r>
      <w:r>
        <w:rPr>
          <w:rFonts w:hint="eastAsia" w:ascii="仿宋_GB2312" w:hAnsi="仿宋_GB2312" w:eastAsia="仿宋_GB2312" w:cs="仿宋_GB2312"/>
          <w:b w:val="0"/>
          <w:bCs/>
          <w:color w:val="000000"/>
          <w:kern w:val="0"/>
          <w:sz w:val="32"/>
          <w:szCs w:val="32"/>
        </w:rPr>
        <w:t>年</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绩效评审咨询服务费”项目实施绩效评价，形成本绩效评价报告。</w:t>
      </w:r>
      <w:bookmarkEnd w:id="2"/>
    </w:p>
    <w:p w14:paraId="3A9AD6C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color w:val="000000"/>
          <w:kern w:val="0"/>
          <w:sz w:val="32"/>
          <w:szCs w:val="32"/>
        </w:rPr>
      </w:pPr>
      <w:bookmarkStart w:id="3" w:name="_Toc7558"/>
      <w:r>
        <w:rPr>
          <w:rFonts w:hint="eastAsia" w:ascii="仿宋_GB2312" w:hAnsi="仿宋_GB2312" w:eastAsia="仿宋_GB2312" w:cs="仿宋_GB2312"/>
          <w:b/>
          <w:color w:val="000000"/>
          <w:kern w:val="0"/>
          <w:sz w:val="32"/>
          <w:szCs w:val="32"/>
        </w:rPr>
        <w:t>一、基本情况</w:t>
      </w:r>
      <w:bookmarkEnd w:id="3"/>
    </w:p>
    <w:p w14:paraId="2FD97C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4" w:name="_Toc28424"/>
      <w:r>
        <w:rPr>
          <w:rFonts w:hint="eastAsia" w:ascii="仿宋_GB2312" w:hAnsi="仿宋_GB2312" w:eastAsia="仿宋_GB2312" w:cs="仿宋_GB2312"/>
          <w:color w:val="000000"/>
          <w:kern w:val="0"/>
          <w:sz w:val="32"/>
          <w:szCs w:val="32"/>
        </w:rPr>
        <w:t>（一）项目概况</w:t>
      </w:r>
      <w:bookmarkEnd w:id="4"/>
    </w:p>
    <w:p w14:paraId="5526AB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1.项目背景</w:t>
      </w:r>
    </w:p>
    <w:p w14:paraId="606648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为全面</w:t>
      </w:r>
      <w:r>
        <w:rPr>
          <w:rFonts w:hint="eastAsia" w:ascii="仿宋_GB2312" w:hAnsi="仿宋_GB2312" w:eastAsia="仿宋_GB2312" w:cs="仿宋_GB2312"/>
          <w:color w:val="000000"/>
          <w:kern w:val="0"/>
          <w:sz w:val="32"/>
          <w:szCs w:val="32"/>
        </w:rPr>
        <w:t>落实</w:t>
      </w:r>
      <w:r>
        <w:rPr>
          <w:rFonts w:hint="eastAsia" w:ascii="仿宋_GB2312" w:hAnsi="仿宋_GB2312" w:eastAsia="仿宋_GB2312" w:cs="仿宋_GB2312"/>
          <w:color w:val="000000"/>
          <w:kern w:val="0"/>
          <w:sz w:val="32"/>
          <w:szCs w:val="32"/>
          <w:lang w:val="en-US" w:eastAsia="zh-CN"/>
        </w:rPr>
        <w:t>市财政</w:t>
      </w:r>
      <w:r>
        <w:rPr>
          <w:rFonts w:hint="eastAsia" w:ascii="仿宋_GB2312" w:hAnsi="仿宋_GB2312" w:eastAsia="仿宋_GB2312" w:cs="仿宋_GB2312"/>
          <w:color w:val="000000"/>
          <w:kern w:val="0"/>
          <w:sz w:val="32"/>
          <w:szCs w:val="32"/>
        </w:rPr>
        <w:t>全面实施预算绩效管理工作要求，进一步加强</w:t>
      </w:r>
      <w:r>
        <w:rPr>
          <w:rFonts w:hint="eastAsia" w:ascii="仿宋_GB2312" w:hAnsi="仿宋_GB2312" w:eastAsia="仿宋_GB2312" w:cs="仿宋_GB2312"/>
          <w:color w:val="000000"/>
          <w:kern w:val="0"/>
          <w:sz w:val="32"/>
          <w:szCs w:val="32"/>
          <w:lang w:val="en-US" w:eastAsia="zh-CN"/>
        </w:rPr>
        <w:t>门头沟检察院</w:t>
      </w:r>
      <w:r>
        <w:rPr>
          <w:rFonts w:hint="eastAsia" w:ascii="仿宋_GB2312" w:hAnsi="仿宋_GB2312" w:eastAsia="仿宋_GB2312" w:cs="仿宋_GB2312"/>
          <w:color w:val="000000"/>
          <w:kern w:val="0"/>
          <w:sz w:val="32"/>
          <w:szCs w:val="32"/>
        </w:rPr>
        <w:t>预算绩效管理</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提高财政资金使用效益</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促进单位</w:t>
      </w:r>
      <w:r>
        <w:rPr>
          <w:rFonts w:hint="eastAsia" w:ascii="仿宋_GB2312" w:hAnsi="仿宋_GB2312" w:eastAsia="仿宋_GB2312" w:cs="仿宋_GB2312"/>
          <w:color w:val="000000"/>
          <w:kern w:val="0"/>
          <w:sz w:val="32"/>
          <w:szCs w:val="32"/>
          <w:lang w:val="en-US" w:eastAsia="zh-CN"/>
        </w:rPr>
        <w:t>完善</w:t>
      </w:r>
      <w:r>
        <w:rPr>
          <w:rFonts w:hint="eastAsia" w:ascii="仿宋_GB2312" w:hAnsi="仿宋_GB2312" w:eastAsia="仿宋_GB2312" w:cs="仿宋_GB2312"/>
          <w:color w:val="000000"/>
          <w:kern w:val="0"/>
          <w:sz w:val="32"/>
          <w:szCs w:val="32"/>
        </w:rPr>
        <w:t>内部控制</w:t>
      </w:r>
      <w:r>
        <w:rPr>
          <w:rFonts w:hint="eastAsia" w:ascii="仿宋_GB2312" w:hAnsi="仿宋_GB2312" w:eastAsia="仿宋_GB2312" w:cs="仿宋_GB2312"/>
          <w:color w:val="000000"/>
          <w:kern w:val="0"/>
          <w:sz w:val="32"/>
          <w:szCs w:val="32"/>
          <w:lang w:val="en-US" w:eastAsia="zh-CN"/>
        </w:rPr>
        <w:t>体系</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有效</w:t>
      </w:r>
      <w:r>
        <w:rPr>
          <w:rFonts w:hint="eastAsia" w:ascii="仿宋_GB2312" w:hAnsi="仿宋_GB2312" w:eastAsia="仿宋_GB2312" w:cs="仿宋_GB2312"/>
          <w:color w:val="000000"/>
          <w:kern w:val="0"/>
          <w:sz w:val="32"/>
          <w:szCs w:val="32"/>
        </w:rPr>
        <w:t>保障经费运行安全，发挥内部审计</w:t>
      </w:r>
      <w:r>
        <w:rPr>
          <w:rFonts w:hint="eastAsia" w:ascii="仿宋_GB2312" w:hAnsi="仿宋_GB2312" w:eastAsia="仿宋_GB2312" w:cs="仿宋_GB2312"/>
          <w:color w:val="000000"/>
          <w:kern w:val="0"/>
          <w:sz w:val="32"/>
          <w:szCs w:val="32"/>
          <w:lang w:val="en-US" w:eastAsia="zh-CN"/>
        </w:rPr>
        <w:t>监督</w:t>
      </w:r>
      <w:r>
        <w:rPr>
          <w:rFonts w:hint="eastAsia" w:ascii="仿宋_GB2312" w:hAnsi="仿宋_GB2312" w:eastAsia="仿宋_GB2312" w:cs="仿宋_GB2312"/>
          <w:color w:val="000000"/>
          <w:kern w:val="0"/>
          <w:sz w:val="32"/>
          <w:szCs w:val="32"/>
        </w:rPr>
        <w:t>作用</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防范经济活动风险</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2024年门头沟检察院申请了绩效评审咨询服务项目（以下简称“该项目”）</w:t>
      </w:r>
      <w:r>
        <w:rPr>
          <w:rFonts w:hint="eastAsia" w:ascii="仿宋_GB2312" w:hAnsi="仿宋_GB2312" w:eastAsia="仿宋_GB2312" w:cs="仿宋_GB2312"/>
          <w:color w:val="000000"/>
          <w:kern w:val="0"/>
          <w:sz w:val="32"/>
          <w:szCs w:val="32"/>
          <w:lang w:eastAsia="zh-CN"/>
        </w:rPr>
        <w:t>。</w:t>
      </w:r>
    </w:p>
    <w:p w14:paraId="2765B3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2.项目内容</w:t>
      </w:r>
    </w:p>
    <w:p w14:paraId="4A5865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该项目围绕全面预算绩效管理工作、年度预算执行审计、内控完善服务及财务咨询工作等管理工作任务，具体实施如下内容：</w:t>
      </w:r>
    </w:p>
    <w:p w14:paraId="151802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）全面预算绩效管理工作</w:t>
      </w:r>
      <w:r>
        <w:rPr>
          <w:rFonts w:hint="eastAsia" w:ascii="仿宋_GB2312" w:hAnsi="仿宋_GB2312" w:eastAsia="仿宋_GB2312" w:cs="仿宋_GB2312"/>
          <w:color w:val="000000"/>
          <w:kern w:val="0"/>
          <w:sz w:val="32"/>
          <w:szCs w:val="32"/>
          <w:lang w:val="en-US" w:eastAsia="zh-CN"/>
        </w:rPr>
        <w:t>提供咨询服务。</w:t>
      </w:r>
    </w:p>
    <w:p w14:paraId="081645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根据《中共北京市委、北京市人民政府关于全面实施预算绩效管理的实施意见》（京发〔2019〕12号）《北京市预算绩效管理办法》及</w:t>
      </w:r>
      <w:r>
        <w:rPr>
          <w:rFonts w:hint="eastAsia" w:ascii="仿宋_GB2312" w:hAnsi="仿宋_GB2312" w:eastAsia="仿宋_GB2312" w:cs="仿宋_GB2312"/>
          <w:b w:val="0"/>
          <w:bCs/>
          <w:color w:val="000000"/>
          <w:kern w:val="0"/>
          <w:sz w:val="32"/>
          <w:szCs w:val="32"/>
          <w:highlight w:val="none"/>
          <w:lang w:val="en-US" w:eastAsia="zh-CN"/>
        </w:rPr>
        <w:t>年度预算绩效管理相关工作</w:t>
      </w:r>
      <w:r>
        <w:rPr>
          <w:rFonts w:hint="eastAsia" w:ascii="仿宋_GB2312" w:hAnsi="仿宋_GB2312" w:eastAsia="仿宋_GB2312" w:cs="仿宋_GB2312"/>
          <w:color w:val="000000"/>
          <w:kern w:val="0"/>
          <w:sz w:val="32"/>
          <w:szCs w:val="32"/>
          <w:lang w:eastAsia="zh-CN"/>
        </w:rPr>
        <w:t>要求，开展</w:t>
      </w:r>
      <w:r>
        <w:rPr>
          <w:rFonts w:hint="eastAsia" w:ascii="仿宋_GB2312" w:hAnsi="仿宋_GB2312" w:eastAsia="仿宋_GB2312" w:cs="仿宋_GB2312"/>
          <w:color w:val="000000"/>
          <w:kern w:val="0"/>
          <w:sz w:val="32"/>
          <w:szCs w:val="32"/>
          <w:lang w:val="en-US" w:eastAsia="zh-CN"/>
        </w:rPr>
        <w:t>门头沟</w:t>
      </w:r>
      <w:r>
        <w:rPr>
          <w:rFonts w:hint="eastAsia" w:ascii="仿宋_GB2312" w:hAnsi="仿宋_GB2312" w:eastAsia="仿宋_GB2312" w:cs="仿宋_GB2312"/>
          <w:color w:val="000000"/>
          <w:kern w:val="0"/>
          <w:sz w:val="32"/>
          <w:szCs w:val="32"/>
          <w:lang w:eastAsia="zh-CN"/>
        </w:rPr>
        <w:t>检察院202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度项目</w:t>
      </w:r>
      <w:r>
        <w:rPr>
          <w:rFonts w:hint="eastAsia" w:ascii="仿宋_GB2312" w:hAnsi="仿宋_GB2312" w:eastAsia="仿宋_GB2312" w:cs="仿宋_GB2312"/>
          <w:color w:val="000000"/>
          <w:kern w:val="0"/>
          <w:sz w:val="32"/>
          <w:szCs w:val="32"/>
          <w:lang w:eastAsia="zh-CN"/>
        </w:rPr>
        <w:t>绩效自评、</w:t>
      </w:r>
      <w:r>
        <w:rPr>
          <w:rFonts w:hint="eastAsia" w:ascii="仿宋_GB2312" w:hAnsi="仿宋_GB2312" w:eastAsia="仿宋_GB2312" w:cs="仿宋_GB2312"/>
          <w:color w:val="000000"/>
          <w:kern w:val="0"/>
          <w:sz w:val="32"/>
          <w:szCs w:val="32"/>
          <w:lang w:val="en-US" w:eastAsia="zh-CN"/>
        </w:rPr>
        <w:t>重点项目和</w:t>
      </w:r>
      <w:r>
        <w:rPr>
          <w:rFonts w:hint="eastAsia" w:ascii="仿宋_GB2312" w:hAnsi="仿宋_GB2312" w:eastAsia="仿宋_GB2312" w:cs="仿宋_GB2312"/>
          <w:color w:val="000000"/>
          <w:kern w:val="0"/>
          <w:sz w:val="32"/>
          <w:szCs w:val="32"/>
          <w:lang w:eastAsia="zh-CN"/>
        </w:rPr>
        <w:t>部门整体绩效评价</w:t>
      </w:r>
      <w:r>
        <w:rPr>
          <w:rFonts w:hint="eastAsia" w:ascii="仿宋_GB2312" w:hAnsi="仿宋_GB2312" w:eastAsia="仿宋_GB2312" w:cs="仿宋_GB2312"/>
          <w:color w:val="000000"/>
          <w:kern w:val="0"/>
          <w:sz w:val="32"/>
          <w:szCs w:val="32"/>
          <w:lang w:val="en-US" w:eastAsia="zh-CN"/>
        </w:rPr>
        <w:t>及2025年项目</w:t>
      </w:r>
      <w:r>
        <w:rPr>
          <w:rFonts w:hint="eastAsia" w:ascii="仿宋_GB2312" w:hAnsi="仿宋_GB2312" w:eastAsia="仿宋_GB2312" w:cs="仿宋_GB2312"/>
          <w:color w:val="000000"/>
          <w:kern w:val="0"/>
          <w:sz w:val="32"/>
          <w:szCs w:val="32"/>
          <w:lang w:eastAsia="zh-CN"/>
        </w:rPr>
        <w:t>绩效运行监控工作。</w:t>
      </w:r>
    </w:p>
    <w:p w14:paraId="58D9E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跟踪2024年</w:t>
      </w:r>
      <w:r>
        <w:rPr>
          <w:rFonts w:hint="eastAsia" w:ascii="仿宋_GB2312" w:hAnsi="仿宋_GB2312" w:eastAsia="仿宋_GB2312" w:cs="仿宋_GB2312"/>
          <w:color w:val="000000"/>
          <w:kern w:val="0"/>
          <w:sz w:val="32"/>
          <w:szCs w:val="32"/>
          <w:lang w:eastAsia="zh-CN"/>
        </w:rPr>
        <w:t>预算执行工作，</w:t>
      </w:r>
      <w:r>
        <w:rPr>
          <w:rFonts w:hint="eastAsia" w:ascii="仿宋_GB2312" w:hAnsi="仿宋_GB2312" w:eastAsia="仿宋_GB2312" w:cs="仿宋_GB2312"/>
          <w:color w:val="000000"/>
          <w:kern w:val="0"/>
          <w:sz w:val="32"/>
          <w:szCs w:val="32"/>
          <w:lang w:val="en-US" w:eastAsia="zh-CN"/>
        </w:rPr>
        <w:t>提供指导。</w:t>
      </w:r>
    </w:p>
    <w:p w14:paraId="572957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2024年，门头沟检察院围绕</w:t>
      </w:r>
      <w:r>
        <w:rPr>
          <w:rFonts w:hint="eastAsia" w:ascii="仿宋_GB2312" w:hAnsi="仿宋_GB2312" w:eastAsia="仿宋_GB2312" w:cs="仿宋_GB2312"/>
          <w:color w:val="000000"/>
          <w:kern w:val="0"/>
          <w:sz w:val="32"/>
          <w:szCs w:val="32"/>
          <w:lang w:eastAsia="zh-CN"/>
        </w:rPr>
        <w:t>重大项目和重点任务，</w:t>
      </w:r>
      <w:r>
        <w:rPr>
          <w:rFonts w:hint="eastAsia" w:ascii="仿宋_GB2312" w:hAnsi="仿宋_GB2312" w:eastAsia="仿宋_GB2312" w:cs="仿宋_GB2312"/>
          <w:color w:val="000000"/>
          <w:kern w:val="0"/>
          <w:sz w:val="32"/>
          <w:szCs w:val="32"/>
          <w:lang w:val="en-US" w:eastAsia="zh-CN"/>
        </w:rPr>
        <w:t>聘请第三方会计师事务所</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对年度预算执行工作跟踪，提供咨询指导；</w:t>
      </w:r>
      <w:r>
        <w:rPr>
          <w:rFonts w:hint="eastAsia" w:ascii="仿宋_GB2312" w:hAnsi="仿宋_GB2312" w:eastAsia="仿宋_GB2312" w:cs="仿宋_GB2312"/>
          <w:color w:val="000000"/>
          <w:kern w:val="0"/>
          <w:sz w:val="32"/>
          <w:szCs w:val="32"/>
          <w:lang w:eastAsia="zh-CN"/>
        </w:rPr>
        <w:t>对检察院202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年度预算执行情况实施具体审计程序，</w:t>
      </w:r>
      <w:r>
        <w:rPr>
          <w:rFonts w:hint="eastAsia" w:ascii="仿宋_GB2312" w:hAnsi="仿宋_GB2312" w:eastAsia="仿宋_GB2312" w:cs="仿宋_GB2312"/>
          <w:color w:val="000000"/>
          <w:kern w:val="0"/>
          <w:sz w:val="32"/>
          <w:szCs w:val="32"/>
          <w:lang w:val="en-US" w:eastAsia="zh-CN"/>
        </w:rPr>
        <w:t>对预算执行</w:t>
      </w:r>
      <w:r>
        <w:rPr>
          <w:rFonts w:hint="eastAsia" w:ascii="仿宋_GB2312" w:hAnsi="仿宋_GB2312" w:eastAsia="仿宋_GB2312" w:cs="仿宋_GB2312"/>
          <w:color w:val="000000"/>
          <w:kern w:val="0"/>
          <w:sz w:val="32"/>
          <w:szCs w:val="32"/>
          <w:lang w:eastAsia="zh-CN"/>
        </w:rPr>
        <w:t>各项经济活动的真实性、合法性和效益</w:t>
      </w:r>
      <w:r>
        <w:rPr>
          <w:rFonts w:hint="eastAsia" w:ascii="仿宋_GB2312" w:hAnsi="仿宋_GB2312" w:eastAsia="仿宋_GB2312" w:cs="仿宋_GB2312"/>
          <w:color w:val="000000"/>
          <w:kern w:val="0"/>
          <w:sz w:val="32"/>
          <w:szCs w:val="32"/>
          <w:lang w:val="en-US" w:eastAsia="zh-CN"/>
        </w:rPr>
        <w:t>性</w:t>
      </w:r>
      <w:r>
        <w:rPr>
          <w:rFonts w:hint="eastAsia" w:ascii="仿宋_GB2312" w:hAnsi="仿宋_GB2312" w:eastAsia="仿宋_GB2312" w:cs="仿宋_GB2312"/>
          <w:color w:val="000000"/>
          <w:kern w:val="0"/>
          <w:sz w:val="32"/>
          <w:szCs w:val="32"/>
          <w:lang w:eastAsia="zh-CN"/>
        </w:rPr>
        <w:t>，单位内部控制制度的健全性、有效性，资金使用的合规和合理性等开展审计，并在双方约定的期限内出具202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年预算执行及财务收支情况审计报告。</w:t>
      </w:r>
    </w:p>
    <w:p w14:paraId="0FE90BD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完善内部控制工作咨询服务。</w:t>
      </w:r>
    </w:p>
    <w:p w14:paraId="612DD8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color w:val="000000"/>
          <w:kern w:val="0"/>
          <w:sz w:val="32"/>
          <w:szCs w:val="32"/>
          <w:lang w:val="en-US" w:eastAsia="zh-CN"/>
        </w:rPr>
        <w:t>结合原有《内控手册》开展2024年经济活动风险评估工作;为2023年内控报告填报工作提供咨询;协助修订完善现有内控制度、报表和流程。</w:t>
      </w:r>
    </w:p>
    <w:p w14:paraId="2638FB7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kern w:val="2"/>
          <w:sz w:val="32"/>
          <w:szCs w:val="32"/>
          <w:u w:val="none"/>
          <w:lang w:val="en-US" w:eastAsia="zh-CN" w:bidi="ar-SA"/>
        </w:rPr>
        <w:t>协助开展年度固定资产清查盘点。</w:t>
      </w:r>
    </w:p>
    <w:p w14:paraId="636A7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为规范固定资产管理，协助完成年度固定资产清查盘点工作。</w:t>
      </w:r>
    </w:p>
    <w:p w14:paraId="3B63108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提供财务咨询工作。</w:t>
      </w:r>
    </w:p>
    <w:p w14:paraId="02B7B1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开展实时财务咨询工作。对日常财务管理及会计核算中遇到的问题提供咨询服务;结合财政部门、市检察院等上级部门布置的财务工作，提供咨询服务。</w:t>
      </w:r>
    </w:p>
    <w:p w14:paraId="4B15B59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提供相关培训。</w:t>
      </w:r>
    </w:p>
    <w:p w14:paraId="6FCE94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开展一次财政预算绩效管理和审计监督方面的相关培训。</w:t>
      </w:r>
    </w:p>
    <w:p w14:paraId="3DFA73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资金投入和使用情况</w:t>
      </w:r>
    </w:p>
    <w:p w14:paraId="36B5F5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bookmarkStart w:id="5" w:name="_Toc13221"/>
      <w:r>
        <w:rPr>
          <w:rFonts w:hint="eastAsia" w:ascii="仿宋_GB2312" w:hAnsi="仿宋_GB2312" w:eastAsia="仿宋_GB2312" w:cs="仿宋_GB2312"/>
          <w:color w:val="000000"/>
          <w:kern w:val="0"/>
          <w:sz w:val="32"/>
          <w:szCs w:val="32"/>
          <w:lang w:eastAsia="zh-CN"/>
        </w:rPr>
        <w:t>该项目</w:t>
      </w:r>
      <w:r>
        <w:rPr>
          <w:rFonts w:hint="eastAsia" w:ascii="仿宋_GB2312" w:hAnsi="仿宋_GB2312" w:eastAsia="仿宋_GB2312" w:cs="仿宋_GB2312"/>
          <w:color w:val="000000"/>
          <w:kern w:val="0"/>
          <w:sz w:val="32"/>
          <w:szCs w:val="32"/>
        </w:rPr>
        <w:t>年度预算金额为</w:t>
      </w:r>
      <w:r>
        <w:rPr>
          <w:rFonts w:hint="eastAsia" w:ascii="仿宋_GB2312" w:hAnsi="仿宋_GB2312" w:eastAsia="仿宋_GB2312" w:cs="仿宋_GB2312"/>
          <w:color w:val="000000"/>
          <w:kern w:val="0"/>
          <w:sz w:val="32"/>
          <w:szCs w:val="32"/>
          <w:lang w:val="en-US" w:eastAsia="zh-CN"/>
        </w:rPr>
        <w:t>200,000.00</w:t>
      </w:r>
      <w:r>
        <w:rPr>
          <w:rFonts w:hint="eastAsia" w:ascii="仿宋_GB2312" w:hAnsi="仿宋_GB2312" w:eastAsia="仿宋_GB2312" w:cs="仿宋_GB2312"/>
          <w:color w:val="000000"/>
          <w:kern w:val="0"/>
          <w:sz w:val="32"/>
          <w:szCs w:val="32"/>
        </w:rPr>
        <w:t>元，</w:t>
      </w:r>
      <w:r>
        <w:rPr>
          <w:rFonts w:hint="eastAsia" w:ascii="仿宋_GB2312" w:hAnsi="仿宋_GB2312" w:eastAsia="仿宋_GB2312" w:cs="仿宋_GB2312"/>
          <w:color w:val="000000"/>
          <w:kern w:val="0"/>
          <w:sz w:val="32"/>
          <w:szCs w:val="32"/>
          <w:lang w:val="en-US" w:eastAsia="zh-CN"/>
        </w:rPr>
        <w:t>全部为市级财政</w:t>
      </w:r>
      <w:r>
        <w:rPr>
          <w:rFonts w:hint="eastAsia" w:ascii="仿宋_GB2312" w:hAnsi="仿宋_GB2312" w:eastAsia="仿宋_GB2312" w:cs="仿宋_GB2312"/>
          <w:color w:val="000000"/>
          <w:kern w:val="0"/>
          <w:sz w:val="32"/>
          <w:szCs w:val="32"/>
        </w:rPr>
        <w:t>资金。</w:t>
      </w:r>
      <w:r>
        <w:rPr>
          <w:rFonts w:hint="eastAsia" w:ascii="仿宋_GB2312" w:hAnsi="仿宋_GB2312" w:eastAsia="仿宋_GB2312" w:cs="仿宋_GB2312"/>
          <w:color w:val="000000"/>
          <w:kern w:val="0"/>
          <w:sz w:val="32"/>
          <w:szCs w:val="32"/>
          <w:lang w:val="en-US" w:eastAsia="zh-CN"/>
        </w:rPr>
        <w:t>截至</w:t>
      </w:r>
      <w:r>
        <w:rPr>
          <w:rFonts w:hint="eastAsia" w:ascii="仿宋_GB2312" w:hAnsi="仿宋_GB2312" w:eastAsia="仿宋_GB2312" w:cs="仿宋_GB2312"/>
          <w:color w:val="000000"/>
          <w:kern w:val="0"/>
          <w:sz w:val="32"/>
          <w:szCs w:val="32"/>
        </w:rPr>
        <w:t>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年12月</w:t>
      </w:r>
      <w:r>
        <w:rPr>
          <w:rFonts w:hint="eastAsia" w:ascii="仿宋_GB2312" w:hAnsi="仿宋_GB2312" w:eastAsia="仿宋_GB2312" w:cs="仿宋_GB2312"/>
          <w:color w:val="000000"/>
          <w:kern w:val="0"/>
          <w:sz w:val="32"/>
          <w:szCs w:val="32"/>
          <w:lang w:val="en-US" w:eastAsia="zh-CN"/>
        </w:rPr>
        <w:t>31日</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该项目</w:t>
      </w:r>
      <w:r>
        <w:rPr>
          <w:rFonts w:hint="eastAsia" w:ascii="仿宋_GB2312" w:hAnsi="仿宋_GB2312" w:eastAsia="仿宋_GB2312" w:cs="仿宋_GB2312"/>
          <w:color w:val="000000"/>
          <w:kern w:val="0"/>
          <w:sz w:val="32"/>
          <w:szCs w:val="32"/>
        </w:rPr>
        <w:t>支出</w:t>
      </w:r>
      <w:r>
        <w:rPr>
          <w:rFonts w:hint="eastAsia" w:ascii="仿宋_GB2312" w:hAnsi="仿宋_GB2312" w:eastAsia="仿宋_GB2312" w:cs="仿宋_GB2312"/>
          <w:color w:val="000000"/>
          <w:kern w:val="0"/>
          <w:sz w:val="32"/>
          <w:szCs w:val="32"/>
          <w:lang w:val="en-US" w:eastAsia="zh-CN"/>
        </w:rPr>
        <w:t>200,000.00</w:t>
      </w:r>
      <w:r>
        <w:rPr>
          <w:rFonts w:hint="eastAsia" w:ascii="仿宋_GB2312" w:hAnsi="仿宋_GB2312" w:eastAsia="仿宋_GB2312" w:cs="仿宋_GB2312"/>
          <w:color w:val="000000"/>
          <w:kern w:val="0"/>
          <w:sz w:val="32"/>
          <w:szCs w:val="32"/>
        </w:rPr>
        <w:t>元。</w:t>
      </w:r>
    </w:p>
    <w:p w14:paraId="7333AC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（二）项目绩效目标</w:t>
      </w:r>
      <w:bookmarkEnd w:id="5"/>
    </w:p>
    <w:p w14:paraId="6077F5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1.年度目标</w:t>
      </w:r>
    </w:p>
    <w:p w14:paraId="71B975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为保障会计制度顺利进行、财务工作平稳有序开展，同时促进新制度的贯彻实施，做好预算执行审计、项目支出绩效评价、内部控制制度修订、资产清查、会计档案整理及财务咨询服务工作。</w:t>
      </w:r>
    </w:p>
    <w:p w14:paraId="17332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 w:val="0"/>
          <w:bCs/>
          <w:color w:val="000000"/>
          <w:kern w:val="0"/>
          <w:sz w:val="32"/>
          <w:szCs w:val="32"/>
          <w:lang w:val="en-US" w:eastAsia="zh-CN"/>
        </w:rPr>
      </w:pPr>
      <w:bookmarkStart w:id="6" w:name="_Toc17042"/>
      <w:r>
        <w:rPr>
          <w:rFonts w:hint="eastAsia" w:ascii="仿宋_GB2312" w:hAnsi="仿宋_GB2312" w:eastAsia="仿宋_GB2312" w:cs="仿宋_GB2312"/>
          <w:b w:val="0"/>
          <w:bCs/>
          <w:color w:val="000000"/>
          <w:kern w:val="0"/>
          <w:sz w:val="32"/>
          <w:szCs w:val="32"/>
          <w:lang w:val="en-US" w:eastAsia="zh-CN"/>
        </w:rPr>
        <w:t>（三）绩效指标设定情况</w:t>
      </w:r>
      <w:bookmarkEnd w:id="6"/>
    </w:p>
    <w:p w14:paraId="3AE917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lang w:val="en-US" w:eastAsia="zh-CN"/>
        </w:rPr>
        <w:t>1.</w:t>
      </w:r>
      <w:r>
        <w:rPr>
          <w:rFonts w:hint="eastAsia" w:ascii="仿宋_GB2312" w:hAnsi="仿宋_GB2312" w:eastAsia="仿宋_GB2312" w:cs="仿宋_GB2312"/>
          <w:b w:val="0"/>
          <w:bCs/>
          <w:color w:val="000000"/>
          <w:kern w:val="0"/>
          <w:sz w:val="32"/>
          <w:szCs w:val="32"/>
        </w:rPr>
        <w:t>产出数量</w:t>
      </w:r>
    </w:p>
    <w:p w14:paraId="0E40B5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指标</w:t>
      </w:r>
      <w:r>
        <w:rPr>
          <w:rFonts w:hint="eastAsia" w:ascii="仿宋_GB2312" w:hAnsi="仿宋_GB2312" w:eastAsia="仿宋_GB2312" w:cs="仿宋_GB2312"/>
          <w:b w:val="0"/>
          <w:bCs/>
          <w:color w:val="000000"/>
          <w:kern w:val="0"/>
          <w:sz w:val="32"/>
          <w:szCs w:val="32"/>
          <w:lang w:val="en-US" w:eastAsia="zh-CN"/>
        </w:rPr>
        <w:t>1</w:t>
      </w:r>
      <w:r>
        <w:rPr>
          <w:rFonts w:hint="eastAsia" w:ascii="仿宋_GB2312" w:hAnsi="仿宋_GB2312" w:eastAsia="仿宋_GB2312" w:cs="仿宋_GB2312"/>
          <w:b w:val="0"/>
          <w:bCs/>
          <w:color w:val="000000"/>
          <w:kern w:val="0"/>
          <w:sz w:val="32"/>
          <w:szCs w:val="32"/>
        </w:rPr>
        <w:t>：预算执行审计1次/年</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rPr>
        <w:t xml:space="preserve">        </w:t>
      </w:r>
    </w:p>
    <w:p w14:paraId="502441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rPr>
        <w:t>指标</w:t>
      </w:r>
      <w:r>
        <w:rPr>
          <w:rFonts w:hint="eastAsia" w:ascii="仿宋_GB2312" w:hAnsi="仿宋_GB2312" w:eastAsia="仿宋_GB2312" w:cs="仿宋_GB2312"/>
          <w:b w:val="0"/>
          <w:bCs/>
          <w:color w:val="000000"/>
          <w:kern w:val="0"/>
          <w:sz w:val="32"/>
          <w:szCs w:val="32"/>
          <w:lang w:val="en-US" w:eastAsia="zh-CN"/>
        </w:rPr>
        <w:t>2</w:t>
      </w:r>
      <w:r>
        <w:rPr>
          <w:rFonts w:hint="eastAsia" w:ascii="仿宋_GB2312" w:hAnsi="仿宋_GB2312" w:eastAsia="仿宋_GB2312" w:cs="仿宋_GB2312"/>
          <w:b w:val="0"/>
          <w:bCs/>
          <w:color w:val="000000"/>
          <w:kern w:val="0"/>
          <w:sz w:val="32"/>
          <w:szCs w:val="32"/>
        </w:rPr>
        <w:t>：绩效评价</w:t>
      </w:r>
      <w:r>
        <w:rPr>
          <w:rFonts w:hint="eastAsia" w:ascii="仿宋_GB2312" w:hAnsi="仿宋_GB2312" w:eastAsia="仿宋_GB2312" w:cs="仿宋_GB2312"/>
          <w:b w:val="0"/>
          <w:bCs/>
          <w:color w:val="000000"/>
          <w:kern w:val="0"/>
          <w:sz w:val="32"/>
          <w:szCs w:val="32"/>
          <w:lang w:val="en-US" w:eastAsia="zh-CN"/>
        </w:rPr>
        <w:t>服务1次/年；</w:t>
      </w:r>
    </w:p>
    <w:p w14:paraId="41B85D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rPr>
        <w:t>指标</w:t>
      </w:r>
      <w:r>
        <w:rPr>
          <w:rFonts w:hint="eastAsia" w:ascii="仿宋_GB2312" w:hAnsi="仿宋_GB2312" w:eastAsia="仿宋_GB2312" w:cs="仿宋_GB2312"/>
          <w:b w:val="0"/>
          <w:bCs/>
          <w:color w:val="000000"/>
          <w:kern w:val="0"/>
          <w:sz w:val="32"/>
          <w:szCs w:val="32"/>
          <w:lang w:val="en-US" w:eastAsia="zh-CN"/>
        </w:rPr>
        <w:t>3</w:t>
      </w:r>
      <w:r>
        <w:rPr>
          <w:rFonts w:hint="eastAsia" w:ascii="仿宋_GB2312" w:hAnsi="仿宋_GB2312" w:eastAsia="仿宋_GB2312" w:cs="仿宋_GB2312"/>
          <w:b w:val="0"/>
          <w:bCs/>
          <w:color w:val="000000"/>
          <w:kern w:val="0"/>
          <w:sz w:val="32"/>
          <w:szCs w:val="32"/>
        </w:rPr>
        <w:t>：内控咨询服务1次/年</w:t>
      </w:r>
      <w:r>
        <w:rPr>
          <w:rFonts w:hint="eastAsia" w:ascii="仿宋_GB2312" w:hAnsi="仿宋_GB2312" w:eastAsia="仿宋_GB2312" w:cs="仿宋_GB2312"/>
          <w:b w:val="0"/>
          <w:bCs/>
          <w:color w:val="000000"/>
          <w:kern w:val="0"/>
          <w:sz w:val="32"/>
          <w:szCs w:val="32"/>
          <w:lang w:eastAsia="zh-CN"/>
        </w:rPr>
        <w:t>。</w:t>
      </w:r>
    </w:p>
    <w:p w14:paraId="6959F9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highlight w:val="none"/>
        </w:rPr>
      </w:pPr>
      <w:r>
        <w:rPr>
          <w:rFonts w:hint="eastAsia" w:ascii="仿宋_GB2312" w:hAnsi="仿宋_GB2312" w:eastAsia="仿宋_GB2312" w:cs="仿宋_GB2312"/>
          <w:b w:val="0"/>
          <w:bCs/>
          <w:color w:val="000000"/>
          <w:kern w:val="0"/>
          <w:sz w:val="32"/>
          <w:szCs w:val="32"/>
          <w:highlight w:val="none"/>
          <w:lang w:val="en-US" w:eastAsia="zh-CN"/>
        </w:rPr>
        <w:t>2.</w:t>
      </w:r>
      <w:r>
        <w:rPr>
          <w:rFonts w:hint="eastAsia" w:ascii="仿宋_GB2312" w:hAnsi="仿宋_GB2312" w:eastAsia="仿宋_GB2312" w:cs="仿宋_GB2312"/>
          <w:b w:val="0"/>
          <w:bCs/>
          <w:color w:val="000000"/>
          <w:kern w:val="0"/>
          <w:sz w:val="32"/>
          <w:szCs w:val="32"/>
          <w:highlight w:val="none"/>
        </w:rPr>
        <w:t>产出质量</w:t>
      </w:r>
    </w:p>
    <w:p w14:paraId="6FE3AD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lang w:val="en-US" w:eastAsia="zh-CN"/>
        </w:rPr>
        <w:t>完成率等于100%。</w:t>
      </w:r>
    </w:p>
    <w:p w14:paraId="1D4090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lang w:val="en-US" w:eastAsia="zh-CN"/>
        </w:rPr>
        <w:t>3.</w:t>
      </w:r>
      <w:r>
        <w:rPr>
          <w:rFonts w:hint="eastAsia" w:ascii="仿宋_GB2312" w:hAnsi="仿宋_GB2312" w:eastAsia="仿宋_GB2312" w:cs="仿宋_GB2312"/>
          <w:b w:val="0"/>
          <w:bCs/>
          <w:color w:val="000000"/>
          <w:kern w:val="0"/>
          <w:sz w:val="32"/>
          <w:szCs w:val="32"/>
        </w:rPr>
        <w:t>产出</w:t>
      </w:r>
      <w:r>
        <w:rPr>
          <w:rFonts w:hint="eastAsia" w:ascii="仿宋_GB2312" w:hAnsi="仿宋_GB2312" w:eastAsia="仿宋_GB2312" w:cs="仿宋_GB2312"/>
          <w:b w:val="0"/>
          <w:bCs/>
          <w:color w:val="000000"/>
          <w:kern w:val="0"/>
          <w:sz w:val="32"/>
          <w:szCs w:val="32"/>
          <w:lang w:val="en-US" w:eastAsia="zh-CN"/>
        </w:rPr>
        <w:t>时效</w:t>
      </w:r>
    </w:p>
    <w:p w14:paraId="12CBD7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2024年度完成绩效评审咨询服务费项目。</w:t>
      </w:r>
    </w:p>
    <w:p w14:paraId="23BA47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lang w:val="en-US" w:eastAsia="zh-CN" w:bidi="ar-SA"/>
        </w:rPr>
        <w:t>4.</w:t>
      </w:r>
      <w:r>
        <w:rPr>
          <w:rFonts w:hint="eastAsia" w:ascii="仿宋_GB2312" w:hAnsi="仿宋_GB2312" w:eastAsia="仿宋_GB2312" w:cs="仿宋_GB2312"/>
          <w:b w:val="0"/>
          <w:bCs/>
          <w:color w:val="000000"/>
          <w:kern w:val="0"/>
          <w:sz w:val="32"/>
          <w:szCs w:val="32"/>
        </w:rPr>
        <w:t>成本</w:t>
      </w:r>
      <w:r>
        <w:rPr>
          <w:rFonts w:hint="eastAsia" w:ascii="仿宋_GB2312" w:hAnsi="仿宋_GB2312" w:eastAsia="仿宋_GB2312" w:cs="仿宋_GB2312"/>
          <w:b w:val="0"/>
          <w:bCs/>
          <w:color w:val="000000"/>
          <w:kern w:val="0"/>
          <w:sz w:val="32"/>
          <w:szCs w:val="32"/>
          <w:lang w:val="en-US" w:eastAsia="zh-CN"/>
        </w:rPr>
        <w:t>指标</w:t>
      </w:r>
      <w:r>
        <w:rPr>
          <w:rFonts w:hint="eastAsia" w:ascii="仿宋_GB2312" w:hAnsi="仿宋_GB2312" w:eastAsia="仿宋_GB2312" w:cs="仿宋_GB2312"/>
          <w:b w:val="0"/>
          <w:bCs/>
          <w:color w:val="000000"/>
          <w:kern w:val="0"/>
          <w:sz w:val="32"/>
          <w:szCs w:val="32"/>
        </w:rPr>
        <w:t xml:space="preserve">  </w:t>
      </w:r>
    </w:p>
    <w:p w14:paraId="757253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服务成本等于20万元。</w:t>
      </w:r>
    </w:p>
    <w:p w14:paraId="59DB21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bidi="ar-SA"/>
        </w:rPr>
        <w:t>5.</w:t>
      </w:r>
      <w:r>
        <w:rPr>
          <w:rFonts w:hint="eastAsia" w:ascii="仿宋_GB2312" w:hAnsi="仿宋_GB2312" w:eastAsia="仿宋_GB2312" w:cs="仿宋_GB2312"/>
          <w:b w:val="0"/>
          <w:bCs/>
          <w:color w:val="000000"/>
          <w:kern w:val="0"/>
          <w:sz w:val="32"/>
          <w:szCs w:val="32"/>
        </w:rPr>
        <w:t>效益</w:t>
      </w:r>
      <w:r>
        <w:rPr>
          <w:rFonts w:hint="eastAsia" w:ascii="仿宋_GB2312" w:hAnsi="仿宋_GB2312" w:eastAsia="仿宋_GB2312" w:cs="仿宋_GB2312"/>
          <w:b w:val="0"/>
          <w:bCs/>
          <w:color w:val="000000"/>
          <w:kern w:val="0"/>
          <w:sz w:val="32"/>
          <w:szCs w:val="32"/>
          <w:lang w:val="en-US" w:eastAsia="zh-CN"/>
        </w:rPr>
        <w:t>指标</w:t>
      </w:r>
    </w:p>
    <w:p w14:paraId="2C21AF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rPr>
        <w:t>各项咨询服务的实施，有利于进一步促进检察工作业务开展</w:t>
      </w:r>
      <w:r>
        <w:rPr>
          <w:rFonts w:hint="eastAsia" w:ascii="仿宋_GB2312" w:hAnsi="仿宋_GB2312" w:eastAsia="仿宋_GB2312" w:cs="仿宋_GB2312"/>
          <w:b w:val="0"/>
          <w:bCs/>
          <w:color w:val="000000"/>
          <w:kern w:val="0"/>
          <w:sz w:val="32"/>
          <w:szCs w:val="32"/>
          <w:lang w:eastAsia="zh-CN"/>
        </w:rPr>
        <w:t>。</w:t>
      </w:r>
    </w:p>
    <w:p w14:paraId="43B6B8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lang w:val="en-US" w:eastAsia="zh-CN" w:bidi="ar-SA"/>
        </w:rPr>
        <w:t>6.</w:t>
      </w:r>
      <w:r>
        <w:rPr>
          <w:rFonts w:hint="eastAsia" w:ascii="仿宋_GB2312" w:hAnsi="仿宋_GB2312" w:eastAsia="仿宋_GB2312" w:cs="仿宋_GB2312"/>
          <w:b w:val="0"/>
          <w:bCs/>
          <w:color w:val="000000"/>
          <w:kern w:val="0"/>
          <w:sz w:val="32"/>
          <w:szCs w:val="32"/>
        </w:rPr>
        <w:t>可持续性影响</w:t>
      </w:r>
    </w:p>
    <w:p w14:paraId="1F92F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b w:val="0"/>
          <w:bCs/>
          <w:color w:val="000000"/>
          <w:kern w:val="0"/>
          <w:sz w:val="32"/>
          <w:szCs w:val="32"/>
          <w:lang w:eastAsia="zh-CN"/>
        </w:rPr>
        <w:t>促进各项检察业务有序开展。</w:t>
      </w:r>
    </w:p>
    <w:p w14:paraId="3F8D15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lang w:val="en-US" w:eastAsia="zh-CN" w:bidi="ar-SA"/>
        </w:rPr>
        <w:t>7.</w:t>
      </w:r>
      <w:r>
        <w:rPr>
          <w:rFonts w:hint="eastAsia" w:ascii="仿宋_GB2312" w:hAnsi="仿宋_GB2312" w:eastAsia="仿宋_GB2312" w:cs="仿宋_GB2312"/>
          <w:b w:val="0"/>
          <w:bCs/>
          <w:color w:val="000000"/>
          <w:kern w:val="0"/>
          <w:sz w:val="32"/>
          <w:szCs w:val="32"/>
        </w:rPr>
        <w:t>服务对象满意度</w:t>
      </w:r>
    </w:p>
    <w:p w14:paraId="01867D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color w:val="000000"/>
          <w:kern w:val="0"/>
          <w:sz w:val="32"/>
          <w:szCs w:val="32"/>
          <w:highlight w:val="none"/>
          <w:lang w:val="en-US" w:eastAsia="zh-CN"/>
        </w:rPr>
        <w:t>上级部门对咨询服务工作完成结果满意度</w:t>
      </w:r>
      <w:r>
        <w:rPr>
          <w:rFonts w:hint="eastAsia" w:ascii="仿宋_GB2312" w:hAnsi="仿宋_GB2312" w:eastAsia="仿宋_GB2312" w:cs="仿宋_GB2312"/>
          <w:b w:val="0"/>
          <w:bCs/>
          <w:color w:val="000000"/>
          <w:kern w:val="0"/>
          <w:sz w:val="32"/>
          <w:szCs w:val="32"/>
          <w:lang w:val="en-US" w:eastAsia="zh-CN"/>
        </w:rPr>
        <w:t>大于等于98%。</w:t>
      </w:r>
    </w:p>
    <w:p w14:paraId="626C20B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color w:val="000000"/>
          <w:kern w:val="0"/>
          <w:sz w:val="32"/>
          <w:szCs w:val="32"/>
        </w:rPr>
      </w:pPr>
      <w:bookmarkStart w:id="7" w:name="_Toc9970"/>
      <w:r>
        <w:rPr>
          <w:rFonts w:hint="eastAsia" w:ascii="仿宋_GB2312" w:hAnsi="仿宋_GB2312" w:eastAsia="仿宋_GB2312" w:cs="仿宋_GB2312"/>
          <w:b/>
          <w:color w:val="000000"/>
          <w:kern w:val="0"/>
          <w:sz w:val="32"/>
          <w:szCs w:val="32"/>
        </w:rPr>
        <w:t>二、绩效评价工作开展情况</w:t>
      </w:r>
      <w:bookmarkEnd w:id="7"/>
    </w:p>
    <w:p w14:paraId="41B4E2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8" w:name="_Toc4110"/>
      <w:r>
        <w:rPr>
          <w:rFonts w:hint="eastAsia" w:ascii="仿宋_GB2312" w:hAnsi="仿宋_GB2312" w:eastAsia="仿宋_GB2312" w:cs="仿宋_GB2312"/>
          <w:color w:val="000000"/>
          <w:kern w:val="0"/>
          <w:sz w:val="32"/>
          <w:szCs w:val="32"/>
        </w:rPr>
        <w:t>（一）绩效评价目的、对象和范围</w:t>
      </w:r>
      <w:bookmarkEnd w:id="8"/>
    </w:p>
    <w:p w14:paraId="135D07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绩效评价目的</w:t>
      </w:r>
    </w:p>
    <w:p w14:paraId="4864F2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auto"/>
          <w:sz w:val="32"/>
        </w:rPr>
        <w:t>通过开展项目绩效评价，对该项目整体情况进行分析，全面、客观地反映项目单位的工作成效，对</w:t>
      </w:r>
      <w:r>
        <w:rPr>
          <w:rFonts w:hint="eastAsia" w:ascii="仿宋_GB2312" w:hAnsi="仿宋_GB2312" w:eastAsia="仿宋_GB2312" w:cs="仿宋_GB2312"/>
          <w:color w:val="auto"/>
          <w:sz w:val="32"/>
          <w:lang w:val="en-US" w:eastAsia="zh-CN"/>
        </w:rPr>
        <w:t>项目实施各环节</w:t>
      </w:r>
      <w:r>
        <w:rPr>
          <w:rFonts w:hint="eastAsia" w:ascii="仿宋_GB2312" w:hAnsi="仿宋_GB2312" w:eastAsia="仿宋_GB2312" w:cs="仿宋_GB2312"/>
          <w:color w:val="auto"/>
          <w:sz w:val="32"/>
        </w:rPr>
        <w:t>存在的不足提出合理化建议，使预算绩效管理更加科学、规范，提高项目预算绩效管理水平和财政资金使用效益</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效率。</w:t>
      </w:r>
    </w:p>
    <w:p w14:paraId="243C7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rPr>
        <w:t>绩效评价对象及范围</w:t>
      </w:r>
    </w:p>
    <w:p w14:paraId="108CB6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对</w:t>
      </w:r>
      <w:r>
        <w:rPr>
          <w:rFonts w:hint="eastAsia" w:ascii="仿宋_GB2312" w:hAnsi="仿宋_GB2312" w:eastAsia="仿宋_GB2312" w:cs="仿宋_GB2312"/>
          <w:color w:val="000000"/>
          <w:kern w:val="0"/>
          <w:sz w:val="32"/>
          <w:szCs w:val="32"/>
          <w:lang w:val="en-US" w:eastAsia="zh-CN"/>
        </w:rPr>
        <w:t>门头沟</w:t>
      </w:r>
      <w:r>
        <w:rPr>
          <w:rFonts w:hint="eastAsia" w:ascii="仿宋_GB2312" w:hAnsi="仿宋_GB2312" w:eastAsia="仿宋_GB2312" w:cs="仿宋_GB2312"/>
          <w:color w:val="000000"/>
          <w:kern w:val="0"/>
          <w:sz w:val="32"/>
          <w:szCs w:val="32"/>
          <w:highlight w:val="none"/>
          <w:lang w:val="en-US" w:eastAsia="zh-CN"/>
        </w:rPr>
        <w:t>检察院</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4</w:t>
      </w:r>
      <w:r>
        <w:rPr>
          <w:rFonts w:hint="eastAsia" w:ascii="仿宋_GB2312" w:hAnsi="仿宋_GB2312" w:eastAsia="仿宋_GB2312" w:cs="仿宋_GB2312"/>
          <w:color w:val="000000"/>
          <w:kern w:val="0"/>
          <w:sz w:val="32"/>
          <w:szCs w:val="32"/>
          <w:highlight w:val="none"/>
        </w:rPr>
        <w:t>年度“绩效评审咨询服务费”项目预算资金</w:t>
      </w:r>
      <w:r>
        <w:rPr>
          <w:rFonts w:hint="eastAsia" w:ascii="仿宋_GB2312" w:hAnsi="仿宋_GB2312" w:eastAsia="仿宋_GB2312" w:cs="仿宋_GB2312"/>
          <w:color w:val="000000"/>
          <w:kern w:val="0"/>
          <w:sz w:val="32"/>
          <w:szCs w:val="32"/>
          <w:highlight w:val="none"/>
          <w:lang w:val="en-US" w:eastAsia="zh-CN"/>
        </w:rPr>
        <w:t>20.00</w:t>
      </w:r>
      <w:r>
        <w:rPr>
          <w:rFonts w:hint="eastAsia" w:ascii="仿宋_GB2312" w:hAnsi="仿宋_GB2312" w:eastAsia="仿宋_GB2312" w:cs="仿宋_GB2312"/>
          <w:color w:val="000000"/>
          <w:kern w:val="0"/>
          <w:sz w:val="32"/>
          <w:szCs w:val="32"/>
          <w:highlight w:val="none"/>
        </w:rPr>
        <w:t>万元支出情况开展绩效评价。</w:t>
      </w:r>
    </w:p>
    <w:p w14:paraId="04906D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highlight w:val="none"/>
        </w:rPr>
      </w:pPr>
      <w:bookmarkStart w:id="9" w:name="_Toc29942"/>
      <w:r>
        <w:rPr>
          <w:rFonts w:hint="eastAsia" w:ascii="仿宋_GB2312" w:hAnsi="仿宋_GB2312" w:eastAsia="仿宋_GB2312" w:cs="仿宋_GB2312"/>
          <w:color w:val="000000"/>
          <w:kern w:val="0"/>
          <w:sz w:val="32"/>
          <w:szCs w:val="32"/>
          <w:highlight w:val="none"/>
        </w:rPr>
        <w:t>（二）绩效评价原则、评价指标体系、评价方法、评价标准</w:t>
      </w:r>
      <w:bookmarkEnd w:id="9"/>
    </w:p>
    <w:p w14:paraId="4C2B20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w:t>
      </w:r>
      <w:r>
        <w:rPr>
          <w:rFonts w:hint="eastAsia" w:ascii="仿宋_GB2312" w:hAnsi="仿宋_GB2312" w:eastAsia="仿宋_GB2312" w:cs="仿宋_GB2312"/>
          <w:color w:val="000000"/>
          <w:kern w:val="0"/>
          <w:sz w:val="32"/>
          <w:szCs w:val="32"/>
          <w:highlight w:val="none"/>
        </w:rPr>
        <w:t>评价原则</w:t>
      </w:r>
      <w:r>
        <w:rPr>
          <w:rFonts w:hint="eastAsia" w:ascii="仿宋_GB2312" w:hAnsi="仿宋_GB2312" w:eastAsia="仿宋_GB2312" w:cs="仿宋_GB2312"/>
          <w:color w:val="000000"/>
          <w:kern w:val="0"/>
          <w:sz w:val="32"/>
          <w:szCs w:val="32"/>
          <w:highlight w:val="none"/>
          <w:lang w:val="en-US" w:eastAsia="zh-CN"/>
        </w:rPr>
        <w:t>及方法</w:t>
      </w:r>
    </w:p>
    <w:p w14:paraId="000B44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本次绩效评价遵循“客观、公正、科学、规范”的原则，结合项目的特点，采用比较法、因素分析法、评价组评议法等方法开展评价工作。</w:t>
      </w:r>
    </w:p>
    <w:p w14:paraId="7122F321">
      <w:pPr>
        <w:ind w:firstLine="640" w:firstLineChars="200"/>
        <w:rPr>
          <w:rFonts w:ascii="仿宋_GB2312" w:hAnsi="仿宋_GB2312" w:eastAsia="仿宋_GB2312" w:cs="仿宋_GB2312"/>
          <w:color w:val="000000"/>
          <w:sz w:val="32"/>
        </w:rPr>
      </w:pPr>
      <w:bookmarkStart w:id="10" w:name="_Toc73028726"/>
      <w:bookmarkStart w:id="11" w:name="_Toc72117819"/>
      <w:bookmarkStart w:id="12" w:name="_Toc72129834"/>
      <w:r>
        <w:rPr>
          <w:rFonts w:hint="eastAsia" w:ascii="仿宋_GB2312" w:hAnsi="仿宋_GB2312" w:eastAsia="仿宋_GB2312" w:cs="仿宋_GB2312"/>
          <w:color w:val="000000"/>
          <w:sz w:val="32"/>
        </w:rPr>
        <w:t>2.绩效评价指标体系</w:t>
      </w:r>
      <w:bookmarkEnd w:id="10"/>
      <w:bookmarkEnd w:id="11"/>
      <w:bookmarkEnd w:id="12"/>
    </w:p>
    <w:p w14:paraId="4844767E">
      <w:pPr>
        <w:ind w:firstLine="640" w:firstLineChars="200"/>
        <w:rPr>
          <w:rFonts w:ascii="仿宋_GB2312" w:hAnsi="仿宋_GB2312" w:eastAsia="仿宋_GB2312" w:cs="仿宋_GB2312"/>
          <w:color w:val="000000"/>
          <w:sz w:val="32"/>
        </w:rPr>
      </w:pPr>
      <w:r>
        <w:rPr>
          <w:rFonts w:hint="eastAsia" w:ascii="仿宋_GB2312" w:hAnsi="仿宋_GB2312" w:eastAsia="仿宋_GB2312" w:cs="仿宋_GB2312"/>
          <w:color w:val="000000"/>
          <w:sz w:val="32"/>
        </w:rPr>
        <w:t>绩效评价指标体系主要包括项目决策、项目过程、项目产出、项目效益四个方面，满分100分。一是决策指标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color w:val="000000"/>
          <w:sz w:val="32"/>
        </w:rPr>
        <w:t>，主要评价项目立项、绩效目标和资金投入内容；二是过程指标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20分</w:t>
      </w:r>
      <w:r>
        <w:rPr>
          <w:rFonts w:hint="eastAsia" w:ascii="仿宋_GB2312" w:hAnsi="仿宋_GB2312" w:eastAsia="仿宋_GB2312" w:cs="仿宋_GB2312"/>
          <w:sz w:val="32"/>
          <w:lang w:eastAsia="zh-CN"/>
        </w:rPr>
        <w:t>）</w:t>
      </w:r>
      <w:r>
        <w:rPr>
          <w:rFonts w:hint="eastAsia" w:ascii="仿宋_GB2312" w:hAnsi="仿宋_GB2312" w:eastAsia="仿宋_GB2312" w:cs="仿宋_GB2312"/>
          <w:color w:val="000000"/>
          <w:sz w:val="32"/>
        </w:rPr>
        <w:t>，主要评价项目资金管理和组织实施内容；三是产出指标</w:t>
      </w:r>
      <w:r>
        <w:rPr>
          <w:rFonts w:hint="eastAsia" w:ascii="仿宋_GB2312" w:hAnsi="仿宋_GB2312" w:eastAsia="仿宋_GB2312" w:cs="仿宋_GB2312"/>
          <w:color w:val="000000"/>
          <w:sz w:val="32"/>
          <w:lang w:eastAsia="zh-CN"/>
        </w:rPr>
        <w:t>（</w:t>
      </w:r>
      <w:r>
        <w:rPr>
          <w:rFonts w:hint="eastAsia" w:ascii="仿宋_GB2312" w:hAnsi="仿宋_GB2312" w:eastAsia="仿宋_GB2312" w:cs="仿宋_GB2312"/>
          <w:color w:val="000000"/>
          <w:sz w:val="32"/>
          <w:lang w:val="en-US" w:eastAsia="zh-CN"/>
        </w:rPr>
        <w:t>30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color w:val="000000"/>
          <w:sz w:val="32"/>
        </w:rPr>
        <w:t>，主要评价项目产出数量、产出质量、产出时效和产出成本；四是效益指标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30分</w:t>
      </w:r>
      <w:r>
        <w:rPr>
          <w:rFonts w:hint="eastAsia" w:ascii="仿宋_GB2312" w:hAnsi="仿宋_GB2312" w:eastAsia="仿宋_GB2312" w:cs="仿宋_GB2312"/>
          <w:sz w:val="32"/>
          <w:lang w:eastAsia="zh-CN"/>
        </w:rPr>
        <w:t>）</w:t>
      </w:r>
      <w:r>
        <w:rPr>
          <w:rFonts w:hint="eastAsia" w:ascii="仿宋_GB2312" w:hAnsi="仿宋_GB2312" w:eastAsia="仿宋_GB2312" w:cs="仿宋_GB2312"/>
          <w:color w:val="000000"/>
          <w:sz w:val="32"/>
        </w:rPr>
        <w:t>，主要评价项目实施效益和服务对象满意度内容。绩效评价指标体系详见附件。</w:t>
      </w:r>
    </w:p>
    <w:p w14:paraId="07D9C02B">
      <w:pPr>
        <w:ind w:firstLine="640" w:firstLineChars="200"/>
        <w:rPr>
          <w:rFonts w:ascii="仿宋_GB2312" w:hAnsi="仿宋_GB2312" w:eastAsia="仿宋_GB2312" w:cs="仿宋_GB2312"/>
          <w:color w:val="000000"/>
          <w:sz w:val="32"/>
        </w:rPr>
      </w:pPr>
      <w:bookmarkStart w:id="13" w:name="_Toc72129835"/>
      <w:bookmarkStart w:id="14" w:name="_Toc72117820"/>
      <w:bookmarkStart w:id="15" w:name="_Toc73028727"/>
      <w:r>
        <w:rPr>
          <w:rFonts w:hint="eastAsia" w:ascii="仿宋_GB2312" w:hAnsi="仿宋_GB2312" w:eastAsia="仿宋_GB2312" w:cs="仿宋_GB2312"/>
          <w:color w:val="000000"/>
          <w:sz w:val="32"/>
        </w:rPr>
        <w:t>3.评价标准</w:t>
      </w:r>
      <w:bookmarkEnd w:id="13"/>
      <w:bookmarkEnd w:id="14"/>
      <w:bookmarkEnd w:id="15"/>
    </w:p>
    <w:p w14:paraId="2BE8DF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rPr>
        <w:t>本次绩效评价标准为计划标准，以该项目预先制定的</w:t>
      </w:r>
      <w:r>
        <w:rPr>
          <w:rFonts w:hint="eastAsia" w:ascii="仿宋_GB2312" w:hAnsi="仿宋_GB2312" w:eastAsia="仿宋_GB2312" w:cs="仿宋_GB2312"/>
          <w:color w:val="000000"/>
          <w:sz w:val="32"/>
          <w:lang w:val="en-US" w:eastAsia="zh-CN"/>
        </w:rPr>
        <w:t>项目</w:t>
      </w:r>
      <w:r>
        <w:rPr>
          <w:rFonts w:hint="eastAsia" w:ascii="仿宋_GB2312" w:hAnsi="仿宋_GB2312" w:eastAsia="仿宋_GB2312" w:cs="仿宋_GB2312"/>
          <w:color w:val="000000"/>
          <w:sz w:val="32"/>
        </w:rPr>
        <w:t>目标、计划、预算作为评价标准，对绩效指标完成情况进行比较。</w:t>
      </w:r>
    </w:p>
    <w:p w14:paraId="31ADAE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16" w:name="_Toc31929"/>
      <w:r>
        <w:rPr>
          <w:rFonts w:hint="eastAsia" w:ascii="仿宋_GB2312" w:hAnsi="仿宋_GB2312" w:eastAsia="仿宋_GB2312" w:cs="仿宋_GB2312"/>
          <w:color w:val="000000"/>
          <w:kern w:val="0"/>
          <w:sz w:val="32"/>
          <w:szCs w:val="32"/>
        </w:rPr>
        <w:t>（三）绩效评价工作过程</w:t>
      </w:r>
      <w:bookmarkEnd w:id="16"/>
    </w:p>
    <w:p w14:paraId="567DCA2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绩效评价工作程序主要分为评价准备、实施、报告撰写三个阶段。</w:t>
      </w:r>
    </w:p>
    <w:p w14:paraId="3600CFC1">
      <w:pPr>
        <w:spacing w:line="600" w:lineRule="exact"/>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准备阶段</w:t>
      </w:r>
      <w:r>
        <w:rPr>
          <w:rFonts w:hint="eastAsia" w:ascii="仿宋_GB2312" w:hAnsi="仿宋_GB2312" w:eastAsia="仿宋_GB2312" w:cs="仿宋_GB2312"/>
          <w:sz w:val="32"/>
          <w:szCs w:val="32"/>
          <w:lang w:eastAsia="zh-CN"/>
        </w:rPr>
        <w:t>。</w:t>
      </w:r>
    </w:p>
    <w:p w14:paraId="453DC8D5">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rPr>
        <w:t>门头沟</w:t>
      </w:r>
      <w:r>
        <w:rPr>
          <w:rFonts w:hint="eastAsia" w:ascii="仿宋_GB2312" w:hAnsi="仿宋_GB2312" w:eastAsia="仿宋_GB2312" w:cs="仿宋_GB2312"/>
          <w:sz w:val="32"/>
          <w:szCs w:val="32"/>
          <w:lang w:val="en-US" w:eastAsia="zh-CN"/>
        </w:rPr>
        <w:t>检察院</w:t>
      </w:r>
      <w:r>
        <w:rPr>
          <w:rFonts w:hint="eastAsia" w:ascii="仿宋_GB2312" w:hAnsi="仿宋_GB2312" w:eastAsia="仿宋_GB2312" w:cs="仿宋_GB2312"/>
          <w:sz w:val="32"/>
          <w:szCs w:val="32"/>
        </w:rPr>
        <w:t>成立了绩效评价工作</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组，</w:t>
      </w:r>
      <w:r>
        <w:rPr>
          <w:rFonts w:hint="eastAsia" w:ascii="仿宋_GB2312" w:hAnsi="仿宋_GB2312" w:eastAsia="仿宋_GB2312" w:cs="仿宋_GB2312"/>
          <w:sz w:val="32"/>
          <w:szCs w:val="32"/>
          <w:lang w:val="en-US" w:eastAsia="zh-CN"/>
        </w:rPr>
        <w:t>聘请第三方会计师事务所开展具体绩效评价工作。工作小组</w:t>
      </w:r>
      <w:r>
        <w:rPr>
          <w:rFonts w:hint="eastAsia" w:ascii="仿宋_GB2312" w:hAnsi="仿宋_GB2312" w:eastAsia="仿宋_GB2312" w:cs="仿宋_GB2312"/>
          <w:sz w:val="32"/>
          <w:szCs w:val="32"/>
        </w:rPr>
        <w:t>初步了解项目预算执行情况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项目申报及执行情况、项目效益实现情况，收集整理资料，进行初步审核。</w:t>
      </w:r>
    </w:p>
    <w:p w14:paraId="386B9C52">
      <w:pPr>
        <w:spacing w:line="6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2.实施阶段</w:t>
      </w:r>
    </w:p>
    <w:p w14:paraId="25CFEA8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本阶段主要是</w:t>
      </w:r>
      <w:r>
        <w:rPr>
          <w:rFonts w:hint="eastAsia" w:ascii="仿宋_GB2312" w:hAnsi="仿宋_GB2312" w:eastAsia="仿宋_GB2312" w:cs="仿宋_GB2312"/>
          <w:sz w:val="32"/>
          <w:szCs w:val="32"/>
        </w:rPr>
        <w:t>了解绩效目标设立及完成情况。对于绩效目标的完成情况，评价工作组详细了解绩效目标的实施过程和取得的成果，并对相关数据和成果与绩效目标进行核对。对提交的项目绩效报告及基础资料进行分类整理，按照评价体系内容和评价重点</w:t>
      </w:r>
      <w:r>
        <w:rPr>
          <w:rFonts w:hint="eastAsia" w:ascii="仿宋_GB2312" w:hAnsi="仿宋_GB2312" w:eastAsia="仿宋_GB2312" w:cs="仿宋_GB2312"/>
          <w:sz w:val="32"/>
          <w:szCs w:val="32"/>
          <w:lang w:val="en-US" w:eastAsia="zh-CN"/>
        </w:rPr>
        <w:t>进行分析</w:t>
      </w:r>
      <w:r>
        <w:rPr>
          <w:rFonts w:hint="eastAsia" w:ascii="仿宋_GB2312" w:hAnsi="仿宋_GB2312" w:eastAsia="仿宋_GB2312" w:cs="仿宋_GB2312"/>
          <w:sz w:val="32"/>
          <w:szCs w:val="32"/>
        </w:rPr>
        <w:t>，并将</w:t>
      </w:r>
      <w:r>
        <w:rPr>
          <w:rFonts w:hint="eastAsia" w:ascii="仿宋_GB2312" w:hAnsi="仿宋_GB2312" w:eastAsia="仿宋_GB2312" w:cs="仿宋_GB2312"/>
          <w:sz w:val="32"/>
          <w:szCs w:val="32"/>
          <w:lang w:val="en-US" w:eastAsia="zh-CN"/>
        </w:rPr>
        <w:t>评价</w:t>
      </w:r>
      <w:r>
        <w:rPr>
          <w:rFonts w:hint="eastAsia" w:ascii="仿宋_GB2312" w:hAnsi="仿宋_GB2312" w:eastAsia="仿宋_GB2312" w:cs="仿宋_GB2312"/>
          <w:sz w:val="32"/>
          <w:szCs w:val="32"/>
        </w:rPr>
        <w:t>结果与各具体项目实施单位反复进行沟通。</w:t>
      </w:r>
    </w:p>
    <w:p w14:paraId="65DE8288">
      <w:pPr>
        <w:spacing w:line="6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3.报告阶段</w:t>
      </w:r>
    </w:p>
    <w:p w14:paraId="134683E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会计师事务所</w:t>
      </w:r>
      <w:r>
        <w:rPr>
          <w:rFonts w:hint="eastAsia" w:ascii="仿宋_GB2312" w:hAnsi="仿宋_GB2312" w:eastAsia="仿宋_GB2312" w:cs="仿宋_GB2312"/>
          <w:color w:val="000000"/>
          <w:kern w:val="0"/>
          <w:sz w:val="32"/>
          <w:szCs w:val="32"/>
          <w:lang w:val="en-US" w:eastAsia="zh-CN"/>
        </w:rPr>
        <w:t>开展项目绩效</w:t>
      </w:r>
      <w:r>
        <w:rPr>
          <w:rFonts w:hint="eastAsia" w:ascii="仿宋_GB2312" w:hAnsi="仿宋_GB2312" w:eastAsia="仿宋_GB2312" w:cs="仿宋_GB2312"/>
          <w:color w:val="000000"/>
          <w:kern w:val="0"/>
          <w:sz w:val="32"/>
          <w:szCs w:val="32"/>
        </w:rPr>
        <w:t>评价</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出具绩效评价</w:t>
      </w:r>
      <w:r>
        <w:rPr>
          <w:rFonts w:hint="eastAsia" w:ascii="仿宋_GB2312" w:hAnsi="仿宋_GB2312" w:eastAsia="仿宋_GB2312" w:cs="仿宋_GB2312"/>
          <w:color w:val="000000"/>
          <w:kern w:val="0"/>
          <w:sz w:val="32"/>
          <w:szCs w:val="32"/>
        </w:rPr>
        <w:t>意见，</w:t>
      </w:r>
      <w:r>
        <w:rPr>
          <w:rFonts w:hint="eastAsia" w:ascii="仿宋_GB2312" w:hAnsi="仿宋_GB2312" w:eastAsia="仿宋_GB2312" w:cs="仿宋_GB2312"/>
          <w:color w:val="000000"/>
          <w:kern w:val="0"/>
          <w:sz w:val="32"/>
          <w:szCs w:val="32"/>
          <w:lang w:val="en-US" w:eastAsia="zh-CN"/>
        </w:rPr>
        <w:t>形成</w:t>
      </w:r>
      <w:r>
        <w:rPr>
          <w:rFonts w:hint="eastAsia" w:ascii="仿宋_GB2312" w:hAnsi="仿宋_GB2312" w:eastAsia="仿宋_GB2312" w:cs="仿宋_GB2312"/>
          <w:color w:val="000000"/>
          <w:kern w:val="0"/>
          <w:sz w:val="32"/>
          <w:szCs w:val="32"/>
        </w:rPr>
        <w:t>绩效评价报告</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门头沟检察院对</w:t>
      </w:r>
      <w:r>
        <w:rPr>
          <w:rFonts w:hint="eastAsia" w:ascii="仿宋_GB2312" w:hAnsi="仿宋_GB2312" w:eastAsia="仿宋_GB2312" w:cs="仿宋_GB2312"/>
          <w:sz w:val="32"/>
          <w:szCs w:val="32"/>
        </w:rPr>
        <w:t>绩效评价报告</w:t>
      </w:r>
      <w:r>
        <w:rPr>
          <w:rFonts w:hint="eastAsia" w:ascii="仿宋_GB2312" w:hAnsi="仿宋_GB2312" w:eastAsia="仿宋_GB2312" w:cs="仿宋_GB2312"/>
          <w:sz w:val="32"/>
          <w:szCs w:val="32"/>
          <w:lang w:val="en-US" w:eastAsia="zh-CN"/>
        </w:rPr>
        <w:t>进行审核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在充分研究论证的基础上，修改和完善绩效评价报告，形成</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评价报告终稿。</w:t>
      </w:r>
    </w:p>
    <w:p w14:paraId="3A2536D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color w:val="000000"/>
          <w:kern w:val="0"/>
          <w:sz w:val="32"/>
          <w:szCs w:val="32"/>
        </w:rPr>
      </w:pPr>
      <w:bookmarkStart w:id="17" w:name="_Toc15469"/>
      <w:r>
        <w:rPr>
          <w:rFonts w:hint="eastAsia" w:ascii="仿宋_GB2312" w:hAnsi="仿宋_GB2312" w:eastAsia="仿宋_GB2312" w:cs="仿宋_GB2312"/>
          <w:b/>
          <w:color w:val="000000"/>
          <w:kern w:val="0"/>
          <w:sz w:val="32"/>
          <w:szCs w:val="32"/>
        </w:rPr>
        <w:t>三、综合评价情况及评价结论</w:t>
      </w:r>
      <w:bookmarkEnd w:id="17"/>
    </w:p>
    <w:p w14:paraId="742A5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门头沟检察院2024年度“</w:t>
      </w:r>
      <w:r>
        <w:rPr>
          <w:rFonts w:hint="eastAsia" w:ascii="仿宋_GB2312" w:hAnsi="仿宋_GB2312" w:eastAsia="仿宋_GB2312" w:cs="仿宋_GB2312"/>
          <w:color w:val="000000"/>
          <w:kern w:val="0"/>
          <w:sz w:val="32"/>
          <w:szCs w:val="32"/>
          <w:highlight w:val="none"/>
        </w:rPr>
        <w:t>绩效评审咨询服务费</w:t>
      </w:r>
      <w:r>
        <w:rPr>
          <w:rFonts w:hint="eastAsia" w:ascii="仿宋_GB2312" w:hAnsi="仿宋_GB2312" w:eastAsia="仿宋_GB2312" w:cs="仿宋_GB2312"/>
          <w:color w:val="000000"/>
          <w:kern w:val="0"/>
          <w:sz w:val="32"/>
          <w:szCs w:val="32"/>
          <w:highlight w:val="none"/>
          <w:lang w:val="en-US" w:eastAsia="zh-CN"/>
        </w:rPr>
        <w:t>”项目</w:t>
      </w:r>
      <w:r>
        <w:rPr>
          <w:rFonts w:hint="eastAsia" w:ascii="仿宋_GB2312" w:hAnsi="仿宋_GB2312" w:eastAsia="仿宋_GB2312" w:cs="仿宋_GB2312"/>
          <w:color w:val="000000"/>
          <w:kern w:val="0"/>
          <w:sz w:val="32"/>
          <w:szCs w:val="32"/>
          <w:highlight w:val="none"/>
        </w:rPr>
        <w:t>，绩效评价综合得分</w:t>
      </w:r>
      <w:r>
        <w:rPr>
          <w:rFonts w:hint="eastAsia" w:ascii="仿宋_GB2312" w:hAnsi="仿宋_GB2312" w:eastAsia="仿宋_GB2312" w:cs="仿宋_GB2312"/>
          <w:color w:val="000000"/>
          <w:kern w:val="0"/>
          <w:sz w:val="32"/>
          <w:szCs w:val="32"/>
          <w:highlight w:val="none"/>
          <w:lang w:val="en-US" w:eastAsia="zh-CN"/>
        </w:rPr>
        <w:t>90.00</w:t>
      </w:r>
      <w:r>
        <w:rPr>
          <w:rFonts w:hint="eastAsia" w:ascii="仿宋_GB2312" w:hAnsi="仿宋_GB2312" w:eastAsia="仿宋_GB2312" w:cs="仿宋_GB2312"/>
          <w:color w:val="000000"/>
          <w:kern w:val="0"/>
          <w:sz w:val="32"/>
          <w:szCs w:val="32"/>
          <w:highlight w:val="none"/>
        </w:rPr>
        <w:t>分，其中项目决策</w:t>
      </w:r>
      <w:r>
        <w:rPr>
          <w:rFonts w:hint="eastAsia" w:ascii="仿宋_GB2312" w:hAnsi="仿宋_GB2312" w:eastAsia="仿宋_GB2312" w:cs="仿宋_GB2312"/>
          <w:color w:val="000000"/>
          <w:kern w:val="0"/>
          <w:sz w:val="32"/>
          <w:szCs w:val="32"/>
          <w:highlight w:val="none"/>
          <w:lang w:val="en-US" w:eastAsia="zh-CN"/>
        </w:rPr>
        <w:t>19.00</w:t>
      </w:r>
      <w:r>
        <w:rPr>
          <w:rFonts w:hint="eastAsia" w:ascii="仿宋_GB2312" w:hAnsi="仿宋_GB2312" w:eastAsia="仿宋_GB2312" w:cs="仿宋_GB2312"/>
          <w:color w:val="000000"/>
          <w:kern w:val="0"/>
          <w:sz w:val="32"/>
          <w:szCs w:val="32"/>
          <w:highlight w:val="none"/>
        </w:rPr>
        <w:t>分、项目</w:t>
      </w:r>
      <w:r>
        <w:rPr>
          <w:rFonts w:hint="eastAsia" w:ascii="仿宋_GB2312" w:hAnsi="仿宋_GB2312" w:eastAsia="仿宋_GB2312" w:cs="仿宋_GB2312"/>
          <w:color w:val="000000"/>
          <w:kern w:val="0"/>
          <w:sz w:val="32"/>
          <w:szCs w:val="32"/>
          <w:highlight w:val="none"/>
          <w:lang w:val="en-US" w:eastAsia="zh-CN"/>
        </w:rPr>
        <w:t>过程20.00</w:t>
      </w:r>
      <w:r>
        <w:rPr>
          <w:rFonts w:hint="eastAsia" w:ascii="仿宋_GB2312" w:hAnsi="仿宋_GB2312" w:eastAsia="仿宋_GB2312" w:cs="仿宋_GB2312"/>
          <w:color w:val="000000"/>
          <w:kern w:val="0"/>
          <w:sz w:val="32"/>
          <w:szCs w:val="32"/>
          <w:highlight w:val="none"/>
        </w:rPr>
        <w:t>分、项目</w:t>
      </w:r>
      <w:r>
        <w:rPr>
          <w:rFonts w:hint="eastAsia" w:ascii="仿宋_GB2312" w:hAnsi="仿宋_GB2312" w:eastAsia="仿宋_GB2312" w:cs="仿宋_GB2312"/>
          <w:color w:val="000000"/>
          <w:kern w:val="0"/>
          <w:sz w:val="32"/>
          <w:szCs w:val="32"/>
          <w:highlight w:val="none"/>
          <w:lang w:val="en-US" w:eastAsia="zh-CN"/>
        </w:rPr>
        <w:t>产出28.00</w:t>
      </w:r>
      <w:r>
        <w:rPr>
          <w:rFonts w:hint="eastAsia" w:ascii="仿宋_GB2312" w:hAnsi="仿宋_GB2312" w:eastAsia="仿宋_GB2312" w:cs="仿宋_GB2312"/>
          <w:color w:val="000000"/>
          <w:kern w:val="0"/>
          <w:sz w:val="32"/>
          <w:szCs w:val="32"/>
          <w:highlight w:val="none"/>
        </w:rPr>
        <w:t>分，</w:t>
      </w:r>
      <w:r>
        <w:rPr>
          <w:rFonts w:hint="eastAsia" w:ascii="仿宋_GB2312" w:hAnsi="仿宋_GB2312" w:eastAsia="仿宋_GB2312" w:cs="仿宋_GB2312"/>
          <w:color w:val="000000"/>
          <w:kern w:val="0"/>
          <w:sz w:val="32"/>
          <w:szCs w:val="32"/>
          <w:highlight w:val="none"/>
          <w:lang w:val="en-US" w:eastAsia="zh-CN"/>
        </w:rPr>
        <w:t>项目效益23.00</w:t>
      </w:r>
      <w:r>
        <w:rPr>
          <w:rFonts w:hint="eastAsia" w:ascii="仿宋_GB2312" w:hAnsi="仿宋_GB2312" w:eastAsia="仿宋_GB2312" w:cs="仿宋_GB2312"/>
          <w:color w:val="000000"/>
          <w:kern w:val="0"/>
          <w:sz w:val="32"/>
          <w:szCs w:val="32"/>
          <w:highlight w:val="none"/>
        </w:rPr>
        <w:t>分</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rPr>
        <w:t>绩效评定结论为“</w:t>
      </w:r>
      <w:r>
        <w:rPr>
          <w:rFonts w:hint="eastAsia" w:ascii="仿宋_GB2312" w:hAnsi="仿宋_GB2312" w:eastAsia="仿宋_GB2312" w:cs="仿宋_GB2312"/>
          <w:color w:val="000000"/>
          <w:kern w:val="0"/>
          <w:sz w:val="32"/>
          <w:szCs w:val="32"/>
          <w:highlight w:val="none"/>
          <w:lang w:val="en-US" w:eastAsia="zh-CN"/>
        </w:rPr>
        <w:t>优秀</w:t>
      </w:r>
      <w:r>
        <w:rPr>
          <w:rFonts w:hint="eastAsia" w:ascii="仿宋_GB2312" w:hAnsi="仿宋_GB2312" w:eastAsia="仿宋_GB2312" w:cs="仿宋_GB2312"/>
          <w:color w:val="000000"/>
          <w:kern w:val="0"/>
          <w:sz w:val="32"/>
          <w:szCs w:val="32"/>
          <w:highlight w:val="none"/>
        </w:rPr>
        <w:t>”。</w:t>
      </w:r>
    </w:p>
    <w:p w14:paraId="3007C3B5">
      <w:pPr>
        <w:spacing w:line="600" w:lineRule="exact"/>
        <w:ind w:firstLine="0" w:firstLineChars="0"/>
        <w:jc w:val="center"/>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2024年度“</w:t>
      </w:r>
      <w:r>
        <w:rPr>
          <w:rFonts w:hint="eastAsia" w:ascii="仿宋_GB2312" w:hAnsi="仿宋_GB2312" w:eastAsia="仿宋_GB2312" w:cs="仿宋_GB2312"/>
          <w:color w:val="000000"/>
          <w:kern w:val="0"/>
          <w:sz w:val="28"/>
          <w:szCs w:val="28"/>
        </w:rPr>
        <w:t>绩效评审咨询服务费</w:t>
      </w:r>
      <w:r>
        <w:rPr>
          <w:rFonts w:hint="eastAsia" w:ascii="仿宋_GB2312" w:hAnsi="仿宋_GB2312" w:eastAsia="仿宋_GB2312" w:cs="仿宋_GB2312"/>
          <w:color w:val="000000"/>
          <w:kern w:val="0"/>
          <w:sz w:val="28"/>
          <w:szCs w:val="28"/>
          <w:lang w:val="en-US" w:eastAsia="zh-CN"/>
        </w:rPr>
        <w:t>”项目</w:t>
      </w:r>
      <w:r>
        <w:rPr>
          <w:rFonts w:hint="eastAsia" w:ascii="仿宋_GB2312" w:hAnsi="仿宋_GB2312" w:eastAsia="仿宋_GB2312" w:cs="仿宋_GB2312"/>
          <w:color w:val="000000"/>
          <w:kern w:val="0"/>
          <w:sz w:val="28"/>
          <w:szCs w:val="28"/>
        </w:rPr>
        <w:t>绩效评价结论一览表</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autofit"/>
        <w:tblCellMar>
          <w:top w:w="0" w:type="dxa"/>
          <w:left w:w="108" w:type="dxa"/>
          <w:bottom w:w="0" w:type="dxa"/>
          <w:right w:w="108" w:type="dxa"/>
        </w:tblCellMar>
      </w:tblPr>
      <w:tblGrid>
        <w:gridCol w:w="3278"/>
        <w:gridCol w:w="2726"/>
        <w:gridCol w:w="2508"/>
      </w:tblGrid>
      <w:tr w14:paraId="03BF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23" w:hRule="atLeast"/>
        </w:trPr>
        <w:tc>
          <w:tcPr>
            <w:tcW w:w="1925" w:type="pct"/>
            <w:tcBorders>
              <w:tl2br w:val="nil"/>
              <w:tr2bl w:val="nil"/>
            </w:tcBorders>
            <w:shd w:val="clear" w:color="000000" w:fill="auto"/>
            <w:noWrap w:val="0"/>
            <w:vAlign w:val="top"/>
          </w:tcPr>
          <w:p w14:paraId="05E9B971">
            <w:pPr>
              <w:keepNext w:val="0"/>
              <w:keepLines w:val="0"/>
              <w:pageBreakBefore w:val="0"/>
              <w:widowControl/>
              <w:kinsoku/>
              <w:wordWrap/>
              <w:overflowPunct/>
              <w:topLinePunct w:val="0"/>
              <w:bidi w:val="0"/>
              <w:spacing w:line="560" w:lineRule="exact"/>
              <w:jc w:val="center"/>
              <w:textAlignment w:val="auto"/>
              <w:rPr>
                <w:rFonts w:hint="eastAsia" w:ascii="仿宋_GB2312" w:hAnsi="仿宋_GB2312" w:eastAsia="仿宋_GB2312" w:cs="仿宋_GB2312"/>
                <w:b/>
                <w:bCs/>
                <w:kern w:val="0"/>
                <w:sz w:val="28"/>
                <w:szCs w:val="28"/>
                <w:highlight w:val="none"/>
              </w:rPr>
            </w:pPr>
            <w:r>
              <w:rPr>
                <w:rFonts w:hint="eastAsia" w:ascii="仿宋_GB2312" w:hAnsi="仿宋_GB2312" w:eastAsia="仿宋_GB2312" w:cs="仿宋_GB2312"/>
                <w:b/>
                <w:bCs/>
                <w:kern w:val="0"/>
                <w:sz w:val="28"/>
                <w:szCs w:val="28"/>
                <w:highlight w:val="none"/>
              </w:rPr>
              <w:t>评价内容</w:t>
            </w:r>
          </w:p>
        </w:tc>
        <w:tc>
          <w:tcPr>
            <w:tcW w:w="1601" w:type="pct"/>
            <w:tcBorders>
              <w:tl2br w:val="nil"/>
              <w:tr2bl w:val="nil"/>
            </w:tcBorders>
            <w:shd w:val="clear" w:color="000000" w:fill="auto"/>
            <w:noWrap w:val="0"/>
            <w:vAlign w:val="top"/>
          </w:tcPr>
          <w:p w14:paraId="186559A1">
            <w:pPr>
              <w:keepNext w:val="0"/>
              <w:keepLines w:val="0"/>
              <w:pageBreakBefore w:val="0"/>
              <w:widowControl/>
              <w:kinsoku/>
              <w:wordWrap/>
              <w:overflowPunct/>
              <w:topLinePunct w:val="0"/>
              <w:bidi w:val="0"/>
              <w:spacing w:line="560" w:lineRule="exact"/>
              <w:jc w:val="center"/>
              <w:textAlignment w:val="auto"/>
              <w:rPr>
                <w:rFonts w:hint="eastAsia" w:ascii="仿宋_GB2312" w:hAnsi="仿宋_GB2312" w:eastAsia="仿宋_GB2312" w:cs="仿宋_GB2312"/>
                <w:b/>
                <w:bCs/>
                <w:kern w:val="0"/>
                <w:sz w:val="28"/>
                <w:szCs w:val="28"/>
                <w:highlight w:val="none"/>
              </w:rPr>
            </w:pPr>
            <w:r>
              <w:rPr>
                <w:rFonts w:hint="eastAsia" w:ascii="仿宋_GB2312" w:hAnsi="仿宋_GB2312" w:eastAsia="仿宋_GB2312" w:cs="仿宋_GB2312"/>
                <w:b/>
                <w:bCs/>
                <w:kern w:val="0"/>
                <w:sz w:val="28"/>
                <w:szCs w:val="28"/>
                <w:highlight w:val="none"/>
              </w:rPr>
              <w:t>分值</w:t>
            </w:r>
          </w:p>
        </w:tc>
        <w:tc>
          <w:tcPr>
            <w:tcW w:w="1473" w:type="pct"/>
            <w:tcBorders>
              <w:tl2br w:val="nil"/>
              <w:tr2bl w:val="nil"/>
            </w:tcBorders>
            <w:shd w:val="clear" w:color="000000" w:fill="auto"/>
            <w:noWrap w:val="0"/>
            <w:vAlign w:val="top"/>
          </w:tcPr>
          <w:p w14:paraId="1E6D8EB5">
            <w:pPr>
              <w:keepNext w:val="0"/>
              <w:keepLines w:val="0"/>
              <w:pageBreakBefore w:val="0"/>
              <w:widowControl/>
              <w:kinsoku/>
              <w:wordWrap/>
              <w:overflowPunct/>
              <w:topLinePunct w:val="0"/>
              <w:bidi w:val="0"/>
              <w:spacing w:line="560" w:lineRule="exact"/>
              <w:jc w:val="center"/>
              <w:textAlignment w:val="auto"/>
              <w:rPr>
                <w:rFonts w:hint="eastAsia" w:ascii="仿宋_GB2312" w:hAnsi="仿宋_GB2312" w:eastAsia="仿宋_GB2312" w:cs="仿宋_GB2312"/>
                <w:b/>
                <w:bCs/>
                <w:kern w:val="0"/>
                <w:sz w:val="28"/>
                <w:szCs w:val="28"/>
                <w:highlight w:val="none"/>
              </w:rPr>
            </w:pPr>
            <w:r>
              <w:rPr>
                <w:rFonts w:hint="eastAsia" w:ascii="仿宋_GB2312" w:hAnsi="仿宋_GB2312" w:eastAsia="仿宋_GB2312" w:cs="仿宋_GB2312"/>
                <w:b/>
                <w:bCs/>
                <w:kern w:val="0"/>
                <w:sz w:val="28"/>
                <w:szCs w:val="28"/>
                <w:highlight w:val="none"/>
              </w:rPr>
              <w:t>评价得分</w:t>
            </w:r>
          </w:p>
        </w:tc>
      </w:tr>
      <w:tr w14:paraId="3FD7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25" w:type="pct"/>
            <w:tcBorders>
              <w:tl2br w:val="nil"/>
              <w:tr2bl w:val="nil"/>
            </w:tcBorders>
            <w:shd w:val="clear" w:color="000000" w:fill="auto"/>
            <w:noWrap w:val="0"/>
            <w:vAlign w:val="center"/>
          </w:tcPr>
          <w:p w14:paraId="6E0E7D5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项目决策</w:t>
            </w:r>
          </w:p>
        </w:tc>
        <w:tc>
          <w:tcPr>
            <w:tcW w:w="1601" w:type="pct"/>
            <w:tcBorders>
              <w:tl2br w:val="nil"/>
              <w:tr2bl w:val="nil"/>
            </w:tcBorders>
            <w:shd w:val="clear" w:color="000000" w:fill="auto"/>
            <w:noWrap w:val="0"/>
            <w:vAlign w:val="center"/>
          </w:tcPr>
          <w:p w14:paraId="711CFE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20.00</w:t>
            </w:r>
          </w:p>
        </w:tc>
        <w:tc>
          <w:tcPr>
            <w:tcW w:w="1473" w:type="pct"/>
            <w:tcBorders>
              <w:tl2br w:val="nil"/>
              <w:tr2bl w:val="nil"/>
            </w:tcBorders>
            <w:shd w:val="clear" w:color="000000" w:fill="auto"/>
            <w:noWrap w:val="0"/>
            <w:vAlign w:val="center"/>
          </w:tcPr>
          <w:p w14:paraId="7446EF7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19.00</w:t>
            </w:r>
          </w:p>
        </w:tc>
      </w:tr>
      <w:tr w14:paraId="38F6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25" w:type="pct"/>
            <w:tcBorders>
              <w:tl2br w:val="nil"/>
              <w:tr2bl w:val="nil"/>
            </w:tcBorders>
            <w:shd w:val="clear" w:color="000000" w:fill="auto"/>
            <w:noWrap w:val="0"/>
            <w:vAlign w:val="center"/>
          </w:tcPr>
          <w:p w14:paraId="5694A4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项目过程</w:t>
            </w:r>
          </w:p>
        </w:tc>
        <w:tc>
          <w:tcPr>
            <w:tcW w:w="1601" w:type="pct"/>
            <w:tcBorders>
              <w:tl2br w:val="nil"/>
              <w:tr2bl w:val="nil"/>
            </w:tcBorders>
            <w:shd w:val="clear" w:color="000000" w:fill="auto"/>
            <w:noWrap w:val="0"/>
            <w:vAlign w:val="center"/>
          </w:tcPr>
          <w:p w14:paraId="75DDFC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20.00</w:t>
            </w:r>
          </w:p>
        </w:tc>
        <w:tc>
          <w:tcPr>
            <w:tcW w:w="1473" w:type="pct"/>
            <w:tcBorders>
              <w:tl2br w:val="nil"/>
              <w:tr2bl w:val="nil"/>
            </w:tcBorders>
            <w:shd w:val="clear" w:color="000000" w:fill="auto"/>
            <w:noWrap w:val="0"/>
            <w:vAlign w:val="center"/>
          </w:tcPr>
          <w:p w14:paraId="117D2656">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20.00</w:t>
            </w:r>
          </w:p>
        </w:tc>
      </w:tr>
      <w:tr w14:paraId="6AA1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25" w:type="pct"/>
            <w:tcBorders>
              <w:tl2br w:val="nil"/>
              <w:tr2bl w:val="nil"/>
            </w:tcBorders>
            <w:shd w:val="clear" w:color="000000" w:fill="auto"/>
            <w:noWrap w:val="0"/>
            <w:vAlign w:val="center"/>
          </w:tcPr>
          <w:p w14:paraId="1D709B7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项目产出</w:t>
            </w:r>
          </w:p>
        </w:tc>
        <w:tc>
          <w:tcPr>
            <w:tcW w:w="1601" w:type="pct"/>
            <w:tcBorders>
              <w:tl2br w:val="nil"/>
              <w:tr2bl w:val="nil"/>
            </w:tcBorders>
            <w:shd w:val="clear" w:color="000000" w:fill="auto"/>
            <w:noWrap w:val="0"/>
            <w:vAlign w:val="center"/>
          </w:tcPr>
          <w:p w14:paraId="0007D9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30.00</w:t>
            </w:r>
          </w:p>
        </w:tc>
        <w:tc>
          <w:tcPr>
            <w:tcW w:w="1473" w:type="pct"/>
            <w:tcBorders>
              <w:tl2br w:val="nil"/>
              <w:tr2bl w:val="nil"/>
            </w:tcBorders>
            <w:shd w:val="clear" w:color="000000" w:fill="auto"/>
            <w:noWrap w:val="0"/>
            <w:vAlign w:val="center"/>
          </w:tcPr>
          <w:p w14:paraId="2EF4E3DB">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28.00</w:t>
            </w:r>
          </w:p>
        </w:tc>
      </w:tr>
      <w:tr w14:paraId="1379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925" w:type="pct"/>
            <w:tcBorders>
              <w:tl2br w:val="nil"/>
              <w:tr2bl w:val="nil"/>
            </w:tcBorders>
            <w:shd w:val="clear" w:color="000000" w:fill="auto"/>
            <w:noWrap w:val="0"/>
            <w:vAlign w:val="center"/>
          </w:tcPr>
          <w:p w14:paraId="23F4BA14">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项目效益</w:t>
            </w:r>
          </w:p>
        </w:tc>
        <w:tc>
          <w:tcPr>
            <w:tcW w:w="1601" w:type="pct"/>
            <w:tcBorders>
              <w:tl2br w:val="nil"/>
              <w:tr2bl w:val="nil"/>
            </w:tcBorders>
            <w:shd w:val="clear" w:color="000000" w:fill="auto"/>
            <w:noWrap w:val="0"/>
            <w:vAlign w:val="center"/>
          </w:tcPr>
          <w:p w14:paraId="146101A9">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30.00</w:t>
            </w:r>
          </w:p>
        </w:tc>
        <w:tc>
          <w:tcPr>
            <w:tcW w:w="1473" w:type="pct"/>
            <w:tcBorders>
              <w:tl2br w:val="nil"/>
              <w:tr2bl w:val="nil"/>
            </w:tcBorders>
            <w:shd w:val="clear" w:color="000000" w:fill="auto"/>
            <w:noWrap w:val="0"/>
            <w:vAlign w:val="center"/>
          </w:tcPr>
          <w:p w14:paraId="63F4380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23.00</w:t>
            </w:r>
          </w:p>
        </w:tc>
      </w:tr>
      <w:tr w14:paraId="5B40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25" w:type="pct"/>
            <w:tcBorders>
              <w:tl2br w:val="nil"/>
              <w:tr2bl w:val="nil"/>
            </w:tcBorders>
            <w:shd w:val="clear" w:color="000000" w:fill="auto"/>
            <w:noWrap w:val="0"/>
            <w:vAlign w:val="center"/>
          </w:tcPr>
          <w:p w14:paraId="451060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综合得分</w:t>
            </w:r>
          </w:p>
        </w:tc>
        <w:tc>
          <w:tcPr>
            <w:tcW w:w="1601" w:type="pct"/>
            <w:tcBorders>
              <w:tl2br w:val="nil"/>
              <w:tr2bl w:val="nil"/>
            </w:tcBorders>
            <w:shd w:val="clear" w:color="000000" w:fill="auto"/>
            <w:noWrap w:val="0"/>
            <w:vAlign w:val="center"/>
          </w:tcPr>
          <w:p w14:paraId="225E63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100.00</w:t>
            </w:r>
          </w:p>
        </w:tc>
        <w:tc>
          <w:tcPr>
            <w:tcW w:w="1473" w:type="pct"/>
            <w:tcBorders>
              <w:tl2br w:val="nil"/>
              <w:tr2bl w:val="nil"/>
            </w:tcBorders>
            <w:shd w:val="clear" w:color="000000" w:fill="auto"/>
            <w:noWrap w:val="0"/>
            <w:vAlign w:val="center"/>
          </w:tcPr>
          <w:p w14:paraId="61A42FF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90.00</w:t>
            </w:r>
          </w:p>
        </w:tc>
      </w:tr>
      <w:tr w14:paraId="2AE5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25" w:type="pct"/>
            <w:tcBorders>
              <w:tl2br w:val="nil"/>
              <w:tr2bl w:val="nil"/>
            </w:tcBorders>
            <w:shd w:val="clear" w:color="000000" w:fill="auto"/>
            <w:noWrap w:val="0"/>
            <w:vAlign w:val="top"/>
          </w:tcPr>
          <w:p w14:paraId="38E97DEC">
            <w:pPr>
              <w:keepNext w:val="0"/>
              <w:keepLines w:val="0"/>
              <w:pageBreakBefore w:val="0"/>
              <w:widowControl/>
              <w:kinsoku/>
              <w:wordWrap/>
              <w:overflowPunct/>
              <w:topLinePunct w:val="0"/>
              <w:bidi w:val="0"/>
              <w:spacing w:line="560" w:lineRule="exact"/>
              <w:jc w:val="center"/>
              <w:textAlignment w:val="auto"/>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bCs/>
                <w:sz w:val="28"/>
                <w:szCs w:val="28"/>
                <w:highlight w:val="none"/>
                <w:lang w:val="en-US" w:eastAsia="zh-CN"/>
              </w:rPr>
              <w:t>绩效评定级别</w:t>
            </w:r>
          </w:p>
        </w:tc>
        <w:tc>
          <w:tcPr>
            <w:tcW w:w="1601" w:type="pct"/>
            <w:tcBorders>
              <w:tl2br w:val="nil"/>
              <w:tr2bl w:val="nil"/>
            </w:tcBorders>
            <w:shd w:val="clear" w:color="000000" w:fill="auto"/>
            <w:noWrap w:val="0"/>
            <w:vAlign w:val="top"/>
          </w:tcPr>
          <w:p w14:paraId="55F73389">
            <w:pPr>
              <w:keepNext w:val="0"/>
              <w:keepLines w:val="0"/>
              <w:pageBreakBefore w:val="0"/>
              <w:widowControl/>
              <w:kinsoku/>
              <w:wordWrap/>
              <w:overflowPunct/>
              <w:topLinePunct w:val="0"/>
              <w:bidi w:val="0"/>
              <w:spacing w:line="560" w:lineRule="exact"/>
              <w:jc w:val="center"/>
              <w:textAlignment w:val="auto"/>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bCs/>
                <w:sz w:val="28"/>
                <w:szCs w:val="28"/>
                <w:highlight w:val="none"/>
                <w:lang w:val="en-US" w:eastAsia="zh-CN"/>
              </w:rPr>
              <w:t>优秀</w:t>
            </w:r>
          </w:p>
        </w:tc>
        <w:tc>
          <w:tcPr>
            <w:tcW w:w="1473" w:type="pct"/>
            <w:tcBorders>
              <w:tl2br w:val="nil"/>
              <w:tr2bl w:val="nil"/>
            </w:tcBorders>
            <w:shd w:val="clear" w:color="000000" w:fill="auto"/>
            <w:noWrap w:val="0"/>
            <w:vAlign w:val="center"/>
          </w:tcPr>
          <w:p w14:paraId="3C47EE1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r>
    </w:tbl>
    <w:p w14:paraId="4D4324B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color w:val="000000"/>
          <w:kern w:val="0"/>
          <w:sz w:val="32"/>
          <w:szCs w:val="32"/>
        </w:rPr>
      </w:pPr>
      <w:bookmarkStart w:id="18" w:name="_Toc18700"/>
      <w:r>
        <w:rPr>
          <w:rFonts w:hint="eastAsia" w:ascii="仿宋_GB2312" w:hAnsi="仿宋_GB2312" w:eastAsia="仿宋_GB2312" w:cs="仿宋_GB2312"/>
          <w:b/>
          <w:color w:val="000000"/>
          <w:kern w:val="0"/>
          <w:sz w:val="32"/>
          <w:szCs w:val="32"/>
        </w:rPr>
        <w:t>四、绩效评价指标分析</w:t>
      </w:r>
      <w:bookmarkEnd w:id="18"/>
    </w:p>
    <w:p w14:paraId="005B15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19" w:name="_Toc3566"/>
      <w:r>
        <w:rPr>
          <w:rFonts w:hint="eastAsia" w:ascii="仿宋_GB2312" w:hAnsi="仿宋_GB2312" w:eastAsia="仿宋_GB2312" w:cs="仿宋_GB2312"/>
          <w:color w:val="000000"/>
          <w:kern w:val="0"/>
          <w:sz w:val="32"/>
          <w:szCs w:val="32"/>
        </w:rPr>
        <w:t>（一）项目决策情况</w:t>
      </w:r>
      <w:bookmarkEnd w:id="19"/>
    </w:p>
    <w:p w14:paraId="46FEA5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1.项目立项分析</w:t>
      </w:r>
    </w:p>
    <w:p w14:paraId="10EA6EB4">
      <w:pPr>
        <w:widowControl/>
        <w:spacing w:line="560" w:lineRule="exact"/>
        <w:ind w:firstLine="624" w:firstLineChars="200"/>
        <w:jc w:val="both"/>
        <w:rPr>
          <w:rFonts w:hint="default" w:ascii="仿宋_GB2312" w:hAnsi="仿宋_GB2312" w:eastAsia="仿宋_GB2312" w:cs="仿宋_GB2312"/>
          <w:color w:val="auto"/>
          <w:sz w:val="32"/>
          <w:lang w:val="en-US" w:eastAsia="zh-CN"/>
        </w:rPr>
      </w:pPr>
      <w:r>
        <w:rPr>
          <w:rFonts w:hint="eastAsia" w:ascii="仿宋_GB2312" w:hAnsi="仿宋_GB2312" w:eastAsia="仿宋_GB2312" w:cs="仿宋_GB2312"/>
          <w:spacing w:val="-4"/>
          <w:sz w:val="32"/>
          <w:szCs w:val="32"/>
          <w:lang w:val="en-US" w:eastAsia="zh-CN"/>
        </w:rPr>
        <w:t>该项目依</w:t>
      </w:r>
      <w:r>
        <w:rPr>
          <w:rFonts w:hint="eastAsia" w:ascii="仿宋_GB2312" w:hAnsi="仿宋_GB2312" w:eastAsia="仿宋_GB2312" w:cs="仿宋_GB2312"/>
          <w:spacing w:val="-4"/>
          <w:sz w:val="32"/>
          <w:szCs w:val="32"/>
        </w:rPr>
        <w:t>据《中共北京市委北京市人民政府关于全面实施预算绩效管理的实施意见》（京发〔2019〕12号）《北京市预算绩效管理办法》及年</w:t>
      </w:r>
      <w:r>
        <w:rPr>
          <w:rFonts w:hint="eastAsia" w:ascii="仿宋_GB2312" w:hAnsi="仿宋_GB2312" w:eastAsia="仿宋_GB2312" w:cs="仿宋_GB2312"/>
          <w:spacing w:val="-4"/>
          <w:sz w:val="32"/>
          <w:szCs w:val="32"/>
          <w:lang w:val="en-US" w:eastAsia="zh-CN"/>
        </w:rPr>
        <w:t>度</w:t>
      </w:r>
      <w:r>
        <w:rPr>
          <w:rFonts w:hint="eastAsia" w:ascii="仿宋_GB2312" w:hAnsi="仿宋_GB2312" w:eastAsia="仿宋_GB2312" w:cs="仿宋_GB2312"/>
          <w:spacing w:val="-4"/>
          <w:sz w:val="32"/>
          <w:szCs w:val="32"/>
        </w:rPr>
        <w:t>全面预算绩效管理工作</w:t>
      </w:r>
      <w:r>
        <w:rPr>
          <w:rFonts w:hint="eastAsia" w:ascii="仿宋_GB2312" w:hAnsi="仿宋_GB2312" w:eastAsia="仿宋_GB2312" w:cs="仿宋_GB2312"/>
          <w:spacing w:val="-4"/>
          <w:sz w:val="32"/>
          <w:szCs w:val="32"/>
          <w:lang w:val="en-US" w:eastAsia="zh-CN"/>
        </w:rPr>
        <w:t>通知</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color w:val="000000"/>
          <w:kern w:val="0"/>
          <w:sz w:val="32"/>
          <w:szCs w:val="32"/>
          <w:lang w:val="en-US" w:eastAsia="zh-CN"/>
        </w:rPr>
        <w:t>财政部《行政事业单位内部控制规范（试行）》（财会〔2012〕21号）和北京市人民检察院印发的《关于印发&lt;北京市检察机关内部控制建设指标体系&gt;的通知》（京检发〔2022〕1号）财政部</w:t>
      </w:r>
      <w:r>
        <w:rPr>
          <w:rFonts w:hint="eastAsia" w:ascii="仿宋_GB2312" w:eastAsia="仿宋_GB2312"/>
          <w:sz w:val="32"/>
          <w:szCs w:val="32"/>
        </w:rPr>
        <w:t>《政府购买服务管理办法》（财政部令第102号）</w:t>
      </w:r>
      <w:r>
        <w:rPr>
          <w:rFonts w:hint="eastAsia" w:ascii="仿宋_GB2312" w:hAnsi="仿宋_GB2312" w:eastAsia="仿宋_GB2312" w:cs="仿宋_GB2312"/>
          <w:color w:val="000000"/>
          <w:kern w:val="0"/>
          <w:sz w:val="32"/>
          <w:szCs w:val="32"/>
          <w:lang w:val="en-US" w:eastAsia="zh-CN"/>
        </w:rPr>
        <w:t>等</w:t>
      </w:r>
      <w:r>
        <w:rPr>
          <w:rFonts w:hint="eastAsia" w:ascii="仿宋_GB2312" w:hAnsi="仿宋_GB2312" w:eastAsia="仿宋_GB2312" w:cs="仿宋_GB2312"/>
          <w:spacing w:val="-4"/>
          <w:sz w:val="32"/>
          <w:szCs w:val="32"/>
          <w:lang w:val="en-US" w:eastAsia="zh-CN"/>
        </w:rPr>
        <w:t>政策文件，符合</w:t>
      </w:r>
      <w:r>
        <w:rPr>
          <w:rFonts w:hint="eastAsia" w:ascii="仿宋_GB2312" w:hAnsi="仿宋_GB2312" w:eastAsia="仿宋_GB2312" w:cs="仿宋_GB2312"/>
          <w:color w:val="000000"/>
          <w:kern w:val="0"/>
          <w:sz w:val="32"/>
          <w:szCs w:val="32"/>
          <w:lang w:val="en-US" w:eastAsia="zh-CN"/>
        </w:rPr>
        <w:t>门头沟</w:t>
      </w:r>
      <w:r>
        <w:rPr>
          <w:rFonts w:hint="eastAsia" w:ascii="仿宋_GB2312" w:hAnsi="仿宋_GB2312" w:eastAsia="仿宋_GB2312" w:cs="仿宋_GB2312"/>
          <w:spacing w:val="-4"/>
          <w:sz w:val="32"/>
          <w:szCs w:val="32"/>
          <w:lang w:val="en-US" w:eastAsia="zh-CN"/>
        </w:rPr>
        <w:t>检察院内部管理制度相关要求，</w:t>
      </w:r>
      <w:r>
        <w:rPr>
          <w:rFonts w:hint="default" w:ascii="仿宋_GB2312" w:hAnsi="仿宋_GB2312" w:eastAsia="仿宋_GB2312" w:cs="仿宋_GB2312"/>
          <w:color w:val="auto"/>
          <w:sz w:val="32"/>
          <w:lang w:val="en-US" w:eastAsia="zh-CN"/>
        </w:rPr>
        <w:t>立项依据充分</w:t>
      </w:r>
      <w:r>
        <w:rPr>
          <w:rFonts w:hint="eastAsia" w:ascii="仿宋_GB2312" w:hAnsi="仿宋_GB2312" w:eastAsia="仿宋_GB2312" w:cs="仿宋_GB2312"/>
          <w:color w:val="auto"/>
          <w:sz w:val="32"/>
          <w:lang w:val="en-US" w:eastAsia="zh-CN"/>
        </w:rPr>
        <w:t>，</w:t>
      </w:r>
      <w:r>
        <w:rPr>
          <w:rFonts w:hint="default" w:ascii="仿宋_GB2312" w:hAnsi="仿宋_GB2312" w:eastAsia="仿宋_GB2312" w:cs="仿宋_GB2312"/>
          <w:color w:val="auto"/>
          <w:sz w:val="32"/>
          <w:lang w:val="en-US" w:eastAsia="zh-CN"/>
        </w:rPr>
        <w:t>立项程序</w:t>
      </w:r>
      <w:r>
        <w:rPr>
          <w:rFonts w:hint="eastAsia" w:ascii="仿宋_GB2312" w:hAnsi="仿宋_GB2312" w:eastAsia="仿宋_GB2312" w:cs="仿宋_GB2312"/>
          <w:color w:val="auto"/>
          <w:sz w:val="32"/>
          <w:lang w:val="en-US" w:eastAsia="zh-CN"/>
        </w:rPr>
        <w:t>比较规范</w:t>
      </w:r>
      <w:r>
        <w:rPr>
          <w:rFonts w:hint="default" w:ascii="仿宋_GB2312" w:hAnsi="仿宋_GB2312" w:eastAsia="仿宋_GB2312" w:cs="仿宋_GB2312"/>
          <w:color w:val="auto"/>
          <w:sz w:val="32"/>
          <w:lang w:val="en-US" w:eastAsia="zh-CN"/>
        </w:rPr>
        <w:t>。</w:t>
      </w:r>
      <w:r>
        <w:rPr>
          <w:rFonts w:hint="eastAsia" w:ascii="仿宋_GB2312" w:hAnsi="仿宋_GB2312" w:eastAsia="仿宋_GB2312" w:cs="仿宋_GB2312"/>
          <w:spacing w:val="-4"/>
          <w:sz w:val="32"/>
          <w:szCs w:val="32"/>
          <w:lang w:val="en-US" w:eastAsia="zh-CN"/>
        </w:rPr>
        <w:t>项目立项与部门职责范围相符，属于北京市公共财政支持范围。</w:t>
      </w:r>
    </w:p>
    <w:p w14:paraId="0B625F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2.绩效目标</w:t>
      </w:r>
      <w:r>
        <w:rPr>
          <w:rFonts w:hint="eastAsia" w:ascii="仿宋_GB2312" w:hAnsi="仿宋_GB2312" w:eastAsia="仿宋_GB2312" w:cs="仿宋_GB2312"/>
          <w:color w:val="000000"/>
          <w:kern w:val="0"/>
          <w:sz w:val="32"/>
          <w:szCs w:val="32"/>
          <w:lang w:val="en-US" w:eastAsia="zh-CN"/>
        </w:rPr>
        <w:t>和指标</w:t>
      </w:r>
      <w:r>
        <w:rPr>
          <w:rFonts w:hint="eastAsia" w:ascii="仿宋_GB2312" w:hAnsi="仿宋_GB2312" w:eastAsia="仿宋_GB2312" w:cs="仿宋_GB2312"/>
          <w:color w:val="000000"/>
          <w:kern w:val="0"/>
          <w:sz w:val="32"/>
          <w:szCs w:val="32"/>
        </w:rPr>
        <w:t>分析</w:t>
      </w:r>
    </w:p>
    <w:p w14:paraId="35DB4561">
      <w:pPr>
        <w:widowControl/>
        <w:spacing w:line="560" w:lineRule="exact"/>
        <w:ind w:firstLine="624" w:firstLineChars="200"/>
        <w:jc w:val="both"/>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该项目</w:t>
      </w:r>
      <w:r>
        <w:rPr>
          <w:rFonts w:hint="default" w:ascii="仿宋_GB2312" w:hAnsi="仿宋_GB2312" w:eastAsia="仿宋_GB2312" w:cs="仿宋_GB2312"/>
          <w:color w:val="auto"/>
          <w:sz w:val="32"/>
          <w:lang w:val="en-US" w:eastAsia="zh-CN"/>
        </w:rPr>
        <w:t>设定了年度</w:t>
      </w:r>
      <w:r>
        <w:rPr>
          <w:rFonts w:hint="eastAsia" w:ascii="仿宋_GB2312" w:hAnsi="仿宋_GB2312" w:eastAsia="仿宋_GB2312" w:cs="仿宋_GB2312"/>
          <w:color w:val="auto"/>
          <w:sz w:val="32"/>
          <w:lang w:val="en-US" w:eastAsia="zh-CN"/>
        </w:rPr>
        <w:t>绩效</w:t>
      </w:r>
      <w:r>
        <w:rPr>
          <w:rFonts w:hint="default" w:ascii="仿宋_GB2312" w:hAnsi="仿宋_GB2312" w:eastAsia="仿宋_GB2312" w:cs="仿宋_GB2312"/>
          <w:color w:val="auto"/>
          <w:sz w:val="32"/>
          <w:lang w:val="en-US" w:eastAsia="zh-CN"/>
        </w:rPr>
        <w:t>目标及</w:t>
      </w:r>
      <w:r>
        <w:rPr>
          <w:rFonts w:hint="eastAsia" w:ascii="仿宋_GB2312" w:hAnsi="仿宋_GB2312" w:eastAsia="仿宋_GB2312" w:cs="仿宋_GB2312"/>
          <w:color w:val="auto"/>
          <w:sz w:val="32"/>
          <w:lang w:val="en-US" w:eastAsia="zh-CN"/>
        </w:rPr>
        <w:t>绩效指标，</w:t>
      </w:r>
      <w:r>
        <w:rPr>
          <w:rFonts w:hint="default" w:ascii="仿宋_GB2312" w:hAnsi="仿宋_GB2312" w:eastAsia="仿宋_GB2312" w:cs="仿宋_GB2312"/>
          <w:color w:val="auto"/>
          <w:sz w:val="32"/>
          <w:lang w:val="en-US" w:eastAsia="zh-CN"/>
        </w:rPr>
        <w:t>具体产出指标、成本指标、效益指标和满意度指标，</w:t>
      </w:r>
      <w:r>
        <w:rPr>
          <w:rFonts w:hint="eastAsia" w:ascii="仿宋_GB2312" w:hAnsi="仿宋_GB2312" w:eastAsia="仿宋_GB2312" w:cs="仿宋_GB2312"/>
          <w:spacing w:val="-4"/>
          <w:sz w:val="32"/>
          <w:szCs w:val="32"/>
          <w:lang w:val="en-US" w:eastAsia="zh-CN"/>
        </w:rPr>
        <w:t>年度绩效目标明确具体，</w:t>
      </w:r>
      <w:r>
        <w:rPr>
          <w:rFonts w:hint="eastAsia" w:ascii="仿宋_GB2312" w:hAnsi="仿宋_GB2312" w:eastAsia="仿宋_GB2312" w:cs="仿宋_GB2312"/>
          <w:color w:val="auto"/>
          <w:sz w:val="32"/>
          <w:lang w:val="en-US" w:eastAsia="zh-CN"/>
        </w:rPr>
        <w:t>比较</w:t>
      </w:r>
      <w:r>
        <w:rPr>
          <w:rFonts w:hint="eastAsia" w:ascii="仿宋_GB2312" w:hAnsi="仿宋_GB2312" w:eastAsia="仿宋_GB2312" w:cs="仿宋_GB2312"/>
          <w:spacing w:val="-4"/>
          <w:sz w:val="32"/>
          <w:szCs w:val="32"/>
          <w:lang w:val="en-US" w:eastAsia="zh-CN"/>
        </w:rPr>
        <w:t>贴合项目实施内容与管理需求。绩效指标设定较细化，量化，具备良好的可衡量性。但存在部分绩效指标设置精准度不足，具体表现为：一是服务对象满意度指标覆盖范围不完整，仅设定 “上级部门对咨询服务工作完成结果满意度，未全面涵盖实际服务对象；二是设置经济效益指标为“各项咨询服务的实施，有利于进一步促进检察工作业务开展”不适用；三是时效指标设置较为笼统，为“项目计划执行时间为 2024 年”，未结合项目关键节点细化实施进度；四是</w:t>
      </w:r>
      <w:r>
        <w:rPr>
          <w:rFonts w:hint="eastAsia" w:ascii="仿宋_GB2312" w:hAnsi="仿宋_GB2312" w:eastAsia="仿宋_GB2312" w:cs="仿宋_GB2312"/>
          <w:color w:val="auto"/>
          <w:sz w:val="32"/>
          <w:lang w:val="en-US" w:eastAsia="zh-CN"/>
        </w:rPr>
        <w:t>效益指</w:t>
      </w:r>
      <w:r>
        <w:rPr>
          <w:rFonts w:hint="default" w:ascii="仿宋_GB2312" w:hAnsi="仿宋_GB2312" w:eastAsia="仿宋_GB2312" w:cs="仿宋_GB2312"/>
          <w:color w:val="auto"/>
          <w:sz w:val="32"/>
          <w:lang w:val="en-US" w:eastAsia="zh-CN"/>
        </w:rPr>
        <w:t>标</w:t>
      </w:r>
      <w:r>
        <w:rPr>
          <w:rFonts w:hint="eastAsia" w:ascii="仿宋_GB2312" w:hAnsi="仿宋_GB2312" w:eastAsia="仿宋_GB2312" w:cs="仿宋_GB2312"/>
          <w:color w:val="auto"/>
          <w:sz w:val="32"/>
          <w:lang w:val="en-US" w:eastAsia="zh-CN"/>
        </w:rPr>
        <w:t>内容不够全面，未设置社会效益指标，</w:t>
      </w:r>
      <w:r>
        <w:rPr>
          <w:rFonts w:hint="default" w:ascii="仿宋_GB2312" w:hAnsi="仿宋_GB2312" w:eastAsia="仿宋_GB2312" w:cs="仿宋_GB2312"/>
          <w:color w:val="auto"/>
          <w:sz w:val="32"/>
          <w:lang w:val="en-US" w:eastAsia="zh-CN"/>
        </w:rPr>
        <w:t>绩效指标设置在</w:t>
      </w:r>
      <w:r>
        <w:rPr>
          <w:rFonts w:hint="eastAsia" w:ascii="仿宋_GB2312" w:hAnsi="仿宋_GB2312" w:eastAsia="仿宋_GB2312" w:cs="仿宋_GB2312"/>
          <w:color w:val="auto"/>
          <w:sz w:val="32"/>
          <w:lang w:val="en-US" w:eastAsia="zh-CN"/>
        </w:rPr>
        <w:t>全面性方面</w:t>
      </w:r>
      <w:r>
        <w:rPr>
          <w:rFonts w:hint="default" w:ascii="仿宋_GB2312" w:hAnsi="仿宋_GB2312" w:eastAsia="仿宋_GB2312" w:cs="仿宋_GB2312"/>
          <w:color w:val="auto"/>
          <w:sz w:val="32"/>
          <w:lang w:val="en-US" w:eastAsia="zh-CN"/>
        </w:rPr>
        <w:t>需要加强。</w:t>
      </w:r>
    </w:p>
    <w:p w14:paraId="60E5F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3.资金投入</w:t>
      </w:r>
      <w:r>
        <w:rPr>
          <w:rFonts w:hint="eastAsia" w:ascii="仿宋_GB2312" w:hAnsi="仿宋_GB2312" w:eastAsia="仿宋_GB2312" w:cs="仿宋_GB2312"/>
          <w:color w:val="000000"/>
          <w:kern w:val="0"/>
          <w:sz w:val="32"/>
          <w:szCs w:val="32"/>
          <w:lang w:val="en-US" w:eastAsia="zh-CN"/>
        </w:rPr>
        <w:t>分析</w:t>
      </w:r>
    </w:p>
    <w:p w14:paraId="594DCC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该项目结合市财政各项财务管理改革工作要求，经测算，2024年度预算申请额度为20.00万元。项目预算编制结合工作实际情况，确保预算资金能够切实满足项目推进的需求，资金分配科学合理。在服务商选择方面，严格遵循三方比选程序，确保符合成本控制原则和购买服务相关规定。</w:t>
      </w:r>
    </w:p>
    <w:p w14:paraId="4CEBC2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20" w:name="_Toc21816"/>
      <w:r>
        <w:rPr>
          <w:rFonts w:hint="eastAsia" w:ascii="仿宋_GB2312" w:hAnsi="仿宋_GB2312" w:eastAsia="仿宋_GB2312" w:cs="仿宋_GB2312"/>
          <w:color w:val="000000"/>
          <w:kern w:val="0"/>
          <w:sz w:val="32"/>
          <w:szCs w:val="32"/>
        </w:rPr>
        <w:t>（二）项目过程情况</w:t>
      </w:r>
      <w:bookmarkEnd w:id="20"/>
    </w:p>
    <w:p w14:paraId="7B82A56C">
      <w:pPr>
        <w:spacing w:line="560" w:lineRule="exact"/>
        <w:ind w:firstLine="640" w:firstLineChars="200"/>
        <w:outlineLvl w:val="9"/>
        <w:rPr>
          <w:rFonts w:hint="eastAsia" w:ascii="仿宋_GB2312" w:hAnsi="仿宋_GB2312" w:eastAsia="仿宋_GB2312" w:cs="仿宋_GB2312"/>
          <w:b w:val="0"/>
          <w:bCs w:val="0"/>
          <w:color w:val="000000"/>
          <w:kern w:val="0"/>
          <w:sz w:val="32"/>
          <w:szCs w:val="32"/>
          <w:lang w:val="en-US" w:eastAsia="zh-CN" w:bidi="ar-SA"/>
        </w:rPr>
      </w:pPr>
      <w:bookmarkStart w:id="21" w:name="_Toc27829"/>
      <w:r>
        <w:rPr>
          <w:rFonts w:hint="eastAsia" w:ascii="仿宋_GB2312" w:hAnsi="仿宋_GB2312" w:eastAsia="仿宋_GB2312" w:cs="仿宋_GB2312"/>
          <w:b w:val="0"/>
          <w:bCs w:val="0"/>
          <w:color w:val="000000"/>
          <w:kern w:val="0"/>
          <w:sz w:val="32"/>
          <w:szCs w:val="32"/>
          <w:lang w:val="en-US" w:eastAsia="zh-CN" w:bidi="ar-SA"/>
        </w:rPr>
        <w:t>1.资金管理</w:t>
      </w:r>
      <w:bookmarkEnd w:id="21"/>
    </w:p>
    <w:p w14:paraId="274D9A51">
      <w:pPr>
        <w:spacing w:line="560" w:lineRule="exact"/>
        <w:ind w:firstLine="640" w:firstLineChars="200"/>
        <w:outlineLvl w:val="9"/>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1.资金管理</w:t>
      </w:r>
    </w:p>
    <w:p w14:paraId="0AC03D66">
      <w:pPr>
        <w:spacing w:line="560" w:lineRule="exact"/>
        <w:ind w:firstLine="640" w:firstLineChars="200"/>
        <w:outlineLvl w:val="9"/>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（1）项目预算执行率评价分析</w:t>
      </w:r>
    </w:p>
    <w:p w14:paraId="4389E5A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 xml:space="preserve">    该项目的预算执行率为100%，严格按预算执行。</w:t>
      </w:r>
    </w:p>
    <w:p w14:paraId="70F74852">
      <w:pPr>
        <w:spacing w:line="560" w:lineRule="exact"/>
        <w:ind w:firstLine="640" w:firstLineChars="200"/>
        <w:outlineLvl w:val="9"/>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（2）资金使用合规性分析</w:t>
      </w:r>
    </w:p>
    <w:p w14:paraId="73B26295">
      <w:pPr>
        <w:keepNext w:val="0"/>
        <w:keepLines w:val="0"/>
        <w:pageBreakBefore w:val="0"/>
        <w:widowControl/>
        <w:kinsoku/>
        <w:wordWrap/>
        <w:overflowPunct/>
        <w:topLinePunct w:val="0"/>
        <w:autoSpaceDE/>
        <w:autoSpaceDN/>
        <w:bidi w:val="0"/>
        <w:adjustRightInd/>
        <w:snapToGrid/>
        <w:spacing w:before="0" w:line="560" w:lineRule="exact"/>
        <w:ind w:firstLine="640" w:firstLineChars="200"/>
        <w:textAlignment w:val="auto"/>
        <w:outlineLvl w:val="9"/>
        <w:rPr>
          <w:rFonts w:hint="default"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该项目资金的使用，严格遵循《预算法》《会计法》政府会计准则和制度等国家财经法规，按照《北京市门头沟区人民检察院内部控制手册》相关预算管理、财务管理、资金支出管理制度和流程，严格履行审核审批程序。以预算批复内容为基准，依据资金支付管理的相关要求，在支付合同款项方面，严格按照合同中约定的付款方式执行，每一笔支出均具备完整且规范的审批手续，不存在截留、挤占、挪用、虚列支出等情况，保障了财政资金使用的合规性与安全性。</w:t>
      </w:r>
    </w:p>
    <w:p w14:paraId="197D6F8C">
      <w:pPr>
        <w:spacing w:line="560" w:lineRule="exact"/>
        <w:ind w:firstLine="640" w:firstLineChars="200"/>
        <w:outlineLvl w:val="9"/>
        <w:rPr>
          <w:rFonts w:hint="default" w:ascii="仿宋_GB2312" w:hAnsi="仿宋_GB2312" w:eastAsia="仿宋_GB2312" w:cs="仿宋_GB2312"/>
          <w:b w:val="0"/>
          <w:bCs w:val="0"/>
          <w:color w:val="000000"/>
          <w:kern w:val="0"/>
          <w:sz w:val="32"/>
          <w:szCs w:val="32"/>
          <w:lang w:val="en-US" w:eastAsia="zh-CN" w:bidi="ar-SA"/>
        </w:rPr>
      </w:pPr>
      <w:bookmarkStart w:id="22" w:name="_Toc19476"/>
      <w:r>
        <w:rPr>
          <w:rFonts w:hint="eastAsia" w:ascii="仿宋_GB2312" w:hAnsi="仿宋_GB2312" w:eastAsia="仿宋_GB2312" w:cs="仿宋_GB2312"/>
          <w:b w:val="0"/>
          <w:bCs w:val="0"/>
          <w:color w:val="000000"/>
          <w:kern w:val="0"/>
          <w:sz w:val="32"/>
          <w:szCs w:val="32"/>
          <w:lang w:val="en-US" w:eastAsia="zh-CN" w:bidi="ar-SA"/>
        </w:rPr>
        <w:t>2.</w:t>
      </w:r>
      <w:bookmarkEnd w:id="22"/>
      <w:r>
        <w:rPr>
          <w:rFonts w:hint="eastAsia" w:ascii="仿宋_GB2312" w:hAnsi="仿宋_GB2312" w:eastAsia="仿宋_GB2312" w:cs="仿宋_GB2312"/>
          <w:b w:val="0"/>
          <w:bCs w:val="0"/>
          <w:color w:val="000000"/>
          <w:kern w:val="0"/>
          <w:sz w:val="32"/>
          <w:szCs w:val="32"/>
          <w:lang w:val="en-US" w:eastAsia="zh-CN" w:bidi="ar-SA"/>
        </w:rPr>
        <w:t>业务管理</w:t>
      </w:r>
    </w:p>
    <w:p w14:paraId="09A0D9F6">
      <w:pPr>
        <w:pStyle w:val="11"/>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（1）管理制度健全性评价分析</w:t>
      </w:r>
    </w:p>
    <w:p w14:paraId="4A033510">
      <w:pPr>
        <w:pStyle w:val="11"/>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hint="eastAsia" w:ascii="仿宋_GB2312" w:hAnsi="仿宋_GB2312" w:cs="仿宋_GB2312"/>
          <w:b w:val="0"/>
          <w:bCs w:val="0"/>
          <w:color w:val="000000"/>
          <w:kern w:val="0"/>
          <w:sz w:val="32"/>
          <w:szCs w:val="32"/>
          <w:lang w:val="en-US" w:eastAsia="zh-CN" w:bidi="ar-SA"/>
        </w:rPr>
      </w:pPr>
      <w:r>
        <w:rPr>
          <w:rFonts w:hint="eastAsia" w:ascii="仿宋_GB2312" w:hAnsi="仿宋_GB2312" w:cs="仿宋_GB2312"/>
          <w:b w:val="0"/>
          <w:bCs w:val="0"/>
          <w:color w:val="000000"/>
          <w:kern w:val="0"/>
          <w:sz w:val="32"/>
          <w:szCs w:val="32"/>
          <w:lang w:val="en-US" w:eastAsia="zh-CN" w:bidi="ar-SA"/>
        </w:rPr>
        <w:t>门头沟检察院制定的《北京市门头沟区人民检察院内控手册》涵盖了《北京市门头沟区人民检察院预算管理办法》</w:t>
      </w:r>
      <w:r>
        <w:rPr>
          <w:rFonts w:hint="eastAsia" w:ascii="仿宋_GB2312" w:hAnsi="仿宋_GB2312" w:eastAsia="仿宋_GB2312" w:cs="仿宋_GB2312"/>
          <w:b w:val="0"/>
          <w:bCs w:val="0"/>
          <w:color w:val="000000"/>
          <w:kern w:val="0"/>
          <w:sz w:val="32"/>
          <w:szCs w:val="32"/>
          <w:highlight w:val="none"/>
          <w:lang w:val="en-US" w:eastAsia="zh-CN" w:bidi="ar-SA"/>
        </w:rPr>
        <w:t>《北京市门头沟区人民检察院财务管理办法（试行）》</w:t>
      </w:r>
      <w:r>
        <w:rPr>
          <w:rFonts w:hint="eastAsia" w:ascii="仿宋_GB2312" w:hAnsi="仿宋_GB2312" w:cs="仿宋_GB2312"/>
          <w:b w:val="0"/>
          <w:bCs w:val="0"/>
          <w:color w:val="000000"/>
          <w:kern w:val="0"/>
          <w:sz w:val="32"/>
          <w:szCs w:val="32"/>
          <w:lang w:val="en-US" w:eastAsia="zh-CN" w:bidi="ar-SA"/>
        </w:rPr>
        <w:t>《北京市门头沟区人民检察院预算绩效管理办法》《北京市门头沟区人民检察院采购管理办法》《北京市门头沟区人民检察院资产管理办法》《北京市门头沟区人民检察院合同管理办法》</w:t>
      </w:r>
      <w:r>
        <w:rPr>
          <w:rFonts w:hint="eastAsia" w:ascii="仿宋_GB2312" w:hAnsi="仿宋_GB2312" w:eastAsia="仿宋_GB2312" w:cs="仿宋_GB2312"/>
          <w:b w:val="0"/>
          <w:bCs w:val="0"/>
          <w:color w:val="000000"/>
          <w:kern w:val="0"/>
          <w:sz w:val="32"/>
          <w:szCs w:val="32"/>
          <w:lang w:val="en-US" w:eastAsia="zh-CN" w:bidi="ar-SA"/>
        </w:rPr>
        <w:t>等</w:t>
      </w:r>
      <w:r>
        <w:rPr>
          <w:rFonts w:hint="eastAsia" w:ascii="仿宋_GB2312" w:hAnsi="仿宋_GB2312" w:cs="仿宋_GB2312"/>
          <w:b w:val="0"/>
          <w:bCs w:val="0"/>
          <w:color w:val="000000"/>
          <w:kern w:val="0"/>
          <w:sz w:val="32"/>
          <w:szCs w:val="32"/>
          <w:lang w:val="en-US" w:eastAsia="zh-CN" w:bidi="ar-SA"/>
        </w:rPr>
        <w:t>一系列</w:t>
      </w:r>
      <w:r>
        <w:rPr>
          <w:rFonts w:hint="eastAsia" w:ascii="仿宋_GB2312" w:hAnsi="仿宋_GB2312" w:eastAsia="仿宋_GB2312" w:cs="仿宋_GB2312"/>
          <w:b w:val="0"/>
          <w:bCs w:val="0"/>
          <w:color w:val="000000"/>
          <w:kern w:val="0"/>
          <w:sz w:val="32"/>
          <w:szCs w:val="32"/>
          <w:lang w:val="en-US" w:eastAsia="zh-CN" w:bidi="ar-SA"/>
        </w:rPr>
        <w:t>规章制度，通过规范预算编制、项目执行、经费支出等关键环节</w:t>
      </w:r>
      <w:r>
        <w:rPr>
          <w:rFonts w:hint="eastAsia" w:ascii="仿宋_GB2312" w:hAnsi="仿宋_GB2312" w:cs="仿宋_GB2312"/>
          <w:b w:val="0"/>
          <w:bCs w:val="0"/>
          <w:color w:val="000000"/>
          <w:kern w:val="0"/>
          <w:sz w:val="32"/>
          <w:szCs w:val="32"/>
          <w:lang w:val="en-US" w:eastAsia="zh-CN" w:bidi="ar-SA"/>
        </w:rPr>
        <w:t>，</w:t>
      </w:r>
      <w:r>
        <w:rPr>
          <w:rFonts w:hint="eastAsia" w:ascii="仿宋_GB2312" w:hAnsi="仿宋_GB2312" w:eastAsia="仿宋_GB2312" w:cs="仿宋_GB2312"/>
          <w:b w:val="0"/>
          <w:bCs w:val="0"/>
          <w:color w:val="000000"/>
          <w:kern w:val="0"/>
          <w:sz w:val="32"/>
          <w:szCs w:val="32"/>
          <w:lang w:val="en-US" w:eastAsia="zh-CN" w:bidi="ar-SA"/>
        </w:rPr>
        <w:t>对项目顺利</w:t>
      </w:r>
      <w:r>
        <w:rPr>
          <w:rFonts w:hint="eastAsia" w:ascii="仿宋_GB2312" w:hAnsi="仿宋_GB2312" w:cs="仿宋_GB2312"/>
          <w:b w:val="0"/>
          <w:bCs w:val="0"/>
          <w:color w:val="000000"/>
          <w:kern w:val="0"/>
          <w:sz w:val="32"/>
          <w:szCs w:val="32"/>
          <w:lang w:val="en-US" w:eastAsia="zh-CN" w:bidi="ar-SA"/>
        </w:rPr>
        <w:t>实施</w:t>
      </w:r>
      <w:r>
        <w:rPr>
          <w:rFonts w:hint="eastAsia" w:ascii="仿宋_GB2312" w:hAnsi="仿宋_GB2312" w:eastAsia="仿宋_GB2312" w:cs="仿宋_GB2312"/>
          <w:b w:val="0"/>
          <w:bCs w:val="0"/>
          <w:color w:val="000000"/>
          <w:kern w:val="0"/>
          <w:sz w:val="32"/>
          <w:szCs w:val="32"/>
          <w:lang w:val="en-US" w:eastAsia="zh-CN" w:bidi="ar-SA"/>
        </w:rPr>
        <w:t>提供了制度支撑与运行保障</w:t>
      </w:r>
      <w:r>
        <w:rPr>
          <w:rFonts w:hint="eastAsia" w:ascii="仿宋_GB2312" w:hAnsi="仿宋_GB2312" w:cs="仿宋_GB2312"/>
          <w:b w:val="0"/>
          <w:bCs w:val="0"/>
          <w:color w:val="000000"/>
          <w:kern w:val="0"/>
          <w:sz w:val="32"/>
          <w:szCs w:val="32"/>
          <w:lang w:val="en-US" w:eastAsia="zh-CN" w:bidi="ar-SA"/>
        </w:rPr>
        <w:t>。</w:t>
      </w:r>
    </w:p>
    <w:p w14:paraId="5B9A5F60">
      <w:pPr>
        <w:pStyle w:val="11"/>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（2）制度执行有效性评价分析</w:t>
      </w:r>
    </w:p>
    <w:p w14:paraId="48971426">
      <w:pPr>
        <w:pStyle w:val="11"/>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该项目执行过程中，</w:t>
      </w:r>
      <w:r>
        <w:rPr>
          <w:rFonts w:hint="eastAsia" w:ascii="仿宋_GB2312" w:hAnsi="仿宋_GB2312" w:eastAsia="仿宋_GB2312" w:cs="仿宋_GB2312"/>
          <w:color w:val="000000"/>
          <w:kern w:val="0"/>
          <w:sz w:val="32"/>
          <w:szCs w:val="32"/>
          <w:lang w:val="en-US" w:eastAsia="zh-CN"/>
        </w:rPr>
        <w:t>门头沟</w:t>
      </w:r>
      <w:r>
        <w:rPr>
          <w:rFonts w:hint="eastAsia" w:ascii="仿宋_GB2312" w:hAnsi="仿宋_GB2312" w:cs="仿宋_GB2312"/>
          <w:b w:val="0"/>
          <w:bCs w:val="0"/>
          <w:color w:val="000000"/>
          <w:kern w:val="0"/>
          <w:sz w:val="32"/>
          <w:szCs w:val="32"/>
          <w:lang w:val="en-US" w:eastAsia="zh-CN" w:bidi="ar-SA"/>
        </w:rPr>
        <w:t>检察院</w:t>
      </w:r>
      <w:r>
        <w:rPr>
          <w:rFonts w:hint="eastAsia" w:ascii="仿宋_GB2312" w:hAnsi="仿宋_GB2312" w:eastAsia="仿宋_GB2312" w:cs="仿宋_GB2312"/>
          <w:b w:val="0"/>
          <w:bCs w:val="0"/>
          <w:color w:val="000000"/>
          <w:kern w:val="0"/>
          <w:sz w:val="32"/>
          <w:szCs w:val="32"/>
          <w:lang w:val="en-US" w:eastAsia="zh-CN" w:bidi="ar-SA"/>
        </w:rPr>
        <w:t>按照相关法律法规和</w:t>
      </w:r>
      <w:r>
        <w:rPr>
          <w:rFonts w:hint="eastAsia" w:ascii="仿宋_GB2312" w:hAnsi="仿宋_GB2312" w:cs="仿宋_GB2312"/>
          <w:b w:val="0"/>
          <w:bCs w:val="0"/>
          <w:color w:val="000000"/>
          <w:kern w:val="0"/>
          <w:sz w:val="32"/>
          <w:szCs w:val="32"/>
          <w:lang w:val="en-US" w:eastAsia="zh-CN" w:bidi="ar-SA"/>
        </w:rPr>
        <w:t>内部控制</w:t>
      </w:r>
      <w:r>
        <w:rPr>
          <w:rFonts w:hint="eastAsia" w:ascii="仿宋_GB2312" w:hAnsi="仿宋_GB2312" w:eastAsia="仿宋_GB2312" w:cs="仿宋_GB2312"/>
          <w:b w:val="0"/>
          <w:bCs w:val="0"/>
          <w:color w:val="000000"/>
          <w:kern w:val="0"/>
          <w:sz w:val="32"/>
          <w:szCs w:val="32"/>
          <w:lang w:val="en-US" w:eastAsia="zh-CN" w:bidi="ar-SA"/>
        </w:rPr>
        <w:t>制度规定</w:t>
      </w:r>
      <w:r>
        <w:rPr>
          <w:rFonts w:hint="eastAsia" w:ascii="仿宋_GB2312" w:hAnsi="仿宋_GB2312" w:cs="仿宋_GB2312"/>
          <w:b w:val="0"/>
          <w:bCs w:val="0"/>
          <w:color w:val="000000"/>
          <w:kern w:val="0"/>
          <w:sz w:val="32"/>
          <w:szCs w:val="32"/>
          <w:lang w:val="en-US" w:eastAsia="zh-CN" w:bidi="ar-SA"/>
        </w:rPr>
        <w:t>开展</w:t>
      </w:r>
      <w:r>
        <w:rPr>
          <w:rFonts w:hint="eastAsia" w:ascii="仿宋_GB2312" w:hAnsi="仿宋_GB2312" w:cs="仿宋_GB2312"/>
          <w:b w:val="0"/>
          <w:bCs w:val="0"/>
          <w:color w:val="000000"/>
          <w:kern w:val="0"/>
          <w:sz w:val="32"/>
          <w:szCs w:val="32"/>
          <w:highlight w:val="none"/>
          <w:lang w:val="en-US" w:eastAsia="zh-CN" w:bidi="ar-SA"/>
        </w:rPr>
        <w:t>工作。</w:t>
      </w:r>
      <w:r>
        <w:rPr>
          <w:rFonts w:hint="eastAsia" w:ascii="仿宋_GB2312" w:hAnsi="仿宋_GB2312" w:eastAsia="仿宋_GB2312" w:cs="仿宋_GB2312"/>
          <w:b w:val="0"/>
          <w:bCs w:val="0"/>
          <w:color w:val="000000"/>
          <w:kern w:val="0"/>
          <w:sz w:val="32"/>
          <w:szCs w:val="32"/>
          <w:lang w:val="en-US" w:eastAsia="zh-CN" w:bidi="ar-SA"/>
        </w:rPr>
        <w:t>在服务商遴选环节，</w:t>
      </w:r>
      <w:r>
        <w:rPr>
          <w:rFonts w:hint="eastAsia" w:ascii="仿宋_GB2312" w:hAnsi="仿宋_GB2312" w:eastAsia="仿宋_GB2312" w:cs="仿宋_GB2312"/>
          <w:color w:val="000000"/>
          <w:kern w:val="0"/>
          <w:sz w:val="32"/>
          <w:szCs w:val="32"/>
          <w:highlight w:val="none"/>
        </w:rPr>
        <w:t>项目</w:t>
      </w:r>
      <w:r>
        <w:rPr>
          <w:rFonts w:hint="eastAsia" w:ascii="仿宋_GB2312" w:hAnsi="仿宋_GB2312" w:cs="仿宋_GB2312"/>
          <w:color w:val="000000"/>
          <w:kern w:val="0"/>
          <w:sz w:val="32"/>
          <w:szCs w:val="32"/>
          <w:highlight w:val="none"/>
          <w:lang w:val="en-US" w:eastAsia="zh-CN"/>
        </w:rPr>
        <w:t>经</w:t>
      </w:r>
      <w:r>
        <w:rPr>
          <w:rFonts w:hint="eastAsia" w:ascii="仿宋_GB2312" w:hAnsi="仿宋_GB2312" w:eastAsia="仿宋_GB2312" w:cs="仿宋_GB2312"/>
          <w:color w:val="000000"/>
          <w:kern w:val="0"/>
          <w:sz w:val="32"/>
          <w:szCs w:val="32"/>
          <w:highlight w:val="none"/>
          <w:lang w:val="en-US" w:eastAsia="zh-CN"/>
        </w:rPr>
        <w:t>三方比选</w:t>
      </w:r>
      <w:r>
        <w:rPr>
          <w:rFonts w:hint="eastAsia" w:ascii="仿宋_GB2312" w:hAnsi="仿宋_GB2312" w:eastAsia="仿宋_GB2312" w:cs="仿宋_GB2312"/>
          <w:color w:val="000000"/>
          <w:kern w:val="0"/>
          <w:sz w:val="32"/>
          <w:szCs w:val="32"/>
          <w:highlight w:val="none"/>
        </w:rPr>
        <w:t>采购程序确定服务商</w:t>
      </w:r>
      <w:r>
        <w:rPr>
          <w:rFonts w:hint="eastAsia" w:ascii="仿宋_GB2312" w:hAnsi="仿宋_GB2312" w:cs="仿宋_GB2312"/>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lang w:val="en-US" w:eastAsia="zh-CN" w:bidi="ar-SA"/>
        </w:rPr>
        <w:t>确保</w:t>
      </w:r>
      <w:r>
        <w:rPr>
          <w:rFonts w:hint="eastAsia" w:ascii="仿宋_GB2312" w:hAnsi="仿宋_GB2312" w:cs="仿宋_GB2312"/>
          <w:b w:val="0"/>
          <w:bCs w:val="0"/>
          <w:color w:val="000000"/>
          <w:kern w:val="0"/>
          <w:sz w:val="32"/>
          <w:szCs w:val="32"/>
          <w:lang w:val="en-US" w:eastAsia="zh-CN" w:bidi="ar-SA"/>
        </w:rPr>
        <w:t>程序</w:t>
      </w:r>
      <w:r>
        <w:rPr>
          <w:rFonts w:hint="eastAsia" w:ascii="仿宋_GB2312" w:hAnsi="仿宋_GB2312" w:eastAsia="仿宋_GB2312" w:cs="仿宋_GB2312"/>
          <w:b w:val="0"/>
          <w:bCs w:val="0"/>
          <w:color w:val="000000"/>
          <w:kern w:val="0"/>
          <w:sz w:val="32"/>
          <w:szCs w:val="32"/>
          <w:lang w:val="en-US" w:eastAsia="zh-CN" w:bidi="ar-SA"/>
        </w:rPr>
        <w:t>合法合规。</w:t>
      </w:r>
      <w:r>
        <w:rPr>
          <w:rFonts w:hint="eastAsia" w:ascii="仿宋_GB2312" w:hAnsi="仿宋_GB2312" w:cs="仿宋_GB2312"/>
          <w:b w:val="0"/>
          <w:bCs w:val="0"/>
          <w:color w:val="000000"/>
          <w:kern w:val="0"/>
          <w:sz w:val="32"/>
          <w:szCs w:val="32"/>
          <w:lang w:val="en-US" w:eastAsia="zh-CN" w:bidi="ar-SA"/>
        </w:rPr>
        <w:t>在合同履行环节，</w:t>
      </w:r>
      <w:r>
        <w:rPr>
          <w:rFonts w:hint="eastAsia" w:ascii="仿宋_GB2312" w:hAnsi="仿宋_GB2312" w:cs="仿宋_GB2312"/>
          <w:color w:val="000000"/>
          <w:kern w:val="0"/>
          <w:sz w:val="32"/>
          <w:szCs w:val="32"/>
          <w:highlight w:val="none"/>
          <w:lang w:val="en-US" w:eastAsia="zh-CN"/>
        </w:rPr>
        <w:t>按合同约定完成了全面预算绩效管理咨询、内部控制咨询、财务咨询等服务内容，确保服务质量与预期目标高度契合。同时，注重项目过程管控，及时收集、整理</w:t>
      </w:r>
      <w:r>
        <w:rPr>
          <w:rFonts w:hint="eastAsia" w:ascii="仿宋_GB2312" w:hAnsi="仿宋_GB2312" w:eastAsia="仿宋_GB2312" w:cs="仿宋_GB2312"/>
          <w:b w:val="0"/>
          <w:bCs w:val="0"/>
          <w:color w:val="000000"/>
          <w:kern w:val="0"/>
          <w:sz w:val="32"/>
          <w:szCs w:val="32"/>
          <w:lang w:val="en-US" w:eastAsia="zh-CN" w:bidi="ar-SA"/>
        </w:rPr>
        <w:t>项目执行过程</w:t>
      </w:r>
      <w:r>
        <w:rPr>
          <w:rFonts w:hint="eastAsia" w:ascii="仿宋_GB2312" w:hAnsi="仿宋_GB2312" w:cs="仿宋_GB2312"/>
          <w:b w:val="0"/>
          <w:bCs w:val="0"/>
          <w:color w:val="000000"/>
          <w:kern w:val="0"/>
          <w:sz w:val="32"/>
          <w:szCs w:val="32"/>
          <w:lang w:val="en-US" w:eastAsia="zh-CN" w:bidi="ar-SA"/>
        </w:rPr>
        <w:t>相关</w:t>
      </w:r>
      <w:r>
        <w:rPr>
          <w:rFonts w:hint="eastAsia" w:ascii="仿宋_GB2312" w:hAnsi="仿宋_GB2312" w:eastAsia="仿宋_GB2312" w:cs="仿宋_GB2312"/>
          <w:b w:val="0"/>
          <w:bCs w:val="0"/>
          <w:color w:val="000000"/>
          <w:kern w:val="0"/>
          <w:sz w:val="32"/>
          <w:szCs w:val="32"/>
          <w:lang w:val="en-US" w:eastAsia="zh-CN" w:bidi="ar-SA"/>
        </w:rPr>
        <w:t>资料</w:t>
      </w:r>
      <w:r>
        <w:rPr>
          <w:rFonts w:hint="eastAsia" w:ascii="仿宋_GB2312" w:hAnsi="仿宋_GB2312" w:cs="仿宋_GB2312"/>
          <w:b w:val="0"/>
          <w:bCs w:val="0"/>
          <w:color w:val="000000"/>
          <w:kern w:val="0"/>
          <w:sz w:val="32"/>
          <w:szCs w:val="32"/>
          <w:lang w:val="en-US" w:eastAsia="zh-CN" w:bidi="ar-SA"/>
        </w:rPr>
        <w:t>并</w:t>
      </w:r>
      <w:r>
        <w:rPr>
          <w:rFonts w:hint="eastAsia" w:ascii="仿宋_GB2312" w:hAnsi="仿宋_GB2312" w:eastAsia="仿宋_GB2312" w:cs="仿宋_GB2312"/>
          <w:b w:val="0"/>
          <w:bCs w:val="0"/>
          <w:color w:val="000000"/>
          <w:kern w:val="0"/>
          <w:sz w:val="32"/>
          <w:szCs w:val="32"/>
          <w:lang w:val="en-US" w:eastAsia="zh-CN" w:bidi="ar-SA"/>
        </w:rPr>
        <w:t>及时归档。</w:t>
      </w:r>
    </w:p>
    <w:p w14:paraId="3B038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000000"/>
          <w:kern w:val="0"/>
          <w:sz w:val="32"/>
          <w:szCs w:val="32"/>
        </w:rPr>
      </w:pPr>
      <w:bookmarkStart w:id="23" w:name="_Toc31480"/>
      <w:r>
        <w:rPr>
          <w:rFonts w:hint="eastAsia" w:ascii="仿宋_GB2312" w:hAnsi="仿宋_GB2312" w:eastAsia="仿宋_GB2312" w:cs="仿宋_GB2312"/>
          <w:color w:val="000000"/>
          <w:kern w:val="0"/>
          <w:sz w:val="32"/>
          <w:szCs w:val="32"/>
        </w:rPr>
        <w:t>（三）项目产出情况</w:t>
      </w:r>
      <w:bookmarkEnd w:id="23"/>
    </w:p>
    <w:p w14:paraId="39CC05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1.实际完成率分析</w:t>
      </w:r>
    </w:p>
    <w:p w14:paraId="2A2A9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项目</w:t>
      </w:r>
      <w:r>
        <w:rPr>
          <w:rFonts w:hint="eastAsia" w:ascii="仿宋_GB2312" w:hAnsi="仿宋_GB2312" w:eastAsia="仿宋_GB2312" w:cs="仿宋_GB2312"/>
          <w:b w:val="0"/>
          <w:bCs/>
          <w:color w:val="000000"/>
          <w:kern w:val="0"/>
          <w:sz w:val="32"/>
          <w:szCs w:val="32"/>
          <w:highlight w:val="none"/>
          <w:lang w:val="en-US" w:eastAsia="zh-CN"/>
        </w:rPr>
        <w:t>按照</w:t>
      </w:r>
      <w:r>
        <w:rPr>
          <w:rFonts w:hint="eastAsia" w:ascii="仿宋_GB2312" w:hAnsi="仿宋_GB2312" w:eastAsia="仿宋_GB2312" w:cs="仿宋_GB2312"/>
          <w:b w:val="0"/>
          <w:bCs/>
          <w:color w:val="000000"/>
          <w:kern w:val="0"/>
          <w:sz w:val="32"/>
          <w:szCs w:val="32"/>
        </w:rPr>
        <w:t>年度</w:t>
      </w:r>
      <w:r>
        <w:rPr>
          <w:rFonts w:hint="eastAsia" w:ascii="仿宋_GB2312" w:hAnsi="仿宋_GB2312" w:eastAsia="仿宋_GB2312" w:cs="仿宋_GB2312"/>
          <w:b w:val="0"/>
          <w:bCs/>
          <w:color w:val="000000"/>
          <w:kern w:val="0"/>
          <w:sz w:val="32"/>
          <w:szCs w:val="32"/>
          <w:lang w:val="en-US" w:eastAsia="zh-CN"/>
        </w:rPr>
        <w:t>绩效</w:t>
      </w:r>
      <w:r>
        <w:rPr>
          <w:rFonts w:hint="eastAsia" w:ascii="仿宋_GB2312" w:hAnsi="仿宋_GB2312" w:eastAsia="仿宋_GB2312" w:cs="仿宋_GB2312"/>
          <w:b w:val="0"/>
          <w:bCs/>
          <w:color w:val="000000"/>
          <w:kern w:val="0"/>
          <w:sz w:val="32"/>
          <w:szCs w:val="32"/>
        </w:rPr>
        <w:t>指标值</w:t>
      </w:r>
      <w:r>
        <w:rPr>
          <w:rFonts w:hint="eastAsia" w:ascii="仿宋_GB2312" w:hAnsi="仿宋_GB2312" w:eastAsia="仿宋_GB2312" w:cs="仿宋_GB2312"/>
          <w:b w:val="0"/>
          <w:bCs/>
          <w:color w:val="000000"/>
          <w:kern w:val="0"/>
          <w:sz w:val="32"/>
          <w:szCs w:val="32"/>
          <w:lang w:val="en-US" w:eastAsia="zh-CN"/>
        </w:rPr>
        <w:t>开展年度全面预算绩效管理、预算执行审计、内控完善服务及财务咨询工作等</w:t>
      </w:r>
      <w:r>
        <w:rPr>
          <w:rFonts w:hint="eastAsia" w:ascii="仿宋_GB2312" w:hAnsi="仿宋_GB2312" w:eastAsia="仿宋_GB2312" w:cs="仿宋_GB2312"/>
          <w:b w:val="0"/>
          <w:bCs/>
          <w:color w:val="000000"/>
          <w:kern w:val="0"/>
          <w:sz w:val="32"/>
          <w:szCs w:val="32"/>
          <w:lang w:eastAsia="zh-CN"/>
        </w:rPr>
        <w:t>。</w:t>
      </w:r>
    </w:p>
    <w:p w14:paraId="7DD980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在绩效管理工作中，门头沟检察院严格遵循规范流程，系统开展预算绩效自评、项目绩效评价、部门整体绩效评价及绩效跟踪监控工作。</w:t>
      </w:r>
      <w:r>
        <w:rPr>
          <w:rFonts w:hint="eastAsia" w:ascii="仿宋_GB2312" w:hAnsi="仿宋_GB2312" w:eastAsia="仿宋_GB2312" w:cs="仿宋_GB2312"/>
          <w:b w:val="0"/>
          <w:bCs/>
          <w:color w:val="000000"/>
          <w:kern w:val="0"/>
          <w:sz w:val="32"/>
          <w:szCs w:val="32"/>
          <w:lang w:val="en-US" w:eastAsia="zh-CN"/>
        </w:rPr>
        <w:t>严格遵循市财政规定的时间节点，及时进行系统提交，确保绩效管理工作的时效性与准确性。</w:t>
      </w:r>
    </w:p>
    <w:p w14:paraId="32485B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按计划开展预算执行及财务收支审计工作</w:t>
      </w:r>
      <w:r>
        <w:rPr>
          <w:rFonts w:hint="eastAsia" w:ascii="仿宋_GB2312" w:hAnsi="仿宋_GB2312" w:eastAsia="仿宋_GB2312" w:cs="仿宋_GB2312"/>
          <w:b w:val="0"/>
          <w:bCs/>
          <w:color w:val="000000"/>
          <w:kern w:val="0"/>
          <w:sz w:val="32"/>
          <w:szCs w:val="32"/>
          <w:lang w:eastAsia="zh-CN"/>
        </w:rPr>
        <w:t>；</w:t>
      </w:r>
      <w:r>
        <w:rPr>
          <w:rFonts w:hint="eastAsia" w:ascii="仿宋_GB2312" w:hAnsi="仿宋_GB2312" w:eastAsia="仿宋_GB2312" w:cs="仿宋_GB2312"/>
          <w:b w:val="0"/>
          <w:bCs/>
          <w:color w:val="000000"/>
          <w:kern w:val="0"/>
          <w:sz w:val="32"/>
          <w:szCs w:val="32"/>
          <w:lang w:val="en-US" w:eastAsia="zh-CN"/>
        </w:rPr>
        <w:t>对现有内部控制规范进行全面梳理与优化升级，针对资产、采购管理薄弱环节完善制度、细化流程。</w:t>
      </w:r>
    </w:p>
    <w:p w14:paraId="54E8A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rPr>
      </w:pPr>
      <w:r>
        <w:rPr>
          <w:rFonts w:hint="eastAsia" w:ascii="仿宋_GB2312" w:hAnsi="仿宋_GB2312" w:eastAsia="仿宋_GB2312" w:cs="仿宋_GB2312"/>
          <w:b w:val="0"/>
          <w:bCs/>
          <w:color w:val="000000"/>
          <w:kern w:val="0"/>
          <w:sz w:val="32"/>
          <w:szCs w:val="32"/>
          <w:lang w:val="en-US" w:eastAsia="zh-CN"/>
        </w:rPr>
        <w:t>开展年度日常财务咨询，协助完成年度固定资产盘点，以及绩效管理培训等工作。</w:t>
      </w:r>
    </w:p>
    <w:p w14:paraId="205B5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质量达标率分析</w:t>
      </w:r>
    </w:p>
    <w:p w14:paraId="0DDA3A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该项目的实施为门头沟检察院有序开展财务工作提供坚实保障，确保财务工作平稳有序运转，推动各项管理制度的执行。在绩效管理层面，项目严格遵循市财政全面预算绩效管理要求，按时完成各项绩效管理和年度部门评价和绩效自评、绩效监控等工作内容，工作成果规范达标；预算执行审计工作按审计质量标准和程序实施，确保审计结果真实可靠、准确反映实际情况。同时，通过日常财务咨询服务，规范了财务管理和工作流程，促进提升财务管理的专业化、精细化水平。项目整体通过验收。</w:t>
      </w:r>
    </w:p>
    <w:p w14:paraId="422F32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3.完成</w:t>
      </w:r>
      <w:r>
        <w:rPr>
          <w:rFonts w:hint="eastAsia" w:ascii="仿宋_GB2312" w:hAnsi="仿宋_GB2312" w:eastAsia="仿宋_GB2312" w:cs="仿宋_GB2312"/>
          <w:color w:val="000000"/>
          <w:kern w:val="0"/>
          <w:sz w:val="32"/>
          <w:szCs w:val="32"/>
        </w:rPr>
        <w:t>及时性分析</w:t>
      </w:r>
    </w:p>
    <w:p w14:paraId="3B557B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lang w:val="en-US" w:eastAsia="zh-CN"/>
        </w:rPr>
        <w:t>该项目均已按照项目实施方案和计划进度完成，严格遵循市财政时间要求，按规定时间提交绩效自评表、项目绩效评价、部门整体绩效评价报告、绩效监控报告；按时完成年度审计工作，完成内控完善和财务咨询。</w:t>
      </w:r>
      <w:r>
        <w:rPr>
          <w:rFonts w:hint="eastAsia" w:ascii="仿宋_GB2312" w:hAnsi="仿宋_GB2312" w:eastAsia="仿宋_GB2312" w:cs="仿宋_GB2312"/>
          <w:color w:val="000000"/>
          <w:kern w:val="0"/>
          <w:sz w:val="32"/>
          <w:szCs w:val="32"/>
          <w:highlight w:val="none"/>
          <w:lang w:val="en-US" w:eastAsia="zh-CN"/>
        </w:rPr>
        <w:t>但绩效目标表中的时效指标</w:t>
      </w:r>
      <w:r>
        <w:rPr>
          <w:rFonts w:hint="eastAsia" w:ascii="仿宋_GB2312" w:hAnsi="仿宋_GB2312" w:eastAsia="仿宋_GB2312" w:cs="仿宋_GB2312"/>
          <w:spacing w:val="-4"/>
          <w:sz w:val="32"/>
          <w:szCs w:val="32"/>
          <w:lang w:val="en-US" w:eastAsia="zh-CN"/>
        </w:rPr>
        <w:t>未结合项目关键节点进行细化。</w:t>
      </w:r>
    </w:p>
    <w:p w14:paraId="4256BC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成本节约率分析</w:t>
      </w:r>
    </w:p>
    <w:p w14:paraId="500D22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eastAsia="zh-CN"/>
        </w:rPr>
        <w:t>该项目严格以预算批复金额为基准，确保产出成本可控。</w:t>
      </w:r>
      <w:r>
        <w:rPr>
          <w:rFonts w:hint="eastAsia" w:ascii="仿宋_GB2312" w:hAnsi="仿宋_GB2312" w:eastAsia="仿宋_GB2312" w:cs="仿宋_GB2312"/>
          <w:color w:val="000000"/>
          <w:kern w:val="0"/>
          <w:sz w:val="32"/>
          <w:szCs w:val="32"/>
        </w:rPr>
        <w:t>通过</w:t>
      </w:r>
      <w:r>
        <w:rPr>
          <w:rFonts w:hint="eastAsia" w:ascii="仿宋_GB2312" w:hAnsi="仿宋_GB2312" w:eastAsia="仿宋_GB2312" w:cs="仿宋_GB2312"/>
          <w:color w:val="000000"/>
          <w:kern w:val="0"/>
          <w:sz w:val="32"/>
          <w:szCs w:val="32"/>
          <w:lang w:val="en-US" w:eastAsia="zh-CN"/>
        </w:rPr>
        <w:t>三方比选的</w:t>
      </w:r>
      <w:r>
        <w:rPr>
          <w:rFonts w:hint="eastAsia" w:ascii="仿宋_GB2312" w:hAnsi="仿宋_GB2312" w:eastAsia="仿宋_GB2312" w:cs="仿宋_GB2312"/>
          <w:color w:val="000000"/>
          <w:kern w:val="0"/>
          <w:sz w:val="32"/>
          <w:szCs w:val="32"/>
        </w:rPr>
        <w:t>采购方式确定服务商，</w:t>
      </w:r>
      <w:r>
        <w:rPr>
          <w:rFonts w:hint="eastAsia" w:ascii="仿宋_GB2312" w:hAnsi="仿宋_GB2312" w:eastAsia="仿宋_GB2312" w:cs="仿宋_GB2312"/>
          <w:color w:val="000000"/>
          <w:kern w:val="0"/>
          <w:sz w:val="32"/>
          <w:szCs w:val="32"/>
          <w:lang w:eastAsia="zh-CN"/>
        </w:rPr>
        <w:t>在项目实施过程中，始终将成本控制贯穿于各环节</w:t>
      </w:r>
      <w:r>
        <w:rPr>
          <w:rFonts w:hint="eastAsia" w:ascii="仿宋_GB2312" w:hAnsi="仿宋_GB2312" w:eastAsia="仿宋_GB2312" w:cs="仿宋_GB2312"/>
          <w:sz w:val="32"/>
          <w:szCs w:val="32"/>
          <w:lang w:val="en-US" w:eastAsia="zh-CN"/>
        </w:rPr>
        <w:t>。</w:t>
      </w:r>
    </w:p>
    <w:p w14:paraId="14C139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（四）项目效益情况</w:t>
      </w:r>
    </w:p>
    <w:p w14:paraId="7E12EE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1.</w:t>
      </w:r>
      <w:r>
        <w:rPr>
          <w:rFonts w:hint="eastAsia" w:ascii="仿宋_GB2312" w:hAnsi="仿宋_GB2312" w:eastAsia="仿宋_GB2312" w:cs="仿宋_GB2312"/>
          <w:b w:val="0"/>
          <w:bCs/>
          <w:color w:val="000000"/>
          <w:kern w:val="0"/>
          <w:sz w:val="32"/>
          <w:szCs w:val="32"/>
        </w:rPr>
        <w:t>效益</w:t>
      </w:r>
      <w:r>
        <w:rPr>
          <w:rFonts w:hint="eastAsia" w:ascii="仿宋_GB2312" w:hAnsi="仿宋_GB2312" w:eastAsia="仿宋_GB2312" w:cs="仿宋_GB2312"/>
          <w:b w:val="0"/>
          <w:bCs/>
          <w:color w:val="000000"/>
          <w:kern w:val="0"/>
          <w:sz w:val="32"/>
          <w:szCs w:val="32"/>
          <w:lang w:val="en-US" w:eastAsia="zh-CN"/>
        </w:rPr>
        <w:t>达成度分析</w:t>
      </w:r>
    </w:p>
    <w:p w14:paraId="5A3A45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color w:val="000000"/>
          <w:kern w:val="0"/>
          <w:sz w:val="32"/>
          <w:szCs w:val="32"/>
          <w:highlight w:val="none"/>
          <w:lang w:val="en-US"/>
        </w:rPr>
      </w:pPr>
      <w:r>
        <w:rPr>
          <w:rFonts w:hint="eastAsia" w:ascii="仿宋_GB2312" w:hAnsi="仿宋_GB2312" w:eastAsia="仿宋_GB2312" w:cs="仿宋_GB2312"/>
          <w:color w:val="000000"/>
          <w:kern w:val="0"/>
          <w:sz w:val="32"/>
          <w:szCs w:val="32"/>
          <w:lang w:val="en-US" w:eastAsia="zh-CN"/>
        </w:rPr>
        <w:t>该项目的实施，推动了门头沟检察院财务管理水平的提升，</w:t>
      </w:r>
      <w:r>
        <w:rPr>
          <w:rFonts w:hint="eastAsia" w:ascii="仿宋_GB2312" w:hAnsi="仿宋_GB2312" w:eastAsia="仿宋_GB2312" w:cs="仿宋_GB2312"/>
          <w:spacing w:val="-4"/>
          <w:sz w:val="32"/>
          <w:szCs w:val="32"/>
          <w:lang w:val="en-US" w:eastAsia="zh-CN"/>
        </w:rPr>
        <w:t>加强了财政</w:t>
      </w:r>
      <w:r>
        <w:rPr>
          <w:rFonts w:hint="eastAsia" w:ascii="仿宋_GB2312" w:hAnsi="仿宋_GB2312" w:eastAsia="仿宋_GB2312" w:cs="仿宋_GB2312"/>
          <w:b w:val="0"/>
          <w:bCs/>
          <w:color w:val="000000"/>
          <w:kern w:val="0"/>
          <w:sz w:val="32"/>
          <w:szCs w:val="32"/>
          <w:lang w:val="en-US" w:eastAsia="zh-CN"/>
        </w:rPr>
        <w:t>资金绩效管理，促进了单位内控制度完善，为检察工作的开展提供了坚实的财务保障与制度支撑。项目在绩效指标设置上存在不全面，</w:t>
      </w:r>
      <w:r>
        <w:rPr>
          <w:rFonts w:hint="eastAsia" w:ascii="仿宋_GB2312" w:hAnsi="仿宋_GB2312" w:eastAsia="仿宋_GB2312" w:cs="仿宋_GB2312"/>
          <w:b w:val="0"/>
          <w:bCs/>
          <w:color w:val="000000"/>
          <w:kern w:val="0"/>
          <w:sz w:val="32"/>
          <w:szCs w:val="32"/>
          <w:highlight w:val="none"/>
          <w:lang w:val="en-US" w:eastAsia="zh-CN"/>
        </w:rPr>
        <w:t>未设置社会效益指标。</w:t>
      </w:r>
    </w:p>
    <w:p w14:paraId="5B2D8D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highlight w:val="none"/>
        </w:rPr>
      </w:pPr>
      <w:r>
        <w:rPr>
          <w:rFonts w:hint="eastAsia" w:ascii="仿宋_GB2312" w:hAnsi="仿宋_GB2312" w:eastAsia="仿宋_GB2312" w:cs="仿宋_GB2312"/>
          <w:b w:val="0"/>
          <w:bCs/>
          <w:color w:val="000000"/>
          <w:kern w:val="0"/>
          <w:sz w:val="32"/>
          <w:szCs w:val="32"/>
          <w:highlight w:val="none"/>
          <w:lang w:val="en-US" w:eastAsia="zh-CN"/>
        </w:rPr>
        <w:t>2.</w:t>
      </w:r>
      <w:r>
        <w:rPr>
          <w:rFonts w:hint="eastAsia" w:ascii="仿宋_GB2312" w:hAnsi="仿宋_GB2312" w:eastAsia="仿宋_GB2312" w:cs="仿宋_GB2312"/>
          <w:b w:val="0"/>
          <w:bCs/>
          <w:color w:val="000000"/>
          <w:kern w:val="0"/>
          <w:sz w:val="32"/>
          <w:szCs w:val="32"/>
          <w:highlight w:val="none"/>
        </w:rPr>
        <w:t>服务对象满意度分析</w:t>
      </w:r>
    </w:p>
    <w:p w14:paraId="039A966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0"/>
        <w:rPr>
          <w:rFonts w:hint="eastAsia" w:ascii="仿宋_GB2312" w:hAnsi="仿宋_GB2312" w:eastAsia="仿宋_GB2312" w:cs="仿宋_GB2312"/>
          <w:spacing w:val="-4"/>
          <w:sz w:val="32"/>
          <w:szCs w:val="32"/>
          <w:lang w:val="en-US" w:eastAsia="zh-CN"/>
        </w:rPr>
      </w:pPr>
      <w:bookmarkStart w:id="24" w:name="_Toc7822"/>
      <w:r>
        <w:rPr>
          <w:rFonts w:hint="eastAsia" w:ascii="仿宋_GB2312" w:hAnsi="仿宋_GB2312" w:eastAsia="仿宋_GB2312" w:cs="仿宋_GB2312"/>
          <w:spacing w:val="-4"/>
          <w:sz w:val="32"/>
          <w:szCs w:val="32"/>
          <w:lang w:val="en-US" w:eastAsia="zh-CN"/>
        </w:rPr>
        <w:t>该项目设置了满意度指标，在服务对象满意度调查方面覆盖范围局限性。设置“上级部门对咨询服务工作完成结果满意度”指标，未将实际接受绩效管理、审计监督和咨询的服务及相关人员纳入服务对象范围，影响满意度调查效果。</w:t>
      </w:r>
    </w:p>
    <w:p w14:paraId="67DEDA5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_GB2312" w:hAnsi="仿宋_GB2312" w:eastAsia="仿宋_GB2312" w:cs="仿宋_GB2312"/>
          <w:b/>
          <w:color w:val="000000"/>
          <w:kern w:val="0"/>
          <w:sz w:val="32"/>
          <w:szCs w:val="32"/>
          <w:lang w:val="en-US" w:eastAsia="zh-CN"/>
        </w:rPr>
      </w:pPr>
      <w:r>
        <w:rPr>
          <w:rFonts w:hint="eastAsia" w:ascii="仿宋_GB2312" w:hAnsi="仿宋_GB2312" w:eastAsia="仿宋_GB2312" w:cs="仿宋_GB2312"/>
          <w:b/>
          <w:color w:val="000000"/>
          <w:kern w:val="0"/>
          <w:sz w:val="32"/>
          <w:szCs w:val="32"/>
        </w:rPr>
        <w:t>五、</w:t>
      </w:r>
      <w:r>
        <w:rPr>
          <w:rFonts w:hint="eastAsia" w:ascii="仿宋_GB2312" w:hAnsi="仿宋_GB2312" w:eastAsia="仿宋_GB2312" w:cs="仿宋_GB2312"/>
          <w:b/>
          <w:color w:val="000000"/>
          <w:kern w:val="0"/>
          <w:sz w:val="32"/>
          <w:szCs w:val="32"/>
          <w:lang w:val="en-US" w:eastAsia="zh-CN"/>
        </w:rPr>
        <w:t>存在的问题</w:t>
      </w:r>
      <w:bookmarkEnd w:id="24"/>
    </w:p>
    <w:p w14:paraId="4CF4C2CC">
      <w:pPr>
        <w:pStyle w:val="11"/>
        <w:keepNext w:val="0"/>
        <w:keepLines w:val="0"/>
        <w:pageBreakBefore w:val="0"/>
        <w:widowControl w:val="0"/>
        <w:numPr>
          <w:ilvl w:val="0"/>
          <w:numId w:val="3"/>
        </w:numPr>
        <w:kinsoku/>
        <w:wordWrap/>
        <w:overflowPunct/>
        <w:topLinePunct w:val="0"/>
        <w:autoSpaceDE/>
        <w:autoSpaceDN/>
        <w:bidi w:val="0"/>
        <w:adjustRightInd/>
        <w:snapToGrid/>
        <w:spacing w:after="0" w:line="560" w:lineRule="exact"/>
        <w:ind w:firstLine="640"/>
        <w:textAlignment w:val="auto"/>
        <w:rPr>
          <w:rFonts w:hint="eastAsia" w:ascii="仿宋_GB2312" w:hAnsi="仿宋"/>
        </w:rPr>
      </w:pPr>
      <w:r>
        <w:rPr>
          <w:rFonts w:hint="eastAsia" w:ascii="仿宋_GB2312" w:hAnsi="仿宋"/>
          <w:lang w:val="en-US" w:eastAsia="zh-CN"/>
        </w:rPr>
        <w:t>对绩效指标编制规范化要求的理解存在偏差，</w:t>
      </w:r>
      <w:r>
        <w:rPr>
          <w:rFonts w:hint="eastAsia" w:ascii="仿宋_GB2312" w:hAnsi="仿宋"/>
        </w:rPr>
        <w:t>项目绩效指标设置不够</w:t>
      </w:r>
      <w:r>
        <w:rPr>
          <w:rFonts w:hint="eastAsia" w:ascii="仿宋_GB2312" w:hAnsi="仿宋"/>
          <w:lang w:val="en-US" w:eastAsia="zh-CN"/>
        </w:rPr>
        <w:t>准确、全面</w:t>
      </w:r>
      <w:r>
        <w:rPr>
          <w:rFonts w:hint="eastAsia" w:ascii="仿宋_GB2312" w:hAnsi="仿宋"/>
        </w:rPr>
        <w:t>，</w:t>
      </w:r>
      <w:r>
        <w:rPr>
          <w:rFonts w:hint="eastAsia" w:ascii="仿宋_GB2312" w:hAnsi="仿宋"/>
          <w:lang w:val="en-US" w:eastAsia="zh-CN"/>
        </w:rPr>
        <w:t>如设置不适合本项目的经济效益指标，未设置社会效益指标等。</w:t>
      </w:r>
    </w:p>
    <w:p w14:paraId="705B9AA2">
      <w:pPr>
        <w:pStyle w:val="11"/>
        <w:numPr>
          <w:ilvl w:val="0"/>
          <w:numId w:val="3"/>
        </w:numPr>
        <w:spacing w:after="0" w:line="560" w:lineRule="exact"/>
        <w:ind w:firstLine="640" w:firstLineChars="0"/>
        <w:rPr>
          <w:rFonts w:hint="eastAsia" w:ascii="仿宋_GB2312" w:hAnsi="楷体"/>
          <w:bCs/>
          <w:kern w:val="0"/>
          <w:szCs w:val="28"/>
        </w:rPr>
      </w:pPr>
      <w:bookmarkStart w:id="25" w:name="_Toc7740"/>
      <w:r>
        <w:rPr>
          <w:rFonts w:hint="eastAsia" w:ascii="仿宋_GB2312" w:hAnsi="仿宋"/>
          <w:lang w:val="en-US" w:eastAsia="zh-CN"/>
        </w:rPr>
        <w:t>项目效果佐证资料完整性不足</w:t>
      </w:r>
      <w:r>
        <w:rPr>
          <w:rFonts w:hint="eastAsia" w:ascii="仿宋_GB2312" w:hAnsi="楷体"/>
          <w:bCs/>
          <w:kern w:val="0"/>
          <w:szCs w:val="28"/>
        </w:rPr>
        <w:t>，</w:t>
      </w:r>
      <w:r>
        <w:rPr>
          <w:rFonts w:hint="eastAsia" w:ascii="仿宋_GB2312" w:hAnsi="仿宋"/>
          <w:lang w:val="en-US" w:eastAsia="zh-CN"/>
        </w:rPr>
        <w:t>导致项目绩效成果的呈现不够充分。尤其是缺少对</w:t>
      </w:r>
      <w:r>
        <w:rPr>
          <w:rFonts w:hint="eastAsia" w:ascii="仿宋_GB2312" w:hAnsi="楷体"/>
          <w:bCs/>
          <w:kern w:val="0"/>
          <w:szCs w:val="28"/>
        </w:rPr>
        <w:t>服务对象满意度</w:t>
      </w:r>
      <w:r>
        <w:rPr>
          <w:rFonts w:hint="eastAsia" w:ascii="仿宋_GB2312" w:hAnsi="楷体"/>
          <w:bCs/>
          <w:kern w:val="0"/>
          <w:szCs w:val="28"/>
          <w:lang w:val="en-US" w:eastAsia="zh-CN"/>
        </w:rPr>
        <w:t>调查相关</w:t>
      </w:r>
      <w:r>
        <w:rPr>
          <w:rFonts w:hint="eastAsia" w:ascii="仿宋_GB2312" w:hAnsi="楷体"/>
          <w:bCs/>
          <w:kern w:val="0"/>
          <w:szCs w:val="28"/>
        </w:rPr>
        <w:t>资料，难以全面、客观、准确地反映实际服务对象对项目实施满意程度</w:t>
      </w:r>
      <w:r>
        <w:rPr>
          <w:rFonts w:hint="eastAsia" w:ascii="仿宋_GB2312" w:hAnsi="楷体"/>
          <w:bCs/>
          <w:kern w:val="0"/>
          <w:szCs w:val="28"/>
          <w:lang w:eastAsia="zh-CN"/>
        </w:rPr>
        <w:t>。</w:t>
      </w:r>
    </w:p>
    <w:p w14:paraId="600506F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六、有关建议</w:t>
      </w:r>
      <w:bookmarkEnd w:id="25"/>
    </w:p>
    <w:p w14:paraId="03F7411E">
      <w:pPr>
        <w:pStyle w:val="11"/>
        <w:spacing w:after="0" w:line="560" w:lineRule="exact"/>
        <w:ind w:firstLine="640"/>
        <w:rPr>
          <w:rFonts w:hint="default"/>
          <w:lang w:val="en-US" w:eastAsia="zh-CN"/>
        </w:rPr>
      </w:pPr>
      <w:r>
        <w:rPr>
          <w:rFonts w:hint="eastAsia"/>
        </w:rPr>
        <w:t>（一）</w:t>
      </w:r>
      <w:r>
        <w:rPr>
          <w:rFonts w:hint="eastAsia"/>
          <w:lang w:val="en-US" w:eastAsia="zh-CN"/>
        </w:rPr>
        <w:t>强化预算绩效管理理念，深化对绩效管理的理解与运用。加强绩效指标设计的专业能力建设，以科学化、精细化标准设定绩效目标与指标。围绕项目实际需求与特点，设置并细化社会</w:t>
      </w:r>
      <w:r>
        <w:rPr>
          <w:rFonts w:hint="eastAsia"/>
        </w:rPr>
        <w:t>效益指标</w:t>
      </w:r>
      <w:r>
        <w:rPr>
          <w:rFonts w:hint="eastAsia"/>
          <w:lang w:eastAsia="zh-CN"/>
        </w:rPr>
        <w:t>，</w:t>
      </w:r>
      <w:r>
        <w:rPr>
          <w:rFonts w:hint="eastAsia" w:ascii="仿宋_GB2312" w:hAnsi="仿宋_GB2312" w:eastAsia="仿宋_GB2312" w:cs="仿宋_GB2312"/>
          <w:spacing w:val="-4"/>
          <w:sz w:val="32"/>
          <w:szCs w:val="32"/>
          <w:lang w:val="en-US" w:eastAsia="zh-CN"/>
        </w:rPr>
        <w:t>结合项目关键节点细化</w:t>
      </w:r>
      <w:r>
        <w:rPr>
          <w:rFonts w:hint="eastAsia" w:ascii="仿宋_GB2312" w:hAnsi="仿宋_GB2312" w:cs="仿宋_GB2312"/>
          <w:spacing w:val="-4"/>
          <w:sz w:val="32"/>
          <w:szCs w:val="32"/>
          <w:lang w:val="en-US" w:eastAsia="zh-CN"/>
        </w:rPr>
        <w:t>时效指标。</w:t>
      </w:r>
    </w:p>
    <w:p w14:paraId="207348DA">
      <w:pPr>
        <w:pStyle w:val="11"/>
        <w:spacing w:after="0" w:line="560" w:lineRule="exact"/>
        <w:ind w:firstLine="640"/>
        <w:rPr>
          <w:rFonts w:hint="eastAsia"/>
        </w:rPr>
      </w:pPr>
      <w:r>
        <w:rPr>
          <w:rFonts w:hint="eastAsia"/>
        </w:rPr>
        <w:t>（二）注重项目绩效资料管理和归集，对项目实施全过程产生的立项审批、</w:t>
      </w:r>
      <w:r>
        <w:rPr>
          <w:rFonts w:hint="eastAsia"/>
          <w:lang w:val="en-US" w:eastAsia="zh-CN"/>
        </w:rPr>
        <w:t>履行</w:t>
      </w:r>
      <w:r>
        <w:rPr>
          <w:rFonts w:hint="eastAsia"/>
        </w:rPr>
        <w:t>记录、成果文件等资料进行动态跟踪与实时归档，确保资料收集全面完整</w:t>
      </w:r>
      <w:r>
        <w:rPr>
          <w:rFonts w:hint="eastAsia"/>
          <w:lang w:eastAsia="zh-CN"/>
        </w:rPr>
        <w:t>。</w:t>
      </w:r>
      <w:r>
        <w:rPr>
          <w:rFonts w:hint="eastAsia"/>
        </w:rPr>
        <w:t>根据项目服务对象范围，选择适当的方式、方法，开展服务对象满意度调查，</w:t>
      </w:r>
      <w:r>
        <w:rPr>
          <w:rFonts w:hint="eastAsia"/>
          <w:lang w:val="en-US" w:eastAsia="zh-CN"/>
        </w:rPr>
        <w:t>全面、客观、准确地反映服务对象的</w:t>
      </w:r>
      <w:r>
        <w:rPr>
          <w:rFonts w:hint="eastAsia"/>
        </w:rPr>
        <w:t>满意</w:t>
      </w:r>
      <w:r>
        <w:rPr>
          <w:rFonts w:hint="eastAsia"/>
          <w:lang w:val="en-US" w:eastAsia="zh-CN"/>
        </w:rPr>
        <w:t>程</w:t>
      </w:r>
      <w:r>
        <w:rPr>
          <w:rFonts w:hint="eastAsia"/>
        </w:rPr>
        <w:t>度。</w:t>
      </w:r>
    </w:p>
    <w:p w14:paraId="033F4F92">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bookmarkStart w:id="26" w:name="_Toc28518"/>
    </w:p>
    <w:p w14:paraId="277E2F29">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2FECCDC9">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30EE8F72">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3FE8E860">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4CA8B7A4">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7A7FE32E">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3E667A8B">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413F6D2F">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6D41F3F6">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2A7F1FB2">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6AC08D40">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68B42FEB">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5F64E06A">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78AF30E4">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16AD5207">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17F152A8">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3CB1A8A3">
      <w:pPr>
        <w:spacing w:line="560" w:lineRule="exact"/>
        <w:ind w:firstLine="643" w:firstLineChars="200"/>
        <w:outlineLvl w:val="0"/>
        <w:rPr>
          <w:rFonts w:hint="eastAsia" w:ascii="仿宋_GB2312" w:hAnsi="仿宋_GB2312" w:eastAsia="仿宋_GB2312" w:cs="仿宋_GB2312"/>
          <w:b/>
          <w:bCs w:val="0"/>
          <w:color w:val="000000"/>
          <w:kern w:val="0"/>
          <w:sz w:val="32"/>
          <w:szCs w:val="32"/>
        </w:rPr>
      </w:pPr>
      <w:bookmarkStart w:id="27" w:name="_Toc12934"/>
      <w:r>
        <w:rPr>
          <w:rFonts w:hint="eastAsia" w:ascii="仿宋_GB2312" w:hAnsi="仿宋_GB2312" w:eastAsia="仿宋_GB2312" w:cs="仿宋_GB2312"/>
          <w:b/>
          <w:bCs w:val="0"/>
          <w:color w:val="000000"/>
          <w:kern w:val="0"/>
          <w:sz w:val="32"/>
          <w:szCs w:val="32"/>
        </w:rPr>
        <w:t>七、其他说明事项</w:t>
      </w:r>
      <w:bookmarkEnd w:id="27"/>
    </w:p>
    <w:p w14:paraId="642C6D62">
      <w:pPr>
        <w:spacing w:line="560" w:lineRule="exact"/>
        <w:ind w:firstLine="640" w:firstLineChars="200"/>
        <w:rPr>
          <w:rFonts w:ascii="仿宋_GB2312" w:hAnsi="宋体" w:eastAsia="仿宋_GB2312"/>
          <w:bCs/>
          <w:color w:val="auto"/>
          <w:sz w:val="32"/>
          <w:szCs w:val="32"/>
        </w:rPr>
      </w:pPr>
      <w:bookmarkStart w:id="28" w:name="_Toc103573668"/>
      <w:r>
        <w:rPr>
          <w:rFonts w:hint="eastAsia" w:ascii="仿宋_GB2312" w:hAnsi="宋体" w:eastAsia="仿宋_GB2312"/>
          <w:bCs/>
          <w:color w:val="auto"/>
          <w:sz w:val="32"/>
          <w:szCs w:val="32"/>
        </w:rPr>
        <w:t>本报告主要是基于</w:t>
      </w:r>
      <w:r>
        <w:rPr>
          <w:rFonts w:hint="eastAsia" w:ascii="仿宋_GB2312" w:hAnsi="宋体" w:eastAsia="仿宋_GB2312"/>
          <w:bCs/>
          <w:color w:val="auto"/>
          <w:sz w:val="32"/>
          <w:szCs w:val="32"/>
          <w:lang w:val="en-US" w:eastAsia="zh-CN"/>
        </w:rPr>
        <w:t>门头沟检察院</w:t>
      </w:r>
      <w:r>
        <w:rPr>
          <w:rFonts w:hint="eastAsia" w:ascii="仿宋_GB2312" w:hAnsi="宋体" w:eastAsia="仿宋_GB2312"/>
          <w:bCs/>
          <w:color w:val="auto"/>
          <w:sz w:val="32"/>
          <w:szCs w:val="32"/>
        </w:rPr>
        <w:t>收集的决策、过程、产出、效益方面的资料做出的评价，评价工作组对资料的真实性进行了适当的</w:t>
      </w:r>
      <w:r>
        <w:rPr>
          <w:rFonts w:hint="eastAsia" w:ascii="仿宋_GB2312" w:hAnsi="宋体" w:eastAsia="仿宋_GB2312"/>
          <w:bCs/>
          <w:color w:val="auto"/>
          <w:sz w:val="32"/>
          <w:szCs w:val="32"/>
          <w:lang w:val="en-US" w:eastAsia="zh-CN"/>
        </w:rPr>
        <w:t>审</w:t>
      </w:r>
      <w:r>
        <w:rPr>
          <w:rFonts w:hint="eastAsia" w:ascii="仿宋_GB2312" w:hAnsi="宋体" w:eastAsia="仿宋_GB2312"/>
          <w:bCs/>
          <w:color w:val="auto"/>
          <w:sz w:val="32"/>
          <w:szCs w:val="32"/>
        </w:rPr>
        <w:t>查与线上沟通，但受资料完整性及线上沟通范围所限，并非每项指标的打分都有充分的资料支撑，个别指标主要是依据项目单位沟通结果及绩效评价</w:t>
      </w:r>
      <w:r>
        <w:rPr>
          <w:rFonts w:hint="eastAsia" w:ascii="仿宋_GB2312" w:hAnsi="宋体" w:eastAsia="仿宋_GB2312"/>
          <w:bCs/>
          <w:color w:val="auto"/>
          <w:sz w:val="32"/>
          <w:szCs w:val="32"/>
          <w:lang w:val="en-US" w:eastAsia="zh-CN"/>
        </w:rPr>
        <w:t>工作组</w:t>
      </w:r>
      <w:r>
        <w:rPr>
          <w:rFonts w:hint="eastAsia" w:ascii="仿宋_GB2312" w:hAnsi="宋体" w:eastAsia="仿宋_GB2312"/>
          <w:bCs/>
          <w:color w:val="auto"/>
          <w:sz w:val="32"/>
          <w:szCs w:val="32"/>
        </w:rPr>
        <w:t>的专业性判断。</w:t>
      </w:r>
    </w:p>
    <w:p w14:paraId="2FB015D2">
      <w:pPr>
        <w:spacing w:line="560" w:lineRule="exact"/>
        <w:ind w:firstLine="640" w:firstLineChars="200"/>
        <w:rPr>
          <w:rFonts w:ascii="仿宋_GB2312" w:hAnsi="宋体" w:eastAsia="仿宋_GB2312"/>
          <w:bCs/>
          <w:color w:val="auto"/>
          <w:sz w:val="32"/>
          <w:szCs w:val="32"/>
        </w:rPr>
      </w:pPr>
      <w:r>
        <w:rPr>
          <w:rFonts w:hint="eastAsia" w:ascii="仿宋_GB2312" w:hAnsi="宋体" w:eastAsia="仿宋_GB2312"/>
          <w:bCs/>
          <w:color w:val="auto"/>
          <w:sz w:val="32"/>
          <w:szCs w:val="32"/>
        </w:rPr>
        <w:t>本次评价采取的是以项目单位为主、第三方机构协助的方式，本报告评价结论是</w:t>
      </w:r>
      <w:r>
        <w:rPr>
          <w:rFonts w:hint="eastAsia" w:ascii="仿宋_GB2312" w:hAnsi="宋体" w:eastAsia="仿宋_GB2312"/>
          <w:bCs/>
          <w:color w:val="auto"/>
          <w:sz w:val="32"/>
          <w:szCs w:val="32"/>
          <w:lang w:val="en-US" w:eastAsia="zh-CN"/>
        </w:rPr>
        <w:t>根据工作组资料审核</w:t>
      </w:r>
      <w:r>
        <w:rPr>
          <w:rFonts w:hint="eastAsia" w:ascii="仿宋_GB2312" w:hAnsi="宋体" w:eastAsia="仿宋_GB2312"/>
          <w:bCs/>
          <w:color w:val="auto"/>
          <w:sz w:val="32"/>
          <w:szCs w:val="32"/>
        </w:rPr>
        <w:t>基础上对项目做出的专业性的评价。</w:t>
      </w:r>
    </w:p>
    <w:p w14:paraId="2DC46ED6">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bookmarkStart w:id="29" w:name="_Toc23830"/>
      <w:r>
        <w:rPr>
          <w:rFonts w:hint="eastAsia" w:ascii="黑体" w:hAnsi="黑体" w:eastAsia="黑体"/>
          <w:bCs/>
          <w:color w:val="auto"/>
          <w:kern w:val="0"/>
          <w:sz w:val="32"/>
          <w:szCs w:val="28"/>
        </w:rPr>
        <w:t>八、附件</w:t>
      </w:r>
      <w:bookmarkEnd w:id="28"/>
      <w:bookmarkEnd w:id="29"/>
    </w:p>
    <w:p w14:paraId="4720D1AB">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pPr>
    </w:p>
    <w:p w14:paraId="39CB612E">
      <w:pPr>
        <w:pStyle w:val="11"/>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eastAsia"/>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2A66C7E7">
      <w:pPr>
        <w:spacing w:line="600" w:lineRule="exact"/>
        <w:outlineLvl w:val="9"/>
        <w:rPr>
          <w:rFonts w:hint="eastAsia" w:ascii="宋体" w:hAnsi="宋体" w:cs="宋体"/>
          <w:b/>
          <w:bCs/>
          <w:color w:val="000000"/>
          <w:kern w:val="0"/>
          <w:sz w:val="28"/>
          <w:szCs w:val="28"/>
        </w:rPr>
      </w:pPr>
    </w:p>
    <w:p w14:paraId="76CE609C">
      <w:pPr>
        <w:spacing w:line="600" w:lineRule="exact"/>
        <w:outlineLvl w:val="9"/>
        <w:rPr>
          <w:rFonts w:hint="eastAsia" w:ascii="宋体" w:hAnsi="宋体" w:cs="宋体"/>
          <w:b/>
          <w:bCs/>
          <w:color w:val="000000"/>
          <w:kern w:val="0"/>
          <w:sz w:val="28"/>
          <w:szCs w:val="28"/>
        </w:rPr>
      </w:pPr>
      <w:r>
        <w:rPr>
          <w:rFonts w:hint="eastAsia" w:ascii="宋体" w:hAnsi="宋体" w:cs="宋体"/>
          <w:b/>
          <w:bCs/>
          <w:color w:val="000000"/>
          <w:kern w:val="0"/>
          <w:sz w:val="28"/>
          <w:szCs w:val="28"/>
        </w:rPr>
        <w:t>附件：《评分表》</w:t>
      </w:r>
      <w:bookmarkEnd w:id="26"/>
    </w:p>
    <w:p w14:paraId="08FE0B74">
      <w:pPr>
        <w:pStyle w:val="14"/>
        <w:jc w:val="center"/>
        <w:rPr>
          <w:rFonts w:hint="eastAsia" w:ascii="宋体" w:hAnsi="宋体" w:cs="宋体"/>
          <w:color w:val="000000"/>
          <w:kern w:val="0"/>
          <w:sz w:val="22"/>
        </w:rPr>
      </w:pPr>
      <w:r>
        <w:rPr>
          <w:rFonts w:hint="eastAsia"/>
          <w:lang w:val="en-US" w:eastAsia="zh-CN"/>
        </w:rPr>
        <w:t>《</w:t>
      </w:r>
      <w:r>
        <w:rPr>
          <w:rFonts w:hint="eastAsia" w:ascii="仿宋" w:hAnsi="仿宋" w:eastAsia="仿宋"/>
          <w:color w:val="000000"/>
          <w:sz w:val="32"/>
          <w:szCs w:val="32"/>
        </w:rPr>
        <w:t>指标体系及打分情况表</w:t>
      </w:r>
      <w:r>
        <w:rPr>
          <w:rFonts w:hint="eastAsia" w:ascii="仿宋" w:hAnsi="仿宋" w:eastAsia="仿宋"/>
          <w:color w:val="000000"/>
          <w:sz w:val="32"/>
          <w:szCs w:val="32"/>
          <w:lang w:eastAsia="zh-CN"/>
        </w:rPr>
        <w:t>》</w:t>
      </w:r>
    </w:p>
    <w:p w14:paraId="25F14FDF">
      <w:pPr>
        <w:pStyle w:val="14"/>
        <w:rPr>
          <w:rFonts w:hint="eastAsia" w:ascii="宋体" w:hAnsi="宋体" w:cs="宋体"/>
          <w:color w:val="000000"/>
          <w:kern w:val="0"/>
          <w:sz w:val="22"/>
        </w:rPr>
      </w:pPr>
    </w:p>
    <w:tbl>
      <w:tblPr>
        <w:tblStyle w:val="12"/>
        <w:tblW w:w="8492" w:type="dxa"/>
        <w:tblInd w:w="96" w:type="dxa"/>
        <w:tblLayout w:type="fixed"/>
        <w:tblCellMar>
          <w:top w:w="0" w:type="dxa"/>
          <w:left w:w="108" w:type="dxa"/>
          <w:bottom w:w="0" w:type="dxa"/>
          <w:right w:w="108" w:type="dxa"/>
        </w:tblCellMar>
      </w:tblPr>
      <w:tblGrid>
        <w:gridCol w:w="671"/>
        <w:gridCol w:w="685"/>
        <w:gridCol w:w="572"/>
        <w:gridCol w:w="792"/>
        <w:gridCol w:w="588"/>
        <w:gridCol w:w="3600"/>
        <w:gridCol w:w="768"/>
        <w:gridCol w:w="816"/>
      </w:tblGrid>
      <w:tr w14:paraId="65D85B3D">
        <w:tblPrEx>
          <w:tblCellMar>
            <w:top w:w="0" w:type="dxa"/>
            <w:left w:w="108" w:type="dxa"/>
            <w:bottom w:w="0" w:type="dxa"/>
            <w:right w:w="108" w:type="dxa"/>
          </w:tblCellMar>
        </w:tblPrEx>
        <w:trPr>
          <w:trHeight w:val="576" w:hRule="atLeast"/>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34566">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B15B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EB734">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分值</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1C515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9B896">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分值</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A2367">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指标解释</w:t>
            </w:r>
          </w:p>
        </w:tc>
        <w:tc>
          <w:tcPr>
            <w:tcW w:w="7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CA2395">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得分</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1193B">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扣分理由</w:t>
            </w:r>
          </w:p>
        </w:tc>
      </w:tr>
      <w:tr w14:paraId="1B3879A2">
        <w:tblPrEx>
          <w:tblCellMar>
            <w:top w:w="0" w:type="dxa"/>
            <w:left w:w="108" w:type="dxa"/>
            <w:bottom w:w="0" w:type="dxa"/>
            <w:right w:w="108" w:type="dxa"/>
          </w:tblCellMar>
        </w:tblPrEx>
        <w:trPr>
          <w:trHeight w:val="4046"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E4D2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决策　</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14FE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项目立项　</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E6B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8</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2550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立项依据充分性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CEAB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right w:val="single" w:color="000000" w:sz="4" w:space="0"/>
            </w:tcBorders>
            <w:shd w:val="clear" w:color="auto" w:fill="FFFFFF"/>
            <w:noWrap/>
            <w:vAlign w:val="center"/>
          </w:tcPr>
          <w:p w14:paraId="7EB13B3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①项目立项是否符合国家法律法规、符合国家及北京市相关发展规划、政策；</w:t>
            </w:r>
          </w:p>
          <w:p w14:paraId="7D54AAD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②项目是否属于“负面清单”范围内的事项；（一票否决项，如属于“负面清单”，则整个项目评价为不及格）</w:t>
            </w:r>
          </w:p>
          <w:p w14:paraId="74F876D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③项目立项是否与部门职责范围相符，是否属于北京市公共财政支持范围，是否符合中央、地方事权支出责任划分原则；</w:t>
            </w:r>
          </w:p>
          <w:p w14:paraId="27475AA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④项目是否与其他部门同类项目或部门内部其他项目存在重复保障。（如：该服务事项是否同时通过编外用工申报预算）</w:t>
            </w:r>
          </w:p>
        </w:tc>
        <w:tc>
          <w:tcPr>
            <w:tcW w:w="768" w:type="dxa"/>
            <w:tcBorders>
              <w:top w:val="single" w:color="000000" w:sz="4" w:space="0"/>
              <w:left w:val="single" w:color="000000" w:sz="4" w:space="0"/>
              <w:right w:val="single" w:color="000000" w:sz="4" w:space="0"/>
            </w:tcBorders>
            <w:shd w:val="clear" w:color="auto" w:fill="FFFFFF"/>
            <w:noWrap/>
            <w:vAlign w:val="center"/>
          </w:tcPr>
          <w:p w14:paraId="69486334">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4</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4806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095E583B">
        <w:tblPrEx>
          <w:tblCellMar>
            <w:top w:w="0" w:type="dxa"/>
            <w:left w:w="108" w:type="dxa"/>
            <w:bottom w:w="0" w:type="dxa"/>
            <w:right w:w="108" w:type="dxa"/>
          </w:tblCellMar>
        </w:tblPrEx>
        <w:trPr>
          <w:trHeight w:val="3422"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4C05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A5F9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D98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CF5B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立项程序规范性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D798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right w:val="single" w:color="000000" w:sz="4" w:space="0"/>
            </w:tcBorders>
            <w:shd w:val="clear" w:color="auto" w:fill="FFFFFF"/>
            <w:noWrap/>
            <w:vAlign w:val="center"/>
          </w:tcPr>
          <w:p w14:paraId="3B54685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①项目需求调研、可行性研究、专家论证、风险评估及管理等资料是否齐备；</w:t>
            </w:r>
          </w:p>
          <w:p w14:paraId="2BD1310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②项目立项申报材料中，政府购买服务的内容、服务标准和技术保障是否明确，采购实施计划是否完整、合规、合理；</w:t>
            </w:r>
          </w:p>
          <w:p w14:paraId="33F980E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③立项前是否经过事前绩效评估，以及必要的集体决策程序；</w:t>
            </w:r>
          </w:p>
          <w:p w14:paraId="57B6FE3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④项目内容是否列入部门政府购买服务指导性目录，部门政府购买服务指导性目录是否规范。</w:t>
            </w:r>
          </w:p>
        </w:tc>
        <w:tc>
          <w:tcPr>
            <w:tcW w:w="768" w:type="dxa"/>
            <w:tcBorders>
              <w:top w:val="single" w:color="000000" w:sz="4" w:space="0"/>
              <w:left w:val="single" w:color="000000" w:sz="4" w:space="0"/>
              <w:right w:val="single" w:color="000000" w:sz="4" w:space="0"/>
            </w:tcBorders>
            <w:shd w:val="clear" w:color="auto" w:fill="FFFFFF"/>
            <w:noWrap/>
            <w:vAlign w:val="center"/>
          </w:tcPr>
          <w:p w14:paraId="51AA5745">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4</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7E0F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0670EFE3">
        <w:tblPrEx>
          <w:tblCellMar>
            <w:top w:w="0" w:type="dxa"/>
            <w:left w:w="108" w:type="dxa"/>
            <w:bottom w:w="0" w:type="dxa"/>
            <w:right w:w="108" w:type="dxa"/>
          </w:tblCellMar>
        </w:tblPrEx>
        <w:trPr>
          <w:trHeight w:val="52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D67F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238EA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绩效目标　</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316EE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8</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536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绩效目标合理性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2A96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7EEA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①项目是否有明确的绩效目标；</w:t>
            </w:r>
          </w:p>
        </w:tc>
        <w:tc>
          <w:tcPr>
            <w:tcW w:w="768" w:type="dxa"/>
            <w:vMerge w:val="restart"/>
            <w:tcBorders>
              <w:top w:val="single" w:color="000000" w:sz="4" w:space="0"/>
              <w:left w:val="single" w:color="000000" w:sz="4" w:space="0"/>
              <w:right w:val="single" w:color="000000" w:sz="4" w:space="0"/>
            </w:tcBorders>
            <w:shd w:val="clear" w:color="auto" w:fill="FFFFFF"/>
            <w:noWrap/>
            <w:vAlign w:val="center"/>
          </w:tcPr>
          <w:p w14:paraId="113EF14E">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4</w:t>
            </w:r>
          </w:p>
        </w:tc>
        <w:tc>
          <w:tcPr>
            <w:tcW w:w="816" w:type="dxa"/>
            <w:vMerge w:val="restart"/>
            <w:tcBorders>
              <w:top w:val="single" w:color="000000" w:sz="4" w:space="0"/>
              <w:left w:val="single" w:color="000000" w:sz="4" w:space="0"/>
              <w:right w:val="single" w:color="000000" w:sz="4" w:space="0"/>
            </w:tcBorders>
            <w:shd w:val="clear" w:color="auto" w:fill="FFFFFF"/>
            <w:noWrap/>
            <w:vAlign w:val="center"/>
          </w:tcPr>
          <w:p w14:paraId="762C21F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6600D5CB">
        <w:tblPrEx>
          <w:tblCellMar>
            <w:top w:w="0" w:type="dxa"/>
            <w:left w:w="108" w:type="dxa"/>
            <w:bottom w:w="0" w:type="dxa"/>
            <w:right w:w="108" w:type="dxa"/>
          </w:tblCellMar>
        </w:tblPrEx>
        <w:trPr>
          <w:trHeight w:val="52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BC90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C5E2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485E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5B656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911A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9A3D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②项目绩效目标与政府购买服务的实际内容是否具有相关性；</w:t>
            </w:r>
          </w:p>
        </w:tc>
        <w:tc>
          <w:tcPr>
            <w:tcW w:w="768" w:type="dxa"/>
            <w:vMerge w:val="continue"/>
            <w:tcBorders>
              <w:left w:val="single" w:color="000000" w:sz="4" w:space="0"/>
              <w:right w:val="single" w:color="000000" w:sz="4" w:space="0"/>
            </w:tcBorders>
            <w:shd w:val="clear" w:color="auto" w:fill="FFFFFF"/>
            <w:noWrap/>
            <w:vAlign w:val="center"/>
          </w:tcPr>
          <w:p w14:paraId="17164CDB">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p>
        </w:tc>
        <w:tc>
          <w:tcPr>
            <w:tcW w:w="816" w:type="dxa"/>
            <w:vMerge w:val="continue"/>
            <w:tcBorders>
              <w:left w:val="single" w:color="000000" w:sz="4" w:space="0"/>
              <w:right w:val="single" w:color="000000" w:sz="4" w:space="0"/>
            </w:tcBorders>
            <w:shd w:val="clear" w:color="auto" w:fill="FFFFFF"/>
            <w:noWrap/>
            <w:vAlign w:val="center"/>
          </w:tcPr>
          <w:p w14:paraId="134FF5F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6DCDBBA6">
        <w:tblPrEx>
          <w:tblCellMar>
            <w:top w:w="0" w:type="dxa"/>
            <w:left w:w="108" w:type="dxa"/>
            <w:bottom w:w="0" w:type="dxa"/>
            <w:right w:w="108" w:type="dxa"/>
          </w:tblCellMar>
        </w:tblPrEx>
        <w:trPr>
          <w:trHeight w:val="52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077C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A56D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B152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14822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F530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5998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③项目预期产出效益和效果是否符合正常的业绩水平；</w:t>
            </w:r>
          </w:p>
        </w:tc>
        <w:tc>
          <w:tcPr>
            <w:tcW w:w="768" w:type="dxa"/>
            <w:vMerge w:val="continue"/>
            <w:tcBorders>
              <w:left w:val="single" w:color="000000" w:sz="4" w:space="0"/>
              <w:right w:val="single" w:color="000000" w:sz="4" w:space="0"/>
            </w:tcBorders>
            <w:shd w:val="clear" w:color="auto" w:fill="FFFFFF"/>
            <w:noWrap/>
            <w:vAlign w:val="center"/>
          </w:tcPr>
          <w:p w14:paraId="270C5E61">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p>
        </w:tc>
        <w:tc>
          <w:tcPr>
            <w:tcW w:w="816" w:type="dxa"/>
            <w:vMerge w:val="continue"/>
            <w:tcBorders>
              <w:left w:val="single" w:color="000000" w:sz="4" w:space="0"/>
              <w:right w:val="single" w:color="000000" w:sz="4" w:space="0"/>
            </w:tcBorders>
            <w:shd w:val="clear" w:color="auto" w:fill="FFFFFF"/>
            <w:noWrap/>
            <w:vAlign w:val="center"/>
          </w:tcPr>
          <w:p w14:paraId="4B0296F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7A647BCD">
        <w:tblPrEx>
          <w:tblCellMar>
            <w:top w:w="0" w:type="dxa"/>
            <w:left w:w="108" w:type="dxa"/>
            <w:bottom w:w="0" w:type="dxa"/>
            <w:right w:w="108" w:type="dxa"/>
          </w:tblCellMar>
        </w:tblPrEx>
        <w:trPr>
          <w:trHeight w:val="52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7BAD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47514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868B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3253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54CD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EF83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④绩效目标及指标值是否与政府购买服务所申报的预算资金量相匹配。</w:t>
            </w:r>
          </w:p>
        </w:tc>
        <w:tc>
          <w:tcPr>
            <w:tcW w:w="768" w:type="dxa"/>
            <w:vMerge w:val="continue"/>
            <w:tcBorders>
              <w:left w:val="single" w:color="000000" w:sz="4" w:space="0"/>
              <w:bottom w:val="single" w:color="000000" w:sz="4" w:space="0"/>
              <w:right w:val="single" w:color="000000" w:sz="4" w:space="0"/>
            </w:tcBorders>
            <w:shd w:val="clear" w:color="auto" w:fill="FFFFFF"/>
            <w:noWrap/>
            <w:vAlign w:val="center"/>
          </w:tcPr>
          <w:p w14:paraId="5076FE82">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p>
        </w:tc>
        <w:tc>
          <w:tcPr>
            <w:tcW w:w="816" w:type="dxa"/>
            <w:vMerge w:val="continue"/>
            <w:tcBorders>
              <w:left w:val="single" w:color="000000" w:sz="4" w:space="0"/>
              <w:bottom w:val="single" w:color="000000" w:sz="4" w:space="0"/>
              <w:right w:val="single" w:color="000000" w:sz="4" w:space="0"/>
            </w:tcBorders>
            <w:shd w:val="clear" w:color="auto" w:fill="FFFFFF"/>
            <w:noWrap/>
            <w:vAlign w:val="center"/>
          </w:tcPr>
          <w:p w14:paraId="7DB94B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2C5D38CF">
        <w:tblPrEx>
          <w:tblCellMar>
            <w:top w:w="0" w:type="dxa"/>
            <w:left w:w="108" w:type="dxa"/>
            <w:bottom w:w="0" w:type="dxa"/>
            <w:right w:w="108" w:type="dxa"/>
          </w:tblCellMar>
        </w:tblPrEx>
        <w:trPr>
          <w:trHeight w:val="97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01CF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F8DBD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F16D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7971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绩效指标明确性</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944E7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right w:val="single" w:color="000000" w:sz="4" w:space="0"/>
            </w:tcBorders>
            <w:shd w:val="clear" w:color="auto" w:fill="FFFFFF"/>
            <w:noWrap/>
            <w:vAlign w:val="center"/>
          </w:tcPr>
          <w:p w14:paraId="2BF8AB9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①是否将项目绩效目标细化分解为具体的绩效指标；</w:t>
            </w:r>
          </w:p>
          <w:p w14:paraId="2478265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②绩效指标是否全面，是否包括必要的成本指标以及满意度指标；</w:t>
            </w:r>
          </w:p>
          <w:p w14:paraId="28F25FD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③指标是否通过清晰、可衡量的指标值予以体现；</w:t>
            </w:r>
          </w:p>
          <w:p w14:paraId="7092365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④指标是否与项目目标任务数或计划数相对应。</w:t>
            </w:r>
          </w:p>
        </w:tc>
        <w:tc>
          <w:tcPr>
            <w:tcW w:w="768" w:type="dxa"/>
            <w:tcBorders>
              <w:top w:val="single" w:color="000000" w:sz="4" w:space="0"/>
              <w:left w:val="single" w:color="000000" w:sz="4" w:space="0"/>
              <w:right w:val="single" w:color="000000" w:sz="4" w:space="0"/>
            </w:tcBorders>
            <w:shd w:val="clear" w:color="auto" w:fill="FFFFFF"/>
            <w:noWrap/>
            <w:vAlign w:val="center"/>
          </w:tcPr>
          <w:p w14:paraId="270A9735">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3</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C8EEB">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u w:val="none"/>
                <w:lang w:val="en-US" w:eastAsia="zh-CN" w:bidi="ar"/>
              </w:rPr>
              <w:t>个别绩效指标设置不全面、不准确。例如：经济效益指标不适合本项目，未设置社会效益指标。</w:t>
            </w:r>
          </w:p>
        </w:tc>
      </w:tr>
      <w:tr w14:paraId="35229541">
        <w:tblPrEx>
          <w:tblCellMar>
            <w:top w:w="0" w:type="dxa"/>
            <w:left w:w="108" w:type="dxa"/>
            <w:bottom w:w="0" w:type="dxa"/>
            <w:right w:w="108" w:type="dxa"/>
          </w:tblCellMar>
        </w:tblPrEx>
        <w:trPr>
          <w:trHeight w:val="155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9657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E4AF0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资金投入</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515C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168BA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预算编制科学性</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A4AB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right w:val="single" w:color="000000" w:sz="4" w:space="0"/>
            </w:tcBorders>
            <w:shd w:val="clear" w:color="auto" w:fill="FFFFFF"/>
            <w:noWrap/>
            <w:vAlign w:val="center"/>
          </w:tcPr>
          <w:p w14:paraId="0BA98E9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①预算内容与项目内容是否匹配；</w:t>
            </w:r>
          </w:p>
          <w:p w14:paraId="29E854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②预算额度测算依据是否充分，是否按照标准编制，是否进行了成本定额测算；</w:t>
            </w:r>
          </w:p>
          <w:p w14:paraId="1D521CE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③预算资金量是否与工作任务相匹配。</w:t>
            </w:r>
          </w:p>
        </w:tc>
        <w:tc>
          <w:tcPr>
            <w:tcW w:w="768" w:type="dxa"/>
            <w:tcBorders>
              <w:top w:val="single" w:color="000000" w:sz="4" w:space="0"/>
              <w:left w:val="single" w:color="000000" w:sz="4" w:space="0"/>
              <w:right w:val="single" w:color="000000" w:sz="4" w:space="0"/>
            </w:tcBorders>
            <w:shd w:val="clear" w:color="auto" w:fill="FFFFFF"/>
            <w:noWrap/>
            <w:vAlign w:val="center"/>
          </w:tcPr>
          <w:p w14:paraId="071D774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4</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B826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3050B2F4">
        <w:tblPrEx>
          <w:tblCellMar>
            <w:top w:w="0" w:type="dxa"/>
            <w:left w:w="108" w:type="dxa"/>
            <w:bottom w:w="0" w:type="dxa"/>
            <w:right w:w="108" w:type="dxa"/>
          </w:tblCellMar>
        </w:tblPrEx>
        <w:trPr>
          <w:trHeight w:val="480"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1C3D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过程</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59E6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资金管理</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58B7F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7</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0215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预算执行率</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34E5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3</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323F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预算执行率=（实际支出资金/实际到位资金）×100%。</w:t>
            </w:r>
          </w:p>
        </w:tc>
        <w:tc>
          <w:tcPr>
            <w:tcW w:w="7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84E64">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3</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7391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64B474D3">
        <w:tblPrEx>
          <w:tblCellMar>
            <w:top w:w="0" w:type="dxa"/>
            <w:left w:w="108" w:type="dxa"/>
            <w:bottom w:w="0" w:type="dxa"/>
            <w:right w:w="108" w:type="dxa"/>
          </w:tblCellMar>
        </w:tblPrEx>
        <w:trPr>
          <w:trHeight w:val="2818"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B88D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77FE7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A0C6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F0FC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资金使用合规性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CF4A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E1F1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①是否符合国家财经法规和财务管理制度以及有关专项资金管理办法的规定；</w:t>
            </w:r>
          </w:p>
          <w:p w14:paraId="260E35A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②资金拨付是否有完整的程序和手续，拨付的时间节点及金额是否符合合同约定的时间及工作进度；</w:t>
            </w:r>
          </w:p>
          <w:p w14:paraId="09A7C1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③资金用途是否符合项目预算批复或合同规定的用途；</w:t>
            </w:r>
          </w:p>
          <w:p w14:paraId="5BBE1E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④是否存在截留、挤占、挪用、虚列支出等情况。</w:t>
            </w:r>
          </w:p>
        </w:tc>
        <w:tc>
          <w:tcPr>
            <w:tcW w:w="768" w:type="dxa"/>
            <w:tcBorders>
              <w:top w:val="single" w:color="000000" w:sz="4" w:space="0"/>
              <w:left w:val="single" w:color="000000" w:sz="4" w:space="0"/>
              <w:right w:val="single" w:color="000000" w:sz="4" w:space="0"/>
            </w:tcBorders>
            <w:shd w:val="clear" w:color="auto" w:fill="FFFFFF"/>
            <w:noWrap/>
            <w:vAlign w:val="center"/>
          </w:tcPr>
          <w:p w14:paraId="1B792D7E">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4</w:t>
            </w:r>
          </w:p>
        </w:tc>
        <w:tc>
          <w:tcPr>
            <w:tcW w:w="816" w:type="dxa"/>
            <w:tcBorders>
              <w:top w:val="single" w:color="000000" w:sz="4" w:space="0"/>
              <w:left w:val="single" w:color="000000" w:sz="4" w:space="0"/>
              <w:right w:val="single" w:color="000000" w:sz="4" w:space="0"/>
            </w:tcBorders>
            <w:shd w:val="clear" w:color="auto" w:fill="FFFFFF"/>
            <w:noWrap/>
            <w:vAlign w:val="center"/>
          </w:tcPr>
          <w:p w14:paraId="5385805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3B5031F6">
        <w:tblPrEx>
          <w:tblCellMar>
            <w:top w:w="0" w:type="dxa"/>
            <w:left w:w="108" w:type="dxa"/>
            <w:bottom w:w="0" w:type="dxa"/>
            <w:right w:w="108" w:type="dxa"/>
          </w:tblCellMar>
        </w:tblPrEx>
        <w:trPr>
          <w:trHeight w:val="1862"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EF8F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64F9B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业务管理</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0603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13</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42B5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管理制度健全性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ABB1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3</w:t>
            </w:r>
          </w:p>
        </w:tc>
        <w:tc>
          <w:tcPr>
            <w:tcW w:w="3600" w:type="dxa"/>
            <w:tcBorders>
              <w:top w:val="single" w:color="000000" w:sz="4" w:space="0"/>
              <w:left w:val="single" w:color="000000" w:sz="4" w:space="0"/>
              <w:right w:val="single" w:color="000000" w:sz="4" w:space="0"/>
            </w:tcBorders>
            <w:shd w:val="clear" w:color="auto" w:fill="FFFFFF"/>
            <w:noWrap/>
            <w:vAlign w:val="center"/>
          </w:tcPr>
          <w:p w14:paraId="6E948E1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①是否有完善的财务管理、采购管理、合同管理等制度；</w:t>
            </w:r>
          </w:p>
          <w:p w14:paraId="4D8D8A7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②对所购买服务是否有明确的业务管理制度；</w:t>
            </w:r>
          </w:p>
          <w:p w14:paraId="32FF4F0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③对所购买服务是否有明确的质量监控制度和验收办法。</w:t>
            </w:r>
          </w:p>
        </w:tc>
        <w:tc>
          <w:tcPr>
            <w:tcW w:w="768" w:type="dxa"/>
            <w:tcBorders>
              <w:top w:val="single" w:color="000000" w:sz="4" w:space="0"/>
              <w:left w:val="single" w:color="000000" w:sz="4" w:space="0"/>
              <w:right w:val="single" w:color="000000" w:sz="4" w:space="0"/>
            </w:tcBorders>
            <w:shd w:val="clear" w:color="auto" w:fill="FFFFFF"/>
            <w:noWrap/>
            <w:vAlign w:val="center"/>
          </w:tcPr>
          <w:p w14:paraId="50B4A91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3</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7007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3EB2F99E">
        <w:tblPrEx>
          <w:tblCellMar>
            <w:top w:w="0" w:type="dxa"/>
            <w:left w:w="108" w:type="dxa"/>
            <w:bottom w:w="0" w:type="dxa"/>
            <w:right w:w="108" w:type="dxa"/>
          </w:tblCellMar>
        </w:tblPrEx>
        <w:trPr>
          <w:trHeight w:val="54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C56F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8D7F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68DF6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73B6A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制度执行有效性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064D1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3600" w:type="dxa"/>
            <w:tcBorders>
              <w:top w:val="single" w:color="000000" w:sz="4" w:space="0"/>
              <w:left w:val="single" w:color="000000" w:sz="4" w:space="0"/>
              <w:right w:val="single" w:color="000000" w:sz="4" w:space="0"/>
            </w:tcBorders>
            <w:shd w:val="clear" w:color="auto" w:fill="FFFFFF"/>
            <w:noWrap/>
            <w:vAlign w:val="center"/>
          </w:tcPr>
          <w:p w14:paraId="4356187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①是否履行了合法合规的采购程序；</w:t>
            </w:r>
          </w:p>
          <w:p w14:paraId="66C7BEF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②政府购买服务承接主体是否符合政策规定，同等条件下是否优先考虑社会组织，是否执行“拨改买”政策要求；</w:t>
            </w:r>
          </w:p>
          <w:p w14:paraId="0847125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③政府购买服务合同是否有明确的服务内容、期限、数量、质量、价格、资金结算方式、各方权利义务和违约责任等内容；</w:t>
            </w:r>
          </w:p>
          <w:p w14:paraId="51B0879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④购买主体是否履行了对所购买服务实施过程的监督管理责任；是否对承接主体的工作有检查验收考核等质量监控；承接主体是否存在转包现象；</w:t>
            </w:r>
          </w:p>
          <w:p w14:paraId="2B58820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⑤项目验收报告、技术鉴定等资料是否齐全并及时归档。</w:t>
            </w:r>
          </w:p>
        </w:tc>
        <w:tc>
          <w:tcPr>
            <w:tcW w:w="768" w:type="dxa"/>
            <w:tcBorders>
              <w:top w:val="single" w:color="000000" w:sz="4" w:space="0"/>
              <w:left w:val="single" w:color="000000" w:sz="4" w:space="0"/>
              <w:right w:val="single" w:color="000000" w:sz="4" w:space="0"/>
            </w:tcBorders>
            <w:shd w:val="clear" w:color="auto" w:fill="FFFFFF"/>
            <w:noWrap/>
            <w:vAlign w:val="center"/>
          </w:tcPr>
          <w:p w14:paraId="509C9EFB">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10</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CAEE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69B458A7">
        <w:tblPrEx>
          <w:tblCellMar>
            <w:top w:w="0" w:type="dxa"/>
            <w:left w:w="108" w:type="dxa"/>
            <w:bottom w:w="0" w:type="dxa"/>
            <w:right w:w="108" w:type="dxa"/>
          </w:tblCellMar>
        </w:tblPrEx>
        <w:trPr>
          <w:trHeight w:val="1565"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35FE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产出</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C3DC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产出数量</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6310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9264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实际完成率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8EAE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3600" w:type="dxa"/>
            <w:tcBorders>
              <w:top w:val="single" w:color="000000" w:sz="4" w:space="0"/>
              <w:left w:val="single" w:color="000000" w:sz="4" w:space="0"/>
              <w:right w:val="single" w:color="000000" w:sz="4" w:space="0"/>
            </w:tcBorders>
            <w:shd w:val="clear" w:color="auto" w:fill="FFFFFF"/>
            <w:noWrap/>
            <w:vAlign w:val="center"/>
          </w:tcPr>
          <w:p w14:paraId="7C6D500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项目产出数量指标。</w:t>
            </w:r>
          </w:p>
        </w:tc>
        <w:tc>
          <w:tcPr>
            <w:tcW w:w="768" w:type="dxa"/>
            <w:tcBorders>
              <w:top w:val="single" w:color="000000" w:sz="4" w:space="0"/>
              <w:left w:val="single" w:color="000000" w:sz="4" w:space="0"/>
              <w:right w:val="single" w:color="000000" w:sz="4" w:space="0"/>
            </w:tcBorders>
            <w:shd w:val="clear" w:color="auto" w:fill="FFFFFF"/>
            <w:noWrap/>
            <w:vAlign w:val="center"/>
          </w:tcPr>
          <w:p w14:paraId="309884B4">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10</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B65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770E4A59">
        <w:tblPrEx>
          <w:tblCellMar>
            <w:top w:w="0" w:type="dxa"/>
            <w:left w:w="108" w:type="dxa"/>
            <w:bottom w:w="0" w:type="dxa"/>
            <w:right w:w="108" w:type="dxa"/>
          </w:tblCellMar>
        </w:tblPrEx>
        <w:trPr>
          <w:trHeight w:val="206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2596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4BF6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产出质量</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D064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6B623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质量达标率（验收合格率）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FAC14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3600" w:type="dxa"/>
            <w:tcBorders>
              <w:top w:val="single" w:color="000000" w:sz="4" w:space="0"/>
              <w:left w:val="single" w:color="000000" w:sz="4" w:space="0"/>
              <w:right w:val="single" w:color="000000" w:sz="4" w:space="0"/>
            </w:tcBorders>
            <w:shd w:val="clear" w:color="auto" w:fill="FFFFFF"/>
            <w:noWrap/>
            <w:vAlign w:val="center"/>
          </w:tcPr>
          <w:p w14:paraId="7BE3FE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项目产出质量指标。</w:t>
            </w:r>
          </w:p>
        </w:tc>
        <w:tc>
          <w:tcPr>
            <w:tcW w:w="768" w:type="dxa"/>
            <w:tcBorders>
              <w:top w:val="single" w:color="000000" w:sz="4" w:space="0"/>
              <w:left w:val="single" w:color="000000" w:sz="4" w:space="0"/>
              <w:right w:val="single" w:color="000000" w:sz="4" w:space="0"/>
            </w:tcBorders>
            <w:shd w:val="clear" w:color="auto" w:fill="FFFFFF"/>
            <w:noWrap/>
            <w:vAlign w:val="center"/>
          </w:tcPr>
          <w:p w14:paraId="6924F1C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10</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25A6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5FBD04BB">
        <w:tblPrEx>
          <w:tblCellMar>
            <w:top w:w="0" w:type="dxa"/>
            <w:left w:w="108" w:type="dxa"/>
            <w:bottom w:w="0" w:type="dxa"/>
            <w:right w:w="108" w:type="dxa"/>
          </w:tblCellMar>
        </w:tblPrEx>
        <w:trPr>
          <w:trHeight w:val="139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9BE3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36FA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产出时效</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406F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1598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完成及时性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363B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w:t>
            </w:r>
          </w:p>
        </w:tc>
        <w:tc>
          <w:tcPr>
            <w:tcW w:w="3600" w:type="dxa"/>
            <w:tcBorders>
              <w:top w:val="single" w:color="000000" w:sz="4" w:space="0"/>
              <w:left w:val="single" w:color="000000" w:sz="4" w:space="0"/>
              <w:right w:val="single" w:color="000000" w:sz="4" w:space="0"/>
            </w:tcBorders>
            <w:shd w:val="clear" w:color="auto" w:fill="FFFFFF"/>
            <w:noWrap/>
            <w:vAlign w:val="center"/>
          </w:tcPr>
          <w:p w14:paraId="14F688B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项目按照时间节点完成相关工作。</w:t>
            </w:r>
          </w:p>
        </w:tc>
        <w:tc>
          <w:tcPr>
            <w:tcW w:w="768" w:type="dxa"/>
            <w:tcBorders>
              <w:top w:val="single" w:color="000000" w:sz="4" w:space="0"/>
              <w:left w:val="single" w:color="000000" w:sz="4" w:space="0"/>
              <w:right w:val="single" w:color="000000" w:sz="4" w:space="0"/>
            </w:tcBorders>
            <w:shd w:val="clear" w:color="auto" w:fill="FFFFFF"/>
            <w:noWrap/>
            <w:vAlign w:val="center"/>
          </w:tcPr>
          <w:p w14:paraId="17070B81">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3</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0461A">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时效指标未根据时间节点进行设置。</w:t>
            </w:r>
          </w:p>
        </w:tc>
      </w:tr>
      <w:tr w14:paraId="0F30ECE4">
        <w:tblPrEx>
          <w:tblCellMar>
            <w:top w:w="0" w:type="dxa"/>
            <w:left w:w="108" w:type="dxa"/>
            <w:bottom w:w="0" w:type="dxa"/>
            <w:right w:w="108" w:type="dxa"/>
          </w:tblCellMar>
        </w:tblPrEx>
        <w:trPr>
          <w:trHeight w:val="1449"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812F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8C8F2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产出成本</w:t>
            </w:r>
          </w:p>
        </w:tc>
        <w:tc>
          <w:tcPr>
            <w:tcW w:w="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943B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13A1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成本节约率</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66FF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w:t>
            </w:r>
          </w:p>
        </w:tc>
        <w:tc>
          <w:tcPr>
            <w:tcW w:w="3600" w:type="dxa"/>
            <w:tcBorders>
              <w:top w:val="single" w:color="000000" w:sz="4" w:space="0"/>
              <w:left w:val="single" w:color="000000" w:sz="4" w:space="0"/>
              <w:right w:val="single" w:color="000000" w:sz="4" w:space="0"/>
            </w:tcBorders>
            <w:shd w:val="clear" w:color="auto" w:fill="FFFFFF"/>
            <w:noWrap/>
            <w:vAlign w:val="center"/>
          </w:tcPr>
          <w:p w14:paraId="41EC12C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预算控制是否符合成本效益原则。</w:t>
            </w:r>
          </w:p>
        </w:tc>
        <w:tc>
          <w:tcPr>
            <w:tcW w:w="768" w:type="dxa"/>
            <w:tcBorders>
              <w:top w:val="single" w:color="000000" w:sz="4" w:space="0"/>
              <w:left w:val="single" w:color="000000" w:sz="4" w:space="0"/>
              <w:right w:val="single" w:color="000000" w:sz="4" w:space="0"/>
            </w:tcBorders>
            <w:shd w:val="clear" w:color="auto" w:fill="FFFFFF"/>
            <w:noWrap/>
            <w:vAlign w:val="center"/>
          </w:tcPr>
          <w:p w14:paraId="12B5544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6FF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r>
      <w:tr w14:paraId="27CFEBB3">
        <w:tblPrEx>
          <w:tblCellMar>
            <w:top w:w="0" w:type="dxa"/>
            <w:left w:w="108" w:type="dxa"/>
            <w:bottom w:w="0" w:type="dxa"/>
            <w:right w:w="108" w:type="dxa"/>
          </w:tblCellMar>
        </w:tblPrEx>
        <w:trPr>
          <w:trHeight w:val="864"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5FB5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效益　</w:t>
            </w:r>
          </w:p>
        </w:tc>
        <w:tc>
          <w:tcPr>
            <w:tcW w:w="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B860B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项目效益　</w:t>
            </w:r>
          </w:p>
        </w:tc>
        <w:tc>
          <w:tcPr>
            <w:tcW w:w="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4810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DD95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效益达成度</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E879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5F93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项目预期所产生的社会效益、经济效益、生态效益、可持续影响等的实现程度。如绩效目标中的效益指标设定不具体不量化，评价中可根据项目实际情况有选择地设置和细化。</w:t>
            </w:r>
          </w:p>
        </w:tc>
        <w:tc>
          <w:tcPr>
            <w:tcW w:w="7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54173">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8F4A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u w:val="none"/>
                <w:lang w:val="en-US" w:eastAsia="zh-CN" w:bidi="ar"/>
              </w:rPr>
              <w:t>项目设置了经济效益指标，但未提供证明性资料；未设置社会效益指标。</w:t>
            </w:r>
          </w:p>
        </w:tc>
      </w:tr>
      <w:tr w14:paraId="6D9C3988">
        <w:tblPrEx>
          <w:tblCellMar>
            <w:top w:w="0" w:type="dxa"/>
            <w:left w:w="108" w:type="dxa"/>
            <w:bottom w:w="0" w:type="dxa"/>
            <w:right w:w="108" w:type="dxa"/>
          </w:tblCellMar>
        </w:tblPrEx>
        <w:trPr>
          <w:trHeight w:val="1152"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BEF5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13FD4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满意度</w:t>
            </w:r>
          </w:p>
        </w:tc>
        <w:tc>
          <w:tcPr>
            <w:tcW w:w="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B8677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72214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服务对象满意度</w:t>
            </w: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73E04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20</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015C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社会公众或服务对象是指因该项目实施而受到影响的部门（单位）、群体或个人。一般采取社会调查的方式，将服务对象的满意度与预期指标进行比较。如项目单位未进行满意度评价，或设置的预期绩效指标值过低，评价中可酌情扣分。</w:t>
            </w:r>
          </w:p>
        </w:tc>
        <w:tc>
          <w:tcPr>
            <w:tcW w:w="7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097B5">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b w:val="0"/>
                <w:bCs w:val="0"/>
                <w:i w:val="0"/>
                <w:iCs w:val="0"/>
                <w:color w:val="000000"/>
                <w:kern w:val="0"/>
                <w:sz w:val="20"/>
                <w:szCs w:val="20"/>
                <w:highlight w:val="none"/>
                <w:u w:val="none"/>
                <w:lang w:val="en-US" w:eastAsia="zh-CN" w:bidi="ar"/>
              </w:rPr>
              <w:t>17</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6C6BE">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cs="宋体"/>
                <w:color w:val="000000"/>
                <w:kern w:val="0"/>
                <w:sz w:val="20"/>
                <w:szCs w:val="20"/>
                <w:u w:val="none"/>
                <w:lang w:val="en-US" w:eastAsia="zh-CN" w:bidi="ar"/>
              </w:rPr>
              <w:t>服务对象</w:t>
            </w:r>
            <w:r>
              <w:rPr>
                <w:rFonts w:hint="eastAsia" w:ascii="宋体" w:hAnsi="宋体" w:eastAsia="宋体" w:cs="宋体"/>
                <w:color w:val="000000"/>
                <w:kern w:val="0"/>
                <w:sz w:val="20"/>
                <w:szCs w:val="20"/>
                <w:u w:val="none"/>
                <w:lang w:bidi="ar"/>
              </w:rPr>
              <w:t>满意度调查</w:t>
            </w:r>
            <w:r>
              <w:rPr>
                <w:rFonts w:hint="eastAsia" w:ascii="宋体" w:hAnsi="宋体" w:cs="宋体"/>
                <w:color w:val="000000"/>
                <w:kern w:val="0"/>
                <w:sz w:val="20"/>
                <w:szCs w:val="20"/>
                <w:u w:val="none"/>
                <w:lang w:val="en-US" w:eastAsia="zh-CN" w:bidi="ar"/>
              </w:rPr>
              <w:t>开展</w:t>
            </w:r>
            <w:r>
              <w:rPr>
                <w:rFonts w:hint="eastAsia" w:ascii="宋体" w:hAnsi="宋体" w:eastAsia="宋体" w:cs="宋体"/>
                <w:color w:val="000000"/>
                <w:kern w:val="0"/>
                <w:sz w:val="20"/>
                <w:szCs w:val="20"/>
                <w:u w:val="none"/>
                <w:lang w:bidi="ar"/>
              </w:rPr>
              <w:t>不全面</w:t>
            </w:r>
            <w:r>
              <w:rPr>
                <w:rFonts w:hint="eastAsia" w:ascii="宋体" w:hAnsi="宋体" w:cs="宋体"/>
                <w:color w:val="000000"/>
                <w:kern w:val="0"/>
                <w:sz w:val="20"/>
                <w:szCs w:val="20"/>
                <w:u w:val="none"/>
                <w:lang w:eastAsia="zh-CN" w:bidi="ar"/>
              </w:rPr>
              <w:t>，</w:t>
            </w:r>
            <w:r>
              <w:rPr>
                <w:rFonts w:hint="eastAsia" w:ascii="宋体" w:hAnsi="宋体" w:cs="宋体"/>
                <w:color w:val="000000"/>
                <w:kern w:val="0"/>
                <w:sz w:val="20"/>
                <w:szCs w:val="20"/>
                <w:u w:val="none"/>
                <w:lang w:val="en-US" w:eastAsia="zh-CN" w:bidi="ar"/>
              </w:rPr>
              <w:t>未能充分反映服务对象满意程度。</w:t>
            </w:r>
          </w:p>
        </w:tc>
      </w:tr>
      <w:tr w14:paraId="5C6EBC8B">
        <w:tblPrEx>
          <w:tblCellMar>
            <w:top w:w="0" w:type="dxa"/>
            <w:left w:w="108" w:type="dxa"/>
            <w:bottom w:w="0" w:type="dxa"/>
            <w:right w:w="108" w:type="dxa"/>
          </w:tblCellMar>
        </w:tblPrEx>
        <w:trPr>
          <w:trHeight w:val="660" w:hRule="atLeast"/>
        </w:trPr>
        <w:tc>
          <w:tcPr>
            <w:tcW w:w="135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5B3006">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合计</w:t>
            </w:r>
          </w:p>
        </w:tc>
        <w:tc>
          <w:tcPr>
            <w:tcW w:w="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2219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2AB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F99E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100</w:t>
            </w:r>
          </w:p>
        </w:tc>
        <w:tc>
          <w:tcPr>
            <w:tcW w:w="3600" w:type="dxa"/>
            <w:tcBorders>
              <w:top w:val="single" w:color="000000" w:sz="4" w:space="0"/>
              <w:left w:val="single" w:color="000000" w:sz="4" w:space="0"/>
              <w:bottom w:val="single" w:color="000000" w:sz="4" w:space="0"/>
              <w:right w:val="single" w:color="000000" w:sz="4" w:space="0"/>
            </w:tcBorders>
            <w:noWrap/>
            <w:vAlign w:val="center"/>
          </w:tcPr>
          <w:p w14:paraId="4E200BCE">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2AB747F4">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90</w:t>
            </w: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5414459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p>
        </w:tc>
      </w:tr>
    </w:tbl>
    <w:p w14:paraId="2786E2D6"/>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5A2367-1BBB-4C50-ADD4-6C1D2360BD4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348289D-4B47-44E3-8F1E-A3204D27ED8A}"/>
  </w:font>
  <w:font w:name="方正小标宋简体">
    <w:panose1 w:val="03000509000000000000"/>
    <w:charset w:val="86"/>
    <w:family w:val="script"/>
    <w:pitch w:val="default"/>
    <w:sig w:usb0="00000001" w:usb1="080E0000" w:usb2="00000000" w:usb3="00000000" w:csb0="00040000" w:csb1="00000000"/>
    <w:embedRegular r:id="rId3" w:fontKey="{19819ADC-AFF5-4295-B015-4D4DF8EBEA24}"/>
  </w:font>
  <w:font w:name="华文中宋">
    <w:panose1 w:val="02010600040101010101"/>
    <w:charset w:val="86"/>
    <w:family w:val="auto"/>
    <w:pitch w:val="default"/>
    <w:sig w:usb0="00000287" w:usb1="080F0000" w:usb2="00000000" w:usb3="00000000" w:csb0="0004009F" w:csb1="DFD70000"/>
    <w:embedRegular r:id="rId4" w:fontKey="{0D8BA061-EE0B-4F55-A011-BFCF85B00A58}"/>
  </w:font>
  <w:font w:name="Leelawadee UI">
    <w:panose1 w:val="020B0502040204020203"/>
    <w:charset w:val="00"/>
    <w:family w:val="swiss"/>
    <w:pitch w:val="default"/>
    <w:sig w:usb0="83000003" w:usb1="00000000" w:usb2="00010000" w:usb3="00000001" w:csb0="00010101" w:csb1="00000000"/>
    <w:embedRegular r:id="rId5" w:fontKey="{E8BFCC98-71E3-499C-8D40-26D8542C2217}"/>
  </w:font>
  <w:font w:name="仿宋">
    <w:panose1 w:val="02010609060101010101"/>
    <w:charset w:val="86"/>
    <w:family w:val="modern"/>
    <w:pitch w:val="default"/>
    <w:sig w:usb0="800002BF" w:usb1="38CF7CFA" w:usb2="00000016" w:usb3="00000000" w:csb0="00040001" w:csb1="00000000"/>
    <w:embedRegular r:id="rId6" w:fontKey="{0437C61D-3A6B-4C39-B35A-927C35E7B944}"/>
  </w:font>
  <w:font w:name="楷体">
    <w:panose1 w:val="02010609060101010101"/>
    <w:charset w:val="86"/>
    <w:family w:val="auto"/>
    <w:pitch w:val="default"/>
    <w:sig w:usb0="800002BF" w:usb1="38CF7CFA" w:usb2="00000016" w:usb3="00000000" w:csb0="00040001" w:csb1="00000000"/>
    <w:embedRegular r:id="rId7" w:fontKey="{34A33B06-DEF6-44F8-86C1-EE0E49116DCE}"/>
  </w:font>
  <w:font w:name="WPSEMBED2">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B0502040204020203"/>
    <w:charset w:val="00"/>
    <w:family w:val="auto"/>
    <w:pitch w:val="default"/>
    <w:sig w:usb0="83000003" w:usb1="00000000" w:usb2="00010000" w:usb3="00000001" w:csb0="000101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A374B">
    <w:pPr>
      <w:pStyle w:val="7"/>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1AB7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86E7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0FB5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810FB5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C971B"/>
    <w:multiLevelType w:val="singleLevel"/>
    <w:tmpl w:val="BF0C971B"/>
    <w:lvl w:ilvl="0" w:tentative="0">
      <w:start w:val="3"/>
      <w:numFmt w:val="decimal"/>
      <w:suff w:val="nothing"/>
      <w:lvlText w:val="（%1）"/>
      <w:lvlJc w:val="left"/>
    </w:lvl>
  </w:abstractNum>
  <w:abstractNum w:abstractNumId="1">
    <w:nsid w:val="C5B209A2"/>
    <w:multiLevelType w:val="singleLevel"/>
    <w:tmpl w:val="C5B209A2"/>
    <w:lvl w:ilvl="0" w:tentative="0">
      <w:start w:val="1"/>
      <w:numFmt w:val="chineseCounting"/>
      <w:suff w:val="nothing"/>
      <w:lvlText w:val="（%1）"/>
      <w:lvlJc w:val="left"/>
      <w:rPr>
        <w:rFonts w:hint="eastAsia"/>
      </w:rPr>
    </w:lvl>
  </w:abstractNum>
  <w:abstractNum w:abstractNumId="2">
    <w:nsid w:val="5B742AD7"/>
    <w:multiLevelType w:val="multilevel"/>
    <w:tmpl w:val="5B742AD7"/>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pStyle w:val="3"/>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000000"/>
    <w:rsid w:val="002C61F7"/>
    <w:rsid w:val="003752C8"/>
    <w:rsid w:val="003D6656"/>
    <w:rsid w:val="00411CA3"/>
    <w:rsid w:val="004672B9"/>
    <w:rsid w:val="00593490"/>
    <w:rsid w:val="006D0CE9"/>
    <w:rsid w:val="008C6C96"/>
    <w:rsid w:val="008F6EB2"/>
    <w:rsid w:val="00997D30"/>
    <w:rsid w:val="00A65FA9"/>
    <w:rsid w:val="00A97848"/>
    <w:rsid w:val="00C30909"/>
    <w:rsid w:val="00C44682"/>
    <w:rsid w:val="00D70859"/>
    <w:rsid w:val="01121891"/>
    <w:rsid w:val="011B0745"/>
    <w:rsid w:val="011C648D"/>
    <w:rsid w:val="01203FAE"/>
    <w:rsid w:val="01576085"/>
    <w:rsid w:val="017B5688"/>
    <w:rsid w:val="01814321"/>
    <w:rsid w:val="01987FE8"/>
    <w:rsid w:val="01B04CA7"/>
    <w:rsid w:val="01C26E13"/>
    <w:rsid w:val="01C963F3"/>
    <w:rsid w:val="01D81E3B"/>
    <w:rsid w:val="021653B1"/>
    <w:rsid w:val="0227136C"/>
    <w:rsid w:val="02296E92"/>
    <w:rsid w:val="022E5766"/>
    <w:rsid w:val="02443CCC"/>
    <w:rsid w:val="024B505A"/>
    <w:rsid w:val="025832D3"/>
    <w:rsid w:val="025D08EA"/>
    <w:rsid w:val="027A76EE"/>
    <w:rsid w:val="02867E41"/>
    <w:rsid w:val="02AD7AC3"/>
    <w:rsid w:val="02BF77F6"/>
    <w:rsid w:val="02C46BBB"/>
    <w:rsid w:val="02C92423"/>
    <w:rsid w:val="02CE17E8"/>
    <w:rsid w:val="02E903CF"/>
    <w:rsid w:val="02EE3C38"/>
    <w:rsid w:val="030D0562"/>
    <w:rsid w:val="03345AEF"/>
    <w:rsid w:val="03411FB9"/>
    <w:rsid w:val="038A7E04"/>
    <w:rsid w:val="0397607D"/>
    <w:rsid w:val="03A2514E"/>
    <w:rsid w:val="03C07382"/>
    <w:rsid w:val="03C30C20"/>
    <w:rsid w:val="03CC1A1D"/>
    <w:rsid w:val="03CF3A69"/>
    <w:rsid w:val="03DB240E"/>
    <w:rsid w:val="03E959C4"/>
    <w:rsid w:val="03F4527E"/>
    <w:rsid w:val="03F84D6E"/>
    <w:rsid w:val="03FB03BA"/>
    <w:rsid w:val="04043713"/>
    <w:rsid w:val="04267B2D"/>
    <w:rsid w:val="04365896"/>
    <w:rsid w:val="043824F2"/>
    <w:rsid w:val="04581CB1"/>
    <w:rsid w:val="046E5030"/>
    <w:rsid w:val="048C3708"/>
    <w:rsid w:val="04934A97"/>
    <w:rsid w:val="04A62A1C"/>
    <w:rsid w:val="04B50EB1"/>
    <w:rsid w:val="04FA68C4"/>
    <w:rsid w:val="04FF212C"/>
    <w:rsid w:val="05080FE1"/>
    <w:rsid w:val="05322502"/>
    <w:rsid w:val="05340028"/>
    <w:rsid w:val="053C0C8A"/>
    <w:rsid w:val="053F6E77"/>
    <w:rsid w:val="05432019"/>
    <w:rsid w:val="054364BD"/>
    <w:rsid w:val="0560706F"/>
    <w:rsid w:val="056C5A14"/>
    <w:rsid w:val="05B9052D"/>
    <w:rsid w:val="05E01F5E"/>
    <w:rsid w:val="062260D2"/>
    <w:rsid w:val="062736E9"/>
    <w:rsid w:val="063D4CBA"/>
    <w:rsid w:val="06450013"/>
    <w:rsid w:val="064F3A7E"/>
    <w:rsid w:val="06563FCE"/>
    <w:rsid w:val="0680104B"/>
    <w:rsid w:val="068A4E6D"/>
    <w:rsid w:val="0696261C"/>
    <w:rsid w:val="06C21663"/>
    <w:rsid w:val="06CA4402"/>
    <w:rsid w:val="06D27AF8"/>
    <w:rsid w:val="06D82C35"/>
    <w:rsid w:val="06E415DA"/>
    <w:rsid w:val="06ED5AF7"/>
    <w:rsid w:val="06FD269B"/>
    <w:rsid w:val="07013F3A"/>
    <w:rsid w:val="07101279"/>
    <w:rsid w:val="071A324D"/>
    <w:rsid w:val="071C6FC5"/>
    <w:rsid w:val="07342561"/>
    <w:rsid w:val="07465DF0"/>
    <w:rsid w:val="0797489E"/>
    <w:rsid w:val="07A07BF6"/>
    <w:rsid w:val="07A31495"/>
    <w:rsid w:val="07A62D33"/>
    <w:rsid w:val="07C37441"/>
    <w:rsid w:val="07CD7683"/>
    <w:rsid w:val="07D433FC"/>
    <w:rsid w:val="0849203C"/>
    <w:rsid w:val="08640C24"/>
    <w:rsid w:val="0878022B"/>
    <w:rsid w:val="087921F6"/>
    <w:rsid w:val="087D3A94"/>
    <w:rsid w:val="089B03BE"/>
    <w:rsid w:val="089F1C5C"/>
    <w:rsid w:val="08D15B8E"/>
    <w:rsid w:val="09173EE8"/>
    <w:rsid w:val="095A5B83"/>
    <w:rsid w:val="09622C8A"/>
    <w:rsid w:val="096B4234"/>
    <w:rsid w:val="096B5FE2"/>
    <w:rsid w:val="096B7D90"/>
    <w:rsid w:val="09A3577C"/>
    <w:rsid w:val="09CB6A81"/>
    <w:rsid w:val="09D122E9"/>
    <w:rsid w:val="09EC7123"/>
    <w:rsid w:val="0A03446D"/>
    <w:rsid w:val="0A27015B"/>
    <w:rsid w:val="0A314FFA"/>
    <w:rsid w:val="0A6F565E"/>
    <w:rsid w:val="0A79028B"/>
    <w:rsid w:val="0A7A5E11"/>
    <w:rsid w:val="0A9B28F7"/>
    <w:rsid w:val="0ABB4D47"/>
    <w:rsid w:val="0ACB31DC"/>
    <w:rsid w:val="0AD33E3F"/>
    <w:rsid w:val="0AD55E09"/>
    <w:rsid w:val="0AF618DB"/>
    <w:rsid w:val="0AF85654"/>
    <w:rsid w:val="0B3F14D4"/>
    <w:rsid w:val="0B476BF0"/>
    <w:rsid w:val="0B6131F9"/>
    <w:rsid w:val="0B6D6042"/>
    <w:rsid w:val="0B8B368D"/>
    <w:rsid w:val="0B9A495D"/>
    <w:rsid w:val="0BAD28E2"/>
    <w:rsid w:val="0BCE4606"/>
    <w:rsid w:val="0BE04A65"/>
    <w:rsid w:val="0BE1433A"/>
    <w:rsid w:val="0C0149DC"/>
    <w:rsid w:val="0C085D6A"/>
    <w:rsid w:val="0C087B18"/>
    <w:rsid w:val="0C215FF4"/>
    <w:rsid w:val="0C2C7CAB"/>
    <w:rsid w:val="0C3721AC"/>
    <w:rsid w:val="0C3B7EEE"/>
    <w:rsid w:val="0C403756"/>
    <w:rsid w:val="0C526355"/>
    <w:rsid w:val="0C632FA1"/>
    <w:rsid w:val="0C7E7DDA"/>
    <w:rsid w:val="0C9F4CA9"/>
    <w:rsid w:val="0CAB771F"/>
    <w:rsid w:val="0CAF61E6"/>
    <w:rsid w:val="0CB3217A"/>
    <w:rsid w:val="0CB41A4E"/>
    <w:rsid w:val="0CD45C4C"/>
    <w:rsid w:val="0CF307C8"/>
    <w:rsid w:val="0CFA1B57"/>
    <w:rsid w:val="0D132C19"/>
    <w:rsid w:val="0D1B1ACD"/>
    <w:rsid w:val="0D2B61B4"/>
    <w:rsid w:val="0D2C5A88"/>
    <w:rsid w:val="0D447276"/>
    <w:rsid w:val="0D466B4A"/>
    <w:rsid w:val="0D4C612B"/>
    <w:rsid w:val="0D646FD0"/>
    <w:rsid w:val="0D6A396D"/>
    <w:rsid w:val="0D780CCE"/>
    <w:rsid w:val="0D7A67F4"/>
    <w:rsid w:val="0DA63A8D"/>
    <w:rsid w:val="0DC21F49"/>
    <w:rsid w:val="0DD24882"/>
    <w:rsid w:val="0DDA3736"/>
    <w:rsid w:val="0DF90060"/>
    <w:rsid w:val="0DF93BBD"/>
    <w:rsid w:val="0E0D1416"/>
    <w:rsid w:val="0E121122"/>
    <w:rsid w:val="0E1704E7"/>
    <w:rsid w:val="0E287E81"/>
    <w:rsid w:val="0E2C21E4"/>
    <w:rsid w:val="0E364E11"/>
    <w:rsid w:val="0E52151F"/>
    <w:rsid w:val="0E6574A4"/>
    <w:rsid w:val="0E680D42"/>
    <w:rsid w:val="0E8F2773"/>
    <w:rsid w:val="0EC8358F"/>
    <w:rsid w:val="0F130CAE"/>
    <w:rsid w:val="0F1B7B63"/>
    <w:rsid w:val="0F24110D"/>
    <w:rsid w:val="0F3550C8"/>
    <w:rsid w:val="0F707EAE"/>
    <w:rsid w:val="0FAD1102"/>
    <w:rsid w:val="0FAF0E26"/>
    <w:rsid w:val="0FF52AA9"/>
    <w:rsid w:val="10142F30"/>
    <w:rsid w:val="101D15C4"/>
    <w:rsid w:val="101F3682"/>
    <w:rsid w:val="10233173"/>
    <w:rsid w:val="10234F21"/>
    <w:rsid w:val="103465A8"/>
    <w:rsid w:val="10392996"/>
    <w:rsid w:val="10463305"/>
    <w:rsid w:val="10797237"/>
    <w:rsid w:val="10817E99"/>
    <w:rsid w:val="10914580"/>
    <w:rsid w:val="109700E7"/>
    <w:rsid w:val="109C599C"/>
    <w:rsid w:val="10B464C1"/>
    <w:rsid w:val="10BE733F"/>
    <w:rsid w:val="10C5422A"/>
    <w:rsid w:val="10DB3A4D"/>
    <w:rsid w:val="10EF74F9"/>
    <w:rsid w:val="10F62635"/>
    <w:rsid w:val="10F863AD"/>
    <w:rsid w:val="10FA5A47"/>
    <w:rsid w:val="11036B00"/>
    <w:rsid w:val="110805BA"/>
    <w:rsid w:val="11131439"/>
    <w:rsid w:val="111725AC"/>
    <w:rsid w:val="1128459B"/>
    <w:rsid w:val="11551A52"/>
    <w:rsid w:val="115630D4"/>
    <w:rsid w:val="119B4F8B"/>
    <w:rsid w:val="11A402E3"/>
    <w:rsid w:val="11BA2B3F"/>
    <w:rsid w:val="11CB3AC2"/>
    <w:rsid w:val="11D13A86"/>
    <w:rsid w:val="11F87930"/>
    <w:rsid w:val="12080FF5"/>
    <w:rsid w:val="120927D5"/>
    <w:rsid w:val="121D1E44"/>
    <w:rsid w:val="1224169A"/>
    <w:rsid w:val="12543AB7"/>
    <w:rsid w:val="12682D5D"/>
    <w:rsid w:val="12810624"/>
    <w:rsid w:val="12863E8D"/>
    <w:rsid w:val="12993BC0"/>
    <w:rsid w:val="12A61E39"/>
    <w:rsid w:val="12C329EB"/>
    <w:rsid w:val="12C50511"/>
    <w:rsid w:val="12CB18A0"/>
    <w:rsid w:val="12E12E71"/>
    <w:rsid w:val="12E3308D"/>
    <w:rsid w:val="12E75B94"/>
    <w:rsid w:val="12ED7A68"/>
    <w:rsid w:val="12F708E7"/>
    <w:rsid w:val="130F3E82"/>
    <w:rsid w:val="133438E9"/>
    <w:rsid w:val="133F61FB"/>
    <w:rsid w:val="134C3473"/>
    <w:rsid w:val="13516249"/>
    <w:rsid w:val="13641CD2"/>
    <w:rsid w:val="136715C8"/>
    <w:rsid w:val="13765CAF"/>
    <w:rsid w:val="139B3968"/>
    <w:rsid w:val="139D148E"/>
    <w:rsid w:val="13AE369B"/>
    <w:rsid w:val="13B50586"/>
    <w:rsid w:val="13D6674E"/>
    <w:rsid w:val="13E946D3"/>
    <w:rsid w:val="13FC61B5"/>
    <w:rsid w:val="142C636E"/>
    <w:rsid w:val="14593607"/>
    <w:rsid w:val="14B051F1"/>
    <w:rsid w:val="14B7657F"/>
    <w:rsid w:val="14B95E54"/>
    <w:rsid w:val="14BE346A"/>
    <w:rsid w:val="14CD5DA3"/>
    <w:rsid w:val="14D64C58"/>
    <w:rsid w:val="14D7452C"/>
    <w:rsid w:val="150A4901"/>
    <w:rsid w:val="150B2427"/>
    <w:rsid w:val="15107A3E"/>
    <w:rsid w:val="15194B44"/>
    <w:rsid w:val="153320AA"/>
    <w:rsid w:val="155E4C4D"/>
    <w:rsid w:val="15604521"/>
    <w:rsid w:val="15712BD2"/>
    <w:rsid w:val="15787ABD"/>
    <w:rsid w:val="15793835"/>
    <w:rsid w:val="15826B8D"/>
    <w:rsid w:val="15A9411A"/>
    <w:rsid w:val="15B34F99"/>
    <w:rsid w:val="15CE592F"/>
    <w:rsid w:val="15D53161"/>
    <w:rsid w:val="15D867AD"/>
    <w:rsid w:val="15E909BB"/>
    <w:rsid w:val="15FA4976"/>
    <w:rsid w:val="160752E5"/>
    <w:rsid w:val="16096967"/>
    <w:rsid w:val="160F7CF5"/>
    <w:rsid w:val="167852A0"/>
    <w:rsid w:val="167F30CD"/>
    <w:rsid w:val="16832647"/>
    <w:rsid w:val="1692422D"/>
    <w:rsid w:val="16A65F04"/>
    <w:rsid w:val="16B40FC8"/>
    <w:rsid w:val="16B5089D"/>
    <w:rsid w:val="16D57191"/>
    <w:rsid w:val="16F5513D"/>
    <w:rsid w:val="170A6E3A"/>
    <w:rsid w:val="17137B51"/>
    <w:rsid w:val="171D7411"/>
    <w:rsid w:val="1723614E"/>
    <w:rsid w:val="173C0FBE"/>
    <w:rsid w:val="174D4F79"/>
    <w:rsid w:val="17681DB3"/>
    <w:rsid w:val="177E3384"/>
    <w:rsid w:val="179761F4"/>
    <w:rsid w:val="17A76437"/>
    <w:rsid w:val="17E72CD8"/>
    <w:rsid w:val="180C6BE2"/>
    <w:rsid w:val="18297794"/>
    <w:rsid w:val="182E0907"/>
    <w:rsid w:val="18356139"/>
    <w:rsid w:val="18561C0B"/>
    <w:rsid w:val="185B5474"/>
    <w:rsid w:val="18622CA6"/>
    <w:rsid w:val="18985E50"/>
    <w:rsid w:val="189F1804"/>
    <w:rsid w:val="18A961DF"/>
    <w:rsid w:val="18C13529"/>
    <w:rsid w:val="192C753C"/>
    <w:rsid w:val="19375EE1"/>
    <w:rsid w:val="193E726F"/>
    <w:rsid w:val="194859F8"/>
    <w:rsid w:val="194B7296"/>
    <w:rsid w:val="195D67D0"/>
    <w:rsid w:val="19662322"/>
    <w:rsid w:val="196F11D7"/>
    <w:rsid w:val="19866520"/>
    <w:rsid w:val="19A60971"/>
    <w:rsid w:val="19B60BB4"/>
    <w:rsid w:val="19BA4718"/>
    <w:rsid w:val="19C076D7"/>
    <w:rsid w:val="19C92FDD"/>
    <w:rsid w:val="19DB2D10"/>
    <w:rsid w:val="19DF45AE"/>
    <w:rsid w:val="1A057D8D"/>
    <w:rsid w:val="1A18186E"/>
    <w:rsid w:val="1A2F6BB8"/>
    <w:rsid w:val="1A352420"/>
    <w:rsid w:val="1A497C7A"/>
    <w:rsid w:val="1A4E34E2"/>
    <w:rsid w:val="1A50725A"/>
    <w:rsid w:val="1A626914"/>
    <w:rsid w:val="1A6F17BF"/>
    <w:rsid w:val="1A736AA5"/>
    <w:rsid w:val="1AA2382E"/>
    <w:rsid w:val="1AA50C28"/>
    <w:rsid w:val="1AAB26E2"/>
    <w:rsid w:val="1AB377E9"/>
    <w:rsid w:val="1ABC48F0"/>
    <w:rsid w:val="1ABC669E"/>
    <w:rsid w:val="1AC63078"/>
    <w:rsid w:val="1AD80FFE"/>
    <w:rsid w:val="1AD87250"/>
    <w:rsid w:val="1AE259D8"/>
    <w:rsid w:val="1AE6196C"/>
    <w:rsid w:val="1AE96D67"/>
    <w:rsid w:val="1AFA5418"/>
    <w:rsid w:val="1AFD2812"/>
    <w:rsid w:val="1B067919"/>
    <w:rsid w:val="1B0911B7"/>
    <w:rsid w:val="1B0D6EF9"/>
    <w:rsid w:val="1B210BF7"/>
    <w:rsid w:val="1B416BA3"/>
    <w:rsid w:val="1B4D379A"/>
    <w:rsid w:val="1B6603B7"/>
    <w:rsid w:val="1B9273FE"/>
    <w:rsid w:val="1BA17641"/>
    <w:rsid w:val="1BBE1FA1"/>
    <w:rsid w:val="1BD47A17"/>
    <w:rsid w:val="1BED15EC"/>
    <w:rsid w:val="1BFD6F6E"/>
    <w:rsid w:val="1C3D55BC"/>
    <w:rsid w:val="1C56042C"/>
    <w:rsid w:val="1C6B4178"/>
    <w:rsid w:val="1C850D11"/>
    <w:rsid w:val="1C8C6544"/>
    <w:rsid w:val="1CA91910"/>
    <w:rsid w:val="1CB33AD0"/>
    <w:rsid w:val="1CC25AC1"/>
    <w:rsid w:val="1CC47A8B"/>
    <w:rsid w:val="1CCB0E1A"/>
    <w:rsid w:val="1CDA105D"/>
    <w:rsid w:val="1CEB5018"/>
    <w:rsid w:val="1D181B85"/>
    <w:rsid w:val="1D305121"/>
    <w:rsid w:val="1D3F35B6"/>
    <w:rsid w:val="1D412E8A"/>
    <w:rsid w:val="1D5232E9"/>
    <w:rsid w:val="1D721295"/>
    <w:rsid w:val="1D8F1E47"/>
    <w:rsid w:val="1D9751A0"/>
    <w:rsid w:val="1DAF6046"/>
    <w:rsid w:val="1DDC0E05"/>
    <w:rsid w:val="1DDE4B7D"/>
    <w:rsid w:val="1DE101C9"/>
    <w:rsid w:val="1DE63A32"/>
    <w:rsid w:val="1DEA52D0"/>
    <w:rsid w:val="1DF93765"/>
    <w:rsid w:val="1DFB572F"/>
    <w:rsid w:val="1E0569BD"/>
    <w:rsid w:val="1E0A3BC4"/>
    <w:rsid w:val="1E236A34"/>
    <w:rsid w:val="1E472722"/>
    <w:rsid w:val="1E5866DD"/>
    <w:rsid w:val="1E6E4153"/>
    <w:rsid w:val="1E7306A1"/>
    <w:rsid w:val="1E7B6870"/>
    <w:rsid w:val="1E904FD4"/>
    <w:rsid w:val="1EA7346A"/>
    <w:rsid w:val="1EA77665"/>
    <w:rsid w:val="1EC45B21"/>
    <w:rsid w:val="1EE61F3B"/>
    <w:rsid w:val="1EEC17D9"/>
    <w:rsid w:val="1F291E28"/>
    <w:rsid w:val="1F330EF8"/>
    <w:rsid w:val="1F470500"/>
    <w:rsid w:val="1F642E60"/>
    <w:rsid w:val="1F7C464D"/>
    <w:rsid w:val="1FDB75C6"/>
    <w:rsid w:val="1FE04BDC"/>
    <w:rsid w:val="1FF73CD4"/>
    <w:rsid w:val="1FF97A4C"/>
    <w:rsid w:val="20054643"/>
    <w:rsid w:val="20401B1F"/>
    <w:rsid w:val="20511636"/>
    <w:rsid w:val="2060784B"/>
    <w:rsid w:val="2080016D"/>
    <w:rsid w:val="2096173F"/>
    <w:rsid w:val="209B0B03"/>
    <w:rsid w:val="20A976C4"/>
    <w:rsid w:val="20AF0A2F"/>
    <w:rsid w:val="20B10327"/>
    <w:rsid w:val="20C52024"/>
    <w:rsid w:val="20D83B05"/>
    <w:rsid w:val="20DD736E"/>
    <w:rsid w:val="20F52909"/>
    <w:rsid w:val="20FD356C"/>
    <w:rsid w:val="211D59BC"/>
    <w:rsid w:val="212A48AF"/>
    <w:rsid w:val="21586079"/>
    <w:rsid w:val="215D04AF"/>
    <w:rsid w:val="21661111"/>
    <w:rsid w:val="216B497A"/>
    <w:rsid w:val="2186530F"/>
    <w:rsid w:val="21957C48"/>
    <w:rsid w:val="21AA36F4"/>
    <w:rsid w:val="21BF6A73"/>
    <w:rsid w:val="21CC5297"/>
    <w:rsid w:val="21EC1864"/>
    <w:rsid w:val="21F26E49"/>
    <w:rsid w:val="21F66939"/>
    <w:rsid w:val="21F737A6"/>
    <w:rsid w:val="21FE134A"/>
    <w:rsid w:val="220628F4"/>
    <w:rsid w:val="220F3557"/>
    <w:rsid w:val="22477195"/>
    <w:rsid w:val="22576CAC"/>
    <w:rsid w:val="226D4721"/>
    <w:rsid w:val="229D0DC1"/>
    <w:rsid w:val="22A2261D"/>
    <w:rsid w:val="22AA7723"/>
    <w:rsid w:val="22EA5D72"/>
    <w:rsid w:val="22EC5646"/>
    <w:rsid w:val="230E7CB2"/>
    <w:rsid w:val="231921B3"/>
    <w:rsid w:val="231B5F2B"/>
    <w:rsid w:val="23305E7B"/>
    <w:rsid w:val="233D1985"/>
    <w:rsid w:val="2342170A"/>
    <w:rsid w:val="23671171"/>
    <w:rsid w:val="2369138D"/>
    <w:rsid w:val="236D2C2B"/>
    <w:rsid w:val="238C6E29"/>
    <w:rsid w:val="23A81EB5"/>
    <w:rsid w:val="23B2156E"/>
    <w:rsid w:val="23E17175"/>
    <w:rsid w:val="23E427C1"/>
    <w:rsid w:val="24015121"/>
    <w:rsid w:val="241E5CD3"/>
    <w:rsid w:val="242552B4"/>
    <w:rsid w:val="24284DA4"/>
    <w:rsid w:val="242D23BA"/>
    <w:rsid w:val="244020ED"/>
    <w:rsid w:val="2452597D"/>
    <w:rsid w:val="245416F5"/>
    <w:rsid w:val="24637B8A"/>
    <w:rsid w:val="246D27B7"/>
    <w:rsid w:val="24A96FB6"/>
    <w:rsid w:val="24C90335"/>
    <w:rsid w:val="24F5112A"/>
    <w:rsid w:val="25290DD3"/>
    <w:rsid w:val="253357AE"/>
    <w:rsid w:val="2536529E"/>
    <w:rsid w:val="256718FC"/>
    <w:rsid w:val="259721E1"/>
    <w:rsid w:val="259D531E"/>
    <w:rsid w:val="25AB4FC2"/>
    <w:rsid w:val="25B12B77"/>
    <w:rsid w:val="25BA1A2C"/>
    <w:rsid w:val="25BA7C7E"/>
    <w:rsid w:val="25D30D3F"/>
    <w:rsid w:val="25DB7D8E"/>
    <w:rsid w:val="25E96E54"/>
    <w:rsid w:val="25F25669"/>
    <w:rsid w:val="26211AAB"/>
    <w:rsid w:val="262D044F"/>
    <w:rsid w:val="26306192"/>
    <w:rsid w:val="26323CB8"/>
    <w:rsid w:val="263C4B36"/>
    <w:rsid w:val="264B6B28"/>
    <w:rsid w:val="2650413E"/>
    <w:rsid w:val="26663961"/>
    <w:rsid w:val="26753BA5"/>
    <w:rsid w:val="267F67D1"/>
    <w:rsid w:val="26864004"/>
    <w:rsid w:val="26867B60"/>
    <w:rsid w:val="26BF6F42"/>
    <w:rsid w:val="26C03072"/>
    <w:rsid w:val="26E563DD"/>
    <w:rsid w:val="26F24F01"/>
    <w:rsid w:val="26F40F6D"/>
    <w:rsid w:val="27003DB6"/>
    <w:rsid w:val="270C03E2"/>
    <w:rsid w:val="271138CD"/>
    <w:rsid w:val="27206206"/>
    <w:rsid w:val="27483067"/>
    <w:rsid w:val="276A122F"/>
    <w:rsid w:val="27856069"/>
    <w:rsid w:val="27870033"/>
    <w:rsid w:val="27930786"/>
    <w:rsid w:val="279D7857"/>
    <w:rsid w:val="27B0651C"/>
    <w:rsid w:val="27D359E9"/>
    <w:rsid w:val="27DA63B5"/>
    <w:rsid w:val="27DF39CB"/>
    <w:rsid w:val="27E70AD2"/>
    <w:rsid w:val="27E86D24"/>
    <w:rsid w:val="27FA25B3"/>
    <w:rsid w:val="27FE6547"/>
    <w:rsid w:val="280671AA"/>
    <w:rsid w:val="28072F22"/>
    <w:rsid w:val="281573ED"/>
    <w:rsid w:val="28246CCB"/>
    <w:rsid w:val="28463A4A"/>
    <w:rsid w:val="28551EE0"/>
    <w:rsid w:val="285F4B0C"/>
    <w:rsid w:val="28650375"/>
    <w:rsid w:val="28722A91"/>
    <w:rsid w:val="288E0F4E"/>
    <w:rsid w:val="28AD5878"/>
    <w:rsid w:val="28B135BA"/>
    <w:rsid w:val="28B906C0"/>
    <w:rsid w:val="28BE7A85"/>
    <w:rsid w:val="28C52BC1"/>
    <w:rsid w:val="28D42E04"/>
    <w:rsid w:val="28E3364C"/>
    <w:rsid w:val="28F17E5A"/>
    <w:rsid w:val="28F9286B"/>
    <w:rsid w:val="292518B2"/>
    <w:rsid w:val="29357C48"/>
    <w:rsid w:val="29373393"/>
    <w:rsid w:val="2939710B"/>
    <w:rsid w:val="29422464"/>
    <w:rsid w:val="294A30C6"/>
    <w:rsid w:val="2987256D"/>
    <w:rsid w:val="29B36EBE"/>
    <w:rsid w:val="29C70BBB"/>
    <w:rsid w:val="29D11A3A"/>
    <w:rsid w:val="29DB6414"/>
    <w:rsid w:val="29F00112"/>
    <w:rsid w:val="29F64FFC"/>
    <w:rsid w:val="2A0721CE"/>
    <w:rsid w:val="2A0A0E9F"/>
    <w:rsid w:val="2A2658E2"/>
    <w:rsid w:val="2A3A76D6"/>
    <w:rsid w:val="2A4B4B24"/>
    <w:rsid w:val="2A4E6BE6"/>
    <w:rsid w:val="2A5759FC"/>
    <w:rsid w:val="2A5F0DF4"/>
    <w:rsid w:val="2A720B27"/>
    <w:rsid w:val="2A7523C5"/>
    <w:rsid w:val="2A756869"/>
    <w:rsid w:val="2A7A3274"/>
    <w:rsid w:val="2AA50EFC"/>
    <w:rsid w:val="2AAA6513"/>
    <w:rsid w:val="2AB32EED"/>
    <w:rsid w:val="2AC450FA"/>
    <w:rsid w:val="2AC670C5"/>
    <w:rsid w:val="2AF94DA4"/>
    <w:rsid w:val="2B2067D5"/>
    <w:rsid w:val="2B326508"/>
    <w:rsid w:val="2B395AE8"/>
    <w:rsid w:val="2B3B53BD"/>
    <w:rsid w:val="2B434271"/>
    <w:rsid w:val="2B45623B"/>
    <w:rsid w:val="2B5D3585"/>
    <w:rsid w:val="2B6F32B8"/>
    <w:rsid w:val="2B7663F5"/>
    <w:rsid w:val="2B8A6344"/>
    <w:rsid w:val="2B9920E3"/>
    <w:rsid w:val="2BA016C4"/>
    <w:rsid w:val="2BA967CA"/>
    <w:rsid w:val="2BAC62BA"/>
    <w:rsid w:val="2BB4516F"/>
    <w:rsid w:val="2BBA09D7"/>
    <w:rsid w:val="2BDF21EC"/>
    <w:rsid w:val="2BE21CDC"/>
    <w:rsid w:val="2BE9306B"/>
    <w:rsid w:val="2BF11F1F"/>
    <w:rsid w:val="2BF612E4"/>
    <w:rsid w:val="2C043A01"/>
    <w:rsid w:val="2C0B1233"/>
    <w:rsid w:val="2C3562B0"/>
    <w:rsid w:val="2C3A1B18"/>
    <w:rsid w:val="2C576226"/>
    <w:rsid w:val="2C5F157F"/>
    <w:rsid w:val="2C884632"/>
    <w:rsid w:val="2C92725E"/>
    <w:rsid w:val="2CA46F92"/>
    <w:rsid w:val="2CA6376E"/>
    <w:rsid w:val="2CB25B52"/>
    <w:rsid w:val="2CC80ED2"/>
    <w:rsid w:val="2CD71115"/>
    <w:rsid w:val="2CDA6E57"/>
    <w:rsid w:val="2CDD51B6"/>
    <w:rsid w:val="2CE61358"/>
    <w:rsid w:val="2D241E80"/>
    <w:rsid w:val="2D4A18E7"/>
    <w:rsid w:val="2D6A3D37"/>
    <w:rsid w:val="2D9708A4"/>
    <w:rsid w:val="2DBB0A37"/>
    <w:rsid w:val="2DC72F38"/>
    <w:rsid w:val="2DD67732"/>
    <w:rsid w:val="2DF857E7"/>
    <w:rsid w:val="2E156399"/>
    <w:rsid w:val="2E1F0FC6"/>
    <w:rsid w:val="2E21083A"/>
    <w:rsid w:val="2E24482E"/>
    <w:rsid w:val="2E2E2B69"/>
    <w:rsid w:val="2E756E38"/>
    <w:rsid w:val="2E7F7CB6"/>
    <w:rsid w:val="2E9372BE"/>
    <w:rsid w:val="2EA25C4E"/>
    <w:rsid w:val="2EB3170E"/>
    <w:rsid w:val="2EB72FAC"/>
    <w:rsid w:val="2EC61441"/>
    <w:rsid w:val="2EDF69A7"/>
    <w:rsid w:val="2EF04710"/>
    <w:rsid w:val="2F0A3A24"/>
    <w:rsid w:val="2F0F4910"/>
    <w:rsid w:val="2F2A5E74"/>
    <w:rsid w:val="2F340AA1"/>
    <w:rsid w:val="2F391C13"/>
    <w:rsid w:val="2F3960B7"/>
    <w:rsid w:val="2F3E36CD"/>
    <w:rsid w:val="2F7470EF"/>
    <w:rsid w:val="2F762E67"/>
    <w:rsid w:val="2F7B047E"/>
    <w:rsid w:val="2F9257C7"/>
    <w:rsid w:val="2FB971F8"/>
    <w:rsid w:val="2FC35981"/>
    <w:rsid w:val="2FCA31B3"/>
    <w:rsid w:val="2FCF07C9"/>
    <w:rsid w:val="300D4E4E"/>
    <w:rsid w:val="301A5EE8"/>
    <w:rsid w:val="302F1268"/>
    <w:rsid w:val="304940D8"/>
    <w:rsid w:val="304946AE"/>
    <w:rsid w:val="304C1E1A"/>
    <w:rsid w:val="3050190A"/>
    <w:rsid w:val="30656A38"/>
    <w:rsid w:val="30696528"/>
    <w:rsid w:val="30744C88"/>
    <w:rsid w:val="308570DA"/>
    <w:rsid w:val="308E41E1"/>
    <w:rsid w:val="30C47C02"/>
    <w:rsid w:val="30C97060"/>
    <w:rsid w:val="30CC4D09"/>
    <w:rsid w:val="30E8664A"/>
    <w:rsid w:val="30F43853"/>
    <w:rsid w:val="31012C04"/>
    <w:rsid w:val="31091AB9"/>
    <w:rsid w:val="31101099"/>
    <w:rsid w:val="31132938"/>
    <w:rsid w:val="312D3BE7"/>
    <w:rsid w:val="3135465C"/>
    <w:rsid w:val="313F54DB"/>
    <w:rsid w:val="31662A68"/>
    <w:rsid w:val="317C04DD"/>
    <w:rsid w:val="31905D36"/>
    <w:rsid w:val="31BD2FCF"/>
    <w:rsid w:val="31D245A1"/>
    <w:rsid w:val="31D71BB7"/>
    <w:rsid w:val="31F664E1"/>
    <w:rsid w:val="320A3D3B"/>
    <w:rsid w:val="322272D6"/>
    <w:rsid w:val="322C1F03"/>
    <w:rsid w:val="323D5EBE"/>
    <w:rsid w:val="32430FFB"/>
    <w:rsid w:val="325D030E"/>
    <w:rsid w:val="328E671A"/>
    <w:rsid w:val="32917FB8"/>
    <w:rsid w:val="32925305"/>
    <w:rsid w:val="32A23F73"/>
    <w:rsid w:val="32A61CB5"/>
    <w:rsid w:val="32A95302"/>
    <w:rsid w:val="32BB6DE3"/>
    <w:rsid w:val="32D16607"/>
    <w:rsid w:val="333252F7"/>
    <w:rsid w:val="333C43C8"/>
    <w:rsid w:val="334F40FB"/>
    <w:rsid w:val="33557238"/>
    <w:rsid w:val="336D27D3"/>
    <w:rsid w:val="336D4581"/>
    <w:rsid w:val="336F02F9"/>
    <w:rsid w:val="33753436"/>
    <w:rsid w:val="33852BDF"/>
    <w:rsid w:val="33952A97"/>
    <w:rsid w:val="33CF2B46"/>
    <w:rsid w:val="33E505BB"/>
    <w:rsid w:val="3410795E"/>
    <w:rsid w:val="34180991"/>
    <w:rsid w:val="341E587B"/>
    <w:rsid w:val="34311A53"/>
    <w:rsid w:val="34533777"/>
    <w:rsid w:val="3454129D"/>
    <w:rsid w:val="34655258"/>
    <w:rsid w:val="346A0AC1"/>
    <w:rsid w:val="34790D04"/>
    <w:rsid w:val="349F69BC"/>
    <w:rsid w:val="34AE061D"/>
    <w:rsid w:val="34C401D1"/>
    <w:rsid w:val="34C74165"/>
    <w:rsid w:val="350031D3"/>
    <w:rsid w:val="350E3B42"/>
    <w:rsid w:val="35134CB4"/>
    <w:rsid w:val="351B1DBB"/>
    <w:rsid w:val="352670DE"/>
    <w:rsid w:val="35373099"/>
    <w:rsid w:val="353F1F4D"/>
    <w:rsid w:val="354C01C6"/>
    <w:rsid w:val="354D6418"/>
    <w:rsid w:val="35683252"/>
    <w:rsid w:val="357D65D2"/>
    <w:rsid w:val="35A324DC"/>
    <w:rsid w:val="35AD335B"/>
    <w:rsid w:val="35B00755"/>
    <w:rsid w:val="35C9101D"/>
    <w:rsid w:val="35EE6609"/>
    <w:rsid w:val="36050AA1"/>
    <w:rsid w:val="363A4674"/>
    <w:rsid w:val="36464E91"/>
    <w:rsid w:val="364A0BAA"/>
    <w:rsid w:val="36511F38"/>
    <w:rsid w:val="3652180C"/>
    <w:rsid w:val="3662158F"/>
    <w:rsid w:val="36637F57"/>
    <w:rsid w:val="369C25A1"/>
    <w:rsid w:val="36A06A70"/>
    <w:rsid w:val="36AC716F"/>
    <w:rsid w:val="36C95F72"/>
    <w:rsid w:val="36CA1CEB"/>
    <w:rsid w:val="36CC4EE4"/>
    <w:rsid w:val="36D84407"/>
    <w:rsid w:val="36E032BC"/>
    <w:rsid w:val="36EC3A0F"/>
    <w:rsid w:val="36F32FEF"/>
    <w:rsid w:val="36F82CD5"/>
    <w:rsid w:val="36FC6348"/>
    <w:rsid w:val="36FF1994"/>
    <w:rsid w:val="36FF7BE6"/>
    <w:rsid w:val="3701395E"/>
    <w:rsid w:val="370C40B1"/>
    <w:rsid w:val="37182A56"/>
    <w:rsid w:val="372E2279"/>
    <w:rsid w:val="37386C54"/>
    <w:rsid w:val="375A4E1C"/>
    <w:rsid w:val="37667C65"/>
    <w:rsid w:val="376D2DA2"/>
    <w:rsid w:val="377C4D93"/>
    <w:rsid w:val="377F2AD5"/>
    <w:rsid w:val="37906A90"/>
    <w:rsid w:val="37936580"/>
    <w:rsid w:val="37971BCD"/>
    <w:rsid w:val="37A61E10"/>
    <w:rsid w:val="37AF6638"/>
    <w:rsid w:val="37B85359"/>
    <w:rsid w:val="382778B8"/>
    <w:rsid w:val="382A2A41"/>
    <w:rsid w:val="3836588A"/>
    <w:rsid w:val="383E473E"/>
    <w:rsid w:val="384D2D02"/>
    <w:rsid w:val="3885236D"/>
    <w:rsid w:val="388D4D7E"/>
    <w:rsid w:val="38926838"/>
    <w:rsid w:val="389D1465"/>
    <w:rsid w:val="38A8605B"/>
    <w:rsid w:val="38B467AE"/>
    <w:rsid w:val="38C369F1"/>
    <w:rsid w:val="38CD161E"/>
    <w:rsid w:val="38D96215"/>
    <w:rsid w:val="38E057F5"/>
    <w:rsid w:val="38E946AA"/>
    <w:rsid w:val="38E956EF"/>
    <w:rsid w:val="390414E4"/>
    <w:rsid w:val="39083C99"/>
    <w:rsid w:val="390A2872"/>
    <w:rsid w:val="39113C01"/>
    <w:rsid w:val="39472B23"/>
    <w:rsid w:val="3949339B"/>
    <w:rsid w:val="395A55A8"/>
    <w:rsid w:val="39763A64"/>
    <w:rsid w:val="39765050"/>
    <w:rsid w:val="397F500E"/>
    <w:rsid w:val="39904B26"/>
    <w:rsid w:val="3995213C"/>
    <w:rsid w:val="39B06F76"/>
    <w:rsid w:val="39B90520"/>
    <w:rsid w:val="39BA4298"/>
    <w:rsid w:val="39D52E80"/>
    <w:rsid w:val="39F57E9E"/>
    <w:rsid w:val="39FF1CAB"/>
    <w:rsid w:val="3A184B1B"/>
    <w:rsid w:val="3A3556CD"/>
    <w:rsid w:val="3A39340F"/>
    <w:rsid w:val="3A3E27D3"/>
    <w:rsid w:val="3A4F2C33"/>
    <w:rsid w:val="3A552F02"/>
    <w:rsid w:val="3A695377"/>
    <w:rsid w:val="3A6B7341"/>
    <w:rsid w:val="3A6F0BDF"/>
    <w:rsid w:val="3A886145"/>
    <w:rsid w:val="3A887EF3"/>
    <w:rsid w:val="3A8A3C6B"/>
    <w:rsid w:val="3A8F5F3B"/>
    <w:rsid w:val="3A995C5C"/>
    <w:rsid w:val="3AA27206"/>
    <w:rsid w:val="3AAA60BB"/>
    <w:rsid w:val="3AC0768C"/>
    <w:rsid w:val="3ACA4067"/>
    <w:rsid w:val="3AD62A0C"/>
    <w:rsid w:val="3AE535C6"/>
    <w:rsid w:val="3AEA295B"/>
    <w:rsid w:val="3AF37A62"/>
    <w:rsid w:val="3AFB2473"/>
    <w:rsid w:val="3AFD443D"/>
    <w:rsid w:val="3AFE1F63"/>
    <w:rsid w:val="3B051543"/>
    <w:rsid w:val="3B223EA3"/>
    <w:rsid w:val="3B2E2848"/>
    <w:rsid w:val="3B3D6F2F"/>
    <w:rsid w:val="3B46744C"/>
    <w:rsid w:val="3B5B5607"/>
    <w:rsid w:val="3B697D24"/>
    <w:rsid w:val="3B9603ED"/>
    <w:rsid w:val="3B9A612F"/>
    <w:rsid w:val="3BA37EBC"/>
    <w:rsid w:val="3BA945C4"/>
    <w:rsid w:val="3BBA40DC"/>
    <w:rsid w:val="3BBC42F8"/>
    <w:rsid w:val="3BE13D5E"/>
    <w:rsid w:val="3BE21884"/>
    <w:rsid w:val="3BEE647B"/>
    <w:rsid w:val="3C1934F8"/>
    <w:rsid w:val="3C3025F0"/>
    <w:rsid w:val="3C3C71E7"/>
    <w:rsid w:val="3C432323"/>
    <w:rsid w:val="3C4B6E1C"/>
    <w:rsid w:val="3C53008C"/>
    <w:rsid w:val="3C6D114E"/>
    <w:rsid w:val="3C9A5CBB"/>
    <w:rsid w:val="3C9D22A8"/>
    <w:rsid w:val="3C9E39FD"/>
    <w:rsid w:val="3CCF3BB7"/>
    <w:rsid w:val="3CF67395"/>
    <w:rsid w:val="3CFE26EE"/>
    <w:rsid w:val="3D000214"/>
    <w:rsid w:val="3D363C36"/>
    <w:rsid w:val="3D3D3216"/>
    <w:rsid w:val="3D45031D"/>
    <w:rsid w:val="3D4A148F"/>
    <w:rsid w:val="3D4A76E1"/>
    <w:rsid w:val="3D8175A7"/>
    <w:rsid w:val="3D8C298A"/>
    <w:rsid w:val="3D9B618F"/>
    <w:rsid w:val="3DB01748"/>
    <w:rsid w:val="3DBA6615"/>
    <w:rsid w:val="3DD27E02"/>
    <w:rsid w:val="3DE511B8"/>
    <w:rsid w:val="3DEB4A20"/>
    <w:rsid w:val="3DF8713D"/>
    <w:rsid w:val="3E1201FF"/>
    <w:rsid w:val="3E1D4DF6"/>
    <w:rsid w:val="3E2148E6"/>
    <w:rsid w:val="3E330175"/>
    <w:rsid w:val="3E3D0FF4"/>
    <w:rsid w:val="3E500D27"/>
    <w:rsid w:val="3E55633E"/>
    <w:rsid w:val="3E6F60C9"/>
    <w:rsid w:val="3E772758"/>
    <w:rsid w:val="3E823B0A"/>
    <w:rsid w:val="3E88226F"/>
    <w:rsid w:val="3E9A6446"/>
    <w:rsid w:val="3E9B4698"/>
    <w:rsid w:val="3EAE5A4E"/>
    <w:rsid w:val="3EBC460F"/>
    <w:rsid w:val="3EF26282"/>
    <w:rsid w:val="3EF36B45"/>
    <w:rsid w:val="3F2521B4"/>
    <w:rsid w:val="3F281CA4"/>
    <w:rsid w:val="3F5605BF"/>
    <w:rsid w:val="3F584337"/>
    <w:rsid w:val="3FA532F5"/>
    <w:rsid w:val="3FAF1A7E"/>
    <w:rsid w:val="3FBF6165"/>
    <w:rsid w:val="3FD87226"/>
    <w:rsid w:val="3FDF5019"/>
    <w:rsid w:val="3FEB5E51"/>
    <w:rsid w:val="401961DF"/>
    <w:rsid w:val="40387CC5"/>
    <w:rsid w:val="403C5A07"/>
    <w:rsid w:val="40442B0E"/>
    <w:rsid w:val="40490124"/>
    <w:rsid w:val="40632F94"/>
    <w:rsid w:val="406D1341"/>
    <w:rsid w:val="40827192"/>
    <w:rsid w:val="40833636"/>
    <w:rsid w:val="40953369"/>
    <w:rsid w:val="40970E8F"/>
    <w:rsid w:val="409E221E"/>
    <w:rsid w:val="409F7D44"/>
    <w:rsid w:val="40A435AC"/>
    <w:rsid w:val="40A84E4B"/>
    <w:rsid w:val="40B02584"/>
    <w:rsid w:val="40B530C4"/>
    <w:rsid w:val="40C96B6F"/>
    <w:rsid w:val="40D07EFD"/>
    <w:rsid w:val="40E816EB"/>
    <w:rsid w:val="40EF2A79"/>
    <w:rsid w:val="40F2256A"/>
    <w:rsid w:val="40F462E2"/>
    <w:rsid w:val="411029F0"/>
    <w:rsid w:val="41151DB4"/>
    <w:rsid w:val="41247AA9"/>
    <w:rsid w:val="41293188"/>
    <w:rsid w:val="412D35A2"/>
    <w:rsid w:val="413C5593"/>
    <w:rsid w:val="41410DFB"/>
    <w:rsid w:val="41614FF9"/>
    <w:rsid w:val="417E3DFD"/>
    <w:rsid w:val="41841C43"/>
    <w:rsid w:val="418C02C8"/>
    <w:rsid w:val="418C2076"/>
    <w:rsid w:val="41AA4BF2"/>
    <w:rsid w:val="41CC2DBB"/>
    <w:rsid w:val="41CF4659"/>
    <w:rsid w:val="41D46DAB"/>
    <w:rsid w:val="41E2438C"/>
    <w:rsid w:val="41FB71FC"/>
    <w:rsid w:val="420C31B7"/>
    <w:rsid w:val="42164036"/>
    <w:rsid w:val="42360234"/>
    <w:rsid w:val="423A41C8"/>
    <w:rsid w:val="42415557"/>
    <w:rsid w:val="425012F6"/>
    <w:rsid w:val="426D634C"/>
    <w:rsid w:val="428471F1"/>
    <w:rsid w:val="428A31E3"/>
    <w:rsid w:val="42935686"/>
    <w:rsid w:val="429C453B"/>
    <w:rsid w:val="429F5DD9"/>
    <w:rsid w:val="42A81132"/>
    <w:rsid w:val="42D448B0"/>
    <w:rsid w:val="42EB101F"/>
    <w:rsid w:val="430C18F7"/>
    <w:rsid w:val="4315253F"/>
    <w:rsid w:val="43234C5C"/>
    <w:rsid w:val="434B5F61"/>
    <w:rsid w:val="434C41B3"/>
    <w:rsid w:val="43505D98"/>
    <w:rsid w:val="435535EE"/>
    <w:rsid w:val="4359067E"/>
    <w:rsid w:val="435C1F1C"/>
    <w:rsid w:val="43657023"/>
    <w:rsid w:val="43670FED"/>
    <w:rsid w:val="436B215F"/>
    <w:rsid w:val="4397123A"/>
    <w:rsid w:val="439C056B"/>
    <w:rsid w:val="43A01E09"/>
    <w:rsid w:val="43A22025"/>
    <w:rsid w:val="43AC4C52"/>
    <w:rsid w:val="43BC2FEB"/>
    <w:rsid w:val="43CF0940"/>
    <w:rsid w:val="43E91A02"/>
    <w:rsid w:val="4406674E"/>
    <w:rsid w:val="44246EDE"/>
    <w:rsid w:val="44380293"/>
    <w:rsid w:val="444E3F5B"/>
    <w:rsid w:val="44692B43"/>
    <w:rsid w:val="44703ED1"/>
    <w:rsid w:val="44817E8C"/>
    <w:rsid w:val="44937BC0"/>
    <w:rsid w:val="44A678F3"/>
    <w:rsid w:val="44B30262"/>
    <w:rsid w:val="44B813D4"/>
    <w:rsid w:val="44BB3A03"/>
    <w:rsid w:val="44C304A5"/>
    <w:rsid w:val="44C85ABB"/>
    <w:rsid w:val="44E1092B"/>
    <w:rsid w:val="4513485D"/>
    <w:rsid w:val="451E1B7F"/>
    <w:rsid w:val="452D1DC2"/>
    <w:rsid w:val="453273D9"/>
    <w:rsid w:val="4541644A"/>
    <w:rsid w:val="455728DE"/>
    <w:rsid w:val="455B692F"/>
    <w:rsid w:val="456A1083"/>
    <w:rsid w:val="456B28EB"/>
    <w:rsid w:val="45833790"/>
    <w:rsid w:val="458D0AB3"/>
    <w:rsid w:val="45941E41"/>
    <w:rsid w:val="459B5914"/>
    <w:rsid w:val="45C64D7A"/>
    <w:rsid w:val="45C85647"/>
    <w:rsid w:val="45D65FB6"/>
    <w:rsid w:val="46274A64"/>
    <w:rsid w:val="462A4554"/>
    <w:rsid w:val="462C5BD6"/>
    <w:rsid w:val="464F7B16"/>
    <w:rsid w:val="465515D1"/>
    <w:rsid w:val="465A6BE7"/>
    <w:rsid w:val="465E7D59"/>
    <w:rsid w:val="46713F31"/>
    <w:rsid w:val="46731A57"/>
    <w:rsid w:val="468E6891"/>
    <w:rsid w:val="46A2071E"/>
    <w:rsid w:val="46BB3F8F"/>
    <w:rsid w:val="46EC35B7"/>
    <w:rsid w:val="47095F17"/>
    <w:rsid w:val="477B488F"/>
    <w:rsid w:val="477E4B57"/>
    <w:rsid w:val="47A50F49"/>
    <w:rsid w:val="47BB1907"/>
    <w:rsid w:val="47CB7671"/>
    <w:rsid w:val="47E726FC"/>
    <w:rsid w:val="47EF15B1"/>
    <w:rsid w:val="47F22E4F"/>
    <w:rsid w:val="480037BE"/>
    <w:rsid w:val="480321E6"/>
    <w:rsid w:val="4812704D"/>
    <w:rsid w:val="48141018"/>
    <w:rsid w:val="48180B08"/>
    <w:rsid w:val="481D7ECC"/>
    <w:rsid w:val="4820176A"/>
    <w:rsid w:val="482A4397"/>
    <w:rsid w:val="4832149E"/>
    <w:rsid w:val="48457423"/>
    <w:rsid w:val="484C07B1"/>
    <w:rsid w:val="485633DE"/>
    <w:rsid w:val="48671147"/>
    <w:rsid w:val="48757D08"/>
    <w:rsid w:val="487815A6"/>
    <w:rsid w:val="489D2DBB"/>
    <w:rsid w:val="48C93BB0"/>
    <w:rsid w:val="48E44E8E"/>
    <w:rsid w:val="48F430F0"/>
    <w:rsid w:val="49425710"/>
    <w:rsid w:val="495D254A"/>
    <w:rsid w:val="4961028C"/>
    <w:rsid w:val="49697141"/>
    <w:rsid w:val="49957F36"/>
    <w:rsid w:val="49A455B6"/>
    <w:rsid w:val="49BE56DF"/>
    <w:rsid w:val="49D4280C"/>
    <w:rsid w:val="49F27137"/>
    <w:rsid w:val="4A0368E5"/>
    <w:rsid w:val="4A1E1CDA"/>
    <w:rsid w:val="4A2D016F"/>
    <w:rsid w:val="4A370FED"/>
    <w:rsid w:val="4A4C6847"/>
    <w:rsid w:val="4A5D4EF8"/>
    <w:rsid w:val="4A66196B"/>
    <w:rsid w:val="4A6F69D9"/>
    <w:rsid w:val="4A804742"/>
    <w:rsid w:val="4A895CED"/>
    <w:rsid w:val="4A9B5A20"/>
    <w:rsid w:val="4A9D52F4"/>
    <w:rsid w:val="4AA541A9"/>
    <w:rsid w:val="4AAA60D5"/>
    <w:rsid w:val="4AAF6DD6"/>
    <w:rsid w:val="4AB368C6"/>
    <w:rsid w:val="4ABE526B"/>
    <w:rsid w:val="4ACA3C0F"/>
    <w:rsid w:val="4ACE1952"/>
    <w:rsid w:val="4ACF1226"/>
    <w:rsid w:val="4AD8457E"/>
    <w:rsid w:val="4ADD1B95"/>
    <w:rsid w:val="4AEE5B50"/>
    <w:rsid w:val="4B047121"/>
    <w:rsid w:val="4B09298A"/>
    <w:rsid w:val="4B2C6678"/>
    <w:rsid w:val="4B555BCF"/>
    <w:rsid w:val="4B6E6C91"/>
    <w:rsid w:val="4B775B45"/>
    <w:rsid w:val="4BB01057"/>
    <w:rsid w:val="4BEF1B80"/>
    <w:rsid w:val="4BFA22D2"/>
    <w:rsid w:val="4C04492D"/>
    <w:rsid w:val="4C123AC0"/>
    <w:rsid w:val="4C152E18"/>
    <w:rsid w:val="4C172E84"/>
    <w:rsid w:val="4C213D03"/>
    <w:rsid w:val="4C312198"/>
    <w:rsid w:val="4C324162"/>
    <w:rsid w:val="4C417F01"/>
    <w:rsid w:val="4C455C43"/>
    <w:rsid w:val="4C5E66D1"/>
    <w:rsid w:val="4C6C1422"/>
    <w:rsid w:val="4C7E4CB1"/>
    <w:rsid w:val="4C8147A2"/>
    <w:rsid w:val="4C856040"/>
    <w:rsid w:val="4C975D73"/>
    <w:rsid w:val="4CA93161"/>
    <w:rsid w:val="4CB61D51"/>
    <w:rsid w:val="4CB93F3C"/>
    <w:rsid w:val="4CD15729"/>
    <w:rsid w:val="4CDA2830"/>
    <w:rsid w:val="4CE92A73"/>
    <w:rsid w:val="4D027691"/>
    <w:rsid w:val="4D135D42"/>
    <w:rsid w:val="4D2770F7"/>
    <w:rsid w:val="4D3D2DBF"/>
    <w:rsid w:val="4D44414D"/>
    <w:rsid w:val="4D583754"/>
    <w:rsid w:val="4D9C5D37"/>
    <w:rsid w:val="4DA223F8"/>
    <w:rsid w:val="4DA62712"/>
    <w:rsid w:val="4DAB7D28"/>
    <w:rsid w:val="4DB210B7"/>
    <w:rsid w:val="4DC94652"/>
    <w:rsid w:val="4DE04F2F"/>
    <w:rsid w:val="4DEE4A39"/>
    <w:rsid w:val="4E015B9A"/>
    <w:rsid w:val="4E0336C0"/>
    <w:rsid w:val="4E0F02B7"/>
    <w:rsid w:val="4E1028CD"/>
    <w:rsid w:val="4E1C0C26"/>
    <w:rsid w:val="4E265601"/>
    <w:rsid w:val="4E281379"/>
    <w:rsid w:val="4E3E294A"/>
    <w:rsid w:val="4E4168DE"/>
    <w:rsid w:val="4E54216E"/>
    <w:rsid w:val="4E6C5709"/>
    <w:rsid w:val="4E7740AE"/>
    <w:rsid w:val="4E930FA3"/>
    <w:rsid w:val="4E9B1B4B"/>
    <w:rsid w:val="4EA330F5"/>
    <w:rsid w:val="4ED92673"/>
    <w:rsid w:val="4EE259CC"/>
    <w:rsid w:val="4EE554BC"/>
    <w:rsid w:val="4EE871CB"/>
    <w:rsid w:val="4F027E1C"/>
    <w:rsid w:val="4F1B1200"/>
    <w:rsid w:val="4F3124AF"/>
    <w:rsid w:val="4F4915A7"/>
    <w:rsid w:val="4F5D5052"/>
    <w:rsid w:val="4F6C34E7"/>
    <w:rsid w:val="4F7505EE"/>
    <w:rsid w:val="4F860A4D"/>
    <w:rsid w:val="4FAE58AE"/>
    <w:rsid w:val="4FB355BA"/>
    <w:rsid w:val="4FBB7FCB"/>
    <w:rsid w:val="4FE70DC0"/>
    <w:rsid w:val="4FEB6B02"/>
    <w:rsid w:val="4FED287A"/>
    <w:rsid w:val="4FFA0AF3"/>
    <w:rsid w:val="50047BC4"/>
    <w:rsid w:val="500656EA"/>
    <w:rsid w:val="500A342C"/>
    <w:rsid w:val="500D0826"/>
    <w:rsid w:val="500F0A42"/>
    <w:rsid w:val="50290169"/>
    <w:rsid w:val="50380320"/>
    <w:rsid w:val="50487AB0"/>
    <w:rsid w:val="505C7A00"/>
    <w:rsid w:val="5060129E"/>
    <w:rsid w:val="50664449"/>
    <w:rsid w:val="50666784"/>
    <w:rsid w:val="506B19F1"/>
    <w:rsid w:val="507A17F8"/>
    <w:rsid w:val="507E34D2"/>
    <w:rsid w:val="507F5BFE"/>
    <w:rsid w:val="50923421"/>
    <w:rsid w:val="50B909AE"/>
    <w:rsid w:val="50BD049E"/>
    <w:rsid w:val="50D21A70"/>
    <w:rsid w:val="50E53551"/>
    <w:rsid w:val="50E84DEF"/>
    <w:rsid w:val="50F419E6"/>
    <w:rsid w:val="50F87728"/>
    <w:rsid w:val="51002139"/>
    <w:rsid w:val="51025EB1"/>
    <w:rsid w:val="512027DB"/>
    <w:rsid w:val="51513355"/>
    <w:rsid w:val="51606891"/>
    <w:rsid w:val="51654692"/>
    <w:rsid w:val="51752B27"/>
    <w:rsid w:val="518014CC"/>
    <w:rsid w:val="518965D2"/>
    <w:rsid w:val="51946FEB"/>
    <w:rsid w:val="51E25CE3"/>
    <w:rsid w:val="51EE0B2B"/>
    <w:rsid w:val="51FD4A72"/>
    <w:rsid w:val="521265C8"/>
    <w:rsid w:val="52157E66"/>
    <w:rsid w:val="5220523B"/>
    <w:rsid w:val="5221680B"/>
    <w:rsid w:val="523F3135"/>
    <w:rsid w:val="524036F3"/>
    <w:rsid w:val="52411E67"/>
    <w:rsid w:val="5248023B"/>
    <w:rsid w:val="526A01B2"/>
    <w:rsid w:val="528154FB"/>
    <w:rsid w:val="52831274"/>
    <w:rsid w:val="52B256B5"/>
    <w:rsid w:val="52CF6267"/>
    <w:rsid w:val="52D41ACF"/>
    <w:rsid w:val="52E71802"/>
    <w:rsid w:val="52F757BE"/>
    <w:rsid w:val="531445C2"/>
    <w:rsid w:val="5330338D"/>
    <w:rsid w:val="5338205E"/>
    <w:rsid w:val="53474623"/>
    <w:rsid w:val="53476745"/>
    <w:rsid w:val="53603363"/>
    <w:rsid w:val="5373753A"/>
    <w:rsid w:val="538E7ED0"/>
    <w:rsid w:val="539F3E8B"/>
    <w:rsid w:val="53B536AF"/>
    <w:rsid w:val="53C2401E"/>
    <w:rsid w:val="53DB0C3B"/>
    <w:rsid w:val="53EA4849"/>
    <w:rsid w:val="53FB308C"/>
    <w:rsid w:val="54096145"/>
    <w:rsid w:val="54232D0E"/>
    <w:rsid w:val="54250973"/>
    <w:rsid w:val="54297BF9"/>
    <w:rsid w:val="542E16B3"/>
    <w:rsid w:val="54332825"/>
    <w:rsid w:val="543A1E06"/>
    <w:rsid w:val="54686973"/>
    <w:rsid w:val="54751090"/>
    <w:rsid w:val="547C5F7A"/>
    <w:rsid w:val="547D1CF3"/>
    <w:rsid w:val="548412D3"/>
    <w:rsid w:val="5492579E"/>
    <w:rsid w:val="549A4653"/>
    <w:rsid w:val="54AA0D3A"/>
    <w:rsid w:val="54DC6BBB"/>
    <w:rsid w:val="54F14BBA"/>
    <w:rsid w:val="54F63F7F"/>
    <w:rsid w:val="54FF095A"/>
    <w:rsid w:val="55256612"/>
    <w:rsid w:val="55300100"/>
    <w:rsid w:val="553A55CC"/>
    <w:rsid w:val="554B6139"/>
    <w:rsid w:val="555F6C5D"/>
    <w:rsid w:val="5588094F"/>
    <w:rsid w:val="55886BA1"/>
    <w:rsid w:val="55911EF9"/>
    <w:rsid w:val="55935C72"/>
    <w:rsid w:val="55A468C7"/>
    <w:rsid w:val="55B55BE8"/>
    <w:rsid w:val="55BD2CEE"/>
    <w:rsid w:val="55C129A7"/>
    <w:rsid w:val="55C220B3"/>
    <w:rsid w:val="55C93441"/>
    <w:rsid w:val="55DA564E"/>
    <w:rsid w:val="55EF09CE"/>
    <w:rsid w:val="55F61D5C"/>
    <w:rsid w:val="55FB55C5"/>
    <w:rsid w:val="560B3A5A"/>
    <w:rsid w:val="561346BC"/>
    <w:rsid w:val="561C5C67"/>
    <w:rsid w:val="562C39D0"/>
    <w:rsid w:val="563167DC"/>
    <w:rsid w:val="5637484F"/>
    <w:rsid w:val="564E1B99"/>
    <w:rsid w:val="565B46B7"/>
    <w:rsid w:val="56764C4B"/>
    <w:rsid w:val="56811F6E"/>
    <w:rsid w:val="5689497F"/>
    <w:rsid w:val="568B2BAE"/>
    <w:rsid w:val="56C105BC"/>
    <w:rsid w:val="56D23355"/>
    <w:rsid w:val="56E878F7"/>
    <w:rsid w:val="56F62932"/>
    <w:rsid w:val="573174F0"/>
    <w:rsid w:val="5732516C"/>
    <w:rsid w:val="573C7C43"/>
    <w:rsid w:val="574216FD"/>
    <w:rsid w:val="57430FD1"/>
    <w:rsid w:val="57435475"/>
    <w:rsid w:val="57482A8C"/>
    <w:rsid w:val="57684EDC"/>
    <w:rsid w:val="577E025B"/>
    <w:rsid w:val="5781344E"/>
    <w:rsid w:val="57C40364"/>
    <w:rsid w:val="57D64006"/>
    <w:rsid w:val="57E97DCB"/>
    <w:rsid w:val="57EA58F1"/>
    <w:rsid w:val="5805272B"/>
    <w:rsid w:val="583354EA"/>
    <w:rsid w:val="583A6878"/>
    <w:rsid w:val="5853793A"/>
    <w:rsid w:val="586B4C84"/>
    <w:rsid w:val="58711B6E"/>
    <w:rsid w:val="58737694"/>
    <w:rsid w:val="58816255"/>
    <w:rsid w:val="58A261CC"/>
    <w:rsid w:val="58AE4B70"/>
    <w:rsid w:val="58CB127E"/>
    <w:rsid w:val="58E30CBE"/>
    <w:rsid w:val="58ED5699"/>
    <w:rsid w:val="591E5852"/>
    <w:rsid w:val="592866D1"/>
    <w:rsid w:val="592A2449"/>
    <w:rsid w:val="593C217C"/>
    <w:rsid w:val="594828CF"/>
    <w:rsid w:val="595219A0"/>
    <w:rsid w:val="596A6CE9"/>
    <w:rsid w:val="596F2552"/>
    <w:rsid w:val="597B2CC1"/>
    <w:rsid w:val="597E09E7"/>
    <w:rsid w:val="597F7DE2"/>
    <w:rsid w:val="59A65848"/>
    <w:rsid w:val="59AD307A"/>
    <w:rsid w:val="59B14918"/>
    <w:rsid w:val="59DD395F"/>
    <w:rsid w:val="59E940B2"/>
    <w:rsid w:val="5A0507C0"/>
    <w:rsid w:val="5A074538"/>
    <w:rsid w:val="5A274BDA"/>
    <w:rsid w:val="5A5D684E"/>
    <w:rsid w:val="5A625C12"/>
    <w:rsid w:val="5A6C6A91"/>
    <w:rsid w:val="5AA004E9"/>
    <w:rsid w:val="5AB521E6"/>
    <w:rsid w:val="5AB83A84"/>
    <w:rsid w:val="5ABD1D13"/>
    <w:rsid w:val="5AC4067B"/>
    <w:rsid w:val="5ADC59C5"/>
    <w:rsid w:val="5AE96334"/>
    <w:rsid w:val="5AEC372E"/>
    <w:rsid w:val="5B1E5FDD"/>
    <w:rsid w:val="5B1F3B03"/>
    <w:rsid w:val="5B21787C"/>
    <w:rsid w:val="5B2555BE"/>
    <w:rsid w:val="5B3752F1"/>
    <w:rsid w:val="5B3E21DC"/>
    <w:rsid w:val="5B56343D"/>
    <w:rsid w:val="5B7E082A"/>
    <w:rsid w:val="5B995664"/>
    <w:rsid w:val="5BD26DC8"/>
    <w:rsid w:val="5BD7618C"/>
    <w:rsid w:val="5C0351D3"/>
    <w:rsid w:val="5C2D3FFE"/>
    <w:rsid w:val="5C367357"/>
    <w:rsid w:val="5C403D31"/>
    <w:rsid w:val="5C71213D"/>
    <w:rsid w:val="5C9A5B38"/>
    <w:rsid w:val="5CC76201"/>
    <w:rsid w:val="5CE648D9"/>
    <w:rsid w:val="5D0D6309"/>
    <w:rsid w:val="5D290C69"/>
    <w:rsid w:val="5D59154F"/>
    <w:rsid w:val="5D600B2F"/>
    <w:rsid w:val="5D8D2FA6"/>
    <w:rsid w:val="5D9F0F2C"/>
    <w:rsid w:val="5DA0717E"/>
    <w:rsid w:val="5DD50E01"/>
    <w:rsid w:val="5DE27796"/>
    <w:rsid w:val="5DEC23C3"/>
    <w:rsid w:val="5DF272AD"/>
    <w:rsid w:val="5DFD637E"/>
    <w:rsid w:val="5E231BA8"/>
    <w:rsid w:val="5E40270F"/>
    <w:rsid w:val="5E4A533B"/>
    <w:rsid w:val="5E4A70E9"/>
    <w:rsid w:val="5E4C4C10"/>
    <w:rsid w:val="5E565A8E"/>
    <w:rsid w:val="5E714676"/>
    <w:rsid w:val="5E7B3747"/>
    <w:rsid w:val="5E7D74BF"/>
    <w:rsid w:val="5E896574"/>
    <w:rsid w:val="5E9345EC"/>
    <w:rsid w:val="5E9B7945"/>
    <w:rsid w:val="5EB36A3D"/>
    <w:rsid w:val="5EB822A5"/>
    <w:rsid w:val="5EC62A66"/>
    <w:rsid w:val="5ED13367"/>
    <w:rsid w:val="5ED15115"/>
    <w:rsid w:val="5F155949"/>
    <w:rsid w:val="5F36141C"/>
    <w:rsid w:val="5F3A59C0"/>
    <w:rsid w:val="5F434264"/>
    <w:rsid w:val="5F622211"/>
    <w:rsid w:val="5F667F53"/>
    <w:rsid w:val="5F683CCB"/>
    <w:rsid w:val="5F795ED8"/>
    <w:rsid w:val="5F8E1258"/>
    <w:rsid w:val="5F9575E2"/>
    <w:rsid w:val="5FB94527"/>
    <w:rsid w:val="5FBC5DC5"/>
    <w:rsid w:val="5FDF3531"/>
    <w:rsid w:val="6037544B"/>
    <w:rsid w:val="605E0C2A"/>
    <w:rsid w:val="60822B6A"/>
    <w:rsid w:val="608A5EC3"/>
    <w:rsid w:val="609749F5"/>
    <w:rsid w:val="60997EB4"/>
    <w:rsid w:val="60A46F85"/>
    <w:rsid w:val="60B16E66"/>
    <w:rsid w:val="60B42F40"/>
    <w:rsid w:val="60C34F31"/>
    <w:rsid w:val="60C72C73"/>
    <w:rsid w:val="60CC028A"/>
    <w:rsid w:val="60D1764E"/>
    <w:rsid w:val="61007F33"/>
    <w:rsid w:val="61021A6A"/>
    <w:rsid w:val="610712C2"/>
    <w:rsid w:val="61135DC9"/>
    <w:rsid w:val="61167757"/>
    <w:rsid w:val="61181721"/>
    <w:rsid w:val="611E2EDC"/>
    <w:rsid w:val="614B38A4"/>
    <w:rsid w:val="6198016C"/>
    <w:rsid w:val="61C96577"/>
    <w:rsid w:val="61D03DA9"/>
    <w:rsid w:val="61F01D56"/>
    <w:rsid w:val="61F65DD1"/>
    <w:rsid w:val="61F950AE"/>
    <w:rsid w:val="62167BBD"/>
    <w:rsid w:val="62233ED9"/>
    <w:rsid w:val="62265778"/>
    <w:rsid w:val="622A170C"/>
    <w:rsid w:val="623065F6"/>
    <w:rsid w:val="62314848"/>
    <w:rsid w:val="623B7475"/>
    <w:rsid w:val="624F4CCE"/>
    <w:rsid w:val="62562501"/>
    <w:rsid w:val="62C54F90"/>
    <w:rsid w:val="62E73AEA"/>
    <w:rsid w:val="62F12229"/>
    <w:rsid w:val="62FD472A"/>
    <w:rsid w:val="63332842"/>
    <w:rsid w:val="633B5253"/>
    <w:rsid w:val="633D546F"/>
    <w:rsid w:val="63462575"/>
    <w:rsid w:val="634B7B8C"/>
    <w:rsid w:val="63511D57"/>
    <w:rsid w:val="635D341B"/>
    <w:rsid w:val="636649C5"/>
    <w:rsid w:val="63804284"/>
    <w:rsid w:val="639130C5"/>
    <w:rsid w:val="63BF5E84"/>
    <w:rsid w:val="63CC234F"/>
    <w:rsid w:val="63D336DD"/>
    <w:rsid w:val="63F41FD1"/>
    <w:rsid w:val="63F55D49"/>
    <w:rsid w:val="63F7386F"/>
    <w:rsid w:val="64032DE5"/>
    <w:rsid w:val="64043757"/>
    <w:rsid w:val="640D3093"/>
    <w:rsid w:val="64155AA4"/>
    <w:rsid w:val="643E149E"/>
    <w:rsid w:val="643E4FFA"/>
    <w:rsid w:val="64405216"/>
    <w:rsid w:val="645111D2"/>
    <w:rsid w:val="646D58E0"/>
    <w:rsid w:val="648275DD"/>
    <w:rsid w:val="64A01811"/>
    <w:rsid w:val="64A532CB"/>
    <w:rsid w:val="64AF5EF8"/>
    <w:rsid w:val="64BE25DF"/>
    <w:rsid w:val="64C73242"/>
    <w:rsid w:val="64CD637E"/>
    <w:rsid w:val="64E04304"/>
    <w:rsid w:val="64EE6A20"/>
    <w:rsid w:val="64F102BF"/>
    <w:rsid w:val="65181CEF"/>
    <w:rsid w:val="65206DF6"/>
    <w:rsid w:val="652F2B95"/>
    <w:rsid w:val="65312DB1"/>
    <w:rsid w:val="655645C6"/>
    <w:rsid w:val="65B97414"/>
    <w:rsid w:val="65BC6B1F"/>
    <w:rsid w:val="65E73470"/>
    <w:rsid w:val="65E9543A"/>
    <w:rsid w:val="65F31E15"/>
    <w:rsid w:val="65FA31A3"/>
    <w:rsid w:val="661701F9"/>
    <w:rsid w:val="661C75BD"/>
    <w:rsid w:val="66384800"/>
    <w:rsid w:val="6639016F"/>
    <w:rsid w:val="663E564D"/>
    <w:rsid w:val="664F7993"/>
    <w:rsid w:val="665A00E6"/>
    <w:rsid w:val="66903B07"/>
    <w:rsid w:val="669C06FE"/>
    <w:rsid w:val="66B400ED"/>
    <w:rsid w:val="66B71094"/>
    <w:rsid w:val="66BC48FC"/>
    <w:rsid w:val="66C537B1"/>
    <w:rsid w:val="66CD4D5B"/>
    <w:rsid w:val="66D9725C"/>
    <w:rsid w:val="66F45E44"/>
    <w:rsid w:val="670C5884"/>
    <w:rsid w:val="67254250"/>
    <w:rsid w:val="672C55DE"/>
    <w:rsid w:val="6732662B"/>
    <w:rsid w:val="673812B4"/>
    <w:rsid w:val="675D60DF"/>
    <w:rsid w:val="676254A4"/>
    <w:rsid w:val="67852F40"/>
    <w:rsid w:val="67A1421E"/>
    <w:rsid w:val="67C41CBB"/>
    <w:rsid w:val="67D971F6"/>
    <w:rsid w:val="67F0485E"/>
    <w:rsid w:val="67F87BB6"/>
    <w:rsid w:val="68016A6B"/>
    <w:rsid w:val="68046A6D"/>
    <w:rsid w:val="680B1697"/>
    <w:rsid w:val="683A2CFE"/>
    <w:rsid w:val="68460921"/>
    <w:rsid w:val="684626D0"/>
    <w:rsid w:val="684B418A"/>
    <w:rsid w:val="685A617B"/>
    <w:rsid w:val="687436E1"/>
    <w:rsid w:val="68757459"/>
    <w:rsid w:val="687E455F"/>
    <w:rsid w:val="688E2261"/>
    <w:rsid w:val="68AF296B"/>
    <w:rsid w:val="68E5022E"/>
    <w:rsid w:val="68E85E7D"/>
    <w:rsid w:val="68EA39A3"/>
    <w:rsid w:val="68EA5751"/>
    <w:rsid w:val="68EF4B15"/>
    <w:rsid w:val="68EF720B"/>
    <w:rsid w:val="68F043A2"/>
    <w:rsid w:val="690F0C92"/>
    <w:rsid w:val="6917406C"/>
    <w:rsid w:val="69207B74"/>
    <w:rsid w:val="6945507D"/>
    <w:rsid w:val="694A61EF"/>
    <w:rsid w:val="697274F4"/>
    <w:rsid w:val="69735746"/>
    <w:rsid w:val="69763488"/>
    <w:rsid w:val="698711F2"/>
    <w:rsid w:val="69A74E48"/>
    <w:rsid w:val="69A91168"/>
    <w:rsid w:val="6A10568B"/>
    <w:rsid w:val="6A274783"/>
    <w:rsid w:val="6A3273AF"/>
    <w:rsid w:val="6A425119"/>
    <w:rsid w:val="6A470981"/>
    <w:rsid w:val="6A503CD9"/>
    <w:rsid w:val="6A575068"/>
    <w:rsid w:val="6A5A6906"/>
    <w:rsid w:val="6A647785"/>
    <w:rsid w:val="6AB302C8"/>
    <w:rsid w:val="6ABC4ECB"/>
    <w:rsid w:val="6AC87D14"/>
    <w:rsid w:val="6AE0505D"/>
    <w:rsid w:val="6AF40C4A"/>
    <w:rsid w:val="6AF428B7"/>
    <w:rsid w:val="6B113469"/>
    <w:rsid w:val="6B2C2051"/>
    <w:rsid w:val="6B336DF1"/>
    <w:rsid w:val="6B3610CD"/>
    <w:rsid w:val="6B511AB7"/>
    <w:rsid w:val="6B61461B"/>
    <w:rsid w:val="6B824366"/>
    <w:rsid w:val="6BBB1626"/>
    <w:rsid w:val="6C022DB1"/>
    <w:rsid w:val="6C384A25"/>
    <w:rsid w:val="6C5630FD"/>
    <w:rsid w:val="6C564DD5"/>
    <w:rsid w:val="6C582842"/>
    <w:rsid w:val="6C6B6BA9"/>
    <w:rsid w:val="6C6E0447"/>
    <w:rsid w:val="6C7C7008"/>
    <w:rsid w:val="6C7D068A"/>
    <w:rsid w:val="6C97174C"/>
    <w:rsid w:val="6CB57E24"/>
    <w:rsid w:val="6CB73B9C"/>
    <w:rsid w:val="6CBC11B2"/>
    <w:rsid w:val="6CCB3AEB"/>
    <w:rsid w:val="6CD40BF2"/>
    <w:rsid w:val="6CD81D64"/>
    <w:rsid w:val="6CD96208"/>
    <w:rsid w:val="6CF6233D"/>
    <w:rsid w:val="6CF7043C"/>
    <w:rsid w:val="6D056FFD"/>
    <w:rsid w:val="6D064B23"/>
    <w:rsid w:val="6D1E00BF"/>
    <w:rsid w:val="6D2154B9"/>
    <w:rsid w:val="6D2531FB"/>
    <w:rsid w:val="6D260503"/>
    <w:rsid w:val="6D282CEC"/>
    <w:rsid w:val="6D2A6A64"/>
    <w:rsid w:val="6D3671B7"/>
    <w:rsid w:val="6D5910F7"/>
    <w:rsid w:val="6D5D0BE7"/>
    <w:rsid w:val="6D6655C2"/>
    <w:rsid w:val="6D716441"/>
    <w:rsid w:val="6D7952F5"/>
    <w:rsid w:val="6D7E0B5E"/>
    <w:rsid w:val="6D7F6FE9"/>
    <w:rsid w:val="6D8343C6"/>
    <w:rsid w:val="6D8B6DD7"/>
    <w:rsid w:val="6D9E6B0A"/>
    <w:rsid w:val="6DB30807"/>
    <w:rsid w:val="6DCE1692"/>
    <w:rsid w:val="6DD24A05"/>
    <w:rsid w:val="6DD469CF"/>
    <w:rsid w:val="6DE138FF"/>
    <w:rsid w:val="6E0A23F1"/>
    <w:rsid w:val="6E1312A6"/>
    <w:rsid w:val="6E4006B2"/>
    <w:rsid w:val="6E4C0C5C"/>
    <w:rsid w:val="6E671C67"/>
    <w:rsid w:val="6E895A0C"/>
    <w:rsid w:val="6E970129"/>
    <w:rsid w:val="6E9C573F"/>
    <w:rsid w:val="6EA92939"/>
    <w:rsid w:val="6EA97E5C"/>
    <w:rsid w:val="6EAD16FA"/>
    <w:rsid w:val="6EAE7221"/>
    <w:rsid w:val="6EC10D02"/>
    <w:rsid w:val="6ECF08FF"/>
    <w:rsid w:val="6EEB3FD1"/>
    <w:rsid w:val="6EF410D7"/>
    <w:rsid w:val="6F0D03EB"/>
    <w:rsid w:val="6F3E67F6"/>
    <w:rsid w:val="6F437969"/>
    <w:rsid w:val="6F484105"/>
    <w:rsid w:val="6F616041"/>
    <w:rsid w:val="6F745D74"/>
    <w:rsid w:val="6FAA5C3A"/>
    <w:rsid w:val="6FAF3250"/>
    <w:rsid w:val="6FB2478F"/>
    <w:rsid w:val="6FF45107"/>
    <w:rsid w:val="6FFD045F"/>
    <w:rsid w:val="700A0487"/>
    <w:rsid w:val="700F1F41"/>
    <w:rsid w:val="70111815"/>
    <w:rsid w:val="701D28B0"/>
    <w:rsid w:val="70390D6C"/>
    <w:rsid w:val="70422316"/>
    <w:rsid w:val="704C6CF1"/>
    <w:rsid w:val="7056191E"/>
    <w:rsid w:val="706A7177"/>
    <w:rsid w:val="706E310B"/>
    <w:rsid w:val="70730722"/>
    <w:rsid w:val="708E2E66"/>
    <w:rsid w:val="70913B67"/>
    <w:rsid w:val="70926DFA"/>
    <w:rsid w:val="70A73F27"/>
    <w:rsid w:val="70C90342"/>
    <w:rsid w:val="70CA6520"/>
    <w:rsid w:val="70F353BF"/>
    <w:rsid w:val="70FD7FEB"/>
    <w:rsid w:val="710B2708"/>
    <w:rsid w:val="71123A97"/>
    <w:rsid w:val="71125845"/>
    <w:rsid w:val="714B6FA9"/>
    <w:rsid w:val="7169742F"/>
    <w:rsid w:val="716F713B"/>
    <w:rsid w:val="717812F3"/>
    <w:rsid w:val="717B788E"/>
    <w:rsid w:val="718801FD"/>
    <w:rsid w:val="71A861A9"/>
    <w:rsid w:val="71B11502"/>
    <w:rsid w:val="71BE3C1E"/>
    <w:rsid w:val="71C805F9"/>
    <w:rsid w:val="71CF667C"/>
    <w:rsid w:val="71F413EE"/>
    <w:rsid w:val="720F6228"/>
    <w:rsid w:val="72192C03"/>
    <w:rsid w:val="72255A4C"/>
    <w:rsid w:val="72693B8A"/>
    <w:rsid w:val="726A16B0"/>
    <w:rsid w:val="72710C91"/>
    <w:rsid w:val="72734A09"/>
    <w:rsid w:val="727662A7"/>
    <w:rsid w:val="7285473C"/>
    <w:rsid w:val="72880202"/>
    <w:rsid w:val="729D3834"/>
    <w:rsid w:val="729F135A"/>
    <w:rsid w:val="72CE60E3"/>
    <w:rsid w:val="72D013EB"/>
    <w:rsid w:val="72D80D10"/>
    <w:rsid w:val="730B4C41"/>
    <w:rsid w:val="730E4732"/>
    <w:rsid w:val="730E64E0"/>
    <w:rsid w:val="731A4E85"/>
    <w:rsid w:val="731A6C33"/>
    <w:rsid w:val="733046A8"/>
    <w:rsid w:val="73440153"/>
    <w:rsid w:val="736B748E"/>
    <w:rsid w:val="737A1DC7"/>
    <w:rsid w:val="73993FFB"/>
    <w:rsid w:val="739B6209"/>
    <w:rsid w:val="73BE3A62"/>
    <w:rsid w:val="73BE7F06"/>
    <w:rsid w:val="73CA0659"/>
    <w:rsid w:val="73CA68AB"/>
    <w:rsid w:val="73CB2D80"/>
    <w:rsid w:val="73D56FFD"/>
    <w:rsid w:val="73E13BF4"/>
    <w:rsid w:val="74185868"/>
    <w:rsid w:val="741C69DA"/>
    <w:rsid w:val="744877CF"/>
    <w:rsid w:val="744A1799"/>
    <w:rsid w:val="74C4154C"/>
    <w:rsid w:val="74D86DA5"/>
    <w:rsid w:val="74EA0887"/>
    <w:rsid w:val="74F55BA9"/>
    <w:rsid w:val="74F71921"/>
    <w:rsid w:val="75041948"/>
    <w:rsid w:val="7528245B"/>
    <w:rsid w:val="752C0E9F"/>
    <w:rsid w:val="753C37D8"/>
    <w:rsid w:val="754C32EF"/>
    <w:rsid w:val="755328D0"/>
    <w:rsid w:val="757D16FB"/>
    <w:rsid w:val="75A1188D"/>
    <w:rsid w:val="75E874BC"/>
    <w:rsid w:val="75F75951"/>
    <w:rsid w:val="76004806"/>
    <w:rsid w:val="76051E1C"/>
    <w:rsid w:val="760B4F58"/>
    <w:rsid w:val="760D6F22"/>
    <w:rsid w:val="76342701"/>
    <w:rsid w:val="763E310C"/>
    <w:rsid w:val="76404C02"/>
    <w:rsid w:val="76790114"/>
    <w:rsid w:val="767C19B2"/>
    <w:rsid w:val="767E1BCE"/>
    <w:rsid w:val="768216BE"/>
    <w:rsid w:val="76B4739E"/>
    <w:rsid w:val="76BE1FCB"/>
    <w:rsid w:val="771F2A69"/>
    <w:rsid w:val="772207AC"/>
    <w:rsid w:val="772D6E8E"/>
    <w:rsid w:val="77304C77"/>
    <w:rsid w:val="7731279D"/>
    <w:rsid w:val="7738674E"/>
    <w:rsid w:val="775766A7"/>
    <w:rsid w:val="778B45A3"/>
    <w:rsid w:val="779D7E32"/>
    <w:rsid w:val="78054355"/>
    <w:rsid w:val="780D4FB8"/>
    <w:rsid w:val="78153E6C"/>
    <w:rsid w:val="78197E01"/>
    <w:rsid w:val="781E5417"/>
    <w:rsid w:val="78232A2D"/>
    <w:rsid w:val="782F3180"/>
    <w:rsid w:val="785B3F75"/>
    <w:rsid w:val="786646C8"/>
    <w:rsid w:val="786A065C"/>
    <w:rsid w:val="786D5A56"/>
    <w:rsid w:val="786F5C73"/>
    <w:rsid w:val="78915BE9"/>
    <w:rsid w:val="78926BAA"/>
    <w:rsid w:val="78A84CE1"/>
    <w:rsid w:val="78AA2807"/>
    <w:rsid w:val="78BB3C7E"/>
    <w:rsid w:val="78CA10FB"/>
    <w:rsid w:val="78CC4E73"/>
    <w:rsid w:val="78D45AD6"/>
    <w:rsid w:val="78DD2BDC"/>
    <w:rsid w:val="78E35D19"/>
    <w:rsid w:val="78F30652"/>
    <w:rsid w:val="790740FD"/>
    <w:rsid w:val="79492020"/>
    <w:rsid w:val="795A0647"/>
    <w:rsid w:val="797B41A3"/>
    <w:rsid w:val="797F5A41"/>
    <w:rsid w:val="79927E6B"/>
    <w:rsid w:val="79991513"/>
    <w:rsid w:val="79A90D10"/>
    <w:rsid w:val="79AD57E2"/>
    <w:rsid w:val="79C142AC"/>
    <w:rsid w:val="79CB512B"/>
    <w:rsid w:val="79D833A4"/>
    <w:rsid w:val="79DF4732"/>
    <w:rsid w:val="79EB1329"/>
    <w:rsid w:val="79F226B7"/>
    <w:rsid w:val="7A0D5743"/>
    <w:rsid w:val="7A102B3D"/>
    <w:rsid w:val="7A1A39BC"/>
    <w:rsid w:val="7A2B3E1B"/>
    <w:rsid w:val="7A666C01"/>
    <w:rsid w:val="7A6730A5"/>
    <w:rsid w:val="7A7E03EF"/>
    <w:rsid w:val="7A831561"/>
    <w:rsid w:val="7A8552D9"/>
    <w:rsid w:val="7A8B0BA1"/>
    <w:rsid w:val="7AA8721A"/>
    <w:rsid w:val="7ABD2CC5"/>
    <w:rsid w:val="7AC027B5"/>
    <w:rsid w:val="7AC06311"/>
    <w:rsid w:val="7ACA3634"/>
    <w:rsid w:val="7AD26045"/>
    <w:rsid w:val="7AD4000F"/>
    <w:rsid w:val="7AD65B35"/>
    <w:rsid w:val="7ADB75EF"/>
    <w:rsid w:val="7B160627"/>
    <w:rsid w:val="7B2E0DBF"/>
    <w:rsid w:val="7B707D38"/>
    <w:rsid w:val="7B811F45"/>
    <w:rsid w:val="7B9D2AF7"/>
    <w:rsid w:val="7B9F499A"/>
    <w:rsid w:val="7BA2010D"/>
    <w:rsid w:val="7BEB1AB4"/>
    <w:rsid w:val="7BF73FB5"/>
    <w:rsid w:val="7C0D1A2A"/>
    <w:rsid w:val="7C240B22"/>
    <w:rsid w:val="7C281644"/>
    <w:rsid w:val="7C2E374F"/>
    <w:rsid w:val="7C4A39BD"/>
    <w:rsid w:val="7C501917"/>
    <w:rsid w:val="7C5A4544"/>
    <w:rsid w:val="7C653614"/>
    <w:rsid w:val="7C694787"/>
    <w:rsid w:val="7C792C1C"/>
    <w:rsid w:val="7C9275E1"/>
    <w:rsid w:val="7CB13FFA"/>
    <w:rsid w:val="7CBE2D25"/>
    <w:rsid w:val="7CC3033B"/>
    <w:rsid w:val="7CCB71F0"/>
    <w:rsid w:val="7CCE35F1"/>
    <w:rsid w:val="7CDE33C7"/>
    <w:rsid w:val="7CEC7892"/>
    <w:rsid w:val="7D050953"/>
    <w:rsid w:val="7D16490F"/>
    <w:rsid w:val="7D2A03BA"/>
    <w:rsid w:val="7D2A660C"/>
    <w:rsid w:val="7D311748"/>
    <w:rsid w:val="7D341239"/>
    <w:rsid w:val="7D3F20B7"/>
    <w:rsid w:val="7D553689"/>
    <w:rsid w:val="7D592A4D"/>
    <w:rsid w:val="7D5A0C9F"/>
    <w:rsid w:val="7D6640CF"/>
    <w:rsid w:val="7D67516A"/>
    <w:rsid w:val="7D796C4C"/>
    <w:rsid w:val="7D7B0C16"/>
    <w:rsid w:val="7D7F24B4"/>
    <w:rsid w:val="7D823D52"/>
    <w:rsid w:val="7D8D7781"/>
    <w:rsid w:val="7DA41F1A"/>
    <w:rsid w:val="7DC0487A"/>
    <w:rsid w:val="7DCE51E9"/>
    <w:rsid w:val="7DEC068C"/>
    <w:rsid w:val="7E002EC9"/>
    <w:rsid w:val="7E0B01EB"/>
    <w:rsid w:val="7E0D5D12"/>
    <w:rsid w:val="7E0E55E6"/>
    <w:rsid w:val="7E152E18"/>
    <w:rsid w:val="7E164407"/>
    <w:rsid w:val="7E2E3EDA"/>
    <w:rsid w:val="7E370FE0"/>
    <w:rsid w:val="7E461224"/>
    <w:rsid w:val="7E503E50"/>
    <w:rsid w:val="7E665422"/>
    <w:rsid w:val="7EAA3560"/>
    <w:rsid w:val="7EBA34E2"/>
    <w:rsid w:val="7EE8052D"/>
    <w:rsid w:val="7EEB4EE1"/>
    <w:rsid w:val="7EF42A2E"/>
    <w:rsid w:val="7F17496E"/>
    <w:rsid w:val="7F1C3D32"/>
    <w:rsid w:val="7F2350C1"/>
    <w:rsid w:val="7F385010"/>
    <w:rsid w:val="7F5931D8"/>
    <w:rsid w:val="7F6A7194"/>
    <w:rsid w:val="7F6D27E0"/>
    <w:rsid w:val="7F802513"/>
    <w:rsid w:val="7F8C710A"/>
    <w:rsid w:val="7F923FF5"/>
    <w:rsid w:val="7F9A1827"/>
    <w:rsid w:val="7F9B559F"/>
    <w:rsid w:val="7FB83A5B"/>
    <w:rsid w:val="7FBE4DEA"/>
    <w:rsid w:val="7FCD74F5"/>
    <w:rsid w:val="7FDF36DE"/>
    <w:rsid w:val="7FEA5BDF"/>
    <w:rsid w:val="7FEC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0"/>
    <w:pPr>
      <w:keepNext/>
      <w:keepLines/>
      <w:numPr>
        <w:ilvl w:val="3"/>
        <w:numId w:val="1"/>
      </w:numPr>
      <w:spacing w:before="280" w:after="290" w:line="374" w:lineRule="auto"/>
      <w:outlineLvl w:val="3"/>
    </w:pPr>
    <w:rPr>
      <w:rFonts w:ascii="Arial" w:hAnsi="Arial" w:eastAsia="黑体"/>
      <w:b/>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toc 3"/>
    <w:basedOn w:val="1"/>
    <w:next w:val="1"/>
    <w:unhideWhenUsed/>
    <w:qFormat/>
    <w:uiPriority w:val="39"/>
    <w:pPr>
      <w:ind w:left="840" w:leftChars="400"/>
    </w:pPr>
  </w:style>
  <w:style w:type="paragraph" w:styleId="4">
    <w:name w:val="Normal Indent"/>
    <w:basedOn w:val="1"/>
    <w:next w:val="1"/>
    <w:autoRedefine/>
    <w:qFormat/>
    <w:uiPriority w:val="0"/>
    <w:pPr>
      <w:ind w:firstLine="200" w:firstLineChars="200"/>
    </w:pPr>
  </w:style>
  <w:style w:type="paragraph" w:styleId="5">
    <w:name w:val="annotation text"/>
    <w:basedOn w:val="1"/>
    <w:autoRedefine/>
    <w:qFormat/>
    <w:uiPriority w:val="0"/>
    <w:pPr>
      <w:jc w:val="left"/>
    </w:pPr>
  </w:style>
  <w:style w:type="paragraph" w:styleId="6">
    <w:name w:val="Body Text Indent"/>
    <w:basedOn w:val="1"/>
    <w:autoRedefine/>
    <w:qFormat/>
    <w:uiPriority w:val="0"/>
    <w:pPr>
      <w:spacing w:after="360"/>
      <w:ind w:firstLine="840"/>
    </w:pPr>
    <w:rPr>
      <w:rFonts w:eastAsia="仿宋_GB2312"/>
      <w:kern w:val="1"/>
      <w:sz w:val="32"/>
      <w:szCs w:val="20"/>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toc 1"/>
    <w:basedOn w:val="1"/>
    <w:next w:val="1"/>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2"/>
    <w:basedOn w:val="6"/>
    <w:autoRedefine/>
    <w:qFormat/>
    <w:uiPriority w:val="99"/>
    <w:pPr>
      <w:ind w:firstLine="420" w:firstLineChars="200"/>
    </w:pPr>
  </w:style>
  <w:style w:type="paragraph" w:customStyle="1" w:styleId="14">
    <w:name w:val="无间隔1"/>
    <w:autoRedefine/>
    <w:qFormat/>
    <w:uiPriority w:val="1"/>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241</Words>
  <Characters>246</Characters>
  <Lines>0</Lines>
  <Paragraphs>0</Paragraphs>
  <TotalTime>0</TotalTime>
  <ScaleCrop>false</ScaleCrop>
  <LinksUpToDate>false</LinksUpToDate>
  <CharactersWithSpaces>300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2024-04-24T05:15:00Z</dcterms:created>
  <dc:creator>72018263</dc:creator>
  <cp:lastModifiedBy>M</cp:lastModifiedBy>
  <dcterms:modified xsi:type="dcterms:W3CDTF">2025-08-27T03:55:27Z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CAFBEFC4FA594468A179F0A1E4E61AA8_12</vt:lpwstr>
  </property>
  <property fmtid="{D5CDD505-2E9C-101B-9397-08002B2CF9AE}" pid="4" name="KSOTemplateDocerSaveRecord">
    <vt:lpwstr>eyJoZGlkIjoiM2VmYTkwZjIwMzY3Y2NlNDkzNTcwMDg5YTBmZDZmYjgiLCJ1c2VySWQiOiI1OTIyNDU0NDYifQ==</vt:lpwstr>
  </property>
</Properties>
</file>