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50" w:lineRule="exact"/>
        <w:jc w:val="center"/>
        <w:rPr>
          <w:rFonts w:ascii="方正小标宋简体" w:eastAsia="方正小标宋简体"/>
          <w:sz w:val="44"/>
          <w:szCs w:val="44"/>
        </w:rPr>
      </w:pPr>
      <w:r>
        <w:rPr>
          <w:rFonts w:hint="eastAsia" w:ascii="方正小标宋简体" w:eastAsia="方正小标宋简体"/>
          <w:sz w:val="44"/>
          <w:szCs w:val="44"/>
        </w:rPr>
        <w:t>2024年北京市发展和改革委员会</w:t>
      </w:r>
    </w:p>
    <w:p>
      <w:pPr>
        <w:spacing w:line="550" w:lineRule="exact"/>
        <w:jc w:val="center"/>
        <w:rPr>
          <w:rFonts w:ascii="方正小标宋简体" w:eastAsia="方正小标宋简体"/>
          <w:sz w:val="44"/>
          <w:szCs w:val="44"/>
        </w:rPr>
      </w:pPr>
      <w:r>
        <w:rPr>
          <w:rFonts w:hint="eastAsia" w:ascii="方正小标宋简体" w:eastAsia="方正小标宋简体"/>
          <w:sz w:val="44"/>
          <w:szCs w:val="44"/>
        </w:rPr>
        <w:t>部门整体绩效评价报告</w:t>
      </w:r>
    </w:p>
    <w:p>
      <w:pPr>
        <w:spacing w:line="550" w:lineRule="exact"/>
        <w:jc w:val="center"/>
        <w:rPr>
          <w:rFonts w:ascii="仿宋_GB2312"/>
          <w:szCs w:val="30"/>
        </w:rPr>
      </w:pPr>
    </w:p>
    <w:p>
      <w:pPr>
        <w:spacing w:line="55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550" w:lineRule="exact"/>
        <w:ind w:firstLine="640" w:firstLineChars="200"/>
        <w:rPr>
          <w:rFonts w:ascii="楷体_GB2312" w:eastAsia="楷体_GB2312"/>
          <w:sz w:val="32"/>
          <w:szCs w:val="32"/>
        </w:rPr>
      </w:pPr>
      <w:r>
        <w:rPr>
          <w:rFonts w:hint="eastAsia" w:ascii="楷体_GB2312" w:eastAsia="楷体_GB2312"/>
          <w:sz w:val="32"/>
          <w:szCs w:val="32"/>
        </w:rPr>
        <w:t>（一）机构设置及职责工作任务情况</w:t>
      </w:r>
    </w:p>
    <w:p>
      <w:pPr>
        <w:spacing w:line="55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1.机构设置情况</w:t>
      </w:r>
    </w:p>
    <w:p>
      <w:pPr>
        <w:spacing w:line="55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根据北京市人民政府办公厅《关于印发北京市发展和改革委员会主要职责内设机构和人员编制规定的通知》（京政办发〔2003〕64号）设立北京市发展和改革委员会。北京市发展和改革委员会直属单位8家，分别为：北京市经济社会发展研究院、北京节能环保中心、北京市经济信息中心、北京市价格认证中心、北京市价格监测中心、北京市优化营商环境促进中心（北京市“一带一路”建设促进中心、北京市国际金融组织贷款项目事务中心）、北京市对口支援和经济合作服务中心、北京市发展和改革委员会综合事务中心。部门管理机构</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家，为北京市粮食和物资储备局；归口管理单位</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家，为北京市投资促进服务中心（北京市外商投资服务中心）</w:t>
      </w:r>
      <w:r>
        <w:rPr>
          <w:rFonts w:hint="eastAsia" w:ascii="仿宋_GB2312" w:eastAsia="仿宋_GB2312"/>
          <w:color w:val="000000"/>
          <w:sz w:val="32"/>
          <w:szCs w:val="32"/>
          <w:lang w:eastAsia="zh-CN"/>
        </w:rPr>
        <w:t>、</w:t>
      </w:r>
      <w:r>
        <w:rPr>
          <w:rFonts w:hint="eastAsia" w:ascii="仿宋_GB2312" w:eastAsia="仿宋_GB2312"/>
          <w:color w:val="000000"/>
          <w:sz w:val="32"/>
          <w:szCs w:val="32"/>
        </w:rPr>
        <w:t>北京市公共资源交易中心。</w:t>
      </w:r>
    </w:p>
    <w:p>
      <w:pPr>
        <w:spacing w:line="55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2.职责工作任务情况</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北京市发展和改革委员会负责贯彻落实党中央关于发展改革工作的方针政策、决策部署以及市委有关工作要求，把坚持党对发展改革工作的领导落实到履行职责过程中。主要职责是：</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一是拟订并组织实施本市国民经济和社会发展战略、中长期规划和年度计划。牵头组织统一规划体系建设。负责市级专项规划、区域规划、空间规划与本市发展规划的统筹衔接。起草国民经济和社会发展、经济体制改革和对外开放的有关地方性法规草案、政府规章草案。</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二是提出本市加快建设现代化经济体系、推动高质量发展的总体目标、重大任务以及有关政策。组织开展重大规划、重大政策、重大工程等评估督导，提出有关调整建议。</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三是统筹提出本市国民经济和社会发展主要目标，监测预警经济和社会发展态势趋势，提出调控政策建议。综合协调经济政策，牵头研究提出应对措施建议。调节经济运行，协调解决经济运行中的重大问题。拟订并组织实施有关价格政策，按权限组织制定、调整重要商品、服务价格和收费标准。参与拟订财政政策、金融政策和土地政策。</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四是指导推进和综合协调本市经济体制改革有关工作，提出有关改革建议。牵头推进供给侧结构性改革。协调推进产权制度和要素市场化配置改革。推动完善基本经济制度和现代市场体系建设，会同有关部门组织实施市场准入负面清单制度。</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五是牵头推进本市优化营商环境工作。拟订并组织实施优化营商环境规划、计划和方案。研究提出深化营商环境改革有关政策建议。协调解决优化营商环境有关重大问题。组织开展优化营商环境评价有关工作。</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六是提出本市利用外资和境外投资的战略、规划、总量平衡和结构优化政策。牵头推进实施“一带一路”建设。承担统筹协调“走出去”有关工作。按权限负责外商投资项目和境外投资项目管理。组织实施外商投资准入负面清单管理，牵头协助国家有关部委开展本市外商投资安全审查。负责本市外债的总量控制、结构优化和监测工作。</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七是负责投资综合管理，拟订本市全社会固定资产投资总规模、结构调控目标和政策。会同有关部门拟订政府投资项目审批权限和政府核准的固定资产投资项目目录。安排财政性建设资金，拟订并组织实施政府投资计划。按权限审批、核准、审核上报固定资产投资项目。规划重大建设项目和生产力布局。拟订并推动落实鼓励民间投资政策措施。</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八是落实区域协调发展战略、新型城镇化战略和重大政策，组织拟订有关区域规划和政策。会同有关部门提出本市农村经济发展战略及有关政策建议，协调城乡一体化发展有关重大问题。组织编制并推动实施新型城镇化规划和乡村振兴战略规划。统筹协调本市对口支援和交流合作工作。</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九是组织拟订本市综合性产业政策。协调一二三产业发展重大问题并统筹衔接有关发展规划和重大政策。组织拟订基础设施发展战略、中长期规划和政策，协调推进重大基础设施建设发展，协调推进航空、铁路投资建设。组织拟订并推动实施服务业及现代物流业战略规划和重大政策。综合研判消费变动趋势，拟订实施促进消费的综合性政策措施。组织拟订开发区总体发展规划，协调推进开发区改革发展。</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十是推动实施创新驱动发展战略。统筹推进本市创新发展、高技术产业和战略性新兴产业发展，拟订有关发展规划和政策，提出发展新质生产力、培育经济发展新动能的政策建议。会同有关部门规划布局重大科技基础设施。协调产业升级、重大技术装备推广应用等方面的重大问题。</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十一是跟踪研判涉及本市经济安全风险隐患，提出有关工作建议。负责本市重要商品总量平衡和调节，研究分析本市市场和对外贸易状况，提出促进对外贸易发展的政策措施。按权限负责重要工业品、原材料和重要农产品进出口需求平衡，协调粮食、棉花进出口计划的实施。组织拟订粮食和物资储备规划和总量计划。</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十二是负责本市社会发展与国民经济发展的政策衔接，协调有关重大问题。组织拟订社会发展战略、总体规划，统筹推进基本公共服务体系建设。拟订本市人口发展规划和人口政策，研究提出人口与经济、社会、资源、环境协调可持续发展及统筹促进人口高质量发展的政策建议。参与研究提出促进就业、调整收入分配、完善社会保障与经济协调发展的政策建议。</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十三是推进实施可持续发展战略，综合协调和组织实施本市碳达峰碳中和工作，协调能源资源节约和综合利用等工作。提出健全生态保护补偿机制的政策措施，综合协调环保产业和清洁生产促进有关工作。配合有关部门推动生态文明建设和改革有关工作。拟订并组织实施本市能源发展战略、中长期规划和政策措施。提出能源消费控制目标、任务并组织实施。</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十四是组织拟订本市推进经济建设与国防建设协调发展的战略和规划，协调有关重大问题。组织编制国民经济动员规划，协调和组织实施国民经济动员有关工作。</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十五是管理北京市粮食和物资储备局（简称市粮食和储备局）。</w:t>
      </w:r>
    </w:p>
    <w:p>
      <w:pPr>
        <w:spacing w:line="550" w:lineRule="exact"/>
        <w:ind w:firstLine="640" w:firstLineChars="200"/>
        <w:rPr>
          <w:rFonts w:ascii="楷体_GB2312" w:eastAsia="楷体_GB2312"/>
          <w:sz w:val="32"/>
          <w:szCs w:val="32"/>
        </w:rPr>
      </w:pPr>
      <w:r>
        <w:rPr>
          <w:rFonts w:hint="eastAsia" w:ascii="仿宋_GB2312" w:eastAsia="仿宋_GB2312"/>
          <w:sz w:val="32"/>
          <w:szCs w:val="32"/>
        </w:rPr>
        <w:t>十六是完成市委、市政府交办的其他任务。</w:t>
      </w:r>
    </w:p>
    <w:p>
      <w:pPr>
        <w:spacing w:line="550" w:lineRule="exact"/>
        <w:ind w:firstLine="640" w:firstLineChars="200"/>
        <w:rPr>
          <w:rFonts w:ascii="楷体_GB2312" w:eastAsia="楷体_GB2312"/>
          <w:sz w:val="32"/>
          <w:szCs w:val="32"/>
        </w:rPr>
      </w:pPr>
      <w:r>
        <w:rPr>
          <w:rFonts w:hint="eastAsia" w:ascii="楷体_GB2312" w:eastAsia="楷体_GB2312"/>
          <w:sz w:val="32"/>
          <w:szCs w:val="32"/>
        </w:rPr>
        <w:t>（二）部门整体绩效目标设立情况</w:t>
      </w:r>
    </w:p>
    <w:p>
      <w:pPr>
        <w:spacing w:line="550" w:lineRule="exact"/>
        <w:ind w:firstLine="640" w:firstLineChars="200"/>
        <w:rPr>
          <w:rFonts w:ascii="仿宋_GB2312" w:eastAsia="仿宋_GB2312"/>
          <w:sz w:val="32"/>
          <w:szCs w:val="32"/>
        </w:rPr>
      </w:pPr>
      <w:r>
        <w:rPr>
          <w:rFonts w:hint="eastAsia" w:ascii="仿宋_GB2312" w:eastAsia="仿宋_GB2312"/>
          <w:sz w:val="32"/>
          <w:szCs w:val="32"/>
        </w:rPr>
        <w:t>2024年，市发展改革委紧密围绕市委、市政府中心工作，坚持稳中求进工作总基调，认真学习贯彻党的二十大精神和市委全会精神，全力做好重大活动服务保障，认真落实“五子联动”等重大任务部署，在构建新发展格局中探索高质量发展的路径，努力保持经济社会平稳运行，不断推动发展改革工作取得新成效。部门整体绩效指标设置如下：</w:t>
      </w:r>
    </w:p>
    <w:p>
      <w:pPr>
        <w:spacing w:line="560" w:lineRule="exact"/>
        <w:ind w:firstLine="640" w:firstLineChars="200"/>
        <w:rPr>
          <w:rFonts w:ascii="仿宋_GB2312" w:eastAsia="仿宋_GB2312"/>
          <w:sz w:val="32"/>
          <w:szCs w:val="32"/>
        </w:rPr>
        <w:sectPr>
          <w:footerReference r:id="rId3" w:type="default"/>
          <w:pgSz w:w="11906" w:h="16838"/>
          <w:pgMar w:top="1440" w:right="1644" w:bottom="1440" w:left="1644" w:header="851" w:footer="992" w:gutter="0"/>
          <w:pgNumType w:fmt="numberInDash"/>
          <w:cols w:space="425" w:num="1"/>
          <w:docGrid w:type="lines" w:linePitch="312" w:charSpace="0"/>
        </w:sectPr>
      </w:pPr>
    </w:p>
    <w:tbl>
      <w:tblPr>
        <w:tblStyle w:val="9"/>
        <w:tblW w:w="14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一级指标</w:t>
            </w:r>
          </w:p>
        </w:tc>
        <w:tc>
          <w:tcPr>
            <w:tcW w:w="1701"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11225"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restart"/>
            <w:vAlign w:val="center"/>
          </w:tcPr>
          <w:p>
            <w:pPr>
              <w:spacing w:line="240" w:lineRule="atLeast"/>
              <w:jc w:val="center"/>
              <w:rPr>
                <w:rFonts w:ascii="仿宋_GB2312" w:eastAsia="仿宋_GB2312"/>
                <w:szCs w:val="21"/>
              </w:rPr>
            </w:pPr>
            <w:r>
              <w:rPr>
                <w:rFonts w:hint="eastAsia" w:ascii="仿宋_GB2312" w:eastAsia="仿宋_GB2312"/>
                <w:szCs w:val="21"/>
              </w:rPr>
              <w:t>产出指标</w:t>
            </w:r>
          </w:p>
        </w:tc>
        <w:tc>
          <w:tcPr>
            <w:tcW w:w="1701" w:type="dxa"/>
            <w:vMerge w:val="restart"/>
            <w:vAlign w:val="center"/>
          </w:tcPr>
          <w:p>
            <w:pPr>
              <w:spacing w:line="240" w:lineRule="exact"/>
              <w:jc w:val="center"/>
              <w:rPr>
                <w:rFonts w:ascii="仿宋_GB2312" w:eastAsia="仿宋_GB2312"/>
                <w:szCs w:val="21"/>
              </w:rPr>
            </w:pPr>
            <w:r>
              <w:rPr>
                <w:rFonts w:hint="eastAsia" w:ascii="仿宋_GB2312" w:eastAsia="仿宋_GB2312"/>
                <w:szCs w:val="21"/>
              </w:rPr>
              <w:t>数量指标</w:t>
            </w: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参加“十五五”规划编制工作培训人次≥70个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形成前期课题研究报告数量≥50份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形成市区“十五五”规划编制工作方案≥17个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召开市委财经委会议≥3次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56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经济形势分析专题报告数量≥4篇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56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形成财政金融形势分析、重点领域研究报告数量≥7篇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56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投资领域专项评估评价报告数量≥2份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56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政府固定资产投资绩效评价项目数量≥500个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56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政府固定资产投资招投标检查项目数量≥20个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56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举办京津冀协同发展成效展、京津冀相关推介洽谈会＝2场次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56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京津冀规划政策相关工作报告≥2份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56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编制完成北京市推进京津冀协同发展2024年重点任务察访核验年度总台账＝1份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56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疏解整治促提升专项行动进展情况分析报告数量≥10份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56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举办小城镇健康发展等宣传活动次数≥3次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56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分析区域协调领域报告数量≥4份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atLeas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打造新时代首都城市复兴新地标工作专刊≥4期/年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atLeas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研提营商环境方面的改革意见建议数量≥30个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atLeas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组织开展营商环境专家研讨会≥15场</w:t>
            </w:r>
          </w:p>
        </w:tc>
      </w:tr>
    </w:tbl>
    <w:p>
      <w:pPr>
        <w:pStyle w:val="2"/>
        <w:spacing w:line="240" w:lineRule="exact"/>
        <w:jc w:val="right"/>
        <w:rPr>
          <w:rFonts w:asciiTheme="minorEastAsia" w:hAnsiTheme="minorEastAsia" w:eastAsiaTheme="minorEastAsia"/>
          <w:sz w:val="21"/>
          <w:szCs w:val="21"/>
        </w:rPr>
      </w:pPr>
      <w:r>
        <w:rPr>
          <w:rFonts w:hint="eastAsia" w:asciiTheme="minorEastAsia" w:hAnsiTheme="minorEastAsia" w:eastAsiaTheme="minorEastAsia"/>
          <w:sz w:val="21"/>
          <w:szCs w:val="21"/>
        </w:rPr>
        <w:t>（接下页）</w:t>
      </w:r>
      <w:r>
        <w:rPr>
          <w:rFonts w:asciiTheme="minorEastAsia" w:hAnsiTheme="minorEastAsia" w:eastAsiaTheme="minorEastAsia"/>
          <w:sz w:val="21"/>
          <w:szCs w:val="21"/>
        </w:rPr>
        <w:br w:type="page"/>
      </w:r>
    </w:p>
    <w:p>
      <w:pPr>
        <w:spacing w:line="240" w:lineRule="exact"/>
      </w:pPr>
      <w:r>
        <w:rPr>
          <w:rFonts w:hint="eastAsia"/>
        </w:rPr>
        <w:t>（续上页）</w:t>
      </w:r>
    </w:p>
    <w:tbl>
      <w:tblPr>
        <w:tblStyle w:val="9"/>
        <w:tblW w:w="14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一级指标</w:t>
            </w:r>
          </w:p>
        </w:tc>
        <w:tc>
          <w:tcPr>
            <w:tcW w:w="1701"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11225"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restart"/>
            <w:vAlign w:val="center"/>
          </w:tcPr>
          <w:p>
            <w:pPr>
              <w:spacing w:line="240" w:lineRule="atLeast"/>
              <w:jc w:val="center"/>
              <w:rPr>
                <w:rFonts w:ascii="仿宋_GB2312" w:eastAsia="仿宋_GB2312"/>
                <w:szCs w:val="21"/>
              </w:rPr>
            </w:pPr>
            <w:r>
              <w:rPr>
                <w:rFonts w:hint="eastAsia" w:ascii="仿宋_GB2312" w:eastAsia="仿宋_GB2312"/>
                <w:szCs w:val="21"/>
              </w:rPr>
              <w:t>产出指标</w:t>
            </w:r>
          </w:p>
        </w:tc>
        <w:tc>
          <w:tcPr>
            <w:tcW w:w="1701" w:type="dxa"/>
            <w:vMerge w:val="restart"/>
            <w:vAlign w:val="center"/>
          </w:tcPr>
          <w:p>
            <w:pPr>
              <w:spacing w:line="240" w:lineRule="exact"/>
              <w:jc w:val="center"/>
              <w:rPr>
                <w:rFonts w:ascii="仿宋_GB2312" w:eastAsia="仿宋_GB2312"/>
                <w:szCs w:val="21"/>
              </w:rPr>
            </w:pPr>
            <w:r>
              <w:rPr>
                <w:rFonts w:hint="eastAsia" w:ascii="仿宋_GB2312" w:eastAsia="仿宋_GB2312"/>
                <w:szCs w:val="21"/>
              </w:rPr>
              <w:t>数量指标</w:t>
            </w: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北京市重点领域营商环境监测分析≥8份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企业参与“一带一路”相关宣传报道数量≥12期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征集发布绿色技术数量、应用场景数量≥10个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北京市节能宣传周活动线上线下宣传活动次数≥15 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“小旧家电回收日”试点活动场数≥60场次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光伏资金拨付至自然人数量、拨付至法人单位数量≥22800个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清洁生产审核单位数量≥60家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新增编制的节能和循环经济标准数量≥17个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实施现场节能监察单位数量≥60家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形成能源领域综合研究报告份数＝2份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形成《北京能源发展报告（2024）》年度专题报告＝1本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永定河综合治理与生态修复专项评估报告≥10套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560" w:lineRule="exac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形成价格政策执行情况、社会稳定风险评估报告份数≥4份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开展公用事业、公益性服务领域收费政策调查评估≥2项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形成全面系统反映监审或者调查成本情况的审核报告数量≥6份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价格走势分析报告数量≥10份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每日通过“北京价格早报”订阅号推送发布国内外重要商品和服务价格动态信息＞360期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spacing w:line="240" w:lineRule="atLeast"/>
              <w:jc w:val="center"/>
              <w:rPr>
                <w:rFonts w:ascii="仿宋_GB2312" w:eastAsia="仿宋_GB2312"/>
                <w:szCs w:val="21"/>
              </w:rPr>
            </w:pPr>
          </w:p>
        </w:tc>
        <w:tc>
          <w:tcPr>
            <w:tcW w:w="1701" w:type="dxa"/>
            <w:vMerge w:val="continue"/>
            <w:vAlign w:val="center"/>
          </w:tcPr>
          <w:p>
            <w:pPr>
              <w:spacing w:line="240" w:lineRule="exact"/>
              <w:jc w:val="center"/>
              <w:rPr>
                <w:rFonts w:ascii="仿宋_GB2312" w:eastAsia="仿宋_GB2312"/>
                <w:szCs w:val="21"/>
              </w:rPr>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向国家价格监测中心报送生活必需品、劳动力市场、房地产市场、生猪屠宰及养殖企业等价格监测数据＞2500条</w:t>
            </w:r>
          </w:p>
        </w:tc>
      </w:tr>
    </w:tbl>
    <w:p>
      <w:pPr>
        <w:pStyle w:val="2"/>
        <w:spacing w:line="240" w:lineRule="exact"/>
        <w:jc w:val="right"/>
        <w:rPr>
          <w:sz w:val="21"/>
          <w:szCs w:val="21"/>
        </w:rPr>
      </w:pPr>
      <w:r>
        <w:rPr>
          <w:rFonts w:hint="eastAsia" w:asciiTheme="minorEastAsia" w:hAnsiTheme="minorEastAsia" w:eastAsiaTheme="minorEastAsia"/>
          <w:sz w:val="21"/>
          <w:szCs w:val="21"/>
        </w:rPr>
        <w:t>（接下页）</w:t>
      </w:r>
      <w:r>
        <w:rPr>
          <w:sz w:val="21"/>
          <w:szCs w:val="21"/>
        </w:rPr>
        <w:br w:type="page"/>
      </w:r>
    </w:p>
    <w:p>
      <w:pPr>
        <w:spacing w:line="240" w:lineRule="exact"/>
      </w:pPr>
      <w:r>
        <w:rPr>
          <w:rFonts w:hint="eastAsia"/>
        </w:rPr>
        <w:t>（续上页）</w:t>
      </w:r>
    </w:p>
    <w:tbl>
      <w:tblPr>
        <w:tblStyle w:val="9"/>
        <w:tblW w:w="14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一级指标</w:t>
            </w:r>
          </w:p>
        </w:tc>
        <w:tc>
          <w:tcPr>
            <w:tcW w:w="1701"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11225"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restart"/>
            <w:vAlign w:val="center"/>
          </w:tcPr>
          <w:p>
            <w:pPr>
              <w:jc w:val="center"/>
              <w:rPr>
                <w:rFonts w:ascii="仿宋_GB2312" w:eastAsia="仿宋_GB2312"/>
                <w:kern w:val="10"/>
                <w:szCs w:val="21"/>
              </w:rPr>
            </w:pPr>
            <w:r>
              <w:rPr>
                <w:rFonts w:hint="eastAsia" w:ascii="仿宋_GB2312" w:eastAsia="仿宋_GB2312"/>
                <w:kern w:val="10"/>
                <w:szCs w:val="21"/>
              </w:rPr>
              <w:t>产出指标</w:t>
            </w:r>
          </w:p>
        </w:tc>
        <w:tc>
          <w:tcPr>
            <w:tcW w:w="1701" w:type="dxa"/>
            <w:vMerge w:val="restart"/>
            <w:vAlign w:val="center"/>
          </w:tcPr>
          <w:p>
            <w:pPr>
              <w:jc w:val="center"/>
              <w:rPr>
                <w:rFonts w:ascii="仿宋_GB2312" w:eastAsia="仿宋_GB2312"/>
                <w:kern w:val="10"/>
                <w:szCs w:val="21"/>
              </w:rPr>
            </w:pPr>
            <w:r>
              <w:rPr>
                <w:rFonts w:hint="eastAsia" w:ascii="仿宋_GB2312" w:eastAsia="仿宋_GB2312"/>
                <w:kern w:val="10"/>
                <w:szCs w:val="21"/>
              </w:rPr>
              <w:t>数量</w:t>
            </w:r>
            <w:r>
              <w:rPr>
                <w:rFonts w:ascii="仿宋_GB2312" w:eastAsia="仿宋_GB2312"/>
                <w:kern w:val="10"/>
                <w:szCs w:val="21"/>
              </w:rPr>
              <w:t>指标</w:t>
            </w:r>
          </w:p>
        </w:tc>
        <w:tc>
          <w:tcPr>
            <w:tcW w:w="11225" w:type="dxa"/>
            <w:vAlign w:val="center"/>
          </w:tcPr>
          <w:p>
            <w:pPr>
              <w:widowControl/>
              <w:jc w:val="left"/>
              <w:textAlignment w:val="center"/>
              <w:rPr>
                <w:rFonts w:ascii="仿宋_GB2312" w:eastAsia="仿宋_GB2312"/>
                <w:kern w:val="10"/>
                <w:szCs w:val="21"/>
              </w:rPr>
            </w:pPr>
            <w:r>
              <w:rPr>
                <w:rFonts w:hint="eastAsia" w:ascii="仿宋_GB2312" w:hAnsi="宋体" w:eastAsia="仿宋_GB2312" w:cs="仿宋_GB2312"/>
                <w:color w:val="000000"/>
                <w:kern w:val="0"/>
                <w:szCs w:val="21"/>
                <w:lang w:bidi="ar"/>
              </w:rPr>
              <w:t>价格认定领域涉案、涉纪案件完成数量≥300件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jc w:val="center"/>
              <w:rPr>
                <w:rFonts w:ascii="仿宋_GB2312" w:eastAsia="仿宋_GB2312"/>
                <w:kern w:val="10"/>
                <w:szCs w:val="21"/>
              </w:rPr>
            </w:pPr>
          </w:p>
        </w:tc>
        <w:tc>
          <w:tcPr>
            <w:tcW w:w="1701" w:type="dxa"/>
            <w:vMerge w:val="continue"/>
            <w:vAlign w:val="center"/>
          </w:tcPr>
          <w:p>
            <w:pPr>
              <w:jc w:val="center"/>
              <w:rPr>
                <w:rFonts w:ascii="仿宋_GB2312" w:eastAsia="仿宋_GB2312"/>
                <w:kern w:val="10"/>
                <w:szCs w:val="21"/>
              </w:rPr>
            </w:pPr>
          </w:p>
        </w:tc>
        <w:tc>
          <w:tcPr>
            <w:tcW w:w="11225" w:type="dxa"/>
            <w:vAlign w:val="center"/>
          </w:tcPr>
          <w:p>
            <w:pPr>
              <w:widowControl/>
              <w:jc w:val="left"/>
              <w:textAlignment w:val="center"/>
              <w:rPr>
                <w:rFonts w:ascii="仿宋_GB2312" w:eastAsia="仿宋_GB2312"/>
                <w:kern w:val="10"/>
                <w:szCs w:val="21"/>
              </w:rPr>
            </w:pPr>
            <w:r>
              <w:rPr>
                <w:rFonts w:hint="eastAsia" w:ascii="仿宋_GB2312" w:hAnsi="宋体" w:eastAsia="仿宋_GB2312" w:cs="仿宋_GB2312"/>
                <w:color w:val="000000"/>
                <w:kern w:val="0"/>
                <w:szCs w:val="21"/>
                <w:lang w:bidi="ar"/>
              </w:rPr>
              <w:t>形成高精尖领域的报告份数≥6份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jc w:val="center"/>
              <w:rPr>
                <w:rFonts w:ascii="仿宋_GB2312" w:eastAsia="仿宋_GB2312"/>
                <w:kern w:val="10"/>
                <w:szCs w:val="21"/>
              </w:rPr>
            </w:pPr>
          </w:p>
        </w:tc>
        <w:tc>
          <w:tcPr>
            <w:tcW w:w="1701" w:type="dxa"/>
            <w:vMerge w:val="continue"/>
            <w:vAlign w:val="center"/>
          </w:tcPr>
          <w:p>
            <w:pPr>
              <w:jc w:val="center"/>
              <w:rPr>
                <w:rFonts w:ascii="仿宋_GB2312" w:eastAsia="仿宋_GB2312"/>
                <w:kern w:val="10"/>
                <w:szCs w:val="21"/>
              </w:rPr>
            </w:pPr>
          </w:p>
        </w:tc>
        <w:tc>
          <w:tcPr>
            <w:tcW w:w="11225" w:type="dxa"/>
            <w:vAlign w:val="center"/>
          </w:tcPr>
          <w:p>
            <w:pPr>
              <w:widowControl/>
              <w:jc w:val="left"/>
              <w:textAlignment w:val="center"/>
              <w:rPr>
                <w:rFonts w:ascii="仿宋_GB2312" w:eastAsia="仿宋_GB2312"/>
                <w:kern w:val="10"/>
                <w:szCs w:val="21"/>
              </w:rPr>
            </w:pPr>
            <w:r>
              <w:rPr>
                <w:rFonts w:hint="eastAsia" w:ascii="仿宋_GB2312" w:hAnsi="宋体" w:eastAsia="仿宋_GB2312" w:cs="仿宋_GB2312"/>
                <w:color w:val="000000"/>
                <w:kern w:val="0"/>
                <w:szCs w:val="21"/>
                <w:lang w:bidi="ar"/>
              </w:rPr>
              <w:t>品牌日参展企业数量（线上+线下）≥30家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jc w:val="center"/>
              <w:rPr>
                <w:rFonts w:ascii="仿宋_GB2312" w:eastAsia="仿宋_GB2312"/>
                <w:kern w:val="10"/>
                <w:szCs w:val="21"/>
              </w:rPr>
            </w:pPr>
          </w:p>
        </w:tc>
        <w:tc>
          <w:tcPr>
            <w:tcW w:w="1701" w:type="dxa"/>
            <w:vMerge w:val="continue"/>
            <w:vAlign w:val="center"/>
          </w:tcPr>
          <w:p>
            <w:pPr>
              <w:jc w:val="center"/>
              <w:rPr>
                <w:rFonts w:ascii="仿宋_GB2312" w:eastAsia="仿宋_GB2312"/>
                <w:kern w:val="10"/>
                <w:szCs w:val="21"/>
              </w:rPr>
            </w:pPr>
          </w:p>
        </w:tc>
        <w:tc>
          <w:tcPr>
            <w:tcW w:w="11225" w:type="dxa"/>
            <w:vAlign w:val="center"/>
          </w:tcPr>
          <w:p>
            <w:pPr>
              <w:widowControl/>
              <w:jc w:val="left"/>
              <w:textAlignment w:val="center"/>
              <w:rPr>
                <w:rFonts w:ascii="仿宋_GB2312" w:eastAsia="仿宋_GB2312"/>
                <w:kern w:val="10"/>
                <w:szCs w:val="21"/>
              </w:rPr>
            </w:pPr>
            <w:r>
              <w:rPr>
                <w:rFonts w:hint="eastAsia" w:ascii="仿宋_GB2312" w:hAnsi="宋体" w:eastAsia="仿宋_GB2312" w:cs="仿宋_GB2312"/>
                <w:color w:val="000000"/>
                <w:kern w:val="0"/>
                <w:szCs w:val="21"/>
                <w:lang w:bidi="ar"/>
              </w:rPr>
              <w:t>行政复议、诉讼案件办理数量≥5件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jc w:val="center"/>
              <w:rPr>
                <w:rFonts w:ascii="仿宋_GB2312" w:eastAsia="仿宋_GB2312"/>
                <w:kern w:val="10"/>
                <w:szCs w:val="21"/>
              </w:rPr>
            </w:pPr>
          </w:p>
        </w:tc>
        <w:tc>
          <w:tcPr>
            <w:tcW w:w="1701" w:type="dxa"/>
            <w:vMerge w:val="continue"/>
            <w:vAlign w:val="center"/>
          </w:tcPr>
          <w:p>
            <w:pPr>
              <w:jc w:val="center"/>
              <w:rPr>
                <w:rFonts w:ascii="仿宋_GB2312" w:eastAsia="仿宋_GB2312"/>
                <w:kern w:val="10"/>
                <w:szCs w:val="21"/>
              </w:rPr>
            </w:pPr>
          </w:p>
        </w:tc>
        <w:tc>
          <w:tcPr>
            <w:tcW w:w="11225" w:type="dxa"/>
            <w:vAlign w:val="center"/>
          </w:tcPr>
          <w:p>
            <w:pPr>
              <w:widowControl/>
              <w:jc w:val="left"/>
              <w:textAlignment w:val="center"/>
              <w:rPr>
                <w:rFonts w:ascii="仿宋_GB2312" w:eastAsia="仿宋_GB2312"/>
                <w:kern w:val="10"/>
                <w:szCs w:val="21"/>
              </w:rPr>
            </w:pPr>
            <w:r>
              <w:rPr>
                <w:rFonts w:hint="eastAsia" w:ascii="仿宋_GB2312" w:hAnsi="宋体" w:eastAsia="仿宋_GB2312" w:cs="仿宋_GB2312"/>
                <w:color w:val="000000"/>
                <w:spacing w:val="-2"/>
                <w:kern w:val="0"/>
                <w:szCs w:val="21"/>
                <w:lang w:val="en-US" w:eastAsia="zh-CN" w:bidi="ar"/>
              </w:rPr>
              <w:t>集中展示本市经济社会发展成果，重点宣传好落实京津冀协同发展、优化营商环境、区域高质量发展等发展改革中心工作，举办宣传活动次数≥50次/年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jc w:val="center"/>
              <w:rPr>
                <w:rFonts w:ascii="仿宋_GB2312" w:eastAsia="仿宋_GB2312"/>
                <w:kern w:val="10"/>
                <w:szCs w:val="21"/>
              </w:rPr>
            </w:pPr>
          </w:p>
        </w:tc>
        <w:tc>
          <w:tcPr>
            <w:tcW w:w="1701" w:type="dxa"/>
            <w:vMerge w:val="continue"/>
            <w:vAlign w:val="center"/>
          </w:tcPr>
          <w:p>
            <w:pPr>
              <w:jc w:val="center"/>
              <w:rPr>
                <w:rFonts w:ascii="仿宋_GB2312" w:eastAsia="仿宋_GB2312"/>
                <w:kern w:val="10"/>
                <w:szCs w:val="21"/>
              </w:rPr>
            </w:pPr>
          </w:p>
        </w:tc>
        <w:tc>
          <w:tcPr>
            <w:tcW w:w="11225" w:type="dxa"/>
            <w:vAlign w:val="center"/>
          </w:tcPr>
          <w:p>
            <w:pPr>
              <w:widowControl/>
              <w:jc w:val="left"/>
              <w:textAlignment w:val="center"/>
              <w:rPr>
                <w:rFonts w:ascii="仿宋_GB2312" w:eastAsia="仿宋_GB2312"/>
                <w:kern w:val="10"/>
                <w:szCs w:val="21"/>
              </w:rPr>
            </w:pPr>
            <w:r>
              <w:rPr>
                <w:rFonts w:hint="eastAsia" w:ascii="仿宋_GB2312" w:hAnsi="宋体" w:eastAsia="仿宋_GB2312" w:cs="仿宋_GB2312"/>
                <w:color w:val="000000"/>
                <w:kern w:val="0"/>
                <w:szCs w:val="21"/>
                <w:lang w:bidi="ar"/>
              </w:rPr>
              <w:t>全市常住人口总量≤2300万人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jc w:val="center"/>
              <w:rPr>
                <w:rFonts w:ascii="仿宋_GB2312" w:eastAsia="仿宋_GB2312"/>
                <w:kern w:val="10"/>
                <w:szCs w:val="21"/>
              </w:rPr>
            </w:pPr>
          </w:p>
        </w:tc>
        <w:tc>
          <w:tcPr>
            <w:tcW w:w="1701" w:type="dxa"/>
            <w:vMerge w:val="continue"/>
            <w:vAlign w:val="center"/>
          </w:tcPr>
          <w:p>
            <w:pPr>
              <w:jc w:val="center"/>
              <w:rPr>
                <w:rFonts w:ascii="仿宋_GB2312" w:eastAsia="仿宋_GB2312"/>
                <w:kern w:val="10"/>
                <w:szCs w:val="21"/>
              </w:rPr>
            </w:pPr>
          </w:p>
        </w:tc>
        <w:tc>
          <w:tcPr>
            <w:tcW w:w="11225" w:type="dxa"/>
            <w:vAlign w:val="center"/>
          </w:tcPr>
          <w:p>
            <w:pPr>
              <w:widowControl/>
              <w:jc w:val="left"/>
              <w:textAlignment w:val="center"/>
              <w:rPr>
                <w:rFonts w:ascii="仿宋_GB2312" w:eastAsia="仿宋_GB2312"/>
                <w:kern w:val="10"/>
                <w:szCs w:val="21"/>
              </w:rPr>
            </w:pPr>
            <w:r>
              <w:rPr>
                <w:rFonts w:hint="eastAsia" w:ascii="仿宋_GB2312" w:hAnsi="宋体" w:eastAsia="仿宋_GB2312" w:cs="仿宋_GB2312"/>
                <w:color w:val="000000"/>
                <w:spacing w:val="-2"/>
                <w:kern w:val="0"/>
                <w:szCs w:val="21"/>
                <w:lang w:bidi="ar"/>
              </w:rPr>
              <w:t>出版《健康城市蓝皮书：北京健康城市建设研究报告（2024）》、《北京社会发展报告蓝皮书》、《首都现代化蓝皮书》＝3本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jc w:val="center"/>
              <w:rPr>
                <w:rFonts w:ascii="仿宋_GB2312" w:eastAsia="仿宋_GB2312"/>
                <w:kern w:val="10"/>
                <w:szCs w:val="21"/>
              </w:rPr>
            </w:pPr>
          </w:p>
        </w:tc>
        <w:tc>
          <w:tcPr>
            <w:tcW w:w="1701" w:type="dxa"/>
            <w:vMerge w:val="restart"/>
            <w:vAlign w:val="center"/>
          </w:tcPr>
          <w:p>
            <w:pPr>
              <w:jc w:val="center"/>
              <w:rPr>
                <w:rFonts w:ascii="仿宋_GB2312" w:eastAsia="仿宋_GB2312"/>
                <w:kern w:val="10"/>
                <w:szCs w:val="21"/>
              </w:rPr>
            </w:pPr>
            <w:r>
              <w:rPr>
                <w:rFonts w:hint="eastAsia" w:ascii="仿宋_GB2312" w:eastAsia="仿宋_GB2312"/>
                <w:kern w:val="10"/>
                <w:szCs w:val="21"/>
              </w:rPr>
              <w:t>质量指标</w:t>
            </w: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完成“疏解整治促提升”年度任务目标＝100%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jc w:val="center"/>
              <w:rPr>
                <w:rFonts w:ascii="仿宋_GB2312" w:eastAsia="仿宋_GB2312"/>
                <w:kern w:val="10"/>
                <w:szCs w:val="21"/>
              </w:rPr>
            </w:pPr>
          </w:p>
        </w:tc>
        <w:tc>
          <w:tcPr>
            <w:tcW w:w="1701" w:type="dxa"/>
            <w:vMerge w:val="continue"/>
            <w:vAlign w:val="center"/>
          </w:tcPr>
          <w:p>
            <w:pPr>
              <w:jc w:val="center"/>
              <w:rPr>
                <w:rFonts w:ascii="仿宋_GB2312" w:eastAsia="仿宋_GB2312"/>
                <w:spacing w:val="-2"/>
                <w:kern w:val="10"/>
                <w:szCs w:val="21"/>
              </w:rPr>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提高市场主体退出的质量和效率（定性)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jc w:val="center"/>
              <w:rPr>
                <w:rFonts w:ascii="仿宋_GB2312" w:eastAsia="仿宋_GB2312"/>
                <w:kern w:val="10"/>
                <w:szCs w:val="21"/>
              </w:rPr>
            </w:pPr>
          </w:p>
        </w:tc>
        <w:tc>
          <w:tcPr>
            <w:tcW w:w="1701" w:type="dxa"/>
            <w:vMerge w:val="continue"/>
            <w:vAlign w:val="center"/>
          </w:tcPr>
          <w:p>
            <w:pPr>
              <w:jc w:val="center"/>
              <w:rPr>
                <w:rFonts w:ascii="仿宋_GB2312" w:eastAsia="仿宋_GB2312"/>
                <w:spacing w:val="-2"/>
                <w:kern w:val="10"/>
                <w:szCs w:val="21"/>
              </w:rPr>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涉案财产价格认定纪检监察机关复查率≤2%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jc w:val="center"/>
              <w:rPr>
                <w:rFonts w:ascii="仿宋_GB2312" w:eastAsia="仿宋_GB2312"/>
                <w:kern w:val="10"/>
                <w:szCs w:val="21"/>
              </w:rPr>
            </w:pPr>
          </w:p>
        </w:tc>
        <w:tc>
          <w:tcPr>
            <w:tcW w:w="1701" w:type="dxa"/>
            <w:vMerge w:val="continue"/>
            <w:vAlign w:val="center"/>
          </w:tcPr>
          <w:p>
            <w:pPr>
              <w:jc w:val="center"/>
              <w:rPr>
                <w:rFonts w:ascii="仿宋_GB2312" w:eastAsia="仿宋_GB2312"/>
                <w:spacing w:val="-2"/>
                <w:kern w:val="10"/>
                <w:szCs w:val="21"/>
              </w:rPr>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信息化系统正常运行率≥95%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jc w:val="center"/>
              <w:rPr>
                <w:rFonts w:ascii="仿宋_GB2312" w:eastAsia="仿宋_GB2312"/>
                <w:kern w:val="10"/>
                <w:szCs w:val="21"/>
              </w:rPr>
            </w:pPr>
          </w:p>
        </w:tc>
        <w:tc>
          <w:tcPr>
            <w:tcW w:w="1701" w:type="dxa"/>
            <w:vMerge w:val="restart"/>
            <w:vAlign w:val="center"/>
          </w:tcPr>
          <w:p>
            <w:pPr>
              <w:jc w:val="center"/>
              <w:rPr>
                <w:rFonts w:ascii="仿宋_GB2312" w:eastAsia="仿宋_GB2312"/>
                <w:spacing w:val="-2"/>
                <w:kern w:val="10"/>
                <w:szCs w:val="21"/>
              </w:rPr>
            </w:pPr>
            <w:r>
              <w:rPr>
                <w:rFonts w:hint="eastAsia" w:ascii="仿宋_GB2312" w:eastAsia="仿宋_GB2312"/>
                <w:spacing w:val="-2"/>
                <w:kern w:val="10"/>
                <w:szCs w:val="21"/>
              </w:rPr>
              <w:t>时效指标</w:t>
            </w: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光伏奖励资金按时拨付期限≤1月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jc w:val="center"/>
              <w:rPr>
                <w:rFonts w:ascii="仿宋_GB2312" w:eastAsia="仿宋_GB2312"/>
                <w:kern w:val="10"/>
                <w:szCs w:val="21"/>
              </w:rPr>
            </w:pPr>
          </w:p>
        </w:tc>
        <w:tc>
          <w:tcPr>
            <w:tcW w:w="1701" w:type="dxa"/>
            <w:vMerge w:val="continue"/>
            <w:vAlign w:val="center"/>
          </w:tcPr>
          <w:p>
            <w:pPr>
              <w:jc w:val="center"/>
              <w:rPr>
                <w:rFonts w:ascii="仿宋_GB2312" w:eastAsia="仿宋_GB2312"/>
                <w:spacing w:val="-2"/>
                <w:kern w:val="10"/>
                <w:szCs w:val="21"/>
              </w:rPr>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行政诉讼案件办理时限≤15日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jc w:val="center"/>
              <w:rPr>
                <w:rFonts w:ascii="仿宋_GB2312" w:eastAsia="仿宋_GB2312"/>
                <w:kern w:val="10"/>
                <w:szCs w:val="21"/>
              </w:rPr>
            </w:pPr>
          </w:p>
        </w:tc>
        <w:tc>
          <w:tcPr>
            <w:tcW w:w="1701" w:type="dxa"/>
            <w:vMerge w:val="continue"/>
            <w:vAlign w:val="center"/>
          </w:tcPr>
          <w:p>
            <w:pPr>
              <w:jc w:val="center"/>
              <w:rPr>
                <w:rFonts w:ascii="仿宋_GB2312" w:eastAsia="仿宋_GB2312"/>
                <w:spacing w:val="-2"/>
                <w:kern w:val="10"/>
                <w:szCs w:val="21"/>
              </w:rPr>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信息系统平均故障修复响应时间≤4小时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restart"/>
            <w:vAlign w:val="center"/>
          </w:tcPr>
          <w:p>
            <w:pPr>
              <w:jc w:val="center"/>
              <w:rPr>
                <w:rFonts w:ascii="仿宋_GB2312" w:eastAsia="仿宋_GB2312"/>
                <w:kern w:val="10"/>
                <w:szCs w:val="21"/>
              </w:rPr>
            </w:pPr>
            <w:r>
              <w:rPr>
                <w:rFonts w:hint="eastAsia" w:ascii="仿宋_GB2312" w:eastAsia="仿宋_GB2312"/>
                <w:kern w:val="10"/>
                <w:szCs w:val="21"/>
              </w:rPr>
              <w:t>效益指标</w:t>
            </w:r>
          </w:p>
        </w:tc>
        <w:tc>
          <w:tcPr>
            <w:tcW w:w="1701" w:type="dxa"/>
            <w:vMerge w:val="restart"/>
            <w:vAlign w:val="center"/>
          </w:tcPr>
          <w:p>
            <w:pPr>
              <w:jc w:val="center"/>
              <w:rPr>
                <w:rFonts w:ascii="仿宋_GB2312" w:eastAsia="仿宋_GB2312"/>
                <w:spacing w:val="-2"/>
                <w:kern w:val="10"/>
                <w:szCs w:val="21"/>
              </w:rPr>
            </w:pPr>
            <w:r>
              <w:rPr>
                <w:rFonts w:hint="eastAsia" w:ascii="仿宋_GB2312" w:eastAsia="仿宋_GB2312"/>
                <w:spacing w:val="-2"/>
                <w:kern w:val="10"/>
                <w:szCs w:val="21"/>
              </w:rPr>
              <w:t>经济效益指标</w:t>
            </w: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推进财政金融相关工作有序开展，推动市场主体融资发展环境优化（定性）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vAlign w:val="center"/>
          </w:tcPr>
          <w:p>
            <w:pPr>
              <w:jc w:val="center"/>
              <w:rPr>
                <w:rFonts w:ascii="仿宋_GB2312" w:eastAsia="仿宋_GB2312"/>
                <w:kern w:val="10"/>
                <w:szCs w:val="21"/>
              </w:rPr>
            </w:pPr>
          </w:p>
        </w:tc>
        <w:tc>
          <w:tcPr>
            <w:tcW w:w="1701" w:type="dxa"/>
            <w:vMerge w:val="continue"/>
            <w:vAlign w:val="center"/>
          </w:tcPr>
          <w:p>
            <w:pPr>
              <w:jc w:val="center"/>
              <w:rPr>
                <w:rFonts w:ascii="仿宋_GB2312" w:eastAsia="仿宋_GB2312"/>
                <w:spacing w:val="-2"/>
                <w:kern w:val="10"/>
                <w:szCs w:val="21"/>
              </w:rPr>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报送推进落实市委财经办各项工作任务，筹办好市委财经委会议，组织编发《财经专报》（定性）</w:t>
            </w:r>
          </w:p>
        </w:tc>
      </w:tr>
    </w:tbl>
    <w:p>
      <w:pPr>
        <w:pStyle w:val="2"/>
        <w:spacing w:line="240" w:lineRule="exact"/>
        <w:jc w:val="right"/>
        <w:rPr>
          <w:rFonts w:ascii="宋体" w:hAnsi="宋体" w:eastAsia="宋体"/>
          <w:sz w:val="21"/>
          <w:szCs w:val="21"/>
        </w:rPr>
      </w:pPr>
      <w:r>
        <w:rPr>
          <w:rFonts w:hint="eastAsia" w:ascii="宋体" w:hAnsi="宋体" w:eastAsia="宋体"/>
          <w:sz w:val="21"/>
          <w:szCs w:val="21"/>
        </w:rPr>
        <w:t>（接下页）</w:t>
      </w:r>
      <w:r>
        <w:rPr>
          <w:rFonts w:ascii="宋体" w:hAnsi="宋体" w:eastAsia="宋体"/>
          <w:sz w:val="21"/>
          <w:szCs w:val="21"/>
        </w:rPr>
        <w:br w:type="page"/>
      </w:r>
    </w:p>
    <w:p>
      <w:pPr>
        <w:spacing w:line="240" w:lineRule="exact"/>
      </w:pPr>
      <w:r>
        <w:rPr>
          <w:rFonts w:hint="eastAsia"/>
        </w:rPr>
        <w:t>（续上页）</w:t>
      </w:r>
    </w:p>
    <w:tbl>
      <w:tblPr>
        <w:tblStyle w:val="9"/>
        <w:tblW w:w="14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shd w:val="clear" w:color="auto" w:fill="D8D8D8" w:themeFill="background1" w:themeFillShade="D9"/>
            <w:vAlign w:val="center"/>
          </w:tcPr>
          <w:p>
            <w:pPr>
              <w:spacing w:line="240" w:lineRule="atLeast"/>
              <w:jc w:val="center"/>
              <w:rPr>
                <w:rFonts w:ascii="仿宋_GB2312" w:eastAsia="仿宋_GB2312"/>
                <w:szCs w:val="21"/>
              </w:rPr>
            </w:pPr>
            <w:r>
              <w:rPr>
                <w:rFonts w:hint="eastAsia" w:ascii="仿宋_GB2312" w:eastAsia="仿宋_GB2312"/>
                <w:b/>
                <w:szCs w:val="21"/>
              </w:rPr>
              <w:t>一级指标</w:t>
            </w:r>
          </w:p>
        </w:tc>
        <w:tc>
          <w:tcPr>
            <w:tcW w:w="1701" w:type="dxa"/>
            <w:shd w:val="clear" w:color="auto" w:fill="D8D8D8" w:themeFill="background1" w:themeFillShade="D9"/>
            <w:vAlign w:val="center"/>
          </w:tcPr>
          <w:p>
            <w:pPr>
              <w:spacing w:line="240" w:lineRule="exact"/>
              <w:jc w:val="center"/>
              <w:rPr>
                <w:rFonts w:ascii="仿宋_GB2312" w:eastAsia="仿宋_GB2312"/>
                <w:szCs w:val="21"/>
              </w:rPr>
            </w:pPr>
            <w:r>
              <w:rPr>
                <w:rFonts w:hint="eastAsia" w:ascii="仿宋_GB2312" w:eastAsia="仿宋_GB2312"/>
                <w:b/>
                <w:szCs w:val="21"/>
              </w:rPr>
              <w:t>二级指标</w:t>
            </w:r>
          </w:p>
        </w:tc>
        <w:tc>
          <w:tcPr>
            <w:tcW w:w="11225" w:type="dxa"/>
            <w:shd w:val="clear" w:color="auto" w:fill="D8D8D8" w:themeFill="background1" w:themeFillShade="D9"/>
            <w:vAlign w:val="center"/>
          </w:tcPr>
          <w:p>
            <w:pPr>
              <w:spacing w:line="240" w:lineRule="atLeast"/>
              <w:jc w:val="center"/>
              <w:rPr>
                <w:rFonts w:ascii="仿宋_GB2312" w:eastAsia="仿宋_GB2312"/>
                <w:szCs w:val="21"/>
              </w:rPr>
            </w:pPr>
            <w:r>
              <w:rPr>
                <w:rFonts w:hint="eastAsia" w:ascii="仿宋_GB2312" w:eastAsia="仿宋_GB2312"/>
                <w:b/>
                <w:szCs w:val="21"/>
              </w:rPr>
              <w:t>三级指标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restart"/>
            <w:vAlign w:val="center"/>
          </w:tcPr>
          <w:p>
            <w:pPr>
              <w:pStyle w:val="2"/>
            </w:pPr>
            <w:r>
              <w:rPr>
                <w:rFonts w:hint="eastAsia" w:ascii="仿宋_GB2312"/>
                <w:sz w:val="21"/>
                <w:szCs w:val="21"/>
              </w:rPr>
              <w:t>效益指标</w:t>
            </w:r>
          </w:p>
        </w:tc>
        <w:tc>
          <w:tcPr>
            <w:tcW w:w="1701" w:type="dxa"/>
            <w:vMerge w:val="restart"/>
            <w:vAlign w:val="center"/>
          </w:tcPr>
          <w:p>
            <w:pPr>
              <w:pStyle w:val="2"/>
              <w:jc w:val="center"/>
              <w:rPr>
                <w:rFonts w:ascii="仿宋_GB2312"/>
                <w:sz w:val="21"/>
                <w:szCs w:val="21"/>
              </w:rPr>
            </w:pPr>
            <w:r>
              <w:rPr>
                <w:rFonts w:hint="eastAsia" w:ascii="仿宋_GB2312"/>
                <w:sz w:val="21"/>
                <w:szCs w:val="21"/>
              </w:rPr>
              <w:t>经济效益指标</w:t>
            </w: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资源得到合理使用和循环利用，企事业单位和全社会的能源资源经济成本得到间接降低（定性）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pPr>
          </w:p>
        </w:tc>
        <w:tc>
          <w:tcPr>
            <w:tcW w:w="1701" w:type="dxa"/>
            <w:vMerge w:val="continue"/>
          </w:tcPr>
          <w:p>
            <w:pPr>
              <w:pStyle w:val="2"/>
              <w:jc w:val="center"/>
              <w:rPr>
                <w:rFonts w:ascii="仿宋_GB2312"/>
                <w:sz w:val="21"/>
                <w:szCs w:val="21"/>
              </w:rPr>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密切关注市场动态，及时报告市场动态，加强价格监测预警，为宏观调控提供有效支撑（定性）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pPr>
          </w:p>
        </w:tc>
        <w:tc>
          <w:tcPr>
            <w:tcW w:w="1701" w:type="dxa"/>
            <w:vMerge w:val="restart"/>
            <w:vAlign w:val="center"/>
          </w:tcPr>
          <w:p>
            <w:pPr>
              <w:pStyle w:val="2"/>
              <w:jc w:val="center"/>
            </w:pPr>
            <w:r>
              <w:rPr>
                <w:rFonts w:hint="eastAsia" w:ascii="仿宋_GB2312"/>
                <w:sz w:val="21"/>
                <w:szCs w:val="21"/>
              </w:rPr>
              <w:t>社会效益指标</w:t>
            </w: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报告本市社会领域工作进展情况，分析本市社会领域重点问题，提出相关对策建议≥5条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pPr>
          </w:p>
        </w:tc>
        <w:tc>
          <w:tcPr>
            <w:tcW w:w="1701" w:type="dxa"/>
            <w:vMerge w:val="continue"/>
          </w:tcPr>
          <w:p>
            <w:pPr>
              <w:pStyle w:val="2"/>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落实国家及市领导有关工作部署，会同有关方面研究拟订促进先进制造业与现代服务业融合、专业服务业高质量发展等政策措施并组织实施，推动本市产业高质量发展（定性）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pPr>
          </w:p>
        </w:tc>
        <w:tc>
          <w:tcPr>
            <w:tcW w:w="1701" w:type="dxa"/>
            <w:vMerge w:val="continue"/>
          </w:tcPr>
          <w:p>
            <w:pPr>
              <w:pStyle w:val="2"/>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落实国家及市委市政府重大决策部署，对城市南部地区、生态涵养区、农业中关村等重点区域高质量发展以及小城镇健康发展等开展综合评估及系统宣传，推广本市区域协调发展、城乡融合发展工作成效（定性）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pPr>
          </w:p>
        </w:tc>
        <w:tc>
          <w:tcPr>
            <w:tcW w:w="1701" w:type="dxa"/>
            <w:vMerge w:val="continue"/>
          </w:tcPr>
          <w:p>
            <w:pPr>
              <w:pStyle w:val="2"/>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有效推动京西地区重点任务和重大项目落地，支撑京西地区高质量转型发展（定性）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pPr>
          </w:p>
        </w:tc>
        <w:tc>
          <w:tcPr>
            <w:tcW w:w="1701" w:type="dxa"/>
            <w:vMerge w:val="continue"/>
          </w:tcPr>
          <w:p>
            <w:pPr>
              <w:pStyle w:val="2"/>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进一步落实企业“服务包”工作制度，实现企业在京更好发展（定性）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pPr>
          </w:p>
        </w:tc>
        <w:tc>
          <w:tcPr>
            <w:tcW w:w="1701" w:type="dxa"/>
            <w:vMerge w:val="continue"/>
          </w:tcPr>
          <w:p>
            <w:pPr>
              <w:pStyle w:val="2"/>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形成营商环境良好社会氛围（定性）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pPr>
          </w:p>
        </w:tc>
        <w:tc>
          <w:tcPr>
            <w:tcW w:w="1701" w:type="dxa"/>
            <w:vMerge w:val="continue"/>
          </w:tcPr>
          <w:p>
            <w:pPr>
              <w:pStyle w:val="2"/>
            </w:pPr>
          </w:p>
        </w:tc>
        <w:tc>
          <w:tcPr>
            <w:tcW w:w="1122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破产制度政策培训覆盖率≥80%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pPr>
          </w:p>
        </w:tc>
        <w:tc>
          <w:tcPr>
            <w:tcW w:w="1701" w:type="dxa"/>
            <w:vMerge w:val="continue"/>
          </w:tcPr>
          <w:p>
            <w:pPr>
              <w:pStyle w:val="2"/>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对京津冀协同发展成效进行宣传展示、推介（定性）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pPr>
          </w:p>
        </w:tc>
        <w:tc>
          <w:tcPr>
            <w:tcW w:w="1701" w:type="dxa"/>
            <w:vMerge w:val="continue"/>
          </w:tcPr>
          <w:p>
            <w:pPr>
              <w:pStyle w:val="2"/>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举办京港洽谈会“一带一路”相关活动，健全和完善两地常态化合作机制，共同拓展多领域合作渠道（定性）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pPr>
          </w:p>
        </w:tc>
        <w:tc>
          <w:tcPr>
            <w:tcW w:w="1701" w:type="dxa"/>
            <w:vMerge w:val="continue"/>
          </w:tcPr>
          <w:p>
            <w:pPr>
              <w:pStyle w:val="2"/>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为疏整促专项行动调度、人口服务、治理类街乡镇督导提供支撑（定性）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pPr>
          </w:p>
        </w:tc>
        <w:tc>
          <w:tcPr>
            <w:tcW w:w="1701" w:type="dxa"/>
            <w:vMerge w:val="continue"/>
          </w:tcPr>
          <w:p>
            <w:pPr>
              <w:pStyle w:val="2"/>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提高全市人口服务管理工作水平（定性）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pPr>
          </w:p>
        </w:tc>
        <w:tc>
          <w:tcPr>
            <w:tcW w:w="1701" w:type="dxa"/>
            <w:vMerge w:val="continue"/>
          </w:tcPr>
          <w:p>
            <w:pPr>
              <w:pStyle w:val="2"/>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对经济社会形势分析的支撑作用（定性）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spacing w:after="0" w:line="240" w:lineRule="auto"/>
              <w:rPr>
                <w:sz w:val="21"/>
                <w:szCs w:val="21"/>
              </w:rPr>
            </w:pPr>
          </w:p>
        </w:tc>
        <w:tc>
          <w:tcPr>
            <w:tcW w:w="1701" w:type="dxa"/>
            <w:vMerge w:val="continue"/>
          </w:tcPr>
          <w:p>
            <w:pPr>
              <w:pStyle w:val="2"/>
              <w:spacing w:after="0" w:line="240" w:lineRule="auto"/>
              <w:rPr>
                <w:sz w:val="21"/>
                <w:szCs w:val="21"/>
              </w:rPr>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为本市投资工作质量提升提供有力支撑（定性）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134" w:type="dxa"/>
            <w:vMerge w:val="continue"/>
          </w:tcPr>
          <w:p>
            <w:pPr>
              <w:pStyle w:val="2"/>
              <w:spacing w:after="0" w:line="240" w:lineRule="auto"/>
              <w:rPr>
                <w:sz w:val="21"/>
                <w:szCs w:val="21"/>
              </w:rPr>
            </w:pPr>
          </w:p>
        </w:tc>
        <w:tc>
          <w:tcPr>
            <w:tcW w:w="1701" w:type="dxa"/>
            <w:vMerge w:val="continue"/>
          </w:tcPr>
          <w:p>
            <w:pPr>
              <w:pStyle w:val="2"/>
              <w:spacing w:after="0" w:line="240" w:lineRule="auto"/>
              <w:rPr>
                <w:sz w:val="21"/>
                <w:szCs w:val="21"/>
              </w:rPr>
            </w:pPr>
          </w:p>
        </w:tc>
        <w:tc>
          <w:tcPr>
            <w:tcW w:w="1122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促进全社会绿色低碳循环发展，为双碳目标实现贡献力量（定性）</w:t>
            </w:r>
          </w:p>
        </w:tc>
      </w:tr>
    </w:tbl>
    <w:p>
      <w:pPr>
        <w:jc w:val="right"/>
        <w:rPr>
          <w:rFonts w:ascii="宋体" w:hAnsi="宋体"/>
          <w:szCs w:val="21"/>
        </w:rPr>
      </w:pPr>
      <w:r>
        <w:rPr>
          <w:rFonts w:hint="eastAsia" w:ascii="宋体" w:hAnsi="宋体"/>
          <w:szCs w:val="21"/>
        </w:rPr>
        <w:t>（接下页）</w:t>
      </w:r>
      <w:r>
        <w:rPr>
          <w:rFonts w:hint="eastAsia" w:ascii="宋体" w:hAnsi="宋体"/>
          <w:szCs w:val="21"/>
        </w:rPr>
        <w:br w:type="page"/>
      </w:r>
    </w:p>
    <w:p>
      <w:pPr>
        <w:spacing w:line="240" w:lineRule="exact"/>
      </w:pPr>
      <w:r>
        <w:rPr>
          <w:rFonts w:hint="eastAsia"/>
        </w:rPr>
        <w:t>（续上页）</w:t>
      </w:r>
    </w:p>
    <w:tbl>
      <w:tblPr>
        <w:tblStyle w:val="9"/>
        <w:tblW w:w="14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Cs w:val="21"/>
              </w:rPr>
              <w:t>一级指标</w:t>
            </w:r>
          </w:p>
        </w:tc>
        <w:tc>
          <w:tcPr>
            <w:tcW w:w="1701"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Cs w:val="21"/>
              </w:rPr>
              <w:t>二级指标</w:t>
            </w:r>
          </w:p>
        </w:tc>
        <w:tc>
          <w:tcPr>
            <w:tcW w:w="11225"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Cs w:val="21"/>
              </w:rPr>
              <w:t>三级指标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restart"/>
            <w:vAlign w:val="center"/>
          </w:tcPr>
          <w:p>
            <w:pPr>
              <w:pStyle w:val="2"/>
              <w:spacing w:line="240" w:lineRule="auto"/>
              <w:jc w:val="center"/>
              <w:rPr>
                <w:sz w:val="21"/>
                <w:szCs w:val="21"/>
              </w:rPr>
            </w:pPr>
            <w:r>
              <w:rPr>
                <w:rFonts w:hint="eastAsia" w:ascii="仿宋_GB2312"/>
                <w:sz w:val="21"/>
                <w:szCs w:val="21"/>
              </w:rPr>
              <w:t>效益指标</w:t>
            </w:r>
          </w:p>
        </w:tc>
        <w:tc>
          <w:tcPr>
            <w:tcW w:w="1701" w:type="dxa"/>
            <w:vMerge w:val="restart"/>
            <w:vAlign w:val="center"/>
          </w:tcPr>
          <w:p>
            <w:pPr>
              <w:pStyle w:val="2"/>
              <w:spacing w:line="240" w:lineRule="auto"/>
              <w:jc w:val="center"/>
              <w:rPr>
                <w:rFonts w:ascii="仿宋_GB2312"/>
                <w:sz w:val="21"/>
                <w:szCs w:val="21"/>
              </w:rPr>
            </w:pPr>
            <w:r>
              <w:rPr>
                <w:rFonts w:hint="eastAsia" w:ascii="仿宋_GB2312"/>
                <w:sz w:val="21"/>
                <w:szCs w:val="21"/>
              </w:rPr>
              <w:t>社会效益指标</w:t>
            </w:r>
          </w:p>
        </w:tc>
        <w:tc>
          <w:tcPr>
            <w:tcW w:w="11225" w:type="dxa"/>
            <w:vAlign w:val="center"/>
          </w:tcPr>
          <w:p>
            <w:pPr>
              <w:widowControl/>
              <w:jc w:val="left"/>
              <w:rPr>
                <w:rFonts w:ascii="仿宋_GB2312" w:eastAsia="仿宋_GB2312"/>
                <w:szCs w:val="21"/>
              </w:rPr>
            </w:pPr>
            <w:r>
              <w:rPr>
                <w:rFonts w:hint="eastAsia" w:ascii="仿宋_GB2312" w:hAnsi="宋体" w:eastAsia="仿宋_GB2312" w:cs="仿宋_GB2312"/>
                <w:color w:val="000000"/>
                <w:kern w:val="0"/>
                <w:szCs w:val="21"/>
                <w:lang w:bidi="ar"/>
              </w:rPr>
              <w:t>市场导向绿色技术创新体系较好的激发社会绿色高质量发展（定性）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continue"/>
            <w:vAlign w:val="center"/>
          </w:tcPr>
          <w:p>
            <w:pPr>
              <w:pStyle w:val="2"/>
              <w:spacing w:line="240" w:lineRule="auto"/>
              <w:rPr>
                <w:rFonts w:ascii="仿宋_GB2312"/>
                <w:sz w:val="21"/>
                <w:szCs w:val="21"/>
              </w:rPr>
            </w:pPr>
          </w:p>
        </w:tc>
        <w:tc>
          <w:tcPr>
            <w:tcW w:w="1701" w:type="dxa"/>
            <w:vMerge w:val="continue"/>
            <w:vAlign w:val="center"/>
          </w:tcPr>
          <w:p>
            <w:pPr>
              <w:pStyle w:val="2"/>
              <w:spacing w:line="240" w:lineRule="auto"/>
              <w:jc w:val="center"/>
              <w:rPr>
                <w:rFonts w:ascii="仿宋_GB2312"/>
                <w:sz w:val="21"/>
                <w:szCs w:val="21"/>
              </w:rPr>
            </w:pPr>
          </w:p>
        </w:tc>
        <w:tc>
          <w:tcPr>
            <w:tcW w:w="11225" w:type="dxa"/>
            <w:vAlign w:val="center"/>
          </w:tcPr>
          <w:p>
            <w:pPr>
              <w:widowControl/>
              <w:jc w:val="left"/>
              <w:rPr>
                <w:rFonts w:ascii="仿宋_GB2312" w:eastAsia="仿宋_GB2312"/>
                <w:szCs w:val="21"/>
              </w:rPr>
            </w:pPr>
            <w:r>
              <w:rPr>
                <w:rFonts w:hint="eastAsia" w:ascii="仿宋_GB2312" w:hAnsi="宋体" w:eastAsia="仿宋_GB2312" w:cs="仿宋_GB2312"/>
                <w:color w:val="000000"/>
                <w:kern w:val="0"/>
                <w:szCs w:val="21"/>
                <w:lang w:bidi="ar"/>
              </w:rPr>
              <w:t>推动永定河综合治理与生态修复工作质量提升（定性）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continue"/>
            <w:vAlign w:val="center"/>
          </w:tcPr>
          <w:p>
            <w:pPr>
              <w:pStyle w:val="2"/>
              <w:spacing w:line="240" w:lineRule="auto"/>
              <w:rPr>
                <w:rFonts w:ascii="仿宋_GB2312"/>
                <w:sz w:val="21"/>
                <w:szCs w:val="21"/>
              </w:rPr>
            </w:pPr>
          </w:p>
        </w:tc>
        <w:tc>
          <w:tcPr>
            <w:tcW w:w="1701" w:type="dxa"/>
            <w:vMerge w:val="continue"/>
            <w:vAlign w:val="center"/>
          </w:tcPr>
          <w:p>
            <w:pPr>
              <w:pStyle w:val="2"/>
              <w:spacing w:line="240" w:lineRule="auto"/>
              <w:jc w:val="center"/>
              <w:rPr>
                <w:rFonts w:ascii="仿宋_GB2312"/>
                <w:sz w:val="21"/>
                <w:szCs w:val="21"/>
              </w:rPr>
            </w:pPr>
          </w:p>
        </w:tc>
        <w:tc>
          <w:tcPr>
            <w:tcW w:w="11225" w:type="dxa"/>
            <w:vAlign w:val="center"/>
          </w:tcPr>
          <w:p>
            <w:pPr>
              <w:widowControl/>
              <w:jc w:val="left"/>
              <w:rPr>
                <w:rFonts w:ascii="仿宋_GB2312" w:eastAsia="仿宋_GB2312"/>
                <w:szCs w:val="21"/>
              </w:rPr>
            </w:pPr>
            <w:r>
              <w:rPr>
                <w:rFonts w:hint="eastAsia" w:ascii="仿宋_GB2312" w:hAnsi="宋体" w:eastAsia="仿宋_GB2312" w:cs="仿宋_GB2312"/>
                <w:color w:val="000000"/>
                <w:kern w:val="0"/>
                <w:szCs w:val="21"/>
                <w:lang w:bidi="ar"/>
              </w:rPr>
              <w:t>通过节能监察，依法对用能违法行为进行处理，提升用能单位节能法律意识，推广节能技改及节能管理经验，推动用能单位能效提升（定性）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continue"/>
            <w:vAlign w:val="center"/>
          </w:tcPr>
          <w:p>
            <w:pPr>
              <w:pStyle w:val="2"/>
              <w:spacing w:line="240" w:lineRule="auto"/>
              <w:rPr>
                <w:rFonts w:ascii="仿宋_GB2312"/>
                <w:sz w:val="21"/>
                <w:szCs w:val="21"/>
              </w:rPr>
            </w:pPr>
          </w:p>
        </w:tc>
        <w:tc>
          <w:tcPr>
            <w:tcW w:w="1701" w:type="dxa"/>
            <w:vMerge w:val="continue"/>
            <w:vAlign w:val="center"/>
          </w:tcPr>
          <w:p>
            <w:pPr>
              <w:pStyle w:val="2"/>
              <w:spacing w:line="240" w:lineRule="auto"/>
              <w:jc w:val="center"/>
              <w:rPr>
                <w:rFonts w:ascii="仿宋_GB2312"/>
                <w:sz w:val="21"/>
                <w:szCs w:val="21"/>
              </w:rPr>
            </w:pPr>
          </w:p>
        </w:tc>
        <w:tc>
          <w:tcPr>
            <w:tcW w:w="11225" w:type="dxa"/>
            <w:vAlign w:val="center"/>
          </w:tcPr>
          <w:p>
            <w:pPr>
              <w:widowControl/>
              <w:jc w:val="left"/>
              <w:rPr>
                <w:rFonts w:ascii="仿宋_GB2312" w:eastAsia="仿宋_GB2312"/>
                <w:szCs w:val="21"/>
              </w:rPr>
            </w:pPr>
            <w:r>
              <w:rPr>
                <w:rFonts w:hint="eastAsia" w:ascii="仿宋_GB2312" w:hAnsi="宋体" w:eastAsia="仿宋_GB2312" w:cs="仿宋_GB2312"/>
                <w:color w:val="000000"/>
                <w:kern w:val="0"/>
                <w:szCs w:val="21"/>
                <w:lang w:bidi="ar"/>
              </w:rPr>
              <w:t>加强市场调控，保持重要生活必需品价格基本稳定（定性）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continue"/>
            <w:vAlign w:val="center"/>
          </w:tcPr>
          <w:p>
            <w:pPr>
              <w:pStyle w:val="2"/>
              <w:spacing w:line="240" w:lineRule="auto"/>
              <w:rPr>
                <w:rFonts w:ascii="仿宋_GB2312"/>
                <w:sz w:val="21"/>
                <w:szCs w:val="21"/>
              </w:rPr>
            </w:pPr>
          </w:p>
        </w:tc>
        <w:tc>
          <w:tcPr>
            <w:tcW w:w="1701" w:type="dxa"/>
            <w:vMerge w:val="continue"/>
            <w:vAlign w:val="center"/>
          </w:tcPr>
          <w:p>
            <w:pPr>
              <w:pStyle w:val="2"/>
              <w:spacing w:line="240" w:lineRule="auto"/>
              <w:jc w:val="center"/>
              <w:rPr>
                <w:rFonts w:ascii="仿宋_GB2312"/>
                <w:sz w:val="21"/>
                <w:szCs w:val="21"/>
              </w:rPr>
            </w:pPr>
          </w:p>
        </w:tc>
        <w:tc>
          <w:tcPr>
            <w:tcW w:w="11225" w:type="dxa"/>
            <w:vAlign w:val="center"/>
          </w:tcPr>
          <w:p>
            <w:pPr>
              <w:widowControl/>
              <w:jc w:val="left"/>
              <w:rPr>
                <w:rFonts w:ascii="仿宋_GB2312" w:eastAsia="仿宋_GB2312"/>
                <w:szCs w:val="21"/>
              </w:rPr>
            </w:pPr>
            <w:r>
              <w:rPr>
                <w:rFonts w:hint="eastAsia" w:ascii="仿宋_GB2312" w:hAnsi="宋体" w:eastAsia="仿宋_GB2312" w:cs="仿宋_GB2312"/>
                <w:color w:val="000000"/>
                <w:kern w:val="0"/>
                <w:szCs w:val="21"/>
                <w:lang w:bidi="ar"/>
              </w:rPr>
              <w:t>价格形成机制公开透明，为社会经济健康持续发展提供基础服务（定性）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continue"/>
            <w:vAlign w:val="center"/>
          </w:tcPr>
          <w:p>
            <w:pPr>
              <w:pStyle w:val="2"/>
              <w:spacing w:line="240" w:lineRule="auto"/>
              <w:rPr>
                <w:rFonts w:ascii="仿宋_GB2312"/>
                <w:sz w:val="21"/>
                <w:szCs w:val="21"/>
              </w:rPr>
            </w:pPr>
          </w:p>
        </w:tc>
        <w:tc>
          <w:tcPr>
            <w:tcW w:w="1701" w:type="dxa"/>
            <w:vMerge w:val="continue"/>
            <w:vAlign w:val="center"/>
          </w:tcPr>
          <w:p>
            <w:pPr>
              <w:pStyle w:val="2"/>
              <w:spacing w:line="240" w:lineRule="auto"/>
              <w:jc w:val="center"/>
              <w:rPr>
                <w:rFonts w:ascii="仿宋_GB2312"/>
                <w:sz w:val="21"/>
                <w:szCs w:val="21"/>
              </w:rPr>
            </w:pPr>
          </w:p>
        </w:tc>
        <w:tc>
          <w:tcPr>
            <w:tcW w:w="11225" w:type="dxa"/>
            <w:vAlign w:val="center"/>
          </w:tcPr>
          <w:p>
            <w:pPr>
              <w:widowControl/>
              <w:jc w:val="left"/>
              <w:rPr>
                <w:rFonts w:ascii="仿宋_GB2312" w:eastAsia="仿宋_GB2312"/>
                <w:szCs w:val="21"/>
              </w:rPr>
            </w:pPr>
            <w:r>
              <w:rPr>
                <w:rFonts w:hint="eastAsia" w:ascii="仿宋_GB2312" w:hAnsi="宋体" w:eastAsia="仿宋_GB2312" w:cs="仿宋_GB2312"/>
                <w:color w:val="000000"/>
                <w:kern w:val="0"/>
                <w:szCs w:val="21"/>
                <w:lang w:bidi="ar"/>
              </w:rPr>
              <w:t>调查分析评估项目为收费政策研究提供基础服务，推动完善收费政策（定性）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continue"/>
            <w:vAlign w:val="center"/>
          </w:tcPr>
          <w:p>
            <w:pPr>
              <w:pStyle w:val="2"/>
              <w:spacing w:line="240" w:lineRule="auto"/>
              <w:rPr>
                <w:rFonts w:ascii="仿宋_GB2312"/>
                <w:sz w:val="21"/>
                <w:szCs w:val="21"/>
              </w:rPr>
            </w:pPr>
          </w:p>
        </w:tc>
        <w:tc>
          <w:tcPr>
            <w:tcW w:w="1701" w:type="dxa"/>
            <w:vMerge w:val="continue"/>
            <w:vAlign w:val="center"/>
          </w:tcPr>
          <w:p>
            <w:pPr>
              <w:pStyle w:val="2"/>
              <w:spacing w:line="240" w:lineRule="auto"/>
              <w:jc w:val="center"/>
              <w:rPr>
                <w:rFonts w:ascii="仿宋_GB2312"/>
                <w:sz w:val="21"/>
                <w:szCs w:val="21"/>
              </w:rPr>
            </w:pPr>
          </w:p>
        </w:tc>
        <w:tc>
          <w:tcPr>
            <w:tcW w:w="11225" w:type="dxa"/>
            <w:vAlign w:val="center"/>
          </w:tcPr>
          <w:p>
            <w:pPr>
              <w:widowControl/>
              <w:jc w:val="left"/>
              <w:rPr>
                <w:rFonts w:ascii="仿宋_GB2312" w:eastAsia="仿宋_GB2312"/>
                <w:szCs w:val="21"/>
              </w:rPr>
            </w:pPr>
            <w:r>
              <w:rPr>
                <w:rFonts w:hint="eastAsia" w:ascii="仿宋_GB2312" w:hAnsi="宋体" w:eastAsia="仿宋_GB2312" w:cs="仿宋_GB2312"/>
                <w:color w:val="000000"/>
                <w:kern w:val="0"/>
                <w:szCs w:val="21"/>
                <w:lang w:bidi="ar"/>
              </w:rPr>
              <w:t>指导全市17家区级价格认证机构办理疑难重大价格鉴定事项，为准确定性量纪、定罪量刑提供重要依据，稳妥处置信访投诉事项，为社会和谐稳定发挥重要作用（定性）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continue"/>
            <w:vAlign w:val="center"/>
          </w:tcPr>
          <w:p>
            <w:pPr>
              <w:pStyle w:val="2"/>
              <w:spacing w:line="240" w:lineRule="auto"/>
              <w:rPr>
                <w:rFonts w:ascii="仿宋_GB2312"/>
                <w:sz w:val="21"/>
                <w:szCs w:val="21"/>
              </w:rPr>
            </w:pPr>
          </w:p>
        </w:tc>
        <w:tc>
          <w:tcPr>
            <w:tcW w:w="1701" w:type="dxa"/>
            <w:vMerge w:val="continue"/>
            <w:vAlign w:val="center"/>
          </w:tcPr>
          <w:p>
            <w:pPr>
              <w:pStyle w:val="2"/>
              <w:spacing w:line="240" w:lineRule="auto"/>
              <w:jc w:val="center"/>
              <w:rPr>
                <w:rFonts w:ascii="仿宋_GB2312"/>
                <w:sz w:val="21"/>
                <w:szCs w:val="21"/>
              </w:rPr>
            </w:pPr>
          </w:p>
        </w:tc>
        <w:tc>
          <w:tcPr>
            <w:tcW w:w="11225" w:type="dxa"/>
            <w:vAlign w:val="center"/>
          </w:tcPr>
          <w:p>
            <w:pPr>
              <w:widowControl/>
              <w:jc w:val="left"/>
              <w:rPr>
                <w:rFonts w:ascii="仿宋_GB2312" w:eastAsia="仿宋_GB2312"/>
                <w:szCs w:val="21"/>
              </w:rPr>
            </w:pPr>
            <w:r>
              <w:rPr>
                <w:rFonts w:hint="eastAsia" w:ascii="仿宋_GB2312" w:hAnsi="宋体" w:eastAsia="仿宋_GB2312" w:cs="仿宋_GB2312"/>
                <w:color w:val="000000"/>
                <w:kern w:val="0"/>
                <w:szCs w:val="21"/>
                <w:lang w:bidi="ar"/>
              </w:rPr>
              <w:t>打造更好的政务公开平台，持续推进网站建设，不断做强做优“发展北京”政务新媒体矩阵（定性）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continue"/>
            <w:vAlign w:val="center"/>
          </w:tcPr>
          <w:p>
            <w:pPr>
              <w:pStyle w:val="2"/>
              <w:spacing w:line="240" w:lineRule="auto"/>
              <w:rPr>
                <w:rFonts w:ascii="仿宋_GB2312"/>
                <w:sz w:val="21"/>
                <w:szCs w:val="21"/>
              </w:rPr>
            </w:pPr>
          </w:p>
        </w:tc>
        <w:tc>
          <w:tcPr>
            <w:tcW w:w="1701" w:type="dxa"/>
            <w:vMerge w:val="continue"/>
            <w:vAlign w:val="center"/>
          </w:tcPr>
          <w:p>
            <w:pPr>
              <w:pStyle w:val="2"/>
              <w:spacing w:line="240" w:lineRule="auto"/>
              <w:jc w:val="center"/>
              <w:rPr>
                <w:rFonts w:ascii="仿宋_GB2312"/>
                <w:sz w:val="21"/>
                <w:szCs w:val="21"/>
              </w:rPr>
            </w:pPr>
          </w:p>
        </w:tc>
        <w:tc>
          <w:tcPr>
            <w:tcW w:w="11225" w:type="dxa"/>
            <w:vAlign w:val="center"/>
          </w:tcPr>
          <w:p>
            <w:pPr>
              <w:widowControl/>
              <w:jc w:val="left"/>
              <w:rPr>
                <w:rFonts w:ascii="仿宋_GB2312" w:eastAsia="仿宋_GB2312"/>
                <w:szCs w:val="21"/>
              </w:rPr>
            </w:pPr>
            <w:r>
              <w:rPr>
                <w:rFonts w:hint="eastAsia" w:ascii="仿宋_GB2312" w:hAnsi="宋体" w:eastAsia="仿宋_GB2312" w:cs="仿宋_GB2312"/>
                <w:color w:val="000000"/>
                <w:kern w:val="0"/>
                <w:szCs w:val="21"/>
                <w:lang w:bidi="ar"/>
              </w:rPr>
              <w:t>服务并保障市相关委办局、企事业单位和其他用户等对系统的使用需求，为市领导精准调度和科学决策提供良好的技术和数据支撑（定性）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continue"/>
          </w:tcPr>
          <w:p>
            <w:pPr>
              <w:pStyle w:val="2"/>
              <w:spacing w:line="240" w:lineRule="auto"/>
              <w:rPr>
                <w:sz w:val="21"/>
                <w:szCs w:val="21"/>
              </w:rPr>
            </w:pPr>
          </w:p>
        </w:tc>
        <w:tc>
          <w:tcPr>
            <w:tcW w:w="1701" w:type="dxa"/>
            <w:vMerge w:val="restart"/>
            <w:vAlign w:val="center"/>
          </w:tcPr>
          <w:p>
            <w:pPr>
              <w:pStyle w:val="2"/>
              <w:spacing w:line="240" w:lineRule="auto"/>
              <w:jc w:val="center"/>
              <w:rPr>
                <w:rFonts w:ascii="仿宋_GB2312"/>
                <w:sz w:val="21"/>
                <w:szCs w:val="21"/>
              </w:rPr>
            </w:pPr>
            <w:r>
              <w:rPr>
                <w:rFonts w:hint="eastAsia" w:ascii="仿宋_GB2312"/>
                <w:sz w:val="21"/>
                <w:szCs w:val="21"/>
              </w:rPr>
              <w:t>生态效益指标</w:t>
            </w:r>
          </w:p>
        </w:tc>
        <w:tc>
          <w:tcPr>
            <w:tcW w:w="11225" w:type="dxa"/>
            <w:vAlign w:val="center"/>
          </w:tcPr>
          <w:p>
            <w:pPr>
              <w:widowControl/>
              <w:jc w:val="left"/>
              <w:rPr>
                <w:rFonts w:ascii="仿宋_GB2312" w:eastAsia="仿宋_GB2312"/>
                <w:szCs w:val="21"/>
              </w:rPr>
            </w:pPr>
            <w:r>
              <w:rPr>
                <w:rFonts w:hint="eastAsia" w:ascii="仿宋_GB2312" w:hAnsi="宋体" w:eastAsia="仿宋_GB2312" w:cs="仿宋_GB2312"/>
                <w:color w:val="000000"/>
                <w:kern w:val="0"/>
                <w:szCs w:val="21"/>
                <w:lang w:bidi="ar"/>
              </w:rPr>
              <w:t>获得补贴资金的分布式光伏项目发电量约4亿千瓦时，折合节约标准煤10.7万吨，推动可再生能源使用，并为本市减少化石能源应用、治理大气污染提供支撑（定性）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continue"/>
          </w:tcPr>
          <w:p>
            <w:pPr>
              <w:pStyle w:val="2"/>
              <w:spacing w:line="240" w:lineRule="auto"/>
              <w:rPr>
                <w:sz w:val="21"/>
                <w:szCs w:val="21"/>
              </w:rPr>
            </w:pPr>
          </w:p>
        </w:tc>
        <w:tc>
          <w:tcPr>
            <w:tcW w:w="1701" w:type="dxa"/>
            <w:vMerge w:val="continue"/>
          </w:tcPr>
          <w:p>
            <w:pPr>
              <w:pStyle w:val="2"/>
              <w:spacing w:line="240" w:lineRule="auto"/>
              <w:jc w:val="center"/>
              <w:rPr>
                <w:rFonts w:ascii="仿宋_GB2312"/>
                <w:sz w:val="21"/>
                <w:szCs w:val="21"/>
              </w:rPr>
            </w:pPr>
          </w:p>
        </w:tc>
        <w:tc>
          <w:tcPr>
            <w:tcW w:w="11225" w:type="dxa"/>
            <w:vAlign w:val="center"/>
          </w:tcPr>
          <w:p>
            <w:pPr>
              <w:widowControl/>
              <w:jc w:val="left"/>
              <w:rPr>
                <w:rFonts w:ascii="仿宋_GB2312" w:eastAsia="仿宋_GB2312"/>
                <w:szCs w:val="21"/>
              </w:rPr>
            </w:pPr>
            <w:r>
              <w:rPr>
                <w:rFonts w:hint="eastAsia" w:ascii="仿宋_GB2312" w:hAnsi="宋体" w:eastAsia="仿宋_GB2312" w:cs="仿宋_GB2312"/>
                <w:color w:val="000000"/>
                <w:kern w:val="0"/>
                <w:szCs w:val="21"/>
                <w:lang w:bidi="ar"/>
              </w:rPr>
              <w:t>审核单位通过实施清洁生产审核方案，实现节能、降碳、减污、增效（定性）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continue"/>
          </w:tcPr>
          <w:p>
            <w:pPr>
              <w:pStyle w:val="2"/>
              <w:spacing w:after="0" w:line="240" w:lineRule="auto"/>
              <w:rPr>
                <w:sz w:val="21"/>
                <w:szCs w:val="21"/>
              </w:rPr>
            </w:pPr>
          </w:p>
        </w:tc>
        <w:tc>
          <w:tcPr>
            <w:tcW w:w="1701" w:type="dxa"/>
            <w:vMerge w:val="restart"/>
            <w:vAlign w:val="center"/>
          </w:tcPr>
          <w:p>
            <w:pPr>
              <w:pStyle w:val="2"/>
              <w:spacing w:after="0" w:line="240" w:lineRule="auto"/>
              <w:jc w:val="center"/>
              <w:rPr>
                <w:rFonts w:ascii="仿宋_GB2312"/>
                <w:sz w:val="21"/>
                <w:szCs w:val="21"/>
              </w:rPr>
            </w:pPr>
            <w:r>
              <w:rPr>
                <w:rFonts w:hint="eastAsia" w:ascii="仿宋_GB2312"/>
                <w:sz w:val="21"/>
                <w:szCs w:val="21"/>
              </w:rPr>
              <w:t>可持续影响指标</w:t>
            </w:r>
          </w:p>
        </w:tc>
        <w:tc>
          <w:tcPr>
            <w:tcW w:w="11225" w:type="dxa"/>
            <w:vAlign w:val="center"/>
          </w:tcPr>
          <w:p>
            <w:pPr>
              <w:widowControl/>
              <w:jc w:val="left"/>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全国科技创新中心建设及高精尖产业未来协调、可持续发展（定性）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continue"/>
          </w:tcPr>
          <w:p>
            <w:pPr>
              <w:pStyle w:val="2"/>
              <w:spacing w:after="0" w:line="240" w:lineRule="auto"/>
              <w:rPr>
                <w:sz w:val="21"/>
                <w:szCs w:val="21"/>
              </w:rPr>
            </w:pPr>
          </w:p>
        </w:tc>
        <w:tc>
          <w:tcPr>
            <w:tcW w:w="1701" w:type="dxa"/>
            <w:vMerge w:val="continue"/>
          </w:tcPr>
          <w:p>
            <w:pPr>
              <w:pStyle w:val="2"/>
              <w:spacing w:after="0" w:line="240" w:lineRule="auto"/>
              <w:jc w:val="center"/>
              <w:rPr>
                <w:rFonts w:ascii="仿宋_GB2312"/>
                <w:sz w:val="21"/>
                <w:szCs w:val="21"/>
              </w:rPr>
            </w:pPr>
          </w:p>
        </w:tc>
        <w:tc>
          <w:tcPr>
            <w:tcW w:w="11225" w:type="dxa"/>
            <w:vAlign w:val="center"/>
          </w:tcPr>
          <w:p>
            <w:pPr>
              <w:widowControl/>
              <w:jc w:val="left"/>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推动京津冀协同发展（定性）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continue"/>
          </w:tcPr>
          <w:p>
            <w:pPr>
              <w:pStyle w:val="2"/>
              <w:spacing w:after="0" w:line="240" w:lineRule="auto"/>
              <w:rPr>
                <w:sz w:val="21"/>
                <w:szCs w:val="21"/>
              </w:rPr>
            </w:pPr>
          </w:p>
        </w:tc>
        <w:tc>
          <w:tcPr>
            <w:tcW w:w="1701" w:type="dxa"/>
            <w:vMerge w:val="continue"/>
          </w:tcPr>
          <w:p>
            <w:pPr>
              <w:pStyle w:val="2"/>
              <w:spacing w:after="0" w:line="240" w:lineRule="auto"/>
              <w:jc w:val="center"/>
              <w:rPr>
                <w:rFonts w:ascii="仿宋_GB2312"/>
                <w:sz w:val="21"/>
                <w:szCs w:val="21"/>
              </w:rPr>
            </w:pPr>
          </w:p>
        </w:tc>
        <w:tc>
          <w:tcPr>
            <w:tcW w:w="11225" w:type="dxa"/>
            <w:vAlign w:val="center"/>
          </w:tcPr>
          <w:p>
            <w:pPr>
              <w:widowControl/>
              <w:jc w:val="left"/>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持续掌握定价成本数据（定性）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restart"/>
            <w:vAlign w:val="center"/>
          </w:tcPr>
          <w:p>
            <w:pPr>
              <w:pStyle w:val="2"/>
              <w:spacing w:after="0" w:line="240" w:lineRule="auto"/>
              <w:jc w:val="center"/>
              <w:rPr>
                <w:sz w:val="21"/>
                <w:szCs w:val="21"/>
              </w:rPr>
            </w:pPr>
            <w:r>
              <w:rPr>
                <w:rFonts w:hint="eastAsia"/>
                <w:sz w:val="21"/>
                <w:szCs w:val="21"/>
              </w:rPr>
              <w:t>满意度</w:t>
            </w:r>
          </w:p>
          <w:p>
            <w:pPr>
              <w:pStyle w:val="2"/>
              <w:spacing w:after="0" w:line="240" w:lineRule="auto"/>
              <w:jc w:val="center"/>
              <w:rPr>
                <w:sz w:val="21"/>
                <w:szCs w:val="21"/>
              </w:rPr>
            </w:pPr>
            <w:r>
              <w:rPr>
                <w:rFonts w:hint="eastAsia"/>
                <w:sz w:val="21"/>
                <w:szCs w:val="21"/>
              </w:rPr>
              <w:t>指标</w:t>
            </w:r>
          </w:p>
        </w:tc>
        <w:tc>
          <w:tcPr>
            <w:tcW w:w="1701" w:type="dxa"/>
            <w:vMerge w:val="restart"/>
            <w:vAlign w:val="center"/>
          </w:tcPr>
          <w:p>
            <w:pPr>
              <w:pStyle w:val="2"/>
              <w:spacing w:after="0" w:line="240" w:lineRule="auto"/>
              <w:jc w:val="center"/>
              <w:rPr>
                <w:rFonts w:ascii="仿宋_GB2312"/>
                <w:sz w:val="21"/>
                <w:szCs w:val="21"/>
              </w:rPr>
            </w:pPr>
            <w:r>
              <w:rPr>
                <w:rFonts w:hint="eastAsia" w:ascii="仿宋_GB2312"/>
                <w:sz w:val="21"/>
                <w:szCs w:val="21"/>
              </w:rPr>
              <w:t>服务对象满意度指标</w:t>
            </w:r>
          </w:p>
        </w:tc>
        <w:tc>
          <w:tcPr>
            <w:tcW w:w="11225" w:type="dxa"/>
            <w:vAlign w:val="center"/>
          </w:tcPr>
          <w:p>
            <w:pPr>
              <w:widowControl/>
              <w:jc w:val="left"/>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光伏资金自然人满意度、法人满意度≥90%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rPr>
        <w:tc>
          <w:tcPr>
            <w:tcW w:w="1134" w:type="dxa"/>
            <w:vMerge w:val="continue"/>
          </w:tcPr>
          <w:p>
            <w:pPr>
              <w:pStyle w:val="2"/>
              <w:spacing w:after="0" w:line="240" w:lineRule="auto"/>
              <w:rPr>
                <w:sz w:val="21"/>
                <w:szCs w:val="21"/>
              </w:rPr>
            </w:pPr>
          </w:p>
        </w:tc>
        <w:tc>
          <w:tcPr>
            <w:tcW w:w="1701" w:type="dxa"/>
            <w:vMerge w:val="continue"/>
          </w:tcPr>
          <w:p>
            <w:pPr>
              <w:pStyle w:val="2"/>
              <w:spacing w:after="0" w:line="240" w:lineRule="auto"/>
              <w:jc w:val="center"/>
              <w:rPr>
                <w:rFonts w:ascii="仿宋_GB2312"/>
                <w:sz w:val="21"/>
                <w:szCs w:val="21"/>
              </w:rPr>
            </w:pPr>
          </w:p>
        </w:tc>
        <w:tc>
          <w:tcPr>
            <w:tcW w:w="11225" w:type="dxa"/>
            <w:vAlign w:val="center"/>
          </w:tcPr>
          <w:p>
            <w:pPr>
              <w:widowControl/>
              <w:jc w:val="left"/>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品牌日参与企业满意度≥90%</w:t>
            </w:r>
          </w:p>
        </w:tc>
      </w:tr>
    </w:tbl>
    <w:p>
      <w:pPr>
        <w:pStyle w:val="2"/>
        <w:spacing w:line="240" w:lineRule="auto"/>
        <w:jc w:val="right"/>
        <w:rPr>
          <w:rFonts w:ascii="宋体" w:hAnsi="宋体" w:eastAsia="宋体"/>
          <w:sz w:val="21"/>
          <w:szCs w:val="21"/>
        </w:rPr>
        <w:sectPr>
          <w:pgSz w:w="16838" w:h="11906" w:orient="landscape"/>
          <w:pgMar w:top="1800" w:right="1440" w:bottom="1800" w:left="1440" w:header="851" w:footer="992" w:gutter="0"/>
          <w:pgNumType w:fmt="numberInDash"/>
          <w:cols w:space="425" w:num="1"/>
          <w:docGrid w:type="lines" w:linePitch="312" w:charSpace="0"/>
        </w:sectPr>
      </w:pPr>
      <w:r>
        <w:rPr>
          <w:rFonts w:hint="eastAsia" w:ascii="宋体" w:hAnsi="宋体" w:eastAsia="宋体"/>
          <w:sz w:val="21"/>
          <w:szCs w:val="21"/>
        </w:rPr>
        <w:t>（接下页）</w:t>
      </w:r>
    </w:p>
    <w:p>
      <w:pPr>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2024年全年预算数107327.8万元，其中：基本支出预算数44226.58万元，项目支出预算数63101.22万元。资金总体支出100392.6万元，其中：基本支出42651.25万元，项目支出57741.35万元。预算执行率为93.54%。</w:t>
      </w:r>
    </w:p>
    <w:p>
      <w:pPr>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是新中国成立75周年，是实现“十四五”规划目标任务的关键一年，也是京津冀协同发展战略实施10周年。在市委、市政府坚强领导下，市发展改革委团结协作、攻坚克难、锐意进取，充分发挥综合经济部门牵头抓总作用，更好统筹发展和安全、发展和疏解、发展和民生、发展和协同，高站位抓发展谋划、高力度抓区域协同、高标准抓改革创新、高频次抓经济调度、高要求抓任务落实、高质量抓队伍建设，凝聚合力扎实推动首都高质量发展，年度各项任务圆满完成。</w:t>
      </w:r>
    </w:p>
    <w:p>
      <w:pPr>
        <w:pBdr>
          <w:bottom w:val="single" w:color="FFFFFF" w:sz="4" w:space="31"/>
        </w:pBdr>
        <w:adjustRightInd w:val="0"/>
        <w:snapToGrid w:val="0"/>
        <w:spacing w:line="560" w:lineRule="exact"/>
        <w:ind w:firstLine="640" w:firstLineChars="200"/>
        <w:rPr>
          <w:rFonts w:ascii="楷体_GB2312" w:eastAsia="楷体_GB2312"/>
          <w:sz w:val="32"/>
          <w:szCs w:val="32"/>
        </w:rPr>
      </w:pPr>
      <w:r>
        <w:rPr>
          <w:rFonts w:hint="eastAsia" w:ascii="楷体_GB2312" w:eastAsia="楷体_GB2312"/>
          <w:sz w:val="32"/>
          <w:szCs w:val="32"/>
        </w:rPr>
        <w:t>（一）</w:t>
      </w:r>
      <w:r>
        <w:rPr>
          <w:rFonts w:ascii="楷体_GB2312" w:eastAsia="楷体_GB2312"/>
          <w:sz w:val="32"/>
          <w:szCs w:val="32"/>
        </w:rPr>
        <w:t>产出完成情况分析</w:t>
      </w:r>
    </w:p>
    <w:p>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w:t>
      </w:r>
      <w:r>
        <w:rPr>
          <w:rFonts w:ascii="仿宋_GB2312" w:hAnsi="宋体" w:eastAsia="仿宋_GB2312" w:cs="宋体"/>
          <w:color w:val="000000"/>
          <w:kern w:val="0"/>
          <w:sz w:val="32"/>
          <w:szCs w:val="32"/>
        </w:rPr>
        <w:t>数量</w:t>
      </w:r>
    </w:p>
    <w:p>
      <w:pPr>
        <w:pBdr>
          <w:bottom w:val="single" w:color="FFFFFF" w:sz="4" w:space="31"/>
        </w:pBdr>
        <w:adjustRightInd w:val="0"/>
        <w:snapToGrid w:val="0"/>
        <w:spacing w:line="56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color w:val="000000"/>
          <w:kern w:val="21"/>
          <w:sz w:val="32"/>
          <w:szCs w:val="32"/>
        </w:rPr>
        <w:t>一是</w:t>
      </w:r>
      <w:r>
        <w:rPr>
          <w:rFonts w:hint="eastAsia" w:ascii="仿宋_GB2312" w:hAnsi="宋体" w:eastAsia="仿宋_GB2312" w:cs="宋体"/>
          <w:bCs/>
          <w:color w:val="000000"/>
          <w:kern w:val="21"/>
          <w:sz w:val="32"/>
          <w:szCs w:val="32"/>
        </w:rPr>
        <w:t>推动首都经济发展向好向优，全面启动“十五五”规划编制工作，组织服务保障市委财经委会议4次，形成季度经济形势分析专题报告4篇、财政金融形势分析研究报告15篇、投资领域专项评估评价报告10份，完成736个政府固定资产投资项目绩效评价、147个政府固定资产投资项目招投标检查。</w:t>
      </w:r>
      <w:r>
        <w:rPr>
          <w:rFonts w:hint="eastAsia" w:ascii="仿宋_GB2312" w:hAnsi="宋体" w:eastAsia="仿宋_GB2312" w:cs="宋体"/>
          <w:b/>
          <w:color w:val="000000"/>
          <w:kern w:val="21"/>
          <w:sz w:val="32"/>
          <w:szCs w:val="32"/>
        </w:rPr>
        <w:t>二是</w:t>
      </w:r>
      <w:r>
        <w:rPr>
          <w:rFonts w:hint="eastAsia" w:ascii="仿宋_GB2312" w:hAnsi="宋体" w:eastAsia="仿宋_GB2312" w:cs="宋体"/>
          <w:bCs/>
          <w:color w:val="000000"/>
          <w:kern w:val="21"/>
          <w:sz w:val="32"/>
          <w:szCs w:val="32"/>
        </w:rPr>
        <w:t>纵深推进京津冀协同发展，举办京津冀协同发展成效展，全方位展示协同发展成效；召开通州区与北三县一体化高质量发展示范区项目推介洽谈会，签约项目80个，意向投资额331亿元；形成疏解整治促提升专项行动进展情况分析报告数量10份、区域协调领域分析报告4份、打造新时代首都城市复兴新地标工作专刊4期，举办小城镇健康发展等宣传活动12次。</w:t>
      </w:r>
      <w:r>
        <w:rPr>
          <w:rFonts w:hint="eastAsia" w:ascii="仿宋_GB2312" w:hAnsi="宋体" w:eastAsia="仿宋_GB2312" w:cs="宋体"/>
          <w:b/>
          <w:color w:val="000000"/>
          <w:kern w:val="21"/>
          <w:sz w:val="32"/>
          <w:szCs w:val="32"/>
        </w:rPr>
        <w:t>三是</w:t>
      </w:r>
      <w:r>
        <w:rPr>
          <w:rFonts w:hint="eastAsia" w:ascii="仿宋_GB2312" w:hAnsi="宋体" w:eastAsia="仿宋_GB2312" w:cs="宋体"/>
          <w:bCs/>
          <w:color w:val="000000"/>
          <w:kern w:val="21"/>
          <w:sz w:val="32"/>
          <w:szCs w:val="32"/>
        </w:rPr>
        <w:t>持续优化营商环境，形成2024年优化营商环境改革工作要点，包括253项改革任务；组织开展营商环境专家研讨会21场；完成北京市重点领域营商环境监测分析8期；完成企业参与“一带一路”相关宣传报道12期。</w:t>
      </w:r>
      <w:r>
        <w:rPr>
          <w:rFonts w:hint="eastAsia" w:ascii="仿宋_GB2312" w:hAnsi="宋体" w:eastAsia="仿宋_GB2312" w:cs="宋体"/>
          <w:b/>
          <w:color w:val="000000"/>
          <w:kern w:val="21"/>
          <w:sz w:val="32"/>
          <w:szCs w:val="32"/>
        </w:rPr>
        <w:t>四是</w:t>
      </w:r>
      <w:r>
        <w:rPr>
          <w:rFonts w:hint="eastAsia" w:ascii="仿宋_GB2312" w:hAnsi="宋体" w:eastAsia="仿宋_GB2312" w:cs="宋体"/>
          <w:bCs/>
          <w:color w:val="000000"/>
          <w:kern w:val="21"/>
          <w:sz w:val="32"/>
          <w:szCs w:val="32"/>
        </w:rPr>
        <w:t>以节能环保理念推动可持续发展，发布《北京市绿色低碳先进技术推荐目录（2024年版）》，推荐52项技术，组织实施一批绿色低碳先进技术示范工程；举办以“绿色转型 节能攻坚”为主题的一系列宣传活动、小旧家电试点活动等；</w:t>
      </w:r>
      <w:r>
        <w:rPr>
          <w:rFonts w:hint="eastAsia" w:ascii="仿宋_GB2312" w:hAnsi="宋体" w:eastAsia="仿宋_GB2312" w:cs="宋体"/>
          <w:color w:val="000000"/>
          <w:kern w:val="21"/>
          <w:sz w:val="32"/>
          <w:szCs w:val="32"/>
        </w:rPr>
        <w:t>持续推进清洁</w:t>
      </w:r>
      <w:r>
        <w:rPr>
          <w:rFonts w:ascii="仿宋_GB2312" w:hAnsi="宋体" w:eastAsia="仿宋_GB2312" w:cs="宋体"/>
          <w:color w:val="000000"/>
          <w:kern w:val="21"/>
          <w:sz w:val="32"/>
          <w:szCs w:val="32"/>
        </w:rPr>
        <w:t>生产</w:t>
      </w:r>
      <w:r>
        <w:rPr>
          <w:rFonts w:hint="eastAsia" w:ascii="仿宋_GB2312" w:hAnsi="宋体" w:eastAsia="仿宋_GB2312" w:cs="宋体"/>
          <w:color w:val="000000"/>
          <w:kern w:val="21"/>
          <w:sz w:val="32"/>
          <w:szCs w:val="32"/>
        </w:rPr>
        <w:t>审核、</w:t>
      </w:r>
      <w:r>
        <w:rPr>
          <w:rFonts w:ascii="仿宋_GB2312" w:hAnsi="宋体" w:eastAsia="仿宋_GB2312" w:cs="宋体"/>
          <w:color w:val="000000"/>
          <w:kern w:val="21"/>
          <w:sz w:val="32"/>
          <w:szCs w:val="32"/>
        </w:rPr>
        <w:t>分布式光伏发电</w:t>
      </w:r>
      <w:r>
        <w:rPr>
          <w:rFonts w:hint="eastAsia" w:ascii="仿宋_GB2312" w:hAnsi="宋体" w:eastAsia="仿宋_GB2312" w:cs="宋体"/>
          <w:color w:val="000000"/>
          <w:kern w:val="21"/>
          <w:sz w:val="32"/>
          <w:szCs w:val="32"/>
        </w:rPr>
        <w:t>、节能和循环经济标准编制、永定河综合治理与生态修复等工作。</w:t>
      </w:r>
      <w:r>
        <w:rPr>
          <w:rFonts w:hint="eastAsia" w:ascii="仿宋_GB2312" w:hAnsi="宋体" w:eastAsia="仿宋_GB2312" w:cs="宋体"/>
          <w:b/>
          <w:bCs/>
          <w:color w:val="000000"/>
          <w:kern w:val="21"/>
          <w:sz w:val="32"/>
          <w:szCs w:val="32"/>
        </w:rPr>
        <w:t>五是</w:t>
      </w:r>
      <w:r>
        <w:rPr>
          <w:rFonts w:hint="eastAsia" w:ascii="仿宋_GB2312" w:hAnsi="宋体" w:eastAsia="仿宋_GB2312" w:cs="宋体"/>
          <w:color w:val="000000"/>
          <w:kern w:val="21"/>
          <w:sz w:val="32"/>
          <w:szCs w:val="32"/>
        </w:rPr>
        <w:t>做好价格管理工作，形成政策评估、成本监审调查、价格走势分析等价格领域报告30份；发布国内外重要商品和服务价格动态信息365期、报送生活必需品、劳动力市场、房地产市场、生猪屠宰及养殖企业等价格监测数据3170条。年初</w:t>
      </w:r>
      <w:r>
        <w:rPr>
          <w:rFonts w:ascii="仿宋_GB2312" w:hAnsi="宋体" w:eastAsia="仿宋_GB2312" w:cs="宋体"/>
          <w:color w:val="000000"/>
          <w:kern w:val="21"/>
          <w:sz w:val="32"/>
          <w:szCs w:val="32"/>
        </w:rPr>
        <w:t>设定的</w:t>
      </w:r>
      <w:r>
        <w:rPr>
          <w:rFonts w:hint="eastAsia" w:ascii="仿宋_GB2312" w:hAnsi="宋体" w:eastAsia="仿宋_GB2312" w:cs="宋体"/>
          <w:color w:val="000000"/>
          <w:kern w:val="21"/>
          <w:sz w:val="32"/>
          <w:szCs w:val="32"/>
        </w:rPr>
        <w:t>43项</w:t>
      </w:r>
      <w:r>
        <w:rPr>
          <w:rFonts w:ascii="仿宋_GB2312" w:hAnsi="宋体" w:eastAsia="仿宋_GB2312" w:cs="宋体"/>
          <w:color w:val="000000"/>
          <w:kern w:val="21"/>
          <w:sz w:val="32"/>
          <w:szCs w:val="32"/>
        </w:rPr>
        <w:t>产出数量</w:t>
      </w:r>
      <w:r>
        <w:rPr>
          <w:rFonts w:hint="eastAsia" w:ascii="仿宋_GB2312" w:hAnsi="宋体" w:eastAsia="仿宋_GB2312" w:cs="宋体"/>
          <w:color w:val="000000"/>
          <w:kern w:val="21"/>
          <w:sz w:val="32"/>
          <w:szCs w:val="32"/>
        </w:rPr>
        <w:t>指标</w:t>
      </w:r>
      <w:r>
        <w:rPr>
          <w:rFonts w:ascii="仿宋_GB2312" w:hAnsi="宋体" w:eastAsia="仿宋_GB2312" w:cs="宋体"/>
          <w:color w:val="000000"/>
          <w:kern w:val="21"/>
          <w:sz w:val="32"/>
          <w:szCs w:val="32"/>
        </w:rPr>
        <w:t>均已完成。具体情况如下</w:t>
      </w:r>
      <w:r>
        <w:rPr>
          <w:rFonts w:hint="eastAsia" w:ascii="仿宋_GB2312" w:hAnsi="宋体" w:eastAsia="仿宋_GB2312" w:cs="宋体"/>
          <w:color w:val="000000"/>
          <w:kern w:val="21"/>
          <w:sz w:val="32"/>
          <w:szCs w:val="32"/>
        </w:rPr>
        <w:t>：</w:t>
      </w:r>
    </w:p>
    <w:p>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sectPr>
          <w:pgSz w:w="11906" w:h="16838"/>
          <w:pgMar w:top="1440" w:right="1800" w:bottom="1440" w:left="1800" w:header="851" w:footer="992" w:gutter="0"/>
          <w:pgNumType w:fmt="numberInDash"/>
          <w:cols w:space="425" w:num="1"/>
          <w:docGrid w:type="lines" w:linePitch="312" w:charSpace="0"/>
        </w:sectPr>
      </w:pPr>
    </w:p>
    <w:tbl>
      <w:tblPr>
        <w:tblStyle w:val="9"/>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5669"/>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5669"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c>
          <w:tcPr>
            <w:tcW w:w="7087" w:type="dxa"/>
            <w:shd w:val="clear" w:color="auto" w:fill="D8D8D8" w:themeFill="background1" w:themeFillShade="D9"/>
            <w:vAlign w:val="center"/>
          </w:tcPr>
          <w:p>
            <w:pPr>
              <w:widowControl/>
              <w:jc w:val="center"/>
              <w:textAlignment w:val="center"/>
              <w:rPr>
                <w:rFonts w:ascii="仿宋_GB2312" w:hAnsi="宋体" w:eastAsia="仿宋_GB2312" w:cs="仿宋_GB2312"/>
                <w:b/>
                <w:bCs/>
                <w:color w:val="000000"/>
                <w:kern w:val="0"/>
                <w:szCs w:val="21"/>
                <w:lang w:bidi="ar"/>
              </w:rPr>
            </w:pPr>
            <w:r>
              <w:rPr>
                <w:rFonts w:hint="eastAsia" w:ascii="仿宋_GB2312" w:hAnsi="宋体" w:eastAsia="仿宋_GB2312" w:cs="仿宋_GB2312"/>
                <w:b/>
                <w:bCs/>
                <w:color w:val="000000"/>
                <w:kern w:val="0"/>
                <w:szCs w:val="21"/>
                <w:lang w:bidi="ar"/>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restart"/>
            <w:vAlign w:val="center"/>
          </w:tcPr>
          <w:p>
            <w:pPr>
              <w:spacing w:line="240" w:lineRule="exact"/>
              <w:jc w:val="center"/>
              <w:rPr>
                <w:rFonts w:ascii="仿宋_GB2312" w:eastAsia="仿宋_GB2312"/>
                <w:szCs w:val="21"/>
              </w:rPr>
            </w:pPr>
            <w:r>
              <w:rPr>
                <w:rFonts w:hint="eastAsia" w:ascii="仿宋_GB2312" w:eastAsia="仿宋_GB2312"/>
                <w:szCs w:val="21"/>
              </w:rPr>
              <w:t>数量指标</w:t>
            </w: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参加“十五五”规划编制工作培训人次≥70个</w:t>
            </w:r>
          </w:p>
        </w:tc>
        <w:tc>
          <w:tcPr>
            <w:tcW w:w="7087"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召开本市“十五五”规划编制工作启动会，对规划编制工作作出部署安排，参会人次超过70个。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形成前期课题研究报告数量≥50份</w:t>
            </w:r>
          </w:p>
        </w:tc>
        <w:tc>
          <w:tcPr>
            <w:tcW w:w="7087"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组织推进“十五五”前期课题，已研究形成开题报告、初步成果等报告超过50份。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形成市区“十五五”规划编制工作方案≥17个</w:t>
            </w:r>
          </w:p>
        </w:tc>
        <w:tc>
          <w:tcPr>
            <w:tcW w:w="7087"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已编制形成“十五五”规划编制工作方案17份。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召开市委财经委会议≥3次</w:t>
            </w:r>
          </w:p>
        </w:tc>
        <w:tc>
          <w:tcPr>
            <w:tcW w:w="7087"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召开市委财经委会议4次。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经济形势分析专题报告数量≥4篇</w:t>
            </w:r>
          </w:p>
        </w:tc>
        <w:tc>
          <w:tcPr>
            <w:tcW w:w="7087"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形成季度经济形势分析专题报告4篇。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形成财政金融形势分析、重点领域研究报告数量≥7篇</w:t>
            </w:r>
          </w:p>
        </w:tc>
        <w:tc>
          <w:tcPr>
            <w:tcW w:w="7087"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形成财政金融形势分析、重点领域研究报告15篇。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投资领域专项评估评价报告数量≥2份</w:t>
            </w:r>
          </w:p>
        </w:tc>
        <w:tc>
          <w:tcPr>
            <w:tcW w:w="7087"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形成投资领域专项评估评价报告10份。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政府固定资产投资绩效评价项目数量≥500个</w:t>
            </w:r>
          </w:p>
        </w:tc>
        <w:tc>
          <w:tcPr>
            <w:tcW w:w="7087"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完成736个项目政府固定资产投资绩效评价。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政府固定资产投资招投标检查项目数量≥20个</w:t>
            </w:r>
          </w:p>
        </w:tc>
        <w:tc>
          <w:tcPr>
            <w:tcW w:w="7087"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完成147个项目政府固定资产投资招投标检查。</w:t>
            </w:r>
          </w:p>
        </w:tc>
      </w:tr>
    </w:tbl>
    <w:p>
      <w:pPr>
        <w:pStyle w:val="2"/>
        <w:spacing w:line="240" w:lineRule="exact"/>
        <w:jc w:val="right"/>
        <w:rPr>
          <w:sz w:val="21"/>
          <w:szCs w:val="21"/>
        </w:rPr>
      </w:pPr>
      <w:r>
        <w:rPr>
          <w:rFonts w:hint="eastAsia" w:asciiTheme="minorEastAsia" w:hAnsiTheme="minorEastAsia" w:eastAsiaTheme="minorEastAsia"/>
          <w:sz w:val="21"/>
          <w:szCs w:val="21"/>
        </w:rPr>
        <w:t>（接下页）</w:t>
      </w:r>
      <w:r>
        <w:br w:type="page"/>
      </w:r>
    </w:p>
    <w:p>
      <w:pPr>
        <w:spacing w:line="240" w:lineRule="exact"/>
      </w:pPr>
      <w:r>
        <w:rPr>
          <w:rFonts w:hint="eastAsia"/>
        </w:rPr>
        <w:t>（续上页）</w:t>
      </w:r>
    </w:p>
    <w:tbl>
      <w:tblPr>
        <w:tblStyle w:val="9"/>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5669"/>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5669"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c>
          <w:tcPr>
            <w:tcW w:w="708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1417" w:type="dxa"/>
            <w:vMerge w:val="restart"/>
            <w:vAlign w:val="center"/>
          </w:tcPr>
          <w:p>
            <w:pPr>
              <w:spacing w:line="240" w:lineRule="exact"/>
              <w:jc w:val="center"/>
              <w:rPr>
                <w:rFonts w:ascii="仿宋_GB2312" w:eastAsia="仿宋_GB2312"/>
                <w:szCs w:val="21"/>
              </w:rPr>
            </w:pPr>
            <w:r>
              <w:rPr>
                <w:rFonts w:hint="eastAsia" w:ascii="仿宋_GB2312" w:eastAsia="仿宋_GB2312"/>
                <w:szCs w:val="21"/>
              </w:rPr>
              <w:t>数量指标</w:t>
            </w: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举办京津冀协同发展成效展、京津冀相关推介洽谈会＝2场次</w:t>
            </w:r>
          </w:p>
        </w:tc>
        <w:tc>
          <w:tcPr>
            <w:tcW w:w="7087"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举办京津冀协同发展成效展、京津冀相关推介洽谈会2场次：2024年4月在中关村国家自主创新示范区展示中心常设展设立“京津冀协同发展这十年”展区，全方位展示协同发展成效。</w:t>
            </w:r>
          </w:p>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2024年9月26日召开通州区与北三县一体化高质量发展示范区项目推介洽谈会，签约项目80个，意向投资额331亿元。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京津冀规划政策相关工作报告≥2份</w:t>
            </w:r>
          </w:p>
        </w:tc>
        <w:tc>
          <w:tcPr>
            <w:tcW w:w="7087" w:type="dxa"/>
            <w:vAlign w:val="center"/>
          </w:tcPr>
          <w:p>
            <w:pPr>
              <w:widowControl/>
              <w:jc w:val="left"/>
              <w:textAlignment w:val="center"/>
              <w:rPr>
                <w:rFonts w:hint="eastAsia" w:ascii="仿宋_GB2312" w:hAnsi="仿宋_GB2312" w:eastAsia="仿宋_GB2312" w:cs="仿宋_GB2312"/>
                <w:color w:val="000000"/>
                <w:kern w:val="0"/>
                <w:szCs w:val="21"/>
                <w:lang w:eastAsia="zh-CN" w:bidi="ar"/>
              </w:rPr>
            </w:pPr>
            <w:r>
              <w:rPr>
                <w:rFonts w:hint="eastAsia" w:ascii="仿宋_GB2312" w:hAnsi="宋体" w:eastAsia="仿宋_GB2312" w:cs="仿宋_GB2312"/>
                <w:color w:val="000000"/>
                <w:kern w:val="0"/>
                <w:szCs w:val="21"/>
                <w:lang w:bidi="ar"/>
              </w:rPr>
              <w:t>京津冀规划政策相关工作报告2 份，加强京津冀协同发展有关政策执行跟踪，形成年度分析报告。加强规划实施跟踪监测，形成京津冀协同发展规划实施相关报告</w:t>
            </w:r>
            <w:r>
              <w:rPr>
                <w:rFonts w:hint="eastAsia" w:ascii="仿宋_GB2312" w:hAnsi="宋体" w:eastAsia="仿宋_GB2312" w:cs="仿宋_GB2312"/>
                <w:color w:val="000000"/>
                <w:kern w:val="0"/>
                <w:szCs w:val="21"/>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编制完成北京市推进京津冀协同发展2024年重点任务察访核验年度总台账＝1份</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编制完成北京市推进京津冀协同发展2024年重点任务察访核验年度台账。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疏解整治促提升专项行动进展情况分析报告数量≥10份</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完成疏解整治促提升专项行动进展情况分析报告数量10份。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举办小城镇健康发展等宣传活动次数≥3次</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举办小城镇健康发展等宣传活动12次。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分析区域协调领域报告数量≥4份</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形成区域协调领域分析报告4份。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打造新时代首都城市复兴新地标工作专刊≥4期/年</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形成打造新时代首都城市复兴新地标工作专刊4期。</w:t>
            </w:r>
          </w:p>
        </w:tc>
      </w:tr>
    </w:tbl>
    <w:p>
      <w:pPr>
        <w:jc w:val="right"/>
      </w:pPr>
      <w:r>
        <w:rPr>
          <w:rFonts w:hint="eastAsia" w:asciiTheme="minorEastAsia" w:hAnsiTheme="minorEastAsia" w:eastAsiaTheme="minorEastAsia"/>
          <w:szCs w:val="21"/>
        </w:rPr>
        <w:t>（接下页）</w:t>
      </w:r>
      <w:r>
        <w:rPr>
          <w:rFonts w:hint="eastAsia" w:asciiTheme="minorEastAsia" w:hAnsiTheme="minorEastAsia" w:eastAsiaTheme="minorEastAsia"/>
          <w:szCs w:val="21"/>
        </w:rPr>
        <w:br w:type="page"/>
      </w:r>
    </w:p>
    <w:p>
      <w:pPr>
        <w:spacing w:line="240" w:lineRule="exact"/>
      </w:pPr>
      <w:r>
        <w:rPr>
          <w:rFonts w:hint="eastAsia"/>
        </w:rPr>
        <w:t>（续上页）</w:t>
      </w:r>
    </w:p>
    <w:tbl>
      <w:tblPr>
        <w:tblStyle w:val="9"/>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5669"/>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5669"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c>
          <w:tcPr>
            <w:tcW w:w="708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restart"/>
            <w:vAlign w:val="center"/>
          </w:tcPr>
          <w:p>
            <w:pPr>
              <w:spacing w:line="240" w:lineRule="exact"/>
              <w:jc w:val="center"/>
              <w:rPr>
                <w:rFonts w:ascii="仿宋_GB2312" w:eastAsia="仿宋_GB2312"/>
                <w:szCs w:val="21"/>
              </w:rPr>
            </w:pPr>
            <w:r>
              <w:rPr>
                <w:rFonts w:hint="eastAsia" w:ascii="仿宋_GB2312" w:eastAsia="仿宋_GB2312"/>
                <w:szCs w:val="21"/>
              </w:rPr>
              <w:t>数量指标</w:t>
            </w: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研提营商环境方面的改革意见建议数量≥30个</w:t>
            </w:r>
          </w:p>
        </w:tc>
        <w:tc>
          <w:tcPr>
            <w:tcW w:w="7087"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形成2024年优化营商环境改革工作要点，包括253项改革任务。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组织开展营商环境专家研讨会≥15场</w:t>
            </w:r>
          </w:p>
        </w:tc>
        <w:tc>
          <w:tcPr>
            <w:tcW w:w="7087"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组织开展营商环境专家研讨会21场。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北京市重点领域营商环境监测分析≥8份</w:t>
            </w:r>
          </w:p>
        </w:tc>
        <w:tc>
          <w:tcPr>
            <w:tcW w:w="7087"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完成北京市重点领域营商环境监测分析8期。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企业参与“一带一路”相关宣传报道数量≥12期</w:t>
            </w:r>
          </w:p>
        </w:tc>
        <w:tc>
          <w:tcPr>
            <w:tcW w:w="7087"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完成企业参与“一带一路”相关宣传报道12期。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征集发布绿色技术数量、应用场景数量≥10个</w:t>
            </w:r>
          </w:p>
        </w:tc>
        <w:tc>
          <w:tcPr>
            <w:tcW w:w="7087"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发布《北京市绿色低碳先进技术推荐目录（2024年版）》，推荐52项技术。组织实施一批绿色低碳先进技术示范工程，形成本市绿色低碳先进技术项目库，并择优向国家有关部门推荐。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北京市节能宣传周活动线上线下宣传活动次数≥15 次</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以“绿色转型 节能攻坚”为主题，组织开展了“节能宣传周启动仪式暨‘电’亮零碳未来”“绿色发展及碳达峰碳中和主题宣讲”等一系列活动，</w:t>
            </w:r>
            <w:r>
              <w:rPr>
                <w:rFonts w:hint="eastAsia" w:ascii="仿宋_GB2312" w:hAnsi="宋体" w:eastAsia="仿宋_GB2312" w:cs="仿宋_GB2312"/>
                <w:color w:val="000000"/>
                <w:kern w:val="0"/>
                <w:szCs w:val="21"/>
                <w:lang w:eastAsia="zh-CN" w:bidi="ar"/>
              </w:rPr>
              <w:t>活动场次超</w:t>
            </w:r>
            <w:r>
              <w:rPr>
                <w:rFonts w:hint="eastAsia" w:ascii="仿宋_GB2312" w:hAnsi="宋体" w:eastAsia="仿宋_GB2312" w:cs="仿宋_GB2312"/>
                <w:color w:val="000000"/>
                <w:kern w:val="0"/>
                <w:szCs w:val="21"/>
                <w:lang w:val="en-US" w:eastAsia="zh-CN" w:bidi="ar"/>
              </w:rPr>
              <w:t>15</w:t>
            </w:r>
            <w:r>
              <w:rPr>
                <w:rFonts w:hint="eastAsia" w:ascii="仿宋_GB2312" w:hAnsi="宋体" w:eastAsia="仿宋_GB2312" w:cs="仿宋_GB2312"/>
                <w:color w:val="000000"/>
                <w:kern w:val="0"/>
                <w:szCs w:val="21"/>
                <w:lang w:eastAsia="zh-CN" w:bidi="ar"/>
              </w:rPr>
              <w:t>次</w:t>
            </w:r>
            <w:r>
              <w:rPr>
                <w:rFonts w:hint="eastAsia" w:ascii="仿宋_GB2312" w:hAnsi="宋体" w:eastAsia="仿宋_GB2312" w:cs="仿宋_GB2312"/>
                <w:color w:val="000000"/>
                <w:kern w:val="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“小旧家电回收日”试点活动场数≥60场次</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完成小旧家电试点活动60场。</w:t>
            </w:r>
          </w:p>
        </w:tc>
      </w:tr>
    </w:tbl>
    <w:p>
      <w:pPr>
        <w:widowControl/>
        <w:jc w:val="right"/>
      </w:pPr>
      <w:r>
        <w:rPr>
          <w:rFonts w:hint="eastAsia"/>
        </w:rPr>
        <w:t>（接下页）</w:t>
      </w:r>
      <w:r>
        <w:br w:type="page"/>
      </w:r>
    </w:p>
    <w:p>
      <w:pPr>
        <w:spacing w:line="240" w:lineRule="exact"/>
      </w:pPr>
      <w:r>
        <w:rPr>
          <w:rFonts w:hint="eastAsia"/>
        </w:rPr>
        <w:t>（续上页）</w:t>
      </w:r>
    </w:p>
    <w:tbl>
      <w:tblPr>
        <w:tblStyle w:val="9"/>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5669"/>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5669"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c>
          <w:tcPr>
            <w:tcW w:w="708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restart"/>
            <w:vAlign w:val="center"/>
          </w:tcPr>
          <w:p>
            <w:pPr>
              <w:spacing w:line="240" w:lineRule="exact"/>
              <w:jc w:val="center"/>
              <w:rPr>
                <w:rFonts w:ascii="仿宋_GB2312" w:eastAsia="仿宋_GB2312"/>
                <w:szCs w:val="21"/>
              </w:rPr>
            </w:pPr>
            <w:r>
              <w:rPr>
                <w:rFonts w:hint="eastAsia" w:ascii="仿宋_GB2312" w:eastAsia="仿宋_GB2312"/>
                <w:szCs w:val="21"/>
              </w:rPr>
              <w:t>数量指标</w:t>
            </w: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光伏资金拨付至自然人数量、拨付至法人单位数量≥22800个</w:t>
            </w:r>
          </w:p>
        </w:tc>
        <w:tc>
          <w:tcPr>
            <w:tcW w:w="7087"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全年2次累计拨付自然人、法人单位项目数量36360个。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清洁生产审核单位数量≥60家</w:t>
            </w:r>
          </w:p>
        </w:tc>
        <w:tc>
          <w:tcPr>
            <w:tcW w:w="7087"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清洁生产审核单位数量64家。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新增编制的节能和循环经济标准数量≥17个</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全年完成了17个标准编制工作。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实施现场节能监察单位数量≥60家</w:t>
            </w:r>
          </w:p>
        </w:tc>
        <w:tc>
          <w:tcPr>
            <w:tcW w:w="7087"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对62家单位实施</w:t>
            </w:r>
            <w:r>
              <w:rPr>
                <w:rFonts w:ascii="仿宋_GB2312" w:hAnsi="宋体" w:eastAsia="仿宋_GB2312" w:cs="仿宋_GB2312"/>
                <w:color w:val="000000"/>
                <w:kern w:val="0"/>
                <w:szCs w:val="21"/>
                <w:lang w:bidi="ar"/>
              </w:rPr>
              <w:t>了</w:t>
            </w:r>
            <w:r>
              <w:rPr>
                <w:rFonts w:hint="eastAsia" w:ascii="仿宋_GB2312" w:hAnsi="宋体" w:eastAsia="仿宋_GB2312" w:cs="仿宋_GB2312"/>
                <w:color w:val="000000"/>
                <w:kern w:val="0"/>
                <w:szCs w:val="21"/>
                <w:lang w:bidi="ar"/>
              </w:rPr>
              <w:t>现场节能监察。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形成能源领域综合研究报告份数＝2份</w:t>
            </w:r>
          </w:p>
        </w:tc>
        <w:tc>
          <w:tcPr>
            <w:tcW w:w="7087"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形成能源领域综合研究报告5份。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形成《北京能源发展报告（2024）》年度专题报告＝1本</w:t>
            </w:r>
          </w:p>
        </w:tc>
        <w:tc>
          <w:tcPr>
            <w:tcW w:w="7087"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已形成《北京能源发展报告（2024）》年度专题报告1本，发放政府各级能源管理部门、相关企事业单位等，提供能源政策、数据参考。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永定河综合治理与生态修复专项评估报告≥10套</w:t>
            </w:r>
          </w:p>
        </w:tc>
        <w:tc>
          <w:tcPr>
            <w:tcW w:w="7087" w:type="dxa"/>
            <w:vAlign w:val="center"/>
          </w:tcPr>
          <w:p>
            <w:pPr>
              <w:widowControl/>
              <w:jc w:val="left"/>
              <w:textAlignment w:val="center"/>
              <w:rPr>
                <w:rFonts w:ascii="仿宋_GB2312" w:hAnsi="仿宋_GB2312" w:eastAsia="仿宋_GB2312" w:cs="仿宋_GB2312"/>
                <w:szCs w:val="21"/>
              </w:rPr>
            </w:pPr>
            <w:r>
              <w:rPr>
                <w:rFonts w:hint="eastAsia" w:ascii="仿宋_GB2312" w:hAnsi="宋体" w:eastAsia="仿宋_GB2312" w:cs="仿宋_GB2312"/>
                <w:color w:val="000000"/>
                <w:kern w:val="0"/>
                <w:szCs w:val="21"/>
                <w:lang w:bidi="ar"/>
              </w:rPr>
              <w:t>2024年永定河综合治理与生态修复第三方跟踪评估工作主要对官厅水库库滨带生态修复工程，珠窝、落坡岭水库水毁修复工程，永定河“五湖一线”水毁修复工程等项目进行了跟踪评估，出具专项评估报告18套，保障了项目在前期在策划阶段目标合理，在基本建设程序、工程建设管理方面的合规有序，在资金执行、造价方面规范、合理可控；确保永定河恢复成为“流动的河、绿色的河、清洁的河、安全的河”目标不走样。</w:t>
            </w:r>
          </w:p>
        </w:tc>
      </w:tr>
    </w:tbl>
    <w:p>
      <w:pPr>
        <w:jc w:val="right"/>
      </w:pPr>
      <w:r>
        <w:rPr>
          <w:rFonts w:hint="eastAsia"/>
        </w:rPr>
        <w:t>（接下页）</w:t>
      </w:r>
      <w:r>
        <w:rPr>
          <w:rFonts w:hint="eastAsia"/>
        </w:rPr>
        <w:br w:type="page"/>
      </w:r>
    </w:p>
    <w:p>
      <w:pPr>
        <w:spacing w:line="240" w:lineRule="exact"/>
      </w:pPr>
      <w:r>
        <w:rPr>
          <w:rFonts w:hint="eastAsia"/>
        </w:rPr>
        <w:t>（续上页）</w:t>
      </w:r>
    </w:p>
    <w:tbl>
      <w:tblPr>
        <w:tblStyle w:val="9"/>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5669"/>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5669"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c>
          <w:tcPr>
            <w:tcW w:w="708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4" w:hRule="atLeast"/>
        </w:trPr>
        <w:tc>
          <w:tcPr>
            <w:tcW w:w="1417" w:type="dxa"/>
            <w:vMerge w:val="restart"/>
            <w:vAlign w:val="center"/>
          </w:tcPr>
          <w:p>
            <w:pPr>
              <w:spacing w:line="240" w:lineRule="exact"/>
              <w:jc w:val="center"/>
              <w:rPr>
                <w:rFonts w:ascii="仿宋_GB2312" w:eastAsia="仿宋_GB2312"/>
                <w:szCs w:val="21"/>
              </w:rPr>
            </w:pPr>
            <w:r>
              <w:rPr>
                <w:rFonts w:hint="eastAsia" w:ascii="仿宋_GB2312" w:eastAsia="仿宋_GB2312"/>
                <w:szCs w:val="21"/>
              </w:rPr>
              <w:t>数量指标</w:t>
            </w: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形成价格政策执行情况、社会稳定风险评估报告份数≥4份</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形成资源能源领域价格评估报告5份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开展公用事业、公益性服务领域收费政策调查评估≥2项</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开展4项公用事业、公益性服务领域收费政策评估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形成全面系统反映监审或者调查成本情况的审核报告数量≥6份</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形成全面系统反映监审或者调查成本情况的审核报告数量9份。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价格走势分析报告数量≥10份</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价格走势分析报告数量12份。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每日通过“北京价格早报”订阅号推送发布国内外重要商品和服务价格动态信息＞360期</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每日通过“北京价格早报”订阅号推送发布国内外重要商品和服务价格动态信息365期。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向国家价格监测中心报送生活必需品、劳动力市场、房地产市场、生猪屠宰及养殖企业等价格监测数据＞2500条</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向国家价格监测中心报送生活必需品、劳动力市场、房地产市场、生猪屠宰及养殖企业等价格监测数据3170条。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价格认定领域涉案、涉纪案件完成数量≥300件</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涉案、涉纪价格认定事项完成数量共4</w:t>
            </w:r>
            <w:r>
              <w:rPr>
                <w:rFonts w:hint="eastAsia" w:ascii="仿宋_GB2312" w:hAnsi="宋体" w:eastAsia="仿宋_GB2312" w:cs="仿宋_GB2312"/>
                <w:color w:val="000000"/>
                <w:kern w:val="0"/>
                <w:szCs w:val="21"/>
                <w:lang w:val="en-US" w:eastAsia="zh-CN" w:bidi="ar"/>
              </w:rPr>
              <w:t>2</w:t>
            </w:r>
            <w:r>
              <w:rPr>
                <w:rFonts w:hint="eastAsia" w:ascii="仿宋_GB2312" w:hAnsi="宋体" w:eastAsia="仿宋_GB2312" w:cs="仿宋_GB2312"/>
                <w:color w:val="000000"/>
                <w:kern w:val="0"/>
                <w:szCs w:val="21"/>
                <w:lang w:bidi="ar"/>
              </w:rPr>
              <w:t>9件。</w:t>
            </w:r>
          </w:p>
        </w:tc>
      </w:tr>
    </w:tbl>
    <w:p>
      <w:pPr>
        <w:jc w:val="right"/>
      </w:pPr>
      <w:r>
        <w:rPr>
          <w:rFonts w:hint="eastAsia"/>
        </w:rPr>
        <w:t>（接下页）</w:t>
      </w:r>
      <w:r>
        <w:rPr>
          <w:rFonts w:hint="eastAsia"/>
        </w:rPr>
        <w:br w:type="page"/>
      </w:r>
    </w:p>
    <w:p>
      <w:pPr>
        <w:spacing w:line="240" w:lineRule="exact"/>
      </w:pPr>
      <w:r>
        <w:rPr>
          <w:rFonts w:hint="eastAsia"/>
        </w:rPr>
        <w:t>（续上页）</w:t>
      </w:r>
    </w:p>
    <w:tbl>
      <w:tblPr>
        <w:tblStyle w:val="9"/>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5669"/>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5669"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c>
          <w:tcPr>
            <w:tcW w:w="708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restart"/>
            <w:vAlign w:val="center"/>
          </w:tcPr>
          <w:p>
            <w:pPr>
              <w:spacing w:line="240" w:lineRule="exact"/>
              <w:jc w:val="center"/>
              <w:rPr>
                <w:rFonts w:ascii="仿宋_GB2312" w:eastAsia="仿宋_GB2312"/>
                <w:szCs w:val="21"/>
              </w:rPr>
            </w:pPr>
            <w:r>
              <w:rPr>
                <w:rFonts w:hint="eastAsia" w:ascii="仿宋_GB2312" w:eastAsia="仿宋_GB2312"/>
                <w:szCs w:val="21"/>
              </w:rPr>
              <w:t>数量指标</w:t>
            </w: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形成高精尖领域的报告份数≥6份</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形成高精尖领域报告8份。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品牌日参展企业数量（线上+线下）≥30家</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推荐线上和线下参展企业达30家。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行政复议、诉讼案件办理数量≥5件</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86件，其中行政诉讼7件，行政复议79件。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集中展示本市经济社会发展成果，重点宣传好落实京津冀协同发展、优化营商环境、区域高质量发展等发展改革中心工作，举办宣传活动次数≥50次/年</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全年举办宣传活动123次。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全市常住人口总量≤2300万人</w:t>
            </w:r>
          </w:p>
        </w:tc>
        <w:tc>
          <w:tcPr>
            <w:tcW w:w="7087" w:type="dxa"/>
            <w:vAlign w:val="center"/>
          </w:tcPr>
          <w:p>
            <w:pPr>
              <w:widowControl/>
              <w:jc w:val="left"/>
              <w:textAlignment w:val="center"/>
              <w:rPr>
                <w:rFonts w:hint="eastAsia" w:ascii="仿宋_GB2312" w:hAnsi="仿宋_GB2312" w:eastAsia="仿宋_GB2312" w:cs="仿宋_GB2312"/>
                <w:color w:val="000000"/>
                <w:kern w:val="0"/>
                <w:szCs w:val="21"/>
                <w:lang w:val="en-US" w:eastAsia="zh-CN" w:bidi="ar"/>
              </w:rPr>
            </w:pPr>
            <w:r>
              <w:rPr>
                <w:rFonts w:hint="default" w:ascii="仿宋_GB2312" w:hAnsi="宋体" w:eastAsia="仿宋_GB2312" w:cs="仿宋_GB2312"/>
                <w:color w:val="000000"/>
                <w:kern w:val="0"/>
                <w:szCs w:val="21"/>
                <w:lang w:val="en-US" w:eastAsia="zh-CN" w:bidi="ar"/>
              </w:rPr>
              <w:t>2024年末，全市常住人口2183.2万人，完成全市常住人口总量控制在2300万人以内目标</w:t>
            </w:r>
            <w:r>
              <w:rPr>
                <w:rFonts w:hint="eastAsia" w:ascii="仿宋_GB2312" w:hAnsi="宋体" w:eastAsia="仿宋_GB2312" w:cs="仿宋_GB2312"/>
                <w:color w:val="000000"/>
                <w:kern w:val="0"/>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1417" w:type="dxa"/>
            <w:vMerge w:val="continue"/>
            <w:vAlign w:val="center"/>
          </w:tcPr>
          <w:p>
            <w:pPr>
              <w:spacing w:line="560" w:lineRule="exact"/>
              <w:jc w:val="center"/>
              <w:rPr>
                <w:rFonts w:ascii="仿宋_GB2312" w:eastAsia="仿宋_GB2312"/>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出版《健康城市蓝皮书：北京健康城市建设研究报告（2024）》、《北京社会发展报告蓝皮书》、《首都现代化蓝皮书》＝3本</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出版完成《健康城市蓝皮书：北京健康城市建设研究报告（2024）》、《2024北京市社会发展报告》、《首都现代化蓝皮书(2024)》各一本。</w:t>
            </w:r>
          </w:p>
        </w:tc>
      </w:tr>
    </w:tbl>
    <w:p>
      <w:pPr>
        <w:sectPr>
          <w:pgSz w:w="16838" w:h="11906" w:orient="landscape"/>
          <w:pgMar w:top="1800" w:right="1440" w:bottom="1800" w:left="1440" w:header="851" w:footer="992" w:gutter="0"/>
          <w:pgNumType w:fmt="numberInDash"/>
          <w:cols w:space="425" w:num="1"/>
          <w:docGrid w:type="lines" w:linePitch="312" w:charSpace="0"/>
        </w:sectPr>
      </w:pPr>
    </w:p>
    <w:p>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2.产出质量</w:t>
      </w:r>
    </w:p>
    <w:p>
      <w:pPr>
        <w:pBdr>
          <w:bottom w:val="single" w:color="FFFFFF" w:sz="4" w:space="31"/>
        </w:pBdr>
        <w:adjustRightInd w:val="0"/>
        <w:snapToGrid w:val="0"/>
        <w:spacing w:line="560" w:lineRule="exact"/>
        <w:ind w:firstLine="643" w:firstLineChars="200"/>
        <w:rPr>
          <w:rFonts w:ascii="仿宋_GB2312" w:hAnsi="宋体" w:eastAsia="仿宋_GB2312" w:cs="宋体"/>
          <w:color w:val="000000"/>
          <w:kern w:val="0"/>
          <w:sz w:val="32"/>
          <w:szCs w:val="32"/>
        </w:rPr>
      </w:pPr>
      <w:r>
        <w:rPr>
          <w:rFonts w:ascii="仿宋_GB2312" w:hAnsi="宋体" w:eastAsia="仿宋_GB2312" w:cs="宋体"/>
          <w:b/>
          <w:color w:val="000000"/>
          <w:kern w:val="0"/>
          <w:sz w:val="32"/>
          <w:szCs w:val="32"/>
        </w:rPr>
        <w:t>一是</w:t>
      </w:r>
      <w:r>
        <w:rPr>
          <w:rFonts w:hint="eastAsia" w:ascii="仿宋_GB2312" w:hAnsi="宋体" w:eastAsia="仿宋_GB2312" w:cs="宋体"/>
          <w:bCs/>
          <w:color w:val="000000"/>
          <w:kern w:val="0"/>
          <w:sz w:val="32"/>
          <w:szCs w:val="32"/>
        </w:rPr>
        <w:t>继续实施疏解整治促提升专项行动，100%完成“疏解整治促提升”年度任务目标。</w:t>
      </w:r>
      <w:r>
        <w:rPr>
          <w:rFonts w:hint="eastAsia" w:ascii="仿宋_GB2312" w:hAnsi="宋体" w:eastAsia="仿宋_GB2312" w:cs="宋体"/>
          <w:b/>
          <w:color w:val="000000"/>
          <w:kern w:val="0"/>
          <w:sz w:val="32"/>
          <w:szCs w:val="32"/>
        </w:rPr>
        <w:t>二是</w:t>
      </w:r>
      <w:r>
        <w:rPr>
          <w:rFonts w:hint="eastAsia" w:ascii="仿宋_GB2312" w:hAnsi="宋体" w:eastAsia="仿宋_GB2312" w:cs="宋体"/>
          <w:bCs/>
          <w:color w:val="000000"/>
          <w:kern w:val="0"/>
          <w:sz w:val="32"/>
          <w:szCs w:val="32"/>
        </w:rPr>
        <w:t>提高市场主体退出的质量和效率，明确45条务实措施，深入推进破产制度改革，完善优胜劣汰市场机制，激发市场主体活力，促进企业重组和出清质量效率不断提升。</w:t>
      </w:r>
      <w:r>
        <w:rPr>
          <w:rFonts w:hint="eastAsia" w:ascii="仿宋_GB2312" w:hAnsi="宋体" w:eastAsia="仿宋_GB2312" w:cs="宋体"/>
          <w:b/>
          <w:color w:val="000000"/>
          <w:kern w:val="0"/>
          <w:sz w:val="32"/>
          <w:szCs w:val="32"/>
        </w:rPr>
        <w:t>三是</w:t>
      </w:r>
      <w:r>
        <w:rPr>
          <w:rFonts w:hint="eastAsia" w:ascii="仿宋_GB2312" w:hAnsi="宋体" w:eastAsia="仿宋_GB2312" w:cs="宋体"/>
          <w:bCs/>
          <w:color w:val="000000"/>
          <w:kern w:val="0"/>
          <w:sz w:val="32"/>
          <w:szCs w:val="32"/>
        </w:rPr>
        <w:t>持续做好价格认定工作，纪检监察机关复查率为零。</w:t>
      </w:r>
      <w:r>
        <w:rPr>
          <w:rFonts w:hint="eastAsia" w:ascii="仿宋_GB2312" w:hAnsi="宋体" w:eastAsia="仿宋_GB2312" w:cs="宋体"/>
          <w:b/>
          <w:color w:val="000000"/>
          <w:kern w:val="0"/>
          <w:sz w:val="32"/>
          <w:szCs w:val="32"/>
        </w:rPr>
        <w:t>四是</w:t>
      </w:r>
      <w:r>
        <w:rPr>
          <w:rFonts w:hint="eastAsia" w:ascii="仿宋_GB2312" w:hAnsi="宋体" w:eastAsia="仿宋_GB2312" w:cs="宋体"/>
          <w:bCs/>
          <w:color w:val="000000"/>
          <w:kern w:val="0"/>
          <w:sz w:val="32"/>
          <w:szCs w:val="32"/>
        </w:rPr>
        <w:t>提升信息化系统运行维护能力和水平，系统正常运行率超过98%。</w:t>
      </w:r>
      <w:r>
        <w:rPr>
          <w:rFonts w:hint="eastAsia" w:ascii="仿宋_GB2312" w:hAnsi="宋体" w:eastAsia="仿宋_GB2312" w:cs="宋体"/>
          <w:color w:val="000000"/>
          <w:kern w:val="0"/>
          <w:sz w:val="32"/>
          <w:szCs w:val="32"/>
        </w:rPr>
        <w:t>年初</w:t>
      </w:r>
      <w:r>
        <w:rPr>
          <w:rFonts w:ascii="仿宋_GB2312" w:hAnsi="宋体" w:eastAsia="仿宋_GB2312" w:cs="宋体"/>
          <w:color w:val="000000"/>
          <w:kern w:val="0"/>
          <w:sz w:val="32"/>
          <w:szCs w:val="32"/>
        </w:rPr>
        <w:t>设定的</w:t>
      </w:r>
      <w:r>
        <w:rPr>
          <w:rFonts w:hint="eastAsia" w:ascii="仿宋_GB2312" w:hAnsi="宋体" w:eastAsia="仿宋_GB2312" w:cs="宋体"/>
          <w:color w:val="000000"/>
          <w:kern w:val="0"/>
          <w:sz w:val="32"/>
          <w:szCs w:val="32"/>
        </w:rPr>
        <w:t>4项</w:t>
      </w:r>
      <w:r>
        <w:rPr>
          <w:rFonts w:ascii="仿宋_GB2312" w:hAnsi="宋体" w:eastAsia="仿宋_GB2312" w:cs="宋体"/>
          <w:color w:val="000000"/>
          <w:kern w:val="0"/>
          <w:sz w:val="32"/>
          <w:szCs w:val="32"/>
        </w:rPr>
        <w:t>产出</w:t>
      </w:r>
      <w:r>
        <w:rPr>
          <w:rFonts w:hint="eastAsia" w:ascii="仿宋_GB2312" w:hAnsi="宋体" w:eastAsia="仿宋_GB2312" w:cs="宋体"/>
          <w:color w:val="000000"/>
          <w:kern w:val="0"/>
          <w:sz w:val="32"/>
          <w:szCs w:val="32"/>
        </w:rPr>
        <w:t>质量指标</w:t>
      </w:r>
      <w:r>
        <w:rPr>
          <w:rFonts w:ascii="仿宋_GB2312" w:hAnsi="宋体" w:eastAsia="仿宋_GB2312" w:cs="宋体"/>
          <w:color w:val="000000"/>
          <w:kern w:val="0"/>
          <w:sz w:val="32"/>
          <w:szCs w:val="32"/>
        </w:rPr>
        <w:t>均已完成。具体情况如下</w:t>
      </w:r>
      <w:r>
        <w:rPr>
          <w:rFonts w:hint="eastAsia" w:ascii="仿宋_GB2312" w:hAnsi="宋体" w:eastAsia="仿宋_GB2312" w:cs="宋体"/>
          <w:color w:val="000000"/>
          <w:kern w:val="0"/>
          <w:sz w:val="32"/>
          <w:szCs w:val="32"/>
        </w:rPr>
        <w:t>：</w:t>
      </w:r>
    </w:p>
    <w:tbl>
      <w:tblPr>
        <w:tblStyle w:val="9"/>
        <w:tblW w:w="85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3402"/>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3402"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c>
          <w:tcPr>
            <w:tcW w:w="3685"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restart"/>
            <w:vAlign w:val="center"/>
          </w:tcPr>
          <w:p>
            <w:pPr>
              <w:spacing w:line="240" w:lineRule="exact"/>
              <w:jc w:val="center"/>
              <w:rPr>
                <w:rFonts w:ascii="仿宋_GB2312" w:eastAsia="仿宋_GB2312"/>
                <w:spacing w:val="-2"/>
                <w:szCs w:val="21"/>
              </w:rPr>
            </w:pPr>
            <w:r>
              <w:rPr>
                <w:rFonts w:hint="eastAsia" w:ascii="仿宋_GB2312" w:eastAsia="仿宋_GB2312"/>
                <w:spacing w:val="-2"/>
                <w:szCs w:val="21"/>
              </w:rPr>
              <w:t>质量指标</w:t>
            </w:r>
          </w:p>
        </w:tc>
        <w:tc>
          <w:tcPr>
            <w:tcW w:w="34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完成“疏解整治促提升”年度任务目标＝100%</w:t>
            </w:r>
          </w:p>
        </w:tc>
        <w:tc>
          <w:tcPr>
            <w:tcW w:w="3685"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100%完成“疏解整治促提升”年度任务目标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8" w:hRule="atLeast"/>
        </w:trPr>
        <w:tc>
          <w:tcPr>
            <w:tcW w:w="1417" w:type="dxa"/>
            <w:vMerge w:val="continue"/>
            <w:vAlign w:val="center"/>
          </w:tcPr>
          <w:p>
            <w:pPr>
              <w:spacing w:line="240" w:lineRule="exact"/>
              <w:jc w:val="center"/>
              <w:rPr>
                <w:rFonts w:ascii="仿宋_GB2312" w:eastAsia="仿宋_GB2312"/>
                <w:spacing w:val="-2"/>
                <w:szCs w:val="21"/>
              </w:rPr>
            </w:pPr>
          </w:p>
        </w:tc>
        <w:tc>
          <w:tcPr>
            <w:tcW w:w="34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提高市场主体退出的质量和效率（定性)</w:t>
            </w:r>
          </w:p>
        </w:tc>
        <w:tc>
          <w:tcPr>
            <w:tcW w:w="3685"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2024年，通过重整、和解程序挽救企业32家，化解债务约970亿元，引入投资约74亿元。中小微企业快速退出，快审案件最短用时31天，比上年压缩12天，仅为案件平均审理用时的1/6。通过简易注销退出经营主体91463户，同比增长47.33%，占全市注销企业65.26%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pacing w:val="-2"/>
                <w:szCs w:val="21"/>
              </w:rPr>
            </w:pPr>
          </w:p>
        </w:tc>
        <w:tc>
          <w:tcPr>
            <w:tcW w:w="34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涉案财产价格认定纪检监察机关复查率≤2%</w:t>
            </w:r>
          </w:p>
        </w:tc>
        <w:tc>
          <w:tcPr>
            <w:tcW w:w="3685"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纪检监察机关复查率为零。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pacing w:val="-2"/>
                <w:szCs w:val="21"/>
              </w:rPr>
            </w:pPr>
          </w:p>
        </w:tc>
        <w:tc>
          <w:tcPr>
            <w:tcW w:w="34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信息化系统正常运行率≥95%</w:t>
            </w:r>
          </w:p>
        </w:tc>
        <w:tc>
          <w:tcPr>
            <w:tcW w:w="3685"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信息化系统正常运行率≥98%</w:t>
            </w:r>
          </w:p>
        </w:tc>
      </w:tr>
    </w:tbl>
    <w:p>
      <w:pPr>
        <w:pStyle w:val="2"/>
        <w:tabs>
          <w:tab w:val="left" w:pos="5097"/>
        </w:tabs>
        <w:spacing w:line="240" w:lineRule="exact"/>
        <w:sectPr>
          <w:pgSz w:w="11906" w:h="16838"/>
          <w:pgMar w:top="1440" w:right="1800" w:bottom="1440" w:left="1800" w:header="851" w:footer="992" w:gutter="0"/>
          <w:pgNumType w:fmt="numberInDash"/>
          <w:cols w:space="425" w:num="1"/>
          <w:docGrid w:type="lines" w:linePitch="312" w:charSpace="0"/>
        </w:sectPr>
      </w:pPr>
    </w:p>
    <w:p>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.产出时效</w:t>
      </w:r>
    </w:p>
    <w:p>
      <w:pPr>
        <w:pBdr>
          <w:bottom w:val="single" w:color="FFFFFF" w:sz="4" w:space="31"/>
        </w:pBd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bCs/>
          <w:sz w:val="32"/>
          <w:szCs w:val="32"/>
        </w:rPr>
        <w:t>一是</w:t>
      </w:r>
      <w:r>
        <w:rPr>
          <w:rFonts w:hint="eastAsia" w:ascii="仿宋_GB2312" w:eastAsia="仿宋_GB2312"/>
          <w:sz w:val="32"/>
          <w:szCs w:val="32"/>
        </w:rPr>
        <w:t>进一步推动北京市光伏发电高质量发展，及时做好分布式奖励资金拨付工作，有效发挥分布式光伏发电清洁、高效，推动能源结构转型的积极作用；</w:t>
      </w:r>
      <w:r>
        <w:rPr>
          <w:rFonts w:hint="eastAsia" w:ascii="仿宋_GB2312" w:eastAsia="仿宋_GB2312"/>
          <w:b/>
          <w:bCs/>
          <w:sz w:val="32"/>
          <w:szCs w:val="32"/>
        </w:rPr>
        <w:t>二是</w:t>
      </w:r>
      <w:r>
        <w:rPr>
          <w:rFonts w:hint="eastAsia" w:ascii="仿宋_GB2312" w:eastAsia="仿宋_GB2312"/>
          <w:sz w:val="32"/>
          <w:szCs w:val="32"/>
        </w:rPr>
        <w:t>依法妥善办理我委行政复议诉讼案件，积极稳妥化解社会矛盾纠纷，行政诉讼案件完成时限不高于15天；</w:t>
      </w:r>
      <w:r>
        <w:rPr>
          <w:rFonts w:hint="eastAsia" w:ascii="仿宋_GB2312" w:eastAsia="仿宋_GB2312"/>
          <w:b/>
          <w:bCs/>
          <w:sz w:val="32"/>
          <w:szCs w:val="32"/>
        </w:rPr>
        <w:t>三是</w:t>
      </w:r>
      <w:r>
        <w:rPr>
          <w:rFonts w:hint="eastAsia" w:ascii="仿宋_GB2312" w:eastAsia="仿宋_GB2312"/>
          <w:sz w:val="32"/>
          <w:szCs w:val="32"/>
        </w:rPr>
        <w:t>持续做好信息化系统运行维护工作，系统平均故障修复响应时间低于2小时。年初设定的3项产出时效指标均已完成。具体情况如下：</w:t>
      </w:r>
    </w:p>
    <w:tbl>
      <w:tblPr>
        <w:tblStyle w:val="9"/>
        <w:tblW w:w="85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3402"/>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3402"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c>
          <w:tcPr>
            <w:tcW w:w="3685"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restart"/>
            <w:vAlign w:val="center"/>
          </w:tcPr>
          <w:p>
            <w:pPr>
              <w:spacing w:line="240" w:lineRule="exact"/>
              <w:jc w:val="center"/>
              <w:rPr>
                <w:rFonts w:ascii="仿宋_GB2312" w:eastAsia="仿宋_GB2312"/>
                <w:spacing w:val="-2"/>
                <w:szCs w:val="21"/>
              </w:rPr>
            </w:pPr>
            <w:r>
              <w:rPr>
                <w:rFonts w:hint="eastAsia" w:ascii="仿宋_GB2312" w:eastAsia="仿宋_GB2312"/>
                <w:spacing w:val="-2"/>
                <w:szCs w:val="21"/>
              </w:rPr>
              <w:t>时效指标</w:t>
            </w:r>
          </w:p>
        </w:tc>
        <w:tc>
          <w:tcPr>
            <w:tcW w:w="34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光伏奖励资金按时拨付期限≤1月</w:t>
            </w:r>
          </w:p>
        </w:tc>
        <w:tc>
          <w:tcPr>
            <w:tcW w:w="3685"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两次光伏奖励资金按期拨付时间≤1月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pacing w:val="-2"/>
                <w:szCs w:val="21"/>
              </w:rPr>
            </w:pPr>
          </w:p>
        </w:tc>
        <w:tc>
          <w:tcPr>
            <w:tcW w:w="34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行政诉讼案件办理时限≤15日</w:t>
            </w:r>
          </w:p>
        </w:tc>
        <w:tc>
          <w:tcPr>
            <w:tcW w:w="3685"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行政诉讼案件完成时限不高于15天，全部胜诉。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pacing w:val="-2"/>
                <w:szCs w:val="21"/>
              </w:rPr>
            </w:pPr>
          </w:p>
        </w:tc>
        <w:tc>
          <w:tcPr>
            <w:tcW w:w="34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平均故障修复响应时间≤4小时</w:t>
            </w:r>
          </w:p>
        </w:tc>
        <w:tc>
          <w:tcPr>
            <w:tcW w:w="3685"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平均故障修复响应时间＜2小时</w:t>
            </w:r>
          </w:p>
        </w:tc>
      </w:tr>
    </w:tbl>
    <w:p>
      <w:pPr>
        <w:pStyle w:val="2"/>
      </w:pPr>
      <w:r>
        <w:br w:type="page"/>
      </w:r>
    </w:p>
    <w:p>
      <w:pPr>
        <w:pBdr>
          <w:bottom w:val="single" w:color="FFFFFF" w:sz="4" w:space="31"/>
        </w:pBdr>
        <w:adjustRightInd w:val="0"/>
        <w:snapToGrid w:val="0"/>
        <w:spacing w:line="560" w:lineRule="exact"/>
        <w:ind w:firstLine="640" w:firstLineChars="20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p>
    <w:p>
      <w:pPr>
        <w:pBdr>
          <w:bottom w:val="single" w:color="FFFFFF" w:sz="4" w:space="31"/>
        </w:pBdr>
        <w:adjustRightInd w:val="0"/>
        <w:snapToGrid w:val="0"/>
        <w:spacing w:line="560" w:lineRule="exact"/>
        <w:ind w:firstLine="643" w:firstLineChars="200"/>
        <w:rPr>
          <w:rFonts w:ascii="仿宋_GB2312" w:eastAsia="仿宋_GB2312"/>
          <w:sz w:val="32"/>
          <w:szCs w:val="32"/>
        </w:rPr>
        <w:sectPr>
          <w:pgSz w:w="11906" w:h="16838"/>
          <w:pgMar w:top="1440" w:right="1800" w:bottom="1440" w:left="1800" w:header="851" w:footer="992" w:gutter="0"/>
          <w:pgNumType w:fmt="numberInDash"/>
          <w:cols w:space="425" w:num="1"/>
          <w:docGrid w:type="lines" w:linePitch="312" w:charSpace="0"/>
        </w:sectPr>
      </w:pPr>
      <w:r>
        <w:rPr>
          <w:rFonts w:hint="eastAsia" w:ascii="仿宋_GB2312" w:eastAsia="仿宋_GB2312"/>
          <w:b/>
          <w:bCs/>
          <w:sz w:val="32"/>
          <w:szCs w:val="32"/>
        </w:rPr>
        <w:t>一是</w:t>
      </w:r>
      <w:r>
        <w:rPr>
          <w:rFonts w:hint="eastAsia" w:ascii="仿宋_GB2312" w:eastAsia="仿宋_GB2312"/>
          <w:sz w:val="32"/>
          <w:szCs w:val="32"/>
        </w:rPr>
        <w:t>推进财政金融工作有序开展，配合推进中关村科创金融改革试验区、“两区”绿色金融等金融领域重点工作落实，协调推进财源建设。推动市场主体融资发展环境优化，持续深化重点项目融资对接，组织2次重点项目融资工作会，推介重点融资需求项目197个，总投资超3500亿元，涉及融资需求1278亿元，实际放款超700亿元。</w:t>
      </w:r>
      <w:r>
        <w:rPr>
          <w:rFonts w:hint="eastAsia" w:ascii="仿宋_GB2312" w:eastAsia="仿宋_GB2312"/>
          <w:b/>
          <w:bCs/>
          <w:sz w:val="32"/>
          <w:szCs w:val="32"/>
        </w:rPr>
        <w:t>二是</w:t>
      </w:r>
      <w:r>
        <w:rPr>
          <w:rFonts w:hint="eastAsia" w:ascii="仿宋_GB2312" w:eastAsia="仿宋_GB2312"/>
          <w:sz w:val="32"/>
          <w:szCs w:val="32"/>
        </w:rPr>
        <w:t>落实好市委财经办各项工作任务，召开市委财经委会议4次，报送《财经专报》30期。</w:t>
      </w:r>
      <w:r>
        <w:rPr>
          <w:rFonts w:hint="eastAsia" w:ascii="仿宋_GB2312" w:eastAsia="仿宋_GB2312"/>
          <w:b/>
          <w:bCs/>
          <w:sz w:val="32"/>
          <w:szCs w:val="32"/>
        </w:rPr>
        <w:t>三是</w:t>
      </w:r>
      <w:r>
        <w:rPr>
          <w:rFonts w:hint="eastAsia" w:ascii="仿宋_GB2312" w:eastAsia="仿宋_GB2312"/>
          <w:sz w:val="32"/>
          <w:szCs w:val="32"/>
        </w:rPr>
        <w:t>促进提升资源的回收和利用效率，有效提升本市资源合理利用能力和循环经济发展水平，间接提升经济效益。</w:t>
      </w:r>
      <w:r>
        <w:rPr>
          <w:rFonts w:hint="eastAsia" w:ascii="仿宋_GB2312" w:eastAsia="仿宋_GB2312"/>
          <w:b/>
          <w:bCs/>
          <w:sz w:val="32"/>
          <w:szCs w:val="32"/>
        </w:rPr>
        <w:t>四是</w:t>
      </w:r>
      <w:r>
        <w:rPr>
          <w:rFonts w:hint="eastAsia" w:ascii="仿宋_GB2312" w:eastAsia="仿宋_GB2312"/>
          <w:sz w:val="32"/>
          <w:szCs w:val="32"/>
        </w:rPr>
        <w:t>做好价格监测预警工作，通过价格数据报送，密切关注市场动态，为宏观调控提供有效支撑。年初</w:t>
      </w:r>
      <w:r>
        <w:rPr>
          <w:rFonts w:ascii="仿宋_GB2312" w:eastAsia="仿宋_GB2312"/>
          <w:sz w:val="32"/>
          <w:szCs w:val="32"/>
        </w:rPr>
        <w:t>设定的</w:t>
      </w:r>
      <w:r>
        <w:rPr>
          <w:rFonts w:hint="eastAsia" w:ascii="仿宋_GB2312" w:eastAsia="仿宋_GB2312"/>
          <w:sz w:val="32"/>
          <w:szCs w:val="32"/>
        </w:rPr>
        <w:t>4项经济效益绩效指标</w:t>
      </w:r>
      <w:r>
        <w:rPr>
          <w:rFonts w:ascii="仿宋_GB2312" w:eastAsia="仿宋_GB2312"/>
          <w:sz w:val="32"/>
          <w:szCs w:val="32"/>
        </w:rPr>
        <w:t>均已完成。具体情况如下</w:t>
      </w:r>
      <w:r>
        <w:rPr>
          <w:rFonts w:hint="eastAsia" w:ascii="仿宋_GB2312" w:eastAsia="仿宋_GB2312"/>
          <w:sz w:val="32"/>
          <w:szCs w:val="32"/>
        </w:rPr>
        <w:t>：</w:t>
      </w:r>
    </w:p>
    <w:tbl>
      <w:tblPr>
        <w:tblStyle w:val="9"/>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5669"/>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5669"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c>
          <w:tcPr>
            <w:tcW w:w="708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1417" w:type="dxa"/>
            <w:vMerge w:val="restart"/>
            <w:vAlign w:val="center"/>
          </w:tcPr>
          <w:p>
            <w:pPr>
              <w:spacing w:line="240" w:lineRule="exact"/>
              <w:jc w:val="center"/>
              <w:rPr>
                <w:rFonts w:ascii="仿宋_GB2312" w:eastAsia="仿宋_GB2312"/>
                <w:spacing w:val="-6"/>
                <w:szCs w:val="21"/>
              </w:rPr>
            </w:pPr>
            <w:r>
              <w:rPr>
                <w:rFonts w:hint="eastAsia" w:ascii="仿宋_GB2312" w:eastAsia="仿宋_GB2312"/>
                <w:spacing w:val="-6"/>
                <w:szCs w:val="21"/>
              </w:rPr>
              <w:t>经济</w:t>
            </w:r>
            <w:r>
              <w:rPr>
                <w:rFonts w:ascii="仿宋_GB2312" w:eastAsia="仿宋_GB2312"/>
                <w:spacing w:val="-6"/>
                <w:szCs w:val="21"/>
              </w:rPr>
              <w:t>效益指标</w:t>
            </w: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推进财政金融相关工作有序开展，推动市场主体融资发展环境优化（定性）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财政金融工作有序开展，加强与财政、金融监管部门沟通，配合推进中关村科创金融改革试验区、“两区”绿色金融等全市金融领域重点工作落实，参与研究起草金融五篇大文章、支持创投高质量发展等政策，协调推进我委财源建设工作。推动市场主体融资发展环境优化，持续深化重点项目融资对接，2024年累计组织两次重点项目融资工作会，推介重点融资需求项目197个，总投资超3500亿元，涉及融资需求1278亿元，实际放款超700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pacing w:val="-6"/>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报送推进落实市委财经办各项工作任务，筹办好市委财经委会议，组织编发《财经专报》（定性）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优，落实好市委财经办各项工作任务，召开市委财经委会议4次，报送《财经专报》30期。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pacing w:val="-6"/>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资源得到合理使用和循环利用，企事业单位和全社会的能源资源经济成本得到间接降低（定性）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优，形成了9项工作成果报告，进一步促进提升资源的回收和利用效率，有效提升本市资源合理利用能力和循环经济发展水平，间接提升经济效益。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pacing w:val="-6"/>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密切关注市场动态，及时报告市场动态，加强价格监测预警，为宏观调控提供有效支撑（定性）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优，通过价格数据报送，密切关注市场动态，加强价格监测预警，为宏观调控提供有效支撑。</w:t>
            </w:r>
          </w:p>
        </w:tc>
      </w:tr>
    </w:tbl>
    <w:p>
      <w:pPr>
        <w:pStyle w:val="2"/>
        <w:spacing w:line="240" w:lineRule="exact"/>
        <w:jc w:val="right"/>
        <w:rPr>
          <w:rFonts w:ascii="仿宋_GB2312" w:hAnsi="宋体" w:cs="宋体"/>
          <w:color w:val="000000"/>
          <w:kern w:val="0"/>
          <w:szCs w:val="32"/>
        </w:rPr>
        <w:sectPr>
          <w:pgSz w:w="16838" w:h="11906" w:orient="landscape"/>
          <w:pgMar w:top="1800" w:right="1440" w:bottom="1800" w:left="1440" w:header="851" w:footer="992" w:gutter="0"/>
          <w:pgNumType w:fmt="numberInDash"/>
          <w:cols w:space="425" w:num="1"/>
          <w:docGrid w:type="lines" w:linePitch="312" w:charSpace="0"/>
        </w:sectPr>
      </w:pPr>
      <w:r>
        <w:rPr>
          <w:sz w:val="21"/>
          <w:szCs w:val="21"/>
        </w:rPr>
        <w:br w:type="page"/>
      </w:r>
    </w:p>
    <w:p>
      <w:pPr>
        <w:pBdr>
          <w:bottom w:val="single" w:color="FFFFFF" w:sz="4" w:space="31"/>
        </w:pBdr>
        <w:adjustRightInd w:val="0"/>
        <w:snapToGrid w:val="0"/>
        <w:spacing w:line="55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2.社会</w:t>
      </w:r>
      <w:r>
        <w:rPr>
          <w:rFonts w:ascii="仿宋_GB2312" w:hAnsi="宋体" w:eastAsia="仿宋_GB2312" w:cs="宋体"/>
          <w:color w:val="000000"/>
          <w:kern w:val="0"/>
          <w:sz w:val="32"/>
          <w:szCs w:val="32"/>
        </w:rPr>
        <w:t>效益</w:t>
      </w:r>
    </w:p>
    <w:p>
      <w:pPr>
        <w:pBdr>
          <w:bottom w:val="single" w:color="FFFFFF" w:sz="4" w:space="31"/>
        </w:pBdr>
        <w:adjustRightInd w:val="0"/>
        <w:snapToGrid w:val="0"/>
        <w:spacing w:line="550" w:lineRule="exact"/>
        <w:ind w:firstLine="643" w:firstLineChars="200"/>
        <w:rPr>
          <w:rFonts w:ascii="仿宋_GB2312" w:eastAsia="仿宋_GB2312"/>
          <w:sz w:val="32"/>
          <w:szCs w:val="32"/>
        </w:rPr>
        <w:sectPr>
          <w:pgSz w:w="11906" w:h="16838"/>
          <w:pgMar w:top="1440" w:right="1800" w:bottom="1440" w:left="1800" w:header="851" w:footer="992" w:gutter="0"/>
          <w:pgNumType w:fmt="numberInDash"/>
          <w:cols w:space="425" w:num="1"/>
          <w:docGrid w:type="lines" w:linePitch="312" w:charSpace="0"/>
        </w:sectPr>
      </w:pPr>
      <w:r>
        <w:rPr>
          <w:rFonts w:ascii="仿宋_GB2312" w:eastAsia="仿宋_GB2312"/>
          <w:b/>
          <w:sz w:val="32"/>
          <w:szCs w:val="32"/>
        </w:rPr>
        <w:t>一是</w:t>
      </w:r>
      <w:r>
        <w:rPr>
          <w:rFonts w:hint="eastAsia" w:ascii="仿宋_GB2312" w:eastAsia="仿宋_GB2312"/>
          <w:bCs/>
          <w:sz w:val="32"/>
          <w:szCs w:val="32"/>
        </w:rPr>
        <w:t>研究推动解决本市社会领域重点问题，积极服务生产性服务业和“两业融合”重点任务，对城市南部地区、生态涵养区、农业中关村等重点区域高质量发展以及小城镇健康发展等开展综合评估及系统宣传，推动京西地区高质量转型发展取得扎实成效。</w:t>
      </w:r>
      <w:r>
        <w:rPr>
          <w:rFonts w:hint="eastAsia" w:ascii="仿宋_GB2312" w:eastAsia="仿宋_GB2312"/>
          <w:b/>
          <w:sz w:val="32"/>
          <w:szCs w:val="32"/>
        </w:rPr>
        <w:t>二是</w:t>
      </w:r>
      <w:r>
        <w:rPr>
          <w:rFonts w:hint="eastAsia" w:ascii="仿宋_GB2312" w:eastAsia="仿宋_GB2312"/>
          <w:bCs/>
          <w:sz w:val="32"/>
          <w:szCs w:val="32"/>
        </w:rPr>
        <w:t>持续优化营商环境，印发《关于进一步完善企业服务包制度实施方案》，落实企业“服务包”工作制度；修订《北京市优化营商环境条例》，为企业在京更好发展提供了法制保障；举办全国首档搭建政企对话平台的《局处长讲政策》栏目，推动形成营商环境良好社会氛围；举办破产制度改革政策培训，培训覆盖900余家经营主体、</w:t>
      </w:r>
      <w:r>
        <w:rPr>
          <w:rFonts w:hint="eastAsia" w:ascii="仿宋_GB2312" w:eastAsia="仿宋_GB2312"/>
          <w:bCs/>
          <w:spacing w:val="-6"/>
          <w:sz w:val="32"/>
          <w:szCs w:val="32"/>
        </w:rPr>
        <w:t>200余家破产管理人、100余家区级基层工作人员。</w:t>
      </w:r>
      <w:r>
        <w:rPr>
          <w:rFonts w:hint="eastAsia" w:ascii="仿宋_GB2312" w:eastAsia="仿宋_GB2312"/>
          <w:b/>
          <w:sz w:val="32"/>
          <w:szCs w:val="32"/>
        </w:rPr>
        <w:t>三是</w:t>
      </w:r>
      <w:r>
        <w:rPr>
          <w:rFonts w:hint="eastAsia" w:ascii="仿宋_GB2312" w:eastAsia="仿宋_GB2312"/>
          <w:bCs/>
          <w:sz w:val="32"/>
          <w:szCs w:val="32"/>
        </w:rPr>
        <w:t>协同发展水平不断提升，拍摄制作并播出《京津冀大格局》栏目，多角度展示协同发展成效。成功举办第27届京港洽谈会京津冀与粤港澳大湾区产业链供应链对接专题活动，签约10个项目，预计投资金额23.6亿元，两大区域合作设立企业合作会客厅，促进两地产业链、供应链、创新链深度融合。</w:t>
      </w:r>
      <w:r>
        <w:rPr>
          <w:rFonts w:hint="eastAsia" w:ascii="仿宋_GB2312" w:eastAsia="仿宋_GB2312"/>
          <w:b/>
          <w:spacing w:val="-6"/>
          <w:sz w:val="32"/>
          <w:szCs w:val="32"/>
        </w:rPr>
        <w:t>四是</w:t>
      </w:r>
      <w:r>
        <w:rPr>
          <w:rFonts w:hint="eastAsia" w:ascii="仿宋_GB2312" w:eastAsia="仿宋_GB2312"/>
          <w:bCs/>
          <w:spacing w:val="-6"/>
          <w:sz w:val="32"/>
          <w:szCs w:val="32"/>
        </w:rPr>
        <w:t>疏解</w:t>
      </w:r>
      <w:r>
        <w:rPr>
          <w:rFonts w:hint="eastAsia" w:ascii="仿宋_GB2312" w:eastAsia="仿宋_GB2312"/>
          <w:bCs/>
          <w:sz w:val="32"/>
          <w:szCs w:val="32"/>
        </w:rPr>
        <w:t>整治促提升，实行“疏整促”专项行动上账销账、进展跟踪、督查核验、落点落图全过程管理，为专项行动调度提供支撑；</w:t>
      </w:r>
      <w:r>
        <w:rPr>
          <w:rFonts w:hint="eastAsia" w:ascii="仿宋_GB2312" w:eastAsia="仿宋_GB2312"/>
          <w:bCs/>
          <w:spacing w:val="-2"/>
          <w:sz w:val="32"/>
          <w:szCs w:val="32"/>
        </w:rPr>
        <w:t>聚焦市民诉求集中的街乡镇，为治理类街乡镇督导提供支撑；</w:t>
      </w:r>
      <w:r>
        <w:rPr>
          <w:rFonts w:hint="eastAsia" w:ascii="仿宋_GB2312" w:eastAsia="仿宋_GB2312"/>
          <w:bCs/>
          <w:sz w:val="32"/>
          <w:szCs w:val="32"/>
        </w:rPr>
        <w:t>推进优质公共服务资源均衡配置，提高人口服务管理水平。</w:t>
      </w:r>
      <w:r>
        <w:rPr>
          <w:rFonts w:hint="eastAsia" w:ascii="仿宋_GB2312" w:eastAsia="仿宋_GB2312"/>
          <w:b/>
          <w:sz w:val="32"/>
          <w:szCs w:val="32"/>
        </w:rPr>
        <w:t>五是</w:t>
      </w:r>
      <w:r>
        <w:rPr>
          <w:rFonts w:hint="eastAsia" w:ascii="仿宋_GB2312" w:eastAsia="仿宋_GB2312"/>
          <w:bCs/>
          <w:sz w:val="32"/>
          <w:szCs w:val="32"/>
        </w:rPr>
        <w:t>促进经济社会稳步发展，加强经济运行监测分析,实现地区生产总值49843.1亿元、同比增长5.2%，高于年初预期，高于国家0.2个百分点；提升本市投资工作质量，搭建服务固定资产投资形势研判和重点项目调度的应用场景，印发《关于进一步加强重大项目谋划工作方案》，</w:t>
      </w:r>
      <w:r>
        <w:rPr>
          <w:rFonts w:hint="eastAsia" w:ascii="方正仿宋_GB2312" w:hAnsi="方正仿宋_GB2312" w:eastAsia="方正仿宋_GB2312" w:cs="方正仿宋_GB2312"/>
          <w:sz w:val="32"/>
          <w:szCs w:val="32"/>
          <w:lang w:val="en-US" w:eastAsia="zh-CN"/>
        </w:rPr>
        <w:t>谋划储备多个区域综合性城市更新项目和城市公共空间改造提升示范工程项目</w:t>
      </w:r>
      <w:r>
        <w:rPr>
          <w:rFonts w:hint="eastAsia" w:ascii="仿宋_GB2312" w:eastAsia="仿宋_GB2312"/>
          <w:bCs/>
          <w:sz w:val="32"/>
          <w:szCs w:val="32"/>
        </w:rPr>
        <w:t>。</w:t>
      </w:r>
      <w:r>
        <w:rPr>
          <w:rFonts w:hint="eastAsia" w:ascii="仿宋_GB2312" w:eastAsia="仿宋_GB2312"/>
          <w:b/>
          <w:sz w:val="32"/>
          <w:szCs w:val="32"/>
        </w:rPr>
        <w:t>六是</w:t>
      </w:r>
      <w:r>
        <w:rPr>
          <w:rFonts w:hint="eastAsia" w:ascii="仿宋_GB2312" w:eastAsia="仿宋_GB2312"/>
          <w:bCs/>
          <w:sz w:val="32"/>
          <w:szCs w:val="32"/>
        </w:rPr>
        <w:t>促进全社会绿色低碳循环发展，绿色技术创新加速，</w:t>
      </w:r>
      <w:r>
        <w:rPr>
          <w:rFonts w:hint="eastAsia" w:ascii="仿宋_GB2312" w:hAnsi="宋体" w:eastAsia="仿宋_GB2312"/>
          <w:b w:val="0"/>
          <w:bCs w:val="0"/>
          <w:kern w:val="21"/>
          <w:sz w:val="32"/>
          <w:szCs w:val="32"/>
        </w:rPr>
        <w:t>2</w:t>
      </w:r>
      <w:r>
        <w:rPr>
          <w:rFonts w:ascii="仿宋_GB2312" w:hAnsi="宋体" w:eastAsia="仿宋_GB2312"/>
          <w:b w:val="0"/>
          <w:bCs w:val="0"/>
          <w:kern w:val="21"/>
          <w:sz w:val="32"/>
          <w:szCs w:val="32"/>
        </w:rPr>
        <w:t>024</w:t>
      </w:r>
      <w:r>
        <w:rPr>
          <w:rFonts w:hint="eastAsia" w:ascii="仿宋_GB2312" w:hAnsi="宋体" w:eastAsia="仿宋_GB2312"/>
          <w:b w:val="0"/>
          <w:bCs w:val="0"/>
          <w:kern w:val="21"/>
          <w:sz w:val="32"/>
          <w:szCs w:val="32"/>
        </w:rPr>
        <w:t>年本市绿色技术发明专利累计授权量达到6.4万件</w:t>
      </w:r>
      <w:r>
        <w:rPr>
          <w:rFonts w:hint="eastAsia" w:ascii="仿宋_GB2312" w:eastAsia="仿宋_GB2312"/>
          <w:bCs/>
          <w:sz w:val="32"/>
          <w:szCs w:val="32"/>
        </w:rPr>
        <w:t>；绿色产业加快培育，中关村合成生物制造产业集聚区落地昌平，中关村（延庆）无人机产业园开工，房山国家安全应急产业示范基地加快建设；绿色要素市场活跃，本市绿色贷款余额同比大幅增长，市政府专项绿色能源和低碳产业投资基金正式落地。对永定河生态补水、地下水补给方面进行跟踪评估，推动永定河“流动、绿色、清洁、安全”目标的实现。</w:t>
      </w:r>
      <w:r>
        <w:rPr>
          <w:rFonts w:hint="eastAsia" w:ascii="仿宋_GB2312" w:eastAsia="仿宋_GB2312"/>
          <w:b/>
          <w:sz w:val="32"/>
          <w:szCs w:val="32"/>
        </w:rPr>
        <w:t>七是</w:t>
      </w:r>
      <w:r>
        <w:rPr>
          <w:rFonts w:hint="eastAsia" w:ascii="仿宋_GB2312" w:eastAsia="仿宋_GB2312"/>
          <w:bCs/>
          <w:sz w:val="32"/>
          <w:szCs w:val="32"/>
        </w:rPr>
        <w:t>持续做好价格管理工作，保障本市各类农副产品生产有序、供应充足，价格基本稳定；跟踪、评估政策执行情况，为价格政策研究储备提供支撑；指导全市17家区级价格认证机构办理疑难重大价格鉴定事项，持续为准确定性量纪、定罪量刑提供重要依据。</w:t>
      </w:r>
      <w:r>
        <w:rPr>
          <w:rFonts w:hint="eastAsia" w:ascii="仿宋_GB2312" w:eastAsia="仿宋_GB2312"/>
          <w:sz w:val="32"/>
          <w:szCs w:val="32"/>
        </w:rPr>
        <w:t>年初</w:t>
      </w:r>
      <w:r>
        <w:rPr>
          <w:rFonts w:ascii="仿宋_GB2312" w:eastAsia="仿宋_GB2312"/>
          <w:sz w:val="32"/>
          <w:szCs w:val="32"/>
        </w:rPr>
        <w:t>设定的</w:t>
      </w:r>
      <w:r>
        <w:rPr>
          <w:rFonts w:hint="eastAsia" w:ascii="仿宋_GB2312" w:eastAsia="仿宋_GB2312"/>
          <w:sz w:val="32"/>
          <w:szCs w:val="32"/>
        </w:rPr>
        <w:t>23项社会效益绩效指标</w:t>
      </w:r>
      <w:r>
        <w:rPr>
          <w:rFonts w:ascii="仿宋_GB2312" w:eastAsia="仿宋_GB2312"/>
          <w:sz w:val="32"/>
          <w:szCs w:val="32"/>
        </w:rPr>
        <w:t>均已完成。</w:t>
      </w:r>
      <w:r>
        <w:rPr>
          <w:rFonts w:hint="eastAsia" w:ascii="仿宋_GB2312" w:eastAsia="仿宋_GB2312"/>
          <w:sz w:val="32"/>
          <w:szCs w:val="32"/>
        </w:rPr>
        <w:t>具体情况如下：</w:t>
      </w:r>
      <w:r>
        <w:rPr>
          <w:rFonts w:ascii="仿宋_GB2312" w:eastAsia="仿宋_GB2312"/>
          <w:sz w:val="32"/>
          <w:szCs w:val="32"/>
        </w:rPr>
        <w:tab/>
      </w:r>
    </w:p>
    <w:tbl>
      <w:tblPr>
        <w:tblStyle w:val="9"/>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5386"/>
        <w:gridCol w:w="7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5386"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c>
          <w:tcPr>
            <w:tcW w:w="7370"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8" w:hRule="atLeast"/>
        </w:trPr>
        <w:tc>
          <w:tcPr>
            <w:tcW w:w="1417" w:type="dxa"/>
            <w:vMerge w:val="restart"/>
            <w:vAlign w:val="center"/>
          </w:tcPr>
          <w:p>
            <w:pPr>
              <w:spacing w:line="240" w:lineRule="exact"/>
              <w:jc w:val="center"/>
              <w:rPr>
                <w:rFonts w:ascii="仿宋_GB2312" w:eastAsia="仿宋_GB2312"/>
                <w:spacing w:val="-6"/>
                <w:szCs w:val="21"/>
              </w:rPr>
            </w:pPr>
            <w:r>
              <w:rPr>
                <w:rFonts w:hint="eastAsia" w:ascii="仿宋_GB2312" w:eastAsia="仿宋_GB2312"/>
                <w:spacing w:val="-6"/>
                <w:szCs w:val="21"/>
              </w:rPr>
              <w:t>社会</w:t>
            </w:r>
            <w:r>
              <w:rPr>
                <w:rFonts w:ascii="仿宋_GB2312" w:eastAsia="仿宋_GB2312"/>
                <w:spacing w:val="-6"/>
                <w:szCs w:val="21"/>
              </w:rPr>
              <w:t>效益指标</w:t>
            </w:r>
          </w:p>
        </w:tc>
        <w:tc>
          <w:tcPr>
            <w:tcW w:w="5386"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报告本市社会领域工作进展情况，分析本市社会领域重点问题，提出相关对策建议≥5条</w:t>
            </w:r>
          </w:p>
        </w:tc>
        <w:tc>
          <w:tcPr>
            <w:tcW w:w="7370"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提出5条对策建议：1.提出“分类试点、因地施策、多元运营，有序推进北京市社区嵌入式服务设施建设”的建议。2.围绕银发经济发展，提出进一步整合资源、放开市场，补足刚需、增加供给、优化服务，完善全生命周期的健康服务的建议。3．围绕中网赛事提质升级，提出推动“中网+”向“网球+”发展、“网球+”向“体育+”演进，培育新消费增长点，推动“体育+”高质量发展的建议。4.提出统筹综合利用各类“平急两用”公共基础设施的建议。5.提出医药体制改革、政策突破创新、投融资支持、区域试点先行等方面工作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8" w:hRule="atLeast"/>
        </w:trPr>
        <w:tc>
          <w:tcPr>
            <w:tcW w:w="1417" w:type="dxa"/>
            <w:vMerge w:val="continue"/>
            <w:vAlign w:val="center"/>
          </w:tcPr>
          <w:p>
            <w:pPr>
              <w:spacing w:line="240" w:lineRule="exact"/>
              <w:jc w:val="center"/>
              <w:rPr>
                <w:rFonts w:ascii="仿宋_GB2312" w:eastAsia="仿宋_GB2312"/>
                <w:spacing w:val="-6"/>
                <w:szCs w:val="21"/>
              </w:rPr>
            </w:pPr>
          </w:p>
        </w:tc>
        <w:tc>
          <w:tcPr>
            <w:tcW w:w="5386"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落实国家及市领导有关工作部署，会同有关方面研究拟订促进先进制造业与现代服务业融合、专业服务业高质量发展等政策措施并组织实施，推动本市产业高质量发展（定性）</w:t>
            </w:r>
          </w:p>
        </w:tc>
        <w:tc>
          <w:tcPr>
            <w:tcW w:w="7370"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积极服务生产性服务业和“两业融合”重点任务。作为协办方，支撑“两业融合促进新质生产力发展”主题论坛成功举办;会同有关部门研究形成《关于北京生产性服务业发展面临瓶颈及对策建议》。结合党的二十届三中全会精神完成本市生产性服务业分领域分环节对策建议研究，为政策制定提供坚实依据,完成《借鉴发达国家经验 促进“十五五”期间我市生产性服务业高质量发展》研究报告并获市领导批示。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trPr>
        <w:tc>
          <w:tcPr>
            <w:tcW w:w="1417" w:type="dxa"/>
            <w:vMerge w:val="continue"/>
            <w:vAlign w:val="center"/>
          </w:tcPr>
          <w:p>
            <w:pPr>
              <w:spacing w:line="240" w:lineRule="exact"/>
              <w:jc w:val="center"/>
              <w:rPr>
                <w:rFonts w:ascii="仿宋_GB2312" w:eastAsia="仿宋_GB2312"/>
                <w:spacing w:val="-6"/>
                <w:szCs w:val="21"/>
              </w:rPr>
            </w:pPr>
          </w:p>
        </w:tc>
        <w:tc>
          <w:tcPr>
            <w:tcW w:w="5386"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落实国家及市委市政府重大决策部署，对城市南部地区、生态涵养区、农业中关村等重点区域高质量发展以及小城镇健康发展等开展综合评估及系统宣传，推广本市区域协调发展、城乡融合发展工作成效（定性）</w:t>
            </w:r>
          </w:p>
        </w:tc>
        <w:tc>
          <w:tcPr>
            <w:tcW w:w="7370"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优，对北京农村地区发展开展综合评估，推广城市南部地区、生态涵养区等重点区域、城乡融合发展工作成效12次，取得了很好的成效。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417" w:type="dxa"/>
            <w:vMerge w:val="continue"/>
            <w:vAlign w:val="center"/>
          </w:tcPr>
          <w:p>
            <w:pPr>
              <w:spacing w:line="240" w:lineRule="exact"/>
              <w:jc w:val="center"/>
              <w:rPr>
                <w:rFonts w:ascii="仿宋_GB2312" w:eastAsia="仿宋_GB2312"/>
                <w:spacing w:val="-6"/>
                <w:szCs w:val="21"/>
              </w:rPr>
            </w:pPr>
          </w:p>
        </w:tc>
        <w:tc>
          <w:tcPr>
            <w:tcW w:w="5386"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有效推动京西地区重点任务和重大项目落地，支撑京西地区高质量转型发展（定性）</w:t>
            </w:r>
          </w:p>
        </w:tc>
        <w:tc>
          <w:tcPr>
            <w:tcW w:w="7370"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优，印发实施京西行动计划2024年度工作要点，年度56项重点任务顺利推进，85个重大项目超额完成全年投资目标，推动京西地区高质量转型发展取得扎实成效。</w:t>
            </w:r>
          </w:p>
        </w:tc>
      </w:tr>
    </w:tbl>
    <w:p>
      <w:pPr>
        <w:pStyle w:val="2"/>
        <w:spacing w:after="0" w:line="240" w:lineRule="exact"/>
        <w:jc w:val="right"/>
        <w:rPr>
          <w:rFonts w:asciiTheme="minorEastAsia" w:hAnsiTheme="minorEastAsia" w:eastAsiaTheme="minorEastAsia"/>
          <w:sz w:val="21"/>
          <w:szCs w:val="21"/>
        </w:rPr>
      </w:pPr>
      <w:r>
        <w:rPr>
          <w:rFonts w:hint="eastAsia" w:asciiTheme="minorEastAsia" w:hAnsiTheme="minorEastAsia" w:eastAsiaTheme="minorEastAsia"/>
          <w:sz w:val="21"/>
          <w:szCs w:val="21"/>
        </w:rPr>
        <w:t>（接</w:t>
      </w:r>
      <w:r>
        <w:rPr>
          <w:rFonts w:asciiTheme="minorEastAsia" w:hAnsiTheme="minorEastAsia" w:eastAsiaTheme="minorEastAsia"/>
          <w:sz w:val="21"/>
          <w:szCs w:val="21"/>
        </w:rPr>
        <w:t>下页</w:t>
      </w:r>
      <w:r>
        <w:rPr>
          <w:rFonts w:hint="eastAsia" w:asciiTheme="minorEastAsia" w:hAnsiTheme="minorEastAsia" w:eastAsiaTheme="minorEastAsia"/>
          <w:sz w:val="21"/>
          <w:szCs w:val="21"/>
        </w:rPr>
        <w:t>）</w:t>
      </w:r>
      <w:r>
        <w:rPr>
          <w:rFonts w:asciiTheme="minorEastAsia" w:hAnsiTheme="minorEastAsia" w:eastAsiaTheme="minorEastAsia"/>
          <w:sz w:val="21"/>
          <w:szCs w:val="21"/>
        </w:rPr>
        <w:br w:type="page"/>
      </w:r>
    </w:p>
    <w:p>
      <w:r>
        <w:rPr>
          <w:rFonts w:hint="eastAsia"/>
        </w:rPr>
        <w:t>（续上页）</w:t>
      </w:r>
    </w:p>
    <w:tbl>
      <w:tblPr>
        <w:tblStyle w:val="9"/>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5669"/>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 w:type="dxa"/>
            <w:shd w:val="clear" w:color="auto" w:fill="D8D8D8" w:themeFill="background1" w:themeFillShade="D9"/>
            <w:vAlign w:val="center"/>
          </w:tcPr>
          <w:p>
            <w:pPr>
              <w:spacing w:line="240" w:lineRule="exact"/>
              <w:jc w:val="center"/>
              <w:rPr>
                <w:rFonts w:ascii="仿宋_GB2312" w:eastAsia="仿宋_GB2312"/>
                <w:spacing w:val="-6"/>
                <w:szCs w:val="21"/>
              </w:rPr>
            </w:pPr>
            <w:r>
              <w:rPr>
                <w:rFonts w:hint="eastAsia" w:ascii="仿宋_GB2312" w:eastAsia="仿宋_GB2312"/>
                <w:b/>
                <w:szCs w:val="21"/>
              </w:rPr>
              <w:t>二级指标</w:t>
            </w:r>
          </w:p>
        </w:tc>
        <w:tc>
          <w:tcPr>
            <w:tcW w:w="5669" w:type="dxa"/>
            <w:shd w:val="clear" w:color="auto" w:fill="D8D8D8" w:themeFill="background1" w:themeFillShade="D9"/>
            <w:vAlign w:val="center"/>
          </w:tcPr>
          <w:p>
            <w:pPr>
              <w:jc w:val="center"/>
              <w:rPr>
                <w:rFonts w:ascii="仿宋_GB2312" w:eastAsia="仿宋_GB2312"/>
                <w:spacing w:val="-2"/>
                <w:szCs w:val="21"/>
              </w:rPr>
            </w:pPr>
            <w:r>
              <w:rPr>
                <w:rFonts w:hint="eastAsia" w:ascii="仿宋_GB2312" w:eastAsia="仿宋_GB2312"/>
                <w:b/>
                <w:szCs w:val="21"/>
              </w:rPr>
              <w:t>三级指标及指标值</w:t>
            </w:r>
          </w:p>
        </w:tc>
        <w:tc>
          <w:tcPr>
            <w:tcW w:w="7087"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417" w:type="dxa"/>
            <w:vMerge w:val="restart"/>
            <w:vAlign w:val="center"/>
          </w:tcPr>
          <w:p>
            <w:pPr>
              <w:spacing w:line="240" w:lineRule="exact"/>
              <w:jc w:val="center"/>
              <w:rPr>
                <w:rFonts w:ascii="仿宋_GB2312" w:eastAsia="仿宋_GB2312"/>
                <w:spacing w:val="-6"/>
                <w:szCs w:val="21"/>
              </w:rPr>
            </w:pPr>
            <w:r>
              <w:rPr>
                <w:rFonts w:hint="eastAsia" w:ascii="仿宋_GB2312" w:eastAsia="仿宋_GB2312"/>
                <w:spacing w:val="-6"/>
                <w:szCs w:val="21"/>
              </w:rPr>
              <w:t>社会</w:t>
            </w:r>
            <w:r>
              <w:rPr>
                <w:rFonts w:ascii="仿宋_GB2312" w:eastAsia="仿宋_GB2312"/>
                <w:spacing w:val="-6"/>
                <w:szCs w:val="21"/>
              </w:rPr>
              <w:t>效益指标</w:t>
            </w: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进一步落实企业“服务包”工作制度，实现企业在京更好发展（定性）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优，进一步落实企业“服务包”工作制度，印发《关于进一步完善企业服务包制度实施方案》，完成对《北京市优化营商环境条例》的首次修订，为实现企业在京更好发展提供了法制保障。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8" w:hRule="atLeast"/>
        </w:trPr>
        <w:tc>
          <w:tcPr>
            <w:tcW w:w="1417" w:type="dxa"/>
            <w:vMerge w:val="continue"/>
            <w:vAlign w:val="center"/>
          </w:tcPr>
          <w:p>
            <w:pPr>
              <w:spacing w:line="240" w:lineRule="exact"/>
              <w:jc w:val="center"/>
              <w:rPr>
                <w:rFonts w:ascii="仿宋_GB2312" w:eastAsia="仿宋_GB2312"/>
                <w:spacing w:val="-6"/>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形成营商环境良好社会氛围（定性）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作为全国首档搭建政企对话平台的《局处长讲政策》栏目，2024年第一季共播出13期节目，涉猎包括生物医药、商业航天、氢能源在内的13个领域，携手市区多个委办局召开主题研讨会20余场，为参与录制的30余家企业，解决了包括股权投资、产品出口、资金补贴、专业技术支持、产品新场景应用等多个实际困难，企业获得各类资金资助累计超过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417" w:type="dxa"/>
            <w:vMerge w:val="continue"/>
            <w:vAlign w:val="center"/>
          </w:tcPr>
          <w:p>
            <w:pPr>
              <w:spacing w:line="240" w:lineRule="exact"/>
              <w:jc w:val="center"/>
              <w:rPr>
                <w:rFonts w:ascii="仿宋_GB2312" w:eastAsia="仿宋_GB2312"/>
                <w:spacing w:val="-6"/>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bookmarkStart w:id="1" w:name="_GoBack"/>
            <w:r>
              <w:rPr>
                <w:rFonts w:hint="eastAsia" w:ascii="仿宋_GB2312" w:hAnsi="宋体" w:eastAsia="仿宋_GB2312" w:cs="仿宋_GB2312"/>
                <w:color w:val="000000"/>
                <w:kern w:val="0"/>
                <w:szCs w:val="21"/>
                <w:lang w:bidi="ar"/>
              </w:rPr>
              <w:t>破产制度政策培训</w:t>
            </w:r>
            <w:bookmarkEnd w:id="1"/>
            <w:r>
              <w:rPr>
                <w:rFonts w:hint="eastAsia" w:ascii="仿宋_GB2312" w:hAnsi="宋体" w:eastAsia="仿宋_GB2312" w:cs="仿宋_GB2312"/>
                <w:color w:val="000000"/>
                <w:kern w:val="0"/>
                <w:szCs w:val="21"/>
                <w:lang w:bidi="ar"/>
              </w:rPr>
              <w:t>覆盖率≥80%</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联合市高级法院、市市场监管局等11家部门，开展了2024年破产制度改革政策培训，此次培训900余家经营主体、200余家破产管理人、100余家区级基层工作人员，累计1200余人次参加线上培训，覆盖率达</w:t>
            </w:r>
            <w:r>
              <w:rPr>
                <w:rFonts w:hint="eastAsia" w:ascii="仿宋_GB2312" w:hAnsi="宋体" w:eastAsia="仿宋_GB2312" w:cs="仿宋_GB2312"/>
                <w:color w:val="000000"/>
                <w:kern w:val="0"/>
                <w:szCs w:val="21"/>
                <w:lang w:val="en-US" w:eastAsia="zh-CN" w:bidi="ar"/>
              </w:rPr>
              <w:t>10</w:t>
            </w:r>
            <w:r>
              <w:rPr>
                <w:rFonts w:hint="eastAsia" w:ascii="仿宋_GB2312" w:hAnsi="宋体" w:eastAsia="仿宋_GB2312" w:cs="仿宋_GB2312"/>
                <w:color w:val="000000"/>
                <w:kern w:val="0"/>
                <w:szCs w:val="21"/>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pacing w:val="-6"/>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对京津冀协同发展成效进行宣传展示、推介（定性）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优，拍摄制作并播出《京津冀大格局》栏目，多角度展示协同发展成效，营造良好氛围。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4" w:hRule="atLeast"/>
        </w:trPr>
        <w:tc>
          <w:tcPr>
            <w:tcW w:w="1417" w:type="dxa"/>
            <w:vMerge w:val="continue"/>
            <w:vAlign w:val="center"/>
          </w:tcPr>
          <w:p>
            <w:pPr>
              <w:spacing w:line="240" w:lineRule="exact"/>
              <w:jc w:val="center"/>
              <w:rPr>
                <w:rFonts w:ascii="仿宋_GB2312" w:eastAsia="仿宋_GB2312"/>
                <w:spacing w:val="-6"/>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举办京港洽谈会“一带一路”相关活动，健全和完善两地常态化合作机制，共同拓展多领域合作渠道（定性）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成功举办第27届京港洽谈会京津冀与粤港澳大湾区产业链供应链对接专题活动。聚焦新能源、智能网联和生物医药领域，签约10个项目，预计投资金额23.6亿元，两大区域合作设立企业合作会客厅，促进两地产业链、供应链、创新链深度融合。</w:t>
            </w:r>
          </w:p>
        </w:tc>
      </w:tr>
    </w:tbl>
    <w:p>
      <w:pPr>
        <w:pStyle w:val="2"/>
        <w:spacing w:after="0" w:line="240" w:lineRule="exact"/>
        <w:jc w:val="right"/>
        <w:rPr>
          <w:rFonts w:asciiTheme="minorEastAsia" w:hAnsiTheme="minorEastAsia" w:eastAsiaTheme="minorEastAsia"/>
          <w:sz w:val="21"/>
          <w:szCs w:val="21"/>
        </w:rPr>
      </w:pPr>
      <w:r>
        <w:rPr>
          <w:rFonts w:hint="eastAsia" w:asciiTheme="minorEastAsia" w:hAnsiTheme="minorEastAsia" w:eastAsiaTheme="minorEastAsia"/>
          <w:sz w:val="21"/>
          <w:szCs w:val="21"/>
        </w:rPr>
        <w:t>（接下页）</w:t>
      </w:r>
      <w:r>
        <w:rPr>
          <w:rFonts w:asciiTheme="minorEastAsia" w:hAnsiTheme="minorEastAsia" w:eastAsiaTheme="minorEastAsia"/>
          <w:sz w:val="21"/>
          <w:szCs w:val="21"/>
        </w:rPr>
        <w:br w:type="page"/>
      </w:r>
    </w:p>
    <w:p>
      <w:r>
        <w:rPr>
          <w:rFonts w:hint="eastAsia"/>
        </w:rPr>
        <w:t>（续上页）</w:t>
      </w:r>
    </w:p>
    <w:tbl>
      <w:tblPr>
        <w:tblStyle w:val="9"/>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5669"/>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 w:type="dxa"/>
            <w:shd w:val="clear" w:color="auto" w:fill="D8D8D8" w:themeFill="background1" w:themeFillShade="D9"/>
            <w:vAlign w:val="center"/>
          </w:tcPr>
          <w:p>
            <w:pPr>
              <w:spacing w:line="240" w:lineRule="exact"/>
              <w:jc w:val="center"/>
              <w:rPr>
                <w:rFonts w:ascii="仿宋_GB2312" w:eastAsia="仿宋_GB2312"/>
                <w:spacing w:val="-6"/>
                <w:szCs w:val="21"/>
              </w:rPr>
            </w:pPr>
            <w:r>
              <w:rPr>
                <w:rFonts w:hint="eastAsia" w:ascii="仿宋_GB2312" w:eastAsia="仿宋_GB2312"/>
                <w:b/>
                <w:szCs w:val="21"/>
              </w:rPr>
              <w:t>二级指标</w:t>
            </w:r>
          </w:p>
        </w:tc>
        <w:tc>
          <w:tcPr>
            <w:tcW w:w="5669" w:type="dxa"/>
            <w:shd w:val="clear" w:color="auto" w:fill="D8D8D8" w:themeFill="background1" w:themeFillShade="D9"/>
            <w:vAlign w:val="center"/>
          </w:tcPr>
          <w:p>
            <w:pPr>
              <w:jc w:val="center"/>
              <w:rPr>
                <w:rFonts w:ascii="仿宋_GB2312" w:eastAsia="仿宋_GB2312"/>
                <w:spacing w:val="-2"/>
                <w:szCs w:val="21"/>
              </w:rPr>
            </w:pPr>
            <w:r>
              <w:rPr>
                <w:rFonts w:hint="eastAsia" w:ascii="仿宋_GB2312" w:eastAsia="仿宋_GB2312"/>
                <w:b/>
                <w:szCs w:val="21"/>
              </w:rPr>
              <w:t>三级指标及指标值</w:t>
            </w:r>
          </w:p>
        </w:tc>
        <w:tc>
          <w:tcPr>
            <w:tcW w:w="7087"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4" w:hRule="atLeast"/>
        </w:trPr>
        <w:tc>
          <w:tcPr>
            <w:tcW w:w="1417" w:type="dxa"/>
            <w:vMerge w:val="restart"/>
            <w:vAlign w:val="center"/>
          </w:tcPr>
          <w:p>
            <w:pPr>
              <w:spacing w:line="240" w:lineRule="exact"/>
              <w:jc w:val="center"/>
              <w:rPr>
                <w:rFonts w:ascii="仿宋_GB2312" w:eastAsia="仿宋_GB2312"/>
                <w:spacing w:val="-6"/>
                <w:szCs w:val="21"/>
              </w:rPr>
            </w:pPr>
            <w:r>
              <w:rPr>
                <w:rFonts w:hint="eastAsia" w:ascii="仿宋_GB2312" w:eastAsia="仿宋_GB2312"/>
                <w:spacing w:val="-6"/>
                <w:szCs w:val="21"/>
              </w:rPr>
              <w:t>社会</w:t>
            </w:r>
            <w:r>
              <w:rPr>
                <w:rFonts w:ascii="仿宋_GB2312" w:eastAsia="仿宋_GB2312"/>
                <w:spacing w:val="-6"/>
                <w:szCs w:val="21"/>
              </w:rPr>
              <w:t>效益指标</w:t>
            </w: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为疏整促专项行动调度、人口服务、治理类街乡镇督导提供支撑（定性）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1.实行“疏整促”专项行动上账销账、进展跟踪、督查核验、落点落图全过程管理，为专项行动调度提供支撑。2.开展重点区域、重点时段信令监测及全市人口大数据综合分析，充分发挥对专项行动、人口服务管理的支撑作用，推动数据共享利用，释放数据价值。3.聚焦市民诉求集中的街乡镇，挖掘 12345 热线数据，动态跟踪量率变化，深入剖析高频问题、高发点位，为治理类街乡镇督导等工作提供支撑。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continue"/>
            <w:vAlign w:val="center"/>
          </w:tcPr>
          <w:p>
            <w:pPr>
              <w:spacing w:line="240" w:lineRule="exact"/>
              <w:jc w:val="center"/>
              <w:rPr>
                <w:rFonts w:ascii="仿宋_GB2312" w:eastAsia="仿宋_GB2312"/>
                <w:spacing w:val="-6"/>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提高全市人口服务管理工作水平（定性）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高。促进业务成果转化，推进优质公共服务资源均衡配置，提高全市人口服务管理水平。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trPr>
        <w:tc>
          <w:tcPr>
            <w:tcW w:w="1417" w:type="dxa"/>
            <w:vMerge w:val="continue"/>
            <w:vAlign w:val="center"/>
          </w:tcPr>
          <w:p>
            <w:pPr>
              <w:spacing w:line="240" w:lineRule="exact"/>
              <w:jc w:val="center"/>
              <w:rPr>
                <w:rFonts w:ascii="仿宋_GB2312" w:eastAsia="仿宋_GB2312"/>
                <w:spacing w:val="-6"/>
                <w:szCs w:val="21"/>
              </w:rPr>
            </w:pPr>
          </w:p>
        </w:tc>
        <w:tc>
          <w:tcPr>
            <w:tcW w:w="5669" w:type="dxa"/>
            <w:vAlign w:val="center"/>
          </w:tcPr>
          <w:p>
            <w:pPr>
              <w:widowControl/>
              <w:jc w:val="left"/>
              <w:textAlignment w:val="center"/>
              <w:rPr>
                <w:rFonts w:ascii="仿宋_GB2312" w:hAnsi="仿宋_GB2312" w:eastAsia="仿宋_GB2312" w:cs="仿宋_GB2312"/>
                <w:color w:val="auto"/>
                <w:kern w:val="0"/>
                <w:szCs w:val="21"/>
                <w:lang w:bidi="ar"/>
              </w:rPr>
            </w:pPr>
            <w:r>
              <w:rPr>
                <w:rFonts w:hint="eastAsia" w:ascii="仿宋_GB2312" w:hAnsi="宋体" w:eastAsia="仿宋_GB2312" w:cs="仿宋_GB2312"/>
                <w:color w:val="auto"/>
                <w:kern w:val="0"/>
                <w:szCs w:val="21"/>
                <w:lang w:bidi="ar"/>
              </w:rPr>
              <w:t>对经济社会形势分析的支撑作用（定性）</w:t>
            </w:r>
          </w:p>
        </w:tc>
        <w:tc>
          <w:tcPr>
            <w:tcW w:w="7087" w:type="dxa"/>
            <w:vAlign w:val="center"/>
          </w:tcPr>
          <w:p>
            <w:pPr>
              <w:widowControl/>
              <w:jc w:val="left"/>
              <w:textAlignment w:val="center"/>
              <w:rPr>
                <w:rFonts w:ascii="仿宋_GB2312" w:hAnsi="仿宋_GB2312" w:eastAsia="仿宋_GB2312" w:cs="仿宋_GB2312"/>
                <w:color w:val="auto"/>
                <w:kern w:val="0"/>
                <w:szCs w:val="21"/>
                <w:lang w:bidi="ar"/>
              </w:rPr>
            </w:pPr>
            <w:r>
              <w:rPr>
                <w:rFonts w:hint="eastAsia" w:ascii="仿宋_GB2312" w:hAnsi="宋体" w:eastAsia="仿宋_GB2312" w:cs="仿宋_GB2312"/>
                <w:color w:val="auto"/>
                <w:kern w:val="0"/>
                <w:szCs w:val="21"/>
                <w:lang w:bidi="ar"/>
              </w:rPr>
              <w:t>优。坚持稳中求进、以进促稳、先立后破,加强经济运行监测分析,着力深化改革、扩大开放，着力提振有效需求、提升产业能级，着力优化营商环境、提振发展信心,着力保障改善民生、防范化解风险，主要发展目标任务圆满完成,高质量发展扎实推进。2024年实现地区生产总值49843.1亿元、同比增长5.2%，高于年初预期，高于国家0.2个百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5" w:hRule="atLeast"/>
        </w:trPr>
        <w:tc>
          <w:tcPr>
            <w:tcW w:w="1417" w:type="dxa"/>
            <w:vMerge w:val="continue"/>
            <w:vAlign w:val="center"/>
          </w:tcPr>
          <w:p>
            <w:pPr>
              <w:spacing w:line="240" w:lineRule="exact"/>
              <w:jc w:val="center"/>
              <w:rPr>
                <w:rFonts w:ascii="仿宋_GB2312" w:eastAsia="仿宋_GB2312"/>
                <w:spacing w:val="-6"/>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为本市投资工作质量提升提供有力支撑（定性）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高。按季度监测市重点工程和北京市建设项目（工地）建设情况，测算项目建设进度，搭建以卫星遥感技术为主要支撑，服务固定资产投资形势研判和重点项目调度的应用场景；编制印发《关于进一步加强重大项目谋划工作方案》，推动全市谋划储备“十五五”重大项目、撬动总投资；完成储备并推荐多个项目至国家发展改革委，同时推动3个项目上市；支持多个片区综合性城市投融资工作，谋划储备了多个区域综合性城市更新项目和城市公共空间提升促进项目；推动报送全市专项债券项目并通过两部委审核，截至2024年10月底，我市2024年专项债额度已全部发行完毕。</w:t>
            </w:r>
          </w:p>
        </w:tc>
      </w:tr>
    </w:tbl>
    <w:p>
      <w:pPr>
        <w:jc w:val="right"/>
        <w:rPr>
          <w:rFonts w:asciiTheme="minorEastAsia" w:hAnsiTheme="minorEastAsia" w:eastAsiaTheme="minorEastAsia"/>
          <w:szCs w:val="21"/>
        </w:rPr>
      </w:pPr>
      <w:r>
        <w:rPr>
          <w:rFonts w:hint="eastAsia" w:asciiTheme="minorEastAsia" w:hAnsiTheme="minorEastAsia" w:eastAsiaTheme="minorEastAsia"/>
          <w:szCs w:val="21"/>
        </w:rPr>
        <w:t>（接下页）</w:t>
      </w:r>
    </w:p>
    <w:p>
      <w:pPr>
        <w:jc w:val="left"/>
        <w:rPr>
          <w:rFonts w:asciiTheme="minorEastAsia" w:hAnsiTheme="minorEastAsia" w:eastAsiaTheme="minorEastAsia"/>
          <w:szCs w:val="21"/>
        </w:rPr>
      </w:pPr>
      <w:r>
        <w:rPr>
          <w:rFonts w:asciiTheme="minorEastAsia" w:hAnsiTheme="minorEastAsia" w:eastAsiaTheme="minorEastAsia"/>
          <w:szCs w:val="21"/>
        </w:rPr>
        <w:br w:type="page"/>
      </w:r>
    </w:p>
    <w:p>
      <w:r>
        <w:rPr>
          <w:rFonts w:hint="eastAsia"/>
        </w:rPr>
        <w:t>（续上页）</w:t>
      </w:r>
    </w:p>
    <w:tbl>
      <w:tblPr>
        <w:tblStyle w:val="9"/>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5669"/>
        <w:gridCol w:w="7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 w:type="dxa"/>
            <w:shd w:val="clear" w:color="auto" w:fill="D8D8D8" w:themeFill="background1" w:themeFillShade="D9"/>
            <w:vAlign w:val="center"/>
          </w:tcPr>
          <w:p>
            <w:pPr>
              <w:spacing w:line="240" w:lineRule="exact"/>
              <w:jc w:val="center"/>
              <w:rPr>
                <w:rFonts w:ascii="仿宋_GB2312" w:eastAsia="仿宋_GB2312"/>
                <w:spacing w:val="-6"/>
                <w:szCs w:val="21"/>
              </w:rPr>
            </w:pPr>
            <w:r>
              <w:rPr>
                <w:rFonts w:hint="eastAsia" w:ascii="仿宋_GB2312" w:eastAsia="仿宋_GB2312"/>
                <w:b/>
                <w:szCs w:val="21"/>
              </w:rPr>
              <w:t>二级指标</w:t>
            </w:r>
          </w:p>
        </w:tc>
        <w:tc>
          <w:tcPr>
            <w:tcW w:w="5669" w:type="dxa"/>
            <w:shd w:val="clear" w:color="auto" w:fill="D8D8D8" w:themeFill="background1" w:themeFillShade="D9"/>
            <w:vAlign w:val="center"/>
          </w:tcPr>
          <w:p>
            <w:pPr>
              <w:jc w:val="center"/>
              <w:rPr>
                <w:rFonts w:ascii="仿宋_GB2312" w:eastAsia="仿宋_GB2312"/>
                <w:spacing w:val="-2"/>
                <w:szCs w:val="21"/>
              </w:rPr>
            </w:pPr>
            <w:r>
              <w:rPr>
                <w:rFonts w:hint="eastAsia" w:ascii="仿宋_GB2312" w:eastAsia="仿宋_GB2312"/>
                <w:b/>
                <w:szCs w:val="21"/>
              </w:rPr>
              <w:t>三级指标及指标值</w:t>
            </w:r>
          </w:p>
        </w:tc>
        <w:tc>
          <w:tcPr>
            <w:tcW w:w="7087"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17" w:type="dxa"/>
            <w:vMerge w:val="restart"/>
            <w:vAlign w:val="center"/>
          </w:tcPr>
          <w:p>
            <w:pPr>
              <w:spacing w:line="240" w:lineRule="exact"/>
              <w:jc w:val="center"/>
              <w:rPr>
                <w:rFonts w:ascii="仿宋_GB2312" w:eastAsia="仿宋_GB2312"/>
                <w:spacing w:val="-6"/>
                <w:szCs w:val="21"/>
              </w:rPr>
            </w:pPr>
            <w:r>
              <w:rPr>
                <w:rFonts w:hint="eastAsia" w:ascii="仿宋_GB2312" w:eastAsia="仿宋_GB2312"/>
                <w:spacing w:val="-6"/>
                <w:szCs w:val="21"/>
              </w:rPr>
              <w:t>社会</w:t>
            </w:r>
            <w:r>
              <w:rPr>
                <w:rFonts w:ascii="仿宋_GB2312" w:eastAsia="仿宋_GB2312"/>
                <w:spacing w:val="-6"/>
                <w:szCs w:val="21"/>
              </w:rPr>
              <w:t>效益指标</w:t>
            </w: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促进全社会绿色低碳循环发展，为双碳目标实现贡献力量（定性）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优。形成了9项工作成果报告，从源头上降低资源废弃率，加大资源的循环利用，有效促进全社会绿色低碳循环发展。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4" w:hRule="atLeast"/>
        </w:trPr>
        <w:tc>
          <w:tcPr>
            <w:tcW w:w="1417" w:type="dxa"/>
            <w:vMerge w:val="continue"/>
            <w:vAlign w:val="center"/>
          </w:tcPr>
          <w:p>
            <w:pPr>
              <w:spacing w:line="240" w:lineRule="exact"/>
              <w:jc w:val="center"/>
              <w:rPr>
                <w:rFonts w:ascii="仿宋_GB2312" w:eastAsia="仿宋_GB2312"/>
                <w:spacing w:val="-6"/>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市场导向绿色技术创新体系较好的激发社会绿色高质量发展（定性）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优。一是绿色技术创新加速</w:t>
            </w:r>
            <w:r>
              <w:rPr>
                <w:rFonts w:hint="eastAsia" w:ascii="仿宋_GB2312" w:hAnsi="宋体" w:eastAsia="仿宋_GB2312" w:cs="仿宋_GB2312"/>
                <w:color w:val="000000"/>
                <w:kern w:val="0"/>
                <w:szCs w:val="21"/>
                <w:lang w:eastAsia="zh-CN" w:bidi="ar"/>
              </w:rPr>
              <w:t>。</w:t>
            </w:r>
            <w:r>
              <w:rPr>
                <w:rFonts w:hint="eastAsia" w:ascii="仿宋_GB2312" w:hAnsi="宋体" w:eastAsia="仿宋_GB2312" w:cs="仿宋_GB2312"/>
                <w:color w:val="000000"/>
                <w:kern w:val="0"/>
                <w:szCs w:val="21"/>
                <w:lang w:bidi="ar"/>
              </w:rPr>
              <w:t>2024年本市绿色技术发明专利累计授权量达到6.4万件。二是绿色产业加快培育。中关村合成生物制造产业集聚区落地昌平，中关村（延庆）无人机产业园开工，房山国家安全应急产业示范基地加快建设。三是绿色要素市场活跃。本市绿色贷款余额同比大幅增长，市政府专项绿色能源和低碳产业投资基金正式落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1417" w:type="dxa"/>
            <w:vMerge w:val="continue"/>
            <w:vAlign w:val="center"/>
          </w:tcPr>
          <w:p>
            <w:pPr>
              <w:spacing w:line="240" w:lineRule="exact"/>
              <w:jc w:val="center"/>
              <w:rPr>
                <w:rFonts w:ascii="仿宋_GB2312" w:eastAsia="仿宋_GB2312"/>
                <w:spacing w:val="-6"/>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推动永定河综合治理与生态修复工作质量提升（定性）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2024年对永定河生态补水、地下水补给方面进行跟踪评估，重点从地下水资源涵养储备、生态产品价值实现机制及陈家庄水库（群）建设必要性等方面开展专题研究，推动永定河“流动、绿色、清洁、安全”目标的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1417" w:type="dxa"/>
            <w:vMerge w:val="continue"/>
            <w:vAlign w:val="center"/>
          </w:tcPr>
          <w:p>
            <w:pPr>
              <w:spacing w:line="240" w:lineRule="exact"/>
              <w:jc w:val="center"/>
              <w:rPr>
                <w:rFonts w:ascii="仿宋_GB2312" w:eastAsia="仿宋_GB2312"/>
                <w:spacing w:val="-6"/>
                <w:szCs w:val="21"/>
              </w:rPr>
            </w:pPr>
          </w:p>
        </w:tc>
        <w:tc>
          <w:tcPr>
            <w:tcW w:w="566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通过节能监察，依法对用能违法行为进行处理，提升用能单位节能法律意识，推广节能技改及节能管理经验，推动用能单位能效提升（定性）</w:t>
            </w:r>
          </w:p>
        </w:tc>
        <w:tc>
          <w:tcPr>
            <w:tcW w:w="7087"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优。履行执法工作流程，依法对违法违规、不合理用能行为做出处理。编制《节能服务手册》，传播节能理念，推广节能技改及节能管理经验，为社会和企业提供法律法规、政策及监管指南</w:t>
            </w:r>
          </w:p>
        </w:tc>
      </w:tr>
    </w:tbl>
    <w:p>
      <w:pPr>
        <w:jc w:val="right"/>
        <w:rPr>
          <w:rFonts w:asciiTheme="minorEastAsia" w:hAnsiTheme="minorEastAsia" w:eastAsiaTheme="minorEastAsia"/>
          <w:szCs w:val="21"/>
        </w:rPr>
      </w:pPr>
      <w:r>
        <w:rPr>
          <w:rFonts w:hint="eastAsia" w:asciiTheme="minorEastAsia" w:hAnsiTheme="minorEastAsia" w:eastAsiaTheme="minorEastAsia"/>
          <w:szCs w:val="21"/>
        </w:rPr>
        <w:t>（接下页）</w:t>
      </w:r>
    </w:p>
    <w:p>
      <w:pPr>
        <w:jc w:val="left"/>
        <w:rPr>
          <w:rFonts w:asciiTheme="minorEastAsia" w:hAnsiTheme="minorEastAsia" w:eastAsiaTheme="minorEastAsia"/>
          <w:szCs w:val="21"/>
        </w:rPr>
      </w:pPr>
      <w:r>
        <w:rPr>
          <w:rFonts w:asciiTheme="minorEastAsia" w:hAnsiTheme="minorEastAsia" w:eastAsiaTheme="minorEastAsia"/>
          <w:szCs w:val="21"/>
        </w:rPr>
        <w:br w:type="page"/>
      </w:r>
    </w:p>
    <w:p>
      <w:pPr>
        <w:jc w:val="left"/>
      </w:pPr>
      <w:r>
        <w:rPr>
          <w:rFonts w:hint="eastAsia"/>
        </w:rPr>
        <w:t>（续上页）</w:t>
      </w:r>
    </w:p>
    <w:tbl>
      <w:tblPr>
        <w:tblStyle w:val="9"/>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5386"/>
        <w:gridCol w:w="7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417" w:type="dxa"/>
            <w:shd w:val="clear" w:color="auto" w:fill="D8D8D8" w:themeFill="background1" w:themeFillShade="D9"/>
            <w:vAlign w:val="center"/>
          </w:tcPr>
          <w:p>
            <w:pPr>
              <w:spacing w:line="240" w:lineRule="exact"/>
              <w:jc w:val="center"/>
              <w:rPr>
                <w:rFonts w:ascii="仿宋_GB2312" w:eastAsia="仿宋_GB2312"/>
                <w:spacing w:val="-6"/>
                <w:szCs w:val="21"/>
              </w:rPr>
            </w:pPr>
            <w:r>
              <w:rPr>
                <w:rFonts w:hint="eastAsia" w:ascii="仿宋_GB2312" w:eastAsia="仿宋_GB2312"/>
                <w:b/>
                <w:szCs w:val="21"/>
              </w:rPr>
              <w:t>二级指标</w:t>
            </w:r>
          </w:p>
        </w:tc>
        <w:tc>
          <w:tcPr>
            <w:tcW w:w="5386" w:type="dxa"/>
            <w:shd w:val="clear" w:color="auto" w:fill="D8D8D8" w:themeFill="background1" w:themeFillShade="D9"/>
            <w:vAlign w:val="center"/>
          </w:tcPr>
          <w:p>
            <w:pPr>
              <w:jc w:val="center"/>
              <w:rPr>
                <w:rFonts w:ascii="仿宋_GB2312" w:eastAsia="仿宋_GB2312"/>
                <w:spacing w:val="-2"/>
                <w:szCs w:val="21"/>
              </w:rPr>
            </w:pPr>
            <w:r>
              <w:rPr>
                <w:rFonts w:hint="eastAsia" w:ascii="仿宋_GB2312" w:eastAsia="仿宋_GB2312"/>
                <w:b/>
                <w:szCs w:val="21"/>
              </w:rPr>
              <w:t>三级指标及指标值</w:t>
            </w:r>
          </w:p>
        </w:tc>
        <w:tc>
          <w:tcPr>
            <w:tcW w:w="7370"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417" w:type="dxa"/>
            <w:vMerge w:val="restart"/>
            <w:vAlign w:val="center"/>
          </w:tcPr>
          <w:p>
            <w:pPr>
              <w:spacing w:line="240" w:lineRule="exact"/>
              <w:jc w:val="center"/>
              <w:rPr>
                <w:rFonts w:ascii="仿宋_GB2312" w:eastAsia="仿宋_GB2312"/>
                <w:spacing w:val="-6"/>
                <w:szCs w:val="21"/>
              </w:rPr>
            </w:pPr>
            <w:r>
              <w:rPr>
                <w:rFonts w:hint="eastAsia" w:ascii="仿宋_GB2312" w:eastAsia="仿宋_GB2312"/>
                <w:spacing w:val="-6"/>
                <w:szCs w:val="21"/>
              </w:rPr>
              <w:t>社会</w:t>
            </w:r>
            <w:r>
              <w:rPr>
                <w:rFonts w:ascii="仿宋_GB2312" w:eastAsia="仿宋_GB2312"/>
                <w:spacing w:val="-6"/>
                <w:szCs w:val="21"/>
              </w:rPr>
              <w:t>效益指标</w:t>
            </w:r>
          </w:p>
        </w:tc>
        <w:tc>
          <w:tcPr>
            <w:tcW w:w="5386"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加强市场调控，保持重要生活必需品价格基本稳定（定性）</w:t>
            </w:r>
          </w:p>
        </w:tc>
        <w:tc>
          <w:tcPr>
            <w:tcW w:w="7370"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优，2024年北京市各类农副产品生产有序，供应充足，价格基本稳定。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417" w:type="dxa"/>
            <w:vMerge w:val="continue"/>
            <w:vAlign w:val="center"/>
          </w:tcPr>
          <w:p>
            <w:pPr>
              <w:spacing w:line="240" w:lineRule="exact"/>
              <w:jc w:val="center"/>
              <w:rPr>
                <w:rFonts w:ascii="仿宋_GB2312" w:eastAsia="仿宋_GB2312"/>
                <w:spacing w:val="-6"/>
                <w:szCs w:val="21"/>
              </w:rPr>
            </w:pPr>
          </w:p>
        </w:tc>
        <w:tc>
          <w:tcPr>
            <w:tcW w:w="5386"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价格形成机制公开透明，为社会经济健康持续发展提供基础服务（定性）</w:t>
            </w:r>
          </w:p>
        </w:tc>
        <w:tc>
          <w:tcPr>
            <w:tcW w:w="7370"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优，跟踪、评估资源能源领域价格政策执行情况、对社会各方的影响，为优化政策提供支撑。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417" w:type="dxa"/>
            <w:vMerge w:val="continue"/>
            <w:vAlign w:val="center"/>
          </w:tcPr>
          <w:p>
            <w:pPr>
              <w:spacing w:line="240" w:lineRule="exact"/>
              <w:jc w:val="center"/>
              <w:rPr>
                <w:rFonts w:ascii="仿宋_GB2312" w:eastAsia="仿宋_GB2312"/>
                <w:spacing w:val="-6"/>
                <w:szCs w:val="21"/>
              </w:rPr>
            </w:pPr>
          </w:p>
        </w:tc>
        <w:tc>
          <w:tcPr>
            <w:tcW w:w="5386"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调查分析评估项目为收费政策研究提供基础服务，推动完善收费政策（定性）</w:t>
            </w:r>
          </w:p>
        </w:tc>
        <w:tc>
          <w:tcPr>
            <w:tcW w:w="7370"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优，跟踪、评估公用事业、公益性服务领域价格政策执行情况、对社会各方的影响，为收费政策研究储备提供支撑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1417" w:type="dxa"/>
            <w:vMerge w:val="continue"/>
            <w:vAlign w:val="center"/>
          </w:tcPr>
          <w:p>
            <w:pPr>
              <w:spacing w:line="240" w:lineRule="exact"/>
              <w:jc w:val="center"/>
              <w:rPr>
                <w:rFonts w:ascii="仿宋_GB2312" w:eastAsia="仿宋_GB2312"/>
                <w:spacing w:val="-6"/>
                <w:szCs w:val="21"/>
              </w:rPr>
            </w:pPr>
          </w:p>
        </w:tc>
        <w:tc>
          <w:tcPr>
            <w:tcW w:w="5386"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指导全市17家区级价格认证机构办理疑难重大价格鉴定事项，为准确定性量纪、定罪量刑提供重要依据，稳妥处置信访投诉事项，为社会和谐稳定发挥重要作用（定性）</w:t>
            </w:r>
          </w:p>
        </w:tc>
        <w:tc>
          <w:tcPr>
            <w:tcW w:w="7370"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指导全市17家区级价格认证机构办理疑难重大价格鉴定事项，持续为准确定性量纪、定罪量刑提供重要依据，稳妥处置信访投诉事项，确保全市整体涉纪检涉刑事价格认定工作平稳有序，为社会和谐稳定发挥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1417" w:type="dxa"/>
            <w:vMerge w:val="continue"/>
            <w:vAlign w:val="center"/>
          </w:tcPr>
          <w:p>
            <w:pPr>
              <w:spacing w:line="240" w:lineRule="exact"/>
              <w:jc w:val="center"/>
              <w:rPr>
                <w:rFonts w:ascii="仿宋_GB2312" w:eastAsia="仿宋_GB2312"/>
                <w:spacing w:val="-6"/>
                <w:szCs w:val="21"/>
              </w:rPr>
            </w:pPr>
          </w:p>
        </w:tc>
        <w:tc>
          <w:tcPr>
            <w:tcW w:w="5386"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打造更好的政务公开平台，持续推进网站建设，不断做强做优“发展北京”政务新媒体矩阵（定性）</w:t>
            </w:r>
          </w:p>
        </w:tc>
        <w:tc>
          <w:tcPr>
            <w:tcW w:w="7370"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优，市发展改革委政务网站主动公开信息7802条，围绕北京“两会”、“两新”政策等新建专题专栏；“发展北京”政务微信发布信息746篇，新开设视频号自2024年7月运营起发布视频126条。</w:t>
            </w:r>
          </w:p>
        </w:tc>
      </w:tr>
    </w:tbl>
    <w:p>
      <w:pPr>
        <w:pStyle w:val="2"/>
        <w:spacing w:after="0" w:line="240" w:lineRule="exact"/>
        <w:sectPr>
          <w:pgSz w:w="16838" w:h="11906" w:orient="landscape"/>
          <w:pgMar w:top="1800" w:right="1440" w:bottom="1800" w:left="1440" w:header="851" w:footer="992" w:gutter="0"/>
          <w:pgNumType w:fmt="numberInDash"/>
          <w:cols w:space="425" w:num="1"/>
          <w:docGrid w:type="lines" w:linePitch="312" w:charSpace="0"/>
        </w:sectPr>
      </w:pPr>
    </w:p>
    <w:p>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3.环境效益</w:t>
      </w:r>
    </w:p>
    <w:p>
      <w:pPr>
        <w:pBdr>
          <w:bottom w:val="single" w:color="FFFFFF" w:sz="4" w:space="31"/>
        </w:pBd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sz w:val="32"/>
          <w:szCs w:val="32"/>
        </w:rPr>
        <w:t>一是</w:t>
      </w:r>
      <w:r>
        <w:rPr>
          <w:rFonts w:hint="eastAsia" w:ascii="仿宋_GB2312" w:eastAsia="仿宋_GB2312"/>
          <w:sz w:val="32"/>
          <w:szCs w:val="32"/>
        </w:rPr>
        <w:t>推进光伏发电高质量发展，提高可再生能源利用，获得补贴资金的分布式光伏项目发电量约6.1亿千瓦时，折合节约标准煤16.3万吨。</w:t>
      </w:r>
      <w:r>
        <w:rPr>
          <w:rFonts w:hint="eastAsia" w:ascii="仿宋_GB2312" w:eastAsia="仿宋_GB2312"/>
          <w:b/>
          <w:sz w:val="32"/>
          <w:szCs w:val="32"/>
        </w:rPr>
        <w:t>二是</w:t>
      </w:r>
      <w:r>
        <w:rPr>
          <w:rFonts w:hint="eastAsia" w:ascii="仿宋_GB2312" w:eastAsia="仿宋_GB2312"/>
          <w:sz w:val="32"/>
          <w:szCs w:val="32"/>
        </w:rPr>
        <w:t>推行清洁生产，加快形成绿色生产方式，促进经济社会发展全面绿色转型，实现年节能49941吨标准煤，年减排二氧化碳81565余吨，年减排废水、一般固体废物、危险废物、挥发性有机物等污染物排放486余吨。年初</w:t>
      </w:r>
      <w:r>
        <w:rPr>
          <w:rFonts w:ascii="仿宋_GB2312" w:eastAsia="仿宋_GB2312"/>
          <w:sz w:val="32"/>
          <w:szCs w:val="32"/>
        </w:rPr>
        <w:t>设定的</w:t>
      </w:r>
      <w:r>
        <w:rPr>
          <w:rFonts w:hint="eastAsia" w:ascii="仿宋_GB2312" w:eastAsia="仿宋_GB2312"/>
          <w:sz w:val="32"/>
          <w:szCs w:val="32"/>
        </w:rPr>
        <w:t>2项生态效益绩效指标</w:t>
      </w:r>
      <w:r>
        <w:rPr>
          <w:rFonts w:ascii="仿宋_GB2312" w:eastAsia="仿宋_GB2312"/>
          <w:sz w:val="32"/>
          <w:szCs w:val="32"/>
        </w:rPr>
        <w:t>均已完成。</w:t>
      </w:r>
      <w:r>
        <w:rPr>
          <w:rFonts w:hint="eastAsia" w:ascii="仿宋_GB2312" w:eastAsia="仿宋_GB2312"/>
          <w:sz w:val="32"/>
          <w:szCs w:val="32"/>
        </w:rPr>
        <w:t>具体情况如下：</w:t>
      </w:r>
    </w:p>
    <w:tbl>
      <w:tblPr>
        <w:tblStyle w:val="9"/>
        <w:tblW w:w="83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402"/>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219"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3402"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c>
          <w:tcPr>
            <w:tcW w:w="3685"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4" w:hRule="atLeast"/>
        </w:trPr>
        <w:tc>
          <w:tcPr>
            <w:tcW w:w="1219" w:type="dxa"/>
            <w:vMerge w:val="restart"/>
            <w:vAlign w:val="center"/>
          </w:tcPr>
          <w:p>
            <w:pPr>
              <w:spacing w:line="240" w:lineRule="exact"/>
              <w:jc w:val="center"/>
              <w:rPr>
                <w:rFonts w:ascii="仿宋_GB2312" w:eastAsia="仿宋_GB2312"/>
                <w:szCs w:val="21"/>
              </w:rPr>
            </w:pPr>
            <w:r>
              <w:rPr>
                <w:rFonts w:hint="eastAsia" w:ascii="仿宋_GB2312" w:eastAsia="仿宋_GB2312"/>
                <w:szCs w:val="21"/>
              </w:rPr>
              <w:t>生态效益指标</w:t>
            </w:r>
          </w:p>
        </w:tc>
        <w:tc>
          <w:tcPr>
            <w:tcW w:w="34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获得补贴资金的分布式光伏项目发电量约4亿千瓦时，折合节约标准煤10.7万吨，推动可再生能源使用，并为本市减少化石能源应用、治理大气污染提供支撑（定性）</w:t>
            </w:r>
          </w:p>
        </w:tc>
        <w:tc>
          <w:tcPr>
            <w:tcW w:w="3685"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优，补贴项目年度发电量为6.1亿千瓦时，折合节约标准煤16.3万吨，推动可再生能源使用，并为本市减少化石能源应用、治理大气污染提供支撑。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4" w:hRule="atLeast"/>
        </w:trPr>
        <w:tc>
          <w:tcPr>
            <w:tcW w:w="1219" w:type="dxa"/>
            <w:vMerge w:val="continue"/>
            <w:vAlign w:val="center"/>
          </w:tcPr>
          <w:p>
            <w:pPr>
              <w:spacing w:line="240" w:lineRule="exact"/>
              <w:jc w:val="center"/>
              <w:rPr>
                <w:rFonts w:ascii="仿宋_GB2312" w:eastAsia="仿宋_GB2312"/>
                <w:szCs w:val="21"/>
              </w:rPr>
            </w:pPr>
          </w:p>
        </w:tc>
        <w:tc>
          <w:tcPr>
            <w:tcW w:w="3402" w:type="dxa"/>
            <w:vAlign w:val="center"/>
          </w:tcPr>
          <w:p>
            <w:pPr>
              <w:widowControl/>
              <w:jc w:val="left"/>
              <w:textAlignment w:val="center"/>
              <w:rPr>
                <w:rFonts w:ascii="仿宋_GB2312" w:hAnsi="仿宋_GB2312" w:eastAsia="仿宋_GB2312" w:cs="仿宋_GB2312"/>
                <w:color w:val="000000"/>
                <w:kern w:val="0"/>
                <w:szCs w:val="21"/>
                <w:highlight w:val="none"/>
                <w:lang w:bidi="ar"/>
              </w:rPr>
            </w:pPr>
            <w:r>
              <w:rPr>
                <w:rFonts w:hint="eastAsia" w:ascii="仿宋_GB2312" w:hAnsi="宋体" w:eastAsia="仿宋_GB2312" w:cs="仿宋_GB2312"/>
                <w:color w:val="000000"/>
                <w:kern w:val="0"/>
                <w:szCs w:val="21"/>
                <w:highlight w:val="none"/>
                <w:lang w:bidi="ar"/>
              </w:rPr>
              <w:t>审核单位通过实施清洁生产审核方案，实现节能、降碳、减污、增效（定性）</w:t>
            </w:r>
          </w:p>
        </w:tc>
        <w:tc>
          <w:tcPr>
            <w:tcW w:w="3685" w:type="dxa"/>
            <w:vAlign w:val="center"/>
          </w:tcPr>
          <w:p>
            <w:pPr>
              <w:widowControl/>
              <w:jc w:val="left"/>
              <w:textAlignment w:val="center"/>
              <w:rPr>
                <w:rFonts w:hint="eastAsia" w:ascii="仿宋_GB2312" w:hAnsi="仿宋_GB2312" w:eastAsia="仿宋_GB2312" w:cs="仿宋_GB2312"/>
                <w:color w:val="000000"/>
                <w:kern w:val="0"/>
                <w:szCs w:val="21"/>
                <w:highlight w:val="none"/>
                <w:lang w:eastAsia="zh-CN" w:bidi="ar"/>
              </w:rPr>
            </w:pPr>
            <w:r>
              <w:rPr>
                <w:rFonts w:hint="eastAsia" w:ascii="仿宋_GB2312" w:hAnsi="宋体" w:eastAsia="仿宋_GB2312" w:cs="仿宋_GB2312"/>
                <w:color w:val="000000"/>
                <w:kern w:val="0"/>
                <w:szCs w:val="21"/>
                <w:highlight w:val="none"/>
                <w:lang w:bidi="ar"/>
              </w:rPr>
              <w:t>优，通过清洁生产审核，有效助力相关单位节能、降碳、减污、增效</w:t>
            </w:r>
            <w:r>
              <w:rPr>
                <w:rFonts w:hint="eastAsia" w:ascii="仿宋_GB2312" w:hAnsi="宋体" w:eastAsia="仿宋_GB2312" w:cs="仿宋_GB2312"/>
                <w:color w:val="000000"/>
                <w:kern w:val="0"/>
                <w:szCs w:val="21"/>
                <w:highlight w:val="none"/>
                <w:lang w:eastAsia="zh-CN" w:bidi="ar"/>
              </w:rPr>
              <w:t>。</w:t>
            </w:r>
          </w:p>
        </w:tc>
      </w:tr>
    </w:tbl>
    <w:p>
      <w:pPr>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br w:type="page"/>
      </w:r>
    </w:p>
    <w:p>
      <w:pPr>
        <w:pBdr>
          <w:bottom w:val="single" w:color="FFFFFF" w:sz="4" w:space="31"/>
        </w:pBdr>
        <w:adjustRightInd w:val="0"/>
        <w:snapToGrid w:val="0"/>
        <w:spacing w:line="54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.可持续</w:t>
      </w:r>
      <w:r>
        <w:rPr>
          <w:rFonts w:ascii="仿宋_GB2312" w:hAnsi="宋体" w:eastAsia="仿宋_GB2312" w:cs="宋体"/>
          <w:color w:val="000000"/>
          <w:kern w:val="0"/>
          <w:sz w:val="32"/>
          <w:szCs w:val="32"/>
        </w:rPr>
        <w:t>影响</w:t>
      </w:r>
    </w:p>
    <w:p>
      <w:pPr>
        <w:pBdr>
          <w:bottom w:val="single" w:color="FFFFFF" w:sz="4" w:space="31"/>
        </w:pBdr>
        <w:adjustRightInd w:val="0"/>
        <w:snapToGrid w:val="0"/>
        <w:spacing w:line="540" w:lineRule="exact"/>
        <w:ind w:firstLine="643" w:firstLineChars="200"/>
        <w:rPr>
          <w:rFonts w:ascii="仿宋_GB2312" w:hAnsi="宋体" w:eastAsia="仿宋_GB2312" w:cs="宋体"/>
          <w:color w:val="000000"/>
          <w:kern w:val="21"/>
          <w:sz w:val="32"/>
          <w:szCs w:val="32"/>
        </w:rPr>
      </w:pPr>
      <w:r>
        <w:rPr>
          <w:rFonts w:hint="eastAsia" w:ascii="仿宋_GB2312" w:hAnsi="宋体" w:eastAsia="仿宋_GB2312" w:cs="宋体"/>
          <w:b/>
          <w:bCs/>
          <w:color w:val="000000"/>
          <w:kern w:val="21"/>
          <w:sz w:val="32"/>
          <w:szCs w:val="32"/>
        </w:rPr>
        <w:t>一是</w:t>
      </w:r>
      <w:r>
        <w:rPr>
          <w:rFonts w:hint="eastAsia" w:ascii="仿宋_GB2312" w:hAnsi="宋体" w:eastAsia="仿宋_GB2312" w:cs="宋体"/>
          <w:color w:val="000000"/>
          <w:kern w:val="21"/>
          <w:sz w:val="32"/>
          <w:szCs w:val="32"/>
        </w:rPr>
        <w:t>推动科技创新发展，持续推进全国科技创新中心建设工作，高精尖产业新动能培育卓有成效。</w:t>
      </w:r>
      <w:r>
        <w:rPr>
          <w:rFonts w:hint="eastAsia" w:ascii="仿宋_GB2312" w:hAnsi="宋体" w:eastAsia="仿宋_GB2312" w:cs="宋体"/>
          <w:b/>
          <w:bCs/>
          <w:color w:val="000000"/>
          <w:kern w:val="21"/>
          <w:sz w:val="32"/>
          <w:szCs w:val="32"/>
        </w:rPr>
        <w:t>二是</w:t>
      </w:r>
      <w:r>
        <w:rPr>
          <w:rFonts w:hint="eastAsia" w:ascii="仿宋_GB2312" w:hAnsi="宋体" w:eastAsia="仿宋_GB2312" w:cs="宋体"/>
          <w:color w:val="000000"/>
          <w:kern w:val="21"/>
          <w:sz w:val="32"/>
          <w:szCs w:val="32"/>
        </w:rPr>
        <w:t>推动京津冀协同发展，推进“六链五群”产业布局加速落地，推进京津冀国家技术创新中心提质增效，京津冀协同发展取得明显成效。</w:t>
      </w:r>
      <w:r>
        <w:rPr>
          <w:rFonts w:hint="eastAsia" w:ascii="仿宋_GB2312" w:hAnsi="宋体" w:eastAsia="仿宋_GB2312" w:cs="宋体"/>
          <w:b/>
          <w:bCs/>
          <w:color w:val="000000"/>
          <w:kern w:val="21"/>
          <w:sz w:val="32"/>
          <w:szCs w:val="32"/>
        </w:rPr>
        <w:t>三是</w:t>
      </w:r>
      <w:r>
        <w:rPr>
          <w:rFonts w:hint="eastAsia" w:ascii="仿宋_GB2312" w:hAnsi="宋体" w:eastAsia="仿宋_GB2312" w:cs="宋体"/>
          <w:color w:val="000000"/>
          <w:kern w:val="21"/>
          <w:sz w:val="32"/>
          <w:szCs w:val="32"/>
        </w:rPr>
        <w:t>持续掌握定价成本数据，形成至少连续2年的成本数据。年初设定的3项可持续影响绩效指标均已完成。具体情况如下：</w:t>
      </w:r>
    </w:p>
    <w:tbl>
      <w:tblPr>
        <w:tblStyle w:val="9"/>
        <w:tblW w:w="83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402"/>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219"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3402"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c>
          <w:tcPr>
            <w:tcW w:w="3685"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8" w:hRule="atLeast"/>
        </w:trPr>
        <w:tc>
          <w:tcPr>
            <w:tcW w:w="1219" w:type="dxa"/>
            <w:vMerge w:val="restart"/>
            <w:vAlign w:val="center"/>
          </w:tcPr>
          <w:p>
            <w:pPr>
              <w:jc w:val="center"/>
              <w:rPr>
                <w:rFonts w:ascii="仿宋_GB2312" w:eastAsia="仿宋_GB2312"/>
                <w:szCs w:val="21"/>
              </w:rPr>
            </w:pPr>
            <w:r>
              <w:rPr>
                <w:rFonts w:hint="eastAsia" w:ascii="仿宋_GB2312" w:eastAsia="仿宋_GB2312"/>
                <w:szCs w:val="21"/>
              </w:rPr>
              <w:t>可持续</w:t>
            </w:r>
          </w:p>
          <w:p>
            <w:pPr>
              <w:jc w:val="center"/>
              <w:rPr>
                <w:rFonts w:ascii="仿宋_GB2312" w:eastAsia="仿宋_GB2312"/>
                <w:szCs w:val="21"/>
              </w:rPr>
            </w:pPr>
            <w:r>
              <w:rPr>
                <w:rFonts w:hint="eastAsia" w:ascii="仿宋_GB2312" w:eastAsia="仿宋_GB2312"/>
                <w:szCs w:val="21"/>
              </w:rPr>
              <w:t>影响指标</w:t>
            </w:r>
          </w:p>
        </w:tc>
        <w:tc>
          <w:tcPr>
            <w:tcW w:w="34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全国科技创新中心建设及高精尖产业未来协调、可持续发展（定性）</w:t>
            </w:r>
          </w:p>
        </w:tc>
        <w:tc>
          <w:tcPr>
            <w:tcW w:w="3685"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一是科创中心建设工作持续推进。顶层政策和机制设计持续加强，国家实验室等战略科技力量不断强化，怀柔综合性科学中心建设运行开放齐发力。二是高精尖产业新动能培育卓有成效。集成电路战略任务扎实推进，产能持续提升，人工智能创新高地建设全国领先，新能源汽车持续提质升级发展，医药健康政策体系不断完善，商业航天、量子、6G等未来产业积聚成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219" w:type="dxa"/>
            <w:vMerge w:val="continue"/>
            <w:vAlign w:val="center"/>
          </w:tcPr>
          <w:p>
            <w:pPr>
              <w:jc w:val="center"/>
              <w:rPr>
                <w:rFonts w:ascii="仿宋_GB2312" w:eastAsia="仿宋_GB2312"/>
                <w:szCs w:val="21"/>
              </w:rPr>
            </w:pPr>
          </w:p>
        </w:tc>
        <w:tc>
          <w:tcPr>
            <w:tcW w:w="34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推动京津冀协同发展（定性）</w:t>
            </w:r>
          </w:p>
        </w:tc>
        <w:tc>
          <w:tcPr>
            <w:tcW w:w="3685"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优，推进“六链五群”产业布局加速落地，推进京津冀国家技术创新中心提质增效，京津冀协同发展取得明显成效。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219" w:type="dxa"/>
            <w:vMerge w:val="continue"/>
            <w:vAlign w:val="center"/>
          </w:tcPr>
          <w:p>
            <w:pPr>
              <w:jc w:val="center"/>
              <w:rPr>
                <w:rFonts w:ascii="仿宋_GB2312" w:eastAsia="仿宋_GB2312"/>
                <w:szCs w:val="21"/>
              </w:rPr>
            </w:pPr>
          </w:p>
        </w:tc>
        <w:tc>
          <w:tcPr>
            <w:tcW w:w="34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持续掌握定价成本数据（定性）</w:t>
            </w:r>
          </w:p>
        </w:tc>
        <w:tc>
          <w:tcPr>
            <w:tcW w:w="3685"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优，将形成至少连续2年的成本数据。</w:t>
            </w:r>
          </w:p>
        </w:tc>
      </w:tr>
    </w:tbl>
    <w:p>
      <w:pPr>
        <w:rPr>
          <w:rFonts w:ascii="黑体" w:hAnsi="黑体" w:eastAsia="黑体" w:cs="宋体"/>
          <w:color w:val="000000"/>
          <w:kern w:val="0"/>
          <w:sz w:val="32"/>
          <w:szCs w:val="32"/>
        </w:rPr>
      </w:pPr>
      <w:r>
        <w:rPr>
          <w:rFonts w:hint="eastAsia" w:ascii="黑体" w:hAnsi="黑体" w:eastAsia="黑体" w:cs="宋体"/>
          <w:color w:val="000000"/>
          <w:kern w:val="0"/>
          <w:sz w:val="32"/>
          <w:szCs w:val="32"/>
        </w:rPr>
        <w:br w:type="page"/>
      </w:r>
    </w:p>
    <w:p>
      <w:pPr>
        <w:pBdr>
          <w:bottom w:val="single" w:color="FFFFFF" w:sz="4" w:space="31"/>
        </w:pBdr>
        <w:adjustRightInd w:val="0"/>
        <w:snapToGrid w:val="0"/>
        <w:spacing w:line="54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5.服务对象满意度</w:t>
      </w:r>
    </w:p>
    <w:p>
      <w:pPr>
        <w:pBdr>
          <w:bottom w:val="single" w:color="FFFFFF" w:sz="4" w:space="31"/>
        </w:pBdr>
        <w:adjustRightInd w:val="0"/>
        <w:snapToGrid w:val="0"/>
        <w:spacing w:line="540" w:lineRule="exact"/>
        <w:ind w:firstLine="643" w:firstLineChars="200"/>
        <w:rPr>
          <w:rFonts w:ascii="仿宋_GB2312" w:hAnsi="宋体" w:eastAsia="仿宋_GB2312" w:cs="宋体"/>
          <w:color w:val="000000"/>
          <w:kern w:val="21"/>
          <w:sz w:val="32"/>
          <w:szCs w:val="32"/>
        </w:rPr>
      </w:pPr>
      <w:r>
        <w:rPr>
          <w:rFonts w:hint="eastAsia" w:ascii="仿宋_GB2312" w:hAnsi="宋体" w:eastAsia="仿宋_GB2312" w:cs="宋体"/>
          <w:b/>
          <w:bCs/>
          <w:color w:val="000000"/>
          <w:kern w:val="21"/>
          <w:sz w:val="32"/>
          <w:szCs w:val="32"/>
        </w:rPr>
        <w:t>一是</w:t>
      </w:r>
      <w:r>
        <w:rPr>
          <w:rFonts w:hint="eastAsia" w:ascii="仿宋_GB2312" w:hAnsi="宋体" w:eastAsia="仿宋_GB2312" w:cs="宋体"/>
          <w:color w:val="000000"/>
          <w:kern w:val="21"/>
          <w:sz w:val="32"/>
          <w:szCs w:val="32"/>
        </w:rPr>
        <w:t>推进本市光伏发电高质量发展，开展光伏奖励资金满意度调查统计，法人单位满意度100%，自然人满意度95%。</w:t>
      </w:r>
      <w:r>
        <w:rPr>
          <w:rFonts w:hint="eastAsia" w:ascii="仿宋_GB2312" w:hAnsi="宋体" w:eastAsia="仿宋_GB2312" w:cs="宋体"/>
          <w:b/>
          <w:bCs/>
          <w:color w:val="000000"/>
          <w:kern w:val="21"/>
          <w:sz w:val="32"/>
          <w:szCs w:val="32"/>
        </w:rPr>
        <w:t>二是</w:t>
      </w:r>
      <w:bookmarkStart w:id="0" w:name="OLE_LINK1"/>
      <w:r>
        <w:rPr>
          <w:rFonts w:hint="eastAsia" w:ascii="仿宋_GB2312" w:hAnsi="宋体" w:eastAsia="仿宋_GB2312" w:cs="宋体"/>
          <w:color w:val="000000"/>
          <w:kern w:val="21"/>
          <w:sz w:val="32"/>
          <w:szCs w:val="32"/>
        </w:rPr>
        <w:t>成功举办中国品牌日</w:t>
      </w:r>
      <w:bookmarkEnd w:id="0"/>
      <w:r>
        <w:rPr>
          <w:rFonts w:hint="eastAsia" w:ascii="仿宋_GB2312" w:hAnsi="宋体" w:eastAsia="仿宋_GB2312" w:cs="宋体"/>
          <w:color w:val="000000"/>
          <w:kern w:val="21"/>
          <w:sz w:val="32"/>
          <w:szCs w:val="32"/>
        </w:rPr>
        <w:t>北京活动，以“魅力京华”为主题，展示北京整体城市品牌形象和价值，带领公众深入感知新时代首都高质量发展新成果，参与企业满意度100%。年初设定的2项可持续影响绩效指标均已完成。具体情况如下：</w:t>
      </w:r>
    </w:p>
    <w:tbl>
      <w:tblPr>
        <w:tblStyle w:val="9"/>
        <w:tblW w:w="83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3402"/>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219"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二级指标</w:t>
            </w:r>
          </w:p>
        </w:tc>
        <w:tc>
          <w:tcPr>
            <w:tcW w:w="3402"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三级指标及指标值</w:t>
            </w:r>
          </w:p>
        </w:tc>
        <w:tc>
          <w:tcPr>
            <w:tcW w:w="3685" w:type="dxa"/>
            <w:shd w:val="clear" w:color="auto" w:fill="D8D8D8" w:themeFill="background1" w:themeFillShade="D9"/>
            <w:vAlign w:val="center"/>
          </w:tcPr>
          <w:p>
            <w:pPr>
              <w:jc w:val="center"/>
              <w:rPr>
                <w:rFonts w:ascii="仿宋_GB2312" w:eastAsia="仿宋_GB2312"/>
                <w:b/>
                <w:szCs w:val="21"/>
              </w:rPr>
            </w:pPr>
            <w:r>
              <w:rPr>
                <w:rFonts w:hint="eastAsia" w:ascii="仿宋_GB2312" w:eastAsia="仿宋_GB2312"/>
                <w:b/>
                <w:szCs w:val="21"/>
              </w:rPr>
              <w:t>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219" w:type="dxa"/>
            <w:vMerge w:val="restart"/>
            <w:vAlign w:val="center"/>
          </w:tcPr>
          <w:p>
            <w:pPr>
              <w:jc w:val="center"/>
              <w:rPr>
                <w:rFonts w:ascii="仿宋_GB2312" w:eastAsia="仿宋_GB2312"/>
                <w:szCs w:val="21"/>
              </w:rPr>
            </w:pPr>
            <w:r>
              <w:rPr>
                <w:rFonts w:hint="eastAsia" w:ascii="仿宋_GB2312" w:eastAsia="仿宋_GB2312"/>
                <w:szCs w:val="21"/>
              </w:rPr>
              <w:t>服务对象满意度</w:t>
            </w:r>
          </w:p>
          <w:p>
            <w:pPr>
              <w:jc w:val="center"/>
              <w:rPr>
                <w:rFonts w:ascii="仿宋_GB2312" w:eastAsia="仿宋_GB2312"/>
                <w:szCs w:val="21"/>
              </w:rPr>
            </w:pPr>
            <w:r>
              <w:rPr>
                <w:rFonts w:hint="eastAsia" w:ascii="仿宋_GB2312" w:eastAsia="仿宋_GB2312"/>
                <w:szCs w:val="21"/>
              </w:rPr>
              <w:t>指标</w:t>
            </w:r>
          </w:p>
        </w:tc>
        <w:tc>
          <w:tcPr>
            <w:tcW w:w="34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光伏资金自然人满意度、法人满意度≥90%</w:t>
            </w:r>
          </w:p>
        </w:tc>
        <w:tc>
          <w:tcPr>
            <w:tcW w:w="3685"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法人单位满意度100%，自然人满意度95%。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219" w:type="dxa"/>
            <w:vMerge w:val="continue"/>
            <w:vAlign w:val="center"/>
          </w:tcPr>
          <w:p>
            <w:pPr>
              <w:jc w:val="center"/>
              <w:rPr>
                <w:rFonts w:ascii="仿宋_GB2312" w:eastAsia="仿宋_GB2312"/>
                <w:szCs w:val="21"/>
              </w:rPr>
            </w:pPr>
          </w:p>
        </w:tc>
        <w:tc>
          <w:tcPr>
            <w:tcW w:w="34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品牌日参与企业满意度≥90%</w:t>
            </w:r>
          </w:p>
        </w:tc>
        <w:tc>
          <w:tcPr>
            <w:tcW w:w="3685"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参与企业满意度100%</w:t>
            </w:r>
          </w:p>
        </w:tc>
      </w:tr>
    </w:tbl>
    <w:p>
      <w:pPr>
        <w:rPr>
          <w:rFonts w:ascii="黑体" w:hAnsi="黑体" w:eastAsia="黑体" w:cs="宋体"/>
          <w:color w:val="000000"/>
          <w:kern w:val="0"/>
          <w:sz w:val="32"/>
          <w:szCs w:val="32"/>
        </w:rPr>
      </w:pPr>
      <w:r>
        <w:rPr>
          <w:rFonts w:hint="eastAsia" w:ascii="黑体" w:hAnsi="黑体" w:eastAsia="黑体" w:cs="宋体"/>
          <w:color w:val="000000"/>
          <w:kern w:val="0"/>
          <w:sz w:val="32"/>
          <w:szCs w:val="32"/>
        </w:rPr>
        <w:br w:type="page"/>
      </w:r>
    </w:p>
    <w:p>
      <w:pPr>
        <w:pBdr>
          <w:bottom w:val="single" w:color="FFFFFF" w:sz="4" w:space="31"/>
        </w:pBdr>
        <w:adjustRightInd w:val="0"/>
        <w:snapToGri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pBdr>
          <w:bottom w:val="single" w:color="FFFFFF" w:sz="4" w:space="31"/>
        </w:pBdr>
        <w:adjustRightInd w:val="0"/>
        <w:snapToGrid w:val="0"/>
        <w:spacing w:line="560" w:lineRule="exact"/>
        <w:ind w:firstLine="640" w:firstLineChars="200"/>
        <w:rPr>
          <w:rFonts w:ascii="楷体_GB2312" w:eastAsia="楷体_GB2312"/>
          <w:sz w:val="32"/>
          <w:szCs w:val="32"/>
        </w:rPr>
      </w:pPr>
      <w:r>
        <w:rPr>
          <w:rFonts w:hint="eastAsia" w:ascii="楷体_GB2312" w:eastAsia="楷体_GB2312"/>
          <w:sz w:val="32"/>
          <w:szCs w:val="32"/>
        </w:rPr>
        <w:t>（一）财务管理</w:t>
      </w:r>
    </w:p>
    <w:p>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2024年，在市委市政府的坚强领导下，市发展改革委认真做好各项财务管理与保障工作，严格落实“管理有序、保障有力、求实创新、统筹协调”的财务管理要求，保障各项发展改革工作顺利开展。</w:t>
      </w:r>
    </w:p>
    <w:p>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1.财务管理制度健全性</w:t>
      </w:r>
    </w:p>
    <w:p>
      <w:pPr>
        <w:pBdr>
          <w:bottom w:val="single" w:color="FFFFFF" w:sz="4" w:space="31"/>
        </w:pBdr>
        <w:adjustRightInd w:val="0"/>
        <w:snapToGrid w:val="0"/>
        <w:spacing w:line="560" w:lineRule="exact"/>
        <w:ind w:firstLine="640" w:firstLineChars="200"/>
        <w:rPr>
          <w:rFonts w:ascii="仿宋_GB2312" w:hAnsi="宋体" w:eastAsia="仿宋_GB2312" w:cs="宋体"/>
          <w:bCs/>
          <w:color w:val="000000"/>
          <w:kern w:val="0"/>
          <w:sz w:val="32"/>
          <w:szCs w:val="32"/>
        </w:rPr>
      </w:pPr>
      <w:r>
        <w:rPr>
          <w:rFonts w:hint="eastAsia" w:ascii="仿宋_GB2312" w:hAnsi="宋体" w:eastAsia="仿宋_GB2312" w:cs="宋体"/>
          <w:color w:val="000000"/>
          <w:kern w:val="0"/>
          <w:sz w:val="32"/>
          <w:szCs w:val="32"/>
        </w:rPr>
        <w:t>市发展改革委已基本构建</w:t>
      </w:r>
      <w:r>
        <w:rPr>
          <w:rFonts w:ascii="仿宋_GB2312" w:hAnsi="宋体" w:eastAsia="仿宋_GB2312" w:cs="宋体"/>
          <w:color w:val="000000"/>
          <w:kern w:val="0"/>
          <w:sz w:val="32"/>
          <w:szCs w:val="32"/>
        </w:rPr>
        <w:t>起层次清晰、覆盖全面的财务管理制度体系，</w:t>
      </w:r>
      <w:r>
        <w:rPr>
          <w:rFonts w:hint="eastAsia" w:ascii="仿宋_GB2312" w:hAnsi="宋体" w:eastAsia="仿宋_GB2312" w:cs="宋体"/>
          <w:color w:val="000000"/>
          <w:kern w:val="0"/>
          <w:sz w:val="32"/>
          <w:szCs w:val="32"/>
        </w:rPr>
        <w:t>并通过</w:t>
      </w:r>
      <w:r>
        <w:rPr>
          <w:rFonts w:ascii="仿宋_GB2312" w:hAnsi="宋体" w:eastAsia="仿宋_GB2312" w:cs="宋体"/>
          <w:color w:val="000000"/>
          <w:kern w:val="0"/>
          <w:sz w:val="32"/>
          <w:szCs w:val="32"/>
        </w:rPr>
        <w:t>健全和优化</w:t>
      </w:r>
      <w:r>
        <w:rPr>
          <w:rFonts w:hint="eastAsia" w:ascii="仿宋_GB2312" w:hAnsi="宋体" w:eastAsia="仿宋_GB2312" w:cs="宋体"/>
          <w:color w:val="000000"/>
          <w:kern w:val="0"/>
          <w:sz w:val="32"/>
          <w:szCs w:val="32"/>
        </w:rPr>
        <w:t>预算编制</w:t>
      </w:r>
      <w:r>
        <w:rPr>
          <w:rFonts w:ascii="仿宋_GB2312" w:hAnsi="宋体" w:eastAsia="仿宋_GB2312" w:cs="宋体"/>
          <w:color w:val="000000"/>
          <w:kern w:val="0"/>
          <w:sz w:val="32"/>
          <w:szCs w:val="32"/>
        </w:rPr>
        <w:t>、收支管理、采购实施、资产管理</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合同</w:t>
      </w:r>
      <w:r>
        <w:rPr>
          <w:rFonts w:hint="eastAsia" w:ascii="仿宋_GB2312" w:hAnsi="宋体" w:eastAsia="仿宋_GB2312" w:cs="宋体"/>
          <w:color w:val="000000"/>
          <w:kern w:val="0"/>
          <w:sz w:val="32"/>
          <w:szCs w:val="32"/>
        </w:rPr>
        <w:t>控制</w:t>
      </w:r>
      <w:r>
        <w:rPr>
          <w:rFonts w:ascii="仿宋_GB2312" w:hAnsi="宋体" w:eastAsia="仿宋_GB2312" w:cs="宋体"/>
          <w:color w:val="000000"/>
          <w:kern w:val="0"/>
          <w:sz w:val="32"/>
          <w:szCs w:val="32"/>
        </w:rPr>
        <w:t>等制度流程规范，</w:t>
      </w:r>
      <w:r>
        <w:rPr>
          <w:rFonts w:hint="eastAsia" w:ascii="仿宋_GB2312" w:hAnsi="宋体" w:eastAsia="仿宋_GB2312" w:cs="宋体"/>
          <w:color w:val="000000"/>
          <w:kern w:val="0"/>
          <w:sz w:val="32"/>
          <w:szCs w:val="32"/>
        </w:rPr>
        <w:t>发挥</w:t>
      </w:r>
      <w:r>
        <w:rPr>
          <w:rFonts w:ascii="仿宋_GB2312" w:hAnsi="宋体" w:eastAsia="仿宋_GB2312" w:cs="宋体"/>
          <w:color w:val="000000"/>
          <w:kern w:val="0"/>
          <w:sz w:val="32"/>
          <w:szCs w:val="32"/>
        </w:rPr>
        <w:t>和</w:t>
      </w:r>
      <w:r>
        <w:rPr>
          <w:rFonts w:hint="eastAsia" w:ascii="仿宋_GB2312" w:hAnsi="宋体" w:eastAsia="仿宋_GB2312" w:cs="宋体"/>
          <w:color w:val="000000"/>
          <w:kern w:val="0"/>
          <w:sz w:val="32"/>
          <w:szCs w:val="32"/>
        </w:rPr>
        <w:t>提升岗位</w:t>
      </w:r>
      <w:r>
        <w:rPr>
          <w:rFonts w:ascii="仿宋_GB2312" w:hAnsi="宋体" w:eastAsia="仿宋_GB2312" w:cs="宋体"/>
          <w:color w:val="000000"/>
          <w:kern w:val="0"/>
          <w:sz w:val="32"/>
          <w:szCs w:val="32"/>
        </w:rPr>
        <w:t>制衡</w:t>
      </w:r>
      <w:r>
        <w:rPr>
          <w:rFonts w:hint="eastAsia" w:ascii="仿宋_GB2312" w:hAnsi="宋体" w:eastAsia="仿宋_GB2312" w:cs="宋体"/>
          <w:color w:val="000000"/>
          <w:kern w:val="0"/>
          <w:sz w:val="32"/>
          <w:szCs w:val="32"/>
        </w:rPr>
        <w:t>分离</w:t>
      </w:r>
      <w:r>
        <w:rPr>
          <w:rFonts w:ascii="仿宋_GB2312" w:hAnsi="宋体" w:eastAsia="仿宋_GB2312" w:cs="宋体"/>
          <w:color w:val="000000"/>
          <w:kern w:val="0"/>
          <w:sz w:val="32"/>
          <w:szCs w:val="32"/>
        </w:rPr>
        <w:t>机制</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分级授权审批管理及</w:t>
      </w:r>
      <w:r>
        <w:rPr>
          <w:rFonts w:hint="eastAsia" w:ascii="仿宋_GB2312" w:hAnsi="宋体" w:eastAsia="仿宋_GB2312" w:cs="宋体"/>
          <w:color w:val="000000"/>
          <w:kern w:val="0"/>
          <w:sz w:val="32"/>
          <w:szCs w:val="32"/>
        </w:rPr>
        <w:t>内审财会</w:t>
      </w:r>
      <w:r>
        <w:rPr>
          <w:rFonts w:ascii="仿宋_GB2312" w:hAnsi="宋体" w:eastAsia="仿宋_GB2312" w:cs="宋体"/>
          <w:color w:val="000000"/>
          <w:kern w:val="0"/>
          <w:sz w:val="32"/>
          <w:szCs w:val="32"/>
        </w:rPr>
        <w:t>监督</w:t>
      </w:r>
      <w:r>
        <w:rPr>
          <w:rFonts w:hint="eastAsia" w:ascii="仿宋_GB2312" w:hAnsi="宋体" w:eastAsia="仿宋_GB2312" w:cs="宋体"/>
          <w:color w:val="000000"/>
          <w:kern w:val="0"/>
          <w:sz w:val="32"/>
          <w:szCs w:val="32"/>
        </w:rPr>
        <w:t>联动质效</w:t>
      </w:r>
      <w:r>
        <w:rPr>
          <w:rFonts w:ascii="仿宋_GB2312" w:hAnsi="宋体" w:eastAsia="仿宋_GB2312" w:cs="宋体"/>
          <w:color w:val="000000"/>
          <w:kern w:val="0"/>
          <w:sz w:val="32"/>
          <w:szCs w:val="32"/>
        </w:rPr>
        <w:t>等方式，</w:t>
      </w:r>
      <w:r>
        <w:rPr>
          <w:rFonts w:hint="eastAsia" w:ascii="仿宋_GB2312" w:hAnsi="宋体" w:eastAsia="仿宋_GB2312" w:cs="宋体"/>
          <w:color w:val="000000"/>
          <w:kern w:val="0"/>
          <w:sz w:val="32"/>
          <w:szCs w:val="32"/>
        </w:rPr>
        <w:t>实现了</w:t>
      </w:r>
      <w:r>
        <w:rPr>
          <w:rFonts w:ascii="仿宋_GB2312" w:hAnsi="宋体" w:eastAsia="仿宋_GB2312" w:cs="宋体"/>
          <w:color w:val="000000"/>
          <w:kern w:val="0"/>
          <w:sz w:val="32"/>
          <w:szCs w:val="32"/>
        </w:rPr>
        <w:t>财务管理全链条、全要素闭环管理</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财务运行整体规范有序、风险可控。</w:t>
      </w:r>
      <w:r>
        <w:rPr>
          <w:rFonts w:hint="eastAsia" w:ascii="仿宋_GB2312" w:hAnsi="宋体" w:eastAsia="仿宋_GB2312" w:cs="宋体"/>
          <w:color w:val="000000"/>
          <w:kern w:val="0"/>
          <w:sz w:val="32"/>
          <w:szCs w:val="32"/>
        </w:rPr>
        <w:t>2024年以来</w:t>
      </w:r>
      <w:r>
        <w:rPr>
          <w:rFonts w:ascii="仿宋_GB2312" w:hAnsi="宋体" w:eastAsia="仿宋_GB2312" w:cs="宋体"/>
          <w:color w:val="000000"/>
          <w:kern w:val="0"/>
          <w:sz w:val="32"/>
          <w:szCs w:val="32"/>
        </w:rPr>
        <w:t>，已</w:t>
      </w:r>
      <w:r>
        <w:rPr>
          <w:rFonts w:hint="eastAsia" w:ascii="仿宋_GB2312" w:hAnsi="宋体" w:eastAsia="仿宋_GB2312" w:cs="宋体"/>
          <w:color w:val="000000"/>
          <w:kern w:val="0"/>
          <w:sz w:val="32"/>
          <w:szCs w:val="32"/>
        </w:rPr>
        <w:t>围绕工作实际，</w:t>
      </w:r>
      <w:r>
        <w:rPr>
          <w:rFonts w:ascii="仿宋_GB2312" w:hAnsi="宋体" w:eastAsia="仿宋_GB2312" w:cs="宋体"/>
          <w:color w:val="000000"/>
          <w:kern w:val="0"/>
          <w:sz w:val="32"/>
          <w:szCs w:val="32"/>
        </w:rPr>
        <w:t>进一步</w:t>
      </w:r>
      <w:r>
        <w:rPr>
          <w:rFonts w:hint="eastAsia" w:ascii="仿宋_GB2312" w:hAnsi="宋体" w:eastAsia="仿宋_GB2312" w:cs="宋体"/>
          <w:color w:val="000000"/>
          <w:kern w:val="0"/>
          <w:sz w:val="32"/>
          <w:szCs w:val="32"/>
        </w:rPr>
        <w:t>完善制度机制、</w:t>
      </w:r>
      <w:r>
        <w:rPr>
          <w:rFonts w:ascii="仿宋_GB2312" w:hAnsi="宋体" w:eastAsia="仿宋_GB2312" w:cs="宋体"/>
          <w:color w:val="000000"/>
          <w:kern w:val="0"/>
          <w:sz w:val="32"/>
          <w:szCs w:val="32"/>
        </w:rPr>
        <w:t>夯实财务</w:t>
      </w:r>
      <w:r>
        <w:rPr>
          <w:rFonts w:hint="eastAsia" w:ascii="仿宋_GB2312" w:hAnsi="宋体" w:eastAsia="仿宋_GB2312" w:cs="宋体"/>
          <w:color w:val="000000"/>
          <w:kern w:val="0"/>
          <w:sz w:val="32"/>
          <w:szCs w:val="32"/>
        </w:rPr>
        <w:t>管理基础。</w:t>
      </w:r>
      <w:r>
        <w:rPr>
          <w:rFonts w:hint="eastAsia" w:ascii="仿宋_GB2312" w:hAnsi="宋体" w:eastAsia="仿宋_GB2312" w:cs="宋体"/>
          <w:b/>
          <w:color w:val="000000"/>
          <w:kern w:val="0"/>
          <w:sz w:val="32"/>
          <w:szCs w:val="32"/>
        </w:rPr>
        <w:t>一是</w:t>
      </w:r>
      <w:r>
        <w:rPr>
          <w:rFonts w:hint="eastAsia" w:ascii="仿宋_GB2312" w:hAnsi="宋体" w:eastAsia="仿宋_GB2312" w:cs="宋体"/>
          <w:bCs/>
          <w:color w:val="000000"/>
          <w:kern w:val="0"/>
          <w:sz w:val="32"/>
          <w:szCs w:val="32"/>
        </w:rPr>
        <w:t>制定印发了《关于</w:t>
      </w:r>
      <w:r>
        <w:rPr>
          <w:rFonts w:hint="eastAsia" w:ascii="仿宋_GB2312" w:hAnsi="宋体" w:eastAsia="仿宋_GB2312" w:cs="宋体"/>
          <w:bCs/>
          <w:color w:val="000000"/>
          <w:spacing w:val="-6"/>
          <w:kern w:val="0"/>
          <w:sz w:val="32"/>
          <w:szCs w:val="32"/>
        </w:rPr>
        <w:t>进一步规范和加强大额资金使用及重点预算管理工作的通知》，</w:t>
      </w:r>
      <w:r>
        <w:rPr>
          <w:rFonts w:hint="eastAsia" w:ascii="仿宋_GB2312" w:hAnsi="宋体" w:eastAsia="仿宋_GB2312" w:cs="宋体"/>
          <w:bCs/>
          <w:color w:val="000000"/>
          <w:kern w:val="0"/>
          <w:sz w:val="32"/>
          <w:szCs w:val="32"/>
        </w:rPr>
        <w:t>规范和加强了大额资金使用、预决算管理、财务收支、</w:t>
      </w:r>
      <w:r>
        <w:rPr>
          <w:rFonts w:hint="eastAsia" w:ascii="仿宋_GB2312" w:hAnsi="宋体" w:eastAsia="仿宋_GB2312" w:cs="宋体"/>
          <w:bCs/>
          <w:color w:val="000000"/>
          <w:spacing w:val="6"/>
          <w:kern w:val="0"/>
          <w:sz w:val="32"/>
          <w:szCs w:val="32"/>
        </w:rPr>
        <w:t>政府采购、资产管理，实现各级党组织对大额资金使用及</w:t>
      </w:r>
      <w:r>
        <w:rPr>
          <w:rFonts w:hint="eastAsia" w:ascii="仿宋_GB2312" w:hAnsi="宋体" w:eastAsia="仿宋_GB2312" w:cs="宋体"/>
          <w:bCs/>
          <w:color w:val="000000"/>
          <w:kern w:val="0"/>
          <w:sz w:val="32"/>
          <w:szCs w:val="32"/>
        </w:rPr>
        <w:t>重点预算管理事项的事前事中事后全链条决策和监督。</w:t>
      </w:r>
      <w:r>
        <w:rPr>
          <w:rFonts w:hint="eastAsia" w:ascii="仿宋_GB2312" w:hAnsi="宋体" w:eastAsia="仿宋_GB2312" w:cs="宋体"/>
          <w:b/>
          <w:color w:val="000000"/>
          <w:kern w:val="0"/>
          <w:sz w:val="32"/>
          <w:szCs w:val="32"/>
        </w:rPr>
        <w:t>二是</w:t>
      </w:r>
      <w:r>
        <w:rPr>
          <w:rFonts w:hint="eastAsia" w:ascii="仿宋_GB2312" w:hAnsi="宋体" w:eastAsia="仿宋_GB2312" w:cs="宋体"/>
          <w:bCs/>
          <w:color w:val="000000"/>
          <w:kern w:val="0"/>
          <w:sz w:val="32"/>
          <w:szCs w:val="32"/>
        </w:rPr>
        <w:t>制定印发了《关于进一步加强展览展示活动实物资产管理的通知》，以“预算控制、全程管理，租借并举、严控新购，分类处置、残值上缴”为基本原则加强展览展示活动实物资产管理，提升财政资金使用效益。</w:t>
      </w:r>
      <w:r>
        <w:rPr>
          <w:rFonts w:hint="eastAsia" w:ascii="仿宋_GB2312" w:hAnsi="宋体" w:eastAsia="仿宋_GB2312" w:cs="宋体"/>
          <w:b/>
          <w:color w:val="000000"/>
          <w:kern w:val="0"/>
          <w:sz w:val="32"/>
          <w:szCs w:val="32"/>
        </w:rPr>
        <w:t>三是</w:t>
      </w:r>
      <w:r>
        <w:rPr>
          <w:rFonts w:hint="eastAsia" w:ascii="仿宋_GB2312" w:hAnsi="宋体" w:eastAsia="仿宋_GB2312" w:cs="宋体"/>
          <w:bCs/>
          <w:color w:val="000000"/>
          <w:kern w:val="0"/>
          <w:sz w:val="32"/>
          <w:szCs w:val="32"/>
        </w:rPr>
        <w:t>依据中办国办印发2024年</w:t>
      </w:r>
      <w:r>
        <w:rPr>
          <w:rFonts w:ascii="仿宋_GB2312" w:hAnsi="宋体" w:eastAsia="仿宋_GB2312" w:cs="宋体"/>
          <w:bCs/>
          <w:color w:val="000000"/>
          <w:kern w:val="0"/>
          <w:sz w:val="32"/>
          <w:szCs w:val="32"/>
        </w:rPr>
        <w:t>党政机关公务接待管理制度要求，</w:t>
      </w:r>
      <w:r>
        <w:rPr>
          <w:rFonts w:hint="eastAsia" w:ascii="仿宋_GB2312" w:hAnsi="宋体" w:eastAsia="仿宋_GB2312" w:cs="宋体"/>
          <w:bCs/>
          <w:color w:val="000000"/>
          <w:kern w:val="0"/>
          <w:sz w:val="32"/>
          <w:szCs w:val="32"/>
        </w:rPr>
        <w:t>主动修订委内公务接待管理要求，防止出现</w:t>
      </w:r>
      <w:r>
        <w:rPr>
          <w:rFonts w:ascii="仿宋_GB2312" w:hAnsi="宋体" w:eastAsia="仿宋_GB2312" w:cs="宋体"/>
          <w:bCs/>
          <w:color w:val="000000"/>
          <w:kern w:val="0"/>
          <w:sz w:val="32"/>
          <w:szCs w:val="32"/>
        </w:rPr>
        <w:t>违规问题。</w:t>
      </w:r>
    </w:p>
    <w:p>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市发展改革委资金</w:t>
      </w:r>
      <w:r>
        <w:rPr>
          <w:rFonts w:ascii="仿宋_GB2312" w:hAnsi="宋体" w:eastAsia="仿宋_GB2312" w:cs="宋体"/>
          <w:color w:val="000000"/>
          <w:kern w:val="0"/>
          <w:sz w:val="32"/>
          <w:szCs w:val="32"/>
        </w:rPr>
        <w:t>使用合规安全。</w:t>
      </w:r>
      <w:r>
        <w:rPr>
          <w:rFonts w:ascii="仿宋_GB2312" w:hAnsi="宋体" w:eastAsia="仿宋_GB2312" w:cs="宋体"/>
          <w:b/>
          <w:color w:val="000000"/>
          <w:kern w:val="0"/>
          <w:sz w:val="32"/>
          <w:szCs w:val="32"/>
        </w:rPr>
        <w:t>一是</w:t>
      </w:r>
      <w:r>
        <w:rPr>
          <w:rFonts w:hint="eastAsia" w:ascii="仿宋_GB2312" w:hAnsi="宋体" w:eastAsia="仿宋_GB2312" w:cs="宋体"/>
          <w:color w:val="000000"/>
          <w:kern w:val="0"/>
          <w:sz w:val="32"/>
          <w:szCs w:val="32"/>
        </w:rPr>
        <w:t>资金使用符合国家各项财经法规和财务管理制度规定，能够严格执行政府采购程序流程，落实本市公务卡结算相关制度规定，防止出现资金截留、挤占和挪用等问题。</w:t>
      </w:r>
      <w:r>
        <w:rPr>
          <w:rFonts w:hint="eastAsia" w:ascii="仿宋_GB2312" w:hAnsi="宋体" w:eastAsia="仿宋_GB2312" w:cs="宋体"/>
          <w:b/>
          <w:color w:val="000000"/>
          <w:kern w:val="0"/>
          <w:sz w:val="32"/>
          <w:szCs w:val="32"/>
        </w:rPr>
        <w:t>二是</w:t>
      </w:r>
      <w:r>
        <w:rPr>
          <w:rFonts w:hint="eastAsia" w:ascii="仿宋_GB2312" w:hAnsi="宋体" w:eastAsia="仿宋_GB2312" w:cs="宋体"/>
          <w:color w:val="000000"/>
          <w:kern w:val="0"/>
          <w:sz w:val="32"/>
          <w:szCs w:val="32"/>
        </w:rPr>
        <w:t>资金拨付审批程序和手续完整，遵循“谁主管、谁审批、谁负责”的原则，按照业务事项审批和财务事项审批并行的管理模式，按规定权限履行经费审批手续，合理合规</w:t>
      </w:r>
      <w:r>
        <w:rPr>
          <w:rFonts w:ascii="仿宋_GB2312" w:hAnsi="宋体" w:eastAsia="仿宋_GB2312" w:cs="宋体"/>
          <w:color w:val="000000"/>
          <w:kern w:val="0"/>
          <w:sz w:val="32"/>
          <w:szCs w:val="32"/>
        </w:rPr>
        <w:t>使用</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资金。</w:t>
      </w:r>
      <w:r>
        <w:rPr>
          <w:rFonts w:hint="eastAsia" w:ascii="仿宋_GB2312" w:hAnsi="宋体" w:eastAsia="仿宋_GB2312" w:cs="宋体"/>
          <w:b/>
          <w:color w:val="000000"/>
          <w:kern w:val="0"/>
          <w:sz w:val="32"/>
          <w:szCs w:val="32"/>
        </w:rPr>
        <w:t>三是</w:t>
      </w:r>
      <w:r>
        <w:rPr>
          <w:rFonts w:hint="eastAsia" w:ascii="仿宋_GB2312" w:hAnsi="宋体" w:eastAsia="仿宋_GB2312" w:cs="宋体"/>
          <w:color w:val="000000"/>
          <w:kern w:val="0"/>
          <w:sz w:val="32"/>
          <w:szCs w:val="32"/>
        </w:rPr>
        <w:t>严格按照财政预算批复合法合规使用资金，支出范围</w:t>
      </w:r>
      <w:r>
        <w:rPr>
          <w:rFonts w:ascii="仿宋_GB2312" w:hAnsi="宋体" w:eastAsia="仿宋_GB2312" w:cs="宋体"/>
          <w:color w:val="000000"/>
          <w:kern w:val="0"/>
          <w:sz w:val="32"/>
          <w:szCs w:val="32"/>
        </w:rPr>
        <w:t>和标准</w:t>
      </w:r>
      <w:r>
        <w:rPr>
          <w:rFonts w:hint="eastAsia" w:ascii="仿宋_GB2312" w:hAnsi="宋体" w:eastAsia="仿宋_GB2312" w:cs="宋体"/>
          <w:color w:val="000000"/>
          <w:kern w:val="0"/>
          <w:sz w:val="32"/>
          <w:szCs w:val="32"/>
        </w:rPr>
        <w:t>符合财政经费管理制度</w:t>
      </w:r>
      <w:r>
        <w:rPr>
          <w:rFonts w:ascii="仿宋_GB2312" w:hAnsi="宋体" w:eastAsia="仿宋_GB2312" w:cs="宋体"/>
          <w:color w:val="000000"/>
          <w:kern w:val="0"/>
          <w:sz w:val="32"/>
          <w:szCs w:val="32"/>
        </w:rPr>
        <w:t>要求</w:t>
      </w:r>
      <w:r>
        <w:rPr>
          <w:rFonts w:hint="eastAsia" w:ascii="仿宋_GB2312" w:hAnsi="宋体" w:eastAsia="仿宋_GB2312" w:cs="宋体"/>
          <w:color w:val="000000"/>
          <w:kern w:val="0"/>
          <w:sz w:val="32"/>
          <w:szCs w:val="32"/>
        </w:rPr>
        <w:t>。</w:t>
      </w:r>
    </w:p>
    <w:p>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pBdr>
          <w:bottom w:val="single" w:color="FFFFFF" w:sz="4" w:space="31"/>
        </w:pBdr>
        <w:adjustRightInd w:val="0"/>
        <w:snapToGrid w:val="0"/>
        <w:spacing w:line="560" w:lineRule="exact"/>
        <w:ind w:firstLine="624" w:firstLineChars="200"/>
        <w:rPr>
          <w:rFonts w:ascii="仿宋_GB2312" w:hAnsi="宋体" w:eastAsia="仿宋_GB2312" w:cs="宋体"/>
          <w:color w:val="000000"/>
          <w:kern w:val="0"/>
          <w:sz w:val="32"/>
          <w:szCs w:val="32"/>
        </w:rPr>
      </w:pPr>
      <w:r>
        <w:rPr>
          <w:rFonts w:hint="eastAsia" w:ascii="仿宋_GB2312" w:hAnsi="宋体" w:eastAsia="仿宋_GB2312" w:cs="宋体"/>
          <w:color w:val="000000"/>
          <w:spacing w:val="-4"/>
          <w:kern w:val="0"/>
          <w:sz w:val="32"/>
          <w:szCs w:val="32"/>
        </w:rPr>
        <w:t>市发展改革委会计基础信息完善。</w:t>
      </w:r>
      <w:r>
        <w:rPr>
          <w:rFonts w:ascii="仿宋_GB2312" w:hAnsi="宋体" w:eastAsia="仿宋_GB2312" w:cs="宋体"/>
          <w:b/>
          <w:color w:val="000000"/>
          <w:spacing w:val="-4"/>
          <w:kern w:val="0"/>
          <w:sz w:val="32"/>
          <w:szCs w:val="32"/>
        </w:rPr>
        <w:t>一是</w:t>
      </w:r>
      <w:r>
        <w:rPr>
          <w:rFonts w:hint="eastAsia" w:ascii="仿宋_GB2312" w:hAnsi="宋体" w:eastAsia="仿宋_GB2312" w:cs="宋体"/>
          <w:color w:val="000000"/>
          <w:spacing w:val="-4"/>
          <w:kern w:val="0"/>
          <w:sz w:val="32"/>
          <w:szCs w:val="32"/>
        </w:rPr>
        <w:t>会计基础工作扎实，</w:t>
      </w:r>
      <w:r>
        <w:rPr>
          <w:rFonts w:hint="eastAsia" w:ascii="Calibri" w:hAnsi="Calibri" w:eastAsia="仿宋_GB2312" w:cs="Calibri"/>
          <w:color w:val="000000"/>
          <w:kern w:val="0"/>
          <w:sz w:val="32"/>
          <w:szCs w:val="32"/>
        </w:rPr>
        <w:t>严格</w:t>
      </w:r>
      <w:r>
        <w:rPr>
          <w:rFonts w:hint="eastAsia" w:ascii="仿宋_GB2312" w:hAnsi="宋体" w:eastAsia="仿宋_GB2312" w:cs="宋体"/>
          <w:color w:val="000000"/>
          <w:kern w:val="0"/>
          <w:sz w:val="32"/>
          <w:szCs w:val="32"/>
        </w:rPr>
        <w:t>按照《会计法》和</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基础工作规范》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以及</w:t>
      </w:r>
      <w:r>
        <w:rPr>
          <w:rFonts w:hint="eastAsia" w:ascii="仿宋_GB2312" w:hAnsi="宋体" w:eastAsia="仿宋_GB2312" w:cs="宋体"/>
          <w:color w:val="000000"/>
          <w:kern w:val="0"/>
          <w:sz w:val="32"/>
          <w:szCs w:val="32"/>
        </w:rPr>
        <w:t>《预算法》《政府会计准则》要求，开展会计核算、编制财务报表报告，保证会计工作开展依法有序，会计</w:t>
      </w:r>
      <w:r>
        <w:rPr>
          <w:rFonts w:ascii="仿宋_GB2312" w:hAnsi="宋体" w:eastAsia="仿宋_GB2312" w:cs="宋体"/>
          <w:color w:val="000000"/>
          <w:kern w:val="0"/>
          <w:sz w:val="32"/>
          <w:szCs w:val="32"/>
        </w:rPr>
        <w:t>信息披露真实完整</w:t>
      </w:r>
      <w:r>
        <w:rPr>
          <w:rFonts w:hint="eastAsia" w:ascii="仿宋_GB2312" w:hAnsi="宋体" w:eastAsia="仿宋_GB2312" w:cs="宋体"/>
          <w:color w:val="000000"/>
          <w:kern w:val="0"/>
          <w:sz w:val="32"/>
          <w:szCs w:val="32"/>
        </w:rPr>
        <w:t>。</w:t>
      </w:r>
      <w:r>
        <w:rPr>
          <w:rFonts w:hint="eastAsia" w:ascii="仿宋_GB2312" w:hAnsi="宋体" w:eastAsia="仿宋_GB2312" w:cs="宋体"/>
          <w:b/>
          <w:color w:val="000000"/>
          <w:kern w:val="0"/>
          <w:sz w:val="32"/>
          <w:szCs w:val="32"/>
        </w:rPr>
        <w:t>二是</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信息化</w:t>
      </w:r>
      <w:r>
        <w:rPr>
          <w:rFonts w:hint="eastAsia" w:ascii="仿宋_GB2312" w:hAnsi="宋体" w:eastAsia="仿宋_GB2312" w:cs="宋体"/>
          <w:color w:val="000000"/>
          <w:kern w:val="0"/>
          <w:sz w:val="32"/>
          <w:szCs w:val="32"/>
        </w:rPr>
        <w:t>管理完备</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通过“业财一体化管理平台”预算管理平台</w:t>
      </w:r>
      <w:r>
        <w:rPr>
          <w:rFonts w:ascii="仿宋_GB2312" w:hAnsi="宋体" w:eastAsia="仿宋_GB2312" w:cs="宋体"/>
          <w:color w:val="000000"/>
          <w:kern w:val="0"/>
          <w:sz w:val="32"/>
          <w:szCs w:val="32"/>
        </w:rPr>
        <w:t>、单位</w:t>
      </w:r>
      <w:r>
        <w:rPr>
          <w:rFonts w:hint="eastAsia" w:ascii="仿宋_GB2312" w:hAnsi="宋体" w:eastAsia="仿宋_GB2312" w:cs="宋体"/>
          <w:color w:val="000000"/>
          <w:kern w:val="0"/>
          <w:sz w:val="32"/>
          <w:szCs w:val="32"/>
        </w:rPr>
        <w:t>OA综合</w:t>
      </w:r>
      <w:r>
        <w:rPr>
          <w:rFonts w:ascii="仿宋_GB2312" w:hAnsi="宋体" w:eastAsia="仿宋_GB2312" w:cs="宋体"/>
          <w:color w:val="000000"/>
          <w:kern w:val="0"/>
          <w:sz w:val="32"/>
          <w:szCs w:val="32"/>
        </w:rPr>
        <w:t>办公平台和</w:t>
      </w:r>
      <w:r>
        <w:rPr>
          <w:rFonts w:hint="eastAsia" w:ascii="仿宋_GB2312" w:hAnsi="宋体" w:eastAsia="仿宋_GB2312" w:cs="宋体"/>
          <w:color w:val="000000"/>
          <w:kern w:val="0"/>
          <w:sz w:val="32"/>
          <w:szCs w:val="32"/>
        </w:rPr>
        <w:t>“用友GRP-U8版行政事业单位内控管理软件”，</w:t>
      </w:r>
      <w:r>
        <w:rPr>
          <w:rFonts w:ascii="仿宋_GB2312" w:hAnsi="宋体" w:eastAsia="仿宋_GB2312" w:cs="宋体"/>
          <w:color w:val="000000"/>
          <w:kern w:val="0"/>
          <w:sz w:val="32"/>
          <w:szCs w:val="32"/>
        </w:rPr>
        <w:t>搭建起涵盖预算编制</w:t>
      </w:r>
      <w:r>
        <w:rPr>
          <w:rFonts w:hint="eastAsia" w:ascii="仿宋_GB2312" w:hAnsi="宋体" w:eastAsia="仿宋_GB2312" w:cs="宋体"/>
          <w:color w:val="000000"/>
          <w:kern w:val="0"/>
          <w:sz w:val="32"/>
          <w:szCs w:val="32"/>
        </w:rPr>
        <w:t>、采购管理</w:t>
      </w:r>
      <w:r>
        <w:rPr>
          <w:rFonts w:ascii="仿宋_GB2312" w:hAnsi="宋体" w:eastAsia="仿宋_GB2312" w:cs="宋体"/>
          <w:color w:val="000000"/>
          <w:kern w:val="0"/>
          <w:sz w:val="32"/>
          <w:szCs w:val="32"/>
        </w:rPr>
        <w:t>、合同管理</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会计核算、网上报销、</w:t>
      </w:r>
      <w:r>
        <w:rPr>
          <w:rFonts w:hint="eastAsia" w:ascii="仿宋_GB2312" w:hAnsi="宋体" w:eastAsia="仿宋_GB2312" w:cs="宋体"/>
          <w:color w:val="000000"/>
          <w:kern w:val="0"/>
          <w:sz w:val="32"/>
          <w:szCs w:val="32"/>
        </w:rPr>
        <w:t>执行</w:t>
      </w:r>
      <w:r>
        <w:rPr>
          <w:rFonts w:ascii="仿宋_GB2312" w:hAnsi="宋体" w:eastAsia="仿宋_GB2312" w:cs="宋体"/>
          <w:color w:val="000000"/>
          <w:kern w:val="0"/>
          <w:sz w:val="32"/>
          <w:szCs w:val="32"/>
        </w:rPr>
        <w:t>控制</w:t>
      </w:r>
      <w:r>
        <w:rPr>
          <w:rFonts w:hint="eastAsia" w:ascii="仿宋_GB2312" w:hAnsi="宋体" w:eastAsia="仿宋_GB2312" w:cs="宋体"/>
          <w:color w:val="000000"/>
          <w:kern w:val="0"/>
          <w:sz w:val="32"/>
          <w:szCs w:val="32"/>
        </w:rPr>
        <w:t>等</w:t>
      </w:r>
      <w:r>
        <w:rPr>
          <w:rFonts w:ascii="仿宋_GB2312" w:hAnsi="宋体" w:eastAsia="仿宋_GB2312" w:cs="宋体"/>
          <w:color w:val="000000"/>
          <w:kern w:val="0"/>
          <w:sz w:val="32"/>
          <w:szCs w:val="32"/>
        </w:rPr>
        <w:t>全流程的</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信息化</w:t>
      </w:r>
      <w:r>
        <w:rPr>
          <w:rFonts w:hint="eastAsia" w:ascii="仿宋_GB2312" w:hAnsi="宋体" w:eastAsia="仿宋_GB2312" w:cs="宋体"/>
          <w:color w:val="000000"/>
          <w:kern w:val="0"/>
          <w:sz w:val="32"/>
          <w:szCs w:val="32"/>
        </w:rPr>
        <w:t>管理</w:t>
      </w:r>
      <w:r>
        <w:rPr>
          <w:rFonts w:ascii="仿宋_GB2312" w:hAnsi="宋体" w:eastAsia="仿宋_GB2312" w:cs="宋体"/>
          <w:color w:val="000000"/>
          <w:kern w:val="0"/>
          <w:sz w:val="32"/>
          <w:szCs w:val="32"/>
        </w:rPr>
        <w:t>体系</w:t>
      </w:r>
      <w:r>
        <w:rPr>
          <w:rFonts w:hint="eastAsia" w:ascii="仿宋_GB2312" w:hAnsi="宋体" w:eastAsia="仿宋_GB2312" w:cs="宋体"/>
          <w:color w:val="000000"/>
          <w:kern w:val="0"/>
          <w:sz w:val="32"/>
          <w:szCs w:val="32"/>
        </w:rPr>
        <w:t>，为会计基础数据信息和会计信息资料的真实、完整、准确提供</w:t>
      </w:r>
      <w:r>
        <w:rPr>
          <w:rFonts w:ascii="仿宋_GB2312" w:hAnsi="宋体" w:eastAsia="仿宋_GB2312" w:cs="宋体"/>
          <w:color w:val="000000"/>
          <w:kern w:val="0"/>
          <w:sz w:val="32"/>
          <w:szCs w:val="32"/>
        </w:rPr>
        <w:t>了</w:t>
      </w:r>
      <w:r>
        <w:rPr>
          <w:rFonts w:hint="eastAsia" w:ascii="仿宋_GB2312" w:hAnsi="宋体" w:eastAsia="仿宋_GB2312" w:cs="宋体"/>
          <w:color w:val="000000"/>
          <w:kern w:val="0"/>
          <w:sz w:val="32"/>
          <w:szCs w:val="32"/>
        </w:rPr>
        <w:t>有效</w:t>
      </w:r>
      <w:r>
        <w:rPr>
          <w:rFonts w:ascii="仿宋_GB2312" w:hAnsi="宋体" w:eastAsia="仿宋_GB2312" w:cs="宋体"/>
          <w:color w:val="000000"/>
          <w:kern w:val="0"/>
          <w:sz w:val="32"/>
          <w:szCs w:val="32"/>
        </w:rPr>
        <w:t>保障</w:t>
      </w:r>
      <w:r>
        <w:rPr>
          <w:rFonts w:hint="eastAsia" w:ascii="仿宋_GB2312" w:hAnsi="宋体" w:eastAsia="仿宋_GB2312" w:cs="宋体"/>
          <w:color w:val="000000"/>
          <w:kern w:val="0"/>
          <w:sz w:val="32"/>
          <w:szCs w:val="32"/>
        </w:rPr>
        <w:t>。</w:t>
      </w:r>
    </w:p>
    <w:p>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楷体_GB2312" w:eastAsia="楷体_GB2312"/>
          <w:sz w:val="32"/>
          <w:szCs w:val="32"/>
        </w:rPr>
        <w:t>（二）资产管理</w:t>
      </w:r>
    </w:p>
    <w:p>
      <w:pPr>
        <w:pBdr>
          <w:bottom w:val="single" w:color="FFFFFF" w:sz="4" w:space="31"/>
        </w:pBdr>
        <w:adjustRightInd w:val="0"/>
        <w:snapToGrid w:val="0"/>
        <w:spacing w:line="56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市发展改革委资产</w:t>
      </w:r>
      <w:r>
        <w:rPr>
          <w:rFonts w:ascii="仿宋_GB2312" w:hAnsi="仿宋" w:eastAsia="仿宋_GB2312" w:cs="宋体"/>
          <w:color w:val="000000"/>
          <w:kern w:val="0"/>
          <w:sz w:val="32"/>
          <w:szCs w:val="32"/>
        </w:rPr>
        <w:t>管理规范，制度健全，</w:t>
      </w:r>
      <w:r>
        <w:rPr>
          <w:rFonts w:hint="eastAsia" w:ascii="仿宋_GB2312" w:hAnsi="仿宋" w:eastAsia="仿宋_GB2312" w:cs="宋体"/>
          <w:color w:val="000000"/>
          <w:kern w:val="0"/>
          <w:sz w:val="32"/>
          <w:szCs w:val="32"/>
        </w:rPr>
        <w:t>分工明确</w:t>
      </w:r>
      <w:r>
        <w:rPr>
          <w:rFonts w:ascii="仿宋_GB2312" w:hAnsi="仿宋" w:eastAsia="仿宋_GB2312" w:cs="宋体"/>
          <w:color w:val="000000"/>
          <w:kern w:val="0"/>
          <w:sz w:val="32"/>
          <w:szCs w:val="32"/>
        </w:rPr>
        <w:t>，执行有效</w:t>
      </w:r>
      <w:r>
        <w:rPr>
          <w:rFonts w:hint="eastAsia" w:ascii="仿宋_GB2312" w:hAnsi="仿宋" w:eastAsia="仿宋_GB2312" w:cs="宋体"/>
          <w:color w:val="000000"/>
          <w:kern w:val="0"/>
          <w:sz w:val="32"/>
          <w:szCs w:val="32"/>
        </w:rPr>
        <w:t>。资产</w:t>
      </w:r>
      <w:r>
        <w:rPr>
          <w:rFonts w:ascii="仿宋_GB2312" w:hAnsi="仿宋" w:eastAsia="仿宋_GB2312" w:cs="宋体"/>
          <w:color w:val="000000"/>
          <w:kern w:val="0"/>
          <w:sz w:val="32"/>
          <w:szCs w:val="32"/>
        </w:rPr>
        <w:t>保持、配置、使用和处置</w:t>
      </w:r>
      <w:r>
        <w:rPr>
          <w:rFonts w:hint="eastAsia" w:ascii="仿宋_GB2312" w:hAnsi="仿宋" w:eastAsia="仿宋_GB2312" w:cs="宋体"/>
          <w:color w:val="000000"/>
          <w:kern w:val="0"/>
          <w:sz w:val="32"/>
          <w:szCs w:val="32"/>
        </w:rPr>
        <w:t>严格执行各项资产管理制度规定。目前</w:t>
      </w:r>
      <w:r>
        <w:rPr>
          <w:rFonts w:ascii="仿宋_GB2312" w:hAnsi="仿宋" w:eastAsia="仿宋_GB2312" w:cs="宋体"/>
          <w:color w:val="000000"/>
          <w:kern w:val="0"/>
          <w:sz w:val="32"/>
          <w:szCs w:val="32"/>
        </w:rPr>
        <w:t>，已</w:t>
      </w:r>
      <w:r>
        <w:rPr>
          <w:rFonts w:hint="eastAsia" w:ascii="仿宋_GB2312" w:hAnsi="仿宋" w:eastAsia="仿宋_GB2312" w:cs="宋体"/>
          <w:color w:val="000000"/>
          <w:kern w:val="0"/>
          <w:sz w:val="32"/>
          <w:szCs w:val="32"/>
        </w:rPr>
        <w:t>制定了《关于进一步加强展览展示活动实物资产管理的通知》等制度办法，</w:t>
      </w:r>
      <w:r>
        <w:rPr>
          <w:rFonts w:ascii="仿宋_GB2312" w:hAnsi="仿宋" w:eastAsia="仿宋_GB2312" w:cs="宋体"/>
          <w:color w:val="000000"/>
          <w:kern w:val="0"/>
          <w:sz w:val="32"/>
          <w:szCs w:val="32"/>
        </w:rPr>
        <w:t>细化</w:t>
      </w:r>
      <w:r>
        <w:rPr>
          <w:rFonts w:hint="eastAsia" w:ascii="仿宋_GB2312" w:hAnsi="仿宋" w:eastAsia="仿宋_GB2312" w:cs="宋体"/>
          <w:color w:val="000000"/>
          <w:kern w:val="0"/>
          <w:sz w:val="32"/>
          <w:szCs w:val="32"/>
        </w:rPr>
        <w:t>资产管理责任分工，</w:t>
      </w:r>
      <w:r>
        <w:rPr>
          <w:rFonts w:ascii="仿宋_GB2312" w:hAnsi="仿宋" w:eastAsia="仿宋_GB2312" w:cs="宋体"/>
          <w:color w:val="000000"/>
          <w:kern w:val="0"/>
          <w:sz w:val="32"/>
          <w:szCs w:val="32"/>
        </w:rPr>
        <w:t>优化</w:t>
      </w:r>
      <w:r>
        <w:rPr>
          <w:rFonts w:hint="eastAsia" w:ascii="仿宋_GB2312" w:hAnsi="仿宋" w:eastAsia="仿宋_GB2312" w:cs="宋体"/>
          <w:color w:val="000000"/>
          <w:kern w:val="0"/>
          <w:sz w:val="32"/>
          <w:szCs w:val="32"/>
        </w:rPr>
        <w:t>资产管理工作流程，明确资产配置标准，建立健全资产购置、登记、发放、调拨、报废、清查的全过程监管机制，未出现资产严重损失、丢失等</w:t>
      </w:r>
      <w:r>
        <w:rPr>
          <w:rFonts w:ascii="仿宋_GB2312" w:hAnsi="仿宋" w:eastAsia="仿宋_GB2312" w:cs="宋体"/>
          <w:color w:val="000000"/>
          <w:kern w:val="0"/>
          <w:sz w:val="32"/>
          <w:szCs w:val="32"/>
        </w:rPr>
        <w:t>情况</w:t>
      </w:r>
      <w:r>
        <w:rPr>
          <w:rFonts w:hint="eastAsia" w:ascii="仿宋_GB2312" w:hAnsi="仿宋" w:eastAsia="仿宋_GB2312" w:cs="宋体"/>
          <w:color w:val="000000"/>
          <w:kern w:val="0"/>
          <w:sz w:val="32"/>
          <w:szCs w:val="32"/>
        </w:rPr>
        <w:t>，</w:t>
      </w:r>
      <w:r>
        <w:rPr>
          <w:rFonts w:ascii="仿宋_GB2312" w:hAnsi="仿宋" w:eastAsia="仿宋_GB2312" w:cs="宋体"/>
          <w:color w:val="000000"/>
          <w:kern w:val="0"/>
          <w:sz w:val="32"/>
          <w:szCs w:val="32"/>
        </w:rPr>
        <w:t>不存在</w:t>
      </w:r>
      <w:r>
        <w:rPr>
          <w:rFonts w:hint="eastAsia" w:ascii="仿宋_GB2312" w:hAnsi="仿宋" w:eastAsia="仿宋_GB2312" w:cs="宋体"/>
          <w:color w:val="000000"/>
          <w:kern w:val="0"/>
          <w:sz w:val="32"/>
          <w:szCs w:val="32"/>
        </w:rPr>
        <w:t>超标准配置资产、</w:t>
      </w:r>
      <w:r>
        <w:rPr>
          <w:rFonts w:ascii="仿宋_GB2312" w:hAnsi="仿宋" w:eastAsia="仿宋_GB2312" w:cs="宋体"/>
          <w:color w:val="000000"/>
          <w:kern w:val="0"/>
          <w:sz w:val="32"/>
          <w:szCs w:val="32"/>
        </w:rPr>
        <w:t>未经审批出租出借</w:t>
      </w:r>
      <w:r>
        <w:rPr>
          <w:rFonts w:hint="eastAsia" w:ascii="仿宋_GB2312" w:hAnsi="仿宋" w:eastAsia="仿宋_GB2312" w:cs="宋体"/>
          <w:color w:val="000000"/>
          <w:kern w:val="0"/>
          <w:sz w:val="32"/>
          <w:szCs w:val="32"/>
        </w:rPr>
        <w:t>或</w:t>
      </w:r>
      <w:r>
        <w:rPr>
          <w:rFonts w:ascii="仿宋_GB2312" w:hAnsi="仿宋" w:eastAsia="仿宋_GB2312" w:cs="宋体"/>
          <w:color w:val="000000"/>
          <w:kern w:val="0"/>
          <w:sz w:val="32"/>
          <w:szCs w:val="32"/>
        </w:rPr>
        <w:t>处置资产等情况。</w:t>
      </w:r>
    </w:p>
    <w:p>
      <w:pPr>
        <w:pBdr>
          <w:bottom w:val="single" w:color="FFFFFF" w:sz="4" w:space="31"/>
        </w:pBdr>
        <w:adjustRightInd w:val="0"/>
        <w:snapToGrid w:val="0"/>
        <w:spacing w:line="560" w:lineRule="exact"/>
        <w:ind w:firstLine="640" w:firstLineChars="200"/>
        <w:rPr>
          <w:rFonts w:ascii="仿宋_GB2312" w:hAnsi="仿宋" w:eastAsia="仿宋_GB2312" w:cs="宋体"/>
          <w:color w:val="000000"/>
          <w:kern w:val="0"/>
          <w:sz w:val="32"/>
          <w:szCs w:val="32"/>
        </w:rPr>
      </w:pPr>
      <w:r>
        <w:rPr>
          <w:rFonts w:hint="eastAsia" w:ascii="楷体_GB2312" w:eastAsia="楷体_GB2312"/>
          <w:sz w:val="32"/>
          <w:szCs w:val="32"/>
        </w:rPr>
        <w:t>（三）绩效</w:t>
      </w:r>
      <w:r>
        <w:rPr>
          <w:rFonts w:ascii="楷体_GB2312" w:eastAsia="楷体_GB2312"/>
          <w:sz w:val="32"/>
          <w:szCs w:val="32"/>
        </w:rPr>
        <w:t>管理</w:t>
      </w:r>
    </w:p>
    <w:p>
      <w:pPr>
        <w:pBdr>
          <w:bottom w:val="single" w:color="FFFFFF" w:sz="4" w:space="31"/>
        </w:pBd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市发展改革委绩效</w:t>
      </w:r>
      <w:r>
        <w:rPr>
          <w:rFonts w:ascii="仿宋_GB2312" w:hAnsi="宋体" w:eastAsia="仿宋_GB2312" w:cs="宋体"/>
          <w:color w:val="000000"/>
          <w:kern w:val="0"/>
          <w:sz w:val="32"/>
          <w:szCs w:val="32"/>
        </w:rPr>
        <w:t>管理及时有效</w:t>
      </w:r>
      <w:r>
        <w:rPr>
          <w:rFonts w:hint="eastAsia" w:ascii="仿宋_GB2312" w:hAnsi="宋体" w:eastAsia="仿宋_GB2312" w:cs="宋体"/>
          <w:color w:val="000000"/>
          <w:kern w:val="0"/>
          <w:sz w:val="32"/>
          <w:szCs w:val="32"/>
        </w:rPr>
        <w:t>。能够严格</w:t>
      </w:r>
      <w:r>
        <w:rPr>
          <w:rFonts w:hint="eastAsia" w:ascii="Calibri" w:hAnsi="Calibri" w:eastAsia="仿宋_GB2312" w:cs="Calibri"/>
          <w:sz w:val="32"/>
          <w:szCs w:val="32"/>
        </w:rPr>
        <w:t>贯彻落实</w:t>
      </w:r>
      <w:r>
        <w:rPr>
          <w:rFonts w:hint="eastAsia" w:ascii="仿宋_GB2312" w:hAnsi="宋体" w:eastAsia="仿宋_GB2312" w:cs="宋体"/>
          <w:color w:val="000000"/>
          <w:kern w:val="0"/>
          <w:sz w:val="32"/>
          <w:szCs w:val="32"/>
        </w:rPr>
        <w:t>全面预算绩效管理要求，深化全过程预算绩效管理，建立涵盖绩效目标编制、绩效运行监控、成本绩效分析、绩效支出评价的“全过程、全覆盖”绩效管理工作流程，及时对绩效信息进行汇总分析整理，对绩效目标偏离情况及时进行矫正。坚持围绕工作实际，加强</w:t>
      </w:r>
      <w:r>
        <w:rPr>
          <w:rFonts w:ascii="仿宋_GB2312" w:hAnsi="宋体" w:eastAsia="仿宋_GB2312" w:cs="宋体"/>
          <w:color w:val="000000"/>
          <w:kern w:val="0"/>
          <w:sz w:val="32"/>
          <w:szCs w:val="32"/>
        </w:rPr>
        <w:t>项目成本管控</w:t>
      </w:r>
      <w:r>
        <w:rPr>
          <w:rFonts w:hint="eastAsia" w:ascii="仿宋_GB2312" w:hAnsi="宋体" w:eastAsia="仿宋_GB2312" w:cs="宋体"/>
          <w:color w:val="000000"/>
          <w:kern w:val="0"/>
          <w:sz w:val="32"/>
          <w:szCs w:val="32"/>
        </w:rPr>
        <w:t>，开展成本绩效分析，持续探索和拓展绩效</w:t>
      </w:r>
      <w:r>
        <w:rPr>
          <w:rFonts w:ascii="仿宋_GB2312" w:hAnsi="宋体" w:eastAsia="仿宋_GB2312" w:cs="宋体"/>
          <w:color w:val="000000"/>
          <w:kern w:val="0"/>
          <w:sz w:val="32"/>
          <w:szCs w:val="32"/>
        </w:rPr>
        <w:t>管理</w:t>
      </w:r>
      <w:r>
        <w:rPr>
          <w:rFonts w:hint="eastAsia" w:ascii="仿宋_GB2312" w:hAnsi="宋体" w:eastAsia="仿宋_GB2312" w:cs="宋体"/>
          <w:color w:val="000000"/>
          <w:kern w:val="0"/>
          <w:sz w:val="32"/>
          <w:szCs w:val="32"/>
        </w:rPr>
        <w:t>的新</w:t>
      </w:r>
      <w:r>
        <w:rPr>
          <w:rFonts w:ascii="仿宋_GB2312" w:hAnsi="宋体" w:eastAsia="仿宋_GB2312" w:cs="宋体"/>
          <w:color w:val="000000"/>
          <w:kern w:val="0"/>
          <w:sz w:val="32"/>
          <w:szCs w:val="32"/>
        </w:rPr>
        <w:t>方法、新领域。</w:t>
      </w:r>
    </w:p>
    <w:p>
      <w:pPr>
        <w:pBdr>
          <w:bottom w:val="single" w:color="FFFFFF" w:sz="4" w:space="31"/>
        </w:pBdr>
        <w:adjustRightInd w:val="0"/>
        <w:snapToGrid w:val="0"/>
        <w:spacing w:line="560" w:lineRule="exact"/>
        <w:ind w:firstLine="640" w:firstLineChars="200"/>
        <w:rPr>
          <w:rFonts w:ascii="楷体_GB2312" w:eastAsia="楷体_GB2312"/>
          <w:sz w:val="32"/>
          <w:szCs w:val="32"/>
        </w:rPr>
      </w:pPr>
      <w:r>
        <w:rPr>
          <w:rFonts w:hint="eastAsia" w:ascii="楷体_GB2312" w:eastAsia="楷体_GB2312"/>
          <w:sz w:val="32"/>
          <w:szCs w:val="32"/>
        </w:rPr>
        <w:t>（四）结转结余率</w:t>
      </w:r>
    </w:p>
    <w:p>
      <w:pPr>
        <w:pBdr>
          <w:bottom w:val="single" w:color="FFFFFF" w:sz="4" w:space="31"/>
        </w:pBd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市发展改革委2024年结转结余率为6.46%</w:t>
      </w:r>
      <w:r>
        <w:rPr>
          <w:rFonts w:ascii="仿宋_GB2312" w:hAnsi="仿宋" w:eastAsia="仿宋_GB2312"/>
          <w:sz w:val="32"/>
          <w:szCs w:val="32"/>
        </w:rPr>
        <w:t>。</w:t>
      </w:r>
    </w:p>
    <w:p>
      <w:pPr>
        <w:pBdr>
          <w:bottom w:val="single" w:color="FFFFFF" w:sz="4" w:space="31"/>
        </w:pBdr>
        <w:adjustRightInd w:val="0"/>
        <w:snapToGrid w:val="0"/>
        <w:spacing w:line="560" w:lineRule="exact"/>
        <w:ind w:firstLine="640" w:firstLineChars="200"/>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pBdr>
          <w:bottom w:val="single" w:color="FFFFFF" w:sz="4" w:space="31"/>
        </w:pBdr>
        <w:adjustRightInd w:val="0"/>
        <w:snapToGrid w:val="0"/>
        <w:spacing w:line="560" w:lineRule="exact"/>
        <w:ind w:firstLine="640" w:firstLineChars="200"/>
        <w:rPr>
          <w:rFonts w:ascii="楷体_GB2312" w:eastAsia="楷体_GB2312"/>
          <w:sz w:val="32"/>
          <w:szCs w:val="32"/>
        </w:rPr>
      </w:pPr>
      <w:r>
        <w:rPr>
          <w:rFonts w:hint="eastAsia" w:ascii="仿宋_GB2312" w:eastAsia="仿宋_GB2312"/>
          <w:sz w:val="32"/>
          <w:szCs w:val="32"/>
        </w:rPr>
        <w:t>市发展改革委2024年部门预决算差异率为13.28%。</w:t>
      </w:r>
    </w:p>
    <w:p>
      <w:pPr>
        <w:pBdr>
          <w:bottom w:val="single" w:color="FFFFFF" w:sz="4" w:space="31"/>
        </w:pBd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pBdr>
          <w:bottom w:val="single" w:color="FFFFFF" w:sz="4" w:space="31"/>
        </w:pBdr>
        <w:adjustRightInd w:val="0"/>
        <w:snapToGrid w:val="0"/>
        <w:spacing w:line="560" w:lineRule="exact"/>
        <w:ind w:firstLine="640" w:firstLineChars="200"/>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pBdr>
          <w:bottom w:val="single" w:color="FFFFFF" w:sz="4" w:space="31"/>
        </w:pBd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市发展改革委部门整体绩效评价得分为98.71分。</w:t>
      </w:r>
    </w:p>
    <w:p>
      <w:pPr>
        <w:pBdr>
          <w:bottom w:val="single" w:color="FFFFFF" w:sz="4" w:space="31"/>
        </w:pBdr>
        <w:adjustRightInd w:val="0"/>
        <w:snapToGrid w:val="0"/>
        <w:spacing w:line="560" w:lineRule="exact"/>
        <w:ind w:firstLine="640" w:firstLineChars="200"/>
        <w:rPr>
          <w:rFonts w:ascii="楷体_GB2312" w:eastAsia="楷体_GB2312"/>
          <w:sz w:val="32"/>
          <w:szCs w:val="32"/>
        </w:rPr>
      </w:pPr>
      <w:r>
        <w:rPr>
          <w:rFonts w:hint="eastAsia" w:ascii="楷体_GB2312" w:eastAsia="楷体_GB2312"/>
          <w:sz w:val="32"/>
          <w:szCs w:val="32"/>
        </w:rPr>
        <w:t>（二）存在的问题及原因分析</w:t>
      </w:r>
    </w:p>
    <w:p>
      <w:pPr>
        <w:pBdr>
          <w:bottom w:val="single" w:color="FFFFFF" w:sz="4" w:space="31"/>
        </w:pBdr>
        <w:adjustRightInd w:val="0"/>
        <w:snapToGrid w:val="0"/>
        <w:spacing w:line="560" w:lineRule="exact"/>
        <w:ind w:firstLine="640" w:firstLineChars="200"/>
        <w:rPr>
          <w:rFonts w:ascii="楷体_GB2312" w:eastAsia="楷体_GB2312"/>
          <w:sz w:val="32"/>
          <w:szCs w:val="32"/>
        </w:rPr>
      </w:pPr>
      <w:r>
        <w:rPr>
          <w:rFonts w:hint="eastAsia" w:ascii="仿宋_GB2312" w:eastAsia="仿宋_GB2312"/>
          <w:sz w:val="32"/>
          <w:szCs w:val="32"/>
        </w:rPr>
        <w:t>市发展改革委2024年度项目支出和任务开展操作规范、依据明确，能够紧紧围绕全委中心工作，合理安排项目推进步骤，科学使用各项预算经费，资金使用合规，项目效益突出，为</w:t>
      </w:r>
      <w:r>
        <w:rPr>
          <w:rFonts w:ascii="仿宋_GB2312" w:eastAsia="仿宋_GB2312"/>
          <w:sz w:val="32"/>
          <w:szCs w:val="32"/>
        </w:rPr>
        <w:t>各项</w:t>
      </w:r>
      <w:r>
        <w:rPr>
          <w:rFonts w:hint="eastAsia" w:ascii="仿宋_GB2312" w:eastAsia="仿宋_GB2312"/>
          <w:sz w:val="32"/>
          <w:szCs w:val="32"/>
        </w:rPr>
        <w:t>发展改革工作有序开展提供了有力支撑。但在绩效评价</w:t>
      </w:r>
      <w:r>
        <w:rPr>
          <w:rFonts w:ascii="仿宋_GB2312" w:eastAsia="仿宋_GB2312"/>
          <w:sz w:val="32"/>
          <w:szCs w:val="32"/>
        </w:rPr>
        <w:t>过程中，</w:t>
      </w:r>
      <w:r>
        <w:rPr>
          <w:rFonts w:hint="eastAsia" w:ascii="仿宋_GB2312" w:eastAsia="仿宋_GB2312"/>
          <w:sz w:val="32"/>
          <w:szCs w:val="32"/>
        </w:rPr>
        <w:t>也发现个别绩效指标</w:t>
      </w:r>
      <w:r>
        <w:rPr>
          <w:rFonts w:ascii="仿宋_GB2312" w:eastAsia="仿宋_GB2312"/>
          <w:sz w:val="32"/>
          <w:szCs w:val="32"/>
        </w:rPr>
        <w:t>设置</w:t>
      </w:r>
      <w:r>
        <w:rPr>
          <w:rFonts w:hint="eastAsia" w:ascii="仿宋_GB2312" w:eastAsia="仿宋_GB2312"/>
          <w:sz w:val="32"/>
          <w:szCs w:val="32"/>
        </w:rPr>
        <w:t>的不够科学，部分指标值设置的偏低，需要进一步完善</w:t>
      </w:r>
      <w:r>
        <w:rPr>
          <w:rFonts w:ascii="仿宋_GB2312" w:eastAsia="仿宋_GB2312"/>
          <w:sz w:val="32"/>
          <w:szCs w:val="32"/>
        </w:rPr>
        <w:t>和改进。</w:t>
      </w:r>
    </w:p>
    <w:p>
      <w:pPr>
        <w:pBdr>
          <w:bottom w:val="single" w:color="FFFFFF" w:sz="4" w:space="31"/>
        </w:pBdr>
        <w:adjustRightInd w:val="0"/>
        <w:snapToGri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pBdr>
          <w:bottom w:val="single" w:color="FFFFFF" w:sz="4" w:space="31"/>
        </w:pBdr>
        <w:adjustRightInd w:val="0"/>
        <w:snapToGrid w:val="0"/>
        <w:spacing w:line="560" w:lineRule="exact"/>
        <w:ind w:firstLine="643" w:firstLineChars="200"/>
        <w:rPr>
          <w:rFonts w:ascii="仿宋_GB2312" w:eastAsia="仿宋_GB2312"/>
          <w:kern w:val="21"/>
          <w:sz w:val="32"/>
          <w:szCs w:val="32"/>
        </w:rPr>
      </w:pPr>
      <w:r>
        <w:rPr>
          <w:rFonts w:hint="eastAsia" w:ascii="仿宋_GB2312" w:eastAsia="仿宋_GB2312"/>
          <w:b/>
          <w:kern w:val="21"/>
          <w:sz w:val="32"/>
          <w:szCs w:val="32"/>
        </w:rPr>
        <w:t>一是</w:t>
      </w:r>
      <w:r>
        <w:rPr>
          <w:rFonts w:hint="eastAsia" w:ascii="仿宋_GB2312" w:eastAsia="仿宋_GB2312"/>
          <w:kern w:val="21"/>
          <w:sz w:val="32"/>
          <w:szCs w:val="32"/>
        </w:rPr>
        <w:t>加强财政预算绩效管理理念及目标导向意识，科学设置项目总体绩效目标及各项绩效指标，保证绩效目标的明确性、全面性、合理性、细化量化及可考量性。在预算调整后及时调整绩效目标，充分发挥绩效评价结果导向性作用，促进公共资源合理配置，提升财政资金的使用效益。</w:t>
      </w:r>
    </w:p>
    <w:p>
      <w:pPr>
        <w:pBdr>
          <w:bottom w:val="single" w:color="FFFFFF" w:sz="4" w:space="31"/>
        </w:pBdr>
        <w:adjustRightInd w:val="0"/>
        <w:snapToGrid w:val="0"/>
        <w:spacing w:line="560" w:lineRule="exact"/>
        <w:ind w:firstLine="643" w:firstLineChars="200"/>
        <w:rPr>
          <w:rFonts w:ascii="仿宋_GB2312" w:hAnsi="宋体" w:eastAsia="仿宋_GB2312"/>
          <w:kern w:val="21"/>
          <w:sz w:val="32"/>
          <w:szCs w:val="32"/>
        </w:rPr>
      </w:pPr>
      <w:r>
        <w:rPr>
          <w:rFonts w:hint="eastAsia" w:ascii="仿宋_GB2312" w:eastAsia="仿宋_GB2312"/>
          <w:b/>
          <w:kern w:val="21"/>
          <w:sz w:val="32"/>
          <w:szCs w:val="32"/>
        </w:rPr>
        <w:t>二是</w:t>
      </w:r>
      <w:r>
        <w:rPr>
          <w:rFonts w:hint="eastAsia" w:ascii="仿宋_GB2312" w:eastAsia="仿宋_GB2312"/>
          <w:kern w:val="21"/>
          <w:sz w:val="32"/>
          <w:szCs w:val="32"/>
        </w:rPr>
        <w:t>结合部门职责及历年支出情况，进一步细化具体的量化指标，梳理建立预算支出核心绩效指标及绩效标准，在编制下一年度预算绩效目标</w:t>
      </w:r>
      <w:r>
        <w:rPr>
          <w:rFonts w:hint="eastAsia" w:ascii="仿宋_GB2312" w:hAnsi="宋体" w:eastAsia="仿宋_GB2312"/>
          <w:kern w:val="21"/>
          <w:sz w:val="32"/>
          <w:szCs w:val="32"/>
        </w:rPr>
        <w:t>时</w:t>
      </w:r>
      <w:r>
        <w:rPr>
          <w:rFonts w:hint="eastAsia" w:ascii="Calibri" w:hAnsi="Calibri" w:eastAsia="仿宋_GB2312" w:cs="Calibri"/>
          <w:kern w:val="21"/>
          <w:sz w:val="32"/>
          <w:szCs w:val="32"/>
        </w:rPr>
        <w:t>加以应用</w:t>
      </w:r>
      <w:r>
        <w:rPr>
          <w:rFonts w:hint="eastAsia" w:ascii="仿宋_GB2312" w:hAnsi="宋体" w:eastAsia="仿宋_GB2312"/>
          <w:kern w:val="21"/>
          <w:sz w:val="32"/>
          <w:szCs w:val="32"/>
        </w:rPr>
        <w:t>，努力实现绩效目标设定的规划化、系统化、全面化，做到申报目标与预算资金、实施效果相匹配。</w:t>
      </w:r>
    </w:p>
    <w:p>
      <w:pPr>
        <w:pBdr>
          <w:bottom w:val="single" w:color="FFFFFF" w:sz="4" w:space="31"/>
        </w:pBdr>
        <w:adjustRightInd w:val="0"/>
        <w:snapToGri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七</w:t>
      </w:r>
      <w:r>
        <w:rPr>
          <w:rFonts w:ascii="黑体" w:hAnsi="黑体" w:eastAsia="黑体" w:cs="宋体"/>
          <w:color w:val="000000"/>
          <w:kern w:val="0"/>
          <w:sz w:val="32"/>
          <w:szCs w:val="32"/>
        </w:rPr>
        <w:t>、附件</w:t>
      </w:r>
    </w:p>
    <w:p>
      <w:pPr>
        <w:pBdr>
          <w:bottom w:val="single" w:color="FFFFFF" w:sz="4" w:space="31"/>
        </w:pBdr>
        <w:adjustRightInd w:val="0"/>
        <w:snapToGrid w:val="0"/>
        <w:spacing w:line="560" w:lineRule="exact"/>
        <w:ind w:firstLine="640" w:firstLineChars="200"/>
        <w:rPr>
          <w:rFonts w:ascii="仿宋_GB2312" w:hAnsi="宋体" w:eastAsia="仿宋_GB2312"/>
          <w:sz w:val="32"/>
          <w:szCs w:val="32"/>
        </w:rPr>
        <w:sectPr>
          <w:pgSz w:w="11906" w:h="16838"/>
          <w:pgMar w:top="1440" w:right="1800" w:bottom="1440" w:left="1800" w:header="851" w:footer="992" w:gutter="0"/>
          <w:pgNumType w:fmt="numberInDash"/>
          <w:cols w:space="425" w:num="1"/>
          <w:docGrid w:type="lines" w:linePitch="312" w:charSpace="0"/>
        </w:sectPr>
      </w:pPr>
      <w:r>
        <w:rPr>
          <w:rFonts w:hint="eastAsia" w:ascii="仿宋_GB2312" w:hAnsi="宋体" w:eastAsia="仿宋_GB2312"/>
          <w:sz w:val="32"/>
          <w:szCs w:val="32"/>
        </w:rPr>
        <w:t>2024年部门整体绩效评价指标体系评分表</w:t>
      </w:r>
    </w:p>
    <w:p>
      <w:pPr>
        <w:spacing w:line="360" w:lineRule="exact"/>
        <w:jc w:val="left"/>
        <w:rPr>
          <w:rFonts w:ascii="黑体" w:hAnsi="黑体" w:eastAsia="黑体"/>
          <w:sz w:val="28"/>
          <w:szCs w:val="28"/>
        </w:rPr>
      </w:pPr>
      <w:r>
        <w:rPr>
          <w:rFonts w:hint="eastAsia" w:ascii="黑体" w:hAnsi="黑体" w:eastAsia="黑体"/>
          <w:sz w:val="28"/>
          <w:szCs w:val="28"/>
        </w:rPr>
        <w:t>附件</w:t>
      </w:r>
    </w:p>
    <w:p>
      <w:pPr>
        <w:pStyle w:val="2"/>
        <w:spacing w:after="0" w:line="360" w:lineRule="exact"/>
        <w:jc w:val="center"/>
        <w:rPr>
          <w:rFonts w:ascii="方正小标宋简体" w:eastAsia="方正小标宋简体"/>
        </w:rPr>
      </w:pPr>
      <w:r>
        <w:rPr>
          <w:rFonts w:hint="eastAsia" w:ascii="方正小标宋简体" w:eastAsia="方正小标宋简体"/>
        </w:rPr>
        <w:t>2024年部门整体绩效评价指标体系评分表</w:t>
      </w:r>
    </w:p>
    <w:p>
      <w:pPr>
        <w:rPr>
          <w:rFonts w:ascii="黑体" w:hAnsi="黑体" w:eastAsia="黑体"/>
        </w:rPr>
      </w:pPr>
      <w:r>
        <w:rPr>
          <w:rFonts w:hint="eastAsia" w:ascii="黑体" w:hAnsi="黑体" w:eastAsia="黑体"/>
        </w:rPr>
        <w:t>一、当年预算执行情况（20分）</w:t>
      </w:r>
    </w:p>
    <w:tbl>
      <w:tblPr>
        <w:tblStyle w:val="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3307"/>
        <w:gridCol w:w="3307"/>
        <w:gridCol w:w="3307"/>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31"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二级指标</w:t>
            </w:r>
          </w:p>
        </w:tc>
        <w:tc>
          <w:tcPr>
            <w:tcW w:w="3307"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预算数（万元）</w:t>
            </w:r>
          </w:p>
        </w:tc>
        <w:tc>
          <w:tcPr>
            <w:tcW w:w="3307"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执行数（万元）</w:t>
            </w:r>
          </w:p>
        </w:tc>
        <w:tc>
          <w:tcPr>
            <w:tcW w:w="3307"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预算执行率</w:t>
            </w:r>
          </w:p>
        </w:tc>
        <w:tc>
          <w:tcPr>
            <w:tcW w:w="850"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b/>
                <w:sz w:val="20"/>
                <w:szCs w:val="20"/>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31" w:type="dxa"/>
            <w:vMerge w:val="restart"/>
            <w:vAlign w:val="center"/>
          </w:tcPr>
          <w:p>
            <w:pPr>
              <w:jc w:val="center"/>
              <w:rPr>
                <w:rFonts w:ascii="仿宋_GB2312" w:eastAsia="仿宋_GB2312"/>
              </w:rPr>
            </w:pPr>
            <w:r>
              <w:rPr>
                <w:rFonts w:hint="eastAsia" w:ascii="仿宋_GB2312" w:eastAsia="仿宋_GB2312"/>
              </w:rPr>
              <w:t>当年预算</w:t>
            </w:r>
          </w:p>
          <w:p>
            <w:pPr>
              <w:jc w:val="center"/>
              <w:rPr>
                <w:rFonts w:ascii="仿宋_GB2312" w:eastAsia="仿宋_GB2312"/>
              </w:rPr>
            </w:pPr>
            <w:r>
              <w:rPr>
                <w:rFonts w:hint="eastAsia" w:ascii="仿宋_GB2312" w:eastAsia="仿宋_GB2312"/>
              </w:rPr>
              <w:t>执行情况</w:t>
            </w:r>
          </w:p>
          <w:p>
            <w:pPr>
              <w:jc w:val="center"/>
              <w:rPr>
                <w:rFonts w:ascii="仿宋_GB2312" w:eastAsia="仿宋_GB2312"/>
              </w:rPr>
            </w:pPr>
            <w:r>
              <w:rPr>
                <w:rFonts w:hint="eastAsia" w:ascii="仿宋_GB2312" w:eastAsia="仿宋_GB2312"/>
              </w:rPr>
              <w:t>（20分）</w:t>
            </w:r>
          </w:p>
        </w:tc>
        <w:tc>
          <w:tcPr>
            <w:tcW w:w="1134" w:type="dxa"/>
            <w:vAlign w:val="center"/>
          </w:tcPr>
          <w:p>
            <w:pPr>
              <w:jc w:val="center"/>
              <w:rPr>
                <w:rFonts w:ascii="仿宋_GB2312" w:eastAsia="仿宋_GB2312"/>
                <w:szCs w:val="21"/>
              </w:rPr>
            </w:pPr>
            <w:r>
              <w:rPr>
                <w:rFonts w:hint="eastAsia" w:ascii="仿宋_GB2312" w:eastAsia="仿宋_GB2312"/>
                <w:szCs w:val="21"/>
              </w:rPr>
              <w:t>资金总体</w:t>
            </w:r>
          </w:p>
        </w:tc>
        <w:tc>
          <w:tcPr>
            <w:tcW w:w="3307" w:type="dxa"/>
            <w:vAlign w:val="center"/>
          </w:tcPr>
          <w:p>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color w:val="000000"/>
                <w:kern w:val="0"/>
                <w:szCs w:val="21"/>
                <w:lang w:bidi="ar"/>
              </w:rPr>
              <w:t xml:space="preserve">107,327.80 </w:t>
            </w:r>
          </w:p>
        </w:tc>
        <w:tc>
          <w:tcPr>
            <w:tcW w:w="3307" w:type="dxa"/>
            <w:vAlign w:val="center"/>
          </w:tcPr>
          <w:p>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color w:val="000000"/>
                <w:kern w:val="0"/>
                <w:szCs w:val="21"/>
                <w:lang w:bidi="ar"/>
              </w:rPr>
              <w:t xml:space="preserve">100,392.60 </w:t>
            </w:r>
          </w:p>
        </w:tc>
        <w:tc>
          <w:tcPr>
            <w:tcW w:w="3307" w:type="dxa"/>
            <w:vAlign w:val="center"/>
          </w:tcPr>
          <w:p>
            <w:pPr>
              <w:jc w:val="right"/>
              <w:rPr>
                <w:rFonts w:ascii="仿宋_GB2312" w:eastAsia="仿宋_GB2312"/>
              </w:rPr>
            </w:pPr>
            <w:r>
              <w:rPr>
                <w:rFonts w:hint="eastAsia" w:ascii="仿宋_GB2312" w:eastAsia="仿宋_GB2312"/>
              </w:rPr>
              <w:t>93.54%</w:t>
            </w:r>
          </w:p>
        </w:tc>
        <w:tc>
          <w:tcPr>
            <w:tcW w:w="850" w:type="dxa"/>
            <w:vMerge w:val="restart"/>
            <w:vAlign w:val="center"/>
          </w:tcPr>
          <w:p>
            <w:pPr>
              <w:jc w:val="center"/>
              <w:rPr>
                <w:rFonts w:ascii="仿宋_GB2312" w:eastAsia="仿宋_GB2312"/>
              </w:rPr>
            </w:pPr>
            <w:r>
              <w:rPr>
                <w:rFonts w:hint="eastAsia" w:ascii="仿宋_GB2312" w:eastAsia="仿宋_GB2312"/>
              </w:rPr>
              <w:t>20</w:t>
            </w:r>
          </w:p>
        </w:tc>
        <w:tc>
          <w:tcPr>
            <w:tcW w:w="850" w:type="dxa"/>
            <w:vMerge w:val="restart"/>
            <w:vAlign w:val="center"/>
          </w:tcPr>
          <w:p>
            <w:pPr>
              <w:jc w:val="center"/>
              <w:rPr>
                <w:rFonts w:ascii="仿宋_GB2312" w:eastAsia="仿宋_GB2312"/>
              </w:rPr>
            </w:pPr>
            <w:r>
              <w:rPr>
                <w:rFonts w:hint="eastAsia" w:ascii="仿宋_GB2312" w:eastAsia="仿宋_GB2312"/>
              </w:rPr>
              <w:t>18.71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31" w:type="dxa"/>
            <w:vMerge w:val="continue"/>
          </w:tcPr>
          <w:p>
            <w:pPr>
              <w:jc w:val="center"/>
              <w:rPr>
                <w:rFonts w:ascii="仿宋_GB2312" w:eastAsia="仿宋_GB2312"/>
              </w:rPr>
            </w:pPr>
          </w:p>
        </w:tc>
        <w:tc>
          <w:tcPr>
            <w:tcW w:w="1134" w:type="dxa"/>
            <w:vAlign w:val="center"/>
          </w:tcPr>
          <w:p>
            <w:pPr>
              <w:jc w:val="center"/>
              <w:rPr>
                <w:rFonts w:ascii="仿宋_GB2312" w:eastAsia="仿宋_GB2312"/>
                <w:szCs w:val="21"/>
              </w:rPr>
            </w:pPr>
            <w:r>
              <w:rPr>
                <w:rFonts w:hint="eastAsia" w:ascii="仿宋_GB2312" w:eastAsia="仿宋_GB2312"/>
                <w:szCs w:val="21"/>
              </w:rPr>
              <w:t>基本支出</w:t>
            </w:r>
          </w:p>
        </w:tc>
        <w:tc>
          <w:tcPr>
            <w:tcW w:w="3307" w:type="dxa"/>
            <w:vAlign w:val="center"/>
          </w:tcPr>
          <w:p>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color w:val="000000"/>
                <w:kern w:val="0"/>
                <w:szCs w:val="21"/>
                <w:lang w:bidi="ar"/>
              </w:rPr>
              <w:t xml:space="preserve">44,226.58 </w:t>
            </w:r>
          </w:p>
        </w:tc>
        <w:tc>
          <w:tcPr>
            <w:tcW w:w="3307" w:type="dxa"/>
            <w:vAlign w:val="center"/>
          </w:tcPr>
          <w:p>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color w:val="000000"/>
                <w:kern w:val="0"/>
                <w:szCs w:val="21"/>
                <w:lang w:bidi="ar"/>
              </w:rPr>
              <w:t xml:space="preserve">42,651.25 </w:t>
            </w:r>
          </w:p>
        </w:tc>
        <w:tc>
          <w:tcPr>
            <w:tcW w:w="3307" w:type="dxa"/>
            <w:vAlign w:val="center"/>
          </w:tcPr>
          <w:p>
            <w:pPr>
              <w:jc w:val="right"/>
              <w:rPr>
                <w:rFonts w:ascii="仿宋_GB2312" w:eastAsia="仿宋_GB2312"/>
              </w:rPr>
            </w:pPr>
            <w:r>
              <w:rPr>
                <w:rFonts w:hint="eastAsia" w:ascii="仿宋_GB2312" w:eastAsia="仿宋_GB2312"/>
              </w:rPr>
              <w:t>——</w:t>
            </w:r>
          </w:p>
        </w:tc>
        <w:tc>
          <w:tcPr>
            <w:tcW w:w="850" w:type="dxa"/>
            <w:vMerge w:val="continue"/>
            <w:vAlign w:val="center"/>
          </w:tcPr>
          <w:p>
            <w:pPr>
              <w:jc w:val="center"/>
              <w:rPr>
                <w:rFonts w:ascii="仿宋_GB2312" w:eastAsia="仿宋_GB2312"/>
              </w:rPr>
            </w:pPr>
          </w:p>
        </w:tc>
        <w:tc>
          <w:tcPr>
            <w:tcW w:w="850" w:type="dxa"/>
            <w:vMerge w:val="continue"/>
            <w:vAlign w:val="center"/>
          </w:tcPr>
          <w:p>
            <w:pPr>
              <w:jc w:val="center"/>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31" w:type="dxa"/>
            <w:vMerge w:val="continue"/>
          </w:tcPr>
          <w:p>
            <w:pPr>
              <w:jc w:val="center"/>
              <w:rPr>
                <w:rFonts w:ascii="仿宋_GB2312" w:eastAsia="仿宋_GB2312"/>
              </w:rPr>
            </w:pPr>
          </w:p>
        </w:tc>
        <w:tc>
          <w:tcPr>
            <w:tcW w:w="1134" w:type="dxa"/>
            <w:vAlign w:val="center"/>
          </w:tcPr>
          <w:p>
            <w:pPr>
              <w:jc w:val="center"/>
              <w:rPr>
                <w:rFonts w:ascii="仿宋_GB2312" w:eastAsia="仿宋_GB2312"/>
                <w:szCs w:val="21"/>
              </w:rPr>
            </w:pPr>
            <w:r>
              <w:rPr>
                <w:rFonts w:hint="eastAsia" w:ascii="仿宋_GB2312" w:eastAsia="仿宋_GB2312"/>
                <w:szCs w:val="21"/>
              </w:rPr>
              <w:t>项目支出</w:t>
            </w:r>
          </w:p>
        </w:tc>
        <w:tc>
          <w:tcPr>
            <w:tcW w:w="3307" w:type="dxa"/>
            <w:vAlign w:val="center"/>
          </w:tcPr>
          <w:p>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color w:val="000000"/>
                <w:kern w:val="0"/>
                <w:szCs w:val="21"/>
                <w:lang w:bidi="ar"/>
              </w:rPr>
              <w:t xml:space="preserve">63,101.22 </w:t>
            </w:r>
          </w:p>
        </w:tc>
        <w:tc>
          <w:tcPr>
            <w:tcW w:w="3307" w:type="dxa"/>
            <w:vAlign w:val="center"/>
          </w:tcPr>
          <w:p>
            <w:pPr>
              <w:widowControl/>
              <w:jc w:val="right"/>
              <w:textAlignment w:val="center"/>
              <w:rPr>
                <w:rFonts w:ascii="仿宋_GB2312" w:hAnsi="仿宋_GB2312" w:eastAsia="仿宋_GB2312" w:cs="仿宋_GB2312"/>
                <w:szCs w:val="21"/>
              </w:rPr>
            </w:pPr>
            <w:r>
              <w:rPr>
                <w:rFonts w:hint="eastAsia" w:ascii="仿宋_GB2312" w:hAnsi="仿宋_GB2312" w:eastAsia="仿宋_GB2312" w:cs="仿宋_GB2312"/>
                <w:color w:val="000000"/>
                <w:kern w:val="0"/>
                <w:szCs w:val="21"/>
                <w:lang w:bidi="ar"/>
              </w:rPr>
              <w:t xml:space="preserve">57,741.35 </w:t>
            </w:r>
          </w:p>
        </w:tc>
        <w:tc>
          <w:tcPr>
            <w:tcW w:w="3307" w:type="dxa"/>
            <w:vAlign w:val="center"/>
          </w:tcPr>
          <w:p>
            <w:pPr>
              <w:jc w:val="right"/>
              <w:rPr>
                <w:rFonts w:ascii="仿宋_GB2312" w:eastAsia="仿宋_GB2312"/>
              </w:rPr>
            </w:pPr>
            <w:r>
              <w:rPr>
                <w:rFonts w:hint="eastAsia" w:ascii="仿宋_GB2312" w:eastAsia="仿宋_GB2312"/>
              </w:rPr>
              <w:t>——</w:t>
            </w:r>
          </w:p>
        </w:tc>
        <w:tc>
          <w:tcPr>
            <w:tcW w:w="850" w:type="dxa"/>
            <w:vAlign w:val="center"/>
          </w:tcPr>
          <w:p>
            <w:pPr>
              <w:jc w:val="right"/>
              <w:rPr>
                <w:rFonts w:ascii="仿宋_GB2312" w:eastAsia="仿宋_GB2312"/>
              </w:rPr>
            </w:pPr>
            <w:r>
              <w:rPr>
                <w:rFonts w:hint="eastAsia" w:ascii="仿宋_GB2312" w:eastAsia="仿宋_GB2312"/>
              </w:rPr>
              <w:t>——</w:t>
            </w:r>
          </w:p>
        </w:tc>
        <w:tc>
          <w:tcPr>
            <w:tcW w:w="850" w:type="dxa"/>
            <w:vAlign w:val="center"/>
          </w:tcPr>
          <w:p>
            <w:pPr>
              <w:jc w:val="right"/>
              <w:rPr>
                <w:rFonts w:ascii="仿宋_GB2312" w:eastAsia="仿宋_GB2312"/>
              </w:rPr>
            </w:pPr>
            <w:r>
              <w:rPr>
                <w:rFonts w:hint="eastAsia" w:ascii="仿宋_GB2312" w:eastAsia="仿宋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31" w:type="dxa"/>
            <w:vMerge w:val="continue"/>
          </w:tcPr>
          <w:p>
            <w:pPr>
              <w:rPr>
                <w:rFonts w:ascii="仿宋_GB2312" w:eastAsia="仿宋_GB2312"/>
              </w:rPr>
            </w:pPr>
          </w:p>
        </w:tc>
        <w:tc>
          <w:tcPr>
            <w:tcW w:w="1134" w:type="dxa"/>
            <w:vAlign w:val="center"/>
          </w:tcPr>
          <w:p>
            <w:pPr>
              <w:jc w:val="center"/>
              <w:rPr>
                <w:rFonts w:ascii="仿宋_GB2312" w:eastAsia="仿宋_GB2312"/>
                <w:szCs w:val="21"/>
              </w:rPr>
            </w:pPr>
            <w:r>
              <w:rPr>
                <w:rFonts w:hint="eastAsia" w:ascii="仿宋_GB2312" w:eastAsia="仿宋_GB2312"/>
                <w:szCs w:val="21"/>
              </w:rPr>
              <w:t>其他</w:t>
            </w:r>
          </w:p>
        </w:tc>
        <w:tc>
          <w:tcPr>
            <w:tcW w:w="3307" w:type="dxa"/>
            <w:vAlign w:val="center"/>
          </w:tcPr>
          <w:p>
            <w:pPr>
              <w:jc w:val="right"/>
              <w:rPr>
                <w:rFonts w:ascii="仿宋_GB2312" w:eastAsia="仿宋_GB2312"/>
              </w:rPr>
            </w:pPr>
            <w:r>
              <w:rPr>
                <w:rFonts w:hint="eastAsia" w:ascii="仿宋_GB2312" w:eastAsia="仿宋_GB2312"/>
              </w:rPr>
              <w:t>——</w:t>
            </w:r>
          </w:p>
        </w:tc>
        <w:tc>
          <w:tcPr>
            <w:tcW w:w="3307" w:type="dxa"/>
            <w:vAlign w:val="center"/>
          </w:tcPr>
          <w:p>
            <w:pPr>
              <w:jc w:val="right"/>
              <w:rPr>
                <w:rFonts w:ascii="仿宋_GB2312" w:eastAsia="仿宋_GB2312"/>
              </w:rPr>
            </w:pPr>
            <w:r>
              <w:rPr>
                <w:rFonts w:hint="eastAsia" w:ascii="仿宋_GB2312" w:eastAsia="仿宋_GB2312"/>
              </w:rPr>
              <w:t>——</w:t>
            </w:r>
          </w:p>
        </w:tc>
        <w:tc>
          <w:tcPr>
            <w:tcW w:w="3307" w:type="dxa"/>
            <w:vAlign w:val="center"/>
          </w:tcPr>
          <w:p>
            <w:pPr>
              <w:jc w:val="right"/>
              <w:rPr>
                <w:rFonts w:ascii="仿宋_GB2312" w:eastAsia="仿宋_GB2312"/>
              </w:rPr>
            </w:pPr>
            <w:r>
              <w:rPr>
                <w:rFonts w:hint="eastAsia" w:ascii="仿宋_GB2312" w:eastAsia="仿宋_GB2312"/>
              </w:rPr>
              <w:t>——</w:t>
            </w:r>
          </w:p>
        </w:tc>
        <w:tc>
          <w:tcPr>
            <w:tcW w:w="850" w:type="dxa"/>
            <w:vAlign w:val="center"/>
          </w:tcPr>
          <w:p>
            <w:pPr>
              <w:jc w:val="right"/>
              <w:rPr>
                <w:rFonts w:ascii="仿宋_GB2312" w:eastAsia="仿宋_GB2312"/>
              </w:rPr>
            </w:pPr>
            <w:r>
              <w:rPr>
                <w:rFonts w:hint="eastAsia" w:ascii="仿宋_GB2312" w:eastAsia="仿宋_GB2312"/>
              </w:rPr>
              <w:t>——</w:t>
            </w:r>
          </w:p>
        </w:tc>
        <w:tc>
          <w:tcPr>
            <w:tcW w:w="850" w:type="dxa"/>
            <w:vAlign w:val="center"/>
          </w:tcPr>
          <w:p>
            <w:pPr>
              <w:jc w:val="right"/>
              <w:rPr>
                <w:rFonts w:ascii="仿宋_GB2312" w:eastAsia="仿宋_GB2312"/>
              </w:rPr>
            </w:pPr>
            <w:r>
              <w:rPr>
                <w:rFonts w:hint="eastAsia" w:ascii="仿宋_GB2312" w:eastAsia="仿宋_GB2312"/>
              </w:rPr>
              <w:t>——</w:t>
            </w:r>
          </w:p>
        </w:tc>
      </w:tr>
    </w:tbl>
    <w:p>
      <w:pPr>
        <w:spacing w:before="31" w:beforeLines="10"/>
        <w:rPr>
          <w:rFonts w:ascii="黑体" w:hAnsi="黑体" w:eastAsia="黑体"/>
        </w:rPr>
      </w:pPr>
      <w:r>
        <w:rPr>
          <w:rFonts w:hint="eastAsia" w:ascii="黑体" w:hAnsi="黑体" w:eastAsia="黑体"/>
        </w:rPr>
        <w:t>二</w:t>
      </w:r>
      <w:r>
        <w:rPr>
          <w:rFonts w:ascii="黑体" w:hAnsi="黑体" w:eastAsia="黑体"/>
        </w:rPr>
        <w:t>、</w:t>
      </w:r>
      <w:r>
        <w:rPr>
          <w:rFonts w:hint="eastAsia" w:ascii="黑体" w:hAnsi="黑体" w:eastAsia="黑体"/>
        </w:rPr>
        <w:t>整体绩效目标实现情况（60分）</w:t>
      </w:r>
    </w:p>
    <w:tbl>
      <w:tblPr>
        <w:tblStyle w:val="9"/>
        <w:tblW w:w="14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4535"/>
        <w:gridCol w:w="5387"/>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31"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二级指标</w:t>
            </w:r>
          </w:p>
        </w:tc>
        <w:tc>
          <w:tcPr>
            <w:tcW w:w="4535"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三级指标及指标值</w:t>
            </w:r>
          </w:p>
        </w:tc>
        <w:tc>
          <w:tcPr>
            <w:tcW w:w="5387"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b/>
                <w:sz w:val="20"/>
                <w:szCs w:val="20"/>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（45分）</w:t>
            </w:r>
          </w:p>
        </w:tc>
        <w:tc>
          <w:tcPr>
            <w:tcW w:w="453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参加“十五五”规划编制工作培训人次≥70个</w:t>
            </w:r>
          </w:p>
        </w:tc>
        <w:tc>
          <w:tcPr>
            <w:tcW w:w="5387"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召开本市“十五五”规划编制工作启动会，对规划编制工作作出部署安排，参会人次超过70个。</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53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形成前期课题研究报告数量≥50份</w:t>
            </w:r>
          </w:p>
        </w:tc>
        <w:tc>
          <w:tcPr>
            <w:tcW w:w="5387"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组织推进“十五五”前期课题，已研究形成开题报告、初步成果等报告超过50份。</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53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形成市区“十五五”规划编制工作方案≥17个</w:t>
            </w:r>
          </w:p>
        </w:tc>
        <w:tc>
          <w:tcPr>
            <w:tcW w:w="5387"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已编制形成“十五五”规划编制工作方案17份。</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53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召开市委财经委会议≥3次</w:t>
            </w:r>
          </w:p>
        </w:tc>
        <w:tc>
          <w:tcPr>
            <w:tcW w:w="5387"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召开市委财经委会议4次。</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1"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535"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经济形势分析专题报告数量≥4篇</w:t>
            </w:r>
          </w:p>
        </w:tc>
        <w:tc>
          <w:tcPr>
            <w:tcW w:w="5387"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形成季度经济形势分析专题报告4篇。</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rPr>
              <w:t>1</w:t>
            </w:r>
          </w:p>
        </w:tc>
      </w:tr>
    </w:tbl>
    <w:p>
      <w:pPr>
        <w:pStyle w:val="2"/>
        <w:spacing w:after="0" w:line="240" w:lineRule="exact"/>
        <w:jc w:val="right"/>
        <w:rPr>
          <w:rFonts w:ascii="宋体" w:hAnsi="宋体" w:eastAsia="宋体"/>
          <w:sz w:val="21"/>
          <w:szCs w:val="21"/>
        </w:rPr>
      </w:pPr>
      <w:r>
        <w:rPr>
          <w:rFonts w:hint="eastAsia" w:ascii="宋体" w:hAnsi="宋体" w:eastAsia="宋体"/>
          <w:sz w:val="21"/>
          <w:szCs w:val="21"/>
        </w:rPr>
        <w:t>（接下页）</w:t>
      </w:r>
    </w:p>
    <w:p>
      <w:pPr>
        <w:pStyle w:val="2"/>
        <w:spacing w:after="0" w:line="240" w:lineRule="exact"/>
        <w:jc w:val="left"/>
        <w:rPr>
          <w:rFonts w:ascii="宋体" w:hAnsi="宋体" w:eastAsia="宋体"/>
          <w:sz w:val="21"/>
          <w:szCs w:val="21"/>
        </w:rPr>
      </w:pPr>
      <w:r>
        <w:rPr>
          <w:rFonts w:hint="eastAsia" w:ascii="宋体" w:hAnsi="宋体" w:eastAsia="宋体"/>
          <w:sz w:val="21"/>
          <w:szCs w:val="21"/>
        </w:rPr>
        <w:t>（续上页）</w:t>
      </w:r>
    </w:p>
    <w:tbl>
      <w:tblPr>
        <w:tblStyle w:val="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4535"/>
        <w:gridCol w:w="5386"/>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二级指标</w:t>
            </w:r>
          </w:p>
        </w:tc>
        <w:tc>
          <w:tcPr>
            <w:tcW w:w="4535"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三级指标及指标值</w:t>
            </w:r>
          </w:p>
        </w:tc>
        <w:tc>
          <w:tcPr>
            <w:tcW w:w="5386"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b/>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b/>
                <w:sz w:val="20"/>
                <w:szCs w:val="20"/>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（45分）</w:t>
            </w:r>
          </w:p>
        </w:tc>
        <w:tc>
          <w:tcPr>
            <w:tcW w:w="453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形成财政金融形势分析、重点领域研究报告数量≥7篇</w:t>
            </w:r>
          </w:p>
        </w:tc>
        <w:tc>
          <w:tcPr>
            <w:tcW w:w="5386"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形成财政金融形势分析、重点领域研究报告15篇。</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53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投资领域专项评估评价报告数量≥2份</w:t>
            </w:r>
          </w:p>
        </w:tc>
        <w:tc>
          <w:tcPr>
            <w:tcW w:w="5386"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形成投资领域专项评估评价报告10份。</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53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政府固定资产投资绩效评价项目数量≥500个</w:t>
            </w:r>
          </w:p>
        </w:tc>
        <w:tc>
          <w:tcPr>
            <w:tcW w:w="5386"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完成736个项目政府固定资产投资绩效评价。</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53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政府固定资产投资招投标检查项目数量≥20个</w:t>
            </w:r>
          </w:p>
        </w:tc>
        <w:tc>
          <w:tcPr>
            <w:tcW w:w="5386"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完成147个项目政府固定资产投资招投标检查。</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53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举办京津冀协同发展成效展、京津冀相关推介洽谈会＝2场次</w:t>
            </w:r>
          </w:p>
        </w:tc>
        <w:tc>
          <w:tcPr>
            <w:tcW w:w="5386"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举办京津冀协同发展成效展、京津冀相关推介洽谈会2场次：2024年4月在中关村国家自主创新示范区展示中心常设展设立“京津冀协同发展这十年”展区，全方位展示协同发展成效。</w:t>
            </w:r>
          </w:p>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2024年9月26日召开通州区与北三县一体化高质量发展示范区项目推介洽谈会，签约项目80个，意向投资额331亿元。</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53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京津冀规划政策相关工作报告≥2份</w:t>
            </w:r>
          </w:p>
        </w:tc>
        <w:tc>
          <w:tcPr>
            <w:tcW w:w="5386"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京津冀规划政策相关工作报告2 份，加强京津冀协同发展有关政策执行跟踪，形成年度分析报告。加强规划实施跟踪监测，形成京津冀协同发展规划实施相关报告。</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535"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编制完成北京市推进京津冀协同发展2024年重点任务察访核验年度总台账＝1份</w:t>
            </w:r>
          </w:p>
        </w:tc>
        <w:tc>
          <w:tcPr>
            <w:tcW w:w="5386"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编制完成北京市推进京津冀协同发展2024年重点任务察访核验年度台账。</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535"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疏解整治促提升专项行动进展情况分析报告数量≥10份</w:t>
            </w:r>
          </w:p>
        </w:tc>
        <w:tc>
          <w:tcPr>
            <w:tcW w:w="5386"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完成疏解整治促提升专项行动进展情况分析报告数量10份。</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rPr>
              <w:t>1</w:t>
            </w:r>
          </w:p>
        </w:tc>
      </w:tr>
    </w:tbl>
    <w:p>
      <w:pPr>
        <w:pStyle w:val="2"/>
        <w:spacing w:after="0" w:line="240" w:lineRule="exact"/>
        <w:jc w:val="right"/>
        <w:rPr>
          <w:rFonts w:ascii="宋体" w:hAnsi="宋体" w:eastAsia="宋体"/>
          <w:sz w:val="21"/>
          <w:szCs w:val="21"/>
        </w:rPr>
      </w:pPr>
      <w:r>
        <w:rPr>
          <w:rFonts w:hint="eastAsia" w:ascii="宋体" w:hAnsi="宋体" w:eastAsia="宋体"/>
          <w:sz w:val="21"/>
          <w:szCs w:val="21"/>
        </w:rPr>
        <w:t>（接下页）</w:t>
      </w:r>
    </w:p>
    <w:p>
      <w:r>
        <w:rPr>
          <w:rFonts w:hint="eastAsia"/>
        </w:rPr>
        <w:t>（续上页）</w:t>
      </w:r>
    </w:p>
    <w:tbl>
      <w:tblPr>
        <w:tblStyle w:val="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4819"/>
        <w:gridCol w:w="5102"/>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4819"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三级指标及指标值</w:t>
            </w:r>
          </w:p>
        </w:tc>
        <w:tc>
          <w:tcPr>
            <w:tcW w:w="5102"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（45分）</w:t>
            </w: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举办小城镇健康发展等宣传活动次数≥3次</w:t>
            </w:r>
          </w:p>
        </w:tc>
        <w:tc>
          <w:tcPr>
            <w:tcW w:w="51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举办小城镇健康发展等宣传活动12次。</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分析区域协调领域报告数量≥4份</w:t>
            </w:r>
          </w:p>
        </w:tc>
        <w:tc>
          <w:tcPr>
            <w:tcW w:w="51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形成区域协调领域分析报告4份。</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打造新时代首都城市复兴新地标工作专刊≥4期/年</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形成打造新时代首都城市复兴新地标工作专刊4期。</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研提营商环境方面的改革意见建议数量≥30个</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形成2024年优化营商环境改革工作要点，包括253项改革任务。</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组织开展营商环境专家研讨会≥15场</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组织开展营商环境专家研讨会21场。</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北京市重点领域营商环境监测分析≥8份</w:t>
            </w:r>
          </w:p>
        </w:tc>
        <w:tc>
          <w:tcPr>
            <w:tcW w:w="5102" w:type="dxa"/>
            <w:vAlign w:val="center"/>
          </w:tcPr>
          <w:p>
            <w:pPr>
              <w:widowControl/>
              <w:jc w:val="left"/>
              <w:textAlignment w:val="center"/>
              <w:rPr>
                <w:rFonts w:ascii="仿宋_GB2312" w:eastAsia="仿宋_GB2312"/>
                <w:spacing w:val="-4"/>
                <w:szCs w:val="21"/>
              </w:rPr>
            </w:pPr>
            <w:r>
              <w:rPr>
                <w:rFonts w:hint="eastAsia" w:ascii="仿宋_GB2312" w:hAnsi="宋体" w:eastAsia="仿宋_GB2312" w:cs="仿宋_GB2312"/>
                <w:color w:val="000000"/>
                <w:kern w:val="0"/>
                <w:szCs w:val="21"/>
                <w:lang w:bidi="ar"/>
              </w:rPr>
              <w:t>完成北京市重点领域营商环境监测分析8期。</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企业参与“一带一路”相关宣传报道数量≥12期</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完成企业参与“一带一路”相关宣传报道12期。</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征集发布绿色技术数量、应用场景数量≥10个</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发布《北京市绿色低碳先进技术推荐目录（2024年版）》，推荐52项技术。组织实施一批绿色低碳先进技术示范工程，形成本市绿色低碳先进技术项目库，并择优向国家有关部门推荐。</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宋体" w:eastAsia="仿宋_GB2312" w:cs="仿宋_GB2312"/>
                <w:color w:val="000000"/>
                <w:kern w:val="0"/>
                <w:szCs w:val="21"/>
                <w:highlight w:val="none"/>
                <w:lang w:bidi="ar"/>
              </w:rPr>
            </w:pPr>
            <w:r>
              <w:rPr>
                <w:rFonts w:hint="eastAsia" w:ascii="仿宋_GB2312" w:hAnsi="宋体" w:eastAsia="仿宋_GB2312" w:cs="仿宋_GB2312"/>
                <w:color w:val="000000"/>
                <w:kern w:val="0"/>
                <w:szCs w:val="21"/>
                <w:highlight w:val="none"/>
                <w:lang w:bidi="ar"/>
              </w:rPr>
              <w:t>北京市节能宣传周活动线上线下宣传活动次数≥15 次</w:t>
            </w:r>
          </w:p>
        </w:tc>
        <w:tc>
          <w:tcPr>
            <w:tcW w:w="5102" w:type="dxa"/>
            <w:vAlign w:val="center"/>
          </w:tcPr>
          <w:p>
            <w:pPr>
              <w:widowControl/>
              <w:jc w:val="left"/>
              <w:textAlignment w:val="center"/>
              <w:rPr>
                <w:rFonts w:hint="eastAsia" w:ascii="仿宋_GB2312" w:hAnsi="宋体" w:eastAsia="仿宋_GB2312" w:cs="仿宋_GB2312"/>
                <w:color w:val="000000"/>
                <w:kern w:val="0"/>
                <w:szCs w:val="21"/>
                <w:highlight w:val="none"/>
                <w:lang w:val="en-US" w:eastAsia="zh-CN" w:bidi="ar"/>
              </w:rPr>
            </w:pPr>
            <w:r>
              <w:rPr>
                <w:rFonts w:hint="eastAsia" w:ascii="仿宋_GB2312" w:hAnsi="宋体" w:eastAsia="仿宋_GB2312" w:cs="仿宋_GB2312"/>
                <w:color w:val="000000"/>
                <w:kern w:val="0"/>
                <w:szCs w:val="21"/>
                <w:highlight w:val="none"/>
                <w:lang w:bidi="ar"/>
              </w:rPr>
              <w:t>以“绿色转型 节能攻坚”为主题，组织开展了“节能宣传周启动仪式暨‘电’亮零碳未来”“绿色发展及碳达峰碳中和主题宣讲”等一系列活动，活动场次超15次</w:t>
            </w:r>
            <w:r>
              <w:rPr>
                <w:rFonts w:hint="eastAsia" w:ascii="仿宋_GB2312" w:hAnsi="宋体" w:eastAsia="仿宋_GB2312" w:cs="仿宋_GB2312"/>
                <w:color w:val="000000"/>
                <w:kern w:val="0"/>
                <w:szCs w:val="21"/>
                <w:highlight w:val="none"/>
                <w:lang w:eastAsia="zh-CN" w:bidi="ar"/>
              </w:rPr>
              <w:t>。</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rPr>
              <w:t>1</w:t>
            </w:r>
          </w:p>
        </w:tc>
      </w:tr>
    </w:tbl>
    <w:p>
      <w:pPr>
        <w:pStyle w:val="2"/>
        <w:spacing w:after="0" w:line="240" w:lineRule="exact"/>
        <w:jc w:val="right"/>
        <w:rPr>
          <w:rFonts w:ascii="宋体" w:hAnsi="宋体" w:eastAsia="宋体"/>
          <w:sz w:val="21"/>
          <w:szCs w:val="21"/>
        </w:rPr>
      </w:pPr>
      <w:r>
        <w:rPr>
          <w:rFonts w:hint="eastAsia" w:ascii="宋体" w:hAnsi="宋体" w:eastAsia="宋体"/>
          <w:sz w:val="21"/>
          <w:szCs w:val="21"/>
        </w:rPr>
        <w:t>（接下页）</w:t>
      </w:r>
    </w:p>
    <w:p>
      <w:r>
        <w:rPr>
          <w:rFonts w:hint="eastAsia"/>
        </w:rPr>
        <w:t>（续上页）</w:t>
      </w:r>
    </w:p>
    <w:tbl>
      <w:tblPr>
        <w:tblStyle w:val="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4819"/>
        <w:gridCol w:w="5102"/>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4819"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三级指标及指标值</w:t>
            </w:r>
          </w:p>
        </w:tc>
        <w:tc>
          <w:tcPr>
            <w:tcW w:w="5102"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（45分）</w:t>
            </w: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“小旧家电回收日”试点活动场数≥60场次</w:t>
            </w:r>
          </w:p>
        </w:tc>
        <w:tc>
          <w:tcPr>
            <w:tcW w:w="51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完成小旧家电试点活动60场。</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光伏资金拨付至自然人数量、拨付至法人单位数量≥22800个</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全年2次累计拨付自然人、法人单位项目数量36360个。</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清洁生产审核单位数量≥60家</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清洁生产审核单位数量64家。</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新增编制的节能和循环经济标准数量≥17个</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全年完成了17个标准编制工作。</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实施现场节能监察单位数量≥60家</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已完成62家现场监察单位。</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形成能源领域综合研究报告份数＝2份</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形成能源领域综合研究报告5份。</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形成《北京能源发展报告（2024）》年度专题报告＝1本</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已形成《北京能源发展报告（2024）》年度专题报告1本，发放政府各级能源管理部门、相关企事业单位等，提供能源政策、数据参考。</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永定河综合治理与生态修复专项评估报告≥10套</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spacing w:val="-6"/>
                <w:kern w:val="0"/>
                <w:szCs w:val="21"/>
                <w:lang w:bidi="ar"/>
              </w:rPr>
              <w:t>2024年永定河综合治理与生态修复第三方跟踪评估工作</w:t>
            </w:r>
            <w:r>
              <w:rPr>
                <w:rFonts w:hint="eastAsia" w:ascii="仿宋_GB2312" w:hAnsi="宋体" w:eastAsia="仿宋_GB2312" w:cs="仿宋_GB2312"/>
                <w:color w:val="000000"/>
                <w:kern w:val="0"/>
                <w:szCs w:val="21"/>
                <w:lang w:bidi="ar"/>
              </w:rPr>
              <w:t>主要对官厅水库库滨带生态修复工程，珠窝、落坡岭水库水毁修复工程，永定河“五湖一线”水毁修复工程等项目进行了跟踪评估，出具专项评估报告18套，保障了项目在前期在策划阶段目标合理，在基本建设程序、工程建设管理方面的合规有序，在资金执行、</w:t>
            </w:r>
            <w:r>
              <w:rPr>
                <w:rFonts w:hint="eastAsia" w:ascii="仿宋_GB2312" w:hAnsi="宋体" w:eastAsia="仿宋_GB2312" w:cs="仿宋_GB2312"/>
                <w:color w:val="000000"/>
                <w:spacing w:val="-6"/>
                <w:kern w:val="0"/>
                <w:szCs w:val="21"/>
                <w:lang w:bidi="ar"/>
              </w:rPr>
              <w:t>造价方面规范、合理可控；确保永定河恢复成为“流动</w:t>
            </w:r>
            <w:r>
              <w:rPr>
                <w:rFonts w:hint="eastAsia" w:ascii="仿宋_GB2312" w:hAnsi="宋体" w:eastAsia="仿宋_GB2312" w:cs="仿宋_GB2312"/>
                <w:color w:val="000000"/>
                <w:kern w:val="0"/>
                <w:szCs w:val="21"/>
                <w:lang w:bidi="ar"/>
              </w:rPr>
              <w:t>的河、绿色的河、清洁的河、安全的河”目标不走样。</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rPr>
              <w:t>1</w:t>
            </w:r>
          </w:p>
        </w:tc>
      </w:tr>
    </w:tbl>
    <w:p>
      <w:r>
        <w:rPr>
          <w:rFonts w:hint="eastAsia"/>
        </w:rPr>
        <w:t>（续上页）</w:t>
      </w:r>
    </w:p>
    <w:p>
      <w:pPr>
        <w:rPr>
          <w:rFonts w:hint="eastAsia"/>
        </w:rPr>
      </w:pPr>
    </w:p>
    <w:tbl>
      <w:tblPr>
        <w:tblStyle w:val="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4819"/>
        <w:gridCol w:w="5102"/>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4819"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三级指标及指标值</w:t>
            </w:r>
          </w:p>
        </w:tc>
        <w:tc>
          <w:tcPr>
            <w:tcW w:w="5102"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（45分）</w:t>
            </w: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形成价格政策执行情况、社会稳定风险评估报告份数≥4份</w:t>
            </w:r>
          </w:p>
        </w:tc>
        <w:tc>
          <w:tcPr>
            <w:tcW w:w="51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形成资源能源领域价格评估报告5份</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开展公用事业、公益性服务领域收费政策调查评估≥2项</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开展4项公用事业、公益性服务领域收费政策评估</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形成全面系统反映监审或者调查成本情况的审核报告数量≥6份</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形成全面系统反映监审或者调查成本情况的审核报告数量9份。</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价格走势分析报告数量≥10份</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价格走势分析报告数量12份。</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每日通过“北京价格早报”订阅号推送发布国内外重要商品和服务价格动态信息＞360期</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每日通过“北京价格早报”订阅号推送发布国内外重要商品和服务价格动态信息365期。</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向国家价格监测中心报送生活必需品、劳动力市场、房地产市场、生猪屠宰及养殖企业等价格监测数据＞2500条</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向国家价格监测中心报送生活必需品、劳动力市场、房地产市场、生猪屠宰及养殖企业等价格监测数据3170条。</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价格认定领域涉案、涉纪案件完成数量≥300件</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价格认定</w:t>
            </w:r>
            <w:r>
              <w:rPr>
                <w:rFonts w:ascii="仿宋_GB2312" w:hAnsi="宋体" w:eastAsia="仿宋_GB2312" w:cs="仿宋_GB2312"/>
                <w:color w:val="000000"/>
                <w:kern w:val="0"/>
                <w:szCs w:val="21"/>
                <w:lang w:bidi="ar"/>
              </w:rPr>
              <w:t>领域</w:t>
            </w:r>
            <w:r>
              <w:rPr>
                <w:rFonts w:hint="eastAsia" w:ascii="仿宋_GB2312" w:hAnsi="宋体" w:eastAsia="仿宋_GB2312" w:cs="仿宋_GB2312"/>
                <w:color w:val="000000"/>
                <w:kern w:val="0"/>
                <w:szCs w:val="21"/>
                <w:lang w:bidi="ar"/>
              </w:rPr>
              <w:t>涉案、涉纪价格认定事项完成数量共4</w:t>
            </w:r>
            <w:r>
              <w:rPr>
                <w:rFonts w:hint="eastAsia" w:ascii="仿宋_GB2312" w:hAnsi="宋体" w:eastAsia="仿宋_GB2312" w:cs="仿宋_GB2312"/>
                <w:color w:val="000000"/>
                <w:kern w:val="0"/>
                <w:szCs w:val="21"/>
                <w:lang w:val="en-US" w:eastAsia="zh-CN" w:bidi="ar"/>
              </w:rPr>
              <w:t>2</w:t>
            </w:r>
            <w:r>
              <w:rPr>
                <w:rFonts w:hint="eastAsia" w:ascii="仿宋_GB2312" w:hAnsi="宋体" w:eastAsia="仿宋_GB2312" w:cs="仿宋_GB2312"/>
                <w:color w:val="000000"/>
                <w:kern w:val="0"/>
                <w:szCs w:val="21"/>
                <w:lang w:bidi="ar"/>
              </w:rPr>
              <w:t>9件。</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r>
    </w:tbl>
    <w:p>
      <w:pPr>
        <w:pStyle w:val="2"/>
        <w:spacing w:after="0" w:line="240" w:lineRule="exact"/>
        <w:jc w:val="right"/>
        <w:rPr>
          <w:rFonts w:ascii="宋体" w:hAnsi="宋体" w:eastAsia="宋体"/>
          <w:sz w:val="21"/>
          <w:szCs w:val="21"/>
        </w:rPr>
      </w:pPr>
      <w:r>
        <w:rPr>
          <w:rFonts w:hint="eastAsia" w:ascii="宋体" w:hAnsi="宋体" w:eastAsia="宋体"/>
          <w:sz w:val="21"/>
          <w:szCs w:val="21"/>
        </w:rPr>
        <w:t>（接</w:t>
      </w:r>
      <w:r>
        <w:rPr>
          <w:rFonts w:ascii="宋体" w:hAnsi="宋体" w:eastAsia="宋体"/>
          <w:sz w:val="21"/>
          <w:szCs w:val="21"/>
        </w:rPr>
        <w:t>下页</w:t>
      </w:r>
      <w:r>
        <w:rPr>
          <w:rFonts w:hint="eastAsia" w:ascii="宋体" w:hAnsi="宋体" w:eastAsia="宋体"/>
          <w:sz w:val="21"/>
          <w:szCs w:val="21"/>
        </w:rPr>
        <w:t>）</w:t>
      </w:r>
      <w:r>
        <w:rPr>
          <w:rFonts w:ascii="宋体" w:hAnsi="宋体" w:eastAsia="宋体"/>
          <w:sz w:val="21"/>
          <w:szCs w:val="21"/>
        </w:rPr>
        <w:br w:type="page"/>
      </w:r>
    </w:p>
    <w:p>
      <w:r>
        <w:rPr>
          <w:rFonts w:hint="eastAsia"/>
        </w:rPr>
        <w:t>（续</w:t>
      </w:r>
      <w:r>
        <w:t>上页</w:t>
      </w:r>
      <w:r>
        <w:rPr>
          <w:rFonts w:hint="eastAsia"/>
        </w:rPr>
        <w:t>）</w:t>
      </w:r>
    </w:p>
    <w:tbl>
      <w:tblPr>
        <w:tblStyle w:val="9"/>
        <w:tblW w:w="14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5103"/>
        <w:gridCol w:w="4819"/>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5103"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三级指标及指标值</w:t>
            </w:r>
          </w:p>
        </w:tc>
        <w:tc>
          <w:tcPr>
            <w:tcW w:w="4819"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（45分）</w:t>
            </w:r>
          </w:p>
        </w:tc>
        <w:tc>
          <w:tcPr>
            <w:tcW w:w="5103"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形成高精尖领域的报告份数≥6份</w:t>
            </w: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形成高精尖领域报告8份。</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5103"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品牌日参展企业数量（线上+线下）≥30家</w:t>
            </w: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推荐线上和线下参展企业达30家。</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5103"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行政复议、诉讼案件办理数量≥5件</w:t>
            </w:r>
          </w:p>
        </w:tc>
        <w:tc>
          <w:tcPr>
            <w:tcW w:w="4819"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86件，其中行政诉讼7件，行政复议79件。</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5103"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集中展示本市经济社会发展成果，重点宣传好落实京津冀协同发展、优化营商环境、区域高质量发展等发展改革中心工作，举办宣传活动次数≥50次/年</w:t>
            </w:r>
          </w:p>
        </w:tc>
        <w:tc>
          <w:tcPr>
            <w:tcW w:w="4819"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全年举办宣传活动123次。</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5103"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全市常住人口总量≤2300万人</w:t>
            </w:r>
          </w:p>
        </w:tc>
        <w:tc>
          <w:tcPr>
            <w:tcW w:w="4819" w:type="dxa"/>
            <w:vAlign w:val="center"/>
          </w:tcPr>
          <w:p>
            <w:pPr>
              <w:widowControl/>
              <w:jc w:val="left"/>
              <w:textAlignment w:val="center"/>
              <w:rPr>
                <w:rFonts w:ascii="仿宋_GB2312" w:eastAsia="仿宋_GB2312"/>
                <w:spacing w:val="-2"/>
                <w:szCs w:val="21"/>
              </w:rPr>
            </w:pPr>
            <w:r>
              <w:rPr>
                <w:rFonts w:hint="default" w:ascii="仿宋_GB2312" w:hAnsi="宋体" w:eastAsia="仿宋_GB2312" w:cs="仿宋_GB2312"/>
                <w:color w:val="000000"/>
                <w:kern w:val="0"/>
                <w:szCs w:val="21"/>
                <w:lang w:val="en-US" w:eastAsia="zh-CN" w:bidi="ar"/>
              </w:rPr>
              <w:t>2024年末，全市常住人口2183.2万人，完成全市常住人口总量控制在2300万人以内目标</w:t>
            </w:r>
            <w:r>
              <w:rPr>
                <w:rFonts w:hint="eastAsia" w:ascii="仿宋_GB2312" w:hAnsi="宋体" w:eastAsia="仿宋_GB2312" w:cs="仿宋_GB2312"/>
                <w:color w:val="000000"/>
                <w:kern w:val="0"/>
                <w:szCs w:val="21"/>
                <w:lang w:val="en-US" w:eastAsia="zh-CN" w:bidi="ar"/>
              </w:rPr>
              <w:t>。</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5103"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出版《健康城市蓝皮书：北京健康城市建设研究报告（2024）》、《北京社会发展报告蓝皮书》、《首都现代化蓝皮书》＝3本</w:t>
            </w:r>
          </w:p>
        </w:tc>
        <w:tc>
          <w:tcPr>
            <w:tcW w:w="4819"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出版完成《健康城市蓝皮书：北京健康城市建设研究报告（2024）》、《2024北京市社会发展报告》、《首都现代化蓝皮书(2024)》各一本。</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5103"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完成“疏解整治促提升”年度任务目标＝100%</w:t>
            </w:r>
          </w:p>
        </w:tc>
        <w:tc>
          <w:tcPr>
            <w:tcW w:w="4819"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100%完成“疏解整治促提升”年度任务目标</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r>
    </w:tbl>
    <w:p>
      <w:pPr>
        <w:pStyle w:val="2"/>
        <w:spacing w:after="0" w:line="240" w:lineRule="exact"/>
        <w:jc w:val="right"/>
        <w:rPr>
          <w:sz w:val="21"/>
          <w:szCs w:val="21"/>
        </w:rPr>
      </w:pPr>
      <w:r>
        <w:rPr>
          <w:rFonts w:hint="eastAsia" w:ascii="宋体" w:hAnsi="宋体" w:eastAsia="宋体"/>
          <w:sz w:val="21"/>
          <w:szCs w:val="21"/>
        </w:rPr>
        <w:t>（接</w:t>
      </w:r>
      <w:r>
        <w:rPr>
          <w:rFonts w:ascii="宋体" w:hAnsi="宋体" w:eastAsia="宋体"/>
          <w:sz w:val="21"/>
          <w:szCs w:val="21"/>
        </w:rPr>
        <w:t>下页</w:t>
      </w:r>
      <w:r>
        <w:rPr>
          <w:rFonts w:hint="eastAsia" w:ascii="宋体" w:hAnsi="宋体" w:eastAsia="宋体"/>
          <w:sz w:val="21"/>
          <w:szCs w:val="21"/>
        </w:rPr>
        <w:t>）</w:t>
      </w:r>
      <w:r>
        <w:rPr>
          <w:sz w:val="21"/>
          <w:szCs w:val="21"/>
        </w:rPr>
        <w:br w:type="page"/>
      </w:r>
    </w:p>
    <w:p>
      <w:r>
        <w:rPr>
          <w:rFonts w:hint="eastAsia"/>
        </w:rPr>
        <w:t>（续上页）</w:t>
      </w:r>
    </w:p>
    <w:tbl>
      <w:tblPr>
        <w:tblStyle w:val="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4819"/>
        <w:gridCol w:w="5102"/>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4819" w:type="dxa"/>
            <w:shd w:val="clear" w:color="auto" w:fill="D8D8D8" w:themeFill="background1" w:themeFillShade="D9"/>
            <w:vAlign w:val="center"/>
          </w:tcPr>
          <w:p>
            <w:pPr>
              <w:jc w:val="center"/>
              <w:rPr>
                <w:rFonts w:ascii="仿宋_GB2312" w:eastAsia="仿宋_GB2312"/>
                <w:spacing w:val="-2"/>
                <w:szCs w:val="21"/>
              </w:rPr>
            </w:pPr>
            <w:r>
              <w:rPr>
                <w:rFonts w:hint="eastAsia" w:ascii="仿宋_GB2312" w:eastAsia="仿宋_GB2312"/>
                <w:b/>
                <w:sz w:val="20"/>
                <w:szCs w:val="20"/>
              </w:rPr>
              <w:t>三级指标及指标值</w:t>
            </w:r>
          </w:p>
        </w:tc>
        <w:tc>
          <w:tcPr>
            <w:tcW w:w="5102"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（45分）</w:t>
            </w:r>
          </w:p>
        </w:tc>
        <w:tc>
          <w:tcPr>
            <w:tcW w:w="4819"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提高市场主体退出的质量和效率（定性)</w:t>
            </w:r>
          </w:p>
        </w:tc>
        <w:tc>
          <w:tcPr>
            <w:tcW w:w="5102"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印发《北京市深化破产制度改革优化营商环境的若干措施》，明确45条务实措施，深入推进破产制度改革，完善优胜劣汰市场机制，激发市场主体活力，促进企业重组和出清质量效率不断提升。大力推进简易注销，约60%注销企业通过简易注销程序退出市场。</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涉案财产价格认定纪检监察机关复查率≤2%</w:t>
            </w:r>
          </w:p>
        </w:tc>
        <w:tc>
          <w:tcPr>
            <w:tcW w:w="51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涉案财产价格认定纪检监察机关复查率为零。</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信息化系统正常运行率≥95%</w:t>
            </w:r>
          </w:p>
        </w:tc>
        <w:tc>
          <w:tcPr>
            <w:tcW w:w="51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信息化系统正常运行率≥98%</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光伏奖励资金按时拨付期限≤1月</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两次光伏奖励资金按期拨付时间≤1月</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行政诉讼案件办理时限≤15日</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行政诉讼案件完成时限不高于15天，全部胜诉。</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平均故障修复响应时间≤4小时</w:t>
            </w:r>
          </w:p>
        </w:tc>
        <w:tc>
          <w:tcPr>
            <w:tcW w:w="5102" w:type="dxa"/>
            <w:vAlign w:val="center"/>
          </w:tcPr>
          <w:p>
            <w:pPr>
              <w:widowControl/>
              <w:jc w:val="left"/>
              <w:textAlignment w:val="center"/>
              <w:rPr>
                <w:rFonts w:ascii="仿宋_GB2312" w:eastAsia="仿宋_GB2312"/>
                <w:spacing w:val="2"/>
                <w:szCs w:val="21"/>
              </w:rPr>
            </w:pPr>
            <w:r>
              <w:rPr>
                <w:rFonts w:hint="eastAsia" w:ascii="仿宋_GB2312" w:hAnsi="宋体" w:eastAsia="仿宋_GB2312" w:cs="仿宋_GB2312"/>
                <w:color w:val="000000"/>
                <w:kern w:val="0"/>
                <w:szCs w:val="21"/>
                <w:lang w:bidi="ar"/>
              </w:rPr>
              <w:t>平均故障修复响应时间＜2小时</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bl>
    <w:p>
      <w:pPr>
        <w:ind w:firstLine="12810" w:firstLineChars="6100"/>
        <w:jc w:val="left"/>
      </w:pPr>
      <w:r>
        <w:rPr>
          <w:rFonts w:hint="eastAsia" w:ascii="宋体" w:hAnsi="宋体"/>
          <w:szCs w:val="21"/>
        </w:rPr>
        <w:t>（接下页）</w:t>
      </w:r>
      <w:r>
        <w:rPr>
          <w:rFonts w:ascii="宋体" w:hAnsi="宋体"/>
          <w:szCs w:val="21"/>
        </w:rPr>
        <w:br w:type="page"/>
      </w:r>
      <w:r>
        <w:rPr>
          <w:rFonts w:hint="eastAsia"/>
        </w:rPr>
        <w:t>（续上页）</w:t>
      </w:r>
    </w:p>
    <w:tbl>
      <w:tblPr>
        <w:tblStyle w:val="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4819"/>
        <w:gridCol w:w="5102"/>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4819" w:type="dxa"/>
            <w:shd w:val="clear" w:color="auto" w:fill="D8D8D8" w:themeFill="background1" w:themeFillShade="D9"/>
            <w:vAlign w:val="center"/>
          </w:tcPr>
          <w:p>
            <w:pPr>
              <w:jc w:val="center"/>
              <w:rPr>
                <w:rFonts w:ascii="仿宋_GB2312" w:eastAsia="仿宋_GB2312"/>
                <w:spacing w:val="-2"/>
                <w:szCs w:val="21"/>
              </w:rPr>
            </w:pPr>
            <w:r>
              <w:rPr>
                <w:rFonts w:hint="eastAsia" w:ascii="仿宋_GB2312" w:eastAsia="仿宋_GB2312"/>
                <w:b/>
                <w:sz w:val="20"/>
                <w:szCs w:val="20"/>
              </w:rPr>
              <w:t>三级指标及指标值</w:t>
            </w:r>
          </w:p>
        </w:tc>
        <w:tc>
          <w:tcPr>
            <w:tcW w:w="5102" w:type="dxa"/>
            <w:shd w:val="clear" w:color="auto" w:fill="D8D8D8" w:themeFill="background1" w:themeFillShade="D9"/>
            <w:vAlign w:val="center"/>
          </w:tcPr>
          <w:p>
            <w:pPr>
              <w:jc w:val="center"/>
              <w:rPr>
                <w:rFonts w:ascii="仿宋_GB2312" w:eastAsia="仿宋_GB2312"/>
                <w:spacing w:val="-14"/>
                <w:sz w:val="20"/>
                <w:szCs w:val="20"/>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5"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效果</w:t>
            </w:r>
          </w:p>
          <w:p>
            <w:pPr>
              <w:jc w:val="center"/>
              <w:rPr>
                <w:rFonts w:ascii="仿宋_GB2312" w:eastAsia="仿宋_GB2312"/>
                <w:szCs w:val="21"/>
              </w:rPr>
            </w:pPr>
            <w:r>
              <w:rPr>
                <w:rFonts w:hint="eastAsia" w:ascii="仿宋_GB2312" w:eastAsia="仿宋_GB2312"/>
                <w:szCs w:val="21"/>
              </w:rPr>
              <w:t>（15分）</w:t>
            </w: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推进财政金融相关工作有序开展，推动市场主体融资发展环境优化（定性）</w:t>
            </w:r>
          </w:p>
        </w:tc>
        <w:tc>
          <w:tcPr>
            <w:tcW w:w="5102" w:type="dxa"/>
            <w:vAlign w:val="center"/>
          </w:tcPr>
          <w:p>
            <w:pPr>
              <w:widowControl/>
              <w:jc w:val="left"/>
              <w:textAlignment w:val="center"/>
              <w:rPr>
                <w:rFonts w:ascii="仿宋_GB2312" w:eastAsia="仿宋_GB2312"/>
                <w:spacing w:val="-6"/>
                <w:szCs w:val="21"/>
              </w:rPr>
            </w:pPr>
            <w:r>
              <w:rPr>
                <w:rFonts w:hint="eastAsia" w:ascii="仿宋_GB2312" w:hAnsi="宋体" w:eastAsia="仿宋_GB2312" w:cs="仿宋_GB2312"/>
                <w:color w:val="000000"/>
                <w:kern w:val="0"/>
                <w:szCs w:val="21"/>
                <w:lang w:bidi="ar"/>
              </w:rPr>
              <w:t>优。财政金融工作有序开展，加强与财政、金融监管部门沟通，配合推进中关村科创金融改革试验区、“两区”绿色金融等全市金融领域重点工作落实，参与研究起草金融五篇大文章、支持创投高质量发展等政策，协调推进我委财源建设工作。推动市场主体融资发展环境优化，持续深化重点项目融资对接，2024年累计组织两次重点项目融资工作会，推介重点融资需求项目197个，总投资超3500亿元，涉及融资需求1278亿元，实际放款超700亿元。</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eastAsia="仿宋_GB2312"/>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报送推进落实市委财经办各项工作任务，筹办好市委财经委会议，组织编发《财经专报》（定性）</w:t>
            </w:r>
          </w:p>
        </w:tc>
        <w:tc>
          <w:tcPr>
            <w:tcW w:w="5102" w:type="dxa"/>
            <w:vAlign w:val="center"/>
          </w:tcPr>
          <w:p>
            <w:pPr>
              <w:widowControl/>
              <w:jc w:val="left"/>
              <w:textAlignment w:val="center"/>
              <w:rPr>
                <w:rFonts w:ascii="仿宋_GB2312" w:eastAsia="仿宋_GB2312"/>
                <w:spacing w:val="-6"/>
                <w:szCs w:val="21"/>
              </w:rPr>
            </w:pPr>
            <w:r>
              <w:rPr>
                <w:rFonts w:hint="eastAsia" w:ascii="仿宋_GB2312" w:hAnsi="宋体" w:eastAsia="仿宋_GB2312" w:cs="仿宋_GB2312"/>
                <w:color w:val="000000"/>
                <w:kern w:val="0"/>
                <w:szCs w:val="21"/>
                <w:lang w:bidi="ar"/>
              </w:rPr>
              <w:t>优，落实好市委财经办各项工作任务，召开市委财经委会议4次，报送《财经专报》30期。</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eastAsia="仿宋_GB2312"/>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资源得到合理使用和循环利用，企事业单位和全社会的能源资源经济成本得到间接降低（定性）</w:t>
            </w:r>
          </w:p>
        </w:tc>
        <w:tc>
          <w:tcPr>
            <w:tcW w:w="5102" w:type="dxa"/>
            <w:vAlign w:val="center"/>
          </w:tcPr>
          <w:p>
            <w:pPr>
              <w:widowControl/>
              <w:jc w:val="left"/>
              <w:textAlignment w:val="center"/>
              <w:rPr>
                <w:rFonts w:ascii="仿宋_GB2312" w:eastAsia="仿宋_GB2312"/>
                <w:spacing w:val="-6"/>
                <w:szCs w:val="21"/>
              </w:rPr>
            </w:pPr>
            <w:r>
              <w:rPr>
                <w:rFonts w:hint="eastAsia" w:ascii="仿宋_GB2312" w:hAnsi="宋体" w:eastAsia="仿宋_GB2312" w:cs="仿宋_GB2312"/>
                <w:color w:val="000000"/>
                <w:kern w:val="0"/>
                <w:szCs w:val="21"/>
                <w:lang w:bidi="ar"/>
              </w:rPr>
              <w:t>优。形成了9项工作成果报告，进一步促进提升资源的回收和利用效率，有效提升本市资源合理利用能力和循环经济发展水平，间接提升经济效益。</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eastAsia="仿宋_GB2312"/>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密切关注市场动态，及时报告市场动态，加强价格监测预警，为宏观调控提供有效支撑（定性）</w:t>
            </w:r>
          </w:p>
        </w:tc>
        <w:tc>
          <w:tcPr>
            <w:tcW w:w="5102" w:type="dxa"/>
            <w:vAlign w:val="center"/>
          </w:tcPr>
          <w:p>
            <w:pPr>
              <w:widowControl/>
              <w:jc w:val="left"/>
              <w:textAlignment w:val="center"/>
              <w:rPr>
                <w:rFonts w:ascii="仿宋_GB2312" w:eastAsia="仿宋_GB2312"/>
                <w:spacing w:val="-6"/>
                <w:szCs w:val="21"/>
              </w:rPr>
            </w:pPr>
            <w:r>
              <w:rPr>
                <w:rFonts w:hint="eastAsia" w:ascii="仿宋_GB2312" w:hAnsi="宋体" w:eastAsia="仿宋_GB2312" w:cs="仿宋_GB2312"/>
                <w:color w:val="000000"/>
                <w:kern w:val="0"/>
                <w:szCs w:val="21"/>
                <w:lang w:bidi="ar"/>
              </w:rPr>
              <w:t>优，通过价格数据报送，密切关注市场动态，加强价格监测预警，为宏观调控提供有效支撑。</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0.25</w:t>
            </w:r>
          </w:p>
        </w:tc>
        <w:tc>
          <w:tcPr>
            <w:tcW w:w="850" w:type="dxa"/>
            <w:vAlign w:val="center"/>
          </w:tcPr>
          <w:p>
            <w:pPr>
              <w:widowControl/>
              <w:jc w:val="center"/>
              <w:textAlignment w:val="center"/>
              <w:rPr>
                <w:rFonts w:ascii="仿宋_GB2312" w:eastAsia="仿宋_GB2312"/>
              </w:rPr>
            </w:pPr>
            <w:r>
              <w:rPr>
                <w:rFonts w:hint="eastAsia" w:ascii="仿宋_GB2312" w:eastAsia="仿宋_GB2312"/>
              </w:rPr>
              <w:t>0.25</w:t>
            </w:r>
          </w:p>
        </w:tc>
      </w:tr>
    </w:tbl>
    <w:p>
      <w:pPr>
        <w:pStyle w:val="2"/>
        <w:spacing w:after="0" w:line="240" w:lineRule="exact"/>
        <w:jc w:val="right"/>
        <w:rPr>
          <w:rFonts w:asciiTheme="minorEastAsia" w:hAnsiTheme="minorEastAsia" w:eastAsiaTheme="minorEastAsia"/>
          <w:sz w:val="21"/>
          <w:szCs w:val="21"/>
        </w:rPr>
      </w:pPr>
      <w:r>
        <w:rPr>
          <w:rFonts w:hint="eastAsia" w:asciiTheme="minorEastAsia" w:hAnsiTheme="minorEastAsia" w:eastAsiaTheme="minorEastAsia"/>
          <w:sz w:val="21"/>
          <w:szCs w:val="21"/>
        </w:rPr>
        <w:t>（接</w:t>
      </w:r>
      <w:r>
        <w:rPr>
          <w:rFonts w:asciiTheme="minorEastAsia" w:hAnsiTheme="minorEastAsia" w:eastAsiaTheme="minorEastAsia"/>
          <w:sz w:val="21"/>
          <w:szCs w:val="21"/>
        </w:rPr>
        <w:t>下页</w:t>
      </w:r>
      <w:r>
        <w:rPr>
          <w:rFonts w:hint="eastAsia" w:asciiTheme="minorEastAsia" w:hAnsiTheme="minorEastAsia" w:eastAsiaTheme="minorEastAsia"/>
          <w:sz w:val="21"/>
          <w:szCs w:val="21"/>
        </w:rPr>
        <w:t>）</w:t>
      </w:r>
      <w:r>
        <w:rPr>
          <w:rFonts w:asciiTheme="minorEastAsia" w:hAnsiTheme="minorEastAsia" w:eastAsiaTheme="minorEastAsia"/>
          <w:sz w:val="21"/>
          <w:szCs w:val="21"/>
        </w:rPr>
        <w:br w:type="page"/>
      </w:r>
    </w:p>
    <w:p>
      <w:r>
        <w:rPr>
          <w:rFonts w:hint="eastAsia"/>
        </w:rPr>
        <w:t>（续上页）</w:t>
      </w:r>
    </w:p>
    <w:tbl>
      <w:tblPr>
        <w:tblStyle w:val="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4819"/>
        <w:gridCol w:w="5102"/>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4819" w:type="dxa"/>
            <w:shd w:val="clear" w:color="auto" w:fill="D8D8D8" w:themeFill="background1" w:themeFillShade="D9"/>
            <w:vAlign w:val="center"/>
          </w:tcPr>
          <w:p>
            <w:pPr>
              <w:jc w:val="center"/>
              <w:rPr>
                <w:rFonts w:ascii="仿宋_GB2312" w:eastAsia="仿宋_GB2312"/>
                <w:spacing w:val="-2"/>
                <w:szCs w:val="21"/>
              </w:rPr>
            </w:pPr>
            <w:r>
              <w:rPr>
                <w:rFonts w:hint="eastAsia" w:ascii="仿宋_GB2312" w:eastAsia="仿宋_GB2312"/>
                <w:b/>
                <w:sz w:val="20"/>
                <w:szCs w:val="20"/>
              </w:rPr>
              <w:t>三级指标及指标值</w:t>
            </w:r>
          </w:p>
        </w:tc>
        <w:tc>
          <w:tcPr>
            <w:tcW w:w="5102"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2"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效果</w:t>
            </w:r>
          </w:p>
          <w:p>
            <w:pPr>
              <w:jc w:val="center"/>
              <w:rPr>
                <w:rFonts w:ascii="仿宋_GB2312" w:eastAsia="仿宋_GB2312"/>
                <w:szCs w:val="21"/>
              </w:rPr>
            </w:pPr>
            <w:r>
              <w:rPr>
                <w:rFonts w:hint="eastAsia" w:ascii="仿宋_GB2312" w:eastAsia="仿宋_GB2312"/>
                <w:szCs w:val="21"/>
              </w:rPr>
              <w:t>（15分）</w:t>
            </w: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报告本市社会领域工作进展情况，分析本市社会领域重点问题，提出相关对策建议≥5条</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提出5条对策建议：1.提出“分类试点、因地施策、多元运营，有序推进北京市社区嵌入式服务设施建设”的建议。2.围绕银发经济发展，提出进一步整合资源、放开市场，补足刚需、增加供给、优化服务，完善全生命周期的健康服务的建议。3．围绕中网赛事提质升级，提出推动“中网+”向“网球+”发展、“网球+”向“体育+”演进，培育新消费增长点，推动“体育+”高质量发展的建议。4.提出统筹综合利用各类“平急两用”公共基础设施的建议。5.提出医药体制改革、政策突破创新、投融资支持、区域试点先行等方面工作建议。</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0.25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8"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落实国家及市领导有关工作部署，会同有关方面研究拟订促进先进制造业与现代服务业融合、专业服务业高质量发展等政策措施并组织实施，推动本市产业高质量发展（定性）</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优，积极服务生产性服务业和“两业融合”重点任务。作为协办方，支撑“两业融合促进新质生产力发展”主题论坛成功举办;会同有关部门研究形成《关于北京生产性服务业发展面临瓶颈及对策建议》。结合党的二十届三中全会精神完成本市生产性服务业分领域分环节对策建议研究，为政策制定提供坚实依据,完成《借鉴发达国家经验 促进“十五五”期间我市生产性服务业高质量发展》研究报告并获市领导批示。</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0.25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0.25</w:t>
            </w:r>
          </w:p>
        </w:tc>
      </w:tr>
    </w:tbl>
    <w:p>
      <w:pPr>
        <w:pStyle w:val="2"/>
        <w:spacing w:after="0" w:line="240" w:lineRule="exact"/>
        <w:jc w:val="right"/>
        <w:rPr>
          <w:rFonts w:eastAsia="宋体"/>
          <w:sz w:val="21"/>
        </w:rPr>
      </w:pPr>
      <w:r>
        <w:rPr>
          <w:rFonts w:hint="eastAsia" w:eastAsia="宋体"/>
          <w:sz w:val="21"/>
        </w:rPr>
        <w:t>（接</w:t>
      </w:r>
      <w:r>
        <w:rPr>
          <w:rFonts w:eastAsia="宋体"/>
          <w:sz w:val="21"/>
        </w:rPr>
        <w:t>下页</w:t>
      </w:r>
      <w:r>
        <w:rPr>
          <w:rFonts w:hint="eastAsia" w:eastAsia="宋体"/>
          <w:sz w:val="21"/>
        </w:rPr>
        <w:t>）</w:t>
      </w:r>
      <w:r>
        <w:rPr>
          <w:rFonts w:eastAsia="宋体"/>
          <w:sz w:val="21"/>
        </w:rPr>
        <w:br w:type="page"/>
      </w:r>
    </w:p>
    <w:p>
      <w:r>
        <w:rPr>
          <w:rFonts w:hint="eastAsia"/>
        </w:rPr>
        <w:t>（续上页）</w:t>
      </w:r>
    </w:p>
    <w:tbl>
      <w:tblPr>
        <w:tblStyle w:val="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4819"/>
        <w:gridCol w:w="5102"/>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4819" w:type="dxa"/>
            <w:shd w:val="clear" w:color="auto" w:fill="D8D8D8" w:themeFill="background1" w:themeFillShade="D9"/>
            <w:vAlign w:val="center"/>
          </w:tcPr>
          <w:p>
            <w:pPr>
              <w:jc w:val="center"/>
              <w:rPr>
                <w:rFonts w:ascii="仿宋_GB2312" w:eastAsia="仿宋_GB2312"/>
                <w:spacing w:val="-2"/>
                <w:szCs w:val="21"/>
              </w:rPr>
            </w:pPr>
            <w:r>
              <w:rPr>
                <w:rFonts w:hint="eastAsia" w:ascii="仿宋_GB2312" w:eastAsia="仿宋_GB2312"/>
                <w:b/>
                <w:sz w:val="20"/>
                <w:szCs w:val="20"/>
              </w:rPr>
              <w:t>三级指标及指标值</w:t>
            </w:r>
          </w:p>
        </w:tc>
        <w:tc>
          <w:tcPr>
            <w:tcW w:w="5102"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4"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效果</w:t>
            </w:r>
          </w:p>
          <w:p>
            <w:pPr>
              <w:jc w:val="center"/>
              <w:rPr>
                <w:rFonts w:ascii="仿宋_GB2312" w:eastAsia="仿宋_GB2312"/>
                <w:szCs w:val="21"/>
              </w:rPr>
            </w:pPr>
            <w:r>
              <w:rPr>
                <w:rFonts w:hint="eastAsia" w:ascii="仿宋_GB2312" w:eastAsia="仿宋_GB2312"/>
                <w:szCs w:val="21"/>
              </w:rPr>
              <w:t>（15分）</w:t>
            </w: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落实国家及市委市政府重大决策部署，对城市南部地区、生态涵养区、农业中关村等重点区域高质量发展以及小城镇健康发展等开展综合评估及系统宣传，推广本市区域协调发展、城乡融合发展工作成效（定性）</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优，对北京农村地区发展开展综合评估，推广城市南部地区、生态涵养区等重点区域、城乡融合发展工作成效12次，取得了很好的成效。</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4"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有效推动京西地区重点任务和重大项目落地，支撑京西地区高质量转型发展（定性）</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优，印发实施京西行动计划2024年度工作要点，年度56项重点任务顺利推进，85个重大项目超额完成全年投资目标，推动京西地区高质量转型发展取得扎实成效。</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4"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进一步落实企业“服务包”工作制度，实现企业在京更好发展（定性）</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优，进一步落实企业“服务包”工作制度，印发《关于进一步完善企业服务包制度实施方案》，完成对《北京市优化营商环境条例》的首次修订，为实现企业在京更好发展提供了法制保障。</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8"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形成营商环境良好社会氛围（定性）</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优，作为全国首档搭建政企对话平台的《局处长讲政策》栏目，2024年第一季共播出13期节目，涉猎包括生物医药、商业航天、氢能源在内的13个领域，携手市区多个委办局召开主题研讨会20余场，为参与录制的30余家企业，解决了包括股权投资、产品出口、资金补贴、专业技术支持、产品新场景应用等多个实际困难，企业获得各类资金资助累计超过3亿元。</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bl>
    <w:p>
      <w:pPr>
        <w:pStyle w:val="2"/>
        <w:spacing w:after="0" w:line="240" w:lineRule="exact"/>
        <w:jc w:val="right"/>
        <w:rPr>
          <w:rFonts w:asciiTheme="minorEastAsia" w:hAnsiTheme="minorEastAsia" w:eastAsiaTheme="minorEastAsia"/>
          <w:sz w:val="21"/>
          <w:szCs w:val="21"/>
        </w:rPr>
      </w:pPr>
      <w:r>
        <w:rPr>
          <w:rFonts w:hint="eastAsia" w:asciiTheme="minorEastAsia" w:hAnsiTheme="minorEastAsia" w:eastAsiaTheme="minorEastAsia"/>
          <w:sz w:val="21"/>
          <w:szCs w:val="21"/>
        </w:rPr>
        <w:t>（接下页）</w:t>
      </w:r>
      <w:r>
        <w:rPr>
          <w:rFonts w:asciiTheme="minorEastAsia" w:hAnsiTheme="minorEastAsia" w:eastAsiaTheme="minorEastAsia"/>
          <w:sz w:val="21"/>
          <w:szCs w:val="21"/>
        </w:rPr>
        <w:br w:type="page"/>
      </w:r>
    </w:p>
    <w:p>
      <w:r>
        <w:rPr>
          <w:rFonts w:hint="eastAsia"/>
        </w:rPr>
        <w:t>（续上页）</w:t>
      </w:r>
    </w:p>
    <w:tbl>
      <w:tblPr>
        <w:tblStyle w:val="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4819"/>
        <w:gridCol w:w="5102"/>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4819" w:type="dxa"/>
            <w:shd w:val="clear" w:color="auto" w:fill="D8D8D8" w:themeFill="background1" w:themeFillShade="D9"/>
            <w:vAlign w:val="center"/>
          </w:tcPr>
          <w:p>
            <w:pPr>
              <w:jc w:val="center"/>
              <w:rPr>
                <w:rFonts w:ascii="仿宋_GB2312" w:eastAsia="仿宋_GB2312"/>
                <w:spacing w:val="-2"/>
                <w:szCs w:val="21"/>
              </w:rPr>
            </w:pPr>
            <w:r>
              <w:rPr>
                <w:rFonts w:hint="eastAsia" w:ascii="仿宋_GB2312" w:eastAsia="仿宋_GB2312"/>
                <w:b/>
                <w:sz w:val="20"/>
                <w:szCs w:val="20"/>
              </w:rPr>
              <w:t>三级指标及指标值</w:t>
            </w:r>
          </w:p>
        </w:tc>
        <w:tc>
          <w:tcPr>
            <w:tcW w:w="5102"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效果</w:t>
            </w:r>
          </w:p>
          <w:p>
            <w:pPr>
              <w:jc w:val="center"/>
              <w:rPr>
                <w:rFonts w:ascii="仿宋_GB2312" w:eastAsia="仿宋_GB2312"/>
                <w:szCs w:val="21"/>
              </w:rPr>
            </w:pPr>
            <w:r>
              <w:rPr>
                <w:rFonts w:hint="eastAsia" w:ascii="仿宋_GB2312" w:eastAsia="仿宋_GB2312"/>
                <w:szCs w:val="21"/>
              </w:rPr>
              <w:t>（15分）</w:t>
            </w: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破产制度政策培训覆盖率≥80%</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联合市高级法院、市市场监管局等11家部门，开展了2024年破产制度改革政策培训，此次培训900余家经营主体、200余家破产管理人、100余家区级基层工作人员，累计1200余人次参加线上培训，覆盖率达</w:t>
            </w:r>
            <w:r>
              <w:rPr>
                <w:rFonts w:hint="eastAsia" w:ascii="仿宋_GB2312" w:hAnsi="宋体" w:eastAsia="仿宋_GB2312" w:cs="仿宋_GB2312"/>
                <w:color w:val="000000"/>
                <w:kern w:val="0"/>
                <w:szCs w:val="21"/>
                <w:lang w:val="en-US" w:eastAsia="zh-CN" w:bidi="ar"/>
              </w:rPr>
              <w:t>10</w:t>
            </w:r>
            <w:r>
              <w:rPr>
                <w:rFonts w:hint="eastAsia" w:ascii="仿宋_GB2312" w:hAnsi="宋体" w:eastAsia="仿宋_GB2312" w:cs="仿宋_GB2312"/>
                <w:color w:val="000000"/>
                <w:kern w:val="0"/>
                <w:szCs w:val="21"/>
                <w:lang w:bidi="ar"/>
              </w:rPr>
              <w:t>0%。</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对京津冀协同发展成效进行宣传展示、推介（定性）</w:t>
            </w:r>
          </w:p>
        </w:tc>
        <w:tc>
          <w:tcPr>
            <w:tcW w:w="51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优，拍摄制作并播出《京津冀大格局》栏目，多角度展示协同发展成效，营造良好氛围。</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4"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举办京港洽谈会“一带一路”相关活动，健全和完善两地常态化合作机制，共同拓展多领域合作渠道（定性）</w:t>
            </w:r>
          </w:p>
        </w:tc>
        <w:tc>
          <w:tcPr>
            <w:tcW w:w="51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成功举办第27届京港洽谈会京津冀与粤港澳大湾区产业链供应链对接专题活动。聚焦新能源、智能网联和生物医药领域，签约10个项目，预计投资金额23.6亿元，两大区域合作设立企业合作会客厅，促进两地产业链、供应链、创新链深度融合。</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1"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为疏整促专项行动调度、人口服务、治理类街乡镇督导提供支撑（定性）</w:t>
            </w:r>
          </w:p>
        </w:tc>
        <w:tc>
          <w:tcPr>
            <w:tcW w:w="51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优。1.实行“疏整促”专项行动上账销账、进展跟踪、 督查核验、落点落图全过程管理，为专项行动调度提供支撑。2.开展重点区域、重点时段信令监测及全市人口大数据综合分析，充分发挥对专项行动、人口服务管理的支撑作用，推动数据共享利用，释放数据价值。3.聚焦市民诉求集中的街乡镇，挖掘 12345 热线数据，动态跟踪量率变化，深入剖析高频问题、高发点位，为治理类街乡镇督导等工作提供支撑。</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r>
    </w:tbl>
    <w:p>
      <w:pPr>
        <w:pStyle w:val="2"/>
        <w:spacing w:after="0" w:line="240" w:lineRule="exact"/>
        <w:jc w:val="right"/>
        <w:rPr>
          <w:rFonts w:ascii="宋体" w:hAnsi="宋体" w:eastAsia="宋体"/>
          <w:sz w:val="21"/>
          <w:szCs w:val="21"/>
        </w:rPr>
      </w:pPr>
      <w:r>
        <w:rPr>
          <w:rFonts w:hint="eastAsia" w:ascii="宋体" w:hAnsi="宋体" w:eastAsia="宋体"/>
          <w:sz w:val="21"/>
          <w:szCs w:val="21"/>
        </w:rPr>
        <w:t>（接</w:t>
      </w:r>
      <w:r>
        <w:rPr>
          <w:rFonts w:ascii="宋体" w:hAnsi="宋体" w:eastAsia="宋体"/>
          <w:sz w:val="21"/>
          <w:szCs w:val="21"/>
        </w:rPr>
        <w:t>下页</w:t>
      </w:r>
      <w:r>
        <w:rPr>
          <w:rFonts w:hint="eastAsia" w:ascii="宋体" w:hAnsi="宋体" w:eastAsia="宋体"/>
          <w:sz w:val="21"/>
          <w:szCs w:val="21"/>
        </w:rPr>
        <w:t>）</w:t>
      </w:r>
      <w:r>
        <w:rPr>
          <w:rFonts w:ascii="宋体" w:hAnsi="宋体" w:eastAsia="宋体"/>
          <w:sz w:val="21"/>
          <w:szCs w:val="21"/>
        </w:rPr>
        <w:br w:type="page"/>
      </w:r>
    </w:p>
    <w:p>
      <w:r>
        <w:rPr>
          <w:rFonts w:hint="eastAsia"/>
        </w:rPr>
        <w:t>（续上页）</w:t>
      </w:r>
    </w:p>
    <w:tbl>
      <w:tblPr>
        <w:tblStyle w:val="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4819"/>
        <w:gridCol w:w="5102"/>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4819" w:type="dxa"/>
            <w:shd w:val="clear" w:color="auto" w:fill="D8D8D8" w:themeFill="background1" w:themeFillShade="D9"/>
            <w:vAlign w:val="center"/>
          </w:tcPr>
          <w:p>
            <w:pPr>
              <w:jc w:val="center"/>
              <w:rPr>
                <w:rFonts w:ascii="仿宋_GB2312" w:eastAsia="仿宋_GB2312"/>
                <w:spacing w:val="-2"/>
                <w:szCs w:val="21"/>
              </w:rPr>
            </w:pPr>
            <w:r>
              <w:rPr>
                <w:rFonts w:hint="eastAsia" w:ascii="仿宋_GB2312" w:eastAsia="仿宋_GB2312"/>
                <w:b/>
                <w:sz w:val="20"/>
                <w:szCs w:val="20"/>
              </w:rPr>
              <w:t>三级指标及指标值</w:t>
            </w:r>
          </w:p>
        </w:tc>
        <w:tc>
          <w:tcPr>
            <w:tcW w:w="5102"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效果</w:t>
            </w:r>
          </w:p>
          <w:p>
            <w:pPr>
              <w:jc w:val="center"/>
              <w:rPr>
                <w:rFonts w:ascii="仿宋_GB2312" w:eastAsia="仿宋_GB2312"/>
                <w:szCs w:val="21"/>
              </w:rPr>
            </w:pPr>
            <w:r>
              <w:rPr>
                <w:rFonts w:hint="eastAsia" w:ascii="仿宋_GB2312" w:eastAsia="仿宋_GB2312"/>
                <w:szCs w:val="21"/>
              </w:rPr>
              <w:t>（15分）</w:t>
            </w: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提高全市人口服务管理工作水平（定性）</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高。促进业务成果转化，推进优质公共服务资源均衡配置，提高全市人口服务管理水平。</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1"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对经济社会形势分析的支撑作用（定性）</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优。坚持稳中求进、以进促稳、先立后破,加强经济运行监测分析,着力深化改革、扩大开放，着力提振有效需求、提升产业能级，着力优化营商环境、提振发展信心,着力保障改善民生、防范化解风险，主要发展目标任务圆满完成,高质量发展扎实推进。2024年实现地区生产总值49843.1亿元、同比增长5.2%，高于年初预期，高于国家0.2个百分点。</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5"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为本市投资工作质量提升提供有力支撑（定性）</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高。按季度监测市重点工程和北京市建设项目（工地）建设情况，测算项目建设进度，搭建以卫星遥感技术为主要支撑，服务固定资产投资形势研判和重点项目调度的应用场景；编制印发《关于进一步加强重大项目谋划工作方案》，推动全市谋划储备“十五五”重大项目、撬动总投资；完成储备并推荐多个项目至国家发展改革委，同时推动3个项目上市；支持多个片区综合性城市投融资工作，谋划储备了多个区域综合性城市更新项目和城市公共空间提升促进项目；推动报送全市专项债券项目并通过两部委审核，截至2024年10月底，我市2024年专项债额度已全部发行完毕。</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bl>
    <w:p>
      <w:pPr>
        <w:pStyle w:val="2"/>
        <w:spacing w:after="0" w:line="240" w:lineRule="exact"/>
        <w:jc w:val="right"/>
        <w:rPr>
          <w:rFonts w:ascii="宋体" w:hAnsi="宋体" w:eastAsia="宋体"/>
          <w:sz w:val="21"/>
          <w:szCs w:val="21"/>
        </w:rPr>
      </w:pPr>
      <w:r>
        <w:rPr>
          <w:rFonts w:hint="eastAsia" w:ascii="宋体" w:hAnsi="宋体" w:eastAsia="宋体"/>
          <w:sz w:val="21"/>
          <w:szCs w:val="21"/>
        </w:rPr>
        <w:t>（接下页）</w:t>
      </w:r>
      <w:r>
        <w:rPr>
          <w:rFonts w:ascii="宋体" w:hAnsi="宋体" w:eastAsia="宋体"/>
          <w:sz w:val="21"/>
          <w:szCs w:val="21"/>
        </w:rPr>
        <w:br w:type="page"/>
      </w:r>
    </w:p>
    <w:p>
      <w:r>
        <w:rPr>
          <w:rFonts w:hint="eastAsia"/>
        </w:rPr>
        <w:t>（续上页）</w:t>
      </w:r>
    </w:p>
    <w:tbl>
      <w:tblPr>
        <w:tblStyle w:val="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4819"/>
        <w:gridCol w:w="5102"/>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4819" w:type="dxa"/>
            <w:shd w:val="clear" w:color="auto" w:fill="D8D8D8" w:themeFill="background1" w:themeFillShade="D9"/>
            <w:vAlign w:val="center"/>
          </w:tcPr>
          <w:p>
            <w:pPr>
              <w:jc w:val="center"/>
              <w:rPr>
                <w:rFonts w:ascii="仿宋_GB2312" w:eastAsia="仿宋_GB2312"/>
                <w:spacing w:val="-8"/>
                <w:szCs w:val="21"/>
              </w:rPr>
            </w:pPr>
            <w:r>
              <w:rPr>
                <w:rFonts w:hint="eastAsia" w:ascii="仿宋_GB2312" w:eastAsia="仿宋_GB2312"/>
                <w:b/>
                <w:sz w:val="20"/>
                <w:szCs w:val="20"/>
              </w:rPr>
              <w:t>三级指标及指标值</w:t>
            </w:r>
          </w:p>
        </w:tc>
        <w:tc>
          <w:tcPr>
            <w:tcW w:w="5102"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效果</w:t>
            </w:r>
          </w:p>
          <w:p>
            <w:pPr>
              <w:jc w:val="center"/>
              <w:rPr>
                <w:rFonts w:ascii="仿宋_GB2312" w:eastAsia="仿宋_GB2312"/>
                <w:szCs w:val="21"/>
              </w:rPr>
            </w:pPr>
            <w:r>
              <w:rPr>
                <w:rFonts w:hint="eastAsia" w:ascii="仿宋_GB2312" w:eastAsia="仿宋_GB2312"/>
                <w:szCs w:val="21"/>
              </w:rPr>
              <w:t>（15分）</w:t>
            </w: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促进全社会绿色低碳循环发展，为双碳目标实现贡献力量（定性）</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优。形成了9项工作成果报告，从源头上降低资源废弃率，加大资源的循环利用，有效促进全社会绿色低碳循环发展。</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8"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市场导向绿色技术创新体系较好的激发社会绿色高质量发展（定性）</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优。一是绿色技术创新加速，2024年，本市绿色技术发明专利累计授权量达到6.4万件。二是绿色产业加快培育。中关村合成生物制造产业集聚区落地昌平，中关村（延庆）无人机产业园开工，房山国家安全应急产业示范基地加快建设。三是绿色要素市场活跃。本市绿色贷款余额同比大幅增长，市政府专项绿色能源和低碳产业投资基金正式落地。</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推动永定河综合治理与生态修复工作质量提升（定性）</w:t>
            </w:r>
          </w:p>
        </w:tc>
        <w:tc>
          <w:tcPr>
            <w:tcW w:w="51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2024年对永定河生态补水、地下水补给方面进行跟踪评估，重点从地下水资源涵养储备、生态产品价值实现机制及陈家庄水库（群）建设必要性等方面开展专题研究，推动永定河“流动、绿色、清洁、安全”目标的实现。</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4"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通过节能监察，依法对用能违法行为进行处理，提升用能单位节能法律意识，推广节能技改及节能管理经验，推动用能单位能效提升（定性）</w:t>
            </w:r>
          </w:p>
        </w:tc>
        <w:tc>
          <w:tcPr>
            <w:tcW w:w="51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优。履行执法工作流程，依法对违法违规、不合理用能行为做出处理。编制《节能服务手册》，传播节能理念，推广节能技改及节能管理经验，为社会和企业提供法律法规、政策及监管指南</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加强市场调控，保持重要生活必需品价格基本稳定（定性）</w:t>
            </w:r>
          </w:p>
        </w:tc>
        <w:tc>
          <w:tcPr>
            <w:tcW w:w="5102"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优，2024年北京市各类农副产品生产有序，供应充足，价格基本稳定。</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r>
    </w:tbl>
    <w:p>
      <w:pPr>
        <w:pStyle w:val="2"/>
        <w:spacing w:after="0" w:line="240" w:lineRule="exact"/>
        <w:jc w:val="right"/>
      </w:pPr>
      <w:r>
        <w:rPr>
          <w:rFonts w:hint="eastAsia" w:ascii="宋体" w:hAnsi="宋体" w:eastAsia="宋体"/>
          <w:sz w:val="21"/>
          <w:szCs w:val="21"/>
        </w:rPr>
        <w:t>（接下页）</w:t>
      </w:r>
      <w:r>
        <w:rPr>
          <w:rFonts w:hint="eastAsia" w:ascii="宋体" w:hAnsi="宋体" w:eastAsia="宋体"/>
          <w:sz w:val="21"/>
          <w:szCs w:val="21"/>
        </w:rPr>
        <w:br w:type="page"/>
      </w:r>
    </w:p>
    <w:p>
      <w:r>
        <w:rPr>
          <w:rFonts w:hint="eastAsia"/>
        </w:rPr>
        <w:t>（续上页）</w:t>
      </w:r>
    </w:p>
    <w:tbl>
      <w:tblPr>
        <w:tblStyle w:val="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4819"/>
        <w:gridCol w:w="5102"/>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4819" w:type="dxa"/>
            <w:shd w:val="clear" w:color="auto" w:fill="D8D8D8" w:themeFill="background1" w:themeFillShade="D9"/>
            <w:vAlign w:val="center"/>
          </w:tcPr>
          <w:p>
            <w:pPr>
              <w:jc w:val="center"/>
              <w:rPr>
                <w:rFonts w:ascii="仿宋_GB2312" w:eastAsia="仿宋_GB2312"/>
                <w:spacing w:val="-8"/>
                <w:szCs w:val="21"/>
              </w:rPr>
            </w:pPr>
            <w:r>
              <w:rPr>
                <w:rFonts w:hint="eastAsia" w:ascii="仿宋_GB2312" w:eastAsia="仿宋_GB2312"/>
                <w:b/>
                <w:sz w:val="20"/>
                <w:szCs w:val="20"/>
              </w:rPr>
              <w:t>三级指标及指标值</w:t>
            </w:r>
          </w:p>
        </w:tc>
        <w:tc>
          <w:tcPr>
            <w:tcW w:w="5102"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效果</w:t>
            </w:r>
          </w:p>
          <w:p>
            <w:pPr>
              <w:jc w:val="center"/>
              <w:rPr>
                <w:rFonts w:ascii="仿宋_GB2312" w:eastAsia="仿宋_GB2312"/>
                <w:szCs w:val="21"/>
              </w:rPr>
            </w:pPr>
            <w:r>
              <w:rPr>
                <w:rFonts w:hint="eastAsia" w:ascii="仿宋_GB2312" w:eastAsia="仿宋_GB2312"/>
                <w:szCs w:val="21"/>
              </w:rPr>
              <w:t>（15分）</w:t>
            </w: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价格形成机制公开透明，为社会经济健康持续发展提供基础服务（定性）</w:t>
            </w:r>
          </w:p>
        </w:tc>
        <w:tc>
          <w:tcPr>
            <w:tcW w:w="5102" w:type="dxa"/>
            <w:vAlign w:val="center"/>
          </w:tcPr>
          <w:p>
            <w:pPr>
              <w:widowControl/>
              <w:jc w:val="left"/>
              <w:textAlignment w:val="center"/>
              <w:rPr>
                <w:rFonts w:hint="eastAsia" w:ascii="仿宋_GB2312" w:eastAsia="仿宋_GB2312"/>
                <w:szCs w:val="21"/>
                <w:lang w:val="en-US" w:eastAsia="zh-CN"/>
              </w:rPr>
            </w:pPr>
            <w:r>
              <w:rPr>
                <w:rFonts w:hint="eastAsia" w:ascii="仿宋_GB2312" w:hAnsi="宋体" w:eastAsia="仿宋_GB2312" w:cs="仿宋_GB2312"/>
                <w:color w:val="000000"/>
                <w:kern w:val="0"/>
                <w:szCs w:val="21"/>
                <w:lang w:bidi="ar"/>
              </w:rPr>
              <w:t>优，跟踪、评估资源能源领域价格政策执行情况、对社会各方的影响，为优化政策提供支撑</w:t>
            </w:r>
            <w:r>
              <w:rPr>
                <w:rFonts w:hint="eastAsia" w:ascii="仿宋_GB2312" w:hAnsi="宋体" w:eastAsia="仿宋_GB2312" w:cs="仿宋_GB2312"/>
                <w:color w:val="000000"/>
                <w:kern w:val="0"/>
                <w:szCs w:val="21"/>
                <w:lang w:eastAsia="zh-CN" w:bidi="ar"/>
              </w:rPr>
              <w:t>。</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调查分析评估项目为收费政策研究提供基础服务，推动完善收费政策（定性）</w:t>
            </w:r>
          </w:p>
        </w:tc>
        <w:tc>
          <w:tcPr>
            <w:tcW w:w="5102" w:type="dxa"/>
            <w:vAlign w:val="center"/>
          </w:tcPr>
          <w:p>
            <w:pPr>
              <w:widowControl/>
              <w:jc w:val="left"/>
              <w:textAlignment w:val="center"/>
              <w:rPr>
                <w:rFonts w:hint="eastAsia" w:ascii="仿宋_GB2312" w:eastAsia="仿宋_GB2312"/>
                <w:szCs w:val="21"/>
                <w:lang w:eastAsia="zh-CN"/>
              </w:rPr>
            </w:pPr>
            <w:r>
              <w:rPr>
                <w:rFonts w:hint="eastAsia" w:ascii="仿宋_GB2312" w:hAnsi="宋体" w:eastAsia="仿宋_GB2312" w:cs="仿宋_GB2312"/>
                <w:color w:val="000000"/>
                <w:kern w:val="0"/>
                <w:szCs w:val="21"/>
                <w:lang w:bidi="ar"/>
              </w:rPr>
              <w:t>优，跟踪、评估公用事业、公益性服务领域价格政策执行情况、对社会各方的影响，为收费政策研究储备提供支撑</w:t>
            </w:r>
            <w:r>
              <w:rPr>
                <w:rFonts w:hint="eastAsia" w:ascii="仿宋_GB2312" w:hAnsi="宋体" w:eastAsia="仿宋_GB2312" w:cs="仿宋_GB2312"/>
                <w:color w:val="000000"/>
                <w:kern w:val="0"/>
                <w:szCs w:val="21"/>
                <w:lang w:eastAsia="zh-CN" w:bidi="ar"/>
              </w:rPr>
              <w:t>。</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指导全市17家区级价格认证机构办理疑难重大价格鉴定事项，为准确定性量纪、定罪量刑提供重要依据，稳妥处置信访投诉事项，为社会和谐稳定发挥重要作用（定性）</w:t>
            </w:r>
          </w:p>
        </w:tc>
        <w:tc>
          <w:tcPr>
            <w:tcW w:w="51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指导全市17家区级价格认证机构办理疑难重大价格鉴定事项，持续为准确定性量纪、定罪量刑提供重要依据，稳妥处置信访投诉事项，确保全市整体涉纪检涉刑事价格认定工作平稳有序，为社会和谐稳定发挥重要作用。</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0.25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打造更好的政务公开平台，持续推进网站建设，不断做强做优“发展北京”政务新媒体矩阵（定性）</w:t>
            </w:r>
          </w:p>
        </w:tc>
        <w:tc>
          <w:tcPr>
            <w:tcW w:w="51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优，市发展改革委政务网站主动公开信息7802条，围绕北京“两会”、“两新”政策等新建专题专栏；“发展北京”政务微信发布信息746篇，新开设视频号自2024年7月运营起发布视频126条。</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0.25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服务并保障市相关委办局、企事业单位和其他用户等对系统的使用需求，为市领导精准调度和科学决策提供良好的技术和数据支撑（定性）</w:t>
            </w:r>
          </w:p>
        </w:tc>
        <w:tc>
          <w:tcPr>
            <w:tcW w:w="5102"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优，保障了信息化系统、平台、网络的持续安全稳定运行和信息数据安全。服务支撑了市发展改革委、市政务和数据局、市规自委、市住建委等二十余个市级委办局以及东城、海淀、朝阳等12个区的相关工作。保障了企业事业单位和其他用户的业务办理。为市领导科学决策、精准管理提供强有力的技术支持和数据保障支撑。</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0.25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0.25</w:t>
            </w:r>
          </w:p>
        </w:tc>
      </w:tr>
    </w:tbl>
    <w:p>
      <w:pPr>
        <w:pStyle w:val="2"/>
        <w:spacing w:after="0" w:line="240" w:lineRule="exact"/>
        <w:jc w:val="right"/>
      </w:pPr>
      <w:r>
        <w:rPr>
          <w:rFonts w:hint="eastAsia" w:ascii="宋体" w:hAnsi="宋体" w:eastAsia="宋体"/>
          <w:sz w:val="21"/>
          <w:szCs w:val="21"/>
        </w:rPr>
        <w:t>（接下页）</w:t>
      </w:r>
      <w:r>
        <w:rPr>
          <w:rFonts w:hint="eastAsia" w:ascii="宋体" w:hAnsi="宋体" w:eastAsia="宋体"/>
          <w:sz w:val="21"/>
          <w:szCs w:val="21"/>
        </w:rPr>
        <w:br w:type="page"/>
      </w:r>
    </w:p>
    <w:p>
      <w:pPr>
        <w:rPr>
          <w:spacing w:val="-6"/>
        </w:rPr>
      </w:pPr>
      <w:r>
        <w:rPr>
          <w:rFonts w:hint="eastAsia"/>
        </w:rPr>
        <w:t>（续上页）</w:t>
      </w:r>
    </w:p>
    <w:tbl>
      <w:tblPr>
        <w:tblStyle w:val="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4819"/>
        <w:gridCol w:w="5102"/>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4819" w:type="dxa"/>
            <w:shd w:val="clear" w:color="auto" w:fill="D8D8D8" w:themeFill="background1" w:themeFillShade="D9"/>
            <w:vAlign w:val="center"/>
          </w:tcPr>
          <w:p>
            <w:pPr>
              <w:jc w:val="center"/>
              <w:rPr>
                <w:rFonts w:ascii="仿宋_GB2312" w:eastAsia="仿宋_GB2312"/>
                <w:spacing w:val="-8"/>
                <w:szCs w:val="21"/>
              </w:rPr>
            </w:pPr>
            <w:r>
              <w:rPr>
                <w:rFonts w:hint="eastAsia" w:ascii="仿宋_GB2312" w:eastAsia="仿宋_GB2312"/>
                <w:b/>
                <w:sz w:val="20"/>
                <w:szCs w:val="20"/>
              </w:rPr>
              <w:t>三级指标及指标值</w:t>
            </w:r>
          </w:p>
        </w:tc>
        <w:tc>
          <w:tcPr>
            <w:tcW w:w="5102"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trPr>
        <w:tc>
          <w:tcPr>
            <w:tcW w:w="1531" w:type="dxa"/>
            <w:vMerge w:val="restart"/>
            <w:vAlign w:val="center"/>
          </w:tcPr>
          <w:p>
            <w:pPr>
              <w:jc w:val="center"/>
              <w:rPr>
                <w:rFonts w:ascii="仿宋_GB2312" w:eastAsia="仿宋_GB2312"/>
              </w:rPr>
            </w:pPr>
            <w:r>
              <w:rPr>
                <w:rFonts w:hint="eastAsia" w:ascii="仿宋_GB2312" w:eastAsia="仿宋_GB2312"/>
              </w:rPr>
              <w:t>整体绩效目标</w:t>
            </w:r>
          </w:p>
          <w:p>
            <w:pPr>
              <w:jc w:val="center"/>
              <w:rPr>
                <w:rFonts w:ascii="仿宋_GB2312" w:eastAsia="仿宋_GB2312"/>
              </w:rPr>
            </w:pPr>
            <w:r>
              <w:rPr>
                <w:rFonts w:hint="eastAsia" w:ascii="仿宋_GB2312" w:eastAsia="仿宋_GB2312"/>
              </w:rPr>
              <w:t>实现情况</w:t>
            </w:r>
          </w:p>
          <w:p>
            <w:pPr>
              <w:jc w:val="center"/>
              <w:rPr>
                <w:rFonts w:ascii="仿宋_GB2312" w:eastAsia="仿宋_GB2312"/>
              </w:rPr>
            </w:pPr>
            <w:r>
              <w:rPr>
                <w:rFonts w:hint="eastAsia" w:ascii="仿宋_GB2312" w:eastAsia="仿宋_GB2312"/>
              </w:rPr>
              <w:t>（60分）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效果</w:t>
            </w:r>
          </w:p>
          <w:p>
            <w:pPr>
              <w:jc w:val="center"/>
              <w:rPr>
                <w:rFonts w:ascii="仿宋_GB2312" w:eastAsia="仿宋_GB2312"/>
                <w:szCs w:val="21"/>
              </w:rPr>
            </w:pPr>
            <w:r>
              <w:rPr>
                <w:rFonts w:hint="eastAsia" w:ascii="仿宋_GB2312" w:eastAsia="仿宋_GB2312"/>
                <w:szCs w:val="21"/>
              </w:rPr>
              <w:t>（15分）</w:t>
            </w: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获得补贴资金的分布式光伏项目发电量约4亿千瓦时，折合节约标准煤10.7万吨，推动可再生能源使用，并为本市减少化石能源应用、治理大气污染提供支撑（定性）</w:t>
            </w:r>
          </w:p>
        </w:tc>
        <w:tc>
          <w:tcPr>
            <w:tcW w:w="5102"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lang w:bidi="ar"/>
              </w:rPr>
              <w:t>优，补贴项目年度发电量为6.1亿千瓦时，折合节约标准煤16.3万吨，推动可再生能源使用，并为本市减少化石能源应用、治理大气污染提供支撑。</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eastAsia="仿宋_GB2312"/>
                <w:szCs w:val="21"/>
              </w:rPr>
            </w:pPr>
            <w:r>
              <w:rPr>
                <w:rFonts w:hint="eastAsia" w:ascii="仿宋_GB2312" w:hAnsi="宋体" w:eastAsia="仿宋_GB2312" w:cs="仿宋_GB2312"/>
                <w:color w:val="000000"/>
                <w:kern w:val="0"/>
                <w:szCs w:val="21"/>
                <w:highlight w:val="none"/>
                <w:lang w:bidi="ar"/>
              </w:rPr>
              <w:t>审核单位通过实施清洁生产审核方案，实现节能、降碳、减污、增效（定性）</w:t>
            </w:r>
          </w:p>
        </w:tc>
        <w:tc>
          <w:tcPr>
            <w:tcW w:w="5102" w:type="dxa"/>
            <w:vAlign w:val="center"/>
          </w:tcPr>
          <w:p>
            <w:pPr>
              <w:widowControl/>
              <w:jc w:val="left"/>
              <w:textAlignment w:val="center"/>
              <w:rPr>
                <w:rFonts w:hint="eastAsia" w:ascii="仿宋_GB2312" w:eastAsia="仿宋_GB2312"/>
                <w:szCs w:val="21"/>
                <w:lang w:eastAsia="zh-CN"/>
              </w:rPr>
            </w:pPr>
            <w:r>
              <w:rPr>
                <w:rFonts w:hint="eastAsia" w:ascii="仿宋_GB2312" w:hAnsi="宋体" w:eastAsia="仿宋_GB2312" w:cs="仿宋_GB2312"/>
                <w:color w:val="000000"/>
                <w:kern w:val="0"/>
                <w:szCs w:val="21"/>
                <w:lang w:bidi="ar"/>
              </w:rPr>
              <w:t>优，通过清洁生产审核，有效助力相关单位节能、降碳、减污、增效</w:t>
            </w:r>
            <w:r>
              <w:rPr>
                <w:rFonts w:hint="eastAsia" w:ascii="仿宋_GB2312" w:hAnsi="宋体" w:eastAsia="仿宋_GB2312" w:cs="仿宋_GB2312"/>
                <w:color w:val="000000"/>
                <w:kern w:val="0"/>
                <w:szCs w:val="21"/>
                <w:lang w:eastAsia="zh-CN" w:bidi="ar"/>
              </w:rPr>
              <w:t>。</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eastAsia="仿宋_GB2312"/>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8"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kern w:val="0"/>
                <w:szCs w:val="21"/>
                <w:lang w:bidi="ar"/>
              </w:rPr>
              <w:t>全国科技创新中心建设及高精尖产业未来协调、可持续发展（定性）</w:t>
            </w:r>
          </w:p>
        </w:tc>
        <w:tc>
          <w:tcPr>
            <w:tcW w:w="5102" w:type="dxa"/>
            <w:vAlign w:val="center"/>
          </w:tcPr>
          <w:p>
            <w:pPr>
              <w:widowControl/>
              <w:jc w:val="left"/>
              <w:textAlignment w:val="center"/>
              <w:rPr>
                <w:rFonts w:ascii="仿宋_GB2312" w:hAnsi="仿宋_GB2312" w:eastAsia="仿宋_GB2312" w:cs="仿宋_GB2312"/>
                <w:color w:val="000000"/>
                <w:kern w:val="0"/>
                <w:szCs w:val="21"/>
                <w:lang w:bidi="ar"/>
              </w:rPr>
            </w:pPr>
            <w:r>
              <w:rPr>
                <w:rFonts w:hint="eastAsia" w:ascii="仿宋_GB2312" w:hAnsi="宋体" w:eastAsia="仿宋_GB2312" w:cs="仿宋_GB2312"/>
                <w:color w:val="000000"/>
                <w:spacing w:val="-2"/>
                <w:kern w:val="0"/>
                <w:szCs w:val="21"/>
                <w:lang w:bidi="ar"/>
              </w:rPr>
              <w:t>优，一是科创中心建设工作持续推进。顶层政策和机制设计持续加强，国家实验室等战略科技力量不断强化，怀柔综合性科学中心建设运行开放齐发力。二是高精尖产业新动能培育卓有成效。集成电路战略任务扎实推进，产能持续提升，人工智能创新高地建设全国领先，新能源汽车持续提质升级发展，医药健康政策体系不断完善，商业航天、量子、6G等未来产业积聚成势。</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推动京津冀协同发展（定性）</w:t>
            </w:r>
          </w:p>
        </w:tc>
        <w:tc>
          <w:tcPr>
            <w:tcW w:w="5102"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优，推进“六链五群”产业布局加速落地，推进京津冀国家技术创新中心提质增效，京津冀协同发展取得明显成效。</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持续掌握定价成本数据（定性）</w:t>
            </w:r>
          </w:p>
        </w:tc>
        <w:tc>
          <w:tcPr>
            <w:tcW w:w="5102"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优，将形成至少连续2年的成本数据。</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光伏资金自然人满意度、法人满意度≥90%</w:t>
            </w:r>
          </w:p>
        </w:tc>
        <w:tc>
          <w:tcPr>
            <w:tcW w:w="5102"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法人单位满意度100%，自然人满意度95%。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0.25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4819"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品牌日参与企业满意度≥90%</w:t>
            </w:r>
          </w:p>
        </w:tc>
        <w:tc>
          <w:tcPr>
            <w:tcW w:w="5102" w:type="dxa"/>
            <w:vAlign w:val="center"/>
          </w:tcPr>
          <w:p>
            <w:pPr>
              <w:widowControl/>
              <w:jc w:val="left"/>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参与企业满意度100%</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0.25</w:t>
            </w:r>
          </w:p>
        </w:tc>
        <w:tc>
          <w:tcPr>
            <w:tcW w:w="850" w:type="dxa"/>
            <w:vAlign w:val="center"/>
          </w:tcPr>
          <w:p>
            <w:pPr>
              <w:widowControl/>
              <w:jc w:val="center"/>
              <w:textAlignment w:val="center"/>
              <w:rPr>
                <w:rFonts w:ascii="仿宋_GB2312" w:hAnsi="宋体" w:eastAsia="仿宋_GB2312" w:cs="仿宋_GB2312"/>
                <w:color w:val="000000"/>
                <w:kern w:val="0"/>
                <w:szCs w:val="21"/>
                <w:lang w:bidi="ar"/>
              </w:rPr>
            </w:pPr>
            <w:r>
              <w:rPr>
                <w:rFonts w:hint="eastAsia" w:ascii="仿宋_GB2312" w:hAnsi="宋体" w:eastAsia="仿宋_GB2312" w:cs="仿宋_GB2312"/>
                <w:color w:val="000000"/>
                <w:kern w:val="0"/>
                <w:szCs w:val="21"/>
                <w:lang w:bidi="ar"/>
              </w:rPr>
              <w:t>0.25</w:t>
            </w:r>
          </w:p>
        </w:tc>
      </w:tr>
    </w:tbl>
    <w:p>
      <w:pPr>
        <w:jc w:val="right"/>
      </w:pPr>
      <w:r>
        <w:rPr>
          <w:rFonts w:hint="eastAsia" w:ascii="宋体" w:hAnsi="宋体"/>
          <w:szCs w:val="21"/>
        </w:rPr>
        <w:t>（接下页）</w:t>
      </w:r>
      <w:r>
        <w:rPr>
          <w:rFonts w:hint="eastAsia" w:ascii="宋体" w:hAnsi="宋体"/>
          <w:szCs w:val="21"/>
        </w:rPr>
        <w:br w:type="page"/>
      </w:r>
    </w:p>
    <w:p>
      <w:pPr>
        <w:rPr>
          <w:rFonts w:ascii="黑体" w:hAnsi="黑体" w:eastAsia="黑体"/>
        </w:rPr>
      </w:pPr>
      <w:r>
        <w:rPr>
          <w:rFonts w:hint="eastAsia" w:ascii="黑体" w:hAnsi="黑体" w:eastAsia="黑体"/>
        </w:rPr>
        <w:t>三</w:t>
      </w:r>
      <w:r>
        <w:rPr>
          <w:rFonts w:ascii="黑体" w:hAnsi="黑体" w:eastAsia="黑体"/>
        </w:rPr>
        <w:t>、</w:t>
      </w:r>
      <w:r>
        <w:rPr>
          <w:rFonts w:hint="eastAsia" w:ascii="黑体" w:hAnsi="黑体" w:eastAsia="黑体"/>
        </w:rPr>
        <w:t>预算管理情况（20分）</w:t>
      </w:r>
    </w:p>
    <w:tbl>
      <w:tblPr>
        <w:tblStyle w:val="9"/>
        <w:tblW w:w="14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1417"/>
        <w:gridCol w:w="2835"/>
        <w:gridCol w:w="567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1417"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三级指标</w:t>
            </w:r>
          </w:p>
        </w:tc>
        <w:tc>
          <w:tcPr>
            <w:tcW w:w="2835" w:type="dxa"/>
            <w:shd w:val="clear" w:color="auto" w:fill="D8D8D8" w:themeFill="background1" w:themeFillShade="D9"/>
            <w:vAlign w:val="center"/>
          </w:tcPr>
          <w:p>
            <w:pPr>
              <w:jc w:val="center"/>
              <w:rPr>
                <w:rFonts w:ascii="仿宋_GB2312" w:eastAsia="仿宋_GB2312"/>
                <w:spacing w:val="-8"/>
                <w:szCs w:val="21"/>
              </w:rPr>
            </w:pPr>
            <w:r>
              <w:rPr>
                <w:rFonts w:hint="eastAsia" w:ascii="仿宋_GB2312" w:eastAsia="仿宋_GB2312"/>
                <w:b/>
                <w:sz w:val="20"/>
                <w:szCs w:val="20"/>
              </w:rPr>
              <w:t>指标值</w:t>
            </w:r>
          </w:p>
        </w:tc>
        <w:tc>
          <w:tcPr>
            <w:tcW w:w="5670"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9" w:hRule="atLeast"/>
        </w:trPr>
        <w:tc>
          <w:tcPr>
            <w:tcW w:w="1531" w:type="dxa"/>
            <w:vAlign w:val="center"/>
          </w:tcPr>
          <w:p>
            <w:pPr>
              <w:jc w:val="center"/>
              <w:rPr>
                <w:rFonts w:ascii="仿宋_GB2312" w:eastAsia="仿宋_GB2312"/>
              </w:rPr>
            </w:pPr>
            <w:r>
              <w:rPr>
                <w:rFonts w:hint="eastAsia" w:ascii="仿宋_GB2312" w:eastAsia="仿宋_GB2312"/>
              </w:rPr>
              <w:t>预算管理情况（20分）</w:t>
            </w:r>
          </w:p>
        </w:tc>
        <w:tc>
          <w:tcPr>
            <w:tcW w:w="1134" w:type="dxa"/>
            <w:vAlign w:val="center"/>
          </w:tcPr>
          <w:p>
            <w:pPr>
              <w:jc w:val="center"/>
              <w:rPr>
                <w:rFonts w:ascii="仿宋_GB2312" w:eastAsia="仿宋_GB2312"/>
                <w:szCs w:val="21"/>
              </w:rPr>
            </w:pPr>
            <w:r>
              <w:rPr>
                <w:rFonts w:hint="eastAsia" w:ascii="仿宋_GB2312" w:eastAsia="仿宋_GB2312"/>
                <w:szCs w:val="21"/>
              </w:rPr>
              <w:t>财务管理（4分）</w:t>
            </w:r>
          </w:p>
        </w:tc>
        <w:tc>
          <w:tcPr>
            <w:tcW w:w="1417" w:type="dxa"/>
            <w:vAlign w:val="center"/>
          </w:tcPr>
          <w:p>
            <w:pPr>
              <w:jc w:val="center"/>
              <w:rPr>
                <w:rFonts w:ascii="仿宋_GB2312" w:eastAsia="仿宋_GB2312"/>
                <w:szCs w:val="21"/>
              </w:rPr>
            </w:pPr>
            <w:r>
              <w:rPr>
                <w:rFonts w:hint="eastAsia" w:ascii="仿宋_GB2312" w:eastAsia="仿宋_GB2312"/>
                <w:szCs w:val="21"/>
              </w:rPr>
              <w:t>财务管理</w:t>
            </w:r>
          </w:p>
          <w:p>
            <w:pPr>
              <w:jc w:val="center"/>
              <w:rPr>
                <w:rFonts w:ascii="仿宋_GB2312" w:eastAsia="仿宋_GB2312"/>
                <w:szCs w:val="21"/>
              </w:rPr>
            </w:pPr>
            <w:r>
              <w:rPr>
                <w:rFonts w:hint="eastAsia" w:ascii="仿宋_GB2312" w:eastAsia="仿宋_GB2312"/>
                <w:szCs w:val="21"/>
              </w:rPr>
              <w:t>制度健全性</w:t>
            </w:r>
          </w:p>
        </w:tc>
        <w:tc>
          <w:tcPr>
            <w:tcW w:w="2835" w:type="dxa"/>
            <w:vAlign w:val="center"/>
          </w:tcPr>
          <w:p>
            <w:pPr>
              <w:rPr>
                <w:rFonts w:hint="eastAsia" w:ascii="仿宋_GB2312" w:eastAsia="仿宋_GB2312"/>
                <w:szCs w:val="21"/>
              </w:rPr>
            </w:pPr>
            <w:r>
              <w:rPr>
                <w:rFonts w:hint="eastAsia" w:ascii="仿宋_GB2312" w:eastAsia="仿宋_GB2312"/>
                <w:szCs w:val="21"/>
              </w:rPr>
              <w:t>财务管理制度健全，预算资金管理办法、绩效跟踪管理办法、资产管理办法等各项制度健全，部门内部财务管理制度、会计核算制度完整、合规。</w:t>
            </w:r>
          </w:p>
        </w:tc>
        <w:tc>
          <w:tcPr>
            <w:tcW w:w="5670" w:type="dxa"/>
            <w:vAlign w:val="center"/>
          </w:tcPr>
          <w:p>
            <w:pPr>
              <w:rPr>
                <w:rFonts w:hint="eastAsia" w:ascii="仿宋_GB2312" w:eastAsia="仿宋_GB2312"/>
                <w:szCs w:val="21"/>
              </w:rPr>
            </w:pPr>
            <w:r>
              <w:rPr>
                <w:rFonts w:hint="eastAsia" w:ascii="仿宋_GB2312" w:eastAsia="仿宋_GB2312"/>
                <w:szCs w:val="21"/>
              </w:rPr>
              <w:t>市发展改革委已基本构建起层次清晰、覆盖全面的财务管理制度体系，并通过健全和优化预算编制、收支管理、采购实施、资产管理、合同控制等制度流程规范，发挥和提升岗位制衡分离机制、分级授权审批管理及内审财会监督联动质效等方式，实现了财务管理全链条、全要素闭环管理，财务运行整体规范有序、风险可控。2024年以来，制定印发了《关于进一步规范和加强大额资金使用及重点预算管理工作的通知》、《关于进一步加强展览展示活动实物资产管理的通知》和委内公务接待管理办法，规范和加强了大额资金使用、预决算管理、财务收支、政府采购、资产管理，进一步完善了制度机制、夯实了财务管理基础。</w:t>
            </w:r>
          </w:p>
        </w:tc>
        <w:tc>
          <w:tcPr>
            <w:tcW w:w="850" w:type="dxa"/>
            <w:vAlign w:val="center"/>
          </w:tcPr>
          <w:p>
            <w:pPr>
              <w:jc w:val="center"/>
              <w:rPr>
                <w:rFonts w:ascii="仿宋_GB2312" w:eastAsia="仿宋_GB2312"/>
              </w:rPr>
            </w:pPr>
            <w:r>
              <w:rPr>
                <w:rFonts w:hint="eastAsia" w:ascii="仿宋_GB2312" w:eastAsia="仿宋_GB2312"/>
              </w:rPr>
              <w:t>1</w:t>
            </w:r>
          </w:p>
        </w:tc>
        <w:tc>
          <w:tcPr>
            <w:tcW w:w="850" w:type="dxa"/>
            <w:vAlign w:val="center"/>
          </w:tcPr>
          <w:p>
            <w:pPr>
              <w:jc w:val="center"/>
              <w:rPr>
                <w:rFonts w:ascii="仿宋_GB2312" w:eastAsia="仿宋_GB2312"/>
              </w:rPr>
            </w:pPr>
            <w:r>
              <w:rPr>
                <w:rFonts w:hint="eastAsia" w:ascii="仿宋_GB2312" w:eastAsia="仿宋_GB2312"/>
              </w:rPr>
              <w:t>1</w:t>
            </w:r>
          </w:p>
        </w:tc>
      </w:tr>
    </w:tbl>
    <w:p>
      <w:pPr>
        <w:pStyle w:val="2"/>
        <w:spacing w:after="0" w:line="240" w:lineRule="exact"/>
        <w:jc w:val="right"/>
        <w:rPr>
          <w:rFonts w:asciiTheme="minorEastAsia" w:hAnsiTheme="minorEastAsia" w:eastAsiaTheme="minorEastAsia"/>
          <w:sz w:val="21"/>
          <w:szCs w:val="21"/>
        </w:rPr>
      </w:pPr>
      <w:r>
        <w:rPr>
          <w:rFonts w:hint="eastAsia" w:asciiTheme="minorEastAsia" w:hAnsiTheme="minorEastAsia" w:eastAsiaTheme="minorEastAsia"/>
          <w:sz w:val="21"/>
          <w:szCs w:val="21"/>
        </w:rPr>
        <w:t>（接下页）</w:t>
      </w:r>
      <w:r>
        <w:rPr>
          <w:rFonts w:asciiTheme="minorEastAsia" w:hAnsiTheme="minorEastAsia" w:eastAsiaTheme="minorEastAsia"/>
          <w:sz w:val="21"/>
          <w:szCs w:val="21"/>
        </w:rPr>
        <w:br w:type="page"/>
      </w:r>
    </w:p>
    <w:p>
      <w:r>
        <w:rPr>
          <w:rFonts w:hint="eastAsia"/>
        </w:rPr>
        <w:t>（续上页）</w:t>
      </w:r>
    </w:p>
    <w:tbl>
      <w:tblPr>
        <w:tblStyle w:val="9"/>
        <w:tblW w:w="14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1417"/>
        <w:gridCol w:w="2835"/>
        <w:gridCol w:w="567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1417"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三级指标</w:t>
            </w:r>
          </w:p>
        </w:tc>
        <w:tc>
          <w:tcPr>
            <w:tcW w:w="2835"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指标值</w:t>
            </w:r>
          </w:p>
        </w:tc>
        <w:tc>
          <w:tcPr>
            <w:tcW w:w="5670"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9" w:hRule="atLeast"/>
        </w:trPr>
        <w:tc>
          <w:tcPr>
            <w:tcW w:w="1531" w:type="dxa"/>
            <w:vMerge w:val="restart"/>
            <w:vAlign w:val="center"/>
          </w:tcPr>
          <w:p>
            <w:pPr>
              <w:jc w:val="center"/>
              <w:rPr>
                <w:rFonts w:ascii="仿宋_GB2312" w:eastAsia="仿宋_GB2312"/>
              </w:rPr>
            </w:pPr>
            <w:r>
              <w:rPr>
                <w:rFonts w:hint="eastAsia" w:ascii="仿宋_GB2312" w:eastAsia="仿宋_GB2312"/>
              </w:rPr>
              <w:t>预算管理情况（20分）</w:t>
            </w:r>
          </w:p>
        </w:tc>
        <w:tc>
          <w:tcPr>
            <w:tcW w:w="1134" w:type="dxa"/>
            <w:vMerge w:val="restart"/>
            <w:vAlign w:val="center"/>
          </w:tcPr>
          <w:p>
            <w:pPr>
              <w:jc w:val="center"/>
              <w:rPr>
                <w:rFonts w:ascii="仿宋_GB2312" w:eastAsia="仿宋_GB2312"/>
                <w:szCs w:val="21"/>
              </w:rPr>
            </w:pPr>
            <w:r>
              <w:rPr>
                <w:rFonts w:hint="eastAsia" w:ascii="仿宋_GB2312" w:eastAsia="仿宋_GB2312"/>
                <w:szCs w:val="21"/>
              </w:rPr>
              <w:t>财务管理（4分）</w:t>
            </w:r>
          </w:p>
        </w:tc>
        <w:tc>
          <w:tcPr>
            <w:tcW w:w="1417" w:type="dxa"/>
            <w:vAlign w:val="center"/>
          </w:tcPr>
          <w:p>
            <w:pPr>
              <w:jc w:val="center"/>
              <w:rPr>
                <w:rFonts w:ascii="仿宋_GB2312" w:eastAsia="仿宋_GB2312"/>
                <w:szCs w:val="21"/>
              </w:rPr>
            </w:pPr>
            <w:r>
              <w:rPr>
                <w:rFonts w:hint="eastAsia" w:ascii="仿宋_GB2312" w:eastAsia="仿宋_GB2312"/>
                <w:szCs w:val="21"/>
              </w:rPr>
              <w:t>资金使用</w:t>
            </w:r>
          </w:p>
          <w:p>
            <w:pPr>
              <w:jc w:val="center"/>
              <w:rPr>
                <w:rFonts w:ascii="仿宋_GB2312" w:eastAsia="仿宋_GB2312"/>
                <w:szCs w:val="21"/>
              </w:rPr>
            </w:pPr>
            <w:r>
              <w:rPr>
                <w:rFonts w:hint="eastAsia" w:ascii="仿宋_GB2312" w:eastAsia="仿宋_GB2312"/>
                <w:szCs w:val="21"/>
              </w:rPr>
              <w:t>合规性和</w:t>
            </w:r>
          </w:p>
          <w:p>
            <w:pPr>
              <w:jc w:val="center"/>
              <w:rPr>
                <w:rFonts w:ascii="仿宋_GB2312" w:eastAsia="仿宋_GB2312"/>
                <w:szCs w:val="21"/>
              </w:rPr>
            </w:pPr>
            <w:r>
              <w:rPr>
                <w:rFonts w:hint="eastAsia" w:ascii="仿宋_GB2312" w:eastAsia="仿宋_GB2312"/>
                <w:szCs w:val="21"/>
              </w:rPr>
              <w:t>安全性</w:t>
            </w:r>
          </w:p>
        </w:tc>
        <w:tc>
          <w:tcPr>
            <w:tcW w:w="2835" w:type="dxa"/>
            <w:vAlign w:val="center"/>
          </w:tcPr>
          <w:p>
            <w:pPr>
              <w:rPr>
                <w:rFonts w:ascii="仿宋_GB2312" w:eastAsia="仿宋_GB2312"/>
                <w:szCs w:val="21"/>
              </w:rPr>
            </w:pPr>
            <w:r>
              <w:rPr>
                <w:rFonts w:hint="eastAsia" w:ascii="仿宋_GB2312" w:eastAsia="仿宋_GB2312"/>
                <w:szCs w:val="21"/>
              </w:rPr>
              <w:t>资金</w:t>
            </w:r>
            <w:r>
              <w:rPr>
                <w:rFonts w:ascii="仿宋_GB2312" w:eastAsia="仿宋_GB2312"/>
                <w:szCs w:val="21"/>
              </w:rPr>
              <w:t>使用合规安全</w:t>
            </w:r>
            <w:r>
              <w:rPr>
                <w:rFonts w:hint="eastAsia" w:ascii="仿宋_GB2312" w:eastAsia="仿宋_GB2312"/>
                <w:szCs w:val="21"/>
              </w:rPr>
              <w:t>,符合国家</w:t>
            </w:r>
            <w:r>
              <w:rPr>
                <w:rFonts w:ascii="仿宋_GB2312" w:eastAsia="仿宋_GB2312"/>
                <w:szCs w:val="21"/>
              </w:rPr>
              <w:t>财经法规和财务管理制度</w:t>
            </w:r>
            <w:r>
              <w:rPr>
                <w:rFonts w:hint="eastAsia" w:ascii="仿宋_GB2312" w:eastAsia="仿宋_GB2312"/>
                <w:szCs w:val="21"/>
              </w:rPr>
              <w:t>规定，严格</w:t>
            </w:r>
            <w:r>
              <w:rPr>
                <w:rFonts w:ascii="仿宋_GB2312" w:eastAsia="仿宋_GB2312"/>
                <w:szCs w:val="21"/>
              </w:rPr>
              <w:t>执行政府采购程序流程</w:t>
            </w:r>
            <w:r>
              <w:rPr>
                <w:rFonts w:hint="eastAsia" w:ascii="仿宋_GB2312" w:eastAsia="仿宋_GB2312"/>
                <w:szCs w:val="21"/>
              </w:rPr>
              <w:t>、</w:t>
            </w:r>
            <w:r>
              <w:rPr>
                <w:rFonts w:ascii="仿宋_GB2312" w:eastAsia="仿宋_GB2312"/>
                <w:szCs w:val="21"/>
              </w:rPr>
              <w:t>公务卡结算制度</w:t>
            </w:r>
            <w:r>
              <w:rPr>
                <w:rFonts w:hint="eastAsia" w:ascii="仿宋_GB2312" w:eastAsia="仿宋_GB2312"/>
                <w:szCs w:val="21"/>
              </w:rPr>
              <w:t>规定</w:t>
            </w:r>
            <w:r>
              <w:rPr>
                <w:rFonts w:ascii="仿宋_GB2312" w:eastAsia="仿宋_GB2312"/>
                <w:szCs w:val="21"/>
              </w:rPr>
              <w:t>，杜绝</w:t>
            </w:r>
            <w:r>
              <w:rPr>
                <w:rFonts w:hint="eastAsia" w:ascii="仿宋_GB2312" w:eastAsia="仿宋_GB2312"/>
                <w:szCs w:val="21"/>
              </w:rPr>
              <w:t>资金截留</w:t>
            </w:r>
            <w:r>
              <w:rPr>
                <w:rFonts w:ascii="仿宋_GB2312" w:eastAsia="仿宋_GB2312"/>
                <w:szCs w:val="21"/>
              </w:rPr>
              <w:t>、挤占和</w:t>
            </w:r>
            <w:r>
              <w:rPr>
                <w:rFonts w:hint="eastAsia" w:ascii="仿宋_GB2312" w:eastAsia="仿宋_GB2312"/>
                <w:szCs w:val="21"/>
              </w:rPr>
              <w:t>挪用</w:t>
            </w:r>
            <w:r>
              <w:rPr>
                <w:rFonts w:ascii="仿宋_GB2312" w:eastAsia="仿宋_GB2312"/>
                <w:szCs w:val="21"/>
              </w:rPr>
              <w:t>。资金拨付</w:t>
            </w:r>
            <w:r>
              <w:rPr>
                <w:rFonts w:hint="eastAsia" w:ascii="仿宋_GB2312" w:eastAsia="仿宋_GB2312"/>
                <w:szCs w:val="21"/>
              </w:rPr>
              <w:t>审批</w:t>
            </w:r>
            <w:r>
              <w:rPr>
                <w:rFonts w:ascii="仿宋_GB2312" w:eastAsia="仿宋_GB2312"/>
                <w:szCs w:val="21"/>
              </w:rPr>
              <w:t>程序和</w:t>
            </w:r>
            <w:r>
              <w:rPr>
                <w:rFonts w:hint="eastAsia" w:ascii="仿宋_GB2312" w:eastAsia="仿宋_GB2312"/>
                <w:szCs w:val="21"/>
              </w:rPr>
              <w:t>手续</w:t>
            </w:r>
            <w:r>
              <w:rPr>
                <w:rFonts w:ascii="仿宋_GB2312" w:eastAsia="仿宋_GB2312"/>
                <w:szCs w:val="21"/>
              </w:rPr>
              <w:t>完整，</w:t>
            </w:r>
            <w:r>
              <w:rPr>
                <w:rFonts w:hint="eastAsia" w:ascii="仿宋_GB2312" w:eastAsia="仿宋_GB2312"/>
                <w:szCs w:val="21"/>
              </w:rPr>
              <w:t>无审批不拨付资金，项目重大开支经过党组会</w:t>
            </w:r>
            <w:r>
              <w:rPr>
                <w:rFonts w:ascii="仿宋_GB2312" w:eastAsia="仿宋_GB2312"/>
                <w:szCs w:val="21"/>
              </w:rPr>
              <w:t>（</w:t>
            </w:r>
            <w:r>
              <w:rPr>
                <w:rFonts w:hint="eastAsia" w:ascii="仿宋_GB2312" w:eastAsia="仿宋_GB2312"/>
                <w:szCs w:val="21"/>
              </w:rPr>
              <w:t>办公会</w:t>
            </w:r>
            <w:r>
              <w:rPr>
                <w:rFonts w:ascii="仿宋_GB2312" w:eastAsia="仿宋_GB2312"/>
                <w:szCs w:val="21"/>
              </w:rPr>
              <w:t>）</w:t>
            </w:r>
            <w:r>
              <w:rPr>
                <w:rFonts w:hint="eastAsia" w:ascii="仿宋_GB2312" w:eastAsia="仿宋_GB2312"/>
                <w:szCs w:val="21"/>
              </w:rPr>
              <w:t>审议</w:t>
            </w:r>
            <w:r>
              <w:rPr>
                <w:rFonts w:ascii="仿宋_GB2312" w:eastAsia="仿宋_GB2312"/>
                <w:szCs w:val="21"/>
              </w:rPr>
              <w:t>或事前绩效</w:t>
            </w:r>
            <w:r>
              <w:rPr>
                <w:rFonts w:hint="eastAsia" w:ascii="仿宋_GB2312" w:eastAsia="仿宋_GB2312"/>
                <w:szCs w:val="21"/>
              </w:rPr>
              <w:t>评估论证。资金</w:t>
            </w:r>
            <w:r>
              <w:rPr>
                <w:rFonts w:ascii="仿宋_GB2312" w:eastAsia="仿宋_GB2312"/>
                <w:szCs w:val="21"/>
              </w:rPr>
              <w:t>使用符合</w:t>
            </w:r>
            <w:r>
              <w:rPr>
                <w:rFonts w:hint="eastAsia" w:ascii="仿宋_GB2312" w:eastAsia="仿宋_GB2312"/>
                <w:szCs w:val="21"/>
              </w:rPr>
              <w:t>规定</w:t>
            </w:r>
            <w:r>
              <w:rPr>
                <w:rFonts w:ascii="仿宋_GB2312" w:eastAsia="仿宋_GB2312"/>
                <w:szCs w:val="21"/>
              </w:rPr>
              <w:t>的开支范围，严格按照</w:t>
            </w:r>
            <w:r>
              <w:rPr>
                <w:rFonts w:hint="eastAsia" w:ascii="仿宋_GB2312" w:eastAsia="仿宋_GB2312"/>
                <w:szCs w:val="21"/>
              </w:rPr>
              <w:t>部门</w:t>
            </w:r>
            <w:r>
              <w:rPr>
                <w:rFonts w:ascii="仿宋_GB2312" w:eastAsia="仿宋_GB2312"/>
                <w:szCs w:val="21"/>
              </w:rPr>
              <w:t>预算批复用途执行</w:t>
            </w:r>
            <w:r>
              <w:rPr>
                <w:rFonts w:hint="eastAsia" w:ascii="仿宋_GB2312" w:eastAsia="仿宋_GB2312"/>
                <w:szCs w:val="21"/>
              </w:rPr>
              <w:t>。</w:t>
            </w:r>
          </w:p>
        </w:tc>
        <w:tc>
          <w:tcPr>
            <w:tcW w:w="5670" w:type="dxa"/>
            <w:vAlign w:val="center"/>
          </w:tcPr>
          <w:p>
            <w:pPr>
              <w:rPr>
                <w:rFonts w:ascii="仿宋_GB2312" w:eastAsia="仿宋_GB2312"/>
                <w:szCs w:val="21"/>
              </w:rPr>
            </w:pPr>
            <w:r>
              <w:rPr>
                <w:rFonts w:hint="eastAsia" w:ascii="仿宋_GB2312" w:eastAsia="仿宋_GB2312"/>
                <w:szCs w:val="21"/>
              </w:rPr>
              <w:t>市发展改革委资金使用合规安全。一是资金使用符合国家各项财经法规和财务管理制度规定，能够严格执行政府采购程序流程，落实本市公务卡结算相关制度规定，防止出现资金截留、挤占和挪用等问题。二是资金拨付审批程序和手续完整，遵循“谁主管、谁审批、谁负责”的原则，按照业务事项审批和财务事项审批并行的管理模式，按规定权限履行经费审批手续，合理合规使用预算资金。三是严格按照财政预算批复合法合规使用资金，支出范围和标准符合财政经费管理制度要求。</w:t>
            </w:r>
          </w:p>
        </w:tc>
        <w:tc>
          <w:tcPr>
            <w:tcW w:w="850" w:type="dxa"/>
            <w:vAlign w:val="center"/>
          </w:tcPr>
          <w:p>
            <w:pPr>
              <w:jc w:val="center"/>
              <w:rPr>
                <w:rFonts w:ascii="仿宋_GB2312" w:eastAsia="仿宋_GB2312"/>
              </w:rPr>
            </w:pPr>
            <w:r>
              <w:rPr>
                <w:rFonts w:hint="eastAsia" w:ascii="仿宋_GB2312" w:eastAsia="仿宋_GB2312"/>
              </w:rPr>
              <w:t>2</w:t>
            </w:r>
          </w:p>
        </w:tc>
        <w:tc>
          <w:tcPr>
            <w:tcW w:w="850" w:type="dxa"/>
            <w:vAlign w:val="center"/>
          </w:tcPr>
          <w:p>
            <w:pPr>
              <w:jc w:val="center"/>
              <w:rPr>
                <w:rFonts w:ascii="仿宋_GB2312" w:eastAsia="仿宋_GB2312"/>
              </w:rPr>
            </w:pPr>
            <w:r>
              <w:rPr>
                <w:rFonts w:hint="eastAsia" w:ascii="仿宋_GB2312" w:eastAsia="仿宋_GB231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1" w:hRule="atLeast"/>
        </w:trPr>
        <w:tc>
          <w:tcPr>
            <w:tcW w:w="1531" w:type="dxa"/>
            <w:vMerge w:val="continue"/>
            <w:vAlign w:val="center"/>
          </w:tcPr>
          <w:p>
            <w:pPr>
              <w:jc w:val="center"/>
              <w:rPr>
                <w:rFonts w:ascii="仿宋_GB2312" w:eastAsia="仿宋_GB2312"/>
              </w:rPr>
            </w:pPr>
          </w:p>
        </w:tc>
        <w:tc>
          <w:tcPr>
            <w:tcW w:w="1134" w:type="dxa"/>
            <w:vMerge w:val="continue"/>
            <w:vAlign w:val="center"/>
          </w:tcPr>
          <w:p>
            <w:pPr>
              <w:jc w:val="center"/>
              <w:rPr>
                <w:rFonts w:ascii="仿宋_GB2312" w:eastAsia="仿宋_GB2312"/>
                <w:szCs w:val="21"/>
              </w:rPr>
            </w:pPr>
          </w:p>
        </w:tc>
        <w:tc>
          <w:tcPr>
            <w:tcW w:w="1417" w:type="dxa"/>
            <w:vAlign w:val="center"/>
          </w:tcPr>
          <w:p>
            <w:pPr>
              <w:jc w:val="center"/>
              <w:rPr>
                <w:rFonts w:ascii="仿宋_GB2312" w:eastAsia="仿宋_GB2312"/>
                <w:szCs w:val="21"/>
              </w:rPr>
            </w:pPr>
            <w:r>
              <w:rPr>
                <w:rFonts w:hint="eastAsia" w:ascii="仿宋_GB2312" w:eastAsia="仿宋_GB2312"/>
                <w:szCs w:val="21"/>
              </w:rPr>
              <w:t>会计基础</w:t>
            </w:r>
          </w:p>
          <w:p>
            <w:pPr>
              <w:jc w:val="center"/>
              <w:rPr>
                <w:rFonts w:ascii="仿宋_GB2312" w:eastAsia="仿宋_GB2312"/>
                <w:szCs w:val="21"/>
              </w:rPr>
            </w:pPr>
            <w:r>
              <w:rPr>
                <w:rFonts w:hint="eastAsia" w:ascii="仿宋_GB2312" w:eastAsia="仿宋_GB2312"/>
                <w:szCs w:val="21"/>
              </w:rPr>
              <w:t>信息完善性</w:t>
            </w:r>
          </w:p>
        </w:tc>
        <w:tc>
          <w:tcPr>
            <w:tcW w:w="2835" w:type="dxa"/>
            <w:vAlign w:val="center"/>
          </w:tcPr>
          <w:p>
            <w:pPr>
              <w:rPr>
                <w:rFonts w:ascii="仿宋_GB2312" w:eastAsia="仿宋_GB2312"/>
                <w:szCs w:val="21"/>
              </w:rPr>
            </w:pPr>
            <w:r>
              <w:rPr>
                <w:rFonts w:hint="eastAsia" w:ascii="仿宋_GB2312" w:eastAsia="仿宋_GB2312"/>
                <w:szCs w:val="21"/>
              </w:rPr>
              <w:t>会计</w:t>
            </w:r>
            <w:r>
              <w:rPr>
                <w:rFonts w:ascii="仿宋_GB2312" w:eastAsia="仿宋_GB2312"/>
                <w:szCs w:val="21"/>
              </w:rPr>
              <w:t>基础信息完善，</w:t>
            </w:r>
            <w:r>
              <w:rPr>
                <w:rFonts w:hint="eastAsia" w:ascii="仿宋_GB2312" w:eastAsia="仿宋_GB2312"/>
                <w:szCs w:val="21"/>
              </w:rPr>
              <w:t>会计基础数据信息和会计信息资料真实、完整、准确。</w:t>
            </w:r>
          </w:p>
        </w:tc>
        <w:tc>
          <w:tcPr>
            <w:tcW w:w="5670" w:type="dxa"/>
            <w:vAlign w:val="center"/>
          </w:tcPr>
          <w:p>
            <w:pPr>
              <w:rPr>
                <w:rFonts w:ascii="仿宋_GB2312" w:eastAsia="仿宋_GB2312"/>
                <w:szCs w:val="21"/>
              </w:rPr>
            </w:pPr>
            <w:r>
              <w:rPr>
                <w:rFonts w:hint="eastAsia" w:ascii="仿宋_GB2312" w:eastAsia="仿宋_GB2312"/>
                <w:szCs w:val="21"/>
              </w:rPr>
              <w:t>市发展改革委会计基础信息完善。一是会计基础工作扎实，严格按照《会计法》和《会计基础工作规范》，以及《预算法》《政府会计准则》要求，开展会计核算、编制财务报表报告，保证会计工作开展依法有序，会计信息披露真实完整。二是会计信息化管理完备，通过“业财一体化管理平台”预算管理平台、单位OA综合办公平台和“用友GRP-U8版行政事业单位内控管理软件”，搭建起涵盖预算编制、采购管理、合同管理、会计核算、网上报销、执行控制等全流程的会计信息化管理体系，为会计基础数据信息和会计信息资料的真实、完整、准确提供了有效保障。</w:t>
            </w:r>
          </w:p>
        </w:tc>
        <w:tc>
          <w:tcPr>
            <w:tcW w:w="850" w:type="dxa"/>
            <w:vAlign w:val="center"/>
          </w:tcPr>
          <w:p>
            <w:pPr>
              <w:jc w:val="center"/>
              <w:rPr>
                <w:rFonts w:ascii="仿宋_GB2312" w:eastAsia="仿宋_GB2312"/>
              </w:rPr>
            </w:pPr>
            <w:r>
              <w:rPr>
                <w:rFonts w:hint="eastAsia" w:ascii="仿宋_GB2312" w:eastAsia="仿宋_GB2312"/>
              </w:rPr>
              <w:t>1</w:t>
            </w:r>
          </w:p>
        </w:tc>
        <w:tc>
          <w:tcPr>
            <w:tcW w:w="850" w:type="dxa"/>
            <w:vAlign w:val="center"/>
          </w:tcPr>
          <w:p>
            <w:pPr>
              <w:jc w:val="center"/>
              <w:rPr>
                <w:rFonts w:ascii="仿宋_GB2312" w:eastAsia="仿宋_GB2312"/>
              </w:rPr>
            </w:pPr>
            <w:r>
              <w:rPr>
                <w:rFonts w:hint="eastAsia" w:ascii="仿宋_GB2312" w:eastAsia="仿宋_GB2312"/>
              </w:rPr>
              <w:t>1</w:t>
            </w:r>
          </w:p>
        </w:tc>
      </w:tr>
    </w:tbl>
    <w:p>
      <w:pPr>
        <w:pStyle w:val="2"/>
        <w:spacing w:after="0" w:line="240" w:lineRule="exact"/>
        <w:jc w:val="right"/>
        <w:rPr>
          <w:rFonts w:ascii="宋体" w:hAnsi="宋体" w:eastAsia="宋体"/>
          <w:sz w:val="21"/>
          <w:szCs w:val="21"/>
        </w:rPr>
      </w:pPr>
      <w:r>
        <w:rPr>
          <w:rFonts w:hint="eastAsia" w:ascii="宋体" w:hAnsi="宋体" w:eastAsia="宋体"/>
          <w:sz w:val="21"/>
          <w:szCs w:val="21"/>
        </w:rPr>
        <w:t>（接下页）</w:t>
      </w:r>
      <w:r>
        <w:rPr>
          <w:rFonts w:ascii="宋体" w:hAnsi="宋体" w:eastAsia="宋体"/>
          <w:sz w:val="21"/>
          <w:szCs w:val="21"/>
        </w:rPr>
        <w:br w:type="page"/>
      </w:r>
    </w:p>
    <w:p>
      <w:r>
        <w:rPr>
          <w:rFonts w:hint="eastAsia"/>
        </w:rPr>
        <w:t>（续上页）</w:t>
      </w:r>
    </w:p>
    <w:tbl>
      <w:tblPr>
        <w:tblStyle w:val="9"/>
        <w:tblW w:w="14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1134"/>
        <w:gridCol w:w="1417"/>
        <w:gridCol w:w="2835"/>
        <w:gridCol w:w="5670"/>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一级指标</w:t>
            </w:r>
          </w:p>
        </w:tc>
        <w:tc>
          <w:tcPr>
            <w:tcW w:w="1134"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二级指标</w:t>
            </w:r>
          </w:p>
        </w:tc>
        <w:tc>
          <w:tcPr>
            <w:tcW w:w="1417"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三级指标</w:t>
            </w:r>
          </w:p>
        </w:tc>
        <w:tc>
          <w:tcPr>
            <w:tcW w:w="2835"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指标值</w:t>
            </w:r>
          </w:p>
        </w:tc>
        <w:tc>
          <w:tcPr>
            <w:tcW w:w="5670" w:type="dxa"/>
            <w:shd w:val="clear" w:color="auto" w:fill="D8D8D8" w:themeFill="background1" w:themeFillShade="D9"/>
            <w:vAlign w:val="center"/>
          </w:tcPr>
          <w:p>
            <w:pPr>
              <w:jc w:val="center"/>
              <w:rPr>
                <w:rFonts w:ascii="仿宋_GB2312" w:eastAsia="仿宋_GB2312"/>
                <w:szCs w:val="21"/>
              </w:rPr>
            </w:pPr>
            <w:r>
              <w:rPr>
                <w:rFonts w:hint="eastAsia" w:ascii="仿宋_GB2312" w:eastAsia="仿宋_GB2312"/>
                <w:b/>
                <w:sz w:val="20"/>
                <w:szCs w:val="20"/>
              </w:rPr>
              <w:t>完成值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8D8D8" w:themeFill="background1" w:themeFillShade="D9"/>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8" w:hRule="atLeast"/>
        </w:trPr>
        <w:tc>
          <w:tcPr>
            <w:tcW w:w="1531" w:type="dxa"/>
            <w:vMerge w:val="restart"/>
            <w:vAlign w:val="center"/>
          </w:tcPr>
          <w:p>
            <w:pPr>
              <w:jc w:val="center"/>
              <w:rPr>
                <w:rFonts w:ascii="仿宋_GB2312" w:eastAsia="仿宋_GB2312"/>
              </w:rPr>
            </w:pPr>
            <w:r>
              <w:rPr>
                <w:rFonts w:hint="eastAsia" w:ascii="仿宋_GB2312" w:eastAsia="仿宋_GB2312"/>
              </w:rPr>
              <w:t>预算管理情况（20分）</w:t>
            </w:r>
          </w:p>
        </w:tc>
        <w:tc>
          <w:tcPr>
            <w:tcW w:w="1134" w:type="dxa"/>
            <w:vAlign w:val="center"/>
          </w:tcPr>
          <w:p>
            <w:pPr>
              <w:spacing w:line="290" w:lineRule="exact"/>
              <w:jc w:val="center"/>
              <w:rPr>
                <w:rFonts w:ascii="仿宋_GB2312" w:eastAsia="仿宋_GB2312"/>
                <w:szCs w:val="21"/>
              </w:rPr>
            </w:pPr>
            <w:r>
              <w:rPr>
                <w:rFonts w:hint="eastAsia" w:ascii="仿宋_GB2312" w:eastAsia="仿宋_GB2312"/>
                <w:szCs w:val="21"/>
              </w:rPr>
              <w:t>资产管理（4分）</w:t>
            </w:r>
          </w:p>
        </w:tc>
        <w:tc>
          <w:tcPr>
            <w:tcW w:w="1417" w:type="dxa"/>
            <w:vAlign w:val="center"/>
          </w:tcPr>
          <w:p>
            <w:pPr>
              <w:spacing w:line="290" w:lineRule="exact"/>
              <w:jc w:val="center"/>
              <w:rPr>
                <w:rFonts w:ascii="仿宋_GB2312" w:eastAsia="仿宋_GB2312"/>
                <w:szCs w:val="21"/>
              </w:rPr>
            </w:pPr>
            <w:r>
              <w:rPr>
                <w:rFonts w:hint="eastAsia" w:ascii="仿宋_GB2312" w:eastAsia="仿宋_GB2312"/>
                <w:szCs w:val="21"/>
              </w:rPr>
              <w:t>资产管理</w:t>
            </w:r>
          </w:p>
          <w:p>
            <w:pPr>
              <w:spacing w:line="290" w:lineRule="exact"/>
              <w:jc w:val="center"/>
              <w:rPr>
                <w:rFonts w:ascii="仿宋_GB2312" w:eastAsia="仿宋_GB2312"/>
                <w:szCs w:val="21"/>
              </w:rPr>
            </w:pPr>
            <w:r>
              <w:rPr>
                <w:rFonts w:hint="eastAsia" w:ascii="仿宋_GB2312" w:eastAsia="仿宋_GB2312"/>
                <w:szCs w:val="21"/>
              </w:rPr>
              <w:t>规范性</w:t>
            </w:r>
          </w:p>
        </w:tc>
        <w:tc>
          <w:tcPr>
            <w:tcW w:w="2835" w:type="dxa"/>
            <w:vAlign w:val="center"/>
          </w:tcPr>
          <w:p>
            <w:pPr>
              <w:spacing w:line="290" w:lineRule="exact"/>
              <w:rPr>
                <w:rFonts w:ascii="仿宋_GB2312" w:eastAsia="仿宋_GB2312"/>
                <w:spacing w:val="-2"/>
                <w:szCs w:val="21"/>
              </w:rPr>
            </w:pPr>
            <w:r>
              <w:rPr>
                <w:rFonts w:ascii="仿宋_GB2312" w:eastAsia="仿宋_GB2312"/>
                <w:szCs w:val="21"/>
              </w:rPr>
              <w:t>资产</w:t>
            </w:r>
            <w:r>
              <w:rPr>
                <w:rFonts w:hint="eastAsia" w:ascii="仿宋_GB2312" w:eastAsia="仿宋_GB2312"/>
                <w:szCs w:val="21"/>
              </w:rPr>
              <w:t>管理</w:t>
            </w:r>
            <w:r>
              <w:rPr>
                <w:rFonts w:ascii="仿宋_GB2312" w:eastAsia="仿宋_GB2312"/>
                <w:szCs w:val="21"/>
              </w:rPr>
              <w:t>规范</w:t>
            </w:r>
            <w:r>
              <w:rPr>
                <w:rFonts w:hint="eastAsia" w:ascii="仿宋_GB2312" w:eastAsia="仿宋_GB2312"/>
                <w:szCs w:val="21"/>
              </w:rPr>
              <w:t>，严格执行各项资产管理制度规定。资产</w:t>
            </w:r>
            <w:r>
              <w:rPr>
                <w:rFonts w:ascii="仿宋_GB2312" w:eastAsia="仿宋_GB2312"/>
                <w:szCs w:val="21"/>
              </w:rPr>
              <w:t>保持</w:t>
            </w:r>
            <w:r>
              <w:rPr>
                <w:rFonts w:hint="eastAsia" w:ascii="仿宋_GB2312" w:eastAsia="仿宋_GB2312"/>
                <w:szCs w:val="21"/>
              </w:rPr>
              <w:t>应</w:t>
            </w:r>
            <w:r>
              <w:rPr>
                <w:rFonts w:ascii="仿宋_GB2312" w:eastAsia="仿宋_GB2312"/>
                <w:szCs w:val="21"/>
              </w:rPr>
              <w:t>安全完整，</w:t>
            </w:r>
            <w:r>
              <w:rPr>
                <w:rFonts w:hint="eastAsia" w:ascii="仿宋_GB2312" w:eastAsia="仿宋_GB2312"/>
                <w:szCs w:val="21"/>
              </w:rPr>
              <w:t>防范严重</w:t>
            </w:r>
            <w:r>
              <w:rPr>
                <w:rFonts w:ascii="仿宋_GB2312" w:eastAsia="仿宋_GB2312"/>
                <w:szCs w:val="21"/>
              </w:rPr>
              <w:t>损失</w:t>
            </w:r>
            <w:r>
              <w:rPr>
                <w:rFonts w:hint="eastAsia" w:ascii="仿宋_GB2312" w:eastAsia="仿宋_GB2312"/>
                <w:szCs w:val="21"/>
              </w:rPr>
              <w:t>、</w:t>
            </w:r>
            <w:r>
              <w:rPr>
                <w:rFonts w:ascii="仿宋_GB2312" w:eastAsia="仿宋_GB2312"/>
                <w:szCs w:val="21"/>
              </w:rPr>
              <w:t>丢失</w:t>
            </w:r>
            <w:r>
              <w:rPr>
                <w:rFonts w:hint="eastAsia" w:ascii="仿宋_GB2312" w:eastAsia="仿宋_GB2312"/>
                <w:szCs w:val="21"/>
              </w:rPr>
              <w:t>。资产</w:t>
            </w:r>
            <w:r>
              <w:rPr>
                <w:rFonts w:ascii="仿宋_GB2312" w:eastAsia="仿宋_GB2312"/>
                <w:szCs w:val="21"/>
              </w:rPr>
              <w:t>配置</w:t>
            </w:r>
            <w:r>
              <w:rPr>
                <w:rFonts w:hint="eastAsia" w:ascii="仿宋_GB2312" w:eastAsia="仿宋_GB2312"/>
                <w:szCs w:val="21"/>
              </w:rPr>
              <w:t>应</w:t>
            </w:r>
            <w:r>
              <w:rPr>
                <w:rFonts w:ascii="仿宋_GB2312" w:eastAsia="仿宋_GB2312"/>
                <w:szCs w:val="21"/>
              </w:rPr>
              <w:t>合理，不得</w:t>
            </w:r>
            <w:r>
              <w:rPr>
                <w:rFonts w:hint="eastAsia" w:ascii="仿宋_GB2312" w:eastAsia="仿宋_GB2312"/>
                <w:szCs w:val="21"/>
              </w:rPr>
              <w:t>超</w:t>
            </w:r>
            <w:r>
              <w:rPr>
                <w:rFonts w:ascii="仿宋_GB2312" w:eastAsia="仿宋_GB2312"/>
                <w:szCs w:val="21"/>
              </w:rPr>
              <w:t>标准配置资产。</w:t>
            </w:r>
            <w:r>
              <w:rPr>
                <w:rFonts w:hint="eastAsia" w:ascii="仿宋_GB2312" w:eastAsia="仿宋_GB2312"/>
                <w:szCs w:val="21"/>
              </w:rPr>
              <w:t>资产</w:t>
            </w:r>
            <w:r>
              <w:rPr>
                <w:rFonts w:ascii="仿宋_GB2312" w:eastAsia="仿宋_GB2312"/>
                <w:szCs w:val="21"/>
              </w:rPr>
              <w:t>使用和处置</w:t>
            </w:r>
            <w:r>
              <w:rPr>
                <w:rFonts w:hint="eastAsia" w:ascii="仿宋_GB2312" w:eastAsia="仿宋_GB2312"/>
                <w:szCs w:val="21"/>
              </w:rPr>
              <w:t>应</w:t>
            </w:r>
            <w:r>
              <w:rPr>
                <w:rFonts w:ascii="仿宋_GB2312" w:eastAsia="仿宋_GB2312"/>
                <w:szCs w:val="21"/>
              </w:rPr>
              <w:t>规范，</w:t>
            </w:r>
            <w:r>
              <w:rPr>
                <w:rFonts w:hint="eastAsia" w:ascii="仿宋_GB2312" w:eastAsia="仿宋_GB2312"/>
                <w:szCs w:val="21"/>
              </w:rPr>
              <w:t>出租出借和</w:t>
            </w:r>
            <w:r>
              <w:rPr>
                <w:rFonts w:ascii="仿宋_GB2312" w:eastAsia="仿宋_GB2312"/>
                <w:szCs w:val="21"/>
              </w:rPr>
              <w:t>处置</w:t>
            </w:r>
            <w:r>
              <w:rPr>
                <w:rFonts w:hint="eastAsia" w:ascii="仿宋_GB2312" w:eastAsia="仿宋_GB2312"/>
                <w:szCs w:val="21"/>
              </w:rPr>
              <w:t>应履行相应审批程序。</w:t>
            </w:r>
          </w:p>
        </w:tc>
        <w:tc>
          <w:tcPr>
            <w:tcW w:w="5670" w:type="dxa"/>
            <w:vAlign w:val="center"/>
          </w:tcPr>
          <w:p>
            <w:pPr>
              <w:spacing w:line="290" w:lineRule="exact"/>
              <w:rPr>
                <w:rFonts w:ascii="仿宋_GB2312" w:eastAsia="仿宋_GB2312"/>
                <w:szCs w:val="21"/>
              </w:rPr>
            </w:pPr>
            <w:r>
              <w:rPr>
                <w:rFonts w:hint="eastAsia" w:ascii="仿宋_GB2312" w:eastAsia="仿宋_GB2312"/>
                <w:szCs w:val="21"/>
              </w:rPr>
              <w:t>市发展改革委资产管理规范，制度健全，分工明确，执行有效。资产保持、配置、使用和处置严格执行各项资产管理制度规定。目前，已制定了《关于进一步加强展览展示活动实物资产管理的通知》等制度办法，细化资产管理责任分工，优化资产管理工作流程，明确资产配置标准，建立健全资产购置、登记、发放、调拨、报废、清查的全过程监管机制，未出现资产严重损失、丢失等情况，不存在超标准配置资产、未经审批出租出借或处置资产等情况。</w:t>
            </w:r>
          </w:p>
        </w:tc>
        <w:tc>
          <w:tcPr>
            <w:tcW w:w="850" w:type="dxa"/>
            <w:vAlign w:val="center"/>
          </w:tcPr>
          <w:p>
            <w:pPr>
              <w:spacing w:line="290" w:lineRule="exact"/>
              <w:jc w:val="center"/>
              <w:rPr>
                <w:rFonts w:ascii="仿宋_GB2312" w:eastAsia="仿宋_GB2312"/>
              </w:rPr>
            </w:pPr>
            <w:r>
              <w:rPr>
                <w:rFonts w:hint="eastAsia" w:ascii="仿宋_GB2312" w:eastAsia="仿宋_GB2312"/>
              </w:rPr>
              <w:t>4</w:t>
            </w:r>
          </w:p>
        </w:tc>
        <w:tc>
          <w:tcPr>
            <w:tcW w:w="850" w:type="dxa"/>
            <w:vAlign w:val="center"/>
          </w:tcPr>
          <w:p>
            <w:pPr>
              <w:spacing w:line="290" w:lineRule="exact"/>
              <w:jc w:val="center"/>
              <w:rPr>
                <w:rFonts w:ascii="仿宋_GB2312" w:eastAsia="仿宋_GB2312"/>
              </w:rPr>
            </w:pPr>
            <w:r>
              <w:rPr>
                <w:rFonts w:hint="eastAsia" w:ascii="仿宋_GB2312" w:eastAsia="仿宋_GB231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8" w:hRule="atLeast"/>
        </w:trPr>
        <w:tc>
          <w:tcPr>
            <w:tcW w:w="1531" w:type="dxa"/>
            <w:vMerge w:val="continue"/>
            <w:vAlign w:val="center"/>
          </w:tcPr>
          <w:p>
            <w:pPr>
              <w:jc w:val="center"/>
              <w:rPr>
                <w:rFonts w:ascii="仿宋_GB2312" w:eastAsia="仿宋_GB2312"/>
              </w:rPr>
            </w:pPr>
          </w:p>
        </w:tc>
        <w:tc>
          <w:tcPr>
            <w:tcW w:w="1134" w:type="dxa"/>
            <w:vAlign w:val="center"/>
          </w:tcPr>
          <w:p>
            <w:pPr>
              <w:spacing w:line="290" w:lineRule="exact"/>
              <w:jc w:val="center"/>
              <w:rPr>
                <w:rFonts w:ascii="仿宋_GB2312" w:eastAsia="仿宋_GB2312"/>
                <w:szCs w:val="21"/>
              </w:rPr>
            </w:pPr>
            <w:r>
              <w:rPr>
                <w:rFonts w:hint="eastAsia" w:ascii="仿宋_GB2312" w:eastAsia="仿宋_GB2312"/>
                <w:szCs w:val="21"/>
              </w:rPr>
              <w:t>绩效管理（4分）</w:t>
            </w:r>
          </w:p>
        </w:tc>
        <w:tc>
          <w:tcPr>
            <w:tcW w:w="1417" w:type="dxa"/>
            <w:vAlign w:val="center"/>
          </w:tcPr>
          <w:p>
            <w:pPr>
              <w:spacing w:line="290" w:lineRule="exact"/>
              <w:jc w:val="center"/>
              <w:rPr>
                <w:rFonts w:ascii="仿宋_GB2312" w:eastAsia="仿宋_GB2312"/>
                <w:szCs w:val="21"/>
              </w:rPr>
            </w:pPr>
            <w:r>
              <w:rPr>
                <w:rFonts w:hint="eastAsia" w:ascii="仿宋_GB2312" w:eastAsia="仿宋_GB2312"/>
                <w:szCs w:val="21"/>
              </w:rPr>
              <w:t>绩效管理</w:t>
            </w:r>
          </w:p>
          <w:p>
            <w:pPr>
              <w:spacing w:line="290" w:lineRule="exact"/>
              <w:jc w:val="center"/>
              <w:rPr>
                <w:rFonts w:ascii="仿宋_GB2312" w:eastAsia="仿宋_GB2312"/>
                <w:szCs w:val="21"/>
              </w:rPr>
            </w:pPr>
            <w:r>
              <w:rPr>
                <w:rFonts w:hint="eastAsia" w:ascii="仿宋_GB2312" w:eastAsia="仿宋_GB2312"/>
                <w:szCs w:val="21"/>
              </w:rPr>
              <w:t>情况</w:t>
            </w:r>
          </w:p>
        </w:tc>
        <w:tc>
          <w:tcPr>
            <w:tcW w:w="2835" w:type="dxa"/>
            <w:vAlign w:val="center"/>
          </w:tcPr>
          <w:p>
            <w:pPr>
              <w:spacing w:line="290" w:lineRule="exact"/>
              <w:rPr>
                <w:rFonts w:ascii="仿宋_GB2312" w:eastAsia="仿宋_GB2312"/>
                <w:szCs w:val="21"/>
              </w:rPr>
            </w:pPr>
            <w:r>
              <w:rPr>
                <w:rFonts w:hint="eastAsia" w:ascii="仿宋_GB2312" w:eastAsia="仿宋_GB2312"/>
                <w:szCs w:val="21"/>
              </w:rPr>
              <w:t>绩效</w:t>
            </w:r>
            <w:r>
              <w:rPr>
                <w:rFonts w:ascii="仿宋_GB2312" w:eastAsia="仿宋_GB2312"/>
                <w:szCs w:val="21"/>
              </w:rPr>
              <w:t>管理</w:t>
            </w:r>
            <w:r>
              <w:rPr>
                <w:rFonts w:hint="eastAsia" w:ascii="仿宋_GB2312" w:eastAsia="仿宋_GB2312"/>
                <w:szCs w:val="21"/>
              </w:rPr>
              <w:t>及时有效</w:t>
            </w:r>
            <w:r>
              <w:rPr>
                <w:rFonts w:ascii="仿宋_GB2312" w:eastAsia="仿宋_GB2312"/>
                <w:szCs w:val="21"/>
              </w:rPr>
              <w:t>，</w:t>
            </w:r>
            <w:r>
              <w:rPr>
                <w:rFonts w:hint="eastAsia" w:ascii="仿宋_GB2312" w:eastAsia="仿宋_GB2312"/>
                <w:szCs w:val="21"/>
              </w:rPr>
              <w:t>及时对绩效信息进行汇总分析整理，对绩效目标偏离情况及时进行矫正。</w:t>
            </w:r>
          </w:p>
        </w:tc>
        <w:tc>
          <w:tcPr>
            <w:tcW w:w="5670" w:type="dxa"/>
            <w:vAlign w:val="center"/>
          </w:tcPr>
          <w:p>
            <w:pPr>
              <w:spacing w:line="290" w:lineRule="exact"/>
              <w:rPr>
                <w:rFonts w:ascii="仿宋_GB2312" w:eastAsia="仿宋_GB2312"/>
                <w:szCs w:val="21"/>
              </w:rPr>
            </w:pPr>
            <w:r>
              <w:rPr>
                <w:rFonts w:hint="eastAsia" w:ascii="仿宋_GB2312" w:eastAsia="仿宋_GB2312"/>
                <w:szCs w:val="21"/>
              </w:rPr>
              <w:t>市发展改革委绩效管理及时有效。能够严格贯彻落实全面预算绩效管理要求，深化全过程预算绩效管理，建立涵盖绩效目标编制、绩效运行监控、成本绩效分析、绩效支出评价的“全过程、全覆盖”绩效管理工作流程，及时对绩效信息进行汇总分析整理，对绩效目标偏离情况及时进行矫正。坚持围绕工作实际，加强项目成本管控，开展成本绩效分析，持续探索和拓展绩效管理的新方法、新领域。</w:t>
            </w:r>
          </w:p>
        </w:tc>
        <w:tc>
          <w:tcPr>
            <w:tcW w:w="850" w:type="dxa"/>
            <w:vAlign w:val="center"/>
          </w:tcPr>
          <w:p>
            <w:pPr>
              <w:spacing w:line="290" w:lineRule="exact"/>
              <w:jc w:val="center"/>
              <w:rPr>
                <w:rFonts w:ascii="仿宋_GB2312" w:eastAsia="仿宋_GB2312"/>
              </w:rPr>
            </w:pPr>
            <w:r>
              <w:rPr>
                <w:rFonts w:hint="eastAsia" w:ascii="仿宋_GB2312" w:eastAsia="仿宋_GB2312"/>
              </w:rPr>
              <w:t>4</w:t>
            </w:r>
          </w:p>
        </w:tc>
        <w:tc>
          <w:tcPr>
            <w:tcW w:w="850" w:type="dxa"/>
            <w:vAlign w:val="center"/>
          </w:tcPr>
          <w:p>
            <w:pPr>
              <w:spacing w:line="290" w:lineRule="exact"/>
              <w:jc w:val="center"/>
              <w:rPr>
                <w:rFonts w:ascii="仿宋_GB2312" w:eastAsia="仿宋_GB2312"/>
              </w:rPr>
            </w:pPr>
            <w:r>
              <w:rPr>
                <w:rFonts w:hint="eastAsia" w:ascii="仿宋_GB2312" w:eastAsia="仿宋_GB231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vMerge w:val="continue"/>
            <w:vAlign w:val="center"/>
          </w:tcPr>
          <w:p>
            <w:pPr>
              <w:jc w:val="center"/>
              <w:rPr>
                <w:rFonts w:ascii="仿宋_GB2312" w:eastAsia="仿宋_GB2312"/>
              </w:rPr>
            </w:pPr>
          </w:p>
        </w:tc>
        <w:tc>
          <w:tcPr>
            <w:tcW w:w="2551" w:type="dxa"/>
            <w:gridSpan w:val="2"/>
            <w:shd w:val="clear" w:color="auto" w:fill="D7D7D7" w:themeFill="background1" w:themeFillShade="D8"/>
            <w:vAlign w:val="center"/>
          </w:tcPr>
          <w:p>
            <w:pPr>
              <w:jc w:val="center"/>
              <w:rPr>
                <w:rFonts w:ascii="仿宋_GB2312" w:eastAsia="仿宋_GB2312"/>
                <w:szCs w:val="21"/>
              </w:rPr>
            </w:pPr>
            <w:r>
              <w:rPr>
                <w:rFonts w:hint="eastAsia" w:ascii="仿宋_GB2312" w:eastAsia="仿宋_GB2312"/>
                <w:b/>
                <w:sz w:val="20"/>
                <w:szCs w:val="20"/>
              </w:rPr>
              <w:t>指标</w:t>
            </w:r>
          </w:p>
        </w:tc>
        <w:tc>
          <w:tcPr>
            <w:tcW w:w="2835" w:type="dxa"/>
            <w:shd w:val="clear" w:color="auto" w:fill="D7D7D7" w:themeFill="background1" w:themeFillShade="D8"/>
            <w:vAlign w:val="center"/>
          </w:tcPr>
          <w:p>
            <w:pPr>
              <w:jc w:val="center"/>
              <w:rPr>
                <w:rFonts w:ascii="仿宋_GB2312" w:eastAsia="仿宋_GB2312"/>
                <w:szCs w:val="21"/>
              </w:rPr>
            </w:pPr>
            <w:r>
              <w:rPr>
                <w:rFonts w:hint="eastAsia" w:ascii="仿宋_GB2312" w:eastAsia="仿宋_GB2312"/>
                <w:b/>
                <w:sz w:val="20"/>
                <w:szCs w:val="20"/>
              </w:rPr>
              <w:t>2</w:t>
            </w:r>
            <w:r>
              <w:rPr>
                <w:rFonts w:ascii="仿宋_GB2312" w:eastAsia="仿宋_GB2312"/>
                <w:b/>
                <w:sz w:val="20"/>
                <w:szCs w:val="20"/>
              </w:rPr>
              <w:t>02</w:t>
            </w:r>
            <w:r>
              <w:rPr>
                <w:rFonts w:hint="eastAsia" w:ascii="仿宋_GB2312" w:eastAsia="仿宋_GB2312"/>
                <w:b/>
                <w:sz w:val="20"/>
                <w:szCs w:val="20"/>
              </w:rPr>
              <w:t>3年</w:t>
            </w:r>
          </w:p>
        </w:tc>
        <w:tc>
          <w:tcPr>
            <w:tcW w:w="5670" w:type="dxa"/>
            <w:shd w:val="clear" w:color="auto" w:fill="D7D7D7" w:themeFill="background1" w:themeFillShade="D8"/>
            <w:vAlign w:val="center"/>
          </w:tcPr>
          <w:p>
            <w:pPr>
              <w:jc w:val="center"/>
              <w:rPr>
                <w:rFonts w:ascii="仿宋_GB2312" w:eastAsia="仿宋_GB2312"/>
                <w:szCs w:val="21"/>
              </w:rPr>
            </w:pPr>
            <w:r>
              <w:rPr>
                <w:rFonts w:hint="eastAsia" w:ascii="仿宋_GB2312" w:eastAsia="仿宋_GB2312"/>
                <w:b/>
                <w:sz w:val="20"/>
                <w:szCs w:val="20"/>
              </w:rPr>
              <w:t>2024年</w:t>
            </w:r>
          </w:p>
        </w:tc>
        <w:tc>
          <w:tcPr>
            <w:tcW w:w="850" w:type="dxa"/>
            <w:shd w:val="clear" w:color="auto" w:fill="D7D7D7" w:themeFill="background1" w:themeFillShade="D8"/>
            <w:vAlign w:val="center"/>
          </w:tcPr>
          <w:p>
            <w:pPr>
              <w:jc w:val="center"/>
              <w:rPr>
                <w:rFonts w:ascii="仿宋_GB2312" w:eastAsia="仿宋_GB2312"/>
              </w:rPr>
            </w:pPr>
            <w:r>
              <w:rPr>
                <w:rFonts w:hint="eastAsia" w:ascii="仿宋_GB2312" w:eastAsia="仿宋_GB2312"/>
                <w:b/>
                <w:sz w:val="20"/>
                <w:szCs w:val="20"/>
              </w:rPr>
              <w:t>分值</w:t>
            </w:r>
          </w:p>
        </w:tc>
        <w:tc>
          <w:tcPr>
            <w:tcW w:w="850" w:type="dxa"/>
            <w:shd w:val="clear" w:color="auto" w:fill="D7D7D7" w:themeFill="background1" w:themeFillShade="D8"/>
            <w:vAlign w:val="center"/>
          </w:tcPr>
          <w:p>
            <w:pPr>
              <w:jc w:val="center"/>
              <w:rPr>
                <w:rFonts w:ascii="仿宋_GB2312" w:eastAsia="仿宋_GB2312"/>
              </w:rPr>
            </w:pPr>
            <w:r>
              <w:rPr>
                <w:rFonts w:hint="eastAsia" w:ascii="仿宋_GB2312" w:eastAsia="仿宋_GB2312"/>
                <w:b/>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vMerge w:val="continue"/>
            <w:vAlign w:val="center"/>
          </w:tcPr>
          <w:p>
            <w:pPr>
              <w:jc w:val="center"/>
              <w:rPr>
                <w:rFonts w:ascii="仿宋_GB2312" w:eastAsia="仿宋_GB2312"/>
              </w:rPr>
            </w:pPr>
          </w:p>
        </w:tc>
        <w:tc>
          <w:tcPr>
            <w:tcW w:w="2551" w:type="dxa"/>
            <w:gridSpan w:val="2"/>
            <w:vAlign w:val="center"/>
          </w:tcPr>
          <w:p>
            <w:pPr>
              <w:jc w:val="center"/>
              <w:rPr>
                <w:rFonts w:ascii="仿宋_GB2312" w:eastAsia="仿宋_GB2312"/>
                <w:szCs w:val="21"/>
              </w:rPr>
            </w:pPr>
            <w:r>
              <w:rPr>
                <w:rFonts w:hint="eastAsia" w:ascii="仿宋_GB2312" w:eastAsia="仿宋_GB2312"/>
                <w:szCs w:val="21"/>
              </w:rPr>
              <w:t>结转</w:t>
            </w:r>
            <w:r>
              <w:rPr>
                <w:rFonts w:ascii="仿宋_GB2312" w:eastAsia="仿宋_GB2312"/>
                <w:szCs w:val="21"/>
              </w:rPr>
              <w:t>结余率（</w:t>
            </w:r>
            <w:r>
              <w:rPr>
                <w:rFonts w:hint="eastAsia" w:ascii="仿宋_GB2312" w:eastAsia="仿宋_GB2312"/>
                <w:szCs w:val="21"/>
              </w:rPr>
              <w:t>4分</w:t>
            </w:r>
            <w:r>
              <w:rPr>
                <w:rFonts w:ascii="仿宋_GB2312" w:eastAsia="仿宋_GB2312"/>
                <w:szCs w:val="21"/>
              </w:rPr>
              <w:t>）</w:t>
            </w:r>
          </w:p>
        </w:tc>
        <w:tc>
          <w:tcPr>
            <w:tcW w:w="2835" w:type="dxa"/>
            <w:vAlign w:val="center"/>
          </w:tcPr>
          <w:p>
            <w:pPr>
              <w:spacing w:line="300" w:lineRule="exact"/>
              <w:jc w:val="center"/>
              <w:rPr>
                <w:rFonts w:ascii="仿宋_GB2312" w:eastAsia="仿宋_GB2312"/>
                <w:szCs w:val="21"/>
              </w:rPr>
            </w:pPr>
            <w:r>
              <w:rPr>
                <w:rFonts w:hint="eastAsia" w:ascii="仿宋_GB2312" w:eastAsia="仿宋_GB2312"/>
                <w:szCs w:val="21"/>
              </w:rPr>
              <w:t>7.64%</w:t>
            </w:r>
          </w:p>
        </w:tc>
        <w:tc>
          <w:tcPr>
            <w:tcW w:w="5670" w:type="dxa"/>
            <w:vAlign w:val="center"/>
          </w:tcPr>
          <w:p>
            <w:pPr>
              <w:spacing w:line="300" w:lineRule="exact"/>
              <w:jc w:val="center"/>
              <w:rPr>
                <w:rFonts w:ascii="仿宋_GB2312" w:eastAsia="仿宋_GB2312"/>
                <w:szCs w:val="21"/>
              </w:rPr>
            </w:pPr>
            <w:r>
              <w:rPr>
                <w:rFonts w:hint="eastAsia" w:ascii="仿宋_GB2312" w:eastAsia="仿宋_GB2312"/>
                <w:szCs w:val="21"/>
              </w:rPr>
              <w:t>6.46%（部门结转结余率低于上年的不扣分）</w:t>
            </w:r>
          </w:p>
        </w:tc>
        <w:tc>
          <w:tcPr>
            <w:tcW w:w="850" w:type="dxa"/>
            <w:vAlign w:val="center"/>
          </w:tcPr>
          <w:p>
            <w:pPr>
              <w:jc w:val="center"/>
              <w:rPr>
                <w:rFonts w:ascii="仿宋_GB2312" w:eastAsia="仿宋_GB2312"/>
              </w:rPr>
            </w:pPr>
            <w:r>
              <w:rPr>
                <w:rFonts w:hint="eastAsia" w:ascii="仿宋_GB2312" w:eastAsia="仿宋_GB2312"/>
              </w:rPr>
              <w:t>4</w:t>
            </w:r>
          </w:p>
        </w:tc>
        <w:tc>
          <w:tcPr>
            <w:tcW w:w="850" w:type="dxa"/>
            <w:vAlign w:val="center"/>
          </w:tcPr>
          <w:p>
            <w:pPr>
              <w:jc w:val="center"/>
              <w:rPr>
                <w:rFonts w:ascii="仿宋_GB2312" w:eastAsia="仿宋_GB2312"/>
              </w:rPr>
            </w:pPr>
            <w:r>
              <w:rPr>
                <w:rFonts w:hint="eastAsia" w:ascii="仿宋_GB2312" w:eastAsia="仿宋_GB231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531" w:type="dxa"/>
            <w:vMerge w:val="continue"/>
            <w:vAlign w:val="center"/>
          </w:tcPr>
          <w:p>
            <w:pPr>
              <w:jc w:val="center"/>
              <w:rPr>
                <w:rFonts w:ascii="仿宋_GB2312" w:eastAsia="仿宋_GB2312"/>
              </w:rPr>
            </w:pPr>
          </w:p>
        </w:tc>
        <w:tc>
          <w:tcPr>
            <w:tcW w:w="2551" w:type="dxa"/>
            <w:gridSpan w:val="2"/>
            <w:vAlign w:val="center"/>
          </w:tcPr>
          <w:p>
            <w:pPr>
              <w:jc w:val="center"/>
              <w:rPr>
                <w:rFonts w:ascii="仿宋_GB2312" w:eastAsia="仿宋_GB2312"/>
                <w:szCs w:val="21"/>
              </w:rPr>
            </w:pPr>
            <w:r>
              <w:rPr>
                <w:rFonts w:hint="eastAsia" w:ascii="仿宋_GB2312" w:eastAsia="仿宋_GB2312"/>
                <w:spacing w:val="-6"/>
                <w:szCs w:val="21"/>
              </w:rPr>
              <w:t>部门</w:t>
            </w:r>
            <w:r>
              <w:rPr>
                <w:rFonts w:ascii="仿宋_GB2312" w:eastAsia="仿宋_GB2312"/>
                <w:spacing w:val="-6"/>
                <w:szCs w:val="21"/>
              </w:rPr>
              <w:t>预决算差异率（</w:t>
            </w:r>
            <w:r>
              <w:rPr>
                <w:rFonts w:hint="eastAsia" w:ascii="仿宋_GB2312" w:eastAsia="仿宋_GB2312"/>
                <w:spacing w:val="-6"/>
                <w:szCs w:val="21"/>
              </w:rPr>
              <w:t>4分</w:t>
            </w:r>
            <w:r>
              <w:rPr>
                <w:rFonts w:ascii="仿宋_GB2312" w:eastAsia="仿宋_GB2312"/>
                <w:spacing w:val="-6"/>
                <w:szCs w:val="21"/>
              </w:rPr>
              <w:t>）</w:t>
            </w:r>
          </w:p>
        </w:tc>
        <w:tc>
          <w:tcPr>
            <w:tcW w:w="2835" w:type="dxa"/>
            <w:vAlign w:val="center"/>
          </w:tcPr>
          <w:p>
            <w:pPr>
              <w:jc w:val="center"/>
              <w:rPr>
                <w:rFonts w:ascii="仿宋_GB2312" w:eastAsia="仿宋_GB2312"/>
                <w:szCs w:val="21"/>
              </w:rPr>
            </w:pPr>
            <w:r>
              <w:rPr>
                <w:rFonts w:hint="eastAsia" w:ascii="宋体" w:hAnsi="宋体" w:cs="宋体"/>
                <w:color w:val="000000"/>
                <w:kern w:val="0"/>
                <w:sz w:val="20"/>
                <w:szCs w:val="20"/>
              </w:rPr>
              <w:t>——</w:t>
            </w:r>
          </w:p>
        </w:tc>
        <w:tc>
          <w:tcPr>
            <w:tcW w:w="5670" w:type="dxa"/>
            <w:vAlign w:val="center"/>
          </w:tcPr>
          <w:p>
            <w:pPr>
              <w:spacing w:line="290" w:lineRule="exact"/>
              <w:jc w:val="center"/>
              <w:rPr>
                <w:rFonts w:ascii="仿宋_GB2312" w:eastAsia="仿宋_GB2312"/>
                <w:szCs w:val="21"/>
              </w:rPr>
            </w:pPr>
            <w:r>
              <w:rPr>
                <w:rFonts w:hint="eastAsia" w:ascii="仿宋_GB2312" w:eastAsia="仿宋_GB2312"/>
                <w:szCs w:val="21"/>
              </w:rPr>
              <w:t>13.28%（低</w:t>
            </w:r>
            <w:r>
              <w:rPr>
                <w:rFonts w:ascii="仿宋_GB2312" w:eastAsia="仿宋_GB2312"/>
                <w:szCs w:val="21"/>
              </w:rPr>
              <w:t>于市级</w:t>
            </w:r>
            <w:r>
              <w:rPr>
                <w:rFonts w:hint="eastAsia" w:ascii="仿宋_GB2312" w:eastAsia="仿宋_GB2312"/>
                <w:szCs w:val="21"/>
              </w:rPr>
              <w:t>平均</w:t>
            </w:r>
            <w:r>
              <w:rPr>
                <w:rFonts w:ascii="仿宋_GB2312" w:eastAsia="仿宋_GB2312"/>
                <w:szCs w:val="21"/>
              </w:rPr>
              <w:t>差异率</w:t>
            </w:r>
            <w:r>
              <w:rPr>
                <w:rFonts w:hint="eastAsia" w:ascii="仿宋_GB2312" w:eastAsia="仿宋_GB2312"/>
                <w:szCs w:val="21"/>
              </w:rPr>
              <w:t>）</w:t>
            </w:r>
          </w:p>
        </w:tc>
        <w:tc>
          <w:tcPr>
            <w:tcW w:w="850" w:type="dxa"/>
            <w:vAlign w:val="center"/>
          </w:tcPr>
          <w:p>
            <w:pPr>
              <w:jc w:val="center"/>
              <w:rPr>
                <w:rFonts w:ascii="仿宋_GB2312" w:eastAsia="仿宋_GB2312"/>
              </w:rPr>
            </w:pPr>
            <w:r>
              <w:rPr>
                <w:rFonts w:hint="eastAsia" w:ascii="仿宋_GB2312" w:eastAsia="仿宋_GB2312"/>
              </w:rPr>
              <w:t>4</w:t>
            </w:r>
          </w:p>
        </w:tc>
        <w:tc>
          <w:tcPr>
            <w:tcW w:w="850" w:type="dxa"/>
            <w:vAlign w:val="center"/>
          </w:tcPr>
          <w:p>
            <w:pPr>
              <w:jc w:val="center"/>
              <w:rPr>
                <w:rFonts w:ascii="仿宋_GB2312" w:eastAsia="仿宋_GB2312"/>
              </w:rPr>
            </w:pPr>
            <w:r>
              <w:rPr>
                <w:rFonts w:hint="eastAsia" w:ascii="仿宋_GB2312" w:eastAsia="仿宋_GB231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587" w:type="dxa"/>
            <w:gridSpan w:val="5"/>
            <w:vAlign w:val="center"/>
          </w:tcPr>
          <w:p>
            <w:pPr>
              <w:spacing w:line="290" w:lineRule="exact"/>
              <w:jc w:val="center"/>
              <w:rPr>
                <w:rFonts w:ascii="仿宋_GB2312" w:eastAsia="仿宋_GB2312"/>
                <w:b/>
                <w:szCs w:val="21"/>
              </w:rPr>
            </w:pPr>
            <w:r>
              <w:rPr>
                <w:rFonts w:hint="eastAsia" w:ascii="仿宋_GB2312" w:eastAsia="仿宋_GB2312"/>
                <w:b/>
                <w:szCs w:val="21"/>
              </w:rPr>
              <w:t>合计</w:t>
            </w:r>
          </w:p>
        </w:tc>
        <w:tc>
          <w:tcPr>
            <w:tcW w:w="850" w:type="dxa"/>
            <w:vAlign w:val="center"/>
          </w:tcPr>
          <w:p>
            <w:pPr>
              <w:spacing w:line="290" w:lineRule="exact"/>
              <w:jc w:val="center"/>
              <w:rPr>
                <w:rFonts w:ascii="仿宋_GB2312" w:eastAsia="仿宋_GB2312"/>
                <w:b/>
              </w:rPr>
            </w:pPr>
            <w:r>
              <w:rPr>
                <w:rFonts w:hint="eastAsia" w:ascii="仿宋_GB2312" w:eastAsia="仿宋_GB2312"/>
                <w:b/>
              </w:rPr>
              <w:t>100</w:t>
            </w:r>
          </w:p>
        </w:tc>
        <w:tc>
          <w:tcPr>
            <w:tcW w:w="850" w:type="dxa"/>
            <w:vAlign w:val="center"/>
          </w:tcPr>
          <w:p>
            <w:pPr>
              <w:spacing w:line="290" w:lineRule="exact"/>
              <w:jc w:val="center"/>
              <w:rPr>
                <w:rFonts w:ascii="仿宋_GB2312" w:eastAsia="仿宋_GB2312"/>
                <w:b/>
              </w:rPr>
            </w:pPr>
            <w:r>
              <w:rPr>
                <w:rFonts w:hint="eastAsia" w:ascii="仿宋_GB2312" w:eastAsia="仿宋_GB2312"/>
                <w:b/>
              </w:rPr>
              <w:t>98.71</w:t>
            </w:r>
          </w:p>
        </w:tc>
      </w:tr>
    </w:tbl>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C62DE2-1629-4F7C-A3C7-55DF1BAA9B6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F8D40C82-F7CC-409D-A473-AAB2B5C1E557}"/>
  </w:font>
  <w:font w:name="仿宋_GB2312">
    <w:panose1 w:val="02010609030101010101"/>
    <w:charset w:val="86"/>
    <w:family w:val="modern"/>
    <w:pitch w:val="default"/>
    <w:sig w:usb0="00000001" w:usb1="080E0000" w:usb2="00000000" w:usb3="00000000" w:csb0="00040000" w:csb1="00000000"/>
    <w:embedRegular r:id="rId3" w:fontKey="{E49E99EC-5B28-4B4D-BB35-0FFE69682742}"/>
  </w:font>
  <w:font w:name="方正小标宋简体">
    <w:panose1 w:val="03000509000000000000"/>
    <w:charset w:val="86"/>
    <w:family w:val="script"/>
    <w:pitch w:val="default"/>
    <w:sig w:usb0="00000001" w:usb1="080E0000" w:usb2="00000000" w:usb3="00000000" w:csb0="00040000" w:csb1="00000000"/>
    <w:embedRegular r:id="rId4" w:fontKey="{C90FC62C-57AA-4167-B364-9F962682C55D}"/>
  </w:font>
  <w:font w:name="楷体_GB2312">
    <w:panose1 w:val="02010609030101010101"/>
    <w:charset w:val="86"/>
    <w:family w:val="modern"/>
    <w:pitch w:val="default"/>
    <w:sig w:usb0="00000001" w:usb1="080E0000" w:usb2="00000000" w:usb3="00000000" w:csb0="00040000" w:csb1="00000000"/>
    <w:embedRegular r:id="rId5" w:fontKey="{237870A1-2C3A-4F0B-8EB2-70DE979CA031}"/>
  </w:font>
  <w:font w:name="方正仿宋_GB2312">
    <w:altName w:val="仿宋"/>
    <w:panose1 w:val="02000000000000000000"/>
    <w:charset w:val="86"/>
    <w:family w:val="auto"/>
    <w:pitch w:val="default"/>
    <w:sig w:usb0="00000000" w:usb1="00000000" w:usb2="00000012" w:usb3="00000000" w:csb0="00040001" w:csb1="00000000"/>
    <w:embedRegular r:id="rId6" w:fontKey="{B194A7FC-1135-4C09-A8E6-45C475CE8DBB}"/>
  </w:font>
  <w:font w:name="仿宋">
    <w:panose1 w:val="02010609060101010101"/>
    <w:charset w:val="86"/>
    <w:family w:val="modern"/>
    <w:pitch w:val="default"/>
    <w:sig w:usb0="800002BF" w:usb1="38CF7CFA" w:usb2="00000016" w:usb3="00000000" w:csb0="00040001" w:csb1="00000000"/>
    <w:embedRegular r:id="rId7" w:fontKey="{05C0CA42-5E33-4112-A73F-0C044A36393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37 -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37 -</w:t>
                    </w:r>
                    <w:r>
                      <w:rPr>
                        <w:rFonts w:ascii="宋体" w:hAnsi="宋体"/>
                        <w:sz w:val="28"/>
                        <w:szCs w:val="28"/>
                      </w:rPr>
                      <w:fldChar w:fldCharType="end"/>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54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F77F09F4"/>
    <w:rsid w:val="00003E03"/>
    <w:rsid w:val="000051D9"/>
    <w:rsid w:val="00013AF9"/>
    <w:rsid w:val="00022B0F"/>
    <w:rsid w:val="00023DE4"/>
    <w:rsid w:val="000262FA"/>
    <w:rsid w:val="0002764A"/>
    <w:rsid w:val="0003122D"/>
    <w:rsid w:val="00035CDD"/>
    <w:rsid w:val="0003796D"/>
    <w:rsid w:val="000409AA"/>
    <w:rsid w:val="000448A7"/>
    <w:rsid w:val="0005206A"/>
    <w:rsid w:val="000621B7"/>
    <w:rsid w:val="000623B5"/>
    <w:rsid w:val="000656B7"/>
    <w:rsid w:val="000720EC"/>
    <w:rsid w:val="0007260B"/>
    <w:rsid w:val="000813A5"/>
    <w:rsid w:val="00094DF2"/>
    <w:rsid w:val="00095F61"/>
    <w:rsid w:val="000A3B30"/>
    <w:rsid w:val="000A7007"/>
    <w:rsid w:val="000A7F88"/>
    <w:rsid w:val="000B161E"/>
    <w:rsid w:val="000B49AA"/>
    <w:rsid w:val="000C0ED9"/>
    <w:rsid w:val="000C187F"/>
    <w:rsid w:val="000C2D35"/>
    <w:rsid w:val="000C4E22"/>
    <w:rsid w:val="000C771E"/>
    <w:rsid w:val="000D2D95"/>
    <w:rsid w:val="000E0566"/>
    <w:rsid w:val="000E3146"/>
    <w:rsid w:val="000E6721"/>
    <w:rsid w:val="001025A3"/>
    <w:rsid w:val="00104592"/>
    <w:rsid w:val="0010705B"/>
    <w:rsid w:val="00113487"/>
    <w:rsid w:val="00117578"/>
    <w:rsid w:val="00123A06"/>
    <w:rsid w:val="00125B15"/>
    <w:rsid w:val="001301F2"/>
    <w:rsid w:val="001307A9"/>
    <w:rsid w:val="00135323"/>
    <w:rsid w:val="00136D3F"/>
    <w:rsid w:val="00136E31"/>
    <w:rsid w:val="00142BB8"/>
    <w:rsid w:val="00143E13"/>
    <w:rsid w:val="001500A1"/>
    <w:rsid w:val="00150BDA"/>
    <w:rsid w:val="00157FBE"/>
    <w:rsid w:val="001604AB"/>
    <w:rsid w:val="001607F7"/>
    <w:rsid w:val="00170125"/>
    <w:rsid w:val="001810FC"/>
    <w:rsid w:val="00185A1E"/>
    <w:rsid w:val="00191C59"/>
    <w:rsid w:val="00195BA8"/>
    <w:rsid w:val="0019683D"/>
    <w:rsid w:val="001A5EF1"/>
    <w:rsid w:val="001B1CA9"/>
    <w:rsid w:val="001B688B"/>
    <w:rsid w:val="001B6F3E"/>
    <w:rsid w:val="001B7D43"/>
    <w:rsid w:val="001C4684"/>
    <w:rsid w:val="001C4783"/>
    <w:rsid w:val="001C6B75"/>
    <w:rsid w:val="001D64B9"/>
    <w:rsid w:val="001D6B20"/>
    <w:rsid w:val="001F3575"/>
    <w:rsid w:val="001F5E2C"/>
    <w:rsid w:val="002046FF"/>
    <w:rsid w:val="0021389A"/>
    <w:rsid w:val="00214D1F"/>
    <w:rsid w:val="00222CCE"/>
    <w:rsid w:val="00235B26"/>
    <w:rsid w:val="00245E03"/>
    <w:rsid w:val="00245F76"/>
    <w:rsid w:val="00246C90"/>
    <w:rsid w:val="002544B0"/>
    <w:rsid w:val="002545FC"/>
    <w:rsid w:val="00254A0E"/>
    <w:rsid w:val="00255219"/>
    <w:rsid w:val="00285883"/>
    <w:rsid w:val="0029162E"/>
    <w:rsid w:val="002A6CAA"/>
    <w:rsid w:val="002B3241"/>
    <w:rsid w:val="002C7F90"/>
    <w:rsid w:val="002F39A0"/>
    <w:rsid w:val="00305FB4"/>
    <w:rsid w:val="00321050"/>
    <w:rsid w:val="00323B99"/>
    <w:rsid w:val="003358EA"/>
    <w:rsid w:val="00345A76"/>
    <w:rsid w:val="00357DB2"/>
    <w:rsid w:val="00366B8B"/>
    <w:rsid w:val="0037054E"/>
    <w:rsid w:val="00382CF8"/>
    <w:rsid w:val="00387B0B"/>
    <w:rsid w:val="0039032F"/>
    <w:rsid w:val="00390FF3"/>
    <w:rsid w:val="003960AB"/>
    <w:rsid w:val="003A5BBD"/>
    <w:rsid w:val="003B4132"/>
    <w:rsid w:val="003D542F"/>
    <w:rsid w:val="003D6039"/>
    <w:rsid w:val="003E1107"/>
    <w:rsid w:val="003E5CE9"/>
    <w:rsid w:val="003F1641"/>
    <w:rsid w:val="003F2BC2"/>
    <w:rsid w:val="003F6A59"/>
    <w:rsid w:val="00410E81"/>
    <w:rsid w:val="00415964"/>
    <w:rsid w:val="004238A8"/>
    <w:rsid w:val="00432AF7"/>
    <w:rsid w:val="00437F77"/>
    <w:rsid w:val="00440B0F"/>
    <w:rsid w:val="00443B47"/>
    <w:rsid w:val="0044455D"/>
    <w:rsid w:val="00444DD4"/>
    <w:rsid w:val="0045138B"/>
    <w:rsid w:val="00451EC5"/>
    <w:rsid w:val="00452D89"/>
    <w:rsid w:val="00464B5A"/>
    <w:rsid w:val="00476932"/>
    <w:rsid w:val="00487320"/>
    <w:rsid w:val="00494AFE"/>
    <w:rsid w:val="004A1FAE"/>
    <w:rsid w:val="004A4C83"/>
    <w:rsid w:val="004B0D42"/>
    <w:rsid w:val="004B382F"/>
    <w:rsid w:val="004C73E5"/>
    <w:rsid w:val="004D7AA9"/>
    <w:rsid w:val="004D7ED8"/>
    <w:rsid w:val="004E0B2F"/>
    <w:rsid w:val="004E2E86"/>
    <w:rsid w:val="004E744D"/>
    <w:rsid w:val="004F00CA"/>
    <w:rsid w:val="00506BC7"/>
    <w:rsid w:val="00507EAB"/>
    <w:rsid w:val="00510F05"/>
    <w:rsid w:val="00511D9E"/>
    <w:rsid w:val="00515551"/>
    <w:rsid w:val="00515564"/>
    <w:rsid w:val="005203F0"/>
    <w:rsid w:val="005254DA"/>
    <w:rsid w:val="00531271"/>
    <w:rsid w:val="005362CD"/>
    <w:rsid w:val="00537192"/>
    <w:rsid w:val="00544569"/>
    <w:rsid w:val="00550AA8"/>
    <w:rsid w:val="00551D64"/>
    <w:rsid w:val="00551FA0"/>
    <w:rsid w:val="0055568A"/>
    <w:rsid w:val="005573E8"/>
    <w:rsid w:val="00566D35"/>
    <w:rsid w:val="00566FA7"/>
    <w:rsid w:val="00567340"/>
    <w:rsid w:val="00581ECA"/>
    <w:rsid w:val="00584131"/>
    <w:rsid w:val="00591312"/>
    <w:rsid w:val="00592BCF"/>
    <w:rsid w:val="00593388"/>
    <w:rsid w:val="005A21C5"/>
    <w:rsid w:val="005A2D53"/>
    <w:rsid w:val="005A41E8"/>
    <w:rsid w:val="005A5AAF"/>
    <w:rsid w:val="005B41A3"/>
    <w:rsid w:val="005B4A5F"/>
    <w:rsid w:val="005C46C9"/>
    <w:rsid w:val="005C57BD"/>
    <w:rsid w:val="005D2366"/>
    <w:rsid w:val="005D40AA"/>
    <w:rsid w:val="005E34C3"/>
    <w:rsid w:val="005F08F2"/>
    <w:rsid w:val="005F39DC"/>
    <w:rsid w:val="0061268A"/>
    <w:rsid w:val="00614ACF"/>
    <w:rsid w:val="006169CA"/>
    <w:rsid w:val="00616BEB"/>
    <w:rsid w:val="006231DA"/>
    <w:rsid w:val="0062446F"/>
    <w:rsid w:val="0062613C"/>
    <w:rsid w:val="0063247F"/>
    <w:rsid w:val="00634864"/>
    <w:rsid w:val="0064408A"/>
    <w:rsid w:val="00647EB0"/>
    <w:rsid w:val="00657DB5"/>
    <w:rsid w:val="006758E3"/>
    <w:rsid w:val="006761DD"/>
    <w:rsid w:val="00680F1B"/>
    <w:rsid w:val="00685150"/>
    <w:rsid w:val="00686661"/>
    <w:rsid w:val="006917A3"/>
    <w:rsid w:val="00691D65"/>
    <w:rsid w:val="00695EE8"/>
    <w:rsid w:val="006B1263"/>
    <w:rsid w:val="006B441A"/>
    <w:rsid w:val="006C2E33"/>
    <w:rsid w:val="006C72E6"/>
    <w:rsid w:val="006D34A4"/>
    <w:rsid w:val="006D3609"/>
    <w:rsid w:val="006E7F09"/>
    <w:rsid w:val="00702352"/>
    <w:rsid w:val="0070702C"/>
    <w:rsid w:val="007078C3"/>
    <w:rsid w:val="00723FD0"/>
    <w:rsid w:val="00731444"/>
    <w:rsid w:val="007318A9"/>
    <w:rsid w:val="00744288"/>
    <w:rsid w:val="00752763"/>
    <w:rsid w:val="00762AFE"/>
    <w:rsid w:val="00763CAF"/>
    <w:rsid w:val="00765164"/>
    <w:rsid w:val="00772470"/>
    <w:rsid w:val="00772A70"/>
    <w:rsid w:val="00787310"/>
    <w:rsid w:val="0079078B"/>
    <w:rsid w:val="00794DDA"/>
    <w:rsid w:val="007A09C7"/>
    <w:rsid w:val="007B0A7B"/>
    <w:rsid w:val="007B6DBE"/>
    <w:rsid w:val="007C1186"/>
    <w:rsid w:val="007C1C3F"/>
    <w:rsid w:val="007C6285"/>
    <w:rsid w:val="007D1FDF"/>
    <w:rsid w:val="007D7EDE"/>
    <w:rsid w:val="007E0668"/>
    <w:rsid w:val="007E1EB7"/>
    <w:rsid w:val="007F44C2"/>
    <w:rsid w:val="008012B1"/>
    <w:rsid w:val="00802893"/>
    <w:rsid w:val="008322BF"/>
    <w:rsid w:val="008378FF"/>
    <w:rsid w:val="00846060"/>
    <w:rsid w:val="00851B24"/>
    <w:rsid w:val="00854DCE"/>
    <w:rsid w:val="00860479"/>
    <w:rsid w:val="00860979"/>
    <w:rsid w:val="008611C5"/>
    <w:rsid w:val="00862EE9"/>
    <w:rsid w:val="00866EB2"/>
    <w:rsid w:val="008677C3"/>
    <w:rsid w:val="00872A31"/>
    <w:rsid w:val="0088492C"/>
    <w:rsid w:val="00894859"/>
    <w:rsid w:val="008B0B4C"/>
    <w:rsid w:val="008B63E0"/>
    <w:rsid w:val="008C2F6B"/>
    <w:rsid w:val="008C4D62"/>
    <w:rsid w:val="008C7322"/>
    <w:rsid w:val="008D4885"/>
    <w:rsid w:val="008F48D5"/>
    <w:rsid w:val="00904E70"/>
    <w:rsid w:val="009061E6"/>
    <w:rsid w:val="00913DA4"/>
    <w:rsid w:val="00921B7C"/>
    <w:rsid w:val="00943377"/>
    <w:rsid w:val="0094433A"/>
    <w:rsid w:val="00945F9D"/>
    <w:rsid w:val="009565E1"/>
    <w:rsid w:val="009735FB"/>
    <w:rsid w:val="00976435"/>
    <w:rsid w:val="00977CEE"/>
    <w:rsid w:val="0098040B"/>
    <w:rsid w:val="0099673E"/>
    <w:rsid w:val="009A58C6"/>
    <w:rsid w:val="009B1C78"/>
    <w:rsid w:val="009C312D"/>
    <w:rsid w:val="009C5309"/>
    <w:rsid w:val="009D0ADB"/>
    <w:rsid w:val="009D1771"/>
    <w:rsid w:val="009D79FA"/>
    <w:rsid w:val="009F2767"/>
    <w:rsid w:val="009F65A2"/>
    <w:rsid w:val="00A010BF"/>
    <w:rsid w:val="00A03B45"/>
    <w:rsid w:val="00A11F41"/>
    <w:rsid w:val="00A206D6"/>
    <w:rsid w:val="00A3246E"/>
    <w:rsid w:val="00A42519"/>
    <w:rsid w:val="00A60099"/>
    <w:rsid w:val="00A71E99"/>
    <w:rsid w:val="00A73A38"/>
    <w:rsid w:val="00A81BA5"/>
    <w:rsid w:val="00AA0422"/>
    <w:rsid w:val="00AA73D5"/>
    <w:rsid w:val="00AA7C49"/>
    <w:rsid w:val="00AB1BBA"/>
    <w:rsid w:val="00AC6160"/>
    <w:rsid w:val="00AD16E1"/>
    <w:rsid w:val="00AE0ABA"/>
    <w:rsid w:val="00AE1616"/>
    <w:rsid w:val="00AE39C5"/>
    <w:rsid w:val="00AE467F"/>
    <w:rsid w:val="00AE602A"/>
    <w:rsid w:val="00AF18FE"/>
    <w:rsid w:val="00AF6654"/>
    <w:rsid w:val="00B27CAB"/>
    <w:rsid w:val="00B3054F"/>
    <w:rsid w:val="00B32211"/>
    <w:rsid w:val="00B33D02"/>
    <w:rsid w:val="00B43186"/>
    <w:rsid w:val="00B44966"/>
    <w:rsid w:val="00B45E13"/>
    <w:rsid w:val="00B47C18"/>
    <w:rsid w:val="00B51FB2"/>
    <w:rsid w:val="00B529FB"/>
    <w:rsid w:val="00B547C7"/>
    <w:rsid w:val="00B571D9"/>
    <w:rsid w:val="00B769F6"/>
    <w:rsid w:val="00B817DC"/>
    <w:rsid w:val="00B97793"/>
    <w:rsid w:val="00BA390A"/>
    <w:rsid w:val="00BB1812"/>
    <w:rsid w:val="00BB5296"/>
    <w:rsid w:val="00BC12BB"/>
    <w:rsid w:val="00BC304F"/>
    <w:rsid w:val="00BC569E"/>
    <w:rsid w:val="00BD14A5"/>
    <w:rsid w:val="00BD5BDE"/>
    <w:rsid w:val="00BD605F"/>
    <w:rsid w:val="00BE35F1"/>
    <w:rsid w:val="00BE63A0"/>
    <w:rsid w:val="00BE6C8B"/>
    <w:rsid w:val="00BF0E06"/>
    <w:rsid w:val="00BF539B"/>
    <w:rsid w:val="00C035FD"/>
    <w:rsid w:val="00C03A9D"/>
    <w:rsid w:val="00C06F7B"/>
    <w:rsid w:val="00C15F19"/>
    <w:rsid w:val="00C16669"/>
    <w:rsid w:val="00C216B1"/>
    <w:rsid w:val="00C30013"/>
    <w:rsid w:val="00C3062E"/>
    <w:rsid w:val="00C36288"/>
    <w:rsid w:val="00C41295"/>
    <w:rsid w:val="00C435F6"/>
    <w:rsid w:val="00C457CB"/>
    <w:rsid w:val="00C47960"/>
    <w:rsid w:val="00C50A80"/>
    <w:rsid w:val="00C56154"/>
    <w:rsid w:val="00C5755C"/>
    <w:rsid w:val="00C630AA"/>
    <w:rsid w:val="00C71E12"/>
    <w:rsid w:val="00C72DFE"/>
    <w:rsid w:val="00C75424"/>
    <w:rsid w:val="00C8035C"/>
    <w:rsid w:val="00C81187"/>
    <w:rsid w:val="00C83996"/>
    <w:rsid w:val="00C86162"/>
    <w:rsid w:val="00CA3805"/>
    <w:rsid w:val="00CA3D7B"/>
    <w:rsid w:val="00CA3F0B"/>
    <w:rsid w:val="00CA645A"/>
    <w:rsid w:val="00CC0323"/>
    <w:rsid w:val="00CC5969"/>
    <w:rsid w:val="00CC7BBA"/>
    <w:rsid w:val="00CD14C8"/>
    <w:rsid w:val="00CD6F0C"/>
    <w:rsid w:val="00CE0359"/>
    <w:rsid w:val="00CE3C13"/>
    <w:rsid w:val="00CE5643"/>
    <w:rsid w:val="00CE67D9"/>
    <w:rsid w:val="00CF1E79"/>
    <w:rsid w:val="00D27E00"/>
    <w:rsid w:val="00D339DF"/>
    <w:rsid w:val="00D35C56"/>
    <w:rsid w:val="00D36F05"/>
    <w:rsid w:val="00D41AE6"/>
    <w:rsid w:val="00D41DD6"/>
    <w:rsid w:val="00D4238A"/>
    <w:rsid w:val="00D536DE"/>
    <w:rsid w:val="00D558CE"/>
    <w:rsid w:val="00D5732D"/>
    <w:rsid w:val="00D6138E"/>
    <w:rsid w:val="00D63C03"/>
    <w:rsid w:val="00D72EAA"/>
    <w:rsid w:val="00D77332"/>
    <w:rsid w:val="00D828BB"/>
    <w:rsid w:val="00D84DEF"/>
    <w:rsid w:val="00D850AB"/>
    <w:rsid w:val="00D854BA"/>
    <w:rsid w:val="00D9272D"/>
    <w:rsid w:val="00D960AC"/>
    <w:rsid w:val="00DA1E2A"/>
    <w:rsid w:val="00DC02EA"/>
    <w:rsid w:val="00DC3B98"/>
    <w:rsid w:val="00DC52C1"/>
    <w:rsid w:val="00DC7D84"/>
    <w:rsid w:val="00DD0FE9"/>
    <w:rsid w:val="00DD2624"/>
    <w:rsid w:val="00DD54C0"/>
    <w:rsid w:val="00DD744C"/>
    <w:rsid w:val="00DE08E4"/>
    <w:rsid w:val="00DE1E42"/>
    <w:rsid w:val="00DE4CBD"/>
    <w:rsid w:val="00DF730A"/>
    <w:rsid w:val="00E05F1B"/>
    <w:rsid w:val="00E178E7"/>
    <w:rsid w:val="00E25A1D"/>
    <w:rsid w:val="00E40548"/>
    <w:rsid w:val="00E40F87"/>
    <w:rsid w:val="00E41988"/>
    <w:rsid w:val="00E43143"/>
    <w:rsid w:val="00E45DE4"/>
    <w:rsid w:val="00E62A67"/>
    <w:rsid w:val="00E661C3"/>
    <w:rsid w:val="00E67F4A"/>
    <w:rsid w:val="00E8300C"/>
    <w:rsid w:val="00E85F24"/>
    <w:rsid w:val="00E90F59"/>
    <w:rsid w:val="00E92DF7"/>
    <w:rsid w:val="00E948D7"/>
    <w:rsid w:val="00EA0927"/>
    <w:rsid w:val="00EB78AB"/>
    <w:rsid w:val="00EC76BB"/>
    <w:rsid w:val="00ED4405"/>
    <w:rsid w:val="00ED4E08"/>
    <w:rsid w:val="00EF3965"/>
    <w:rsid w:val="00F02B34"/>
    <w:rsid w:val="00F05B6C"/>
    <w:rsid w:val="00F0687D"/>
    <w:rsid w:val="00F0690B"/>
    <w:rsid w:val="00F112DA"/>
    <w:rsid w:val="00F1417F"/>
    <w:rsid w:val="00F2103D"/>
    <w:rsid w:val="00F2321F"/>
    <w:rsid w:val="00F27F6E"/>
    <w:rsid w:val="00F30E2D"/>
    <w:rsid w:val="00F4013F"/>
    <w:rsid w:val="00F4067F"/>
    <w:rsid w:val="00F424B4"/>
    <w:rsid w:val="00F47C50"/>
    <w:rsid w:val="00F66156"/>
    <w:rsid w:val="00F676FE"/>
    <w:rsid w:val="00F86040"/>
    <w:rsid w:val="00F90240"/>
    <w:rsid w:val="00F903FF"/>
    <w:rsid w:val="00F94540"/>
    <w:rsid w:val="00FA0072"/>
    <w:rsid w:val="00FA25A0"/>
    <w:rsid w:val="00FA3574"/>
    <w:rsid w:val="00FA4173"/>
    <w:rsid w:val="00FB4FF7"/>
    <w:rsid w:val="00FB599D"/>
    <w:rsid w:val="00FC0E37"/>
    <w:rsid w:val="00FC3E82"/>
    <w:rsid w:val="00FD3E88"/>
    <w:rsid w:val="00FD597A"/>
    <w:rsid w:val="00FE1513"/>
    <w:rsid w:val="00FE396D"/>
    <w:rsid w:val="01354C81"/>
    <w:rsid w:val="01411A2E"/>
    <w:rsid w:val="01632F44"/>
    <w:rsid w:val="016D0D42"/>
    <w:rsid w:val="01C872E5"/>
    <w:rsid w:val="01E72148"/>
    <w:rsid w:val="0274134C"/>
    <w:rsid w:val="029B6CDC"/>
    <w:rsid w:val="02BF7FBC"/>
    <w:rsid w:val="02DA04C9"/>
    <w:rsid w:val="02E472F0"/>
    <w:rsid w:val="02E80AFB"/>
    <w:rsid w:val="02FB62A6"/>
    <w:rsid w:val="030A5020"/>
    <w:rsid w:val="0342249A"/>
    <w:rsid w:val="03447F0B"/>
    <w:rsid w:val="035F1406"/>
    <w:rsid w:val="037E0AD6"/>
    <w:rsid w:val="03C435C6"/>
    <w:rsid w:val="03CE6123"/>
    <w:rsid w:val="03F01D40"/>
    <w:rsid w:val="04355789"/>
    <w:rsid w:val="04587071"/>
    <w:rsid w:val="0475408C"/>
    <w:rsid w:val="04781B00"/>
    <w:rsid w:val="04A42800"/>
    <w:rsid w:val="04B93B18"/>
    <w:rsid w:val="04C7688F"/>
    <w:rsid w:val="057D61D6"/>
    <w:rsid w:val="059119BE"/>
    <w:rsid w:val="05C34F04"/>
    <w:rsid w:val="06475B39"/>
    <w:rsid w:val="064E08C5"/>
    <w:rsid w:val="067526A6"/>
    <w:rsid w:val="06D23851"/>
    <w:rsid w:val="06DE23D4"/>
    <w:rsid w:val="06E85355"/>
    <w:rsid w:val="06F421CB"/>
    <w:rsid w:val="070D50F9"/>
    <w:rsid w:val="071B2369"/>
    <w:rsid w:val="073E3C53"/>
    <w:rsid w:val="0756063C"/>
    <w:rsid w:val="07827CB1"/>
    <w:rsid w:val="07AF31B5"/>
    <w:rsid w:val="07C60ABC"/>
    <w:rsid w:val="07E32463"/>
    <w:rsid w:val="080D3EE8"/>
    <w:rsid w:val="083266CA"/>
    <w:rsid w:val="08736678"/>
    <w:rsid w:val="08736EB4"/>
    <w:rsid w:val="08784FDD"/>
    <w:rsid w:val="088F217E"/>
    <w:rsid w:val="08997E82"/>
    <w:rsid w:val="08A04683"/>
    <w:rsid w:val="08FE6611"/>
    <w:rsid w:val="096400C2"/>
    <w:rsid w:val="097843ED"/>
    <w:rsid w:val="09B61F33"/>
    <w:rsid w:val="0A0F6DF5"/>
    <w:rsid w:val="0A34463B"/>
    <w:rsid w:val="0A4B7A65"/>
    <w:rsid w:val="0A894204"/>
    <w:rsid w:val="0AB019D9"/>
    <w:rsid w:val="0AD775AC"/>
    <w:rsid w:val="0ADD14FB"/>
    <w:rsid w:val="0BA1028B"/>
    <w:rsid w:val="0BB5088F"/>
    <w:rsid w:val="0BF24BDF"/>
    <w:rsid w:val="0BF41E3F"/>
    <w:rsid w:val="0C242CDC"/>
    <w:rsid w:val="0C26419C"/>
    <w:rsid w:val="0C4A3167"/>
    <w:rsid w:val="0C7932B7"/>
    <w:rsid w:val="0C8A345E"/>
    <w:rsid w:val="0C8D1FC9"/>
    <w:rsid w:val="0CB21E82"/>
    <w:rsid w:val="0CCE220C"/>
    <w:rsid w:val="0D1B3D49"/>
    <w:rsid w:val="0D430124"/>
    <w:rsid w:val="0D6D2708"/>
    <w:rsid w:val="0D910AF3"/>
    <w:rsid w:val="0DB502AD"/>
    <w:rsid w:val="0DE371B4"/>
    <w:rsid w:val="0E120FEC"/>
    <w:rsid w:val="0E142E14"/>
    <w:rsid w:val="0E8E6E88"/>
    <w:rsid w:val="0EA224A2"/>
    <w:rsid w:val="0EC84B01"/>
    <w:rsid w:val="0F0B6F66"/>
    <w:rsid w:val="0F2C202C"/>
    <w:rsid w:val="0F3334EC"/>
    <w:rsid w:val="0F41543A"/>
    <w:rsid w:val="0F4E4CC9"/>
    <w:rsid w:val="0F4F57FE"/>
    <w:rsid w:val="0F5653CD"/>
    <w:rsid w:val="0F793F22"/>
    <w:rsid w:val="0FA63513"/>
    <w:rsid w:val="0FA77C86"/>
    <w:rsid w:val="0FCE7CD5"/>
    <w:rsid w:val="0FE947D3"/>
    <w:rsid w:val="10122BD4"/>
    <w:rsid w:val="102C0D70"/>
    <w:rsid w:val="107A66DD"/>
    <w:rsid w:val="10C316A6"/>
    <w:rsid w:val="10CB62A8"/>
    <w:rsid w:val="10EC36D4"/>
    <w:rsid w:val="113B220D"/>
    <w:rsid w:val="118E3097"/>
    <w:rsid w:val="119A5202"/>
    <w:rsid w:val="11A55542"/>
    <w:rsid w:val="11AE597C"/>
    <w:rsid w:val="11F76A38"/>
    <w:rsid w:val="120E0CEC"/>
    <w:rsid w:val="12184057"/>
    <w:rsid w:val="12262BA2"/>
    <w:rsid w:val="123253E8"/>
    <w:rsid w:val="125A0526"/>
    <w:rsid w:val="12672D90"/>
    <w:rsid w:val="127C4C42"/>
    <w:rsid w:val="12B64336"/>
    <w:rsid w:val="132D675B"/>
    <w:rsid w:val="13545556"/>
    <w:rsid w:val="1378324E"/>
    <w:rsid w:val="13847ED4"/>
    <w:rsid w:val="139F3AAD"/>
    <w:rsid w:val="13A15E86"/>
    <w:rsid w:val="13A36D90"/>
    <w:rsid w:val="13E23F33"/>
    <w:rsid w:val="14622E4E"/>
    <w:rsid w:val="1484465E"/>
    <w:rsid w:val="14990D78"/>
    <w:rsid w:val="151614F8"/>
    <w:rsid w:val="151A3BF4"/>
    <w:rsid w:val="152007C5"/>
    <w:rsid w:val="15595889"/>
    <w:rsid w:val="15651A2B"/>
    <w:rsid w:val="157A3A66"/>
    <w:rsid w:val="15A754B9"/>
    <w:rsid w:val="15AE531B"/>
    <w:rsid w:val="162505A9"/>
    <w:rsid w:val="16461969"/>
    <w:rsid w:val="165C0A4B"/>
    <w:rsid w:val="16620330"/>
    <w:rsid w:val="166D771C"/>
    <w:rsid w:val="167434D9"/>
    <w:rsid w:val="16851454"/>
    <w:rsid w:val="16D118DF"/>
    <w:rsid w:val="16E543E7"/>
    <w:rsid w:val="17012091"/>
    <w:rsid w:val="171E3A61"/>
    <w:rsid w:val="17344B0D"/>
    <w:rsid w:val="17397FAC"/>
    <w:rsid w:val="17755D91"/>
    <w:rsid w:val="17C60003"/>
    <w:rsid w:val="181042E7"/>
    <w:rsid w:val="18571E0E"/>
    <w:rsid w:val="18CA2AC8"/>
    <w:rsid w:val="18D56AED"/>
    <w:rsid w:val="18E048E5"/>
    <w:rsid w:val="19287A4C"/>
    <w:rsid w:val="19393A07"/>
    <w:rsid w:val="193946CD"/>
    <w:rsid w:val="19546D29"/>
    <w:rsid w:val="19582C19"/>
    <w:rsid w:val="196C1720"/>
    <w:rsid w:val="198446DC"/>
    <w:rsid w:val="198916BF"/>
    <w:rsid w:val="19A77C39"/>
    <w:rsid w:val="19C229D7"/>
    <w:rsid w:val="19EA6AAF"/>
    <w:rsid w:val="1A2507DD"/>
    <w:rsid w:val="1A604125"/>
    <w:rsid w:val="1A697594"/>
    <w:rsid w:val="1A936682"/>
    <w:rsid w:val="1B04518D"/>
    <w:rsid w:val="1B134D8F"/>
    <w:rsid w:val="1B165FD3"/>
    <w:rsid w:val="1B3470A4"/>
    <w:rsid w:val="1B413BFB"/>
    <w:rsid w:val="1B533D2D"/>
    <w:rsid w:val="1BBB516C"/>
    <w:rsid w:val="1C2E4966"/>
    <w:rsid w:val="1C315387"/>
    <w:rsid w:val="1CCA2641"/>
    <w:rsid w:val="1CF25FEE"/>
    <w:rsid w:val="1D02759A"/>
    <w:rsid w:val="1D0D69DD"/>
    <w:rsid w:val="1D130AC5"/>
    <w:rsid w:val="1D1E77F8"/>
    <w:rsid w:val="1D7F0B58"/>
    <w:rsid w:val="1D941B12"/>
    <w:rsid w:val="1DC3642B"/>
    <w:rsid w:val="1DCB67A2"/>
    <w:rsid w:val="1E384C45"/>
    <w:rsid w:val="1E56710E"/>
    <w:rsid w:val="1E6B3F9A"/>
    <w:rsid w:val="1E732C0C"/>
    <w:rsid w:val="1EA32E44"/>
    <w:rsid w:val="1F0C1F0E"/>
    <w:rsid w:val="1F1D2C28"/>
    <w:rsid w:val="1F3E77EC"/>
    <w:rsid w:val="1F505606"/>
    <w:rsid w:val="1F6E53DE"/>
    <w:rsid w:val="1F846A41"/>
    <w:rsid w:val="1FA22279"/>
    <w:rsid w:val="1FA53B84"/>
    <w:rsid w:val="1FCE269C"/>
    <w:rsid w:val="200D7802"/>
    <w:rsid w:val="204C04C4"/>
    <w:rsid w:val="207D0848"/>
    <w:rsid w:val="208070AE"/>
    <w:rsid w:val="20983709"/>
    <w:rsid w:val="20A552ED"/>
    <w:rsid w:val="212D1682"/>
    <w:rsid w:val="21446AAF"/>
    <w:rsid w:val="21997A25"/>
    <w:rsid w:val="21B21E22"/>
    <w:rsid w:val="21DC4EBF"/>
    <w:rsid w:val="21F62822"/>
    <w:rsid w:val="22104932"/>
    <w:rsid w:val="22345425"/>
    <w:rsid w:val="225C2CA5"/>
    <w:rsid w:val="227D70DD"/>
    <w:rsid w:val="22AC5019"/>
    <w:rsid w:val="22E744D4"/>
    <w:rsid w:val="22EB1DBF"/>
    <w:rsid w:val="2318643B"/>
    <w:rsid w:val="233B1B9E"/>
    <w:rsid w:val="235D3D10"/>
    <w:rsid w:val="235F406A"/>
    <w:rsid w:val="23C07E48"/>
    <w:rsid w:val="23DA7B95"/>
    <w:rsid w:val="24414A2E"/>
    <w:rsid w:val="24802BBA"/>
    <w:rsid w:val="2482562F"/>
    <w:rsid w:val="24A03363"/>
    <w:rsid w:val="24AC2084"/>
    <w:rsid w:val="252861AB"/>
    <w:rsid w:val="25BC6951"/>
    <w:rsid w:val="25DE4318"/>
    <w:rsid w:val="25E82205"/>
    <w:rsid w:val="25FF1B34"/>
    <w:rsid w:val="262D756B"/>
    <w:rsid w:val="26390487"/>
    <w:rsid w:val="265E1D63"/>
    <w:rsid w:val="266748F5"/>
    <w:rsid w:val="267D393C"/>
    <w:rsid w:val="268362C1"/>
    <w:rsid w:val="26920D6D"/>
    <w:rsid w:val="26AA7D7C"/>
    <w:rsid w:val="26DF610C"/>
    <w:rsid w:val="26E02025"/>
    <w:rsid w:val="26E3377A"/>
    <w:rsid w:val="2710398E"/>
    <w:rsid w:val="27B05212"/>
    <w:rsid w:val="27BA7FC0"/>
    <w:rsid w:val="27C35735"/>
    <w:rsid w:val="27EE683F"/>
    <w:rsid w:val="28123FDA"/>
    <w:rsid w:val="28203421"/>
    <w:rsid w:val="282A2D36"/>
    <w:rsid w:val="283E0F06"/>
    <w:rsid w:val="284759D2"/>
    <w:rsid w:val="28AA791F"/>
    <w:rsid w:val="28DB7A46"/>
    <w:rsid w:val="28E80697"/>
    <w:rsid w:val="28F521FA"/>
    <w:rsid w:val="29012192"/>
    <w:rsid w:val="293D379C"/>
    <w:rsid w:val="294D5C06"/>
    <w:rsid w:val="298360A3"/>
    <w:rsid w:val="29857993"/>
    <w:rsid w:val="29A671D2"/>
    <w:rsid w:val="29B644B4"/>
    <w:rsid w:val="29D5273D"/>
    <w:rsid w:val="29EF47C0"/>
    <w:rsid w:val="2A023E12"/>
    <w:rsid w:val="2A0504F1"/>
    <w:rsid w:val="2A067935"/>
    <w:rsid w:val="2A277A55"/>
    <w:rsid w:val="2A463300"/>
    <w:rsid w:val="2A4B19FA"/>
    <w:rsid w:val="2A7F3244"/>
    <w:rsid w:val="2AB843B2"/>
    <w:rsid w:val="2AB96529"/>
    <w:rsid w:val="2AC33130"/>
    <w:rsid w:val="2AC62C21"/>
    <w:rsid w:val="2AD2781A"/>
    <w:rsid w:val="2AE84450"/>
    <w:rsid w:val="2B395AE8"/>
    <w:rsid w:val="2B3B6939"/>
    <w:rsid w:val="2B3C5D80"/>
    <w:rsid w:val="2B522DE2"/>
    <w:rsid w:val="2B6C7935"/>
    <w:rsid w:val="2B7462A4"/>
    <w:rsid w:val="2BA8232C"/>
    <w:rsid w:val="2BAE55C8"/>
    <w:rsid w:val="2BEF45B9"/>
    <w:rsid w:val="2C0A37C2"/>
    <w:rsid w:val="2C12637B"/>
    <w:rsid w:val="2C2C723F"/>
    <w:rsid w:val="2C54143E"/>
    <w:rsid w:val="2C5E1024"/>
    <w:rsid w:val="2CD31625"/>
    <w:rsid w:val="2CFC0B7C"/>
    <w:rsid w:val="2D1618F3"/>
    <w:rsid w:val="2D1C0183"/>
    <w:rsid w:val="2D352E6C"/>
    <w:rsid w:val="2D45718D"/>
    <w:rsid w:val="2D6618D7"/>
    <w:rsid w:val="2D6D1242"/>
    <w:rsid w:val="2D7361BF"/>
    <w:rsid w:val="2D835359"/>
    <w:rsid w:val="2D9B4686"/>
    <w:rsid w:val="2D9E04E6"/>
    <w:rsid w:val="2DA77211"/>
    <w:rsid w:val="2DE852AB"/>
    <w:rsid w:val="2DED3718"/>
    <w:rsid w:val="2DF83A39"/>
    <w:rsid w:val="2E066270"/>
    <w:rsid w:val="2E452C51"/>
    <w:rsid w:val="2E4F656B"/>
    <w:rsid w:val="2E52101B"/>
    <w:rsid w:val="2EBA2A9C"/>
    <w:rsid w:val="2EEE5325"/>
    <w:rsid w:val="2F2539BC"/>
    <w:rsid w:val="2F576F9E"/>
    <w:rsid w:val="2F5D1C06"/>
    <w:rsid w:val="2F951675"/>
    <w:rsid w:val="2F967065"/>
    <w:rsid w:val="2FD951A4"/>
    <w:rsid w:val="305B7FDF"/>
    <w:rsid w:val="307526C4"/>
    <w:rsid w:val="308551D3"/>
    <w:rsid w:val="30B8125D"/>
    <w:rsid w:val="30B97179"/>
    <w:rsid w:val="30C714A1"/>
    <w:rsid w:val="30DA6E52"/>
    <w:rsid w:val="30ED4CB4"/>
    <w:rsid w:val="30EE2C0A"/>
    <w:rsid w:val="31184E4B"/>
    <w:rsid w:val="31434BE6"/>
    <w:rsid w:val="3178115F"/>
    <w:rsid w:val="31EB503D"/>
    <w:rsid w:val="320867D5"/>
    <w:rsid w:val="322A479C"/>
    <w:rsid w:val="327456E7"/>
    <w:rsid w:val="32781DCF"/>
    <w:rsid w:val="32A63D5B"/>
    <w:rsid w:val="3307517A"/>
    <w:rsid w:val="331C1508"/>
    <w:rsid w:val="33393492"/>
    <w:rsid w:val="333F1F79"/>
    <w:rsid w:val="337764E5"/>
    <w:rsid w:val="3394378E"/>
    <w:rsid w:val="339D76A0"/>
    <w:rsid w:val="3439687C"/>
    <w:rsid w:val="347A11FE"/>
    <w:rsid w:val="34AF777C"/>
    <w:rsid w:val="35442C49"/>
    <w:rsid w:val="354F148D"/>
    <w:rsid w:val="35503633"/>
    <w:rsid w:val="35523A2F"/>
    <w:rsid w:val="35702A72"/>
    <w:rsid w:val="35722008"/>
    <w:rsid w:val="35A818A1"/>
    <w:rsid w:val="360D5B81"/>
    <w:rsid w:val="3616123F"/>
    <w:rsid w:val="363422CF"/>
    <w:rsid w:val="367A6FE2"/>
    <w:rsid w:val="369664CE"/>
    <w:rsid w:val="36A209E6"/>
    <w:rsid w:val="36B10CCA"/>
    <w:rsid w:val="36E103B8"/>
    <w:rsid w:val="37085176"/>
    <w:rsid w:val="370D6A7F"/>
    <w:rsid w:val="37173543"/>
    <w:rsid w:val="37210348"/>
    <w:rsid w:val="372463D9"/>
    <w:rsid w:val="37325CD8"/>
    <w:rsid w:val="37901CE1"/>
    <w:rsid w:val="37A442EA"/>
    <w:rsid w:val="37CE7FE9"/>
    <w:rsid w:val="37E07E21"/>
    <w:rsid w:val="3805726B"/>
    <w:rsid w:val="380642AE"/>
    <w:rsid w:val="38150734"/>
    <w:rsid w:val="38161770"/>
    <w:rsid w:val="383D5364"/>
    <w:rsid w:val="384308EB"/>
    <w:rsid w:val="3847031B"/>
    <w:rsid w:val="38542CE2"/>
    <w:rsid w:val="38CD563D"/>
    <w:rsid w:val="39103F17"/>
    <w:rsid w:val="393B5858"/>
    <w:rsid w:val="395849AE"/>
    <w:rsid w:val="395F1B58"/>
    <w:rsid w:val="39CE03FA"/>
    <w:rsid w:val="39D24A3A"/>
    <w:rsid w:val="39FD028B"/>
    <w:rsid w:val="3A0C1E8F"/>
    <w:rsid w:val="3A0C2D30"/>
    <w:rsid w:val="3A0D43C8"/>
    <w:rsid w:val="3A1A6FAF"/>
    <w:rsid w:val="3A460B03"/>
    <w:rsid w:val="3AC86541"/>
    <w:rsid w:val="3AF215A9"/>
    <w:rsid w:val="3AF43DC6"/>
    <w:rsid w:val="3B5A5CC2"/>
    <w:rsid w:val="3BA45C41"/>
    <w:rsid w:val="3BDD426E"/>
    <w:rsid w:val="3C30439E"/>
    <w:rsid w:val="3C3F738A"/>
    <w:rsid w:val="3C6C047F"/>
    <w:rsid w:val="3C93387D"/>
    <w:rsid w:val="3CC77283"/>
    <w:rsid w:val="3D1A6D1F"/>
    <w:rsid w:val="3D342EE9"/>
    <w:rsid w:val="3DB95151"/>
    <w:rsid w:val="3DE34BDC"/>
    <w:rsid w:val="3E2413DC"/>
    <w:rsid w:val="3E5B7C8E"/>
    <w:rsid w:val="3E8B229B"/>
    <w:rsid w:val="3EE8756A"/>
    <w:rsid w:val="3EE91776"/>
    <w:rsid w:val="3EFE6774"/>
    <w:rsid w:val="3F01789A"/>
    <w:rsid w:val="3F33019B"/>
    <w:rsid w:val="3F7A3AC2"/>
    <w:rsid w:val="3F800D50"/>
    <w:rsid w:val="3F9A39D6"/>
    <w:rsid w:val="3FF57DD8"/>
    <w:rsid w:val="3FF76880"/>
    <w:rsid w:val="401C20DA"/>
    <w:rsid w:val="407C5E04"/>
    <w:rsid w:val="40B75CFB"/>
    <w:rsid w:val="40C90EC3"/>
    <w:rsid w:val="40D92AB3"/>
    <w:rsid w:val="41160A2F"/>
    <w:rsid w:val="411969A8"/>
    <w:rsid w:val="413D3991"/>
    <w:rsid w:val="4155021C"/>
    <w:rsid w:val="41631203"/>
    <w:rsid w:val="41730A3E"/>
    <w:rsid w:val="41A9216B"/>
    <w:rsid w:val="41BF38D3"/>
    <w:rsid w:val="41E71276"/>
    <w:rsid w:val="42017C74"/>
    <w:rsid w:val="42580A62"/>
    <w:rsid w:val="42901FA1"/>
    <w:rsid w:val="42AD1653"/>
    <w:rsid w:val="42C770F1"/>
    <w:rsid w:val="42CC2C90"/>
    <w:rsid w:val="42DB1583"/>
    <w:rsid w:val="42FB7E0C"/>
    <w:rsid w:val="43310147"/>
    <w:rsid w:val="436C101C"/>
    <w:rsid w:val="438126BD"/>
    <w:rsid w:val="438C17BB"/>
    <w:rsid w:val="43944FDF"/>
    <w:rsid w:val="43A3366A"/>
    <w:rsid w:val="43A86F10"/>
    <w:rsid w:val="43B43EEB"/>
    <w:rsid w:val="43C321DA"/>
    <w:rsid w:val="43F14D5A"/>
    <w:rsid w:val="440C56B3"/>
    <w:rsid w:val="443B24BB"/>
    <w:rsid w:val="449567C4"/>
    <w:rsid w:val="44B10EB8"/>
    <w:rsid w:val="44BC1FDE"/>
    <w:rsid w:val="44EB2F6A"/>
    <w:rsid w:val="44FB3748"/>
    <w:rsid w:val="452406C7"/>
    <w:rsid w:val="453A7028"/>
    <w:rsid w:val="45563B41"/>
    <w:rsid w:val="455947D7"/>
    <w:rsid w:val="45BE16E7"/>
    <w:rsid w:val="45C876C6"/>
    <w:rsid w:val="45CC6395"/>
    <w:rsid w:val="46007E61"/>
    <w:rsid w:val="461B4C4B"/>
    <w:rsid w:val="461E3796"/>
    <w:rsid w:val="462E79C8"/>
    <w:rsid w:val="46354FBB"/>
    <w:rsid w:val="469F1C6D"/>
    <w:rsid w:val="469F2B73"/>
    <w:rsid w:val="46A736A3"/>
    <w:rsid w:val="46D537C4"/>
    <w:rsid w:val="472E76DC"/>
    <w:rsid w:val="473D1F8E"/>
    <w:rsid w:val="474E6020"/>
    <w:rsid w:val="478D720A"/>
    <w:rsid w:val="479A385F"/>
    <w:rsid w:val="47A7592F"/>
    <w:rsid w:val="47E177B6"/>
    <w:rsid w:val="47FB62F9"/>
    <w:rsid w:val="4836474E"/>
    <w:rsid w:val="4857600A"/>
    <w:rsid w:val="4890453C"/>
    <w:rsid w:val="489226AD"/>
    <w:rsid w:val="492E7EB7"/>
    <w:rsid w:val="492F39AD"/>
    <w:rsid w:val="49302476"/>
    <w:rsid w:val="49311B7C"/>
    <w:rsid w:val="49764E6B"/>
    <w:rsid w:val="497B07B5"/>
    <w:rsid w:val="498D1BFD"/>
    <w:rsid w:val="498D68FD"/>
    <w:rsid w:val="49DF1A1C"/>
    <w:rsid w:val="49E35145"/>
    <w:rsid w:val="4A365D03"/>
    <w:rsid w:val="4A47358E"/>
    <w:rsid w:val="4A74641B"/>
    <w:rsid w:val="4A8B175C"/>
    <w:rsid w:val="4AB8325C"/>
    <w:rsid w:val="4AD25F9C"/>
    <w:rsid w:val="4AEC6A41"/>
    <w:rsid w:val="4B077576"/>
    <w:rsid w:val="4B2B41E1"/>
    <w:rsid w:val="4B784964"/>
    <w:rsid w:val="4BFD03F9"/>
    <w:rsid w:val="4C094825"/>
    <w:rsid w:val="4C6C0CB5"/>
    <w:rsid w:val="4C742085"/>
    <w:rsid w:val="4C8D1B62"/>
    <w:rsid w:val="4C98286C"/>
    <w:rsid w:val="4CA17FBE"/>
    <w:rsid w:val="4CA71139"/>
    <w:rsid w:val="4CB8400F"/>
    <w:rsid w:val="4CC85AC0"/>
    <w:rsid w:val="4CCF07CB"/>
    <w:rsid w:val="4CE11C77"/>
    <w:rsid w:val="4D1B1236"/>
    <w:rsid w:val="4D7D1CA5"/>
    <w:rsid w:val="4D867CAE"/>
    <w:rsid w:val="4DE43FBB"/>
    <w:rsid w:val="4EBC0B78"/>
    <w:rsid w:val="4EBF176A"/>
    <w:rsid w:val="4ECD0934"/>
    <w:rsid w:val="4ED1778F"/>
    <w:rsid w:val="4EDA031A"/>
    <w:rsid w:val="4F166EC3"/>
    <w:rsid w:val="4F2B3761"/>
    <w:rsid w:val="4F454669"/>
    <w:rsid w:val="4F493C9D"/>
    <w:rsid w:val="4F636330"/>
    <w:rsid w:val="4F8D41E4"/>
    <w:rsid w:val="4F9C19A5"/>
    <w:rsid w:val="4FA7451F"/>
    <w:rsid w:val="4FAD1433"/>
    <w:rsid w:val="4FAE08F8"/>
    <w:rsid w:val="4FBB4D9F"/>
    <w:rsid w:val="4FBD3273"/>
    <w:rsid w:val="4FBF7ABB"/>
    <w:rsid w:val="4FE8384C"/>
    <w:rsid w:val="50452C73"/>
    <w:rsid w:val="50911215"/>
    <w:rsid w:val="50AD35D6"/>
    <w:rsid w:val="50BF233F"/>
    <w:rsid w:val="50E05E5D"/>
    <w:rsid w:val="50F1725A"/>
    <w:rsid w:val="511F7C30"/>
    <w:rsid w:val="51254095"/>
    <w:rsid w:val="512575FF"/>
    <w:rsid w:val="51347FD9"/>
    <w:rsid w:val="51370B7E"/>
    <w:rsid w:val="51416BBB"/>
    <w:rsid w:val="515521BE"/>
    <w:rsid w:val="515E0E54"/>
    <w:rsid w:val="51732A58"/>
    <w:rsid w:val="517E43D9"/>
    <w:rsid w:val="519304EB"/>
    <w:rsid w:val="51CB2747"/>
    <w:rsid w:val="51F900B7"/>
    <w:rsid w:val="52100918"/>
    <w:rsid w:val="5217598C"/>
    <w:rsid w:val="52491E25"/>
    <w:rsid w:val="527F5080"/>
    <w:rsid w:val="52805639"/>
    <w:rsid w:val="52D23AAC"/>
    <w:rsid w:val="52EC48B3"/>
    <w:rsid w:val="53000B16"/>
    <w:rsid w:val="5308359C"/>
    <w:rsid w:val="533E72E0"/>
    <w:rsid w:val="535527FD"/>
    <w:rsid w:val="53774F3B"/>
    <w:rsid w:val="53991F7F"/>
    <w:rsid w:val="53DB4775"/>
    <w:rsid w:val="54015FE5"/>
    <w:rsid w:val="54094F3E"/>
    <w:rsid w:val="541124D6"/>
    <w:rsid w:val="54302416"/>
    <w:rsid w:val="54615CCD"/>
    <w:rsid w:val="547B702D"/>
    <w:rsid w:val="549534E0"/>
    <w:rsid w:val="54996B2C"/>
    <w:rsid w:val="54B4411C"/>
    <w:rsid w:val="550C4344"/>
    <w:rsid w:val="553A73D2"/>
    <w:rsid w:val="55AF730D"/>
    <w:rsid w:val="55B03890"/>
    <w:rsid w:val="55F44AF2"/>
    <w:rsid w:val="563327D1"/>
    <w:rsid w:val="56917CE7"/>
    <w:rsid w:val="56AA3B78"/>
    <w:rsid w:val="56B15B87"/>
    <w:rsid w:val="56BD43D7"/>
    <w:rsid w:val="56CC256E"/>
    <w:rsid w:val="57151AE3"/>
    <w:rsid w:val="571815E7"/>
    <w:rsid w:val="571C193C"/>
    <w:rsid w:val="573467FA"/>
    <w:rsid w:val="57467522"/>
    <w:rsid w:val="574D0D1B"/>
    <w:rsid w:val="57A67FDC"/>
    <w:rsid w:val="57BD5228"/>
    <w:rsid w:val="580747E0"/>
    <w:rsid w:val="58147184"/>
    <w:rsid w:val="582E57DE"/>
    <w:rsid w:val="583B1C42"/>
    <w:rsid w:val="58500818"/>
    <w:rsid w:val="588C00F9"/>
    <w:rsid w:val="58A321C6"/>
    <w:rsid w:val="58E26287"/>
    <w:rsid w:val="59395B59"/>
    <w:rsid w:val="594035A5"/>
    <w:rsid w:val="5954770A"/>
    <w:rsid w:val="597579D6"/>
    <w:rsid w:val="5983442B"/>
    <w:rsid w:val="59DD01BD"/>
    <w:rsid w:val="5A236E98"/>
    <w:rsid w:val="5AAF7B72"/>
    <w:rsid w:val="5AC31789"/>
    <w:rsid w:val="5AFB2BEF"/>
    <w:rsid w:val="5B10566E"/>
    <w:rsid w:val="5B2A0CAE"/>
    <w:rsid w:val="5B3F5F54"/>
    <w:rsid w:val="5B4E75BA"/>
    <w:rsid w:val="5B904A8D"/>
    <w:rsid w:val="5BAA161F"/>
    <w:rsid w:val="5BB319FF"/>
    <w:rsid w:val="5C101B4B"/>
    <w:rsid w:val="5C1E5199"/>
    <w:rsid w:val="5C694448"/>
    <w:rsid w:val="5C805871"/>
    <w:rsid w:val="5CA90657"/>
    <w:rsid w:val="5D1C175E"/>
    <w:rsid w:val="5D2E5C59"/>
    <w:rsid w:val="5D344BAA"/>
    <w:rsid w:val="5D483DC3"/>
    <w:rsid w:val="5D577B4A"/>
    <w:rsid w:val="5D5F6439"/>
    <w:rsid w:val="5D667403"/>
    <w:rsid w:val="5D676327"/>
    <w:rsid w:val="5DA02A79"/>
    <w:rsid w:val="5DC32E6C"/>
    <w:rsid w:val="5DDD43EA"/>
    <w:rsid w:val="5DDE167C"/>
    <w:rsid w:val="5DE163E4"/>
    <w:rsid w:val="5DE768DD"/>
    <w:rsid w:val="5E167440"/>
    <w:rsid w:val="5E187D34"/>
    <w:rsid w:val="5E336664"/>
    <w:rsid w:val="5E597A02"/>
    <w:rsid w:val="5EA6764C"/>
    <w:rsid w:val="5EFB03E4"/>
    <w:rsid w:val="5EFC46B6"/>
    <w:rsid w:val="5EFC662F"/>
    <w:rsid w:val="5F1A7CAC"/>
    <w:rsid w:val="5F223BC2"/>
    <w:rsid w:val="5F356011"/>
    <w:rsid w:val="5F3C7D46"/>
    <w:rsid w:val="5F4A286C"/>
    <w:rsid w:val="5F506981"/>
    <w:rsid w:val="5F69359F"/>
    <w:rsid w:val="5F724741"/>
    <w:rsid w:val="5F7F2DC3"/>
    <w:rsid w:val="5F881E2C"/>
    <w:rsid w:val="5FD85943"/>
    <w:rsid w:val="5FE06049"/>
    <w:rsid w:val="5FEB0458"/>
    <w:rsid w:val="5FEC0E1C"/>
    <w:rsid w:val="600F66E0"/>
    <w:rsid w:val="60117F69"/>
    <w:rsid w:val="6038723C"/>
    <w:rsid w:val="605F09E4"/>
    <w:rsid w:val="609675A5"/>
    <w:rsid w:val="609808D1"/>
    <w:rsid w:val="60A07234"/>
    <w:rsid w:val="60A70429"/>
    <w:rsid w:val="60A76A75"/>
    <w:rsid w:val="60C70A47"/>
    <w:rsid w:val="60F85A28"/>
    <w:rsid w:val="611515BF"/>
    <w:rsid w:val="61913997"/>
    <w:rsid w:val="61BA1146"/>
    <w:rsid w:val="61DC1A7B"/>
    <w:rsid w:val="61DC5594"/>
    <w:rsid w:val="61F53810"/>
    <w:rsid w:val="62447798"/>
    <w:rsid w:val="62564EB0"/>
    <w:rsid w:val="6267055B"/>
    <w:rsid w:val="62685D90"/>
    <w:rsid w:val="626F05E5"/>
    <w:rsid w:val="627036CB"/>
    <w:rsid w:val="62DB0C58"/>
    <w:rsid w:val="62F37EAB"/>
    <w:rsid w:val="62F848DE"/>
    <w:rsid w:val="63182D9A"/>
    <w:rsid w:val="632D6048"/>
    <w:rsid w:val="638A64D3"/>
    <w:rsid w:val="63CB1F94"/>
    <w:rsid w:val="63CD79A6"/>
    <w:rsid w:val="63DA1086"/>
    <w:rsid w:val="63E5111B"/>
    <w:rsid w:val="63E973F5"/>
    <w:rsid w:val="64806DE3"/>
    <w:rsid w:val="64A7519E"/>
    <w:rsid w:val="64B62A79"/>
    <w:rsid w:val="64CA7857"/>
    <w:rsid w:val="64CD01FD"/>
    <w:rsid w:val="65491EA9"/>
    <w:rsid w:val="657215AE"/>
    <w:rsid w:val="658950D7"/>
    <w:rsid w:val="658D2940"/>
    <w:rsid w:val="65A23791"/>
    <w:rsid w:val="65BF6D4B"/>
    <w:rsid w:val="65E200B0"/>
    <w:rsid w:val="66322DE9"/>
    <w:rsid w:val="668009BD"/>
    <w:rsid w:val="668F5D04"/>
    <w:rsid w:val="669E5931"/>
    <w:rsid w:val="66AD2CA4"/>
    <w:rsid w:val="66F67A8F"/>
    <w:rsid w:val="66FD41CA"/>
    <w:rsid w:val="672B43F4"/>
    <w:rsid w:val="67303262"/>
    <w:rsid w:val="674D4589"/>
    <w:rsid w:val="674E4F7F"/>
    <w:rsid w:val="675A4DB8"/>
    <w:rsid w:val="677874A7"/>
    <w:rsid w:val="67AA3C57"/>
    <w:rsid w:val="67B33F51"/>
    <w:rsid w:val="680879F8"/>
    <w:rsid w:val="68345B3E"/>
    <w:rsid w:val="6841793D"/>
    <w:rsid w:val="686F3228"/>
    <w:rsid w:val="68790CF7"/>
    <w:rsid w:val="687D23C0"/>
    <w:rsid w:val="68854C92"/>
    <w:rsid w:val="68A13B48"/>
    <w:rsid w:val="68AE78FF"/>
    <w:rsid w:val="68AF3C4A"/>
    <w:rsid w:val="68B55543"/>
    <w:rsid w:val="68E75DEF"/>
    <w:rsid w:val="68F14A55"/>
    <w:rsid w:val="69B34697"/>
    <w:rsid w:val="69CB2CA3"/>
    <w:rsid w:val="69D65C6C"/>
    <w:rsid w:val="69DF4D16"/>
    <w:rsid w:val="6AA63364"/>
    <w:rsid w:val="6AB34997"/>
    <w:rsid w:val="6AD97746"/>
    <w:rsid w:val="6AE01D81"/>
    <w:rsid w:val="6B2C2772"/>
    <w:rsid w:val="6B545D5A"/>
    <w:rsid w:val="6BB9720D"/>
    <w:rsid w:val="6BC7221C"/>
    <w:rsid w:val="6BD957F0"/>
    <w:rsid w:val="6C0F5A09"/>
    <w:rsid w:val="6C1825D5"/>
    <w:rsid w:val="6C1C4C25"/>
    <w:rsid w:val="6C54031D"/>
    <w:rsid w:val="6C5C0714"/>
    <w:rsid w:val="6C903BAE"/>
    <w:rsid w:val="6CBD7C98"/>
    <w:rsid w:val="6CE17B63"/>
    <w:rsid w:val="6D011D2A"/>
    <w:rsid w:val="6DD23B09"/>
    <w:rsid w:val="6E1312A6"/>
    <w:rsid w:val="6E1B5479"/>
    <w:rsid w:val="6E6F1877"/>
    <w:rsid w:val="6EBA7973"/>
    <w:rsid w:val="6EDF387E"/>
    <w:rsid w:val="6EE175F6"/>
    <w:rsid w:val="6EFF62FE"/>
    <w:rsid w:val="6F195402"/>
    <w:rsid w:val="6F775A19"/>
    <w:rsid w:val="6F7E5463"/>
    <w:rsid w:val="6FAE68E8"/>
    <w:rsid w:val="6FB94193"/>
    <w:rsid w:val="6FCC2EB5"/>
    <w:rsid w:val="70101EC1"/>
    <w:rsid w:val="701024DB"/>
    <w:rsid w:val="70181D67"/>
    <w:rsid w:val="704770A3"/>
    <w:rsid w:val="704923AA"/>
    <w:rsid w:val="70606085"/>
    <w:rsid w:val="70883EC7"/>
    <w:rsid w:val="709E08CB"/>
    <w:rsid w:val="70A3152A"/>
    <w:rsid w:val="70A40793"/>
    <w:rsid w:val="70CD4728"/>
    <w:rsid w:val="70F962E4"/>
    <w:rsid w:val="71080EBC"/>
    <w:rsid w:val="7117510E"/>
    <w:rsid w:val="711A294B"/>
    <w:rsid w:val="713738B3"/>
    <w:rsid w:val="71696310"/>
    <w:rsid w:val="717026C1"/>
    <w:rsid w:val="717C35CD"/>
    <w:rsid w:val="719B440E"/>
    <w:rsid w:val="71CE57D9"/>
    <w:rsid w:val="71FA2193"/>
    <w:rsid w:val="71FC0D49"/>
    <w:rsid w:val="725F4BED"/>
    <w:rsid w:val="72AF0251"/>
    <w:rsid w:val="72B71FC4"/>
    <w:rsid w:val="72E91A84"/>
    <w:rsid w:val="732D39FB"/>
    <w:rsid w:val="73370A65"/>
    <w:rsid w:val="734C0210"/>
    <w:rsid w:val="73684CAE"/>
    <w:rsid w:val="736E34FE"/>
    <w:rsid w:val="738C31DF"/>
    <w:rsid w:val="73935DA2"/>
    <w:rsid w:val="739C45CD"/>
    <w:rsid w:val="73C531B2"/>
    <w:rsid w:val="73E055D9"/>
    <w:rsid w:val="73E33181"/>
    <w:rsid w:val="73E93FCE"/>
    <w:rsid w:val="74510D7A"/>
    <w:rsid w:val="745D6EFE"/>
    <w:rsid w:val="748A7DE8"/>
    <w:rsid w:val="74A76BEC"/>
    <w:rsid w:val="74B4797B"/>
    <w:rsid w:val="74DA3F09"/>
    <w:rsid w:val="74DC0009"/>
    <w:rsid w:val="74E702FF"/>
    <w:rsid w:val="7503704F"/>
    <w:rsid w:val="751122B7"/>
    <w:rsid w:val="753708F8"/>
    <w:rsid w:val="754B064A"/>
    <w:rsid w:val="75524C18"/>
    <w:rsid w:val="7589009F"/>
    <w:rsid w:val="75B17222"/>
    <w:rsid w:val="75BA72FB"/>
    <w:rsid w:val="75BF3092"/>
    <w:rsid w:val="75F622C3"/>
    <w:rsid w:val="760F3128"/>
    <w:rsid w:val="769E6DF1"/>
    <w:rsid w:val="76A17F8A"/>
    <w:rsid w:val="76C41F7B"/>
    <w:rsid w:val="76E51A90"/>
    <w:rsid w:val="76E62DA4"/>
    <w:rsid w:val="771B3E6B"/>
    <w:rsid w:val="77366753"/>
    <w:rsid w:val="777C4360"/>
    <w:rsid w:val="779E0C9A"/>
    <w:rsid w:val="77CB4B7E"/>
    <w:rsid w:val="77E617D9"/>
    <w:rsid w:val="78376AFA"/>
    <w:rsid w:val="78545B2D"/>
    <w:rsid w:val="7858219C"/>
    <w:rsid w:val="787303D6"/>
    <w:rsid w:val="78736A52"/>
    <w:rsid w:val="78746DE5"/>
    <w:rsid w:val="78845853"/>
    <w:rsid w:val="78B673FD"/>
    <w:rsid w:val="78C43449"/>
    <w:rsid w:val="78F84144"/>
    <w:rsid w:val="791C079E"/>
    <w:rsid w:val="792E70F3"/>
    <w:rsid w:val="79A32D34"/>
    <w:rsid w:val="79C13248"/>
    <w:rsid w:val="79FE1FAD"/>
    <w:rsid w:val="7A1C48E5"/>
    <w:rsid w:val="7AA42C4F"/>
    <w:rsid w:val="7AA91380"/>
    <w:rsid w:val="7AB7FF50"/>
    <w:rsid w:val="7ABA373A"/>
    <w:rsid w:val="7AED723D"/>
    <w:rsid w:val="7AFD2C95"/>
    <w:rsid w:val="7B1626D8"/>
    <w:rsid w:val="7B7710FF"/>
    <w:rsid w:val="7BD840D9"/>
    <w:rsid w:val="7BFEB0DB"/>
    <w:rsid w:val="7C3F770A"/>
    <w:rsid w:val="7C6C2435"/>
    <w:rsid w:val="7C911F4C"/>
    <w:rsid w:val="7CA873A0"/>
    <w:rsid w:val="7CD80A60"/>
    <w:rsid w:val="7CDE42EE"/>
    <w:rsid w:val="7D0B0AA8"/>
    <w:rsid w:val="7D2E32F1"/>
    <w:rsid w:val="7D48167F"/>
    <w:rsid w:val="7D4C4E3A"/>
    <w:rsid w:val="7D751697"/>
    <w:rsid w:val="7DA414D9"/>
    <w:rsid w:val="7DDE62DE"/>
    <w:rsid w:val="7DFA44CD"/>
    <w:rsid w:val="7DFC1302"/>
    <w:rsid w:val="7E857593"/>
    <w:rsid w:val="7EF31154"/>
    <w:rsid w:val="7F56082E"/>
    <w:rsid w:val="7F96796B"/>
    <w:rsid w:val="7FC34FAB"/>
    <w:rsid w:val="7FE00014"/>
    <w:rsid w:val="7FE546EB"/>
    <w:rsid w:val="7FE753EA"/>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line="440" w:lineRule="exact"/>
    </w:pPr>
    <w:rPr>
      <w:rFonts w:eastAsia="仿宋_GB2312"/>
      <w:sz w:val="32"/>
    </w:rPr>
  </w:style>
  <w:style w:type="paragraph" w:styleId="4">
    <w:name w:val="annotation text"/>
    <w:basedOn w:val="1"/>
    <w:link w:val="13"/>
    <w:unhideWhenUsed/>
    <w:qFormat/>
    <w:uiPriority w:val="99"/>
    <w:pPr>
      <w:jc w:val="left"/>
    </w:pPr>
    <w:rPr>
      <w:rFonts w:ascii="Calibri" w:hAnsi="Calibri"/>
      <w:szCs w:val="22"/>
    </w:rPr>
  </w:style>
  <w:style w:type="paragraph" w:styleId="5">
    <w:name w:val="Balloon Text"/>
    <w:basedOn w:val="1"/>
    <w:link w:val="14"/>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annotation reference"/>
    <w:basedOn w:val="10"/>
    <w:unhideWhenUsed/>
    <w:qFormat/>
    <w:uiPriority w:val="99"/>
    <w:rPr>
      <w:sz w:val="21"/>
      <w:szCs w:val="21"/>
    </w:rPr>
  </w:style>
  <w:style w:type="paragraph" w:customStyle="1" w:styleId="12">
    <w:name w:val="列出段落1"/>
    <w:basedOn w:val="1"/>
    <w:qFormat/>
    <w:uiPriority w:val="34"/>
    <w:pPr>
      <w:ind w:firstLine="420" w:firstLineChars="200"/>
    </w:pPr>
    <w:rPr>
      <w:rFonts w:ascii="Calibri" w:hAnsi="Calibri" w:cs="黑体"/>
      <w:szCs w:val="22"/>
    </w:rPr>
  </w:style>
  <w:style w:type="character" w:customStyle="1" w:styleId="13">
    <w:name w:val="批注文字 Char"/>
    <w:basedOn w:val="10"/>
    <w:link w:val="4"/>
    <w:qFormat/>
    <w:uiPriority w:val="99"/>
    <w:rPr>
      <w:rFonts w:ascii="Calibri" w:hAnsi="Calibri" w:eastAsia="宋体" w:cs="Times New Roman"/>
      <w:kern w:val="2"/>
      <w:sz w:val="21"/>
      <w:szCs w:val="22"/>
    </w:rPr>
  </w:style>
  <w:style w:type="character" w:customStyle="1" w:styleId="14">
    <w:name w:val="批注框文本 Char"/>
    <w:basedOn w:val="10"/>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56</Pages>
  <Words>4761</Words>
  <Characters>27141</Characters>
  <Lines>226</Lines>
  <Paragraphs>63</Paragraphs>
  <TotalTime>5</TotalTime>
  <ScaleCrop>false</ScaleCrop>
  <LinksUpToDate>false</LinksUpToDate>
  <CharactersWithSpaces>31839</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2025-05-16T03:02:00Z</dcterms:created>
  <dc:creator>user</dc:creator>
  <cp:lastModifiedBy>Administrator</cp:lastModifiedBy>
  <cp:lastPrinted>2022-08-25T10:33:00Z</cp:lastPrinted>
  <dcterms:modified xsi:type="dcterms:W3CDTF">2025-08-26T02:44:39Z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049DC86EF86F40EA9D337003CAE26171</vt:lpwstr>
  </property>
</Properties>
</file>