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93696">
      <w:pPr>
        <w:ind w:firstLine="1044"/>
        <w:jc w:val="center"/>
        <w:rPr>
          <w:b/>
          <w:sz w:val="52"/>
          <w:szCs w:val="20"/>
        </w:rPr>
      </w:pPr>
    </w:p>
    <w:p w14:paraId="591FE152">
      <w:pPr>
        <w:ind w:firstLine="1044"/>
        <w:jc w:val="center"/>
        <w:rPr>
          <w:b/>
          <w:sz w:val="52"/>
          <w:szCs w:val="20"/>
        </w:rPr>
      </w:pPr>
    </w:p>
    <w:p w14:paraId="3713F5E9">
      <w:pPr>
        <w:ind w:firstLine="1044"/>
        <w:jc w:val="center"/>
        <w:rPr>
          <w:b/>
          <w:sz w:val="52"/>
          <w:szCs w:val="20"/>
        </w:rPr>
      </w:pPr>
    </w:p>
    <w:p w14:paraId="13CDAD6F">
      <w:pPr>
        <w:ind w:firstLine="1044"/>
        <w:jc w:val="center"/>
        <w:rPr>
          <w:rFonts w:ascii="宋体" w:hAnsi="宋体" w:eastAsia="宋体" w:cs="宋体"/>
          <w:b/>
          <w:sz w:val="52"/>
          <w:szCs w:val="20"/>
        </w:rPr>
      </w:pPr>
      <w:r>
        <w:rPr>
          <w:rFonts w:hint="eastAsia" w:ascii="宋体" w:hAnsi="宋体" w:eastAsia="宋体" w:cs="宋体"/>
          <w:b/>
          <w:sz w:val="52"/>
          <w:szCs w:val="20"/>
        </w:rPr>
        <w:t>北京市顺义区人民法院</w:t>
      </w:r>
    </w:p>
    <w:p w14:paraId="5483413B">
      <w:pPr>
        <w:ind w:firstLine="1044"/>
        <w:jc w:val="center"/>
        <w:rPr>
          <w:rFonts w:ascii="宋体" w:hAnsi="宋体" w:eastAsia="宋体" w:cs="宋体"/>
          <w:b/>
          <w:sz w:val="52"/>
          <w:szCs w:val="20"/>
        </w:rPr>
      </w:pPr>
      <w:r>
        <w:rPr>
          <w:rFonts w:hint="eastAsia" w:ascii="宋体" w:hAnsi="宋体" w:eastAsia="宋体" w:cs="宋体"/>
          <w:b/>
          <w:sz w:val="52"/>
          <w:szCs w:val="20"/>
        </w:rPr>
        <w:t>财政支出项目</w:t>
      </w:r>
    </w:p>
    <w:p w14:paraId="4A6A6054">
      <w:pPr>
        <w:ind w:firstLine="1044"/>
        <w:jc w:val="center"/>
        <w:rPr>
          <w:rFonts w:ascii="宋体" w:hAnsi="宋体" w:eastAsia="宋体" w:cs="宋体"/>
          <w:b/>
          <w:sz w:val="52"/>
          <w:szCs w:val="20"/>
        </w:rPr>
      </w:pPr>
      <w:r>
        <w:rPr>
          <w:rFonts w:hint="eastAsia" w:ascii="宋体" w:hAnsi="宋体" w:eastAsia="宋体" w:cs="宋体"/>
          <w:b/>
          <w:sz w:val="52"/>
          <w:szCs w:val="20"/>
        </w:rPr>
        <w:t>绩效评价报告</w:t>
      </w:r>
    </w:p>
    <w:p w14:paraId="6DFE65EE">
      <w:pPr>
        <w:ind w:firstLine="600"/>
        <w:jc w:val="center"/>
        <w:rPr>
          <w:sz w:val="30"/>
          <w:szCs w:val="20"/>
        </w:rPr>
      </w:pPr>
    </w:p>
    <w:p w14:paraId="53995F7C">
      <w:pPr>
        <w:ind w:firstLine="600"/>
        <w:jc w:val="center"/>
        <w:rPr>
          <w:sz w:val="30"/>
          <w:szCs w:val="20"/>
        </w:rPr>
      </w:pPr>
    </w:p>
    <w:p w14:paraId="3DF0F3FC">
      <w:pPr>
        <w:ind w:firstLine="600"/>
        <w:jc w:val="center"/>
        <w:rPr>
          <w:sz w:val="30"/>
          <w:szCs w:val="20"/>
        </w:rPr>
      </w:pPr>
    </w:p>
    <w:p w14:paraId="5FCCDF84">
      <w:pPr>
        <w:ind w:firstLine="600"/>
        <w:rPr>
          <w:sz w:val="30"/>
          <w:szCs w:val="20"/>
        </w:rPr>
      </w:pPr>
    </w:p>
    <w:p w14:paraId="51A7A40B">
      <w:pPr>
        <w:spacing w:line="900" w:lineRule="exact"/>
        <w:ind w:left="320" w:leftChars="100" w:firstLine="320" w:firstLineChars="100"/>
        <w:rPr>
          <w:szCs w:val="32"/>
          <w:u w:val="single"/>
        </w:rPr>
      </w:pPr>
      <w:r>
        <w:rPr>
          <w:szCs w:val="32"/>
        </w:rPr>
        <w:t xml:space="preserve">主管部门  </w:t>
      </w:r>
      <w:r>
        <w:rPr>
          <w:szCs w:val="32"/>
          <w:u w:val="single"/>
        </w:rPr>
        <w:t xml:space="preserve">     </w:t>
      </w:r>
      <w:r>
        <w:rPr>
          <w:kern w:val="10"/>
          <w:szCs w:val="32"/>
          <w:u w:val="single"/>
        </w:rPr>
        <w:t xml:space="preserve">北京市顺义区人民法院        </w:t>
      </w:r>
    </w:p>
    <w:p w14:paraId="274D12B7">
      <w:pPr>
        <w:spacing w:line="900" w:lineRule="exact"/>
        <w:ind w:left="320" w:leftChars="100" w:firstLine="320" w:firstLineChars="100"/>
        <w:rPr>
          <w:kern w:val="10"/>
          <w:szCs w:val="32"/>
          <w:u w:val="single"/>
        </w:rPr>
      </w:pPr>
      <w:r>
        <w:rPr>
          <w:szCs w:val="32"/>
        </w:rPr>
        <w:t xml:space="preserve">项目单位  </w:t>
      </w:r>
      <w:r>
        <w:rPr>
          <w:szCs w:val="32"/>
          <w:u w:val="single"/>
        </w:rPr>
        <w:t xml:space="preserve">     </w:t>
      </w:r>
      <w:r>
        <w:rPr>
          <w:kern w:val="10"/>
          <w:szCs w:val="32"/>
          <w:u w:val="single"/>
        </w:rPr>
        <w:t xml:space="preserve">北京市顺义区人民法院        </w:t>
      </w:r>
    </w:p>
    <w:p w14:paraId="52D3AC5A">
      <w:pPr>
        <w:tabs>
          <w:tab w:val="left" w:pos="4140"/>
        </w:tabs>
        <w:spacing w:line="900" w:lineRule="exact"/>
        <w:ind w:left="320" w:leftChars="100" w:firstLine="320" w:firstLineChars="100"/>
        <w:rPr>
          <w:szCs w:val="32"/>
          <w:u w:val="single"/>
        </w:rPr>
      </w:pPr>
      <w:bookmarkStart w:id="0" w:name="_Hlk105500582"/>
      <w:r>
        <w:rPr>
          <w:kern w:val="10"/>
          <w:szCs w:val="32"/>
        </w:rPr>
        <w:t xml:space="preserve">项目名称  </w:t>
      </w:r>
      <w:r>
        <w:rPr>
          <w:kern w:val="10"/>
          <w:szCs w:val="32"/>
          <w:u w:val="single"/>
        </w:rPr>
        <w:t xml:space="preserve">     </w:t>
      </w:r>
      <w:r>
        <w:rPr>
          <w:rFonts w:hint="eastAsia"/>
          <w:kern w:val="10"/>
          <w:szCs w:val="32"/>
          <w:u w:val="single"/>
          <w:lang w:val="en-US" w:eastAsia="zh-CN"/>
        </w:rPr>
        <w:t>法院办案业务费</w:t>
      </w:r>
      <w:r>
        <w:rPr>
          <w:kern w:val="10"/>
          <w:szCs w:val="32"/>
          <w:u w:val="single"/>
        </w:rPr>
        <w:t xml:space="preserve">     </w:t>
      </w:r>
      <w:r>
        <w:rPr>
          <w:rFonts w:hint="eastAsia"/>
          <w:kern w:val="10"/>
          <w:szCs w:val="32"/>
          <w:u w:val="single"/>
        </w:rPr>
        <w:t xml:space="preserve">             </w:t>
      </w:r>
    </w:p>
    <w:bookmarkEnd w:id="0"/>
    <w:p w14:paraId="1D87E98A">
      <w:pPr>
        <w:tabs>
          <w:tab w:val="left" w:pos="4140"/>
        </w:tabs>
        <w:spacing w:line="900" w:lineRule="exact"/>
        <w:ind w:left="320" w:leftChars="100" w:firstLine="320" w:firstLineChars="100"/>
        <w:rPr>
          <w:szCs w:val="32"/>
          <w:u w:val="single"/>
        </w:rPr>
      </w:pPr>
    </w:p>
    <w:p w14:paraId="02171BBE">
      <w:pPr>
        <w:ind w:firstLine="720"/>
        <w:jc w:val="center"/>
        <w:rPr>
          <w:sz w:val="36"/>
          <w:szCs w:val="20"/>
        </w:rPr>
      </w:pPr>
    </w:p>
    <w:p w14:paraId="4B8FFBE0">
      <w:pPr>
        <w:ind w:firstLine="640"/>
        <w:jc w:val="center"/>
        <w:rPr>
          <w:szCs w:val="32"/>
        </w:rPr>
      </w:pPr>
    </w:p>
    <w:p w14:paraId="6DBE8E86">
      <w:pPr>
        <w:ind w:firstLine="640"/>
        <w:jc w:val="center"/>
        <w:rPr>
          <w:szCs w:val="32"/>
        </w:rPr>
      </w:pPr>
    </w:p>
    <w:p w14:paraId="426EACD5">
      <w:pPr>
        <w:ind w:firstLine="640"/>
        <w:jc w:val="center"/>
        <w:rPr>
          <w:szCs w:val="32"/>
        </w:rPr>
      </w:pPr>
    </w:p>
    <w:p w14:paraId="2AE92E7D">
      <w:pPr>
        <w:ind w:firstLine="640"/>
        <w:jc w:val="center"/>
        <w:rPr>
          <w:szCs w:val="32"/>
        </w:rPr>
      </w:pPr>
    </w:p>
    <w:p w14:paraId="2BFC15B8">
      <w:pPr>
        <w:widowControl/>
        <w:spacing w:line="320" w:lineRule="exact"/>
        <w:ind w:firstLine="198" w:firstLineChars="62"/>
        <w:rPr>
          <w:rFonts w:eastAsia="黑体"/>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721B6847">
      <w:pPr>
        <w:widowControl/>
        <w:spacing w:line="320" w:lineRule="exact"/>
        <w:ind w:firstLine="640"/>
        <w:jc w:val="center"/>
        <w:rPr>
          <w:rFonts w:eastAsia="黑体"/>
          <w:szCs w:val="32"/>
        </w:rPr>
      </w:pPr>
    </w:p>
    <w:p w14:paraId="207C5418">
      <w:pPr>
        <w:spacing w:before="156" w:beforeLines="50" w:line="300" w:lineRule="auto"/>
        <w:ind w:firstLine="723"/>
        <w:jc w:val="center"/>
        <w:rPr>
          <w:rFonts w:ascii="宋体" w:hAnsi="宋体" w:eastAsia="宋体" w:cs="宋体"/>
          <w:b/>
          <w:sz w:val="36"/>
          <w:szCs w:val="36"/>
        </w:rPr>
      </w:pPr>
      <w:r>
        <w:rPr>
          <w:rFonts w:hint="eastAsia" w:ascii="宋体" w:hAnsi="宋体" w:eastAsia="宋体" w:cs="宋体"/>
          <w:b/>
          <w:sz w:val="36"/>
          <w:szCs w:val="36"/>
        </w:rPr>
        <w:t>北京市顺义区人民法院</w:t>
      </w:r>
    </w:p>
    <w:p w14:paraId="5CB2F090">
      <w:pPr>
        <w:spacing w:before="156" w:beforeLines="50" w:line="300" w:lineRule="auto"/>
        <w:ind w:firstLine="723"/>
        <w:jc w:val="center"/>
        <w:rPr>
          <w:rFonts w:ascii="宋体" w:hAnsi="宋体" w:eastAsia="宋体" w:cs="宋体"/>
          <w:b/>
          <w:sz w:val="36"/>
          <w:szCs w:val="36"/>
        </w:rPr>
      </w:pPr>
      <w:r>
        <w:rPr>
          <w:rFonts w:hint="eastAsia" w:ascii="宋体" w:hAnsi="宋体" w:eastAsia="宋体" w:cs="宋体"/>
          <w:b/>
          <w:sz w:val="36"/>
          <w:szCs w:val="36"/>
          <w:lang w:val="en-US" w:eastAsia="zh-CN"/>
        </w:rPr>
        <w:t>法院办案业务费</w:t>
      </w:r>
      <w:r>
        <w:rPr>
          <w:rFonts w:hint="eastAsia" w:ascii="宋体" w:hAnsi="宋体" w:eastAsia="宋体" w:cs="宋体"/>
          <w:b/>
          <w:sz w:val="36"/>
          <w:szCs w:val="36"/>
        </w:rPr>
        <w:t>支出项目绩效评价结论</w:t>
      </w:r>
    </w:p>
    <w:p w14:paraId="57C3A7F7">
      <w:pPr>
        <w:pStyle w:val="24"/>
        <w:rPr>
          <w:rFonts w:ascii="Times New Roman" w:hAnsi="Times New Roman" w:cs="Times New Roman"/>
        </w:rPr>
      </w:pPr>
      <w:r>
        <w:rPr>
          <w:rFonts w:ascii="Times New Roman" w:hAnsi="Times New Roman" w:cs="Times New Roman"/>
        </w:rPr>
        <w:t>北京市顺义区人民法院</w:t>
      </w:r>
      <w:r>
        <w:rPr>
          <w:rFonts w:hint="eastAsia" w:ascii="Times New Roman" w:hAnsi="Times New Roman" w:cs="Times New Roman"/>
          <w:lang w:eastAsia="zh-CN"/>
        </w:rPr>
        <w:t>2024</w:t>
      </w:r>
      <w:r>
        <w:rPr>
          <w:rFonts w:ascii="Times New Roman" w:hAnsi="Times New Roman" w:cs="Times New Roman"/>
        </w:rPr>
        <w:t>年度</w:t>
      </w:r>
      <w:r>
        <w:rPr>
          <w:rFonts w:hint="eastAsia" w:ascii="Times New Roman" w:hAnsi="Times New Roman" w:cs="Times New Roman"/>
          <w:lang w:val="en-US" w:eastAsia="zh-CN"/>
        </w:rPr>
        <w:t>法院办案业务费</w:t>
      </w:r>
      <w:r>
        <w:rPr>
          <w:rFonts w:ascii="Times New Roman" w:hAnsi="Times New Roman" w:cs="Times New Roman"/>
        </w:rPr>
        <w:t>支出项目绩效评价综合得</w:t>
      </w:r>
      <w:r>
        <w:rPr>
          <w:rFonts w:ascii="Times New Roman" w:hAnsi="Times New Roman" w:cs="Times New Roman"/>
          <w:highlight w:val="none"/>
        </w:rPr>
        <w:t>分</w:t>
      </w:r>
      <w:r>
        <w:rPr>
          <w:rFonts w:hint="eastAsia" w:ascii="Times New Roman" w:hAnsi="Times New Roman" w:cs="Times New Roman"/>
          <w:highlight w:val="none"/>
          <w:lang w:val="en-US" w:eastAsia="zh-CN"/>
        </w:rPr>
        <w:t>93.9</w:t>
      </w:r>
      <w:r>
        <w:rPr>
          <w:rFonts w:ascii="Times New Roman" w:hAnsi="Times New Roman" w:cs="Times New Roman"/>
          <w:highlight w:val="none"/>
        </w:rPr>
        <w:t>分</w:t>
      </w:r>
      <w:r>
        <w:rPr>
          <w:rFonts w:ascii="Times New Roman" w:hAnsi="Times New Roman" w:cs="Times New Roman"/>
        </w:rPr>
        <w:t>，其中，项目</w:t>
      </w:r>
      <w:r>
        <w:rPr>
          <w:rFonts w:ascii="Times New Roman" w:hAnsi="Times New Roman" w:cs="Times New Roman"/>
          <w:kern w:val="44"/>
        </w:rPr>
        <w:t>决策</w:t>
      </w:r>
      <w:r>
        <w:rPr>
          <w:rFonts w:ascii="Times New Roman" w:hAnsi="Times New Roman" w:cs="Times New Roman"/>
          <w:highlight w:val="none"/>
        </w:rPr>
        <w:t>9.</w:t>
      </w:r>
      <w:r>
        <w:rPr>
          <w:rFonts w:hint="eastAsia" w:ascii="Times New Roman" w:hAnsi="Times New Roman" w:cs="Times New Roman"/>
          <w:highlight w:val="none"/>
          <w:lang w:val="en-US" w:eastAsia="zh-CN"/>
        </w:rPr>
        <w:t>8</w:t>
      </w:r>
      <w:r>
        <w:rPr>
          <w:rFonts w:ascii="Times New Roman" w:hAnsi="Times New Roman" w:cs="Times New Roman"/>
          <w:kern w:val="44"/>
          <w:highlight w:val="none"/>
        </w:rPr>
        <w:t>分，</w:t>
      </w:r>
      <w:r>
        <w:rPr>
          <w:rFonts w:ascii="Times New Roman" w:hAnsi="Times New Roman" w:cs="Times New Roman"/>
          <w:highlight w:val="none"/>
        </w:rPr>
        <w:t>项目</w:t>
      </w:r>
      <w:r>
        <w:rPr>
          <w:rFonts w:ascii="Times New Roman" w:hAnsi="Times New Roman" w:cs="Times New Roman"/>
          <w:kern w:val="44"/>
          <w:highlight w:val="none"/>
        </w:rPr>
        <w:t>过程</w:t>
      </w:r>
      <w:r>
        <w:rPr>
          <w:rFonts w:ascii="Times New Roman" w:hAnsi="Times New Roman" w:cs="Times New Roman"/>
          <w:highlight w:val="none"/>
        </w:rPr>
        <w:t>1</w:t>
      </w:r>
      <w:r>
        <w:rPr>
          <w:rFonts w:hint="eastAsia" w:ascii="Times New Roman" w:hAnsi="Times New Roman" w:cs="Times New Roman"/>
          <w:highlight w:val="none"/>
          <w:lang w:val="en-US" w:eastAsia="zh-CN"/>
        </w:rPr>
        <w:t>9.2</w:t>
      </w:r>
      <w:r>
        <w:rPr>
          <w:rFonts w:ascii="Times New Roman" w:hAnsi="Times New Roman" w:cs="Times New Roman"/>
          <w:kern w:val="44"/>
          <w:highlight w:val="none"/>
        </w:rPr>
        <w:t>分，项目产出38.</w:t>
      </w:r>
      <w:r>
        <w:rPr>
          <w:rFonts w:hint="eastAsia" w:ascii="Times New Roman" w:hAnsi="Times New Roman" w:cs="Times New Roman"/>
          <w:kern w:val="44"/>
          <w:highlight w:val="none"/>
          <w:lang w:val="en-US" w:eastAsia="zh-CN"/>
        </w:rPr>
        <w:t>8</w:t>
      </w:r>
      <w:r>
        <w:rPr>
          <w:rFonts w:ascii="Times New Roman" w:hAnsi="Times New Roman" w:cs="Times New Roman"/>
          <w:kern w:val="44"/>
          <w:highlight w:val="none"/>
        </w:rPr>
        <w:t>分，</w:t>
      </w:r>
      <w:r>
        <w:rPr>
          <w:rFonts w:ascii="Times New Roman" w:hAnsi="Times New Roman" w:cs="Times New Roman"/>
          <w:highlight w:val="none"/>
        </w:rPr>
        <w:t>项目</w:t>
      </w:r>
      <w:r>
        <w:rPr>
          <w:rFonts w:ascii="Times New Roman" w:hAnsi="Times New Roman" w:cs="Times New Roman"/>
          <w:kern w:val="44"/>
          <w:highlight w:val="none"/>
        </w:rPr>
        <w:t>效益</w:t>
      </w:r>
      <w:r>
        <w:rPr>
          <w:rFonts w:ascii="Times New Roman" w:hAnsi="Times New Roman" w:cs="Times New Roman"/>
          <w:highlight w:val="none"/>
        </w:rPr>
        <w:t>2</w:t>
      </w:r>
      <w:r>
        <w:rPr>
          <w:rFonts w:hint="eastAsia" w:ascii="Times New Roman" w:hAnsi="Times New Roman" w:cs="Times New Roman"/>
          <w:highlight w:val="none"/>
          <w:lang w:val="en-US" w:eastAsia="zh-CN"/>
        </w:rPr>
        <w:t>6.1</w:t>
      </w:r>
      <w:r>
        <w:rPr>
          <w:rFonts w:ascii="Times New Roman" w:hAnsi="Times New Roman" w:cs="Times New Roman"/>
          <w:kern w:val="44"/>
          <w:highlight w:val="none"/>
        </w:rPr>
        <w:t>分</w:t>
      </w:r>
      <w:r>
        <w:rPr>
          <w:rFonts w:ascii="Times New Roman" w:hAnsi="Times New Roman" w:cs="Times New Roman"/>
        </w:rPr>
        <w:t>，综合绩效评定结论为“优秀”，具体情况详见下表。</w:t>
      </w:r>
    </w:p>
    <w:p w14:paraId="080F9EE7">
      <w:pPr>
        <w:pStyle w:val="8"/>
        <w:spacing w:before="156" w:beforeLines="50" w:line="360" w:lineRule="auto"/>
        <w:ind w:left="0" w:leftChars="0" w:firstLine="562"/>
        <w:jc w:val="center"/>
        <w:rPr>
          <w:rFonts w:ascii="Times New Roman" w:hAnsi="Times New Roman"/>
          <w:b/>
          <w:sz w:val="28"/>
          <w:szCs w:val="28"/>
          <w:highlight w:val="yellow"/>
        </w:rPr>
      </w:pPr>
      <w:r>
        <w:rPr>
          <w:rFonts w:hint="eastAsia" w:ascii="Times New Roman" w:hAnsi="Times New Roman"/>
          <w:b/>
          <w:sz w:val="28"/>
          <w:szCs w:val="28"/>
          <w:highlight w:val="none"/>
          <w:lang w:eastAsia="zh-CN"/>
        </w:rPr>
        <w:t>2024</w:t>
      </w:r>
      <w:r>
        <w:rPr>
          <w:rFonts w:ascii="Times New Roman" w:hAnsi="Times New Roman"/>
          <w:b/>
          <w:sz w:val="28"/>
          <w:szCs w:val="28"/>
          <w:highlight w:val="none"/>
        </w:rPr>
        <w:t>年度</w:t>
      </w:r>
      <w:r>
        <w:rPr>
          <w:rFonts w:hint="eastAsia" w:ascii="Times New Roman" w:hAnsi="Times New Roman"/>
          <w:b/>
          <w:sz w:val="28"/>
          <w:szCs w:val="28"/>
          <w:highlight w:val="none"/>
          <w:lang w:val="en-US" w:eastAsia="zh-CN"/>
        </w:rPr>
        <w:t>法院办案业务费</w:t>
      </w:r>
      <w:r>
        <w:rPr>
          <w:rFonts w:hint="eastAsia" w:ascii="Times New Roman" w:hAnsi="Times New Roman"/>
          <w:b/>
          <w:sz w:val="28"/>
          <w:szCs w:val="28"/>
          <w:highlight w:val="none"/>
          <w:lang w:eastAsia="zh-CN"/>
        </w:rPr>
        <w:t>项</w:t>
      </w:r>
      <w:r>
        <w:rPr>
          <w:rFonts w:ascii="Times New Roman" w:hAnsi="Times New Roman"/>
          <w:b/>
          <w:sz w:val="28"/>
          <w:szCs w:val="28"/>
          <w:highlight w:val="none"/>
        </w:rPr>
        <w:t>目绩效评价结论一览表</w:t>
      </w:r>
    </w:p>
    <w:tbl>
      <w:tblPr>
        <w:tblStyle w:val="15"/>
        <w:tblW w:w="8485"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Layout w:type="fixed"/>
        <w:tblCellMar>
          <w:top w:w="0" w:type="dxa"/>
          <w:left w:w="57" w:type="dxa"/>
          <w:bottom w:w="0" w:type="dxa"/>
          <w:right w:w="57" w:type="dxa"/>
        </w:tblCellMar>
      </w:tblPr>
      <w:tblGrid>
        <w:gridCol w:w="2473"/>
        <w:gridCol w:w="3017"/>
        <w:gridCol w:w="2995"/>
      </w:tblGrid>
      <w:tr w14:paraId="37703FD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CellMar>
            <w:top w:w="0" w:type="dxa"/>
            <w:left w:w="57" w:type="dxa"/>
            <w:bottom w:w="0" w:type="dxa"/>
            <w:right w:w="57" w:type="dxa"/>
          </w:tblCellMar>
        </w:tblPrEx>
        <w:trPr>
          <w:cantSplit/>
          <w:trHeight w:val="950" w:hRule="atLeast"/>
          <w:jc w:val="center"/>
        </w:trPr>
        <w:tc>
          <w:tcPr>
            <w:tcW w:w="2473" w:type="dxa"/>
            <w:tcBorders>
              <w:bottom w:val="single" w:color="FFFFFF" w:sz="6" w:space="0"/>
              <w:right w:val="single" w:color="FFFFFF" w:sz="6" w:space="0"/>
            </w:tcBorders>
            <w:shd w:val="clear" w:color="auto" w:fill="C0C0C0"/>
            <w:vAlign w:val="center"/>
          </w:tcPr>
          <w:p w14:paraId="5A4FB42C">
            <w:pPr>
              <w:adjustRightInd w:val="0"/>
              <w:snapToGrid w:val="0"/>
              <w:spacing w:before="156" w:beforeLines="50" w:after="60" w:line="360" w:lineRule="auto"/>
              <w:ind w:firstLine="562"/>
              <w:rPr>
                <w:b/>
                <w:sz w:val="28"/>
                <w:szCs w:val="28"/>
              </w:rPr>
            </w:pPr>
            <w:r>
              <w:rPr>
                <w:b/>
                <w:sz w:val="28"/>
                <w:szCs w:val="28"/>
              </w:rPr>
              <w:t>评价内容</w:t>
            </w:r>
          </w:p>
        </w:tc>
        <w:tc>
          <w:tcPr>
            <w:tcW w:w="3017" w:type="dxa"/>
            <w:tcBorders>
              <w:left w:val="single" w:color="FFFFFF" w:sz="6" w:space="0"/>
              <w:bottom w:val="single" w:color="FFFFFF" w:sz="6" w:space="0"/>
              <w:right w:val="single" w:color="FFFFFF" w:sz="6" w:space="0"/>
            </w:tcBorders>
            <w:shd w:val="clear" w:color="auto" w:fill="C0C0C0"/>
            <w:vAlign w:val="center"/>
          </w:tcPr>
          <w:p w14:paraId="3EBFD4ED">
            <w:pPr>
              <w:adjustRightInd w:val="0"/>
              <w:snapToGrid w:val="0"/>
              <w:spacing w:before="156" w:beforeLines="50" w:after="60" w:line="360" w:lineRule="auto"/>
              <w:ind w:firstLine="562"/>
              <w:jc w:val="center"/>
              <w:rPr>
                <w:b/>
                <w:sz w:val="28"/>
                <w:szCs w:val="28"/>
              </w:rPr>
            </w:pPr>
            <w:r>
              <w:rPr>
                <w:b/>
                <w:sz w:val="28"/>
                <w:szCs w:val="28"/>
              </w:rPr>
              <w:t>分值</w:t>
            </w:r>
          </w:p>
        </w:tc>
        <w:tc>
          <w:tcPr>
            <w:tcW w:w="2995" w:type="dxa"/>
            <w:tcBorders>
              <w:left w:val="single" w:color="FFFFFF" w:sz="6" w:space="0"/>
              <w:bottom w:val="single" w:color="FFFFFF" w:sz="6" w:space="0"/>
            </w:tcBorders>
            <w:shd w:val="clear" w:color="auto" w:fill="C0C0C0"/>
            <w:vAlign w:val="center"/>
          </w:tcPr>
          <w:p w14:paraId="605852E0">
            <w:pPr>
              <w:adjustRightInd w:val="0"/>
              <w:snapToGrid w:val="0"/>
              <w:spacing w:before="156" w:beforeLines="50" w:after="60" w:line="360" w:lineRule="auto"/>
              <w:ind w:firstLine="562"/>
              <w:jc w:val="center"/>
              <w:rPr>
                <w:b/>
                <w:sz w:val="28"/>
                <w:szCs w:val="28"/>
              </w:rPr>
            </w:pPr>
            <w:r>
              <w:rPr>
                <w:b/>
                <w:sz w:val="28"/>
                <w:szCs w:val="28"/>
              </w:rPr>
              <w:t>评价得分</w:t>
            </w:r>
          </w:p>
        </w:tc>
      </w:tr>
      <w:tr w14:paraId="1FF0580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32" w:hRule="atLeast"/>
          <w:jc w:val="center"/>
        </w:trPr>
        <w:tc>
          <w:tcPr>
            <w:tcW w:w="2473" w:type="dxa"/>
            <w:tcBorders>
              <w:top w:val="single" w:color="FFFFFF" w:sz="6" w:space="0"/>
              <w:bottom w:val="single" w:color="FFFFFF" w:sz="6" w:space="0"/>
              <w:right w:val="single" w:color="FFFFFF" w:sz="6" w:space="0"/>
            </w:tcBorders>
            <w:shd w:val="clear" w:color="auto" w:fill="C0C0C0"/>
            <w:vAlign w:val="center"/>
          </w:tcPr>
          <w:p w14:paraId="684E7E49">
            <w:pPr>
              <w:adjustRightInd w:val="0"/>
              <w:snapToGrid w:val="0"/>
              <w:spacing w:before="156" w:beforeLines="50" w:after="60" w:line="360" w:lineRule="auto"/>
              <w:ind w:firstLine="562"/>
              <w:rPr>
                <w:b/>
                <w:sz w:val="28"/>
                <w:szCs w:val="28"/>
              </w:rPr>
            </w:pPr>
            <w:r>
              <w:rPr>
                <w:b/>
                <w:sz w:val="28"/>
                <w:szCs w:val="28"/>
              </w:rPr>
              <w:t>项目决策</w:t>
            </w:r>
          </w:p>
        </w:tc>
        <w:tc>
          <w:tcPr>
            <w:tcW w:w="3017" w:type="dxa"/>
            <w:tcBorders>
              <w:top w:val="single" w:color="FFFFFF" w:sz="6" w:space="0"/>
              <w:left w:val="single" w:color="FFFFFF" w:sz="6" w:space="0"/>
              <w:bottom w:val="single" w:color="FFFFFF" w:sz="6" w:space="0"/>
              <w:right w:val="single" w:color="FFFFFF" w:sz="6" w:space="0"/>
            </w:tcBorders>
            <w:shd w:val="clear" w:color="auto" w:fill="C0C0C0"/>
            <w:vAlign w:val="center"/>
          </w:tcPr>
          <w:p w14:paraId="264FAC89">
            <w:pPr>
              <w:adjustRightInd w:val="0"/>
              <w:snapToGrid w:val="0"/>
              <w:spacing w:before="156" w:beforeLines="50" w:after="60" w:line="360" w:lineRule="auto"/>
              <w:ind w:firstLine="562"/>
              <w:jc w:val="center"/>
              <w:rPr>
                <w:b/>
                <w:sz w:val="28"/>
                <w:szCs w:val="28"/>
              </w:rPr>
            </w:pPr>
            <w:r>
              <w:rPr>
                <w:b/>
                <w:sz w:val="28"/>
                <w:szCs w:val="28"/>
              </w:rPr>
              <w:t>10</w:t>
            </w:r>
          </w:p>
        </w:tc>
        <w:tc>
          <w:tcPr>
            <w:tcW w:w="2995" w:type="dxa"/>
            <w:tcBorders>
              <w:top w:val="single" w:color="FFFFFF" w:sz="6" w:space="0"/>
              <w:left w:val="single" w:color="FFFFFF" w:sz="6" w:space="0"/>
              <w:bottom w:val="single" w:color="FFFFFF" w:sz="6" w:space="0"/>
            </w:tcBorders>
            <w:shd w:val="clear" w:color="auto" w:fill="C0C0C0"/>
            <w:vAlign w:val="center"/>
          </w:tcPr>
          <w:p w14:paraId="599ABA77">
            <w:pPr>
              <w:adjustRightInd w:val="0"/>
              <w:snapToGrid w:val="0"/>
              <w:spacing w:before="156" w:beforeLines="50" w:after="60" w:line="360" w:lineRule="auto"/>
              <w:ind w:firstLine="562"/>
              <w:jc w:val="center"/>
              <w:rPr>
                <w:rFonts w:hint="eastAsia" w:eastAsia="仿宋_GB2312"/>
                <w:b/>
                <w:sz w:val="28"/>
                <w:szCs w:val="28"/>
                <w:lang w:eastAsia="zh-CN"/>
              </w:rPr>
            </w:pPr>
            <w:r>
              <w:rPr>
                <w:rFonts w:hint="eastAsia"/>
                <w:b/>
                <w:sz w:val="28"/>
                <w:szCs w:val="28"/>
              </w:rPr>
              <w:t>9</w:t>
            </w:r>
            <w:r>
              <w:rPr>
                <w:b/>
                <w:sz w:val="28"/>
                <w:szCs w:val="28"/>
              </w:rPr>
              <w:t>.</w:t>
            </w:r>
            <w:r>
              <w:rPr>
                <w:rFonts w:hint="eastAsia"/>
                <w:b/>
                <w:sz w:val="28"/>
                <w:szCs w:val="28"/>
                <w:lang w:val="en-US" w:eastAsia="zh-CN"/>
              </w:rPr>
              <w:t>8</w:t>
            </w:r>
          </w:p>
        </w:tc>
      </w:tr>
      <w:tr w14:paraId="25291B4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32" w:hRule="atLeast"/>
          <w:jc w:val="center"/>
        </w:trPr>
        <w:tc>
          <w:tcPr>
            <w:tcW w:w="2473" w:type="dxa"/>
            <w:tcBorders>
              <w:top w:val="single" w:color="FFFFFF" w:sz="6" w:space="0"/>
              <w:bottom w:val="single" w:color="FFFFFF" w:sz="6" w:space="0"/>
              <w:right w:val="single" w:color="FFFFFF" w:sz="6" w:space="0"/>
            </w:tcBorders>
            <w:shd w:val="clear" w:color="auto" w:fill="C0C0C0"/>
            <w:vAlign w:val="center"/>
          </w:tcPr>
          <w:p w14:paraId="626CB9A3">
            <w:pPr>
              <w:adjustRightInd w:val="0"/>
              <w:snapToGrid w:val="0"/>
              <w:spacing w:before="156" w:beforeLines="50" w:after="60" w:line="360" w:lineRule="auto"/>
              <w:ind w:firstLine="562"/>
              <w:rPr>
                <w:b/>
                <w:sz w:val="28"/>
                <w:szCs w:val="28"/>
              </w:rPr>
            </w:pPr>
            <w:r>
              <w:rPr>
                <w:b/>
                <w:sz w:val="28"/>
                <w:szCs w:val="28"/>
              </w:rPr>
              <w:t>项目过程</w:t>
            </w:r>
          </w:p>
        </w:tc>
        <w:tc>
          <w:tcPr>
            <w:tcW w:w="3017" w:type="dxa"/>
            <w:tcBorders>
              <w:top w:val="single" w:color="FFFFFF" w:sz="6" w:space="0"/>
              <w:left w:val="single" w:color="FFFFFF" w:sz="6" w:space="0"/>
              <w:bottom w:val="single" w:color="FFFFFF" w:sz="6" w:space="0"/>
              <w:right w:val="single" w:color="FFFFFF" w:sz="6" w:space="0"/>
            </w:tcBorders>
            <w:shd w:val="clear" w:color="auto" w:fill="C0C0C0"/>
            <w:vAlign w:val="center"/>
          </w:tcPr>
          <w:p w14:paraId="001A808E">
            <w:pPr>
              <w:adjustRightInd w:val="0"/>
              <w:snapToGrid w:val="0"/>
              <w:spacing w:before="156" w:beforeLines="50" w:line="360" w:lineRule="auto"/>
              <w:ind w:firstLine="562"/>
              <w:jc w:val="center"/>
              <w:rPr>
                <w:b/>
                <w:sz w:val="28"/>
                <w:szCs w:val="28"/>
              </w:rPr>
            </w:pPr>
            <w:r>
              <w:rPr>
                <w:b/>
                <w:sz w:val="28"/>
                <w:szCs w:val="28"/>
              </w:rPr>
              <w:t>20</w:t>
            </w:r>
          </w:p>
        </w:tc>
        <w:tc>
          <w:tcPr>
            <w:tcW w:w="2995" w:type="dxa"/>
            <w:tcBorders>
              <w:top w:val="single" w:color="FFFFFF" w:sz="6" w:space="0"/>
              <w:left w:val="single" w:color="FFFFFF" w:sz="6" w:space="0"/>
              <w:bottom w:val="single" w:color="FFFFFF" w:sz="6" w:space="0"/>
            </w:tcBorders>
            <w:shd w:val="clear" w:color="auto" w:fill="C0C0C0"/>
            <w:vAlign w:val="center"/>
          </w:tcPr>
          <w:p w14:paraId="13C26F00">
            <w:pPr>
              <w:adjustRightInd w:val="0"/>
              <w:snapToGrid w:val="0"/>
              <w:spacing w:before="156" w:beforeLines="50" w:line="360" w:lineRule="auto"/>
              <w:ind w:firstLine="562"/>
              <w:jc w:val="center"/>
              <w:rPr>
                <w:rFonts w:hint="default" w:eastAsia="仿宋_GB2312"/>
                <w:b/>
                <w:sz w:val="28"/>
                <w:szCs w:val="28"/>
                <w:lang w:val="en-US" w:eastAsia="zh-CN"/>
              </w:rPr>
            </w:pPr>
            <w:r>
              <w:rPr>
                <w:rFonts w:hint="eastAsia"/>
                <w:b/>
                <w:sz w:val="28"/>
                <w:szCs w:val="28"/>
              </w:rPr>
              <w:t>1</w:t>
            </w:r>
            <w:r>
              <w:rPr>
                <w:rFonts w:hint="eastAsia"/>
                <w:b/>
                <w:sz w:val="28"/>
                <w:szCs w:val="28"/>
                <w:lang w:val="en-US" w:eastAsia="zh-CN"/>
              </w:rPr>
              <w:t>9.2</w:t>
            </w:r>
          </w:p>
        </w:tc>
      </w:tr>
      <w:tr w14:paraId="1B523C3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32" w:hRule="atLeast"/>
          <w:jc w:val="center"/>
        </w:trPr>
        <w:tc>
          <w:tcPr>
            <w:tcW w:w="2473" w:type="dxa"/>
            <w:tcBorders>
              <w:top w:val="single" w:color="FFFFFF" w:sz="6" w:space="0"/>
              <w:bottom w:val="single" w:color="FFFFFF" w:sz="6" w:space="0"/>
              <w:right w:val="single" w:color="FFFFFF" w:sz="6" w:space="0"/>
            </w:tcBorders>
            <w:shd w:val="clear" w:color="auto" w:fill="C0C0C0"/>
            <w:vAlign w:val="center"/>
          </w:tcPr>
          <w:p w14:paraId="35097268">
            <w:pPr>
              <w:adjustRightInd w:val="0"/>
              <w:snapToGrid w:val="0"/>
              <w:spacing w:before="156" w:beforeLines="50" w:after="60" w:line="360" w:lineRule="auto"/>
              <w:ind w:firstLine="562"/>
              <w:rPr>
                <w:b/>
                <w:sz w:val="28"/>
                <w:szCs w:val="28"/>
              </w:rPr>
            </w:pPr>
            <w:r>
              <w:rPr>
                <w:b/>
                <w:sz w:val="28"/>
                <w:szCs w:val="28"/>
              </w:rPr>
              <w:t>项目产出</w:t>
            </w:r>
          </w:p>
        </w:tc>
        <w:tc>
          <w:tcPr>
            <w:tcW w:w="3017" w:type="dxa"/>
            <w:tcBorders>
              <w:top w:val="single" w:color="FFFFFF" w:sz="6" w:space="0"/>
              <w:left w:val="single" w:color="FFFFFF" w:sz="6" w:space="0"/>
              <w:bottom w:val="single" w:color="FFFFFF" w:sz="6" w:space="0"/>
              <w:right w:val="single" w:color="FFFFFF" w:sz="6" w:space="0"/>
            </w:tcBorders>
            <w:shd w:val="clear" w:color="auto" w:fill="C0C0C0"/>
            <w:vAlign w:val="center"/>
          </w:tcPr>
          <w:p w14:paraId="4676E17D">
            <w:pPr>
              <w:adjustRightInd w:val="0"/>
              <w:snapToGrid w:val="0"/>
              <w:spacing w:before="156" w:beforeLines="50" w:line="360" w:lineRule="auto"/>
              <w:ind w:firstLine="562"/>
              <w:jc w:val="center"/>
              <w:rPr>
                <w:b/>
                <w:sz w:val="28"/>
                <w:szCs w:val="28"/>
              </w:rPr>
            </w:pPr>
            <w:r>
              <w:rPr>
                <w:b/>
                <w:sz w:val="28"/>
                <w:szCs w:val="28"/>
              </w:rPr>
              <w:t>40</w:t>
            </w:r>
          </w:p>
        </w:tc>
        <w:tc>
          <w:tcPr>
            <w:tcW w:w="2995" w:type="dxa"/>
            <w:tcBorders>
              <w:top w:val="single" w:color="FFFFFF" w:sz="6" w:space="0"/>
              <w:left w:val="single" w:color="FFFFFF" w:sz="6" w:space="0"/>
              <w:bottom w:val="single" w:color="FFFFFF" w:sz="6" w:space="0"/>
            </w:tcBorders>
            <w:shd w:val="clear" w:color="auto" w:fill="C0C0C0"/>
            <w:vAlign w:val="center"/>
          </w:tcPr>
          <w:p w14:paraId="59B54CDA">
            <w:pPr>
              <w:adjustRightInd w:val="0"/>
              <w:snapToGrid w:val="0"/>
              <w:spacing w:before="156" w:beforeLines="50" w:line="360" w:lineRule="auto"/>
              <w:ind w:firstLine="562"/>
              <w:jc w:val="center"/>
              <w:rPr>
                <w:rFonts w:hint="eastAsia" w:eastAsia="仿宋_GB2312"/>
                <w:b/>
                <w:sz w:val="28"/>
                <w:szCs w:val="28"/>
                <w:lang w:val="en-US" w:eastAsia="zh-CN"/>
              </w:rPr>
            </w:pPr>
            <w:r>
              <w:rPr>
                <w:rFonts w:hint="eastAsia"/>
                <w:b/>
                <w:sz w:val="28"/>
                <w:szCs w:val="28"/>
              </w:rPr>
              <w:t>3</w:t>
            </w:r>
            <w:r>
              <w:rPr>
                <w:b/>
                <w:sz w:val="28"/>
                <w:szCs w:val="28"/>
              </w:rPr>
              <w:t>8.</w:t>
            </w:r>
            <w:r>
              <w:rPr>
                <w:rFonts w:hint="eastAsia"/>
                <w:b/>
                <w:sz w:val="28"/>
                <w:szCs w:val="28"/>
                <w:lang w:val="en-US" w:eastAsia="zh-CN"/>
              </w:rPr>
              <w:t>8</w:t>
            </w:r>
          </w:p>
        </w:tc>
      </w:tr>
      <w:tr w14:paraId="5D5D48F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32" w:hRule="atLeast"/>
          <w:jc w:val="center"/>
        </w:trPr>
        <w:tc>
          <w:tcPr>
            <w:tcW w:w="2473" w:type="dxa"/>
            <w:tcBorders>
              <w:top w:val="single" w:color="FFFFFF" w:sz="6" w:space="0"/>
              <w:bottom w:val="single" w:color="FFFFFF" w:sz="4" w:space="0"/>
              <w:right w:val="single" w:color="FFFFFF" w:sz="6" w:space="0"/>
            </w:tcBorders>
            <w:shd w:val="clear" w:color="auto" w:fill="C0C0C0"/>
            <w:vAlign w:val="center"/>
          </w:tcPr>
          <w:p w14:paraId="3CDD98FF">
            <w:pPr>
              <w:adjustRightInd w:val="0"/>
              <w:snapToGrid w:val="0"/>
              <w:spacing w:before="156" w:beforeLines="50" w:after="60" w:line="360" w:lineRule="auto"/>
              <w:ind w:firstLine="562"/>
              <w:rPr>
                <w:b/>
                <w:sz w:val="28"/>
                <w:szCs w:val="28"/>
              </w:rPr>
            </w:pPr>
            <w:r>
              <w:rPr>
                <w:b/>
                <w:sz w:val="28"/>
                <w:szCs w:val="28"/>
              </w:rPr>
              <w:t>项目效益</w:t>
            </w:r>
          </w:p>
        </w:tc>
        <w:tc>
          <w:tcPr>
            <w:tcW w:w="3017" w:type="dxa"/>
            <w:tcBorders>
              <w:top w:val="single" w:color="FFFFFF" w:sz="6" w:space="0"/>
              <w:left w:val="single" w:color="FFFFFF" w:sz="6" w:space="0"/>
              <w:bottom w:val="single" w:color="FFFFFF" w:sz="4" w:space="0"/>
              <w:right w:val="single" w:color="FFFFFF" w:sz="4" w:space="0"/>
            </w:tcBorders>
            <w:shd w:val="clear" w:color="auto" w:fill="C0C0C0"/>
            <w:vAlign w:val="center"/>
          </w:tcPr>
          <w:p w14:paraId="1C434841">
            <w:pPr>
              <w:adjustRightInd w:val="0"/>
              <w:snapToGrid w:val="0"/>
              <w:spacing w:before="156" w:beforeLines="50" w:line="360" w:lineRule="auto"/>
              <w:ind w:firstLine="562"/>
              <w:jc w:val="center"/>
              <w:rPr>
                <w:b/>
                <w:sz w:val="28"/>
                <w:szCs w:val="28"/>
              </w:rPr>
            </w:pPr>
            <w:r>
              <w:rPr>
                <w:b/>
                <w:sz w:val="28"/>
                <w:szCs w:val="28"/>
              </w:rPr>
              <w:t>30</w:t>
            </w:r>
          </w:p>
        </w:tc>
        <w:tc>
          <w:tcPr>
            <w:tcW w:w="2995" w:type="dxa"/>
            <w:tcBorders>
              <w:top w:val="single" w:color="FFFFFF" w:sz="6" w:space="0"/>
              <w:left w:val="single" w:color="FFFFFF" w:sz="4" w:space="0"/>
              <w:bottom w:val="single" w:color="FFFFFF" w:sz="4" w:space="0"/>
            </w:tcBorders>
            <w:shd w:val="clear" w:color="auto" w:fill="C0C0C0"/>
            <w:vAlign w:val="center"/>
          </w:tcPr>
          <w:p w14:paraId="5C37A261">
            <w:pPr>
              <w:adjustRightInd w:val="0"/>
              <w:snapToGrid w:val="0"/>
              <w:spacing w:before="156" w:beforeLines="50" w:line="360" w:lineRule="auto"/>
              <w:ind w:firstLine="562"/>
              <w:jc w:val="center"/>
              <w:rPr>
                <w:rFonts w:hint="default" w:eastAsia="仿宋_GB2312"/>
                <w:b/>
                <w:sz w:val="28"/>
                <w:szCs w:val="28"/>
                <w:lang w:val="en-US" w:eastAsia="zh-CN"/>
              </w:rPr>
            </w:pPr>
            <w:r>
              <w:rPr>
                <w:rFonts w:hint="eastAsia"/>
                <w:b/>
                <w:sz w:val="28"/>
                <w:szCs w:val="28"/>
              </w:rPr>
              <w:t>2</w:t>
            </w:r>
            <w:r>
              <w:rPr>
                <w:rFonts w:hint="eastAsia"/>
                <w:b/>
                <w:sz w:val="28"/>
                <w:szCs w:val="28"/>
                <w:lang w:val="en-US" w:eastAsia="zh-CN"/>
              </w:rPr>
              <w:t>6.1</w:t>
            </w:r>
          </w:p>
        </w:tc>
      </w:tr>
      <w:tr w14:paraId="076BFBC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765" w:hRule="atLeast"/>
          <w:jc w:val="center"/>
        </w:trPr>
        <w:tc>
          <w:tcPr>
            <w:tcW w:w="2473" w:type="dxa"/>
            <w:tcBorders>
              <w:top w:val="single" w:color="FFFFFF" w:sz="4" w:space="0"/>
              <w:bottom w:val="single" w:color="FFFFFF" w:sz="4" w:space="0"/>
              <w:right w:val="single" w:color="FFFFFF" w:sz="6" w:space="0"/>
            </w:tcBorders>
            <w:shd w:val="clear" w:color="auto" w:fill="C0C0C0"/>
            <w:vAlign w:val="center"/>
          </w:tcPr>
          <w:p w14:paraId="5EC60560">
            <w:pPr>
              <w:adjustRightInd w:val="0"/>
              <w:snapToGrid w:val="0"/>
              <w:spacing w:before="156" w:beforeLines="50" w:after="60" w:line="360" w:lineRule="auto"/>
              <w:ind w:firstLine="562"/>
              <w:rPr>
                <w:b/>
                <w:sz w:val="28"/>
                <w:szCs w:val="28"/>
              </w:rPr>
            </w:pPr>
            <w:r>
              <w:rPr>
                <w:b/>
                <w:sz w:val="28"/>
                <w:szCs w:val="28"/>
              </w:rPr>
              <w:t>综合得分</w:t>
            </w:r>
          </w:p>
        </w:tc>
        <w:tc>
          <w:tcPr>
            <w:tcW w:w="3017" w:type="dxa"/>
            <w:tcBorders>
              <w:top w:val="single" w:color="FFFFFF" w:sz="4" w:space="0"/>
              <w:left w:val="single" w:color="FFFFFF" w:sz="6" w:space="0"/>
              <w:bottom w:val="single" w:color="FFFFFF" w:sz="4" w:space="0"/>
            </w:tcBorders>
            <w:shd w:val="clear" w:color="auto" w:fill="C0C0C0"/>
            <w:vAlign w:val="center"/>
          </w:tcPr>
          <w:p w14:paraId="6DC90A31">
            <w:pPr>
              <w:adjustRightInd w:val="0"/>
              <w:snapToGrid w:val="0"/>
              <w:spacing w:before="156" w:beforeLines="50" w:line="360" w:lineRule="auto"/>
              <w:ind w:firstLine="562"/>
              <w:jc w:val="center"/>
              <w:rPr>
                <w:b/>
                <w:sz w:val="28"/>
                <w:szCs w:val="28"/>
              </w:rPr>
            </w:pPr>
            <w:r>
              <w:rPr>
                <w:b/>
                <w:sz w:val="28"/>
                <w:szCs w:val="28"/>
              </w:rPr>
              <w:t>100</w:t>
            </w:r>
          </w:p>
        </w:tc>
        <w:tc>
          <w:tcPr>
            <w:tcW w:w="2995" w:type="dxa"/>
            <w:tcBorders>
              <w:top w:val="single" w:color="FFFFFF" w:sz="4" w:space="0"/>
              <w:left w:val="single" w:color="FFFFFF" w:sz="4" w:space="0"/>
              <w:bottom w:val="single" w:color="FFFFFF" w:sz="4" w:space="0"/>
            </w:tcBorders>
            <w:shd w:val="clear" w:color="auto" w:fill="C0C0C0"/>
            <w:vAlign w:val="center"/>
          </w:tcPr>
          <w:p w14:paraId="5498DD3B">
            <w:pPr>
              <w:adjustRightInd w:val="0"/>
              <w:snapToGrid w:val="0"/>
              <w:spacing w:before="156" w:beforeLines="50" w:line="360" w:lineRule="auto"/>
              <w:ind w:firstLine="562"/>
              <w:jc w:val="center"/>
              <w:rPr>
                <w:rFonts w:hint="default" w:eastAsia="仿宋_GB2312"/>
                <w:b/>
                <w:sz w:val="28"/>
                <w:szCs w:val="28"/>
                <w:lang w:val="en-US" w:eastAsia="zh-CN"/>
              </w:rPr>
            </w:pPr>
            <w:r>
              <w:rPr>
                <w:rFonts w:hint="eastAsia"/>
                <w:b/>
                <w:sz w:val="28"/>
                <w:szCs w:val="28"/>
              </w:rPr>
              <w:t>9</w:t>
            </w:r>
            <w:r>
              <w:rPr>
                <w:rFonts w:hint="eastAsia"/>
                <w:b/>
                <w:sz w:val="28"/>
                <w:szCs w:val="28"/>
                <w:lang w:val="en-US" w:eastAsia="zh-CN"/>
              </w:rPr>
              <w:t>3.9</w:t>
            </w:r>
          </w:p>
        </w:tc>
      </w:tr>
      <w:tr w14:paraId="2878130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885" w:hRule="atLeast"/>
          <w:jc w:val="center"/>
        </w:trPr>
        <w:tc>
          <w:tcPr>
            <w:tcW w:w="2473" w:type="dxa"/>
            <w:tcBorders>
              <w:top w:val="single" w:color="FFFFFF" w:sz="4" w:space="0"/>
              <w:right w:val="single" w:color="FFFFFF" w:sz="6" w:space="0"/>
            </w:tcBorders>
            <w:shd w:val="clear" w:color="auto" w:fill="C0C0C0"/>
            <w:vAlign w:val="center"/>
          </w:tcPr>
          <w:p w14:paraId="54A69E84">
            <w:pPr>
              <w:adjustRightInd w:val="0"/>
              <w:snapToGrid w:val="0"/>
              <w:spacing w:before="156" w:beforeLines="50" w:after="60" w:line="360" w:lineRule="auto"/>
              <w:jc w:val="both"/>
              <w:rPr>
                <w:b/>
                <w:sz w:val="28"/>
                <w:szCs w:val="28"/>
              </w:rPr>
            </w:pPr>
            <w:r>
              <w:rPr>
                <w:b/>
                <w:sz w:val="28"/>
                <w:szCs w:val="28"/>
                <w:highlight w:val="none"/>
              </w:rPr>
              <w:t>绩效评定级别</w:t>
            </w:r>
          </w:p>
        </w:tc>
        <w:tc>
          <w:tcPr>
            <w:tcW w:w="6012" w:type="dxa"/>
            <w:gridSpan w:val="2"/>
            <w:tcBorders>
              <w:top w:val="single" w:color="FFFFFF" w:sz="4" w:space="0"/>
              <w:left w:val="single" w:color="FFFFFF" w:sz="6" w:space="0"/>
            </w:tcBorders>
            <w:shd w:val="clear" w:color="auto" w:fill="C0C0C0"/>
            <w:vAlign w:val="center"/>
          </w:tcPr>
          <w:p w14:paraId="171C01A7">
            <w:pPr>
              <w:adjustRightInd w:val="0"/>
              <w:snapToGrid w:val="0"/>
              <w:spacing w:before="156" w:beforeLines="50" w:line="360" w:lineRule="auto"/>
              <w:ind w:firstLine="562"/>
              <w:jc w:val="center"/>
              <w:rPr>
                <w:b/>
                <w:sz w:val="28"/>
                <w:szCs w:val="28"/>
              </w:rPr>
            </w:pPr>
            <w:r>
              <w:rPr>
                <w:b/>
                <w:sz w:val="28"/>
                <w:szCs w:val="28"/>
              </w:rPr>
              <w:t>优秀</w:t>
            </w:r>
          </w:p>
        </w:tc>
      </w:tr>
    </w:tbl>
    <w:p w14:paraId="217E9F3A">
      <w:pPr>
        <w:spacing w:before="156" w:beforeLines="50" w:line="360" w:lineRule="auto"/>
        <w:ind w:firstLine="640"/>
        <w:jc w:val="left"/>
      </w:pPr>
    </w:p>
    <w:p w14:paraId="11AF49F1">
      <w:pPr>
        <w:spacing w:line="560" w:lineRule="exact"/>
        <w:ind w:firstLine="720"/>
        <w:jc w:val="center"/>
        <w:rPr>
          <w:rFonts w:eastAsia="方正小标宋简体"/>
          <w:sz w:val="36"/>
          <w:szCs w:val="36"/>
        </w:rPr>
      </w:pPr>
    </w:p>
    <w:p w14:paraId="0CB45C2D">
      <w:pPr>
        <w:spacing w:line="560" w:lineRule="exact"/>
        <w:ind w:firstLine="720"/>
        <w:jc w:val="center"/>
        <w:rPr>
          <w:rFonts w:eastAsia="方正小标宋简体"/>
          <w:sz w:val="36"/>
          <w:szCs w:val="36"/>
        </w:rPr>
      </w:pPr>
    </w:p>
    <w:sdt>
      <w:sdtPr>
        <w:rPr>
          <w:rFonts w:ascii="Times New Roman" w:hAnsi="Times New Roman" w:eastAsia="仿宋_GB2312" w:cs="Times New Roman"/>
          <w:b w:val="0"/>
          <w:bCs w:val="0"/>
          <w:color w:val="auto"/>
          <w:kern w:val="2"/>
          <w:sz w:val="32"/>
          <w:szCs w:val="24"/>
          <w:lang w:val="zh-CN"/>
        </w:rPr>
        <w:id w:val="-1047592281"/>
        <w:docPartObj>
          <w:docPartGallery w:val="Table of Contents"/>
          <w:docPartUnique/>
        </w:docPartObj>
      </w:sdtPr>
      <w:sdtEndPr>
        <w:rPr>
          <w:rFonts w:ascii="Times New Roman" w:hAnsi="Times New Roman" w:eastAsia="仿宋_GB2312" w:cs="Times New Roman"/>
          <w:b w:val="0"/>
          <w:bCs w:val="0"/>
          <w:color w:val="auto"/>
          <w:kern w:val="2"/>
          <w:sz w:val="32"/>
          <w:szCs w:val="24"/>
          <w:lang w:val="zh-CN"/>
        </w:rPr>
      </w:sdtEndPr>
      <w:sdtContent>
        <w:p w14:paraId="7E40D19B">
          <w:pPr>
            <w:pStyle w:val="32"/>
            <w:ind w:firstLine="640"/>
            <w:jc w:val="center"/>
            <w:rPr>
              <w:rFonts w:ascii="Times New Roman" w:hAnsi="Times New Roman" w:cs="Times New Roman"/>
              <w:color w:val="auto"/>
            </w:rPr>
          </w:pPr>
          <w:r>
            <w:rPr>
              <w:rFonts w:ascii="Times New Roman" w:hAnsi="Times New Roman" w:cs="Times New Roman"/>
              <w:color w:val="auto"/>
              <w:lang w:val="zh-CN"/>
            </w:rPr>
            <w:t>目录</w:t>
          </w:r>
        </w:p>
        <w:p w14:paraId="4ACA0F35">
          <w:pPr>
            <w:pStyle w:val="13"/>
            <w:tabs>
              <w:tab w:val="right" w:leader="dot" w:pos="8296"/>
            </w:tabs>
            <w:ind w:left="638" w:leftChars="0" w:hanging="638" w:hangingChars="228"/>
            <w:rPr>
              <w:rFonts w:asciiTheme="minorHAnsi" w:hAnsiTheme="minorHAnsi" w:eastAsiaTheme="minorEastAsia" w:cstheme="minorBidi"/>
              <w:sz w:val="21"/>
              <w:szCs w:val="22"/>
            </w:rPr>
          </w:pPr>
          <w:r>
            <w:rPr>
              <w:rFonts w:eastAsia="黑体"/>
              <w:sz w:val="28"/>
              <w:szCs w:val="28"/>
            </w:rPr>
            <w:fldChar w:fldCharType="begin"/>
          </w:r>
          <w:r>
            <w:rPr>
              <w:rFonts w:eastAsia="黑体"/>
              <w:sz w:val="28"/>
              <w:szCs w:val="28"/>
            </w:rPr>
            <w:instrText xml:space="preserve"> TOC \o "1-3" \h \z \u </w:instrText>
          </w:r>
          <w:r>
            <w:rPr>
              <w:rFonts w:eastAsia="黑体"/>
              <w:sz w:val="28"/>
              <w:szCs w:val="28"/>
            </w:rPr>
            <w:fldChar w:fldCharType="separate"/>
          </w:r>
          <w:r>
            <w:fldChar w:fldCharType="begin"/>
          </w:r>
          <w:r>
            <w:instrText xml:space="preserve"> HYPERLINK \l "_Toc165130964" </w:instrText>
          </w:r>
          <w:r>
            <w:fldChar w:fldCharType="separate"/>
          </w:r>
          <w:r>
            <w:rPr>
              <w:rStyle w:val="17"/>
              <w:rFonts w:ascii="黑体" w:hAnsi="黑体" w:eastAsia="黑体" w:cs="黑体"/>
            </w:rPr>
            <w:t>一、基本情况</w:t>
          </w:r>
          <w:r>
            <w:tab/>
          </w:r>
          <w:r>
            <w:fldChar w:fldCharType="begin"/>
          </w:r>
          <w:r>
            <w:instrText xml:space="preserve"> PAGEREF _Toc165130964 \h </w:instrText>
          </w:r>
          <w:r>
            <w:fldChar w:fldCharType="separate"/>
          </w:r>
          <w:r>
            <w:t>1</w:t>
          </w:r>
          <w:r>
            <w:fldChar w:fldCharType="end"/>
          </w:r>
          <w:r>
            <w:fldChar w:fldCharType="end"/>
          </w:r>
        </w:p>
        <w:p w14:paraId="44B64B94">
          <w:pPr>
            <w:pStyle w:val="6"/>
            <w:rPr>
              <w:rFonts w:asciiTheme="minorHAnsi" w:hAnsiTheme="minorHAnsi" w:eastAsiaTheme="minorEastAsia" w:cstheme="minorBidi"/>
              <w:sz w:val="21"/>
              <w:szCs w:val="22"/>
            </w:rPr>
          </w:pPr>
          <w:r>
            <w:fldChar w:fldCharType="begin"/>
          </w:r>
          <w:r>
            <w:instrText xml:space="preserve"> HYPERLINK \l "_Toc165130965" </w:instrText>
          </w:r>
          <w:r>
            <w:fldChar w:fldCharType="separate"/>
          </w:r>
          <w:r>
            <w:rPr>
              <w:rStyle w:val="17"/>
            </w:rPr>
            <w:t>（一）项目概况</w:t>
          </w:r>
          <w:r>
            <w:tab/>
          </w:r>
          <w:r>
            <w:fldChar w:fldCharType="begin"/>
          </w:r>
          <w:r>
            <w:instrText xml:space="preserve"> PAGEREF _Toc165130965 \h </w:instrText>
          </w:r>
          <w:r>
            <w:fldChar w:fldCharType="separate"/>
          </w:r>
          <w:r>
            <w:t>1</w:t>
          </w:r>
          <w:r>
            <w:fldChar w:fldCharType="end"/>
          </w:r>
          <w:r>
            <w:fldChar w:fldCharType="end"/>
          </w:r>
        </w:p>
        <w:p w14:paraId="207E591D">
          <w:pPr>
            <w:pStyle w:val="6"/>
            <w:rPr>
              <w:rFonts w:asciiTheme="minorHAnsi" w:hAnsiTheme="minorHAnsi" w:eastAsiaTheme="minorEastAsia" w:cstheme="minorBidi"/>
              <w:sz w:val="21"/>
              <w:szCs w:val="22"/>
            </w:rPr>
          </w:pPr>
          <w:r>
            <w:fldChar w:fldCharType="begin"/>
          </w:r>
          <w:r>
            <w:instrText xml:space="preserve"> HYPERLINK \l "_Toc165130966" </w:instrText>
          </w:r>
          <w:r>
            <w:fldChar w:fldCharType="separate"/>
          </w:r>
          <w:r>
            <w:rPr>
              <w:rStyle w:val="17"/>
            </w:rPr>
            <w:t>（二）项目绩效目标</w:t>
          </w:r>
          <w:r>
            <w:tab/>
          </w:r>
          <w:r>
            <w:fldChar w:fldCharType="begin"/>
          </w:r>
          <w:r>
            <w:instrText xml:space="preserve"> PAGEREF _Toc165130966 \h </w:instrText>
          </w:r>
          <w:r>
            <w:fldChar w:fldCharType="separate"/>
          </w:r>
          <w:r>
            <w:t>2</w:t>
          </w:r>
          <w:r>
            <w:fldChar w:fldCharType="end"/>
          </w:r>
          <w:r>
            <w:fldChar w:fldCharType="end"/>
          </w:r>
        </w:p>
        <w:p w14:paraId="2DAF9691">
          <w:pPr>
            <w:pStyle w:val="13"/>
            <w:tabs>
              <w:tab w:val="right" w:leader="dot" w:pos="8296"/>
            </w:tabs>
            <w:ind w:left="640" w:leftChars="0" w:hanging="640" w:hangingChars="200"/>
            <w:rPr>
              <w:rFonts w:asciiTheme="minorHAnsi" w:hAnsiTheme="minorHAnsi" w:eastAsiaTheme="minorEastAsia" w:cstheme="minorBidi"/>
              <w:sz w:val="21"/>
              <w:szCs w:val="22"/>
            </w:rPr>
          </w:pPr>
          <w:r>
            <w:fldChar w:fldCharType="begin"/>
          </w:r>
          <w:r>
            <w:instrText xml:space="preserve"> HYPERLINK \l "_Toc165130968" </w:instrText>
          </w:r>
          <w:r>
            <w:fldChar w:fldCharType="separate"/>
          </w:r>
          <w:r>
            <w:rPr>
              <w:rStyle w:val="17"/>
              <w:rFonts w:ascii="黑体" w:hAnsi="黑体" w:eastAsia="黑体" w:cs="黑体"/>
            </w:rPr>
            <w:t>二、绩效评价工作开展情况</w:t>
          </w:r>
          <w:r>
            <w:tab/>
          </w:r>
          <w:r>
            <w:fldChar w:fldCharType="begin"/>
          </w:r>
          <w:r>
            <w:instrText xml:space="preserve"> PAGEREF _Toc165130968 \h </w:instrText>
          </w:r>
          <w:r>
            <w:fldChar w:fldCharType="separate"/>
          </w:r>
          <w:r>
            <w:t>3</w:t>
          </w:r>
          <w:r>
            <w:fldChar w:fldCharType="end"/>
          </w:r>
          <w:r>
            <w:fldChar w:fldCharType="end"/>
          </w:r>
        </w:p>
        <w:p w14:paraId="443016B6">
          <w:pPr>
            <w:pStyle w:val="6"/>
            <w:rPr>
              <w:rFonts w:asciiTheme="minorHAnsi" w:hAnsiTheme="minorHAnsi" w:eastAsiaTheme="minorEastAsia" w:cstheme="minorBidi"/>
              <w:sz w:val="21"/>
              <w:szCs w:val="22"/>
            </w:rPr>
          </w:pPr>
          <w:r>
            <w:fldChar w:fldCharType="begin"/>
          </w:r>
          <w:r>
            <w:instrText xml:space="preserve"> HYPERLINK \l "_Toc165130969" </w:instrText>
          </w:r>
          <w:r>
            <w:fldChar w:fldCharType="separate"/>
          </w:r>
          <w:r>
            <w:rPr>
              <w:rStyle w:val="17"/>
            </w:rPr>
            <w:t>（一）绩效评价目的、对象和范围</w:t>
          </w:r>
          <w:r>
            <w:tab/>
          </w:r>
          <w:r>
            <w:fldChar w:fldCharType="begin"/>
          </w:r>
          <w:r>
            <w:instrText xml:space="preserve"> PAGEREF _Toc165130969 \h </w:instrText>
          </w:r>
          <w:r>
            <w:fldChar w:fldCharType="separate"/>
          </w:r>
          <w:r>
            <w:t>3</w:t>
          </w:r>
          <w:r>
            <w:fldChar w:fldCharType="end"/>
          </w:r>
          <w:r>
            <w:fldChar w:fldCharType="end"/>
          </w:r>
        </w:p>
        <w:p w14:paraId="03E41C63">
          <w:pPr>
            <w:pStyle w:val="6"/>
            <w:ind w:left="1600" w:leftChars="200" w:hanging="960" w:hangingChars="300"/>
            <w:rPr>
              <w:rFonts w:asciiTheme="minorHAnsi" w:hAnsiTheme="minorHAnsi" w:eastAsiaTheme="minorEastAsia" w:cstheme="minorBidi"/>
              <w:sz w:val="21"/>
              <w:szCs w:val="22"/>
            </w:rPr>
          </w:pPr>
          <w:r>
            <w:fldChar w:fldCharType="begin"/>
          </w:r>
          <w:r>
            <w:instrText xml:space="preserve"> HYPERLINK \l "_Toc165130970" </w:instrText>
          </w:r>
          <w:r>
            <w:fldChar w:fldCharType="separate"/>
          </w:r>
          <w:r>
            <w:rPr>
              <w:rStyle w:val="17"/>
            </w:rPr>
            <w:t>（二）绩效评价原则、评价指标体系（附表说明）、评价方法、评价标准等</w:t>
          </w:r>
          <w:r>
            <w:tab/>
          </w:r>
          <w:r>
            <w:fldChar w:fldCharType="begin"/>
          </w:r>
          <w:r>
            <w:instrText xml:space="preserve"> PAGEREF _Toc165130970 \h </w:instrText>
          </w:r>
          <w:r>
            <w:fldChar w:fldCharType="separate"/>
          </w:r>
          <w:r>
            <w:t>3</w:t>
          </w:r>
          <w:r>
            <w:fldChar w:fldCharType="end"/>
          </w:r>
          <w:r>
            <w:fldChar w:fldCharType="end"/>
          </w:r>
        </w:p>
        <w:p w14:paraId="6121B464">
          <w:pPr>
            <w:pStyle w:val="6"/>
            <w:rPr>
              <w:rFonts w:asciiTheme="minorHAnsi" w:hAnsiTheme="minorHAnsi" w:eastAsiaTheme="minorEastAsia" w:cstheme="minorBidi"/>
              <w:sz w:val="21"/>
              <w:szCs w:val="22"/>
            </w:rPr>
          </w:pPr>
          <w:r>
            <w:fldChar w:fldCharType="begin"/>
          </w:r>
          <w:r>
            <w:instrText xml:space="preserve"> HYPERLINK \l "_Toc165130971" </w:instrText>
          </w:r>
          <w:r>
            <w:fldChar w:fldCharType="separate"/>
          </w:r>
          <w:r>
            <w:rPr>
              <w:rStyle w:val="17"/>
            </w:rPr>
            <w:t>（三）绩效评价工作过程</w:t>
          </w:r>
          <w:r>
            <w:tab/>
          </w:r>
          <w:r>
            <w:fldChar w:fldCharType="begin"/>
          </w:r>
          <w:r>
            <w:instrText xml:space="preserve"> PAGEREF _Toc165130971 \h </w:instrText>
          </w:r>
          <w:r>
            <w:fldChar w:fldCharType="separate"/>
          </w:r>
          <w:r>
            <w:t>4</w:t>
          </w:r>
          <w:r>
            <w:fldChar w:fldCharType="end"/>
          </w:r>
          <w:r>
            <w:fldChar w:fldCharType="end"/>
          </w:r>
        </w:p>
        <w:p w14:paraId="65124388">
          <w:pPr>
            <w:pStyle w:val="13"/>
            <w:tabs>
              <w:tab w:val="right" w:leader="dot" w:pos="8296"/>
            </w:tabs>
            <w:ind w:left="640" w:leftChars="0" w:hanging="640" w:hangingChars="200"/>
            <w:rPr>
              <w:rFonts w:asciiTheme="minorHAnsi" w:hAnsiTheme="minorHAnsi" w:eastAsiaTheme="minorEastAsia" w:cstheme="minorBidi"/>
              <w:sz w:val="21"/>
              <w:szCs w:val="22"/>
            </w:rPr>
          </w:pPr>
          <w:r>
            <w:fldChar w:fldCharType="begin"/>
          </w:r>
          <w:r>
            <w:instrText xml:space="preserve"> HYPERLINK \l "_Toc165130972" </w:instrText>
          </w:r>
          <w:r>
            <w:fldChar w:fldCharType="separate"/>
          </w:r>
          <w:r>
            <w:rPr>
              <w:rStyle w:val="17"/>
              <w:rFonts w:ascii="黑体" w:hAnsi="黑体" w:eastAsia="黑体" w:cs="黑体"/>
            </w:rPr>
            <w:t>三、综合评价情况及评价结论（附相关评分表）</w:t>
          </w:r>
          <w:r>
            <w:tab/>
          </w:r>
          <w:r>
            <w:fldChar w:fldCharType="begin"/>
          </w:r>
          <w:r>
            <w:instrText xml:space="preserve"> PAGEREF _Toc165130972 \h </w:instrText>
          </w:r>
          <w:r>
            <w:fldChar w:fldCharType="separate"/>
          </w:r>
          <w:r>
            <w:t>6</w:t>
          </w:r>
          <w:r>
            <w:fldChar w:fldCharType="end"/>
          </w:r>
          <w:r>
            <w:fldChar w:fldCharType="end"/>
          </w:r>
        </w:p>
        <w:p w14:paraId="08B5A522">
          <w:pPr>
            <w:pStyle w:val="13"/>
            <w:tabs>
              <w:tab w:val="right" w:leader="dot" w:pos="8296"/>
            </w:tabs>
            <w:ind w:left="640" w:leftChars="0" w:hanging="640" w:hangingChars="200"/>
            <w:rPr>
              <w:rFonts w:asciiTheme="minorHAnsi" w:hAnsiTheme="minorHAnsi" w:eastAsiaTheme="minorEastAsia" w:cstheme="minorBidi"/>
              <w:sz w:val="21"/>
              <w:szCs w:val="22"/>
            </w:rPr>
          </w:pPr>
          <w:r>
            <w:fldChar w:fldCharType="begin"/>
          </w:r>
          <w:r>
            <w:instrText xml:space="preserve"> HYPERLINK \l "_Toc165130973" </w:instrText>
          </w:r>
          <w:r>
            <w:fldChar w:fldCharType="separate"/>
          </w:r>
          <w:r>
            <w:rPr>
              <w:rStyle w:val="17"/>
              <w:rFonts w:ascii="黑体" w:hAnsi="黑体" w:eastAsia="黑体" w:cs="黑体"/>
            </w:rPr>
            <w:t>四、绩效评价指标分析</w:t>
          </w:r>
          <w:r>
            <w:tab/>
          </w:r>
          <w:r>
            <w:fldChar w:fldCharType="begin"/>
          </w:r>
          <w:r>
            <w:instrText xml:space="preserve"> PAGEREF _Toc165130973 \h </w:instrText>
          </w:r>
          <w:r>
            <w:fldChar w:fldCharType="separate"/>
          </w:r>
          <w:r>
            <w:t>7</w:t>
          </w:r>
          <w:r>
            <w:fldChar w:fldCharType="end"/>
          </w:r>
          <w:r>
            <w:fldChar w:fldCharType="end"/>
          </w:r>
        </w:p>
        <w:p w14:paraId="3B8CABF8">
          <w:pPr>
            <w:pStyle w:val="6"/>
            <w:rPr>
              <w:rFonts w:asciiTheme="minorHAnsi" w:hAnsiTheme="minorHAnsi" w:eastAsiaTheme="minorEastAsia" w:cstheme="minorBidi"/>
              <w:sz w:val="21"/>
              <w:szCs w:val="22"/>
            </w:rPr>
          </w:pPr>
          <w:r>
            <w:fldChar w:fldCharType="begin"/>
          </w:r>
          <w:r>
            <w:instrText xml:space="preserve"> HYPERLINK \l "_Toc165130974" </w:instrText>
          </w:r>
          <w:r>
            <w:fldChar w:fldCharType="separate"/>
          </w:r>
          <w:r>
            <w:rPr>
              <w:rStyle w:val="17"/>
            </w:rPr>
            <w:t>（一）项目决策情况</w:t>
          </w:r>
          <w:r>
            <w:tab/>
          </w:r>
          <w:r>
            <w:fldChar w:fldCharType="begin"/>
          </w:r>
          <w:r>
            <w:instrText xml:space="preserve"> PAGEREF _Toc165130974 \h </w:instrText>
          </w:r>
          <w:r>
            <w:fldChar w:fldCharType="separate"/>
          </w:r>
          <w:r>
            <w:t>7</w:t>
          </w:r>
          <w:r>
            <w:fldChar w:fldCharType="end"/>
          </w:r>
          <w:r>
            <w:fldChar w:fldCharType="end"/>
          </w:r>
        </w:p>
        <w:p w14:paraId="1EAE1FCA">
          <w:pPr>
            <w:pStyle w:val="6"/>
            <w:rPr>
              <w:rFonts w:asciiTheme="minorHAnsi" w:hAnsiTheme="minorHAnsi" w:eastAsiaTheme="minorEastAsia" w:cstheme="minorBidi"/>
              <w:sz w:val="21"/>
              <w:szCs w:val="22"/>
            </w:rPr>
          </w:pPr>
          <w:r>
            <w:fldChar w:fldCharType="begin"/>
          </w:r>
          <w:r>
            <w:instrText xml:space="preserve"> HYPERLINK \l "_Toc165130975" </w:instrText>
          </w:r>
          <w:r>
            <w:fldChar w:fldCharType="separate"/>
          </w:r>
          <w:r>
            <w:rPr>
              <w:rStyle w:val="17"/>
            </w:rPr>
            <w:t>（二）项目过程情况</w:t>
          </w:r>
          <w:r>
            <w:tab/>
          </w:r>
          <w:r>
            <w:fldChar w:fldCharType="begin"/>
          </w:r>
          <w:r>
            <w:instrText xml:space="preserve"> PAGEREF _Toc165130975 \h </w:instrText>
          </w:r>
          <w:r>
            <w:fldChar w:fldCharType="separate"/>
          </w:r>
          <w:r>
            <w:t>7</w:t>
          </w:r>
          <w:r>
            <w:fldChar w:fldCharType="end"/>
          </w:r>
          <w:r>
            <w:fldChar w:fldCharType="end"/>
          </w:r>
        </w:p>
        <w:p w14:paraId="190641EE">
          <w:pPr>
            <w:pStyle w:val="6"/>
            <w:rPr>
              <w:rFonts w:asciiTheme="minorHAnsi" w:hAnsiTheme="minorHAnsi" w:eastAsiaTheme="minorEastAsia" w:cstheme="minorBidi"/>
              <w:sz w:val="21"/>
              <w:szCs w:val="22"/>
            </w:rPr>
          </w:pPr>
          <w:r>
            <w:fldChar w:fldCharType="begin"/>
          </w:r>
          <w:r>
            <w:instrText xml:space="preserve"> HYPERLINK \l "_Toc165130976" </w:instrText>
          </w:r>
          <w:r>
            <w:fldChar w:fldCharType="separate"/>
          </w:r>
          <w:r>
            <w:rPr>
              <w:rStyle w:val="17"/>
            </w:rPr>
            <w:t>（三）项目产出情况</w:t>
          </w:r>
          <w:r>
            <w:tab/>
          </w:r>
          <w:r>
            <w:rPr>
              <w:rFonts w:hint="eastAsia"/>
              <w:lang w:val="en-US" w:eastAsia="zh-CN"/>
            </w:rPr>
            <w:t>9</w:t>
          </w:r>
          <w:r>
            <w:fldChar w:fldCharType="end"/>
          </w:r>
        </w:p>
        <w:p w14:paraId="201C0E1F">
          <w:pPr>
            <w:pStyle w:val="6"/>
            <w:rPr>
              <w:rFonts w:asciiTheme="minorHAnsi" w:hAnsiTheme="minorHAnsi" w:eastAsiaTheme="minorEastAsia" w:cstheme="minorBidi"/>
              <w:sz w:val="21"/>
              <w:szCs w:val="22"/>
            </w:rPr>
          </w:pPr>
          <w:r>
            <w:fldChar w:fldCharType="begin"/>
          </w:r>
          <w:r>
            <w:instrText xml:space="preserve"> HYPERLINK \l "_Toc165130977" </w:instrText>
          </w:r>
          <w:r>
            <w:fldChar w:fldCharType="separate"/>
          </w:r>
          <w:r>
            <w:rPr>
              <w:rStyle w:val="17"/>
            </w:rPr>
            <w:t>（四）项目效益情况</w:t>
          </w:r>
          <w:r>
            <w:tab/>
          </w:r>
          <w:r>
            <w:fldChar w:fldCharType="begin"/>
          </w:r>
          <w:r>
            <w:instrText xml:space="preserve"> PAGEREF _Toc165130977 \h </w:instrText>
          </w:r>
          <w:r>
            <w:fldChar w:fldCharType="separate"/>
          </w:r>
          <w:r>
            <w:t>9</w:t>
          </w:r>
          <w:r>
            <w:fldChar w:fldCharType="end"/>
          </w:r>
          <w:r>
            <w:fldChar w:fldCharType="end"/>
          </w:r>
        </w:p>
        <w:p w14:paraId="6F5679C0">
          <w:pPr>
            <w:pStyle w:val="13"/>
            <w:tabs>
              <w:tab w:val="right" w:leader="dot" w:pos="8296"/>
            </w:tabs>
            <w:ind w:left="640" w:leftChars="0" w:hanging="640" w:hangingChars="200"/>
            <w:rPr>
              <w:rFonts w:asciiTheme="minorHAnsi" w:hAnsiTheme="minorHAnsi" w:eastAsiaTheme="minorEastAsia" w:cstheme="minorBidi"/>
              <w:sz w:val="21"/>
              <w:szCs w:val="22"/>
            </w:rPr>
          </w:pPr>
          <w:r>
            <w:fldChar w:fldCharType="begin"/>
          </w:r>
          <w:r>
            <w:instrText xml:space="preserve"> HYPERLINK \l "_Toc165130978" </w:instrText>
          </w:r>
          <w:r>
            <w:fldChar w:fldCharType="separate"/>
          </w:r>
          <w:r>
            <w:rPr>
              <w:rStyle w:val="17"/>
              <w:rFonts w:ascii="黑体" w:hAnsi="黑体" w:eastAsia="黑体" w:cs="黑体"/>
            </w:rPr>
            <w:t>五、主要经验及做法、存在的问题及原因分析</w:t>
          </w:r>
          <w:r>
            <w:tab/>
          </w:r>
          <w:r>
            <w:fldChar w:fldCharType="begin"/>
          </w:r>
          <w:r>
            <w:instrText xml:space="preserve"> PAGEREF _Toc165130978 \h </w:instrText>
          </w:r>
          <w:r>
            <w:fldChar w:fldCharType="separate"/>
          </w:r>
          <w:r>
            <w:t>12</w:t>
          </w:r>
          <w:r>
            <w:fldChar w:fldCharType="end"/>
          </w:r>
          <w:r>
            <w:fldChar w:fldCharType="end"/>
          </w:r>
        </w:p>
        <w:p w14:paraId="6389A752">
          <w:pPr>
            <w:pStyle w:val="13"/>
            <w:tabs>
              <w:tab w:val="right" w:leader="dot" w:pos="8296"/>
            </w:tabs>
            <w:ind w:left="640" w:leftChars="0" w:hanging="640" w:hangingChars="200"/>
            <w:rPr>
              <w:rFonts w:asciiTheme="minorHAnsi" w:hAnsiTheme="minorHAnsi" w:eastAsiaTheme="minorEastAsia" w:cstheme="minorBidi"/>
              <w:sz w:val="21"/>
              <w:szCs w:val="22"/>
            </w:rPr>
          </w:pPr>
          <w:r>
            <w:fldChar w:fldCharType="begin"/>
          </w:r>
          <w:r>
            <w:instrText xml:space="preserve"> HYPERLINK \l "_Toc165130979" </w:instrText>
          </w:r>
          <w:r>
            <w:fldChar w:fldCharType="separate"/>
          </w:r>
          <w:r>
            <w:rPr>
              <w:rStyle w:val="17"/>
              <w:rFonts w:ascii="黑体" w:hAnsi="黑体" w:eastAsia="黑体" w:cs="黑体"/>
            </w:rPr>
            <w:t>六、有关建议</w:t>
          </w:r>
          <w:r>
            <w:tab/>
          </w:r>
          <w:r>
            <w:fldChar w:fldCharType="begin"/>
          </w:r>
          <w:r>
            <w:instrText xml:space="preserve"> PAGEREF _Toc165130979 \h </w:instrText>
          </w:r>
          <w:r>
            <w:fldChar w:fldCharType="separate"/>
          </w:r>
          <w:r>
            <w:t>12</w:t>
          </w:r>
          <w:r>
            <w:fldChar w:fldCharType="end"/>
          </w:r>
          <w:r>
            <w:fldChar w:fldCharType="end"/>
          </w:r>
        </w:p>
        <w:p w14:paraId="1660C227">
          <w:pPr>
            <w:ind w:firstLineChars="71"/>
            <w:jc w:val="left"/>
            <w:sectPr>
              <w:pgSz w:w="11906" w:h="16838"/>
              <w:pgMar w:top="1440" w:right="1800" w:bottom="1440" w:left="1800" w:header="851" w:footer="992" w:gutter="0"/>
              <w:pgNumType w:start="1"/>
              <w:cols w:space="425" w:num="1"/>
              <w:docGrid w:type="lines" w:linePitch="312" w:charSpace="0"/>
            </w:sectPr>
          </w:pPr>
          <w:r>
            <w:rPr>
              <w:rFonts w:eastAsia="黑体"/>
              <w:b/>
              <w:bCs/>
              <w:sz w:val="28"/>
              <w:szCs w:val="28"/>
              <w:lang w:val="zh-CN"/>
            </w:rPr>
            <w:fldChar w:fldCharType="end"/>
          </w:r>
        </w:p>
      </w:sdtContent>
    </w:sdt>
    <w:p w14:paraId="317F467B">
      <w:pPr>
        <w:spacing w:line="560" w:lineRule="exact"/>
        <w:ind w:firstLine="720"/>
        <w:jc w:val="center"/>
        <w:rPr>
          <w:rFonts w:ascii="宋体" w:hAnsi="宋体" w:eastAsia="宋体" w:cs="宋体"/>
          <w:sz w:val="36"/>
          <w:szCs w:val="36"/>
        </w:rPr>
      </w:pPr>
      <w:r>
        <w:rPr>
          <w:rFonts w:hint="eastAsia" w:ascii="宋体" w:hAnsi="宋体" w:eastAsia="宋体" w:cs="宋体"/>
          <w:sz w:val="36"/>
          <w:szCs w:val="36"/>
        </w:rPr>
        <w:t>北京市财政支出项目绩效报告</w:t>
      </w:r>
    </w:p>
    <w:p w14:paraId="7ABFAFC7">
      <w:pPr>
        <w:spacing w:line="560" w:lineRule="exact"/>
        <w:ind w:firstLine="720"/>
        <w:jc w:val="center"/>
        <w:rPr>
          <w:rFonts w:ascii="仿宋_GB2312"/>
          <w:sz w:val="36"/>
          <w:szCs w:val="36"/>
        </w:rPr>
      </w:pPr>
    </w:p>
    <w:p w14:paraId="26C74FFE">
      <w:pPr>
        <w:ind w:firstLine="640"/>
      </w:pPr>
      <w:r>
        <w:rPr>
          <w:rFonts w:hint="eastAsia"/>
        </w:rPr>
        <w:t>为切实增强部门支出责任和效率意识，提高财政资金使用效益</w:t>
      </w:r>
      <w:r>
        <w:t>。根据</w:t>
      </w:r>
      <w:r>
        <w:rPr>
          <w:rFonts w:hint="eastAsia"/>
        </w:rPr>
        <w:t>《中共北京市委北京市人民政府关于全面实施预算绩效管理的实施意见》(京发〔2019〕12号)、《北京市项目支出绩效评价管理办法》(京财绩效〔2020〕2146号)</w:t>
      </w:r>
      <w:r>
        <w:t>等文件规定，北京市顺义区人民法院（以下简称：顺义法院）</w:t>
      </w:r>
      <w:r>
        <w:rPr>
          <w:rFonts w:hint="eastAsia"/>
        </w:rPr>
        <w:t>与北京信业天成会计师事务所有限公司</w:t>
      </w:r>
      <w:r>
        <w:t>成立评价工作组，对“</w:t>
      </w:r>
      <w:r>
        <w:rPr>
          <w:rFonts w:hint="eastAsia"/>
        </w:rPr>
        <w:t>法院办案业务费</w:t>
      </w:r>
      <w:r>
        <w:t>”项目的绩效情况实施评价，形成本绩效评价报告。</w:t>
      </w:r>
    </w:p>
    <w:p w14:paraId="47548FED">
      <w:pPr>
        <w:pStyle w:val="3"/>
        <w:ind w:firstLine="643"/>
        <w:rPr>
          <w:rFonts w:ascii="黑体" w:hAnsi="黑体" w:eastAsia="黑体" w:cs="黑体"/>
        </w:rPr>
      </w:pPr>
      <w:bookmarkStart w:id="1" w:name="_Toc165130964"/>
      <w:r>
        <w:rPr>
          <w:rFonts w:hint="eastAsia" w:ascii="黑体" w:hAnsi="黑体" w:eastAsia="黑体" w:cs="黑体"/>
        </w:rPr>
        <w:t>一、基本情况</w:t>
      </w:r>
      <w:bookmarkEnd w:id="1"/>
    </w:p>
    <w:p w14:paraId="122249F9">
      <w:pPr>
        <w:pStyle w:val="4"/>
        <w:ind w:firstLine="643"/>
      </w:pPr>
      <w:bookmarkStart w:id="2" w:name="_Toc165130965"/>
      <w:r>
        <w:rPr>
          <w:rStyle w:val="30"/>
          <w:rFonts w:eastAsia="仿宋_GB2312"/>
          <w:b/>
          <w:bCs/>
        </w:rPr>
        <w:t>（一）项目概况</w:t>
      </w:r>
      <w:bookmarkEnd w:id="2"/>
    </w:p>
    <w:p w14:paraId="487C84E3">
      <w:pPr>
        <w:ind w:firstLine="640"/>
      </w:pPr>
      <w:r>
        <w:t>1、项目背景</w:t>
      </w:r>
    </w:p>
    <w:p w14:paraId="1C010C7A">
      <w:pPr>
        <w:ind w:firstLine="640"/>
      </w:pPr>
      <w:r>
        <w:rPr>
          <w:rFonts w:hint="eastAsia"/>
        </w:rPr>
        <w:t>深入贯彻落实党的指示精神和习近平总书记重要讲话，全面依法履行审判职能，积极稳妥</w:t>
      </w:r>
      <w:r>
        <w:rPr>
          <w:rFonts w:hint="eastAsia"/>
          <w:lang w:eastAsia="zh-CN"/>
        </w:rPr>
        <w:t>地</w:t>
      </w:r>
      <w:r>
        <w:rPr>
          <w:rFonts w:hint="eastAsia"/>
        </w:rPr>
        <w:t>落实司法改革任务，积极回应人民群众对推进法治建设、维护司法公正的期待，坚持司法为民、公正司法，努力让人民群众在每一个司法案件中都感受到公平正义。切实发挥审判业务经费使用效益，努力发挥人民法院在践行社会主义核心价值观和全面深化改革中的职能作用，为首都经济社会发展提供坚强司法保障。</w:t>
      </w:r>
    </w:p>
    <w:p w14:paraId="75EBE694">
      <w:pPr>
        <w:ind w:firstLine="640"/>
      </w:pPr>
    </w:p>
    <w:p w14:paraId="664D6F58">
      <w:pPr>
        <w:ind w:firstLine="640"/>
      </w:pPr>
    </w:p>
    <w:p w14:paraId="432B2D6E">
      <w:pPr>
        <w:ind w:firstLine="640"/>
      </w:pPr>
      <w:r>
        <w:t>2、项目实施主体及主要内容</w:t>
      </w:r>
    </w:p>
    <w:p w14:paraId="2511BF11">
      <w:pPr>
        <w:ind w:firstLine="640"/>
        <w:rPr>
          <w:rFonts w:hint="eastAsia"/>
          <w:lang w:val="en-US" w:eastAsia="zh-CN"/>
        </w:rPr>
      </w:pPr>
      <w:r>
        <w:rPr>
          <w:rFonts w:hint="eastAsia"/>
        </w:rPr>
        <w:t>该项目主要用于法院办案费、陪审人员劳务费、司法专邮</w:t>
      </w:r>
      <w:r>
        <w:rPr>
          <w:rFonts w:hint="eastAsia"/>
          <w:lang w:val="en-US" w:eastAsia="zh-CN"/>
        </w:rPr>
        <w:t>服务</w:t>
      </w:r>
      <w:r>
        <w:rPr>
          <w:rFonts w:hint="eastAsia"/>
        </w:rPr>
        <w:t>费、诉讼文书布告公告及印刷费、法官培训费、法制宣传费</w:t>
      </w:r>
      <w:r>
        <w:rPr>
          <w:rFonts w:hint="eastAsia"/>
          <w:lang w:val="en-US" w:eastAsia="zh-CN"/>
        </w:rPr>
        <w:t>等内容。通过该项目的实施，保障了顺义法院的各类办案业务需求，提升了整体审判业务效率。</w:t>
      </w:r>
    </w:p>
    <w:p w14:paraId="575C8B35">
      <w:pPr>
        <w:ind w:firstLine="640"/>
      </w:pPr>
      <w:r>
        <w:t>3、项目预算及资金组成</w:t>
      </w:r>
    </w:p>
    <w:p w14:paraId="14555F74">
      <w:pPr>
        <w:ind w:firstLine="640"/>
        <w:rPr>
          <w:highlight w:val="yellow"/>
        </w:rPr>
      </w:pPr>
      <w:r>
        <w:rPr>
          <w:rFonts w:hint="eastAsia"/>
        </w:rPr>
        <w:t>根据北京市财政局下发的《关于批复北京市顺义区人民法</w:t>
      </w:r>
      <w:r>
        <w:rPr>
          <w:rFonts w:hint="eastAsia"/>
          <w:highlight w:val="none"/>
        </w:rPr>
        <w:t>院2024年预算的函》</w:t>
      </w:r>
      <w:r>
        <w:rPr>
          <w:highlight w:val="none"/>
        </w:rPr>
        <w:t>，批复</w:t>
      </w:r>
      <w:r>
        <w:rPr>
          <w:rFonts w:hint="eastAsia"/>
          <w:highlight w:val="none"/>
          <w:lang w:val="en-US" w:eastAsia="zh-CN"/>
        </w:rPr>
        <w:t>法院办案业务费</w:t>
      </w:r>
      <w:r>
        <w:rPr>
          <w:rFonts w:hint="eastAsia"/>
          <w:highlight w:val="none"/>
        </w:rPr>
        <w:t>1,524.03</w:t>
      </w:r>
      <w:r>
        <w:rPr>
          <w:highlight w:val="none"/>
        </w:rPr>
        <w:t>万元</w:t>
      </w:r>
      <w:r>
        <w:rPr>
          <w:rFonts w:hint="eastAsia"/>
          <w:highlight w:val="none"/>
        </w:rPr>
        <w:t>。</w:t>
      </w:r>
    </w:p>
    <w:p w14:paraId="4A8320C5">
      <w:pPr>
        <w:ind w:firstLine="640"/>
      </w:pPr>
      <w:r>
        <w:t>4、项目预算执行情况</w:t>
      </w:r>
    </w:p>
    <w:p w14:paraId="238D0121">
      <w:pPr>
        <w:ind w:firstLine="640"/>
      </w:pPr>
      <w:r>
        <w:rPr>
          <w:rFonts w:hint="eastAsia"/>
          <w:lang w:eastAsia="zh-CN"/>
        </w:rPr>
        <w:t>2024</w:t>
      </w:r>
      <w:r>
        <w:t>年度顺义法院</w:t>
      </w:r>
      <w:r>
        <w:rPr>
          <w:rFonts w:hint="eastAsia"/>
          <w:lang w:eastAsia="zh-CN"/>
        </w:rPr>
        <w:t>法院办案业务费</w:t>
      </w:r>
      <w:r>
        <w:t>安排财政预算资金</w:t>
      </w:r>
      <w:r>
        <w:rPr>
          <w:rFonts w:hint="eastAsia"/>
        </w:rPr>
        <w:t>1,524.03</w:t>
      </w:r>
      <w:r>
        <w:t>万元，实际支出</w:t>
      </w:r>
      <w:r>
        <w:rPr>
          <w:rFonts w:hint="eastAsia"/>
        </w:rPr>
        <w:t>1,524.03</w:t>
      </w:r>
      <w:r>
        <w:t>万元，结余资金</w:t>
      </w:r>
      <w:r>
        <w:rPr>
          <w:rFonts w:hint="eastAsia"/>
          <w:lang w:val="en-US" w:eastAsia="zh-CN"/>
        </w:rPr>
        <w:t>0.00</w:t>
      </w:r>
      <w:r>
        <w:t>万元，预算资金执行率为</w:t>
      </w:r>
      <w:r>
        <w:rPr>
          <w:rFonts w:hint="eastAsia"/>
          <w:lang w:val="en-US" w:eastAsia="zh-CN"/>
        </w:rPr>
        <w:t>100</w:t>
      </w:r>
      <w:r>
        <w:t>%。</w:t>
      </w:r>
    </w:p>
    <w:p w14:paraId="7371277A">
      <w:pPr>
        <w:pStyle w:val="4"/>
        <w:ind w:firstLine="643"/>
        <w:rPr>
          <w:rStyle w:val="30"/>
          <w:rFonts w:eastAsia="仿宋_GB2312"/>
          <w:b/>
          <w:bCs/>
        </w:rPr>
      </w:pPr>
      <w:bookmarkStart w:id="3" w:name="_Toc165130966"/>
      <w:r>
        <w:rPr>
          <w:rStyle w:val="30"/>
          <w:rFonts w:eastAsia="仿宋_GB2312"/>
          <w:b/>
          <w:bCs/>
        </w:rPr>
        <w:t>（二）项目绩效目标</w:t>
      </w:r>
      <w:bookmarkEnd w:id="3"/>
    </w:p>
    <w:p w14:paraId="380D0572">
      <w:pPr>
        <w:ind w:firstLine="640"/>
        <w:rPr>
          <w:rFonts w:hint="eastAsia"/>
        </w:rPr>
      </w:pPr>
      <w:r>
        <w:rPr>
          <w:rFonts w:hint="eastAsia"/>
        </w:rPr>
        <w:t>全面依法履行审判职能，积极稳妥</w:t>
      </w:r>
      <w:r>
        <w:rPr>
          <w:rFonts w:hint="eastAsia"/>
          <w:lang w:eastAsia="zh-CN"/>
        </w:rPr>
        <w:t>地</w:t>
      </w:r>
      <w:r>
        <w:rPr>
          <w:rFonts w:hint="eastAsia"/>
        </w:rPr>
        <w:t>落实司法改革任务，切实发挥审判业务经费使用效益，保障我院各审判业务正常运转，服务社会、服务群众。</w:t>
      </w:r>
    </w:p>
    <w:p w14:paraId="5E0AAD4B">
      <w:pPr>
        <w:pStyle w:val="3"/>
        <w:ind w:firstLine="643"/>
        <w:rPr>
          <w:rFonts w:ascii="黑体" w:hAnsi="黑体" w:eastAsia="黑体" w:cs="黑体"/>
        </w:rPr>
      </w:pPr>
      <w:bookmarkStart w:id="4" w:name="_Toc165130968"/>
      <w:r>
        <w:rPr>
          <w:rFonts w:hint="eastAsia" w:ascii="黑体" w:hAnsi="黑体" w:eastAsia="黑体" w:cs="黑体"/>
        </w:rPr>
        <w:t>二、绩效评价工作开展情况</w:t>
      </w:r>
      <w:bookmarkEnd w:id="4"/>
    </w:p>
    <w:p w14:paraId="5AA70417">
      <w:pPr>
        <w:pStyle w:val="4"/>
        <w:ind w:firstLine="643"/>
        <w:rPr>
          <w:rStyle w:val="30"/>
          <w:rFonts w:eastAsia="仿宋_GB2312"/>
          <w:b/>
          <w:bCs/>
        </w:rPr>
      </w:pPr>
      <w:bookmarkStart w:id="5" w:name="_Toc165130969"/>
      <w:r>
        <w:rPr>
          <w:rStyle w:val="30"/>
          <w:rFonts w:hint="eastAsia" w:eastAsia="仿宋_GB2312"/>
          <w:b/>
          <w:bCs/>
        </w:rPr>
        <w:t>（一）绩效评价目的、对象和范围</w:t>
      </w:r>
      <w:bookmarkEnd w:id="5"/>
    </w:p>
    <w:p w14:paraId="5454CB22">
      <w:pPr>
        <w:ind w:firstLine="640"/>
      </w:pPr>
      <w:r>
        <w:rPr>
          <w:rFonts w:hint="eastAsia"/>
        </w:rPr>
        <w:t>为了规范和加强预算管理，合理配置资源，优化支出结构，规范预算资金分配，强化支出责任，建立科学、合理的财政支出绩效评价管理体系，</w:t>
      </w:r>
      <w:r>
        <w:t>根据《</w:t>
      </w:r>
      <w:r>
        <w:rPr>
          <w:rFonts w:hint="eastAsia"/>
        </w:rPr>
        <w:t>北京市</w:t>
      </w:r>
      <w:r>
        <w:t>项目支出绩效评</w:t>
      </w:r>
      <w:r>
        <w:rPr>
          <w:highlight w:val="none"/>
        </w:rPr>
        <w:t>价管理办法》（财预〔2020〕2146号）、《北京市财政局关于</w:t>
      </w:r>
      <w:r>
        <w:rPr>
          <w:rFonts w:hint="eastAsia"/>
          <w:highlight w:val="none"/>
          <w:lang w:eastAsia="zh-CN"/>
        </w:rPr>
        <w:t>202</w:t>
      </w:r>
      <w:r>
        <w:rPr>
          <w:rFonts w:hint="eastAsia"/>
          <w:highlight w:val="none"/>
          <w:lang w:val="en-US" w:eastAsia="zh-CN"/>
        </w:rPr>
        <w:t>5</w:t>
      </w:r>
      <w:r>
        <w:rPr>
          <w:highlight w:val="none"/>
        </w:rPr>
        <w:t>年</w:t>
      </w:r>
      <w:r>
        <w:rPr>
          <w:rFonts w:hint="eastAsia"/>
          <w:highlight w:val="none"/>
        </w:rPr>
        <w:t>推进全面实施预</w:t>
      </w:r>
      <w:r>
        <w:rPr>
          <w:highlight w:val="none"/>
        </w:rPr>
        <w:t>算绩效管理工作的通知》等有</w:t>
      </w:r>
      <w:r>
        <w:t>关规定，通过对顺义法院项目决策、项目过程、项目产出和项目绩效四方面进行客观、公正的综合评价，衡量和考核市级预算项目的绩效目标完成情况、产出与效果、预算管理水平等，发现问题并提出改进意见和建议。促进预算资金分配的规范化、资源配置的合理化，从而有效提高财政资金的使用效益。</w:t>
      </w:r>
    </w:p>
    <w:p w14:paraId="5401BCF4">
      <w:pPr>
        <w:pStyle w:val="4"/>
        <w:ind w:firstLine="643"/>
        <w:rPr>
          <w:rStyle w:val="30"/>
          <w:rFonts w:eastAsia="仿宋_GB2312"/>
          <w:b/>
          <w:bCs/>
        </w:rPr>
      </w:pPr>
      <w:bookmarkStart w:id="6" w:name="_Toc165130970"/>
      <w:r>
        <w:rPr>
          <w:rStyle w:val="30"/>
          <w:rFonts w:eastAsia="仿宋_GB2312"/>
          <w:b/>
          <w:bCs/>
        </w:rPr>
        <w:t>（二）绩效评价原则、评价指标体系（附表说明）、评价方法、评价标准等</w:t>
      </w:r>
      <w:bookmarkEnd w:id="6"/>
    </w:p>
    <w:p w14:paraId="61BAC22B">
      <w:pPr>
        <w:ind w:firstLine="640"/>
      </w:pPr>
      <w:r>
        <w:t>1、绩效评价原则</w:t>
      </w:r>
    </w:p>
    <w:p w14:paraId="54B7CA2E">
      <w:pPr>
        <w:ind w:firstLine="640"/>
      </w:pPr>
      <w:r>
        <w:t>本次评价工作遵循科学规范原则，严格执行规定的程序，按照科学可行的要求，采用定量与定性分析相结合的方法开展绩效评价工作；绩效工作应当遵循</w:t>
      </w:r>
      <w:r>
        <w:rPr>
          <w:rFonts w:hint="eastAsia"/>
        </w:rPr>
        <w:t>公开</w:t>
      </w:r>
      <w:r>
        <w:t>公正原则，项目绩效</w:t>
      </w:r>
      <w:r>
        <w:rPr>
          <w:rFonts w:hint="eastAsia"/>
        </w:rPr>
        <w:t>评价应当符合真实、</w:t>
      </w:r>
      <w:r>
        <w:t>客观、公正的</w:t>
      </w:r>
      <w:r>
        <w:rPr>
          <w:rFonts w:hint="eastAsia"/>
        </w:rPr>
        <w:t>要求，依法公开并接受监督；</w:t>
      </w:r>
      <w:r>
        <w:t>遵循激励约束原则，将绩效评价结果应用与预算安排、政策调整、改进管理实质性挂钩，体现奖优罚劣和激励相容导向，有效要安排、低效要减压、无效要问责</w:t>
      </w:r>
      <w:r>
        <w:rPr>
          <w:rFonts w:hint="eastAsia"/>
        </w:rPr>
        <w:t>。</w:t>
      </w:r>
    </w:p>
    <w:p w14:paraId="29D42965">
      <w:pPr>
        <w:ind w:firstLine="640"/>
      </w:pPr>
      <w:r>
        <w:t>2、绩效评价方法</w:t>
      </w:r>
    </w:p>
    <w:p w14:paraId="4B44C3A2">
      <w:pPr>
        <w:ind w:firstLine="640"/>
      </w:pPr>
      <w:r>
        <w:t>为了对</w:t>
      </w:r>
      <w:r>
        <w:rPr>
          <w:rFonts w:hint="eastAsia"/>
        </w:rPr>
        <w:t>顺义法院</w:t>
      </w:r>
      <w:r>
        <w:rPr>
          <w:rFonts w:hint="eastAsia"/>
          <w:lang w:eastAsia="zh-CN"/>
        </w:rPr>
        <w:t>法院办案业务费</w:t>
      </w:r>
      <w:r>
        <w:t>绩效进行客观、公正的评价</w:t>
      </w:r>
      <w:r>
        <w:rPr>
          <w:rFonts w:hint="eastAsia"/>
        </w:rPr>
        <w:t>，</w:t>
      </w:r>
      <w:r>
        <w:t>本次主要采用非现场评价方式，运用比较法、公众评判、专家评价法等方法，对项目进行综合评价。通过查阅资料、网络查询等方式，对项目进行全面细致</w:t>
      </w:r>
      <w:r>
        <w:rPr>
          <w:rFonts w:hint="eastAsia"/>
          <w:lang w:eastAsia="zh-CN"/>
        </w:rPr>
        <w:t>地</w:t>
      </w:r>
      <w:r>
        <w:t>了解。通过对项目的经济性、效率性、效益性的比较和分析，考核项目的支出效益、支出效率和支出效果。</w:t>
      </w:r>
    </w:p>
    <w:p w14:paraId="281203AE">
      <w:pPr>
        <w:ind w:firstLine="640"/>
      </w:pPr>
      <w:r>
        <w:t>3、绩效评价指标体系</w:t>
      </w:r>
    </w:p>
    <w:p w14:paraId="5623FE48">
      <w:pPr>
        <w:ind w:firstLine="640"/>
      </w:pPr>
      <w:r>
        <w:t>根据《北京市项目支出绩效评价管理办法》（京财绩效〔2020〕2146号）的相关规定，绩效评价工作组结合顺义法院项目特点和资金使用的具体情况，以资金使用结果为导向结合专家的指导意见，设定了本次评价指标内容，重点对项目实施单位的项目决策、项目过程管理、项目产出和项目效益进行综合评价。项目绩效评价指标体系的一、二、三级指标参考北京市财政局指标体系范本进行设定，原则上未调整。三级指标具体解释及评价要点依据项目实际执行内容分析后确定（指标体系详见附表）。</w:t>
      </w:r>
    </w:p>
    <w:p w14:paraId="3DDEE25A">
      <w:pPr>
        <w:pStyle w:val="4"/>
        <w:ind w:firstLine="643"/>
        <w:rPr>
          <w:rStyle w:val="30"/>
          <w:rFonts w:eastAsia="仿宋_GB2312"/>
          <w:b/>
          <w:bCs/>
        </w:rPr>
      </w:pPr>
      <w:bookmarkStart w:id="7" w:name="_Toc165130971"/>
      <w:r>
        <w:rPr>
          <w:rStyle w:val="30"/>
          <w:rFonts w:eastAsia="仿宋_GB2312"/>
          <w:b/>
          <w:bCs/>
        </w:rPr>
        <w:t>（三）绩效评价工作过程</w:t>
      </w:r>
      <w:bookmarkEnd w:id="7"/>
    </w:p>
    <w:p w14:paraId="2A9E7A80">
      <w:pPr>
        <w:spacing w:line="600" w:lineRule="exact"/>
        <w:ind w:firstLine="640"/>
        <w:rPr>
          <w:szCs w:val="32"/>
        </w:rPr>
      </w:pPr>
      <w:r>
        <w:rPr>
          <w:szCs w:val="32"/>
        </w:rPr>
        <w:t>绩效评价工作程序主要分为准备评价阶段、实施评价阶段、评价报告撰写三个阶段。</w:t>
      </w:r>
    </w:p>
    <w:p w14:paraId="1CCE583E">
      <w:pPr>
        <w:spacing w:line="600" w:lineRule="exact"/>
        <w:ind w:firstLine="640"/>
        <w:rPr>
          <w:szCs w:val="32"/>
        </w:rPr>
      </w:pPr>
      <w:r>
        <w:rPr>
          <w:szCs w:val="32"/>
        </w:rPr>
        <w:t>1</w:t>
      </w:r>
      <w:r>
        <w:rPr>
          <w:rFonts w:hint="eastAsia"/>
          <w:szCs w:val="32"/>
        </w:rPr>
        <w:t>、</w:t>
      </w:r>
      <w:r>
        <w:rPr>
          <w:szCs w:val="32"/>
        </w:rPr>
        <w:t>准备评价阶段</w:t>
      </w:r>
    </w:p>
    <w:p w14:paraId="331C10E6">
      <w:pPr>
        <w:spacing w:line="600" w:lineRule="exact"/>
        <w:ind w:firstLine="640"/>
        <w:rPr>
          <w:szCs w:val="32"/>
        </w:rPr>
      </w:pPr>
      <w:r>
        <w:rPr>
          <w:szCs w:val="32"/>
        </w:rPr>
        <w:t>组建评价工作组，初步了解预算项目整体情况。</w:t>
      </w:r>
    </w:p>
    <w:p w14:paraId="56C1213E">
      <w:pPr>
        <w:spacing w:line="600" w:lineRule="exact"/>
        <w:ind w:firstLine="640"/>
        <w:rPr>
          <w:szCs w:val="32"/>
        </w:rPr>
      </w:pPr>
      <w:r>
        <w:rPr>
          <w:szCs w:val="32"/>
        </w:rPr>
        <w:t>（1）组建绩效评价工作组。北京市顺义区人民法院</w:t>
      </w:r>
      <w:r>
        <w:rPr>
          <w:rFonts w:hint="eastAsia"/>
          <w:szCs w:val="32"/>
        </w:rPr>
        <w:t>与北京信业天成会计师事务所有限公司</w:t>
      </w:r>
      <w:r>
        <w:rPr>
          <w:szCs w:val="32"/>
        </w:rPr>
        <w:t>于2024年5月成立了项目绩效评价工作组，工作组成员5人，设组长1人。在正式评价前对项目绩效评价工作人员进行了业务培训。</w:t>
      </w:r>
    </w:p>
    <w:p w14:paraId="4A25319F">
      <w:pPr>
        <w:spacing w:line="600" w:lineRule="exact"/>
        <w:ind w:firstLine="640"/>
        <w:rPr>
          <w:szCs w:val="32"/>
        </w:rPr>
      </w:pPr>
      <w:r>
        <w:rPr>
          <w:szCs w:val="32"/>
        </w:rPr>
        <w:t>（2）初步了解项目预算执行情况。评价工作组与主责处室进行初步沟通，了解项目申报及执行情况、项目效益实现情况，收集业务资料；组织相关部门人员开展绩效评价培训，针对专家评价重点、评价工作的时间进度、资料如何准备进行有效培训。</w:t>
      </w:r>
    </w:p>
    <w:p w14:paraId="0FED8266">
      <w:pPr>
        <w:spacing w:line="600" w:lineRule="exact"/>
        <w:ind w:firstLine="640"/>
        <w:rPr>
          <w:szCs w:val="32"/>
        </w:rPr>
      </w:pPr>
      <w:r>
        <w:rPr>
          <w:szCs w:val="32"/>
        </w:rPr>
        <w:t>2</w:t>
      </w:r>
      <w:r>
        <w:rPr>
          <w:rFonts w:hint="eastAsia"/>
          <w:szCs w:val="32"/>
        </w:rPr>
        <w:t>、</w:t>
      </w:r>
      <w:r>
        <w:rPr>
          <w:szCs w:val="32"/>
        </w:rPr>
        <w:t>现场核查情况</w:t>
      </w:r>
    </w:p>
    <w:p w14:paraId="25B02A2B">
      <w:pPr>
        <w:spacing w:line="600" w:lineRule="exact"/>
        <w:ind w:firstLine="640"/>
        <w:rPr>
          <w:szCs w:val="32"/>
        </w:rPr>
      </w:pPr>
      <w:r>
        <w:rPr>
          <w:szCs w:val="32"/>
        </w:rPr>
        <w:t>（1）收集整理资料，进行初步审核。了解绩效目标设立及完成情况，绩效目标的设立主要是依据为确保顺义法院</w:t>
      </w:r>
      <w:r>
        <w:rPr>
          <w:rFonts w:hint="eastAsia"/>
          <w:szCs w:val="32"/>
        </w:rPr>
        <w:t>审判办公业务</w:t>
      </w:r>
      <w:r>
        <w:rPr>
          <w:szCs w:val="32"/>
        </w:rPr>
        <w:t>正常开展而设立。对于绩效目标的完成情况，评价工作组详细了解绩效目标的实施过程和取得的成果，并对相关数据和成果与绩效目标进行核对。评价工作组对提交的项目基础资料进行了初步审核，并将结果与主责部门相关人员反复进行沟通。</w:t>
      </w:r>
    </w:p>
    <w:p w14:paraId="724E866A">
      <w:pPr>
        <w:spacing w:line="600" w:lineRule="exact"/>
        <w:ind w:firstLine="640"/>
        <w:rPr>
          <w:szCs w:val="32"/>
        </w:rPr>
      </w:pPr>
      <w:r>
        <w:rPr>
          <w:szCs w:val="32"/>
        </w:rPr>
        <w:t>（2）资料分析，形成工作底稿。在取得资料的基础上，结合初期收集资料情况，对资料进一步核实、整理，对发现的项目问题进行总结。</w:t>
      </w:r>
    </w:p>
    <w:p w14:paraId="498785B2">
      <w:pPr>
        <w:spacing w:line="600" w:lineRule="exact"/>
        <w:ind w:firstLine="640"/>
        <w:rPr>
          <w:szCs w:val="32"/>
        </w:rPr>
      </w:pPr>
      <w:r>
        <w:rPr>
          <w:szCs w:val="32"/>
        </w:rPr>
        <w:t>3</w:t>
      </w:r>
      <w:r>
        <w:rPr>
          <w:rFonts w:hint="eastAsia"/>
          <w:szCs w:val="32"/>
        </w:rPr>
        <w:t>、</w:t>
      </w:r>
      <w:r>
        <w:rPr>
          <w:szCs w:val="32"/>
        </w:rPr>
        <w:t>资料信息汇总</w:t>
      </w:r>
    </w:p>
    <w:p w14:paraId="6F20DACC">
      <w:pPr>
        <w:spacing w:line="600" w:lineRule="exact"/>
        <w:ind w:firstLine="640"/>
        <w:rPr>
          <w:szCs w:val="32"/>
        </w:rPr>
      </w:pPr>
      <w:r>
        <w:rPr>
          <w:szCs w:val="32"/>
        </w:rPr>
        <w:t>评价工作组在前期资料整理基础上，按照评价体系内容和评价重点，将项目资料进行分类整理，扫描纸质资料转化为电子版档案，形成专家资料手册，供专家审阅。</w:t>
      </w:r>
    </w:p>
    <w:p w14:paraId="5A76BBD8">
      <w:pPr>
        <w:spacing w:line="600" w:lineRule="exact"/>
        <w:ind w:firstLine="640"/>
        <w:rPr>
          <w:szCs w:val="32"/>
        </w:rPr>
      </w:pPr>
      <w:r>
        <w:rPr>
          <w:szCs w:val="32"/>
        </w:rPr>
        <w:t>4</w:t>
      </w:r>
      <w:r>
        <w:rPr>
          <w:rFonts w:hint="eastAsia"/>
          <w:szCs w:val="32"/>
        </w:rPr>
        <w:t>、</w:t>
      </w:r>
      <w:r>
        <w:rPr>
          <w:szCs w:val="32"/>
        </w:rPr>
        <w:t>评价分析</w:t>
      </w:r>
    </w:p>
    <w:p w14:paraId="18113180">
      <w:pPr>
        <w:spacing w:line="600" w:lineRule="exact"/>
        <w:ind w:firstLine="640"/>
        <w:rPr>
          <w:szCs w:val="32"/>
          <w:highlight w:val="none"/>
        </w:rPr>
      </w:pPr>
      <w:r>
        <w:rPr>
          <w:szCs w:val="32"/>
          <w:highlight w:val="none"/>
        </w:rPr>
        <w:t>评价工作组遴选5名专家，其中：管理专家2名，业务专家1名，财务专家2名，成立评价专家组，由1名管理专家担任评价专家组组长。</w:t>
      </w:r>
    </w:p>
    <w:p w14:paraId="66A4C1C8">
      <w:pPr>
        <w:spacing w:line="600" w:lineRule="exact"/>
        <w:ind w:firstLine="640"/>
        <w:rPr>
          <w:szCs w:val="32"/>
        </w:rPr>
      </w:pPr>
      <w:r>
        <w:rPr>
          <w:szCs w:val="32"/>
        </w:rPr>
        <w:t>本次绩效评价工作采取</w:t>
      </w:r>
      <w:r>
        <w:rPr>
          <w:rFonts w:hint="eastAsia"/>
          <w:szCs w:val="32"/>
        </w:rPr>
        <w:t>视频会议评价方式</w:t>
      </w:r>
      <w:r>
        <w:rPr>
          <w:szCs w:val="32"/>
        </w:rPr>
        <w:t>进行。专家组成员认真审核项目资料，并结合专家手册对</w:t>
      </w:r>
      <w:r>
        <w:rPr>
          <w:rFonts w:hint="eastAsia"/>
          <w:szCs w:val="32"/>
        </w:rPr>
        <w:t>项目资料、</w:t>
      </w:r>
      <w:r>
        <w:rPr>
          <w:szCs w:val="32"/>
        </w:rPr>
        <w:t>相关数据进行核实。专家根据设定的指标体系对北京市顺义区人民法院</w:t>
      </w:r>
      <w:r>
        <w:rPr>
          <w:rFonts w:hint="eastAsia"/>
          <w:szCs w:val="32"/>
          <w:lang w:eastAsia="zh-CN"/>
        </w:rPr>
        <w:t>2024</w:t>
      </w:r>
      <w:r>
        <w:rPr>
          <w:szCs w:val="32"/>
        </w:rPr>
        <w:t>年度</w:t>
      </w:r>
      <w:r>
        <w:rPr>
          <w:rFonts w:hint="eastAsia"/>
          <w:szCs w:val="32"/>
          <w:lang w:eastAsia="zh-CN"/>
        </w:rPr>
        <w:t>法院办案业务费</w:t>
      </w:r>
      <w:r>
        <w:rPr>
          <w:szCs w:val="32"/>
        </w:rPr>
        <w:t>情况进行客观、公正的评分，并出具了《专家意见汇总书》。</w:t>
      </w:r>
    </w:p>
    <w:p w14:paraId="59AAFE08">
      <w:pPr>
        <w:spacing w:line="600" w:lineRule="exact"/>
        <w:ind w:firstLine="640"/>
        <w:rPr>
          <w:szCs w:val="32"/>
        </w:rPr>
      </w:pPr>
      <w:r>
        <w:rPr>
          <w:szCs w:val="32"/>
        </w:rPr>
        <w:t>5</w:t>
      </w:r>
      <w:r>
        <w:rPr>
          <w:rFonts w:hint="eastAsia"/>
          <w:szCs w:val="32"/>
        </w:rPr>
        <w:t>、</w:t>
      </w:r>
      <w:r>
        <w:rPr>
          <w:szCs w:val="32"/>
        </w:rPr>
        <w:t>沟通反馈</w:t>
      </w:r>
    </w:p>
    <w:p w14:paraId="0FE053B9">
      <w:pPr>
        <w:spacing w:line="600" w:lineRule="exact"/>
        <w:ind w:firstLine="640"/>
        <w:rPr>
          <w:szCs w:val="32"/>
        </w:rPr>
      </w:pPr>
      <w:r>
        <w:rPr>
          <w:szCs w:val="32"/>
        </w:rPr>
        <w:t>评价工作组根据专家意见，完成绩效评价报告的撰写工作。与主责部门进行意见沟通，在充分研究</w:t>
      </w:r>
      <w:r>
        <w:rPr>
          <w:rFonts w:hint="eastAsia"/>
          <w:szCs w:val="32"/>
          <w:lang w:eastAsia="zh-CN"/>
        </w:rPr>
        <w:t>讨论</w:t>
      </w:r>
      <w:r>
        <w:rPr>
          <w:szCs w:val="32"/>
        </w:rPr>
        <w:t>的基础上，修改和完善绩效评价报告，形成评价报告终稿。</w:t>
      </w:r>
    </w:p>
    <w:p w14:paraId="2BF89961">
      <w:pPr>
        <w:spacing w:line="600" w:lineRule="exact"/>
        <w:ind w:firstLine="640"/>
        <w:rPr>
          <w:szCs w:val="32"/>
        </w:rPr>
      </w:pPr>
      <w:r>
        <w:rPr>
          <w:szCs w:val="32"/>
        </w:rPr>
        <w:t>6</w:t>
      </w:r>
      <w:r>
        <w:rPr>
          <w:rFonts w:hint="eastAsia"/>
          <w:szCs w:val="32"/>
        </w:rPr>
        <w:t>、</w:t>
      </w:r>
      <w:r>
        <w:rPr>
          <w:szCs w:val="32"/>
        </w:rPr>
        <w:t>出具报告</w:t>
      </w:r>
    </w:p>
    <w:p w14:paraId="7B20E86A">
      <w:pPr>
        <w:spacing w:line="600" w:lineRule="exact"/>
        <w:ind w:firstLine="640"/>
        <w:rPr>
          <w:szCs w:val="32"/>
        </w:rPr>
      </w:pPr>
      <w:r>
        <w:rPr>
          <w:szCs w:val="32"/>
        </w:rPr>
        <w:t>评价工作组出具绩效评价报告，并将报告及项目资料报送顺义法院进行归档。</w:t>
      </w:r>
    </w:p>
    <w:p w14:paraId="388123F8">
      <w:pPr>
        <w:pStyle w:val="3"/>
        <w:ind w:firstLine="643"/>
        <w:rPr>
          <w:rFonts w:ascii="黑体" w:hAnsi="黑体" w:eastAsia="黑体" w:cs="黑体"/>
        </w:rPr>
      </w:pPr>
      <w:bookmarkStart w:id="8" w:name="_Toc165130972"/>
      <w:r>
        <w:rPr>
          <w:rFonts w:hint="eastAsia" w:ascii="黑体" w:hAnsi="黑体" w:eastAsia="黑体" w:cs="黑体"/>
        </w:rPr>
        <w:t>三、综合评价情况及评价结论（附相关评分表）</w:t>
      </w:r>
      <w:bookmarkEnd w:id="8"/>
    </w:p>
    <w:p w14:paraId="4D4DA581">
      <w:pPr>
        <w:ind w:firstLine="640"/>
        <w:rPr>
          <w:szCs w:val="32"/>
        </w:rPr>
      </w:pPr>
      <w:r>
        <w:rPr>
          <w:rFonts w:hint="eastAsia"/>
          <w:szCs w:val="32"/>
          <w:lang w:eastAsia="zh-CN"/>
        </w:rPr>
        <w:t>2024</w:t>
      </w:r>
      <w:r>
        <w:rPr>
          <w:szCs w:val="32"/>
        </w:rPr>
        <w:t>年度顺义法院</w:t>
      </w:r>
      <w:r>
        <w:rPr>
          <w:rFonts w:hint="eastAsia"/>
          <w:szCs w:val="32"/>
          <w:lang w:eastAsia="zh-CN"/>
        </w:rPr>
        <w:t>法院办案业务费</w:t>
      </w:r>
      <w:r>
        <w:rPr>
          <w:szCs w:val="32"/>
        </w:rPr>
        <w:t>综合评价</w:t>
      </w:r>
      <w:r>
        <w:rPr>
          <w:szCs w:val="32"/>
          <w:highlight w:val="none"/>
        </w:rPr>
        <w:t>得分</w:t>
      </w:r>
      <w:r>
        <w:rPr>
          <w:rFonts w:hint="eastAsia"/>
          <w:szCs w:val="32"/>
          <w:highlight w:val="none"/>
          <w:lang w:val="en-US" w:eastAsia="zh-CN"/>
        </w:rPr>
        <w:t>93.9</w:t>
      </w:r>
      <w:r>
        <w:rPr>
          <w:szCs w:val="32"/>
          <w:highlight w:val="none"/>
        </w:rPr>
        <w:t>分，其中，项目决策9.</w:t>
      </w:r>
      <w:r>
        <w:rPr>
          <w:rFonts w:hint="eastAsia"/>
          <w:szCs w:val="32"/>
          <w:highlight w:val="none"/>
          <w:lang w:val="en-US" w:eastAsia="zh-CN"/>
        </w:rPr>
        <w:t>8</w:t>
      </w:r>
      <w:r>
        <w:rPr>
          <w:szCs w:val="32"/>
          <w:highlight w:val="none"/>
        </w:rPr>
        <w:t>分，项目过程1</w:t>
      </w:r>
      <w:r>
        <w:rPr>
          <w:rFonts w:hint="eastAsia"/>
          <w:szCs w:val="32"/>
          <w:highlight w:val="none"/>
          <w:lang w:val="en-US" w:eastAsia="zh-CN"/>
        </w:rPr>
        <w:t>9.2</w:t>
      </w:r>
      <w:r>
        <w:rPr>
          <w:szCs w:val="32"/>
          <w:highlight w:val="none"/>
        </w:rPr>
        <w:t>分，项目产出38.</w:t>
      </w:r>
      <w:r>
        <w:rPr>
          <w:rFonts w:hint="eastAsia"/>
          <w:szCs w:val="32"/>
          <w:highlight w:val="none"/>
          <w:lang w:val="en-US" w:eastAsia="zh-CN"/>
        </w:rPr>
        <w:t>8</w:t>
      </w:r>
      <w:r>
        <w:rPr>
          <w:szCs w:val="32"/>
          <w:highlight w:val="none"/>
        </w:rPr>
        <w:t>分，项目效益2</w:t>
      </w:r>
      <w:r>
        <w:rPr>
          <w:rFonts w:hint="eastAsia"/>
          <w:szCs w:val="32"/>
          <w:highlight w:val="none"/>
          <w:lang w:val="en-US" w:eastAsia="zh-CN"/>
        </w:rPr>
        <w:t>6.1</w:t>
      </w:r>
      <w:r>
        <w:rPr>
          <w:szCs w:val="32"/>
          <w:highlight w:val="none"/>
        </w:rPr>
        <w:t>分，综合绩效评定结论为“优秀”详见指</w:t>
      </w:r>
      <w:r>
        <w:rPr>
          <w:szCs w:val="32"/>
        </w:rPr>
        <w:t>标体系打分表。</w:t>
      </w:r>
    </w:p>
    <w:p w14:paraId="36D3197C">
      <w:pPr>
        <w:pStyle w:val="3"/>
        <w:ind w:firstLine="643"/>
        <w:rPr>
          <w:rFonts w:ascii="黑体" w:hAnsi="黑体" w:eastAsia="黑体" w:cs="黑体"/>
        </w:rPr>
      </w:pPr>
      <w:bookmarkStart w:id="9" w:name="_Toc165130973"/>
      <w:r>
        <w:rPr>
          <w:rFonts w:hint="eastAsia" w:ascii="黑体" w:hAnsi="黑体" w:eastAsia="黑体" w:cs="黑体"/>
        </w:rPr>
        <w:t>四、绩效评价指标分析</w:t>
      </w:r>
      <w:bookmarkEnd w:id="9"/>
    </w:p>
    <w:p w14:paraId="5B8578CC">
      <w:pPr>
        <w:pStyle w:val="4"/>
        <w:ind w:firstLine="643"/>
        <w:rPr>
          <w:rStyle w:val="30"/>
          <w:rFonts w:eastAsia="仿宋_GB2312"/>
          <w:b/>
          <w:bCs/>
        </w:rPr>
      </w:pPr>
      <w:bookmarkStart w:id="10" w:name="_Toc165130974"/>
      <w:r>
        <w:rPr>
          <w:rStyle w:val="30"/>
          <w:rFonts w:eastAsia="仿宋_GB2312"/>
          <w:b/>
          <w:bCs/>
        </w:rPr>
        <w:t>（一）项目决策情况</w:t>
      </w:r>
      <w:bookmarkEnd w:id="10"/>
    </w:p>
    <w:p w14:paraId="6655A277">
      <w:pPr>
        <w:ind w:firstLine="640"/>
        <w:jc w:val="left"/>
        <w:rPr>
          <w:szCs w:val="32"/>
        </w:rPr>
      </w:pPr>
      <w:r>
        <w:rPr>
          <w:szCs w:val="32"/>
        </w:rPr>
        <w:t>1</w:t>
      </w:r>
      <w:r>
        <w:rPr>
          <w:rFonts w:hint="eastAsia"/>
          <w:szCs w:val="32"/>
        </w:rPr>
        <w:t>、</w:t>
      </w:r>
      <w:r>
        <w:rPr>
          <w:szCs w:val="32"/>
        </w:rPr>
        <w:t>项目绩效目标合理性分析</w:t>
      </w:r>
    </w:p>
    <w:p w14:paraId="4E3A559E">
      <w:pPr>
        <w:ind w:firstLine="640"/>
        <w:jc w:val="left"/>
        <w:rPr>
          <w:szCs w:val="32"/>
        </w:rPr>
      </w:pPr>
      <w:r>
        <w:rPr>
          <w:rFonts w:hint="eastAsia"/>
          <w:szCs w:val="32"/>
        </w:rPr>
        <w:t>该项目绩效目标设定依据符合项目实施的客观实际，目标导向明确，内容完整。</w:t>
      </w:r>
    </w:p>
    <w:p w14:paraId="5ECCC906">
      <w:pPr>
        <w:ind w:firstLine="640"/>
        <w:jc w:val="left"/>
        <w:rPr>
          <w:szCs w:val="32"/>
        </w:rPr>
      </w:pPr>
      <w:r>
        <w:rPr>
          <w:szCs w:val="32"/>
        </w:rPr>
        <w:t>2</w:t>
      </w:r>
      <w:r>
        <w:rPr>
          <w:rFonts w:hint="eastAsia"/>
          <w:szCs w:val="32"/>
        </w:rPr>
        <w:t>、资金投入情况</w:t>
      </w:r>
    </w:p>
    <w:p w14:paraId="611B3E45">
      <w:pPr>
        <w:ind w:firstLine="640"/>
        <w:jc w:val="left"/>
        <w:rPr>
          <w:szCs w:val="32"/>
        </w:rPr>
      </w:pPr>
      <w:r>
        <w:rPr>
          <w:rFonts w:hint="eastAsia"/>
          <w:szCs w:val="32"/>
        </w:rPr>
        <w:t>该项目年初预算1,524.03万元，预算编制符合项目相关合同内容实际，资金额度与年度目标相适应。</w:t>
      </w:r>
    </w:p>
    <w:p w14:paraId="770CD325">
      <w:pPr>
        <w:pStyle w:val="4"/>
        <w:ind w:firstLine="643"/>
        <w:rPr>
          <w:rStyle w:val="30"/>
          <w:rFonts w:eastAsia="仿宋_GB2312"/>
          <w:b/>
          <w:bCs/>
        </w:rPr>
      </w:pPr>
      <w:bookmarkStart w:id="11" w:name="_Toc165130975"/>
      <w:r>
        <w:rPr>
          <w:rStyle w:val="30"/>
          <w:rFonts w:eastAsia="仿宋_GB2312"/>
          <w:b/>
          <w:bCs/>
        </w:rPr>
        <w:t>（二）项目过程情况</w:t>
      </w:r>
      <w:bookmarkEnd w:id="11"/>
    </w:p>
    <w:p w14:paraId="420D37E4">
      <w:pPr>
        <w:ind w:firstLine="640"/>
      </w:pPr>
      <w:r>
        <w:t>1</w:t>
      </w:r>
      <w:r>
        <w:rPr>
          <w:rFonts w:hint="eastAsia"/>
        </w:rPr>
        <w:t>、</w:t>
      </w:r>
      <w:r>
        <w:t>资金使用及管理情况分析</w:t>
      </w:r>
    </w:p>
    <w:p w14:paraId="765D0EAF">
      <w:pPr>
        <w:ind w:firstLine="640"/>
        <w:rPr>
          <w:rFonts w:hint="eastAsia"/>
        </w:rPr>
      </w:pPr>
      <w:r>
        <w:rPr>
          <w:rFonts w:hint="eastAsia"/>
          <w:lang w:eastAsia="zh-CN"/>
        </w:rPr>
        <w:t>2024</w:t>
      </w:r>
      <w:r>
        <w:t>年顺义法院</w:t>
      </w:r>
      <w:r>
        <w:rPr>
          <w:rFonts w:hint="eastAsia"/>
          <w:lang w:eastAsia="zh-CN"/>
        </w:rPr>
        <w:t>法院办案业务费</w:t>
      </w:r>
      <w:r>
        <w:t>预算安排资金</w:t>
      </w:r>
      <w:r>
        <w:rPr>
          <w:rFonts w:hint="eastAsia"/>
        </w:rPr>
        <w:t>1,524.03</w:t>
      </w:r>
      <w:r>
        <w:t>万元，资金已全部到位。截至</w:t>
      </w:r>
      <w:r>
        <w:rPr>
          <w:rFonts w:hint="eastAsia"/>
          <w:lang w:eastAsia="zh-CN"/>
        </w:rPr>
        <w:t>2024</w:t>
      </w:r>
      <w:r>
        <w:t>年12月31日，项目实际支出</w:t>
      </w:r>
      <w:r>
        <w:rPr>
          <w:rFonts w:hint="eastAsia"/>
        </w:rPr>
        <w:t>1,524.03</w:t>
      </w:r>
      <w:r>
        <w:t>万元，结余资金</w:t>
      </w:r>
      <w:r>
        <w:rPr>
          <w:rFonts w:hint="eastAsia"/>
          <w:lang w:val="en-US" w:eastAsia="zh-CN"/>
        </w:rPr>
        <w:t>0.00</w:t>
      </w:r>
      <w:r>
        <w:t>万元。</w:t>
      </w:r>
    </w:p>
    <w:p w14:paraId="65DBFF4B">
      <w:pPr>
        <w:ind w:firstLine="640"/>
        <w:rPr>
          <w:rFonts w:hint="eastAsia"/>
        </w:rPr>
      </w:pPr>
      <w:r>
        <w:rPr>
          <w:rFonts w:hint="eastAsia"/>
        </w:rPr>
        <w:t>项目实施过程中，</w:t>
      </w:r>
      <w:r>
        <w:rPr>
          <w:rFonts w:hint="eastAsia"/>
          <w:lang w:val="en-US" w:eastAsia="zh-CN"/>
        </w:rPr>
        <w:t>顺义</w:t>
      </w:r>
      <w:r>
        <w:rPr>
          <w:rFonts w:hint="eastAsia"/>
        </w:rPr>
        <w:t>法院业务部门按照《北京市</w:t>
      </w:r>
      <w:r>
        <w:rPr>
          <w:rFonts w:hint="eastAsia"/>
          <w:lang w:val="en-US" w:eastAsia="zh-CN"/>
        </w:rPr>
        <w:t>顺义</w:t>
      </w:r>
      <w:r>
        <w:rPr>
          <w:rFonts w:hint="eastAsia"/>
        </w:rPr>
        <w:t>区人民法院财务管理规则》、《北京市</w:t>
      </w:r>
      <w:r>
        <w:rPr>
          <w:rFonts w:hint="eastAsia"/>
          <w:lang w:val="en-US" w:eastAsia="zh-CN"/>
        </w:rPr>
        <w:t>顺义</w:t>
      </w:r>
      <w:r>
        <w:rPr>
          <w:rFonts w:hint="eastAsia"/>
        </w:rPr>
        <w:t>区人民法院支出管理制度》、《北京市</w:t>
      </w:r>
      <w:r>
        <w:rPr>
          <w:rFonts w:hint="eastAsia"/>
          <w:lang w:val="en-US" w:eastAsia="zh-CN"/>
        </w:rPr>
        <w:t>顺义</w:t>
      </w:r>
      <w:r>
        <w:rPr>
          <w:rFonts w:hint="eastAsia"/>
        </w:rPr>
        <w:t>区人民法院</w:t>
      </w:r>
      <w:r>
        <w:rPr>
          <w:rFonts w:hint="eastAsia"/>
          <w:lang w:val="en-US" w:eastAsia="zh-CN"/>
        </w:rPr>
        <w:t>政府采购</w:t>
      </w:r>
      <w:r>
        <w:rPr>
          <w:rFonts w:hint="eastAsia"/>
        </w:rPr>
        <w:t>管理办法》及《北京市</w:t>
      </w:r>
      <w:r>
        <w:rPr>
          <w:rFonts w:hint="eastAsia"/>
          <w:lang w:val="en-US" w:eastAsia="zh-CN"/>
        </w:rPr>
        <w:t>顺义</w:t>
      </w:r>
      <w:r>
        <w:rPr>
          <w:rFonts w:hint="eastAsia"/>
        </w:rPr>
        <w:t>区人民法院合同管理制度》的相关要求，以合同约定及项目完成情况为基础，逐级审核审批经费支出，每笔经费的支出均有审批依据。超过五万元的非日常性支出，由支出部门提出申请上报部门主管院领导之后，报大额资金审查会审议通过后，再报党组会审议。</w:t>
      </w:r>
    </w:p>
    <w:p w14:paraId="17338F9B">
      <w:pPr>
        <w:ind w:firstLine="640"/>
        <w:rPr>
          <w:rFonts w:hint="eastAsia"/>
        </w:rPr>
      </w:pPr>
      <w:r>
        <w:rPr>
          <w:rFonts w:hint="eastAsia"/>
        </w:rPr>
        <w:t>项目具体实施中，按照预算计划及制度规定支付款项，未出现支出依据不合规、虚列项目支出、截留、挤占、挪用项目资金、超标准开支情况等情况。</w:t>
      </w:r>
    </w:p>
    <w:p w14:paraId="6F2E28F7">
      <w:pPr>
        <w:ind w:firstLine="640"/>
      </w:pPr>
      <w:r>
        <w:rPr>
          <w:rFonts w:hint="eastAsia"/>
        </w:rPr>
        <w:t>评价认为，</w:t>
      </w:r>
      <w:r>
        <w:rPr>
          <w:rFonts w:hint="eastAsia"/>
          <w:lang w:val="en-US" w:eastAsia="zh-CN"/>
        </w:rPr>
        <w:t>顺义</w:t>
      </w:r>
      <w:r>
        <w:rPr>
          <w:rFonts w:hint="eastAsia"/>
        </w:rPr>
        <w:t>法院已建立的财务管理制度基本能够满足项目的核算要求，项目资金做到了专款专用，核算清晰完整，账务处理及时规范。</w:t>
      </w:r>
    </w:p>
    <w:p w14:paraId="6804D6A8">
      <w:pPr>
        <w:ind w:firstLine="640"/>
      </w:pPr>
      <w:r>
        <w:t>该项目财政资金足额、及时到位，预算执行金额占预算批复金额</w:t>
      </w:r>
      <w:r>
        <w:rPr>
          <w:rFonts w:hint="eastAsia"/>
          <w:lang w:val="en-US" w:eastAsia="zh-CN"/>
        </w:rPr>
        <w:t>100</w:t>
      </w:r>
      <w:r>
        <w:t>%。</w:t>
      </w:r>
    </w:p>
    <w:p w14:paraId="4667E5E0">
      <w:pPr>
        <w:ind w:left="640" w:firstLine="0" w:firstLineChars="0"/>
      </w:pPr>
      <w:r>
        <w:rPr>
          <w:rFonts w:hint="eastAsia"/>
        </w:rPr>
        <w:t>2</w:t>
      </w:r>
      <w:r>
        <w:t>、项目组织情况分析</w:t>
      </w:r>
    </w:p>
    <w:p w14:paraId="1AEA99E5">
      <w:pPr>
        <w:ind w:firstLine="640"/>
      </w:pPr>
      <w:r>
        <w:t>顺义法院制定《北京市顺义区人民法院政府采购管理制度》、《北京市顺义区人民法院合同管理制度》等，内部控制制度较为完整。在项目实施过程中，顺义法院针对自身服务需求，按照《政府采购法》</w:t>
      </w:r>
      <w:r>
        <w:rPr>
          <w:rFonts w:hint="eastAsia"/>
        </w:rPr>
        <w:t>、《北京市顺义区人民法院政府采购管理制度》及“统一领导、归口管理、分级负责、责任到人”的管理原则。项目实施过程基本符合制度规定。</w:t>
      </w:r>
    </w:p>
    <w:p w14:paraId="37B8790A">
      <w:pPr>
        <w:pStyle w:val="4"/>
        <w:ind w:firstLine="643"/>
        <w:rPr>
          <w:rStyle w:val="30"/>
          <w:rFonts w:eastAsia="仿宋_GB2312"/>
          <w:b/>
          <w:bCs/>
        </w:rPr>
      </w:pPr>
      <w:bookmarkStart w:id="12" w:name="_Toc165130976"/>
      <w:r>
        <w:rPr>
          <w:rStyle w:val="30"/>
          <w:rFonts w:eastAsia="仿宋_GB2312"/>
          <w:b/>
          <w:bCs/>
        </w:rPr>
        <w:t>（三）项目产出情况</w:t>
      </w:r>
      <w:bookmarkEnd w:id="12"/>
    </w:p>
    <w:p w14:paraId="452703C4">
      <w:pPr>
        <w:ind w:firstLine="640"/>
        <w:rPr>
          <w:rFonts w:hint="eastAsia"/>
          <w:highlight w:val="yellow"/>
          <w:lang w:eastAsia="zh-CN"/>
        </w:rPr>
      </w:pPr>
      <w:r>
        <w:rPr>
          <w:rFonts w:hint="eastAsia"/>
          <w:highlight w:val="none"/>
        </w:rPr>
        <w:t>1</w:t>
      </w:r>
      <w:r>
        <w:t>、</w:t>
      </w:r>
      <w:r>
        <w:rPr>
          <w:rFonts w:hint="eastAsia"/>
          <w:highlight w:val="none"/>
        </w:rPr>
        <w:t>产出数量情况：202</w:t>
      </w:r>
      <w:r>
        <w:rPr>
          <w:rFonts w:hint="eastAsia"/>
          <w:highlight w:val="none"/>
          <w:lang w:val="en-US" w:eastAsia="zh-CN"/>
        </w:rPr>
        <w:t>4</w:t>
      </w:r>
      <w:r>
        <w:rPr>
          <w:rFonts w:hint="eastAsia"/>
          <w:highlight w:val="none"/>
        </w:rPr>
        <w:t>年，我院共新收案件44563件，结案44882件，员额法官人均结案</w:t>
      </w:r>
      <w:r>
        <w:rPr>
          <w:rFonts w:hint="eastAsia"/>
          <w:highlight w:val="none"/>
          <w:lang w:val="en-US" w:eastAsia="zh-CN"/>
        </w:rPr>
        <w:t>397.2</w:t>
      </w:r>
      <w:r>
        <w:rPr>
          <w:rFonts w:hint="eastAsia"/>
          <w:highlight w:val="none"/>
        </w:rPr>
        <w:t>件</w:t>
      </w:r>
      <w:r>
        <w:rPr>
          <w:rFonts w:hint="eastAsia"/>
          <w:highlight w:val="none"/>
          <w:lang w:eastAsia="zh-CN"/>
        </w:rPr>
        <w:t>。</w:t>
      </w:r>
    </w:p>
    <w:p w14:paraId="7F4EBFDE">
      <w:pPr>
        <w:ind w:firstLine="640"/>
        <w:rPr>
          <w:rFonts w:hint="eastAsia"/>
          <w:lang w:eastAsia="zh-CN"/>
        </w:rPr>
      </w:pPr>
      <w:r>
        <w:rPr>
          <w:rFonts w:hint="eastAsia"/>
        </w:rPr>
        <w:t>2</w:t>
      </w:r>
      <w:r>
        <w:t>、</w:t>
      </w:r>
      <w:r>
        <w:rPr>
          <w:rFonts w:hint="eastAsia"/>
        </w:rPr>
        <w:t>产出质量情况：我院审判质效</w:t>
      </w:r>
      <w:r>
        <w:rPr>
          <w:rFonts w:hint="eastAsia"/>
          <w:lang w:val="en-US" w:eastAsia="zh-CN"/>
        </w:rPr>
        <w:t>为1.47</w:t>
      </w:r>
      <w:r>
        <w:rPr>
          <w:rFonts w:hint="eastAsia"/>
        </w:rPr>
        <w:t>%</w:t>
      </w:r>
      <w:r>
        <w:rPr>
          <w:rFonts w:hint="eastAsia"/>
          <w:lang w:eastAsia="zh-CN"/>
        </w:rPr>
        <w:t>。</w:t>
      </w:r>
    </w:p>
    <w:p w14:paraId="2F359599">
      <w:pPr>
        <w:ind w:firstLine="640"/>
        <w:rPr>
          <w:rFonts w:hint="eastAsia"/>
          <w:lang w:val="en-US" w:eastAsia="zh-CN"/>
        </w:rPr>
      </w:pPr>
      <w:r>
        <w:rPr>
          <w:rFonts w:hint="eastAsia"/>
        </w:rPr>
        <w:t>3</w:t>
      </w:r>
      <w:r>
        <w:t>、</w:t>
      </w:r>
      <w:r>
        <w:rPr>
          <w:rFonts w:hint="eastAsia"/>
        </w:rPr>
        <w:t>产出时效情况：我院</w:t>
      </w:r>
      <w:r>
        <w:rPr>
          <w:rFonts w:hint="eastAsia"/>
          <w:lang w:val="en-US" w:eastAsia="zh-CN"/>
        </w:rPr>
        <w:t>平均结案时间56.12天，电子送达覆盖率73.11%。</w:t>
      </w:r>
    </w:p>
    <w:p w14:paraId="4B7530D7">
      <w:pPr>
        <w:ind w:firstLine="640"/>
        <w:rPr>
          <w:rFonts w:hint="eastAsia" w:eastAsia="仿宋_GB2312"/>
          <w:lang w:eastAsia="zh-CN"/>
        </w:rPr>
      </w:pPr>
      <w:r>
        <w:rPr>
          <w:rFonts w:hint="eastAsia"/>
        </w:rPr>
        <w:t>4</w:t>
      </w:r>
      <w:r>
        <w:t>、</w:t>
      </w:r>
      <w:r>
        <w:rPr>
          <w:rFonts w:hint="eastAsia"/>
        </w:rPr>
        <w:t>产出成本情况：该项目实际支出在预算范围内，项目资金的使用符合成本效益原则</w:t>
      </w:r>
      <w:r>
        <w:rPr>
          <w:rFonts w:hint="eastAsia"/>
          <w:lang w:eastAsia="zh-CN"/>
        </w:rPr>
        <w:t>。</w:t>
      </w:r>
    </w:p>
    <w:p w14:paraId="28F3EBBC">
      <w:pPr>
        <w:pStyle w:val="4"/>
        <w:ind w:firstLine="643"/>
        <w:rPr>
          <w:rStyle w:val="30"/>
          <w:rFonts w:eastAsia="仿宋_GB2312"/>
          <w:b/>
          <w:bCs/>
        </w:rPr>
      </w:pPr>
      <w:bookmarkStart w:id="13" w:name="_Toc165130977"/>
      <w:r>
        <w:rPr>
          <w:rStyle w:val="30"/>
          <w:rFonts w:eastAsia="仿宋_GB2312"/>
          <w:b/>
          <w:bCs/>
        </w:rPr>
        <w:t>（四）项目效益情况</w:t>
      </w:r>
      <w:bookmarkEnd w:id="13"/>
    </w:p>
    <w:p w14:paraId="1111A7B1">
      <w:pPr>
        <w:ind w:firstLine="640"/>
        <w:rPr>
          <w:rFonts w:hint="eastAsia"/>
        </w:rPr>
      </w:pPr>
      <w:r>
        <w:rPr>
          <w:rFonts w:hint="eastAsia"/>
        </w:rPr>
        <w:t>1</w:t>
      </w:r>
      <w:r>
        <w:t>、</w:t>
      </w:r>
      <w:r>
        <w:rPr>
          <w:rFonts w:hint="eastAsia"/>
        </w:rPr>
        <w:t>经济效益指标</w:t>
      </w:r>
    </w:p>
    <w:p w14:paraId="3CF684B1">
      <w:pPr>
        <w:ind w:firstLine="640"/>
      </w:pPr>
      <w:r>
        <w:rPr>
          <w:rFonts w:hint="eastAsia"/>
          <w:lang w:eastAsia="zh-CN"/>
        </w:rPr>
        <w:t>紧扣改革任务要求，制定《贯彻落实民营经济相关工作要求的任务清单》《优化法治化营商环境的任务分解》等文件，助推北京市全面优化营商环境打造“北京服务”改革任务100%落地。开展“党建+业务”案例分享活动，将商事审判与服务经济社会高质量发展相结合，报送的案例《“联企e站”凝心聚力优化法治化营商环境》入选2024年度北京法院贯彻落实习近平法治思想优秀实践案例。</w:t>
      </w:r>
    </w:p>
    <w:p w14:paraId="774A3F37">
      <w:pPr>
        <w:ind w:firstLine="640"/>
        <w:rPr>
          <w:rFonts w:hint="eastAsia"/>
        </w:rPr>
      </w:pPr>
      <w:r>
        <w:rPr>
          <w:rFonts w:hint="eastAsia"/>
        </w:rPr>
        <w:t>2</w:t>
      </w:r>
      <w:r>
        <w:t>、</w:t>
      </w:r>
      <w:r>
        <w:rPr>
          <w:rFonts w:hint="eastAsia"/>
        </w:rPr>
        <w:t>社会效益情况</w:t>
      </w:r>
    </w:p>
    <w:p w14:paraId="40B71965">
      <w:pPr>
        <w:ind w:firstLine="640"/>
        <w:rPr>
          <w:rFonts w:hint="eastAsia"/>
          <w:lang w:eastAsia="zh-CN"/>
        </w:rPr>
      </w:pPr>
      <w:r>
        <w:rPr>
          <w:rFonts w:hint="eastAsia"/>
          <w:lang w:eastAsia="zh-CN"/>
        </w:rPr>
        <w:t>（1）涉及营商环境方面</w:t>
      </w:r>
    </w:p>
    <w:p w14:paraId="4DCF480F">
      <w:pPr>
        <w:ind w:firstLine="640"/>
        <w:rPr>
          <w:rFonts w:hint="eastAsia"/>
          <w:lang w:eastAsia="zh-CN"/>
        </w:rPr>
      </w:pPr>
      <w:r>
        <w:rPr>
          <w:rFonts w:hint="eastAsia"/>
          <w:lang w:eastAsia="zh-CN"/>
        </w:rPr>
        <w:t>以提效率为切入点，持续提升内生动力。2024年新收商事案件9515件，已结案件9571件，实现收结案件的良性循环。全力推进全流程网上办理，压减纠纷解决的时间和成本，2024年审限内结案率96.63%，平均结案时间54.14天，位居全市法院前列。与首都机场联合精准打击违反限高令乘机行为，结合企业履行能力分类采取失信惩戒措施，助力1046家企业修复信用，以法治之力推进社会信用体系建设。</w:t>
      </w:r>
    </w:p>
    <w:p w14:paraId="5E12B59F">
      <w:pPr>
        <w:ind w:firstLine="640"/>
        <w:rPr>
          <w:rFonts w:hint="eastAsia"/>
          <w:lang w:eastAsia="zh-CN"/>
        </w:rPr>
      </w:pPr>
      <w:r>
        <w:rPr>
          <w:rFonts w:hint="eastAsia"/>
          <w:lang w:eastAsia="zh-CN"/>
        </w:rPr>
        <w:t>（2）首都治安方面</w:t>
      </w:r>
    </w:p>
    <w:p w14:paraId="4DB3A385">
      <w:pPr>
        <w:ind w:firstLine="640"/>
        <w:rPr>
          <w:rFonts w:hint="eastAsia"/>
          <w:lang w:eastAsia="zh-CN"/>
        </w:rPr>
      </w:pPr>
      <w:r>
        <w:rPr>
          <w:rFonts w:hint="eastAsia"/>
          <w:lang w:eastAsia="zh-CN"/>
        </w:rPr>
        <w:t>扎实推进平安顺义建设。受理刑事案件1211件，同比上升11.31%，审结1187件，同比上升9.1%，判处罪犯1400人。一是依法严惩危害国家安全犯罪。妥善审结涉邪教、涉网络政治谣言犯罪案件5件5人，坚决维护首都政治安全。常态化开展扫黑除恶斗争，深挖核查涉黑恶线索，全面自查已结案件，持续织密执行网，不遗余力推动“黑财清底”。二是营造良好社会治安环境。从严审结故意杀人、故意伤害、放火、强奸等严重暴力犯罪案件92件，对44名刑事大要案被告人判处十年以上有期徒刑，从快审结电信网络诈骗及关联犯罪案件171件259人，多措并举追赃挽损500余万元，切实保障人民群众生命财产安全。公检法协同破解“收押难、执行难”问题，确保99名“判实未执”罪犯依法“应执尽执”。三是有力遏制重点领域犯罪。依法严惩各类职务犯罪案件24件34人，判决追缴罚没案款6000余万元，切实铲除腐败滋生土壤。开展打击非法集资专项行动，成立工作专班，稳妥审结非法吸收公众存款犯罪案件8件12人。重拳打击虚开骗税违法犯罪，审理的“北京某餐饮公司逃避追缴欠税案”入选“两高”依法惩治危害税收征管典型案例。四是防范化解各类风险隐患。严格执行重大事项请示报告制度，向上级请示报告重大事项41次，动态报送“三同步”工作方案51个，加强矛盾纠纷排查化解，源头防控各类不稳定风险。推进信访工作法治化，办理群众来信752件，院庭长接访下访160次、接待来访群众1302人次，探索合盘统筹、合心沟通、合力稳控“三合”工作法，推动涉诉信访矛盾就地实质化解。</w:t>
      </w:r>
    </w:p>
    <w:p w14:paraId="4748C141">
      <w:pPr>
        <w:ind w:firstLine="640"/>
        <w:rPr>
          <w:rFonts w:hint="eastAsia"/>
        </w:rPr>
      </w:pPr>
      <w:r>
        <w:rPr>
          <w:rFonts w:hint="eastAsia"/>
        </w:rPr>
        <w:t>3</w:t>
      </w:r>
      <w:r>
        <w:t>、</w:t>
      </w:r>
      <w:r>
        <w:rPr>
          <w:rFonts w:hint="eastAsia"/>
        </w:rPr>
        <w:t>可持续影响指标</w:t>
      </w:r>
    </w:p>
    <w:p w14:paraId="445FFB9C">
      <w:pPr>
        <w:ind w:firstLine="640"/>
      </w:pPr>
      <w:r>
        <w:rPr>
          <w:rFonts w:hint="eastAsia"/>
        </w:rPr>
        <w:t>坚决维护辖区安全稳定和经济社会高质量发展，“如我在诉”有力保障人民群众合法权益，以法治思维和法治方法积极服务基层社会治理，凝心铸魂打造新时代过硬人民法院队伍。</w:t>
      </w:r>
    </w:p>
    <w:p w14:paraId="6D9D5F66">
      <w:pPr>
        <w:ind w:firstLine="640"/>
        <w:rPr>
          <w:rFonts w:hint="eastAsia"/>
        </w:rPr>
      </w:pPr>
      <w:r>
        <w:rPr>
          <w:rFonts w:hint="eastAsia"/>
          <w:lang w:val="en-US" w:eastAsia="zh-CN"/>
        </w:rPr>
        <w:t>4</w:t>
      </w:r>
      <w:r>
        <w:t>、</w:t>
      </w:r>
      <w:r>
        <w:rPr>
          <w:rFonts w:hint="eastAsia"/>
        </w:rPr>
        <w:t>服务对象满意度指标</w:t>
      </w:r>
    </w:p>
    <w:p w14:paraId="31446325">
      <w:pPr>
        <w:ind w:firstLine="640"/>
        <w:rPr>
          <w:rFonts w:hint="eastAsia"/>
        </w:rPr>
      </w:pPr>
      <w:r>
        <w:rPr>
          <w:rFonts w:hint="eastAsia"/>
        </w:rPr>
        <w:t>坚持党对法院工作的绝对领导，坚持走中国特色社会主义道路，坚持司法为民、公正司法，维护国家安全、社会安定、人民安宁，为加快建设“业强城优生活美”的首都重点平原新城、为全市率先基本实现社会主义现代化提供了有力司法服务和保障，各项工作得到了辖区群众及</w:t>
      </w:r>
      <w:r>
        <w:rPr>
          <w:rFonts w:hint="eastAsia"/>
          <w:lang w:eastAsia="zh-CN"/>
        </w:rPr>
        <w:t>党委、政府</w:t>
      </w:r>
      <w:r>
        <w:rPr>
          <w:rFonts w:hint="eastAsia"/>
        </w:rPr>
        <w:t>的高度认可。拓宽监督路径，邀请市、区两级人大代表零距离参与庭审旁听、强制执行、调研座谈等活动24场33人次。认真办结政协委员提案2件；出台规范和保障人民陪审员参审工作办法，组织新任人民陪审员开展专项培训，420名人民陪审员共参与审理案件1140件，汇聚司法民主的蓬勃力量。</w:t>
      </w:r>
    </w:p>
    <w:p w14:paraId="13746CAE">
      <w:pPr>
        <w:pStyle w:val="3"/>
        <w:ind w:firstLine="643"/>
        <w:rPr>
          <w:rFonts w:ascii="黑体" w:hAnsi="黑体" w:eastAsia="黑体" w:cs="黑体"/>
        </w:rPr>
      </w:pPr>
      <w:bookmarkStart w:id="14" w:name="_Toc165130978"/>
      <w:r>
        <w:rPr>
          <w:rFonts w:hint="eastAsia" w:ascii="黑体" w:hAnsi="黑体" w:eastAsia="黑体" w:cs="黑体"/>
        </w:rPr>
        <w:t>五、主要经验及做法、存在的问题及原因分析</w:t>
      </w:r>
      <w:bookmarkEnd w:id="14"/>
    </w:p>
    <w:p w14:paraId="747A0AED">
      <w:pPr>
        <w:spacing w:line="600" w:lineRule="exact"/>
        <w:ind w:firstLine="640"/>
        <w:rPr>
          <w:rFonts w:ascii="仿宋_GB2312" w:hAnsi="仿宋_GB2312" w:cs="仿宋_GB2312"/>
          <w:szCs w:val="32"/>
        </w:rPr>
      </w:pPr>
      <w:r>
        <w:rPr>
          <w:rFonts w:hint="eastAsia" w:ascii="仿宋_GB2312" w:hAnsi="仿宋_GB2312" w:cs="仿宋_GB2312"/>
          <w:szCs w:val="32"/>
        </w:rPr>
        <w:t>（一）主要经验及做法</w:t>
      </w:r>
    </w:p>
    <w:p w14:paraId="419401EC">
      <w:pPr>
        <w:ind w:firstLine="640"/>
        <w:rPr>
          <w:szCs w:val="32"/>
        </w:rPr>
      </w:pPr>
      <w:r>
        <w:rPr>
          <w:rFonts w:hint="eastAsia"/>
          <w:szCs w:val="32"/>
        </w:rPr>
        <w:t>顺义法院</w:t>
      </w:r>
      <w:r>
        <w:rPr>
          <w:rFonts w:hint="eastAsia"/>
          <w:szCs w:val="32"/>
          <w:lang w:eastAsia="zh-CN"/>
        </w:rPr>
        <w:t>法院办案业务费</w:t>
      </w:r>
      <w:r>
        <w:rPr>
          <w:rFonts w:hint="eastAsia"/>
          <w:szCs w:val="32"/>
        </w:rPr>
        <w:t>开展较早，已具备成熟的工作模式，资金使用规划按照市级部门预算管理的相关要求提前部署，单位内部控制管理和预算执行管理严格，绩效目标的制定和单位内部目标责任管理考核相结合，切合实际、制定合理，各部门间相关职责分工明确、衔接有序，有效保障绩效目标的完成。</w:t>
      </w:r>
    </w:p>
    <w:p w14:paraId="661AA548">
      <w:pPr>
        <w:spacing w:line="600" w:lineRule="exact"/>
        <w:ind w:firstLine="640"/>
        <w:rPr>
          <w:rFonts w:ascii="仿宋_GB2312" w:hAnsi="仿宋_GB2312" w:cs="仿宋_GB2312"/>
          <w:szCs w:val="32"/>
        </w:rPr>
      </w:pPr>
      <w:r>
        <w:rPr>
          <w:rFonts w:hint="eastAsia" w:ascii="仿宋_GB2312" w:hAnsi="仿宋_GB2312" w:cs="仿宋_GB2312"/>
          <w:szCs w:val="32"/>
        </w:rPr>
        <w:t>（二）存在的问题及原因分析</w:t>
      </w:r>
    </w:p>
    <w:p w14:paraId="28DA79E4">
      <w:pPr>
        <w:ind w:firstLine="640"/>
        <w:rPr>
          <w:rFonts w:hint="eastAsia"/>
        </w:rPr>
      </w:pPr>
      <w:r>
        <w:rPr>
          <w:rFonts w:hint="eastAsia"/>
        </w:rPr>
        <w:t>1</w:t>
      </w:r>
      <w:r>
        <w:t>、</w:t>
      </w:r>
      <w:r>
        <w:rPr>
          <w:rFonts w:hint="eastAsia"/>
        </w:rPr>
        <w:t>绩效目标申报表内容不够完整细化，该项目未设置时效指标，未对项目产生的可持续影响进行深入挖掘</w:t>
      </w:r>
      <w:r>
        <w:rPr>
          <w:rFonts w:hint="eastAsia"/>
          <w:lang w:eastAsia="zh-CN"/>
        </w:rPr>
        <w:t>。</w:t>
      </w:r>
      <w:r>
        <w:rPr>
          <w:rFonts w:hint="eastAsia"/>
        </w:rPr>
        <w:t>主要原因为绩效目标申报表填报不够细化、科学。</w:t>
      </w:r>
    </w:p>
    <w:p w14:paraId="6866F8E8">
      <w:pPr>
        <w:ind w:firstLine="640"/>
        <w:rPr>
          <w:rFonts w:hint="eastAsia"/>
        </w:rPr>
      </w:pPr>
      <w:r>
        <w:rPr>
          <w:rFonts w:hint="eastAsia"/>
        </w:rPr>
        <w:t>2</w:t>
      </w:r>
      <w:r>
        <w:t>、</w:t>
      </w:r>
      <w:r>
        <w:rPr>
          <w:rFonts w:hint="eastAsia"/>
        </w:rPr>
        <w:t>未针对该项目服务对象进行满意度调查，缺少满意度指标完成情况的支撑资料。</w:t>
      </w:r>
    </w:p>
    <w:p w14:paraId="7FAC8D5C">
      <w:pPr>
        <w:pStyle w:val="3"/>
        <w:ind w:firstLine="643"/>
        <w:rPr>
          <w:rFonts w:ascii="黑体" w:hAnsi="黑体" w:eastAsia="黑体" w:cs="黑体"/>
        </w:rPr>
      </w:pPr>
      <w:bookmarkStart w:id="15" w:name="_Toc165130979"/>
      <w:r>
        <w:rPr>
          <w:rFonts w:hint="eastAsia" w:ascii="黑体" w:hAnsi="黑体" w:eastAsia="黑体" w:cs="黑体"/>
        </w:rPr>
        <w:t>六、有关建议</w:t>
      </w:r>
      <w:bookmarkEnd w:id="15"/>
    </w:p>
    <w:p w14:paraId="462E3C50">
      <w:pPr>
        <w:ind w:firstLine="640"/>
        <w:rPr>
          <w:rFonts w:hint="eastAsia"/>
        </w:rPr>
      </w:pPr>
      <w:r>
        <w:t>1、</w:t>
      </w:r>
      <w:r>
        <w:rPr>
          <w:rFonts w:hint="eastAsia"/>
        </w:rPr>
        <w:t>规范填报项目绩效目标申报表，根据项目的内容客观预期项目实施能够达到的效果，科学设置绩效目标，指标应指向明确，尽可能细化、量化，不能量化的绩效指标要具有可考量性，充分发挥绩效目标导向作用。</w:t>
      </w:r>
    </w:p>
    <w:p w14:paraId="584E3454">
      <w:pPr>
        <w:pageBreakBefore w:val="0"/>
        <w:widowControl w:val="0"/>
        <w:kinsoku/>
        <w:wordWrap/>
        <w:overflowPunct/>
        <w:topLinePunct w:val="0"/>
        <w:autoSpaceDE/>
        <w:autoSpaceDN/>
        <w:bidi w:val="0"/>
        <w:adjustRightInd/>
        <w:snapToGrid/>
        <w:spacing w:line="240" w:lineRule="auto"/>
        <w:ind w:firstLine="640"/>
        <w:textAlignment w:val="auto"/>
        <w:rPr>
          <w:rFonts w:hint="eastAsia"/>
        </w:rPr>
      </w:pPr>
      <w:r>
        <w:rPr>
          <w:rFonts w:hint="eastAsia"/>
        </w:rPr>
        <w:t>2</w:t>
      </w:r>
      <w:r>
        <w:t>、</w:t>
      </w:r>
      <w:r>
        <w:rPr>
          <w:rFonts w:hint="eastAsia"/>
        </w:rPr>
        <w:t>设计科学有效的满意度调查问卷，重视对满意度调查问卷的收集整理和分析，对于提出的问题要谦虚接受并加以改进，以便后期提高资金的使用效果。</w:t>
      </w:r>
    </w:p>
    <w:p w14:paraId="2E414263">
      <w:pPr>
        <w:pStyle w:val="3"/>
        <w:pageBreakBefore w:val="0"/>
        <w:widowControl w:val="0"/>
        <w:kinsoku/>
        <w:wordWrap/>
        <w:overflowPunct/>
        <w:topLinePunct w:val="0"/>
        <w:autoSpaceDE/>
        <w:autoSpaceDN/>
        <w:bidi w:val="0"/>
        <w:adjustRightInd/>
        <w:snapToGrid/>
        <w:spacing w:line="240" w:lineRule="auto"/>
        <w:ind w:firstLine="643"/>
        <w:textAlignment w:val="auto"/>
        <w:rPr>
          <w:rFonts w:hint="eastAsia" w:ascii="黑体" w:hAnsi="黑体" w:eastAsia="黑体" w:cs="黑体"/>
          <w:lang w:val="en-US" w:eastAsia="zh-CN"/>
        </w:rPr>
      </w:pPr>
      <w:bookmarkStart w:id="16" w:name="_Toc165130980"/>
      <w:r>
        <w:rPr>
          <w:rFonts w:hint="eastAsia" w:ascii="黑体" w:hAnsi="黑体" w:eastAsia="黑体" w:cs="黑体"/>
        </w:rPr>
        <w:t>七、</w:t>
      </w:r>
      <w:bookmarkEnd w:id="16"/>
      <w:r>
        <w:rPr>
          <w:rFonts w:hint="eastAsia" w:ascii="黑体" w:hAnsi="黑体" w:eastAsia="黑体" w:cs="黑体"/>
          <w:lang w:val="en-US" w:eastAsia="zh-CN"/>
        </w:rPr>
        <w:t>附件</w:t>
      </w:r>
      <w:bookmarkStart w:id="17" w:name="_GoBack"/>
      <w:bookmarkEnd w:id="17"/>
    </w:p>
    <w:p w14:paraId="3BAE2B96">
      <w:pPr>
        <w:pageBreakBefore w:val="0"/>
        <w:widowControl w:val="0"/>
        <w:kinsoku/>
        <w:wordWrap/>
        <w:overflowPunct/>
        <w:topLinePunct w:val="0"/>
        <w:autoSpaceDE/>
        <w:autoSpaceDN/>
        <w:bidi w:val="0"/>
        <w:adjustRightInd/>
        <w:snapToGrid/>
        <w:spacing w:line="240" w:lineRule="auto"/>
        <w:ind w:firstLine="640"/>
        <w:textAlignment w:val="auto"/>
        <w:rPr>
          <w:rFonts w:hint="eastAsia" w:ascii="仿宋_GB2312" w:hAnsi="仿宋" w:eastAsia="仿宋_GB2312"/>
          <w:sz w:val="32"/>
          <w:szCs w:val="32"/>
        </w:rPr>
      </w:pPr>
      <w:r>
        <w:rPr>
          <w:rFonts w:hint="eastAsia" w:ascii="仿宋_GB2312" w:hAnsi="仿宋"/>
          <w:sz w:val="32"/>
          <w:szCs w:val="32"/>
          <w:lang w:val="en-US" w:eastAsia="zh-CN"/>
        </w:rPr>
        <w:t>1</w:t>
      </w:r>
      <w:r>
        <w:t>、</w:t>
      </w:r>
      <w:r>
        <w:rPr>
          <w:rFonts w:hint="eastAsia" w:ascii="仿宋_GB2312" w:hAnsi="仿宋" w:eastAsia="仿宋_GB2312"/>
          <w:sz w:val="32"/>
          <w:szCs w:val="32"/>
        </w:rPr>
        <w:t>专家意见汇总书</w:t>
      </w:r>
    </w:p>
    <w:p w14:paraId="19799C81">
      <w:pPr>
        <w:pageBreakBefore w:val="0"/>
        <w:widowControl w:val="0"/>
        <w:kinsoku/>
        <w:wordWrap/>
        <w:overflowPunct/>
        <w:topLinePunct w:val="0"/>
        <w:autoSpaceDE/>
        <w:autoSpaceDN/>
        <w:bidi w:val="0"/>
        <w:adjustRightInd/>
        <w:snapToGrid/>
        <w:spacing w:line="240" w:lineRule="auto"/>
        <w:ind w:firstLine="640"/>
        <w:textAlignment w:val="auto"/>
        <w:rPr>
          <w:rFonts w:hint="eastAsia" w:ascii="仿宋_GB2312" w:hAnsi="仿宋" w:eastAsia="仿宋_GB2312"/>
          <w:sz w:val="32"/>
          <w:szCs w:val="32"/>
        </w:rPr>
      </w:pPr>
      <w:r>
        <w:rPr>
          <w:rFonts w:hint="eastAsia" w:ascii="仿宋_GB2312" w:hAnsi="仿宋"/>
          <w:sz w:val="32"/>
          <w:szCs w:val="32"/>
          <w:lang w:val="en-US" w:eastAsia="zh-CN"/>
        </w:rPr>
        <w:t>2</w:t>
      </w:r>
      <w:r>
        <w:t>、</w:t>
      </w:r>
      <w:r>
        <w:rPr>
          <w:rFonts w:hint="eastAsia" w:ascii="仿宋_GB2312" w:hAnsi="仿宋" w:eastAsia="仿宋_GB2312"/>
          <w:sz w:val="32"/>
          <w:szCs w:val="32"/>
        </w:rPr>
        <w:t>绩效评价专家组及工作组情况表</w:t>
      </w:r>
    </w:p>
    <w:p w14:paraId="6501B7DA">
      <w:pPr>
        <w:pageBreakBefore w:val="0"/>
        <w:widowControl w:val="0"/>
        <w:kinsoku/>
        <w:wordWrap/>
        <w:overflowPunct/>
        <w:topLinePunct w:val="0"/>
        <w:autoSpaceDE/>
        <w:autoSpaceDN/>
        <w:bidi w:val="0"/>
        <w:adjustRightInd/>
        <w:snapToGrid/>
        <w:spacing w:line="240" w:lineRule="auto"/>
        <w:ind w:firstLine="640"/>
        <w:textAlignment w:val="auto"/>
        <w:rPr>
          <w:rFonts w:hint="eastAsia"/>
        </w:rPr>
      </w:pPr>
      <w:r>
        <w:rPr>
          <w:rFonts w:hint="eastAsia" w:ascii="仿宋_GB2312" w:hAnsi="仿宋"/>
          <w:sz w:val="32"/>
          <w:szCs w:val="32"/>
          <w:lang w:val="en-US" w:eastAsia="zh-CN"/>
        </w:rPr>
        <w:t>3</w:t>
      </w:r>
      <w:r>
        <w:t>、</w:t>
      </w:r>
      <w:r>
        <w:rPr>
          <w:rFonts w:hint="eastAsia" w:ascii="仿宋_GB2312" w:hAnsi="仿宋" w:eastAsia="仿宋_GB2312"/>
          <w:sz w:val="32"/>
          <w:szCs w:val="32"/>
        </w:rPr>
        <w:t>绩效评价指标体系及打分情况表</w:t>
      </w:r>
    </w:p>
    <w:sectPr>
      <w:headerReference r:id="rId11" w:type="default"/>
      <w:footerReference r:id="rId12"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1BF2">
    <w:pPr>
      <w:pStyle w:val="10"/>
      <w:ind w:firstLine="360"/>
      <w:jc w:val="center"/>
    </w:pPr>
  </w:p>
  <w:p w14:paraId="5DD2EFC0">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AF469">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9FC7">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5542936"/>
    </w:sdtPr>
    <w:sdtContent>
      <w:p w14:paraId="329ACB0F">
        <w:pPr>
          <w:pStyle w:val="10"/>
          <w:ind w:firstLine="360"/>
          <w:jc w:val="center"/>
        </w:pPr>
        <w:r>
          <w:fldChar w:fldCharType="begin"/>
        </w:r>
        <w:r>
          <w:instrText xml:space="preserve">PAGE   \* MERGEFORMAT</w:instrText>
        </w:r>
        <w:r>
          <w:fldChar w:fldCharType="separate"/>
        </w:r>
        <w:r>
          <w:rPr>
            <w:lang w:val="zh-CN"/>
          </w:rPr>
          <w:t>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1F892">
    <w:pPr>
      <w:pStyle w:val="11"/>
      <w:pBdr>
        <w:bottom w:val="none" w:color="auto" w:sz="0" w:space="0"/>
      </w:pBdr>
      <w:ind w:firstLine="0" w:firstLineChars="0"/>
      <w:jc w:val="both"/>
      <w:rPr>
        <w:rFonts w:ascii="仿宋_GB2312" w:eastAsia="仿宋_GB2312"/>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A7909">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1F486">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E793C">
    <w:pPr>
      <w:pStyle w:val="11"/>
      <w:ind w:firstLine="360"/>
      <w:jc w:val="right"/>
      <w:rPr>
        <w:rFonts w:ascii="仿宋_GB2312" w:eastAsia="仿宋_GB2312"/>
        <w:i/>
      </w:rPr>
    </w:pPr>
    <w:r>
      <w:rPr>
        <w:rFonts w:hint="eastAsia" w:ascii="仿宋_GB2312" w:eastAsia="仿宋_GB2312"/>
        <w:i/>
      </w:rPr>
      <w:t>北京市顺义区人民法院财政支出项目绩效评价报告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5OTM2MzQ4MTI0Y2MyNWQxZjc3NTcxMTc3YmI3MzkifQ=="/>
  </w:docVars>
  <w:rsids>
    <w:rsidRoot w:val="00D6380A"/>
    <w:rsid w:val="00000D8C"/>
    <w:rsid w:val="00006A1B"/>
    <w:rsid w:val="000333A0"/>
    <w:rsid w:val="00036FD8"/>
    <w:rsid w:val="00037696"/>
    <w:rsid w:val="00043423"/>
    <w:rsid w:val="00053768"/>
    <w:rsid w:val="00061539"/>
    <w:rsid w:val="000674A1"/>
    <w:rsid w:val="0006785E"/>
    <w:rsid w:val="00084799"/>
    <w:rsid w:val="00096F04"/>
    <w:rsid w:val="000A45E6"/>
    <w:rsid w:val="000A4AF0"/>
    <w:rsid w:val="000B00D0"/>
    <w:rsid w:val="000B74CF"/>
    <w:rsid w:val="000D188E"/>
    <w:rsid w:val="000D548F"/>
    <w:rsid w:val="000E0FDA"/>
    <w:rsid w:val="000E5EB7"/>
    <w:rsid w:val="000E6E71"/>
    <w:rsid w:val="00104719"/>
    <w:rsid w:val="00123C0E"/>
    <w:rsid w:val="00127D80"/>
    <w:rsid w:val="001561E7"/>
    <w:rsid w:val="00156B7F"/>
    <w:rsid w:val="00160C25"/>
    <w:rsid w:val="001621D3"/>
    <w:rsid w:val="00163EF4"/>
    <w:rsid w:val="00187A3F"/>
    <w:rsid w:val="0019697D"/>
    <w:rsid w:val="001B3F80"/>
    <w:rsid w:val="001D5E9B"/>
    <w:rsid w:val="001E1913"/>
    <w:rsid w:val="001F1123"/>
    <w:rsid w:val="0020490B"/>
    <w:rsid w:val="00230D05"/>
    <w:rsid w:val="00237C8B"/>
    <w:rsid w:val="00246BA6"/>
    <w:rsid w:val="00261E22"/>
    <w:rsid w:val="00270D95"/>
    <w:rsid w:val="002836DF"/>
    <w:rsid w:val="002979BA"/>
    <w:rsid w:val="002A535C"/>
    <w:rsid w:val="002B0524"/>
    <w:rsid w:val="002C2308"/>
    <w:rsid w:val="002D58D8"/>
    <w:rsid w:val="002D5B6D"/>
    <w:rsid w:val="002F588D"/>
    <w:rsid w:val="00316AD3"/>
    <w:rsid w:val="00357ED6"/>
    <w:rsid w:val="00362E49"/>
    <w:rsid w:val="00380F8E"/>
    <w:rsid w:val="003A5118"/>
    <w:rsid w:val="003A7CE9"/>
    <w:rsid w:val="003A7ECD"/>
    <w:rsid w:val="003B0946"/>
    <w:rsid w:val="003B2949"/>
    <w:rsid w:val="003C2771"/>
    <w:rsid w:val="003C38A8"/>
    <w:rsid w:val="003E1CBA"/>
    <w:rsid w:val="003F2525"/>
    <w:rsid w:val="00405FF7"/>
    <w:rsid w:val="0041386E"/>
    <w:rsid w:val="0041766C"/>
    <w:rsid w:val="004213C1"/>
    <w:rsid w:val="00435F84"/>
    <w:rsid w:val="00440328"/>
    <w:rsid w:val="00441733"/>
    <w:rsid w:val="00447D3F"/>
    <w:rsid w:val="00451724"/>
    <w:rsid w:val="00460D8C"/>
    <w:rsid w:val="004733FC"/>
    <w:rsid w:val="00491E17"/>
    <w:rsid w:val="004A2432"/>
    <w:rsid w:val="004C7A6C"/>
    <w:rsid w:val="004E398F"/>
    <w:rsid w:val="00504F5C"/>
    <w:rsid w:val="005100F5"/>
    <w:rsid w:val="0052386E"/>
    <w:rsid w:val="005304CE"/>
    <w:rsid w:val="00541BA8"/>
    <w:rsid w:val="00541EBC"/>
    <w:rsid w:val="00551ED2"/>
    <w:rsid w:val="00577718"/>
    <w:rsid w:val="005A09C7"/>
    <w:rsid w:val="005A5055"/>
    <w:rsid w:val="005B07D6"/>
    <w:rsid w:val="005C1B21"/>
    <w:rsid w:val="005C3AD6"/>
    <w:rsid w:val="005E1011"/>
    <w:rsid w:val="005E649C"/>
    <w:rsid w:val="005E6CD6"/>
    <w:rsid w:val="005F12C0"/>
    <w:rsid w:val="0062758B"/>
    <w:rsid w:val="00631C62"/>
    <w:rsid w:val="00632C8F"/>
    <w:rsid w:val="00642818"/>
    <w:rsid w:val="006466CA"/>
    <w:rsid w:val="00651CBC"/>
    <w:rsid w:val="00673957"/>
    <w:rsid w:val="00675E38"/>
    <w:rsid w:val="006B36C5"/>
    <w:rsid w:val="006C1655"/>
    <w:rsid w:val="006C6ACA"/>
    <w:rsid w:val="006D7324"/>
    <w:rsid w:val="006E2C78"/>
    <w:rsid w:val="006F4552"/>
    <w:rsid w:val="00701399"/>
    <w:rsid w:val="00703DE9"/>
    <w:rsid w:val="00704B1A"/>
    <w:rsid w:val="00707B20"/>
    <w:rsid w:val="00721A84"/>
    <w:rsid w:val="00731F0B"/>
    <w:rsid w:val="00732F9B"/>
    <w:rsid w:val="007465A1"/>
    <w:rsid w:val="00760BDA"/>
    <w:rsid w:val="00774673"/>
    <w:rsid w:val="00785404"/>
    <w:rsid w:val="00790694"/>
    <w:rsid w:val="007A054C"/>
    <w:rsid w:val="007A3984"/>
    <w:rsid w:val="007B0C15"/>
    <w:rsid w:val="007B6FB8"/>
    <w:rsid w:val="007D3EA6"/>
    <w:rsid w:val="007D64B2"/>
    <w:rsid w:val="007F521D"/>
    <w:rsid w:val="00805392"/>
    <w:rsid w:val="00811AA0"/>
    <w:rsid w:val="00814297"/>
    <w:rsid w:val="008327BB"/>
    <w:rsid w:val="00843CDA"/>
    <w:rsid w:val="008450BF"/>
    <w:rsid w:val="00847ADD"/>
    <w:rsid w:val="0086577F"/>
    <w:rsid w:val="0087435C"/>
    <w:rsid w:val="008949DE"/>
    <w:rsid w:val="00897F2F"/>
    <w:rsid w:val="008A2FEA"/>
    <w:rsid w:val="008A3AE2"/>
    <w:rsid w:val="008A6847"/>
    <w:rsid w:val="008C1263"/>
    <w:rsid w:val="008C76F3"/>
    <w:rsid w:val="008D7187"/>
    <w:rsid w:val="008F053A"/>
    <w:rsid w:val="008F269A"/>
    <w:rsid w:val="008F40BF"/>
    <w:rsid w:val="008F77C3"/>
    <w:rsid w:val="009422B4"/>
    <w:rsid w:val="009528C8"/>
    <w:rsid w:val="00982E05"/>
    <w:rsid w:val="00990196"/>
    <w:rsid w:val="009C25E5"/>
    <w:rsid w:val="009C5F19"/>
    <w:rsid w:val="009D1F5B"/>
    <w:rsid w:val="009D4E1C"/>
    <w:rsid w:val="009F3B18"/>
    <w:rsid w:val="009F50C4"/>
    <w:rsid w:val="009F7ACC"/>
    <w:rsid w:val="00A07D2F"/>
    <w:rsid w:val="00A1622B"/>
    <w:rsid w:val="00A204AC"/>
    <w:rsid w:val="00A21121"/>
    <w:rsid w:val="00A333BF"/>
    <w:rsid w:val="00A37F66"/>
    <w:rsid w:val="00A4736C"/>
    <w:rsid w:val="00A828F2"/>
    <w:rsid w:val="00AA3376"/>
    <w:rsid w:val="00AA4B8C"/>
    <w:rsid w:val="00AB5392"/>
    <w:rsid w:val="00AC4CE1"/>
    <w:rsid w:val="00AC6AA5"/>
    <w:rsid w:val="00AD0029"/>
    <w:rsid w:val="00AE34A9"/>
    <w:rsid w:val="00AF7AD6"/>
    <w:rsid w:val="00B0038B"/>
    <w:rsid w:val="00B0475C"/>
    <w:rsid w:val="00B216B6"/>
    <w:rsid w:val="00B25973"/>
    <w:rsid w:val="00B534D0"/>
    <w:rsid w:val="00B53EE3"/>
    <w:rsid w:val="00B60A84"/>
    <w:rsid w:val="00B9280B"/>
    <w:rsid w:val="00B931C7"/>
    <w:rsid w:val="00BC0592"/>
    <w:rsid w:val="00BD02A0"/>
    <w:rsid w:val="00BD2F0C"/>
    <w:rsid w:val="00C01F28"/>
    <w:rsid w:val="00C1254C"/>
    <w:rsid w:val="00C212BE"/>
    <w:rsid w:val="00C228A5"/>
    <w:rsid w:val="00C273FB"/>
    <w:rsid w:val="00C44EFA"/>
    <w:rsid w:val="00C5345B"/>
    <w:rsid w:val="00C603BC"/>
    <w:rsid w:val="00C66549"/>
    <w:rsid w:val="00C70AEC"/>
    <w:rsid w:val="00C71550"/>
    <w:rsid w:val="00C87903"/>
    <w:rsid w:val="00C902F4"/>
    <w:rsid w:val="00CA129A"/>
    <w:rsid w:val="00CA32D4"/>
    <w:rsid w:val="00CC1AB0"/>
    <w:rsid w:val="00CD0D12"/>
    <w:rsid w:val="00CD117A"/>
    <w:rsid w:val="00CE3F2D"/>
    <w:rsid w:val="00D01502"/>
    <w:rsid w:val="00D07A53"/>
    <w:rsid w:val="00D2143B"/>
    <w:rsid w:val="00D37570"/>
    <w:rsid w:val="00D51F8C"/>
    <w:rsid w:val="00D5522D"/>
    <w:rsid w:val="00D604D2"/>
    <w:rsid w:val="00D630E8"/>
    <w:rsid w:val="00D6380A"/>
    <w:rsid w:val="00D63A8E"/>
    <w:rsid w:val="00D925CC"/>
    <w:rsid w:val="00D94986"/>
    <w:rsid w:val="00D95034"/>
    <w:rsid w:val="00D95297"/>
    <w:rsid w:val="00D9637F"/>
    <w:rsid w:val="00D9791F"/>
    <w:rsid w:val="00DB113E"/>
    <w:rsid w:val="00DB5D64"/>
    <w:rsid w:val="00DC07E4"/>
    <w:rsid w:val="00DC0FE4"/>
    <w:rsid w:val="00DE44CD"/>
    <w:rsid w:val="00DE7AF4"/>
    <w:rsid w:val="00DF7B33"/>
    <w:rsid w:val="00E10AA1"/>
    <w:rsid w:val="00E16C65"/>
    <w:rsid w:val="00E24326"/>
    <w:rsid w:val="00E25F5E"/>
    <w:rsid w:val="00E330D2"/>
    <w:rsid w:val="00E46E03"/>
    <w:rsid w:val="00E53143"/>
    <w:rsid w:val="00E6204D"/>
    <w:rsid w:val="00E64009"/>
    <w:rsid w:val="00E65405"/>
    <w:rsid w:val="00E65D2B"/>
    <w:rsid w:val="00E70B75"/>
    <w:rsid w:val="00E72A8B"/>
    <w:rsid w:val="00E87916"/>
    <w:rsid w:val="00E93E59"/>
    <w:rsid w:val="00E9506A"/>
    <w:rsid w:val="00EA0D10"/>
    <w:rsid w:val="00EA3BA1"/>
    <w:rsid w:val="00EB286A"/>
    <w:rsid w:val="00EB63DB"/>
    <w:rsid w:val="00EE33FD"/>
    <w:rsid w:val="00EF0E0C"/>
    <w:rsid w:val="00EF4E74"/>
    <w:rsid w:val="00F015AE"/>
    <w:rsid w:val="00F03ADC"/>
    <w:rsid w:val="00F25120"/>
    <w:rsid w:val="00F37D58"/>
    <w:rsid w:val="00F404BF"/>
    <w:rsid w:val="00F41EA1"/>
    <w:rsid w:val="00F550E6"/>
    <w:rsid w:val="00F61E10"/>
    <w:rsid w:val="00F92D37"/>
    <w:rsid w:val="00F9498E"/>
    <w:rsid w:val="00FB1188"/>
    <w:rsid w:val="00FD2421"/>
    <w:rsid w:val="00FE1942"/>
    <w:rsid w:val="00FF0EBC"/>
    <w:rsid w:val="01B446F6"/>
    <w:rsid w:val="02296E92"/>
    <w:rsid w:val="02935D81"/>
    <w:rsid w:val="03A013D6"/>
    <w:rsid w:val="053807F8"/>
    <w:rsid w:val="05DB4947"/>
    <w:rsid w:val="060F639F"/>
    <w:rsid w:val="06B8420F"/>
    <w:rsid w:val="07427DAE"/>
    <w:rsid w:val="07D531BD"/>
    <w:rsid w:val="086B77B1"/>
    <w:rsid w:val="08A67A0E"/>
    <w:rsid w:val="09723B4F"/>
    <w:rsid w:val="09811362"/>
    <w:rsid w:val="0A1C108A"/>
    <w:rsid w:val="0A4D6DF4"/>
    <w:rsid w:val="0AA51080"/>
    <w:rsid w:val="0AE903B4"/>
    <w:rsid w:val="0B703FBD"/>
    <w:rsid w:val="0B971310"/>
    <w:rsid w:val="0BD639B6"/>
    <w:rsid w:val="0DCE08EE"/>
    <w:rsid w:val="0E891EC0"/>
    <w:rsid w:val="0F184510"/>
    <w:rsid w:val="0F933B9D"/>
    <w:rsid w:val="0FCC034E"/>
    <w:rsid w:val="0FED54E5"/>
    <w:rsid w:val="107B57BA"/>
    <w:rsid w:val="10A342B4"/>
    <w:rsid w:val="10FA77CC"/>
    <w:rsid w:val="11287F03"/>
    <w:rsid w:val="11C24C0D"/>
    <w:rsid w:val="126F08F1"/>
    <w:rsid w:val="13086D26"/>
    <w:rsid w:val="131E05C2"/>
    <w:rsid w:val="1332191F"/>
    <w:rsid w:val="134A310C"/>
    <w:rsid w:val="13923520"/>
    <w:rsid w:val="13A24CF6"/>
    <w:rsid w:val="13E26EA1"/>
    <w:rsid w:val="143A3B6F"/>
    <w:rsid w:val="144F0C04"/>
    <w:rsid w:val="1481490C"/>
    <w:rsid w:val="1512652D"/>
    <w:rsid w:val="1662251B"/>
    <w:rsid w:val="16D75796"/>
    <w:rsid w:val="173B3498"/>
    <w:rsid w:val="17BD3EAD"/>
    <w:rsid w:val="18645FCC"/>
    <w:rsid w:val="1B3817B8"/>
    <w:rsid w:val="1B596248"/>
    <w:rsid w:val="1BE870E9"/>
    <w:rsid w:val="1C4F3541"/>
    <w:rsid w:val="1C640D9B"/>
    <w:rsid w:val="1C976791"/>
    <w:rsid w:val="1D012A8E"/>
    <w:rsid w:val="1EBA7398"/>
    <w:rsid w:val="1EDE6404"/>
    <w:rsid w:val="1F576995"/>
    <w:rsid w:val="1FD66C0C"/>
    <w:rsid w:val="1FFC12EA"/>
    <w:rsid w:val="206C46C2"/>
    <w:rsid w:val="209503A6"/>
    <w:rsid w:val="20BB2F53"/>
    <w:rsid w:val="21771570"/>
    <w:rsid w:val="22E20C6B"/>
    <w:rsid w:val="230010F2"/>
    <w:rsid w:val="23093735"/>
    <w:rsid w:val="232C0139"/>
    <w:rsid w:val="233B65CE"/>
    <w:rsid w:val="23767606"/>
    <w:rsid w:val="23A67EEB"/>
    <w:rsid w:val="245D062A"/>
    <w:rsid w:val="258204E4"/>
    <w:rsid w:val="25C1725E"/>
    <w:rsid w:val="27841490"/>
    <w:rsid w:val="27AE7A61"/>
    <w:rsid w:val="28BB4340"/>
    <w:rsid w:val="2A6B1546"/>
    <w:rsid w:val="2A750617"/>
    <w:rsid w:val="2AB32EED"/>
    <w:rsid w:val="2C626979"/>
    <w:rsid w:val="2C772424"/>
    <w:rsid w:val="2C8E59C0"/>
    <w:rsid w:val="2CFC6DCE"/>
    <w:rsid w:val="2DA059AB"/>
    <w:rsid w:val="2DFB0E33"/>
    <w:rsid w:val="2E2E2C29"/>
    <w:rsid w:val="2EC27BA3"/>
    <w:rsid w:val="2EE6563F"/>
    <w:rsid w:val="2F2077FB"/>
    <w:rsid w:val="2F2A7C22"/>
    <w:rsid w:val="2FD95574"/>
    <w:rsid w:val="3049730B"/>
    <w:rsid w:val="30F073BE"/>
    <w:rsid w:val="3229553B"/>
    <w:rsid w:val="327F58EB"/>
    <w:rsid w:val="32F4070A"/>
    <w:rsid w:val="32FD73FC"/>
    <w:rsid w:val="33A53D1B"/>
    <w:rsid w:val="346911EC"/>
    <w:rsid w:val="34983880"/>
    <w:rsid w:val="351D3D85"/>
    <w:rsid w:val="357065AB"/>
    <w:rsid w:val="37BE35FD"/>
    <w:rsid w:val="388760E5"/>
    <w:rsid w:val="38986DBF"/>
    <w:rsid w:val="39477622"/>
    <w:rsid w:val="39620DB4"/>
    <w:rsid w:val="39C86146"/>
    <w:rsid w:val="39F23A32"/>
    <w:rsid w:val="3A1F234D"/>
    <w:rsid w:val="3A233BEC"/>
    <w:rsid w:val="3B7B2140"/>
    <w:rsid w:val="3B936B4F"/>
    <w:rsid w:val="3DAB63D2"/>
    <w:rsid w:val="3DBC728F"/>
    <w:rsid w:val="435766B4"/>
    <w:rsid w:val="435C3CCA"/>
    <w:rsid w:val="44890AEF"/>
    <w:rsid w:val="449349AE"/>
    <w:rsid w:val="452F508E"/>
    <w:rsid w:val="45A51959"/>
    <w:rsid w:val="45A76119"/>
    <w:rsid w:val="466960D4"/>
    <w:rsid w:val="4727514F"/>
    <w:rsid w:val="473B4A6F"/>
    <w:rsid w:val="480E5EDB"/>
    <w:rsid w:val="484F2050"/>
    <w:rsid w:val="49DE08B3"/>
    <w:rsid w:val="4C4D68A6"/>
    <w:rsid w:val="4CF75632"/>
    <w:rsid w:val="4D0C6761"/>
    <w:rsid w:val="4D36558C"/>
    <w:rsid w:val="4DC64B62"/>
    <w:rsid w:val="4DD20112"/>
    <w:rsid w:val="4E0F6509"/>
    <w:rsid w:val="4E946A0E"/>
    <w:rsid w:val="4E961FEB"/>
    <w:rsid w:val="4E982DE8"/>
    <w:rsid w:val="4E9E788D"/>
    <w:rsid w:val="4ED90B67"/>
    <w:rsid w:val="4FBE01E7"/>
    <w:rsid w:val="4FC652ED"/>
    <w:rsid w:val="4FE15C83"/>
    <w:rsid w:val="50235A38"/>
    <w:rsid w:val="50525457"/>
    <w:rsid w:val="50715259"/>
    <w:rsid w:val="50FE0AB7"/>
    <w:rsid w:val="5202628D"/>
    <w:rsid w:val="52287B99"/>
    <w:rsid w:val="53AB2832"/>
    <w:rsid w:val="54077FBB"/>
    <w:rsid w:val="5507618C"/>
    <w:rsid w:val="558E2409"/>
    <w:rsid w:val="55B55BE8"/>
    <w:rsid w:val="561877B0"/>
    <w:rsid w:val="56674A08"/>
    <w:rsid w:val="56DD6C8E"/>
    <w:rsid w:val="57EE10A0"/>
    <w:rsid w:val="58935F89"/>
    <w:rsid w:val="596811C3"/>
    <w:rsid w:val="5B6F6059"/>
    <w:rsid w:val="5C84714E"/>
    <w:rsid w:val="5D6D3F49"/>
    <w:rsid w:val="60C7597D"/>
    <w:rsid w:val="62FC7BB5"/>
    <w:rsid w:val="634B7B8C"/>
    <w:rsid w:val="63C94F54"/>
    <w:rsid w:val="644959AA"/>
    <w:rsid w:val="653F54CE"/>
    <w:rsid w:val="65B337C6"/>
    <w:rsid w:val="667C4FE2"/>
    <w:rsid w:val="673B1CC5"/>
    <w:rsid w:val="673B4EB6"/>
    <w:rsid w:val="682B7A3B"/>
    <w:rsid w:val="696C43B8"/>
    <w:rsid w:val="69AC0C58"/>
    <w:rsid w:val="6A90501F"/>
    <w:rsid w:val="6AE82164"/>
    <w:rsid w:val="6B9D71D7"/>
    <w:rsid w:val="6DA57E98"/>
    <w:rsid w:val="6DA7761A"/>
    <w:rsid w:val="6F60676D"/>
    <w:rsid w:val="6F8F46D3"/>
    <w:rsid w:val="6FC34F0A"/>
    <w:rsid w:val="6FE74798"/>
    <w:rsid w:val="70036048"/>
    <w:rsid w:val="704C651B"/>
    <w:rsid w:val="708C17E3"/>
    <w:rsid w:val="709A5F5C"/>
    <w:rsid w:val="71FD025E"/>
    <w:rsid w:val="724203AC"/>
    <w:rsid w:val="726E11A1"/>
    <w:rsid w:val="72AC1CC9"/>
    <w:rsid w:val="72BC63B0"/>
    <w:rsid w:val="72DD1E82"/>
    <w:rsid w:val="73245D03"/>
    <w:rsid w:val="74EC2851"/>
    <w:rsid w:val="76133975"/>
    <w:rsid w:val="774C75D7"/>
    <w:rsid w:val="77531241"/>
    <w:rsid w:val="7860158C"/>
    <w:rsid w:val="795132CE"/>
    <w:rsid w:val="797A0365"/>
    <w:rsid w:val="7A971AEF"/>
    <w:rsid w:val="7B4F58E7"/>
    <w:rsid w:val="7BC10593"/>
    <w:rsid w:val="7CD765D8"/>
    <w:rsid w:val="7CDE0A96"/>
    <w:rsid w:val="7DD10836"/>
    <w:rsid w:val="7F315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paragraph" w:styleId="4">
    <w:name w:val="heading 3"/>
    <w:basedOn w:val="1"/>
    <w:next w:val="1"/>
    <w:link w:val="30"/>
    <w:unhideWhenUsed/>
    <w:qFormat/>
    <w:uiPriority w:val="9"/>
    <w:pPr>
      <w:keepNext/>
      <w:keepLines/>
      <w:spacing w:before="260" w:after="260" w:line="416" w:lineRule="auto"/>
      <w:outlineLvl w:val="2"/>
    </w:pPr>
    <w:rPr>
      <w:b/>
      <w:bCs/>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semiHidden/>
    <w:unhideWhenUsed/>
    <w:qFormat/>
    <w:uiPriority w:val="99"/>
    <w:pPr>
      <w:jc w:val="left"/>
    </w:pPr>
  </w:style>
  <w:style w:type="paragraph" w:styleId="6">
    <w:name w:val="toc 3"/>
    <w:basedOn w:val="1"/>
    <w:next w:val="1"/>
    <w:unhideWhenUsed/>
    <w:qFormat/>
    <w:uiPriority w:val="39"/>
    <w:pPr>
      <w:tabs>
        <w:tab w:val="right" w:leader="dot" w:pos="8296"/>
      </w:tabs>
      <w:ind w:firstLine="640"/>
      <w:jc w:val="left"/>
    </w:pPr>
  </w:style>
  <w:style w:type="paragraph" w:styleId="7">
    <w:name w:val="Date"/>
    <w:basedOn w:val="1"/>
    <w:next w:val="1"/>
    <w:link w:val="21"/>
    <w:semiHidden/>
    <w:unhideWhenUsed/>
    <w:qFormat/>
    <w:uiPriority w:val="99"/>
    <w:pPr>
      <w:ind w:left="100" w:leftChars="2500"/>
    </w:pPr>
  </w:style>
  <w:style w:type="paragraph" w:styleId="8">
    <w:name w:val="Body Text Indent 2"/>
    <w:basedOn w:val="1"/>
    <w:link w:val="23"/>
    <w:qFormat/>
    <w:uiPriority w:val="0"/>
    <w:pPr>
      <w:spacing w:after="120" w:line="480" w:lineRule="auto"/>
      <w:ind w:left="420" w:leftChars="200"/>
    </w:pPr>
    <w:rPr>
      <w:rFonts w:ascii="Calibri" w:hAnsi="Calibri"/>
      <w:kern w:val="0"/>
      <w:sz w:val="20"/>
    </w:rPr>
  </w:style>
  <w:style w:type="paragraph" w:styleId="9">
    <w:name w:val="Balloon Text"/>
    <w:basedOn w:val="1"/>
    <w:link w:val="28"/>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toc 1"/>
    <w:basedOn w:val="1"/>
    <w:next w:val="1"/>
    <w:unhideWhenUsed/>
    <w:qFormat/>
    <w:uiPriority w:val="39"/>
  </w:style>
  <w:style w:type="paragraph" w:styleId="13">
    <w:name w:val="toc 2"/>
    <w:basedOn w:val="1"/>
    <w:next w:val="1"/>
    <w:unhideWhenUsed/>
    <w:qFormat/>
    <w:uiPriority w:val="39"/>
    <w:pPr>
      <w:ind w:left="420" w:leftChars="200"/>
    </w:pPr>
  </w:style>
  <w:style w:type="paragraph" w:styleId="14">
    <w:name w:val="annotation subject"/>
    <w:basedOn w:val="5"/>
    <w:next w:val="5"/>
    <w:link w:val="27"/>
    <w:semiHidden/>
    <w:unhideWhenUsed/>
    <w:qFormat/>
    <w:uiPriority w:val="99"/>
    <w:rPr>
      <w:b/>
      <w:bCs/>
    </w:r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customStyle="1" w:styleId="19">
    <w:name w:val="页眉 字符"/>
    <w:basedOn w:val="16"/>
    <w:link w:val="11"/>
    <w:qFormat/>
    <w:uiPriority w:val="99"/>
    <w:rPr>
      <w:sz w:val="18"/>
      <w:szCs w:val="18"/>
    </w:rPr>
  </w:style>
  <w:style w:type="character" w:customStyle="1" w:styleId="20">
    <w:name w:val="页脚 字符"/>
    <w:basedOn w:val="16"/>
    <w:link w:val="10"/>
    <w:qFormat/>
    <w:uiPriority w:val="99"/>
    <w:rPr>
      <w:sz w:val="18"/>
      <w:szCs w:val="18"/>
    </w:rPr>
  </w:style>
  <w:style w:type="character" w:customStyle="1" w:styleId="21">
    <w:name w:val="日期 字符"/>
    <w:basedOn w:val="16"/>
    <w:link w:val="7"/>
    <w:semiHidden/>
    <w:qFormat/>
    <w:uiPriority w:val="99"/>
    <w:rPr>
      <w:rFonts w:ascii="Times New Roman" w:hAnsi="Times New Roman" w:eastAsia="宋体" w:cs="Times New Roman"/>
      <w:szCs w:val="24"/>
    </w:rPr>
  </w:style>
  <w:style w:type="character" w:customStyle="1" w:styleId="22">
    <w:name w:val="正文文本缩进 2 字符"/>
    <w:basedOn w:val="16"/>
    <w:semiHidden/>
    <w:qFormat/>
    <w:uiPriority w:val="99"/>
    <w:rPr>
      <w:rFonts w:ascii="Times New Roman" w:hAnsi="Times New Roman" w:eastAsia="宋体" w:cs="Times New Roman"/>
      <w:szCs w:val="24"/>
    </w:rPr>
  </w:style>
  <w:style w:type="character" w:customStyle="1" w:styleId="23">
    <w:name w:val="正文文本缩进 2 字符1"/>
    <w:link w:val="8"/>
    <w:qFormat/>
    <w:uiPriority w:val="0"/>
    <w:rPr>
      <w:rFonts w:ascii="Calibri" w:hAnsi="Calibri" w:eastAsia="宋体" w:cs="Times New Roman"/>
      <w:kern w:val="0"/>
      <w:sz w:val="20"/>
      <w:szCs w:val="24"/>
    </w:rPr>
  </w:style>
  <w:style w:type="paragraph" w:customStyle="1" w:styleId="24">
    <w:name w:val="_Style 15"/>
    <w:basedOn w:val="1"/>
    <w:next w:val="1"/>
    <w:qFormat/>
    <w:uiPriority w:val="39"/>
    <w:pPr>
      <w:spacing w:before="312" w:beforeLines="100" w:line="360" w:lineRule="auto"/>
      <w:ind w:firstLine="640"/>
      <w:jc w:val="left"/>
    </w:pPr>
    <w:rPr>
      <w:rFonts w:ascii="仿宋_GB2312" w:hAnsi="Calibri" w:cs="Calibri"/>
      <w:bCs/>
      <w:caps/>
      <w:szCs w:val="32"/>
    </w:rPr>
  </w:style>
  <w:style w:type="paragraph" w:customStyle="1" w:styleId="2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6">
    <w:name w:val="批注文字 字符"/>
    <w:basedOn w:val="16"/>
    <w:link w:val="5"/>
    <w:semiHidden/>
    <w:qFormat/>
    <w:uiPriority w:val="99"/>
    <w:rPr>
      <w:rFonts w:ascii="Times New Roman" w:hAnsi="Times New Roman" w:eastAsia="宋体" w:cs="Times New Roman"/>
      <w:szCs w:val="24"/>
    </w:rPr>
  </w:style>
  <w:style w:type="character" w:customStyle="1" w:styleId="27">
    <w:name w:val="批注主题 字符"/>
    <w:basedOn w:val="26"/>
    <w:link w:val="14"/>
    <w:semiHidden/>
    <w:qFormat/>
    <w:uiPriority w:val="99"/>
    <w:rPr>
      <w:rFonts w:ascii="Times New Roman" w:hAnsi="Times New Roman" w:eastAsia="宋体" w:cs="Times New Roman"/>
      <w:b/>
      <w:bCs/>
      <w:szCs w:val="24"/>
    </w:rPr>
  </w:style>
  <w:style w:type="character" w:customStyle="1" w:styleId="28">
    <w:name w:val="批注框文本 字符"/>
    <w:basedOn w:val="16"/>
    <w:link w:val="9"/>
    <w:semiHidden/>
    <w:qFormat/>
    <w:uiPriority w:val="99"/>
    <w:rPr>
      <w:rFonts w:ascii="Times New Roman" w:hAnsi="Times New Roman" w:eastAsia="宋体" w:cs="Times New Roman"/>
      <w:sz w:val="18"/>
      <w:szCs w:val="18"/>
    </w:rPr>
  </w:style>
  <w:style w:type="character" w:customStyle="1" w:styleId="29">
    <w:name w:val="标题 2 字符"/>
    <w:basedOn w:val="16"/>
    <w:link w:val="3"/>
    <w:qFormat/>
    <w:uiPriority w:val="9"/>
    <w:rPr>
      <w:rFonts w:asciiTheme="majorHAnsi" w:hAnsiTheme="majorHAnsi" w:eastAsiaTheme="majorEastAsia" w:cstheme="majorBidi"/>
      <w:b/>
      <w:bCs/>
      <w:sz w:val="32"/>
      <w:szCs w:val="32"/>
    </w:rPr>
  </w:style>
  <w:style w:type="character" w:customStyle="1" w:styleId="30">
    <w:name w:val="标题 3 字符"/>
    <w:basedOn w:val="16"/>
    <w:link w:val="4"/>
    <w:qFormat/>
    <w:uiPriority w:val="9"/>
    <w:rPr>
      <w:rFonts w:ascii="Times New Roman" w:hAnsi="Times New Roman" w:eastAsia="宋体" w:cs="Times New Roman"/>
      <w:b/>
      <w:bCs/>
      <w:sz w:val="32"/>
      <w:szCs w:val="32"/>
    </w:rPr>
  </w:style>
  <w:style w:type="character" w:customStyle="1" w:styleId="31">
    <w:name w:val="标题 1 字符"/>
    <w:basedOn w:val="16"/>
    <w:link w:val="2"/>
    <w:qFormat/>
    <w:uiPriority w:val="9"/>
    <w:rPr>
      <w:rFonts w:ascii="Times New Roman" w:hAnsi="Times New Roman" w:eastAsia="宋体" w:cs="Times New Roman"/>
      <w:b/>
      <w:bCs/>
      <w:kern w:val="44"/>
      <w:sz w:val="44"/>
      <w:szCs w:val="44"/>
    </w:rPr>
  </w:style>
  <w:style w:type="paragraph" w:customStyle="1" w:styleId="3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修订2"/>
    <w:hidden/>
    <w:semiHidden/>
    <w:qFormat/>
    <w:uiPriority w:val="99"/>
    <w:rPr>
      <w:rFonts w:ascii="Times New Roman" w:hAnsi="Times New Roman" w:eastAsia="仿宋_GB2312" w:cs="Times New Roman"/>
      <w:kern w:val="2"/>
      <w:sz w:val="32"/>
      <w:szCs w:val="24"/>
      <w:lang w:val="en-US" w:eastAsia="zh-CN" w:bidi="ar-SA"/>
    </w:rPr>
  </w:style>
  <w:style w:type="paragraph" w:customStyle="1" w:styleId="34">
    <w:name w:val="修订3"/>
    <w:hidden/>
    <w:semiHidden/>
    <w:qFormat/>
    <w:uiPriority w:val="99"/>
    <w:rPr>
      <w:rFonts w:ascii="Times New Roman" w:hAnsi="Times New Roman" w:eastAsia="仿宋_GB2312" w:cs="Times New Roman"/>
      <w:kern w:val="2"/>
      <w:sz w:val="32"/>
      <w:szCs w:val="24"/>
      <w:lang w:val="en-US" w:eastAsia="zh-CN" w:bidi="ar-SA"/>
    </w:rPr>
  </w:style>
  <w:style w:type="paragraph" w:customStyle="1" w:styleId="35">
    <w:name w:val="修订4"/>
    <w:hidden/>
    <w:semiHidden/>
    <w:qFormat/>
    <w:uiPriority w:val="99"/>
    <w:rPr>
      <w:rFonts w:ascii="Times New Roman" w:hAnsi="Times New Roman" w:eastAsia="仿宋_GB2312" w:cs="Times New Roman"/>
      <w:kern w:val="2"/>
      <w:sz w:val="32"/>
      <w:szCs w:val="24"/>
      <w:lang w:val="en-US" w:eastAsia="zh-CN" w:bidi="ar-SA"/>
    </w:rPr>
  </w:style>
  <w:style w:type="paragraph" w:customStyle="1" w:styleId="36">
    <w:name w:val="Revision"/>
    <w:hidden/>
    <w:semiHidden/>
    <w:qFormat/>
    <w:uiPriority w:val="99"/>
    <w:rPr>
      <w:rFonts w:ascii="Times New Roman"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F1A5-CC83-4C0E-A32E-71D14B12FD97}">
  <ds:schemaRefs/>
</ds:datastoreItem>
</file>

<file path=docProps/app.xml><?xml version="1.0" encoding="utf-8"?>
<Properties xmlns="http://schemas.openxmlformats.org/officeDocument/2006/extended-properties" xmlns:vt="http://schemas.openxmlformats.org/officeDocument/2006/docPropsVTypes">
  <Template>Normal</Template>
  <Pages>16</Pages>
  <Words>5798</Words>
  <Characters>6071</Characters>
  <Lines>54</Lines>
  <Paragraphs>15</Paragraphs>
  <TotalTime>0</TotalTime>
  <ScaleCrop>false</ScaleCrop>
  <LinksUpToDate>false</LinksUpToDate>
  <CharactersWithSpaces>6153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2024-04-30T07:36:00Z</dcterms:created>
  <cp:lastPrinted>2025-08-25T07:58:00Z</cp:lastPrinted>
  <dcterms:modified xsi:type="dcterms:W3CDTF">2025-08-27T01:49:19Z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B78E5793243B4A8C83AD11EDF7B6A316_13</vt:lpwstr>
  </property>
  <property fmtid="{D5CDD505-2E9C-101B-9397-08002B2CF9AE}" pid="4" name="KSOTemplateDocerSaveRecord">
    <vt:lpwstr>eyJoZGlkIjoiODVlNGQ4OWI5ZWNjMTFhYjhhZGI0NmRiZmViMjY0ODkiLCJ1c2VySWQiOiI0NDEyMjMxOTgifQ==</vt:lpwstr>
  </property>
</Properties>
</file>