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9AE6AD">
      <w:pPr>
        <w:jc w:val="center"/>
        <w:rPr>
          <w:b/>
          <w:sz w:val="52"/>
          <w:szCs w:val="20"/>
        </w:rPr>
      </w:pPr>
    </w:p>
    <w:p w14:paraId="499066E5">
      <w:pPr>
        <w:jc w:val="center"/>
        <w:rPr>
          <w:b/>
          <w:sz w:val="52"/>
          <w:szCs w:val="20"/>
        </w:rPr>
      </w:pPr>
    </w:p>
    <w:p w14:paraId="43C8362F">
      <w:pPr>
        <w:jc w:val="center"/>
        <w:rPr>
          <w:b/>
          <w:sz w:val="52"/>
          <w:szCs w:val="20"/>
        </w:rPr>
      </w:pPr>
    </w:p>
    <w:p w14:paraId="72D37E7D">
      <w:pPr>
        <w:jc w:val="center"/>
        <w:rPr>
          <w:b/>
          <w:sz w:val="52"/>
          <w:szCs w:val="20"/>
        </w:rPr>
      </w:pPr>
      <w:r>
        <w:rPr>
          <w:rFonts w:hint="eastAsia"/>
          <w:b/>
          <w:sz w:val="52"/>
          <w:szCs w:val="20"/>
        </w:rPr>
        <w:t>北京市顺义区人民法院</w:t>
      </w:r>
    </w:p>
    <w:p w14:paraId="36A88450">
      <w:pPr>
        <w:jc w:val="center"/>
        <w:rPr>
          <w:b/>
          <w:sz w:val="52"/>
          <w:szCs w:val="20"/>
        </w:rPr>
      </w:pPr>
      <w:r>
        <w:rPr>
          <w:rFonts w:hint="eastAsia"/>
          <w:b/>
          <w:sz w:val="52"/>
          <w:szCs w:val="20"/>
        </w:rPr>
        <w:t>部门整体绩效评价报告</w:t>
      </w:r>
    </w:p>
    <w:p w14:paraId="79E8B11F">
      <w:pPr>
        <w:jc w:val="center"/>
        <w:rPr>
          <w:sz w:val="30"/>
          <w:szCs w:val="20"/>
        </w:rPr>
      </w:pPr>
    </w:p>
    <w:p w14:paraId="6EDFFE13">
      <w:pPr>
        <w:spacing w:line="560" w:lineRule="exact"/>
        <w:jc w:val="center"/>
        <w:rPr>
          <w:rFonts w:eastAsia="方正小标宋简体"/>
          <w:sz w:val="36"/>
          <w:szCs w:val="36"/>
        </w:rPr>
      </w:pPr>
    </w:p>
    <w:p w14:paraId="22231D02">
      <w:pPr>
        <w:spacing w:line="560" w:lineRule="exact"/>
        <w:jc w:val="center"/>
        <w:rPr>
          <w:rFonts w:eastAsia="方正小标宋简体"/>
          <w:sz w:val="36"/>
          <w:szCs w:val="36"/>
        </w:rPr>
      </w:pPr>
    </w:p>
    <w:p w14:paraId="381CA42D">
      <w:pPr>
        <w:spacing w:line="560" w:lineRule="exact"/>
        <w:jc w:val="center"/>
        <w:rPr>
          <w:rFonts w:eastAsia="方正小标宋简体"/>
          <w:sz w:val="36"/>
          <w:szCs w:val="36"/>
        </w:rPr>
      </w:pPr>
    </w:p>
    <w:p w14:paraId="3DD33301">
      <w:pPr>
        <w:spacing w:line="560" w:lineRule="exact"/>
        <w:jc w:val="center"/>
        <w:rPr>
          <w:rFonts w:eastAsia="方正小标宋简体"/>
          <w:sz w:val="36"/>
          <w:szCs w:val="36"/>
        </w:rPr>
      </w:pPr>
    </w:p>
    <w:p w14:paraId="6A589357">
      <w:pPr>
        <w:spacing w:line="560" w:lineRule="exact"/>
        <w:jc w:val="center"/>
        <w:rPr>
          <w:rFonts w:eastAsia="方正小标宋简体"/>
          <w:sz w:val="36"/>
          <w:szCs w:val="36"/>
        </w:rPr>
      </w:pPr>
    </w:p>
    <w:p w14:paraId="6319529C">
      <w:pPr>
        <w:spacing w:line="560" w:lineRule="exact"/>
        <w:jc w:val="center"/>
        <w:rPr>
          <w:rFonts w:eastAsia="方正小标宋简体"/>
          <w:sz w:val="36"/>
          <w:szCs w:val="36"/>
        </w:rPr>
      </w:pPr>
    </w:p>
    <w:p w14:paraId="5D831AFD">
      <w:pPr>
        <w:spacing w:line="560" w:lineRule="exact"/>
        <w:jc w:val="center"/>
        <w:rPr>
          <w:rFonts w:eastAsia="方正小标宋简体"/>
          <w:sz w:val="36"/>
          <w:szCs w:val="36"/>
        </w:rPr>
      </w:pPr>
    </w:p>
    <w:p w14:paraId="09AF4078">
      <w:pPr>
        <w:spacing w:line="560" w:lineRule="exact"/>
        <w:jc w:val="center"/>
        <w:rPr>
          <w:rFonts w:eastAsia="方正小标宋简体"/>
          <w:sz w:val="36"/>
          <w:szCs w:val="36"/>
        </w:rPr>
      </w:pPr>
    </w:p>
    <w:p w14:paraId="2348E5EE">
      <w:pPr>
        <w:spacing w:line="560" w:lineRule="exact"/>
        <w:jc w:val="center"/>
        <w:rPr>
          <w:rFonts w:eastAsia="方正小标宋简体"/>
          <w:sz w:val="36"/>
          <w:szCs w:val="36"/>
        </w:rPr>
      </w:pPr>
    </w:p>
    <w:p w14:paraId="3EA9A6FD">
      <w:pPr>
        <w:spacing w:line="560" w:lineRule="exact"/>
        <w:jc w:val="center"/>
        <w:rPr>
          <w:rFonts w:eastAsia="方正小标宋简体"/>
          <w:sz w:val="36"/>
          <w:szCs w:val="36"/>
        </w:rPr>
      </w:pPr>
    </w:p>
    <w:p w14:paraId="0D781559">
      <w:pPr>
        <w:spacing w:line="560" w:lineRule="exact"/>
        <w:jc w:val="center"/>
        <w:rPr>
          <w:rFonts w:eastAsia="方正小标宋简体"/>
          <w:sz w:val="36"/>
          <w:szCs w:val="36"/>
        </w:rPr>
      </w:pPr>
    </w:p>
    <w:p w14:paraId="52D7BE37">
      <w:pPr>
        <w:spacing w:line="560" w:lineRule="exact"/>
        <w:jc w:val="center"/>
        <w:rPr>
          <w:rFonts w:eastAsia="方正小标宋简体"/>
          <w:sz w:val="36"/>
          <w:szCs w:val="36"/>
        </w:rPr>
      </w:pPr>
    </w:p>
    <w:p w14:paraId="39A91760">
      <w:pPr>
        <w:spacing w:line="560" w:lineRule="exact"/>
        <w:jc w:val="center"/>
        <w:rPr>
          <w:rFonts w:eastAsia="方正小标宋简体"/>
          <w:sz w:val="36"/>
          <w:szCs w:val="36"/>
        </w:rPr>
      </w:pPr>
    </w:p>
    <w:p w14:paraId="26F29E16">
      <w:pPr>
        <w:spacing w:line="560" w:lineRule="exact"/>
        <w:jc w:val="center"/>
        <w:rPr>
          <w:rFonts w:eastAsia="方正小标宋简体"/>
          <w:sz w:val="36"/>
          <w:szCs w:val="36"/>
        </w:rPr>
      </w:pPr>
    </w:p>
    <w:p w14:paraId="44A76E29">
      <w:pPr>
        <w:spacing w:line="560" w:lineRule="exact"/>
        <w:jc w:val="center"/>
        <w:rPr>
          <w:rFonts w:eastAsia="方正小标宋简体"/>
          <w:sz w:val="36"/>
          <w:szCs w:val="36"/>
        </w:rPr>
      </w:pPr>
    </w:p>
    <w:p w14:paraId="6639EF43">
      <w:pPr>
        <w:spacing w:line="560" w:lineRule="exact"/>
        <w:jc w:val="center"/>
        <w:rPr>
          <w:rFonts w:eastAsia="方正小标宋简体"/>
          <w:sz w:val="36"/>
          <w:szCs w:val="36"/>
        </w:rPr>
      </w:pPr>
    </w:p>
    <w:p w14:paraId="571D7CF6">
      <w:pPr>
        <w:spacing w:line="560" w:lineRule="exact"/>
        <w:jc w:val="center"/>
        <w:rPr>
          <w:rFonts w:eastAsia="方正小标宋简体"/>
          <w:sz w:val="36"/>
          <w:szCs w:val="36"/>
        </w:rPr>
        <w:sectPr>
          <w:pgSz w:w="11906" w:h="16838"/>
          <w:pgMar w:top="1440" w:right="1800" w:bottom="1440" w:left="1800" w:header="851" w:footer="992" w:gutter="0"/>
          <w:pgNumType w:start="0"/>
          <w:cols w:space="425" w:num="1"/>
          <w:docGrid w:type="lines" w:linePitch="312" w:charSpace="0"/>
        </w:sectPr>
      </w:pPr>
    </w:p>
    <w:p w14:paraId="35344E77">
      <w:pPr>
        <w:spacing w:line="560" w:lineRule="exact"/>
        <w:jc w:val="center"/>
        <w:rPr>
          <w:rFonts w:eastAsia="方正小标宋简体"/>
          <w:sz w:val="36"/>
          <w:szCs w:val="36"/>
        </w:rPr>
      </w:pPr>
    </w:p>
    <w:p w14:paraId="32B30479">
      <w:pPr>
        <w:spacing w:line="560" w:lineRule="exact"/>
        <w:jc w:val="center"/>
        <w:rPr>
          <w:rFonts w:eastAsia="方正小标宋简体"/>
          <w:sz w:val="36"/>
          <w:szCs w:val="36"/>
        </w:rPr>
      </w:pPr>
    </w:p>
    <w:p w14:paraId="18BF5640">
      <w:pPr>
        <w:spacing w:line="560" w:lineRule="exact"/>
        <w:jc w:val="center"/>
        <w:rPr>
          <w:rFonts w:eastAsia="仿宋_GB2312"/>
          <w:b/>
          <w:sz w:val="36"/>
          <w:szCs w:val="36"/>
        </w:rPr>
      </w:pPr>
      <w:r>
        <w:rPr>
          <w:rFonts w:hint="eastAsia" w:eastAsia="仿宋_GB2312"/>
          <w:b/>
          <w:sz w:val="36"/>
          <w:szCs w:val="36"/>
        </w:rPr>
        <w:t>北京市顺义区人民法院</w:t>
      </w:r>
    </w:p>
    <w:p w14:paraId="7F5C82E1">
      <w:pPr>
        <w:spacing w:line="560" w:lineRule="exact"/>
        <w:jc w:val="center"/>
        <w:rPr>
          <w:rFonts w:eastAsia="仿宋_GB2312"/>
          <w:b/>
          <w:sz w:val="36"/>
          <w:szCs w:val="36"/>
        </w:rPr>
      </w:pPr>
      <w:r>
        <w:rPr>
          <w:rFonts w:hint="eastAsia" w:eastAsia="仿宋_GB2312"/>
          <w:b/>
          <w:sz w:val="36"/>
          <w:szCs w:val="36"/>
        </w:rPr>
        <w:t>202</w:t>
      </w:r>
      <w:r>
        <w:rPr>
          <w:rFonts w:eastAsia="仿宋_GB2312"/>
          <w:b/>
          <w:sz w:val="36"/>
          <w:szCs w:val="36"/>
        </w:rPr>
        <w:t>4</w:t>
      </w:r>
      <w:r>
        <w:rPr>
          <w:rFonts w:hint="eastAsia" w:eastAsia="仿宋_GB2312"/>
          <w:b/>
          <w:sz w:val="36"/>
          <w:szCs w:val="36"/>
        </w:rPr>
        <w:t>年部门整体绩效评价报告</w:t>
      </w:r>
    </w:p>
    <w:p w14:paraId="1B15E355">
      <w:pPr>
        <w:spacing w:line="560" w:lineRule="exact"/>
        <w:rPr>
          <w:rFonts w:eastAsia="方正小标宋简体"/>
          <w:sz w:val="36"/>
          <w:szCs w:val="36"/>
        </w:rPr>
      </w:pPr>
      <w:r>
        <w:rPr>
          <w:rFonts w:hint="eastAsia" w:eastAsia="方正小标宋简体"/>
          <w:sz w:val="36"/>
          <w:szCs w:val="36"/>
        </w:rPr>
        <w:t xml:space="preserve"> </w:t>
      </w:r>
      <w:r>
        <w:rPr>
          <w:rFonts w:eastAsia="方正小标宋简体"/>
          <w:sz w:val="36"/>
          <w:szCs w:val="36"/>
        </w:rPr>
        <w:t xml:space="preserve">                      </w:t>
      </w:r>
    </w:p>
    <w:p w14:paraId="37754FA0">
      <w:pPr>
        <w:ind w:firstLine="600" w:firstLineChars="200"/>
        <w:rPr>
          <w:rFonts w:eastAsia="仿宋_GB2312"/>
          <w:sz w:val="30"/>
          <w:szCs w:val="30"/>
        </w:rPr>
      </w:pPr>
      <w:r>
        <w:rPr>
          <w:rFonts w:hint="eastAsia" w:eastAsia="仿宋_GB2312"/>
          <w:sz w:val="30"/>
          <w:szCs w:val="30"/>
        </w:rPr>
        <w:t xml:space="preserve">2024年，顺义法院在区委坚强领导、区人大及其常委会有力监督和上级法院正确指导下，我院坚持以习近平新时代中国特色社会主义思想为指导，深入学习贯彻习近平法治思想，全面贯彻落实党的二十大和二十届二中、三中全会精神，做深做实为大局服务、为人民司法，努力让人民群众在每一个司法案件中感受到公平正义。 </w:t>
      </w:r>
      <w:r>
        <w:rPr>
          <w:rFonts w:eastAsia="仿宋_GB2312"/>
          <w:sz w:val="30"/>
          <w:szCs w:val="30"/>
        </w:rPr>
        <w:t xml:space="preserve">  </w:t>
      </w:r>
    </w:p>
    <w:p w14:paraId="05DAC76C">
      <w:pPr>
        <w:rPr>
          <w:rFonts w:eastAsia="仿宋_GB2312"/>
          <w:sz w:val="30"/>
          <w:szCs w:val="30"/>
        </w:rPr>
      </w:pPr>
      <w:r>
        <w:rPr>
          <w:rFonts w:eastAsia="仿宋_GB2312"/>
          <w:sz w:val="30"/>
          <w:szCs w:val="30"/>
        </w:rPr>
        <w:t xml:space="preserve">    </w:t>
      </w:r>
      <w:r>
        <w:rPr>
          <w:rFonts w:hint="eastAsia" w:eastAsia="仿宋_GB2312"/>
          <w:sz w:val="30"/>
          <w:szCs w:val="30"/>
        </w:rPr>
        <w:t>为深化全过程预算绩效管理，促进预算部门提高预算执行效率和资金使用效率。根据</w:t>
      </w:r>
      <w:r>
        <w:rPr>
          <w:rFonts w:hint="eastAsia" w:eastAsia="仿宋_GB2312"/>
          <w:color w:val="000000" w:themeColor="text1"/>
          <w:sz w:val="30"/>
          <w:szCs w:val="30"/>
          <w14:textFill>
            <w14:solidFill>
              <w14:schemeClr w14:val="tx1"/>
            </w14:solidFill>
          </w14:textFill>
        </w:rPr>
        <w:t>《中共北京市委北京市人民政府关于全面实施预算绩效管理的实施意见》(京发〔20</w:t>
      </w:r>
      <w:r>
        <w:rPr>
          <w:rFonts w:eastAsia="仿宋_GB2312"/>
          <w:color w:val="000000" w:themeColor="text1"/>
          <w:sz w:val="30"/>
          <w:szCs w:val="30"/>
          <w14:textFill>
            <w14:solidFill>
              <w14:schemeClr w14:val="tx1"/>
            </w14:solidFill>
          </w14:textFill>
        </w:rPr>
        <w:t>19</w:t>
      </w:r>
      <w:r>
        <w:rPr>
          <w:rFonts w:hint="eastAsia" w:eastAsia="仿宋_GB2312"/>
          <w:color w:val="000000" w:themeColor="text1"/>
          <w:sz w:val="30"/>
          <w:szCs w:val="30"/>
          <w14:textFill>
            <w14:solidFill>
              <w14:schemeClr w14:val="tx1"/>
            </w14:solidFill>
          </w14:textFill>
        </w:rPr>
        <w:t>〕1</w:t>
      </w:r>
      <w:r>
        <w:rPr>
          <w:rFonts w:hint="eastAsia" w:eastAsia="仿宋_GB2312"/>
          <w:color w:val="000000" w:themeColor="text1"/>
          <w:sz w:val="30"/>
          <w:szCs w:val="30"/>
          <w:highlight w:val="none"/>
          <w14:textFill>
            <w14:solidFill>
              <w14:schemeClr w14:val="tx1"/>
            </w14:solidFill>
          </w14:textFill>
        </w:rPr>
        <w:t>2号)、《北京市项目支出绩效评价管理办法》(京财绩效〔2020〕2146号)和《北京市财政局关于2025 年预算绩效管理工作的通知》(京财绩效〔202</w:t>
      </w:r>
      <w:r>
        <w:rPr>
          <w:rFonts w:eastAsia="仿宋_GB2312"/>
          <w:color w:val="000000" w:themeColor="text1"/>
          <w:sz w:val="30"/>
          <w:szCs w:val="30"/>
          <w:highlight w:val="none"/>
          <w14:textFill>
            <w14:solidFill>
              <w14:schemeClr w14:val="tx1"/>
            </w14:solidFill>
          </w14:textFill>
        </w:rPr>
        <w:t>5</w:t>
      </w:r>
      <w:r>
        <w:rPr>
          <w:rFonts w:hint="eastAsia" w:eastAsia="仿宋_GB2312"/>
          <w:color w:val="000000" w:themeColor="text1"/>
          <w:sz w:val="30"/>
          <w:szCs w:val="30"/>
          <w:highlight w:val="none"/>
          <w14:textFill>
            <w14:solidFill>
              <w14:schemeClr w14:val="tx1"/>
            </w14:solidFill>
          </w14:textFill>
        </w:rPr>
        <w:t>〕</w:t>
      </w:r>
      <w:r>
        <w:rPr>
          <w:rFonts w:eastAsia="仿宋_GB2312"/>
          <w:color w:val="000000" w:themeColor="text1"/>
          <w:sz w:val="30"/>
          <w:szCs w:val="30"/>
          <w:highlight w:val="none"/>
          <w14:textFill>
            <w14:solidFill>
              <w14:schemeClr w14:val="tx1"/>
            </w14:solidFill>
          </w14:textFill>
        </w:rPr>
        <w:t>245</w:t>
      </w:r>
      <w:r>
        <w:rPr>
          <w:rFonts w:hint="eastAsia" w:eastAsia="仿宋_GB2312"/>
          <w:color w:val="000000" w:themeColor="text1"/>
          <w:sz w:val="30"/>
          <w:szCs w:val="30"/>
          <w:highlight w:val="none"/>
          <w14:textFill>
            <w14:solidFill>
              <w14:schemeClr w14:val="tx1"/>
            </w14:solidFill>
          </w14:textFill>
        </w:rPr>
        <w:t>号)</w:t>
      </w:r>
      <w:r>
        <w:rPr>
          <w:rFonts w:hint="eastAsia" w:eastAsia="仿宋_GB2312"/>
          <w:sz w:val="30"/>
          <w:szCs w:val="30"/>
          <w:highlight w:val="none"/>
        </w:rPr>
        <w:t>等文件规定，北京市顺义区人民法院（</w:t>
      </w:r>
      <w:r>
        <w:rPr>
          <w:rFonts w:hint="eastAsia" w:eastAsia="仿宋_GB2312"/>
          <w:sz w:val="30"/>
          <w:szCs w:val="30"/>
        </w:rPr>
        <w:t>以下简称：“顺义法院”）对本部门整体绩效情况实施评价，形成本绩效评价报告。</w:t>
      </w:r>
    </w:p>
    <w:p w14:paraId="352125C5">
      <w:pPr>
        <w:spacing w:line="600" w:lineRule="exact"/>
        <w:ind w:firstLine="640" w:firstLineChars="200"/>
        <w:rPr>
          <w:rFonts w:eastAsia="黑体"/>
          <w:color w:val="000000"/>
          <w:kern w:val="0"/>
          <w:sz w:val="32"/>
          <w:szCs w:val="32"/>
        </w:rPr>
      </w:pPr>
      <w:r>
        <w:rPr>
          <w:rFonts w:eastAsia="黑体"/>
          <w:color w:val="000000"/>
          <w:kern w:val="0"/>
          <w:sz w:val="32"/>
          <w:szCs w:val="32"/>
        </w:rPr>
        <w:t>一、部门概况</w:t>
      </w:r>
    </w:p>
    <w:p w14:paraId="53B2BE7F">
      <w:pPr>
        <w:spacing w:line="600" w:lineRule="exact"/>
        <w:ind w:firstLine="640" w:firstLineChars="200"/>
        <w:rPr>
          <w:rFonts w:eastAsia="楷体_GB2312"/>
          <w:sz w:val="32"/>
          <w:szCs w:val="32"/>
        </w:rPr>
      </w:pPr>
      <w:r>
        <w:rPr>
          <w:rFonts w:eastAsia="楷体_GB2312"/>
          <w:sz w:val="32"/>
          <w:szCs w:val="32"/>
        </w:rPr>
        <w:t>（一）机构设置及职责工作任务情况</w:t>
      </w:r>
    </w:p>
    <w:p w14:paraId="0B42F65E">
      <w:pPr>
        <w:spacing w:line="600" w:lineRule="exact"/>
        <w:ind w:firstLine="600" w:firstLineChars="200"/>
        <w:rPr>
          <w:rFonts w:eastAsia="仿宋_GB2312"/>
          <w:sz w:val="30"/>
          <w:szCs w:val="30"/>
          <w:highlight w:val="yellow"/>
        </w:rPr>
      </w:pPr>
      <w:r>
        <w:rPr>
          <w:rFonts w:hint="eastAsia" w:eastAsia="仿宋_GB2312"/>
          <w:sz w:val="30"/>
          <w:szCs w:val="30"/>
        </w:rPr>
        <w:t>顺义法院</w:t>
      </w:r>
      <w:r>
        <w:rPr>
          <w:rFonts w:eastAsia="仿宋_GB2312"/>
          <w:sz w:val="30"/>
          <w:szCs w:val="30"/>
        </w:rPr>
        <w:t>作为国家审判机关于1949年成立，在所管辖地区依法独立行使审判权。现设</w:t>
      </w:r>
      <w:r>
        <w:rPr>
          <w:rFonts w:hint="eastAsia" w:eastAsia="仿宋_GB2312"/>
          <w:sz w:val="30"/>
          <w:szCs w:val="30"/>
        </w:rPr>
        <w:t>立机构18个，内设9个、下设5个共14个审判业务机构，4个非审判业务机构。内设9个审判执行业务机构包括立案庭（诉讼服务中心）、刑事审判庭、民事审判一庭、民事审判二庭、民事审判三庭、行政审判庭、综合审判庭、执行局、审判管理办公室（研究室）。下设5个审判执行业务机构包括后沙峪法庭、牛栏山法庭、杨镇法庭、李遂法庭、天竺法庭。4个非审判业务机构包括政治部（机关党委、机关纪委）综合办公室、综合事务中心、司法警察大队。</w:t>
      </w:r>
    </w:p>
    <w:p w14:paraId="22F21AAA">
      <w:pPr>
        <w:spacing w:line="600" w:lineRule="exact"/>
        <w:ind w:firstLine="600" w:firstLineChars="200"/>
        <w:rPr>
          <w:rFonts w:eastAsia="仿宋_GB2312"/>
          <w:sz w:val="30"/>
          <w:szCs w:val="30"/>
        </w:rPr>
      </w:pPr>
      <w:r>
        <w:rPr>
          <w:rFonts w:eastAsia="仿宋_GB2312"/>
          <w:sz w:val="30"/>
          <w:szCs w:val="30"/>
        </w:rPr>
        <w:t>顺义法院作为国家审判机关，在所管辖地区依法独立行使审判权。其主要职责是：</w:t>
      </w:r>
    </w:p>
    <w:p w14:paraId="3CF5AD2C">
      <w:pPr>
        <w:spacing w:line="600" w:lineRule="exact"/>
        <w:ind w:firstLine="600" w:firstLineChars="200"/>
        <w:rPr>
          <w:rFonts w:eastAsia="仿宋_GB2312"/>
          <w:sz w:val="30"/>
          <w:szCs w:val="30"/>
        </w:rPr>
      </w:pPr>
      <w:r>
        <w:rPr>
          <w:rFonts w:eastAsia="仿宋_GB2312"/>
          <w:sz w:val="30"/>
          <w:szCs w:val="30"/>
        </w:rPr>
        <w:t>1、依法审判本辖区的刑事、民事、行政等第一审案件。</w:t>
      </w:r>
    </w:p>
    <w:p w14:paraId="38013A6A">
      <w:pPr>
        <w:spacing w:line="600" w:lineRule="exact"/>
        <w:ind w:firstLine="600" w:firstLineChars="200"/>
        <w:rPr>
          <w:rFonts w:eastAsia="仿宋_GB2312"/>
          <w:sz w:val="30"/>
          <w:szCs w:val="30"/>
        </w:rPr>
      </w:pPr>
      <w:r>
        <w:rPr>
          <w:rFonts w:eastAsia="仿宋_GB2312"/>
          <w:sz w:val="30"/>
          <w:szCs w:val="30"/>
        </w:rPr>
        <w:t>2、受理和审查各类告诉、申诉案件，处理来信来访。对其中确有错误的已发生法律效率的判决、裁定，根据审判监督程序进行再审。</w:t>
      </w:r>
    </w:p>
    <w:p w14:paraId="222ACEA6">
      <w:pPr>
        <w:spacing w:line="600" w:lineRule="exact"/>
        <w:ind w:firstLine="600" w:firstLineChars="200"/>
        <w:rPr>
          <w:rFonts w:eastAsia="仿宋_GB2312"/>
          <w:sz w:val="30"/>
          <w:szCs w:val="30"/>
        </w:rPr>
      </w:pPr>
      <w:r>
        <w:rPr>
          <w:rFonts w:eastAsia="仿宋_GB2312"/>
          <w:sz w:val="30"/>
          <w:szCs w:val="30"/>
        </w:rPr>
        <w:t>3、依法行使执行权和司法决定权。</w:t>
      </w:r>
    </w:p>
    <w:p w14:paraId="5F467D7C">
      <w:pPr>
        <w:spacing w:line="600" w:lineRule="exact"/>
        <w:ind w:firstLine="600" w:firstLineChars="200"/>
        <w:rPr>
          <w:rFonts w:eastAsia="仿宋_GB2312"/>
          <w:sz w:val="30"/>
          <w:szCs w:val="30"/>
        </w:rPr>
      </w:pPr>
      <w:r>
        <w:rPr>
          <w:rFonts w:eastAsia="仿宋_GB2312"/>
          <w:sz w:val="30"/>
          <w:szCs w:val="30"/>
        </w:rPr>
        <w:t>4、针对案件审理中发现的问题提出司法建议。</w:t>
      </w:r>
    </w:p>
    <w:p w14:paraId="2E48ED51">
      <w:pPr>
        <w:spacing w:line="600" w:lineRule="exact"/>
        <w:ind w:firstLine="600" w:firstLineChars="200"/>
        <w:rPr>
          <w:rFonts w:eastAsia="仿宋_GB2312"/>
          <w:sz w:val="30"/>
          <w:szCs w:val="30"/>
        </w:rPr>
      </w:pPr>
      <w:r>
        <w:rPr>
          <w:rFonts w:eastAsia="仿宋_GB2312"/>
          <w:sz w:val="30"/>
          <w:szCs w:val="30"/>
        </w:rPr>
        <w:t>5、按照干部管理权限管理本院的法官、法官助理和书记员、司法警察和司法行政人员。</w:t>
      </w:r>
    </w:p>
    <w:p w14:paraId="3EC50C26">
      <w:pPr>
        <w:spacing w:line="600" w:lineRule="exact"/>
        <w:ind w:firstLine="600" w:firstLineChars="200"/>
        <w:rPr>
          <w:rFonts w:eastAsia="仿宋_GB2312"/>
          <w:sz w:val="30"/>
          <w:szCs w:val="30"/>
        </w:rPr>
      </w:pPr>
      <w:r>
        <w:rPr>
          <w:rFonts w:eastAsia="仿宋_GB2312"/>
          <w:sz w:val="30"/>
          <w:szCs w:val="30"/>
        </w:rPr>
        <w:t>6、负责本院党组织的思想、组织、作风建设工作；领导本院工、青、妇等群众组织工作。</w:t>
      </w:r>
    </w:p>
    <w:p w14:paraId="286FF1D6">
      <w:pPr>
        <w:spacing w:line="600" w:lineRule="exact"/>
        <w:ind w:firstLine="600" w:firstLineChars="200"/>
        <w:rPr>
          <w:rFonts w:eastAsia="仿宋_GB2312"/>
          <w:sz w:val="30"/>
          <w:szCs w:val="30"/>
        </w:rPr>
      </w:pPr>
      <w:r>
        <w:rPr>
          <w:rFonts w:eastAsia="仿宋_GB2312"/>
          <w:sz w:val="30"/>
          <w:szCs w:val="30"/>
        </w:rPr>
        <w:t>7、负责本院的监察工作。按照管理权限监督、检查本院工作人员执行国家法律、法规、政策及纪律情况。</w:t>
      </w:r>
    </w:p>
    <w:p w14:paraId="699D6506">
      <w:pPr>
        <w:spacing w:line="600" w:lineRule="exact"/>
        <w:ind w:firstLine="600" w:firstLineChars="200"/>
        <w:rPr>
          <w:rFonts w:eastAsia="仿宋_GB2312"/>
          <w:sz w:val="30"/>
          <w:szCs w:val="30"/>
        </w:rPr>
      </w:pPr>
      <w:r>
        <w:rPr>
          <w:rFonts w:eastAsia="仿宋_GB2312"/>
          <w:sz w:val="30"/>
          <w:szCs w:val="30"/>
        </w:rPr>
        <w:t>8、承办其他应由本区人民法院负责的工作。</w:t>
      </w:r>
    </w:p>
    <w:p w14:paraId="56397F8E">
      <w:pPr>
        <w:spacing w:line="600" w:lineRule="exact"/>
        <w:ind w:firstLine="640" w:firstLineChars="200"/>
        <w:rPr>
          <w:rFonts w:eastAsia="楷体_GB2312"/>
          <w:sz w:val="32"/>
          <w:szCs w:val="32"/>
        </w:rPr>
      </w:pPr>
      <w:r>
        <w:rPr>
          <w:rFonts w:eastAsia="楷体_GB2312"/>
          <w:sz w:val="32"/>
          <w:szCs w:val="32"/>
        </w:rPr>
        <w:t>（二）部门整体绩效目标设立情况</w:t>
      </w:r>
    </w:p>
    <w:p w14:paraId="76DF4565">
      <w:pPr>
        <w:spacing w:line="600" w:lineRule="exact"/>
        <w:ind w:firstLine="600" w:firstLineChars="200"/>
        <w:rPr>
          <w:rFonts w:eastAsia="仿宋_GB2312"/>
          <w:sz w:val="30"/>
          <w:szCs w:val="30"/>
        </w:rPr>
      </w:pPr>
      <w:r>
        <w:rPr>
          <w:rFonts w:eastAsia="仿宋_GB2312"/>
          <w:sz w:val="30"/>
          <w:szCs w:val="30"/>
        </w:rPr>
        <w:t>顺义法院依据</w:t>
      </w:r>
      <w:r>
        <w:rPr>
          <w:rFonts w:hint="eastAsia" w:eastAsia="仿宋_GB2312"/>
          <w:sz w:val="30"/>
          <w:szCs w:val="30"/>
        </w:rPr>
        <w:t>2</w:t>
      </w:r>
      <w:r>
        <w:rPr>
          <w:rFonts w:eastAsia="仿宋_GB2312"/>
          <w:sz w:val="30"/>
          <w:szCs w:val="30"/>
        </w:rPr>
        <w:t>024</w:t>
      </w:r>
      <w:r>
        <w:rPr>
          <w:rFonts w:hint="eastAsia" w:eastAsia="仿宋_GB2312"/>
          <w:sz w:val="30"/>
          <w:szCs w:val="30"/>
        </w:rPr>
        <w:t>年部门工作计划及法院的职责</w:t>
      </w:r>
      <w:r>
        <w:rPr>
          <w:rFonts w:eastAsia="仿宋_GB2312"/>
          <w:sz w:val="30"/>
          <w:szCs w:val="30"/>
        </w:rPr>
        <w:t>，设置了以下绩效目标：</w:t>
      </w:r>
    </w:p>
    <w:p w14:paraId="6E763996">
      <w:pPr>
        <w:spacing w:line="600" w:lineRule="exact"/>
        <w:ind w:firstLine="600" w:firstLineChars="200"/>
        <w:rPr>
          <w:rFonts w:eastAsia="仿宋_GB2312"/>
          <w:sz w:val="30"/>
          <w:szCs w:val="30"/>
          <w:highlight w:val="none"/>
        </w:rPr>
      </w:pPr>
      <w:r>
        <w:rPr>
          <w:rFonts w:eastAsia="仿宋_GB2312"/>
          <w:sz w:val="30"/>
          <w:szCs w:val="30"/>
          <w:highlight w:val="none"/>
        </w:rPr>
        <w:t>1、总体目标</w:t>
      </w:r>
    </w:p>
    <w:p w14:paraId="277E8A27">
      <w:pPr>
        <w:spacing w:line="600" w:lineRule="exact"/>
        <w:ind w:firstLine="600" w:firstLineChars="200"/>
        <w:rPr>
          <w:rFonts w:eastAsia="仿宋_GB2312"/>
          <w:sz w:val="30"/>
          <w:szCs w:val="30"/>
          <w:highlight w:val="none"/>
        </w:rPr>
      </w:pPr>
      <w:r>
        <w:rPr>
          <w:rFonts w:hint="eastAsia" w:eastAsia="仿宋_GB2312"/>
          <w:sz w:val="30"/>
          <w:szCs w:val="30"/>
          <w:highlight w:val="none"/>
        </w:rPr>
        <w:t>一是保安全、护稳定，持续提升服务区域发展的精准性有效性。立足审判职能，依法履行维护首都政治安全、保障社会和谐稳定的职责使命；立足发展大局，助力提高依法治区水平。二是促公正、提效率，主动回应人民群众新需求新期待。着力解民忧，依法审理好教育、医疗、住房、养老等涉民生案件，认真做好“保交楼、保民生、保稳定”司法保障工作。三是精治理、重能动，持续提升社会治理的法治化水平。在“融入”上下功夫，在“主动”上下功夫，在“源头”上下功夫。四是强保障、抓落实，持续激发法院队伍凝聚力战斗力。加强政治建设，加强能力素质建设，加强全面从严管党治警。预算资金使用合规性和安全性，按照内控要求，建立健全各项财务管理制度，保障日常办公顺利开展，满足需求，提升公共服务能力。</w:t>
      </w:r>
    </w:p>
    <w:p w14:paraId="42B8AC50">
      <w:pPr>
        <w:spacing w:line="600" w:lineRule="exact"/>
        <w:ind w:firstLine="600" w:firstLineChars="200"/>
        <w:rPr>
          <w:rFonts w:eastAsia="仿宋_GB2312"/>
          <w:color w:val="000000" w:themeColor="text1"/>
          <w:sz w:val="30"/>
          <w:szCs w:val="30"/>
          <w14:textFill>
            <w14:solidFill>
              <w14:schemeClr w14:val="tx1"/>
            </w14:solidFill>
          </w14:textFill>
        </w:rPr>
      </w:pPr>
      <w:r>
        <w:rPr>
          <w:rFonts w:eastAsia="仿宋_GB2312"/>
          <w:color w:val="000000" w:themeColor="text1"/>
          <w:sz w:val="30"/>
          <w:szCs w:val="30"/>
          <w14:textFill>
            <w14:solidFill>
              <w14:schemeClr w14:val="tx1"/>
            </w14:solidFill>
          </w14:textFill>
        </w:rPr>
        <w:t>2、具体目标</w:t>
      </w:r>
    </w:p>
    <w:p w14:paraId="41B7403F">
      <w:pPr>
        <w:spacing w:line="600" w:lineRule="exact"/>
        <w:ind w:firstLine="600" w:firstLineChars="200"/>
        <w:rPr>
          <w:rFonts w:eastAsia="仿宋_GB2312"/>
          <w:color w:val="000000" w:themeColor="text1"/>
          <w:sz w:val="30"/>
          <w:szCs w:val="30"/>
          <w14:textFill>
            <w14:solidFill>
              <w14:schemeClr w14:val="tx1"/>
            </w14:solidFill>
          </w14:textFill>
        </w:rPr>
      </w:pPr>
      <w:r>
        <w:rPr>
          <w:rFonts w:eastAsia="仿宋_GB2312"/>
          <w:color w:val="000000" w:themeColor="text1"/>
          <w:sz w:val="30"/>
          <w:szCs w:val="30"/>
          <w14:textFill>
            <w14:solidFill>
              <w14:schemeClr w14:val="tx1"/>
            </w14:solidFill>
          </w14:textFill>
        </w:rPr>
        <w:t>（1）</w:t>
      </w:r>
      <w:r>
        <w:rPr>
          <w:rFonts w:hint="eastAsia" w:eastAsia="仿宋_GB2312"/>
          <w:color w:val="000000" w:themeColor="text1"/>
          <w:sz w:val="30"/>
          <w:szCs w:val="30"/>
          <w:lang w:eastAsia="zh-CN"/>
          <w14:textFill>
            <w14:solidFill>
              <w14:schemeClr w14:val="tx1"/>
            </w14:solidFill>
          </w14:textFill>
        </w:rPr>
        <w:t>2024</w:t>
      </w:r>
      <w:r>
        <w:rPr>
          <w:rFonts w:eastAsia="仿宋_GB2312"/>
          <w:color w:val="000000" w:themeColor="text1"/>
          <w:sz w:val="30"/>
          <w:szCs w:val="30"/>
          <w14:textFill>
            <w14:solidFill>
              <w14:schemeClr w14:val="tx1"/>
            </w14:solidFill>
          </w14:textFill>
        </w:rPr>
        <w:t>年12月31日前完成全年预算指标</w:t>
      </w:r>
    </w:p>
    <w:p w14:paraId="2E2879CB">
      <w:pPr>
        <w:spacing w:line="600" w:lineRule="exact"/>
        <w:ind w:firstLine="600" w:firstLineChars="200"/>
        <w:rPr>
          <w:rFonts w:eastAsia="仿宋_GB2312"/>
          <w:color w:val="000000" w:themeColor="text1"/>
          <w:sz w:val="30"/>
          <w:szCs w:val="30"/>
          <w14:textFill>
            <w14:solidFill>
              <w14:schemeClr w14:val="tx1"/>
            </w14:solidFill>
          </w14:textFill>
        </w:rPr>
      </w:pPr>
      <w:r>
        <w:rPr>
          <w:rFonts w:eastAsia="仿宋_GB2312"/>
          <w:color w:val="000000" w:themeColor="text1"/>
          <w:sz w:val="30"/>
          <w:szCs w:val="30"/>
          <w14:textFill>
            <w14:solidFill>
              <w14:schemeClr w14:val="tx1"/>
            </w14:solidFill>
          </w14:textFill>
        </w:rPr>
        <w:t>（2）案件结案率在2024年完成的基础稳步上升</w:t>
      </w:r>
    </w:p>
    <w:p w14:paraId="61D53078">
      <w:pPr>
        <w:spacing w:line="600" w:lineRule="exact"/>
        <w:ind w:firstLine="600" w:firstLineChars="200"/>
        <w:rPr>
          <w:rFonts w:eastAsia="仿宋_GB2312"/>
          <w:color w:val="000000" w:themeColor="text1"/>
          <w:sz w:val="30"/>
          <w:szCs w:val="30"/>
          <w14:textFill>
            <w14:solidFill>
              <w14:schemeClr w14:val="tx1"/>
            </w14:solidFill>
          </w14:textFill>
        </w:rPr>
      </w:pPr>
      <w:r>
        <w:rPr>
          <w:rFonts w:eastAsia="仿宋_GB2312"/>
          <w:color w:val="000000" w:themeColor="text1"/>
          <w:sz w:val="30"/>
          <w:szCs w:val="30"/>
          <w14:textFill>
            <w14:solidFill>
              <w14:schemeClr w14:val="tx1"/>
            </w14:solidFill>
          </w14:textFill>
        </w:rPr>
        <w:t>（3）严格反控各项开支范围，做到不超范围、不超标准</w:t>
      </w:r>
    </w:p>
    <w:p w14:paraId="4AB14F9F">
      <w:pPr>
        <w:spacing w:line="600" w:lineRule="exact"/>
        <w:ind w:firstLine="600" w:firstLineChars="200"/>
        <w:rPr>
          <w:rFonts w:eastAsia="仿宋_GB2312"/>
          <w:color w:val="000000" w:themeColor="text1"/>
          <w:sz w:val="30"/>
          <w:szCs w:val="30"/>
          <w14:textFill>
            <w14:solidFill>
              <w14:schemeClr w14:val="tx1"/>
            </w14:solidFill>
          </w14:textFill>
        </w:rPr>
      </w:pPr>
      <w:r>
        <w:rPr>
          <w:rFonts w:eastAsia="仿宋_GB2312"/>
          <w:color w:val="000000" w:themeColor="text1"/>
          <w:sz w:val="30"/>
          <w:szCs w:val="30"/>
          <w14:textFill>
            <w14:solidFill>
              <w14:schemeClr w14:val="tx1"/>
            </w14:solidFill>
          </w14:textFill>
        </w:rPr>
        <w:t>（4）严格执行中央八项规定，严控三公经费开支</w:t>
      </w:r>
    </w:p>
    <w:p w14:paraId="0F487369">
      <w:pPr>
        <w:spacing w:line="600" w:lineRule="exact"/>
        <w:ind w:firstLine="600" w:firstLineChars="200"/>
        <w:rPr>
          <w:rFonts w:eastAsia="仿宋_GB2312"/>
          <w:color w:val="000000" w:themeColor="text1"/>
          <w:sz w:val="30"/>
          <w:szCs w:val="30"/>
          <w14:textFill>
            <w14:solidFill>
              <w14:schemeClr w14:val="tx1"/>
            </w14:solidFill>
          </w14:textFill>
        </w:rPr>
      </w:pPr>
      <w:r>
        <w:rPr>
          <w:rFonts w:eastAsia="仿宋_GB2312"/>
          <w:color w:val="000000" w:themeColor="text1"/>
          <w:sz w:val="30"/>
          <w:szCs w:val="30"/>
          <w14:textFill>
            <w14:solidFill>
              <w14:schemeClr w14:val="tx1"/>
            </w14:solidFill>
          </w14:textFill>
        </w:rPr>
        <w:t>（5）全力保障一线干警办案业务需求，努力提升审判质效</w:t>
      </w:r>
    </w:p>
    <w:p w14:paraId="69804527">
      <w:pPr>
        <w:spacing w:line="600" w:lineRule="exact"/>
        <w:ind w:firstLine="600" w:firstLineChars="200"/>
        <w:rPr>
          <w:rFonts w:eastAsia="仿宋_GB2312"/>
          <w:color w:val="000000" w:themeColor="text1"/>
          <w:sz w:val="30"/>
          <w:szCs w:val="30"/>
          <w14:textFill>
            <w14:solidFill>
              <w14:schemeClr w14:val="tx1"/>
            </w14:solidFill>
          </w14:textFill>
        </w:rPr>
      </w:pPr>
      <w:r>
        <w:rPr>
          <w:rFonts w:eastAsia="仿宋_GB2312"/>
          <w:color w:val="000000" w:themeColor="text1"/>
          <w:sz w:val="30"/>
          <w:szCs w:val="30"/>
          <w14:textFill>
            <w14:solidFill>
              <w14:schemeClr w14:val="tx1"/>
            </w14:solidFill>
          </w14:textFill>
        </w:rPr>
        <w:t>（6）做好后勤保障工作，力争全院干警满意度不断提升</w:t>
      </w:r>
    </w:p>
    <w:p w14:paraId="78E9EA57">
      <w:pPr>
        <w:spacing w:line="600" w:lineRule="exact"/>
        <w:ind w:firstLine="600" w:firstLineChars="200"/>
        <w:rPr>
          <w:rFonts w:eastAsia="仿宋_GB2312"/>
          <w:color w:val="000000" w:themeColor="text1"/>
          <w:sz w:val="30"/>
          <w:szCs w:val="30"/>
          <w14:textFill>
            <w14:solidFill>
              <w14:schemeClr w14:val="tx1"/>
            </w14:solidFill>
          </w14:textFill>
        </w:rPr>
      </w:pPr>
      <w:r>
        <w:rPr>
          <w:rFonts w:eastAsia="仿宋_GB2312"/>
          <w:color w:val="000000" w:themeColor="text1"/>
          <w:sz w:val="30"/>
          <w:szCs w:val="30"/>
          <w14:textFill>
            <w14:solidFill>
              <w14:schemeClr w14:val="tx1"/>
            </w14:solidFill>
          </w14:textFill>
        </w:rPr>
        <w:t>（7）严格把关各个项目支出，做到项目执行过程中的有力把控，实现项目绩效目标</w:t>
      </w:r>
    </w:p>
    <w:p w14:paraId="3463175F">
      <w:pPr>
        <w:spacing w:line="600" w:lineRule="exact"/>
        <w:ind w:firstLine="600" w:firstLineChars="200"/>
        <w:rPr>
          <w:rFonts w:eastAsia="仿宋_GB2312"/>
          <w:color w:val="000000" w:themeColor="text1"/>
          <w:sz w:val="30"/>
          <w:szCs w:val="30"/>
          <w14:textFill>
            <w14:solidFill>
              <w14:schemeClr w14:val="tx1"/>
            </w14:solidFill>
          </w14:textFill>
        </w:rPr>
      </w:pPr>
      <w:r>
        <w:rPr>
          <w:rFonts w:eastAsia="仿宋_GB2312"/>
          <w:color w:val="000000" w:themeColor="text1"/>
          <w:sz w:val="30"/>
          <w:szCs w:val="30"/>
          <w14:textFill>
            <w14:solidFill>
              <w14:schemeClr w14:val="tx1"/>
            </w14:solidFill>
          </w14:textFill>
        </w:rPr>
        <w:t>（8）配全信息化建设，努力提升全院信息化水平，为建设智能法院提供有力保障</w:t>
      </w:r>
    </w:p>
    <w:p w14:paraId="093C4C1F">
      <w:pPr>
        <w:spacing w:line="600" w:lineRule="exact"/>
        <w:ind w:firstLine="640" w:firstLineChars="200"/>
        <w:rPr>
          <w:rFonts w:eastAsia="黑体"/>
          <w:color w:val="000000"/>
          <w:kern w:val="0"/>
          <w:sz w:val="32"/>
          <w:szCs w:val="32"/>
        </w:rPr>
      </w:pPr>
      <w:r>
        <w:rPr>
          <w:rFonts w:eastAsia="黑体"/>
          <w:color w:val="000000"/>
          <w:kern w:val="0"/>
          <w:sz w:val="32"/>
          <w:szCs w:val="32"/>
        </w:rPr>
        <w:t>二、当年预算执行情况</w:t>
      </w:r>
    </w:p>
    <w:p w14:paraId="6940F4F6">
      <w:pPr>
        <w:spacing w:line="600" w:lineRule="exact"/>
        <w:ind w:firstLine="600" w:firstLineChars="200"/>
        <w:rPr>
          <w:rFonts w:eastAsia="仿宋_GB2312"/>
          <w:sz w:val="30"/>
          <w:szCs w:val="30"/>
          <w:highlight w:val="none"/>
        </w:rPr>
      </w:pPr>
      <w:r>
        <w:rPr>
          <w:rFonts w:eastAsia="仿宋_GB2312"/>
          <w:sz w:val="30"/>
          <w:szCs w:val="30"/>
          <w:highlight w:val="none"/>
        </w:rPr>
        <w:t>2024年全年年初预算数</w:t>
      </w:r>
      <w:bookmarkStart w:id="0" w:name="_Hlk166063889"/>
      <w:r>
        <w:rPr>
          <w:rFonts w:eastAsia="仿宋_GB2312"/>
          <w:sz w:val="30"/>
          <w:szCs w:val="30"/>
          <w:highlight w:val="none"/>
        </w:rPr>
        <w:t xml:space="preserve">26,125.47万元，调整后预算金额  </w:t>
      </w:r>
      <w:r>
        <w:rPr>
          <w:rFonts w:hint="eastAsia" w:eastAsia="仿宋_GB2312"/>
          <w:sz w:val="30"/>
          <w:szCs w:val="30"/>
          <w:highlight w:val="none"/>
        </w:rPr>
        <w:t xml:space="preserve"> 26,054.33</w:t>
      </w:r>
      <w:r>
        <w:rPr>
          <w:rFonts w:eastAsia="仿宋_GB2312"/>
          <w:sz w:val="30"/>
          <w:szCs w:val="30"/>
          <w:highlight w:val="none"/>
        </w:rPr>
        <w:t>万元</w:t>
      </w:r>
      <w:bookmarkEnd w:id="0"/>
      <w:r>
        <w:rPr>
          <w:rFonts w:eastAsia="仿宋_GB2312"/>
          <w:sz w:val="30"/>
          <w:szCs w:val="30"/>
          <w:highlight w:val="none"/>
        </w:rPr>
        <w:t>，其中，基本支出预算数</w:t>
      </w:r>
      <w:r>
        <w:rPr>
          <w:rFonts w:hint="eastAsia" w:eastAsia="仿宋_GB2312"/>
          <w:sz w:val="30"/>
          <w:szCs w:val="30"/>
          <w:highlight w:val="none"/>
        </w:rPr>
        <w:t>17,108.66</w:t>
      </w:r>
      <w:r>
        <w:rPr>
          <w:rFonts w:eastAsia="仿宋_GB2312"/>
          <w:sz w:val="30"/>
          <w:szCs w:val="30"/>
          <w:highlight w:val="none"/>
        </w:rPr>
        <w:t>万元，项目支出预算数</w:t>
      </w:r>
      <w:r>
        <w:rPr>
          <w:rFonts w:hint="eastAsia" w:eastAsia="仿宋_GB2312"/>
          <w:sz w:val="30"/>
          <w:szCs w:val="30"/>
          <w:highlight w:val="none"/>
        </w:rPr>
        <w:t>8,945.67</w:t>
      </w:r>
      <w:r>
        <w:rPr>
          <w:rFonts w:eastAsia="仿宋_GB2312"/>
          <w:sz w:val="30"/>
          <w:szCs w:val="30"/>
          <w:highlight w:val="none"/>
        </w:rPr>
        <w:t>万元，其他支出预算数0.00万元。资金总体支出</w:t>
      </w:r>
      <w:r>
        <w:rPr>
          <w:rFonts w:hint="eastAsia" w:eastAsia="仿宋_GB2312"/>
          <w:sz w:val="30"/>
          <w:szCs w:val="30"/>
          <w:highlight w:val="none"/>
        </w:rPr>
        <w:t>25,285.93</w:t>
      </w:r>
      <w:r>
        <w:rPr>
          <w:rFonts w:eastAsia="仿宋_GB2312"/>
          <w:sz w:val="30"/>
          <w:szCs w:val="30"/>
          <w:highlight w:val="none"/>
        </w:rPr>
        <w:t>万元，其中，基本支出</w:t>
      </w:r>
      <w:r>
        <w:rPr>
          <w:rFonts w:hint="eastAsia" w:eastAsia="仿宋_GB2312"/>
          <w:sz w:val="30"/>
          <w:szCs w:val="30"/>
          <w:highlight w:val="none"/>
        </w:rPr>
        <w:t>16,793.25</w:t>
      </w:r>
      <w:r>
        <w:rPr>
          <w:rFonts w:eastAsia="仿宋_GB2312"/>
          <w:sz w:val="30"/>
          <w:szCs w:val="30"/>
          <w:highlight w:val="none"/>
        </w:rPr>
        <w:t>万元，项目支出</w:t>
      </w:r>
      <w:r>
        <w:rPr>
          <w:rFonts w:hint="eastAsia" w:eastAsia="仿宋_GB2312"/>
          <w:sz w:val="30"/>
          <w:szCs w:val="30"/>
          <w:highlight w:val="none"/>
        </w:rPr>
        <w:t>8,492.68</w:t>
      </w:r>
      <w:r>
        <w:rPr>
          <w:rFonts w:eastAsia="仿宋_GB2312"/>
          <w:sz w:val="30"/>
          <w:szCs w:val="30"/>
          <w:highlight w:val="none"/>
        </w:rPr>
        <w:t>万元，其他支出0.00万元。预算执行率为</w:t>
      </w:r>
      <w:r>
        <w:rPr>
          <w:rFonts w:hint="eastAsia" w:eastAsia="仿宋_GB2312"/>
          <w:sz w:val="30"/>
          <w:szCs w:val="30"/>
          <w:highlight w:val="none"/>
        </w:rPr>
        <w:t>97.05%</w:t>
      </w:r>
      <w:r>
        <w:rPr>
          <w:rFonts w:eastAsia="仿宋_GB2312"/>
          <w:sz w:val="30"/>
          <w:szCs w:val="30"/>
          <w:highlight w:val="none"/>
        </w:rPr>
        <w:t>。</w:t>
      </w:r>
      <w:r>
        <w:rPr>
          <w:rFonts w:hint="eastAsia" w:eastAsia="仿宋_GB2312"/>
          <w:sz w:val="30"/>
          <w:szCs w:val="30"/>
          <w:highlight w:val="none"/>
        </w:rPr>
        <w:t>具体情况如下：</w:t>
      </w:r>
    </w:p>
    <w:p w14:paraId="7C0267F1">
      <w:pPr>
        <w:spacing w:line="600" w:lineRule="exact"/>
        <w:ind w:firstLine="640" w:firstLineChars="200"/>
        <w:rPr>
          <w:rFonts w:eastAsia="楷体_GB2312"/>
          <w:sz w:val="32"/>
          <w:szCs w:val="32"/>
        </w:rPr>
      </w:pPr>
      <w:r>
        <w:rPr>
          <w:rFonts w:hint="eastAsia" w:eastAsia="楷体_GB2312"/>
          <w:sz w:val="32"/>
          <w:szCs w:val="32"/>
        </w:rPr>
        <w:t>（一）部门预算安排及预算调整情况</w:t>
      </w:r>
    </w:p>
    <w:p w14:paraId="035A7BF2">
      <w:pPr>
        <w:spacing w:line="600" w:lineRule="exact"/>
        <w:ind w:firstLine="600" w:firstLineChars="200"/>
        <w:rPr>
          <w:rFonts w:eastAsia="仿宋_GB2312"/>
          <w:sz w:val="30"/>
          <w:szCs w:val="30"/>
        </w:rPr>
      </w:pPr>
      <w:r>
        <w:rPr>
          <w:rFonts w:hint="eastAsia" w:eastAsia="仿宋_GB2312"/>
          <w:sz w:val="30"/>
          <w:szCs w:val="30"/>
        </w:rPr>
        <w:t>根据北京市财政局下发的《关于批复北京市顺义区人民法院2</w:t>
      </w:r>
      <w:r>
        <w:rPr>
          <w:rFonts w:eastAsia="仿宋_GB2312"/>
          <w:sz w:val="30"/>
          <w:szCs w:val="30"/>
        </w:rPr>
        <w:t>024</w:t>
      </w:r>
      <w:r>
        <w:rPr>
          <w:rFonts w:hint="eastAsia" w:eastAsia="仿宋_GB2312"/>
          <w:sz w:val="30"/>
          <w:szCs w:val="30"/>
        </w:rPr>
        <w:t>年预算的函》，部门预算资金安排如下：</w:t>
      </w:r>
    </w:p>
    <w:p w14:paraId="41519BE6">
      <w:pPr>
        <w:spacing w:line="600" w:lineRule="exact"/>
        <w:ind w:firstLine="600" w:firstLineChars="200"/>
        <w:rPr>
          <w:rFonts w:eastAsia="仿宋_GB2312"/>
          <w:sz w:val="30"/>
          <w:szCs w:val="30"/>
        </w:rPr>
      </w:pPr>
      <w:r>
        <w:rPr>
          <w:rFonts w:hint="eastAsia" w:eastAsia="仿宋_GB2312"/>
          <w:sz w:val="30"/>
          <w:szCs w:val="30"/>
        </w:rPr>
        <w:t>1、收入预算安排情况。收入预算安排</w:t>
      </w:r>
      <w:r>
        <w:rPr>
          <w:rFonts w:eastAsia="仿宋_GB2312"/>
          <w:sz w:val="30"/>
          <w:szCs w:val="30"/>
        </w:rPr>
        <w:t>26</w:t>
      </w:r>
      <w:r>
        <w:rPr>
          <w:rFonts w:hint="eastAsia" w:eastAsia="仿宋_GB2312"/>
          <w:sz w:val="30"/>
          <w:szCs w:val="30"/>
        </w:rPr>
        <w:t>,</w:t>
      </w:r>
      <w:r>
        <w:rPr>
          <w:rFonts w:eastAsia="仿宋_GB2312"/>
          <w:sz w:val="30"/>
          <w:szCs w:val="30"/>
        </w:rPr>
        <w:t>125.47</w:t>
      </w:r>
      <w:r>
        <w:rPr>
          <w:rFonts w:hint="eastAsia" w:eastAsia="仿宋_GB2312"/>
          <w:sz w:val="30"/>
          <w:szCs w:val="30"/>
        </w:rPr>
        <w:t>万元。其中，北京市财政资金共</w:t>
      </w:r>
      <w:r>
        <w:rPr>
          <w:rFonts w:eastAsia="仿宋_GB2312"/>
          <w:sz w:val="30"/>
          <w:szCs w:val="30"/>
        </w:rPr>
        <w:t>21,861.16</w:t>
      </w:r>
      <w:r>
        <w:rPr>
          <w:rFonts w:hint="eastAsia" w:eastAsia="仿宋_GB2312"/>
          <w:sz w:val="30"/>
          <w:szCs w:val="30"/>
        </w:rPr>
        <w:t>万元,均为一般公共预算拨款收入</w:t>
      </w:r>
      <w:r>
        <w:rPr>
          <w:rFonts w:hint="eastAsia" w:eastAsia="仿宋_GB2312"/>
          <w:sz w:val="30"/>
          <w:szCs w:val="30"/>
          <w:lang w:eastAsia="zh-CN"/>
        </w:rPr>
        <w:t>；</w:t>
      </w:r>
      <w:r>
        <w:rPr>
          <w:rFonts w:hint="eastAsia" w:eastAsia="仿宋_GB2312"/>
          <w:sz w:val="30"/>
          <w:szCs w:val="30"/>
        </w:rPr>
        <w:t>非本级财政拨款区财政资金为1,929.20万元，</w:t>
      </w:r>
      <w:r>
        <w:rPr>
          <w:rFonts w:hint="eastAsia" w:eastAsia="仿宋_GB2312"/>
          <w:sz w:val="30"/>
          <w:szCs w:val="30"/>
          <w:lang w:val="en-US" w:eastAsia="zh-CN"/>
        </w:rPr>
        <w:t>为</w:t>
      </w:r>
      <w:r>
        <w:rPr>
          <w:rFonts w:hint="eastAsia" w:eastAsia="仿宋_GB2312"/>
          <w:sz w:val="30"/>
          <w:szCs w:val="30"/>
        </w:rPr>
        <w:t>其他收入</w:t>
      </w:r>
      <w:r>
        <w:rPr>
          <w:rFonts w:eastAsia="仿宋_GB2312"/>
          <w:sz w:val="30"/>
          <w:szCs w:val="30"/>
        </w:rPr>
        <w:t>1,929.20</w:t>
      </w:r>
      <w:r>
        <w:rPr>
          <w:rFonts w:hint="eastAsia" w:eastAsia="仿宋_GB2312"/>
          <w:sz w:val="30"/>
          <w:szCs w:val="30"/>
        </w:rPr>
        <w:t>万元</w:t>
      </w:r>
      <w:r>
        <w:rPr>
          <w:rFonts w:hint="eastAsia" w:eastAsia="仿宋_GB2312"/>
          <w:sz w:val="30"/>
          <w:szCs w:val="30"/>
          <w:lang w:eastAsia="zh-CN"/>
        </w:rPr>
        <w:t>。</w:t>
      </w:r>
      <w:r>
        <w:rPr>
          <w:rFonts w:hint="eastAsia" w:eastAsia="仿宋_GB2312"/>
          <w:sz w:val="30"/>
          <w:szCs w:val="30"/>
        </w:rPr>
        <w:t>上年结转结余一般公共预算资金</w:t>
      </w:r>
      <w:r>
        <w:rPr>
          <w:rFonts w:eastAsia="仿宋_GB2312"/>
          <w:sz w:val="30"/>
          <w:szCs w:val="30"/>
        </w:rPr>
        <w:t>2,335.11</w:t>
      </w:r>
      <w:r>
        <w:rPr>
          <w:rFonts w:hint="eastAsia" w:eastAsia="仿宋_GB2312"/>
          <w:sz w:val="30"/>
          <w:szCs w:val="30"/>
        </w:rPr>
        <w:t>万元。</w:t>
      </w:r>
    </w:p>
    <w:p w14:paraId="72D6AE1A">
      <w:pPr>
        <w:spacing w:line="600" w:lineRule="exact"/>
        <w:ind w:firstLine="600" w:firstLineChars="200"/>
        <w:rPr>
          <w:rFonts w:eastAsia="仿宋_GB2312"/>
          <w:sz w:val="30"/>
          <w:szCs w:val="30"/>
        </w:rPr>
      </w:pPr>
      <w:r>
        <w:rPr>
          <w:rFonts w:hint="eastAsia" w:eastAsia="仿宋_GB2312"/>
          <w:sz w:val="30"/>
          <w:szCs w:val="30"/>
        </w:rPr>
        <w:t>2、支出预算安排情况。支出预算安排</w:t>
      </w:r>
      <w:r>
        <w:rPr>
          <w:rFonts w:eastAsia="仿宋_GB2312"/>
          <w:sz w:val="30"/>
          <w:szCs w:val="30"/>
        </w:rPr>
        <w:t>26,125.47</w:t>
      </w:r>
      <w:r>
        <w:rPr>
          <w:rFonts w:hint="eastAsia" w:eastAsia="仿宋_GB2312"/>
          <w:sz w:val="30"/>
          <w:szCs w:val="30"/>
        </w:rPr>
        <w:t>万元，其中：基本支出</w:t>
      </w:r>
      <w:r>
        <w:rPr>
          <w:rFonts w:eastAsia="仿宋_GB2312"/>
          <w:sz w:val="30"/>
          <w:szCs w:val="30"/>
        </w:rPr>
        <w:t>17,403.2</w:t>
      </w:r>
      <w:r>
        <w:rPr>
          <w:rFonts w:hint="eastAsia" w:eastAsia="仿宋_GB2312"/>
          <w:sz w:val="30"/>
          <w:szCs w:val="30"/>
          <w:lang w:val="en-US" w:eastAsia="zh-CN"/>
        </w:rPr>
        <w:t>5</w:t>
      </w:r>
      <w:r>
        <w:rPr>
          <w:rFonts w:hint="eastAsia" w:eastAsia="仿宋_GB2312"/>
          <w:sz w:val="30"/>
          <w:szCs w:val="30"/>
        </w:rPr>
        <w:t>万元，项目支出</w:t>
      </w:r>
      <w:r>
        <w:rPr>
          <w:rFonts w:eastAsia="仿宋_GB2312"/>
          <w:sz w:val="30"/>
          <w:szCs w:val="30"/>
        </w:rPr>
        <w:t>8,722.22</w:t>
      </w:r>
      <w:r>
        <w:rPr>
          <w:rFonts w:hint="eastAsia" w:eastAsia="仿宋_GB2312"/>
          <w:sz w:val="30"/>
          <w:szCs w:val="30"/>
        </w:rPr>
        <w:t>万元。</w:t>
      </w:r>
      <w:r>
        <w:rPr>
          <w:rFonts w:eastAsia="仿宋_GB2312"/>
          <w:sz w:val="30"/>
          <w:szCs w:val="30"/>
        </w:rPr>
        <w:tab/>
      </w:r>
    </w:p>
    <w:p w14:paraId="6D73BF3D">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eastAsia="仿宋_GB2312"/>
          <w:sz w:val="30"/>
          <w:szCs w:val="30"/>
          <w:highlight w:val="none"/>
        </w:rPr>
      </w:pPr>
      <w:r>
        <w:rPr>
          <w:rFonts w:hint="eastAsia" w:eastAsia="仿宋_GB2312"/>
          <w:sz w:val="30"/>
          <w:szCs w:val="30"/>
          <w:highlight w:val="none"/>
          <w:lang w:val="en-US" w:eastAsia="zh-CN"/>
        </w:rPr>
        <w:t>3</w:t>
      </w:r>
      <w:r>
        <w:rPr>
          <w:rFonts w:hint="eastAsia" w:eastAsia="仿宋_GB2312"/>
          <w:sz w:val="30"/>
          <w:szCs w:val="30"/>
          <w:highlight w:val="none"/>
        </w:rPr>
        <w:t>、“三公”经费预算安排。财政拨款安排“三公”经费预算</w:t>
      </w:r>
      <w:r>
        <w:rPr>
          <w:rFonts w:eastAsia="仿宋_GB2312"/>
          <w:sz w:val="30"/>
          <w:szCs w:val="30"/>
          <w:highlight w:val="none"/>
        </w:rPr>
        <w:t>185.70</w:t>
      </w:r>
      <w:r>
        <w:rPr>
          <w:rFonts w:hint="eastAsia" w:eastAsia="仿宋_GB2312"/>
          <w:sz w:val="30"/>
          <w:szCs w:val="30"/>
          <w:highlight w:val="none"/>
        </w:rPr>
        <w:t>万元，其中：因公出国（境）费</w:t>
      </w:r>
      <w:r>
        <w:rPr>
          <w:rFonts w:eastAsia="仿宋_GB2312"/>
          <w:sz w:val="30"/>
          <w:szCs w:val="30"/>
          <w:highlight w:val="none"/>
        </w:rPr>
        <w:t>0.00</w:t>
      </w:r>
      <w:r>
        <w:rPr>
          <w:rFonts w:hint="eastAsia" w:eastAsia="仿宋_GB2312"/>
          <w:sz w:val="30"/>
          <w:szCs w:val="30"/>
          <w:highlight w:val="none"/>
        </w:rPr>
        <w:t>万元，公务接待费</w:t>
      </w:r>
      <w:r>
        <w:rPr>
          <w:rFonts w:eastAsia="仿宋_GB2312"/>
          <w:sz w:val="30"/>
          <w:szCs w:val="30"/>
          <w:highlight w:val="none"/>
        </w:rPr>
        <w:t>2.50</w:t>
      </w:r>
      <w:r>
        <w:rPr>
          <w:rFonts w:hint="eastAsia" w:eastAsia="仿宋_GB2312"/>
          <w:sz w:val="30"/>
          <w:szCs w:val="30"/>
          <w:highlight w:val="none"/>
        </w:rPr>
        <w:t>万元，公务用车购置费</w:t>
      </w:r>
      <w:r>
        <w:rPr>
          <w:rFonts w:eastAsia="仿宋_GB2312"/>
          <w:sz w:val="30"/>
          <w:szCs w:val="30"/>
          <w:highlight w:val="none"/>
        </w:rPr>
        <w:t>63.86</w:t>
      </w:r>
      <w:r>
        <w:rPr>
          <w:rFonts w:hint="eastAsia" w:eastAsia="仿宋_GB2312"/>
          <w:sz w:val="30"/>
          <w:szCs w:val="30"/>
          <w:highlight w:val="none"/>
        </w:rPr>
        <w:t>万元，公务用车运行费</w:t>
      </w:r>
      <w:r>
        <w:rPr>
          <w:rFonts w:eastAsia="仿宋_GB2312"/>
          <w:sz w:val="30"/>
          <w:szCs w:val="30"/>
          <w:highlight w:val="none"/>
        </w:rPr>
        <w:t>119.34</w:t>
      </w:r>
      <w:r>
        <w:rPr>
          <w:rFonts w:hint="eastAsia" w:eastAsia="仿宋_GB2312"/>
          <w:sz w:val="30"/>
          <w:szCs w:val="30"/>
          <w:highlight w:val="none"/>
        </w:rPr>
        <w:t>万元。</w:t>
      </w:r>
    </w:p>
    <w:p w14:paraId="2EEE4638">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eastAsia="仿宋_GB2312"/>
          <w:sz w:val="30"/>
          <w:szCs w:val="30"/>
          <w:highlight w:val="none"/>
        </w:rPr>
      </w:pPr>
      <w:r>
        <w:rPr>
          <w:rFonts w:hint="eastAsia" w:eastAsia="仿宋_GB2312"/>
          <w:sz w:val="30"/>
          <w:szCs w:val="30"/>
          <w:highlight w:val="none"/>
          <w:lang w:val="en-US" w:eastAsia="zh-CN"/>
        </w:rPr>
        <w:t>4</w:t>
      </w:r>
      <w:r>
        <w:rPr>
          <w:rFonts w:hint="eastAsia" w:eastAsia="仿宋_GB2312"/>
          <w:sz w:val="30"/>
          <w:szCs w:val="30"/>
          <w:highlight w:val="none"/>
        </w:rPr>
        <w:t>、预算调整情况。</w:t>
      </w:r>
    </w:p>
    <w:p w14:paraId="1E764293">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eastAsia="仿宋_GB2312"/>
          <w:sz w:val="28"/>
          <w:szCs w:val="28"/>
        </w:rPr>
      </w:pPr>
      <w:r>
        <w:rPr>
          <w:rFonts w:hint="eastAsia" w:eastAsia="仿宋_GB2312"/>
          <w:sz w:val="30"/>
          <w:szCs w:val="30"/>
          <w:highlight w:val="none"/>
          <w:lang w:eastAsia="zh-CN"/>
        </w:rPr>
        <w:t>（</w:t>
      </w:r>
      <w:r>
        <w:rPr>
          <w:rFonts w:hint="eastAsia" w:eastAsia="仿宋_GB2312"/>
          <w:sz w:val="30"/>
          <w:szCs w:val="30"/>
          <w:highlight w:val="none"/>
          <w:lang w:val="en-US" w:eastAsia="zh-CN"/>
        </w:rPr>
        <w:t>1</w:t>
      </w:r>
      <w:r>
        <w:rPr>
          <w:rFonts w:hint="eastAsia" w:eastAsia="仿宋_GB2312"/>
          <w:sz w:val="30"/>
          <w:szCs w:val="30"/>
          <w:highlight w:val="none"/>
          <w:lang w:eastAsia="zh-CN"/>
        </w:rPr>
        <w:t>）</w:t>
      </w:r>
      <w:r>
        <w:rPr>
          <w:rFonts w:hint="eastAsia" w:eastAsia="仿宋_GB2312"/>
          <w:sz w:val="30"/>
          <w:szCs w:val="30"/>
          <w:highlight w:val="none"/>
        </w:rPr>
        <w:t>202</w:t>
      </w:r>
      <w:r>
        <w:rPr>
          <w:rFonts w:eastAsia="仿宋_GB2312"/>
          <w:sz w:val="30"/>
          <w:szCs w:val="30"/>
          <w:highlight w:val="none"/>
        </w:rPr>
        <w:t>4</w:t>
      </w:r>
      <w:r>
        <w:rPr>
          <w:rFonts w:hint="eastAsia" w:eastAsia="仿宋_GB2312"/>
          <w:sz w:val="30"/>
          <w:szCs w:val="30"/>
          <w:highlight w:val="none"/>
        </w:rPr>
        <w:t>年北京市财政资金共计调整</w:t>
      </w:r>
      <w:r>
        <w:rPr>
          <w:rFonts w:hint="eastAsia" w:eastAsia="仿宋_GB2312"/>
          <w:sz w:val="30"/>
          <w:szCs w:val="30"/>
          <w:highlight w:val="none"/>
          <w:lang w:val="en-US" w:eastAsia="zh-CN"/>
        </w:rPr>
        <w:t>核减</w:t>
      </w:r>
      <w:r>
        <w:rPr>
          <w:rFonts w:hint="eastAsia" w:eastAsia="仿宋_GB2312"/>
          <w:sz w:val="30"/>
          <w:szCs w:val="30"/>
          <w:highlight w:val="none"/>
        </w:rPr>
        <w:t>263.8</w:t>
      </w:r>
      <w:r>
        <w:rPr>
          <w:rFonts w:hint="eastAsia" w:eastAsia="仿宋_GB2312"/>
          <w:sz w:val="30"/>
          <w:szCs w:val="30"/>
          <w:highlight w:val="none"/>
          <w:lang w:val="en-US" w:eastAsia="zh-CN"/>
        </w:rPr>
        <w:t>8</w:t>
      </w:r>
      <w:r>
        <w:rPr>
          <w:rFonts w:hint="eastAsia" w:eastAsia="仿宋_GB2312"/>
          <w:sz w:val="30"/>
          <w:szCs w:val="30"/>
          <w:highlight w:val="none"/>
        </w:rPr>
        <w:t xml:space="preserve"> 万元，其中，追加预算金额</w:t>
      </w:r>
      <w:r>
        <w:rPr>
          <w:rFonts w:eastAsia="仿宋_GB2312"/>
          <w:sz w:val="30"/>
          <w:szCs w:val="30"/>
          <w:highlight w:val="none"/>
        </w:rPr>
        <w:t>464.8</w:t>
      </w:r>
      <w:r>
        <w:rPr>
          <w:rFonts w:hint="eastAsia" w:eastAsia="仿宋_GB2312"/>
          <w:sz w:val="30"/>
          <w:szCs w:val="30"/>
          <w:highlight w:val="none"/>
          <w:lang w:val="en-US" w:eastAsia="zh-CN"/>
        </w:rPr>
        <w:t>5</w:t>
      </w:r>
      <w:r>
        <w:rPr>
          <w:rFonts w:hint="eastAsia" w:eastAsia="仿宋_GB2312"/>
          <w:sz w:val="30"/>
          <w:szCs w:val="30"/>
          <w:highlight w:val="none"/>
        </w:rPr>
        <w:t>万元，核减预算金额728.73万元</w:t>
      </w:r>
      <w:r>
        <w:rPr>
          <w:rFonts w:hint="eastAsia" w:eastAsia="仿宋_GB2312"/>
          <w:sz w:val="30"/>
          <w:szCs w:val="30"/>
          <w:highlight w:val="none"/>
          <w:lang w:eastAsia="zh-CN"/>
        </w:rPr>
        <w:t>（</w:t>
      </w:r>
      <w:r>
        <w:rPr>
          <w:rFonts w:hint="eastAsia" w:eastAsia="仿宋_GB2312"/>
          <w:sz w:val="30"/>
          <w:szCs w:val="30"/>
          <w:highlight w:val="none"/>
          <w:lang w:val="en-US" w:eastAsia="zh-CN"/>
        </w:rPr>
        <w:t>核减期初结余资金307.35万元</w:t>
      </w:r>
      <w:r>
        <w:rPr>
          <w:rFonts w:hint="eastAsia" w:eastAsia="仿宋_GB2312"/>
          <w:sz w:val="30"/>
          <w:szCs w:val="30"/>
          <w:highlight w:val="none"/>
          <w:lang w:eastAsia="zh-CN"/>
        </w:rPr>
        <w:t>）</w:t>
      </w:r>
      <w:r>
        <w:rPr>
          <w:rFonts w:hint="eastAsia" w:eastAsia="仿宋_GB2312"/>
          <w:sz w:val="30"/>
          <w:szCs w:val="30"/>
          <w:highlight w:val="none"/>
        </w:rPr>
        <w:t>。</w:t>
      </w:r>
    </w:p>
    <w:p w14:paraId="0EC247F8">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firstLine="600" w:firstLineChars="200"/>
        <w:textAlignment w:val="auto"/>
        <w:rPr>
          <w:rFonts w:hint="eastAsia" w:ascii="仿宋_GB2312" w:hAnsi="仿宋" w:eastAsia="仿宋_GB2312" w:cs="仿宋"/>
          <w:color w:val="000000"/>
          <w:sz w:val="30"/>
          <w:szCs w:val="30"/>
        </w:rPr>
      </w:pPr>
      <w:r>
        <w:rPr>
          <w:rFonts w:hint="eastAsia" w:ascii="仿宋_GB2312" w:hAnsi="仿宋" w:eastAsia="仿宋_GB2312" w:cs="仿宋"/>
          <w:color w:val="000000"/>
          <w:sz w:val="30"/>
          <w:szCs w:val="30"/>
        </w:rPr>
        <w:t>非财政拨款预算调整情况</w:t>
      </w:r>
    </w:p>
    <w:p w14:paraId="23B0EFF1">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_GB2312" w:hAnsi="仿宋" w:eastAsia="仿宋_GB2312" w:cs="仿宋"/>
          <w:color w:val="000000"/>
          <w:sz w:val="30"/>
          <w:szCs w:val="30"/>
          <w:lang w:val="en-US" w:eastAsia="zh-CN"/>
        </w:rPr>
      </w:pPr>
      <w:r>
        <w:rPr>
          <w:rFonts w:hint="eastAsia" w:ascii="仿宋_GB2312" w:hAnsi="仿宋" w:eastAsia="仿宋_GB2312" w:cs="仿宋"/>
          <w:color w:val="000000"/>
          <w:sz w:val="30"/>
          <w:szCs w:val="30"/>
          <w:lang w:val="en-US" w:eastAsia="zh-CN"/>
        </w:rPr>
        <w:t>1.生活困难党员帮扶资金1万元；</w:t>
      </w:r>
    </w:p>
    <w:p w14:paraId="10A47C31">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_GB2312" w:hAnsi="仿宋" w:eastAsia="仿宋_GB2312" w:cs="仿宋"/>
          <w:color w:val="000000"/>
          <w:sz w:val="30"/>
          <w:szCs w:val="30"/>
          <w:lang w:val="en-US" w:eastAsia="zh-CN"/>
        </w:rPr>
      </w:pPr>
      <w:r>
        <w:rPr>
          <w:rFonts w:hint="eastAsia" w:ascii="仿宋_GB2312" w:hAnsi="仿宋" w:eastAsia="仿宋_GB2312" w:cs="仿宋"/>
          <w:color w:val="000000"/>
          <w:sz w:val="30"/>
          <w:szCs w:val="30"/>
          <w:lang w:val="en-US" w:eastAsia="zh-CN"/>
        </w:rPr>
        <w:t>2.</w:t>
      </w:r>
      <w:bookmarkStart w:id="3" w:name="_GoBack"/>
      <w:bookmarkEnd w:id="3"/>
      <w:r>
        <w:rPr>
          <w:rFonts w:hint="eastAsia" w:ascii="仿宋_GB2312" w:hAnsi="仿宋" w:eastAsia="仿宋_GB2312" w:cs="仿宋"/>
          <w:color w:val="000000"/>
          <w:sz w:val="30"/>
          <w:szCs w:val="30"/>
          <w:lang w:val="en-US" w:eastAsia="zh-CN"/>
        </w:rPr>
        <w:t>法院执行局装修改造及信息化建设项目</w:t>
      </w:r>
      <w:r>
        <w:rPr>
          <w:rFonts w:hint="eastAsia" w:eastAsia="仿宋_GB2312"/>
          <w:sz w:val="30"/>
          <w:szCs w:val="30"/>
          <w:lang w:val="en-US" w:eastAsia="zh-CN"/>
        </w:rPr>
        <w:t>258.8</w:t>
      </w:r>
      <w:r>
        <w:rPr>
          <w:rFonts w:hint="eastAsia" w:ascii="仿宋_GB2312" w:hAnsi="仿宋" w:eastAsia="仿宋_GB2312" w:cs="仿宋"/>
          <w:color w:val="000000"/>
          <w:sz w:val="30"/>
          <w:szCs w:val="30"/>
          <w:lang w:val="en-US" w:eastAsia="zh-CN"/>
        </w:rPr>
        <w:t>万元。</w:t>
      </w:r>
    </w:p>
    <w:p w14:paraId="530D5299">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eastAsia="仿宋_GB2312"/>
          <w:sz w:val="30"/>
          <w:szCs w:val="30"/>
        </w:rPr>
      </w:pPr>
      <w:r>
        <w:rPr>
          <w:rFonts w:hint="eastAsia" w:eastAsia="仿宋_GB2312"/>
          <w:sz w:val="30"/>
          <w:szCs w:val="30"/>
        </w:rPr>
        <w:t>2</w:t>
      </w:r>
      <w:r>
        <w:rPr>
          <w:rFonts w:eastAsia="仿宋_GB2312"/>
          <w:sz w:val="30"/>
          <w:szCs w:val="30"/>
        </w:rPr>
        <w:t>024</w:t>
      </w:r>
      <w:r>
        <w:rPr>
          <w:rFonts w:hint="eastAsia" w:eastAsia="仿宋_GB2312"/>
          <w:sz w:val="30"/>
          <w:szCs w:val="30"/>
        </w:rPr>
        <w:t>年度调整后预算总收入</w:t>
      </w:r>
      <w:r>
        <w:rPr>
          <w:rFonts w:eastAsia="仿宋_GB2312"/>
          <w:sz w:val="30"/>
          <w:szCs w:val="30"/>
        </w:rPr>
        <w:t>26,054.33万元</w:t>
      </w:r>
      <w:r>
        <w:rPr>
          <w:rFonts w:hint="eastAsia" w:eastAsia="仿宋_GB2312"/>
          <w:sz w:val="30"/>
          <w:szCs w:val="30"/>
        </w:rPr>
        <w:t>，调整后预算支出数</w:t>
      </w:r>
      <w:r>
        <w:rPr>
          <w:rFonts w:eastAsia="仿宋_GB2312"/>
          <w:sz w:val="30"/>
          <w:szCs w:val="30"/>
        </w:rPr>
        <w:t>26,054.33万元</w:t>
      </w:r>
      <w:r>
        <w:rPr>
          <w:rFonts w:hint="eastAsia" w:eastAsia="仿宋_GB2312"/>
          <w:sz w:val="30"/>
          <w:szCs w:val="30"/>
        </w:rPr>
        <w:t>。</w:t>
      </w:r>
    </w:p>
    <w:p w14:paraId="41268C67">
      <w:pPr>
        <w:spacing w:line="600" w:lineRule="exact"/>
        <w:ind w:firstLine="640" w:firstLineChars="200"/>
        <w:rPr>
          <w:rFonts w:eastAsia="楷体_GB2312"/>
          <w:sz w:val="32"/>
          <w:szCs w:val="32"/>
        </w:rPr>
      </w:pPr>
      <w:r>
        <w:rPr>
          <w:rFonts w:hint="eastAsia" w:eastAsia="楷体_GB2312"/>
          <w:sz w:val="32"/>
          <w:szCs w:val="32"/>
        </w:rPr>
        <w:t>（二）部门固定资产情况</w:t>
      </w:r>
    </w:p>
    <w:p w14:paraId="7EE51691">
      <w:pPr>
        <w:spacing w:line="600" w:lineRule="exact"/>
        <w:ind w:firstLine="600" w:firstLineChars="200"/>
        <w:rPr>
          <w:rFonts w:eastAsia="仿宋_GB2312"/>
          <w:sz w:val="30"/>
          <w:szCs w:val="30"/>
          <w:highlight w:val="none"/>
        </w:rPr>
      </w:pPr>
      <w:r>
        <w:rPr>
          <w:rFonts w:hint="eastAsia" w:eastAsia="仿宋_GB2312"/>
          <w:sz w:val="30"/>
          <w:szCs w:val="30"/>
          <w:highlight w:val="none"/>
        </w:rPr>
        <w:t>顺义法院办公用房及办公家具基本来源于单位采购。截止2</w:t>
      </w:r>
      <w:r>
        <w:rPr>
          <w:rFonts w:eastAsia="仿宋_GB2312"/>
          <w:sz w:val="30"/>
          <w:szCs w:val="30"/>
          <w:highlight w:val="none"/>
        </w:rPr>
        <w:t>024</w:t>
      </w:r>
      <w:r>
        <w:rPr>
          <w:rFonts w:hint="eastAsia" w:eastAsia="仿宋_GB2312"/>
          <w:sz w:val="30"/>
          <w:szCs w:val="30"/>
          <w:highlight w:val="none"/>
        </w:rPr>
        <w:t>年底，顺义法院固定资产净值 11,374.32 万元。</w:t>
      </w:r>
    </w:p>
    <w:p w14:paraId="359FBFFF">
      <w:pPr>
        <w:spacing w:line="600" w:lineRule="exact"/>
        <w:ind w:left="105" w:leftChars="50" w:firstLine="480" w:firstLineChars="150"/>
        <w:rPr>
          <w:rFonts w:eastAsia="黑体"/>
          <w:color w:val="000000"/>
          <w:kern w:val="0"/>
          <w:sz w:val="32"/>
          <w:szCs w:val="32"/>
        </w:rPr>
      </w:pPr>
      <w:r>
        <w:rPr>
          <w:rFonts w:eastAsia="黑体"/>
          <w:color w:val="000000"/>
          <w:kern w:val="0"/>
          <w:sz w:val="32"/>
          <w:szCs w:val="32"/>
        </w:rPr>
        <w:t>三、整体绩效目标实现情况</w:t>
      </w:r>
    </w:p>
    <w:p w14:paraId="2EAD1E40">
      <w:pPr>
        <w:spacing w:line="600" w:lineRule="exact"/>
        <w:ind w:firstLine="600" w:firstLineChars="200"/>
        <w:rPr>
          <w:rFonts w:hint="eastAsia" w:eastAsia="仿宋_GB2312"/>
          <w:sz w:val="30"/>
          <w:szCs w:val="30"/>
        </w:rPr>
      </w:pPr>
      <w:r>
        <w:rPr>
          <w:rFonts w:hint="eastAsia" w:eastAsia="仿宋_GB2312"/>
          <w:sz w:val="30"/>
          <w:szCs w:val="30"/>
        </w:rPr>
        <w:t>2024年，</w:t>
      </w:r>
      <w:r>
        <w:rPr>
          <w:rFonts w:hint="eastAsia" w:eastAsia="仿宋_GB2312"/>
          <w:sz w:val="30"/>
          <w:szCs w:val="30"/>
          <w:lang w:val="en-US" w:eastAsia="zh-CN"/>
        </w:rPr>
        <w:t>顺义法院</w:t>
      </w:r>
      <w:r>
        <w:rPr>
          <w:rFonts w:hint="eastAsia" w:eastAsia="仿宋_GB2312"/>
          <w:sz w:val="30"/>
          <w:szCs w:val="30"/>
        </w:rPr>
        <w:t>在区委坚强领导、区人大及其常委会有力监督和上级法院正确指导下，我院坚持以习近平新时代中国特色社会主义思想为指导，深入学习贯彻习近平法治思想，全面贯彻落实党的二十大和二十届二中、三中全会精神，做深做实为大局服务、为人民司法，努力让人民群众在每一个司法案件中感受到公平正义。全年新收案件44563件，同比上升18.61%；已结案件44882件，同比上升19.13%。审限内结案率、平均结案时间均位列基层法院第一，法官年人均结案量404件，同比增加42件，获得市级以上集体荣誉7项、个人荣誉9项，各项工作取得新成效。</w:t>
      </w:r>
    </w:p>
    <w:p w14:paraId="1CC0DDE4">
      <w:pPr>
        <w:spacing w:line="600" w:lineRule="exact"/>
        <w:ind w:firstLine="320" w:firstLineChars="100"/>
        <w:rPr>
          <w:rFonts w:eastAsia="楷体_GB2312"/>
          <w:sz w:val="32"/>
          <w:szCs w:val="32"/>
        </w:rPr>
      </w:pPr>
      <w:r>
        <w:rPr>
          <w:rFonts w:eastAsia="楷体_GB2312"/>
          <w:sz w:val="32"/>
          <w:szCs w:val="32"/>
        </w:rPr>
        <w:t>（一）产出完成情况分析</w:t>
      </w:r>
    </w:p>
    <w:p w14:paraId="2E0D370A">
      <w:pPr>
        <w:spacing w:line="600" w:lineRule="exact"/>
        <w:ind w:firstLine="600" w:firstLineChars="200"/>
        <w:rPr>
          <w:rFonts w:eastAsia="仿宋_GB2312"/>
          <w:sz w:val="30"/>
          <w:szCs w:val="30"/>
        </w:rPr>
      </w:pPr>
      <w:r>
        <w:rPr>
          <w:rFonts w:eastAsia="仿宋_GB2312"/>
          <w:sz w:val="30"/>
          <w:szCs w:val="30"/>
        </w:rPr>
        <w:t>1、产出数量</w:t>
      </w:r>
      <w:r>
        <w:rPr>
          <w:rFonts w:hint="eastAsia" w:eastAsia="仿宋_GB2312"/>
          <w:sz w:val="30"/>
          <w:szCs w:val="30"/>
        </w:rPr>
        <w:t>完成情况</w:t>
      </w:r>
    </w:p>
    <w:p w14:paraId="46B726BB">
      <w:pPr>
        <w:spacing w:line="600" w:lineRule="exact"/>
        <w:ind w:firstLine="600" w:firstLineChars="200"/>
        <w:rPr>
          <w:rFonts w:eastAsia="仿宋_GB2312"/>
          <w:sz w:val="30"/>
          <w:szCs w:val="30"/>
        </w:rPr>
      </w:pPr>
      <w:r>
        <w:rPr>
          <w:rFonts w:hint="eastAsia" w:eastAsia="仿宋_GB2312"/>
          <w:sz w:val="30"/>
          <w:szCs w:val="30"/>
        </w:rPr>
        <w:t>202</w:t>
      </w:r>
      <w:r>
        <w:rPr>
          <w:rFonts w:hint="eastAsia" w:eastAsia="仿宋_GB2312"/>
          <w:sz w:val="30"/>
          <w:szCs w:val="30"/>
          <w:lang w:val="en-US" w:eastAsia="zh-CN"/>
        </w:rPr>
        <w:t>4</w:t>
      </w:r>
      <w:r>
        <w:rPr>
          <w:rFonts w:hint="eastAsia" w:eastAsia="仿宋_GB2312"/>
          <w:sz w:val="30"/>
          <w:szCs w:val="30"/>
        </w:rPr>
        <w:t>年，顺义法院以首善标准服务保障现代化平原新城建设，为推进平安顺义建设构筑司法防线、大力度优化法治化营商环境、护航“两区”建设；助力法治政府建设强化司法保障，全力保障胜诉权益及时兑现；践行司法为民，以实干担当筑牢人民安居乐业司法屏障。全年</w:t>
      </w:r>
      <w:r>
        <w:rPr>
          <w:rFonts w:hint="eastAsia" w:eastAsia="仿宋_GB2312"/>
          <w:sz w:val="30"/>
          <w:szCs w:val="30"/>
          <w:lang w:val="en-US" w:eastAsia="zh-CN"/>
        </w:rPr>
        <w:t>结案量</w:t>
      </w:r>
      <w:r>
        <w:rPr>
          <w:rFonts w:hint="eastAsia" w:eastAsia="仿宋_GB2312"/>
          <w:sz w:val="30"/>
          <w:szCs w:val="30"/>
        </w:rPr>
        <w:t>44882件，员额法官人均办案工作量为</w:t>
      </w:r>
      <w:r>
        <w:rPr>
          <w:rFonts w:hint="eastAsia" w:eastAsia="仿宋_GB2312"/>
          <w:sz w:val="30"/>
          <w:szCs w:val="30"/>
          <w:highlight w:val="none"/>
        </w:rPr>
        <w:t>397.2件</w:t>
      </w:r>
      <w:r>
        <w:rPr>
          <w:rFonts w:hint="eastAsia" w:eastAsia="仿宋_GB2312"/>
          <w:sz w:val="30"/>
          <w:szCs w:val="30"/>
          <w:highlight w:val="none"/>
          <w:lang w:eastAsia="zh-CN"/>
        </w:rPr>
        <w:t>，</w:t>
      </w:r>
      <w:r>
        <w:rPr>
          <w:rFonts w:hint="eastAsia" w:eastAsia="仿宋_GB2312"/>
          <w:sz w:val="30"/>
          <w:szCs w:val="30"/>
        </w:rPr>
        <w:t>完成了基本项目支出指标。</w:t>
      </w:r>
    </w:p>
    <w:p w14:paraId="4507BAB4">
      <w:pPr>
        <w:widowControl/>
        <w:ind w:firstLine="600" w:firstLineChars="200"/>
        <w:rPr>
          <w:rFonts w:eastAsia="仿宋_GB2312"/>
          <w:color w:val="000000" w:themeColor="text1"/>
          <w:sz w:val="30"/>
          <w:szCs w:val="30"/>
          <w14:textFill>
            <w14:solidFill>
              <w14:schemeClr w14:val="tx1"/>
            </w14:solidFill>
          </w14:textFill>
        </w:rPr>
      </w:pPr>
      <w:r>
        <w:rPr>
          <w:rFonts w:hint="eastAsia" w:eastAsia="仿宋_GB2312"/>
          <w:sz w:val="30"/>
          <w:szCs w:val="30"/>
          <w:highlight w:val="none"/>
          <w:lang w:eastAsia="zh-CN"/>
        </w:rPr>
        <w:t>2024</w:t>
      </w:r>
      <w:r>
        <w:rPr>
          <w:rFonts w:hint="eastAsia" w:eastAsia="仿宋_GB2312"/>
          <w:sz w:val="30"/>
          <w:szCs w:val="30"/>
          <w:highlight w:val="none"/>
        </w:rPr>
        <w:t>年，顺义法院项目支出</w:t>
      </w:r>
      <w:r>
        <w:rPr>
          <w:rFonts w:hint="eastAsia" w:eastAsia="仿宋_GB2312"/>
          <w:sz w:val="30"/>
          <w:szCs w:val="30"/>
          <w:highlight w:val="none"/>
          <w:lang w:val="en-US" w:eastAsia="zh-CN"/>
        </w:rPr>
        <w:t>15</w:t>
      </w:r>
      <w:r>
        <w:rPr>
          <w:rFonts w:hint="eastAsia" w:eastAsia="仿宋_GB2312"/>
          <w:sz w:val="30"/>
          <w:szCs w:val="30"/>
          <w:highlight w:val="none"/>
        </w:rPr>
        <w:t>个，其中包括：公共安全支出项目</w:t>
      </w:r>
      <w:r>
        <w:rPr>
          <w:rFonts w:hint="eastAsia" w:eastAsia="仿宋_GB2312"/>
          <w:sz w:val="30"/>
          <w:szCs w:val="30"/>
          <w:highlight w:val="none"/>
          <w:lang w:val="en-US" w:eastAsia="zh-CN"/>
        </w:rPr>
        <w:t>14</w:t>
      </w:r>
      <w:r>
        <w:rPr>
          <w:rFonts w:hint="eastAsia" w:eastAsia="仿宋_GB2312"/>
          <w:sz w:val="30"/>
          <w:szCs w:val="30"/>
          <w:highlight w:val="none"/>
        </w:rPr>
        <w:t>，</w:t>
      </w:r>
      <w:r>
        <w:rPr>
          <w:rFonts w:hint="eastAsia" w:eastAsia="仿宋_GB2312"/>
          <w:sz w:val="30"/>
          <w:szCs w:val="30"/>
          <w:highlight w:val="none"/>
          <w:lang w:val="en-US" w:eastAsia="zh-CN"/>
        </w:rPr>
        <w:t>区级资金项目1个。</w:t>
      </w:r>
      <w:r>
        <w:rPr>
          <w:rFonts w:hint="eastAsia" w:eastAsia="仿宋_GB2312"/>
          <w:sz w:val="30"/>
          <w:szCs w:val="30"/>
          <w:highlight w:val="none"/>
        </w:rPr>
        <w:t>实际完成</w:t>
      </w:r>
      <w:r>
        <w:rPr>
          <w:rFonts w:hint="eastAsia" w:eastAsia="仿宋_GB2312"/>
          <w:sz w:val="30"/>
          <w:szCs w:val="30"/>
          <w:highlight w:val="none"/>
          <w:lang w:val="en-US" w:eastAsia="zh-CN"/>
        </w:rPr>
        <w:t>6</w:t>
      </w:r>
      <w:r>
        <w:rPr>
          <w:rFonts w:hint="eastAsia" w:eastAsia="仿宋_GB2312"/>
          <w:sz w:val="30"/>
          <w:szCs w:val="30"/>
          <w:highlight w:val="none"/>
        </w:rPr>
        <w:t>个，未完成</w:t>
      </w:r>
      <w:r>
        <w:rPr>
          <w:rFonts w:hint="eastAsia" w:eastAsia="仿宋_GB2312"/>
          <w:sz w:val="30"/>
          <w:szCs w:val="30"/>
          <w:highlight w:val="none"/>
          <w:lang w:val="en-US" w:eastAsia="zh-CN"/>
        </w:rPr>
        <w:t>9</w:t>
      </w:r>
      <w:r>
        <w:rPr>
          <w:rFonts w:hint="eastAsia" w:eastAsia="仿宋_GB2312"/>
          <w:sz w:val="30"/>
          <w:szCs w:val="30"/>
          <w:highlight w:val="none"/>
        </w:rPr>
        <w:t>个，涉</w:t>
      </w:r>
      <w:r>
        <w:rPr>
          <w:rFonts w:hint="eastAsia" w:eastAsia="仿宋_GB2312"/>
          <w:sz w:val="30"/>
          <w:szCs w:val="30"/>
        </w:rPr>
        <w:t>及项目主要为：</w:t>
      </w:r>
      <w:r>
        <w:rPr>
          <w:rFonts w:hint="eastAsia" w:eastAsia="仿宋_GB2312"/>
          <w:sz w:val="30"/>
          <w:szCs w:val="30"/>
          <w:highlight w:val="none"/>
        </w:rPr>
        <w:t>人民法庭信息化升级改造项目</w:t>
      </w:r>
      <w:r>
        <w:rPr>
          <w:rFonts w:hint="eastAsia" w:eastAsia="仿宋_GB2312"/>
          <w:sz w:val="30"/>
          <w:szCs w:val="30"/>
          <w:highlight w:val="none"/>
          <w:lang w:eastAsia="zh-CN"/>
        </w:rPr>
        <w:t>、</w:t>
      </w:r>
      <w:r>
        <w:rPr>
          <w:rFonts w:hint="eastAsia" w:eastAsia="仿宋_GB2312"/>
          <w:sz w:val="30"/>
          <w:szCs w:val="30"/>
          <w:highlight w:val="none"/>
        </w:rPr>
        <w:t>法院业务装备费、顺义法院配楼信息化建设等。</w:t>
      </w:r>
      <w:r>
        <w:rPr>
          <w:rFonts w:hint="eastAsia" w:eastAsia="仿宋_GB2312"/>
          <w:sz w:val="30"/>
          <w:szCs w:val="30"/>
        </w:rPr>
        <w:t>主要原因</w:t>
      </w:r>
      <w:r>
        <w:rPr>
          <w:rFonts w:hint="eastAsia" w:eastAsia="仿宋_GB2312"/>
          <w:color w:val="000000" w:themeColor="text1"/>
          <w:sz w:val="30"/>
          <w:szCs w:val="30"/>
          <w14:textFill>
            <w14:solidFill>
              <w14:schemeClr w14:val="tx1"/>
            </w14:solidFill>
          </w14:textFill>
        </w:rPr>
        <w:t>是：</w:t>
      </w:r>
      <w:r>
        <w:rPr>
          <w:rFonts w:hint="eastAsia" w:eastAsia="仿宋_GB2312"/>
          <w:color w:val="000000" w:themeColor="text1"/>
          <w:sz w:val="30"/>
          <w:szCs w:val="30"/>
          <w:lang w:val="en-US" w:eastAsia="zh-CN"/>
          <w14:textFill>
            <w14:solidFill>
              <w14:schemeClr w14:val="tx1"/>
            </w14:solidFill>
          </w14:textFill>
        </w:rPr>
        <w:t>由于疫</w:t>
      </w:r>
      <w:r>
        <w:rPr>
          <w:rFonts w:hint="eastAsia" w:eastAsia="仿宋_GB2312"/>
          <w:color w:val="000000" w:themeColor="text1"/>
          <w:sz w:val="30"/>
          <w:szCs w:val="30"/>
          <w14:textFill>
            <w14:solidFill>
              <w14:schemeClr w14:val="tx1"/>
            </w14:solidFill>
          </w14:textFill>
        </w:rPr>
        <w:t>情延续性影响等问题导致工程建设延</w:t>
      </w:r>
      <w:r>
        <w:rPr>
          <w:rFonts w:hint="eastAsia" w:eastAsia="仿宋_GB2312"/>
          <w:color w:val="000000" w:themeColor="text1"/>
          <w:sz w:val="30"/>
          <w:szCs w:val="30"/>
          <w:highlight w:val="none"/>
          <w14:textFill>
            <w14:solidFill>
              <w14:schemeClr w14:val="tx1"/>
            </w14:solidFill>
          </w14:textFill>
        </w:rPr>
        <w:t>期，款项结余结转下年继续使用。</w:t>
      </w:r>
    </w:p>
    <w:p w14:paraId="549272DE">
      <w:pPr>
        <w:spacing w:line="600" w:lineRule="exact"/>
        <w:ind w:firstLine="600" w:firstLineChars="200"/>
        <w:rPr>
          <w:rFonts w:eastAsia="仿宋_GB2312"/>
          <w:sz w:val="30"/>
          <w:szCs w:val="30"/>
          <w:highlight w:val="none"/>
        </w:rPr>
      </w:pPr>
      <w:r>
        <w:rPr>
          <w:rFonts w:eastAsia="仿宋_GB2312"/>
          <w:sz w:val="30"/>
          <w:szCs w:val="30"/>
          <w:highlight w:val="none"/>
        </w:rPr>
        <w:t>2</w:t>
      </w:r>
      <w:r>
        <w:rPr>
          <w:rFonts w:eastAsia="仿宋_GB2312"/>
          <w:sz w:val="30"/>
          <w:szCs w:val="30"/>
        </w:rPr>
        <w:t>、</w:t>
      </w:r>
      <w:r>
        <w:rPr>
          <w:rFonts w:eastAsia="仿宋_GB2312"/>
          <w:sz w:val="30"/>
          <w:szCs w:val="30"/>
          <w:highlight w:val="none"/>
        </w:rPr>
        <w:t>产出质量</w:t>
      </w:r>
    </w:p>
    <w:p w14:paraId="114D9993">
      <w:pPr>
        <w:spacing w:line="600" w:lineRule="exact"/>
        <w:ind w:firstLine="600" w:firstLineChars="200"/>
        <w:rPr>
          <w:rFonts w:eastAsia="仿宋_GB2312"/>
          <w:sz w:val="30"/>
          <w:szCs w:val="30"/>
        </w:rPr>
      </w:pPr>
      <w:r>
        <w:rPr>
          <w:rFonts w:hint="eastAsia" w:eastAsia="仿宋_GB2312"/>
          <w:sz w:val="30"/>
          <w:szCs w:val="30"/>
          <w:highlight w:val="none"/>
        </w:rPr>
        <w:t>顺义法院积极践行新时代“枫桥经验”。一是落实“抓前端、治未病”理念。深化“和顺共治”</w:t>
      </w:r>
      <w:r>
        <w:rPr>
          <w:rFonts w:hint="eastAsia" w:eastAsia="仿宋_GB2312"/>
          <w:sz w:val="30"/>
          <w:szCs w:val="30"/>
        </w:rPr>
        <w:t>多元化解机制，持续扩充特邀调解库资源，与金融、劳务、医疗、物业等领域多家行业性专业性调解组织深化诉调对接，推动形成各类调解优势互补、有机衔接、协同联动的工作格局；依托12368热线“一号响应”基层社</w:t>
      </w:r>
      <w:r>
        <w:rPr>
          <w:rFonts w:hint="eastAsia" w:eastAsia="仿宋_GB2312"/>
          <w:sz w:val="30"/>
          <w:szCs w:val="30"/>
          <w:highlight w:val="none"/>
        </w:rPr>
        <w:t>会治理司法需求860次，推动问题在源头解决。二是大力创建“枫桥式人民法庭”。制定出台工作方案，“一庭一特色”创新多元解纷机制，打造法庭、属地政府、</w:t>
      </w:r>
      <w:r>
        <w:rPr>
          <w:rFonts w:hint="eastAsia" w:eastAsia="仿宋_GB2312"/>
          <w:sz w:val="30"/>
          <w:szCs w:val="30"/>
        </w:rPr>
        <w:t>自治组织“三元联动”诉前调解机制，推动相邻关系类纠纷收案量同比下降25.64%；完善专员联络、把脉症结、现场回复、签署工作备忘录等配套机制，“两所一庭一村”联防共治高风险矛盾纠纷。做实指导调解法定职能，通过个案指导、业务培训等方式指导调解近1500件次，提升基层矛盾纠纷预防化解法治化水平。</w:t>
      </w:r>
    </w:p>
    <w:p w14:paraId="69095798">
      <w:pPr>
        <w:spacing w:line="600" w:lineRule="exact"/>
        <w:ind w:firstLine="600" w:firstLineChars="200"/>
        <w:rPr>
          <w:rFonts w:eastAsia="仿宋_GB2312"/>
          <w:sz w:val="30"/>
          <w:szCs w:val="30"/>
        </w:rPr>
      </w:pPr>
      <w:r>
        <w:rPr>
          <w:rFonts w:hint="eastAsia" w:eastAsia="仿宋_GB2312"/>
          <w:sz w:val="30"/>
          <w:szCs w:val="30"/>
        </w:rPr>
        <w:t>2024年度审判质效1.47，低于指标值1.54，基本完成质量指标值。</w:t>
      </w:r>
    </w:p>
    <w:p w14:paraId="0A50FC47">
      <w:pPr>
        <w:spacing w:line="600" w:lineRule="exact"/>
        <w:ind w:firstLine="600" w:firstLineChars="200"/>
        <w:rPr>
          <w:rFonts w:eastAsia="仿宋_GB2312"/>
          <w:sz w:val="30"/>
          <w:szCs w:val="30"/>
        </w:rPr>
      </w:pPr>
      <w:r>
        <w:rPr>
          <w:rFonts w:eastAsia="仿宋_GB2312"/>
          <w:sz w:val="30"/>
          <w:szCs w:val="30"/>
        </w:rPr>
        <w:t>3、产出进度</w:t>
      </w:r>
    </w:p>
    <w:p w14:paraId="42B7FD30">
      <w:pPr>
        <w:spacing w:line="600" w:lineRule="exact"/>
        <w:ind w:firstLine="567" w:firstLineChars="189"/>
        <w:rPr>
          <w:rFonts w:hint="eastAsia" w:eastAsia="仿宋_GB2312"/>
          <w:sz w:val="30"/>
          <w:szCs w:val="30"/>
        </w:rPr>
      </w:pPr>
      <w:r>
        <w:rPr>
          <w:rFonts w:hint="eastAsia" w:eastAsia="仿宋_GB2312"/>
          <w:sz w:val="30"/>
          <w:szCs w:val="30"/>
        </w:rPr>
        <w:t>顺义法院聚心聚力打造智慧法院</w:t>
      </w:r>
      <w:r>
        <w:rPr>
          <w:rFonts w:hint="eastAsia" w:eastAsia="仿宋_GB2312"/>
          <w:sz w:val="30"/>
          <w:szCs w:val="30"/>
          <w:lang w:eastAsia="zh-CN"/>
        </w:rPr>
        <w:t>，</w:t>
      </w:r>
      <w:r>
        <w:rPr>
          <w:rFonts w:hint="eastAsia" w:eastAsia="仿宋_GB2312"/>
          <w:sz w:val="30"/>
          <w:szCs w:val="30"/>
        </w:rPr>
        <w:t>加强审判效率管理。诉讼链均时间、审限内结案率均位列基层法院第</w:t>
      </w:r>
      <w:r>
        <w:rPr>
          <w:rFonts w:hint="eastAsia" w:eastAsia="仿宋_GB2312"/>
          <w:sz w:val="30"/>
          <w:szCs w:val="30"/>
          <w:lang w:val="en-US" w:eastAsia="zh-CN"/>
        </w:rPr>
        <w:t>1</w:t>
      </w:r>
      <w:r>
        <w:rPr>
          <w:rFonts w:hint="eastAsia" w:eastAsia="仿宋_GB2312"/>
          <w:sz w:val="30"/>
          <w:szCs w:val="30"/>
        </w:rPr>
        <w:t>位。一是一站式诉讼服务更便民。坚持有案必立、有诉必理，严格规范立案登记，现场诉讼引导19683人次，向当事人提供网上立案、网上缴费、网上阅卷、在线开庭、电子送达等全流程在线诉讼服务20万余次，接听群众来电43060 次，实现联系法官到位率100%、期限内反映事项办结率100%。二是信息化执法办案更高效。认真落实全国法院“一张网”建设试点工作要求，努力实现司法数据高效共享、系统应用无缝衔接。推进自动化技术深度融入执行工作，精准开展文书制发、信息补录、财产查控等辅助性事务，推动执行工作加速进入“快车道”。</w:t>
      </w:r>
    </w:p>
    <w:p w14:paraId="29726712">
      <w:pPr>
        <w:pStyle w:val="24"/>
        <w:keepNext w:val="0"/>
        <w:keepLines w:val="0"/>
        <w:pageBreakBefore w:val="0"/>
        <w:widowControl w:val="0"/>
        <w:numPr>
          <w:ilvl w:val="0"/>
          <w:numId w:val="0"/>
        </w:numPr>
        <w:tabs>
          <w:tab w:val="left" w:pos="1442"/>
        </w:tabs>
        <w:kinsoku/>
        <w:wordWrap/>
        <w:overflowPunct/>
        <w:topLinePunct w:val="0"/>
        <w:bidi w:val="0"/>
        <w:adjustRightInd/>
        <w:spacing w:line="600" w:lineRule="exact"/>
        <w:ind w:firstLine="600" w:firstLineChars="200"/>
        <w:textAlignment w:val="auto"/>
        <w:rPr>
          <w:rFonts w:hint="eastAsia" w:ascii="Times New Roman" w:hAnsi="Times New Roman" w:eastAsia="仿宋_GB2312" w:cs="Times New Roman"/>
          <w:kern w:val="2"/>
          <w:sz w:val="30"/>
          <w:szCs w:val="30"/>
          <w:lang w:val="en-US" w:eastAsia="zh-CN" w:bidi="ar-SA"/>
        </w:rPr>
      </w:pPr>
      <w:r>
        <w:rPr>
          <w:rFonts w:hint="eastAsia" w:ascii="Times New Roman" w:hAnsi="Times New Roman" w:eastAsia="仿宋_GB2312" w:cs="Times New Roman"/>
          <w:kern w:val="2"/>
          <w:sz w:val="30"/>
          <w:szCs w:val="30"/>
          <w:lang w:val="en-US" w:eastAsia="zh-CN" w:bidi="ar-SA"/>
        </w:rPr>
        <w:t>2024年度平均结案时间56.12，低于指标值63.29；电子送达覆盖率73.11%，超过目标值65%，二者均基本完成质量指标值。</w:t>
      </w:r>
    </w:p>
    <w:p w14:paraId="7EB70FAA">
      <w:pPr>
        <w:keepNext w:val="0"/>
        <w:keepLines w:val="0"/>
        <w:pageBreakBefore w:val="0"/>
        <w:widowControl w:val="0"/>
        <w:kinsoku/>
        <w:wordWrap/>
        <w:overflowPunct/>
        <w:topLinePunct w:val="0"/>
        <w:bidi w:val="0"/>
        <w:adjustRightInd/>
        <w:spacing w:line="600" w:lineRule="exact"/>
        <w:ind w:firstLine="567" w:firstLineChars="189"/>
        <w:textAlignment w:val="auto"/>
        <w:rPr>
          <w:rFonts w:hint="eastAsia" w:ascii="Times New Roman" w:hAnsi="Times New Roman" w:eastAsia="仿宋_GB2312" w:cs="Times New Roman"/>
          <w:kern w:val="2"/>
          <w:sz w:val="30"/>
          <w:szCs w:val="30"/>
          <w:lang w:val="en-US" w:eastAsia="zh-CN" w:bidi="ar-SA"/>
        </w:rPr>
      </w:pPr>
      <w:r>
        <w:rPr>
          <w:rFonts w:hint="eastAsia" w:ascii="Times New Roman" w:hAnsi="Times New Roman" w:eastAsia="仿宋_GB2312" w:cs="Times New Roman"/>
          <w:kern w:val="2"/>
          <w:sz w:val="30"/>
          <w:szCs w:val="30"/>
          <w:lang w:val="en-US" w:eastAsia="zh-CN" w:bidi="ar-SA"/>
        </w:rPr>
        <w:t xml:space="preserve"> 4</w:t>
      </w:r>
      <w:r>
        <w:rPr>
          <w:rFonts w:eastAsia="仿宋_GB2312"/>
          <w:sz w:val="30"/>
          <w:szCs w:val="30"/>
        </w:rPr>
        <w:t>、</w:t>
      </w:r>
      <w:r>
        <w:rPr>
          <w:rFonts w:hint="eastAsia" w:ascii="Times New Roman" w:hAnsi="Times New Roman" w:eastAsia="仿宋_GB2312" w:cs="Times New Roman"/>
          <w:kern w:val="2"/>
          <w:sz w:val="30"/>
          <w:szCs w:val="30"/>
          <w:lang w:val="en-US" w:eastAsia="zh-CN" w:bidi="ar-SA"/>
        </w:rPr>
        <w:t>产出成本</w:t>
      </w:r>
    </w:p>
    <w:p w14:paraId="4FE0F520">
      <w:pPr>
        <w:spacing w:line="600" w:lineRule="exact"/>
        <w:ind w:firstLine="600" w:firstLineChars="200"/>
        <w:rPr>
          <w:rFonts w:hint="eastAsia" w:eastAsia="仿宋_GB2312"/>
          <w:sz w:val="30"/>
          <w:szCs w:val="30"/>
          <w:lang w:eastAsia="zh-CN"/>
        </w:rPr>
      </w:pPr>
      <w:r>
        <w:rPr>
          <w:rFonts w:hint="eastAsia" w:eastAsia="仿宋_GB2312"/>
          <w:sz w:val="30"/>
          <w:szCs w:val="30"/>
        </w:rPr>
        <w:t>在部门资金管理过程中，顺义法院按照《中华人民共和国会计法》、《中华人民共和国预算法》、《中华人民共和国政府采购法》、国家、地方有关财政法规和《</w:t>
      </w:r>
      <w:bookmarkStart w:id="1" w:name="_Toc91491353"/>
      <w:r>
        <w:rPr>
          <w:rFonts w:hint="eastAsia" w:eastAsia="仿宋_GB2312"/>
          <w:sz w:val="30"/>
          <w:szCs w:val="30"/>
        </w:rPr>
        <w:t>北京市顺义区人民法院内部控制制度财务管理制度</w:t>
      </w:r>
      <w:bookmarkEnd w:id="1"/>
      <w:r>
        <w:rPr>
          <w:rFonts w:hint="eastAsia" w:eastAsia="仿宋_GB2312"/>
          <w:sz w:val="30"/>
          <w:szCs w:val="30"/>
        </w:rPr>
        <w:t>》的有关规定，对部门的预算管理、支出管理、经费执行程序及审批权限、票据管理等方面的规定进行管理。按照专款专用的原则进行财务核算，严格控制三公经费支出，相对202</w:t>
      </w:r>
      <w:r>
        <w:rPr>
          <w:rFonts w:hint="eastAsia" w:eastAsia="仿宋_GB2312"/>
          <w:sz w:val="30"/>
          <w:szCs w:val="30"/>
          <w:lang w:val="en-US" w:eastAsia="zh-CN"/>
        </w:rPr>
        <w:t>4</w:t>
      </w:r>
      <w:r>
        <w:rPr>
          <w:rFonts w:hint="eastAsia" w:eastAsia="仿宋_GB2312"/>
          <w:sz w:val="30"/>
          <w:szCs w:val="30"/>
        </w:rPr>
        <w:t>年年初预算，依据《202</w:t>
      </w:r>
      <w:r>
        <w:rPr>
          <w:rFonts w:hint="eastAsia" w:eastAsia="仿宋_GB2312"/>
          <w:sz w:val="30"/>
          <w:szCs w:val="30"/>
          <w:lang w:val="en-US" w:eastAsia="zh-CN"/>
        </w:rPr>
        <w:t>4</w:t>
      </w:r>
      <w:r>
        <w:rPr>
          <w:rFonts w:hint="eastAsia" w:eastAsia="仿宋_GB2312"/>
          <w:sz w:val="30"/>
          <w:szCs w:val="30"/>
        </w:rPr>
        <w:t>年决算报表》，202</w:t>
      </w:r>
      <w:r>
        <w:rPr>
          <w:rFonts w:hint="eastAsia" w:eastAsia="仿宋_GB2312"/>
          <w:sz w:val="30"/>
          <w:szCs w:val="30"/>
          <w:lang w:val="en-US" w:eastAsia="zh-CN"/>
        </w:rPr>
        <w:t>4</w:t>
      </w:r>
      <w:r>
        <w:rPr>
          <w:rFonts w:hint="eastAsia" w:eastAsia="仿宋_GB2312"/>
          <w:sz w:val="30"/>
          <w:szCs w:val="30"/>
        </w:rPr>
        <w:t xml:space="preserve"> 年度“三公经费”实际支出数为154.27万元</w:t>
      </w:r>
      <w:r>
        <w:rPr>
          <w:rFonts w:hint="eastAsia" w:eastAsia="仿宋_GB2312"/>
          <w:sz w:val="30"/>
          <w:szCs w:val="30"/>
          <w:lang w:eastAsia="zh-CN"/>
        </w:rPr>
        <w:t>，年初预算数为185.70 万元，“三公经费”控制率为</w:t>
      </w:r>
      <w:r>
        <w:rPr>
          <w:rFonts w:hint="eastAsia" w:eastAsia="仿宋_GB2312"/>
          <w:sz w:val="30"/>
          <w:szCs w:val="30"/>
          <w:lang w:val="en-US" w:eastAsia="zh-CN"/>
        </w:rPr>
        <w:t>83.98</w:t>
      </w:r>
      <w:r>
        <w:rPr>
          <w:rFonts w:hint="eastAsia" w:eastAsia="仿宋_GB2312"/>
          <w:sz w:val="30"/>
          <w:szCs w:val="30"/>
          <w:lang w:eastAsia="zh-CN"/>
        </w:rPr>
        <w:t xml:space="preserve"> %。</w:t>
      </w:r>
      <w:r>
        <w:rPr>
          <w:rFonts w:hint="eastAsia" w:eastAsia="仿宋_GB2312"/>
          <w:sz w:val="30"/>
          <w:szCs w:val="30"/>
        </w:rPr>
        <w:t>在项目支出方面，依据项目预算申报明细支出项目经费，严格按照项目管理流程进行成本控制工作，保障项目支出在预算控制数内，提升项目经费使用效率和效益</w:t>
      </w:r>
      <w:r>
        <w:rPr>
          <w:rFonts w:hint="eastAsia" w:eastAsia="仿宋_GB2312"/>
          <w:sz w:val="30"/>
          <w:szCs w:val="30"/>
          <w:lang w:eastAsia="zh-CN"/>
        </w:rPr>
        <w:t>。</w:t>
      </w:r>
    </w:p>
    <w:p w14:paraId="0428BCF2">
      <w:pPr>
        <w:spacing w:line="600" w:lineRule="exact"/>
        <w:ind w:left="105" w:leftChars="50" w:firstLine="480" w:firstLineChars="150"/>
        <w:rPr>
          <w:rFonts w:eastAsia="楷体_GB2312"/>
          <w:sz w:val="32"/>
          <w:szCs w:val="32"/>
        </w:rPr>
      </w:pPr>
      <w:r>
        <w:rPr>
          <w:rFonts w:eastAsia="楷体_GB2312"/>
          <w:sz w:val="32"/>
          <w:szCs w:val="32"/>
        </w:rPr>
        <w:t>（二）效果实现情况分析</w:t>
      </w:r>
    </w:p>
    <w:p w14:paraId="29E54E1B">
      <w:pPr>
        <w:spacing w:line="600" w:lineRule="exact"/>
        <w:ind w:firstLine="600" w:firstLineChars="200"/>
        <w:rPr>
          <w:rFonts w:eastAsia="仿宋_GB2312"/>
          <w:sz w:val="30"/>
          <w:szCs w:val="30"/>
        </w:rPr>
      </w:pPr>
      <w:r>
        <w:rPr>
          <w:rFonts w:eastAsia="仿宋_GB2312"/>
          <w:sz w:val="30"/>
          <w:szCs w:val="30"/>
        </w:rPr>
        <w:t>1、经济效益</w:t>
      </w:r>
    </w:p>
    <w:p w14:paraId="0CC9A32E">
      <w:pPr>
        <w:spacing w:line="600" w:lineRule="exact"/>
        <w:ind w:firstLine="600" w:firstLineChars="200"/>
        <w:rPr>
          <w:rFonts w:eastAsia="仿宋_GB2312"/>
          <w:sz w:val="30"/>
          <w:szCs w:val="30"/>
        </w:rPr>
      </w:pPr>
      <w:r>
        <w:rPr>
          <w:rFonts w:hint="eastAsia" w:eastAsia="仿宋_GB2312"/>
          <w:sz w:val="30"/>
          <w:szCs w:val="30"/>
        </w:rPr>
        <w:t>紧扣改革任务要求，制定《贯彻落实民营经济相关工作要求的任务清单》《优化法治化营商环境的任务分解》等文件，助推北京市全面优化营商环境打造“北京服务”改革任务100%落地。开展“党建+业务”案例分享活动，将商事审判与服务经济社会高质量发展相结合，报送的案例《“联企e站”凝心聚力优化法治化营商环境》入选2024年度北京法院贯彻落实习近平法治思想优秀实践案例。</w:t>
      </w:r>
    </w:p>
    <w:p w14:paraId="528870C1">
      <w:pPr>
        <w:spacing w:line="600" w:lineRule="exact"/>
        <w:ind w:firstLine="600" w:firstLineChars="200"/>
        <w:rPr>
          <w:rFonts w:eastAsia="仿宋_GB2312"/>
          <w:sz w:val="30"/>
          <w:szCs w:val="30"/>
        </w:rPr>
      </w:pPr>
      <w:r>
        <w:rPr>
          <w:rFonts w:eastAsia="仿宋_GB2312"/>
          <w:sz w:val="30"/>
          <w:szCs w:val="30"/>
        </w:rPr>
        <w:t>2、社会效益</w:t>
      </w:r>
    </w:p>
    <w:p w14:paraId="319E4920">
      <w:pPr>
        <w:spacing w:line="600" w:lineRule="exact"/>
        <w:ind w:firstLine="600" w:firstLineChars="200"/>
        <w:rPr>
          <w:rFonts w:eastAsia="仿宋_GB2312"/>
          <w:sz w:val="30"/>
          <w:szCs w:val="30"/>
        </w:rPr>
      </w:pPr>
      <w:r>
        <w:rPr>
          <w:rFonts w:eastAsia="仿宋_GB2312"/>
          <w:sz w:val="30"/>
          <w:szCs w:val="30"/>
        </w:rPr>
        <w:t>（</w:t>
      </w:r>
      <w:r>
        <w:rPr>
          <w:rFonts w:hint="eastAsia" w:eastAsia="仿宋_GB2312"/>
          <w:sz w:val="30"/>
          <w:szCs w:val="30"/>
          <w:lang w:val="en-US" w:eastAsia="zh-CN"/>
        </w:rPr>
        <w:t>1</w:t>
      </w:r>
      <w:r>
        <w:rPr>
          <w:rFonts w:hint="eastAsia" w:eastAsia="仿宋_GB2312"/>
          <w:sz w:val="30"/>
          <w:szCs w:val="30"/>
        </w:rPr>
        <w:t>）涉及营商环境方面</w:t>
      </w:r>
    </w:p>
    <w:p w14:paraId="6D705665">
      <w:pPr>
        <w:spacing w:line="600" w:lineRule="exact"/>
        <w:ind w:firstLine="600" w:firstLineChars="200"/>
        <w:rPr>
          <w:rFonts w:hint="eastAsia" w:eastAsia="仿宋_GB2312"/>
          <w:sz w:val="30"/>
          <w:szCs w:val="30"/>
        </w:rPr>
      </w:pPr>
      <w:r>
        <w:rPr>
          <w:rFonts w:hint="eastAsia" w:eastAsia="仿宋_GB2312"/>
          <w:sz w:val="30"/>
          <w:szCs w:val="30"/>
        </w:rPr>
        <w:t>以提效率为切入点，持续提升内生动力。2024年新收商事案件9515件，已结案件9571件，实现收结案件的良性循环。全力推进全流程网上办理，压减纠纷解决的时间和成本，2024年审限内结案率96.63%，平均结案时间54.14天，位居全市法院前列。与首都机场联合精准打击违反限高令乘机行为，结合企业履行能力分类采取失信惩戒措施，助力1046家企业修复信用，以法治之力推进社会信用体系建设。</w:t>
      </w:r>
    </w:p>
    <w:p w14:paraId="790F8800">
      <w:pPr>
        <w:spacing w:line="600" w:lineRule="exact"/>
        <w:ind w:firstLine="600" w:firstLineChars="200"/>
        <w:rPr>
          <w:rFonts w:eastAsia="仿宋_GB2312"/>
          <w:sz w:val="30"/>
          <w:szCs w:val="30"/>
        </w:rPr>
      </w:pPr>
      <w:r>
        <w:rPr>
          <w:rFonts w:hint="eastAsia" w:eastAsia="仿宋_GB2312"/>
          <w:sz w:val="30"/>
          <w:szCs w:val="30"/>
        </w:rPr>
        <w:t>（</w:t>
      </w:r>
      <w:r>
        <w:rPr>
          <w:rFonts w:hint="eastAsia" w:eastAsia="仿宋_GB2312"/>
          <w:sz w:val="30"/>
          <w:szCs w:val="30"/>
          <w:lang w:val="en-US" w:eastAsia="zh-CN"/>
        </w:rPr>
        <w:t>2</w:t>
      </w:r>
      <w:r>
        <w:rPr>
          <w:rFonts w:hint="eastAsia" w:eastAsia="仿宋_GB2312"/>
          <w:sz w:val="30"/>
          <w:szCs w:val="30"/>
        </w:rPr>
        <w:t>）首都治安方面</w:t>
      </w:r>
    </w:p>
    <w:p w14:paraId="08251B6D">
      <w:pPr>
        <w:spacing w:line="600" w:lineRule="exact"/>
        <w:ind w:firstLine="600" w:firstLineChars="200"/>
        <w:rPr>
          <w:rFonts w:eastAsia="仿宋_GB2312"/>
          <w:sz w:val="30"/>
          <w:szCs w:val="30"/>
        </w:rPr>
      </w:pPr>
      <w:r>
        <w:rPr>
          <w:rFonts w:hint="eastAsia" w:eastAsia="仿宋_GB2312"/>
          <w:sz w:val="30"/>
          <w:szCs w:val="30"/>
        </w:rPr>
        <w:t>扎实推进平安顺义建设。受理刑事案件1211件，同比上升11.31%，审结1187件，同比上升9.1%，判处罪犯1400人。一是依法严惩危害国家安全犯罪。妥善审结涉邪教、涉网络政治谣言犯罪案件5件5人，坚决维护首都政治安全。常态化开展扫黑除恶斗争，深挖核查涉黑恶线索，全面自查已结案件，持续织密执行网，不遗余力推动“黑财清底”。二是营造良好社会治安环境。从严审结故意杀人、故意伤害、放火、强奸等严重暴力犯罪案件92件，对44名刑事大要案被告人判处十年以上有期徒刑，从快审结电信网络诈骗及关联犯罪案件171件259人，多措并举追赃挽损500余万元，切实保障人民群众生命财产安全。公检法协同破解“收押难、执行难”问题，确保99名“判实未执”罪犯依法“应执尽执”。三是有力遏制重点领域犯罪。依法严惩各类职务犯罪案件24件34人，判决追缴罚没案款6000余万元，切实铲除腐败滋生土壤。开展打击非法集资专项行动，成立工作专班，稳妥审结非法吸收公众存款犯罪案件8件12人。重拳打击虚开骗税违法犯罪，审理的“北京某餐饮公司逃避追缴欠税案”入选“两高”依法惩治危害税收征管典型案例。四是防范化解各类风险隐患。严格执行重大事项请示报告制度，向上级请示报告重大事项41次，动态报送“三同步”工作方案51个，加强矛盾纠纷排查化解，源头防控各类不稳定风险。推进信访工作法治化，办理群众来信752件，院庭长接访下访160次、接待来访群众1302人次，探索合盘统筹、合心沟通、合力稳控“三合”工作法，推动涉诉信访矛盾就地实质化解。</w:t>
      </w:r>
    </w:p>
    <w:p w14:paraId="44F5DD1B">
      <w:pPr>
        <w:spacing w:line="600" w:lineRule="exact"/>
        <w:ind w:firstLine="600" w:firstLineChars="200"/>
        <w:rPr>
          <w:rFonts w:eastAsia="仿宋_GB2312"/>
          <w:sz w:val="30"/>
          <w:szCs w:val="30"/>
        </w:rPr>
      </w:pPr>
      <w:r>
        <w:rPr>
          <w:rFonts w:eastAsia="仿宋_GB2312"/>
          <w:sz w:val="30"/>
          <w:szCs w:val="30"/>
        </w:rPr>
        <w:t>3、环境效益</w:t>
      </w:r>
    </w:p>
    <w:p w14:paraId="27302835">
      <w:pPr>
        <w:spacing w:line="600" w:lineRule="exact"/>
        <w:ind w:firstLine="600" w:firstLineChars="200"/>
        <w:rPr>
          <w:rFonts w:eastAsia="仿宋_GB2312"/>
          <w:sz w:val="30"/>
          <w:szCs w:val="30"/>
        </w:rPr>
      </w:pPr>
      <w:r>
        <w:rPr>
          <w:rFonts w:hint="eastAsia" w:eastAsia="仿宋_GB2312"/>
          <w:sz w:val="30"/>
          <w:szCs w:val="30"/>
        </w:rPr>
        <w:t>为环境保护工作提供有力司法保障。化解冬奥组委周边环境整治引发的行政纠纷，依法惩治环资类犯罪，打击破坏资源、污染环境等违法犯罪行为。推进环境资源审判专门机构建设，促进绿色发展，助力打好蓝天碧水净土保卫战。严厉打击破坏生态环境违法犯罪行为，共审结环境资源类案件</w:t>
      </w:r>
      <w:r>
        <w:rPr>
          <w:rFonts w:hint="eastAsia" w:eastAsia="仿宋_GB2312"/>
          <w:sz w:val="30"/>
          <w:szCs w:val="30"/>
          <w:lang w:val="en-US" w:eastAsia="zh-CN"/>
        </w:rPr>
        <w:t>1</w:t>
      </w:r>
      <w:r>
        <w:rPr>
          <w:rFonts w:hint="eastAsia" w:eastAsia="仿宋_GB2312"/>
          <w:sz w:val="30"/>
          <w:szCs w:val="30"/>
        </w:rPr>
        <w:t>件，为辖区生态环境保护提供有力的司法保障。</w:t>
      </w:r>
    </w:p>
    <w:p w14:paraId="7D833318">
      <w:pPr>
        <w:spacing w:line="600" w:lineRule="exact"/>
        <w:ind w:firstLine="600" w:firstLineChars="200"/>
        <w:rPr>
          <w:rFonts w:eastAsia="仿宋_GB2312"/>
          <w:sz w:val="30"/>
          <w:szCs w:val="30"/>
        </w:rPr>
      </w:pPr>
      <w:r>
        <w:rPr>
          <w:rFonts w:eastAsia="仿宋_GB2312"/>
          <w:sz w:val="30"/>
          <w:szCs w:val="30"/>
        </w:rPr>
        <w:t>4、可持续性影响</w:t>
      </w:r>
    </w:p>
    <w:p w14:paraId="59E1CA83">
      <w:pPr>
        <w:spacing w:line="600" w:lineRule="exact"/>
        <w:ind w:firstLine="600" w:firstLineChars="200"/>
        <w:rPr>
          <w:rFonts w:hint="eastAsia" w:eastAsia="仿宋_GB2312"/>
          <w:sz w:val="30"/>
          <w:szCs w:val="30"/>
        </w:rPr>
      </w:pPr>
      <w:r>
        <w:rPr>
          <w:rFonts w:hint="eastAsia" w:eastAsia="仿宋_GB2312"/>
          <w:sz w:val="30"/>
          <w:szCs w:val="30"/>
        </w:rPr>
        <w:t>顺义法院持续提升民生司法保障水平。受理民事案件28500件，同比上升28.47%，审结28679件，同比上升28%。一是增强民生领域司法保障。助力重点民生项目落地，通过裁判明确业主方与施工方的权利边界，助力老旧小区加装电梯工程有序推进；用活示范诉讼厘清建设工程参与方之间的关系，确保友谊医院顺义院区如期投入使用。聚力保护劳动者合法权益，积极为我区一站式劳动人事争议调解中心“快递小哥服务站”解纷提供法律指导与支持，破解新业态群体维权难题；发布《劳务用工领域损害责任法律风险防范指引》，维护安全用工环境。倾力深度调研解民忧，《关于“每月一题”快递末端网点投递服务质量问题的调研报告》获上级领导批示；“数字时代背景下个人信息权益保护”调研信息被最高法院、中办信息刊发。二是增强特殊群体权益保护。依法审结婚姻、继承、抚养、赡养等家事纠纷案件2609件，开展巡回审判便利老年群体维权，与区妇联、区教委加强会商协作，合力为妇女、儿童、老人筑牢法治护盾。妥善审结涉少纠纷案件237件，持续巩固社会调查、社会观护、家庭教育指导等机制，审理的“全市首例居委会作为临时监护人代理未成年人提起财产损害赔偿纠纷案”入选北京市依法保障妇女儿童合法权益典型案例，“关爱女生·守护花开”教育与救助工作法入选北京法院未成年人司法保护及犯罪预防十大机制。三是增强困难人群救助力度。灵活采用现场办理、上门服务、远程视频等形式，为失独家庭、孤寡老人等提供特殊优先救助，发放司法救助金85万元，最大程度帮扶困难申请人走出生活困境。</w:t>
      </w:r>
    </w:p>
    <w:p w14:paraId="5DBEE37A">
      <w:pPr>
        <w:spacing w:line="600" w:lineRule="exact"/>
        <w:ind w:firstLine="600" w:firstLineChars="200"/>
        <w:rPr>
          <w:rFonts w:eastAsia="仿宋_GB2312"/>
          <w:sz w:val="30"/>
          <w:szCs w:val="30"/>
        </w:rPr>
      </w:pPr>
      <w:r>
        <w:rPr>
          <w:rFonts w:eastAsia="仿宋_GB2312"/>
          <w:sz w:val="30"/>
          <w:szCs w:val="30"/>
        </w:rPr>
        <w:t>5、服务对象满意度</w:t>
      </w:r>
    </w:p>
    <w:p w14:paraId="7F29B45B">
      <w:pPr>
        <w:spacing w:line="600" w:lineRule="exact"/>
        <w:ind w:firstLine="600" w:firstLineChars="200"/>
        <w:rPr>
          <w:rFonts w:eastAsia="仿宋_GB2312"/>
          <w:sz w:val="30"/>
          <w:szCs w:val="30"/>
        </w:rPr>
      </w:pPr>
      <w:r>
        <w:rPr>
          <w:rFonts w:hint="eastAsia" w:eastAsia="仿宋_GB2312"/>
          <w:sz w:val="30"/>
          <w:szCs w:val="30"/>
        </w:rPr>
        <w:t>坚持党对法院工作的绝对领导，坚持走中国特色社会主义道路，坚持司法为民、公正司法，维护国家安全、社会安定、人民安宁，为加快建设“业强城优生活美”的首都重点平原新城、为全市率先基本实现社会主义现代化提供了有力司法服务和保障，各项工作得到了辖区群众及党委政府的高度认可。拓宽监督路径，邀请市、区两级人大代表零距离参与庭审旁听、强制执行、调研座谈等活动24场33人次。认真办结政协委员提案2件；出台规范和保障人民陪审员参审工作办法，组织新任人民陪审员开展专项培训，420名人民陪审员共参与审理案件1140件，汇聚司法民主的蓬勃力量。</w:t>
      </w:r>
    </w:p>
    <w:p w14:paraId="7DF8FC9E">
      <w:pPr>
        <w:spacing w:line="600" w:lineRule="exact"/>
        <w:ind w:firstLine="600" w:firstLineChars="200"/>
        <w:rPr>
          <w:rFonts w:eastAsia="仿宋_GB2312"/>
          <w:sz w:val="30"/>
          <w:szCs w:val="30"/>
        </w:rPr>
      </w:pPr>
      <w:r>
        <w:rPr>
          <w:rFonts w:hint="eastAsia" w:eastAsia="仿宋_GB2312"/>
          <w:sz w:val="30"/>
          <w:szCs w:val="30"/>
        </w:rPr>
        <w:t>北京市顺义区人民法院202</w:t>
      </w:r>
      <w:r>
        <w:rPr>
          <w:rFonts w:hint="eastAsia" w:eastAsia="仿宋_GB2312"/>
          <w:sz w:val="30"/>
          <w:szCs w:val="30"/>
          <w:lang w:val="en-US" w:eastAsia="zh-CN"/>
        </w:rPr>
        <w:t>4</w:t>
      </w:r>
      <w:r>
        <w:rPr>
          <w:rFonts w:hint="eastAsia" w:eastAsia="仿宋_GB2312"/>
          <w:sz w:val="30"/>
          <w:szCs w:val="30"/>
        </w:rPr>
        <w:t>年度人大报告通过率为100%，实现法律效果和社会效果的统一，提升人民群众满意度。</w:t>
      </w:r>
    </w:p>
    <w:p w14:paraId="54003973">
      <w:pPr>
        <w:spacing w:line="600" w:lineRule="exact"/>
        <w:ind w:left="105" w:leftChars="50" w:firstLine="480" w:firstLineChars="150"/>
        <w:rPr>
          <w:rFonts w:eastAsia="黑体"/>
          <w:color w:val="000000"/>
          <w:kern w:val="0"/>
          <w:sz w:val="32"/>
          <w:szCs w:val="32"/>
        </w:rPr>
      </w:pPr>
      <w:r>
        <w:rPr>
          <w:rFonts w:eastAsia="黑体"/>
          <w:color w:val="000000"/>
          <w:kern w:val="0"/>
          <w:sz w:val="32"/>
          <w:szCs w:val="32"/>
        </w:rPr>
        <w:t>四、预算管理情况分析</w:t>
      </w:r>
    </w:p>
    <w:p w14:paraId="27A8DAF4">
      <w:pPr>
        <w:spacing w:line="600" w:lineRule="exact"/>
        <w:ind w:firstLine="602" w:firstLineChars="200"/>
        <w:rPr>
          <w:rFonts w:eastAsia="仿宋_GB2312"/>
          <w:b/>
          <w:bCs/>
          <w:sz w:val="30"/>
          <w:szCs w:val="30"/>
        </w:rPr>
      </w:pPr>
      <w:r>
        <w:rPr>
          <w:rFonts w:eastAsia="仿宋_GB2312"/>
          <w:b/>
          <w:bCs/>
          <w:sz w:val="30"/>
          <w:szCs w:val="30"/>
        </w:rPr>
        <w:t>（一）财务管理</w:t>
      </w:r>
    </w:p>
    <w:p w14:paraId="13E484E1">
      <w:pPr>
        <w:spacing w:line="600" w:lineRule="exact"/>
        <w:ind w:firstLine="600" w:firstLineChars="200"/>
        <w:rPr>
          <w:rFonts w:eastAsia="仿宋_GB2312"/>
          <w:sz w:val="30"/>
          <w:szCs w:val="30"/>
        </w:rPr>
      </w:pPr>
      <w:r>
        <w:rPr>
          <w:rFonts w:eastAsia="仿宋_GB2312"/>
          <w:sz w:val="30"/>
          <w:szCs w:val="30"/>
        </w:rPr>
        <w:t>1、财务管理制度健全性</w:t>
      </w:r>
    </w:p>
    <w:p w14:paraId="40CA7518">
      <w:pPr>
        <w:spacing w:line="600" w:lineRule="exact"/>
        <w:ind w:firstLine="600" w:firstLineChars="200"/>
        <w:rPr>
          <w:rFonts w:eastAsia="仿宋_GB2312"/>
          <w:sz w:val="30"/>
          <w:szCs w:val="30"/>
        </w:rPr>
      </w:pPr>
      <w:r>
        <w:rPr>
          <w:rFonts w:hint="eastAsia" w:eastAsia="仿宋_GB2312"/>
          <w:sz w:val="30"/>
          <w:szCs w:val="30"/>
        </w:rPr>
        <w:t>为确保财政资金的合理使用，提高资金的使用效益，顺义法院结合实施项目的具体情况，从财务管理制度建设、财务监督等方面严格控制资金，确保资金使用合理有效。顺义法院结合本单位实际情况，梳理各流程环节，完善制度机制，制定相应内控管理制度，分离不相容岗位，对单位的预算控制、资金收支、资产管理、建设项目、政府采购等制定相应的、科学有效的内控制度，明确职责，指引实际工作，减少不必要的环节，提高管理监督力度。</w:t>
      </w:r>
    </w:p>
    <w:p w14:paraId="31FAECE4">
      <w:pPr>
        <w:spacing w:line="600" w:lineRule="exact"/>
        <w:ind w:firstLine="600" w:firstLineChars="200"/>
        <w:rPr>
          <w:rFonts w:eastAsia="仿宋_GB2312"/>
          <w:sz w:val="30"/>
          <w:szCs w:val="30"/>
        </w:rPr>
      </w:pPr>
      <w:r>
        <w:rPr>
          <w:rFonts w:eastAsia="仿宋_GB2312"/>
          <w:sz w:val="30"/>
          <w:szCs w:val="30"/>
        </w:rPr>
        <w:t>2、资金使用合规性和安全性</w:t>
      </w:r>
    </w:p>
    <w:p w14:paraId="025EB223">
      <w:pPr>
        <w:spacing w:line="600" w:lineRule="exact"/>
        <w:ind w:firstLine="600" w:firstLineChars="200"/>
        <w:rPr>
          <w:rFonts w:eastAsia="仿宋_GB2312"/>
          <w:sz w:val="30"/>
          <w:szCs w:val="30"/>
        </w:rPr>
      </w:pPr>
      <w:r>
        <w:rPr>
          <w:rFonts w:hint="eastAsia" w:eastAsia="仿宋_GB2312"/>
          <w:sz w:val="30"/>
          <w:szCs w:val="30"/>
        </w:rPr>
        <w:t>顺义法院坚持树立对财务会计工作和内控制度建设的“第一责任主体”意识，加强对各部门的宣传和动员，将制度落实到相应部门，提高对内控制度的认识。同时严格按照预算批复做好预算执行工作，重视财政资金预算执行情况的反馈，加强对预算执行的监督管理。严格控制指因相关管理制度和政策措施不完善等，导致预算刚性不足、部分支出进度较慢、资金安全性和效益不高等的可能性。</w:t>
      </w:r>
    </w:p>
    <w:p w14:paraId="05E48AE3">
      <w:pPr>
        <w:spacing w:line="600" w:lineRule="exact"/>
        <w:ind w:firstLine="600" w:firstLineChars="200"/>
        <w:rPr>
          <w:rFonts w:eastAsia="仿宋_GB2312"/>
          <w:sz w:val="30"/>
          <w:szCs w:val="30"/>
        </w:rPr>
      </w:pPr>
      <w:r>
        <w:rPr>
          <w:rFonts w:eastAsia="仿宋_GB2312"/>
          <w:sz w:val="30"/>
          <w:szCs w:val="30"/>
        </w:rPr>
        <w:t>3、会计基础信息完善性</w:t>
      </w:r>
    </w:p>
    <w:p w14:paraId="2BB0D35A">
      <w:pPr>
        <w:spacing w:line="600" w:lineRule="exact"/>
        <w:ind w:firstLine="600" w:firstLineChars="200"/>
        <w:rPr>
          <w:rFonts w:eastAsia="仿宋_GB2312"/>
          <w:sz w:val="30"/>
          <w:szCs w:val="30"/>
        </w:rPr>
      </w:pPr>
      <w:r>
        <w:rPr>
          <w:rFonts w:hint="eastAsia" w:eastAsia="仿宋_GB2312"/>
          <w:sz w:val="30"/>
          <w:szCs w:val="30"/>
        </w:rPr>
        <w:t>顺义法院加强会计核算基本工作，保证会计资料真实、准确、完整，部门基础信息管理较好。</w:t>
      </w:r>
    </w:p>
    <w:p w14:paraId="39A8E699">
      <w:pPr>
        <w:spacing w:line="600" w:lineRule="exact"/>
        <w:ind w:firstLine="600" w:firstLineChars="200"/>
        <w:rPr>
          <w:rFonts w:eastAsia="仿宋_GB2312"/>
          <w:sz w:val="30"/>
          <w:szCs w:val="30"/>
        </w:rPr>
      </w:pPr>
      <w:r>
        <w:rPr>
          <w:rFonts w:hint="eastAsia" w:eastAsia="仿宋_GB2312"/>
          <w:sz w:val="30"/>
          <w:szCs w:val="30"/>
        </w:rPr>
        <w:t>顺义法院预算管理在制度建设上较为健全，部门公务接待、公务用车控制情况符合财政部门预算要求和相关管理制度要求。部门使用预算资金与相关的预算财务管理制度相符，符合国家财经法规和财务管理制度规定以及有关专项资金管理办法的规定。</w:t>
      </w:r>
    </w:p>
    <w:p w14:paraId="1FA34E0B">
      <w:pPr>
        <w:spacing w:line="600" w:lineRule="exact"/>
        <w:ind w:firstLine="602" w:firstLineChars="200"/>
        <w:rPr>
          <w:rFonts w:eastAsia="仿宋_GB2312"/>
          <w:b/>
          <w:bCs/>
          <w:sz w:val="30"/>
          <w:szCs w:val="30"/>
        </w:rPr>
      </w:pPr>
      <w:r>
        <w:rPr>
          <w:rFonts w:eastAsia="仿宋_GB2312"/>
          <w:b/>
          <w:bCs/>
          <w:sz w:val="30"/>
          <w:szCs w:val="30"/>
        </w:rPr>
        <w:t>（二）资产管理</w:t>
      </w:r>
    </w:p>
    <w:p w14:paraId="56F5BEAE">
      <w:pPr>
        <w:spacing w:line="600" w:lineRule="exact"/>
        <w:ind w:firstLine="600" w:firstLineChars="200"/>
        <w:rPr>
          <w:rFonts w:eastAsia="仿宋_GB2312"/>
          <w:sz w:val="30"/>
          <w:szCs w:val="30"/>
        </w:rPr>
      </w:pPr>
      <w:r>
        <w:rPr>
          <w:rFonts w:hint="eastAsia" w:eastAsia="仿宋_GB2312"/>
          <w:sz w:val="30"/>
          <w:szCs w:val="30"/>
        </w:rPr>
        <w:t>1、资产配置合理性</w:t>
      </w:r>
    </w:p>
    <w:p w14:paraId="2CA10C61">
      <w:pPr>
        <w:spacing w:line="600" w:lineRule="exact"/>
        <w:ind w:firstLine="600" w:firstLineChars="200"/>
        <w:rPr>
          <w:rFonts w:eastAsia="仿宋_GB2312"/>
          <w:sz w:val="30"/>
          <w:szCs w:val="30"/>
        </w:rPr>
      </w:pPr>
      <w:r>
        <w:rPr>
          <w:rFonts w:hint="eastAsia" w:eastAsia="仿宋_GB2312"/>
          <w:sz w:val="30"/>
          <w:szCs w:val="30"/>
        </w:rPr>
        <w:t>顺义法院在固定资产的配置上，按照固定资产配置标准，将需要购置的固定资产一并纳入年度部门预算编制固定资产购置预算。</w:t>
      </w:r>
    </w:p>
    <w:p w14:paraId="39649FAF">
      <w:pPr>
        <w:spacing w:line="600" w:lineRule="exact"/>
        <w:ind w:firstLine="600" w:firstLineChars="200"/>
        <w:rPr>
          <w:rFonts w:eastAsia="仿宋_GB2312"/>
          <w:sz w:val="30"/>
          <w:szCs w:val="30"/>
        </w:rPr>
      </w:pPr>
      <w:r>
        <w:rPr>
          <w:rFonts w:hint="eastAsia" w:eastAsia="仿宋_GB2312"/>
          <w:sz w:val="30"/>
          <w:szCs w:val="30"/>
        </w:rPr>
        <w:t>2、资产使用规范性</w:t>
      </w:r>
    </w:p>
    <w:p w14:paraId="644ECA20">
      <w:pPr>
        <w:spacing w:line="600" w:lineRule="exact"/>
        <w:ind w:firstLine="600" w:firstLineChars="200"/>
        <w:rPr>
          <w:rFonts w:eastAsia="仿宋_GB2312"/>
          <w:sz w:val="30"/>
          <w:szCs w:val="30"/>
        </w:rPr>
      </w:pPr>
      <w:r>
        <w:rPr>
          <w:rFonts w:hint="eastAsia" w:eastAsia="仿宋_GB2312"/>
          <w:sz w:val="30"/>
          <w:szCs w:val="30"/>
        </w:rPr>
        <w:t>顺义法院不断加强固定资产管理，一是严格执行固定资产制度，做到有章可依、有制可循。二是加强资产动态管理，定期对国有资产的使用情况进行监督检查。三是定期进行固定资产清查。</w:t>
      </w:r>
    </w:p>
    <w:p w14:paraId="3DAD0764">
      <w:pPr>
        <w:spacing w:line="600" w:lineRule="exact"/>
        <w:ind w:firstLine="600" w:firstLineChars="200"/>
        <w:rPr>
          <w:rFonts w:eastAsia="仿宋_GB2312"/>
          <w:sz w:val="30"/>
          <w:szCs w:val="30"/>
        </w:rPr>
      </w:pPr>
      <w:r>
        <w:rPr>
          <w:rFonts w:eastAsia="仿宋_GB2312"/>
          <w:sz w:val="30"/>
          <w:szCs w:val="30"/>
        </w:rPr>
        <w:t>3</w:t>
      </w:r>
      <w:r>
        <w:rPr>
          <w:rFonts w:hint="eastAsia" w:eastAsia="仿宋_GB2312"/>
          <w:sz w:val="30"/>
          <w:szCs w:val="30"/>
        </w:rPr>
        <w:t>、资产利用有效性</w:t>
      </w:r>
    </w:p>
    <w:p w14:paraId="32015208">
      <w:pPr>
        <w:spacing w:line="600" w:lineRule="exact"/>
        <w:ind w:firstLine="600" w:firstLineChars="200"/>
        <w:rPr>
          <w:rFonts w:eastAsia="仿宋_GB2312"/>
          <w:sz w:val="30"/>
          <w:szCs w:val="30"/>
          <w:highlight w:val="none"/>
        </w:rPr>
      </w:pPr>
      <w:r>
        <w:rPr>
          <w:rFonts w:hint="eastAsia" w:eastAsia="仿宋_GB2312"/>
          <w:sz w:val="30"/>
          <w:szCs w:val="30"/>
          <w:highlight w:val="none"/>
        </w:rPr>
        <w:t>顺义法院</w:t>
      </w:r>
      <w:r>
        <w:rPr>
          <w:rFonts w:eastAsia="仿宋_GB2312"/>
          <w:sz w:val="30"/>
          <w:szCs w:val="30"/>
          <w:highlight w:val="none"/>
        </w:rPr>
        <w:t>202</w:t>
      </w:r>
      <w:r>
        <w:rPr>
          <w:rFonts w:hint="eastAsia" w:eastAsia="仿宋_GB2312"/>
          <w:sz w:val="30"/>
          <w:szCs w:val="30"/>
          <w:highlight w:val="none"/>
          <w:lang w:val="en-US" w:eastAsia="zh-CN"/>
        </w:rPr>
        <w:t>4</w:t>
      </w:r>
      <w:r>
        <w:rPr>
          <w:rFonts w:hint="eastAsia" w:eastAsia="仿宋_GB2312"/>
          <w:sz w:val="30"/>
          <w:szCs w:val="30"/>
          <w:highlight w:val="none"/>
        </w:rPr>
        <w:t>年实际在用固定资产总额为 28,354.88 万元，固定资产成新率</w:t>
      </w:r>
      <w:r>
        <w:rPr>
          <w:rFonts w:hint="eastAsia" w:eastAsia="仿宋_GB2312"/>
          <w:sz w:val="30"/>
          <w:szCs w:val="30"/>
          <w:highlight w:val="none"/>
          <w:lang w:val="en-US" w:eastAsia="zh-CN"/>
        </w:rPr>
        <w:t>40.11</w:t>
      </w:r>
      <w:r>
        <w:rPr>
          <w:rFonts w:eastAsia="仿宋_GB2312"/>
          <w:sz w:val="30"/>
          <w:szCs w:val="30"/>
          <w:highlight w:val="none"/>
        </w:rPr>
        <w:t>%</w:t>
      </w:r>
      <w:r>
        <w:rPr>
          <w:rFonts w:hint="eastAsia" w:eastAsia="仿宋_GB2312"/>
          <w:sz w:val="30"/>
          <w:szCs w:val="30"/>
          <w:highlight w:val="none"/>
        </w:rPr>
        <w:t>。</w:t>
      </w:r>
    </w:p>
    <w:p w14:paraId="77B4DA6A">
      <w:pPr>
        <w:spacing w:line="600" w:lineRule="exact"/>
        <w:ind w:firstLine="602" w:firstLineChars="200"/>
        <w:rPr>
          <w:rFonts w:eastAsia="仿宋_GB2312"/>
          <w:sz w:val="30"/>
          <w:szCs w:val="30"/>
        </w:rPr>
      </w:pPr>
      <w:r>
        <w:rPr>
          <w:rFonts w:eastAsia="仿宋_GB2312"/>
          <w:b/>
          <w:bCs/>
          <w:sz w:val="30"/>
          <w:szCs w:val="30"/>
        </w:rPr>
        <w:t>（三）绩效管理</w:t>
      </w:r>
    </w:p>
    <w:p w14:paraId="702C08B8">
      <w:pPr>
        <w:spacing w:line="600" w:lineRule="exact"/>
        <w:ind w:firstLine="600" w:firstLineChars="200"/>
        <w:rPr>
          <w:rFonts w:eastAsia="仿宋_GB2312"/>
          <w:sz w:val="30"/>
          <w:szCs w:val="30"/>
        </w:rPr>
      </w:pPr>
      <w:r>
        <w:rPr>
          <w:rFonts w:hint="eastAsia" w:eastAsia="仿宋_GB2312"/>
          <w:sz w:val="30"/>
          <w:szCs w:val="30"/>
        </w:rPr>
        <w:t>在</w:t>
      </w:r>
      <w:r>
        <w:rPr>
          <w:rFonts w:hint="eastAsia" w:eastAsia="仿宋_GB2312"/>
          <w:sz w:val="30"/>
          <w:szCs w:val="30"/>
          <w:lang w:eastAsia="zh-CN"/>
        </w:rPr>
        <w:t>2024</w:t>
      </w:r>
      <w:r>
        <w:rPr>
          <w:rFonts w:hint="eastAsia" w:eastAsia="仿宋_GB2312"/>
          <w:sz w:val="30"/>
          <w:szCs w:val="30"/>
        </w:rPr>
        <w:t>年，顺义法院实施预算项目绩效目标管理工作，完善项目绩效管理责任，按照《北京市预算绩效管理办法》《北京市项目支出绩效评价管理办法》开展绩效评价工作，对绩效评价中发现的问题及时制定整改措施。根据绩效评价结果，改进管理工作，调整和优化本单位预算支出结构，合理配置资源。同时将绩效评价结果渗透到下一年预算编制工作中，从而促进加强预算支出管理和下年度预算编制工作。</w:t>
      </w:r>
    </w:p>
    <w:p w14:paraId="6457708E">
      <w:pPr>
        <w:spacing w:line="600" w:lineRule="exact"/>
        <w:ind w:firstLine="602" w:firstLineChars="200"/>
        <w:rPr>
          <w:rFonts w:eastAsia="仿宋_GB2312"/>
          <w:b/>
          <w:bCs/>
          <w:sz w:val="30"/>
          <w:szCs w:val="30"/>
        </w:rPr>
      </w:pPr>
      <w:r>
        <w:rPr>
          <w:rFonts w:eastAsia="仿宋_GB2312"/>
          <w:b/>
          <w:bCs/>
          <w:sz w:val="30"/>
          <w:szCs w:val="30"/>
        </w:rPr>
        <w:t>（四）结转结余率</w:t>
      </w:r>
    </w:p>
    <w:p w14:paraId="0985DF37">
      <w:pPr>
        <w:spacing w:line="600" w:lineRule="exact"/>
        <w:ind w:firstLine="600" w:firstLineChars="200"/>
        <w:rPr>
          <w:rFonts w:eastAsia="仿宋_GB2312"/>
          <w:sz w:val="30"/>
          <w:szCs w:val="30"/>
        </w:rPr>
      </w:pPr>
      <w:r>
        <w:rPr>
          <w:rFonts w:hint="eastAsia" w:eastAsia="仿宋_GB2312"/>
          <w:sz w:val="30"/>
          <w:szCs w:val="30"/>
        </w:rPr>
        <w:t>顺义法院</w:t>
      </w:r>
      <w:r>
        <w:rPr>
          <w:rFonts w:hint="eastAsia" w:eastAsia="仿宋_GB2312"/>
          <w:sz w:val="30"/>
          <w:szCs w:val="30"/>
          <w:lang w:eastAsia="zh-CN"/>
        </w:rPr>
        <w:t>2024</w:t>
      </w:r>
      <w:r>
        <w:rPr>
          <w:rFonts w:hint="eastAsia" w:eastAsia="仿宋_GB2312"/>
          <w:sz w:val="30"/>
          <w:szCs w:val="30"/>
        </w:rPr>
        <w:t>年结转和结余资金为</w:t>
      </w:r>
      <w:r>
        <w:rPr>
          <w:rFonts w:hint="eastAsia" w:eastAsia="仿宋_GB2312"/>
          <w:sz w:val="30"/>
          <w:szCs w:val="30"/>
          <w:lang w:val="en-US" w:eastAsia="zh-CN"/>
        </w:rPr>
        <w:t>768.40</w:t>
      </w:r>
      <w:r>
        <w:rPr>
          <w:rFonts w:hint="eastAsia" w:eastAsia="仿宋_GB2312"/>
          <w:sz w:val="30"/>
          <w:szCs w:val="30"/>
        </w:rPr>
        <w:t>万元，结转结余率为</w:t>
      </w:r>
      <w:r>
        <w:rPr>
          <w:rFonts w:hint="eastAsia" w:eastAsia="仿宋_GB2312"/>
          <w:sz w:val="30"/>
          <w:szCs w:val="30"/>
          <w:lang w:val="en-US" w:eastAsia="zh-CN"/>
        </w:rPr>
        <w:t>2.95</w:t>
      </w:r>
      <w:r>
        <w:rPr>
          <w:rFonts w:eastAsia="仿宋_GB2312"/>
          <w:sz w:val="30"/>
          <w:szCs w:val="30"/>
        </w:rPr>
        <w:t>%</w:t>
      </w:r>
      <w:r>
        <w:rPr>
          <w:rFonts w:hint="eastAsia" w:eastAsia="仿宋_GB2312"/>
          <w:sz w:val="30"/>
          <w:szCs w:val="30"/>
        </w:rPr>
        <w:t>，</w:t>
      </w:r>
      <w:r>
        <w:rPr>
          <w:rFonts w:hint="eastAsia" w:eastAsia="仿宋_GB2312"/>
          <w:sz w:val="30"/>
          <w:szCs w:val="30"/>
          <w:lang w:val="en-US" w:eastAsia="zh-CN"/>
        </w:rPr>
        <w:t>低</w:t>
      </w:r>
      <w:r>
        <w:rPr>
          <w:rFonts w:hint="eastAsia" w:eastAsia="仿宋_GB2312"/>
          <w:sz w:val="30"/>
          <w:szCs w:val="30"/>
        </w:rPr>
        <w:t>于上年结转结余率</w:t>
      </w:r>
      <w:r>
        <w:rPr>
          <w:rFonts w:hint="eastAsia" w:eastAsia="仿宋_GB2312"/>
          <w:sz w:val="30"/>
          <w:szCs w:val="30"/>
          <w:lang w:val="en-US" w:eastAsia="zh-CN"/>
        </w:rPr>
        <w:t>8.81</w:t>
      </w:r>
      <w:r>
        <w:rPr>
          <w:rFonts w:eastAsia="仿宋_GB2312"/>
          <w:sz w:val="30"/>
          <w:szCs w:val="30"/>
        </w:rPr>
        <w:t>%</w:t>
      </w:r>
      <w:r>
        <w:rPr>
          <w:rFonts w:hint="eastAsia" w:eastAsia="仿宋_GB2312"/>
          <w:sz w:val="30"/>
          <w:szCs w:val="30"/>
        </w:rPr>
        <w:t>。</w:t>
      </w:r>
    </w:p>
    <w:p w14:paraId="6FD0FC79">
      <w:pPr>
        <w:spacing w:line="600" w:lineRule="exact"/>
        <w:ind w:firstLine="602" w:firstLineChars="200"/>
        <w:rPr>
          <w:rFonts w:eastAsia="仿宋_GB2312"/>
          <w:b/>
          <w:bCs/>
          <w:sz w:val="30"/>
          <w:szCs w:val="30"/>
        </w:rPr>
      </w:pPr>
      <w:r>
        <w:rPr>
          <w:rFonts w:eastAsia="仿宋_GB2312"/>
          <w:b/>
          <w:bCs/>
          <w:sz w:val="30"/>
          <w:szCs w:val="30"/>
        </w:rPr>
        <w:t>（五）</w:t>
      </w:r>
      <w:bookmarkStart w:id="2" w:name="_Hlk103169597"/>
      <w:r>
        <w:rPr>
          <w:rFonts w:eastAsia="仿宋_GB2312"/>
          <w:b/>
          <w:bCs/>
          <w:sz w:val="30"/>
          <w:szCs w:val="30"/>
        </w:rPr>
        <w:t>部门预决算差异率</w:t>
      </w:r>
      <w:bookmarkEnd w:id="2"/>
    </w:p>
    <w:p w14:paraId="3F729057">
      <w:pPr>
        <w:spacing w:line="600" w:lineRule="exact"/>
        <w:ind w:firstLine="600" w:firstLineChars="200"/>
        <w:rPr>
          <w:rFonts w:eastAsia="仿宋_GB2312"/>
          <w:sz w:val="30"/>
          <w:szCs w:val="30"/>
        </w:rPr>
      </w:pPr>
      <w:r>
        <w:rPr>
          <w:rFonts w:hint="eastAsia" w:eastAsia="仿宋_GB2312"/>
          <w:sz w:val="30"/>
          <w:szCs w:val="30"/>
        </w:rPr>
        <w:t>顺义法院</w:t>
      </w:r>
      <w:r>
        <w:rPr>
          <w:rFonts w:hint="eastAsia" w:eastAsia="仿宋_GB2312"/>
          <w:sz w:val="30"/>
          <w:szCs w:val="30"/>
          <w:lang w:eastAsia="zh-CN"/>
        </w:rPr>
        <w:t>2024</w:t>
      </w:r>
      <w:r>
        <w:rPr>
          <w:rFonts w:hint="eastAsia" w:eastAsia="仿宋_GB2312"/>
          <w:sz w:val="30"/>
          <w:szCs w:val="30"/>
        </w:rPr>
        <w:t>年部门申报预算为</w:t>
      </w:r>
      <w:r>
        <w:rPr>
          <w:rFonts w:hint="eastAsia" w:eastAsia="仿宋_GB2312"/>
          <w:sz w:val="30"/>
          <w:szCs w:val="30"/>
          <w:highlight w:val="none"/>
        </w:rPr>
        <w:t>2</w:t>
      </w:r>
      <w:r>
        <w:rPr>
          <w:rFonts w:hint="eastAsia" w:eastAsia="仿宋_GB2312"/>
          <w:sz w:val="30"/>
          <w:szCs w:val="30"/>
          <w:highlight w:val="none"/>
          <w:lang w:val="en-US" w:eastAsia="zh-CN"/>
        </w:rPr>
        <w:t>6</w:t>
      </w:r>
      <w:r>
        <w:rPr>
          <w:rFonts w:hint="eastAsia" w:eastAsia="仿宋_GB2312"/>
          <w:sz w:val="30"/>
          <w:szCs w:val="30"/>
          <w:highlight w:val="none"/>
        </w:rPr>
        <w:t>,</w:t>
      </w:r>
      <w:r>
        <w:rPr>
          <w:rFonts w:hint="eastAsia" w:eastAsia="仿宋_GB2312"/>
          <w:sz w:val="30"/>
          <w:szCs w:val="30"/>
          <w:highlight w:val="none"/>
          <w:lang w:val="en-US" w:eastAsia="zh-CN"/>
        </w:rPr>
        <w:t>125</w:t>
      </w:r>
      <w:r>
        <w:rPr>
          <w:rFonts w:hint="eastAsia" w:eastAsia="仿宋_GB2312"/>
          <w:sz w:val="30"/>
          <w:szCs w:val="30"/>
          <w:highlight w:val="none"/>
        </w:rPr>
        <w:t>.</w:t>
      </w:r>
      <w:r>
        <w:rPr>
          <w:rFonts w:hint="eastAsia" w:eastAsia="仿宋_GB2312"/>
          <w:sz w:val="30"/>
          <w:szCs w:val="30"/>
          <w:highlight w:val="none"/>
          <w:lang w:val="en-US" w:eastAsia="zh-CN"/>
        </w:rPr>
        <w:t>47</w:t>
      </w:r>
      <w:r>
        <w:rPr>
          <w:rFonts w:hint="eastAsia" w:eastAsia="仿宋_GB2312"/>
          <w:sz w:val="30"/>
          <w:szCs w:val="30"/>
          <w:highlight w:val="none"/>
        </w:rPr>
        <w:t>万</w:t>
      </w:r>
      <w:r>
        <w:rPr>
          <w:rFonts w:hint="eastAsia" w:eastAsia="仿宋_GB2312"/>
          <w:sz w:val="30"/>
          <w:szCs w:val="30"/>
        </w:rPr>
        <w:t>元，执行决算为</w:t>
      </w:r>
      <w:r>
        <w:rPr>
          <w:rFonts w:eastAsia="仿宋_GB2312"/>
          <w:sz w:val="30"/>
          <w:szCs w:val="30"/>
        </w:rPr>
        <w:t>25,</w:t>
      </w:r>
      <w:r>
        <w:rPr>
          <w:rFonts w:hint="eastAsia" w:eastAsia="仿宋_GB2312"/>
          <w:sz w:val="30"/>
          <w:szCs w:val="30"/>
          <w:lang w:val="en-US" w:eastAsia="zh-CN"/>
        </w:rPr>
        <w:t>285</w:t>
      </w:r>
      <w:r>
        <w:rPr>
          <w:rFonts w:eastAsia="仿宋_GB2312"/>
          <w:sz w:val="30"/>
          <w:szCs w:val="30"/>
        </w:rPr>
        <w:t>.</w:t>
      </w:r>
      <w:r>
        <w:rPr>
          <w:rFonts w:hint="eastAsia" w:eastAsia="仿宋_GB2312"/>
          <w:sz w:val="30"/>
          <w:szCs w:val="30"/>
          <w:lang w:val="en-US" w:eastAsia="zh-CN"/>
        </w:rPr>
        <w:t>93</w:t>
      </w:r>
      <w:r>
        <w:rPr>
          <w:rFonts w:hint="eastAsia" w:eastAsia="仿宋_GB2312"/>
          <w:sz w:val="30"/>
          <w:szCs w:val="30"/>
        </w:rPr>
        <w:t>万元，预决算差异率为</w:t>
      </w:r>
      <w:r>
        <w:rPr>
          <w:rFonts w:hint="eastAsia" w:eastAsia="仿宋_GB2312"/>
          <w:sz w:val="30"/>
          <w:szCs w:val="30"/>
          <w:highlight w:val="none"/>
          <w:lang w:val="en-US" w:eastAsia="zh-CN"/>
        </w:rPr>
        <w:t>3.21</w:t>
      </w:r>
      <w:r>
        <w:rPr>
          <w:rFonts w:eastAsia="仿宋_GB2312"/>
          <w:sz w:val="30"/>
          <w:szCs w:val="30"/>
          <w:highlight w:val="none"/>
        </w:rPr>
        <w:t>%</w:t>
      </w:r>
      <w:r>
        <w:rPr>
          <w:rFonts w:hint="eastAsia" w:eastAsia="仿宋_GB2312"/>
          <w:sz w:val="30"/>
          <w:szCs w:val="30"/>
          <w:highlight w:val="none"/>
        </w:rPr>
        <w:t>，</w:t>
      </w:r>
      <w:r>
        <w:rPr>
          <w:rFonts w:hint="eastAsia" w:eastAsia="仿宋_GB2312"/>
          <w:sz w:val="30"/>
          <w:szCs w:val="30"/>
        </w:rPr>
        <w:t>整体执行情况较好。</w:t>
      </w:r>
    </w:p>
    <w:p w14:paraId="2918201D">
      <w:pPr>
        <w:spacing w:line="600" w:lineRule="exact"/>
        <w:ind w:left="105" w:leftChars="50" w:firstLine="480" w:firstLineChars="150"/>
        <w:rPr>
          <w:rFonts w:eastAsia="黑体"/>
          <w:sz w:val="32"/>
          <w:szCs w:val="32"/>
        </w:rPr>
      </w:pPr>
      <w:r>
        <w:rPr>
          <w:rFonts w:eastAsia="黑体"/>
          <w:sz w:val="32"/>
          <w:szCs w:val="32"/>
        </w:rPr>
        <w:t>五、总体评价结论</w:t>
      </w:r>
    </w:p>
    <w:p w14:paraId="1D94CF74">
      <w:pPr>
        <w:spacing w:line="600" w:lineRule="exact"/>
        <w:ind w:left="105" w:leftChars="50" w:firstLine="480" w:firstLineChars="150"/>
        <w:rPr>
          <w:rFonts w:eastAsia="仿宋_GB2312"/>
          <w:sz w:val="30"/>
          <w:szCs w:val="30"/>
        </w:rPr>
      </w:pPr>
      <w:r>
        <w:rPr>
          <w:rFonts w:eastAsia="楷体_GB2312"/>
          <w:sz w:val="32"/>
          <w:szCs w:val="32"/>
        </w:rPr>
        <w:t>（一）评价得分情况</w:t>
      </w:r>
    </w:p>
    <w:p w14:paraId="70E76396">
      <w:pPr>
        <w:spacing w:line="600" w:lineRule="exact"/>
        <w:ind w:firstLine="600" w:firstLineChars="200"/>
        <w:rPr>
          <w:rFonts w:eastAsia="仿宋_GB2312"/>
          <w:color w:val="000000" w:themeColor="text1"/>
          <w:sz w:val="30"/>
          <w:szCs w:val="30"/>
          <w:highlight w:val="none"/>
          <w14:textFill>
            <w14:solidFill>
              <w14:schemeClr w14:val="tx1"/>
            </w14:solidFill>
          </w14:textFill>
        </w:rPr>
      </w:pPr>
      <w:r>
        <w:rPr>
          <w:rFonts w:hint="eastAsia" w:eastAsia="仿宋_GB2312"/>
          <w:color w:val="000000" w:themeColor="text1"/>
          <w:sz w:val="30"/>
          <w:szCs w:val="30"/>
          <w:highlight w:val="none"/>
          <w14:textFill>
            <w14:solidFill>
              <w14:schemeClr w14:val="tx1"/>
            </w14:solidFill>
          </w14:textFill>
        </w:rPr>
        <w:t>顺义法院</w:t>
      </w:r>
      <w:r>
        <w:rPr>
          <w:rFonts w:hint="eastAsia" w:eastAsia="仿宋_GB2312"/>
          <w:color w:val="000000" w:themeColor="text1"/>
          <w:sz w:val="30"/>
          <w:szCs w:val="30"/>
          <w:highlight w:val="none"/>
          <w:lang w:eastAsia="zh-CN"/>
          <w14:textFill>
            <w14:solidFill>
              <w14:schemeClr w14:val="tx1"/>
            </w14:solidFill>
          </w14:textFill>
        </w:rPr>
        <w:t>2024</w:t>
      </w:r>
      <w:r>
        <w:rPr>
          <w:rFonts w:hint="eastAsia" w:eastAsia="仿宋_GB2312"/>
          <w:color w:val="000000" w:themeColor="text1"/>
          <w:sz w:val="30"/>
          <w:szCs w:val="30"/>
          <w:highlight w:val="none"/>
          <w14:textFill>
            <w14:solidFill>
              <w14:schemeClr w14:val="tx1"/>
            </w14:solidFill>
          </w14:textFill>
        </w:rPr>
        <w:t>年部门整体支出的执行符合目标申报表等相关内容，按照指标体系，部门整体绩效评价得分</w:t>
      </w:r>
      <w:r>
        <w:rPr>
          <w:rFonts w:hint="eastAsia" w:eastAsia="仿宋_GB2312"/>
          <w:color w:val="000000" w:themeColor="text1"/>
          <w:sz w:val="30"/>
          <w:szCs w:val="30"/>
          <w:highlight w:val="none"/>
          <w:lang w:val="en-US" w:eastAsia="zh-CN"/>
          <w14:textFill>
            <w14:solidFill>
              <w14:schemeClr w14:val="tx1"/>
            </w14:solidFill>
          </w14:textFill>
        </w:rPr>
        <w:t>88.41</w:t>
      </w:r>
      <w:r>
        <w:rPr>
          <w:rFonts w:hint="eastAsia" w:eastAsia="仿宋_GB2312"/>
          <w:color w:val="000000" w:themeColor="text1"/>
          <w:sz w:val="30"/>
          <w:szCs w:val="30"/>
          <w:highlight w:val="none"/>
          <w14:textFill>
            <w14:solidFill>
              <w14:schemeClr w14:val="tx1"/>
            </w14:solidFill>
          </w14:textFill>
        </w:rPr>
        <w:t>分，其中：当年预算执行情况19.4</w:t>
      </w:r>
      <w:r>
        <w:rPr>
          <w:rFonts w:hint="eastAsia" w:eastAsia="仿宋_GB2312"/>
          <w:color w:val="000000" w:themeColor="text1"/>
          <w:sz w:val="30"/>
          <w:szCs w:val="30"/>
          <w:highlight w:val="none"/>
          <w:lang w:val="en-US" w:eastAsia="zh-CN"/>
          <w14:textFill>
            <w14:solidFill>
              <w14:schemeClr w14:val="tx1"/>
            </w14:solidFill>
          </w14:textFill>
        </w:rPr>
        <w:t>1</w:t>
      </w:r>
      <w:r>
        <w:rPr>
          <w:rFonts w:hint="eastAsia" w:eastAsia="仿宋_GB2312"/>
          <w:color w:val="000000" w:themeColor="text1"/>
          <w:sz w:val="30"/>
          <w:szCs w:val="30"/>
          <w:highlight w:val="none"/>
          <w14:textFill>
            <w14:solidFill>
              <w14:schemeClr w14:val="tx1"/>
            </w14:solidFill>
          </w14:textFill>
        </w:rPr>
        <w:t>分，整体绩效目标情况5</w:t>
      </w:r>
      <w:r>
        <w:rPr>
          <w:rFonts w:hint="eastAsia" w:eastAsia="仿宋_GB2312"/>
          <w:color w:val="000000" w:themeColor="text1"/>
          <w:sz w:val="30"/>
          <w:szCs w:val="30"/>
          <w:highlight w:val="none"/>
          <w:lang w:val="en-US" w:eastAsia="zh-CN"/>
          <w14:textFill>
            <w14:solidFill>
              <w14:schemeClr w14:val="tx1"/>
            </w14:solidFill>
          </w14:textFill>
        </w:rPr>
        <w:t>1.20</w:t>
      </w:r>
      <w:r>
        <w:rPr>
          <w:rFonts w:hint="eastAsia" w:eastAsia="仿宋_GB2312"/>
          <w:color w:val="000000" w:themeColor="text1"/>
          <w:sz w:val="30"/>
          <w:szCs w:val="30"/>
          <w:highlight w:val="none"/>
          <w14:textFill>
            <w14:solidFill>
              <w14:schemeClr w14:val="tx1"/>
            </w14:solidFill>
          </w14:textFill>
        </w:rPr>
        <w:t>分，预算管理情况1</w:t>
      </w:r>
      <w:r>
        <w:rPr>
          <w:rFonts w:hint="eastAsia" w:eastAsia="仿宋_GB2312"/>
          <w:color w:val="000000" w:themeColor="text1"/>
          <w:sz w:val="30"/>
          <w:szCs w:val="30"/>
          <w:highlight w:val="none"/>
          <w:lang w:val="en-US" w:eastAsia="zh-CN"/>
          <w14:textFill>
            <w14:solidFill>
              <w14:schemeClr w14:val="tx1"/>
            </w14:solidFill>
          </w14:textFill>
        </w:rPr>
        <w:t>7</w:t>
      </w:r>
      <w:r>
        <w:rPr>
          <w:rFonts w:hint="eastAsia" w:eastAsia="仿宋_GB2312"/>
          <w:color w:val="000000" w:themeColor="text1"/>
          <w:sz w:val="30"/>
          <w:szCs w:val="30"/>
          <w:highlight w:val="none"/>
          <w14:textFill>
            <w14:solidFill>
              <w14:schemeClr w14:val="tx1"/>
            </w14:solidFill>
          </w14:textFill>
        </w:rPr>
        <w:t>.</w:t>
      </w:r>
      <w:r>
        <w:rPr>
          <w:rFonts w:eastAsia="仿宋_GB2312"/>
          <w:color w:val="000000" w:themeColor="text1"/>
          <w:sz w:val="30"/>
          <w:szCs w:val="30"/>
          <w:highlight w:val="none"/>
          <w14:textFill>
            <w14:solidFill>
              <w14:schemeClr w14:val="tx1"/>
            </w14:solidFill>
          </w14:textFill>
        </w:rPr>
        <w:t>8</w:t>
      </w:r>
      <w:r>
        <w:rPr>
          <w:rFonts w:hint="eastAsia" w:eastAsia="仿宋_GB2312"/>
          <w:color w:val="000000" w:themeColor="text1"/>
          <w:sz w:val="30"/>
          <w:szCs w:val="30"/>
          <w:highlight w:val="none"/>
          <w14:textFill>
            <w14:solidFill>
              <w14:schemeClr w14:val="tx1"/>
            </w14:solidFill>
          </w14:textFill>
        </w:rPr>
        <w:t>0分，综合绩效评定结论为良好。</w:t>
      </w:r>
    </w:p>
    <w:p w14:paraId="77E47883">
      <w:pPr>
        <w:spacing w:line="600" w:lineRule="exact"/>
        <w:ind w:left="105" w:leftChars="50" w:firstLine="480" w:firstLineChars="150"/>
        <w:rPr>
          <w:rFonts w:eastAsia="楷体_GB2312"/>
          <w:sz w:val="32"/>
          <w:szCs w:val="32"/>
        </w:rPr>
      </w:pPr>
      <w:r>
        <w:rPr>
          <w:rFonts w:eastAsia="楷体_GB2312"/>
          <w:sz w:val="32"/>
          <w:szCs w:val="32"/>
        </w:rPr>
        <w:t>（二）存在的问题及原因分析</w:t>
      </w:r>
    </w:p>
    <w:p w14:paraId="12F01FB8">
      <w:pPr>
        <w:spacing w:line="600" w:lineRule="exact"/>
        <w:ind w:left="105" w:leftChars="50" w:firstLine="450" w:firstLineChars="150"/>
        <w:rPr>
          <w:rFonts w:eastAsia="仿宋_GB2312"/>
          <w:sz w:val="30"/>
          <w:szCs w:val="30"/>
          <w:highlight w:val="none"/>
        </w:rPr>
      </w:pPr>
      <w:r>
        <w:rPr>
          <w:rFonts w:hint="eastAsia" w:eastAsia="仿宋_GB2312"/>
          <w:sz w:val="30"/>
          <w:szCs w:val="30"/>
          <w:highlight w:val="none"/>
        </w:rPr>
        <w:t>顺义法院在申请</w:t>
      </w:r>
      <w:r>
        <w:rPr>
          <w:rFonts w:hint="eastAsia" w:eastAsia="仿宋_GB2312"/>
          <w:sz w:val="30"/>
          <w:szCs w:val="30"/>
          <w:highlight w:val="none"/>
          <w:lang w:eastAsia="zh-CN"/>
        </w:rPr>
        <w:t>2024</w:t>
      </w:r>
      <w:r>
        <w:rPr>
          <w:rFonts w:hint="eastAsia" w:eastAsia="仿宋_GB2312"/>
          <w:sz w:val="30"/>
          <w:szCs w:val="30"/>
          <w:highlight w:val="none"/>
        </w:rPr>
        <w:t>年预算时，预算编制细化程度略有不足，</w:t>
      </w:r>
      <w:r>
        <w:rPr>
          <w:rFonts w:hint="eastAsia" w:eastAsia="仿宋_GB2312"/>
          <w:sz w:val="30"/>
          <w:szCs w:val="30"/>
          <w:highlight w:val="none"/>
          <w:lang w:eastAsia="zh-CN"/>
        </w:rPr>
        <w:t>2024</w:t>
      </w:r>
      <w:r>
        <w:rPr>
          <w:rFonts w:hint="eastAsia" w:eastAsia="仿宋_GB2312"/>
          <w:sz w:val="30"/>
          <w:szCs w:val="30"/>
          <w:highlight w:val="none"/>
        </w:rPr>
        <w:t>年结转和结余资金为768.40万元，结转结余率为2.95%。除客观因素外，预算调增较多，支出进度无法按照项目预期开展，仍是预算执行有待进一步提高的重要方面。在效果方面，部分预算支出的绩效目标指标设置还不够全面，细化程度也不够充分，反映部门核心职能的指标设置还可进一步精确、突出。</w:t>
      </w:r>
    </w:p>
    <w:p w14:paraId="20FD9F80">
      <w:pPr>
        <w:ind w:firstLine="640" w:firstLineChars="200"/>
        <w:rPr>
          <w:rFonts w:eastAsia="黑体"/>
          <w:color w:val="000000"/>
          <w:kern w:val="0"/>
          <w:sz w:val="32"/>
          <w:szCs w:val="32"/>
        </w:rPr>
      </w:pPr>
      <w:r>
        <w:rPr>
          <w:rFonts w:eastAsia="黑体"/>
          <w:color w:val="000000"/>
          <w:kern w:val="0"/>
          <w:sz w:val="32"/>
          <w:szCs w:val="32"/>
        </w:rPr>
        <w:t>六、措施建议</w:t>
      </w:r>
    </w:p>
    <w:p w14:paraId="3CDCBA2E">
      <w:pPr>
        <w:spacing w:line="600" w:lineRule="exact"/>
        <w:ind w:left="105" w:leftChars="50" w:firstLine="480" w:firstLineChars="150"/>
        <w:rPr>
          <w:rFonts w:eastAsia="楷体_GB2312"/>
          <w:sz w:val="32"/>
          <w:szCs w:val="32"/>
        </w:rPr>
      </w:pPr>
      <w:r>
        <w:rPr>
          <w:rFonts w:eastAsia="楷体_GB2312"/>
          <w:sz w:val="32"/>
          <w:szCs w:val="32"/>
        </w:rPr>
        <w:t>（一）</w:t>
      </w:r>
      <w:r>
        <w:rPr>
          <w:rFonts w:hint="eastAsia" w:eastAsia="楷体_GB2312"/>
          <w:sz w:val="32"/>
          <w:szCs w:val="32"/>
        </w:rPr>
        <w:t>整改措施</w:t>
      </w:r>
    </w:p>
    <w:p w14:paraId="7ADF57E4">
      <w:pPr>
        <w:spacing w:line="600" w:lineRule="exact"/>
        <w:ind w:firstLine="600" w:firstLineChars="200"/>
        <w:rPr>
          <w:rFonts w:eastAsia="仿宋_GB2312"/>
          <w:sz w:val="30"/>
          <w:szCs w:val="30"/>
        </w:rPr>
      </w:pPr>
      <w:r>
        <w:rPr>
          <w:rFonts w:hint="eastAsia" w:eastAsia="仿宋_GB2312"/>
          <w:sz w:val="30"/>
          <w:szCs w:val="30"/>
        </w:rPr>
        <w:t>建议顺义法院各部门结合部门预算，统筹安排，各部门要依法行政、依法理财的高度认真执行预算，完善内部预算管理及监督机制，进一步提升预算资金使用</w:t>
      </w:r>
      <w:r>
        <w:rPr>
          <w:rFonts w:hint="eastAsia" w:eastAsia="仿宋_GB2312"/>
          <w:sz w:val="30"/>
          <w:szCs w:val="30"/>
          <w:lang w:eastAsia="zh-CN"/>
        </w:rPr>
        <w:t>的</w:t>
      </w:r>
      <w:r>
        <w:rPr>
          <w:rFonts w:hint="eastAsia" w:eastAsia="仿宋_GB2312"/>
          <w:sz w:val="30"/>
          <w:szCs w:val="30"/>
        </w:rPr>
        <w:t>规范性、时效性和效益性。</w:t>
      </w:r>
    </w:p>
    <w:p w14:paraId="653BB638">
      <w:pPr>
        <w:spacing w:line="600" w:lineRule="exact"/>
        <w:ind w:left="105" w:leftChars="50" w:firstLine="480" w:firstLineChars="150"/>
        <w:rPr>
          <w:rFonts w:eastAsia="楷体_GB2312"/>
          <w:sz w:val="32"/>
          <w:szCs w:val="32"/>
        </w:rPr>
      </w:pPr>
      <w:r>
        <w:rPr>
          <w:rFonts w:eastAsia="楷体_GB2312"/>
          <w:sz w:val="32"/>
          <w:szCs w:val="32"/>
        </w:rPr>
        <w:t>（</w:t>
      </w:r>
      <w:r>
        <w:rPr>
          <w:rFonts w:hint="eastAsia" w:eastAsia="楷体_GB2312"/>
          <w:sz w:val="32"/>
          <w:szCs w:val="32"/>
        </w:rPr>
        <w:t>二</w:t>
      </w:r>
      <w:r>
        <w:rPr>
          <w:rFonts w:eastAsia="楷体_GB2312"/>
          <w:sz w:val="32"/>
          <w:szCs w:val="32"/>
        </w:rPr>
        <w:t>）</w:t>
      </w:r>
      <w:r>
        <w:rPr>
          <w:rFonts w:hint="eastAsia" w:eastAsia="楷体_GB2312"/>
          <w:sz w:val="32"/>
          <w:szCs w:val="32"/>
        </w:rPr>
        <w:t>下一步工作举措</w:t>
      </w:r>
    </w:p>
    <w:p w14:paraId="3ECA6DDE">
      <w:pPr>
        <w:spacing w:line="600" w:lineRule="exact"/>
        <w:ind w:firstLine="600" w:firstLineChars="200"/>
        <w:rPr>
          <w:rFonts w:eastAsia="仿宋_GB2312"/>
          <w:sz w:val="30"/>
          <w:szCs w:val="30"/>
        </w:rPr>
      </w:pPr>
      <w:r>
        <w:rPr>
          <w:rFonts w:hint="eastAsia" w:eastAsia="仿宋_GB2312"/>
          <w:sz w:val="30"/>
          <w:szCs w:val="30"/>
        </w:rPr>
        <w:t>面对新形势新任务新要求，2024年区法院工作的总体思路是：坚持以习近平新时代中国特色社会主义思想为指导，深入学习贯彻习近平法治思想，全面贯彻落实党的二十大和</w:t>
      </w:r>
      <w:r>
        <w:rPr>
          <w:rFonts w:hint="eastAsia" w:eastAsia="仿宋_GB2312"/>
          <w:sz w:val="30"/>
          <w:szCs w:val="30"/>
          <w:lang w:eastAsia="zh-CN"/>
        </w:rPr>
        <w:t>党的二十届二中、</w:t>
      </w:r>
      <w:r>
        <w:rPr>
          <w:rFonts w:hint="eastAsia" w:ascii="仿宋_GB2312" w:hAnsi="仿宋_GB2312" w:eastAsia="仿宋_GB2312" w:cs="仿宋_GB2312"/>
          <w:color w:val="auto"/>
          <w:sz w:val="32"/>
          <w:szCs w:val="32"/>
          <w:u w:val="none"/>
          <w:shd w:val="clear" w:color="auto" w:fill="auto"/>
        </w:rPr>
        <w:t>三中</w:t>
      </w:r>
      <w:r>
        <w:rPr>
          <w:rFonts w:hint="eastAsia" w:eastAsia="仿宋_GB2312"/>
          <w:sz w:val="30"/>
          <w:szCs w:val="30"/>
          <w:lang w:eastAsia="zh-CN"/>
        </w:rPr>
        <w:t>全会精神</w:t>
      </w:r>
      <w:r>
        <w:rPr>
          <w:rFonts w:hint="eastAsia" w:eastAsia="仿宋_GB2312"/>
          <w:sz w:val="30"/>
          <w:szCs w:val="30"/>
        </w:rPr>
        <w:t>，认真贯彻习近平总书记关于政法工作重要指示精神，贯彻落实中央、市委、区委各项决策部署，坚持稳中求进、稳中提质，坚持为大局服务、为人民司法，坚持严格公正司法、全面从严治党，深入把握审判工作理念、机制、体系、管理现代化要求，推动法院各项工作高质量发展，为落实“平原新城看顺义”“三个走在前列”的目标要求、为率先基本建成社会主义现代化平原新城提供坚实的司法服务和保障。</w:t>
      </w:r>
    </w:p>
    <w:p w14:paraId="62818A0B">
      <w:pPr>
        <w:spacing w:line="600" w:lineRule="exact"/>
        <w:ind w:firstLine="600" w:firstLineChars="200"/>
        <w:rPr>
          <w:rFonts w:hint="eastAsia" w:eastAsia="仿宋_GB2312"/>
          <w:sz w:val="30"/>
          <w:szCs w:val="30"/>
        </w:rPr>
      </w:pPr>
      <w:r>
        <w:rPr>
          <w:rFonts w:hint="eastAsia" w:eastAsia="仿宋_GB2312"/>
          <w:sz w:val="30"/>
          <w:szCs w:val="30"/>
        </w:rPr>
        <w:t>一是始终坚定正确政治方向，以更高标准确保各项决策部署落地落实。全面深入学习贯彻习近平新时代中国特色社会主义思想，以高质量党建引领法院各项工作，增强基层党组织政治功能和组织功能，发挥党建品牌辐射带动效应，巩固拓展党纪学习教育成果，引导干警坚定拥护“两个确立”、坚决做到“两个维护”。切实提升“从政治上看、从法治上办”的能力水平，自觉将司法审判工作放在党和国家工作大局中去谋划，坚持用改革思维和方法推进法院工作现代化，以钉钉子精神确保上级决策部署在司法审判实践中落地生根。</w:t>
      </w:r>
    </w:p>
    <w:p w14:paraId="20190B2B">
      <w:pPr>
        <w:spacing w:line="600" w:lineRule="exact"/>
        <w:ind w:firstLine="600" w:firstLineChars="200"/>
        <w:rPr>
          <w:rFonts w:hint="eastAsia" w:eastAsia="仿宋_GB2312"/>
          <w:sz w:val="30"/>
          <w:szCs w:val="30"/>
        </w:rPr>
      </w:pPr>
      <w:r>
        <w:rPr>
          <w:rFonts w:hint="eastAsia" w:eastAsia="仿宋_GB2312"/>
          <w:sz w:val="30"/>
          <w:szCs w:val="30"/>
        </w:rPr>
        <w:t>二是始终服务发展稳定大局，以更高水平促推平安顺义建设。全力维护社会安定与人民安宁，贯彻落实宽严相济刑事政策，依法惩治各类刑事犯罪，坚持惩防并举、标本兼治，协同做好纠纷实质化解、风险源头防控，压实维护社会稳定责任。围绕推动辖区经济高质量发展，加大对“两区”建设、重点项目、主导产业、新兴产业等司法服务保障力度，创新让企业、群众可感可及的司法举措，服务加快构建具有顺义特色的现代化产业体系。围绕推动现代化新城建设上水平，深化行政审判“四提前”工作机制，持续发挥行政机关负责人出庭应诉制度效能，探索涉重大项目重点工程行政争议实质化解机制，助力提升行政执法规范化水平。深挖多发类案反映的深层次社会治理问题，推动司法建议落地见效；大力培育宣传典型案例，促进“顺义好风气”蔚然成风。</w:t>
      </w:r>
    </w:p>
    <w:p w14:paraId="3FEDE772">
      <w:pPr>
        <w:spacing w:line="600" w:lineRule="exact"/>
        <w:ind w:firstLine="600" w:firstLineChars="200"/>
        <w:rPr>
          <w:rFonts w:hint="eastAsia" w:eastAsia="仿宋_GB2312"/>
          <w:sz w:val="30"/>
          <w:szCs w:val="30"/>
        </w:rPr>
      </w:pPr>
      <w:r>
        <w:rPr>
          <w:rFonts w:hint="eastAsia" w:eastAsia="仿宋_GB2312"/>
          <w:sz w:val="30"/>
          <w:szCs w:val="30"/>
        </w:rPr>
        <w:t>三是始终践行司法为民宗旨，以更实举措满足人民群众的需求与期盼。加强审判执行监督制约体系建设，完善权责明晰、高效运转的审判管理机制，落实和完善司法责任制，以更高办案效率、更优办案质量、更好办案效果回应群众需求。始终把群众呼声作为第一信号，坚持法理情融合，用心办好劳动争议、道路交通、医疗等百姓身边案，用情断好婚姻、抚养、赡养等百姓家务事，大力执行涉农民工追讨欠薪、养老诈骗等民生案件，最大限度实现纠纷一次性化解。坚持和发展新时代“枫桥经验”，完善与属地、相关部门、行业协会等联席会议制度，积极参与社会治安综合治理中心建设和运行，积极指导基层调解，整合优化调解力量，做实做细定分止争，持续拓展“无讼”乡村（社区）创建成效，不断擦亮乡村振兴法治底色。</w:t>
      </w:r>
    </w:p>
    <w:p w14:paraId="596EA5BD">
      <w:pPr>
        <w:spacing w:line="600" w:lineRule="exact"/>
        <w:ind w:firstLine="600" w:firstLineChars="200"/>
        <w:rPr>
          <w:rFonts w:hint="eastAsia" w:eastAsia="仿宋_GB2312"/>
          <w:sz w:val="30"/>
          <w:szCs w:val="30"/>
        </w:rPr>
      </w:pPr>
      <w:r>
        <w:rPr>
          <w:rFonts w:hint="eastAsia" w:eastAsia="仿宋_GB2312"/>
          <w:sz w:val="30"/>
          <w:szCs w:val="30"/>
        </w:rPr>
        <w:t>四是始终纵深推进正风肃纪反腐，以更严要求锻造堪当重任的法院铁军。树立重实干、重实绩的选人用人导向，健全各类人员绩效考评机制，坚持“评案”与“考人”相结合，选优配强干部队伍，提振干事创业精气神。聚焦司法素质能力短板弱项，精准开展全员分级分类业务培训，探索建立全周期、分层次的人才培养机制，进一步打造高层次人才队伍新格局。始终保持永远在路上的坚韧和执着，以彻底的自我革命精神，纵深推进全面从严管党治警，用好身边典型案例“活教材”，打好警示教育“组合拳”，抓实“三个规定”依规如实填报，一体推进不敢腐、不能腐、不想腐。</w:t>
      </w:r>
    </w:p>
    <w:p w14:paraId="4A935F5A">
      <w:pPr>
        <w:spacing w:line="600" w:lineRule="exact"/>
        <w:ind w:firstLine="600" w:firstLineChars="200"/>
        <w:rPr>
          <w:rFonts w:hint="eastAsia" w:eastAsia="仿宋_GB2312"/>
          <w:sz w:val="30"/>
          <w:szCs w:val="30"/>
        </w:rPr>
      </w:pPr>
    </w:p>
    <w:p w14:paraId="5DE3E853">
      <w:pPr>
        <w:spacing w:line="600" w:lineRule="exact"/>
        <w:ind w:firstLine="640" w:firstLineChars="200"/>
        <w:rPr>
          <w:rFonts w:eastAsia="黑体"/>
          <w:color w:val="000000"/>
          <w:kern w:val="0"/>
          <w:sz w:val="32"/>
          <w:szCs w:val="32"/>
        </w:rPr>
      </w:pPr>
      <w:r>
        <w:rPr>
          <w:rFonts w:hint="eastAsia" w:eastAsia="黑体"/>
          <w:color w:val="000000"/>
          <w:kern w:val="0"/>
          <w:sz w:val="32"/>
          <w:szCs w:val="32"/>
        </w:rPr>
        <w:t>七、附件</w:t>
      </w:r>
    </w:p>
    <w:p w14:paraId="0B54AD92">
      <w:pPr>
        <w:spacing w:line="600" w:lineRule="exact"/>
        <w:ind w:firstLine="600" w:firstLineChars="200"/>
        <w:rPr>
          <w:rFonts w:eastAsia="仿宋_GB2312"/>
          <w:sz w:val="30"/>
          <w:szCs w:val="30"/>
        </w:rPr>
      </w:pPr>
      <w:r>
        <w:rPr>
          <w:rFonts w:hint="eastAsia" w:eastAsia="仿宋_GB2312"/>
          <w:sz w:val="30"/>
          <w:szCs w:val="30"/>
        </w:rPr>
        <w:t>部门整体绩效评价指标体系评分表</w:t>
      </w:r>
    </w:p>
    <w:p w14:paraId="139A1255">
      <w:pPr>
        <w:spacing w:line="600" w:lineRule="exact"/>
        <w:ind w:firstLine="600" w:firstLineChars="200"/>
        <w:rPr>
          <w:rFonts w:hint="eastAsia" w:eastAsia="仿宋_GB2312"/>
          <w:sz w:val="30"/>
          <w:szCs w:val="30"/>
        </w:rPr>
      </w:pPr>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仿宋_GBK">
    <w:altName w:val="微软雅黑"/>
    <w:panose1 w:val="02000000000000000000"/>
    <w:charset w:val="86"/>
    <w:family w:val="script"/>
    <w:pitch w:val="default"/>
    <w:sig w:usb0="00000000" w:usb1="00000000" w:usb2="00000000" w:usb3="00000000" w:csb0="00040000" w:csb1="00000000"/>
  </w:font>
  <w:font w:name="方正小标宋简体">
    <w:altName w:val="黑体"/>
    <w:panose1 w:val="00000000000000000000"/>
    <w:charset w:val="86"/>
    <w:family w:val="script"/>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7651845"/>
    </w:sdtPr>
    <w:sdtContent>
      <w:p w14:paraId="70CBC6E2">
        <w:pPr>
          <w:pStyle w:val="4"/>
          <w:jc w:val="center"/>
        </w:pPr>
        <w:r>
          <w:fldChar w:fldCharType="begin"/>
        </w:r>
        <w:r>
          <w:instrText xml:space="preserve">PAGE   \* MERGEFORMAT</w:instrText>
        </w:r>
        <w:r>
          <w:fldChar w:fldCharType="separate"/>
        </w:r>
        <w:r>
          <w:rPr>
            <w:lang w:val="zh-CN"/>
          </w:rPr>
          <w:t>8</w:t>
        </w:r>
        <w:r>
          <w:fldChar w:fldCharType="end"/>
        </w:r>
      </w:p>
    </w:sdtContent>
  </w:sdt>
  <w:p w14:paraId="5499BB85">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F522C28"/>
    <w:multiLevelType w:val="singleLevel"/>
    <w:tmpl w:val="5F522C28"/>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Y5OTM2MzQ4MTI0Y2MyNWQxZjc3NTcxMTc3YmI3MzkifQ=="/>
  </w:docVars>
  <w:rsids>
    <w:rsidRoot w:val="00F02B73"/>
    <w:rsid w:val="00037086"/>
    <w:rsid w:val="0005228E"/>
    <w:rsid w:val="00072444"/>
    <w:rsid w:val="00077588"/>
    <w:rsid w:val="00093F52"/>
    <w:rsid w:val="00095259"/>
    <w:rsid w:val="000A2CE1"/>
    <w:rsid w:val="000B2E0A"/>
    <w:rsid w:val="000B3253"/>
    <w:rsid w:val="000E5762"/>
    <w:rsid w:val="00100B25"/>
    <w:rsid w:val="00104D11"/>
    <w:rsid w:val="00106719"/>
    <w:rsid w:val="00114274"/>
    <w:rsid w:val="00120837"/>
    <w:rsid w:val="00131598"/>
    <w:rsid w:val="00135F00"/>
    <w:rsid w:val="001524A9"/>
    <w:rsid w:val="00161B4D"/>
    <w:rsid w:val="00163EA9"/>
    <w:rsid w:val="001817C5"/>
    <w:rsid w:val="001864FD"/>
    <w:rsid w:val="00191533"/>
    <w:rsid w:val="00193882"/>
    <w:rsid w:val="0019423B"/>
    <w:rsid w:val="001A0F6A"/>
    <w:rsid w:val="001B17E1"/>
    <w:rsid w:val="001B6176"/>
    <w:rsid w:val="001C0F46"/>
    <w:rsid w:val="001C6452"/>
    <w:rsid w:val="001D66DC"/>
    <w:rsid w:val="00200CDF"/>
    <w:rsid w:val="00202F9A"/>
    <w:rsid w:val="00216AB3"/>
    <w:rsid w:val="0021755C"/>
    <w:rsid w:val="00224146"/>
    <w:rsid w:val="0022550C"/>
    <w:rsid w:val="00225900"/>
    <w:rsid w:val="00236254"/>
    <w:rsid w:val="002405CF"/>
    <w:rsid w:val="0024593B"/>
    <w:rsid w:val="00252128"/>
    <w:rsid w:val="002552B3"/>
    <w:rsid w:val="00274015"/>
    <w:rsid w:val="00275016"/>
    <w:rsid w:val="002953B3"/>
    <w:rsid w:val="002A4727"/>
    <w:rsid w:val="002A626A"/>
    <w:rsid w:val="002B1AB1"/>
    <w:rsid w:val="002C6A4F"/>
    <w:rsid w:val="002E0FA5"/>
    <w:rsid w:val="002F3778"/>
    <w:rsid w:val="002F6698"/>
    <w:rsid w:val="00333A2A"/>
    <w:rsid w:val="00345CCC"/>
    <w:rsid w:val="003521CE"/>
    <w:rsid w:val="00353B7C"/>
    <w:rsid w:val="00366362"/>
    <w:rsid w:val="00370D52"/>
    <w:rsid w:val="00373E21"/>
    <w:rsid w:val="00384421"/>
    <w:rsid w:val="00384BBF"/>
    <w:rsid w:val="00386CB2"/>
    <w:rsid w:val="00397577"/>
    <w:rsid w:val="003A3B53"/>
    <w:rsid w:val="003A58BB"/>
    <w:rsid w:val="003B249E"/>
    <w:rsid w:val="003C382E"/>
    <w:rsid w:val="00401CE5"/>
    <w:rsid w:val="0040274B"/>
    <w:rsid w:val="004031DD"/>
    <w:rsid w:val="004064E0"/>
    <w:rsid w:val="00410EB0"/>
    <w:rsid w:val="00437FE7"/>
    <w:rsid w:val="00450F8A"/>
    <w:rsid w:val="00457582"/>
    <w:rsid w:val="00462F73"/>
    <w:rsid w:val="00470F65"/>
    <w:rsid w:val="00471B48"/>
    <w:rsid w:val="00476B1E"/>
    <w:rsid w:val="004970DE"/>
    <w:rsid w:val="004A0E7B"/>
    <w:rsid w:val="004A508C"/>
    <w:rsid w:val="004B2C76"/>
    <w:rsid w:val="004C1947"/>
    <w:rsid w:val="004D1A60"/>
    <w:rsid w:val="004D3979"/>
    <w:rsid w:val="005023F2"/>
    <w:rsid w:val="0050576C"/>
    <w:rsid w:val="00515A43"/>
    <w:rsid w:val="00520A5D"/>
    <w:rsid w:val="00527180"/>
    <w:rsid w:val="0054458D"/>
    <w:rsid w:val="00553508"/>
    <w:rsid w:val="00556080"/>
    <w:rsid w:val="00561480"/>
    <w:rsid w:val="00582360"/>
    <w:rsid w:val="00583E2B"/>
    <w:rsid w:val="00594DD0"/>
    <w:rsid w:val="005C0ED8"/>
    <w:rsid w:val="005D3982"/>
    <w:rsid w:val="005E0452"/>
    <w:rsid w:val="005E367F"/>
    <w:rsid w:val="005E60D5"/>
    <w:rsid w:val="005F08D8"/>
    <w:rsid w:val="005F2383"/>
    <w:rsid w:val="005F3FD9"/>
    <w:rsid w:val="005F6624"/>
    <w:rsid w:val="00603474"/>
    <w:rsid w:val="006041D7"/>
    <w:rsid w:val="0060535C"/>
    <w:rsid w:val="006061BD"/>
    <w:rsid w:val="0060638C"/>
    <w:rsid w:val="00607BAA"/>
    <w:rsid w:val="00615EA1"/>
    <w:rsid w:val="0062126D"/>
    <w:rsid w:val="006214B4"/>
    <w:rsid w:val="00624FCA"/>
    <w:rsid w:val="006402F0"/>
    <w:rsid w:val="006403C9"/>
    <w:rsid w:val="0064785C"/>
    <w:rsid w:val="006557EB"/>
    <w:rsid w:val="00664DFF"/>
    <w:rsid w:val="00670E8C"/>
    <w:rsid w:val="006727BE"/>
    <w:rsid w:val="00687780"/>
    <w:rsid w:val="006C77B9"/>
    <w:rsid w:val="006D249D"/>
    <w:rsid w:val="006D4998"/>
    <w:rsid w:val="006D5610"/>
    <w:rsid w:val="006E023F"/>
    <w:rsid w:val="006E136A"/>
    <w:rsid w:val="006F6731"/>
    <w:rsid w:val="00703F57"/>
    <w:rsid w:val="007128E3"/>
    <w:rsid w:val="007214A3"/>
    <w:rsid w:val="00727662"/>
    <w:rsid w:val="0073662B"/>
    <w:rsid w:val="00746FDB"/>
    <w:rsid w:val="00747D65"/>
    <w:rsid w:val="00750F24"/>
    <w:rsid w:val="00756C84"/>
    <w:rsid w:val="007672F6"/>
    <w:rsid w:val="00782A62"/>
    <w:rsid w:val="007916A3"/>
    <w:rsid w:val="00791ADA"/>
    <w:rsid w:val="007C2CF6"/>
    <w:rsid w:val="007D105D"/>
    <w:rsid w:val="007D1741"/>
    <w:rsid w:val="007E55A6"/>
    <w:rsid w:val="007E77C1"/>
    <w:rsid w:val="007F2F46"/>
    <w:rsid w:val="00814F94"/>
    <w:rsid w:val="00816219"/>
    <w:rsid w:val="0082539E"/>
    <w:rsid w:val="00827F73"/>
    <w:rsid w:val="008330AE"/>
    <w:rsid w:val="00833580"/>
    <w:rsid w:val="00854C76"/>
    <w:rsid w:val="008667DF"/>
    <w:rsid w:val="0086718F"/>
    <w:rsid w:val="00880917"/>
    <w:rsid w:val="00886058"/>
    <w:rsid w:val="008A115E"/>
    <w:rsid w:val="008A1C93"/>
    <w:rsid w:val="008A551A"/>
    <w:rsid w:val="008B1C41"/>
    <w:rsid w:val="008C0E7D"/>
    <w:rsid w:val="008C2B3A"/>
    <w:rsid w:val="008C606E"/>
    <w:rsid w:val="008E7CA2"/>
    <w:rsid w:val="0090242A"/>
    <w:rsid w:val="009040B3"/>
    <w:rsid w:val="00906BE0"/>
    <w:rsid w:val="00914B07"/>
    <w:rsid w:val="009531D3"/>
    <w:rsid w:val="00985C8B"/>
    <w:rsid w:val="00995656"/>
    <w:rsid w:val="009A5A2F"/>
    <w:rsid w:val="009A6D60"/>
    <w:rsid w:val="009D5354"/>
    <w:rsid w:val="009E2A49"/>
    <w:rsid w:val="009E7AB1"/>
    <w:rsid w:val="009F4D3F"/>
    <w:rsid w:val="009F5133"/>
    <w:rsid w:val="00A03879"/>
    <w:rsid w:val="00A10DD0"/>
    <w:rsid w:val="00A22A0C"/>
    <w:rsid w:val="00A231FD"/>
    <w:rsid w:val="00A343B8"/>
    <w:rsid w:val="00A37CE2"/>
    <w:rsid w:val="00A53334"/>
    <w:rsid w:val="00A646B8"/>
    <w:rsid w:val="00A85E19"/>
    <w:rsid w:val="00A97692"/>
    <w:rsid w:val="00AA7655"/>
    <w:rsid w:val="00AB15E4"/>
    <w:rsid w:val="00AD4B30"/>
    <w:rsid w:val="00AD5AEF"/>
    <w:rsid w:val="00AD6C30"/>
    <w:rsid w:val="00AE26F3"/>
    <w:rsid w:val="00AE7E5A"/>
    <w:rsid w:val="00AF510E"/>
    <w:rsid w:val="00AF7F36"/>
    <w:rsid w:val="00B01D94"/>
    <w:rsid w:val="00B05589"/>
    <w:rsid w:val="00B16A80"/>
    <w:rsid w:val="00B23BE9"/>
    <w:rsid w:val="00B36C95"/>
    <w:rsid w:val="00B40883"/>
    <w:rsid w:val="00B45EAF"/>
    <w:rsid w:val="00B50611"/>
    <w:rsid w:val="00B600B9"/>
    <w:rsid w:val="00B65DB9"/>
    <w:rsid w:val="00B72D3E"/>
    <w:rsid w:val="00B8255C"/>
    <w:rsid w:val="00B833BA"/>
    <w:rsid w:val="00BA09ED"/>
    <w:rsid w:val="00BA2796"/>
    <w:rsid w:val="00BA2EA7"/>
    <w:rsid w:val="00BA6E56"/>
    <w:rsid w:val="00BB25FA"/>
    <w:rsid w:val="00BD4978"/>
    <w:rsid w:val="00BF1175"/>
    <w:rsid w:val="00BF1B2E"/>
    <w:rsid w:val="00BF1B95"/>
    <w:rsid w:val="00BF32B9"/>
    <w:rsid w:val="00BF5BBE"/>
    <w:rsid w:val="00C04BEF"/>
    <w:rsid w:val="00C116B4"/>
    <w:rsid w:val="00C347F4"/>
    <w:rsid w:val="00C44B19"/>
    <w:rsid w:val="00C5472C"/>
    <w:rsid w:val="00C57461"/>
    <w:rsid w:val="00C6172E"/>
    <w:rsid w:val="00C66ABC"/>
    <w:rsid w:val="00C705D7"/>
    <w:rsid w:val="00C73F8D"/>
    <w:rsid w:val="00C747DA"/>
    <w:rsid w:val="00C75C59"/>
    <w:rsid w:val="00C847E3"/>
    <w:rsid w:val="00C87CF2"/>
    <w:rsid w:val="00CA0024"/>
    <w:rsid w:val="00CD0CE8"/>
    <w:rsid w:val="00CD452E"/>
    <w:rsid w:val="00CE3BED"/>
    <w:rsid w:val="00CF4961"/>
    <w:rsid w:val="00D0054B"/>
    <w:rsid w:val="00D07FC6"/>
    <w:rsid w:val="00D14B5E"/>
    <w:rsid w:val="00D16F23"/>
    <w:rsid w:val="00D33C5C"/>
    <w:rsid w:val="00D64020"/>
    <w:rsid w:val="00D65C16"/>
    <w:rsid w:val="00D674BF"/>
    <w:rsid w:val="00D77D85"/>
    <w:rsid w:val="00D9734F"/>
    <w:rsid w:val="00DA0CA5"/>
    <w:rsid w:val="00DA38FD"/>
    <w:rsid w:val="00DA4768"/>
    <w:rsid w:val="00DB23D7"/>
    <w:rsid w:val="00DC52F6"/>
    <w:rsid w:val="00DD0A20"/>
    <w:rsid w:val="00DE0757"/>
    <w:rsid w:val="00DF14ED"/>
    <w:rsid w:val="00DF77CD"/>
    <w:rsid w:val="00E03392"/>
    <w:rsid w:val="00E072A6"/>
    <w:rsid w:val="00E07590"/>
    <w:rsid w:val="00E078C8"/>
    <w:rsid w:val="00E1703D"/>
    <w:rsid w:val="00E2356A"/>
    <w:rsid w:val="00E328A7"/>
    <w:rsid w:val="00E37027"/>
    <w:rsid w:val="00E63BAB"/>
    <w:rsid w:val="00E711B7"/>
    <w:rsid w:val="00E72C63"/>
    <w:rsid w:val="00E960AC"/>
    <w:rsid w:val="00E97768"/>
    <w:rsid w:val="00EA33BF"/>
    <w:rsid w:val="00EC184A"/>
    <w:rsid w:val="00EF1813"/>
    <w:rsid w:val="00F011A1"/>
    <w:rsid w:val="00F02B73"/>
    <w:rsid w:val="00F2531F"/>
    <w:rsid w:val="00F26C0B"/>
    <w:rsid w:val="00F27C5A"/>
    <w:rsid w:val="00F30218"/>
    <w:rsid w:val="00F32D20"/>
    <w:rsid w:val="00F331C6"/>
    <w:rsid w:val="00F41F6B"/>
    <w:rsid w:val="00F46257"/>
    <w:rsid w:val="00F47A8A"/>
    <w:rsid w:val="00F53F3D"/>
    <w:rsid w:val="00F64F5A"/>
    <w:rsid w:val="00F739D6"/>
    <w:rsid w:val="00FA60E1"/>
    <w:rsid w:val="00FA7799"/>
    <w:rsid w:val="00FC4872"/>
    <w:rsid w:val="00FE2464"/>
    <w:rsid w:val="00FE3673"/>
    <w:rsid w:val="00FE4B49"/>
    <w:rsid w:val="013073B4"/>
    <w:rsid w:val="01426060"/>
    <w:rsid w:val="01E943A0"/>
    <w:rsid w:val="01FC2C01"/>
    <w:rsid w:val="0236335D"/>
    <w:rsid w:val="02C2228F"/>
    <w:rsid w:val="03011BBD"/>
    <w:rsid w:val="05551D4C"/>
    <w:rsid w:val="05654685"/>
    <w:rsid w:val="05777F14"/>
    <w:rsid w:val="064047AA"/>
    <w:rsid w:val="06846D8D"/>
    <w:rsid w:val="06F51A39"/>
    <w:rsid w:val="077E37DC"/>
    <w:rsid w:val="07ED2B6A"/>
    <w:rsid w:val="08255934"/>
    <w:rsid w:val="086A3D60"/>
    <w:rsid w:val="08753B69"/>
    <w:rsid w:val="08897445"/>
    <w:rsid w:val="08B651F8"/>
    <w:rsid w:val="09095327"/>
    <w:rsid w:val="091E7473"/>
    <w:rsid w:val="097035F9"/>
    <w:rsid w:val="0ACC485F"/>
    <w:rsid w:val="0ADB7197"/>
    <w:rsid w:val="0AFA5870"/>
    <w:rsid w:val="0B195A81"/>
    <w:rsid w:val="0B5D195B"/>
    <w:rsid w:val="0C3F61AD"/>
    <w:rsid w:val="0C9C64B3"/>
    <w:rsid w:val="0CD30126"/>
    <w:rsid w:val="0D505C1B"/>
    <w:rsid w:val="0D71793F"/>
    <w:rsid w:val="0D8E229F"/>
    <w:rsid w:val="0DB6568B"/>
    <w:rsid w:val="0E127789"/>
    <w:rsid w:val="0E6F20D1"/>
    <w:rsid w:val="0E8F516F"/>
    <w:rsid w:val="0F0312ED"/>
    <w:rsid w:val="0F4A0448"/>
    <w:rsid w:val="0F615EBD"/>
    <w:rsid w:val="100E76C7"/>
    <w:rsid w:val="104B00A3"/>
    <w:rsid w:val="109C64BB"/>
    <w:rsid w:val="10E24DDC"/>
    <w:rsid w:val="10E72119"/>
    <w:rsid w:val="1145536B"/>
    <w:rsid w:val="12525F91"/>
    <w:rsid w:val="128A74D9"/>
    <w:rsid w:val="12C27A9B"/>
    <w:rsid w:val="13203999"/>
    <w:rsid w:val="134C0C32"/>
    <w:rsid w:val="13A730B3"/>
    <w:rsid w:val="13C819C1"/>
    <w:rsid w:val="13EB3EF3"/>
    <w:rsid w:val="150177FB"/>
    <w:rsid w:val="150D619F"/>
    <w:rsid w:val="151614F8"/>
    <w:rsid w:val="154C4F1A"/>
    <w:rsid w:val="16041350"/>
    <w:rsid w:val="16273291"/>
    <w:rsid w:val="162B27B3"/>
    <w:rsid w:val="16BD20F3"/>
    <w:rsid w:val="180729F7"/>
    <w:rsid w:val="18422604"/>
    <w:rsid w:val="1910625E"/>
    <w:rsid w:val="19516372"/>
    <w:rsid w:val="1A3C021B"/>
    <w:rsid w:val="1A97157D"/>
    <w:rsid w:val="1AA414D5"/>
    <w:rsid w:val="1B1262BE"/>
    <w:rsid w:val="1BC51582"/>
    <w:rsid w:val="1C1442B7"/>
    <w:rsid w:val="1C9F4596"/>
    <w:rsid w:val="1D4E37F9"/>
    <w:rsid w:val="1E5660C5"/>
    <w:rsid w:val="1E777B11"/>
    <w:rsid w:val="1EDD7162"/>
    <w:rsid w:val="1F0777D3"/>
    <w:rsid w:val="1F2615A1"/>
    <w:rsid w:val="1F323528"/>
    <w:rsid w:val="1FD55B0C"/>
    <w:rsid w:val="1FF77938"/>
    <w:rsid w:val="200C59D1"/>
    <w:rsid w:val="201C198C"/>
    <w:rsid w:val="21585AAE"/>
    <w:rsid w:val="21AB3D91"/>
    <w:rsid w:val="21F879CD"/>
    <w:rsid w:val="220E03B9"/>
    <w:rsid w:val="22F90C34"/>
    <w:rsid w:val="2378337E"/>
    <w:rsid w:val="23A203FB"/>
    <w:rsid w:val="2458344D"/>
    <w:rsid w:val="24EF61D4"/>
    <w:rsid w:val="25665B84"/>
    <w:rsid w:val="25C85716"/>
    <w:rsid w:val="27167CA1"/>
    <w:rsid w:val="27AC1463"/>
    <w:rsid w:val="285E08FB"/>
    <w:rsid w:val="28687E65"/>
    <w:rsid w:val="287265EE"/>
    <w:rsid w:val="28EF5E90"/>
    <w:rsid w:val="29447B75"/>
    <w:rsid w:val="29CC6E69"/>
    <w:rsid w:val="2A107348"/>
    <w:rsid w:val="2A122EC9"/>
    <w:rsid w:val="2A5C071E"/>
    <w:rsid w:val="2AAF16FA"/>
    <w:rsid w:val="2AEF5026"/>
    <w:rsid w:val="2B163BA8"/>
    <w:rsid w:val="2B65243A"/>
    <w:rsid w:val="2BA46C8F"/>
    <w:rsid w:val="2BB86A0D"/>
    <w:rsid w:val="2BC058C2"/>
    <w:rsid w:val="2CD77367"/>
    <w:rsid w:val="2D910534"/>
    <w:rsid w:val="2DC4288F"/>
    <w:rsid w:val="2E3662A3"/>
    <w:rsid w:val="2EE46F73"/>
    <w:rsid w:val="2FCD67FF"/>
    <w:rsid w:val="305667F5"/>
    <w:rsid w:val="310E0E7D"/>
    <w:rsid w:val="32FA2ADB"/>
    <w:rsid w:val="34260354"/>
    <w:rsid w:val="345D63A4"/>
    <w:rsid w:val="34A743F6"/>
    <w:rsid w:val="353C06AF"/>
    <w:rsid w:val="35591A96"/>
    <w:rsid w:val="355F4A74"/>
    <w:rsid w:val="35613C72"/>
    <w:rsid w:val="360016DD"/>
    <w:rsid w:val="36581519"/>
    <w:rsid w:val="368C2A58"/>
    <w:rsid w:val="369B7657"/>
    <w:rsid w:val="3867629B"/>
    <w:rsid w:val="387E2D8D"/>
    <w:rsid w:val="38A26A7B"/>
    <w:rsid w:val="390C2146"/>
    <w:rsid w:val="39972358"/>
    <w:rsid w:val="3A06303A"/>
    <w:rsid w:val="3AD777DD"/>
    <w:rsid w:val="3BC53255"/>
    <w:rsid w:val="3CDD4FE7"/>
    <w:rsid w:val="3D9425AC"/>
    <w:rsid w:val="3E990920"/>
    <w:rsid w:val="3F0A7FA0"/>
    <w:rsid w:val="3F125028"/>
    <w:rsid w:val="3F7D4F2E"/>
    <w:rsid w:val="4012098A"/>
    <w:rsid w:val="41390199"/>
    <w:rsid w:val="417137CD"/>
    <w:rsid w:val="428975DD"/>
    <w:rsid w:val="42FC322C"/>
    <w:rsid w:val="430A4D97"/>
    <w:rsid w:val="43CA157C"/>
    <w:rsid w:val="43CF0940"/>
    <w:rsid w:val="455B692F"/>
    <w:rsid w:val="45F44B10"/>
    <w:rsid w:val="46282628"/>
    <w:rsid w:val="46662ACC"/>
    <w:rsid w:val="466943F9"/>
    <w:rsid w:val="46B901DF"/>
    <w:rsid w:val="46C832BD"/>
    <w:rsid w:val="46F34946"/>
    <w:rsid w:val="46F55DD0"/>
    <w:rsid w:val="470328D8"/>
    <w:rsid w:val="47307948"/>
    <w:rsid w:val="476145F7"/>
    <w:rsid w:val="47B503EE"/>
    <w:rsid w:val="47C3362C"/>
    <w:rsid w:val="47EA7AF7"/>
    <w:rsid w:val="480C2BDB"/>
    <w:rsid w:val="484F02A2"/>
    <w:rsid w:val="48A00AFD"/>
    <w:rsid w:val="492E435B"/>
    <w:rsid w:val="497951A0"/>
    <w:rsid w:val="4AE92707"/>
    <w:rsid w:val="4C787DC7"/>
    <w:rsid w:val="4C8A7AFA"/>
    <w:rsid w:val="4D550108"/>
    <w:rsid w:val="4D75441B"/>
    <w:rsid w:val="4E362315"/>
    <w:rsid w:val="4ECE61E3"/>
    <w:rsid w:val="4EF25C7F"/>
    <w:rsid w:val="4F9842DC"/>
    <w:rsid w:val="4FA5170C"/>
    <w:rsid w:val="5032295C"/>
    <w:rsid w:val="50CE26AB"/>
    <w:rsid w:val="527E1351"/>
    <w:rsid w:val="53656BCB"/>
    <w:rsid w:val="53A72D40"/>
    <w:rsid w:val="53B86B5B"/>
    <w:rsid w:val="551E34D6"/>
    <w:rsid w:val="55320D2F"/>
    <w:rsid w:val="55674DDF"/>
    <w:rsid w:val="560717D1"/>
    <w:rsid w:val="56BA5480"/>
    <w:rsid w:val="5859375E"/>
    <w:rsid w:val="59F70789"/>
    <w:rsid w:val="5A040EEC"/>
    <w:rsid w:val="5A144EA7"/>
    <w:rsid w:val="5A556960"/>
    <w:rsid w:val="5A920D5A"/>
    <w:rsid w:val="5A9F6E67"/>
    <w:rsid w:val="5AD46C9D"/>
    <w:rsid w:val="5C56756F"/>
    <w:rsid w:val="5EAA582E"/>
    <w:rsid w:val="5ED5606C"/>
    <w:rsid w:val="5EF62DCD"/>
    <w:rsid w:val="5F055641"/>
    <w:rsid w:val="5F7C32D2"/>
    <w:rsid w:val="5FD75EB8"/>
    <w:rsid w:val="607641C6"/>
    <w:rsid w:val="60911000"/>
    <w:rsid w:val="60B62814"/>
    <w:rsid w:val="60E6759D"/>
    <w:rsid w:val="61642270"/>
    <w:rsid w:val="627E1E92"/>
    <w:rsid w:val="62943029"/>
    <w:rsid w:val="63027A37"/>
    <w:rsid w:val="634C56B2"/>
    <w:rsid w:val="6356208C"/>
    <w:rsid w:val="641C32D6"/>
    <w:rsid w:val="64E3593F"/>
    <w:rsid w:val="64E667B7"/>
    <w:rsid w:val="64F61D79"/>
    <w:rsid w:val="65A92947"/>
    <w:rsid w:val="65B80DDC"/>
    <w:rsid w:val="65ED4F2A"/>
    <w:rsid w:val="65F30067"/>
    <w:rsid w:val="6678554A"/>
    <w:rsid w:val="66E250EA"/>
    <w:rsid w:val="675044C2"/>
    <w:rsid w:val="67A27F96"/>
    <w:rsid w:val="698A6F34"/>
    <w:rsid w:val="6A260B2B"/>
    <w:rsid w:val="6A4175F2"/>
    <w:rsid w:val="6B0845B4"/>
    <w:rsid w:val="6B610944"/>
    <w:rsid w:val="6B9D4CFC"/>
    <w:rsid w:val="6C036568"/>
    <w:rsid w:val="6C843EF9"/>
    <w:rsid w:val="6C8D4D71"/>
    <w:rsid w:val="6CA87DFD"/>
    <w:rsid w:val="6CB205DA"/>
    <w:rsid w:val="6D30394E"/>
    <w:rsid w:val="6D3B211F"/>
    <w:rsid w:val="6DCC3677"/>
    <w:rsid w:val="6E3F46CC"/>
    <w:rsid w:val="6E7F06E9"/>
    <w:rsid w:val="6EC425A0"/>
    <w:rsid w:val="6F234695"/>
    <w:rsid w:val="6FE52308"/>
    <w:rsid w:val="70A044F5"/>
    <w:rsid w:val="71436346"/>
    <w:rsid w:val="719374FA"/>
    <w:rsid w:val="71A41A51"/>
    <w:rsid w:val="71B71317"/>
    <w:rsid w:val="73263829"/>
    <w:rsid w:val="73841D2D"/>
    <w:rsid w:val="74055B35"/>
    <w:rsid w:val="745E5245"/>
    <w:rsid w:val="74962C31"/>
    <w:rsid w:val="74BD640F"/>
    <w:rsid w:val="74F646C9"/>
    <w:rsid w:val="754F71E0"/>
    <w:rsid w:val="75C335B1"/>
    <w:rsid w:val="762E3465"/>
    <w:rsid w:val="767B1273"/>
    <w:rsid w:val="76916E59"/>
    <w:rsid w:val="76A25E17"/>
    <w:rsid w:val="77FC724F"/>
    <w:rsid w:val="78146346"/>
    <w:rsid w:val="78864B48"/>
    <w:rsid w:val="79312349"/>
    <w:rsid w:val="795E5322"/>
    <w:rsid w:val="7A146AD1"/>
    <w:rsid w:val="7A737ACF"/>
    <w:rsid w:val="7AC57DCC"/>
    <w:rsid w:val="7AD251AF"/>
    <w:rsid w:val="7AE91D0C"/>
    <w:rsid w:val="7B14584D"/>
    <w:rsid w:val="7B187EFC"/>
    <w:rsid w:val="7BC02341"/>
    <w:rsid w:val="7BF5648F"/>
    <w:rsid w:val="7C0A3959"/>
    <w:rsid w:val="7C345209"/>
    <w:rsid w:val="7C4D62CB"/>
    <w:rsid w:val="7C662EE9"/>
    <w:rsid w:val="7CA83501"/>
    <w:rsid w:val="7DAC69B0"/>
    <w:rsid w:val="7DD54327"/>
    <w:rsid w:val="7E265025"/>
    <w:rsid w:val="7ECC37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39"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5"/>
    <w:qFormat/>
    <w:uiPriority w:val="9"/>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9"/>
    <w:semiHidden/>
    <w:unhideWhenUsed/>
    <w:qFormat/>
    <w:uiPriority w:val="99"/>
    <w:pPr>
      <w:jc w:val="left"/>
    </w:pPr>
  </w:style>
  <w:style w:type="paragraph" w:styleId="4">
    <w:name w:val="footer"/>
    <w:basedOn w:val="1"/>
    <w:link w:val="13"/>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3"/>
    <w:next w:val="3"/>
    <w:link w:val="20"/>
    <w:semiHidden/>
    <w:unhideWhenUsed/>
    <w:qFormat/>
    <w:uiPriority w:val="99"/>
    <w:rPr>
      <w:b/>
      <w:bCs/>
    </w:rPr>
  </w:style>
  <w:style w:type="table" w:styleId="8">
    <w:name w:val="Table Grid"/>
    <w:basedOn w:val="7"/>
    <w:semiHidden/>
    <w:unhideWhenUsed/>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unhideWhenUsed/>
    <w:qFormat/>
    <w:uiPriority w:val="99"/>
    <w:rPr>
      <w:color w:val="0000FF"/>
      <w:u w:val="single"/>
    </w:rPr>
  </w:style>
  <w:style w:type="character" w:styleId="11">
    <w:name w:val="annotation reference"/>
    <w:basedOn w:val="9"/>
    <w:semiHidden/>
    <w:unhideWhenUsed/>
    <w:qFormat/>
    <w:uiPriority w:val="99"/>
    <w:rPr>
      <w:sz w:val="21"/>
      <w:szCs w:val="21"/>
    </w:rPr>
  </w:style>
  <w:style w:type="character" w:customStyle="1" w:styleId="12">
    <w:name w:val="页眉 字符"/>
    <w:basedOn w:val="9"/>
    <w:link w:val="5"/>
    <w:qFormat/>
    <w:uiPriority w:val="99"/>
    <w:rPr>
      <w:sz w:val="18"/>
      <w:szCs w:val="18"/>
    </w:rPr>
  </w:style>
  <w:style w:type="character" w:customStyle="1" w:styleId="13">
    <w:name w:val="页脚 字符"/>
    <w:basedOn w:val="9"/>
    <w:link w:val="4"/>
    <w:qFormat/>
    <w:uiPriority w:val="99"/>
    <w:rPr>
      <w:sz w:val="18"/>
      <w:szCs w:val="18"/>
    </w:rPr>
  </w:style>
  <w:style w:type="character" w:styleId="14">
    <w:name w:val="Placeholder Text"/>
    <w:basedOn w:val="9"/>
    <w:semiHidden/>
    <w:qFormat/>
    <w:uiPriority w:val="99"/>
    <w:rPr>
      <w:color w:val="808080"/>
    </w:rPr>
  </w:style>
  <w:style w:type="character" w:customStyle="1" w:styleId="15">
    <w:name w:val="标题 1 字符"/>
    <w:basedOn w:val="9"/>
    <w:link w:val="2"/>
    <w:qFormat/>
    <w:uiPriority w:val="9"/>
    <w:rPr>
      <w:rFonts w:ascii="Times New Roman" w:hAnsi="Times New Roman" w:eastAsia="宋体" w:cs="Times New Roman"/>
      <w:b/>
      <w:bCs/>
      <w:kern w:val="44"/>
      <w:sz w:val="44"/>
      <w:szCs w:val="44"/>
    </w:rPr>
  </w:style>
  <w:style w:type="paragraph" w:customStyle="1" w:styleId="16">
    <w:name w:val="TOC 标题1"/>
    <w:basedOn w:val="2"/>
    <w:next w:val="1"/>
    <w:semiHidden/>
    <w:unhideWhenUsed/>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7">
    <w:name w:val="_Style 11"/>
    <w:basedOn w:val="1"/>
    <w:next w:val="1"/>
    <w:qFormat/>
    <w:uiPriority w:val="39"/>
    <w:pPr>
      <w:ind w:left="420" w:leftChars="200"/>
    </w:pPr>
  </w:style>
  <w:style w:type="paragraph" w:customStyle="1" w:styleId="18">
    <w:name w:val="Default"/>
    <w:qFormat/>
    <w:uiPriority w:val="0"/>
    <w:pPr>
      <w:widowControl w:val="0"/>
      <w:autoSpaceDE w:val="0"/>
      <w:autoSpaceDN w:val="0"/>
      <w:adjustRightInd w:val="0"/>
    </w:pPr>
    <w:rPr>
      <w:rFonts w:ascii="仿宋_GB2312" w:eastAsia="仿宋_GB2312" w:cs="仿宋_GB2312" w:hAnsiTheme="minorHAnsi"/>
      <w:color w:val="000000"/>
      <w:sz w:val="24"/>
      <w:szCs w:val="24"/>
      <w:lang w:val="en-US" w:eastAsia="zh-CN" w:bidi="ar-SA"/>
    </w:rPr>
  </w:style>
  <w:style w:type="character" w:customStyle="1" w:styleId="19">
    <w:name w:val="批注文字 字符"/>
    <w:basedOn w:val="9"/>
    <w:link w:val="3"/>
    <w:semiHidden/>
    <w:qFormat/>
    <w:uiPriority w:val="99"/>
    <w:rPr>
      <w:rFonts w:ascii="Times New Roman" w:hAnsi="Times New Roman" w:eastAsia="宋体" w:cs="Times New Roman"/>
      <w:szCs w:val="24"/>
    </w:rPr>
  </w:style>
  <w:style w:type="character" w:customStyle="1" w:styleId="20">
    <w:name w:val="批注主题 字符"/>
    <w:basedOn w:val="19"/>
    <w:link w:val="6"/>
    <w:semiHidden/>
    <w:qFormat/>
    <w:uiPriority w:val="99"/>
    <w:rPr>
      <w:rFonts w:ascii="Times New Roman" w:hAnsi="Times New Roman" w:eastAsia="宋体" w:cs="Times New Roman"/>
      <w:b/>
      <w:bCs/>
      <w:szCs w:val="24"/>
    </w:rPr>
  </w:style>
  <w:style w:type="paragraph" w:customStyle="1" w:styleId="21">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22">
    <w:name w:val="修订2"/>
    <w:hidden/>
    <w:semiHidden/>
    <w:qFormat/>
    <w:uiPriority w:val="99"/>
    <w:rPr>
      <w:rFonts w:ascii="Times New Roman" w:hAnsi="Times New Roman" w:eastAsia="宋体" w:cs="Times New Roman"/>
      <w:kern w:val="2"/>
      <w:sz w:val="21"/>
      <w:szCs w:val="24"/>
      <w:lang w:val="en-US" w:eastAsia="zh-CN" w:bidi="ar-SA"/>
    </w:rPr>
  </w:style>
  <w:style w:type="paragraph" w:customStyle="1" w:styleId="23">
    <w:name w:val="修订3"/>
    <w:hidden/>
    <w:semiHidden/>
    <w:qFormat/>
    <w:uiPriority w:val="99"/>
    <w:rPr>
      <w:rFonts w:ascii="Times New Roman" w:hAnsi="Times New Roman" w:eastAsia="宋体" w:cs="Times New Roman"/>
      <w:kern w:val="2"/>
      <w:sz w:val="21"/>
      <w:szCs w:val="24"/>
      <w:lang w:val="en-US" w:eastAsia="zh-CN" w:bidi="ar-SA"/>
    </w:rPr>
  </w:style>
  <w:style w:type="paragraph" w:customStyle="1" w:styleId="24">
    <w:name w:val="附件栏"/>
    <w:basedOn w:val="1"/>
    <w:qFormat/>
    <w:uiPriority w:val="99"/>
    <w:pPr>
      <w:autoSpaceDE w:val="0"/>
      <w:autoSpaceDN w:val="0"/>
      <w:snapToGrid w:val="0"/>
      <w:spacing w:line="590" w:lineRule="atLeast"/>
      <w:ind w:firstLine="624"/>
    </w:pPr>
    <w:rPr>
      <w:rFonts w:eastAsia="方正仿宋_GBK"/>
      <w:kern w:val="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19</Pages>
  <Words>8807</Words>
  <Characters>9466</Characters>
  <Lines>65</Lines>
  <Paragraphs>18</Paragraphs>
  <TotalTime>1</TotalTime>
  <ScaleCrop>false</ScaleCrop>
  <LinksUpToDate>false</LinksUpToDate>
  <CharactersWithSpaces>9511</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2024-05-08T05:15:00Z</dcterms:created>
  <dc:creator>user</dc:creator>
  <cp:lastModifiedBy>Lenovo</cp:lastModifiedBy>
  <cp:lastPrinted>2025-08-25T07:57:00Z</cp:lastPrinted>
  <dcterms:modified xsi:type="dcterms:W3CDTF">2025-08-27T01:52:08Z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9A6024666D364714A6A9DDCCB1EFE445_12</vt:lpwstr>
  </property>
  <property fmtid="{D5CDD505-2E9C-101B-9397-08002B2CF9AE}" pid="4" name="KSOTemplateDocerSaveRecord">
    <vt:lpwstr>eyJoZGlkIjoiYzUyNTNjYzY3NGVhZmJiODk0MGRmZGNhYjY1OGU5NjkiLCJ1c2VySWQiOiI0NDEyMjMxOTgifQ==</vt:lpwstr>
  </property>
</Properties>
</file>