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FA467">
      <w:pPr>
        <w:snapToGrid w:val="0"/>
        <w:spacing w:line="580" w:lineRule="exact"/>
        <w:ind w:firstLine="880" w:firstLineChars="200"/>
        <w:jc w:val="center"/>
        <w:textAlignment w:val="baseline"/>
        <w:rPr>
          <w:rFonts w:hint="eastAsia" w:ascii="方正小标宋简体" w:hAnsi="方正小标宋简体" w:eastAsia="方正小标宋简体" w:cs="方正小标宋简体"/>
          <w:bCs/>
          <w:color w:val="000000"/>
          <w:kern w:val="16"/>
          <w:sz w:val="44"/>
          <w:szCs w:val="44"/>
          <w:lang w:val="en-US" w:eastAsia="zh-CN"/>
        </w:rPr>
      </w:pPr>
      <w:r>
        <w:rPr>
          <w:rFonts w:hint="eastAsia" w:ascii="方正小标宋简体" w:hAnsi="方正小标宋简体" w:eastAsia="方正小标宋简体" w:cs="方正小标宋简体"/>
          <w:bCs/>
          <w:color w:val="000000"/>
          <w:kern w:val="16"/>
          <w:sz w:val="44"/>
          <w:szCs w:val="44"/>
          <w:lang w:val="en-US" w:eastAsia="zh-CN"/>
        </w:rPr>
        <w:t xml:space="preserve"> </w:t>
      </w:r>
    </w:p>
    <w:p w14:paraId="7FF3B522">
      <w:pPr>
        <w:pStyle w:val="6"/>
      </w:pPr>
    </w:p>
    <w:p w14:paraId="10DC952D">
      <w:pPr>
        <w:pStyle w:val="13"/>
        <w:ind w:left="3360"/>
        <w:textAlignment w:val="baseline"/>
      </w:pPr>
    </w:p>
    <w:p w14:paraId="6F4D632D">
      <w:pPr>
        <w:snapToGrid w:val="0"/>
        <w:spacing w:line="580" w:lineRule="exact"/>
        <w:ind w:firstLine="880" w:firstLineChars="200"/>
        <w:jc w:val="center"/>
        <w:textAlignment w:val="baseline"/>
        <w:rPr>
          <w:rFonts w:ascii="方正小标宋简体" w:hAnsi="方正小标宋简体" w:eastAsia="方正小标宋简体" w:cs="方正小标宋简体"/>
          <w:bCs/>
          <w:color w:val="000000"/>
          <w:kern w:val="16"/>
          <w:sz w:val="44"/>
          <w:szCs w:val="44"/>
        </w:rPr>
      </w:pPr>
    </w:p>
    <w:p w14:paraId="46205D91">
      <w:pPr>
        <w:keepNext w:val="0"/>
        <w:keepLines w:val="0"/>
        <w:pageBreakBefore w:val="0"/>
        <w:widowControl w:val="0"/>
        <w:kinsoku/>
        <w:wordWrap/>
        <w:overflowPunct/>
        <w:topLinePunct w:val="0"/>
        <w:autoSpaceDE/>
        <w:autoSpaceDN/>
        <w:bidi w:val="0"/>
        <w:adjustRightInd/>
        <w:snapToGrid w:val="0"/>
        <w:spacing w:line="580" w:lineRule="exact"/>
        <w:ind w:firstLine="0" w:firstLineChars="0"/>
        <w:jc w:val="center"/>
        <w:textAlignment w:val="baseline"/>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部门整体绩效评价报告</w:t>
      </w:r>
    </w:p>
    <w:p w14:paraId="46D9B04A">
      <w:pPr>
        <w:spacing w:after="240" w:line="540" w:lineRule="exact"/>
        <w:jc w:val="center"/>
        <w:textAlignment w:val="baseline"/>
        <w:rPr>
          <w:b/>
          <w:bCs/>
          <w:spacing w:val="50"/>
          <w:sz w:val="32"/>
          <w:szCs w:val="32"/>
        </w:rPr>
      </w:pPr>
    </w:p>
    <w:p w14:paraId="3C6E19EC">
      <w:pPr>
        <w:snapToGrid w:val="0"/>
        <w:spacing w:after="312" w:line="300" w:lineRule="auto"/>
        <w:textAlignment w:val="baseline"/>
        <w:rPr>
          <w:rFonts w:eastAsia="仿宋_GB2312"/>
          <w:b/>
          <w:bCs/>
          <w:sz w:val="36"/>
          <w:szCs w:val="20"/>
        </w:rPr>
      </w:pPr>
    </w:p>
    <w:p w14:paraId="6CECCA96">
      <w:pPr>
        <w:keepNext w:val="0"/>
        <w:keepLines w:val="0"/>
        <w:pageBreakBefore w:val="0"/>
        <w:widowControl/>
        <w:suppressLineNumbers w:val="0"/>
        <w:kinsoku/>
        <w:wordWrap/>
        <w:overflowPunct/>
        <w:topLinePunct w:val="0"/>
        <w:autoSpaceDE/>
        <w:autoSpaceDN/>
        <w:bidi w:val="0"/>
        <w:adjustRightInd/>
        <w:snapToGrid/>
        <w:jc w:val="left"/>
        <w:textAlignment w:val="auto"/>
        <w:rPr>
          <w:rFonts w:eastAsia="仿宋_GB2312"/>
          <w:bCs/>
          <w:kern w:val="0"/>
          <w:sz w:val="32"/>
          <w:szCs w:val="32"/>
          <w:u w:val="none" w:color="auto"/>
        </w:rPr>
      </w:pPr>
    </w:p>
    <w:p w14:paraId="28683B14">
      <w:pPr>
        <w:pStyle w:val="9"/>
        <w:rPr>
          <w:rFonts w:eastAsia="仿宋_GB2312"/>
          <w:bCs/>
          <w:kern w:val="0"/>
          <w:sz w:val="32"/>
          <w:szCs w:val="32"/>
          <w:u w:val="none" w:color="auto"/>
        </w:rPr>
      </w:pPr>
    </w:p>
    <w:p w14:paraId="641D352A">
      <w:pPr>
        <w:pStyle w:val="9"/>
        <w:rPr>
          <w:rFonts w:eastAsia="仿宋_GB2312"/>
          <w:bCs/>
          <w:kern w:val="0"/>
          <w:sz w:val="32"/>
          <w:szCs w:val="32"/>
          <w:u w:val="none" w:color="auto"/>
        </w:rPr>
      </w:pPr>
    </w:p>
    <w:p w14:paraId="6A92A767">
      <w:pPr>
        <w:pStyle w:val="9"/>
        <w:rPr>
          <w:rFonts w:eastAsia="仿宋_GB2312"/>
          <w:bCs/>
          <w:kern w:val="0"/>
          <w:sz w:val="32"/>
          <w:szCs w:val="32"/>
          <w:u w:val="none" w:color="auto"/>
        </w:rPr>
      </w:pPr>
    </w:p>
    <w:p w14:paraId="50D58444">
      <w:pPr>
        <w:pStyle w:val="9"/>
        <w:rPr>
          <w:rFonts w:eastAsia="仿宋_GB2312"/>
          <w:bCs/>
          <w:kern w:val="0"/>
          <w:sz w:val="32"/>
          <w:szCs w:val="32"/>
          <w:u w:val="none" w:color="auto"/>
        </w:rPr>
      </w:pPr>
    </w:p>
    <w:p w14:paraId="3FAE10CC">
      <w:pPr>
        <w:pStyle w:val="9"/>
        <w:rPr>
          <w:rFonts w:eastAsia="仿宋_GB2312"/>
          <w:bCs/>
          <w:kern w:val="0"/>
          <w:sz w:val="32"/>
          <w:szCs w:val="32"/>
          <w:u w:val="none" w:color="auto"/>
        </w:rPr>
      </w:pPr>
    </w:p>
    <w:p w14:paraId="639FF9AA">
      <w:pPr>
        <w:snapToGrid w:val="0"/>
        <w:spacing w:line="360" w:lineRule="auto"/>
        <w:ind w:left="525" w:leftChars="250" w:right="525"/>
        <w:jc w:val="left"/>
        <w:textAlignment w:val="baseline"/>
        <w:rPr>
          <w:rFonts w:eastAsia="仿宋_GB2312"/>
          <w:kern w:val="0"/>
          <w:sz w:val="32"/>
          <w:szCs w:val="32"/>
          <w:u w:val="single"/>
        </w:rPr>
      </w:pPr>
      <w:r>
        <w:rPr>
          <w:rFonts w:eastAsia="仿宋_GB2312"/>
          <w:b/>
          <w:sz w:val="32"/>
          <w:szCs w:val="32"/>
        </w:rPr>
        <w:t>实施部门：</w:t>
      </w:r>
      <w:r>
        <w:rPr>
          <w:rFonts w:hint="eastAsia" w:ascii="仿宋_GB2312" w:hAnsi="仿宋_GB2312" w:eastAsia="仿宋_GB2312" w:cs="仿宋_GB2312"/>
          <w:color w:val="000000"/>
          <w:kern w:val="16"/>
          <w:sz w:val="32"/>
          <w:szCs w:val="32"/>
          <w:u w:val="single" w:color="000000"/>
          <w:lang w:val="en-US" w:eastAsia="zh-CN"/>
        </w:rPr>
        <w:t xml:space="preserve">  北京城市副中心工程建设管理办公室</w:t>
      </w:r>
      <w:r>
        <w:rPr>
          <w:rFonts w:hint="eastAsia" w:ascii="仿宋_GB2312" w:hAnsi="仿宋_GB2312" w:eastAsia="仿宋_GB2312" w:cs="仿宋_GB2312"/>
          <w:color w:val="000000"/>
          <w:kern w:val="16"/>
          <w:sz w:val="32"/>
          <w:szCs w:val="32"/>
          <w:u w:val="single" w:color="000000"/>
        </w:rPr>
        <w:t xml:space="preserve">  </w:t>
      </w:r>
      <w:r>
        <w:rPr>
          <w:rFonts w:eastAsia="仿宋_GB2312"/>
          <w:bCs/>
          <w:kern w:val="0"/>
          <w:sz w:val="32"/>
          <w:szCs w:val="32"/>
          <w:u w:val="none" w:color="auto"/>
        </w:rPr>
        <w:t xml:space="preserve"> </w:t>
      </w:r>
    </w:p>
    <w:p w14:paraId="2F00438B">
      <w:pPr>
        <w:keepNext w:val="0"/>
        <w:keepLines w:val="0"/>
        <w:pageBreakBefore w:val="0"/>
        <w:widowControl w:val="0"/>
        <w:kinsoku/>
        <w:wordWrap/>
        <w:overflowPunct/>
        <w:topLinePunct w:val="0"/>
        <w:autoSpaceDE/>
        <w:autoSpaceDN/>
        <w:bidi w:val="0"/>
        <w:adjustRightInd w:val="0"/>
        <w:snapToGrid w:val="0"/>
        <w:spacing w:line="360" w:lineRule="auto"/>
        <w:ind w:left="2292" w:leftChars="250" w:right="539" w:hanging="1767" w:hangingChars="550"/>
        <w:jc w:val="left"/>
        <w:textAlignment w:val="baseline"/>
        <w:rPr>
          <w:rFonts w:ascii="仿宋_GB2312" w:hAnsi="仿宋_GB2312" w:eastAsia="仿宋_GB2312" w:cs="仿宋_GB2312"/>
          <w:color w:val="000000"/>
          <w:kern w:val="16"/>
          <w:sz w:val="32"/>
          <w:szCs w:val="32"/>
          <w:u w:val="single" w:color="000000"/>
        </w:rPr>
      </w:pPr>
      <w:r>
        <w:rPr>
          <w:rFonts w:eastAsia="仿宋_GB2312"/>
          <w:b/>
          <w:sz w:val="32"/>
          <w:szCs w:val="32"/>
        </w:rPr>
        <w:t>项目名称：</w:t>
      </w:r>
      <w:r>
        <w:rPr>
          <w:rFonts w:eastAsia="仿宋_GB2312"/>
          <w:bCs/>
          <w:kern w:val="0"/>
          <w:sz w:val="32"/>
          <w:szCs w:val="32"/>
          <w:u w:val="single" w:color="000000"/>
        </w:rPr>
        <w:t xml:space="preserve">  </w:t>
      </w:r>
      <w:r>
        <w:rPr>
          <w:rFonts w:hint="eastAsia" w:eastAsia="仿宋_GB2312"/>
          <w:bCs/>
          <w:kern w:val="0"/>
          <w:sz w:val="32"/>
          <w:szCs w:val="32"/>
          <w:u w:val="single" w:color="000000"/>
        </w:rPr>
        <w:t xml:space="preserve">   </w:t>
      </w:r>
      <w:r>
        <w:rPr>
          <w:rFonts w:hint="eastAsia" w:eastAsia="仿宋_GB2312"/>
          <w:bCs/>
          <w:kern w:val="0"/>
          <w:sz w:val="32"/>
          <w:szCs w:val="32"/>
          <w:u w:val="single" w:color="000000"/>
          <w:lang w:val="en-US" w:eastAsia="zh-CN"/>
        </w:rPr>
        <w:t xml:space="preserve">  </w:t>
      </w:r>
      <w:r>
        <w:rPr>
          <w:rFonts w:hint="eastAsia" w:ascii="仿宋_GB2312" w:hAnsi="仿宋_GB2312" w:eastAsia="仿宋_GB2312" w:cs="仿宋_GB2312"/>
          <w:color w:val="000000"/>
          <w:kern w:val="16"/>
          <w:sz w:val="32"/>
          <w:szCs w:val="32"/>
          <w:u w:val="single" w:color="000000"/>
        </w:rPr>
        <w:t>20</w:t>
      </w:r>
      <w:r>
        <w:rPr>
          <w:rFonts w:hint="eastAsia" w:ascii="仿宋_GB2312" w:hAnsi="仿宋_GB2312" w:eastAsia="仿宋_GB2312" w:cs="仿宋_GB2312"/>
          <w:color w:val="000000"/>
          <w:kern w:val="16"/>
          <w:sz w:val="32"/>
          <w:szCs w:val="32"/>
          <w:u w:val="single" w:color="000000"/>
          <w:lang w:val="en-US" w:eastAsia="zh-CN"/>
        </w:rPr>
        <w:t>24</w:t>
      </w:r>
      <w:r>
        <w:rPr>
          <w:rFonts w:hint="eastAsia" w:ascii="仿宋_GB2312" w:hAnsi="仿宋_GB2312" w:eastAsia="仿宋_GB2312" w:cs="仿宋_GB2312"/>
          <w:color w:val="000000"/>
          <w:kern w:val="16"/>
          <w:sz w:val="32"/>
          <w:szCs w:val="32"/>
          <w:u w:val="single" w:color="000000"/>
        </w:rPr>
        <w:t>年部门整体绩效评价</w:t>
      </w:r>
      <w:r>
        <w:rPr>
          <w:rFonts w:hint="eastAsia" w:ascii="仿宋_GB2312" w:hAnsi="仿宋_GB2312" w:eastAsia="仿宋_GB2312" w:cs="仿宋_GB2312"/>
          <w:color w:val="000000"/>
          <w:kern w:val="16"/>
          <w:sz w:val="32"/>
          <w:szCs w:val="32"/>
          <w:u w:val="single" w:color="000000"/>
          <w:lang w:val="en-US" w:eastAsia="zh-CN"/>
        </w:rPr>
        <w:t xml:space="preserve">     </w:t>
      </w:r>
      <w:r>
        <w:rPr>
          <w:rFonts w:hint="eastAsia" w:ascii="仿宋_GB2312" w:hAnsi="仿宋_GB2312" w:eastAsia="仿宋_GB2312" w:cs="仿宋_GB2312"/>
          <w:color w:val="000000"/>
          <w:kern w:val="16"/>
          <w:sz w:val="32"/>
          <w:szCs w:val="32"/>
          <w:u w:val="single" w:color="000000"/>
        </w:rPr>
        <w:t xml:space="preserve">  </w:t>
      </w:r>
    </w:p>
    <w:p w14:paraId="20A18160">
      <w:pPr>
        <w:spacing w:line="480" w:lineRule="auto"/>
        <w:jc w:val="center"/>
        <w:textAlignment w:val="baseline"/>
        <w:rPr>
          <w:rFonts w:eastAsia="黑体"/>
          <w:b/>
          <w:sz w:val="32"/>
          <w:szCs w:val="20"/>
        </w:rPr>
      </w:pPr>
    </w:p>
    <w:p w14:paraId="606EA334"/>
    <w:p w14:paraId="57D113CD">
      <w:pPr>
        <w:pStyle w:val="6"/>
        <w:ind w:left="0" w:leftChars="0" w:firstLine="0" w:firstLineChars="0"/>
      </w:pPr>
    </w:p>
    <w:p w14:paraId="439B0E84">
      <w:pPr>
        <w:spacing w:line="480" w:lineRule="auto"/>
        <w:jc w:val="center"/>
        <w:textAlignment w:val="baseline"/>
        <w:rPr>
          <w:rFonts w:eastAsia="黑体"/>
          <w:b/>
          <w:sz w:val="32"/>
          <w:szCs w:val="20"/>
        </w:rPr>
      </w:pPr>
    </w:p>
    <w:p w14:paraId="4D9DBEDA">
      <w:pPr>
        <w:snapToGrid w:val="0"/>
        <w:spacing w:line="360" w:lineRule="auto"/>
        <w:ind w:firstLine="0" w:firstLineChars="0"/>
        <w:jc w:val="center"/>
        <w:rPr>
          <w:rFonts w:hint="eastAsia" w:ascii="宋体" w:hAnsi="宋体" w:eastAsia="宋体" w:cs="宋体"/>
          <w:b/>
          <w:sz w:val="32"/>
          <w:szCs w:val="32"/>
        </w:rPr>
      </w:pPr>
      <w:bookmarkStart w:id="0" w:name="_Hlk71569008"/>
      <w:r>
        <w:rPr>
          <w:rFonts w:hint="eastAsia" w:ascii="宋体" w:hAnsi="宋体" w:eastAsia="宋体" w:cs="宋体"/>
          <w:b/>
          <w:sz w:val="32"/>
          <w:szCs w:val="32"/>
        </w:rPr>
        <w:t>北京城市副中心工程建设管理办公室</w:t>
      </w:r>
    </w:p>
    <w:bookmarkEnd w:id="0"/>
    <w:p w14:paraId="5236E680">
      <w:pPr>
        <w:jc w:val="center"/>
        <w:textAlignment w:val="baseline"/>
        <w:rPr>
          <w:rFonts w:hint="eastAsia" w:ascii="宋体" w:hAnsi="宋体" w:eastAsia="宋体" w:cs="宋体"/>
          <w:b/>
          <w:kern w:val="44"/>
          <w:sz w:val="32"/>
          <w:szCs w:val="32"/>
        </w:rPr>
      </w:pPr>
      <w:r>
        <w:rPr>
          <w:rFonts w:hint="eastAsia" w:ascii="宋体" w:hAnsi="宋体" w:eastAsia="宋体" w:cs="宋体"/>
          <w:b/>
          <w:kern w:val="44"/>
          <w:sz w:val="32"/>
          <w:szCs w:val="32"/>
        </w:rPr>
        <w:t>20</w:t>
      </w:r>
      <w:r>
        <w:rPr>
          <w:rFonts w:hint="eastAsia" w:ascii="宋体" w:hAnsi="宋体" w:eastAsia="宋体" w:cs="宋体"/>
          <w:b/>
          <w:kern w:val="44"/>
          <w:sz w:val="32"/>
          <w:szCs w:val="32"/>
          <w:lang w:val="en-US" w:eastAsia="zh-CN"/>
        </w:rPr>
        <w:t>25</w:t>
      </w:r>
      <w:r>
        <w:rPr>
          <w:rFonts w:hint="eastAsia" w:ascii="宋体" w:hAnsi="宋体" w:eastAsia="宋体" w:cs="宋体"/>
          <w:b/>
          <w:kern w:val="44"/>
          <w:sz w:val="32"/>
          <w:szCs w:val="32"/>
        </w:rPr>
        <w:t>年</w:t>
      </w:r>
      <w:r>
        <w:rPr>
          <w:rFonts w:hint="eastAsia" w:ascii="宋体" w:hAnsi="宋体" w:eastAsia="宋体" w:cs="宋体"/>
          <w:b/>
          <w:kern w:val="44"/>
          <w:sz w:val="32"/>
          <w:szCs w:val="32"/>
          <w:lang w:val="en-US" w:eastAsia="zh-CN"/>
        </w:rPr>
        <w:t>5</w:t>
      </w:r>
      <w:r>
        <w:rPr>
          <w:rFonts w:hint="eastAsia" w:ascii="宋体" w:hAnsi="宋体" w:eastAsia="宋体" w:cs="宋体"/>
          <w:b/>
          <w:kern w:val="44"/>
          <w:sz w:val="32"/>
          <w:szCs w:val="32"/>
        </w:rPr>
        <w:t>月</w:t>
      </w:r>
    </w:p>
    <w:p w14:paraId="5B3680B2">
      <w:pPr>
        <w:rPr>
          <w:rFonts w:hint="eastAsia" w:ascii="宋体" w:hAnsi="宋体" w:eastAsia="宋体" w:cs="宋体"/>
          <w:b/>
          <w:kern w:val="44"/>
          <w:sz w:val="32"/>
          <w:szCs w:val="32"/>
        </w:rPr>
      </w:pPr>
      <w:r>
        <w:rPr>
          <w:rFonts w:hint="eastAsia" w:ascii="宋体" w:hAnsi="宋体" w:eastAsia="宋体" w:cs="宋体"/>
          <w:b/>
          <w:kern w:val="44"/>
          <w:sz w:val="32"/>
          <w:szCs w:val="32"/>
        </w:rPr>
        <w:br w:type="page"/>
      </w:r>
    </w:p>
    <w:sdt>
      <w:sdtPr>
        <w:rPr>
          <w:rFonts w:ascii="宋体" w:hAnsi="宋体" w:eastAsia="宋体"/>
          <w:b/>
          <w:bCs/>
          <w:sz w:val="44"/>
          <w:szCs w:val="44"/>
        </w:rPr>
        <w:id w:val="147451666"/>
        <w15:color w:val="DBDBDB"/>
        <w:docPartObj>
          <w:docPartGallery w:val="Table of Contents"/>
          <w:docPartUnique/>
        </w:docPartObj>
      </w:sdtPr>
      <w:sdtEndPr>
        <w:rPr>
          <w:rFonts w:asciiTheme="minorHAnsi" w:hAnsiTheme="minorHAnsi" w:eastAsiaTheme="minorEastAsia"/>
          <w:b/>
          <w:bCs/>
          <w:sz w:val="28"/>
          <w:szCs w:val="28"/>
        </w:rPr>
      </w:sdtEndPr>
      <w:sdtContent>
        <w:p w14:paraId="6A8CDBAC">
          <w:pPr>
            <w:jc w:val="center"/>
            <w:textAlignment w:val="baseline"/>
            <w:rPr>
              <w:b/>
              <w:bCs/>
              <w:sz w:val="44"/>
              <w:szCs w:val="44"/>
            </w:rPr>
          </w:pPr>
          <w:r>
            <w:rPr>
              <w:rFonts w:ascii="宋体" w:hAnsi="宋体" w:eastAsia="宋体"/>
              <w:b/>
              <w:bCs/>
              <w:sz w:val="44"/>
              <w:szCs w:val="44"/>
            </w:rPr>
            <w:t>目</w:t>
          </w:r>
          <w:r>
            <w:rPr>
              <w:rFonts w:hint="eastAsia" w:ascii="宋体" w:hAnsi="宋体" w:eastAsia="宋体"/>
              <w:b/>
              <w:bCs/>
              <w:sz w:val="44"/>
              <w:szCs w:val="44"/>
            </w:rPr>
            <w:t xml:space="preserve"> </w:t>
          </w:r>
          <w:r>
            <w:rPr>
              <w:rFonts w:ascii="宋体" w:hAnsi="宋体" w:eastAsia="宋体"/>
              <w:b/>
              <w:bCs/>
              <w:sz w:val="44"/>
              <w:szCs w:val="44"/>
            </w:rPr>
            <w:t>录</w:t>
          </w:r>
        </w:p>
        <w:p w14:paraId="0BB8E0F0">
          <w:pPr>
            <w:pStyle w:val="12"/>
            <w:tabs>
              <w:tab w:val="right" w:leader="dot" w:pos="8504"/>
            </w:tabs>
            <w:rPr>
              <w:sz w:val="28"/>
              <w:szCs w:val="28"/>
            </w:rPr>
          </w:pPr>
          <w:r>
            <w:rPr>
              <w:sz w:val="28"/>
              <w:szCs w:val="28"/>
            </w:rPr>
            <w:fldChar w:fldCharType="begin"/>
          </w:r>
          <w:r>
            <w:rPr>
              <w:sz w:val="28"/>
              <w:szCs w:val="28"/>
            </w:rPr>
            <w:instrText xml:space="preserve">TOC \o "1-2" \h \u </w:instrText>
          </w:r>
          <w:r>
            <w:rPr>
              <w:sz w:val="28"/>
              <w:szCs w:val="28"/>
            </w:rPr>
            <w:fldChar w:fldCharType="separate"/>
          </w:r>
          <w:r>
            <w:rPr>
              <w:sz w:val="28"/>
              <w:szCs w:val="28"/>
            </w:rPr>
            <w:fldChar w:fldCharType="begin"/>
          </w:r>
          <w:r>
            <w:rPr>
              <w:sz w:val="28"/>
              <w:szCs w:val="28"/>
            </w:rPr>
            <w:instrText xml:space="preserve"> HYPERLINK \l _Toc23316 </w:instrText>
          </w:r>
          <w:r>
            <w:rPr>
              <w:sz w:val="28"/>
              <w:szCs w:val="28"/>
            </w:rPr>
            <w:fldChar w:fldCharType="separate"/>
          </w:r>
          <w:r>
            <w:rPr>
              <w:rFonts w:hint="eastAsia" w:ascii="黑体" w:hAnsi="黑体" w:eastAsia="黑体"/>
              <w:sz w:val="28"/>
              <w:szCs w:val="28"/>
            </w:rPr>
            <w:t>一、部门概况</w:t>
          </w:r>
          <w:r>
            <w:rPr>
              <w:sz w:val="28"/>
              <w:szCs w:val="28"/>
            </w:rPr>
            <w:tab/>
          </w:r>
          <w:r>
            <w:rPr>
              <w:sz w:val="28"/>
              <w:szCs w:val="28"/>
            </w:rPr>
            <w:fldChar w:fldCharType="begin"/>
          </w:r>
          <w:r>
            <w:rPr>
              <w:sz w:val="28"/>
              <w:szCs w:val="28"/>
            </w:rPr>
            <w:instrText xml:space="preserve"> PAGEREF _Toc23316 \h </w:instrText>
          </w:r>
          <w:r>
            <w:rPr>
              <w:sz w:val="28"/>
              <w:szCs w:val="28"/>
            </w:rPr>
            <w:fldChar w:fldCharType="separate"/>
          </w:r>
          <w:r>
            <w:rPr>
              <w:sz w:val="28"/>
              <w:szCs w:val="28"/>
            </w:rPr>
            <w:t>1</w:t>
          </w:r>
          <w:r>
            <w:rPr>
              <w:sz w:val="28"/>
              <w:szCs w:val="28"/>
            </w:rPr>
            <w:fldChar w:fldCharType="end"/>
          </w:r>
          <w:r>
            <w:rPr>
              <w:sz w:val="28"/>
              <w:szCs w:val="28"/>
            </w:rPr>
            <w:fldChar w:fldCharType="end"/>
          </w:r>
        </w:p>
        <w:p w14:paraId="2A255C82">
          <w:pPr>
            <w:pStyle w:val="14"/>
            <w:tabs>
              <w:tab w:val="right" w:leader="dot" w:pos="8504"/>
            </w:tabs>
            <w:rPr>
              <w:sz w:val="28"/>
              <w:szCs w:val="28"/>
            </w:rPr>
          </w:pPr>
          <w:r>
            <w:rPr>
              <w:sz w:val="28"/>
              <w:szCs w:val="28"/>
            </w:rPr>
            <w:fldChar w:fldCharType="begin"/>
          </w:r>
          <w:r>
            <w:rPr>
              <w:sz w:val="28"/>
              <w:szCs w:val="28"/>
            </w:rPr>
            <w:instrText xml:space="preserve"> HYPERLINK \l _Toc24814 </w:instrText>
          </w:r>
          <w:r>
            <w:rPr>
              <w:sz w:val="28"/>
              <w:szCs w:val="28"/>
            </w:rPr>
            <w:fldChar w:fldCharType="separate"/>
          </w:r>
          <w:r>
            <w:rPr>
              <w:rFonts w:hint="eastAsia" w:ascii="楷体_GB2312" w:eastAsia="楷体_GB2312"/>
              <w:bCs/>
              <w:sz w:val="28"/>
              <w:szCs w:val="28"/>
            </w:rPr>
            <w:t>（一）机构设置及职责工作任务情况</w:t>
          </w:r>
          <w:r>
            <w:rPr>
              <w:sz w:val="28"/>
              <w:szCs w:val="28"/>
            </w:rPr>
            <w:tab/>
          </w:r>
          <w:r>
            <w:rPr>
              <w:sz w:val="28"/>
              <w:szCs w:val="28"/>
            </w:rPr>
            <w:fldChar w:fldCharType="begin"/>
          </w:r>
          <w:r>
            <w:rPr>
              <w:sz w:val="28"/>
              <w:szCs w:val="28"/>
            </w:rPr>
            <w:instrText xml:space="preserve"> PAGEREF _Toc24814 \h </w:instrText>
          </w:r>
          <w:r>
            <w:rPr>
              <w:sz w:val="28"/>
              <w:szCs w:val="28"/>
            </w:rPr>
            <w:fldChar w:fldCharType="separate"/>
          </w:r>
          <w:r>
            <w:rPr>
              <w:sz w:val="28"/>
              <w:szCs w:val="28"/>
            </w:rPr>
            <w:t>1</w:t>
          </w:r>
          <w:r>
            <w:rPr>
              <w:sz w:val="28"/>
              <w:szCs w:val="28"/>
            </w:rPr>
            <w:fldChar w:fldCharType="end"/>
          </w:r>
          <w:r>
            <w:rPr>
              <w:sz w:val="28"/>
              <w:szCs w:val="28"/>
            </w:rPr>
            <w:fldChar w:fldCharType="end"/>
          </w:r>
        </w:p>
        <w:p w14:paraId="45ED5A78">
          <w:pPr>
            <w:pStyle w:val="14"/>
            <w:tabs>
              <w:tab w:val="right" w:leader="dot" w:pos="8504"/>
            </w:tabs>
            <w:rPr>
              <w:sz w:val="28"/>
              <w:szCs w:val="28"/>
            </w:rPr>
          </w:pPr>
          <w:r>
            <w:rPr>
              <w:sz w:val="28"/>
              <w:szCs w:val="28"/>
            </w:rPr>
            <w:fldChar w:fldCharType="begin"/>
          </w:r>
          <w:r>
            <w:rPr>
              <w:sz w:val="28"/>
              <w:szCs w:val="28"/>
            </w:rPr>
            <w:instrText xml:space="preserve"> HYPERLINK \l _Toc401 </w:instrText>
          </w:r>
          <w:r>
            <w:rPr>
              <w:sz w:val="28"/>
              <w:szCs w:val="28"/>
            </w:rPr>
            <w:fldChar w:fldCharType="separate"/>
          </w:r>
          <w:r>
            <w:rPr>
              <w:rFonts w:hint="eastAsia" w:ascii="楷体_GB2312" w:eastAsia="楷体_GB2312"/>
              <w:bCs/>
              <w:sz w:val="28"/>
              <w:szCs w:val="28"/>
            </w:rPr>
            <w:t>（二）部门整体绩效目标设立情况</w:t>
          </w:r>
          <w:r>
            <w:rPr>
              <w:sz w:val="28"/>
              <w:szCs w:val="28"/>
            </w:rPr>
            <w:tab/>
          </w:r>
          <w:r>
            <w:rPr>
              <w:sz w:val="28"/>
              <w:szCs w:val="28"/>
            </w:rPr>
            <w:fldChar w:fldCharType="begin"/>
          </w:r>
          <w:r>
            <w:rPr>
              <w:sz w:val="28"/>
              <w:szCs w:val="28"/>
            </w:rPr>
            <w:instrText xml:space="preserve"> PAGEREF _Toc401 \h </w:instrText>
          </w:r>
          <w:r>
            <w:rPr>
              <w:sz w:val="28"/>
              <w:szCs w:val="28"/>
            </w:rPr>
            <w:fldChar w:fldCharType="separate"/>
          </w:r>
          <w:r>
            <w:rPr>
              <w:sz w:val="28"/>
              <w:szCs w:val="28"/>
            </w:rPr>
            <w:t>2</w:t>
          </w:r>
          <w:r>
            <w:rPr>
              <w:sz w:val="28"/>
              <w:szCs w:val="28"/>
            </w:rPr>
            <w:fldChar w:fldCharType="end"/>
          </w:r>
          <w:r>
            <w:rPr>
              <w:sz w:val="28"/>
              <w:szCs w:val="28"/>
            </w:rPr>
            <w:fldChar w:fldCharType="end"/>
          </w:r>
        </w:p>
        <w:p w14:paraId="40C7E8D6">
          <w:pPr>
            <w:pStyle w:val="12"/>
            <w:tabs>
              <w:tab w:val="right" w:leader="dot" w:pos="8504"/>
            </w:tabs>
            <w:rPr>
              <w:sz w:val="28"/>
              <w:szCs w:val="28"/>
            </w:rPr>
          </w:pPr>
          <w:r>
            <w:rPr>
              <w:sz w:val="28"/>
              <w:szCs w:val="28"/>
            </w:rPr>
            <w:fldChar w:fldCharType="begin"/>
          </w:r>
          <w:r>
            <w:rPr>
              <w:sz w:val="28"/>
              <w:szCs w:val="28"/>
            </w:rPr>
            <w:instrText xml:space="preserve"> HYPERLINK \l _Toc17412 </w:instrText>
          </w:r>
          <w:r>
            <w:rPr>
              <w:sz w:val="28"/>
              <w:szCs w:val="28"/>
            </w:rPr>
            <w:fldChar w:fldCharType="separate"/>
          </w:r>
          <w:r>
            <w:rPr>
              <w:rFonts w:hint="eastAsia" w:ascii="黑体" w:hAnsi="黑体" w:eastAsia="黑体"/>
              <w:sz w:val="28"/>
              <w:szCs w:val="28"/>
            </w:rPr>
            <w:t>二、当年预算执行情况</w:t>
          </w:r>
          <w:r>
            <w:rPr>
              <w:sz w:val="28"/>
              <w:szCs w:val="28"/>
            </w:rPr>
            <w:tab/>
          </w:r>
          <w:r>
            <w:rPr>
              <w:rFonts w:hint="eastAsia"/>
              <w:sz w:val="28"/>
              <w:szCs w:val="28"/>
              <w:lang w:val="en-US" w:eastAsia="zh-CN"/>
            </w:rPr>
            <w:t>5</w:t>
          </w:r>
          <w:r>
            <w:rPr>
              <w:sz w:val="28"/>
              <w:szCs w:val="28"/>
            </w:rPr>
            <w:fldChar w:fldCharType="end"/>
          </w:r>
        </w:p>
        <w:p w14:paraId="440B096E">
          <w:pPr>
            <w:pStyle w:val="12"/>
            <w:tabs>
              <w:tab w:val="right" w:leader="dot" w:pos="8504"/>
            </w:tabs>
            <w:rPr>
              <w:sz w:val="28"/>
              <w:szCs w:val="28"/>
            </w:rPr>
          </w:pPr>
          <w:r>
            <w:rPr>
              <w:sz w:val="28"/>
              <w:szCs w:val="28"/>
            </w:rPr>
            <w:fldChar w:fldCharType="begin"/>
          </w:r>
          <w:r>
            <w:rPr>
              <w:sz w:val="28"/>
              <w:szCs w:val="28"/>
            </w:rPr>
            <w:instrText xml:space="preserve"> HYPERLINK \l _Toc7884 </w:instrText>
          </w:r>
          <w:r>
            <w:rPr>
              <w:sz w:val="28"/>
              <w:szCs w:val="28"/>
            </w:rPr>
            <w:fldChar w:fldCharType="separate"/>
          </w:r>
          <w:r>
            <w:rPr>
              <w:rFonts w:hint="eastAsia" w:ascii="黑体" w:hAnsi="黑体" w:eastAsia="黑体" w:cs="宋体"/>
              <w:kern w:val="0"/>
              <w:sz w:val="28"/>
              <w:szCs w:val="28"/>
            </w:rPr>
            <w:t>三</w:t>
          </w:r>
          <w:r>
            <w:rPr>
              <w:rFonts w:ascii="黑体" w:hAnsi="黑体" w:eastAsia="黑体" w:cs="宋体"/>
              <w:kern w:val="0"/>
              <w:sz w:val="28"/>
              <w:szCs w:val="28"/>
            </w:rPr>
            <w:t>、整体绩效目标实现情况</w:t>
          </w:r>
          <w:r>
            <w:rPr>
              <w:sz w:val="28"/>
              <w:szCs w:val="28"/>
            </w:rPr>
            <w:tab/>
          </w:r>
          <w:r>
            <w:rPr>
              <w:rFonts w:hint="eastAsia"/>
              <w:sz w:val="28"/>
              <w:szCs w:val="28"/>
              <w:lang w:val="en-US" w:eastAsia="zh-CN"/>
            </w:rPr>
            <w:t>5</w:t>
          </w:r>
          <w:r>
            <w:rPr>
              <w:sz w:val="28"/>
              <w:szCs w:val="28"/>
            </w:rPr>
            <w:fldChar w:fldCharType="end"/>
          </w:r>
        </w:p>
        <w:p w14:paraId="7FB1141F">
          <w:pPr>
            <w:pStyle w:val="14"/>
            <w:tabs>
              <w:tab w:val="right" w:leader="dot" w:pos="8504"/>
            </w:tabs>
            <w:rPr>
              <w:sz w:val="28"/>
              <w:szCs w:val="28"/>
            </w:rPr>
          </w:pPr>
          <w:r>
            <w:rPr>
              <w:sz w:val="28"/>
              <w:szCs w:val="28"/>
            </w:rPr>
            <w:fldChar w:fldCharType="begin"/>
          </w:r>
          <w:r>
            <w:rPr>
              <w:sz w:val="28"/>
              <w:szCs w:val="28"/>
            </w:rPr>
            <w:instrText xml:space="preserve"> HYPERLINK \l _Toc14972 </w:instrText>
          </w:r>
          <w:r>
            <w:rPr>
              <w:sz w:val="28"/>
              <w:szCs w:val="28"/>
            </w:rPr>
            <w:fldChar w:fldCharType="separate"/>
          </w:r>
          <w:r>
            <w:rPr>
              <w:rFonts w:hint="eastAsia" w:ascii="楷体_GB2312" w:eastAsia="楷体_GB2312"/>
              <w:bCs/>
              <w:sz w:val="28"/>
              <w:szCs w:val="28"/>
            </w:rPr>
            <w:t>（一）产出完成情况分析</w:t>
          </w:r>
          <w:r>
            <w:rPr>
              <w:sz w:val="28"/>
              <w:szCs w:val="28"/>
            </w:rPr>
            <w:tab/>
          </w:r>
          <w:r>
            <w:rPr>
              <w:rFonts w:hint="eastAsia"/>
              <w:sz w:val="28"/>
              <w:szCs w:val="28"/>
              <w:lang w:val="en-US" w:eastAsia="zh-CN"/>
            </w:rPr>
            <w:t>5</w:t>
          </w:r>
          <w:r>
            <w:rPr>
              <w:sz w:val="28"/>
              <w:szCs w:val="28"/>
            </w:rPr>
            <w:fldChar w:fldCharType="end"/>
          </w:r>
        </w:p>
        <w:p w14:paraId="7E0F0756">
          <w:pPr>
            <w:pStyle w:val="14"/>
            <w:tabs>
              <w:tab w:val="right" w:leader="dot" w:pos="8504"/>
            </w:tabs>
            <w:rPr>
              <w:sz w:val="28"/>
              <w:szCs w:val="28"/>
            </w:rPr>
          </w:pPr>
          <w:r>
            <w:rPr>
              <w:sz w:val="28"/>
              <w:szCs w:val="28"/>
            </w:rPr>
            <w:fldChar w:fldCharType="begin"/>
          </w:r>
          <w:r>
            <w:rPr>
              <w:sz w:val="28"/>
              <w:szCs w:val="28"/>
            </w:rPr>
            <w:instrText xml:space="preserve"> HYPERLINK \l _Toc27645 </w:instrText>
          </w:r>
          <w:r>
            <w:rPr>
              <w:sz w:val="28"/>
              <w:szCs w:val="28"/>
            </w:rPr>
            <w:fldChar w:fldCharType="separate"/>
          </w:r>
          <w:r>
            <w:rPr>
              <w:rFonts w:hint="eastAsia" w:ascii="楷体_GB2312" w:eastAsia="楷体_GB2312"/>
              <w:bCs/>
              <w:sz w:val="28"/>
              <w:szCs w:val="28"/>
            </w:rPr>
            <w:t>（二）效果实现情况分析</w:t>
          </w:r>
          <w:r>
            <w:rPr>
              <w:sz w:val="28"/>
              <w:szCs w:val="28"/>
            </w:rPr>
            <w:tab/>
          </w:r>
          <w:r>
            <w:rPr>
              <w:rFonts w:hint="eastAsia"/>
              <w:sz w:val="28"/>
              <w:szCs w:val="28"/>
              <w:lang w:val="en-US" w:eastAsia="zh-CN"/>
            </w:rPr>
            <w:t>7</w:t>
          </w:r>
          <w:r>
            <w:rPr>
              <w:sz w:val="28"/>
              <w:szCs w:val="28"/>
            </w:rPr>
            <w:fldChar w:fldCharType="end"/>
          </w:r>
        </w:p>
        <w:p w14:paraId="19412898">
          <w:pPr>
            <w:pStyle w:val="12"/>
            <w:tabs>
              <w:tab w:val="right" w:leader="dot" w:pos="8504"/>
            </w:tabs>
            <w:rPr>
              <w:sz w:val="28"/>
              <w:szCs w:val="28"/>
            </w:rPr>
          </w:pPr>
          <w:r>
            <w:rPr>
              <w:sz w:val="28"/>
              <w:szCs w:val="28"/>
            </w:rPr>
            <w:fldChar w:fldCharType="begin"/>
          </w:r>
          <w:r>
            <w:rPr>
              <w:sz w:val="28"/>
              <w:szCs w:val="28"/>
            </w:rPr>
            <w:instrText xml:space="preserve"> HYPERLINK \l _Toc28601 </w:instrText>
          </w:r>
          <w:r>
            <w:rPr>
              <w:sz w:val="28"/>
              <w:szCs w:val="28"/>
            </w:rPr>
            <w:fldChar w:fldCharType="separate"/>
          </w:r>
          <w:r>
            <w:rPr>
              <w:rFonts w:hint="eastAsia" w:ascii="黑体" w:hAnsi="黑体" w:eastAsia="黑体"/>
              <w:sz w:val="28"/>
              <w:szCs w:val="28"/>
            </w:rPr>
            <w:t>四、预算管理情况分析</w:t>
          </w:r>
          <w:r>
            <w:rPr>
              <w:sz w:val="28"/>
              <w:szCs w:val="28"/>
            </w:rPr>
            <w:tab/>
          </w:r>
          <w:r>
            <w:rPr>
              <w:sz w:val="28"/>
              <w:szCs w:val="28"/>
            </w:rPr>
            <w:fldChar w:fldCharType="begin"/>
          </w:r>
          <w:r>
            <w:rPr>
              <w:sz w:val="28"/>
              <w:szCs w:val="28"/>
            </w:rPr>
            <w:instrText xml:space="preserve"> PAGEREF _Toc28601 \h </w:instrText>
          </w:r>
          <w:r>
            <w:rPr>
              <w:sz w:val="28"/>
              <w:szCs w:val="28"/>
            </w:rPr>
            <w:fldChar w:fldCharType="separate"/>
          </w:r>
          <w:r>
            <w:rPr>
              <w:sz w:val="28"/>
              <w:szCs w:val="28"/>
            </w:rPr>
            <w:t>9</w:t>
          </w:r>
          <w:r>
            <w:rPr>
              <w:sz w:val="28"/>
              <w:szCs w:val="28"/>
            </w:rPr>
            <w:fldChar w:fldCharType="end"/>
          </w:r>
          <w:r>
            <w:rPr>
              <w:sz w:val="28"/>
              <w:szCs w:val="28"/>
            </w:rPr>
            <w:fldChar w:fldCharType="end"/>
          </w:r>
        </w:p>
        <w:p w14:paraId="7A9F66AC">
          <w:pPr>
            <w:pStyle w:val="14"/>
            <w:tabs>
              <w:tab w:val="right" w:leader="dot" w:pos="8504"/>
            </w:tabs>
            <w:rPr>
              <w:sz w:val="28"/>
              <w:szCs w:val="28"/>
            </w:rPr>
          </w:pPr>
          <w:r>
            <w:rPr>
              <w:sz w:val="28"/>
              <w:szCs w:val="28"/>
            </w:rPr>
            <w:fldChar w:fldCharType="begin"/>
          </w:r>
          <w:r>
            <w:rPr>
              <w:sz w:val="28"/>
              <w:szCs w:val="28"/>
            </w:rPr>
            <w:instrText xml:space="preserve"> HYPERLINK \l _Toc27131 </w:instrText>
          </w:r>
          <w:r>
            <w:rPr>
              <w:sz w:val="28"/>
              <w:szCs w:val="28"/>
            </w:rPr>
            <w:fldChar w:fldCharType="separate"/>
          </w:r>
          <w:r>
            <w:rPr>
              <w:rFonts w:hint="eastAsia" w:ascii="楷体_GB2312" w:eastAsia="楷体_GB2312"/>
              <w:bCs/>
              <w:sz w:val="28"/>
              <w:szCs w:val="28"/>
            </w:rPr>
            <w:t>（一）财务管理</w:t>
          </w:r>
          <w:r>
            <w:rPr>
              <w:sz w:val="28"/>
              <w:szCs w:val="28"/>
            </w:rPr>
            <w:tab/>
          </w:r>
          <w:r>
            <w:rPr>
              <w:sz w:val="28"/>
              <w:szCs w:val="28"/>
            </w:rPr>
            <w:fldChar w:fldCharType="begin"/>
          </w:r>
          <w:r>
            <w:rPr>
              <w:sz w:val="28"/>
              <w:szCs w:val="28"/>
            </w:rPr>
            <w:instrText xml:space="preserve"> PAGEREF _Toc27131 \h </w:instrText>
          </w:r>
          <w:r>
            <w:rPr>
              <w:sz w:val="28"/>
              <w:szCs w:val="28"/>
            </w:rPr>
            <w:fldChar w:fldCharType="separate"/>
          </w:r>
          <w:r>
            <w:rPr>
              <w:sz w:val="28"/>
              <w:szCs w:val="28"/>
            </w:rPr>
            <w:t>9</w:t>
          </w:r>
          <w:r>
            <w:rPr>
              <w:sz w:val="28"/>
              <w:szCs w:val="28"/>
            </w:rPr>
            <w:fldChar w:fldCharType="end"/>
          </w:r>
          <w:r>
            <w:rPr>
              <w:sz w:val="28"/>
              <w:szCs w:val="28"/>
            </w:rPr>
            <w:fldChar w:fldCharType="end"/>
          </w:r>
        </w:p>
        <w:p w14:paraId="7234A69D">
          <w:pPr>
            <w:pStyle w:val="14"/>
            <w:tabs>
              <w:tab w:val="right" w:leader="dot" w:pos="8504"/>
            </w:tabs>
            <w:rPr>
              <w:rFonts w:hint="eastAsia" w:eastAsiaTheme="minorEastAsia"/>
              <w:sz w:val="28"/>
              <w:szCs w:val="28"/>
              <w:highlight w:val="none"/>
              <w:lang w:val="en-US" w:eastAsia="zh-CN"/>
            </w:rPr>
          </w:pPr>
          <w:r>
            <w:rPr>
              <w:sz w:val="28"/>
              <w:szCs w:val="28"/>
              <w:highlight w:val="none"/>
            </w:rPr>
            <w:fldChar w:fldCharType="begin"/>
          </w:r>
          <w:r>
            <w:rPr>
              <w:sz w:val="28"/>
              <w:szCs w:val="28"/>
              <w:highlight w:val="none"/>
            </w:rPr>
            <w:instrText xml:space="preserve"> HYPERLINK \l _Toc16450 </w:instrText>
          </w:r>
          <w:r>
            <w:rPr>
              <w:sz w:val="28"/>
              <w:szCs w:val="28"/>
              <w:highlight w:val="none"/>
            </w:rPr>
            <w:fldChar w:fldCharType="separate"/>
          </w:r>
          <w:r>
            <w:rPr>
              <w:rFonts w:hint="eastAsia" w:ascii="楷体_GB2312" w:eastAsia="楷体_GB2312"/>
              <w:sz w:val="28"/>
              <w:szCs w:val="28"/>
              <w:highlight w:val="none"/>
            </w:rPr>
            <w:t>（二）资产管理</w:t>
          </w:r>
          <w:r>
            <w:rPr>
              <w:sz w:val="28"/>
              <w:szCs w:val="28"/>
              <w:highlight w:val="none"/>
            </w:rPr>
            <w:tab/>
          </w:r>
          <w:r>
            <w:rPr>
              <w:rFonts w:hint="eastAsia"/>
              <w:color w:val="0000FF"/>
              <w:sz w:val="28"/>
              <w:szCs w:val="28"/>
              <w:highlight w:val="none"/>
              <w:lang w:val="en-US" w:eastAsia="zh-CN"/>
            </w:rPr>
            <w:t>1</w:t>
          </w:r>
          <w:r>
            <w:rPr>
              <w:sz w:val="28"/>
              <w:szCs w:val="28"/>
              <w:highlight w:val="none"/>
            </w:rPr>
            <w:fldChar w:fldCharType="end"/>
          </w:r>
          <w:r>
            <w:rPr>
              <w:rFonts w:hint="eastAsia"/>
              <w:sz w:val="28"/>
              <w:szCs w:val="28"/>
              <w:highlight w:val="none"/>
              <w:lang w:val="en-US" w:eastAsia="zh-CN"/>
            </w:rPr>
            <w:t>2</w:t>
          </w:r>
        </w:p>
        <w:p w14:paraId="59CEC501">
          <w:pPr>
            <w:pStyle w:val="14"/>
            <w:tabs>
              <w:tab w:val="right" w:leader="dot" w:pos="8504"/>
            </w:tabs>
            <w:rPr>
              <w:rFonts w:hint="eastAsia" w:eastAsiaTheme="minorEastAsia"/>
              <w:sz w:val="28"/>
              <w:szCs w:val="28"/>
              <w:highlight w:val="none"/>
              <w:lang w:val="en-US" w:eastAsia="zh-CN"/>
            </w:rPr>
          </w:pPr>
          <w:r>
            <w:rPr>
              <w:sz w:val="28"/>
              <w:szCs w:val="28"/>
              <w:highlight w:val="none"/>
            </w:rPr>
            <w:fldChar w:fldCharType="begin"/>
          </w:r>
          <w:r>
            <w:rPr>
              <w:sz w:val="28"/>
              <w:szCs w:val="28"/>
              <w:highlight w:val="none"/>
            </w:rPr>
            <w:instrText xml:space="preserve"> HYPERLINK \l _Toc11768 </w:instrText>
          </w:r>
          <w:r>
            <w:rPr>
              <w:sz w:val="28"/>
              <w:szCs w:val="28"/>
              <w:highlight w:val="none"/>
            </w:rPr>
            <w:fldChar w:fldCharType="separate"/>
          </w:r>
          <w:r>
            <w:rPr>
              <w:rFonts w:hint="eastAsia" w:ascii="楷体_GB2312" w:eastAsia="楷体_GB2312"/>
              <w:bCs/>
              <w:sz w:val="28"/>
              <w:szCs w:val="28"/>
              <w:highlight w:val="none"/>
            </w:rPr>
            <w:t>（三）绩效管理</w:t>
          </w:r>
          <w:r>
            <w:rPr>
              <w:sz w:val="28"/>
              <w:szCs w:val="28"/>
              <w:highlight w:val="none"/>
            </w:rPr>
            <w:tab/>
          </w:r>
          <w:r>
            <w:rPr>
              <w:rFonts w:hint="eastAsia"/>
              <w:sz w:val="28"/>
              <w:szCs w:val="28"/>
              <w:highlight w:val="none"/>
              <w:lang w:val="en-US" w:eastAsia="zh-CN"/>
            </w:rPr>
            <w:t>1</w:t>
          </w:r>
          <w:r>
            <w:rPr>
              <w:sz w:val="28"/>
              <w:szCs w:val="28"/>
              <w:highlight w:val="none"/>
            </w:rPr>
            <w:fldChar w:fldCharType="end"/>
          </w:r>
          <w:r>
            <w:rPr>
              <w:rFonts w:hint="eastAsia"/>
              <w:sz w:val="28"/>
              <w:szCs w:val="28"/>
              <w:highlight w:val="none"/>
              <w:lang w:val="en-US" w:eastAsia="zh-CN"/>
            </w:rPr>
            <w:t>3</w:t>
          </w:r>
        </w:p>
        <w:p w14:paraId="29F6ECB5">
          <w:pPr>
            <w:pStyle w:val="14"/>
            <w:tabs>
              <w:tab w:val="right" w:leader="dot" w:pos="8504"/>
            </w:tabs>
            <w:rPr>
              <w:sz w:val="28"/>
              <w:szCs w:val="28"/>
              <w:highlight w:val="none"/>
            </w:rPr>
          </w:pPr>
          <w:r>
            <w:rPr>
              <w:sz w:val="28"/>
              <w:szCs w:val="28"/>
              <w:highlight w:val="none"/>
            </w:rPr>
            <w:fldChar w:fldCharType="begin"/>
          </w:r>
          <w:r>
            <w:rPr>
              <w:sz w:val="28"/>
              <w:szCs w:val="28"/>
              <w:highlight w:val="none"/>
            </w:rPr>
            <w:instrText xml:space="preserve"> HYPERLINK \l _Toc5157 </w:instrText>
          </w:r>
          <w:r>
            <w:rPr>
              <w:sz w:val="28"/>
              <w:szCs w:val="28"/>
              <w:highlight w:val="none"/>
            </w:rPr>
            <w:fldChar w:fldCharType="separate"/>
          </w:r>
          <w:r>
            <w:rPr>
              <w:rFonts w:hint="eastAsia" w:ascii="楷体_GB2312" w:eastAsia="楷体_GB2312"/>
              <w:bCs/>
              <w:sz w:val="28"/>
              <w:szCs w:val="28"/>
              <w:highlight w:val="none"/>
            </w:rPr>
            <w:t>（四）结转结余率</w:t>
          </w:r>
          <w:r>
            <w:rPr>
              <w:sz w:val="28"/>
              <w:szCs w:val="28"/>
              <w:highlight w:val="none"/>
            </w:rPr>
            <w:tab/>
          </w:r>
          <w:r>
            <w:rPr>
              <w:sz w:val="28"/>
              <w:szCs w:val="28"/>
              <w:highlight w:val="none"/>
            </w:rPr>
            <w:fldChar w:fldCharType="begin"/>
          </w:r>
          <w:r>
            <w:rPr>
              <w:sz w:val="28"/>
              <w:szCs w:val="28"/>
              <w:highlight w:val="none"/>
            </w:rPr>
            <w:instrText xml:space="preserve"> PAGEREF _Toc5157 \h </w:instrText>
          </w:r>
          <w:r>
            <w:rPr>
              <w:sz w:val="28"/>
              <w:szCs w:val="28"/>
              <w:highlight w:val="none"/>
            </w:rPr>
            <w:fldChar w:fldCharType="separate"/>
          </w:r>
          <w:r>
            <w:rPr>
              <w:sz w:val="28"/>
              <w:szCs w:val="28"/>
              <w:highlight w:val="none"/>
            </w:rPr>
            <w:t>12</w:t>
          </w:r>
          <w:r>
            <w:rPr>
              <w:sz w:val="28"/>
              <w:szCs w:val="28"/>
              <w:highlight w:val="none"/>
            </w:rPr>
            <w:fldChar w:fldCharType="end"/>
          </w:r>
          <w:r>
            <w:rPr>
              <w:sz w:val="28"/>
              <w:szCs w:val="28"/>
              <w:highlight w:val="none"/>
            </w:rPr>
            <w:fldChar w:fldCharType="end"/>
          </w:r>
        </w:p>
        <w:p w14:paraId="572ABFF7">
          <w:pPr>
            <w:pStyle w:val="14"/>
            <w:tabs>
              <w:tab w:val="right" w:leader="dot" w:pos="8504"/>
            </w:tabs>
            <w:rPr>
              <w:sz w:val="28"/>
              <w:szCs w:val="28"/>
              <w:highlight w:val="none"/>
            </w:rPr>
          </w:pPr>
          <w:r>
            <w:rPr>
              <w:sz w:val="28"/>
              <w:szCs w:val="28"/>
              <w:highlight w:val="none"/>
            </w:rPr>
            <w:fldChar w:fldCharType="begin"/>
          </w:r>
          <w:r>
            <w:rPr>
              <w:sz w:val="28"/>
              <w:szCs w:val="28"/>
              <w:highlight w:val="none"/>
            </w:rPr>
            <w:instrText xml:space="preserve"> HYPERLINK \l _Toc4325 </w:instrText>
          </w:r>
          <w:r>
            <w:rPr>
              <w:sz w:val="28"/>
              <w:szCs w:val="28"/>
              <w:highlight w:val="none"/>
            </w:rPr>
            <w:fldChar w:fldCharType="separate"/>
          </w:r>
          <w:r>
            <w:rPr>
              <w:rFonts w:hint="eastAsia" w:ascii="楷体_GB2312" w:eastAsia="楷体_GB2312"/>
              <w:bCs/>
              <w:sz w:val="28"/>
              <w:szCs w:val="28"/>
              <w:highlight w:val="none"/>
            </w:rPr>
            <w:t>（五）部门预决算差异率</w:t>
          </w:r>
          <w:r>
            <w:rPr>
              <w:sz w:val="28"/>
              <w:szCs w:val="28"/>
              <w:highlight w:val="none"/>
            </w:rPr>
            <w:tab/>
          </w:r>
          <w:r>
            <w:rPr>
              <w:sz w:val="28"/>
              <w:szCs w:val="28"/>
              <w:highlight w:val="none"/>
            </w:rPr>
            <w:fldChar w:fldCharType="begin"/>
          </w:r>
          <w:r>
            <w:rPr>
              <w:sz w:val="28"/>
              <w:szCs w:val="28"/>
              <w:highlight w:val="none"/>
            </w:rPr>
            <w:instrText xml:space="preserve"> PAGEREF _Toc4325 \h </w:instrText>
          </w:r>
          <w:r>
            <w:rPr>
              <w:sz w:val="28"/>
              <w:szCs w:val="28"/>
              <w:highlight w:val="none"/>
            </w:rPr>
            <w:fldChar w:fldCharType="separate"/>
          </w:r>
          <w:r>
            <w:rPr>
              <w:sz w:val="28"/>
              <w:szCs w:val="28"/>
              <w:highlight w:val="none"/>
            </w:rPr>
            <w:t>12</w:t>
          </w:r>
          <w:r>
            <w:rPr>
              <w:sz w:val="28"/>
              <w:szCs w:val="28"/>
              <w:highlight w:val="none"/>
            </w:rPr>
            <w:fldChar w:fldCharType="end"/>
          </w:r>
          <w:r>
            <w:rPr>
              <w:sz w:val="28"/>
              <w:szCs w:val="28"/>
              <w:highlight w:val="none"/>
            </w:rPr>
            <w:fldChar w:fldCharType="end"/>
          </w:r>
        </w:p>
        <w:p w14:paraId="5EB46483">
          <w:pPr>
            <w:pStyle w:val="12"/>
            <w:tabs>
              <w:tab w:val="right" w:leader="dot" w:pos="8504"/>
            </w:tabs>
            <w:rPr>
              <w:rFonts w:hint="eastAsia" w:eastAsiaTheme="minorEastAsia"/>
              <w:sz w:val="28"/>
              <w:szCs w:val="28"/>
              <w:highlight w:val="none"/>
              <w:lang w:val="en-US" w:eastAsia="zh-CN"/>
            </w:rPr>
          </w:pPr>
          <w:r>
            <w:rPr>
              <w:sz w:val="28"/>
              <w:szCs w:val="28"/>
              <w:highlight w:val="none"/>
            </w:rPr>
            <w:fldChar w:fldCharType="begin"/>
          </w:r>
          <w:r>
            <w:rPr>
              <w:sz w:val="28"/>
              <w:szCs w:val="28"/>
              <w:highlight w:val="none"/>
            </w:rPr>
            <w:instrText xml:space="preserve"> HYPERLINK \l _Toc5438 </w:instrText>
          </w:r>
          <w:r>
            <w:rPr>
              <w:sz w:val="28"/>
              <w:szCs w:val="28"/>
              <w:highlight w:val="none"/>
            </w:rPr>
            <w:fldChar w:fldCharType="separate"/>
          </w:r>
          <w:r>
            <w:rPr>
              <w:rFonts w:hint="eastAsia" w:ascii="黑体" w:hAnsi="黑体" w:eastAsia="黑体"/>
              <w:sz w:val="28"/>
              <w:szCs w:val="28"/>
              <w:highlight w:val="none"/>
            </w:rPr>
            <w:t>五、总体</w:t>
          </w:r>
          <w:r>
            <w:rPr>
              <w:rFonts w:ascii="黑体" w:hAnsi="黑体" w:eastAsia="黑体"/>
              <w:sz w:val="28"/>
              <w:szCs w:val="28"/>
              <w:highlight w:val="none"/>
            </w:rPr>
            <w:t>评价结论</w:t>
          </w:r>
          <w:r>
            <w:rPr>
              <w:sz w:val="28"/>
              <w:szCs w:val="28"/>
              <w:highlight w:val="none"/>
            </w:rPr>
            <w:tab/>
          </w:r>
          <w:r>
            <w:rPr>
              <w:rFonts w:hint="eastAsia"/>
              <w:sz w:val="28"/>
              <w:szCs w:val="28"/>
              <w:highlight w:val="none"/>
              <w:lang w:val="en-US" w:eastAsia="zh-CN"/>
            </w:rPr>
            <w:t>1</w:t>
          </w:r>
          <w:r>
            <w:rPr>
              <w:sz w:val="28"/>
              <w:szCs w:val="28"/>
              <w:highlight w:val="none"/>
            </w:rPr>
            <w:fldChar w:fldCharType="end"/>
          </w:r>
          <w:r>
            <w:rPr>
              <w:rFonts w:hint="eastAsia"/>
              <w:sz w:val="28"/>
              <w:szCs w:val="28"/>
              <w:highlight w:val="none"/>
              <w:lang w:val="en-US" w:eastAsia="zh-CN"/>
            </w:rPr>
            <w:t>5</w:t>
          </w:r>
        </w:p>
        <w:p w14:paraId="21829FA3">
          <w:pPr>
            <w:pStyle w:val="14"/>
            <w:tabs>
              <w:tab w:val="right" w:leader="dot" w:pos="8504"/>
            </w:tabs>
            <w:rPr>
              <w:sz w:val="28"/>
              <w:szCs w:val="28"/>
              <w:highlight w:val="none"/>
            </w:rPr>
          </w:pPr>
          <w:r>
            <w:rPr>
              <w:sz w:val="28"/>
              <w:szCs w:val="28"/>
              <w:highlight w:val="none"/>
            </w:rPr>
            <w:fldChar w:fldCharType="begin"/>
          </w:r>
          <w:r>
            <w:rPr>
              <w:sz w:val="28"/>
              <w:szCs w:val="28"/>
              <w:highlight w:val="none"/>
            </w:rPr>
            <w:instrText xml:space="preserve"> HYPERLINK \l _Toc16148 </w:instrText>
          </w:r>
          <w:r>
            <w:rPr>
              <w:sz w:val="28"/>
              <w:szCs w:val="28"/>
              <w:highlight w:val="none"/>
            </w:rPr>
            <w:fldChar w:fldCharType="separate"/>
          </w:r>
          <w:r>
            <w:rPr>
              <w:rFonts w:hint="eastAsia" w:ascii="楷体_GB2312" w:eastAsia="楷体_GB2312"/>
              <w:bCs/>
              <w:sz w:val="28"/>
              <w:szCs w:val="28"/>
              <w:highlight w:val="none"/>
            </w:rPr>
            <w:t>（一）评价得分情况</w:t>
          </w:r>
          <w:r>
            <w:rPr>
              <w:sz w:val="28"/>
              <w:szCs w:val="28"/>
              <w:highlight w:val="none"/>
            </w:rPr>
            <w:tab/>
          </w:r>
          <w:r>
            <w:rPr>
              <w:sz w:val="28"/>
              <w:szCs w:val="28"/>
              <w:highlight w:val="none"/>
            </w:rPr>
            <w:fldChar w:fldCharType="begin"/>
          </w:r>
          <w:r>
            <w:rPr>
              <w:sz w:val="28"/>
              <w:szCs w:val="28"/>
              <w:highlight w:val="none"/>
            </w:rPr>
            <w:instrText xml:space="preserve"> PAGEREF _Toc16148 \h </w:instrText>
          </w:r>
          <w:r>
            <w:rPr>
              <w:sz w:val="28"/>
              <w:szCs w:val="28"/>
              <w:highlight w:val="none"/>
            </w:rPr>
            <w:fldChar w:fldCharType="separate"/>
          </w:r>
          <w:r>
            <w:rPr>
              <w:sz w:val="28"/>
              <w:szCs w:val="28"/>
              <w:highlight w:val="none"/>
            </w:rPr>
            <w:t>13</w:t>
          </w:r>
          <w:r>
            <w:rPr>
              <w:sz w:val="28"/>
              <w:szCs w:val="28"/>
              <w:highlight w:val="none"/>
            </w:rPr>
            <w:fldChar w:fldCharType="end"/>
          </w:r>
          <w:r>
            <w:rPr>
              <w:sz w:val="28"/>
              <w:szCs w:val="28"/>
              <w:highlight w:val="none"/>
            </w:rPr>
            <w:fldChar w:fldCharType="end"/>
          </w:r>
        </w:p>
        <w:p w14:paraId="5C32001C">
          <w:pPr>
            <w:pStyle w:val="14"/>
            <w:tabs>
              <w:tab w:val="right" w:leader="dot" w:pos="8504"/>
            </w:tabs>
            <w:rPr>
              <w:rFonts w:hint="eastAsia" w:eastAsiaTheme="minorEastAsia"/>
              <w:sz w:val="28"/>
              <w:szCs w:val="28"/>
              <w:highlight w:val="none"/>
              <w:lang w:val="en-US" w:eastAsia="zh-CN"/>
            </w:rPr>
          </w:pPr>
          <w:r>
            <w:rPr>
              <w:sz w:val="28"/>
              <w:szCs w:val="28"/>
              <w:highlight w:val="none"/>
            </w:rPr>
            <w:fldChar w:fldCharType="begin"/>
          </w:r>
          <w:r>
            <w:rPr>
              <w:sz w:val="28"/>
              <w:szCs w:val="28"/>
              <w:highlight w:val="none"/>
            </w:rPr>
            <w:instrText xml:space="preserve"> HYPERLINK \l _Toc26844 </w:instrText>
          </w:r>
          <w:r>
            <w:rPr>
              <w:sz w:val="28"/>
              <w:szCs w:val="28"/>
              <w:highlight w:val="none"/>
            </w:rPr>
            <w:fldChar w:fldCharType="separate"/>
          </w:r>
          <w:r>
            <w:rPr>
              <w:rFonts w:hint="eastAsia" w:ascii="楷体_GB2312" w:eastAsia="楷体_GB2312"/>
              <w:bCs/>
              <w:sz w:val="28"/>
              <w:szCs w:val="28"/>
              <w:highlight w:val="none"/>
            </w:rPr>
            <w:t>（二）存在的问题及原因分析</w:t>
          </w:r>
          <w:r>
            <w:rPr>
              <w:sz w:val="28"/>
              <w:szCs w:val="28"/>
              <w:highlight w:val="none"/>
            </w:rPr>
            <w:tab/>
          </w:r>
          <w:r>
            <w:rPr>
              <w:rFonts w:hint="eastAsia"/>
              <w:sz w:val="28"/>
              <w:szCs w:val="28"/>
              <w:highlight w:val="none"/>
              <w:lang w:val="en-US" w:eastAsia="zh-CN"/>
            </w:rPr>
            <w:t>1</w:t>
          </w:r>
          <w:r>
            <w:rPr>
              <w:sz w:val="28"/>
              <w:szCs w:val="28"/>
              <w:highlight w:val="none"/>
            </w:rPr>
            <w:fldChar w:fldCharType="end"/>
          </w:r>
          <w:r>
            <w:rPr>
              <w:rFonts w:hint="eastAsia"/>
              <w:sz w:val="28"/>
              <w:szCs w:val="28"/>
              <w:highlight w:val="none"/>
              <w:lang w:val="en-US" w:eastAsia="zh-CN"/>
            </w:rPr>
            <w:t>7</w:t>
          </w:r>
        </w:p>
        <w:p w14:paraId="21C08CFE">
          <w:pPr>
            <w:pStyle w:val="12"/>
            <w:tabs>
              <w:tab w:val="right" w:leader="dot" w:pos="8504"/>
            </w:tabs>
            <w:rPr>
              <w:sz w:val="28"/>
              <w:szCs w:val="28"/>
            </w:rPr>
          </w:pPr>
          <w:r>
            <w:rPr>
              <w:sz w:val="28"/>
              <w:szCs w:val="28"/>
              <w:highlight w:val="none"/>
            </w:rPr>
            <w:fldChar w:fldCharType="begin"/>
          </w:r>
          <w:r>
            <w:rPr>
              <w:sz w:val="28"/>
              <w:szCs w:val="28"/>
              <w:highlight w:val="none"/>
            </w:rPr>
            <w:instrText xml:space="preserve"> HYPERLINK \l _Toc20952 </w:instrText>
          </w:r>
          <w:r>
            <w:rPr>
              <w:sz w:val="28"/>
              <w:szCs w:val="28"/>
              <w:highlight w:val="none"/>
            </w:rPr>
            <w:fldChar w:fldCharType="separate"/>
          </w:r>
          <w:r>
            <w:rPr>
              <w:rFonts w:hint="eastAsia" w:ascii="黑体" w:hAnsi="黑体" w:eastAsia="黑体" w:cs="宋体"/>
              <w:kern w:val="0"/>
              <w:sz w:val="28"/>
              <w:szCs w:val="28"/>
              <w:highlight w:val="none"/>
            </w:rPr>
            <w:t>六、措施建议</w:t>
          </w:r>
          <w:r>
            <w:rPr>
              <w:sz w:val="28"/>
              <w:szCs w:val="28"/>
              <w:highlight w:val="none"/>
            </w:rPr>
            <w:tab/>
          </w:r>
          <w:r>
            <w:rPr>
              <w:sz w:val="28"/>
              <w:szCs w:val="28"/>
              <w:highlight w:val="none"/>
            </w:rPr>
            <w:fldChar w:fldCharType="begin"/>
          </w:r>
          <w:r>
            <w:rPr>
              <w:sz w:val="28"/>
              <w:szCs w:val="28"/>
              <w:highlight w:val="none"/>
            </w:rPr>
            <w:instrText xml:space="preserve"> PAGEREF _Toc20952 \h </w:instrText>
          </w:r>
          <w:r>
            <w:rPr>
              <w:sz w:val="28"/>
              <w:szCs w:val="28"/>
              <w:highlight w:val="none"/>
            </w:rPr>
            <w:fldChar w:fldCharType="separate"/>
          </w:r>
          <w:r>
            <w:rPr>
              <w:sz w:val="28"/>
              <w:szCs w:val="28"/>
              <w:highlight w:val="none"/>
            </w:rPr>
            <w:t>16</w:t>
          </w:r>
          <w:r>
            <w:rPr>
              <w:sz w:val="28"/>
              <w:szCs w:val="28"/>
              <w:highlight w:val="none"/>
            </w:rPr>
            <w:fldChar w:fldCharType="end"/>
          </w:r>
          <w:r>
            <w:rPr>
              <w:sz w:val="28"/>
              <w:szCs w:val="28"/>
              <w:highlight w:val="none"/>
            </w:rPr>
            <w:fldChar w:fldCharType="end"/>
          </w:r>
        </w:p>
        <w:p w14:paraId="637E0EEB">
          <w:pPr>
            <w:pStyle w:val="13"/>
            <w:ind w:left="3360"/>
            <w:textAlignment w:val="baseline"/>
            <w:rPr>
              <w:sz w:val="28"/>
              <w:szCs w:val="28"/>
            </w:rPr>
          </w:pPr>
          <w:r>
            <w:rPr>
              <w:sz w:val="28"/>
              <w:szCs w:val="28"/>
            </w:rPr>
            <w:fldChar w:fldCharType="end"/>
          </w:r>
        </w:p>
      </w:sdtContent>
    </w:sdt>
    <w:p w14:paraId="042AD385">
      <w:pPr>
        <w:spacing w:line="560" w:lineRule="exact"/>
        <w:jc w:val="center"/>
        <w:textAlignment w:val="baseline"/>
        <w:rPr>
          <w:rFonts w:ascii="方正小标宋简体" w:eastAsia="方正小标宋简体"/>
          <w:sz w:val="28"/>
          <w:szCs w:val="28"/>
        </w:rPr>
        <w:sectPr>
          <w:pgSz w:w="11906" w:h="16838"/>
          <w:pgMar w:top="1701" w:right="1701" w:bottom="1701" w:left="1701" w:header="851" w:footer="992" w:gutter="0"/>
          <w:pgNumType w:start="1"/>
          <w:cols w:space="425" w:num="1"/>
          <w:docGrid w:type="lines" w:linePitch="312" w:charSpace="0"/>
        </w:sectPr>
      </w:pPr>
    </w:p>
    <w:p w14:paraId="28FF3732">
      <w:pPr>
        <w:spacing w:line="600" w:lineRule="exact"/>
        <w:jc w:val="center"/>
        <w:textAlignment w:val="baseline"/>
        <w:outlineLvl w:val="9"/>
        <w:rPr>
          <w:rFonts w:ascii="方正小标宋简体" w:eastAsia="方正小标宋简体"/>
          <w:sz w:val="44"/>
          <w:szCs w:val="44"/>
        </w:rPr>
      </w:pPr>
      <w:bookmarkStart w:id="1" w:name="_Toc12030"/>
      <w:r>
        <w:rPr>
          <w:rFonts w:hint="eastAsia" w:ascii="方正小标宋简体" w:eastAsia="方正小标宋简体"/>
          <w:sz w:val="44"/>
          <w:szCs w:val="44"/>
          <w:lang w:val="en-US" w:eastAsia="zh-CN"/>
        </w:rPr>
        <w:t>2024年</w:t>
      </w:r>
      <w:r>
        <w:rPr>
          <w:rFonts w:hint="eastAsia" w:ascii="方正小标宋简体" w:eastAsia="方正小标宋简体"/>
          <w:sz w:val="44"/>
          <w:szCs w:val="44"/>
        </w:rPr>
        <w:t>部门整体绩效评价报告</w:t>
      </w:r>
      <w:bookmarkEnd w:id="1"/>
    </w:p>
    <w:p w14:paraId="4A26139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lang w:val="en-US" w:eastAsia="zh-CN"/>
        </w:rPr>
      </w:pPr>
    </w:p>
    <w:p w14:paraId="52995CB9">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为进一步推进预算绩效管理，规范财政支出管理，增强部门支出责任，提高财政资金使用效益，根据《中共中央 国务院关于全面实施预算绩效管理的意见》（中发〔2018〕34号）、《中共北京市委</w:t>
      </w:r>
      <w:r>
        <w:rPr>
          <w:rFonts w:hint="default" w:ascii="仿宋_GB2312" w:hAnsi="仿宋" w:eastAsia="仿宋_GB2312"/>
          <w:sz w:val="32"/>
          <w:szCs w:val="32"/>
          <w:lang w:val="en-US" w:eastAsia="zh-CN"/>
        </w:rPr>
        <w:t xml:space="preserve"> </w:t>
      </w:r>
      <w:r>
        <w:rPr>
          <w:rFonts w:hint="eastAsia" w:ascii="仿宋_GB2312" w:hAnsi="仿宋" w:eastAsia="仿宋_GB2312"/>
          <w:sz w:val="32"/>
          <w:szCs w:val="32"/>
          <w:lang w:val="en-US" w:eastAsia="zh-CN"/>
        </w:rPr>
        <w:t>北京市人民政府关于全面实施预算绩效管理的实施意见》（京发〔2019〕12号）、《北京市项目支出绩效评价管理办法》（京财绩效〔2020〕2146号）等文件精神，</w:t>
      </w:r>
      <w:bookmarkStart w:id="2" w:name="_Hlk71567373"/>
      <w:r>
        <w:rPr>
          <w:rFonts w:hint="default" w:ascii="仿宋_GB2312" w:hAnsi="仿宋" w:eastAsia="仿宋_GB2312"/>
          <w:sz w:val="32"/>
          <w:szCs w:val="32"/>
          <w:lang w:val="en-US" w:eastAsia="zh-CN"/>
        </w:rPr>
        <w:t>北京城市副中心工程建设管理办公室</w:t>
      </w:r>
      <w:bookmarkEnd w:id="2"/>
      <w:r>
        <w:rPr>
          <w:rFonts w:hint="default" w:ascii="仿宋_GB2312" w:hAnsi="仿宋" w:eastAsia="仿宋_GB2312"/>
          <w:sz w:val="32"/>
          <w:szCs w:val="32"/>
          <w:lang w:val="en-US" w:eastAsia="zh-CN"/>
        </w:rPr>
        <w:t>（以下简称副中心工程办）按照《北京市财政局关于2025年预算绩效管理工作的通知》（京财绩效〔2025〕245号）部署要求，</w:t>
      </w:r>
      <w:r>
        <w:rPr>
          <w:rFonts w:hint="eastAsia" w:ascii="仿宋_GB2312" w:hAnsi="仿宋" w:eastAsia="仿宋_GB2312"/>
          <w:sz w:val="32"/>
          <w:szCs w:val="32"/>
          <w:lang w:val="en-US" w:eastAsia="zh-CN"/>
        </w:rPr>
        <w:t>组建绩效评价工作组，对2024年部门整体进行绩效评价，形成本报告。</w:t>
      </w:r>
    </w:p>
    <w:p w14:paraId="32CDC69B">
      <w:pPr>
        <w:pStyle w:val="22"/>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0"/>
        <w:rPr>
          <w:rFonts w:ascii="黑体" w:hAnsi="黑体" w:eastAsia="黑体"/>
          <w:sz w:val="32"/>
          <w:szCs w:val="32"/>
        </w:rPr>
      </w:pPr>
      <w:bookmarkStart w:id="3" w:name="_Toc8766"/>
      <w:bookmarkStart w:id="4" w:name="_Toc15145"/>
      <w:bookmarkStart w:id="5" w:name="_Toc23316"/>
      <w:bookmarkStart w:id="6" w:name="_Toc17831"/>
      <w:r>
        <w:rPr>
          <w:rFonts w:hint="eastAsia" w:ascii="黑体" w:hAnsi="黑体" w:eastAsia="黑体"/>
          <w:sz w:val="32"/>
          <w:szCs w:val="32"/>
        </w:rPr>
        <w:t>一、部门概况</w:t>
      </w:r>
      <w:bookmarkEnd w:id="3"/>
      <w:bookmarkEnd w:id="4"/>
      <w:bookmarkEnd w:id="5"/>
      <w:bookmarkEnd w:id="6"/>
    </w:p>
    <w:p w14:paraId="32ECD3F4">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bookmarkStart w:id="7" w:name="_Toc31134"/>
      <w:bookmarkStart w:id="8" w:name="_Toc24814"/>
      <w:bookmarkStart w:id="9" w:name="_Toc23826"/>
      <w:bookmarkStart w:id="10" w:name="_Toc7959"/>
      <w:r>
        <w:rPr>
          <w:rFonts w:hint="eastAsia" w:ascii="楷体_GB2312" w:eastAsia="楷体_GB2312"/>
          <w:b/>
          <w:bCs/>
          <w:sz w:val="32"/>
          <w:szCs w:val="32"/>
        </w:rPr>
        <w:t>（一）机构设置及职责工作任务情况</w:t>
      </w:r>
      <w:bookmarkEnd w:id="7"/>
      <w:bookmarkEnd w:id="8"/>
      <w:bookmarkEnd w:id="9"/>
      <w:bookmarkEnd w:id="10"/>
    </w:p>
    <w:p w14:paraId="5C39212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机构情况</w:t>
      </w:r>
    </w:p>
    <w:p w14:paraId="2E187C5F">
      <w:pPr>
        <w:spacing w:line="560" w:lineRule="exact"/>
        <w:ind w:firstLine="640" w:firstLineChars="200"/>
        <w:rPr>
          <w:rFonts w:hint="eastAsia" w:ascii="仿宋_GB2312" w:hAnsi="Times New Roman" w:eastAsia="仿宋_GB2312" w:cs="Times New Roman"/>
          <w:sz w:val="32"/>
          <w:szCs w:val="32"/>
          <w:highlight w:val="none"/>
          <w:lang w:val="en"/>
        </w:rPr>
      </w:pPr>
      <w:r>
        <w:rPr>
          <w:rFonts w:hint="eastAsia" w:ascii="仿宋_GB2312" w:hAnsi="仿宋" w:eastAsia="仿宋_GB2312"/>
          <w:sz w:val="32"/>
          <w:szCs w:val="32"/>
          <w:lang w:val="en-US" w:eastAsia="zh-CN"/>
        </w:rPr>
        <w:t>按照中共北京市委机构编制委员会办公室《关于调整北京城市副中心工程建设管理办公室内设机构和人员数量的函》（京编办函〔2019〕31号）精神，副中心工程办设置15个内设机构，</w:t>
      </w:r>
      <w:r>
        <w:rPr>
          <w:rFonts w:hint="eastAsia" w:ascii="仿宋_GB2312" w:hAnsi="Times New Roman" w:eastAsia="仿宋_GB2312" w:cs="Times New Roman"/>
          <w:sz w:val="32"/>
          <w:szCs w:val="32"/>
        </w:rPr>
        <w:t>分别为：综合部、财务审计部、招标合同预算部、规划设计管理部、工程建设管理一部、工程建设管理二部、工程建设管理三部、工程质量管理部、建材科技部、安全生产管理部、保障性住房建设协调部、公共服务配套建设协调部、交通基础设施建设协调部、市政和生态环境建设协调部、信息化建设协调部。</w:t>
      </w:r>
    </w:p>
    <w:p w14:paraId="32340E72">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主要职能</w:t>
      </w:r>
    </w:p>
    <w:p w14:paraId="3EDE11C9">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lang w:val="en"/>
        </w:rPr>
      </w:pPr>
      <w:r>
        <w:rPr>
          <w:rFonts w:hint="eastAsia" w:ascii="仿宋_GB2312" w:hAnsi="仿宋" w:eastAsia="仿宋_GB2312"/>
          <w:sz w:val="32"/>
          <w:szCs w:val="32"/>
          <w:lang w:val="en-US" w:eastAsia="zh-CN"/>
        </w:rPr>
        <w:t>副中心工程办作为北京城市副中心行政办公区的建设主体，负责副中心区域内市级重大项目建设协调和行政办公区工程建设的组织实施工作。</w:t>
      </w:r>
    </w:p>
    <w:p w14:paraId="037C0640">
      <w:pPr>
        <w:spacing w:line="560" w:lineRule="exact"/>
        <w:ind w:firstLine="643" w:firstLineChars="200"/>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3.2024年重点工作任务</w:t>
      </w:r>
    </w:p>
    <w:p w14:paraId="6CAB4466">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highlight w:val="none"/>
          <w:lang w:val="en" w:eastAsia="zh-CN"/>
        </w:rPr>
      </w:pPr>
      <w:r>
        <w:rPr>
          <w:rFonts w:hint="eastAsia" w:ascii="仿宋_GB2312" w:hAnsi="仿宋" w:eastAsia="仿宋_GB2312"/>
          <w:sz w:val="32"/>
          <w:szCs w:val="32"/>
          <w:highlight w:val="none"/>
          <w:lang w:val="en-US" w:eastAsia="zh-CN"/>
        </w:rPr>
        <w:t>副中心工程办</w:t>
      </w:r>
      <w:r>
        <w:rPr>
          <w:rFonts w:hint="eastAsia" w:ascii="仿宋_GB2312" w:hAnsi="仿宋" w:eastAsia="仿宋_GB2312"/>
          <w:sz w:val="32"/>
          <w:szCs w:val="32"/>
          <w:highlight w:val="none"/>
          <w:lang w:val="en" w:eastAsia="zh-CN"/>
        </w:rPr>
        <w:t>认真落实上级决策部署，</w:t>
      </w:r>
      <w:r>
        <w:rPr>
          <w:rFonts w:hint="eastAsia" w:ascii="仿宋_GB2312" w:hAnsi="仿宋" w:eastAsia="仿宋_GB2312"/>
          <w:sz w:val="32"/>
          <w:szCs w:val="32"/>
          <w:highlight w:val="none"/>
          <w:lang w:val="en-US" w:eastAsia="zh-CN"/>
        </w:rPr>
        <w:t>结合部门职责</w:t>
      </w:r>
      <w:r>
        <w:rPr>
          <w:rFonts w:hint="eastAsia" w:ascii="仿宋_GB2312" w:hAnsi="仿宋" w:eastAsia="仿宋_GB2312"/>
          <w:sz w:val="32"/>
          <w:szCs w:val="32"/>
          <w:highlight w:val="none"/>
          <w:lang w:val="en" w:eastAsia="zh-CN"/>
        </w:rPr>
        <w:t>，</w:t>
      </w:r>
      <w:r>
        <w:rPr>
          <w:rFonts w:hint="eastAsia" w:ascii="仿宋_GB2312" w:hAnsi="仿宋" w:eastAsia="仿宋_GB2312"/>
          <w:sz w:val="32"/>
          <w:szCs w:val="32"/>
          <w:highlight w:val="none"/>
          <w:lang w:val="en-US" w:eastAsia="zh-CN"/>
        </w:rPr>
        <w:t>2024年开展的</w:t>
      </w:r>
      <w:r>
        <w:rPr>
          <w:rFonts w:hint="eastAsia" w:ascii="仿宋_GB2312" w:hAnsi="仿宋" w:eastAsia="仿宋_GB2312"/>
          <w:sz w:val="32"/>
          <w:szCs w:val="32"/>
          <w:highlight w:val="none"/>
          <w:lang w:val="en" w:eastAsia="zh-CN"/>
        </w:rPr>
        <w:t>重点工作任务如下：</w:t>
      </w:r>
    </w:p>
    <w:p w14:paraId="541FA320">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bookmarkStart w:id="11" w:name="_Toc9052"/>
      <w:bookmarkStart w:id="12" w:name="_Toc17184"/>
      <w:bookmarkStart w:id="13" w:name="_Toc14178"/>
      <w:bookmarkStart w:id="14" w:name="_Toc401"/>
      <w:r>
        <w:rPr>
          <w:rFonts w:hint="eastAsia" w:ascii="仿宋_GB2312" w:hAnsi="仿宋" w:eastAsia="仿宋_GB2312"/>
          <w:sz w:val="32"/>
          <w:szCs w:val="32"/>
          <w:highlight w:val="none"/>
          <w:lang w:val="en-US" w:eastAsia="zh-CN"/>
        </w:rPr>
        <w:t>（1）行政办公区收尾</w:t>
      </w:r>
    </w:p>
    <w:p w14:paraId="01101B34">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副中心工程办聚焦行政办公区收尾阶段，高质量完成行政办公区二期工程结算、决算工作，</w:t>
      </w:r>
      <w:r>
        <w:rPr>
          <w:rFonts w:hint="eastAsia" w:ascii="仿宋_GB2312" w:hAnsi="仿宋_GB2312" w:eastAsia="仿宋_GB2312" w:cs="仿宋_GB2312"/>
          <w:bCs/>
          <w:sz w:val="32"/>
          <w:szCs w:val="32"/>
          <w:highlight w:val="none"/>
          <w:u w:val="none" w:color="auto"/>
        </w:rPr>
        <w:t>全力配合推进一期工程决算</w:t>
      </w:r>
      <w:r>
        <w:rPr>
          <w:rFonts w:hint="eastAsia" w:ascii="仿宋_GB2312" w:hAnsi="仿宋_GB2312" w:eastAsia="仿宋_GB2312" w:cs="仿宋_GB2312"/>
          <w:bCs/>
          <w:sz w:val="32"/>
          <w:szCs w:val="32"/>
          <w:highlight w:val="none"/>
          <w:u w:val="none" w:color="auto"/>
          <w:lang w:eastAsia="zh-CN"/>
        </w:rPr>
        <w:t>，</w:t>
      </w:r>
      <w:r>
        <w:rPr>
          <w:rFonts w:hint="eastAsia" w:ascii="仿宋_GB2312" w:hAnsi="仿宋" w:eastAsia="仿宋_GB2312"/>
          <w:sz w:val="32"/>
          <w:szCs w:val="32"/>
          <w:highlight w:val="none"/>
          <w:lang w:val="en-US" w:eastAsia="zh-CN"/>
        </w:rPr>
        <w:t>加快六合村C08地块大开间建设进度，组织运维看护单位持续做好项目维保工作。同时，完善档案资料整理归档，确保各项工作有迹可循。</w:t>
      </w:r>
    </w:p>
    <w:p w14:paraId="1E4479AE">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（2）重点工程建设</w:t>
      </w:r>
    </w:p>
    <w:p w14:paraId="3EAC18B8">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w:t>
      </w:r>
      <w:r>
        <w:rPr>
          <w:rFonts w:hint="eastAsia" w:ascii="仿宋_GB2312" w:hAnsi="仿宋_GB2312" w:eastAsia="仿宋_GB2312" w:cs="仿宋_GB2312"/>
          <w:sz w:val="32"/>
          <w:szCs w:val="32"/>
          <w:highlight w:val="none"/>
          <w:u w:val="none" w:color="auto"/>
        </w:rPr>
        <w:t>承担副中心市级重点主责协调项目</w:t>
      </w:r>
      <w:r>
        <w:rPr>
          <w:rFonts w:hint="eastAsia" w:ascii="仿宋_GB2312" w:hAnsi="仿宋_GB2312" w:eastAsia="仿宋_GB2312" w:cs="仿宋_GB2312"/>
          <w:sz w:val="32"/>
          <w:szCs w:val="32"/>
          <w:highlight w:val="none"/>
          <w:u w:val="none" w:color="auto"/>
          <w:lang w:eastAsia="zh-CN"/>
        </w:rPr>
        <w:t>，</w:t>
      </w:r>
      <w:r>
        <w:rPr>
          <w:rFonts w:hint="eastAsia" w:ascii="仿宋_GB2312" w:hAnsi="仿宋_GB2312" w:eastAsia="仿宋_GB2312" w:cs="仿宋_GB2312"/>
          <w:sz w:val="32"/>
          <w:szCs w:val="32"/>
          <w:highlight w:val="none"/>
          <w:u w:val="none" w:color="auto"/>
        </w:rPr>
        <w:t>持续做好协调推进，压实主体责任，及时协调解决项目建设难点堵点问题</w:t>
      </w:r>
      <w:r>
        <w:rPr>
          <w:rFonts w:hint="eastAsia" w:ascii="仿宋_GB2312" w:hAnsi="仿宋_GB2312" w:eastAsia="仿宋_GB2312" w:cs="仿宋_GB2312"/>
          <w:sz w:val="32"/>
          <w:szCs w:val="32"/>
          <w:highlight w:val="none"/>
          <w:u w:val="none" w:color="auto"/>
          <w:lang w:eastAsia="zh-CN"/>
        </w:rPr>
        <w:t>，</w:t>
      </w:r>
      <w:r>
        <w:rPr>
          <w:rFonts w:hint="eastAsia" w:ascii="仿宋_GB2312" w:hAnsi="仿宋_GB2312" w:eastAsia="仿宋_GB2312" w:cs="仿宋_GB2312"/>
          <w:sz w:val="32"/>
          <w:szCs w:val="32"/>
          <w:highlight w:val="none"/>
          <w:u w:val="none" w:color="auto"/>
        </w:rPr>
        <w:t>确保完成全年投资任务。</w:t>
      </w:r>
      <w:r>
        <w:rPr>
          <w:rFonts w:hint="eastAsia" w:ascii="仿宋_GB2312" w:hAnsi="仿宋_GB2312" w:eastAsia="仿宋_GB2312" w:cs="仿宋_GB2312"/>
          <w:bCs/>
          <w:color w:val="auto"/>
          <w:kern w:val="0"/>
          <w:sz w:val="32"/>
          <w:szCs w:val="32"/>
          <w:highlight w:val="none"/>
          <w:u w:val="none" w:color="auto"/>
          <w:lang w:val="en-US" w:eastAsia="zh-CN" w:bidi="ar-SA"/>
        </w:rPr>
        <w:t>副中心工程办</w:t>
      </w:r>
      <w:r>
        <w:rPr>
          <w:rFonts w:hint="eastAsia" w:ascii="仿宋_GB2312" w:hAnsi="仿宋_GB2312" w:eastAsia="仿宋_GB2312" w:cs="仿宋_GB2312"/>
          <w:sz w:val="32"/>
          <w:szCs w:val="32"/>
          <w:highlight w:val="none"/>
          <w:u w:val="none" w:color="auto"/>
        </w:rPr>
        <w:t>加快住房项目和配套设施建设</w:t>
      </w:r>
      <w:r>
        <w:rPr>
          <w:rFonts w:hint="eastAsia" w:ascii="仿宋_GB2312" w:hAnsi="仿宋_GB2312" w:eastAsia="仿宋_GB2312" w:cs="仿宋_GB2312"/>
          <w:sz w:val="32"/>
          <w:szCs w:val="32"/>
          <w:highlight w:val="none"/>
          <w:u w:val="none" w:color="auto"/>
          <w:lang w:eastAsia="zh-CN"/>
        </w:rPr>
        <w:t>，协调推进D、E地块竣工验收工作，推进F地块项目完工</w:t>
      </w:r>
      <w:r>
        <w:rPr>
          <w:rFonts w:hint="eastAsia" w:ascii="仿宋_GB2312" w:hAnsi="仿宋_GB2312" w:eastAsia="仿宋_GB2312" w:cs="仿宋_GB2312"/>
          <w:sz w:val="32"/>
          <w:szCs w:val="32"/>
          <w:highlight w:val="none"/>
          <w:u w:val="none" w:color="auto"/>
          <w:lang w:val="en-US" w:eastAsia="zh-CN"/>
        </w:rPr>
        <w:t>等。副中心工程办加速协调推进重点项目建设，北京城市副中心站综合交通枢纽工程实现主体结构基本完工，东六环入地改造项目具备通车条件，通马路、环球影城北枢纽主体工程完工，加快推进M6线南延、22号线通州段、M101线施工进度。副中心工程办大力推进优质公共服务资源建设，人民大学通州校区第一批交用项目、安贞医院通州院区精彩亮相并投用，路县故城遗址博物馆基本完工；清华大学金融人才基地、北京卫生职业学院、首儿所附属医院通州院区、市疾控中心迁建等续建项目取得阶段性进展。</w:t>
      </w:r>
    </w:p>
    <w:p w14:paraId="2E1DDC5D">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（3）绿色发展</w:t>
      </w:r>
    </w:p>
    <w:p w14:paraId="1779F00B">
      <w:pPr>
        <w:pStyle w:val="17"/>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bCs/>
          <w:color w:val="auto"/>
          <w:kern w:val="0"/>
          <w:sz w:val="32"/>
          <w:szCs w:val="32"/>
          <w:highlight w:val="none"/>
          <w:u w:val="none" w:color="auto"/>
          <w:lang w:val="en-US" w:eastAsia="zh-CN" w:bidi="ar-SA"/>
        </w:rPr>
      </w:pPr>
      <w:r>
        <w:rPr>
          <w:rFonts w:hint="eastAsia" w:ascii="仿宋_GB2312" w:hAnsi="仿宋" w:eastAsia="仿宋_GB2312"/>
          <w:sz w:val="32"/>
          <w:szCs w:val="32"/>
          <w:highlight w:val="none"/>
          <w:lang w:val="en-US" w:eastAsia="zh-CN"/>
        </w:rPr>
        <w:t>副中心工程办绿色建设聚焦“绿色、科技、共享”三大核心理念，系统推进施工标准升级。重点包括：修订绿色施工指导意见；</w:t>
      </w:r>
      <w:r>
        <w:rPr>
          <w:rFonts w:hint="eastAsia" w:hAnsi="仿宋"/>
          <w:sz w:val="32"/>
          <w:szCs w:val="32"/>
          <w:highlight w:val="none"/>
          <w:lang w:val="en-US" w:eastAsia="zh-CN"/>
        </w:rPr>
        <w:t>推进</w:t>
      </w:r>
      <w:r>
        <w:rPr>
          <w:rFonts w:hint="eastAsia" w:ascii="仿宋_GB2312" w:hAnsi="仿宋" w:eastAsia="仿宋_GB2312"/>
          <w:sz w:val="32"/>
          <w:szCs w:val="32"/>
          <w:highlight w:val="none"/>
          <w:lang w:val="en-US" w:eastAsia="zh-CN"/>
        </w:rPr>
        <w:t>京津冀协同</w:t>
      </w:r>
      <w:r>
        <w:rPr>
          <w:rFonts w:hint="eastAsia" w:hAnsi="仿宋"/>
          <w:sz w:val="32"/>
          <w:szCs w:val="32"/>
          <w:highlight w:val="none"/>
          <w:lang w:val="en-US" w:eastAsia="zh-CN"/>
        </w:rPr>
        <w:t>工程建设</w:t>
      </w:r>
      <w:r>
        <w:rPr>
          <w:rFonts w:hint="eastAsia" w:ascii="仿宋_GB2312" w:hAnsi="仿宋" w:eastAsia="仿宋_GB2312"/>
          <w:sz w:val="32"/>
          <w:szCs w:val="32"/>
          <w:highlight w:val="none"/>
          <w:lang w:val="en-US" w:eastAsia="zh-CN"/>
        </w:rPr>
        <w:t>标准</w:t>
      </w:r>
      <w:r>
        <w:rPr>
          <w:rFonts w:hint="eastAsia" w:hAnsi="仿宋"/>
          <w:sz w:val="32"/>
          <w:szCs w:val="32"/>
          <w:highlight w:val="none"/>
          <w:lang w:val="en-US" w:eastAsia="zh-CN"/>
        </w:rPr>
        <w:t>落地</w:t>
      </w:r>
      <w:r>
        <w:rPr>
          <w:rFonts w:hint="eastAsia" w:ascii="仿宋_GB2312" w:hAnsi="仿宋" w:eastAsia="仿宋_GB2312"/>
          <w:sz w:val="32"/>
          <w:szCs w:val="32"/>
          <w:highlight w:val="none"/>
          <w:lang w:val="en-US" w:eastAsia="zh-CN"/>
        </w:rPr>
        <w:t>，推</w:t>
      </w:r>
      <w:r>
        <w:rPr>
          <w:rFonts w:hint="eastAsia" w:hAnsi="仿宋"/>
          <w:sz w:val="32"/>
          <w:szCs w:val="32"/>
          <w:highlight w:val="none"/>
          <w:lang w:val="en-US" w:eastAsia="zh-CN"/>
        </w:rPr>
        <w:t>广</w:t>
      </w:r>
      <w:r>
        <w:rPr>
          <w:rFonts w:hint="eastAsia" w:ascii="仿宋_GB2312" w:hAnsi="仿宋" w:eastAsia="仿宋_GB2312"/>
          <w:sz w:val="32"/>
          <w:szCs w:val="32"/>
          <w:highlight w:val="none"/>
          <w:lang w:val="en-US" w:eastAsia="zh-CN"/>
        </w:rPr>
        <w:t>绿色建材和建筑垃圾再生产品应用；强化智能建造，推广装配式建筑、焊接机器人和</w:t>
      </w:r>
      <w:r>
        <w:rPr>
          <w:rFonts w:hint="eastAsia" w:ascii="仿宋_GB2312" w:hAnsi="仿宋_GB2312" w:eastAsia="仿宋_GB2312" w:cs="仿宋_GB2312"/>
          <w:bCs/>
          <w:color w:val="auto"/>
          <w:kern w:val="0"/>
          <w:sz w:val="32"/>
          <w:szCs w:val="32"/>
          <w:highlight w:val="none"/>
          <w:u w:val="none" w:color="auto"/>
          <w:lang w:val="en-US" w:eastAsia="zh-CN" w:bidi="ar-SA"/>
        </w:rPr>
        <w:t>建筑信息模型（简称BIM）等科技场景应用</w:t>
      </w:r>
      <w:r>
        <w:rPr>
          <w:rFonts w:hint="eastAsia" w:ascii="仿宋_GB2312" w:hAnsi="仿宋" w:eastAsia="仿宋_GB2312"/>
          <w:sz w:val="32"/>
          <w:szCs w:val="32"/>
          <w:highlight w:val="none"/>
          <w:lang w:val="en-US" w:eastAsia="zh-CN"/>
        </w:rPr>
        <w:t>；</w:t>
      </w:r>
      <w:r>
        <w:rPr>
          <w:rFonts w:hint="eastAsia" w:ascii="仿宋_GB2312" w:hAnsi="仿宋_GB2312" w:eastAsia="仿宋_GB2312" w:cs="仿宋_GB2312"/>
          <w:bCs/>
          <w:color w:val="auto"/>
          <w:kern w:val="0"/>
          <w:sz w:val="32"/>
          <w:szCs w:val="32"/>
          <w:highlight w:val="none"/>
          <w:u w:val="none" w:color="auto"/>
          <w:lang w:val="en-US" w:eastAsia="zh-CN" w:bidi="ar-SA"/>
        </w:rPr>
        <w:t>推进室内空气质量环保管控工作</w:t>
      </w:r>
      <w:r>
        <w:rPr>
          <w:rFonts w:hint="eastAsia" w:ascii="仿宋_GB2312" w:hAnsi="仿宋" w:eastAsia="仿宋_GB2312"/>
          <w:sz w:val="32"/>
          <w:szCs w:val="32"/>
          <w:highlight w:val="none"/>
          <w:lang w:val="en-US" w:eastAsia="zh-CN"/>
        </w:rPr>
        <w:t>。</w:t>
      </w:r>
      <w:bookmarkStart w:id="15" w:name="_Hlk160998934"/>
      <w:r>
        <w:rPr>
          <w:rFonts w:hint="eastAsia" w:hAnsi="仿宋"/>
          <w:sz w:val="32"/>
          <w:szCs w:val="32"/>
          <w:highlight w:val="none"/>
          <w:lang w:val="en-US" w:eastAsia="zh-CN"/>
        </w:rPr>
        <w:t>副中心工程办通过</w:t>
      </w:r>
      <w:r>
        <w:rPr>
          <w:rFonts w:hint="eastAsia" w:ascii="仿宋_GB2312" w:hAnsi="仿宋_GB2312" w:eastAsia="仿宋_GB2312" w:cs="仿宋_GB2312"/>
          <w:bCs/>
          <w:color w:val="auto"/>
          <w:kern w:val="0"/>
          <w:sz w:val="32"/>
          <w:szCs w:val="32"/>
          <w:highlight w:val="none"/>
          <w:u w:val="none" w:color="auto"/>
          <w:lang w:val="en-US" w:eastAsia="zh-CN" w:bidi="ar-SA"/>
        </w:rPr>
        <w:t>突出绿色发展基调</w:t>
      </w:r>
      <w:bookmarkEnd w:id="15"/>
      <w:r>
        <w:rPr>
          <w:rFonts w:hint="eastAsia" w:ascii="仿宋_GB2312" w:hAnsi="仿宋_GB2312" w:eastAsia="仿宋_GB2312" w:cs="仿宋_GB2312"/>
          <w:bCs/>
          <w:color w:val="auto"/>
          <w:kern w:val="0"/>
          <w:sz w:val="32"/>
          <w:szCs w:val="32"/>
          <w:highlight w:val="none"/>
          <w:u w:val="none" w:color="auto"/>
          <w:lang w:val="en-US" w:eastAsia="zh-CN" w:bidi="ar-SA"/>
        </w:rPr>
        <w:t>，助力副中心国家绿色发展示范区建设</w:t>
      </w:r>
      <w:r>
        <w:rPr>
          <w:rFonts w:hint="eastAsia" w:hAnsi="仿宋_GB2312" w:cs="仿宋_GB2312"/>
          <w:bCs/>
          <w:color w:val="auto"/>
          <w:kern w:val="0"/>
          <w:sz w:val="32"/>
          <w:szCs w:val="32"/>
          <w:highlight w:val="none"/>
          <w:u w:val="none" w:color="auto"/>
          <w:lang w:val="en-US" w:eastAsia="zh-CN" w:bidi="ar-SA"/>
        </w:rPr>
        <w:t>。</w:t>
      </w:r>
    </w:p>
    <w:p w14:paraId="2421C543">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（4）统筹安全与质量</w:t>
      </w:r>
    </w:p>
    <w:p w14:paraId="07E6016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开展行政办公区重点项目和副中心市级重点协调工程做好安全保障工作，会同属地住建等监管部门，强化对建设和总包单位安全应急处置督促指导，对于发生安全责任事故和群体性影响事件的项目要强化联合管理措施。副中心工程办</w:t>
      </w:r>
      <w:r>
        <w:rPr>
          <w:rFonts w:hint="eastAsia" w:ascii="仿宋_GB2312" w:hAnsi="仿宋_GB2312" w:eastAsia="仿宋_GB2312" w:cs="仿宋_GB2312"/>
          <w:bCs/>
          <w:color w:val="auto"/>
          <w:kern w:val="0"/>
          <w:sz w:val="32"/>
          <w:szCs w:val="32"/>
          <w:highlight w:val="none"/>
          <w:u w:val="none" w:color="auto"/>
          <w:lang w:val="en-US" w:eastAsia="zh-CN" w:bidi="ar-SA"/>
        </w:rPr>
        <w:t>组织开展副中心市级重点工程质量检查，会同市、区监督部门通报检查情况，督促参建各方落实质量主体责任。</w:t>
      </w:r>
    </w:p>
    <w:p w14:paraId="3BC5A52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（5）机关建设</w:t>
      </w:r>
    </w:p>
    <w:p w14:paraId="5D01054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w:t>
      </w:r>
      <w:r>
        <w:rPr>
          <w:rFonts w:hint="eastAsia" w:ascii="仿宋_GB2312" w:hAnsi="仿宋_GB2312" w:eastAsia="仿宋_GB2312" w:cs="仿宋_GB2312"/>
          <w:bCs/>
          <w:sz w:val="32"/>
          <w:szCs w:val="32"/>
          <w:highlight w:val="none"/>
          <w:u w:val="none" w:color="auto"/>
        </w:rPr>
        <w:t>持续优化完善内部控制管理制度</w:t>
      </w:r>
      <w:r>
        <w:rPr>
          <w:rFonts w:hint="eastAsia" w:ascii="仿宋_GB2312" w:hAnsi="仿宋_GB2312" w:eastAsia="仿宋_GB2312" w:cs="仿宋_GB2312"/>
          <w:bCs/>
          <w:sz w:val="32"/>
          <w:szCs w:val="32"/>
          <w:highlight w:val="none"/>
          <w:u w:val="none" w:color="auto"/>
          <w:lang w:eastAsia="zh-CN"/>
        </w:rPr>
        <w:t>，</w:t>
      </w:r>
      <w:r>
        <w:rPr>
          <w:rFonts w:hint="eastAsia" w:ascii="仿宋_GB2312" w:hAnsi="仿宋_GB2312" w:eastAsia="仿宋_GB2312" w:cs="仿宋_GB2312"/>
          <w:bCs/>
          <w:sz w:val="32"/>
          <w:szCs w:val="32"/>
          <w:highlight w:val="none"/>
          <w:u w:val="none" w:color="auto"/>
        </w:rPr>
        <w:t>强化内控执行工作的宣贯引导和通报检查，持续压实各部门内控风险防范的主体责任</w:t>
      </w:r>
      <w:r>
        <w:rPr>
          <w:rFonts w:hint="eastAsia" w:ascii="仿宋_GB2312" w:hAnsi="仿宋" w:eastAsia="仿宋_GB2312"/>
          <w:sz w:val="32"/>
          <w:szCs w:val="32"/>
          <w:highlight w:val="none"/>
          <w:lang w:val="en-US" w:eastAsia="zh-CN"/>
        </w:rPr>
        <w:t>。副中心工程办制定内部审计年度计划，重点推进二期工程结算预审计，把控时间进度，将预审计工作成果转化为资金支付、签订定案表、项目竣工决算报出的重要基础。副中心工程办加强干部队伍建设，通过培训、考核等方式，提高干部综合素质和业务能力。</w:t>
      </w:r>
    </w:p>
    <w:p w14:paraId="6C40BAED">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（6）党风廉政建设</w:t>
      </w:r>
    </w:p>
    <w:p w14:paraId="68B75CAA">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1"/>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持续加强党风廉政建设，深入开展廉政教育活动，强化党员干部廉洁自律意识。副中心工程办抓好市委巡视反馈问题的整改工作，重视市委巡视反馈问题整改工作，严格制定整改方案，明确责任部门和整改措施。副中心工程办注重标本兼治，把“当下改”与“长久立”结合起来，健全完善长效机制，推动巡视反馈问题得到有效解决。</w:t>
      </w:r>
    </w:p>
    <w:p w14:paraId="18EF1A76">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r>
        <w:rPr>
          <w:rFonts w:hint="eastAsia" w:ascii="楷体_GB2312" w:eastAsia="楷体_GB2312"/>
          <w:b/>
          <w:bCs/>
          <w:sz w:val="32"/>
          <w:szCs w:val="32"/>
        </w:rPr>
        <w:t>（二）部门整体绩效目标设立情况</w:t>
      </w:r>
      <w:bookmarkEnd w:id="11"/>
      <w:bookmarkEnd w:id="12"/>
      <w:bookmarkEnd w:id="13"/>
      <w:bookmarkEnd w:id="14"/>
    </w:p>
    <w:p w14:paraId="0DA985D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2024年度，副中心工程办部门整体支出绩效目标设置为：副中心工程办负责副中心区域内市级重大项目建设协调和行政办公区工程建设的组织实施工作，具体包括以下要点：</w:t>
      </w:r>
    </w:p>
    <w:p w14:paraId="3C06566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严格遵循各项财经制度的相关要求，严肃预算管理，科学合理用好各项资金，保障副中心工程办机关运行需求，厉行节约，努力压减一般性支出，降低单位运行成本和预算总体规模，在规定范围内合理使用资金，提高资金使用效益。</w:t>
      </w:r>
    </w:p>
    <w:p w14:paraId="4411AB18">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按照基本建设审批程序要求，在建设项目完成竣工验收备案后开展建设项目不动产权登记工作，及时对市发展改革委批复后的竣工决算进行竣工财务决算评审，并出具竣工财务决算评审报告，具备移交条件的项目向机关事务管理局等单位进行固定资产移交工作。</w:t>
      </w:r>
    </w:p>
    <w:p w14:paraId="0AC99B8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hAnsi="仿宋" w:eastAsia="仿宋_GB2312"/>
          <w:sz w:val="32"/>
          <w:szCs w:val="32"/>
          <w:highlight w:val="yellow"/>
          <w:lang w:val="en-US" w:eastAsia="zh-CN"/>
        </w:rPr>
      </w:pPr>
      <w:r>
        <w:rPr>
          <w:rFonts w:hint="eastAsia" w:ascii="仿宋_GB2312" w:hAnsi="仿宋" w:eastAsia="仿宋_GB2312"/>
          <w:sz w:val="32"/>
          <w:szCs w:val="32"/>
          <w:highlight w:val="none"/>
        </w:rPr>
        <w:t>绩效评价</w:t>
      </w:r>
      <w:r>
        <w:rPr>
          <w:rFonts w:hint="eastAsia" w:ascii="仿宋_GB2312" w:hAnsi="仿宋" w:eastAsia="仿宋_GB2312"/>
          <w:sz w:val="32"/>
          <w:szCs w:val="32"/>
          <w:highlight w:val="none"/>
          <w:lang w:val="en-US" w:eastAsia="zh-CN"/>
        </w:rPr>
        <w:t>表明</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eastAsia="zh-CN"/>
        </w:rPr>
        <w:t>副中心工程</w:t>
      </w:r>
      <w:r>
        <w:rPr>
          <w:rFonts w:hint="eastAsia" w:ascii="仿宋_GB2312" w:hAnsi="仿宋" w:eastAsia="仿宋_GB2312"/>
          <w:sz w:val="32"/>
          <w:szCs w:val="32"/>
          <w:highlight w:val="none"/>
          <w:lang w:val="en-US" w:eastAsia="zh-CN"/>
        </w:rPr>
        <w:t>办</w:t>
      </w:r>
      <w:r>
        <w:rPr>
          <w:rFonts w:hint="eastAsia" w:ascii="仿宋_GB2312" w:hAnsi="仿宋" w:eastAsia="仿宋_GB2312"/>
          <w:sz w:val="32"/>
          <w:szCs w:val="32"/>
          <w:highlight w:val="none"/>
        </w:rPr>
        <w:t>绩效目标设立依据充分，符合国家法律法规、国民经济和社会发展规划，符合</w:t>
      </w:r>
      <w:r>
        <w:rPr>
          <w:rFonts w:hint="eastAsia" w:ascii="仿宋_GB2312" w:hAnsi="仿宋" w:eastAsia="仿宋_GB2312"/>
          <w:sz w:val="32"/>
          <w:szCs w:val="32"/>
          <w:highlight w:val="none"/>
          <w:lang w:val="en-US" w:eastAsia="zh-CN"/>
        </w:rPr>
        <w:t>副中心工程办</w:t>
      </w:r>
      <w:r>
        <w:rPr>
          <w:rFonts w:hint="eastAsia" w:ascii="仿宋_GB2312" w:hAnsi="仿宋" w:eastAsia="仿宋_GB2312"/>
          <w:sz w:val="32"/>
          <w:szCs w:val="32"/>
          <w:highlight w:val="none"/>
        </w:rPr>
        <w:t>工作实际，</w:t>
      </w:r>
      <w:r>
        <w:rPr>
          <w:rFonts w:hint="eastAsia" w:ascii="仿宋_GB2312" w:hAnsi="仿宋" w:eastAsia="仿宋_GB2312"/>
          <w:sz w:val="32"/>
          <w:szCs w:val="32"/>
          <w:highlight w:val="none"/>
          <w:lang w:val="en-US" w:eastAsia="zh-CN"/>
        </w:rPr>
        <w:t>与单位职能相适应，</w:t>
      </w:r>
      <w:r>
        <w:rPr>
          <w:rFonts w:hint="eastAsia" w:ascii="仿宋_GB2312" w:hAnsi="仿宋" w:eastAsia="仿宋_GB2312"/>
          <w:sz w:val="32"/>
          <w:szCs w:val="32"/>
          <w:highlight w:val="none"/>
        </w:rPr>
        <w:t>与预算资金投入相匹配。</w:t>
      </w:r>
    </w:p>
    <w:p w14:paraId="2724EFB4">
      <w:pPr>
        <w:pStyle w:val="22"/>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0"/>
        <w:rPr>
          <w:rFonts w:ascii="黑体" w:hAnsi="黑体" w:eastAsia="黑体"/>
          <w:sz w:val="32"/>
          <w:szCs w:val="32"/>
          <w:highlight w:val="none"/>
        </w:rPr>
      </w:pPr>
      <w:bookmarkStart w:id="16" w:name="_Toc927"/>
      <w:bookmarkStart w:id="17" w:name="_Toc23006"/>
      <w:bookmarkStart w:id="18" w:name="_Toc27172"/>
      <w:bookmarkStart w:id="19" w:name="_Toc17412"/>
      <w:r>
        <w:rPr>
          <w:rFonts w:hint="eastAsia" w:ascii="黑体" w:hAnsi="黑体" w:eastAsia="黑体"/>
          <w:sz w:val="32"/>
          <w:szCs w:val="32"/>
          <w:highlight w:val="none"/>
        </w:rPr>
        <w:t>二、当年预算执行情况</w:t>
      </w:r>
      <w:bookmarkEnd w:id="16"/>
      <w:bookmarkEnd w:id="17"/>
      <w:bookmarkEnd w:id="18"/>
      <w:bookmarkEnd w:id="19"/>
    </w:p>
    <w:p w14:paraId="1B892A2F">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highlight w:val="lightGray"/>
        </w:rPr>
      </w:pPr>
      <w:bookmarkStart w:id="20" w:name="_Toc7884"/>
      <w:bookmarkStart w:id="21" w:name="_Toc12770"/>
      <w:bookmarkStart w:id="22" w:name="_Toc23230"/>
      <w:bookmarkStart w:id="23" w:name="_Toc3885"/>
      <w:r>
        <w:rPr>
          <w:rFonts w:hint="eastAsia" w:ascii="仿宋_GB2312" w:hAnsi="仿宋" w:eastAsia="仿宋_GB2312"/>
          <w:sz w:val="32"/>
          <w:szCs w:val="32"/>
          <w:highlight w:val="none"/>
          <w:lang w:eastAsia="zh-CN"/>
        </w:rPr>
        <w:t>副中心工程办</w:t>
      </w:r>
      <w:r>
        <w:rPr>
          <w:rFonts w:hint="eastAsia" w:ascii="仿宋_GB2312" w:hAnsi="仿宋" w:eastAsia="仿宋_GB2312"/>
          <w:sz w:val="32"/>
          <w:szCs w:val="32"/>
          <w:highlight w:val="none"/>
        </w:rPr>
        <w:t>20</w:t>
      </w:r>
      <w:r>
        <w:rPr>
          <w:rFonts w:hint="eastAsia" w:ascii="仿宋_GB2312" w:hAnsi="仿宋" w:eastAsia="仿宋_GB2312"/>
          <w:sz w:val="32"/>
          <w:szCs w:val="32"/>
          <w:highlight w:val="none"/>
          <w:lang w:val="en-US" w:eastAsia="zh-CN"/>
        </w:rPr>
        <w:t>24</w:t>
      </w:r>
      <w:r>
        <w:rPr>
          <w:rFonts w:hint="eastAsia" w:ascii="仿宋_GB2312" w:hAnsi="仿宋" w:eastAsia="仿宋_GB2312"/>
          <w:sz w:val="32"/>
          <w:szCs w:val="32"/>
          <w:highlight w:val="none"/>
        </w:rPr>
        <w:t>年全年预算数</w:t>
      </w:r>
      <w:r>
        <w:rPr>
          <w:rFonts w:hint="eastAsia" w:ascii="仿宋_GB2312" w:hAnsi="Times New Roman" w:eastAsia="仿宋_GB2312" w:cs="Times New Roman"/>
          <w:sz w:val="32"/>
          <w:szCs w:val="32"/>
          <w:highlight w:val="none"/>
          <w:lang w:val="en-US" w:eastAsia="zh-CN"/>
        </w:rPr>
        <w:t>103068.51</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其中2024年12月到位基本建设资金75000.00万元，非预算部门主观因素导致，在计算预算执行率中剔除本部分预算金额，以28068.51万元计算执行率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其中</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基本支出预算数</w:t>
      </w:r>
      <w:r>
        <w:rPr>
          <w:rFonts w:hint="eastAsia" w:ascii="仿宋_GB2312" w:hAnsi="Times New Roman" w:eastAsia="仿宋_GB2312" w:cs="Times New Roman"/>
          <w:sz w:val="32"/>
          <w:szCs w:val="32"/>
          <w:highlight w:val="none"/>
          <w:lang w:val="en-US" w:eastAsia="zh-CN"/>
        </w:rPr>
        <w:t>980.00</w:t>
      </w:r>
      <w:r>
        <w:rPr>
          <w:rFonts w:hint="eastAsia" w:ascii="仿宋_GB2312" w:eastAsia="仿宋_GB2312"/>
          <w:color w:val="000000"/>
          <w:sz w:val="32"/>
          <w:szCs w:val="32"/>
          <w:highlight w:val="none"/>
        </w:rPr>
        <w:t>万元</w:t>
      </w:r>
      <w:r>
        <w:rPr>
          <w:rFonts w:hint="eastAsia" w:ascii="仿宋_GB2312" w:hAnsi="仿宋" w:eastAsia="仿宋_GB2312"/>
          <w:sz w:val="32"/>
          <w:szCs w:val="32"/>
          <w:highlight w:val="none"/>
        </w:rPr>
        <w:t>，项目支出预算数</w:t>
      </w:r>
      <w:r>
        <w:rPr>
          <w:rFonts w:hint="eastAsia" w:ascii="仿宋_GB2312" w:hAnsi="Times New Roman" w:eastAsia="仿宋_GB2312" w:cs="Times New Roman"/>
          <w:sz w:val="32"/>
          <w:szCs w:val="32"/>
          <w:highlight w:val="none"/>
          <w:lang w:val="en-US" w:eastAsia="zh-CN"/>
        </w:rPr>
        <w:t>102088.51</w:t>
      </w:r>
      <w:r>
        <w:rPr>
          <w:rFonts w:hint="eastAsia" w:ascii="仿宋_GB2312" w:eastAsia="仿宋_GB2312"/>
          <w:color w:val="000000"/>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其中2024年12月到位基本建设资金75000.00万元，在计算预算执行率中剔除本部分预算金额</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，其他支出预算数</w:t>
      </w:r>
      <w:r>
        <w:rPr>
          <w:rFonts w:hint="eastAsia" w:ascii="仿宋_GB2312" w:hAnsi="仿宋" w:eastAsia="仿宋_GB2312"/>
          <w:sz w:val="32"/>
          <w:szCs w:val="32"/>
          <w:highlight w:val="none"/>
          <w:lang w:val="en-US" w:eastAsia="zh-CN"/>
        </w:rPr>
        <w:t>0.00</w:t>
      </w:r>
      <w:r>
        <w:rPr>
          <w:rFonts w:hint="eastAsia" w:ascii="仿宋_GB2312" w:hAnsi="仿宋" w:eastAsia="仿宋_GB2312"/>
          <w:sz w:val="32"/>
          <w:szCs w:val="32"/>
          <w:highlight w:val="none"/>
        </w:rPr>
        <w:t>万元。资金总体支出</w:t>
      </w:r>
      <w:r>
        <w:rPr>
          <w:rFonts w:hint="eastAsia" w:ascii="仿宋_GB2312" w:hAnsi="仿宋" w:eastAsia="仿宋_GB2312"/>
          <w:sz w:val="32"/>
          <w:szCs w:val="32"/>
          <w:highlight w:val="none"/>
          <w:lang w:val="en-US" w:eastAsia="zh-CN"/>
        </w:rPr>
        <w:t>16481.37</w:t>
      </w:r>
      <w:r>
        <w:rPr>
          <w:rFonts w:hint="eastAsia" w:ascii="仿宋_GB2312" w:hAnsi="仿宋" w:eastAsia="仿宋_GB2312"/>
          <w:sz w:val="32"/>
          <w:szCs w:val="32"/>
          <w:highlight w:val="none"/>
        </w:rPr>
        <w:t>万元，其中，基本支出</w:t>
      </w:r>
      <w:r>
        <w:rPr>
          <w:rFonts w:hint="eastAsia" w:ascii="仿宋_GB2312" w:hAnsi="仿宋" w:eastAsia="仿宋_GB2312"/>
          <w:sz w:val="32"/>
          <w:szCs w:val="32"/>
          <w:highlight w:val="none"/>
          <w:lang w:val="en-US" w:eastAsia="zh-CN"/>
        </w:rPr>
        <w:t>848.42</w:t>
      </w:r>
      <w:r>
        <w:rPr>
          <w:rFonts w:hint="eastAsia" w:ascii="仿宋_GB2312" w:hAnsi="仿宋" w:eastAsia="仿宋_GB2312"/>
          <w:sz w:val="32"/>
          <w:szCs w:val="32"/>
          <w:highlight w:val="none"/>
        </w:rPr>
        <w:t>万元，项目支出</w:t>
      </w:r>
      <w:r>
        <w:rPr>
          <w:rFonts w:hint="eastAsia" w:ascii="仿宋_GB2312" w:hAnsi="仿宋" w:eastAsia="仿宋_GB2312"/>
          <w:sz w:val="32"/>
          <w:szCs w:val="32"/>
          <w:highlight w:val="none"/>
          <w:lang w:val="en-US" w:eastAsia="zh-CN"/>
        </w:rPr>
        <w:t>15632.95</w:t>
      </w:r>
      <w:r>
        <w:rPr>
          <w:rFonts w:hint="eastAsia" w:ascii="仿宋_GB2312" w:hAnsi="仿宋" w:eastAsia="仿宋_GB2312"/>
          <w:sz w:val="32"/>
          <w:szCs w:val="32"/>
          <w:highlight w:val="none"/>
        </w:rPr>
        <w:t>万元，其他支出</w:t>
      </w:r>
      <w:r>
        <w:rPr>
          <w:rFonts w:hint="eastAsia" w:ascii="仿宋_GB2312" w:hAnsi="仿宋" w:eastAsia="仿宋_GB2312"/>
          <w:sz w:val="32"/>
          <w:szCs w:val="32"/>
          <w:highlight w:val="none"/>
          <w:lang w:val="en-US" w:eastAsia="zh-CN"/>
        </w:rPr>
        <w:t>0.00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年末结转和结余86587.14</w:t>
      </w:r>
      <w:r>
        <w:rPr>
          <w:rFonts w:hint="eastAsia" w:ascii="仿宋_GB2312" w:hAnsi="仿宋" w:eastAsia="仿宋_GB2312"/>
          <w:sz w:val="32"/>
          <w:szCs w:val="32"/>
          <w:highlight w:val="none"/>
        </w:rPr>
        <w:t>万元，预算执行率</w:t>
      </w:r>
      <w:r>
        <w:rPr>
          <w:rFonts w:hint="eastAsia" w:ascii="仿宋_GB2312" w:hAnsi="仿宋" w:eastAsia="仿宋_GB2312"/>
          <w:sz w:val="32"/>
          <w:szCs w:val="32"/>
          <w:highlight w:val="none"/>
          <w:lang w:val="en-US" w:eastAsia="zh-CN"/>
        </w:rPr>
        <w:t>58.72%</w:t>
      </w:r>
      <w:r>
        <w:rPr>
          <w:rFonts w:hint="eastAsia" w:ascii="仿宋_GB2312" w:hAnsi="仿宋" w:eastAsia="仿宋_GB2312"/>
          <w:sz w:val="32"/>
          <w:szCs w:val="32"/>
          <w:highlight w:val="none"/>
        </w:rPr>
        <w:t>。</w:t>
      </w:r>
    </w:p>
    <w:p w14:paraId="348899D4">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bookmarkEnd w:id="20"/>
      <w:bookmarkEnd w:id="21"/>
      <w:bookmarkEnd w:id="22"/>
      <w:bookmarkEnd w:id="23"/>
    </w:p>
    <w:p w14:paraId="3E68EBDD">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bookmarkStart w:id="24" w:name="_Toc31884"/>
      <w:bookmarkStart w:id="25" w:name="_Toc6018"/>
      <w:bookmarkStart w:id="26" w:name="_Toc14972"/>
      <w:bookmarkStart w:id="27" w:name="_Toc12331"/>
      <w:r>
        <w:rPr>
          <w:rFonts w:hint="eastAsia" w:ascii="楷体_GB2312" w:eastAsia="楷体_GB2312"/>
          <w:b/>
          <w:bCs/>
          <w:sz w:val="32"/>
          <w:szCs w:val="32"/>
        </w:rPr>
        <w:t>（一）产出完成情况分析</w:t>
      </w:r>
      <w:bookmarkEnd w:id="24"/>
      <w:bookmarkEnd w:id="25"/>
      <w:bookmarkEnd w:id="26"/>
      <w:bookmarkEnd w:id="27"/>
    </w:p>
    <w:p w14:paraId="1DCFA21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副中</w:t>
      </w:r>
      <w:r>
        <w:rPr>
          <w:rFonts w:hint="eastAsia" w:ascii="仿宋_GB2312" w:hAnsi="仿宋" w:eastAsia="仿宋_GB2312"/>
          <w:sz w:val="32"/>
          <w:szCs w:val="32"/>
          <w:highlight w:val="none"/>
          <w:lang w:eastAsia="zh-CN"/>
        </w:rPr>
        <w:t>心工程办</w:t>
      </w:r>
      <w:r>
        <w:rPr>
          <w:rFonts w:hint="eastAsia" w:ascii="仿宋_GB2312" w:hAnsi="仿宋" w:eastAsia="仿宋_GB2312"/>
          <w:sz w:val="32"/>
          <w:szCs w:val="32"/>
          <w:highlight w:val="none"/>
          <w:lang w:val="en-US" w:eastAsia="zh-CN"/>
        </w:rPr>
        <w:t>结合</w:t>
      </w:r>
      <w:r>
        <w:rPr>
          <w:rFonts w:hint="eastAsia" w:ascii="仿宋_GB2312" w:hAnsi="仿宋" w:eastAsia="仿宋_GB2312"/>
          <w:sz w:val="32"/>
          <w:szCs w:val="32"/>
          <w:highlight w:val="none"/>
        </w:rPr>
        <w:t>项目实际</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设置了产出</w:t>
      </w:r>
      <w:r>
        <w:rPr>
          <w:rFonts w:hint="eastAsia" w:ascii="仿宋_GB2312" w:hAnsi="仿宋" w:eastAsia="仿宋_GB2312"/>
          <w:sz w:val="32"/>
          <w:szCs w:val="32"/>
          <w:highlight w:val="none"/>
        </w:rPr>
        <w:t>指标。截至</w:t>
      </w:r>
      <w:r>
        <w:rPr>
          <w:rFonts w:hint="eastAsia" w:ascii="仿宋_GB2312" w:hAnsi="仿宋" w:eastAsia="仿宋_GB2312"/>
          <w:sz w:val="32"/>
          <w:szCs w:val="32"/>
          <w:highlight w:val="none"/>
          <w:lang w:val="en-US" w:eastAsia="zh-CN"/>
        </w:rPr>
        <w:t>2024</w:t>
      </w:r>
      <w:r>
        <w:rPr>
          <w:rFonts w:hint="eastAsia" w:ascii="仿宋_GB2312" w:hAnsi="仿宋" w:eastAsia="仿宋_GB2312"/>
          <w:sz w:val="32"/>
          <w:szCs w:val="32"/>
          <w:highlight w:val="none"/>
        </w:rPr>
        <w:t>年12月31日，</w:t>
      </w:r>
      <w:r>
        <w:rPr>
          <w:rFonts w:hint="eastAsia" w:ascii="仿宋_GB2312" w:hAnsi="仿宋" w:eastAsia="仿宋_GB2312"/>
          <w:sz w:val="32"/>
          <w:szCs w:val="32"/>
          <w:highlight w:val="none"/>
          <w:lang w:val="en-US" w:eastAsia="zh-CN"/>
        </w:rPr>
        <w:t>14个项目除《行政办公区二期0160等10个行政办公项目房屋面积和不动产地籍测绘项目》由于C03C05配套商业部分土地协议出让手续及C08土地一级开发手续未在2024年年底前完成，导致后续相关审批手续不能按计划办理，所以六合村C03C05C08行政办公部分的房产实测及权籍调查测绘工作无法开展，此部分费用已按照要求退回北京市财政局。其他13个项目基本</w:t>
      </w:r>
      <w:r>
        <w:rPr>
          <w:rFonts w:hint="eastAsia" w:ascii="仿宋_GB2312" w:hAnsi="仿宋" w:eastAsia="仿宋_GB2312"/>
          <w:sz w:val="32"/>
          <w:szCs w:val="32"/>
          <w:highlight w:val="none"/>
        </w:rPr>
        <w:t>完成了</w:t>
      </w:r>
      <w:r>
        <w:rPr>
          <w:rFonts w:hint="eastAsia" w:ascii="仿宋_GB2312" w:hAnsi="仿宋" w:eastAsia="仿宋_GB2312"/>
          <w:sz w:val="32"/>
          <w:szCs w:val="32"/>
          <w:highlight w:val="none"/>
          <w:lang w:val="en-US" w:eastAsia="zh-CN"/>
        </w:rPr>
        <w:t>产出</w:t>
      </w:r>
      <w:r>
        <w:rPr>
          <w:rFonts w:hint="eastAsia" w:ascii="仿宋_GB2312" w:hAnsi="仿宋" w:eastAsia="仿宋_GB2312"/>
          <w:sz w:val="32"/>
          <w:szCs w:val="32"/>
          <w:highlight w:val="none"/>
        </w:rPr>
        <w:t>指标设定</w:t>
      </w:r>
      <w:r>
        <w:rPr>
          <w:rFonts w:hint="eastAsia" w:ascii="仿宋_GB2312" w:hAnsi="仿宋" w:eastAsia="仿宋_GB2312"/>
          <w:sz w:val="32"/>
          <w:szCs w:val="32"/>
          <w:highlight w:val="none"/>
          <w:lang w:val="en-US" w:eastAsia="zh-CN"/>
        </w:rPr>
        <w:t>值</w:t>
      </w:r>
      <w:r>
        <w:rPr>
          <w:rFonts w:hint="eastAsia" w:ascii="仿宋_GB2312" w:hAnsi="仿宋" w:eastAsia="仿宋_GB2312"/>
          <w:sz w:val="32"/>
          <w:szCs w:val="32"/>
          <w:highlight w:val="none"/>
        </w:rPr>
        <w:t>。</w:t>
      </w:r>
      <w:r>
        <w:rPr>
          <w:rFonts w:hint="eastAsia" w:ascii="仿宋_GB2312" w:hAnsi="仿宋_GB2312" w:eastAsia="仿宋_GB2312" w:cs="仿宋_GB2312"/>
          <w:bCs/>
          <w:color w:val="auto"/>
          <w:kern w:val="44"/>
          <w:sz w:val="32"/>
          <w:szCs w:val="32"/>
          <w:highlight w:val="none"/>
          <w:lang w:val="en-US" w:eastAsia="zh-CN"/>
        </w:rPr>
        <w:t>项目完成率92.86%。</w:t>
      </w:r>
    </w:p>
    <w:p w14:paraId="7805EA6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1.</w:t>
      </w:r>
      <w:bookmarkStart w:id="28" w:name="OLE_LINK2"/>
      <w:r>
        <w:rPr>
          <w:rFonts w:hint="eastAsia" w:ascii="仿宋_GB2312" w:hAnsi="宋体" w:eastAsia="仿宋_GB2312" w:cs="宋体"/>
          <w:b/>
          <w:bCs/>
          <w:color w:val="000000"/>
          <w:kern w:val="0"/>
          <w:sz w:val="32"/>
          <w:szCs w:val="32"/>
          <w:highlight w:val="none"/>
        </w:rPr>
        <w:t>产出数量</w:t>
      </w:r>
      <w:bookmarkEnd w:id="28"/>
    </w:p>
    <w:p w14:paraId="29C1EEE3">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2024年度实施的14个项目，13个项目设置了数量指标</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1个项目未设置数量指标。从项目完成的情况来看，副中心工程办基本完成了部门年度重点工作。</w:t>
      </w:r>
    </w:p>
    <w:p w14:paraId="22BC392E">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2.产出质量</w:t>
      </w:r>
    </w:p>
    <w:p w14:paraId="126F79E5">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2024年度实施的14个项目中，1个项目未设置质量指标。项目推进中，各部门严把项目质量。年初设定的产出质量指标均已完成，项目完成质量较好。</w:t>
      </w:r>
    </w:p>
    <w:p w14:paraId="6BBBA3AA">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kern w:val="0"/>
          <w:sz w:val="32"/>
          <w:szCs w:val="32"/>
          <w:highlight w:val="none"/>
        </w:rPr>
      </w:pPr>
      <w:r>
        <w:rPr>
          <w:rFonts w:hint="eastAsia" w:ascii="仿宋_GB2312" w:hAnsi="宋体" w:eastAsia="仿宋_GB2312" w:cs="宋体"/>
          <w:b/>
          <w:sz w:val="32"/>
          <w:szCs w:val="32"/>
          <w:highlight w:val="none"/>
        </w:rPr>
        <w:t>3.产出进度</w:t>
      </w:r>
    </w:p>
    <w:p w14:paraId="7198A510">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2024年度实施的14个项目中，12个项目根据时间进度要求</w:t>
      </w:r>
      <w:r>
        <w:rPr>
          <w:rFonts w:hint="eastAsia" w:ascii="仿宋_GB2312" w:hAnsi="仿宋" w:eastAsia="仿宋_GB2312"/>
          <w:sz w:val="32"/>
          <w:szCs w:val="32"/>
          <w:highlight w:val="none"/>
        </w:rPr>
        <w:t>设置时效指标，指标值完成</w:t>
      </w:r>
      <w:r>
        <w:rPr>
          <w:rFonts w:hint="eastAsia" w:ascii="仿宋_GB2312" w:hAnsi="仿宋" w:eastAsia="仿宋_GB2312"/>
          <w:sz w:val="32"/>
          <w:szCs w:val="32"/>
          <w:highlight w:val="none"/>
          <w:lang w:val="en-US" w:eastAsia="zh-CN"/>
        </w:rPr>
        <w:t>率</w:t>
      </w:r>
      <w:r>
        <w:rPr>
          <w:rFonts w:hint="eastAsia" w:ascii="仿宋_GB2312" w:hAnsi="仿宋" w:eastAsia="仿宋_GB2312"/>
          <w:sz w:val="32"/>
          <w:szCs w:val="32"/>
          <w:highlight w:val="none"/>
        </w:rPr>
        <w:t>总体为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副中心工程办项目基本</w:t>
      </w:r>
      <w:r>
        <w:rPr>
          <w:rFonts w:hint="eastAsia" w:ascii="仿宋_GB2312" w:hAnsi="仿宋" w:eastAsia="仿宋_GB2312"/>
          <w:sz w:val="32"/>
          <w:szCs w:val="32"/>
          <w:highlight w:val="none"/>
        </w:rPr>
        <w:t>按照计划实施到位</w:t>
      </w:r>
      <w:r>
        <w:rPr>
          <w:rFonts w:hint="eastAsia" w:ascii="仿宋_GB2312" w:hAnsi="仿宋" w:eastAsia="仿宋_GB2312"/>
          <w:sz w:val="32"/>
          <w:szCs w:val="32"/>
          <w:highlight w:val="none"/>
          <w:lang w:eastAsia="zh-CN"/>
        </w:rPr>
        <w:t>。</w:t>
      </w:r>
    </w:p>
    <w:p w14:paraId="63645122">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4.产出成本</w:t>
      </w:r>
    </w:p>
    <w:p w14:paraId="31137D8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在项目实施过程中，</w:t>
      </w:r>
      <w:r>
        <w:rPr>
          <w:rFonts w:hint="eastAsia" w:ascii="仿宋_GB2312" w:hAnsi="仿宋" w:eastAsia="仿宋_GB2312"/>
          <w:sz w:val="32"/>
          <w:szCs w:val="32"/>
          <w:highlight w:val="none"/>
          <w:lang w:val="en-US" w:eastAsia="zh-CN"/>
        </w:rPr>
        <w:t>副中心工程办</w:t>
      </w:r>
      <w:r>
        <w:rPr>
          <w:rFonts w:hint="eastAsia" w:ascii="仿宋_GB2312" w:hAnsi="仿宋" w:eastAsia="仿宋_GB2312"/>
          <w:sz w:val="32"/>
          <w:szCs w:val="32"/>
          <w:highlight w:val="none"/>
        </w:rPr>
        <w:t>坚持过紧日子的思想，树立成本效益意识</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通过规范政府采购、强化项目管理等方式</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严格控制各项财政成本支出，</w:t>
      </w:r>
      <w:r>
        <w:rPr>
          <w:rFonts w:hint="eastAsia" w:ascii="仿宋_GB2312" w:hAnsi="仿宋" w:eastAsia="仿宋_GB2312"/>
          <w:sz w:val="32"/>
          <w:szCs w:val="32"/>
          <w:highlight w:val="none"/>
          <w:lang w:val="en-US" w:eastAsia="zh-CN"/>
        </w:rPr>
        <w:t>成本指标完成率总体达到100</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eastAsia="zh-CN"/>
        </w:rPr>
        <w:t>。</w:t>
      </w:r>
    </w:p>
    <w:p w14:paraId="4D4E8687">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bookmarkStart w:id="29" w:name="_Toc30597"/>
      <w:bookmarkStart w:id="30" w:name="_Toc1830"/>
      <w:bookmarkStart w:id="31" w:name="_Toc27645"/>
      <w:bookmarkStart w:id="32" w:name="_Toc20880"/>
      <w:r>
        <w:rPr>
          <w:rFonts w:hint="eastAsia" w:ascii="楷体_GB2312" w:eastAsia="楷体_GB2312"/>
          <w:b/>
          <w:bCs/>
          <w:sz w:val="32"/>
          <w:szCs w:val="32"/>
        </w:rPr>
        <w:t>（二）效果实现情况分析</w:t>
      </w:r>
      <w:bookmarkEnd w:id="29"/>
      <w:bookmarkEnd w:id="30"/>
      <w:bookmarkEnd w:id="31"/>
      <w:bookmarkEnd w:id="32"/>
    </w:p>
    <w:p w14:paraId="68ACCD14">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1.经济</w:t>
      </w:r>
      <w:r>
        <w:rPr>
          <w:rFonts w:ascii="仿宋_GB2312" w:hAnsi="宋体" w:eastAsia="仿宋_GB2312" w:cs="宋体"/>
          <w:b/>
          <w:bCs/>
          <w:color w:val="000000"/>
          <w:kern w:val="0"/>
          <w:sz w:val="32"/>
          <w:szCs w:val="32"/>
        </w:rPr>
        <w:t>效益</w:t>
      </w:r>
    </w:p>
    <w:p w14:paraId="2C18C3E1">
      <w:pPr>
        <w:pStyle w:val="6"/>
        <w:keepNext w:val="0"/>
        <w:keepLines w:val="0"/>
        <w:pageBreakBefore w:val="0"/>
        <w:kinsoku/>
        <w:wordWrap/>
        <w:topLinePunct w:val="0"/>
        <w:autoSpaceDE/>
        <w:autoSpaceDN/>
        <w:bidi w:val="0"/>
        <w:snapToGrid/>
        <w:spacing w:beforeLines="0" w:afterLines="0" w:line="550" w:lineRule="exact"/>
        <w:ind w:firstLine="643"/>
        <w:rPr>
          <w:rFonts w:hint="eastAsia" w:ascii="仿宋_GB2312" w:hAnsi="仿宋_GB2312" w:eastAsia="仿宋_GB2312" w:cs="仿宋_GB2312"/>
          <w:sz w:val="32"/>
          <w:szCs w:val="32"/>
          <w:highlight w:val="none"/>
        </w:rPr>
      </w:pPr>
      <w:r>
        <w:rPr>
          <w:rFonts w:hint="eastAsia" w:ascii="仿宋_GB2312" w:hAnsi="仿宋" w:eastAsia="仿宋_GB2312"/>
          <w:sz w:val="32"/>
          <w:szCs w:val="32"/>
          <w:lang w:val="en-US" w:eastAsia="zh-CN"/>
        </w:rPr>
        <w:t>副中心工程办</w:t>
      </w:r>
      <w:r>
        <w:rPr>
          <w:rFonts w:hint="eastAsia" w:ascii="仿宋_GB2312" w:hAnsi="仿宋" w:eastAsia="仿宋_GB2312" w:cs="宋体"/>
          <w:sz w:val="32"/>
          <w:szCs w:val="32"/>
          <w:highlight w:val="none"/>
        </w:rPr>
        <w:t>对政府投资项目</w:t>
      </w:r>
      <w:r>
        <w:rPr>
          <w:rFonts w:hint="eastAsia" w:ascii="仿宋_GB2312" w:hAnsi="仿宋" w:eastAsia="仿宋_GB2312" w:cs="宋体"/>
          <w:sz w:val="32"/>
          <w:szCs w:val="32"/>
          <w:highlight w:val="none"/>
          <w:lang w:val="en-US" w:eastAsia="zh-CN"/>
        </w:rPr>
        <w:t>严格评审，</w:t>
      </w:r>
      <w:r>
        <w:rPr>
          <w:rFonts w:hint="eastAsia" w:ascii="仿宋_GB2312" w:hAnsi="仿宋" w:eastAsia="仿宋_GB2312" w:cs="宋体"/>
          <w:sz w:val="32"/>
          <w:szCs w:val="32"/>
          <w:highlight w:val="none"/>
        </w:rPr>
        <w:t>降低成本</w:t>
      </w:r>
      <w:r>
        <w:rPr>
          <w:rFonts w:hint="eastAsia" w:ascii="仿宋_GB2312" w:hAnsi="仿宋" w:eastAsia="仿宋_GB2312"/>
          <w:sz w:val="32"/>
          <w:szCs w:val="32"/>
          <w:highlight w:val="none"/>
        </w:rPr>
        <w:t>。</w:t>
      </w:r>
      <w:r>
        <w:rPr>
          <w:rFonts w:hint="eastAsia" w:ascii="仿宋_GB2312" w:hAnsi="仿宋_GB2312" w:eastAsia="仿宋_GB2312" w:cs="仿宋_GB2312"/>
          <w:sz w:val="32"/>
          <w:szCs w:val="32"/>
          <w:highlight w:val="none"/>
          <w:lang w:val="en-US" w:eastAsia="zh-CN"/>
        </w:rPr>
        <w:t>副中心工程办</w:t>
      </w:r>
      <w:r>
        <w:rPr>
          <w:rFonts w:hint="eastAsia" w:ascii="仿宋_GB2312" w:hAnsi="仿宋_GB2312" w:eastAsia="仿宋_GB2312" w:cs="仿宋_GB2312"/>
          <w:sz w:val="32"/>
          <w:szCs w:val="32"/>
          <w:highlight w:val="none"/>
        </w:rPr>
        <w:t>秉持“依法合规、实事求是”的原则和多级审核的工作方法，完成行政办公区二期合同结算定案和决算编报工作。</w:t>
      </w:r>
    </w:p>
    <w:p w14:paraId="3586E520">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2.社会效益</w:t>
      </w:r>
    </w:p>
    <w:p w14:paraId="01EDFECB">
      <w:pPr>
        <w:pStyle w:val="18"/>
        <w:keepNext w:val="0"/>
        <w:keepLines w:val="0"/>
        <w:pageBreakBefore w:val="0"/>
        <w:kinsoku/>
        <w:wordWrap/>
        <w:topLinePunct w:val="0"/>
        <w:autoSpaceDE/>
        <w:autoSpaceDN/>
        <w:bidi w:val="0"/>
        <w:snapToGrid/>
        <w:spacing w:beforeLines="0" w:after="0" w:afterLines="0" w:line="550" w:lineRule="exact"/>
        <w:ind w:left="0" w:leftChars="0" w:firstLine="643"/>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医疗民生领域。安贞医院通州院区实现开诊，为当地居民提供医疗服务，改善医疗民生条件。东小营车辆段上盖周转房和城市副中心住房项目全部建成交付，实现了安居基本保障。</w:t>
      </w:r>
    </w:p>
    <w:p w14:paraId="1B89917A">
      <w:pPr>
        <w:pStyle w:val="18"/>
        <w:keepNext w:val="0"/>
        <w:keepLines w:val="0"/>
        <w:pageBreakBefore w:val="0"/>
        <w:kinsoku/>
        <w:wordWrap/>
        <w:topLinePunct w:val="0"/>
        <w:autoSpaceDE/>
        <w:autoSpaceDN/>
        <w:bidi w:val="0"/>
        <w:snapToGrid/>
        <w:spacing w:beforeLines="0" w:after="0" w:afterLines="0" w:line="550" w:lineRule="exact"/>
        <w:ind w:left="0" w:leftChars="0" w:firstLine="643"/>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教育文化领域。中国人民大学通州校区第一批交用项目正式投用，推动了教育资源在城市副中心的布局和发展。路县故城遗址保护展示工程提前1个月完成竣工验收，具备布展条件，有利于文化遗址的保护和文化传承。</w:t>
      </w:r>
    </w:p>
    <w:p w14:paraId="3BF9BFEB">
      <w:pPr>
        <w:pStyle w:val="18"/>
        <w:keepNext w:val="0"/>
        <w:keepLines w:val="0"/>
        <w:pageBreakBefore w:val="0"/>
        <w:kinsoku/>
        <w:wordWrap/>
        <w:topLinePunct w:val="0"/>
        <w:autoSpaceDE/>
        <w:autoSpaceDN/>
        <w:bidi w:val="0"/>
        <w:snapToGrid/>
        <w:spacing w:beforeLines="0" w:after="0" w:afterLines="0" w:line="550" w:lineRule="exact"/>
        <w:ind w:left="0" w:leftChars="0" w:firstLine="643"/>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市政配套设施。东夏园交通枢纽及地下通道开通，厂通路建成通车，东六环入地改造工程建成，完善了城市交通网络。三大建筑共享配套设施工程地下车库投用、配套餐饮开业，提升了城市公共服务设施水平。轨道交通M101线一场9站、温潮减河、潮白河综合治理与生态修复、副中心步行和自行车示范段等项目实现全面开工，进一步推进了市政基础设施建设。</w:t>
      </w:r>
    </w:p>
    <w:p w14:paraId="262746B0">
      <w:pPr>
        <w:pStyle w:val="18"/>
        <w:keepNext w:val="0"/>
        <w:keepLines w:val="0"/>
        <w:pageBreakBefore w:val="0"/>
        <w:kinsoku/>
        <w:wordWrap/>
        <w:topLinePunct w:val="0"/>
        <w:autoSpaceDE/>
        <w:autoSpaceDN/>
        <w:bidi w:val="0"/>
        <w:snapToGrid/>
        <w:spacing w:beforeLines="0" w:after="0" w:afterLines="0" w:line="550" w:lineRule="exact"/>
        <w:ind w:left="0" w:leftChars="0" w:firstLine="643"/>
        <w:rPr>
          <w:rFonts w:hint="eastAsia" w:ascii="仿宋_GB2312" w:eastAsia="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 xml:space="preserve">产业领域。首开通州万象汇精彩开业，为城市副中心带来新的商业活力，促进产业发展。创意园220KV变电站等电力工程正加快推进建设，为产业发展提供电力等基础保障。东古城通信枢纽局全面开工；副中心站综合交通枢纽、北京卫生职业学院新院区、首都儿研所通州院区3个项目实现主体结构完工；清华大学通州金融人才基地、北京卫生职业学院、首儿所附属医院通州院区、首旅集团、北京建院、北咨公司8个项目实现主体结构封顶；北京胸科医院危房改建、市疾控中心迁建2个项目实现外立面亮相，这些项目的推进有利于产业集聚和发展。  </w:t>
      </w:r>
    </w:p>
    <w:p w14:paraId="702C3D56">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color w:val="000000"/>
          <w:kern w:val="0"/>
          <w:sz w:val="32"/>
          <w:szCs w:val="32"/>
        </w:rPr>
      </w:pPr>
      <w:r>
        <w:rPr>
          <w:rFonts w:hint="eastAsia" w:ascii="仿宋_GB2312" w:hAnsi="宋体" w:eastAsia="仿宋_GB2312" w:cs="宋体"/>
          <w:b/>
          <w:bCs/>
          <w:color w:val="000000"/>
          <w:kern w:val="0"/>
          <w:sz w:val="32"/>
          <w:szCs w:val="32"/>
        </w:rPr>
        <w:t>3.</w:t>
      </w:r>
      <w:r>
        <w:rPr>
          <w:rFonts w:hint="eastAsia" w:ascii="仿宋_GB2312" w:hAnsi="宋体" w:eastAsia="仿宋_GB2312" w:cs="宋体"/>
          <w:b/>
          <w:bCs/>
          <w:color w:val="000000"/>
          <w:kern w:val="0"/>
          <w:sz w:val="32"/>
          <w:szCs w:val="32"/>
          <w:lang w:val="en-US" w:eastAsia="zh-CN"/>
        </w:rPr>
        <w:t>环境</w:t>
      </w:r>
      <w:r>
        <w:rPr>
          <w:rFonts w:hint="eastAsia" w:ascii="仿宋_GB2312" w:hAnsi="宋体" w:eastAsia="仿宋_GB2312" w:cs="宋体"/>
          <w:b/>
          <w:bCs/>
          <w:color w:val="000000"/>
          <w:kern w:val="0"/>
          <w:sz w:val="32"/>
          <w:szCs w:val="32"/>
        </w:rPr>
        <w:t>效益</w:t>
      </w:r>
    </w:p>
    <w:p w14:paraId="0C47857C">
      <w:pPr>
        <w:pStyle w:val="6"/>
        <w:keepNext w:val="0"/>
        <w:keepLines w:val="0"/>
        <w:pageBreakBefore w:val="0"/>
        <w:kinsoku/>
        <w:wordWrap/>
        <w:topLinePunct w:val="0"/>
        <w:autoSpaceDE/>
        <w:autoSpaceDN/>
        <w:bidi w:val="0"/>
        <w:snapToGrid/>
        <w:spacing w:beforeLines="0" w:afterLines="0" w:line="550" w:lineRule="exact"/>
        <w:ind w:firstLine="643"/>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在市政配套建设中，温潮减河、潮白河综合治理与生态修复工程的实施，通过河道整治、生态修复等举措，显著改善区域水环境质量，增强水体自净能力，有效提升水生态系统稳定性，对调节局部气候、保护生物多样性发挥积极作用。副中心步行和自行车示范段的建设，大力推广绿色低碳出行模式，减少机动车使用频率，降低交通碳排放及尾气污染，改善城市空气质量，优化交通出行结构，为市民打造绿色、健康的出行环境。此外，三大建筑共享配套设施工程的建设，在满足城市功能需求的同时，注重生态环保设计与运营，促进资源节约与循环利用，进一步提升城市生态品质，助力城市副中心实现生态环境可持续发展</w:t>
      </w:r>
      <w:r>
        <w:rPr>
          <w:rFonts w:hint="eastAsia" w:ascii="仿宋_GB2312" w:hAnsi="宋体" w:eastAsia="仿宋_GB2312"/>
          <w:sz w:val="32"/>
          <w:szCs w:val="32"/>
          <w:highlight w:val="none"/>
          <w:u w:val="none"/>
          <w:lang w:val="en-US" w:eastAsia="zh-CN"/>
        </w:rPr>
        <w:t>。</w:t>
      </w:r>
    </w:p>
    <w:p w14:paraId="791580F4">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4.可持续性影响</w:t>
      </w:r>
    </w:p>
    <w:p w14:paraId="1A60DC77">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制度创新层面，通过系统梳理和完善工程建设制度，在安全管理、质量管控、智能建造等领域形成可复制推广的管理标准和技术导则，为后续政府投资项目提供规范指引，保障工程建设长期高质量发展。工程经验方面，行政办公区一、二期工程在结算决算、建设管理过程中积累的丰富数据与实践经验，成为城市建设的宝贵财富，为同类工程提供高效管理范本。产业发展上，商业综合体开业、交通枢纽及产业项目推进，带动产业集聚与经济增长，创造长期就业机会，夯实城市经济基础。民生领域，住房、教育、医疗配套的完善，持续提升居民生活品质，增强区域吸引力。文化遗产保护工程的推进，延续城市历史文脉，提升文化软实力，多维度推动城市副中心实现经济、社会与文化的可持续发展。</w:t>
      </w:r>
    </w:p>
    <w:p w14:paraId="11063C4F">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黑体" w:hAnsi="黑体" w:eastAsia="黑体"/>
          <w:sz w:val="32"/>
          <w:szCs w:val="32"/>
          <w:highlight w:val="none"/>
        </w:rPr>
      </w:pPr>
      <w:r>
        <w:rPr>
          <w:rFonts w:hint="eastAsia" w:ascii="仿宋_GB2312" w:hAnsi="宋体" w:eastAsia="仿宋_GB2312" w:cs="宋体"/>
          <w:b/>
          <w:bCs/>
          <w:color w:val="000000"/>
          <w:kern w:val="0"/>
          <w:sz w:val="32"/>
          <w:szCs w:val="32"/>
          <w:highlight w:val="none"/>
        </w:rPr>
        <w:t>5.服务对象</w:t>
      </w:r>
      <w:r>
        <w:rPr>
          <w:rFonts w:ascii="仿宋_GB2312" w:hAnsi="宋体" w:eastAsia="仿宋_GB2312" w:cs="宋体"/>
          <w:b/>
          <w:bCs/>
          <w:color w:val="000000"/>
          <w:kern w:val="0"/>
          <w:sz w:val="32"/>
          <w:szCs w:val="32"/>
          <w:highlight w:val="none"/>
        </w:rPr>
        <w:t>满意度</w:t>
      </w:r>
    </w:p>
    <w:p w14:paraId="142DC31E">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坚决贯彻市委、市政府的决策部署，全面落实北京城市副中心控规，高质量推进副中心规划建设，全力以赴促开工、督进度、保竣工，持续抓好重大项目协调推进，受到上级领导和接收单位的好评。从满意度调查情况看，服务对象满意度基本达到目标值。</w:t>
      </w:r>
    </w:p>
    <w:p w14:paraId="06DD1B55">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0"/>
        <w:rPr>
          <w:rFonts w:ascii="黑体" w:hAnsi="黑体" w:eastAsia="黑体"/>
          <w:sz w:val="32"/>
          <w:szCs w:val="32"/>
          <w:highlight w:val="none"/>
        </w:rPr>
      </w:pPr>
      <w:bookmarkStart w:id="33" w:name="_Toc6982"/>
      <w:bookmarkStart w:id="34" w:name="_Toc4480"/>
      <w:bookmarkStart w:id="35" w:name="_Toc21355"/>
      <w:bookmarkStart w:id="36" w:name="_Toc28601"/>
      <w:r>
        <w:rPr>
          <w:rFonts w:hint="eastAsia" w:ascii="黑体" w:hAnsi="黑体" w:eastAsia="黑体"/>
          <w:sz w:val="32"/>
          <w:szCs w:val="32"/>
          <w:highlight w:val="none"/>
        </w:rPr>
        <w:t>四、预算管理情况分析</w:t>
      </w:r>
      <w:bookmarkEnd w:id="33"/>
      <w:bookmarkEnd w:id="34"/>
      <w:bookmarkEnd w:id="35"/>
      <w:bookmarkEnd w:id="36"/>
    </w:p>
    <w:p w14:paraId="683A9400">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bookmarkStart w:id="37" w:name="_Toc31386"/>
      <w:bookmarkStart w:id="38" w:name="_Toc16709"/>
      <w:bookmarkStart w:id="39" w:name="_Toc19727"/>
      <w:bookmarkStart w:id="40" w:name="_Toc27131"/>
      <w:r>
        <w:rPr>
          <w:rFonts w:hint="eastAsia" w:ascii="楷体_GB2312" w:eastAsia="楷体_GB2312"/>
          <w:b/>
          <w:bCs/>
          <w:sz w:val="32"/>
          <w:szCs w:val="32"/>
        </w:rPr>
        <w:t>（一）财务管理</w:t>
      </w:r>
      <w:bookmarkEnd w:id="37"/>
      <w:bookmarkEnd w:id="38"/>
      <w:bookmarkEnd w:id="39"/>
      <w:bookmarkEnd w:id="40"/>
    </w:p>
    <w:p w14:paraId="7D37C4F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eastAsia="仿宋_GB2312"/>
          <w:b/>
          <w:bCs/>
          <w:sz w:val="32"/>
          <w:szCs w:val="32"/>
          <w:highlight w:val="none"/>
        </w:rPr>
      </w:pPr>
      <w:r>
        <w:rPr>
          <w:rFonts w:hint="eastAsia" w:ascii="仿宋_GB2312" w:eastAsia="仿宋_GB2312"/>
          <w:b/>
          <w:bCs/>
          <w:sz w:val="32"/>
          <w:szCs w:val="32"/>
          <w:highlight w:val="none"/>
        </w:rPr>
        <w:t>1.财务</w:t>
      </w:r>
      <w:r>
        <w:rPr>
          <w:rFonts w:hint="eastAsia" w:ascii="仿宋_GB2312" w:eastAsia="仿宋_GB2312"/>
          <w:b/>
          <w:bCs/>
          <w:sz w:val="32"/>
          <w:szCs w:val="32"/>
          <w:highlight w:val="none"/>
          <w:lang w:val="en-US" w:eastAsia="zh-CN"/>
        </w:rPr>
        <w:t>管理</w:t>
      </w:r>
      <w:r>
        <w:rPr>
          <w:rFonts w:hint="eastAsia" w:ascii="仿宋_GB2312" w:eastAsia="仿宋_GB2312"/>
          <w:b/>
          <w:bCs/>
          <w:sz w:val="32"/>
          <w:szCs w:val="32"/>
          <w:highlight w:val="none"/>
        </w:rPr>
        <w:t>制度健全性</w:t>
      </w:r>
    </w:p>
    <w:p w14:paraId="6C8D642E">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财务管理制度健全，有效保障财务工作规范有序。在制度建设方面，严格依据《中华人民共和国会计法》《行政事业单位内部控制规范（试行）》等法规，制定了涵盖预算、收支、采购、资产、合同等多方面的制度，明确各项业务流程和规范。副中心工程办严格落实办领导关于制度修订的工作要求，全面梳理财务管理各项制度规定，修订《工程结算预审计管理办法》《财务管理办法》等10项制度，从严规范预审计工作、预决算管理、资金审批等工作标准和要求。副中心工程办全面总结预审计工作成效，形成《副中心工程办工程结算预审计工作经验总结》，研究起草《北京城市副中心工程结算预审计管理实施指南》，努力推动工程结算预审计工作在副中心市级重大项目中全面推广。</w:t>
      </w:r>
    </w:p>
    <w:p w14:paraId="2735A566">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在管理机制上，设立了内部控制领导小组、监督小组和风险评估小组，明确各部门职责，实现了决策权、执行权和监督权的分离与制衡。在预算管理中，从编制、审批到执行、调整，都有严格的流程和明确的权限划分。同时，建立了完善的监督评价体系，定期开展内部控制评价，及时发现并整改问题，确保财务制度有效执行，保障了财务活动的合法合规、资产安全及信息真实完整。 </w:t>
      </w:r>
    </w:p>
    <w:p w14:paraId="0A36FC81">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rPr>
          <w:rFonts w:hint="default" w:ascii="仿宋_GB2312" w:hAnsi="仿宋" w:eastAsia="仿宋_GB2312"/>
          <w:b/>
          <w:bCs/>
          <w:sz w:val="32"/>
          <w:szCs w:val="32"/>
          <w:lang w:val="en-US" w:eastAsia="zh-CN"/>
        </w:rPr>
      </w:pPr>
      <w:r>
        <w:rPr>
          <w:rFonts w:hint="eastAsia" w:ascii="仿宋_GB2312" w:hAnsi="仿宋" w:eastAsia="仿宋_GB2312"/>
          <w:b/>
          <w:bCs/>
          <w:sz w:val="32"/>
          <w:szCs w:val="32"/>
        </w:rPr>
        <w:t>2.资金使用合规性</w:t>
      </w:r>
      <w:r>
        <w:rPr>
          <w:rFonts w:hint="eastAsia" w:ascii="仿宋_GB2312" w:hAnsi="仿宋" w:eastAsia="仿宋_GB2312"/>
          <w:b/>
          <w:bCs/>
          <w:sz w:val="32"/>
          <w:szCs w:val="32"/>
          <w:lang w:val="en-US" w:eastAsia="zh-CN"/>
        </w:rPr>
        <w:t>和安全性</w:t>
      </w:r>
    </w:p>
    <w:p w14:paraId="2617F45F">
      <w:pPr>
        <w:keepNext w:val="0"/>
        <w:keepLines w:val="0"/>
        <w:pageBreakBefore w:val="0"/>
        <w:kinsoku/>
        <w:wordWrap/>
        <w:overflowPunct/>
        <w:topLinePunct w:val="0"/>
        <w:autoSpaceDE/>
        <w:autoSpaceDN/>
        <w:bidi w:val="0"/>
        <w:adjustRightInd/>
        <w:snapToGrid/>
        <w:spacing w:beforeLines="0" w:afterLines="0" w:line="55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副中心工程办资资金使用合规性及安全性方面严格执行国家财经法规，构建全链条规范化管理体系。一是项目审核严谨。副中心工程办秉持“依法合规、实事求是”的原则和多级审核的工作方法。二是成本精准控制。实现百万平方米群体工程结算不超概算目标。</w:t>
      </w:r>
    </w:p>
    <w:p w14:paraId="3A59443D">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rPr>
          <w:rFonts w:ascii="仿宋_GB2312" w:hAnsi="仿宋_GB2312" w:eastAsia="仿宋_GB2312" w:cs="仿宋_GB2312"/>
          <w:b/>
          <w:bCs/>
          <w:color w:val="5B9BD5" w:themeColor="accent5"/>
          <w:sz w:val="32"/>
          <w:szCs w:val="32"/>
          <w:highlight w:val="none"/>
          <w14:textFill>
            <w14:solidFill>
              <w14:schemeClr w14:val="accent5"/>
            </w14:solidFill>
          </w14:textFill>
        </w:rPr>
      </w:pPr>
      <w:r>
        <w:rPr>
          <w:rFonts w:hint="eastAsia" w:ascii="仿宋_GB2312" w:eastAsia="仿宋_GB2312"/>
          <w:b/>
          <w:bCs/>
          <w:sz w:val="32"/>
          <w:szCs w:val="32"/>
          <w:highlight w:val="none"/>
        </w:rPr>
        <w:t>3.</w:t>
      </w:r>
      <w:r>
        <w:rPr>
          <w:rFonts w:hint="eastAsia" w:ascii="仿宋_GB2312" w:hAnsi="仿宋_GB2312" w:eastAsia="仿宋_GB2312" w:cs="仿宋_GB2312"/>
          <w:b/>
          <w:bCs/>
          <w:sz w:val="32"/>
          <w:szCs w:val="32"/>
          <w:highlight w:val="none"/>
          <w:lang w:val="en-US" w:eastAsia="zh-CN"/>
        </w:rPr>
        <w:t>经费保障及时</w:t>
      </w:r>
      <w:r>
        <w:rPr>
          <w:rFonts w:hint="eastAsia" w:ascii="仿宋_GB2312" w:hAnsi="仿宋_GB2312" w:eastAsia="仿宋_GB2312" w:cs="仿宋_GB2312"/>
          <w:b/>
          <w:bCs/>
          <w:sz w:val="32"/>
          <w:szCs w:val="32"/>
          <w:highlight w:val="none"/>
        </w:rPr>
        <w:t>性</w:t>
      </w:r>
    </w:p>
    <w:p w14:paraId="03BB5BEF">
      <w:pPr>
        <w:keepNext w:val="0"/>
        <w:keepLines w:val="0"/>
        <w:pageBreakBefore w:val="0"/>
        <w:kinsoku/>
        <w:wordWrap/>
        <w:overflowPunct/>
        <w:topLinePunct w:val="0"/>
        <w:autoSpaceDE/>
        <w:autoSpaceDN/>
        <w:bidi w:val="0"/>
        <w:adjustRightInd/>
        <w:snapToGrid/>
        <w:spacing w:beforeLines="0" w:afterLines="0" w:line="550" w:lineRule="exact"/>
        <w:ind w:firstLine="640" w:firstLineChars="200"/>
        <w:rPr>
          <w:rFonts w:hint="eastAsia" w:ascii="仿宋_GB2312" w:hAnsi="仿宋" w:eastAsia="仿宋_GB2312"/>
          <w:sz w:val="32"/>
          <w:szCs w:val="32"/>
          <w:highlight w:val="none"/>
          <w:lang w:val="en-US" w:eastAsia="zh-CN"/>
        </w:rPr>
      </w:pPr>
      <w:bookmarkStart w:id="41" w:name="_Toc16450"/>
      <w:bookmarkStart w:id="42" w:name="_Toc12409"/>
      <w:bookmarkStart w:id="43" w:name="_Toc24440"/>
      <w:bookmarkStart w:id="44" w:name="_Toc5950"/>
      <w:r>
        <w:rPr>
          <w:rFonts w:hint="eastAsia" w:ascii="仿宋_GB2312" w:hAnsi="仿宋" w:eastAsia="仿宋_GB2312"/>
          <w:color w:val="000000" w:themeColor="text1"/>
          <w:sz w:val="32"/>
          <w:szCs w:val="32"/>
          <w:highlight w:val="none"/>
          <w:lang w:val="en-US" w:eastAsia="zh-CN"/>
          <w14:textFill>
            <w14:solidFill>
              <w14:schemeClr w14:val="tx1"/>
            </w14:solidFill>
          </w14:textFill>
        </w:rPr>
        <w:t>副中心工程办以“三个创新”完成行政办公区二期结算工作。</w:t>
      </w:r>
      <w:r>
        <w:rPr>
          <w:rFonts w:hint="eastAsia" w:ascii="仿宋_GB2312" w:hAnsi="仿宋" w:eastAsia="仿宋_GB2312"/>
          <w:sz w:val="32"/>
          <w:szCs w:val="32"/>
          <w:highlight w:val="none"/>
          <w:lang w:val="en-US" w:eastAsia="zh-CN"/>
        </w:rPr>
        <w:t>创新工程总承包（EPC）项目合同固定总价结算模式，真正实现限额设计、限额施工，为确保品质有保障、投资不超概算打下坚实基础；创新实施过程分段结算，化整为零提前解决争议问题，边干边结加快推进结算工作；创新开展结算预审计，探索形成“两规范+两机制”工作经验。</w:t>
      </w:r>
    </w:p>
    <w:p w14:paraId="12A33855">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ascii="仿宋_GB2312" w:hAnsi="仿宋_GB2312" w:eastAsia="仿宋_GB2312" w:cs="仿宋_GB2312"/>
          <w:b/>
          <w:sz w:val="32"/>
        </w:rPr>
      </w:pPr>
      <w:r>
        <w:rPr>
          <w:rFonts w:hint="eastAsia" w:ascii="仿宋_GB2312" w:hAnsi="仿宋_GB2312" w:eastAsia="仿宋_GB2312" w:cs="仿宋_GB2312"/>
          <w:b/>
          <w:sz w:val="32"/>
          <w:lang w:val="en-US" w:eastAsia="zh-CN"/>
        </w:rPr>
        <w:t>4</w:t>
      </w:r>
      <w:r>
        <w:rPr>
          <w:rFonts w:ascii="仿宋_GB2312" w:hAnsi="仿宋_GB2312" w:eastAsia="仿宋_GB2312" w:cs="仿宋_GB2312"/>
          <w:b/>
          <w:sz w:val="32"/>
        </w:rPr>
        <w:t>.会计基础信息完善性</w:t>
      </w:r>
    </w:p>
    <w:p w14:paraId="68FE41DE">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按照会计核算办法要求，认真做好</w:t>
      </w:r>
      <w:r>
        <w:rPr>
          <w:rFonts w:ascii="仿宋_GB2312" w:hAnsi="仿宋_GB2312" w:eastAsia="仿宋_GB2312" w:cs="仿宋_GB2312"/>
          <w:sz w:val="32"/>
        </w:rPr>
        <w:t>会计基础信息</w:t>
      </w:r>
      <w:r>
        <w:rPr>
          <w:rFonts w:hint="eastAsia" w:ascii="仿宋_GB2312" w:hAnsi="仿宋_GB2312" w:eastAsia="仿宋_GB2312" w:cs="仿宋_GB2312"/>
          <w:sz w:val="32"/>
          <w:lang w:val="en-US" w:eastAsia="zh-CN"/>
        </w:rPr>
        <w:t>的建立完善工作</w:t>
      </w:r>
      <w:r>
        <w:rPr>
          <w:rFonts w:ascii="仿宋_GB2312" w:hAnsi="仿宋_GB2312" w:eastAsia="仿宋_GB2312" w:cs="仿宋_GB2312"/>
          <w:sz w:val="32"/>
        </w:rPr>
        <w:t>。绩效评价中查阅了</w:t>
      </w:r>
      <w:r>
        <w:rPr>
          <w:rFonts w:hint="eastAsia" w:ascii="仿宋_GB2312" w:hAnsi="仿宋_GB2312" w:eastAsia="仿宋_GB2312" w:cs="仿宋_GB2312"/>
          <w:sz w:val="32"/>
          <w:lang w:val="en-US" w:eastAsia="zh-CN"/>
        </w:rPr>
        <w:t>财务部门</w:t>
      </w:r>
      <w:r>
        <w:rPr>
          <w:rFonts w:ascii="仿宋_GB2312" w:hAnsi="仿宋_GB2312" w:eastAsia="仿宋_GB2312" w:cs="仿宋_GB2312"/>
          <w:sz w:val="32"/>
        </w:rPr>
        <w:t>的会计账套、20</w:t>
      </w:r>
      <w:r>
        <w:rPr>
          <w:rFonts w:hint="eastAsia" w:ascii="仿宋_GB2312" w:hAnsi="仿宋_GB2312" w:eastAsia="仿宋_GB2312" w:cs="仿宋_GB2312"/>
          <w:sz w:val="32"/>
          <w:lang w:val="en-US" w:eastAsia="zh-CN"/>
        </w:rPr>
        <w:t>24</w:t>
      </w:r>
      <w:r>
        <w:rPr>
          <w:rFonts w:ascii="仿宋_GB2312" w:hAnsi="仿宋_GB2312" w:eastAsia="仿宋_GB2312" w:cs="仿宋_GB2312"/>
          <w:sz w:val="32"/>
        </w:rPr>
        <w:t>年部门决算、20</w:t>
      </w:r>
      <w:r>
        <w:rPr>
          <w:rFonts w:hint="eastAsia" w:ascii="仿宋_GB2312" w:hAnsi="仿宋_GB2312" w:eastAsia="仿宋_GB2312" w:cs="仿宋_GB2312"/>
          <w:sz w:val="32"/>
          <w:lang w:val="en-US" w:eastAsia="zh-CN"/>
        </w:rPr>
        <w:t>24</w:t>
      </w:r>
      <w:r>
        <w:rPr>
          <w:rFonts w:ascii="仿宋_GB2312" w:hAnsi="仿宋_GB2312" w:eastAsia="仿宋_GB2312" w:cs="仿宋_GB2312"/>
          <w:sz w:val="32"/>
        </w:rPr>
        <w:t>年财务报告，以及重点项目的记账凭证等会计基础信息资料。</w:t>
      </w:r>
      <w:r>
        <w:rPr>
          <w:rFonts w:hint="eastAsia" w:ascii="仿宋_GB2312" w:hAnsi="仿宋_GB2312" w:eastAsia="仿宋_GB2312" w:cs="仿宋_GB2312"/>
          <w:sz w:val="32"/>
          <w:lang w:val="en-US" w:eastAsia="zh-CN"/>
        </w:rPr>
        <w:t>财务部门</w:t>
      </w:r>
      <w:r>
        <w:rPr>
          <w:rFonts w:ascii="仿宋_GB2312" w:hAnsi="仿宋_GB2312" w:eastAsia="仿宋_GB2312" w:cs="仿宋_GB2312"/>
          <w:sz w:val="32"/>
        </w:rPr>
        <w:t>会计</w:t>
      </w:r>
      <w:r>
        <w:rPr>
          <w:rFonts w:hint="eastAsia" w:ascii="仿宋_GB2312" w:hAnsi="仿宋_GB2312" w:eastAsia="仿宋_GB2312" w:cs="仿宋_GB2312"/>
          <w:sz w:val="32"/>
          <w:lang w:eastAsia="zh-CN"/>
        </w:rPr>
        <w:t>记账</w:t>
      </w:r>
      <w:r>
        <w:rPr>
          <w:rFonts w:ascii="仿宋_GB2312" w:hAnsi="仿宋_GB2312" w:eastAsia="仿宋_GB2312" w:cs="仿宋_GB2312"/>
          <w:sz w:val="32"/>
        </w:rPr>
        <w:t>套数据清晰、完善，账目记载准确，</w:t>
      </w:r>
      <w:r>
        <w:rPr>
          <w:rFonts w:hint="eastAsia" w:ascii="仿宋_GB2312" w:hAnsi="仿宋_GB2312" w:eastAsia="仿宋_GB2312" w:cs="仿宋_GB2312"/>
          <w:sz w:val="32"/>
          <w:lang w:val="en-US" w:eastAsia="zh-CN"/>
        </w:rPr>
        <w:t>账簿和会计报表勾稽关系相互对应，</w:t>
      </w:r>
      <w:r>
        <w:rPr>
          <w:rFonts w:ascii="仿宋_GB2312" w:hAnsi="仿宋_GB2312" w:eastAsia="仿宋_GB2312" w:cs="仿宋_GB2312"/>
          <w:sz w:val="32"/>
        </w:rPr>
        <w:t>决算报表和财务报告符合要求，报销附件规范，原始凭证要素齐全。为做好预算管理、绩效管理提供了真实、完整的基础信息资料。</w:t>
      </w:r>
    </w:p>
    <w:p w14:paraId="05217E1B">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hint="eastAsia" w:ascii="楷体_GB2312" w:eastAsia="楷体_GB2312"/>
          <w:b/>
          <w:bCs/>
          <w:sz w:val="32"/>
          <w:szCs w:val="32"/>
          <w:lang w:val="en-US" w:eastAsia="zh-CN"/>
        </w:rPr>
      </w:pPr>
      <w:r>
        <w:rPr>
          <w:rFonts w:hint="eastAsia" w:ascii="楷体_GB2312" w:eastAsia="楷体_GB2312"/>
          <w:b/>
          <w:bCs/>
          <w:sz w:val="32"/>
          <w:szCs w:val="32"/>
          <w:lang w:val="en-US" w:eastAsia="zh-CN"/>
        </w:rPr>
        <w:t>（二）资产管理</w:t>
      </w:r>
      <w:bookmarkEnd w:id="41"/>
      <w:bookmarkEnd w:id="42"/>
      <w:bookmarkEnd w:id="43"/>
      <w:bookmarkEnd w:id="44"/>
    </w:p>
    <w:p w14:paraId="3504FC7E">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auto"/>
        <w:rPr>
          <w:rFonts w:hint="eastAsia" w:ascii="仿宋_GB2312" w:hAnsi="仿宋" w:eastAsia="仿宋_GB2312"/>
          <w:sz w:val="32"/>
          <w:szCs w:val="32"/>
          <w:highlight w:val="none"/>
          <w:lang w:eastAsia="zh-CN"/>
        </w:rPr>
      </w:pPr>
      <w:bookmarkStart w:id="45" w:name="_Toc18561"/>
      <w:bookmarkStart w:id="46" w:name="_Toc11768"/>
      <w:bookmarkStart w:id="47" w:name="_Toc14210"/>
      <w:bookmarkStart w:id="48" w:name="_Toc23561"/>
      <w:r>
        <w:rPr>
          <w:rFonts w:hint="eastAsia" w:ascii="仿宋_GB2312" w:hAnsi="仿宋" w:eastAsia="仿宋_GB2312"/>
          <w:sz w:val="32"/>
          <w:szCs w:val="32"/>
          <w:highlight w:val="none"/>
        </w:rPr>
        <w:t>资产管理</w:t>
      </w:r>
      <w:r>
        <w:rPr>
          <w:rFonts w:hint="eastAsia" w:ascii="仿宋_GB2312" w:hAnsi="仿宋" w:eastAsia="仿宋_GB2312"/>
          <w:sz w:val="32"/>
          <w:szCs w:val="32"/>
          <w:highlight w:val="none"/>
          <w:lang w:val="en-US" w:eastAsia="zh-CN"/>
        </w:rPr>
        <w:t>实行</w:t>
      </w:r>
      <w:r>
        <w:rPr>
          <w:rFonts w:hint="eastAsia" w:ascii="仿宋_GB2312" w:hAnsi="仿宋" w:eastAsia="仿宋_GB2312"/>
          <w:sz w:val="32"/>
          <w:szCs w:val="32"/>
          <w:highlight w:val="none"/>
        </w:rPr>
        <w:t>统一政策、统一领导、分级管理、职责到部到人、物尽其用的原则。综合部负责对单位资产管理进行指导和监督，对纳入政府采购范围的资产按规定购置</w:t>
      </w:r>
      <w:r>
        <w:rPr>
          <w:rFonts w:hint="eastAsia" w:ascii="仿宋_GB2312" w:hAnsi="仿宋" w:eastAsia="仿宋_GB2312"/>
          <w:sz w:val="32"/>
          <w:szCs w:val="32"/>
          <w:highlight w:val="none"/>
          <w:lang w:val="en-US" w:eastAsia="zh-CN"/>
        </w:rPr>
        <w:t>；</w:t>
      </w:r>
      <w:r>
        <w:rPr>
          <w:rFonts w:hint="eastAsia" w:ascii="仿宋_GB2312" w:hAnsi="仿宋" w:eastAsia="仿宋_GB2312"/>
          <w:sz w:val="32"/>
          <w:szCs w:val="32"/>
          <w:highlight w:val="none"/>
        </w:rPr>
        <w:t>负责本单位资产的分配、清查，以及资产使用、维护过程中的监督工作。各部门确定专人负责资产的日常管理工作，包括资产的登记、统计、维护、保管等。财务部门</w:t>
      </w:r>
      <w:r>
        <w:rPr>
          <w:rFonts w:hint="eastAsia" w:ascii="仿宋_GB2312" w:hAnsi="仿宋" w:eastAsia="仿宋_GB2312"/>
          <w:sz w:val="32"/>
          <w:szCs w:val="32"/>
          <w:highlight w:val="none"/>
          <w:lang w:val="en-US" w:eastAsia="zh-CN"/>
        </w:rPr>
        <w:t>负责资产</w:t>
      </w:r>
      <w:r>
        <w:rPr>
          <w:rFonts w:hint="eastAsia" w:ascii="仿宋_GB2312" w:hAnsi="仿宋" w:eastAsia="仿宋_GB2312"/>
          <w:sz w:val="32"/>
          <w:szCs w:val="32"/>
          <w:highlight w:val="none"/>
        </w:rPr>
        <w:t>价值核算，综合部门设置专人进行资产实物卡片管理及使用状况监督。资产采购根据合同、供应商发货单等对所购资产的品种、规格、数量、质量、技术要求及其他资料进行验收</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未通过验收的不合格资产不得接收。</w:t>
      </w:r>
      <w:r>
        <w:rPr>
          <w:rFonts w:hint="eastAsia" w:ascii="仿宋_GB2312" w:eastAsia="仿宋_GB2312"/>
          <w:color w:val="000000"/>
          <w:sz w:val="32"/>
          <w:szCs w:val="32"/>
        </w:rPr>
        <w:t>科学合理做好资产配置，加强资产的日常管理维护，充分发挥资产在单位履行职能方面的物质基础作用</w:t>
      </w:r>
      <w:r>
        <w:rPr>
          <w:rFonts w:hint="eastAsia" w:ascii="仿宋_GB2312" w:eastAsia="仿宋_GB2312"/>
          <w:color w:val="000000"/>
          <w:sz w:val="32"/>
          <w:szCs w:val="32"/>
          <w:lang w:eastAsia="zh-CN"/>
        </w:rPr>
        <w:t>。</w:t>
      </w:r>
    </w:p>
    <w:p w14:paraId="4467CF8B">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r>
        <w:rPr>
          <w:rFonts w:hint="eastAsia" w:ascii="楷体_GB2312" w:eastAsia="楷体_GB2312"/>
          <w:b/>
          <w:bCs/>
          <w:sz w:val="32"/>
          <w:szCs w:val="32"/>
        </w:rPr>
        <w:t>（三）绩效管理</w:t>
      </w:r>
      <w:bookmarkEnd w:id="45"/>
      <w:bookmarkEnd w:id="46"/>
      <w:bookmarkEnd w:id="47"/>
      <w:bookmarkEnd w:id="48"/>
    </w:p>
    <w:p w14:paraId="5204E9CC">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eastAsia" w:ascii="仿宋_GB2312" w:hAnsi="仿宋" w:eastAsia="仿宋_GB2312"/>
          <w:sz w:val="32"/>
          <w:szCs w:val="32"/>
          <w:lang w:val="en-US" w:eastAsia="zh-CN"/>
        </w:rPr>
      </w:pPr>
      <w:bookmarkStart w:id="49" w:name="_Toc9710"/>
      <w:bookmarkStart w:id="50" w:name="_Toc5157"/>
      <w:bookmarkStart w:id="51" w:name="_Toc5586"/>
      <w:bookmarkStart w:id="52" w:name="_Toc26533"/>
      <w:r>
        <w:rPr>
          <w:rFonts w:hint="eastAsia" w:ascii="仿宋_GB2312" w:hAnsi="仿宋" w:eastAsia="仿宋_GB2312"/>
          <w:sz w:val="32"/>
          <w:szCs w:val="32"/>
          <w:lang w:val="en-US" w:eastAsia="zh-CN"/>
        </w:rPr>
        <w:t>副中心工程办高度重视预算绩效管理工作，按照全面实施预算绩效</w:t>
      </w:r>
      <w:r>
        <w:rPr>
          <w:rFonts w:hint="eastAsia" w:ascii="仿宋_GB2312" w:hAnsi="仿宋" w:eastAsia="仿宋_GB2312"/>
          <w:sz w:val="32"/>
          <w:szCs w:val="32"/>
        </w:rPr>
        <w:t>管理</w:t>
      </w:r>
      <w:r>
        <w:rPr>
          <w:rFonts w:hint="eastAsia" w:ascii="仿宋_GB2312" w:hAnsi="仿宋" w:eastAsia="仿宋_GB2312"/>
          <w:sz w:val="32"/>
          <w:szCs w:val="32"/>
          <w:lang w:val="en-US" w:eastAsia="zh-CN"/>
        </w:rPr>
        <w:t>要求</w:t>
      </w:r>
      <w:r>
        <w:rPr>
          <w:rFonts w:hint="eastAsia" w:ascii="仿宋_GB2312" w:hAnsi="仿宋" w:eastAsia="仿宋_GB2312"/>
          <w:sz w:val="32"/>
          <w:szCs w:val="32"/>
        </w:rPr>
        <w:t>，</w:t>
      </w:r>
      <w:r>
        <w:rPr>
          <w:rFonts w:hint="eastAsia" w:ascii="仿宋_GB2312" w:hAnsi="仿宋" w:eastAsia="仿宋_GB2312"/>
          <w:sz w:val="32"/>
          <w:szCs w:val="32"/>
          <w:lang w:val="en-US" w:eastAsia="zh-CN"/>
        </w:rPr>
        <w:t>将绩效理念融入预算编制、执行、监控全过程，实现预算与绩效有机融合，着力构建绩效目标管理、事前绩效评估、绩效运行监控、绩效评价管理、评价结果应用的预算管理体系。</w:t>
      </w:r>
    </w:p>
    <w:p w14:paraId="0DA60782">
      <w:pPr>
        <w:adjustRightInd w:val="0"/>
        <w:snapToGrid w:val="0"/>
        <w:spacing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2025年，副中心工程办按照</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
        </w:rPr>
        <w:t>北京市财政局关于2025年预算绩效管理工作的通知》</w:t>
      </w:r>
      <w:r>
        <w:rPr>
          <w:rFonts w:hint="eastAsia" w:ascii="仿宋_GB2312" w:hAnsi="仿宋_GB2312" w:eastAsia="仿宋_GB2312" w:cs="仿宋_GB2312"/>
          <w:sz w:val="32"/>
          <w:szCs w:val="32"/>
          <w:highlight w:val="none"/>
          <w:lang w:val="en" w:eastAsia="zh-CN"/>
        </w:rPr>
        <w:t>（京财绩效〔2025〕245号）</w:t>
      </w:r>
      <w:r>
        <w:rPr>
          <w:rFonts w:hint="eastAsia" w:ascii="仿宋_GB2312" w:hAnsi="仿宋_GB2312" w:eastAsia="仿宋_GB2312" w:cs="仿宋_GB2312"/>
          <w:sz w:val="32"/>
          <w:szCs w:val="32"/>
          <w:highlight w:val="none"/>
          <w:lang w:val="en-US" w:eastAsia="zh-CN"/>
        </w:rPr>
        <w:t>，由</w:t>
      </w:r>
      <w:r>
        <w:rPr>
          <w:rFonts w:hint="eastAsia" w:ascii="仿宋_GB2312" w:hAnsi="仿宋_GB2312" w:eastAsia="仿宋_GB2312" w:cs="仿宋_GB2312"/>
          <w:sz w:val="32"/>
          <w:szCs w:val="32"/>
          <w:highlight w:val="none"/>
          <w:lang w:val="en" w:eastAsia="zh-CN"/>
        </w:rPr>
        <w:t>财务</w:t>
      </w:r>
      <w:r>
        <w:rPr>
          <w:rFonts w:hint="eastAsia" w:ascii="仿宋_GB2312" w:hAnsi="仿宋_GB2312" w:eastAsia="仿宋_GB2312" w:cs="仿宋_GB2312"/>
          <w:sz w:val="32"/>
          <w:szCs w:val="32"/>
          <w:highlight w:val="none"/>
          <w:lang w:val="en-US" w:eastAsia="zh-CN"/>
        </w:rPr>
        <w:t>审计部</w:t>
      </w:r>
      <w:r>
        <w:rPr>
          <w:rFonts w:hint="eastAsia" w:ascii="仿宋_GB2312" w:hAnsi="仿宋_GB2312" w:eastAsia="仿宋_GB2312" w:cs="仿宋_GB2312"/>
          <w:sz w:val="32"/>
          <w:szCs w:val="32"/>
          <w:highlight w:val="none"/>
          <w:lang w:val="en" w:eastAsia="zh-CN"/>
        </w:rPr>
        <w:t>牵头，</w:t>
      </w:r>
      <w:r>
        <w:rPr>
          <w:rFonts w:hint="eastAsia" w:ascii="仿宋_GB2312" w:hAnsi="仿宋_GB2312" w:eastAsia="仿宋_GB2312" w:cs="仿宋_GB2312"/>
          <w:sz w:val="32"/>
          <w:szCs w:val="32"/>
          <w:highlight w:val="none"/>
        </w:rPr>
        <w:t>相关处室和项目单位对照绩效目标，梳理项目资料，归集产出成果，逐一填报《项目支出绩效自评表》</w:t>
      </w:r>
      <w:r>
        <w:rPr>
          <w:rFonts w:hint="eastAsia" w:ascii="仿宋_GB2312" w:hAnsi="仿宋_GB2312" w:eastAsia="仿宋_GB2312" w:cs="仿宋_GB2312"/>
          <w:sz w:val="32"/>
          <w:szCs w:val="32"/>
          <w:highlight w:val="none"/>
          <w:lang w:eastAsia="zh-CN"/>
        </w:rPr>
        <w:t>。在此基础上进行审核汇总，</w:t>
      </w:r>
      <w:r>
        <w:rPr>
          <w:rFonts w:hint="eastAsia" w:ascii="仿宋_GB2312" w:hAnsi="仿宋_GB2312" w:eastAsia="仿宋_GB2312" w:cs="仿宋_GB2312"/>
          <w:sz w:val="32"/>
          <w:szCs w:val="32"/>
          <w:highlight w:val="none"/>
        </w:rPr>
        <w:t>全方位把握部门整体预算执行、绩效目标实现和预算管理情况</w:t>
      </w:r>
      <w:r>
        <w:rPr>
          <w:rFonts w:hint="eastAsia" w:ascii="仿宋_GB2312" w:hAnsi="仿宋_GB2312" w:eastAsia="仿宋_GB2312" w:cs="仿宋_GB2312"/>
          <w:sz w:val="32"/>
          <w:szCs w:val="32"/>
          <w:highlight w:val="none"/>
          <w:lang w:eastAsia="zh-CN"/>
        </w:rPr>
        <w:t>，共汇总</w:t>
      </w:r>
      <w:r>
        <w:rPr>
          <w:rFonts w:hint="eastAsia" w:ascii="仿宋_GB2312" w:hAnsi="仿宋_GB2312" w:eastAsia="仿宋_GB2312" w:cs="仿宋_GB2312"/>
          <w:sz w:val="32"/>
          <w:szCs w:val="32"/>
          <w:highlight w:val="none"/>
        </w:rPr>
        <w:t>项目支出绩效自评表</w:t>
      </w:r>
      <w:r>
        <w:rPr>
          <w:rFonts w:hint="eastAsia" w:ascii="仿宋_GB2312" w:hAnsi="仿宋_GB2312" w:eastAsia="仿宋_GB2312" w:cs="仿宋_GB2312"/>
          <w:sz w:val="32"/>
          <w:szCs w:val="32"/>
          <w:highlight w:val="none"/>
          <w:lang w:val="en-US" w:eastAsia="zh-CN"/>
        </w:rPr>
        <w:t>14份。同时</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引入第三方</w:t>
      </w:r>
      <w:r>
        <w:rPr>
          <w:rFonts w:hint="eastAsia" w:ascii="仿宋_GB2312" w:hAnsi="仿宋_GB2312" w:eastAsia="仿宋_GB2312" w:cs="仿宋_GB2312"/>
          <w:sz w:val="32"/>
          <w:szCs w:val="32"/>
          <w:highlight w:val="none"/>
        </w:rPr>
        <w:t>机构协助开展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行政办公区二期0160等10个行政办公项目房屋面积和不动产地籍测绘项目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进行</w:t>
      </w:r>
      <w:r>
        <w:rPr>
          <w:rFonts w:hint="eastAsia" w:ascii="仿宋_GB2312" w:hAnsi="仿宋_GB2312" w:eastAsia="仿宋_GB2312" w:cs="仿宋_GB2312"/>
          <w:sz w:val="32"/>
          <w:szCs w:val="32"/>
          <w:highlight w:val="none"/>
          <w:lang w:val="en-US" w:eastAsia="zh-CN"/>
        </w:rPr>
        <w:t>重点项目</w:t>
      </w:r>
      <w:r>
        <w:rPr>
          <w:rFonts w:hint="eastAsia" w:ascii="仿宋_GB2312" w:hAnsi="仿宋_GB2312" w:eastAsia="仿宋_GB2312" w:cs="仿宋_GB2312"/>
          <w:sz w:val="32"/>
          <w:szCs w:val="32"/>
          <w:highlight w:val="none"/>
        </w:rPr>
        <w:t>评价，</w:t>
      </w:r>
      <w:r>
        <w:rPr>
          <w:rFonts w:hint="eastAsia" w:ascii="仿宋_GB2312" w:hAnsi="仿宋_GB2312" w:eastAsia="仿宋_GB2312" w:cs="仿宋_GB2312"/>
          <w:sz w:val="32"/>
          <w:szCs w:val="32"/>
          <w:highlight w:val="none"/>
          <w:lang w:val="en-US" w:eastAsia="zh-CN"/>
        </w:rPr>
        <w:t>掌握项目实施情况和产出效果，促进绩效目标落实。</w:t>
      </w:r>
    </w:p>
    <w:p w14:paraId="78B90FBB">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r>
        <w:rPr>
          <w:rFonts w:hint="eastAsia" w:ascii="楷体_GB2312" w:eastAsia="楷体_GB2312"/>
          <w:b/>
          <w:bCs/>
          <w:sz w:val="32"/>
          <w:szCs w:val="32"/>
        </w:rPr>
        <w:t>（四）结转结余率</w:t>
      </w:r>
      <w:bookmarkEnd w:id="49"/>
      <w:bookmarkEnd w:id="50"/>
      <w:bookmarkEnd w:id="51"/>
      <w:bookmarkEnd w:id="52"/>
    </w:p>
    <w:p w14:paraId="75C8A0C1">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rPr>
          <w:rFonts w:hint="eastAsia" w:ascii="仿宋_GB2312" w:hAnsi="仿宋" w:eastAsia="仿宋_GB2312"/>
          <w:color w:val="auto"/>
          <w:sz w:val="32"/>
          <w:szCs w:val="32"/>
          <w:highlight w:val="none"/>
          <w:lang w:eastAsia="zh-CN"/>
        </w:rPr>
      </w:pPr>
      <w:bookmarkStart w:id="53" w:name="_Toc4325"/>
      <w:bookmarkStart w:id="54" w:name="_Toc2548"/>
      <w:bookmarkStart w:id="55" w:name="_Toc14692"/>
      <w:bookmarkStart w:id="56" w:name="_Toc22969"/>
      <w:r>
        <w:rPr>
          <w:rFonts w:hint="eastAsia" w:ascii="仿宋_GB2312" w:hAnsi="仿宋" w:eastAsia="仿宋_GB2312"/>
          <w:color w:val="auto"/>
          <w:sz w:val="32"/>
          <w:szCs w:val="32"/>
          <w:highlight w:val="none"/>
        </w:rPr>
        <w:t>本年末结转结余资金</w:t>
      </w:r>
      <w:r>
        <w:rPr>
          <w:rFonts w:hint="eastAsia" w:ascii="仿宋_GB2312" w:hAnsi="仿宋" w:eastAsia="仿宋_GB2312"/>
          <w:color w:val="auto"/>
          <w:sz w:val="32"/>
          <w:szCs w:val="32"/>
          <w:highlight w:val="none"/>
          <w:lang w:val="en-US" w:eastAsia="zh-CN"/>
        </w:rPr>
        <w:t>86587.14</w:t>
      </w:r>
      <w:r>
        <w:rPr>
          <w:rFonts w:hint="eastAsia" w:ascii="仿宋_GB2312" w:hAnsi="仿宋" w:eastAsia="仿宋_GB2312"/>
          <w:color w:val="auto"/>
          <w:sz w:val="32"/>
          <w:szCs w:val="32"/>
          <w:highlight w:val="none"/>
        </w:rPr>
        <w:t>万元（其中2024年12月到位基本建设资金75000.00万元，非预算部门主观因素导致，在计算结转结余率中剔除本部分预算金额）。</w:t>
      </w:r>
      <w:r>
        <w:rPr>
          <w:rFonts w:hint="eastAsia" w:ascii="仿宋_GB2312" w:hAnsi="仿宋" w:eastAsia="仿宋_GB2312"/>
          <w:color w:val="auto"/>
          <w:sz w:val="32"/>
          <w:szCs w:val="32"/>
          <w:highlight w:val="none"/>
          <w:lang w:val="en-US" w:eastAsia="zh-CN"/>
        </w:rPr>
        <w:t>结转结余率为41.28%。</w:t>
      </w:r>
      <w:r>
        <w:rPr>
          <w:rFonts w:hint="eastAsia" w:ascii="仿宋_GB2312" w:hAnsi="仿宋" w:eastAsia="仿宋_GB2312"/>
          <w:color w:val="auto"/>
          <w:sz w:val="32"/>
          <w:szCs w:val="32"/>
          <w:highlight w:val="none"/>
        </w:rPr>
        <w:t>上年末结转结余资金</w:t>
      </w:r>
      <w:r>
        <w:rPr>
          <w:rFonts w:hint="eastAsia" w:ascii="仿宋_GB2312" w:hAnsi="仿宋" w:eastAsia="仿宋_GB2312"/>
          <w:color w:val="auto"/>
          <w:sz w:val="32"/>
          <w:szCs w:val="32"/>
          <w:highlight w:val="none"/>
          <w:lang w:val="en-US" w:eastAsia="zh-CN"/>
        </w:rPr>
        <w:t>14244.55</w:t>
      </w:r>
      <w:r>
        <w:rPr>
          <w:rFonts w:hint="eastAsia" w:ascii="仿宋_GB2312" w:hAnsi="仿宋" w:eastAsia="仿宋_GB2312"/>
          <w:color w:val="auto"/>
          <w:sz w:val="32"/>
          <w:szCs w:val="32"/>
          <w:highlight w:val="none"/>
        </w:rPr>
        <w:t>万元。本年末结转结余资金比上年</w:t>
      </w:r>
      <w:r>
        <w:rPr>
          <w:rFonts w:hint="eastAsia" w:ascii="仿宋_GB2312" w:hAnsi="仿宋" w:eastAsia="仿宋_GB2312"/>
          <w:color w:val="auto"/>
          <w:sz w:val="32"/>
          <w:szCs w:val="32"/>
          <w:highlight w:val="none"/>
          <w:lang w:val="en-US" w:eastAsia="zh-CN"/>
        </w:rPr>
        <w:t>增加72342.59</w:t>
      </w:r>
      <w:r>
        <w:rPr>
          <w:rFonts w:hint="eastAsia" w:ascii="仿宋_GB2312" w:hAnsi="仿宋" w:eastAsia="仿宋_GB2312"/>
          <w:color w:val="auto"/>
          <w:sz w:val="32"/>
          <w:szCs w:val="32"/>
          <w:highlight w:val="none"/>
        </w:rPr>
        <w:t>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资金结存</w:t>
      </w:r>
      <w:r>
        <w:rPr>
          <w:rFonts w:hint="eastAsia" w:ascii="仿宋_GB2312" w:hAnsi="仿宋" w:eastAsia="仿宋_GB2312"/>
          <w:color w:val="auto"/>
          <w:sz w:val="32"/>
          <w:szCs w:val="32"/>
          <w:highlight w:val="none"/>
          <w:lang w:val="en-US" w:eastAsia="zh-CN"/>
        </w:rPr>
        <w:t>增加的</w:t>
      </w:r>
      <w:r>
        <w:rPr>
          <w:rFonts w:hint="eastAsia" w:ascii="仿宋_GB2312" w:hAnsi="仿宋" w:eastAsia="仿宋_GB2312"/>
          <w:color w:val="auto"/>
          <w:sz w:val="32"/>
          <w:szCs w:val="32"/>
          <w:highlight w:val="none"/>
        </w:rPr>
        <w:t>主要原因：副中心工程办大部分为建设资金，年度中安排了建设资金，可结转一年使用</w:t>
      </w:r>
      <w:r>
        <w:rPr>
          <w:rFonts w:hint="eastAsia" w:ascii="仿宋_GB2312" w:hAnsi="仿宋" w:eastAsia="仿宋_GB2312"/>
          <w:color w:val="auto"/>
          <w:sz w:val="32"/>
          <w:szCs w:val="32"/>
          <w:highlight w:val="none"/>
          <w:lang w:eastAsia="zh-CN"/>
        </w:rPr>
        <w:t>。</w:t>
      </w:r>
    </w:p>
    <w:p w14:paraId="5B8EFA92">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r>
        <w:rPr>
          <w:rFonts w:hint="eastAsia" w:ascii="楷体_GB2312" w:eastAsia="楷体_GB2312"/>
          <w:b/>
          <w:bCs/>
          <w:sz w:val="32"/>
          <w:szCs w:val="32"/>
        </w:rPr>
        <w:t>（五）部门预决算差异率</w:t>
      </w:r>
      <w:bookmarkEnd w:id="53"/>
      <w:bookmarkEnd w:id="54"/>
      <w:bookmarkEnd w:id="55"/>
      <w:bookmarkEnd w:id="56"/>
    </w:p>
    <w:p w14:paraId="4205C69E">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rPr>
          <w:rFonts w:hint="eastAsia" w:ascii="仿宋_GB2312" w:hAnsi="仿宋_GB2312" w:eastAsia="仿宋_GB2312" w:cs="仿宋_GB2312"/>
          <w:b/>
          <w:bCs/>
          <w:sz w:val="32"/>
          <w:szCs w:val="32"/>
          <w:highlight w:val="none"/>
        </w:rPr>
      </w:pPr>
      <w:bookmarkStart w:id="57" w:name="_Toc24471"/>
      <w:bookmarkStart w:id="58" w:name="_Toc17300"/>
      <w:bookmarkStart w:id="59" w:name="_Toc5438"/>
      <w:bookmarkStart w:id="60" w:name="_Toc22801"/>
      <w:r>
        <w:rPr>
          <w:rFonts w:hint="eastAsia" w:ascii="仿宋_GB2312" w:hAnsi="仿宋" w:eastAsia="仿宋_GB2312"/>
          <w:b/>
          <w:bCs/>
          <w:sz w:val="32"/>
          <w:szCs w:val="32"/>
          <w:highlight w:val="none"/>
          <w:lang w:val="en-US" w:eastAsia="zh-CN"/>
        </w:rPr>
        <w:t>1.</w:t>
      </w:r>
      <w:r>
        <w:rPr>
          <w:rFonts w:hint="eastAsia" w:ascii="仿宋_GB2312" w:hAnsi="仿宋" w:eastAsia="仿宋_GB2312"/>
          <w:b/>
          <w:bCs/>
          <w:sz w:val="32"/>
          <w:szCs w:val="32"/>
          <w:highlight w:val="none"/>
        </w:rPr>
        <w:t>收入与预算对比</w:t>
      </w:r>
    </w:p>
    <w:p w14:paraId="0199485B">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rPr>
        <w:t>本年度收入预算数</w:t>
      </w:r>
      <w:r>
        <w:rPr>
          <w:rFonts w:hint="eastAsia" w:ascii="仿宋_GB2312" w:hAnsi="仿宋" w:eastAsia="仿宋_GB2312"/>
          <w:sz w:val="32"/>
          <w:szCs w:val="32"/>
          <w:highlight w:val="none"/>
          <w:lang w:val="en-US" w:eastAsia="zh-CN"/>
        </w:rPr>
        <w:t>88823.97</w:t>
      </w:r>
      <w:r>
        <w:rPr>
          <w:rFonts w:hint="eastAsia" w:ascii="仿宋_GB2312" w:hAnsi="仿宋" w:eastAsia="仿宋_GB2312"/>
          <w:sz w:val="32"/>
          <w:szCs w:val="32"/>
          <w:highlight w:val="none"/>
        </w:rPr>
        <w:t>万元，收入决算数</w:t>
      </w:r>
      <w:r>
        <w:rPr>
          <w:rFonts w:hint="eastAsia" w:ascii="仿宋_GB2312" w:hAnsi="仿宋" w:eastAsia="仿宋_GB2312"/>
          <w:sz w:val="32"/>
          <w:szCs w:val="32"/>
          <w:highlight w:val="none"/>
          <w:lang w:val="en-US" w:eastAsia="zh-CN"/>
        </w:rPr>
        <w:t>88823.97</w:t>
      </w:r>
      <w:r>
        <w:rPr>
          <w:rFonts w:hint="eastAsia" w:ascii="仿宋_GB2312" w:hAnsi="仿宋" w:eastAsia="仿宋_GB2312"/>
          <w:sz w:val="32"/>
          <w:szCs w:val="32"/>
          <w:highlight w:val="none"/>
        </w:rPr>
        <w:t>万元，预算收入完成率</w:t>
      </w:r>
      <w:r>
        <w:rPr>
          <w:rFonts w:hint="eastAsia" w:ascii="仿宋_GB2312" w:hAnsi="仿宋" w:eastAsia="仿宋_GB2312"/>
          <w:sz w:val="32"/>
          <w:szCs w:val="32"/>
          <w:highlight w:val="none"/>
          <w:lang w:val="en-US" w:eastAsia="zh-CN"/>
        </w:rPr>
        <w:t>100%。</w:t>
      </w:r>
    </w:p>
    <w:p w14:paraId="15CEE9EF">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rPr>
          <w:rFonts w:hint="eastAsia" w:ascii="仿宋_GB2312" w:hAnsi="仿宋" w:eastAsia="仿宋_GB2312"/>
          <w:b/>
          <w:bCs/>
          <w:sz w:val="32"/>
          <w:szCs w:val="32"/>
          <w:highlight w:val="none"/>
        </w:rPr>
      </w:pPr>
      <w:r>
        <w:rPr>
          <w:rFonts w:hint="eastAsia" w:ascii="仿宋_GB2312" w:hAnsi="仿宋" w:eastAsia="仿宋_GB2312"/>
          <w:b/>
          <w:bCs/>
          <w:sz w:val="32"/>
          <w:szCs w:val="32"/>
          <w:highlight w:val="none"/>
          <w:lang w:val="en-US" w:eastAsia="zh-CN"/>
        </w:rPr>
        <w:t>2.</w:t>
      </w:r>
      <w:r>
        <w:rPr>
          <w:rFonts w:hint="eastAsia" w:ascii="仿宋_GB2312" w:hAnsi="仿宋" w:eastAsia="仿宋_GB2312"/>
          <w:b/>
          <w:bCs/>
          <w:sz w:val="32"/>
          <w:szCs w:val="32"/>
          <w:highlight w:val="none"/>
        </w:rPr>
        <w:t>支出与预算对比</w:t>
      </w:r>
    </w:p>
    <w:p w14:paraId="4936011C">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本年度支出预算数</w:t>
      </w:r>
      <w:r>
        <w:rPr>
          <w:rFonts w:hint="eastAsia" w:ascii="仿宋_GB2312" w:hAnsi="仿宋" w:eastAsia="仿宋_GB2312"/>
          <w:sz w:val="32"/>
          <w:szCs w:val="32"/>
          <w:highlight w:val="none"/>
          <w:lang w:val="en-US" w:eastAsia="zh-CN"/>
        </w:rPr>
        <w:t>103068.51</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color w:val="auto"/>
          <w:sz w:val="32"/>
          <w:szCs w:val="32"/>
          <w:highlight w:val="none"/>
        </w:rPr>
        <w:t>其中2024年12月到位基本建设资金75000.00万元，非预算部门主观因素导致，在计算</w:t>
      </w:r>
      <w:r>
        <w:rPr>
          <w:rFonts w:hint="eastAsia" w:ascii="仿宋_GB2312" w:hAnsi="仿宋" w:eastAsia="仿宋_GB2312"/>
          <w:sz w:val="32"/>
          <w:szCs w:val="32"/>
          <w:highlight w:val="none"/>
        </w:rPr>
        <w:t>预算支出完成率</w:t>
      </w:r>
      <w:r>
        <w:rPr>
          <w:rFonts w:hint="eastAsia" w:ascii="仿宋_GB2312" w:hAnsi="仿宋" w:eastAsia="仿宋_GB2312"/>
          <w:color w:val="auto"/>
          <w:sz w:val="32"/>
          <w:szCs w:val="32"/>
          <w:highlight w:val="none"/>
        </w:rPr>
        <w:t>中剔除本部分预算金额</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以28068.51万元计算执行率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，支出决算数</w:t>
      </w:r>
      <w:r>
        <w:rPr>
          <w:rFonts w:hint="eastAsia" w:ascii="仿宋_GB2312" w:hAnsi="仿宋" w:eastAsia="仿宋_GB2312"/>
          <w:sz w:val="32"/>
          <w:szCs w:val="32"/>
          <w:highlight w:val="none"/>
          <w:lang w:val="en-US" w:eastAsia="zh-CN"/>
        </w:rPr>
        <w:t>16481.37</w:t>
      </w:r>
      <w:r>
        <w:rPr>
          <w:rFonts w:hint="eastAsia" w:ascii="仿宋_GB2312" w:hAnsi="仿宋" w:eastAsia="仿宋_GB2312"/>
          <w:sz w:val="32"/>
          <w:szCs w:val="32"/>
          <w:highlight w:val="none"/>
        </w:rPr>
        <w:t>万元，预算支出完成率</w:t>
      </w:r>
      <w:r>
        <w:rPr>
          <w:rFonts w:hint="eastAsia" w:ascii="仿宋_GB2312" w:hAnsi="仿宋" w:eastAsia="仿宋_GB2312"/>
          <w:sz w:val="32"/>
          <w:szCs w:val="32"/>
          <w:highlight w:val="none"/>
          <w:lang w:val="en-US" w:eastAsia="zh-CN"/>
        </w:rPr>
        <w:t>58.72%</w:t>
      </w:r>
      <w:r>
        <w:rPr>
          <w:rFonts w:hint="eastAsia" w:ascii="仿宋_GB2312" w:hAnsi="仿宋" w:eastAsia="仿宋_GB2312"/>
          <w:sz w:val="32"/>
          <w:szCs w:val="32"/>
          <w:highlight w:val="none"/>
        </w:rPr>
        <w:t>。其中</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基本支出预算数</w:t>
      </w:r>
      <w:r>
        <w:rPr>
          <w:rFonts w:hint="eastAsia" w:ascii="仿宋_GB2312" w:hAnsi="仿宋" w:eastAsia="仿宋_GB2312"/>
          <w:sz w:val="32"/>
          <w:szCs w:val="32"/>
          <w:highlight w:val="none"/>
          <w:lang w:val="en-US" w:eastAsia="zh-CN"/>
        </w:rPr>
        <w:t>980.00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支出决算数</w:t>
      </w:r>
      <w:r>
        <w:rPr>
          <w:rFonts w:hint="eastAsia" w:ascii="仿宋_GB2312" w:hAnsi="仿宋" w:eastAsia="仿宋_GB2312"/>
          <w:sz w:val="32"/>
          <w:szCs w:val="32"/>
          <w:highlight w:val="none"/>
          <w:lang w:val="en-US" w:eastAsia="zh-CN"/>
        </w:rPr>
        <w:t>848.42</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完成率</w:t>
      </w:r>
      <w:r>
        <w:rPr>
          <w:rFonts w:hint="eastAsia" w:ascii="仿宋_GB2312" w:hAnsi="仿宋" w:eastAsia="仿宋_GB2312"/>
          <w:sz w:val="32"/>
          <w:szCs w:val="32"/>
          <w:highlight w:val="none"/>
          <w:lang w:val="en-US" w:eastAsia="zh-CN"/>
        </w:rPr>
        <w:t>86.57</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项目支出预算数</w:t>
      </w:r>
      <w:r>
        <w:rPr>
          <w:rFonts w:hint="eastAsia" w:ascii="仿宋_GB2312" w:hAnsi="仿宋" w:eastAsia="仿宋_GB2312"/>
          <w:sz w:val="32"/>
          <w:szCs w:val="32"/>
          <w:highlight w:val="none"/>
          <w:lang w:val="en-US" w:eastAsia="zh-CN"/>
        </w:rPr>
        <w:t>102088.51</w:t>
      </w:r>
      <w:r>
        <w:rPr>
          <w:rFonts w:hint="eastAsia" w:ascii="仿宋_GB2312" w:hAnsi="仿宋" w:eastAsia="仿宋_GB2312"/>
          <w:sz w:val="32"/>
          <w:szCs w:val="32"/>
          <w:highlight w:val="none"/>
        </w:rPr>
        <w:t>万元（其中基本建设类项目支出预算数</w:t>
      </w:r>
      <w:r>
        <w:rPr>
          <w:rFonts w:hint="eastAsia" w:ascii="仿宋_GB2312" w:hAnsi="仿宋" w:eastAsia="仿宋_GB2312"/>
          <w:sz w:val="32"/>
          <w:szCs w:val="32"/>
          <w:highlight w:val="none"/>
          <w:lang w:val="en-US" w:eastAsia="zh-CN"/>
        </w:rPr>
        <w:t>100545.78</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r>
        <w:rPr>
          <w:rFonts w:hint="eastAsia" w:ascii="仿宋_GB2312" w:hAnsi="仿宋" w:eastAsia="仿宋_GB2312"/>
          <w:color w:val="auto"/>
          <w:sz w:val="32"/>
          <w:szCs w:val="32"/>
          <w:highlight w:val="none"/>
        </w:rPr>
        <w:t>2024年12月到位基本建设资金75000.00万元，非预算部门主观因素导致，在计算</w:t>
      </w:r>
      <w:r>
        <w:rPr>
          <w:rFonts w:hint="eastAsia" w:ascii="仿宋_GB2312" w:hAnsi="仿宋" w:eastAsia="仿宋_GB2312"/>
          <w:color w:val="auto"/>
          <w:sz w:val="32"/>
          <w:szCs w:val="32"/>
          <w:highlight w:val="none"/>
          <w:lang w:val="en-US" w:eastAsia="zh-CN"/>
        </w:rPr>
        <w:t>项目</w:t>
      </w:r>
      <w:r>
        <w:rPr>
          <w:rFonts w:hint="eastAsia" w:ascii="仿宋_GB2312" w:hAnsi="仿宋" w:eastAsia="仿宋_GB2312"/>
          <w:sz w:val="32"/>
          <w:szCs w:val="32"/>
          <w:highlight w:val="none"/>
        </w:rPr>
        <w:t>支出完成率</w:t>
      </w:r>
      <w:r>
        <w:rPr>
          <w:rFonts w:hint="eastAsia" w:ascii="仿宋_GB2312" w:hAnsi="仿宋" w:eastAsia="仿宋_GB2312"/>
          <w:color w:val="auto"/>
          <w:sz w:val="32"/>
          <w:szCs w:val="32"/>
          <w:highlight w:val="none"/>
        </w:rPr>
        <w:t>中剔除本部分预算金额</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项目</w:t>
      </w:r>
      <w:r>
        <w:rPr>
          <w:rFonts w:hint="eastAsia" w:ascii="仿宋_GB2312" w:hAnsi="仿宋" w:eastAsia="仿宋_GB2312"/>
          <w:sz w:val="32"/>
          <w:szCs w:val="32"/>
          <w:highlight w:val="none"/>
        </w:rPr>
        <w:t>支出决算数</w:t>
      </w:r>
      <w:r>
        <w:rPr>
          <w:rFonts w:hint="eastAsia" w:ascii="仿宋_GB2312" w:hAnsi="仿宋" w:eastAsia="仿宋_GB2312"/>
          <w:sz w:val="32"/>
          <w:szCs w:val="32"/>
          <w:highlight w:val="none"/>
          <w:lang w:val="en-US" w:eastAsia="zh-CN"/>
        </w:rPr>
        <w:t>15632.95</w:t>
      </w:r>
      <w:r>
        <w:rPr>
          <w:rFonts w:hint="eastAsia" w:ascii="仿宋_GB2312" w:hAnsi="仿宋" w:eastAsia="仿宋_GB2312"/>
          <w:sz w:val="32"/>
          <w:szCs w:val="32"/>
          <w:highlight w:val="none"/>
        </w:rPr>
        <w:t>万元（其中基本建设类项目支出决算数</w:t>
      </w:r>
      <w:r>
        <w:rPr>
          <w:rFonts w:hint="eastAsia" w:ascii="仿宋_GB2312" w:hAnsi="仿宋" w:eastAsia="仿宋_GB2312"/>
          <w:sz w:val="32"/>
          <w:szCs w:val="32"/>
          <w:highlight w:val="none"/>
          <w:lang w:val="en-US" w:eastAsia="zh-CN"/>
        </w:rPr>
        <w:t>14145.85</w:t>
      </w:r>
      <w:r>
        <w:rPr>
          <w:rFonts w:hint="eastAsia" w:ascii="仿宋_GB2312" w:hAnsi="仿宋" w:eastAsia="仿宋_GB2312"/>
          <w:sz w:val="32"/>
          <w:szCs w:val="32"/>
          <w:highlight w:val="none"/>
        </w:rPr>
        <w:t>万元），完成率</w:t>
      </w:r>
      <w:r>
        <w:rPr>
          <w:rFonts w:hint="eastAsia" w:ascii="仿宋_GB2312" w:hAnsi="仿宋" w:eastAsia="仿宋_GB2312"/>
          <w:sz w:val="32"/>
          <w:szCs w:val="32"/>
          <w:highlight w:val="none"/>
          <w:lang w:val="en-US" w:eastAsia="zh-CN"/>
        </w:rPr>
        <w:t>57.71%</w:t>
      </w:r>
      <w:r>
        <w:rPr>
          <w:rFonts w:hint="eastAsia" w:ascii="仿宋_GB2312" w:hAnsi="仿宋" w:eastAsia="仿宋_GB2312"/>
          <w:sz w:val="32"/>
          <w:szCs w:val="32"/>
          <w:highlight w:val="none"/>
        </w:rPr>
        <w:t>（其中基本建设类项目支出完成率</w:t>
      </w:r>
      <w:r>
        <w:rPr>
          <w:rFonts w:hint="eastAsia" w:ascii="仿宋_GB2312" w:hAnsi="仿宋" w:eastAsia="仿宋_GB2312"/>
          <w:sz w:val="32"/>
          <w:szCs w:val="32"/>
          <w:highlight w:val="none"/>
          <w:lang w:val="en-US" w:eastAsia="zh-CN"/>
        </w:rPr>
        <w:t>55.37%</w:t>
      </w:r>
      <w:r>
        <w:rPr>
          <w:rFonts w:hint="eastAsia" w:ascii="仿宋_GB2312" w:hAnsi="仿宋" w:eastAsia="仿宋_GB2312"/>
          <w:sz w:val="32"/>
          <w:szCs w:val="32"/>
          <w:highlight w:val="none"/>
        </w:rPr>
        <w:t>）。</w:t>
      </w:r>
    </w:p>
    <w:p w14:paraId="28E533C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rPr>
          <w:rFonts w:hint="eastAsia" w:ascii="仿宋_GB2312" w:hAnsi="仿宋" w:eastAsia="仿宋_GB2312"/>
          <w:color w:val="FF0000"/>
          <w:sz w:val="32"/>
          <w:szCs w:val="32"/>
          <w:highlight w:val="lightGray"/>
          <w:lang w:eastAsia="zh-CN"/>
        </w:rPr>
      </w:pPr>
      <w:r>
        <w:rPr>
          <w:rFonts w:hint="eastAsia" w:ascii="仿宋_GB2312" w:hAnsi="仿宋" w:eastAsia="仿宋_GB2312"/>
          <w:sz w:val="32"/>
          <w:szCs w:val="32"/>
          <w:highlight w:val="none"/>
        </w:rPr>
        <w:t>支出预算数与决算数比，差异原因主要是副中心工程办大部分为建设资金，年度中安排了建设资金，可结转一年使用；</w:t>
      </w:r>
    </w:p>
    <w:p w14:paraId="0123FA97">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outlineLvl w:val="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bookmarkEnd w:id="57"/>
      <w:bookmarkEnd w:id="58"/>
      <w:bookmarkEnd w:id="59"/>
      <w:bookmarkEnd w:id="60"/>
    </w:p>
    <w:p w14:paraId="6425A226">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jc w:val="both"/>
        <w:textAlignment w:val="baseline"/>
        <w:outlineLvl w:val="1"/>
        <w:rPr>
          <w:rFonts w:ascii="楷体_GB2312" w:eastAsia="楷体_GB2312"/>
          <w:b/>
          <w:bCs/>
          <w:sz w:val="32"/>
          <w:szCs w:val="32"/>
        </w:rPr>
      </w:pPr>
      <w:bookmarkStart w:id="61" w:name="_Toc16148"/>
      <w:bookmarkStart w:id="62" w:name="_Toc28469"/>
      <w:bookmarkStart w:id="63" w:name="_Toc19197"/>
      <w:bookmarkStart w:id="64" w:name="_Toc19987"/>
      <w:r>
        <w:rPr>
          <w:rFonts w:hint="eastAsia" w:ascii="楷体_GB2312" w:eastAsia="楷体_GB2312"/>
          <w:b/>
          <w:bCs/>
          <w:sz w:val="32"/>
          <w:szCs w:val="32"/>
        </w:rPr>
        <w:t>（一）评价得分情况</w:t>
      </w:r>
      <w:bookmarkEnd w:id="61"/>
      <w:bookmarkEnd w:id="62"/>
      <w:bookmarkEnd w:id="63"/>
      <w:bookmarkEnd w:id="64"/>
    </w:p>
    <w:p w14:paraId="5A34F078">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jc w:val="both"/>
        <w:textAlignment w:val="baseline"/>
        <w:rPr>
          <w:rFonts w:hint="eastAsia" w:ascii="仿宋_GB2312" w:hAnsi="仿宋" w:eastAsia="仿宋_GB2312"/>
          <w:sz w:val="32"/>
          <w:szCs w:val="32"/>
          <w:highlight w:val="none"/>
        </w:rPr>
      </w:pPr>
      <w:r>
        <w:rPr>
          <w:rFonts w:hint="eastAsia" w:ascii="仿宋_GB2312" w:hAnsi="仿宋" w:eastAsia="仿宋_GB2312"/>
          <w:sz w:val="32"/>
          <w:szCs w:val="32"/>
        </w:rPr>
        <w:t>经过综合评价，副中心工程办20</w:t>
      </w:r>
      <w:r>
        <w:rPr>
          <w:rFonts w:hint="eastAsia" w:ascii="仿宋_GB2312" w:hAnsi="仿宋" w:eastAsia="仿宋_GB2312"/>
          <w:sz w:val="32"/>
          <w:szCs w:val="32"/>
          <w:lang w:val="en-US" w:eastAsia="zh-CN"/>
        </w:rPr>
        <w:t>24</w:t>
      </w:r>
      <w:r>
        <w:rPr>
          <w:rFonts w:hint="eastAsia" w:ascii="仿宋_GB2312" w:hAnsi="仿宋" w:eastAsia="仿宋_GB2312"/>
          <w:sz w:val="32"/>
          <w:szCs w:val="32"/>
        </w:rPr>
        <w:t>年度部门整体支出绩</w:t>
      </w:r>
      <w:r>
        <w:rPr>
          <w:rFonts w:hint="eastAsia" w:ascii="仿宋_GB2312" w:hAnsi="仿宋" w:eastAsia="仿宋_GB2312"/>
          <w:sz w:val="32"/>
          <w:szCs w:val="32"/>
          <w:highlight w:val="none"/>
        </w:rPr>
        <w:t>效评价综合得分</w:t>
      </w:r>
      <w:r>
        <w:rPr>
          <w:rFonts w:hint="eastAsia" w:ascii="仿宋_GB2312" w:hAnsi="仿宋" w:eastAsia="仿宋_GB2312"/>
          <w:sz w:val="32"/>
          <w:szCs w:val="32"/>
          <w:highlight w:val="none"/>
          <w:lang w:val="en-US" w:eastAsia="zh-CN"/>
        </w:rPr>
        <w:t>90.17</w:t>
      </w:r>
      <w:r>
        <w:rPr>
          <w:rFonts w:hint="eastAsia" w:ascii="仿宋_GB2312" w:hAnsi="仿宋" w:eastAsia="仿宋_GB2312"/>
          <w:sz w:val="32"/>
          <w:szCs w:val="32"/>
          <w:highlight w:val="none"/>
        </w:rPr>
        <w:t>分，评定等次为“</w:t>
      </w:r>
      <w:r>
        <w:rPr>
          <w:rFonts w:hint="eastAsia" w:ascii="仿宋_GB2312" w:hAnsi="仿宋" w:eastAsia="仿宋_GB2312"/>
          <w:sz w:val="32"/>
          <w:szCs w:val="32"/>
          <w:highlight w:val="none"/>
          <w:lang w:val="en-US" w:eastAsia="zh-CN"/>
        </w:rPr>
        <w:t>优</w:t>
      </w:r>
      <w:r>
        <w:rPr>
          <w:rFonts w:hint="eastAsia" w:ascii="仿宋_GB2312" w:hAnsi="仿宋" w:eastAsia="仿宋_GB2312"/>
          <w:sz w:val="32"/>
          <w:szCs w:val="32"/>
          <w:highlight w:val="none"/>
        </w:rPr>
        <w:t xml:space="preserve">”。 </w:t>
      </w:r>
    </w:p>
    <w:p w14:paraId="624D26AE">
      <w:pPr>
        <w:pStyle w:val="13"/>
        <w:keepNext w:val="0"/>
        <w:keepLines w:val="0"/>
        <w:pageBreakBefore w:val="0"/>
        <w:widowControl w:val="0"/>
        <w:kinsoku/>
        <w:wordWrap/>
        <w:overflowPunct/>
        <w:topLinePunct w:val="0"/>
        <w:autoSpaceDE/>
        <w:autoSpaceDN/>
        <w:bidi w:val="0"/>
        <w:adjustRightInd w:val="0"/>
        <w:snapToGrid w:val="0"/>
        <w:ind w:left="0" w:leftChars="0"/>
        <w:jc w:val="center"/>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副中心工程办</w:t>
      </w:r>
    </w:p>
    <w:p w14:paraId="348A8B46">
      <w:pPr>
        <w:pStyle w:val="13"/>
        <w:keepNext w:val="0"/>
        <w:keepLines w:val="0"/>
        <w:pageBreakBefore w:val="0"/>
        <w:widowControl w:val="0"/>
        <w:kinsoku/>
        <w:wordWrap/>
        <w:overflowPunct/>
        <w:topLinePunct w:val="0"/>
        <w:autoSpaceDE/>
        <w:autoSpaceDN/>
        <w:bidi w:val="0"/>
        <w:adjustRightInd w:val="0"/>
        <w:snapToGrid w:val="0"/>
        <w:spacing w:after="157" w:afterLines="50"/>
        <w:ind w:left="0" w:leftChars="0"/>
        <w:jc w:val="center"/>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部门整体支出绩效评价得分表</w:t>
      </w:r>
    </w:p>
    <w:tbl>
      <w:tblPr>
        <w:tblStyle w:val="19"/>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052"/>
        <w:gridCol w:w="2715"/>
        <w:gridCol w:w="2717"/>
        <w:gridCol w:w="1"/>
      </w:tblGrid>
      <w:tr w14:paraId="6AE6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tblHeader/>
          <w:jc w:val="center"/>
        </w:trPr>
        <w:tc>
          <w:tcPr>
            <w:tcW w:w="3052" w:type="dxa"/>
            <w:shd w:val="clear" w:color="auto" w:fill="BEBEBE"/>
            <w:vAlign w:val="center"/>
          </w:tcPr>
          <w:p w14:paraId="5BEC7BD7">
            <w:pPr>
              <w:snapToGrid w:val="0"/>
              <w:jc w:val="center"/>
              <w:textAlignment w:val="baseline"/>
              <w:rPr>
                <w:rFonts w:ascii="宋体" w:hAnsi="宋体" w:eastAsia="宋体" w:cs="宋体"/>
                <w:b/>
                <w:sz w:val="24"/>
                <w:szCs w:val="24"/>
                <w:highlight w:val="none"/>
              </w:rPr>
            </w:pPr>
            <w:r>
              <w:rPr>
                <w:rFonts w:hint="eastAsia" w:ascii="宋体" w:hAnsi="宋体" w:eastAsia="宋体" w:cs="宋体"/>
                <w:b/>
                <w:sz w:val="24"/>
                <w:szCs w:val="24"/>
                <w:highlight w:val="none"/>
              </w:rPr>
              <w:t>评价内容</w:t>
            </w:r>
          </w:p>
        </w:tc>
        <w:tc>
          <w:tcPr>
            <w:tcW w:w="2715" w:type="dxa"/>
            <w:shd w:val="clear" w:color="auto" w:fill="BEBEBE"/>
            <w:vAlign w:val="center"/>
          </w:tcPr>
          <w:p w14:paraId="3DC9F690">
            <w:pPr>
              <w:snapToGrid w:val="0"/>
              <w:jc w:val="center"/>
              <w:textAlignment w:val="baseline"/>
              <w:rPr>
                <w:rFonts w:ascii="宋体" w:hAnsi="宋体" w:eastAsia="宋体" w:cs="宋体"/>
                <w:b/>
                <w:sz w:val="24"/>
                <w:szCs w:val="24"/>
                <w:highlight w:val="none"/>
              </w:rPr>
            </w:pPr>
            <w:r>
              <w:rPr>
                <w:rFonts w:hint="eastAsia" w:ascii="宋体" w:hAnsi="宋体" w:eastAsia="宋体" w:cs="宋体"/>
                <w:b/>
                <w:sz w:val="24"/>
                <w:szCs w:val="24"/>
                <w:highlight w:val="none"/>
              </w:rPr>
              <w:t>分值</w:t>
            </w:r>
          </w:p>
        </w:tc>
        <w:tc>
          <w:tcPr>
            <w:tcW w:w="2718" w:type="dxa"/>
            <w:gridSpan w:val="2"/>
            <w:shd w:val="clear" w:color="auto" w:fill="BEBEBE"/>
            <w:vAlign w:val="center"/>
          </w:tcPr>
          <w:p w14:paraId="288566A8">
            <w:pPr>
              <w:snapToGrid w:val="0"/>
              <w:jc w:val="center"/>
              <w:textAlignment w:val="baseline"/>
              <w:rPr>
                <w:rFonts w:ascii="宋体" w:hAnsi="宋体" w:eastAsia="宋体" w:cs="宋体"/>
                <w:b/>
                <w:sz w:val="24"/>
                <w:szCs w:val="24"/>
                <w:highlight w:val="none"/>
              </w:rPr>
            </w:pPr>
            <w:r>
              <w:rPr>
                <w:rFonts w:hint="eastAsia" w:ascii="宋体" w:hAnsi="宋体" w:eastAsia="宋体" w:cs="宋体"/>
                <w:b/>
                <w:sz w:val="24"/>
                <w:szCs w:val="24"/>
                <w:highlight w:val="none"/>
              </w:rPr>
              <w:t>评价得分</w:t>
            </w:r>
          </w:p>
        </w:tc>
      </w:tr>
      <w:tr w14:paraId="548C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52" w:type="dxa"/>
            <w:vAlign w:val="center"/>
          </w:tcPr>
          <w:p w14:paraId="67F745F5">
            <w:pPr>
              <w:pStyle w:val="6"/>
              <w:snapToGrid w:val="0"/>
              <w:ind w:firstLine="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当年预算执行情况</w:t>
            </w:r>
          </w:p>
        </w:tc>
        <w:tc>
          <w:tcPr>
            <w:tcW w:w="2715" w:type="dxa"/>
            <w:vAlign w:val="center"/>
          </w:tcPr>
          <w:p w14:paraId="6055D04A">
            <w:pPr>
              <w:snapToGrid w:val="0"/>
              <w:jc w:val="center"/>
              <w:textAlignment w:val="baseline"/>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.00</w:t>
            </w:r>
          </w:p>
        </w:tc>
        <w:tc>
          <w:tcPr>
            <w:tcW w:w="2718" w:type="dxa"/>
            <w:gridSpan w:val="2"/>
            <w:vAlign w:val="center"/>
          </w:tcPr>
          <w:p w14:paraId="56295B4A">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11.74</w:t>
            </w:r>
          </w:p>
        </w:tc>
      </w:tr>
      <w:tr w14:paraId="2F46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52" w:type="dxa"/>
            <w:vAlign w:val="center"/>
          </w:tcPr>
          <w:p w14:paraId="5B7B5260">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整体绩效目标实现情况</w:t>
            </w:r>
          </w:p>
        </w:tc>
        <w:tc>
          <w:tcPr>
            <w:tcW w:w="2715" w:type="dxa"/>
            <w:vAlign w:val="center"/>
          </w:tcPr>
          <w:p w14:paraId="18CD2A71">
            <w:pPr>
              <w:snapToGrid w:val="0"/>
              <w:jc w:val="center"/>
              <w:textAlignment w:val="baseline"/>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60</w:t>
            </w:r>
            <w:r>
              <w:rPr>
                <w:rFonts w:hint="eastAsia" w:ascii="宋体" w:hAnsi="宋体" w:eastAsia="宋体" w:cs="宋体"/>
                <w:bCs/>
                <w:sz w:val="24"/>
                <w:szCs w:val="24"/>
                <w:highlight w:val="none"/>
              </w:rPr>
              <w:t>.00</w:t>
            </w:r>
          </w:p>
        </w:tc>
        <w:tc>
          <w:tcPr>
            <w:tcW w:w="2718" w:type="dxa"/>
            <w:gridSpan w:val="2"/>
            <w:vAlign w:val="center"/>
          </w:tcPr>
          <w:p w14:paraId="3CD8770E">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59.43</w:t>
            </w:r>
          </w:p>
        </w:tc>
      </w:tr>
      <w:tr w14:paraId="1E58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52" w:type="dxa"/>
            <w:vAlign w:val="center"/>
          </w:tcPr>
          <w:p w14:paraId="0019B7C5">
            <w:pPr>
              <w:snapToGrid w:val="0"/>
              <w:jc w:val="center"/>
              <w:textAlignment w:val="baseline"/>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预算管理情况</w:t>
            </w:r>
          </w:p>
        </w:tc>
        <w:tc>
          <w:tcPr>
            <w:tcW w:w="2715" w:type="dxa"/>
            <w:vAlign w:val="center"/>
          </w:tcPr>
          <w:p w14:paraId="6C03DBD8">
            <w:pPr>
              <w:snapToGrid w:val="0"/>
              <w:jc w:val="center"/>
              <w:textAlignment w:val="baseline"/>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0.00</w:t>
            </w:r>
          </w:p>
        </w:tc>
        <w:tc>
          <w:tcPr>
            <w:tcW w:w="2718" w:type="dxa"/>
            <w:gridSpan w:val="2"/>
            <w:vAlign w:val="center"/>
          </w:tcPr>
          <w:p w14:paraId="2E864C4E">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19.00</w:t>
            </w:r>
          </w:p>
        </w:tc>
      </w:tr>
      <w:tr w14:paraId="362B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52" w:type="dxa"/>
            <w:vAlign w:val="center"/>
          </w:tcPr>
          <w:p w14:paraId="3C40390F">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总分合计</w:t>
            </w:r>
          </w:p>
        </w:tc>
        <w:tc>
          <w:tcPr>
            <w:tcW w:w="2715" w:type="dxa"/>
            <w:vAlign w:val="center"/>
          </w:tcPr>
          <w:p w14:paraId="08974B55">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100.00</w:t>
            </w:r>
          </w:p>
        </w:tc>
        <w:tc>
          <w:tcPr>
            <w:tcW w:w="2717" w:type="dxa"/>
            <w:vAlign w:val="center"/>
          </w:tcPr>
          <w:p w14:paraId="20E9C50D">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90.17</w:t>
            </w:r>
          </w:p>
        </w:tc>
        <w:tc>
          <w:tcPr>
            <w:tcW w:w="0" w:type="auto"/>
            <w:vAlign w:val="center"/>
          </w:tcPr>
          <w:p w14:paraId="225E060E">
            <w:pPr>
              <w:snapToGrid w:val="0"/>
              <w:jc w:val="center"/>
              <w:textAlignment w:val="baseline"/>
              <w:rPr>
                <w:highlight w:val="none"/>
              </w:rPr>
            </w:pPr>
          </w:p>
        </w:tc>
      </w:tr>
      <w:tr w14:paraId="3D5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7" w:hRule="atLeast"/>
          <w:jc w:val="center"/>
        </w:trPr>
        <w:tc>
          <w:tcPr>
            <w:tcW w:w="3052" w:type="dxa"/>
            <w:vAlign w:val="center"/>
          </w:tcPr>
          <w:p w14:paraId="7160ECFA">
            <w:pPr>
              <w:snapToGrid w:val="0"/>
              <w:jc w:val="center"/>
              <w:textAlignment w:val="baseline"/>
              <w:rPr>
                <w:rFonts w:ascii="宋体" w:hAnsi="宋体" w:eastAsia="宋体" w:cs="宋体"/>
                <w:bCs/>
                <w:sz w:val="24"/>
                <w:szCs w:val="24"/>
                <w:highlight w:val="none"/>
              </w:rPr>
            </w:pPr>
            <w:r>
              <w:rPr>
                <w:rFonts w:hint="eastAsia" w:ascii="宋体" w:hAnsi="宋体" w:eastAsia="宋体" w:cs="宋体"/>
                <w:bCs/>
                <w:sz w:val="24"/>
                <w:szCs w:val="24"/>
                <w:highlight w:val="none"/>
              </w:rPr>
              <w:t>评定等级</w:t>
            </w:r>
          </w:p>
        </w:tc>
        <w:tc>
          <w:tcPr>
            <w:tcW w:w="5433" w:type="dxa"/>
            <w:gridSpan w:val="3"/>
            <w:vAlign w:val="center"/>
          </w:tcPr>
          <w:p w14:paraId="500ECBE6">
            <w:pPr>
              <w:snapToGrid w:val="0"/>
              <w:jc w:val="center"/>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优</w:t>
            </w:r>
          </w:p>
        </w:tc>
      </w:tr>
    </w:tbl>
    <w:p w14:paraId="43C610CC">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绩效评价表明，</w:t>
      </w:r>
      <w:r>
        <w:rPr>
          <w:rFonts w:hint="eastAsia" w:ascii="仿宋_GB2312" w:hAnsi="仿宋" w:eastAsia="仿宋_GB2312"/>
          <w:sz w:val="32"/>
          <w:szCs w:val="32"/>
        </w:rPr>
        <w:t>副中心工程</w:t>
      </w:r>
      <w:r>
        <w:rPr>
          <w:rFonts w:hint="eastAsia" w:ascii="仿宋_GB2312" w:hAnsi="仿宋_GB2312" w:eastAsia="仿宋_GB2312" w:cs="仿宋_GB2312"/>
          <w:sz w:val="32"/>
          <w:szCs w:val="32"/>
        </w:rPr>
        <w:t>围绕</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职能</w:t>
      </w:r>
      <w:r>
        <w:rPr>
          <w:rFonts w:hint="eastAsia" w:ascii="仿宋_GB2312" w:hAnsi="仿宋_GB2312" w:eastAsia="仿宋_GB2312" w:cs="仿宋_GB2312"/>
          <w:sz w:val="32"/>
          <w:szCs w:val="32"/>
          <w:lang w:val="en-US" w:eastAsia="zh-CN"/>
        </w:rPr>
        <w:t>和年度工作</w:t>
      </w:r>
      <w:r>
        <w:rPr>
          <w:rFonts w:hint="eastAsia" w:ascii="仿宋_GB2312" w:hAnsi="仿宋_GB2312" w:eastAsia="仿宋_GB2312" w:cs="仿宋_GB2312"/>
          <w:sz w:val="32"/>
          <w:szCs w:val="32"/>
        </w:rPr>
        <w:t>任</w:t>
      </w:r>
      <w:r>
        <w:rPr>
          <w:rFonts w:hint="eastAsia" w:ascii="仿宋_GB2312" w:hAnsi="仿宋_GB2312" w:eastAsia="仿宋_GB2312" w:cs="仿宋_GB2312"/>
          <w:sz w:val="32"/>
          <w:szCs w:val="32"/>
          <w:lang w:val="en-US" w:eastAsia="zh-CN"/>
        </w:rPr>
        <w:t>务抓好项目实施，决策依据充分，决策过程规范；预算执行良好，绩效管理有力；产出成果明显，社会效益显著；实现了</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年部门整体绩效目标</w:t>
      </w:r>
      <w:r>
        <w:rPr>
          <w:rFonts w:ascii="仿宋_GB2312" w:hAnsi="仿宋_GB2312" w:eastAsia="仿宋_GB2312" w:cs="仿宋_GB2312"/>
          <w:sz w:val="32"/>
          <w:szCs w:val="32"/>
        </w:rPr>
        <w:t>。</w:t>
      </w:r>
    </w:p>
    <w:p w14:paraId="105DA773">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baseline"/>
        <w:rPr>
          <w:rFonts w:hint="default" w:ascii="仿宋_GB2312" w:hAnsi="仿宋_GB2312" w:eastAsia="仿宋_GB2312" w:cs="仿宋_GB2312"/>
          <w:sz w:val="32"/>
          <w:szCs w:val="32"/>
          <w:lang w:val="en-US" w:eastAsia="zh-CN"/>
        </w:rPr>
      </w:pPr>
      <w:bookmarkStart w:id="65" w:name="_Toc23274"/>
      <w:bookmarkStart w:id="66" w:name="_Toc26844"/>
      <w:bookmarkStart w:id="67" w:name="_Toc3164"/>
      <w:bookmarkStart w:id="68" w:name="_Toc5651"/>
      <w:r>
        <w:rPr>
          <w:rFonts w:hint="eastAsia" w:ascii="仿宋_GB2312" w:hAnsi="仿宋_GB2312" w:eastAsia="仿宋_GB2312" w:cs="仿宋_GB2312"/>
          <w:b/>
          <w:bCs/>
          <w:sz w:val="32"/>
          <w:szCs w:val="32"/>
          <w:highlight w:val="none"/>
          <w:lang w:val="en-US" w:eastAsia="zh-CN"/>
        </w:rPr>
        <w:t>1.在运行保障方面</w:t>
      </w:r>
      <w:r>
        <w:rPr>
          <w:rFonts w:hint="eastAsia" w:ascii="仿宋_GB2312" w:hAnsi="仿宋_GB2312" w:eastAsia="仿宋_GB2312" w:cs="仿宋_GB2312"/>
          <w:sz w:val="32"/>
          <w:szCs w:val="32"/>
          <w:highlight w:val="none"/>
          <w:lang w:val="en-US" w:eastAsia="zh-CN"/>
        </w:rPr>
        <w:t>，副中心工程办</w:t>
      </w:r>
      <w:r>
        <w:rPr>
          <w:rFonts w:hint="eastAsia" w:ascii="仿宋_GB2312" w:hAnsi="仿宋_GB2312" w:eastAsia="仿宋_GB2312" w:cs="仿宋_GB2312"/>
          <w:sz w:val="32"/>
          <w:szCs w:val="32"/>
          <w:lang w:val="en-US" w:eastAsia="zh-CN"/>
        </w:rPr>
        <w:t>积极做好机关运行</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val="en-US" w:eastAsia="zh-CN"/>
        </w:rPr>
        <w:t>保障</w:t>
      </w:r>
      <w:r>
        <w:rPr>
          <w:rFonts w:hint="eastAsia" w:ascii="仿宋_GB2312" w:hAnsi="仿宋_GB2312" w:eastAsia="仿宋_GB2312" w:cs="仿宋_GB2312"/>
          <w:sz w:val="32"/>
          <w:szCs w:val="32"/>
        </w:rPr>
        <w:t>，按时、足额保障人员工资和社保、公积金等费用缴纳。</w:t>
      </w:r>
      <w:r>
        <w:rPr>
          <w:rFonts w:hint="eastAsia" w:ascii="仿宋_GB2312" w:hAnsi="仿宋_GB2312" w:eastAsia="仿宋_GB2312" w:cs="仿宋_GB2312"/>
          <w:color w:val="auto"/>
          <w:sz w:val="32"/>
          <w:szCs w:val="32"/>
          <w:lang w:val="en-US" w:eastAsia="zh-CN"/>
        </w:rPr>
        <w:t>在厉行节约、降低办公成本的</w:t>
      </w:r>
      <w:r>
        <w:rPr>
          <w:rFonts w:hint="eastAsia" w:ascii="仿宋_GB2312" w:hAnsi="仿宋_GB2312" w:eastAsia="仿宋_GB2312" w:cs="仿宋_GB2312"/>
          <w:sz w:val="32"/>
          <w:szCs w:val="32"/>
          <w:lang w:val="en-US" w:eastAsia="zh-CN"/>
        </w:rPr>
        <w:t>基础上，较好地保障了机关正常运转。</w:t>
      </w:r>
    </w:p>
    <w:p w14:paraId="03D71B75">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3"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b/>
          <w:bCs/>
          <w:sz w:val="32"/>
          <w:szCs w:val="32"/>
          <w:highlight w:val="none"/>
          <w:lang w:val="en-US" w:eastAsia="zh-CN"/>
        </w:rPr>
        <w:t>2.在经费管理方面</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 w:eastAsia="仿宋_GB2312"/>
          <w:sz w:val="32"/>
          <w:szCs w:val="32"/>
        </w:rPr>
        <w:t>“三公”经费支出</w:t>
      </w:r>
      <w:r>
        <w:rPr>
          <w:rFonts w:hint="eastAsia" w:ascii="仿宋_GB2312" w:hAnsi="仿宋" w:eastAsia="仿宋_GB2312"/>
          <w:sz w:val="32"/>
          <w:szCs w:val="32"/>
          <w:lang w:val="en-US" w:eastAsia="zh-CN"/>
        </w:rPr>
        <w:t>28.01</w:t>
      </w:r>
      <w:r>
        <w:rPr>
          <w:rFonts w:hint="eastAsia" w:ascii="仿宋_GB2312" w:hAnsi="仿宋" w:eastAsia="仿宋_GB2312"/>
          <w:sz w:val="32"/>
          <w:szCs w:val="32"/>
        </w:rPr>
        <w:t>万元，比上年</w:t>
      </w:r>
      <w:r>
        <w:rPr>
          <w:rFonts w:hint="eastAsia" w:ascii="仿宋_GB2312" w:hAnsi="仿宋" w:eastAsia="仿宋_GB2312"/>
          <w:sz w:val="32"/>
          <w:szCs w:val="32"/>
          <w:lang w:val="en-US" w:eastAsia="zh-CN"/>
        </w:rPr>
        <w:t>增加20.66</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主要因为因工作需要开展相关业务，发生因公出国（境）费支出</w:t>
      </w:r>
      <w:r>
        <w:rPr>
          <w:rFonts w:hint="eastAsia" w:ascii="仿宋_GB2312" w:hAnsi="仿宋" w:eastAsia="仿宋_GB2312"/>
          <w:sz w:val="32"/>
          <w:szCs w:val="32"/>
        </w:rPr>
        <w:t>。培训费支出</w:t>
      </w:r>
      <w:r>
        <w:rPr>
          <w:rFonts w:hint="eastAsia" w:ascii="仿宋_GB2312" w:hAnsi="仿宋" w:eastAsia="仿宋_GB2312"/>
          <w:sz w:val="32"/>
          <w:szCs w:val="32"/>
          <w:lang w:val="en-US" w:eastAsia="zh-CN"/>
        </w:rPr>
        <w:t>3.44</w:t>
      </w:r>
      <w:r>
        <w:rPr>
          <w:rFonts w:hint="eastAsia" w:ascii="仿宋_GB2312" w:hAnsi="仿宋" w:eastAsia="仿宋_GB2312"/>
          <w:sz w:val="32"/>
          <w:szCs w:val="32"/>
        </w:rPr>
        <w:t>万元，比上年</w:t>
      </w:r>
      <w:r>
        <w:rPr>
          <w:rFonts w:hint="eastAsia" w:ascii="仿宋_GB2312" w:hAnsi="仿宋" w:eastAsia="仿宋_GB2312"/>
          <w:sz w:val="32"/>
          <w:szCs w:val="32"/>
          <w:lang w:val="en-US" w:eastAsia="zh-CN"/>
        </w:rPr>
        <w:t>增加0.54</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主要因为工作需要开展相关业务。</w:t>
      </w:r>
      <w:r>
        <w:rPr>
          <w:rFonts w:hint="eastAsia" w:ascii="仿宋_GB2312" w:hAnsi="仿宋" w:eastAsia="仿宋_GB2312"/>
          <w:sz w:val="32"/>
          <w:szCs w:val="32"/>
        </w:rPr>
        <w:t>会议费支出0万元。</w:t>
      </w:r>
      <w:r>
        <w:rPr>
          <w:rFonts w:hint="eastAsia" w:ascii="仿宋_GB2312" w:hAnsi="仿宋_GB2312" w:eastAsia="仿宋_GB2312" w:cs="仿宋_GB2312"/>
          <w:sz w:val="32"/>
          <w:szCs w:val="32"/>
          <w:lang w:val="en-US" w:eastAsia="zh-CN"/>
        </w:rPr>
        <w:t>总体上</w:t>
      </w:r>
      <w:r>
        <w:rPr>
          <w:rFonts w:hint="eastAsia" w:ascii="仿宋_GB2312" w:hAnsi="仿宋_GB2312" w:eastAsia="仿宋_GB2312" w:cs="仿宋_GB2312"/>
          <w:sz w:val="32"/>
          <w:szCs w:val="32"/>
        </w:rPr>
        <w:t>“三公”经费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会议费、培训费均控制在较低水平。</w:t>
      </w:r>
    </w:p>
    <w:p w14:paraId="7001B11F">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3.在成本控制方面</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年末，一般性支出金额控制在市财政调控使用范围内。</w:t>
      </w:r>
      <w:r>
        <w:rPr>
          <w:rFonts w:hint="eastAsia" w:ascii="仿宋_GB2312" w:hAnsi="仿宋_GB2312" w:eastAsia="仿宋_GB2312" w:cs="仿宋_GB2312"/>
          <w:sz w:val="32"/>
          <w:szCs w:val="32"/>
          <w:lang w:val="en-US" w:eastAsia="zh-CN"/>
        </w:rPr>
        <w:t>在项目实施过程中严格落实政府采购制度，强化项目管理，控制项目成本，节约财政资金。</w:t>
      </w:r>
      <w:r>
        <w:rPr>
          <w:rFonts w:hint="eastAsia" w:ascii="仿宋_GB2312" w:hAnsi="仿宋_GB2312" w:eastAsia="仿宋_GB2312" w:cs="仿宋_GB2312"/>
          <w:sz w:val="32"/>
          <w:szCs w:val="32"/>
          <w:highlight w:val="none"/>
          <w:lang w:val="en-US" w:eastAsia="zh-CN"/>
        </w:rPr>
        <w:t>2024年基本支出和项目支出基本控制在预算批复数内</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项目未出现超支现象</w:t>
      </w:r>
      <w:r>
        <w:rPr>
          <w:rFonts w:hint="eastAsia" w:ascii="仿宋_GB2312" w:hAnsi="仿宋" w:eastAsia="仿宋_GB2312"/>
          <w:sz w:val="32"/>
          <w:szCs w:val="32"/>
          <w:highlight w:val="none"/>
          <w:lang w:val="en-US" w:eastAsia="zh-CN"/>
        </w:rPr>
        <w:t>。</w:t>
      </w:r>
    </w:p>
    <w:p w14:paraId="246B9A62">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highlight w:val="none"/>
          <w:lang w:val="en-US" w:eastAsia="zh-CN"/>
        </w:rPr>
        <w:t>4.在绩效管理方面</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rPr>
        <w:t>全面开展绩效评价和事前评审工作，组织各部门对项目</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自评，聘请会计师事务所对</w:t>
      </w:r>
      <w:r>
        <w:rPr>
          <w:rFonts w:hint="eastAsia" w:ascii="仿宋_GB2312" w:hAnsi="仿宋_GB2312" w:eastAsia="仿宋_GB2312" w:cs="仿宋_GB2312"/>
          <w:sz w:val="32"/>
          <w:szCs w:val="32"/>
          <w:lang w:val="en-US" w:eastAsia="zh-CN"/>
        </w:rPr>
        <w:t>重点</w:t>
      </w:r>
      <w:r>
        <w:rPr>
          <w:rFonts w:hint="eastAsia" w:ascii="仿宋_GB2312" w:hAnsi="仿宋_GB2312" w:eastAsia="仿宋_GB2312" w:cs="仿宋_GB2312"/>
          <w:sz w:val="32"/>
          <w:szCs w:val="32"/>
        </w:rPr>
        <w:t>项目进行绩效评价，落实项目绩效管理要求。通过评价，增强各部门支出责任和效率意识，提高项目管理水平和资金使用效益</w:t>
      </w:r>
      <w:r>
        <w:rPr>
          <w:rFonts w:hint="eastAsia" w:ascii="仿宋_GB2312" w:hAnsi="仿宋_GB2312" w:eastAsia="仿宋_GB2312" w:cs="仿宋_GB2312"/>
          <w:sz w:val="32"/>
          <w:szCs w:val="32"/>
          <w:lang w:eastAsia="zh-CN"/>
        </w:rPr>
        <w:t>。</w:t>
      </w:r>
    </w:p>
    <w:p w14:paraId="67ACF727">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left"/>
        <w:textAlignment w:val="baseline"/>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sz w:val="32"/>
          <w:szCs w:val="32"/>
          <w:highlight w:val="none"/>
          <w:lang w:val="en-US" w:eastAsia="zh-CN"/>
        </w:rPr>
        <w:t>5.项目建设方面</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Cs/>
          <w:sz w:val="32"/>
          <w:szCs w:val="32"/>
          <w:highlight w:val="none"/>
        </w:rPr>
        <w:t>民生工程高效落实</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安居保障提速具体包括东小营地铁上盖职工周转房、城市副中心住房项目建成交付。公共服务升级</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安贞医院通州院区正式开诊；中国人民大学通州校区首批教学楼、宿舍楼投入使用。城市功能完善</w:t>
      </w:r>
      <w:r>
        <w:rPr>
          <w:rFonts w:hint="eastAsia" w:ascii="仿宋_GB2312" w:hAnsi="仿宋_GB2312" w:eastAsia="仿宋_GB2312" w:cs="仿宋_GB2312"/>
          <w:bCs/>
          <w:sz w:val="32"/>
          <w:szCs w:val="32"/>
          <w:highlight w:val="none"/>
          <w:lang w:val="en-US" w:eastAsia="zh-CN"/>
        </w:rPr>
        <w:t>包括</w:t>
      </w:r>
      <w:r>
        <w:rPr>
          <w:rFonts w:hint="eastAsia" w:ascii="仿宋_GB2312" w:hAnsi="仿宋_GB2312" w:eastAsia="仿宋_GB2312" w:cs="仿宋_GB2312"/>
          <w:bCs/>
          <w:sz w:val="32"/>
          <w:szCs w:val="32"/>
          <w:highlight w:val="none"/>
        </w:rPr>
        <w:t>东夏园交通枢纽及地下通道开通。</w:t>
      </w:r>
    </w:p>
    <w:p w14:paraId="59661AE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baseline"/>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基础设施全面提速</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交通网络优化</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厂通路建成通车；东六环入地改造工程完工；轨道交通M101线实现“一场九站”全面开工。生态治理突破</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温潮减河、潮白河综合治理与生态修复工程启动；副中心步行和自行车示范段建成。历史保护创新</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 xml:space="preserve">路县故城遗址保护展示工程提前1个月竣工，为北京大运河文化带建设提供核心支撑。  </w:t>
      </w:r>
    </w:p>
    <w:p w14:paraId="62209FCE">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baseline"/>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highlight w:val="none"/>
        </w:rPr>
        <w:t>重点工程系统推进</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主体建设攻坚</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副中心站综合交通枢纽、北京卫生职业学院新院区、首都儿研所通州院区项目完成主体结构施工</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新开工项目发力</w:t>
      </w:r>
      <w:r>
        <w:rPr>
          <w:rFonts w:hint="eastAsia" w:ascii="仿宋_GB2312" w:hAnsi="仿宋_GB2312" w:eastAsia="仿宋_GB2312" w:cs="仿宋_GB2312"/>
          <w:bCs/>
          <w:sz w:val="32"/>
          <w:szCs w:val="32"/>
          <w:highlight w:val="none"/>
          <w:lang w:val="en-US" w:eastAsia="zh-CN"/>
        </w:rPr>
        <w:t>具体包括</w:t>
      </w:r>
      <w:r>
        <w:rPr>
          <w:rFonts w:hint="eastAsia" w:ascii="仿宋_GB2312" w:hAnsi="仿宋_GB2312" w:eastAsia="仿宋_GB2312" w:cs="仿宋_GB2312"/>
          <w:bCs/>
          <w:sz w:val="32"/>
          <w:szCs w:val="32"/>
          <w:highlight w:val="none"/>
        </w:rPr>
        <w:t>北京胸科医院危房改建、市疾控中心迁建项目外立面亮相；春明路、东古城通信枢纽局等项目全面开工</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创意园220KV变电站等电力工程加速实施，保障重大项目用能需求。</w:t>
      </w:r>
    </w:p>
    <w:p w14:paraId="64926AB9">
      <w:pPr>
        <w:keepNext w:val="0"/>
        <w:keepLines w:val="0"/>
        <w:pageBreakBefore w:val="0"/>
        <w:widowControl w:val="0"/>
        <w:kinsoku/>
        <w:wordWrap/>
        <w:overflowPunct/>
        <w:topLinePunct w:val="0"/>
        <w:autoSpaceDE/>
        <w:autoSpaceDN/>
        <w:bidi w:val="0"/>
        <w:adjustRightInd w:val="0"/>
        <w:snapToGrid w:val="0"/>
        <w:spacing w:afterAutospacing="0" w:line="580" w:lineRule="exact"/>
        <w:ind w:left="0" w:leftChars="0" w:firstLine="643" w:firstLineChars="200"/>
        <w:textAlignment w:val="baseline"/>
        <w:outlineLvl w:val="1"/>
        <w:rPr>
          <w:rFonts w:ascii="楷体_GB2312" w:eastAsia="楷体_GB2312"/>
          <w:b/>
          <w:bCs/>
          <w:sz w:val="32"/>
          <w:szCs w:val="32"/>
        </w:rPr>
      </w:pPr>
      <w:r>
        <w:rPr>
          <w:rFonts w:hint="eastAsia" w:ascii="楷体_GB2312" w:eastAsia="楷体_GB2312"/>
          <w:b/>
          <w:bCs/>
          <w:sz w:val="32"/>
          <w:szCs w:val="32"/>
        </w:rPr>
        <w:t>（二）存在的问题及原因分析</w:t>
      </w:r>
      <w:bookmarkEnd w:id="65"/>
      <w:bookmarkEnd w:id="66"/>
      <w:bookmarkEnd w:id="67"/>
      <w:bookmarkEnd w:id="68"/>
    </w:p>
    <w:p w14:paraId="14EC341B">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textAlignment w:val="auto"/>
        <w:rPr>
          <w:rFonts w:hint="default" w:ascii="仿宋_GB2312" w:hAnsi="仿宋_GB2312" w:eastAsia="仿宋_GB2312" w:cs="仿宋_GB2312"/>
          <w:b/>
          <w:bCs/>
          <w:kern w:val="0"/>
          <w:sz w:val="32"/>
          <w:szCs w:val="32"/>
          <w:highlight w:val="none"/>
          <w:shd w:val="clear" w:color="auto" w:fill="auto"/>
          <w:lang w:val="en-US" w:eastAsia="zh-CN" w:bidi="ar-SA"/>
        </w:rPr>
      </w:pPr>
      <w:r>
        <w:rPr>
          <w:rFonts w:hint="eastAsia" w:ascii="仿宋_GB2312" w:hAnsi="仿宋_GB2312" w:eastAsia="仿宋_GB2312" w:cs="仿宋_GB2312"/>
          <w:b/>
          <w:bCs/>
          <w:kern w:val="0"/>
          <w:sz w:val="32"/>
          <w:szCs w:val="32"/>
          <w:highlight w:val="none"/>
          <w:shd w:val="clear" w:color="auto" w:fill="auto"/>
          <w:lang w:val="en-US" w:eastAsia="zh-CN" w:bidi="ar-SA"/>
        </w:rPr>
        <w:t>个别项目未能如期完成</w:t>
      </w:r>
    </w:p>
    <w:p w14:paraId="0121B0F3">
      <w:pPr>
        <w:pStyle w:val="22"/>
        <w:keepNext w:val="0"/>
        <w:keepLines w:val="0"/>
        <w:pageBreakBefore w:val="0"/>
        <w:widowControl w:val="0"/>
        <w:kinsoku/>
        <w:wordWrap/>
        <w:overflowPunct/>
        <w:topLinePunct w:val="0"/>
        <w:autoSpaceDE/>
        <w:autoSpaceDN/>
        <w:bidi w:val="0"/>
        <w:adjustRightInd w:val="0"/>
        <w:snapToGrid w:val="0"/>
        <w:spacing w:line="580" w:lineRule="exact"/>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截至2024年12月底，《行政办公区二期0160等10个行政办公项目房屋面积和不动产地籍测绘项目》项</w:t>
      </w:r>
      <w:bookmarkStart w:id="78" w:name="_GoBack"/>
      <w:bookmarkEnd w:id="78"/>
      <w:r>
        <w:rPr>
          <w:rFonts w:hint="eastAsia" w:ascii="仿宋" w:hAnsi="仿宋" w:eastAsia="仿宋" w:cs="仿宋"/>
          <w:sz w:val="32"/>
          <w:szCs w:val="32"/>
          <w:highlight w:val="none"/>
          <w:lang w:val="en-US" w:eastAsia="zh-CN"/>
        </w:rPr>
        <w:t>目未能完成，主要原因是相关基本建设审批手续正在有序推进中。</w:t>
      </w:r>
    </w:p>
    <w:p w14:paraId="7F9A6547">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baseline"/>
        <w:outlineLvl w:val="0"/>
        <w:rPr>
          <w:rFonts w:ascii="黑体" w:hAnsi="黑体" w:eastAsia="黑体" w:cs="黑体"/>
          <w:sz w:val="32"/>
          <w:szCs w:val="32"/>
        </w:rPr>
      </w:pPr>
      <w:bookmarkStart w:id="69" w:name="_Toc22090"/>
      <w:bookmarkStart w:id="70" w:name="_Toc20952"/>
      <w:bookmarkStart w:id="71" w:name="_Toc22084"/>
      <w:bookmarkStart w:id="72" w:name="_Toc9365"/>
      <w:r>
        <w:rPr>
          <w:rFonts w:hint="eastAsia" w:ascii="黑体" w:hAnsi="黑体" w:eastAsia="黑体" w:cs="宋体"/>
          <w:color w:val="000000"/>
          <w:kern w:val="0"/>
          <w:sz w:val="32"/>
          <w:szCs w:val="32"/>
        </w:rPr>
        <w:t>六、措施建议</w:t>
      </w:r>
      <w:bookmarkEnd w:id="69"/>
      <w:bookmarkEnd w:id="70"/>
      <w:bookmarkEnd w:id="71"/>
      <w:bookmarkEnd w:id="72"/>
    </w:p>
    <w:p w14:paraId="1270BDE0">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3" w:firstLineChars="200"/>
        <w:textAlignment w:val="auto"/>
        <w:rPr>
          <w:rFonts w:hint="eastAsia" w:ascii="仿宋_GB2312" w:hAnsi="仿宋_GB2312" w:eastAsia="仿宋_GB2312" w:cs="仿宋_GB2312"/>
          <w:b/>
          <w:bCs/>
          <w:kern w:val="0"/>
          <w:sz w:val="32"/>
          <w:szCs w:val="32"/>
          <w:highlight w:val="none"/>
          <w:shd w:val="clear" w:color="auto" w:fill="auto"/>
          <w:lang w:val="en-US" w:eastAsia="zh-CN" w:bidi="ar-SA"/>
        </w:rPr>
      </w:pPr>
      <w:r>
        <w:rPr>
          <w:rFonts w:hint="eastAsia" w:ascii="仿宋_GB2312" w:hAnsi="仿宋_GB2312" w:eastAsia="仿宋_GB2312" w:cs="仿宋_GB2312"/>
          <w:b/>
          <w:bCs/>
          <w:kern w:val="0"/>
          <w:sz w:val="32"/>
          <w:szCs w:val="32"/>
          <w:highlight w:val="none"/>
          <w:shd w:val="clear" w:color="auto" w:fill="auto"/>
          <w:lang w:val="en-US" w:eastAsia="zh-CN" w:bidi="ar-SA"/>
        </w:rPr>
        <w:t>提高预算执行的科学性和准确性</w:t>
      </w:r>
    </w:p>
    <w:p w14:paraId="712F4F96">
      <w:pPr>
        <w:pStyle w:val="16"/>
        <w:keepNext w:val="0"/>
        <w:keepLines w:val="0"/>
        <w:pageBreakBefore w:val="0"/>
        <w:widowControl/>
        <w:kinsoku/>
        <w:wordWrap/>
        <w:overflowPunct/>
        <w:topLinePunct w:val="0"/>
        <w:autoSpaceDE/>
        <w:autoSpaceDN/>
        <w:bidi w:val="0"/>
        <w:adjustRightInd w:val="0"/>
        <w:snapToGrid w:val="0"/>
        <w:spacing w:beforeAutospacing="0" w:afterAutospacing="0" w:line="580" w:lineRule="exact"/>
        <w:ind w:firstLine="640" w:firstLineChars="200"/>
        <w:jc w:val="both"/>
        <w:textAlignment w:val="auto"/>
        <w:outlineLvl w:val="9"/>
        <w:rPr>
          <w:rFonts w:hint="eastAsia"/>
          <w:lang w:val="en-US" w:eastAsia="zh-CN"/>
        </w:rPr>
      </w:pPr>
      <w:bookmarkStart w:id="73" w:name="_Toc61602328"/>
      <w:bookmarkStart w:id="74" w:name="_Toc61602289"/>
      <w:bookmarkStart w:id="75" w:name="_Toc61602479"/>
      <w:r>
        <w:rPr>
          <w:rFonts w:hint="eastAsia" w:ascii="仿宋_GB2312" w:hAnsi="仿宋_GB2312" w:eastAsia="仿宋_GB2312" w:cs="仿宋_GB2312"/>
          <w:kern w:val="2"/>
          <w:sz w:val="32"/>
          <w:szCs w:val="32"/>
          <w:highlight w:val="none"/>
          <w:lang w:val="en-US" w:eastAsia="zh-CN" w:bidi="ar-SA"/>
        </w:rPr>
        <w:t>进一步加强对项目完成情况和预算执行情况的督促管理，</w:t>
      </w:r>
      <w:r>
        <w:rPr>
          <w:rFonts w:hint="eastAsia" w:ascii="仿宋_GB2312" w:hAnsi="仿宋_GB2312" w:eastAsia="仿宋_GB2312" w:cs="仿宋_GB2312"/>
          <w:sz w:val="32"/>
          <w:szCs w:val="32"/>
          <w:highlight w:val="none"/>
          <w:lang w:val="en-US" w:eastAsia="zh-CN"/>
        </w:rPr>
        <w:t>充分运用跟踪督导和项目调度机制，加快项目执行，确保项目任务和相关指标按期完成，提高经费使用效益和保障效率。</w:t>
      </w:r>
      <w:bookmarkEnd w:id="73"/>
      <w:bookmarkEnd w:id="74"/>
      <w:bookmarkEnd w:id="75"/>
    </w:p>
    <w:p w14:paraId="556D10F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highlight w:val="none"/>
          <w:lang w:val="en-US" w:eastAsia="zh-CN"/>
        </w:rPr>
        <w:t>2024年部门整体绩效评价指标体系评分表</w:t>
      </w:r>
    </w:p>
    <w:p w14:paraId="59F3859B">
      <w:pPr>
        <w:pStyle w:val="2"/>
        <w:rPr>
          <w:rFonts w:hint="eastAsia"/>
          <w:lang w:val="en-US" w:eastAsia="zh-CN"/>
        </w:rPr>
      </w:pPr>
      <w:bookmarkStart w:id="76" w:name="_Toc20717"/>
    </w:p>
    <w:p w14:paraId="3737FFF7">
      <w:pPr>
        <w:pStyle w:val="2"/>
        <w:rPr>
          <w:rFonts w:hint="eastAsia"/>
          <w:lang w:val="en-US" w:eastAsia="zh-CN"/>
        </w:rPr>
      </w:pPr>
    </w:p>
    <w:p w14:paraId="0DA7596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baseline"/>
        <w:outlineLvl w:val="9"/>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lang w:val="en-US" w:eastAsia="zh-CN"/>
        </w:rPr>
        <w:t xml:space="preserve">            </w:t>
      </w:r>
      <w:r>
        <w:rPr>
          <w:rFonts w:hint="eastAsia" w:ascii="仿宋_GB2312" w:hAnsi="仿宋_GB2312" w:eastAsia="仿宋_GB2312" w:cs="仿宋_GB2312"/>
          <w:bCs/>
          <w:kern w:val="44"/>
          <w:sz w:val="32"/>
          <w:szCs w:val="32"/>
        </w:rPr>
        <w:t>20</w:t>
      </w:r>
      <w:r>
        <w:rPr>
          <w:rFonts w:hint="eastAsia" w:ascii="仿宋_GB2312" w:hAnsi="仿宋_GB2312" w:eastAsia="仿宋_GB2312" w:cs="仿宋_GB2312"/>
          <w:bCs/>
          <w:kern w:val="44"/>
          <w:sz w:val="32"/>
          <w:szCs w:val="32"/>
          <w:lang w:val="en-US" w:eastAsia="zh-CN"/>
        </w:rPr>
        <w:t>25</w:t>
      </w:r>
      <w:r>
        <w:rPr>
          <w:rFonts w:hint="eastAsia" w:ascii="仿宋_GB2312" w:hAnsi="仿宋_GB2312" w:eastAsia="仿宋_GB2312" w:cs="仿宋_GB2312"/>
          <w:bCs/>
          <w:kern w:val="44"/>
          <w:sz w:val="32"/>
          <w:szCs w:val="32"/>
        </w:rPr>
        <w:t>年</w:t>
      </w:r>
      <w:r>
        <w:rPr>
          <w:rFonts w:hint="eastAsia" w:ascii="仿宋_GB2312" w:hAnsi="仿宋_GB2312" w:eastAsia="仿宋_GB2312" w:cs="仿宋_GB2312"/>
          <w:bCs/>
          <w:kern w:val="44"/>
          <w:sz w:val="32"/>
          <w:szCs w:val="32"/>
          <w:lang w:val="en-US" w:eastAsia="zh-CN"/>
        </w:rPr>
        <w:t>5</w:t>
      </w:r>
      <w:r>
        <w:rPr>
          <w:rFonts w:hint="eastAsia" w:ascii="仿宋_GB2312" w:hAnsi="仿宋_GB2312" w:eastAsia="仿宋_GB2312" w:cs="仿宋_GB2312"/>
          <w:bCs/>
          <w:kern w:val="44"/>
          <w:sz w:val="32"/>
          <w:szCs w:val="32"/>
        </w:rPr>
        <w:t>月</w:t>
      </w:r>
      <w:r>
        <w:rPr>
          <w:rFonts w:hint="eastAsia" w:ascii="仿宋_GB2312" w:hAnsi="仿宋_GB2312" w:eastAsia="仿宋_GB2312" w:cs="仿宋_GB2312"/>
          <w:bCs/>
          <w:kern w:val="44"/>
          <w:sz w:val="32"/>
          <w:szCs w:val="32"/>
          <w:lang w:val="en-US" w:eastAsia="zh-CN"/>
        </w:rPr>
        <w:t>8</w:t>
      </w:r>
      <w:r>
        <w:rPr>
          <w:rFonts w:hint="eastAsia" w:ascii="仿宋_GB2312" w:hAnsi="仿宋_GB2312" w:eastAsia="仿宋_GB2312" w:cs="仿宋_GB2312"/>
          <w:bCs/>
          <w:kern w:val="44"/>
          <w:sz w:val="32"/>
          <w:szCs w:val="32"/>
        </w:rPr>
        <w:t>日</w:t>
      </w:r>
      <w:bookmarkEnd w:id="76"/>
    </w:p>
    <w:p w14:paraId="15667014">
      <w:pPr>
        <w:pStyle w:val="6"/>
        <w:keepNext w:val="0"/>
        <w:keepLines w:val="0"/>
        <w:pageBreakBefore w:val="0"/>
        <w:widowControl w:val="0"/>
        <w:kinsoku/>
        <w:wordWrap/>
        <w:overflowPunct/>
        <w:topLinePunct w:val="0"/>
        <w:autoSpaceDE/>
        <w:autoSpaceDN/>
        <w:bidi w:val="0"/>
        <w:adjustRightInd w:val="0"/>
        <w:snapToGrid w:val="0"/>
        <w:spacing w:line="560" w:lineRule="exact"/>
        <w:sectPr>
          <w:footerReference r:id="rId3" w:type="default"/>
          <w:pgSz w:w="11906" w:h="16838"/>
          <w:pgMar w:top="1701" w:right="1701" w:bottom="1701" w:left="1701" w:header="851" w:footer="992" w:gutter="0"/>
          <w:pgNumType w:start="1"/>
          <w:cols w:space="425" w:num="1"/>
          <w:docGrid w:type="lines" w:linePitch="312" w:charSpace="0"/>
        </w:sectPr>
      </w:pPr>
    </w:p>
    <w:p w14:paraId="7A163D71">
      <w:pPr>
        <w:pStyle w:val="6"/>
        <w:keepNext w:val="0"/>
        <w:keepLines w:val="0"/>
        <w:pageBreakBefore w:val="0"/>
        <w:widowControl w:val="0"/>
        <w:kinsoku/>
        <w:wordWrap/>
        <w:overflowPunct/>
        <w:topLinePunct w:val="0"/>
        <w:autoSpaceDE/>
        <w:autoSpaceDN/>
        <w:bidi w:val="0"/>
        <w:adjustRightInd w:val="0"/>
        <w:snapToGrid w:val="0"/>
        <w:spacing w:line="560" w:lineRule="exact"/>
        <w:ind w:firstLine="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tbl>
      <w:tblPr>
        <w:tblStyle w:val="19"/>
        <w:tblW w:w="5092" w:type="pct"/>
        <w:jc w:val="center"/>
        <w:tblLayout w:type="fixed"/>
        <w:tblCellMar>
          <w:top w:w="0" w:type="dxa"/>
          <w:left w:w="108" w:type="dxa"/>
          <w:bottom w:w="0" w:type="dxa"/>
          <w:right w:w="108" w:type="dxa"/>
        </w:tblCellMar>
      </w:tblPr>
      <w:tblGrid>
        <w:gridCol w:w="836"/>
        <w:gridCol w:w="1069"/>
        <w:gridCol w:w="1261"/>
        <w:gridCol w:w="1273"/>
        <w:gridCol w:w="1022"/>
        <w:gridCol w:w="716"/>
        <w:gridCol w:w="749"/>
        <w:gridCol w:w="3396"/>
        <w:gridCol w:w="4160"/>
      </w:tblGrid>
      <w:tr w14:paraId="5604EF01">
        <w:tblPrEx>
          <w:tblCellMar>
            <w:top w:w="0" w:type="dxa"/>
            <w:left w:w="108" w:type="dxa"/>
            <w:bottom w:w="0" w:type="dxa"/>
            <w:right w:w="108" w:type="dxa"/>
          </w:tblCellMar>
        </w:tblPrEx>
        <w:trPr>
          <w:trHeight w:val="499" w:hRule="atLeast"/>
          <w:jc w:val="center"/>
        </w:trPr>
        <w:tc>
          <w:tcPr>
            <w:tcW w:w="5000" w:type="pct"/>
            <w:gridSpan w:val="9"/>
            <w:tcBorders>
              <w:top w:val="nil"/>
              <w:left w:val="nil"/>
              <w:bottom w:val="single" w:color="auto" w:sz="4" w:space="0"/>
              <w:right w:val="nil"/>
            </w:tcBorders>
            <w:noWrap/>
            <w:vAlign w:val="bottom"/>
          </w:tcPr>
          <w:p w14:paraId="7FF6A0D9">
            <w:pPr>
              <w:widowControl/>
              <w:jc w:val="center"/>
              <w:rPr>
                <w:rFonts w:hint="eastAsia" w:ascii="方正小标宋简体" w:hAnsi="黑体" w:eastAsia="方正小标宋简体" w:cs="宋体"/>
                <w:color w:val="000000"/>
                <w:kern w:val="0"/>
                <w:sz w:val="44"/>
                <w:szCs w:val="44"/>
                <w:lang w:eastAsia="zh-CN"/>
              </w:rPr>
            </w:pPr>
            <w:r>
              <w:rPr>
                <w:rFonts w:hint="eastAsia" w:ascii="方正小标宋简体" w:hAnsi="黑体" w:eastAsia="方正小标宋简体" w:cs="宋体"/>
                <w:color w:val="000000"/>
                <w:kern w:val="0"/>
                <w:sz w:val="44"/>
                <w:szCs w:val="44"/>
              </w:rPr>
              <w:t>20</w:t>
            </w:r>
            <w:r>
              <w:rPr>
                <w:rFonts w:hint="eastAsia" w:ascii="方正小标宋简体" w:hAnsi="黑体" w:eastAsia="方正小标宋简体" w:cs="宋体"/>
                <w:color w:val="000000"/>
                <w:kern w:val="0"/>
                <w:sz w:val="44"/>
                <w:szCs w:val="44"/>
                <w:lang w:val="en-US" w:eastAsia="zh-CN"/>
              </w:rPr>
              <w:t>24</w:t>
            </w:r>
            <w:r>
              <w:rPr>
                <w:rFonts w:hint="eastAsia" w:ascii="方正小标宋简体" w:hAnsi="黑体" w:eastAsia="方正小标宋简体" w:cs="宋体"/>
                <w:color w:val="000000"/>
                <w:kern w:val="0"/>
                <w:sz w:val="44"/>
                <w:szCs w:val="44"/>
              </w:rPr>
              <w:t>年部门整体绩效评价指标体系评分表</w:t>
            </w:r>
          </w:p>
        </w:tc>
      </w:tr>
      <w:tr w14:paraId="5E242325">
        <w:tblPrEx>
          <w:tblCellMar>
            <w:top w:w="0" w:type="dxa"/>
            <w:left w:w="108" w:type="dxa"/>
            <w:bottom w:w="0" w:type="dxa"/>
            <w:right w:w="108" w:type="dxa"/>
          </w:tblCellMar>
        </w:tblPrEx>
        <w:trPr>
          <w:trHeight w:val="470" w:hRule="atLeast"/>
          <w:jc w:val="center"/>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14:paraId="027C935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14:paraId="389030F3">
        <w:tblPrEx>
          <w:tblCellMar>
            <w:top w:w="0" w:type="dxa"/>
            <w:left w:w="108" w:type="dxa"/>
            <w:bottom w:w="0" w:type="dxa"/>
            <w:right w:w="108" w:type="dxa"/>
          </w:tblCellMar>
        </w:tblPrEx>
        <w:trPr>
          <w:trHeight w:val="584" w:hRule="atLeast"/>
          <w:jc w:val="center"/>
        </w:trPr>
        <w:tc>
          <w:tcPr>
            <w:tcW w:w="288" w:type="pct"/>
            <w:tcBorders>
              <w:top w:val="single" w:color="auto" w:sz="4" w:space="0"/>
              <w:left w:val="single" w:color="auto" w:sz="4" w:space="0"/>
              <w:bottom w:val="single" w:color="auto" w:sz="4" w:space="0"/>
              <w:right w:val="single" w:color="auto" w:sz="4" w:space="0"/>
            </w:tcBorders>
            <w:noWrap w:val="0"/>
            <w:vAlign w:val="center"/>
          </w:tcPr>
          <w:p w14:paraId="42229E09">
            <w:pPr>
              <w:keepNext w:val="0"/>
              <w:keepLines w:val="0"/>
              <w:pageBreakBefore w:val="0"/>
              <w:widowControl/>
              <w:kinsoku/>
              <w:wordWrap/>
              <w:overflowPunct/>
              <w:topLinePunct w:val="0"/>
              <w:autoSpaceDE/>
              <w:autoSpaceDN/>
              <w:bidi w:val="0"/>
              <w:adjustRightInd w:val="0"/>
              <w:snapToGrid w:val="0"/>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w:t>
            </w:r>
          </w:p>
          <w:p w14:paraId="7ECD986C">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ascii="宋体" w:hAnsi="宋体" w:cs="宋体"/>
                <w:color w:val="000000"/>
                <w:kern w:val="0"/>
                <w:sz w:val="20"/>
                <w:szCs w:val="20"/>
              </w:rPr>
              <w:t>指标</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62FC3E61">
            <w:pPr>
              <w:keepNext w:val="0"/>
              <w:keepLines w:val="0"/>
              <w:pageBreakBefore w:val="0"/>
              <w:widowControl/>
              <w:kinsoku/>
              <w:wordWrap/>
              <w:overflowPunct/>
              <w:topLinePunct w:val="0"/>
              <w:autoSpaceDE/>
              <w:autoSpaceDN/>
              <w:bidi w:val="0"/>
              <w:adjustRightInd w:val="0"/>
              <w:snapToGrid w:val="0"/>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w:t>
            </w:r>
          </w:p>
          <w:p w14:paraId="4119C5C5">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ascii="宋体" w:hAnsi="宋体" w:cs="宋体"/>
                <w:color w:val="000000"/>
                <w:kern w:val="0"/>
                <w:sz w:val="20"/>
                <w:szCs w:val="20"/>
              </w:rPr>
              <w:t>指标</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5C911629">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预算数</w:t>
            </w:r>
          </w:p>
          <w:p w14:paraId="53615305">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241632CE">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执行数</w:t>
            </w:r>
          </w:p>
          <w:p w14:paraId="025D41A9">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5304296D">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预算执行率</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706434B0">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49E8F3C">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538B2CFF">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指标解释</w:t>
            </w:r>
          </w:p>
        </w:tc>
        <w:tc>
          <w:tcPr>
            <w:tcW w:w="1436" w:type="pct"/>
            <w:tcBorders>
              <w:top w:val="single" w:color="auto" w:sz="4" w:space="0"/>
              <w:left w:val="nil"/>
              <w:bottom w:val="single" w:color="auto" w:sz="4" w:space="0"/>
              <w:right w:val="single" w:color="auto" w:sz="4" w:space="0"/>
            </w:tcBorders>
            <w:noWrap w:val="0"/>
            <w:vAlign w:val="center"/>
          </w:tcPr>
          <w:p w14:paraId="31DE6A6B">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评分标准</w:t>
            </w:r>
          </w:p>
        </w:tc>
      </w:tr>
      <w:tr w14:paraId="14729EF2">
        <w:tblPrEx>
          <w:tblCellMar>
            <w:top w:w="0" w:type="dxa"/>
            <w:left w:w="108" w:type="dxa"/>
            <w:bottom w:w="0" w:type="dxa"/>
            <w:right w:w="108" w:type="dxa"/>
          </w:tblCellMar>
        </w:tblPrEx>
        <w:trPr>
          <w:trHeight w:val="630" w:hRule="atLeast"/>
          <w:jc w:val="center"/>
        </w:trPr>
        <w:tc>
          <w:tcPr>
            <w:tcW w:w="288" w:type="pct"/>
            <w:vMerge w:val="restart"/>
            <w:tcBorders>
              <w:top w:val="nil"/>
              <w:left w:val="single" w:color="auto" w:sz="4" w:space="0"/>
              <w:bottom w:val="single" w:color="000000" w:sz="4" w:space="0"/>
              <w:right w:val="single" w:color="auto" w:sz="4" w:space="0"/>
            </w:tcBorders>
            <w:noWrap w:val="0"/>
            <w:vAlign w:val="center"/>
          </w:tcPr>
          <w:p w14:paraId="20827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4FAAE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资金总体</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4356C13B">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28068.51</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7B3DC041">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16481.37</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45DDBBA1">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58.72%</w:t>
            </w:r>
          </w:p>
        </w:tc>
        <w:tc>
          <w:tcPr>
            <w:tcW w:w="247" w:type="pct"/>
            <w:vMerge w:val="restart"/>
            <w:tcBorders>
              <w:top w:val="single" w:color="auto" w:sz="4" w:space="0"/>
              <w:left w:val="single" w:color="auto" w:sz="4" w:space="0"/>
              <w:bottom w:val="single" w:color="auto" w:sz="4" w:space="0"/>
              <w:right w:val="single" w:color="auto" w:sz="4" w:space="0"/>
            </w:tcBorders>
            <w:noWrap/>
            <w:vAlign w:val="center"/>
          </w:tcPr>
          <w:p w14:paraId="5A88E50A">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20</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00</w:t>
            </w:r>
          </w:p>
        </w:tc>
        <w:tc>
          <w:tcPr>
            <w:tcW w:w="258" w:type="pct"/>
            <w:vMerge w:val="restart"/>
            <w:tcBorders>
              <w:top w:val="single" w:color="auto" w:sz="4" w:space="0"/>
              <w:left w:val="single" w:color="auto" w:sz="4" w:space="0"/>
              <w:bottom w:val="single" w:color="auto" w:sz="4" w:space="0"/>
              <w:right w:val="single" w:color="auto" w:sz="4" w:space="0"/>
            </w:tcBorders>
            <w:noWrap/>
            <w:vAlign w:val="center"/>
          </w:tcPr>
          <w:p w14:paraId="0C9D2F0A">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11.74</w:t>
            </w:r>
          </w:p>
        </w:tc>
        <w:tc>
          <w:tcPr>
            <w:tcW w:w="1172" w:type="pct"/>
            <w:vMerge w:val="restart"/>
            <w:tcBorders>
              <w:top w:val="single" w:color="auto" w:sz="4" w:space="0"/>
              <w:left w:val="single" w:color="auto" w:sz="4" w:space="0"/>
              <w:bottom w:val="single" w:color="auto" w:sz="4" w:space="0"/>
              <w:right w:val="single" w:color="auto" w:sz="4" w:space="0"/>
            </w:tcBorders>
            <w:noWrap w:val="0"/>
            <w:vAlign w:val="center"/>
          </w:tcPr>
          <w:p w14:paraId="402DF87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436" w:type="pct"/>
            <w:vMerge w:val="restart"/>
            <w:tcBorders>
              <w:top w:val="nil"/>
              <w:left w:val="single" w:color="auto" w:sz="4" w:space="0"/>
              <w:bottom w:val="single" w:color="auto" w:sz="4" w:space="0"/>
              <w:right w:val="single" w:color="auto" w:sz="4" w:space="0"/>
            </w:tcBorders>
            <w:noWrap w:val="0"/>
            <w:vAlign w:val="center"/>
          </w:tcPr>
          <w:p w14:paraId="528563B9">
            <w:pPr>
              <w:widowControl/>
              <w:jc w:val="left"/>
              <w:rPr>
                <w:rFonts w:hint="eastAsia" w:ascii="宋体" w:hAnsi="宋体" w:cs="宋体" w:eastAsiaTheme="minorEastAsia"/>
                <w:color w:val="000000"/>
                <w:kern w:val="0"/>
                <w:sz w:val="18"/>
                <w:szCs w:val="18"/>
                <w:lang w:eastAsia="zh-CN"/>
              </w:rPr>
            </w:pPr>
            <w:r>
              <w:rPr>
                <w:rFonts w:hint="eastAsia" w:ascii="宋体" w:hAnsi="宋体" w:cs="宋体"/>
                <w:color w:val="000000"/>
                <w:kern w:val="0"/>
                <w:sz w:val="18"/>
                <w:szCs w:val="18"/>
              </w:rPr>
              <w:t>①得分一档最高不能超过该指标分值上限（20分）。</w:t>
            </w:r>
          </w:p>
          <w:p w14:paraId="0123F08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59BDCDD4">
        <w:tblPrEx>
          <w:tblCellMar>
            <w:top w:w="0" w:type="dxa"/>
            <w:left w:w="108" w:type="dxa"/>
            <w:bottom w:w="0" w:type="dxa"/>
            <w:right w:w="108" w:type="dxa"/>
          </w:tblCellMar>
        </w:tblPrEx>
        <w:trPr>
          <w:trHeight w:val="600"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2A870F8A">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nil"/>
            </w:tcBorders>
            <w:noWrap w:val="0"/>
            <w:vAlign w:val="center"/>
          </w:tcPr>
          <w:p w14:paraId="7DCF8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基本支出</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22F3CAA0">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980.00</w:t>
            </w:r>
          </w:p>
        </w:tc>
        <w:tc>
          <w:tcPr>
            <w:tcW w:w="439" w:type="pct"/>
            <w:tcBorders>
              <w:top w:val="single" w:color="auto" w:sz="4" w:space="0"/>
              <w:left w:val="nil"/>
              <w:bottom w:val="single" w:color="auto" w:sz="4" w:space="0"/>
              <w:right w:val="single" w:color="auto" w:sz="4" w:space="0"/>
            </w:tcBorders>
            <w:noWrap w:val="0"/>
            <w:vAlign w:val="center"/>
          </w:tcPr>
          <w:p w14:paraId="5A272083">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848.42</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7C364B8E">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86.57%</w:t>
            </w:r>
          </w:p>
        </w:tc>
        <w:tc>
          <w:tcPr>
            <w:tcW w:w="247" w:type="pct"/>
            <w:vMerge w:val="continue"/>
            <w:tcBorders>
              <w:top w:val="single" w:color="auto" w:sz="4" w:space="0"/>
              <w:left w:val="single" w:color="auto" w:sz="4" w:space="0"/>
              <w:bottom w:val="single" w:color="auto" w:sz="4" w:space="0"/>
              <w:right w:val="single" w:color="auto" w:sz="4" w:space="0"/>
            </w:tcBorders>
            <w:noWrap w:val="0"/>
            <w:vAlign w:val="center"/>
          </w:tcPr>
          <w:p w14:paraId="196E20E7">
            <w:pPr>
              <w:widowControl/>
              <w:jc w:val="left"/>
              <w:rPr>
                <w:rFonts w:ascii="宋体" w:hAnsi="宋体" w:cs="宋体"/>
                <w:color w:val="000000"/>
                <w:kern w:val="0"/>
                <w:sz w:val="20"/>
                <w:szCs w:val="20"/>
              </w:rPr>
            </w:pPr>
          </w:p>
        </w:tc>
        <w:tc>
          <w:tcPr>
            <w:tcW w:w="258" w:type="pct"/>
            <w:vMerge w:val="continue"/>
            <w:tcBorders>
              <w:top w:val="single" w:color="auto" w:sz="4" w:space="0"/>
              <w:left w:val="nil"/>
              <w:bottom w:val="single" w:color="auto" w:sz="4" w:space="0"/>
              <w:right w:val="nil"/>
            </w:tcBorders>
            <w:noWrap w:val="0"/>
            <w:vAlign w:val="center"/>
          </w:tcPr>
          <w:p w14:paraId="3578CD13">
            <w:pPr>
              <w:widowControl/>
              <w:jc w:val="left"/>
              <w:rPr>
                <w:rFonts w:ascii="宋体" w:hAnsi="宋体" w:cs="宋体"/>
                <w:color w:val="000000"/>
                <w:kern w:val="0"/>
                <w:sz w:val="20"/>
                <w:szCs w:val="20"/>
              </w:rPr>
            </w:pPr>
          </w:p>
        </w:tc>
        <w:tc>
          <w:tcPr>
            <w:tcW w:w="1172" w:type="pct"/>
            <w:vMerge w:val="continue"/>
            <w:tcBorders>
              <w:top w:val="single" w:color="auto" w:sz="4" w:space="0"/>
              <w:left w:val="single" w:color="auto" w:sz="4" w:space="0"/>
              <w:bottom w:val="single" w:color="auto" w:sz="4" w:space="0"/>
              <w:right w:val="single" w:color="auto" w:sz="4" w:space="0"/>
            </w:tcBorders>
            <w:noWrap w:val="0"/>
            <w:vAlign w:val="center"/>
          </w:tcPr>
          <w:p w14:paraId="6ACBEAAC">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090A7F9D">
            <w:pPr>
              <w:widowControl/>
              <w:jc w:val="left"/>
              <w:rPr>
                <w:rFonts w:ascii="宋体" w:hAnsi="宋体" w:cs="宋体"/>
                <w:color w:val="000000"/>
                <w:kern w:val="0"/>
                <w:sz w:val="18"/>
                <w:szCs w:val="18"/>
              </w:rPr>
            </w:pPr>
          </w:p>
        </w:tc>
      </w:tr>
      <w:tr w14:paraId="66D4636C">
        <w:tblPrEx>
          <w:tblCellMar>
            <w:top w:w="0" w:type="dxa"/>
            <w:left w:w="108" w:type="dxa"/>
            <w:bottom w:w="0" w:type="dxa"/>
            <w:right w:w="108" w:type="dxa"/>
          </w:tblCellMar>
        </w:tblPrEx>
        <w:trPr>
          <w:trHeight w:val="615"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671A9B98">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nil"/>
            </w:tcBorders>
            <w:noWrap w:val="0"/>
            <w:vAlign w:val="center"/>
          </w:tcPr>
          <w:p w14:paraId="01FE5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项目支出</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69FCB5EC">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27088.51</w:t>
            </w:r>
          </w:p>
        </w:tc>
        <w:tc>
          <w:tcPr>
            <w:tcW w:w="439" w:type="pct"/>
            <w:tcBorders>
              <w:top w:val="single" w:color="auto" w:sz="4" w:space="0"/>
              <w:left w:val="nil"/>
              <w:bottom w:val="single" w:color="auto" w:sz="4" w:space="0"/>
              <w:right w:val="single" w:color="auto" w:sz="4" w:space="0"/>
            </w:tcBorders>
            <w:noWrap w:val="0"/>
            <w:vAlign w:val="center"/>
          </w:tcPr>
          <w:p w14:paraId="3C58A268">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15632.95</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6F8DE21D">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57.71%</w:t>
            </w:r>
          </w:p>
        </w:tc>
        <w:tc>
          <w:tcPr>
            <w:tcW w:w="247" w:type="pct"/>
            <w:vMerge w:val="continue"/>
            <w:tcBorders>
              <w:top w:val="single" w:color="auto" w:sz="4" w:space="0"/>
              <w:left w:val="single" w:color="auto" w:sz="4" w:space="0"/>
              <w:bottom w:val="single" w:color="auto" w:sz="4" w:space="0"/>
              <w:right w:val="single" w:color="auto" w:sz="4" w:space="0"/>
            </w:tcBorders>
            <w:noWrap w:val="0"/>
            <w:vAlign w:val="center"/>
          </w:tcPr>
          <w:p w14:paraId="383D9D6F">
            <w:pPr>
              <w:widowControl/>
              <w:jc w:val="left"/>
              <w:rPr>
                <w:rFonts w:ascii="宋体" w:hAnsi="宋体" w:cs="宋体"/>
                <w:color w:val="000000"/>
                <w:kern w:val="0"/>
                <w:sz w:val="20"/>
                <w:szCs w:val="20"/>
              </w:rPr>
            </w:pPr>
          </w:p>
        </w:tc>
        <w:tc>
          <w:tcPr>
            <w:tcW w:w="258" w:type="pct"/>
            <w:vMerge w:val="continue"/>
            <w:tcBorders>
              <w:top w:val="single" w:color="auto" w:sz="4" w:space="0"/>
              <w:left w:val="nil"/>
              <w:bottom w:val="single" w:color="auto" w:sz="4" w:space="0"/>
              <w:right w:val="nil"/>
            </w:tcBorders>
            <w:noWrap w:val="0"/>
            <w:vAlign w:val="center"/>
          </w:tcPr>
          <w:p w14:paraId="215EBC51">
            <w:pPr>
              <w:widowControl/>
              <w:jc w:val="left"/>
              <w:rPr>
                <w:rFonts w:ascii="宋体" w:hAnsi="宋体" w:cs="宋体"/>
                <w:color w:val="000000"/>
                <w:kern w:val="0"/>
                <w:sz w:val="20"/>
                <w:szCs w:val="20"/>
              </w:rPr>
            </w:pPr>
          </w:p>
        </w:tc>
        <w:tc>
          <w:tcPr>
            <w:tcW w:w="1172" w:type="pct"/>
            <w:vMerge w:val="continue"/>
            <w:tcBorders>
              <w:top w:val="single" w:color="auto" w:sz="4" w:space="0"/>
              <w:left w:val="single" w:color="auto" w:sz="4" w:space="0"/>
              <w:bottom w:val="single" w:color="auto" w:sz="4" w:space="0"/>
              <w:right w:val="single" w:color="auto" w:sz="4" w:space="0"/>
            </w:tcBorders>
            <w:noWrap w:val="0"/>
            <w:vAlign w:val="center"/>
          </w:tcPr>
          <w:p w14:paraId="6805BD05">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4D86D456">
            <w:pPr>
              <w:widowControl/>
              <w:jc w:val="left"/>
              <w:rPr>
                <w:rFonts w:ascii="宋体" w:hAnsi="宋体" w:cs="宋体"/>
                <w:color w:val="000000"/>
                <w:kern w:val="0"/>
                <w:sz w:val="18"/>
                <w:szCs w:val="18"/>
              </w:rPr>
            </w:pPr>
          </w:p>
        </w:tc>
      </w:tr>
      <w:tr w14:paraId="6676AF7A">
        <w:tblPrEx>
          <w:tblCellMar>
            <w:top w:w="0" w:type="dxa"/>
            <w:left w:w="108" w:type="dxa"/>
            <w:bottom w:w="0" w:type="dxa"/>
            <w:right w:w="108" w:type="dxa"/>
          </w:tblCellMar>
        </w:tblPrEx>
        <w:trPr>
          <w:trHeight w:val="2050"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588AD806">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2D023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w:t>
            </w:r>
          </w:p>
        </w:tc>
        <w:tc>
          <w:tcPr>
            <w:tcW w:w="435" w:type="pct"/>
            <w:tcBorders>
              <w:top w:val="single" w:color="auto" w:sz="4" w:space="0"/>
              <w:left w:val="nil"/>
              <w:bottom w:val="single" w:color="auto" w:sz="4" w:space="0"/>
              <w:right w:val="single" w:color="auto" w:sz="4" w:space="0"/>
            </w:tcBorders>
            <w:noWrap w:val="0"/>
            <w:vAlign w:val="center"/>
          </w:tcPr>
          <w:p w14:paraId="1338A14F">
            <w:pPr>
              <w:widowControl/>
              <w:jc w:val="center"/>
              <w:rPr>
                <w:rFonts w:hint="eastAsia" w:ascii="宋体" w:hAnsi="宋体" w:cs="宋体"/>
                <w:color w:val="000000"/>
                <w:kern w:val="0"/>
                <w:sz w:val="20"/>
                <w:szCs w:val="20"/>
              </w:rPr>
            </w:pPr>
          </w:p>
        </w:tc>
        <w:tc>
          <w:tcPr>
            <w:tcW w:w="439" w:type="pct"/>
            <w:tcBorders>
              <w:top w:val="single" w:color="auto" w:sz="4" w:space="0"/>
              <w:left w:val="nil"/>
              <w:bottom w:val="single" w:color="auto" w:sz="4" w:space="0"/>
              <w:right w:val="single" w:color="auto" w:sz="4" w:space="0"/>
            </w:tcBorders>
            <w:noWrap w:val="0"/>
            <w:vAlign w:val="center"/>
          </w:tcPr>
          <w:p w14:paraId="21F33865">
            <w:pPr>
              <w:widowControl/>
              <w:jc w:val="center"/>
              <w:rPr>
                <w:rFonts w:hint="eastAsia" w:ascii="宋体" w:hAnsi="宋体" w:cs="宋体"/>
                <w:color w:val="000000"/>
                <w:kern w:val="0"/>
                <w:sz w:val="20"/>
                <w:szCs w:val="20"/>
              </w:rPr>
            </w:pPr>
          </w:p>
        </w:tc>
        <w:tc>
          <w:tcPr>
            <w:tcW w:w="352" w:type="pct"/>
            <w:tcBorders>
              <w:top w:val="single" w:color="auto" w:sz="4" w:space="0"/>
              <w:left w:val="single" w:color="auto" w:sz="4" w:space="0"/>
              <w:bottom w:val="single" w:color="auto" w:sz="4" w:space="0"/>
              <w:right w:val="single" w:color="auto" w:sz="4" w:space="0"/>
            </w:tcBorders>
            <w:noWrap w:val="0"/>
            <w:vAlign w:val="center"/>
          </w:tcPr>
          <w:p w14:paraId="6ECFA670">
            <w:pPr>
              <w:widowControl/>
              <w:jc w:val="left"/>
              <w:rPr>
                <w:rFonts w:ascii="宋体" w:hAnsi="宋体" w:cs="宋体"/>
                <w:color w:val="000000"/>
                <w:kern w:val="0"/>
                <w:sz w:val="20"/>
                <w:szCs w:val="20"/>
              </w:rPr>
            </w:pPr>
          </w:p>
        </w:tc>
        <w:tc>
          <w:tcPr>
            <w:tcW w:w="247" w:type="pct"/>
            <w:vMerge w:val="continue"/>
            <w:tcBorders>
              <w:top w:val="single" w:color="auto" w:sz="4" w:space="0"/>
              <w:left w:val="single" w:color="auto" w:sz="4" w:space="0"/>
              <w:bottom w:val="single" w:color="auto" w:sz="4" w:space="0"/>
              <w:right w:val="single" w:color="auto" w:sz="4" w:space="0"/>
            </w:tcBorders>
            <w:noWrap w:val="0"/>
            <w:vAlign w:val="center"/>
          </w:tcPr>
          <w:p w14:paraId="5A37D3EB">
            <w:pPr>
              <w:widowControl/>
              <w:jc w:val="left"/>
              <w:rPr>
                <w:rFonts w:ascii="宋体" w:hAnsi="宋体" w:cs="宋体"/>
                <w:color w:val="000000"/>
                <w:kern w:val="0"/>
                <w:sz w:val="20"/>
                <w:szCs w:val="20"/>
              </w:rPr>
            </w:pPr>
          </w:p>
        </w:tc>
        <w:tc>
          <w:tcPr>
            <w:tcW w:w="258" w:type="pct"/>
            <w:vMerge w:val="continue"/>
            <w:tcBorders>
              <w:top w:val="single" w:color="auto" w:sz="4" w:space="0"/>
              <w:left w:val="nil"/>
              <w:bottom w:val="single" w:color="auto" w:sz="4" w:space="0"/>
              <w:right w:val="nil"/>
            </w:tcBorders>
            <w:noWrap w:val="0"/>
            <w:vAlign w:val="center"/>
          </w:tcPr>
          <w:p w14:paraId="47067EE1">
            <w:pPr>
              <w:widowControl/>
              <w:jc w:val="left"/>
              <w:rPr>
                <w:rFonts w:ascii="宋体" w:hAnsi="宋体" w:cs="宋体"/>
                <w:color w:val="000000"/>
                <w:kern w:val="0"/>
                <w:sz w:val="20"/>
                <w:szCs w:val="20"/>
              </w:rPr>
            </w:pPr>
          </w:p>
        </w:tc>
        <w:tc>
          <w:tcPr>
            <w:tcW w:w="1172" w:type="pct"/>
            <w:vMerge w:val="continue"/>
            <w:tcBorders>
              <w:top w:val="single" w:color="auto" w:sz="4" w:space="0"/>
              <w:left w:val="single" w:color="auto" w:sz="4" w:space="0"/>
              <w:bottom w:val="single" w:color="auto" w:sz="4" w:space="0"/>
              <w:right w:val="single" w:color="auto" w:sz="4" w:space="0"/>
            </w:tcBorders>
            <w:noWrap w:val="0"/>
            <w:vAlign w:val="center"/>
          </w:tcPr>
          <w:p w14:paraId="1E946279">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219AE552">
            <w:pPr>
              <w:widowControl/>
              <w:jc w:val="left"/>
              <w:rPr>
                <w:rFonts w:ascii="宋体" w:hAnsi="宋体" w:cs="宋体"/>
                <w:color w:val="000000"/>
                <w:kern w:val="0"/>
                <w:sz w:val="18"/>
                <w:szCs w:val="18"/>
              </w:rPr>
            </w:pPr>
          </w:p>
        </w:tc>
      </w:tr>
      <w:tr w14:paraId="53D68E08">
        <w:tblPrEx>
          <w:tblCellMar>
            <w:top w:w="0" w:type="dxa"/>
            <w:left w:w="108" w:type="dxa"/>
            <w:bottom w:w="0" w:type="dxa"/>
            <w:right w:w="108" w:type="dxa"/>
          </w:tblCellMar>
        </w:tblPrEx>
        <w:trPr>
          <w:trHeight w:val="569" w:hRule="atLeast"/>
          <w:jc w:val="center"/>
        </w:trPr>
        <w:tc>
          <w:tcPr>
            <w:tcW w:w="5000" w:type="pct"/>
            <w:gridSpan w:val="9"/>
            <w:tcBorders>
              <w:top w:val="nil"/>
              <w:left w:val="single" w:color="auto" w:sz="4" w:space="0"/>
              <w:bottom w:val="single" w:color="auto" w:sz="4" w:space="0"/>
              <w:right w:val="single" w:color="auto" w:sz="4" w:space="0"/>
            </w:tcBorders>
            <w:noWrap w:val="0"/>
            <w:vAlign w:val="center"/>
          </w:tcPr>
          <w:p w14:paraId="15A0B3A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14:paraId="3F358876">
        <w:tblPrEx>
          <w:tblCellMar>
            <w:top w:w="0" w:type="dxa"/>
            <w:left w:w="108" w:type="dxa"/>
            <w:bottom w:w="0" w:type="dxa"/>
            <w:right w:w="108" w:type="dxa"/>
          </w:tblCellMar>
        </w:tblPrEx>
        <w:trPr>
          <w:trHeight w:val="499" w:hRule="atLeast"/>
          <w:jc w:val="center"/>
        </w:trPr>
        <w:tc>
          <w:tcPr>
            <w:tcW w:w="288" w:type="pct"/>
            <w:tcBorders>
              <w:top w:val="single" w:color="auto" w:sz="4" w:space="0"/>
              <w:left w:val="single" w:color="auto" w:sz="4" w:space="0"/>
              <w:bottom w:val="single" w:color="auto" w:sz="4" w:space="0"/>
              <w:right w:val="single" w:color="auto" w:sz="4" w:space="0"/>
            </w:tcBorders>
            <w:noWrap w:val="0"/>
            <w:vAlign w:val="center"/>
          </w:tcPr>
          <w:p w14:paraId="0F9C15C5">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w:t>
            </w:r>
          </w:p>
          <w:p w14:paraId="5A76660A">
            <w:pPr>
              <w:widowControl/>
              <w:jc w:val="center"/>
              <w:rPr>
                <w:rFonts w:hint="eastAsia" w:ascii="宋体" w:hAnsi="宋体" w:cs="宋体"/>
                <w:color w:val="000000"/>
                <w:kern w:val="0"/>
                <w:sz w:val="20"/>
                <w:szCs w:val="20"/>
              </w:rPr>
            </w:pPr>
            <w:r>
              <w:rPr>
                <w:rFonts w:ascii="宋体" w:hAnsi="宋体" w:cs="宋体"/>
                <w:color w:val="000000"/>
                <w:kern w:val="0"/>
                <w:sz w:val="20"/>
                <w:szCs w:val="20"/>
              </w:rPr>
              <w:t>指标</w:t>
            </w:r>
          </w:p>
        </w:tc>
        <w:tc>
          <w:tcPr>
            <w:tcW w:w="369" w:type="pct"/>
            <w:tcBorders>
              <w:top w:val="single" w:color="auto" w:sz="4" w:space="0"/>
              <w:left w:val="nil"/>
              <w:bottom w:val="single" w:color="auto" w:sz="4" w:space="0"/>
              <w:right w:val="single" w:color="auto" w:sz="4" w:space="0"/>
            </w:tcBorders>
            <w:noWrap w:val="0"/>
            <w:vAlign w:val="center"/>
          </w:tcPr>
          <w:p w14:paraId="3CD0CCB7">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w:t>
            </w:r>
          </w:p>
          <w:p w14:paraId="352C31FC">
            <w:pPr>
              <w:widowControl/>
              <w:jc w:val="center"/>
              <w:rPr>
                <w:rFonts w:hint="eastAsia" w:ascii="宋体" w:hAnsi="宋体" w:cs="宋体"/>
                <w:color w:val="000000"/>
                <w:kern w:val="0"/>
                <w:sz w:val="20"/>
                <w:szCs w:val="20"/>
              </w:rPr>
            </w:pPr>
            <w:r>
              <w:rPr>
                <w:rFonts w:ascii="宋体" w:hAnsi="宋体" w:cs="宋体"/>
                <w:color w:val="000000"/>
                <w:kern w:val="0"/>
                <w:sz w:val="20"/>
                <w:szCs w:val="20"/>
              </w:rPr>
              <w:t>指标</w:t>
            </w:r>
            <w:r>
              <w:rPr>
                <w:rFonts w:hint="eastAsia" w:ascii="宋体" w:hAnsi="宋体" w:cs="宋体"/>
                <w:color w:val="000000"/>
                <w:kern w:val="0"/>
                <w:sz w:val="20"/>
                <w:szCs w:val="20"/>
              </w:rPr>
              <w:t>　</w:t>
            </w:r>
          </w:p>
        </w:tc>
        <w:tc>
          <w:tcPr>
            <w:tcW w:w="435" w:type="pct"/>
            <w:tcBorders>
              <w:top w:val="single" w:color="auto" w:sz="4" w:space="0"/>
              <w:left w:val="nil"/>
              <w:bottom w:val="single" w:color="auto" w:sz="4" w:space="0"/>
              <w:right w:val="single" w:color="auto" w:sz="4" w:space="0"/>
            </w:tcBorders>
            <w:noWrap w:val="0"/>
            <w:vAlign w:val="center"/>
          </w:tcPr>
          <w:p w14:paraId="7706D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39" w:type="pct"/>
            <w:tcBorders>
              <w:top w:val="single" w:color="auto" w:sz="4" w:space="0"/>
              <w:left w:val="nil"/>
              <w:bottom w:val="single" w:color="auto" w:sz="4" w:space="0"/>
              <w:right w:val="single" w:color="auto" w:sz="4" w:space="0"/>
            </w:tcBorders>
            <w:noWrap w:val="0"/>
            <w:vAlign w:val="center"/>
          </w:tcPr>
          <w:p w14:paraId="7E60C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指标值</w:t>
            </w:r>
          </w:p>
        </w:tc>
        <w:tc>
          <w:tcPr>
            <w:tcW w:w="352" w:type="pct"/>
            <w:tcBorders>
              <w:top w:val="single" w:color="auto" w:sz="4" w:space="0"/>
              <w:left w:val="nil"/>
              <w:bottom w:val="single" w:color="auto" w:sz="4" w:space="0"/>
              <w:right w:val="single" w:color="auto" w:sz="4" w:space="0"/>
            </w:tcBorders>
            <w:noWrap w:val="0"/>
            <w:vAlign w:val="center"/>
          </w:tcPr>
          <w:p w14:paraId="77DD1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完成值</w:t>
            </w:r>
          </w:p>
        </w:tc>
        <w:tc>
          <w:tcPr>
            <w:tcW w:w="247" w:type="pct"/>
            <w:tcBorders>
              <w:top w:val="single" w:color="auto" w:sz="4" w:space="0"/>
              <w:left w:val="nil"/>
              <w:bottom w:val="single" w:color="auto" w:sz="4" w:space="0"/>
              <w:right w:val="single" w:color="auto" w:sz="4" w:space="0"/>
            </w:tcBorders>
            <w:noWrap w:val="0"/>
            <w:vAlign w:val="center"/>
          </w:tcPr>
          <w:p w14:paraId="1BDD5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58" w:type="pct"/>
            <w:tcBorders>
              <w:top w:val="single" w:color="auto" w:sz="4" w:space="0"/>
              <w:left w:val="nil"/>
              <w:bottom w:val="single" w:color="auto" w:sz="4" w:space="0"/>
              <w:right w:val="nil"/>
            </w:tcBorders>
            <w:noWrap w:val="0"/>
            <w:vAlign w:val="center"/>
          </w:tcPr>
          <w:p w14:paraId="7C8E0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295C4EF4">
            <w:pPr>
              <w:widowControl/>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6B38BD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43C63258">
        <w:tblPrEx>
          <w:tblCellMar>
            <w:top w:w="0" w:type="dxa"/>
            <w:left w:w="108" w:type="dxa"/>
            <w:bottom w:w="0" w:type="dxa"/>
            <w:right w:w="108" w:type="dxa"/>
          </w:tblCellMar>
        </w:tblPrEx>
        <w:trPr>
          <w:trHeight w:val="1196" w:hRule="atLeast"/>
          <w:jc w:val="center"/>
        </w:trPr>
        <w:tc>
          <w:tcPr>
            <w:tcW w:w="288" w:type="pct"/>
            <w:vMerge w:val="restart"/>
            <w:tcBorders>
              <w:top w:val="single" w:color="auto" w:sz="4" w:space="0"/>
              <w:left w:val="single" w:color="auto" w:sz="4" w:space="0"/>
              <w:bottom w:val="single" w:color="auto" w:sz="4" w:space="0"/>
              <w:right w:val="single" w:color="auto" w:sz="4" w:space="0"/>
            </w:tcBorders>
            <w:noWrap w:val="0"/>
            <w:vAlign w:val="center"/>
          </w:tcPr>
          <w:p w14:paraId="206C9AC8">
            <w:pPr>
              <w:widowControl/>
              <w:jc w:val="center"/>
              <w:rPr>
                <w:rFonts w:hint="eastAsia" w:ascii="宋体" w:hAnsi="宋体" w:cs="宋体"/>
                <w:color w:val="000000"/>
                <w:kern w:val="0"/>
                <w:sz w:val="20"/>
                <w:szCs w:val="20"/>
              </w:rPr>
            </w:pPr>
          </w:p>
          <w:p w14:paraId="6B8E854B">
            <w:pPr>
              <w:widowControl/>
              <w:jc w:val="center"/>
              <w:rPr>
                <w:rFonts w:hint="eastAsia" w:ascii="宋体" w:hAnsi="宋体" w:cs="宋体"/>
                <w:color w:val="000000"/>
                <w:kern w:val="0"/>
                <w:sz w:val="20"/>
                <w:szCs w:val="20"/>
              </w:rPr>
            </w:pPr>
          </w:p>
          <w:p w14:paraId="418C5962">
            <w:pPr>
              <w:widowControl/>
              <w:jc w:val="center"/>
              <w:rPr>
                <w:rFonts w:hint="eastAsia" w:ascii="宋体" w:hAnsi="宋体" w:cs="宋体"/>
                <w:color w:val="000000"/>
                <w:kern w:val="0"/>
                <w:sz w:val="20"/>
                <w:szCs w:val="20"/>
              </w:rPr>
            </w:pPr>
          </w:p>
          <w:p w14:paraId="5647F542">
            <w:pPr>
              <w:widowControl/>
              <w:jc w:val="center"/>
              <w:rPr>
                <w:rFonts w:hint="eastAsia" w:ascii="宋体" w:hAnsi="宋体" w:cs="宋体"/>
                <w:color w:val="000000"/>
                <w:kern w:val="0"/>
                <w:sz w:val="20"/>
                <w:szCs w:val="20"/>
              </w:rPr>
            </w:pPr>
          </w:p>
          <w:p w14:paraId="04F25D13">
            <w:pPr>
              <w:widowControl/>
              <w:jc w:val="center"/>
              <w:rPr>
                <w:rFonts w:hint="eastAsia" w:ascii="宋体" w:hAnsi="宋体" w:cs="宋体"/>
                <w:color w:val="000000"/>
                <w:kern w:val="0"/>
                <w:sz w:val="20"/>
                <w:szCs w:val="20"/>
              </w:rPr>
            </w:pPr>
          </w:p>
          <w:p w14:paraId="136D413A">
            <w:pPr>
              <w:widowControl/>
              <w:jc w:val="center"/>
              <w:rPr>
                <w:rFonts w:hint="eastAsia" w:ascii="宋体" w:hAnsi="宋体" w:cs="宋体"/>
                <w:color w:val="000000"/>
                <w:kern w:val="0"/>
                <w:sz w:val="20"/>
                <w:szCs w:val="20"/>
              </w:rPr>
            </w:pPr>
          </w:p>
          <w:p w14:paraId="5A8E6918">
            <w:pPr>
              <w:widowControl/>
              <w:jc w:val="center"/>
              <w:rPr>
                <w:rFonts w:hint="eastAsia" w:ascii="宋体" w:hAnsi="宋体" w:cs="宋体"/>
                <w:color w:val="000000"/>
                <w:kern w:val="0"/>
                <w:sz w:val="20"/>
                <w:szCs w:val="20"/>
              </w:rPr>
            </w:pPr>
          </w:p>
          <w:p w14:paraId="4E43255B">
            <w:pPr>
              <w:widowControl/>
              <w:jc w:val="center"/>
              <w:rPr>
                <w:rFonts w:hint="eastAsia" w:ascii="宋体" w:hAnsi="宋体" w:cs="宋体"/>
                <w:color w:val="000000"/>
                <w:kern w:val="0"/>
                <w:sz w:val="20"/>
                <w:szCs w:val="20"/>
              </w:rPr>
            </w:pPr>
          </w:p>
          <w:p w14:paraId="492E1C33">
            <w:pPr>
              <w:widowControl/>
              <w:jc w:val="center"/>
              <w:rPr>
                <w:rFonts w:hint="eastAsia" w:ascii="宋体" w:hAnsi="宋体" w:cs="宋体"/>
                <w:color w:val="000000"/>
                <w:kern w:val="0"/>
                <w:sz w:val="20"/>
                <w:szCs w:val="20"/>
              </w:rPr>
            </w:pPr>
          </w:p>
          <w:p w14:paraId="207318B0">
            <w:pPr>
              <w:widowControl/>
              <w:jc w:val="center"/>
              <w:rPr>
                <w:rFonts w:hint="eastAsia" w:ascii="宋体" w:hAnsi="宋体" w:cs="宋体"/>
                <w:color w:val="000000"/>
                <w:kern w:val="0"/>
                <w:sz w:val="20"/>
                <w:szCs w:val="20"/>
              </w:rPr>
            </w:pPr>
          </w:p>
          <w:p w14:paraId="35F0A3DF">
            <w:pPr>
              <w:widowControl/>
              <w:jc w:val="center"/>
              <w:rPr>
                <w:rFonts w:hint="eastAsia" w:ascii="宋体" w:hAnsi="宋体" w:cs="宋体"/>
                <w:color w:val="000000"/>
                <w:kern w:val="0"/>
                <w:sz w:val="20"/>
                <w:szCs w:val="20"/>
              </w:rPr>
            </w:pPr>
          </w:p>
          <w:p w14:paraId="4FBF0C8F">
            <w:pPr>
              <w:widowControl/>
              <w:jc w:val="center"/>
              <w:rPr>
                <w:rFonts w:hint="eastAsia" w:ascii="宋体" w:hAnsi="宋体" w:cs="宋体"/>
                <w:color w:val="000000"/>
                <w:kern w:val="0"/>
                <w:sz w:val="20"/>
                <w:szCs w:val="20"/>
              </w:rPr>
            </w:pPr>
          </w:p>
          <w:p w14:paraId="02C2661B">
            <w:pPr>
              <w:widowControl/>
              <w:jc w:val="center"/>
              <w:rPr>
                <w:rFonts w:hint="eastAsia" w:ascii="宋体" w:hAnsi="宋体" w:cs="宋体"/>
                <w:color w:val="000000"/>
                <w:kern w:val="0"/>
                <w:sz w:val="20"/>
                <w:szCs w:val="20"/>
              </w:rPr>
            </w:pPr>
          </w:p>
          <w:p w14:paraId="7DBF0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369" w:type="pct"/>
            <w:vMerge w:val="restart"/>
            <w:tcBorders>
              <w:top w:val="single" w:color="auto" w:sz="4" w:space="0"/>
              <w:left w:val="single" w:color="auto" w:sz="4" w:space="0"/>
              <w:bottom w:val="single" w:color="auto" w:sz="4" w:space="0"/>
              <w:right w:val="single" w:color="auto" w:sz="4" w:space="0"/>
            </w:tcBorders>
            <w:noWrap w:val="0"/>
            <w:vAlign w:val="center"/>
          </w:tcPr>
          <w:p w14:paraId="2DCD3A90">
            <w:pPr>
              <w:widowControl/>
              <w:jc w:val="center"/>
              <w:rPr>
                <w:rFonts w:ascii="宋体" w:hAnsi="宋体" w:cs="宋体"/>
                <w:color w:val="000000"/>
                <w:kern w:val="0"/>
                <w:sz w:val="20"/>
                <w:szCs w:val="20"/>
              </w:rPr>
            </w:pPr>
          </w:p>
          <w:p w14:paraId="7C221D74">
            <w:pPr>
              <w:jc w:val="center"/>
              <w:rPr>
                <w:rFonts w:hint="eastAsia" w:ascii="宋体" w:hAnsi="宋体" w:cs="宋体"/>
                <w:color w:val="000000"/>
                <w:kern w:val="0"/>
                <w:sz w:val="20"/>
                <w:szCs w:val="20"/>
              </w:rPr>
            </w:pPr>
          </w:p>
          <w:p w14:paraId="0772960B">
            <w:pPr>
              <w:jc w:val="center"/>
              <w:rPr>
                <w:rFonts w:hint="eastAsia" w:ascii="宋体" w:hAnsi="宋体" w:cs="宋体"/>
                <w:color w:val="000000"/>
                <w:kern w:val="0"/>
                <w:sz w:val="20"/>
                <w:szCs w:val="20"/>
              </w:rPr>
            </w:pPr>
          </w:p>
          <w:p w14:paraId="5AB29A73">
            <w:pPr>
              <w:jc w:val="center"/>
              <w:rPr>
                <w:rFonts w:hint="eastAsia" w:ascii="宋体" w:hAnsi="宋体" w:cs="宋体"/>
                <w:color w:val="000000"/>
                <w:kern w:val="0"/>
                <w:sz w:val="20"/>
                <w:szCs w:val="20"/>
              </w:rPr>
            </w:pPr>
          </w:p>
          <w:p w14:paraId="76214ADD">
            <w:pPr>
              <w:jc w:val="center"/>
              <w:rPr>
                <w:rFonts w:hint="eastAsia" w:ascii="宋体" w:hAnsi="宋体" w:cs="宋体"/>
                <w:color w:val="000000"/>
                <w:kern w:val="0"/>
                <w:sz w:val="20"/>
                <w:szCs w:val="20"/>
              </w:rPr>
            </w:pPr>
          </w:p>
          <w:p w14:paraId="20E52859">
            <w:pPr>
              <w:jc w:val="center"/>
              <w:rPr>
                <w:rFonts w:hint="eastAsia" w:ascii="宋体" w:hAnsi="宋体" w:cs="宋体"/>
                <w:color w:val="000000"/>
                <w:kern w:val="0"/>
                <w:sz w:val="20"/>
                <w:szCs w:val="20"/>
              </w:rPr>
            </w:pPr>
          </w:p>
          <w:p w14:paraId="5ACC1A73">
            <w:pPr>
              <w:jc w:val="center"/>
              <w:rPr>
                <w:rFonts w:hint="eastAsia" w:ascii="宋体" w:hAnsi="宋体" w:cs="宋体"/>
                <w:color w:val="000000"/>
                <w:kern w:val="0"/>
                <w:sz w:val="20"/>
                <w:szCs w:val="20"/>
              </w:rPr>
            </w:pPr>
          </w:p>
          <w:p w14:paraId="00724F8C">
            <w:pPr>
              <w:jc w:val="center"/>
              <w:rPr>
                <w:rFonts w:hint="eastAsia" w:ascii="宋体" w:hAnsi="宋体" w:cs="宋体"/>
                <w:color w:val="000000"/>
                <w:kern w:val="0"/>
                <w:sz w:val="20"/>
                <w:szCs w:val="20"/>
              </w:rPr>
            </w:pPr>
          </w:p>
          <w:p w14:paraId="19712FAC">
            <w:pPr>
              <w:jc w:val="center"/>
              <w:rPr>
                <w:rFonts w:hint="eastAsia" w:ascii="宋体" w:hAnsi="宋体" w:cs="宋体"/>
                <w:color w:val="000000"/>
                <w:kern w:val="0"/>
                <w:sz w:val="20"/>
                <w:szCs w:val="20"/>
              </w:rPr>
            </w:pPr>
          </w:p>
          <w:p w14:paraId="06C282DA">
            <w:pPr>
              <w:jc w:val="center"/>
              <w:rPr>
                <w:rFonts w:hint="eastAsia" w:ascii="宋体" w:hAnsi="宋体" w:cs="宋体"/>
                <w:color w:val="000000"/>
                <w:kern w:val="0"/>
                <w:sz w:val="20"/>
                <w:szCs w:val="20"/>
              </w:rPr>
            </w:pPr>
            <w:r>
              <w:rPr>
                <w:rFonts w:hint="eastAsia" w:ascii="宋体" w:hAnsi="宋体" w:cs="宋体"/>
                <w:color w:val="000000"/>
                <w:kern w:val="0"/>
                <w:sz w:val="20"/>
                <w:szCs w:val="20"/>
              </w:rPr>
              <w:t>产出（30）</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6187752A">
            <w:pPr>
              <w:widowControl/>
              <w:jc w:val="center"/>
              <w:rPr>
                <w:rFonts w:ascii="宋体" w:hAnsi="宋体" w:cs="宋体"/>
                <w:color w:val="000000"/>
                <w:kern w:val="0"/>
                <w:sz w:val="20"/>
                <w:szCs w:val="20"/>
              </w:rPr>
            </w:pPr>
          </w:p>
          <w:p w14:paraId="18BA21E8">
            <w:pPr>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产出数量</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5AA8FAC1">
            <w:pPr>
              <w:widowControl/>
              <w:jc w:val="center"/>
              <w:rPr>
                <w:rFonts w:ascii="宋体" w:hAnsi="宋体" w:cs="宋体"/>
                <w:color w:val="000000"/>
                <w:kern w:val="0"/>
                <w:sz w:val="20"/>
                <w:szCs w:val="20"/>
              </w:rPr>
            </w:pPr>
          </w:p>
          <w:p w14:paraId="03AB53A9">
            <w:pPr>
              <w:jc w:val="center"/>
              <w:rPr>
                <w:rFonts w:hint="eastAsia" w:ascii="宋体" w:hAnsi="宋体" w:cs="宋体"/>
                <w:color w:val="000000"/>
                <w:kern w:val="0"/>
                <w:sz w:val="20"/>
                <w:szCs w:val="20"/>
              </w:rPr>
            </w:pPr>
            <w:r>
              <w:rPr>
                <w:rFonts w:hint="eastAsia" w:ascii="宋体" w:hAnsi="宋体" w:cs="宋体"/>
                <w:color w:val="000000"/>
                <w:kern w:val="0"/>
                <w:sz w:val="18"/>
                <w:szCs w:val="18"/>
              </w:rPr>
              <w:t>计划完成率</w:t>
            </w:r>
            <w:r>
              <w:rPr>
                <w:rFonts w:hint="eastAsia" w:ascii="宋体" w:hAnsi="宋体" w:cs="宋体"/>
                <w:color w:val="000000"/>
                <w:kern w:val="0"/>
                <w:sz w:val="18"/>
                <w:szCs w:val="18"/>
                <w:lang w:val="en-US" w:eastAsia="zh-CN"/>
              </w:rPr>
              <w:t>100%</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2A8D61E6">
            <w:pPr>
              <w:widowControl/>
              <w:jc w:val="center"/>
              <w:rPr>
                <w:rFonts w:ascii="宋体" w:hAnsi="宋体" w:cs="宋体"/>
                <w:color w:val="000000"/>
                <w:kern w:val="0"/>
                <w:sz w:val="20"/>
                <w:szCs w:val="20"/>
                <w:highlight w:val="none"/>
              </w:rPr>
            </w:pPr>
          </w:p>
          <w:p w14:paraId="6802E9E4">
            <w:pPr>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92.86%</w:t>
            </w:r>
            <w:r>
              <w:rPr>
                <w:rFonts w:hint="eastAsia" w:ascii="宋体" w:hAnsi="宋体" w:cs="宋体"/>
                <w:color w:val="000000"/>
                <w:kern w:val="0"/>
                <w:sz w:val="20"/>
                <w:szCs w:val="20"/>
                <w:highlight w:val="none"/>
              </w:rPr>
              <w:t>　</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368BB583">
            <w:pPr>
              <w:widowControl/>
              <w:jc w:val="center"/>
              <w:rPr>
                <w:rFonts w:ascii="宋体" w:hAnsi="宋体" w:cs="宋体"/>
                <w:color w:val="000000"/>
                <w:kern w:val="0"/>
                <w:sz w:val="20"/>
                <w:szCs w:val="20"/>
                <w:highlight w:val="none"/>
              </w:rPr>
            </w:pPr>
          </w:p>
          <w:p w14:paraId="39720FD5">
            <w:pPr>
              <w:jc w:val="center"/>
              <w:rPr>
                <w:rFonts w:hint="default" w:ascii="宋体" w:hAnsi="宋体" w:cs="宋体" w:eastAsiaTheme="minorEastAsia"/>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8</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8A13088">
            <w:pPr>
              <w:widowControl/>
              <w:jc w:val="center"/>
              <w:rPr>
                <w:rFonts w:ascii="宋体" w:hAnsi="宋体" w:cs="宋体"/>
                <w:color w:val="000000"/>
                <w:kern w:val="0"/>
                <w:sz w:val="20"/>
                <w:szCs w:val="20"/>
                <w:highlight w:val="none"/>
              </w:rPr>
            </w:pPr>
          </w:p>
          <w:p w14:paraId="304194F3">
            <w:pPr>
              <w:jc w:val="center"/>
              <w:rPr>
                <w:rFonts w:hint="default" w:ascii="宋体" w:hAnsi="宋体" w:cs="宋体" w:eastAsiaTheme="minorEastAsia"/>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7.43</w:t>
            </w:r>
          </w:p>
        </w:tc>
        <w:tc>
          <w:tcPr>
            <w:tcW w:w="1172" w:type="pct"/>
            <w:vMerge w:val="restart"/>
            <w:tcBorders>
              <w:top w:val="single" w:color="auto" w:sz="4" w:space="0"/>
              <w:left w:val="single" w:color="auto" w:sz="4" w:space="0"/>
              <w:bottom w:val="single" w:color="auto" w:sz="4" w:space="0"/>
              <w:right w:val="single" w:color="auto" w:sz="4" w:space="0"/>
            </w:tcBorders>
            <w:noWrap w:val="0"/>
            <w:vAlign w:val="center"/>
          </w:tcPr>
          <w:p w14:paraId="5B05C058">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436" w:type="pct"/>
            <w:vMerge w:val="restart"/>
            <w:tcBorders>
              <w:top w:val="single" w:color="auto" w:sz="4" w:space="0"/>
              <w:left w:val="single" w:color="auto" w:sz="4" w:space="0"/>
              <w:bottom w:val="single" w:color="auto" w:sz="4" w:space="0"/>
              <w:right w:val="single" w:color="auto" w:sz="4" w:space="0"/>
            </w:tcBorders>
            <w:noWrap w:val="0"/>
            <w:vAlign w:val="center"/>
          </w:tcPr>
          <w:p w14:paraId="6F018B0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14:paraId="762E24DE">
        <w:tblPrEx>
          <w:tblCellMar>
            <w:top w:w="0" w:type="dxa"/>
            <w:left w:w="108" w:type="dxa"/>
            <w:bottom w:w="0" w:type="dxa"/>
            <w:right w:w="108" w:type="dxa"/>
          </w:tblCellMar>
        </w:tblPrEx>
        <w:trPr>
          <w:trHeight w:val="1130" w:hRule="atLeast"/>
          <w:jc w:val="center"/>
        </w:trPr>
        <w:tc>
          <w:tcPr>
            <w:tcW w:w="288" w:type="pct"/>
            <w:vMerge w:val="continue"/>
            <w:tcBorders>
              <w:top w:val="single" w:color="auto" w:sz="4" w:space="0"/>
              <w:left w:val="single" w:color="auto" w:sz="4" w:space="0"/>
              <w:bottom w:val="single" w:color="000000" w:sz="4" w:space="0"/>
              <w:right w:val="single" w:color="auto" w:sz="4" w:space="0"/>
            </w:tcBorders>
            <w:noWrap w:val="0"/>
            <w:vAlign w:val="center"/>
          </w:tcPr>
          <w:p w14:paraId="4EE4BFF8">
            <w:pPr>
              <w:widowControl/>
              <w:jc w:val="left"/>
              <w:rPr>
                <w:rFonts w:ascii="宋体" w:hAnsi="宋体" w:cs="宋体"/>
                <w:color w:val="000000"/>
                <w:kern w:val="0"/>
                <w:sz w:val="20"/>
                <w:szCs w:val="20"/>
              </w:rPr>
            </w:pPr>
          </w:p>
        </w:tc>
        <w:tc>
          <w:tcPr>
            <w:tcW w:w="369" w:type="pct"/>
            <w:vMerge w:val="continue"/>
            <w:tcBorders>
              <w:top w:val="single" w:color="auto" w:sz="4" w:space="0"/>
              <w:left w:val="single" w:color="auto" w:sz="4" w:space="0"/>
              <w:right w:val="single" w:color="auto" w:sz="4" w:space="0"/>
            </w:tcBorders>
            <w:noWrap w:val="0"/>
            <w:vAlign w:val="center"/>
          </w:tcPr>
          <w:p w14:paraId="204BAC7F">
            <w:pPr>
              <w:widowControl/>
              <w:jc w:val="left"/>
              <w:rPr>
                <w:rFonts w:ascii="宋体" w:hAnsi="宋体" w:cs="宋体"/>
                <w:color w:val="000000"/>
                <w:kern w:val="0"/>
                <w:sz w:val="20"/>
                <w:szCs w:val="20"/>
              </w:rPr>
            </w:pPr>
          </w:p>
        </w:tc>
        <w:tc>
          <w:tcPr>
            <w:tcW w:w="435" w:type="pct"/>
            <w:tcBorders>
              <w:top w:val="single" w:color="auto" w:sz="4" w:space="0"/>
              <w:left w:val="nil"/>
              <w:bottom w:val="single" w:color="auto" w:sz="4" w:space="0"/>
              <w:right w:val="single" w:color="auto" w:sz="4" w:space="0"/>
            </w:tcBorders>
            <w:noWrap w:val="0"/>
            <w:vAlign w:val="center"/>
          </w:tcPr>
          <w:p w14:paraId="3CBD9F6A">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产出质量</w:t>
            </w:r>
          </w:p>
        </w:tc>
        <w:tc>
          <w:tcPr>
            <w:tcW w:w="439" w:type="pct"/>
            <w:tcBorders>
              <w:top w:val="single" w:color="auto" w:sz="4" w:space="0"/>
              <w:left w:val="nil"/>
              <w:bottom w:val="single" w:color="auto" w:sz="4" w:space="0"/>
              <w:right w:val="single" w:color="auto" w:sz="4" w:space="0"/>
            </w:tcBorders>
            <w:noWrap w:val="0"/>
            <w:vAlign w:val="center"/>
          </w:tcPr>
          <w:p w14:paraId="0F64BCDA">
            <w:pPr>
              <w:widowControl/>
              <w:jc w:val="center"/>
              <w:rPr>
                <w:rFonts w:hint="eastAsia" w:ascii="宋体" w:hAnsi="宋体" w:cs="宋体"/>
                <w:color w:val="000000"/>
                <w:kern w:val="0"/>
                <w:sz w:val="20"/>
                <w:szCs w:val="20"/>
              </w:rPr>
            </w:pPr>
            <w:r>
              <w:rPr>
                <w:rFonts w:hint="eastAsia" w:ascii="宋体" w:hAnsi="宋体" w:cs="宋体"/>
                <w:color w:val="000000"/>
                <w:kern w:val="0"/>
                <w:sz w:val="18"/>
                <w:szCs w:val="18"/>
              </w:rPr>
              <w:t>计划完成率</w:t>
            </w:r>
            <w:r>
              <w:rPr>
                <w:rFonts w:hint="eastAsia" w:ascii="宋体" w:hAnsi="宋体" w:cs="宋体"/>
                <w:color w:val="000000"/>
                <w:kern w:val="0"/>
                <w:sz w:val="18"/>
                <w:szCs w:val="18"/>
                <w:lang w:val="en-US" w:eastAsia="zh-CN"/>
              </w:rPr>
              <w:t>100%</w:t>
            </w:r>
            <w:r>
              <w:rPr>
                <w:rFonts w:hint="eastAsia" w:ascii="宋体" w:hAnsi="宋体" w:cs="宋体"/>
                <w:color w:val="000000"/>
                <w:kern w:val="0"/>
                <w:sz w:val="20"/>
                <w:szCs w:val="20"/>
              </w:rPr>
              <w:t>　</w:t>
            </w:r>
          </w:p>
        </w:tc>
        <w:tc>
          <w:tcPr>
            <w:tcW w:w="352" w:type="pct"/>
            <w:tcBorders>
              <w:top w:val="single" w:color="auto" w:sz="4" w:space="0"/>
              <w:left w:val="nil"/>
              <w:bottom w:val="single" w:color="auto" w:sz="4" w:space="0"/>
              <w:right w:val="single" w:color="auto" w:sz="4" w:space="0"/>
            </w:tcBorders>
            <w:noWrap w:val="0"/>
            <w:vAlign w:val="center"/>
          </w:tcPr>
          <w:p w14:paraId="51478773">
            <w:pPr>
              <w:widowControl/>
              <w:jc w:val="center"/>
              <w:rPr>
                <w:rFonts w:hint="eastAsia" w:ascii="宋体" w:hAnsi="宋体" w:cs="宋体"/>
                <w:color w:val="000000"/>
                <w:kern w:val="0"/>
                <w:sz w:val="20"/>
                <w:szCs w:val="20"/>
              </w:rPr>
            </w:pPr>
            <w:r>
              <w:rPr>
                <w:rFonts w:hint="eastAsia" w:ascii="宋体" w:hAnsi="宋体" w:cs="宋体"/>
                <w:color w:val="000000"/>
                <w:kern w:val="0"/>
                <w:sz w:val="18"/>
                <w:szCs w:val="18"/>
                <w:lang w:val="en-US" w:eastAsia="zh-CN"/>
              </w:rPr>
              <w:t>100%　</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4F40BA0D">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258" w:type="pct"/>
            <w:tcBorders>
              <w:top w:val="single" w:color="auto" w:sz="4" w:space="0"/>
              <w:left w:val="nil"/>
              <w:bottom w:val="single" w:color="auto" w:sz="4" w:space="0"/>
              <w:right w:val="nil"/>
            </w:tcBorders>
            <w:noWrap/>
            <w:vAlign w:val="center"/>
          </w:tcPr>
          <w:p w14:paraId="369CE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8</w:t>
            </w:r>
          </w:p>
        </w:tc>
        <w:tc>
          <w:tcPr>
            <w:tcW w:w="1172" w:type="pct"/>
            <w:vMerge w:val="continue"/>
            <w:tcBorders>
              <w:top w:val="single" w:color="auto" w:sz="4" w:space="0"/>
              <w:left w:val="single" w:color="auto" w:sz="4" w:space="0"/>
              <w:bottom w:val="single" w:color="auto" w:sz="4" w:space="0"/>
              <w:right w:val="single" w:color="auto" w:sz="4" w:space="0"/>
            </w:tcBorders>
            <w:noWrap w:val="0"/>
            <w:vAlign w:val="center"/>
          </w:tcPr>
          <w:p w14:paraId="7AF23957">
            <w:pPr>
              <w:widowControl/>
              <w:jc w:val="left"/>
              <w:rPr>
                <w:rFonts w:ascii="宋体" w:hAnsi="宋体" w:cs="宋体"/>
                <w:color w:val="000000"/>
                <w:kern w:val="0"/>
                <w:sz w:val="18"/>
                <w:szCs w:val="18"/>
              </w:rPr>
            </w:pPr>
          </w:p>
        </w:tc>
        <w:tc>
          <w:tcPr>
            <w:tcW w:w="1436" w:type="pct"/>
            <w:vMerge w:val="continue"/>
            <w:tcBorders>
              <w:top w:val="single" w:color="auto" w:sz="4" w:space="0"/>
              <w:left w:val="single" w:color="auto" w:sz="4" w:space="0"/>
              <w:bottom w:val="single" w:color="auto" w:sz="4" w:space="0"/>
              <w:right w:val="single" w:color="auto" w:sz="4" w:space="0"/>
            </w:tcBorders>
            <w:noWrap w:val="0"/>
            <w:vAlign w:val="center"/>
          </w:tcPr>
          <w:p w14:paraId="7DBAEC9D">
            <w:pPr>
              <w:widowControl/>
              <w:jc w:val="left"/>
              <w:rPr>
                <w:rFonts w:ascii="宋体" w:hAnsi="宋体" w:cs="宋体"/>
                <w:color w:val="000000"/>
                <w:kern w:val="0"/>
                <w:sz w:val="18"/>
                <w:szCs w:val="18"/>
              </w:rPr>
            </w:pPr>
          </w:p>
        </w:tc>
      </w:tr>
      <w:tr w14:paraId="0EFFBEB8">
        <w:tblPrEx>
          <w:tblCellMar>
            <w:top w:w="0" w:type="dxa"/>
            <w:left w:w="108" w:type="dxa"/>
            <w:bottom w:w="0" w:type="dxa"/>
            <w:right w:w="108" w:type="dxa"/>
          </w:tblCellMar>
        </w:tblPrEx>
        <w:trPr>
          <w:trHeight w:val="1258"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2DABAD7A">
            <w:pPr>
              <w:widowControl/>
              <w:jc w:val="left"/>
              <w:rPr>
                <w:rFonts w:ascii="宋体" w:hAnsi="宋体" w:cs="宋体"/>
                <w:color w:val="000000"/>
                <w:kern w:val="0"/>
                <w:sz w:val="20"/>
                <w:szCs w:val="20"/>
              </w:rPr>
            </w:pPr>
          </w:p>
        </w:tc>
        <w:tc>
          <w:tcPr>
            <w:tcW w:w="369" w:type="pct"/>
            <w:vMerge w:val="continue"/>
            <w:tcBorders>
              <w:left w:val="single" w:color="auto" w:sz="4" w:space="0"/>
              <w:right w:val="single" w:color="auto" w:sz="4" w:space="0"/>
            </w:tcBorders>
            <w:noWrap w:val="0"/>
            <w:vAlign w:val="center"/>
          </w:tcPr>
          <w:p w14:paraId="6979BB35">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3A569DBF">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产出进度</w:t>
            </w:r>
          </w:p>
        </w:tc>
        <w:tc>
          <w:tcPr>
            <w:tcW w:w="439" w:type="pct"/>
            <w:tcBorders>
              <w:top w:val="nil"/>
              <w:left w:val="nil"/>
              <w:bottom w:val="single" w:color="auto" w:sz="4" w:space="0"/>
              <w:right w:val="single" w:color="auto" w:sz="4" w:space="0"/>
            </w:tcBorders>
            <w:noWrap w:val="0"/>
            <w:vAlign w:val="center"/>
          </w:tcPr>
          <w:p w14:paraId="31A5A6CE">
            <w:pPr>
              <w:widowControl/>
              <w:jc w:val="center"/>
              <w:rPr>
                <w:rFonts w:hint="eastAsia" w:ascii="宋体" w:hAnsi="宋体" w:cs="宋体"/>
                <w:color w:val="000000"/>
                <w:kern w:val="0"/>
                <w:sz w:val="20"/>
                <w:szCs w:val="20"/>
              </w:rPr>
            </w:pPr>
            <w:r>
              <w:rPr>
                <w:rFonts w:hint="eastAsia" w:ascii="宋体" w:hAnsi="宋体" w:cs="宋体"/>
                <w:color w:val="000000"/>
                <w:kern w:val="0"/>
                <w:sz w:val="18"/>
                <w:szCs w:val="18"/>
              </w:rPr>
              <w:t>按时完成率</w:t>
            </w:r>
            <w:r>
              <w:rPr>
                <w:rFonts w:hint="eastAsia" w:ascii="宋体" w:hAnsi="宋体" w:cs="宋体"/>
                <w:color w:val="000000"/>
                <w:kern w:val="0"/>
                <w:sz w:val="18"/>
                <w:szCs w:val="18"/>
                <w:lang w:val="en-US" w:eastAsia="zh-CN"/>
              </w:rPr>
              <w:t>100%</w:t>
            </w:r>
            <w:r>
              <w:rPr>
                <w:rFonts w:hint="eastAsia" w:ascii="宋体" w:hAnsi="宋体" w:cs="宋体"/>
                <w:color w:val="000000"/>
                <w:kern w:val="0"/>
                <w:sz w:val="20"/>
                <w:szCs w:val="20"/>
              </w:rPr>
              <w:t>　</w:t>
            </w:r>
          </w:p>
        </w:tc>
        <w:tc>
          <w:tcPr>
            <w:tcW w:w="352" w:type="pct"/>
            <w:tcBorders>
              <w:top w:val="nil"/>
              <w:left w:val="nil"/>
              <w:bottom w:val="single" w:color="auto" w:sz="4" w:space="0"/>
              <w:right w:val="single" w:color="auto" w:sz="4" w:space="0"/>
            </w:tcBorders>
            <w:noWrap w:val="0"/>
            <w:vAlign w:val="center"/>
          </w:tcPr>
          <w:p w14:paraId="73B6B98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　</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40075F6D">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6</w:t>
            </w:r>
          </w:p>
        </w:tc>
        <w:tc>
          <w:tcPr>
            <w:tcW w:w="258" w:type="pct"/>
            <w:tcBorders>
              <w:top w:val="nil"/>
              <w:left w:val="nil"/>
              <w:bottom w:val="single" w:color="auto" w:sz="4" w:space="0"/>
              <w:right w:val="nil"/>
            </w:tcBorders>
            <w:noWrap/>
            <w:vAlign w:val="center"/>
          </w:tcPr>
          <w:p w14:paraId="0BA64C1B">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6</w:t>
            </w:r>
          </w:p>
        </w:tc>
        <w:tc>
          <w:tcPr>
            <w:tcW w:w="1172" w:type="pct"/>
            <w:vMerge w:val="continue"/>
            <w:tcBorders>
              <w:top w:val="nil"/>
              <w:left w:val="single" w:color="auto" w:sz="4" w:space="0"/>
              <w:bottom w:val="single" w:color="auto" w:sz="4" w:space="0"/>
              <w:right w:val="single" w:color="auto" w:sz="4" w:space="0"/>
            </w:tcBorders>
            <w:noWrap w:val="0"/>
            <w:vAlign w:val="center"/>
          </w:tcPr>
          <w:p w14:paraId="1CCF78C8">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5E76205A">
            <w:pPr>
              <w:widowControl/>
              <w:jc w:val="left"/>
              <w:rPr>
                <w:rFonts w:ascii="宋体" w:hAnsi="宋体" w:cs="宋体"/>
                <w:color w:val="000000"/>
                <w:kern w:val="0"/>
                <w:sz w:val="18"/>
                <w:szCs w:val="18"/>
              </w:rPr>
            </w:pPr>
          </w:p>
        </w:tc>
      </w:tr>
      <w:tr w14:paraId="253CE4EF">
        <w:tblPrEx>
          <w:tblCellMar>
            <w:top w:w="0" w:type="dxa"/>
            <w:left w:w="108" w:type="dxa"/>
            <w:bottom w:w="0" w:type="dxa"/>
            <w:right w:w="108" w:type="dxa"/>
          </w:tblCellMar>
        </w:tblPrEx>
        <w:trPr>
          <w:trHeight w:val="975"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5297E731">
            <w:pPr>
              <w:widowControl/>
              <w:jc w:val="left"/>
              <w:rPr>
                <w:rFonts w:ascii="宋体" w:hAnsi="宋体" w:cs="宋体"/>
                <w:color w:val="000000"/>
                <w:kern w:val="0"/>
                <w:sz w:val="20"/>
                <w:szCs w:val="20"/>
              </w:rPr>
            </w:pPr>
          </w:p>
        </w:tc>
        <w:tc>
          <w:tcPr>
            <w:tcW w:w="369" w:type="pct"/>
            <w:vMerge w:val="continue"/>
            <w:tcBorders>
              <w:left w:val="single" w:color="auto" w:sz="4" w:space="0"/>
              <w:bottom w:val="single" w:color="auto" w:sz="4" w:space="0"/>
              <w:right w:val="single" w:color="auto" w:sz="4" w:space="0"/>
            </w:tcBorders>
            <w:noWrap w:val="0"/>
            <w:vAlign w:val="center"/>
          </w:tcPr>
          <w:p w14:paraId="31E6B339">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60BA48EA">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产出成本</w:t>
            </w:r>
          </w:p>
        </w:tc>
        <w:tc>
          <w:tcPr>
            <w:tcW w:w="439" w:type="pct"/>
            <w:tcBorders>
              <w:top w:val="nil"/>
              <w:left w:val="nil"/>
              <w:bottom w:val="single" w:color="auto" w:sz="4" w:space="0"/>
              <w:right w:val="single" w:color="auto" w:sz="4" w:space="0"/>
            </w:tcBorders>
            <w:noWrap w:val="0"/>
            <w:vAlign w:val="center"/>
          </w:tcPr>
          <w:p w14:paraId="111B2A56">
            <w:pPr>
              <w:widowControl/>
              <w:jc w:val="center"/>
              <w:rPr>
                <w:rFonts w:hint="eastAsia" w:ascii="宋体" w:hAnsi="宋体" w:cs="宋体"/>
                <w:color w:val="000000"/>
                <w:kern w:val="0"/>
                <w:sz w:val="20"/>
                <w:szCs w:val="20"/>
              </w:rPr>
            </w:pPr>
            <w:r>
              <w:rPr>
                <w:rFonts w:hint="default" w:ascii="宋体" w:hAnsi="宋体" w:cs="宋体"/>
                <w:color w:val="000000"/>
                <w:kern w:val="0"/>
                <w:sz w:val="18"/>
                <w:szCs w:val="18"/>
              </w:rPr>
              <w:t>≤</w:t>
            </w:r>
            <w:r>
              <w:rPr>
                <w:rFonts w:hint="eastAsia" w:ascii="宋体" w:hAnsi="宋体" w:cs="宋体"/>
                <w:color w:val="000000"/>
                <w:kern w:val="0"/>
                <w:sz w:val="20"/>
                <w:szCs w:val="20"/>
                <w:lang w:val="en-US" w:eastAsia="zh-CN"/>
              </w:rPr>
              <w:t>28068.51</w:t>
            </w:r>
            <w:r>
              <w:rPr>
                <w:rFonts w:hint="eastAsia" w:ascii="宋体" w:hAnsi="宋体" w:cs="宋体"/>
                <w:color w:val="000000"/>
                <w:kern w:val="0"/>
                <w:sz w:val="18"/>
                <w:szCs w:val="18"/>
                <w:lang w:val="en-US" w:eastAsia="zh-CN"/>
              </w:rPr>
              <w:t>万元</w:t>
            </w:r>
            <w:r>
              <w:rPr>
                <w:rFonts w:hint="eastAsia" w:ascii="宋体" w:hAnsi="宋体" w:cs="宋体"/>
                <w:color w:val="000000"/>
                <w:kern w:val="0"/>
                <w:sz w:val="18"/>
                <w:szCs w:val="18"/>
              </w:rPr>
              <w:t>　</w:t>
            </w:r>
          </w:p>
        </w:tc>
        <w:tc>
          <w:tcPr>
            <w:tcW w:w="352" w:type="pct"/>
            <w:tcBorders>
              <w:top w:val="nil"/>
              <w:left w:val="nil"/>
              <w:bottom w:val="single" w:color="auto" w:sz="4" w:space="0"/>
              <w:right w:val="single" w:color="auto" w:sz="4" w:space="0"/>
            </w:tcBorders>
            <w:noWrap w:val="0"/>
            <w:vAlign w:val="center"/>
          </w:tcPr>
          <w:p w14:paraId="18A96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16481.37万元</w:t>
            </w:r>
            <w:r>
              <w:rPr>
                <w:rFonts w:hint="eastAsia" w:ascii="宋体" w:hAnsi="宋体" w:cs="宋体"/>
                <w:color w:val="000000"/>
                <w:kern w:val="0"/>
                <w:sz w:val="18"/>
                <w:szCs w:val="18"/>
              </w:rPr>
              <w:t>　</w:t>
            </w:r>
            <w:r>
              <w:rPr>
                <w:rFonts w:hint="eastAsia" w:ascii="宋体" w:hAnsi="宋体" w:cs="宋体"/>
                <w:color w:val="000000"/>
                <w:kern w:val="0"/>
                <w:sz w:val="20"/>
                <w:szCs w:val="20"/>
              </w:rPr>
              <w:t>　</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17E749B4">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258" w:type="pct"/>
            <w:tcBorders>
              <w:top w:val="nil"/>
              <w:left w:val="nil"/>
              <w:bottom w:val="single" w:color="auto" w:sz="4" w:space="0"/>
              <w:right w:val="nil"/>
            </w:tcBorders>
            <w:noWrap/>
            <w:vAlign w:val="center"/>
          </w:tcPr>
          <w:p w14:paraId="7A926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8</w:t>
            </w:r>
          </w:p>
        </w:tc>
        <w:tc>
          <w:tcPr>
            <w:tcW w:w="1172" w:type="pct"/>
            <w:vMerge w:val="continue"/>
            <w:tcBorders>
              <w:top w:val="nil"/>
              <w:left w:val="single" w:color="auto" w:sz="4" w:space="0"/>
              <w:bottom w:val="single" w:color="auto" w:sz="4" w:space="0"/>
              <w:right w:val="single" w:color="auto" w:sz="4" w:space="0"/>
            </w:tcBorders>
            <w:noWrap w:val="0"/>
            <w:vAlign w:val="center"/>
          </w:tcPr>
          <w:p w14:paraId="3E7E57D4">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4BD5DA4C">
            <w:pPr>
              <w:widowControl/>
              <w:jc w:val="left"/>
              <w:rPr>
                <w:rFonts w:ascii="宋体" w:hAnsi="宋体" w:cs="宋体"/>
                <w:color w:val="000000"/>
                <w:kern w:val="0"/>
                <w:sz w:val="18"/>
                <w:szCs w:val="18"/>
              </w:rPr>
            </w:pPr>
          </w:p>
        </w:tc>
      </w:tr>
      <w:tr w14:paraId="3C297F3D">
        <w:tblPrEx>
          <w:tblCellMar>
            <w:top w:w="0" w:type="dxa"/>
            <w:left w:w="108" w:type="dxa"/>
            <w:bottom w:w="0" w:type="dxa"/>
            <w:right w:w="108" w:type="dxa"/>
          </w:tblCellMar>
        </w:tblPrEx>
        <w:trPr>
          <w:trHeight w:val="675"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76F852FF">
            <w:pPr>
              <w:widowControl/>
              <w:jc w:val="left"/>
              <w:rPr>
                <w:rFonts w:ascii="宋体" w:hAnsi="宋体" w:cs="宋体"/>
                <w:color w:val="000000"/>
                <w:kern w:val="0"/>
                <w:sz w:val="20"/>
                <w:szCs w:val="20"/>
              </w:rPr>
            </w:pPr>
          </w:p>
        </w:tc>
        <w:tc>
          <w:tcPr>
            <w:tcW w:w="369" w:type="pct"/>
            <w:vMerge w:val="restart"/>
            <w:tcBorders>
              <w:top w:val="nil"/>
              <w:left w:val="single" w:color="auto" w:sz="4" w:space="0"/>
              <w:bottom w:val="single" w:color="auto" w:sz="4" w:space="0"/>
              <w:right w:val="single" w:color="auto" w:sz="4" w:space="0"/>
            </w:tcBorders>
            <w:noWrap w:val="0"/>
            <w:vAlign w:val="center"/>
          </w:tcPr>
          <w:p w14:paraId="08664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效果（30）</w:t>
            </w:r>
          </w:p>
        </w:tc>
        <w:tc>
          <w:tcPr>
            <w:tcW w:w="435" w:type="pct"/>
            <w:tcBorders>
              <w:top w:val="nil"/>
              <w:left w:val="nil"/>
              <w:bottom w:val="single" w:color="auto" w:sz="4" w:space="0"/>
              <w:right w:val="single" w:color="auto" w:sz="4" w:space="0"/>
            </w:tcBorders>
            <w:noWrap w:val="0"/>
            <w:vAlign w:val="center"/>
          </w:tcPr>
          <w:p w14:paraId="68DA438A">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经济效益</w:t>
            </w:r>
          </w:p>
        </w:tc>
        <w:tc>
          <w:tcPr>
            <w:tcW w:w="439" w:type="pct"/>
            <w:tcBorders>
              <w:top w:val="nil"/>
              <w:left w:val="nil"/>
              <w:bottom w:val="single" w:color="auto" w:sz="4" w:space="0"/>
              <w:right w:val="single" w:color="auto" w:sz="4" w:space="0"/>
            </w:tcBorders>
            <w:noWrap w:val="0"/>
            <w:vAlign w:val="center"/>
          </w:tcPr>
          <w:p w14:paraId="597E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nil"/>
              <w:left w:val="nil"/>
              <w:bottom w:val="single" w:color="auto" w:sz="4" w:space="0"/>
              <w:right w:val="single" w:color="auto" w:sz="4" w:space="0"/>
            </w:tcBorders>
            <w:noWrap w:val="0"/>
            <w:vAlign w:val="center"/>
          </w:tcPr>
          <w:p w14:paraId="15D83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ign w:val="center"/>
          </w:tcPr>
          <w:p w14:paraId="04880AC1">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5</w:t>
            </w:r>
          </w:p>
        </w:tc>
        <w:tc>
          <w:tcPr>
            <w:tcW w:w="258" w:type="pct"/>
            <w:tcBorders>
              <w:top w:val="nil"/>
              <w:left w:val="nil"/>
              <w:bottom w:val="single" w:color="auto" w:sz="4" w:space="0"/>
              <w:right w:val="nil"/>
            </w:tcBorders>
            <w:noWrap/>
            <w:vAlign w:val="center"/>
          </w:tcPr>
          <w:p w14:paraId="44BAC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　</w:t>
            </w:r>
          </w:p>
        </w:tc>
        <w:tc>
          <w:tcPr>
            <w:tcW w:w="1172" w:type="pct"/>
            <w:vMerge w:val="restart"/>
            <w:tcBorders>
              <w:top w:val="nil"/>
              <w:left w:val="single" w:color="auto" w:sz="4" w:space="0"/>
              <w:bottom w:val="single" w:color="auto" w:sz="4" w:space="0"/>
              <w:right w:val="single" w:color="auto" w:sz="4" w:space="0"/>
            </w:tcBorders>
            <w:noWrap w:val="0"/>
            <w:vAlign w:val="center"/>
          </w:tcPr>
          <w:p w14:paraId="52F1DEB4">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436" w:type="pct"/>
            <w:vMerge w:val="restart"/>
            <w:tcBorders>
              <w:top w:val="nil"/>
              <w:left w:val="single" w:color="auto" w:sz="4" w:space="0"/>
              <w:bottom w:val="single" w:color="auto" w:sz="4" w:space="0"/>
              <w:right w:val="single" w:color="auto" w:sz="4" w:space="0"/>
            </w:tcBorders>
            <w:noWrap w:val="0"/>
            <w:vAlign w:val="center"/>
          </w:tcPr>
          <w:p w14:paraId="177B1F1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14:paraId="1958C9E3">
        <w:tblPrEx>
          <w:tblCellMar>
            <w:top w:w="0" w:type="dxa"/>
            <w:left w:w="108" w:type="dxa"/>
            <w:bottom w:w="0" w:type="dxa"/>
            <w:right w:w="108" w:type="dxa"/>
          </w:tblCellMar>
        </w:tblPrEx>
        <w:trPr>
          <w:trHeight w:val="630"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3BA370BA">
            <w:pPr>
              <w:widowControl/>
              <w:jc w:val="left"/>
              <w:rPr>
                <w:rFonts w:ascii="宋体" w:hAnsi="宋体" w:cs="宋体"/>
                <w:color w:val="000000"/>
                <w:kern w:val="0"/>
                <w:sz w:val="20"/>
                <w:szCs w:val="20"/>
              </w:rPr>
            </w:pPr>
          </w:p>
        </w:tc>
        <w:tc>
          <w:tcPr>
            <w:tcW w:w="369" w:type="pct"/>
            <w:vMerge w:val="continue"/>
            <w:tcBorders>
              <w:top w:val="nil"/>
              <w:left w:val="single" w:color="auto" w:sz="4" w:space="0"/>
              <w:bottom w:val="single" w:color="auto" w:sz="4" w:space="0"/>
              <w:right w:val="single" w:color="auto" w:sz="4" w:space="0"/>
            </w:tcBorders>
            <w:noWrap w:val="0"/>
            <w:vAlign w:val="center"/>
          </w:tcPr>
          <w:p w14:paraId="4C4A6C65">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2C17F3CC">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社会效益</w:t>
            </w:r>
          </w:p>
        </w:tc>
        <w:tc>
          <w:tcPr>
            <w:tcW w:w="439" w:type="pct"/>
            <w:tcBorders>
              <w:top w:val="nil"/>
              <w:left w:val="nil"/>
              <w:bottom w:val="single" w:color="auto" w:sz="4" w:space="0"/>
              <w:right w:val="single" w:color="auto" w:sz="4" w:space="0"/>
            </w:tcBorders>
            <w:noWrap w:val="0"/>
            <w:vAlign w:val="center"/>
          </w:tcPr>
          <w:p w14:paraId="0289C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nil"/>
              <w:left w:val="nil"/>
              <w:bottom w:val="single" w:color="auto" w:sz="4" w:space="0"/>
              <w:right w:val="single" w:color="auto" w:sz="4" w:space="0"/>
            </w:tcBorders>
            <w:noWrap w:val="0"/>
            <w:vAlign w:val="center"/>
          </w:tcPr>
          <w:p w14:paraId="0C411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057B8A44">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258" w:type="pct"/>
            <w:tcBorders>
              <w:top w:val="nil"/>
              <w:left w:val="nil"/>
              <w:bottom w:val="single" w:color="auto" w:sz="4" w:space="0"/>
              <w:right w:val="nil"/>
            </w:tcBorders>
            <w:noWrap/>
            <w:vAlign w:val="center"/>
          </w:tcPr>
          <w:p w14:paraId="5D076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8</w:t>
            </w:r>
            <w:r>
              <w:rPr>
                <w:rFonts w:hint="eastAsia" w:ascii="宋体" w:hAnsi="宋体" w:cs="宋体"/>
                <w:color w:val="000000"/>
                <w:kern w:val="0"/>
                <w:sz w:val="20"/>
                <w:szCs w:val="20"/>
              </w:rPr>
              <w:t>　</w:t>
            </w:r>
          </w:p>
        </w:tc>
        <w:tc>
          <w:tcPr>
            <w:tcW w:w="1172" w:type="pct"/>
            <w:vMerge w:val="continue"/>
            <w:tcBorders>
              <w:top w:val="nil"/>
              <w:left w:val="single" w:color="auto" w:sz="4" w:space="0"/>
              <w:bottom w:val="single" w:color="auto" w:sz="4" w:space="0"/>
              <w:right w:val="single" w:color="auto" w:sz="4" w:space="0"/>
            </w:tcBorders>
            <w:noWrap w:val="0"/>
            <w:vAlign w:val="center"/>
          </w:tcPr>
          <w:p w14:paraId="10500A5F">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5963DBFB">
            <w:pPr>
              <w:widowControl/>
              <w:jc w:val="left"/>
              <w:rPr>
                <w:rFonts w:ascii="宋体" w:hAnsi="宋体" w:cs="宋体"/>
                <w:color w:val="000000"/>
                <w:kern w:val="0"/>
                <w:sz w:val="18"/>
                <w:szCs w:val="18"/>
              </w:rPr>
            </w:pPr>
          </w:p>
        </w:tc>
      </w:tr>
      <w:tr w14:paraId="49F70E7B">
        <w:tblPrEx>
          <w:tblCellMar>
            <w:top w:w="0" w:type="dxa"/>
            <w:left w:w="108" w:type="dxa"/>
            <w:bottom w:w="0" w:type="dxa"/>
            <w:right w:w="108" w:type="dxa"/>
          </w:tblCellMar>
        </w:tblPrEx>
        <w:trPr>
          <w:trHeight w:val="690" w:hRule="atLeast"/>
          <w:jc w:val="center"/>
        </w:trPr>
        <w:tc>
          <w:tcPr>
            <w:tcW w:w="288" w:type="pct"/>
            <w:vMerge w:val="continue"/>
            <w:tcBorders>
              <w:top w:val="nil"/>
              <w:left w:val="single" w:color="auto" w:sz="4" w:space="0"/>
              <w:bottom w:val="single" w:color="000000" w:sz="4" w:space="0"/>
              <w:right w:val="single" w:color="auto" w:sz="4" w:space="0"/>
            </w:tcBorders>
            <w:noWrap w:val="0"/>
            <w:vAlign w:val="center"/>
          </w:tcPr>
          <w:p w14:paraId="59D3D73F">
            <w:pPr>
              <w:widowControl/>
              <w:jc w:val="left"/>
              <w:rPr>
                <w:rFonts w:ascii="宋体" w:hAnsi="宋体" w:cs="宋体"/>
                <w:color w:val="000000"/>
                <w:kern w:val="0"/>
                <w:sz w:val="20"/>
                <w:szCs w:val="20"/>
              </w:rPr>
            </w:pPr>
          </w:p>
        </w:tc>
        <w:tc>
          <w:tcPr>
            <w:tcW w:w="369" w:type="pct"/>
            <w:vMerge w:val="continue"/>
            <w:tcBorders>
              <w:top w:val="nil"/>
              <w:left w:val="single" w:color="auto" w:sz="4" w:space="0"/>
              <w:bottom w:val="single" w:color="auto" w:sz="4" w:space="0"/>
              <w:right w:val="single" w:color="auto" w:sz="4" w:space="0"/>
            </w:tcBorders>
            <w:noWrap w:val="0"/>
            <w:vAlign w:val="center"/>
          </w:tcPr>
          <w:p w14:paraId="2E0E73F7">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4BA49906">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环境效益</w:t>
            </w:r>
          </w:p>
        </w:tc>
        <w:tc>
          <w:tcPr>
            <w:tcW w:w="439" w:type="pct"/>
            <w:tcBorders>
              <w:top w:val="nil"/>
              <w:left w:val="nil"/>
              <w:bottom w:val="single" w:color="auto" w:sz="4" w:space="0"/>
              <w:right w:val="single" w:color="auto" w:sz="4" w:space="0"/>
            </w:tcBorders>
            <w:noWrap w:val="0"/>
            <w:vAlign w:val="center"/>
          </w:tcPr>
          <w:p w14:paraId="71BDD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nil"/>
              <w:left w:val="nil"/>
              <w:bottom w:val="single" w:color="auto" w:sz="4" w:space="0"/>
              <w:right w:val="single" w:color="auto" w:sz="4" w:space="0"/>
            </w:tcBorders>
            <w:noWrap w:val="0"/>
            <w:vAlign w:val="center"/>
          </w:tcPr>
          <w:p w14:paraId="7A28C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551D5F89">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258" w:type="pct"/>
            <w:tcBorders>
              <w:top w:val="nil"/>
              <w:left w:val="nil"/>
              <w:bottom w:val="single" w:color="auto" w:sz="4" w:space="0"/>
              <w:right w:val="nil"/>
            </w:tcBorders>
            <w:noWrap/>
            <w:vAlign w:val="center"/>
          </w:tcPr>
          <w:p w14:paraId="1B270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　</w:t>
            </w:r>
          </w:p>
        </w:tc>
        <w:tc>
          <w:tcPr>
            <w:tcW w:w="1172" w:type="pct"/>
            <w:vMerge w:val="continue"/>
            <w:tcBorders>
              <w:top w:val="nil"/>
              <w:left w:val="single" w:color="auto" w:sz="4" w:space="0"/>
              <w:bottom w:val="single" w:color="auto" w:sz="4" w:space="0"/>
              <w:right w:val="single" w:color="auto" w:sz="4" w:space="0"/>
            </w:tcBorders>
            <w:noWrap w:val="0"/>
            <w:vAlign w:val="center"/>
          </w:tcPr>
          <w:p w14:paraId="70FC27BC">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2065269F">
            <w:pPr>
              <w:widowControl/>
              <w:jc w:val="left"/>
              <w:rPr>
                <w:rFonts w:ascii="宋体" w:hAnsi="宋体" w:cs="宋体"/>
                <w:color w:val="000000"/>
                <w:kern w:val="0"/>
                <w:sz w:val="18"/>
                <w:szCs w:val="18"/>
              </w:rPr>
            </w:pPr>
          </w:p>
        </w:tc>
      </w:tr>
      <w:tr w14:paraId="35EED542">
        <w:tblPrEx>
          <w:tblCellMar>
            <w:top w:w="0" w:type="dxa"/>
            <w:left w:w="108" w:type="dxa"/>
            <w:bottom w:w="0" w:type="dxa"/>
            <w:right w:w="108" w:type="dxa"/>
          </w:tblCellMar>
        </w:tblPrEx>
        <w:trPr>
          <w:trHeight w:val="675" w:hRule="atLeast"/>
          <w:jc w:val="center"/>
        </w:trPr>
        <w:tc>
          <w:tcPr>
            <w:tcW w:w="288" w:type="pct"/>
            <w:vMerge w:val="continue"/>
            <w:tcBorders>
              <w:top w:val="nil"/>
              <w:left w:val="single" w:color="auto" w:sz="4" w:space="0"/>
              <w:bottom w:val="single" w:color="auto" w:sz="4" w:space="0"/>
              <w:right w:val="single" w:color="auto" w:sz="4" w:space="0"/>
            </w:tcBorders>
            <w:noWrap w:val="0"/>
            <w:vAlign w:val="center"/>
          </w:tcPr>
          <w:p w14:paraId="1C09472F">
            <w:pPr>
              <w:widowControl/>
              <w:jc w:val="left"/>
              <w:rPr>
                <w:rFonts w:ascii="宋体" w:hAnsi="宋体" w:cs="宋体"/>
                <w:color w:val="000000"/>
                <w:kern w:val="0"/>
                <w:sz w:val="20"/>
                <w:szCs w:val="20"/>
              </w:rPr>
            </w:pPr>
          </w:p>
        </w:tc>
        <w:tc>
          <w:tcPr>
            <w:tcW w:w="369" w:type="pct"/>
            <w:vMerge w:val="continue"/>
            <w:tcBorders>
              <w:top w:val="nil"/>
              <w:left w:val="single" w:color="auto" w:sz="4" w:space="0"/>
              <w:bottom w:val="single" w:color="auto" w:sz="4" w:space="0"/>
              <w:right w:val="single" w:color="auto" w:sz="4" w:space="0"/>
            </w:tcBorders>
            <w:noWrap w:val="0"/>
            <w:vAlign w:val="center"/>
          </w:tcPr>
          <w:p w14:paraId="7EDFD4C7">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3AD12B98">
            <w:pPr>
              <w:widowControl/>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可持续影响</w:t>
            </w:r>
          </w:p>
        </w:tc>
        <w:tc>
          <w:tcPr>
            <w:tcW w:w="439" w:type="pct"/>
            <w:tcBorders>
              <w:top w:val="nil"/>
              <w:left w:val="nil"/>
              <w:bottom w:val="single" w:color="auto" w:sz="4" w:space="0"/>
              <w:right w:val="single" w:color="auto" w:sz="4" w:space="0"/>
            </w:tcBorders>
            <w:noWrap w:val="0"/>
            <w:vAlign w:val="center"/>
          </w:tcPr>
          <w:p w14:paraId="0E93B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nil"/>
              <w:left w:val="nil"/>
              <w:bottom w:val="single" w:color="auto" w:sz="4" w:space="0"/>
              <w:right w:val="single" w:color="auto" w:sz="4" w:space="0"/>
            </w:tcBorders>
            <w:noWrap w:val="0"/>
            <w:vAlign w:val="center"/>
          </w:tcPr>
          <w:p w14:paraId="7C712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68DF214B">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w:t>
            </w:r>
          </w:p>
        </w:tc>
        <w:tc>
          <w:tcPr>
            <w:tcW w:w="258" w:type="pct"/>
            <w:tcBorders>
              <w:top w:val="nil"/>
              <w:left w:val="nil"/>
              <w:bottom w:val="single" w:color="auto" w:sz="4" w:space="0"/>
              <w:right w:val="nil"/>
            </w:tcBorders>
            <w:noWrap/>
            <w:vAlign w:val="center"/>
          </w:tcPr>
          <w:p w14:paraId="1F0FDF57">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7</w:t>
            </w:r>
          </w:p>
        </w:tc>
        <w:tc>
          <w:tcPr>
            <w:tcW w:w="1172" w:type="pct"/>
            <w:vMerge w:val="continue"/>
            <w:tcBorders>
              <w:top w:val="nil"/>
              <w:left w:val="single" w:color="auto" w:sz="4" w:space="0"/>
              <w:bottom w:val="single" w:color="auto" w:sz="4" w:space="0"/>
              <w:right w:val="single" w:color="auto" w:sz="4" w:space="0"/>
            </w:tcBorders>
            <w:noWrap w:val="0"/>
            <w:vAlign w:val="center"/>
          </w:tcPr>
          <w:p w14:paraId="3D49C24E">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34A054FA">
            <w:pPr>
              <w:widowControl/>
              <w:jc w:val="left"/>
              <w:rPr>
                <w:rFonts w:ascii="宋体" w:hAnsi="宋体" w:cs="宋体"/>
                <w:color w:val="000000"/>
                <w:kern w:val="0"/>
                <w:sz w:val="18"/>
                <w:szCs w:val="18"/>
              </w:rPr>
            </w:pPr>
          </w:p>
        </w:tc>
      </w:tr>
      <w:tr w14:paraId="160ED1AC">
        <w:tblPrEx>
          <w:tblCellMar>
            <w:top w:w="0" w:type="dxa"/>
            <w:left w:w="108" w:type="dxa"/>
            <w:bottom w:w="0" w:type="dxa"/>
            <w:right w:w="108" w:type="dxa"/>
          </w:tblCellMar>
        </w:tblPrEx>
        <w:trPr>
          <w:trHeight w:val="675" w:hRule="atLeast"/>
          <w:jc w:val="center"/>
        </w:trPr>
        <w:tc>
          <w:tcPr>
            <w:tcW w:w="288" w:type="pct"/>
            <w:vMerge w:val="continue"/>
            <w:tcBorders>
              <w:top w:val="nil"/>
              <w:left w:val="single" w:color="auto" w:sz="4" w:space="0"/>
              <w:bottom w:val="single" w:color="auto" w:sz="4" w:space="0"/>
              <w:right w:val="single" w:color="auto" w:sz="4" w:space="0"/>
            </w:tcBorders>
            <w:noWrap w:val="0"/>
            <w:vAlign w:val="center"/>
          </w:tcPr>
          <w:p w14:paraId="5DF8AD21">
            <w:pPr>
              <w:widowControl/>
              <w:jc w:val="left"/>
              <w:rPr>
                <w:rFonts w:ascii="宋体" w:hAnsi="宋体" w:cs="宋体"/>
                <w:color w:val="000000"/>
                <w:kern w:val="0"/>
                <w:sz w:val="20"/>
                <w:szCs w:val="20"/>
              </w:rPr>
            </w:pPr>
          </w:p>
        </w:tc>
        <w:tc>
          <w:tcPr>
            <w:tcW w:w="369" w:type="pct"/>
            <w:vMerge w:val="continue"/>
            <w:tcBorders>
              <w:top w:val="nil"/>
              <w:left w:val="single" w:color="auto" w:sz="4" w:space="0"/>
              <w:bottom w:val="single" w:color="auto" w:sz="4" w:space="0"/>
              <w:right w:val="single" w:color="auto" w:sz="4" w:space="0"/>
            </w:tcBorders>
            <w:noWrap w:val="0"/>
            <w:vAlign w:val="center"/>
          </w:tcPr>
          <w:p w14:paraId="1BF21104">
            <w:pPr>
              <w:widowControl/>
              <w:jc w:val="left"/>
              <w:rPr>
                <w:rFonts w:ascii="宋体" w:hAnsi="宋体" w:cs="宋体"/>
                <w:color w:val="000000"/>
                <w:kern w:val="0"/>
                <w:sz w:val="20"/>
                <w:szCs w:val="20"/>
              </w:rPr>
            </w:pPr>
          </w:p>
        </w:tc>
        <w:tc>
          <w:tcPr>
            <w:tcW w:w="435" w:type="pct"/>
            <w:tcBorders>
              <w:top w:val="nil"/>
              <w:left w:val="nil"/>
              <w:bottom w:val="single" w:color="auto" w:sz="4" w:space="0"/>
              <w:right w:val="single" w:color="auto" w:sz="4" w:space="0"/>
            </w:tcBorders>
            <w:noWrap w:val="0"/>
            <w:vAlign w:val="center"/>
          </w:tcPr>
          <w:p w14:paraId="1B18866C">
            <w:pPr>
              <w:widowControl/>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服务对象满意度</w:t>
            </w:r>
          </w:p>
        </w:tc>
        <w:tc>
          <w:tcPr>
            <w:tcW w:w="439" w:type="pct"/>
            <w:tcBorders>
              <w:top w:val="nil"/>
              <w:left w:val="nil"/>
              <w:bottom w:val="single" w:color="auto" w:sz="4" w:space="0"/>
              <w:right w:val="single" w:color="auto" w:sz="4" w:space="0"/>
            </w:tcBorders>
            <w:noWrap w:val="0"/>
            <w:vAlign w:val="center"/>
          </w:tcPr>
          <w:p w14:paraId="453F7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nil"/>
              <w:left w:val="nil"/>
              <w:bottom w:val="single" w:color="auto" w:sz="4" w:space="0"/>
              <w:right w:val="single" w:color="auto" w:sz="4" w:space="0"/>
            </w:tcBorders>
            <w:noWrap w:val="0"/>
            <w:vAlign w:val="center"/>
          </w:tcPr>
          <w:p w14:paraId="365FF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12BCD60E">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258" w:type="pct"/>
            <w:tcBorders>
              <w:top w:val="nil"/>
              <w:left w:val="nil"/>
              <w:bottom w:val="single" w:color="auto" w:sz="4" w:space="0"/>
              <w:right w:val="nil"/>
            </w:tcBorders>
            <w:noWrap/>
            <w:vAlign w:val="center"/>
          </w:tcPr>
          <w:p w14:paraId="42438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　</w:t>
            </w:r>
          </w:p>
        </w:tc>
        <w:tc>
          <w:tcPr>
            <w:tcW w:w="1172" w:type="pct"/>
            <w:vMerge w:val="continue"/>
            <w:tcBorders>
              <w:top w:val="nil"/>
              <w:left w:val="single" w:color="auto" w:sz="4" w:space="0"/>
              <w:bottom w:val="single" w:color="auto" w:sz="4" w:space="0"/>
              <w:right w:val="single" w:color="auto" w:sz="4" w:space="0"/>
            </w:tcBorders>
            <w:noWrap w:val="0"/>
            <w:vAlign w:val="center"/>
          </w:tcPr>
          <w:p w14:paraId="56DEB88D">
            <w:pPr>
              <w:widowControl/>
              <w:jc w:val="left"/>
              <w:rPr>
                <w:rFonts w:ascii="宋体" w:hAnsi="宋体" w:cs="宋体"/>
                <w:color w:val="000000"/>
                <w:kern w:val="0"/>
                <w:sz w:val="18"/>
                <w:szCs w:val="18"/>
              </w:rPr>
            </w:pPr>
          </w:p>
        </w:tc>
        <w:tc>
          <w:tcPr>
            <w:tcW w:w="1436" w:type="pct"/>
            <w:vMerge w:val="continue"/>
            <w:tcBorders>
              <w:top w:val="nil"/>
              <w:left w:val="single" w:color="auto" w:sz="4" w:space="0"/>
              <w:bottom w:val="single" w:color="auto" w:sz="4" w:space="0"/>
              <w:right w:val="single" w:color="auto" w:sz="4" w:space="0"/>
            </w:tcBorders>
            <w:noWrap w:val="0"/>
            <w:vAlign w:val="center"/>
          </w:tcPr>
          <w:p w14:paraId="34899E1A">
            <w:pPr>
              <w:widowControl/>
              <w:jc w:val="left"/>
              <w:rPr>
                <w:rFonts w:ascii="宋体" w:hAnsi="宋体" w:cs="宋体"/>
                <w:color w:val="000000"/>
                <w:kern w:val="0"/>
                <w:sz w:val="18"/>
                <w:szCs w:val="18"/>
              </w:rPr>
            </w:pPr>
          </w:p>
        </w:tc>
      </w:tr>
      <w:tr w14:paraId="2E4E8DC3">
        <w:tblPrEx>
          <w:tblCellMar>
            <w:top w:w="0" w:type="dxa"/>
            <w:left w:w="108" w:type="dxa"/>
            <w:bottom w:w="0" w:type="dxa"/>
            <w:right w:w="108" w:type="dxa"/>
          </w:tblCellMar>
        </w:tblPrEx>
        <w:trPr>
          <w:trHeight w:val="699"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14:paraId="1F1F893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14:paraId="615715A2">
        <w:tblPrEx>
          <w:tblCellMar>
            <w:top w:w="0" w:type="dxa"/>
            <w:left w:w="108" w:type="dxa"/>
            <w:bottom w:w="0" w:type="dxa"/>
            <w:right w:w="108" w:type="dxa"/>
          </w:tblCellMar>
        </w:tblPrEx>
        <w:trPr>
          <w:trHeight w:val="702" w:hRule="atLeast"/>
          <w:jc w:val="center"/>
        </w:trPr>
        <w:tc>
          <w:tcPr>
            <w:tcW w:w="288" w:type="pct"/>
            <w:tcBorders>
              <w:top w:val="single" w:color="auto" w:sz="4" w:space="0"/>
              <w:left w:val="single" w:color="auto" w:sz="4" w:space="0"/>
              <w:bottom w:val="single" w:color="auto" w:sz="4" w:space="0"/>
              <w:right w:val="single" w:color="auto" w:sz="4" w:space="0"/>
            </w:tcBorders>
            <w:noWrap w:val="0"/>
            <w:vAlign w:val="center"/>
          </w:tcPr>
          <w:p w14:paraId="2F7B14B0">
            <w:pPr>
              <w:keepNext w:val="0"/>
              <w:keepLines w:val="0"/>
              <w:pageBreakBefore w:val="0"/>
              <w:widowControl/>
              <w:kinsoku/>
              <w:wordWrap/>
              <w:overflowPunct/>
              <w:topLinePunct w:val="0"/>
              <w:autoSpaceDE/>
              <w:autoSpaceDN/>
              <w:bidi w:val="0"/>
              <w:adjustRightInd w:val="0"/>
              <w:snapToGrid w:val="0"/>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w:t>
            </w:r>
          </w:p>
          <w:p w14:paraId="7A74FE99">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ascii="宋体" w:hAnsi="宋体" w:cs="宋体"/>
                <w:color w:val="000000"/>
                <w:kern w:val="0"/>
                <w:sz w:val="20"/>
                <w:szCs w:val="20"/>
              </w:rPr>
              <w:t>指标</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592E1B9E">
            <w:pPr>
              <w:keepNext w:val="0"/>
              <w:keepLines w:val="0"/>
              <w:pageBreakBefore w:val="0"/>
              <w:widowControl/>
              <w:kinsoku/>
              <w:wordWrap/>
              <w:overflowPunct/>
              <w:topLinePunct w:val="0"/>
              <w:autoSpaceDE/>
              <w:autoSpaceDN/>
              <w:bidi w:val="0"/>
              <w:adjustRightInd w:val="0"/>
              <w:snapToGrid w:val="0"/>
              <w:jc w:val="center"/>
              <w:textAlignment w:val="auto"/>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w:t>
            </w:r>
          </w:p>
          <w:p w14:paraId="67274053">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ascii="宋体" w:hAnsi="宋体" w:cs="宋体"/>
                <w:color w:val="000000"/>
                <w:kern w:val="0"/>
                <w:sz w:val="20"/>
                <w:szCs w:val="20"/>
              </w:rPr>
              <w:t>指标</w:t>
            </w:r>
          </w:p>
        </w:tc>
        <w:tc>
          <w:tcPr>
            <w:tcW w:w="435" w:type="pct"/>
            <w:tcBorders>
              <w:top w:val="single" w:color="auto" w:sz="4" w:space="0"/>
              <w:left w:val="nil"/>
              <w:bottom w:val="single" w:color="auto" w:sz="4" w:space="0"/>
              <w:right w:val="single" w:color="auto" w:sz="4" w:space="0"/>
            </w:tcBorders>
            <w:noWrap w:val="0"/>
            <w:vAlign w:val="center"/>
          </w:tcPr>
          <w:p w14:paraId="7CAB8367">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439" w:type="pct"/>
            <w:tcBorders>
              <w:top w:val="single" w:color="auto" w:sz="4" w:space="0"/>
              <w:left w:val="nil"/>
              <w:bottom w:val="single" w:color="auto" w:sz="4" w:space="0"/>
              <w:right w:val="single" w:color="auto" w:sz="4" w:space="0"/>
            </w:tcBorders>
            <w:noWrap w:val="0"/>
            <w:vAlign w:val="center"/>
          </w:tcPr>
          <w:p w14:paraId="3177C417">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352" w:type="pct"/>
            <w:tcBorders>
              <w:top w:val="single" w:color="auto" w:sz="4" w:space="0"/>
              <w:left w:val="nil"/>
              <w:bottom w:val="single" w:color="auto" w:sz="4" w:space="0"/>
              <w:right w:val="single" w:color="auto" w:sz="4" w:space="0"/>
            </w:tcBorders>
            <w:noWrap w:val="0"/>
            <w:vAlign w:val="center"/>
          </w:tcPr>
          <w:p w14:paraId="21F855FD">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47" w:type="pct"/>
            <w:tcBorders>
              <w:top w:val="single" w:color="auto" w:sz="4" w:space="0"/>
              <w:left w:val="nil"/>
              <w:bottom w:val="single" w:color="auto" w:sz="4" w:space="0"/>
              <w:right w:val="single" w:color="auto" w:sz="4" w:space="0"/>
            </w:tcBorders>
            <w:noWrap/>
            <w:vAlign w:val="center"/>
          </w:tcPr>
          <w:p w14:paraId="346C30F5">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258" w:type="pct"/>
            <w:tcBorders>
              <w:top w:val="single" w:color="auto" w:sz="4" w:space="0"/>
              <w:left w:val="nil"/>
              <w:bottom w:val="single" w:color="auto" w:sz="4" w:space="0"/>
              <w:right w:val="nil"/>
            </w:tcBorders>
            <w:noWrap/>
            <w:vAlign w:val="center"/>
          </w:tcPr>
          <w:p w14:paraId="7AC6AA1E">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2C264A9F">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36" w:type="pct"/>
            <w:tcBorders>
              <w:top w:val="single" w:color="auto" w:sz="4" w:space="0"/>
              <w:left w:val="nil"/>
              <w:bottom w:val="single" w:color="auto" w:sz="4" w:space="0"/>
              <w:right w:val="single" w:color="auto" w:sz="4" w:space="0"/>
            </w:tcBorders>
            <w:noWrap w:val="0"/>
            <w:vAlign w:val="center"/>
          </w:tcPr>
          <w:p w14:paraId="60D97788">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5B96A765">
        <w:tblPrEx>
          <w:tblCellMar>
            <w:top w:w="0" w:type="dxa"/>
            <w:left w:w="108" w:type="dxa"/>
            <w:bottom w:w="0" w:type="dxa"/>
            <w:right w:w="108" w:type="dxa"/>
          </w:tblCellMar>
        </w:tblPrEx>
        <w:trPr>
          <w:trHeight w:val="1230" w:hRule="atLeast"/>
          <w:jc w:val="center"/>
        </w:trPr>
        <w:tc>
          <w:tcPr>
            <w:tcW w:w="288" w:type="pct"/>
            <w:vMerge w:val="restart"/>
            <w:tcBorders>
              <w:top w:val="single" w:color="auto" w:sz="4" w:space="0"/>
              <w:left w:val="single" w:color="auto" w:sz="4" w:space="0"/>
              <w:bottom w:val="single" w:color="auto" w:sz="4" w:space="0"/>
              <w:right w:val="single" w:color="auto" w:sz="4" w:space="0"/>
            </w:tcBorders>
            <w:noWrap w:val="0"/>
            <w:vAlign w:val="center"/>
          </w:tcPr>
          <w:p w14:paraId="499A2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预算管理情况（20）</w:t>
            </w:r>
          </w:p>
        </w:tc>
        <w:tc>
          <w:tcPr>
            <w:tcW w:w="369" w:type="pct"/>
            <w:vMerge w:val="restart"/>
            <w:tcBorders>
              <w:top w:val="single" w:color="auto" w:sz="4" w:space="0"/>
              <w:left w:val="single" w:color="auto" w:sz="4" w:space="0"/>
              <w:bottom w:val="single" w:color="auto" w:sz="4" w:space="0"/>
              <w:right w:val="single" w:color="auto" w:sz="4" w:space="0"/>
            </w:tcBorders>
            <w:noWrap w:val="0"/>
            <w:vAlign w:val="center"/>
          </w:tcPr>
          <w:p w14:paraId="269BA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w:t>
            </w:r>
            <w:r>
              <w:rPr>
                <w:rFonts w:hint="eastAsia" w:ascii="宋体" w:hAnsi="宋体" w:cs="宋体"/>
                <w:color w:val="000000"/>
                <w:kern w:val="0"/>
                <w:sz w:val="20"/>
                <w:szCs w:val="20"/>
                <w:lang w:val="en-US" w:eastAsia="zh-CN"/>
              </w:rPr>
              <w:t>10</w:t>
            </w:r>
            <w:r>
              <w:rPr>
                <w:rFonts w:hint="eastAsia" w:ascii="宋体" w:hAnsi="宋体" w:cs="宋体"/>
                <w:color w:val="000000"/>
                <w:kern w:val="0"/>
                <w:sz w:val="20"/>
                <w:szCs w:val="20"/>
              </w:rPr>
              <w:t>）</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02D86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2994C52B">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优</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61B9C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ign w:val="center"/>
          </w:tcPr>
          <w:p w14:paraId="18F8D780">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3</w:t>
            </w:r>
          </w:p>
        </w:tc>
        <w:tc>
          <w:tcPr>
            <w:tcW w:w="258" w:type="pct"/>
            <w:tcBorders>
              <w:top w:val="single" w:color="auto" w:sz="4" w:space="0"/>
              <w:left w:val="single" w:color="auto" w:sz="4" w:space="0"/>
              <w:bottom w:val="single" w:color="auto" w:sz="4" w:space="0"/>
              <w:right w:val="single" w:color="auto" w:sz="4" w:space="0"/>
            </w:tcBorders>
            <w:noWrap/>
            <w:vAlign w:val="center"/>
          </w:tcPr>
          <w:p w14:paraId="6F0962BE">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3</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6AFB8C06">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0780134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w:t>
            </w: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分，扣完为止。</w:t>
            </w:r>
          </w:p>
        </w:tc>
      </w:tr>
      <w:tr w14:paraId="0D2A38B0">
        <w:tblPrEx>
          <w:tblCellMar>
            <w:top w:w="0" w:type="dxa"/>
            <w:left w:w="108" w:type="dxa"/>
            <w:bottom w:w="0" w:type="dxa"/>
            <w:right w:w="108" w:type="dxa"/>
          </w:tblCellMar>
        </w:tblPrEx>
        <w:trPr>
          <w:trHeight w:val="2220"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2BC2FD41">
            <w:pPr>
              <w:widowControl/>
              <w:jc w:val="left"/>
              <w:rPr>
                <w:rFonts w:ascii="宋体" w:hAnsi="宋体" w:cs="宋体"/>
                <w:color w:val="000000"/>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noWrap w:val="0"/>
            <w:vAlign w:val="center"/>
          </w:tcPr>
          <w:p w14:paraId="0E0A3D7F">
            <w:pPr>
              <w:widowControl/>
              <w:jc w:val="left"/>
              <w:rPr>
                <w:rFonts w:ascii="宋体" w:hAnsi="宋体" w:cs="宋体"/>
                <w:color w:val="000000"/>
                <w:kern w:val="0"/>
                <w:sz w:val="20"/>
                <w:szCs w:val="20"/>
              </w:rPr>
            </w:pPr>
          </w:p>
        </w:tc>
        <w:tc>
          <w:tcPr>
            <w:tcW w:w="435" w:type="pct"/>
            <w:tcBorders>
              <w:top w:val="single" w:color="auto" w:sz="4" w:space="0"/>
              <w:left w:val="single" w:color="auto" w:sz="4" w:space="0"/>
              <w:bottom w:val="single" w:color="auto" w:sz="4" w:space="0"/>
              <w:right w:val="single" w:color="auto" w:sz="4" w:space="0"/>
            </w:tcBorders>
            <w:noWrap w:val="0"/>
            <w:vAlign w:val="center"/>
          </w:tcPr>
          <w:p w14:paraId="1CA5F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4F5F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1D262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ign w:val="center"/>
          </w:tcPr>
          <w:p w14:paraId="3A0D3039">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4</w:t>
            </w:r>
          </w:p>
        </w:tc>
        <w:tc>
          <w:tcPr>
            <w:tcW w:w="258" w:type="pct"/>
            <w:tcBorders>
              <w:top w:val="single" w:color="auto" w:sz="4" w:space="0"/>
              <w:left w:val="single" w:color="auto" w:sz="4" w:space="0"/>
              <w:bottom w:val="single" w:color="auto" w:sz="4" w:space="0"/>
              <w:right w:val="single" w:color="auto" w:sz="4" w:space="0"/>
            </w:tcBorders>
            <w:noWrap/>
            <w:vAlign w:val="center"/>
          </w:tcPr>
          <w:p w14:paraId="6F74AA8C">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4</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0E5138F1">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1696BB4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分，扣完为止。</w:t>
            </w:r>
          </w:p>
        </w:tc>
      </w:tr>
      <w:tr w14:paraId="7E0316B7">
        <w:tblPrEx>
          <w:tblCellMar>
            <w:top w:w="0" w:type="dxa"/>
            <w:left w:w="108" w:type="dxa"/>
            <w:bottom w:w="0" w:type="dxa"/>
            <w:right w:w="108" w:type="dxa"/>
          </w:tblCellMar>
        </w:tblPrEx>
        <w:trPr>
          <w:trHeight w:val="1035"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5E77D29C">
            <w:pPr>
              <w:widowControl/>
              <w:jc w:val="left"/>
              <w:rPr>
                <w:rFonts w:ascii="宋体" w:hAnsi="宋体" w:cs="宋体"/>
                <w:color w:val="000000"/>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noWrap w:val="0"/>
            <w:vAlign w:val="center"/>
          </w:tcPr>
          <w:p w14:paraId="70CF9B19">
            <w:pPr>
              <w:widowControl/>
              <w:jc w:val="left"/>
              <w:rPr>
                <w:rFonts w:ascii="宋体" w:hAnsi="宋体" w:cs="宋体"/>
                <w:color w:val="000000"/>
                <w:kern w:val="0"/>
                <w:sz w:val="20"/>
                <w:szCs w:val="20"/>
              </w:rPr>
            </w:pPr>
          </w:p>
        </w:tc>
        <w:tc>
          <w:tcPr>
            <w:tcW w:w="435" w:type="pct"/>
            <w:tcBorders>
              <w:top w:val="single" w:color="auto" w:sz="4" w:space="0"/>
              <w:left w:val="single" w:color="auto" w:sz="4" w:space="0"/>
              <w:bottom w:val="single" w:color="auto" w:sz="4" w:space="0"/>
              <w:right w:val="single" w:color="auto" w:sz="4" w:space="0"/>
            </w:tcBorders>
            <w:noWrap w:val="0"/>
            <w:vAlign w:val="center"/>
          </w:tcPr>
          <w:p w14:paraId="014D6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25B3E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7D982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ign w:val="center"/>
          </w:tcPr>
          <w:p w14:paraId="6EEF8012">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3</w:t>
            </w:r>
          </w:p>
        </w:tc>
        <w:tc>
          <w:tcPr>
            <w:tcW w:w="258" w:type="pct"/>
            <w:tcBorders>
              <w:top w:val="single" w:color="auto" w:sz="4" w:space="0"/>
              <w:left w:val="single" w:color="auto" w:sz="4" w:space="0"/>
              <w:bottom w:val="single" w:color="auto" w:sz="4" w:space="0"/>
              <w:right w:val="single" w:color="auto" w:sz="4" w:space="0"/>
            </w:tcBorders>
            <w:noWrap/>
            <w:vAlign w:val="center"/>
          </w:tcPr>
          <w:p w14:paraId="1B2B80D6">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3</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1A0E6FE6">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759AE69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w:t>
            </w: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分，扣完为止。</w:t>
            </w:r>
          </w:p>
        </w:tc>
      </w:tr>
      <w:tr w14:paraId="6CBB8619">
        <w:tblPrEx>
          <w:tblCellMar>
            <w:top w:w="0" w:type="dxa"/>
            <w:left w:w="108" w:type="dxa"/>
            <w:bottom w:w="0" w:type="dxa"/>
            <w:right w:w="108" w:type="dxa"/>
          </w:tblCellMar>
        </w:tblPrEx>
        <w:trPr>
          <w:trHeight w:val="2220"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4FAD5434">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72726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资产管理（4）</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3E733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资产管理规范性</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6B813825">
            <w:pPr>
              <w:widowControl/>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优</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40BE6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258CA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34C4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1D4ED9D5">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3FA4690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w:t>
            </w:r>
            <w:r>
              <w:rPr>
                <w:rFonts w:hint="eastAsia" w:ascii="宋体" w:hAnsi="宋体" w:cs="宋体"/>
                <w:color w:val="000000"/>
                <w:kern w:val="0"/>
                <w:sz w:val="18"/>
                <w:szCs w:val="18"/>
                <w:lang w:eastAsia="zh-CN"/>
              </w:rPr>
              <w:t>其他资产</w:t>
            </w:r>
            <w:r>
              <w:rPr>
                <w:rFonts w:hint="eastAsia" w:ascii="宋体" w:hAnsi="宋体" w:cs="宋体"/>
                <w:color w:val="000000"/>
                <w:kern w:val="0"/>
                <w:sz w:val="18"/>
                <w:szCs w:val="18"/>
              </w:rPr>
              <w:t>管理制度办法执行情况。每有一项不合格扣0.8分，扣完为止。</w:t>
            </w:r>
          </w:p>
        </w:tc>
      </w:tr>
      <w:tr w14:paraId="3018D672">
        <w:tblPrEx>
          <w:tblCellMar>
            <w:top w:w="0" w:type="dxa"/>
            <w:left w:w="108" w:type="dxa"/>
            <w:bottom w:w="0" w:type="dxa"/>
            <w:right w:w="108" w:type="dxa"/>
          </w:tblCellMar>
        </w:tblPrEx>
        <w:trPr>
          <w:trHeight w:val="1750"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0F276B14">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295DB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绩效管理（4）</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008AE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绩效管理情况</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2E114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77022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优</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71744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E6645E1">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4</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296ACBB8">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0F848EB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14:paraId="3B9D7920">
        <w:tblPrEx>
          <w:tblCellMar>
            <w:top w:w="0" w:type="dxa"/>
            <w:left w:w="108" w:type="dxa"/>
            <w:bottom w:w="0" w:type="dxa"/>
            <w:right w:w="108" w:type="dxa"/>
          </w:tblCellMar>
        </w:tblPrEx>
        <w:trPr>
          <w:trHeight w:val="394"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151D0B7C">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22007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　</w:t>
            </w:r>
          </w:p>
        </w:tc>
        <w:tc>
          <w:tcPr>
            <w:tcW w:w="874" w:type="pct"/>
            <w:gridSpan w:val="2"/>
            <w:tcBorders>
              <w:top w:val="single" w:color="auto" w:sz="4" w:space="0"/>
              <w:left w:val="single" w:color="auto" w:sz="4" w:space="0"/>
              <w:bottom w:val="single" w:color="auto" w:sz="4" w:space="0"/>
              <w:right w:val="single" w:color="auto" w:sz="4" w:space="0"/>
            </w:tcBorders>
            <w:noWrap w:val="0"/>
            <w:vAlign w:val="center"/>
          </w:tcPr>
          <w:p w14:paraId="3D05E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r>
              <w:rPr>
                <w:rFonts w:hint="eastAsia" w:ascii="宋体" w:hAnsi="宋体" w:cs="宋体"/>
                <w:color w:val="000000"/>
                <w:kern w:val="0"/>
                <w:sz w:val="20"/>
                <w:szCs w:val="20"/>
                <w:lang w:val="en-US" w:eastAsia="zh-CN"/>
              </w:rPr>
              <w:t>23</w:t>
            </w:r>
            <w:r>
              <w:rPr>
                <w:rFonts w:hint="eastAsia" w:ascii="宋体" w:hAnsi="宋体" w:cs="宋体"/>
                <w:color w:val="000000"/>
                <w:kern w:val="0"/>
                <w:sz w:val="20"/>
                <w:szCs w:val="20"/>
              </w:rPr>
              <w:t>年</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2C0D0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年</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31B16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B1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5518AF9D">
            <w:pPr>
              <w:widowControl/>
              <w:jc w:val="center"/>
              <w:rPr>
                <w:rFonts w:hint="eastAsia"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09C6DBB2">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07103528">
        <w:tblPrEx>
          <w:tblCellMar>
            <w:top w:w="0" w:type="dxa"/>
            <w:left w:w="108" w:type="dxa"/>
            <w:bottom w:w="0" w:type="dxa"/>
            <w:right w:w="108" w:type="dxa"/>
          </w:tblCellMar>
        </w:tblPrEx>
        <w:trPr>
          <w:trHeight w:val="1365"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07355D87">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3955DB56">
            <w:pPr>
              <w:widowControl/>
              <w:rPr>
                <w:rFonts w:ascii="宋体" w:hAnsi="宋体" w:cs="宋体"/>
                <w:color w:val="000000"/>
                <w:kern w:val="0"/>
                <w:sz w:val="20"/>
                <w:szCs w:val="20"/>
              </w:rPr>
            </w:pPr>
            <w:bookmarkStart w:id="77" w:name="OLE_LINK1"/>
            <w:r>
              <w:rPr>
                <w:rFonts w:hint="eastAsia" w:ascii="宋体" w:hAnsi="宋体" w:cs="宋体"/>
                <w:color w:val="000000"/>
                <w:kern w:val="0"/>
                <w:sz w:val="20"/>
                <w:szCs w:val="20"/>
              </w:rPr>
              <w:t>结转结余率</w:t>
            </w:r>
            <w:bookmarkEnd w:id="77"/>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w:t>
            </w:r>
          </w:p>
        </w:tc>
        <w:tc>
          <w:tcPr>
            <w:tcW w:w="874" w:type="pct"/>
            <w:gridSpan w:val="2"/>
            <w:tcBorders>
              <w:top w:val="single" w:color="auto" w:sz="4" w:space="0"/>
              <w:left w:val="single" w:color="auto" w:sz="4" w:space="0"/>
              <w:bottom w:val="single" w:color="auto" w:sz="4" w:space="0"/>
              <w:right w:val="single" w:color="auto" w:sz="4" w:space="0"/>
            </w:tcBorders>
            <w:noWrap w:val="0"/>
            <w:vAlign w:val="center"/>
          </w:tcPr>
          <w:p w14:paraId="584FD98B">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highlight w:val="none"/>
                <w:lang w:val="en-US" w:eastAsia="zh-CN"/>
              </w:rPr>
              <w:t>10.53%</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63FB3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41.28%</w:t>
            </w:r>
            <w:r>
              <w:rPr>
                <w:rFonts w:hint="eastAsia" w:ascii="宋体" w:hAnsi="宋体" w:cs="宋体"/>
                <w:color w:val="000000"/>
                <w:kern w:val="0"/>
                <w:sz w:val="20"/>
                <w:szCs w:val="20"/>
              </w:rPr>
              <w:t>　</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749B578A">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1</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0FCF950">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0</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1D5FDCF5">
            <w:pPr>
              <w:widowControl/>
              <w:jc w:val="left"/>
              <w:rPr>
                <w:rFonts w:hint="eastAsia" w:ascii="宋体" w:hAnsi="宋体" w:cs="宋体" w:eastAsiaTheme="minorEastAsia"/>
                <w:color w:val="000000"/>
                <w:kern w:val="0"/>
                <w:sz w:val="18"/>
                <w:szCs w:val="18"/>
                <w:lang w:eastAsia="zh-CN"/>
              </w:rPr>
            </w:pPr>
            <w:r>
              <w:rPr>
                <w:rFonts w:hint="eastAsia" w:ascii="宋体" w:hAnsi="宋体" w:cs="宋体"/>
                <w:color w:val="000000"/>
                <w:kern w:val="0"/>
                <w:sz w:val="18"/>
                <w:szCs w:val="18"/>
              </w:rPr>
              <w:t>结转结余率=结转结余总额/支出预算数×100%。</w:t>
            </w:r>
          </w:p>
          <w:p w14:paraId="23DA5B5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结转结余总额：部门（单位）本年度的结转资金与结余资金之和。</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5DC5D50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分，扣完为止。（说明：预算调整和结转结余指标，如非预算部门主观因素导致扣分的，在评分结果征求意见环节，经与相关部门预算主管处室共同研究，可作为例外情况酌情考虑。）</w:t>
            </w:r>
          </w:p>
        </w:tc>
      </w:tr>
      <w:tr w14:paraId="104332ED">
        <w:tblPrEx>
          <w:tblCellMar>
            <w:top w:w="0" w:type="dxa"/>
            <w:left w:w="108" w:type="dxa"/>
            <w:bottom w:w="0" w:type="dxa"/>
            <w:right w:w="108" w:type="dxa"/>
          </w:tblCellMar>
        </w:tblPrEx>
        <w:trPr>
          <w:trHeight w:val="90" w:hRule="atLeast"/>
          <w:jc w:val="center"/>
        </w:trPr>
        <w:tc>
          <w:tcPr>
            <w:tcW w:w="288" w:type="pct"/>
            <w:vMerge w:val="continue"/>
            <w:tcBorders>
              <w:top w:val="single" w:color="auto" w:sz="4" w:space="0"/>
              <w:left w:val="single" w:color="auto" w:sz="4" w:space="0"/>
              <w:bottom w:val="single" w:color="auto" w:sz="4" w:space="0"/>
              <w:right w:val="single" w:color="auto" w:sz="4" w:space="0"/>
            </w:tcBorders>
            <w:noWrap w:val="0"/>
            <w:vAlign w:val="center"/>
          </w:tcPr>
          <w:p w14:paraId="6EB96C16">
            <w:pPr>
              <w:widowControl/>
              <w:jc w:val="left"/>
              <w:rPr>
                <w:rFonts w:ascii="宋体" w:hAnsi="宋体" w:cs="宋体"/>
                <w:color w:val="000000"/>
                <w:kern w:val="0"/>
                <w:sz w:val="20"/>
                <w:szCs w:val="20"/>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5046383C">
            <w:pPr>
              <w:widowControl/>
              <w:rPr>
                <w:rFonts w:hint="eastAsia" w:ascii="宋体" w:hAnsi="宋体" w:cs="宋体"/>
                <w:color w:val="000000"/>
                <w:kern w:val="0"/>
                <w:sz w:val="20"/>
                <w:szCs w:val="20"/>
              </w:rPr>
            </w:pPr>
            <w:r>
              <w:rPr>
                <w:rFonts w:hint="eastAsia" w:ascii="宋体" w:hAnsi="宋体" w:cs="宋体"/>
                <w:color w:val="000000"/>
                <w:kern w:val="0"/>
                <w:sz w:val="20"/>
                <w:szCs w:val="20"/>
              </w:rPr>
              <w:t>部门预决算差异率（</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w:t>
            </w:r>
          </w:p>
        </w:tc>
        <w:tc>
          <w:tcPr>
            <w:tcW w:w="874" w:type="pct"/>
            <w:gridSpan w:val="2"/>
            <w:tcBorders>
              <w:top w:val="single" w:color="auto" w:sz="4" w:space="0"/>
              <w:left w:val="single" w:color="auto" w:sz="4" w:space="0"/>
              <w:bottom w:val="single" w:color="auto" w:sz="4" w:space="0"/>
              <w:right w:val="single" w:color="auto" w:sz="4" w:space="0"/>
            </w:tcBorders>
            <w:noWrap w:val="0"/>
            <w:vAlign w:val="center"/>
          </w:tcPr>
          <w:p w14:paraId="0A01C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2" w:type="pct"/>
            <w:tcBorders>
              <w:top w:val="single" w:color="auto" w:sz="4" w:space="0"/>
              <w:left w:val="single" w:color="auto" w:sz="4" w:space="0"/>
              <w:bottom w:val="single" w:color="auto" w:sz="4" w:space="0"/>
              <w:right w:val="single" w:color="auto" w:sz="4" w:space="0"/>
            </w:tcBorders>
            <w:noWrap w:val="0"/>
            <w:vAlign w:val="center"/>
          </w:tcPr>
          <w:p w14:paraId="3AFC7B2B">
            <w:pPr>
              <w:widowControl/>
              <w:jc w:val="center"/>
              <w:rPr>
                <w:rFonts w:hint="eastAsia" w:ascii="宋体" w:hAnsi="宋体" w:cs="宋体"/>
                <w:color w:val="000000"/>
                <w:kern w:val="0"/>
                <w:sz w:val="20"/>
                <w:szCs w:val="20"/>
              </w:rPr>
            </w:pPr>
            <w:r>
              <w:rPr>
                <w:rFonts w:hint="eastAsia" w:ascii="宋体" w:hAnsi="宋体" w:cs="宋体"/>
                <w:color w:val="auto"/>
                <w:kern w:val="0"/>
                <w:sz w:val="20"/>
                <w:szCs w:val="20"/>
                <w:highlight w:val="none"/>
                <w:lang w:val="en-US" w:eastAsia="zh-CN"/>
              </w:rPr>
              <w:t>2.47</w:t>
            </w:r>
            <w:r>
              <w:rPr>
                <w:rFonts w:hint="eastAsia" w:ascii="宋体" w:hAnsi="宋体" w:cs="宋体"/>
                <w:color w:val="auto"/>
                <w:kern w:val="0"/>
                <w:sz w:val="20"/>
                <w:szCs w:val="20"/>
                <w:highlight w:val="none"/>
              </w:rPr>
              <w:t>%</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66344033">
            <w:pPr>
              <w:widowControl/>
              <w:jc w:val="center"/>
              <w:rPr>
                <w:rFonts w:hint="eastAsia" w:ascii="宋体" w:hAnsi="宋体" w:cs="宋体" w:eastAsiaTheme="minorEastAsia"/>
                <w:color w:val="000000"/>
                <w:kern w:val="0"/>
                <w:sz w:val="20"/>
                <w:szCs w:val="20"/>
                <w:lang w:eastAsia="zh-CN"/>
              </w:rPr>
            </w:pPr>
            <w:r>
              <w:rPr>
                <w:rFonts w:hint="eastAsia" w:ascii="宋体" w:hAnsi="宋体" w:cs="宋体"/>
                <w:color w:val="000000"/>
                <w:kern w:val="0"/>
                <w:sz w:val="20"/>
                <w:szCs w:val="20"/>
                <w:lang w:val="en-US" w:eastAsia="zh-CN"/>
              </w:rPr>
              <w:t>1</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235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　</w:t>
            </w:r>
          </w:p>
        </w:tc>
        <w:tc>
          <w:tcPr>
            <w:tcW w:w="1172" w:type="pct"/>
            <w:tcBorders>
              <w:top w:val="single" w:color="auto" w:sz="4" w:space="0"/>
              <w:left w:val="single" w:color="auto" w:sz="4" w:space="0"/>
              <w:bottom w:val="single" w:color="auto" w:sz="4" w:space="0"/>
              <w:right w:val="single" w:color="auto" w:sz="4" w:space="0"/>
            </w:tcBorders>
            <w:noWrap w:val="0"/>
            <w:vAlign w:val="center"/>
          </w:tcPr>
          <w:p w14:paraId="069FD09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436" w:type="pct"/>
            <w:tcBorders>
              <w:top w:val="single" w:color="auto" w:sz="4" w:space="0"/>
              <w:left w:val="single" w:color="auto" w:sz="4" w:space="0"/>
              <w:bottom w:val="single" w:color="auto" w:sz="4" w:space="0"/>
              <w:right w:val="single" w:color="auto" w:sz="4" w:space="0"/>
            </w:tcBorders>
            <w:noWrap w:val="0"/>
            <w:vAlign w:val="center"/>
          </w:tcPr>
          <w:p w14:paraId="061F04D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分，扣完为止。</w:t>
            </w:r>
          </w:p>
        </w:tc>
      </w:tr>
      <w:tr w14:paraId="6D3EFD25">
        <w:tblPrEx>
          <w:tblCellMar>
            <w:top w:w="0" w:type="dxa"/>
            <w:left w:w="108" w:type="dxa"/>
            <w:bottom w:w="0" w:type="dxa"/>
            <w:right w:w="108" w:type="dxa"/>
          </w:tblCellMar>
        </w:tblPrEx>
        <w:trPr>
          <w:trHeight w:val="404" w:hRule="atLeast"/>
          <w:jc w:val="center"/>
        </w:trPr>
        <w:tc>
          <w:tcPr>
            <w:tcW w:w="1885" w:type="pct"/>
            <w:gridSpan w:val="5"/>
            <w:tcBorders>
              <w:top w:val="single" w:color="auto" w:sz="4" w:space="0"/>
              <w:left w:val="single" w:color="auto" w:sz="4" w:space="0"/>
              <w:bottom w:val="single" w:color="auto" w:sz="4" w:space="0"/>
              <w:right w:val="single" w:color="auto" w:sz="4" w:space="0"/>
            </w:tcBorders>
            <w:noWrap w:val="0"/>
            <w:vAlign w:val="center"/>
          </w:tcPr>
          <w:p w14:paraId="3A454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合计</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7643D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5AB38CC">
            <w:pPr>
              <w:widowControl/>
              <w:jc w:val="center"/>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90.17</w:t>
            </w:r>
          </w:p>
        </w:tc>
        <w:tc>
          <w:tcPr>
            <w:tcW w:w="2608" w:type="pct"/>
            <w:gridSpan w:val="2"/>
            <w:tcBorders>
              <w:top w:val="single" w:color="auto" w:sz="4" w:space="0"/>
              <w:left w:val="single" w:color="auto" w:sz="4" w:space="0"/>
              <w:bottom w:val="single" w:color="auto" w:sz="4" w:space="0"/>
              <w:right w:val="single" w:color="auto" w:sz="4" w:space="0"/>
            </w:tcBorders>
            <w:noWrap w:val="0"/>
            <w:vAlign w:val="center"/>
          </w:tcPr>
          <w:p w14:paraId="0BAC07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468700D6">
      <w:pPr>
        <w:pStyle w:val="6"/>
        <w:keepNext w:val="0"/>
        <w:keepLines w:val="0"/>
        <w:pageBreakBefore w:val="0"/>
        <w:widowControl w:val="0"/>
        <w:kinsoku/>
        <w:wordWrap/>
        <w:overflowPunct/>
        <w:topLinePunct w:val="0"/>
        <w:autoSpaceDE/>
        <w:autoSpaceDN/>
        <w:bidi w:val="0"/>
        <w:adjustRightInd w:val="0"/>
        <w:snapToGrid w:val="0"/>
        <w:spacing w:line="560" w:lineRule="exact"/>
      </w:pPr>
    </w:p>
    <w:sectPr>
      <w:pgSz w:w="16838" w:h="11906" w:orient="landscape"/>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AC16B5-FC2D-485A-8BF1-34F3CC4110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F5B805E-BC0D-4764-B736-C16E49FB080A}"/>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embedRegular r:id="rId3" w:fontKey="{B397D7C2-7FBC-4ACD-9F28-52270EFF89B9}"/>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embedRegular r:id="rId4" w:fontKey="{D25008F0-CF3E-4649-A31D-2B7ABD76FE9F}"/>
  </w:font>
  <w:font w:name="华文宋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embedRegular r:id="rId5" w:fontKey="{40DB1DB5-FC9E-4C0B-886E-C732AA278D2C}"/>
  </w:font>
  <w:font w:name="楷体_GB2312">
    <w:panose1 w:val="02010609030101010101"/>
    <w:charset w:val="86"/>
    <w:family w:val="modern"/>
    <w:pitch w:val="default"/>
    <w:sig w:usb0="00000001" w:usb1="080E0000" w:usb2="00000000" w:usb3="00000000" w:csb0="00040000" w:csb1="00000000"/>
    <w:embedRegular r:id="rId6" w:fontKey="{12E594C9-1E17-45F7-AF41-440DC792C1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FE571">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6A8C">
                          <w:pPr>
                            <w:pStyle w:val="1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FF6A8C">
                    <w:pPr>
                      <w:pStyle w:val="1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 w:name="KSO_WPS_MARK_KEY" w:val="b2558c83-a498-4343-8e95-d6203237bf7a"/>
  </w:docVars>
  <w:rsids>
    <w:rsidRoot w:val="007D6785"/>
    <w:rsid w:val="00005402"/>
    <w:rsid w:val="000871A4"/>
    <w:rsid w:val="0009051B"/>
    <w:rsid w:val="00201AB1"/>
    <w:rsid w:val="0022181C"/>
    <w:rsid w:val="00346CC0"/>
    <w:rsid w:val="00360831"/>
    <w:rsid w:val="00386C46"/>
    <w:rsid w:val="004A5411"/>
    <w:rsid w:val="004D0CCB"/>
    <w:rsid w:val="00537339"/>
    <w:rsid w:val="00564281"/>
    <w:rsid w:val="00571DB5"/>
    <w:rsid w:val="005D0DA8"/>
    <w:rsid w:val="005D4EEF"/>
    <w:rsid w:val="005E663A"/>
    <w:rsid w:val="00643BE3"/>
    <w:rsid w:val="00676294"/>
    <w:rsid w:val="00686FE2"/>
    <w:rsid w:val="006E04C6"/>
    <w:rsid w:val="006F43F5"/>
    <w:rsid w:val="007C0F2D"/>
    <w:rsid w:val="007D6785"/>
    <w:rsid w:val="007E76A9"/>
    <w:rsid w:val="00806187"/>
    <w:rsid w:val="00812D6F"/>
    <w:rsid w:val="00867929"/>
    <w:rsid w:val="00876855"/>
    <w:rsid w:val="00880E15"/>
    <w:rsid w:val="008C1D42"/>
    <w:rsid w:val="008D181F"/>
    <w:rsid w:val="0099754D"/>
    <w:rsid w:val="009C6F0F"/>
    <w:rsid w:val="00AE2A48"/>
    <w:rsid w:val="00B8272D"/>
    <w:rsid w:val="00BF0AA0"/>
    <w:rsid w:val="00C6142E"/>
    <w:rsid w:val="00CB24D5"/>
    <w:rsid w:val="00D10539"/>
    <w:rsid w:val="00D27E17"/>
    <w:rsid w:val="00D44F36"/>
    <w:rsid w:val="00DD0C1A"/>
    <w:rsid w:val="00DD502C"/>
    <w:rsid w:val="00E15581"/>
    <w:rsid w:val="00E41BA5"/>
    <w:rsid w:val="00E56439"/>
    <w:rsid w:val="00EA40E8"/>
    <w:rsid w:val="00ED1361"/>
    <w:rsid w:val="00F62A3D"/>
    <w:rsid w:val="00F6676F"/>
    <w:rsid w:val="00F94CB9"/>
    <w:rsid w:val="00F96296"/>
    <w:rsid w:val="012D3C0D"/>
    <w:rsid w:val="0136557F"/>
    <w:rsid w:val="014D0938"/>
    <w:rsid w:val="0197690B"/>
    <w:rsid w:val="01B36BD0"/>
    <w:rsid w:val="021533E7"/>
    <w:rsid w:val="021A4C79"/>
    <w:rsid w:val="026305F6"/>
    <w:rsid w:val="028728DD"/>
    <w:rsid w:val="028C442B"/>
    <w:rsid w:val="02A12ECC"/>
    <w:rsid w:val="02DA63DE"/>
    <w:rsid w:val="03080C9B"/>
    <w:rsid w:val="03603BBE"/>
    <w:rsid w:val="0402211D"/>
    <w:rsid w:val="041B00E5"/>
    <w:rsid w:val="04262466"/>
    <w:rsid w:val="04707C0F"/>
    <w:rsid w:val="049C22B4"/>
    <w:rsid w:val="04A8301E"/>
    <w:rsid w:val="04F347BB"/>
    <w:rsid w:val="056F6202"/>
    <w:rsid w:val="0588240A"/>
    <w:rsid w:val="05EF3F4F"/>
    <w:rsid w:val="0692095D"/>
    <w:rsid w:val="06A411DD"/>
    <w:rsid w:val="06AC0092"/>
    <w:rsid w:val="06D97C66"/>
    <w:rsid w:val="06E61600"/>
    <w:rsid w:val="0711304F"/>
    <w:rsid w:val="07344457"/>
    <w:rsid w:val="07500A1D"/>
    <w:rsid w:val="07887E31"/>
    <w:rsid w:val="078E1545"/>
    <w:rsid w:val="079C0106"/>
    <w:rsid w:val="07E04497"/>
    <w:rsid w:val="08275C22"/>
    <w:rsid w:val="084154A6"/>
    <w:rsid w:val="084364BA"/>
    <w:rsid w:val="08887282"/>
    <w:rsid w:val="08EE327C"/>
    <w:rsid w:val="08F508DC"/>
    <w:rsid w:val="0903613F"/>
    <w:rsid w:val="09066E3B"/>
    <w:rsid w:val="09081C12"/>
    <w:rsid w:val="0911242E"/>
    <w:rsid w:val="09315A3B"/>
    <w:rsid w:val="0983332C"/>
    <w:rsid w:val="09880942"/>
    <w:rsid w:val="098A2B7F"/>
    <w:rsid w:val="0A125B31"/>
    <w:rsid w:val="0A342F3A"/>
    <w:rsid w:val="0A6C0264"/>
    <w:rsid w:val="0A783040"/>
    <w:rsid w:val="0A8E7105"/>
    <w:rsid w:val="0AF0679F"/>
    <w:rsid w:val="0B0F707B"/>
    <w:rsid w:val="0B1C1167"/>
    <w:rsid w:val="0B36617C"/>
    <w:rsid w:val="0B771721"/>
    <w:rsid w:val="0BCF0AAA"/>
    <w:rsid w:val="0BE63156"/>
    <w:rsid w:val="0BE70C1B"/>
    <w:rsid w:val="0BE971FB"/>
    <w:rsid w:val="0C210BDA"/>
    <w:rsid w:val="0C48085D"/>
    <w:rsid w:val="0C620578"/>
    <w:rsid w:val="0C6D2071"/>
    <w:rsid w:val="0C76711C"/>
    <w:rsid w:val="0C965124"/>
    <w:rsid w:val="0CC55A09"/>
    <w:rsid w:val="0D2C7CA1"/>
    <w:rsid w:val="0D3E75A2"/>
    <w:rsid w:val="0D505C1B"/>
    <w:rsid w:val="0D613984"/>
    <w:rsid w:val="0D76754C"/>
    <w:rsid w:val="0D8A418C"/>
    <w:rsid w:val="0DD310D5"/>
    <w:rsid w:val="0DE97231"/>
    <w:rsid w:val="0E6B11ED"/>
    <w:rsid w:val="0E866236"/>
    <w:rsid w:val="0E925105"/>
    <w:rsid w:val="0EA55AF2"/>
    <w:rsid w:val="0EF9352D"/>
    <w:rsid w:val="0EFA5A8F"/>
    <w:rsid w:val="0F356EB3"/>
    <w:rsid w:val="0F3B1FB3"/>
    <w:rsid w:val="0F631F06"/>
    <w:rsid w:val="100919D4"/>
    <w:rsid w:val="101747CE"/>
    <w:rsid w:val="101F79F8"/>
    <w:rsid w:val="10440973"/>
    <w:rsid w:val="109918B7"/>
    <w:rsid w:val="10A36062"/>
    <w:rsid w:val="10E20F57"/>
    <w:rsid w:val="113E071E"/>
    <w:rsid w:val="11A42091"/>
    <w:rsid w:val="11A4661F"/>
    <w:rsid w:val="11E466CA"/>
    <w:rsid w:val="12420640"/>
    <w:rsid w:val="125A6BF4"/>
    <w:rsid w:val="126161D4"/>
    <w:rsid w:val="128F716E"/>
    <w:rsid w:val="12DA1AE3"/>
    <w:rsid w:val="12E74B76"/>
    <w:rsid w:val="12FB773B"/>
    <w:rsid w:val="13080DA0"/>
    <w:rsid w:val="130955DD"/>
    <w:rsid w:val="135B0E75"/>
    <w:rsid w:val="13830CE4"/>
    <w:rsid w:val="13841C8E"/>
    <w:rsid w:val="13A23D92"/>
    <w:rsid w:val="13D205F7"/>
    <w:rsid w:val="13FF3EF7"/>
    <w:rsid w:val="140C3B67"/>
    <w:rsid w:val="140D3F19"/>
    <w:rsid w:val="143F310F"/>
    <w:rsid w:val="1457788F"/>
    <w:rsid w:val="148F69A8"/>
    <w:rsid w:val="149A7408"/>
    <w:rsid w:val="14EA24B1"/>
    <w:rsid w:val="151426B6"/>
    <w:rsid w:val="158D108E"/>
    <w:rsid w:val="159B361E"/>
    <w:rsid w:val="15A9236C"/>
    <w:rsid w:val="161C0D90"/>
    <w:rsid w:val="16320DD1"/>
    <w:rsid w:val="16C74B4B"/>
    <w:rsid w:val="170D49F7"/>
    <w:rsid w:val="17207D2D"/>
    <w:rsid w:val="1749126A"/>
    <w:rsid w:val="174E0155"/>
    <w:rsid w:val="17575DF8"/>
    <w:rsid w:val="176C3651"/>
    <w:rsid w:val="176E6A50"/>
    <w:rsid w:val="17946704"/>
    <w:rsid w:val="17AE4546"/>
    <w:rsid w:val="17C86F3B"/>
    <w:rsid w:val="18027B12"/>
    <w:rsid w:val="183323C1"/>
    <w:rsid w:val="184D42A1"/>
    <w:rsid w:val="188624F1"/>
    <w:rsid w:val="18A137CE"/>
    <w:rsid w:val="1933222E"/>
    <w:rsid w:val="19352312"/>
    <w:rsid w:val="197113F3"/>
    <w:rsid w:val="198130D3"/>
    <w:rsid w:val="198F6BDB"/>
    <w:rsid w:val="19B60BB4"/>
    <w:rsid w:val="1A0D396F"/>
    <w:rsid w:val="1A540A14"/>
    <w:rsid w:val="1A8B2040"/>
    <w:rsid w:val="1B4E2689"/>
    <w:rsid w:val="1B7E030B"/>
    <w:rsid w:val="1B9F1E63"/>
    <w:rsid w:val="1BB235FD"/>
    <w:rsid w:val="1BE30473"/>
    <w:rsid w:val="1C0814DE"/>
    <w:rsid w:val="1C1B3898"/>
    <w:rsid w:val="1C2362A8"/>
    <w:rsid w:val="1C7F5BD5"/>
    <w:rsid w:val="1CDF0421"/>
    <w:rsid w:val="1CE974F2"/>
    <w:rsid w:val="1CF00444"/>
    <w:rsid w:val="1D37451A"/>
    <w:rsid w:val="1D6152DA"/>
    <w:rsid w:val="1DB775F0"/>
    <w:rsid w:val="1DF15646"/>
    <w:rsid w:val="1E0F5E35"/>
    <w:rsid w:val="1E164317"/>
    <w:rsid w:val="1E2A6B10"/>
    <w:rsid w:val="1E3E60DC"/>
    <w:rsid w:val="1E4E1D03"/>
    <w:rsid w:val="1E777120"/>
    <w:rsid w:val="1EC437F2"/>
    <w:rsid w:val="1ED81C68"/>
    <w:rsid w:val="1EDF295B"/>
    <w:rsid w:val="1F457AFE"/>
    <w:rsid w:val="1F78690B"/>
    <w:rsid w:val="1F841754"/>
    <w:rsid w:val="1F947BE9"/>
    <w:rsid w:val="1FA35365"/>
    <w:rsid w:val="1FAE30E0"/>
    <w:rsid w:val="1FC36A1C"/>
    <w:rsid w:val="1FC45D59"/>
    <w:rsid w:val="1FD2799A"/>
    <w:rsid w:val="1FD6287E"/>
    <w:rsid w:val="1FE53EC9"/>
    <w:rsid w:val="20104D96"/>
    <w:rsid w:val="20322B96"/>
    <w:rsid w:val="20484530"/>
    <w:rsid w:val="205253AE"/>
    <w:rsid w:val="205E4012"/>
    <w:rsid w:val="20691AE9"/>
    <w:rsid w:val="20C91B14"/>
    <w:rsid w:val="20E042E3"/>
    <w:rsid w:val="210963B5"/>
    <w:rsid w:val="21853E1D"/>
    <w:rsid w:val="21865F9D"/>
    <w:rsid w:val="21983295"/>
    <w:rsid w:val="21A25EC1"/>
    <w:rsid w:val="21BC1547"/>
    <w:rsid w:val="21DA4ABB"/>
    <w:rsid w:val="22B61C24"/>
    <w:rsid w:val="22D64075"/>
    <w:rsid w:val="231F2C22"/>
    <w:rsid w:val="233020BA"/>
    <w:rsid w:val="233D75AE"/>
    <w:rsid w:val="235C70B5"/>
    <w:rsid w:val="235F406A"/>
    <w:rsid w:val="23616034"/>
    <w:rsid w:val="23710B87"/>
    <w:rsid w:val="23C71027"/>
    <w:rsid w:val="23CC02AC"/>
    <w:rsid w:val="23D205A6"/>
    <w:rsid w:val="24156E1F"/>
    <w:rsid w:val="24945F95"/>
    <w:rsid w:val="249613B2"/>
    <w:rsid w:val="24A57160"/>
    <w:rsid w:val="24DE4B1F"/>
    <w:rsid w:val="24DE749B"/>
    <w:rsid w:val="24E91459"/>
    <w:rsid w:val="24E97CFF"/>
    <w:rsid w:val="254D07E6"/>
    <w:rsid w:val="255C7FE1"/>
    <w:rsid w:val="25742628"/>
    <w:rsid w:val="259039CA"/>
    <w:rsid w:val="25E1345C"/>
    <w:rsid w:val="25E940BF"/>
    <w:rsid w:val="25FE66C4"/>
    <w:rsid w:val="26066470"/>
    <w:rsid w:val="262C30C2"/>
    <w:rsid w:val="265B21B1"/>
    <w:rsid w:val="267D1D46"/>
    <w:rsid w:val="26EA3A6D"/>
    <w:rsid w:val="27351219"/>
    <w:rsid w:val="27424FFB"/>
    <w:rsid w:val="278B636C"/>
    <w:rsid w:val="27CD5BB9"/>
    <w:rsid w:val="27D25752"/>
    <w:rsid w:val="27D53816"/>
    <w:rsid w:val="27E77AE7"/>
    <w:rsid w:val="282615FA"/>
    <w:rsid w:val="28380E74"/>
    <w:rsid w:val="286363AA"/>
    <w:rsid w:val="287A0BD4"/>
    <w:rsid w:val="288250C4"/>
    <w:rsid w:val="28844BDA"/>
    <w:rsid w:val="2885743B"/>
    <w:rsid w:val="28A23BDF"/>
    <w:rsid w:val="28BD3CC7"/>
    <w:rsid w:val="28E53263"/>
    <w:rsid w:val="28FF1AFF"/>
    <w:rsid w:val="295D104C"/>
    <w:rsid w:val="29606D8E"/>
    <w:rsid w:val="296E5E5C"/>
    <w:rsid w:val="29792165"/>
    <w:rsid w:val="29982084"/>
    <w:rsid w:val="29B325F3"/>
    <w:rsid w:val="29D25939"/>
    <w:rsid w:val="29EC3C5D"/>
    <w:rsid w:val="29FE7842"/>
    <w:rsid w:val="2A2D479B"/>
    <w:rsid w:val="2A3F4BF5"/>
    <w:rsid w:val="2A7F1496"/>
    <w:rsid w:val="2A914885"/>
    <w:rsid w:val="2AA1765E"/>
    <w:rsid w:val="2B036FBE"/>
    <w:rsid w:val="2B3F6909"/>
    <w:rsid w:val="2B9056A8"/>
    <w:rsid w:val="2B99075C"/>
    <w:rsid w:val="2C027C88"/>
    <w:rsid w:val="2C4068EE"/>
    <w:rsid w:val="2C642018"/>
    <w:rsid w:val="2C732934"/>
    <w:rsid w:val="2CAF1529"/>
    <w:rsid w:val="2CBE2F09"/>
    <w:rsid w:val="2CCB1056"/>
    <w:rsid w:val="2CCE35E6"/>
    <w:rsid w:val="2CD817D0"/>
    <w:rsid w:val="2D7365FC"/>
    <w:rsid w:val="2D832FD8"/>
    <w:rsid w:val="2D893089"/>
    <w:rsid w:val="2DB02848"/>
    <w:rsid w:val="2DBF1FE1"/>
    <w:rsid w:val="2DC94A10"/>
    <w:rsid w:val="2DEC299E"/>
    <w:rsid w:val="2DF61A6F"/>
    <w:rsid w:val="2E0A17C8"/>
    <w:rsid w:val="2E1747BF"/>
    <w:rsid w:val="2E5F1DFB"/>
    <w:rsid w:val="2E7A59BF"/>
    <w:rsid w:val="2EC35DF5"/>
    <w:rsid w:val="2F386E4E"/>
    <w:rsid w:val="2F6A66CC"/>
    <w:rsid w:val="2F71554F"/>
    <w:rsid w:val="2F8559C6"/>
    <w:rsid w:val="2FA93026"/>
    <w:rsid w:val="30182170"/>
    <w:rsid w:val="302208F9"/>
    <w:rsid w:val="303F12A1"/>
    <w:rsid w:val="30517C6F"/>
    <w:rsid w:val="30722A95"/>
    <w:rsid w:val="309A2B85"/>
    <w:rsid w:val="30E3452C"/>
    <w:rsid w:val="313308E4"/>
    <w:rsid w:val="313B21E2"/>
    <w:rsid w:val="31436D79"/>
    <w:rsid w:val="314B0E46"/>
    <w:rsid w:val="317437AE"/>
    <w:rsid w:val="317A6513"/>
    <w:rsid w:val="319455CF"/>
    <w:rsid w:val="31C17E9C"/>
    <w:rsid w:val="31CE1418"/>
    <w:rsid w:val="31D9148B"/>
    <w:rsid w:val="31DC71A3"/>
    <w:rsid w:val="31F65BC5"/>
    <w:rsid w:val="323B2146"/>
    <w:rsid w:val="3244724D"/>
    <w:rsid w:val="324A2389"/>
    <w:rsid w:val="32611CF5"/>
    <w:rsid w:val="327328FA"/>
    <w:rsid w:val="328E54AC"/>
    <w:rsid w:val="32D84C31"/>
    <w:rsid w:val="32E45099"/>
    <w:rsid w:val="33192CF9"/>
    <w:rsid w:val="331E75B3"/>
    <w:rsid w:val="33406F8F"/>
    <w:rsid w:val="334116CF"/>
    <w:rsid w:val="33A87367"/>
    <w:rsid w:val="33C17097"/>
    <w:rsid w:val="341E29A6"/>
    <w:rsid w:val="345E437D"/>
    <w:rsid w:val="346040E6"/>
    <w:rsid w:val="34900A87"/>
    <w:rsid w:val="34FF467C"/>
    <w:rsid w:val="35042BAA"/>
    <w:rsid w:val="35221DC7"/>
    <w:rsid w:val="35635C3C"/>
    <w:rsid w:val="35667733"/>
    <w:rsid w:val="35CF10F5"/>
    <w:rsid w:val="369F01B4"/>
    <w:rsid w:val="36E64A79"/>
    <w:rsid w:val="36F40202"/>
    <w:rsid w:val="3727621C"/>
    <w:rsid w:val="374A2DC4"/>
    <w:rsid w:val="37655186"/>
    <w:rsid w:val="377203B8"/>
    <w:rsid w:val="378E20E3"/>
    <w:rsid w:val="37F7266B"/>
    <w:rsid w:val="37FF5A0E"/>
    <w:rsid w:val="3825367C"/>
    <w:rsid w:val="382E73C1"/>
    <w:rsid w:val="38303DCF"/>
    <w:rsid w:val="38561A88"/>
    <w:rsid w:val="387D3C57"/>
    <w:rsid w:val="38D961FA"/>
    <w:rsid w:val="39110269"/>
    <w:rsid w:val="39431675"/>
    <w:rsid w:val="39493F52"/>
    <w:rsid w:val="397B72CC"/>
    <w:rsid w:val="397D3578"/>
    <w:rsid w:val="39ED1F78"/>
    <w:rsid w:val="3A0A5E41"/>
    <w:rsid w:val="3A36178F"/>
    <w:rsid w:val="3A3A2CE3"/>
    <w:rsid w:val="3A4E3759"/>
    <w:rsid w:val="3A747227"/>
    <w:rsid w:val="3AAA7C2D"/>
    <w:rsid w:val="3AAC011D"/>
    <w:rsid w:val="3ACB39EB"/>
    <w:rsid w:val="3B651FE2"/>
    <w:rsid w:val="3B7C7FAD"/>
    <w:rsid w:val="3B8B7C9A"/>
    <w:rsid w:val="3B9F54F4"/>
    <w:rsid w:val="3BB464FC"/>
    <w:rsid w:val="3BB7098A"/>
    <w:rsid w:val="3BC86A80"/>
    <w:rsid w:val="3BE779A2"/>
    <w:rsid w:val="3BF026A0"/>
    <w:rsid w:val="3BF27D19"/>
    <w:rsid w:val="3C4F68A8"/>
    <w:rsid w:val="3C664263"/>
    <w:rsid w:val="3C6A5B02"/>
    <w:rsid w:val="3C8F30AA"/>
    <w:rsid w:val="3C9017B0"/>
    <w:rsid w:val="3C9B0B42"/>
    <w:rsid w:val="3CCF6288"/>
    <w:rsid w:val="3CEB3167"/>
    <w:rsid w:val="3CF372D2"/>
    <w:rsid w:val="3D4268E3"/>
    <w:rsid w:val="3D580F58"/>
    <w:rsid w:val="3D7B5AED"/>
    <w:rsid w:val="3DF312B4"/>
    <w:rsid w:val="3DF91963"/>
    <w:rsid w:val="3DFC4E7F"/>
    <w:rsid w:val="3E077380"/>
    <w:rsid w:val="3E194BC1"/>
    <w:rsid w:val="3E5F25DA"/>
    <w:rsid w:val="3E67693F"/>
    <w:rsid w:val="3E6F30B6"/>
    <w:rsid w:val="3E8B352C"/>
    <w:rsid w:val="3EB0426F"/>
    <w:rsid w:val="3EDE6333"/>
    <w:rsid w:val="3F012A8A"/>
    <w:rsid w:val="3F4E4CEA"/>
    <w:rsid w:val="3F5B33C0"/>
    <w:rsid w:val="3F693EB8"/>
    <w:rsid w:val="3F9E2596"/>
    <w:rsid w:val="3FC174A6"/>
    <w:rsid w:val="3FC97212"/>
    <w:rsid w:val="3FE034BE"/>
    <w:rsid w:val="400224F5"/>
    <w:rsid w:val="401D10DD"/>
    <w:rsid w:val="40322DDA"/>
    <w:rsid w:val="40974A55"/>
    <w:rsid w:val="40B61873"/>
    <w:rsid w:val="40F041E6"/>
    <w:rsid w:val="4114603C"/>
    <w:rsid w:val="41272213"/>
    <w:rsid w:val="416C231C"/>
    <w:rsid w:val="41721A73"/>
    <w:rsid w:val="41741ECE"/>
    <w:rsid w:val="418331C2"/>
    <w:rsid w:val="41BC1BB4"/>
    <w:rsid w:val="42040BEF"/>
    <w:rsid w:val="421B164C"/>
    <w:rsid w:val="423C2C7E"/>
    <w:rsid w:val="42701998"/>
    <w:rsid w:val="42D31F27"/>
    <w:rsid w:val="42F14FC3"/>
    <w:rsid w:val="43040332"/>
    <w:rsid w:val="430B0051"/>
    <w:rsid w:val="43294721"/>
    <w:rsid w:val="43641051"/>
    <w:rsid w:val="43677726"/>
    <w:rsid w:val="437439A1"/>
    <w:rsid w:val="43976215"/>
    <w:rsid w:val="43FB34E3"/>
    <w:rsid w:val="440A3726"/>
    <w:rsid w:val="445157F9"/>
    <w:rsid w:val="44550E45"/>
    <w:rsid w:val="44AF3321"/>
    <w:rsid w:val="44B80D28"/>
    <w:rsid w:val="44BD3C53"/>
    <w:rsid w:val="44FA379B"/>
    <w:rsid w:val="453C2005"/>
    <w:rsid w:val="454502EA"/>
    <w:rsid w:val="454964D0"/>
    <w:rsid w:val="454D4439"/>
    <w:rsid w:val="45554E75"/>
    <w:rsid w:val="45791519"/>
    <w:rsid w:val="45B70BAF"/>
    <w:rsid w:val="45BA0898"/>
    <w:rsid w:val="461068B4"/>
    <w:rsid w:val="4645313C"/>
    <w:rsid w:val="469E3AD1"/>
    <w:rsid w:val="46B75DE7"/>
    <w:rsid w:val="46BC102E"/>
    <w:rsid w:val="46C201C2"/>
    <w:rsid w:val="46F62A7D"/>
    <w:rsid w:val="46F85025"/>
    <w:rsid w:val="47094A53"/>
    <w:rsid w:val="477041E8"/>
    <w:rsid w:val="4780267D"/>
    <w:rsid w:val="47953C4F"/>
    <w:rsid w:val="4799478F"/>
    <w:rsid w:val="47C3256A"/>
    <w:rsid w:val="48015AC8"/>
    <w:rsid w:val="48272928"/>
    <w:rsid w:val="48284AC3"/>
    <w:rsid w:val="48362D3C"/>
    <w:rsid w:val="48381158"/>
    <w:rsid w:val="484505CA"/>
    <w:rsid w:val="484C2CA3"/>
    <w:rsid w:val="488C73A1"/>
    <w:rsid w:val="48A24875"/>
    <w:rsid w:val="48AC5D02"/>
    <w:rsid w:val="48B00D40"/>
    <w:rsid w:val="48FF325B"/>
    <w:rsid w:val="494A4DFF"/>
    <w:rsid w:val="496547AD"/>
    <w:rsid w:val="49675177"/>
    <w:rsid w:val="49784744"/>
    <w:rsid w:val="49B546C3"/>
    <w:rsid w:val="49C34AA3"/>
    <w:rsid w:val="49C8002D"/>
    <w:rsid w:val="49C902C5"/>
    <w:rsid w:val="49CB1FB5"/>
    <w:rsid w:val="4A0F10CE"/>
    <w:rsid w:val="4A1672C9"/>
    <w:rsid w:val="4A1746C8"/>
    <w:rsid w:val="4A175E73"/>
    <w:rsid w:val="4A477482"/>
    <w:rsid w:val="4A633B90"/>
    <w:rsid w:val="4A6C5A80"/>
    <w:rsid w:val="4A9511A8"/>
    <w:rsid w:val="4AB078ED"/>
    <w:rsid w:val="4AC96769"/>
    <w:rsid w:val="4ADB406F"/>
    <w:rsid w:val="4B4A62F4"/>
    <w:rsid w:val="4B694D13"/>
    <w:rsid w:val="4B6B71A0"/>
    <w:rsid w:val="4B9764DA"/>
    <w:rsid w:val="4BB072A9"/>
    <w:rsid w:val="4BB0793C"/>
    <w:rsid w:val="4BC87F21"/>
    <w:rsid w:val="4BF95768"/>
    <w:rsid w:val="4C1573A3"/>
    <w:rsid w:val="4C520360"/>
    <w:rsid w:val="4C9B1D07"/>
    <w:rsid w:val="4CA62F12"/>
    <w:rsid w:val="4D113753"/>
    <w:rsid w:val="4D1B2795"/>
    <w:rsid w:val="4D203FBB"/>
    <w:rsid w:val="4DA641B8"/>
    <w:rsid w:val="4DB72B71"/>
    <w:rsid w:val="4DBF18E4"/>
    <w:rsid w:val="4DF914D1"/>
    <w:rsid w:val="4E1368CA"/>
    <w:rsid w:val="4E2D63F2"/>
    <w:rsid w:val="4E2F7B2D"/>
    <w:rsid w:val="4E3B6988"/>
    <w:rsid w:val="4E4168DE"/>
    <w:rsid w:val="4EB3741F"/>
    <w:rsid w:val="4EC8490A"/>
    <w:rsid w:val="4EE51018"/>
    <w:rsid w:val="4EF10FC7"/>
    <w:rsid w:val="4F4246BC"/>
    <w:rsid w:val="4F561542"/>
    <w:rsid w:val="4F734876"/>
    <w:rsid w:val="4F7F8C32"/>
    <w:rsid w:val="4F88143C"/>
    <w:rsid w:val="4F956BF2"/>
    <w:rsid w:val="4FA12EA0"/>
    <w:rsid w:val="4FA74FBE"/>
    <w:rsid w:val="4FC57BED"/>
    <w:rsid w:val="500B1C51"/>
    <w:rsid w:val="500D6A78"/>
    <w:rsid w:val="503A5202"/>
    <w:rsid w:val="50F245AF"/>
    <w:rsid w:val="50F45001"/>
    <w:rsid w:val="51907AB3"/>
    <w:rsid w:val="51D06181"/>
    <w:rsid w:val="51E93115"/>
    <w:rsid w:val="52273F7A"/>
    <w:rsid w:val="523F3135"/>
    <w:rsid w:val="52592449"/>
    <w:rsid w:val="52D618F7"/>
    <w:rsid w:val="531C5FF6"/>
    <w:rsid w:val="53226F6B"/>
    <w:rsid w:val="53344B94"/>
    <w:rsid w:val="533802B0"/>
    <w:rsid w:val="533F47B1"/>
    <w:rsid w:val="534E7AD3"/>
    <w:rsid w:val="53500458"/>
    <w:rsid w:val="539B4F9B"/>
    <w:rsid w:val="53E82F40"/>
    <w:rsid w:val="5401121D"/>
    <w:rsid w:val="541008E5"/>
    <w:rsid w:val="54106B37"/>
    <w:rsid w:val="54177B57"/>
    <w:rsid w:val="547B0ED4"/>
    <w:rsid w:val="547F49C7"/>
    <w:rsid w:val="54D75DEE"/>
    <w:rsid w:val="54ED7E1B"/>
    <w:rsid w:val="552742FF"/>
    <w:rsid w:val="55402630"/>
    <w:rsid w:val="55563836"/>
    <w:rsid w:val="556A60F5"/>
    <w:rsid w:val="556C6834"/>
    <w:rsid w:val="55735DDC"/>
    <w:rsid w:val="55775434"/>
    <w:rsid w:val="55894DF3"/>
    <w:rsid w:val="55AD22F8"/>
    <w:rsid w:val="566D0DDB"/>
    <w:rsid w:val="566D4183"/>
    <w:rsid w:val="56985AE3"/>
    <w:rsid w:val="56B23ED5"/>
    <w:rsid w:val="56B24434"/>
    <w:rsid w:val="56B82DE4"/>
    <w:rsid w:val="5703167F"/>
    <w:rsid w:val="570B7A8A"/>
    <w:rsid w:val="57617B28"/>
    <w:rsid w:val="5767467E"/>
    <w:rsid w:val="57720E96"/>
    <w:rsid w:val="57CE6149"/>
    <w:rsid w:val="57F24F2A"/>
    <w:rsid w:val="582C2E5C"/>
    <w:rsid w:val="58472652"/>
    <w:rsid w:val="584B3F6A"/>
    <w:rsid w:val="58624CFD"/>
    <w:rsid w:val="586B07E0"/>
    <w:rsid w:val="586C784F"/>
    <w:rsid w:val="58821B71"/>
    <w:rsid w:val="58922210"/>
    <w:rsid w:val="58C90949"/>
    <w:rsid w:val="59372685"/>
    <w:rsid w:val="596A4A22"/>
    <w:rsid w:val="59BC3D40"/>
    <w:rsid w:val="59FD1400"/>
    <w:rsid w:val="5A032C9A"/>
    <w:rsid w:val="5A4B3BC7"/>
    <w:rsid w:val="5A796407"/>
    <w:rsid w:val="5AD430E1"/>
    <w:rsid w:val="5AF57843"/>
    <w:rsid w:val="5B2353A2"/>
    <w:rsid w:val="5B390072"/>
    <w:rsid w:val="5B417B48"/>
    <w:rsid w:val="5B490B80"/>
    <w:rsid w:val="5B4B48F9"/>
    <w:rsid w:val="5B602B8D"/>
    <w:rsid w:val="5BBA00DF"/>
    <w:rsid w:val="5C031F8B"/>
    <w:rsid w:val="5C361105"/>
    <w:rsid w:val="5CB93880"/>
    <w:rsid w:val="5CE5510F"/>
    <w:rsid w:val="5CF60894"/>
    <w:rsid w:val="5D563A15"/>
    <w:rsid w:val="5DE51034"/>
    <w:rsid w:val="5DF41277"/>
    <w:rsid w:val="5E007C1C"/>
    <w:rsid w:val="5EB95AC9"/>
    <w:rsid w:val="5EEE5FF5"/>
    <w:rsid w:val="5F97010C"/>
    <w:rsid w:val="5FCD7FD2"/>
    <w:rsid w:val="5FD03A95"/>
    <w:rsid w:val="5FF70DC1"/>
    <w:rsid w:val="60432042"/>
    <w:rsid w:val="607A09C6"/>
    <w:rsid w:val="608A1736"/>
    <w:rsid w:val="60910FD3"/>
    <w:rsid w:val="609B59DA"/>
    <w:rsid w:val="609F4FE8"/>
    <w:rsid w:val="60A56859"/>
    <w:rsid w:val="613253CF"/>
    <w:rsid w:val="613F0A5C"/>
    <w:rsid w:val="61406D63"/>
    <w:rsid w:val="61D309C1"/>
    <w:rsid w:val="61F21FBB"/>
    <w:rsid w:val="61F657B8"/>
    <w:rsid w:val="622D5A78"/>
    <w:rsid w:val="62333B94"/>
    <w:rsid w:val="62455EA3"/>
    <w:rsid w:val="62555998"/>
    <w:rsid w:val="625C73EB"/>
    <w:rsid w:val="62A10321"/>
    <w:rsid w:val="62A3326C"/>
    <w:rsid w:val="62EF47ED"/>
    <w:rsid w:val="63644067"/>
    <w:rsid w:val="63846BFA"/>
    <w:rsid w:val="63C04E0D"/>
    <w:rsid w:val="64177A6E"/>
    <w:rsid w:val="645D0076"/>
    <w:rsid w:val="64816C98"/>
    <w:rsid w:val="64CF7A0B"/>
    <w:rsid w:val="64E5439B"/>
    <w:rsid w:val="65654A4E"/>
    <w:rsid w:val="65896749"/>
    <w:rsid w:val="65CA501B"/>
    <w:rsid w:val="65DE7033"/>
    <w:rsid w:val="65E72516"/>
    <w:rsid w:val="665723A3"/>
    <w:rsid w:val="666844C2"/>
    <w:rsid w:val="667E5B82"/>
    <w:rsid w:val="66985D66"/>
    <w:rsid w:val="66A51361"/>
    <w:rsid w:val="66AE5CE5"/>
    <w:rsid w:val="66C56598"/>
    <w:rsid w:val="672500BF"/>
    <w:rsid w:val="67417566"/>
    <w:rsid w:val="67550FD9"/>
    <w:rsid w:val="677476CC"/>
    <w:rsid w:val="678C7DEF"/>
    <w:rsid w:val="67AA29A7"/>
    <w:rsid w:val="67DF4E1C"/>
    <w:rsid w:val="685D09D5"/>
    <w:rsid w:val="686054CD"/>
    <w:rsid w:val="68AF296B"/>
    <w:rsid w:val="68F4037D"/>
    <w:rsid w:val="690A4E0D"/>
    <w:rsid w:val="693E7099"/>
    <w:rsid w:val="69D911D4"/>
    <w:rsid w:val="6A211646"/>
    <w:rsid w:val="6A56439B"/>
    <w:rsid w:val="6AA9734A"/>
    <w:rsid w:val="6B0D3978"/>
    <w:rsid w:val="6B317066"/>
    <w:rsid w:val="6B537E5F"/>
    <w:rsid w:val="6B6F4633"/>
    <w:rsid w:val="6B741C1B"/>
    <w:rsid w:val="6BEB3929"/>
    <w:rsid w:val="6BFD579B"/>
    <w:rsid w:val="6BFF0A82"/>
    <w:rsid w:val="6C1E4E98"/>
    <w:rsid w:val="6C38544E"/>
    <w:rsid w:val="6C423325"/>
    <w:rsid w:val="6CB26F14"/>
    <w:rsid w:val="6CF05300"/>
    <w:rsid w:val="6CF97917"/>
    <w:rsid w:val="6D26034E"/>
    <w:rsid w:val="6D3276C6"/>
    <w:rsid w:val="6D4A0EB4"/>
    <w:rsid w:val="6D532791"/>
    <w:rsid w:val="6D561607"/>
    <w:rsid w:val="6D74674E"/>
    <w:rsid w:val="6D9B2BEF"/>
    <w:rsid w:val="6E09514E"/>
    <w:rsid w:val="6E9323E7"/>
    <w:rsid w:val="6E9A79E9"/>
    <w:rsid w:val="6EA91C0A"/>
    <w:rsid w:val="6ED0363B"/>
    <w:rsid w:val="6EDD3662"/>
    <w:rsid w:val="6EE42C42"/>
    <w:rsid w:val="6EEF1D13"/>
    <w:rsid w:val="6F1304BA"/>
    <w:rsid w:val="6F334DA2"/>
    <w:rsid w:val="6F433ACB"/>
    <w:rsid w:val="6F4F630E"/>
    <w:rsid w:val="6F7B0AEA"/>
    <w:rsid w:val="6FA91F61"/>
    <w:rsid w:val="6FC34F4E"/>
    <w:rsid w:val="6FDF7293"/>
    <w:rsid w:val="6FE506ED"/>
    <w:rsid w:val="70065A31"/>
    <w:rsid w:val="701D2C39"/>
    <w:rsid w:val="70270955"/>
    <w:rsid w:val="70365454"/>
    <w:rsid w:val="703B0F88"/>
    <w:rsid w:val="70536B84"/>
    <w:rsid w:val="706C2AAB"/>
    <w:rsid w:val="70A450A0"/>
    <w:rsid w:val="70EF5EDC"/>
    <w:rsid w:val="71324139"/>
    <w:rsid w:val="71584144"/>
    <w:rsid w:val="71AB7A47"/>
    <w:rsid w:val="71B53D76"/>
    <w:rsid w:val="72361A07"/>
    <w:rsid w:val="72474784"/>
    <w:rsid w:val="72676064"/>
    <w:rsid w:val="727214D3"/>
    <w:rsid w:val="72B65C67"/>
    <w:rsid w:val="72FA6ED8"/>
    <w:rsid w:val="738C1A2B"/>
    <w:rsid w:val="73927111"/>
    <w:rsid w:val="73B057E9"/>
    <w:rsid w:val="73B25989"/>
    <w:rsid w:val="73F62C83"/>
    <w:rsid w:val="740D4F28"/>
    <w:rsid w:val="745052D9"/>
    <w:rsid w:val="74C4449F"/>
    <w:rsid w:val="74DC5EBB"/>
    <w:rsid w:val="74EF29BE"/>
    <w:rsid w:val="74FA31C0"/>
    <w:rsid w:val="75047B9A"/>
    <w:rsid w:val="75542FDE"/>
    <w:rsid w:val="75AC740F"/>
    <w:rsid w:val="75F1223F"/>
    <w:rsid w:val="76143E0D"/>
    <w:rsid w:val="764211C6"/>
    <w:rsid w:val="769D60E3"/>
    <w:rsid w:val="77226B8B"/>
    <w:rsid w:val="77646BE8"/>
    <w:rsid w:val="77911BC2"/>
    <w:rsid w:val="77926DFF"/>
    <w:rsid w:val="77AF825A"/>
    <w:rsid w:val="77C74EAF"/>
    <w:rsid w:val="78034139"/>
    <w:rsid w:val="782C7B34"/>
    <w:rsid w:val="78445FA5"/>
    <w:rsid w:val="784D7AAA"/>
    <w:rsid w:val="78551CF5"/>
    <w:rsid w:val="785E1CB7"/>
    <w:rsid w:val="788A485A"/>
    <w:rsid w:val="788D77FD"/>
    <w:rsid w:val="789C7979"/>
    <w:rsid w:val="78A84CE1"/>
    <w:rsid w:val="78B8503F"/>
    <w:rsid w:val="78F626F0"/>
    <w:rsid w:val="78F9378E"/>
    <w:rsid w:val="79690371"/>
    <w:rsid w:val="796B5F6C"/>
    <w:rsid w:val="797F5A41"/>
    <w:rsid w:val="798B2638"/>
    <w:rsid w:val="79B57521"/>
    <w:rsid w:val="79D36350"/>
    <w:rsid w:val="7A25365F"/>
    <w:rsid w:val="7A330BE3"/>
    <w:rsid w:val="7A5D747E"/>
    <w:rsid w:val="7A650EE2"/>
    <w:rsid w:val="7A742C4E"/>
    <w:rsid w:val="7A886B78"/>
    <w:rsid w:val="7AA03EC1"/>
    <w:rsid w:val="7AA53BCD"/>
    <w:rsid w:val="7AC1208A"/>
    <w:rsid w:val="7AD262B9"/>
    <w:rsid w:val="7B073F40"/>
    <w:rsid w:val="7B841A35"/>
    <w:rsid w:val="7B8739B8"/>
    <w:rsid w:val="7BE85A5A"/>
    <w:rsid w:val="7BED2F6D"/>
    <w:rsid w:val="7C6F2B32"/>
    <w:rsid w:val="7D511DEB"/>
    <w:rsid w:val="7D586CD5"/>
    <w:rsid w:val="7D5E2DD2"/>
    <w:rsid w:val="7D7934EC"/>
    <w:rsid w:val="7DE62533"/>
    <w:rsid w:val="7DED5311"/>
    <w:rsid w:val="7DF692D8"/>
    <w:rsid w:val="7DFE32B7"/>
    <w:rsid w:val="7E292E9D"/>
    <w:rsid w:val="7E4E2D56"/>
    <w:rsid w:val="7E72113A"/>
    <w:rsid w:val="7E775881"/>
    <w:rsid w:val="7ED333E0"/>
    <w:rsid w:val="7EF10E29"/>
    <w:rsid w:val="7EF944E8"/>
    <w:rsid w:val="7F1430D0"/>
    <w:rsid w:val="7F3F17D8"/>
    <w:rsid w:val="7F945082"/>
    <w:rsid w:val="7FBB179D"/>
    <w:rsid w:val="7FDF36DE"/>
    <w:rsid w:val="7FE13C63"/>
    <w:rsid w:val="9CDBF28F"/>
    <w:rsid w:val="9FADC24E"/>
    <w:rsid w:val="DF5FB6B7"/>
    <w:rsid w:val="F2EAD378"/>
    <w:rsid w:val="F3F0BB5C"/>
    <w:rsid w:val="F6FE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99" w:semiHidden="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9"/>
    <w:pPr>
      <w:keepNext/>
      <w:keepLines/>
      <w:spacing w:before="260" w:after="260"/>
      <w:jc w:val="center"/>
      <w:outlineLvl w:val="1"/>
    </w:pPr>
    <w:rPr>
      <w:rFonts w:eastAsia="华文中宋" w:cs="Times New Roman"/>
      <w:b/>
      <w:bCs/>
      <w:szCs w:val="44"/>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ascii="仿宋_GB2312" w:eastAsia="仿宋_GB2312"/>
      <w:sz w:val="30"/>
    </w:rPr>
  </w:style>
  <w:style w:type="paragraph" w:styleId="5">
    <w:name w:val="table of authorities"/>
    <w:basedOn w:val="1"/>
    <w:next w:val="1"/>
    <w:qFormat/>
    <w:uiPriority w:val="0"/>
    <w:pPr>
      <w:ind w:left="420" w:leftChars="200"/>
    </w:pPr>
  </w:style>
  <w:style w:type="paragraph" w:styleId="6">
    <w:name w:val="Normal Indent"/>
    <w:basedOn w:val="1"/>
    <w:next w:val="1"/>
    <w:qFormat/>
    <w:uiPriority w:val="0"/>
    <w:pPr>
      <w:ind w:firstLine="420"/>
    </w:pPr>
    <w:rPr>
      <w:szCs w:val="21"/>
    </w:rPr>
  </w:style>
  <w:style w:type="paragraph" w:styleId="7">
    <w:name w:val="annotation text"/>
    <w:basedOn w:val="1"/>
    <w:semiHidden/>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Body Text Indent 2"/>
    <w:basedOn w:val="1"/>
    <w:qFormat/>
    <w:uiPriority w:val="0"/>
    <w:pPr>
      <w:spacing w:after="120" w:line="480" w:lineRule="auto"/>
      <w:ind w:left="420" w:leftChars="200"/>
    </w:pPr>
    <w:rPr>
      <w:szCs w:val="21"/>
    </w:rPr>
  </w:style>
  <w:style w:type="paragraph" w:styleId="10">
    <w:name w:val="footer"/>
    <w:basedOn w:val="1"/>
    <w:unhideWhenUsed/>
    <w:qFormat/>
    <w:uiPriority w:val="99"/>
    <w:pPr>
      <w:tabs>
        <w:tab w:val="center" w:pos="4153"/>
        <w:tab w:val="right" w:pos="8306"/>
      </w:tabs>
      <w:snapToGrid w:val="0"/>
      <w:jc w:val="left"/>
    </w:pPr>
    <w:rPr>
      <w:sz w:val="18"/>
    </w:rPr>
  </w:style>
  <w:style w:type="paragraph" w:styleId="11">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unhideWhenUsed/>
    <w:qFormat/>
    <w:uiPriority w:val="39"/>
  </w:style>
  <w:style w:type="paragraph" w:styleId="13">
    <w:name w:val="index 9"/>
    <w:basedOn w:val="1"/>
    <w:next w:val="1"/>
    <w:qFormat/>
    <w:uiPriority w:val="99"/>
    <w:pPr>
      <w:ind w:left="1600" w:leftChars="1600"/>
    </w:pPr>
  </w:style>
  <w:style w:type="paragraph" w:styleId="14">
    <w:name w:val="toc 2"/>
    <w:basedOn w:val="1"/>
    <w:next w:val="1"/>
    <w:unhideWhenUsed/>
    <w:qFormat/>
    <w:uiPriority w:val="39"/>
    <w:pPr>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basedOn w:val="1"/>
    <w:qFormat/>
    <w:uiPriority w:val="0"/>
    <w:pPr>
      <w:spacing w:before="100" w:beforeAutospacing="1" w:after="100" w:afterAutospacing="1"/>
      <w:jc w:val="left"/>
    </w:pPr>
    <w:rPr>
      <w:rFonts w:eastAsia="宋体"/>
      <w:kern w:val="0"/>
      <w:sz w:val="24"/>
    </w:rPr>
  </w:style>
  <w:style w:type="paragraph" w:styleId="17">
    <w:name w:val="Body Text First Indent"/>
    <w:basedOn w:val="2"/>
    <w:unhideWhenUsed/>
    <w:qFormat/>
    <w:uiPriority w:val="0"/>
    <w:pPr>
      <w:ind w:firstLine="420" w:firstLineChars="100"/>
    </w:pPr>
  </w:style>
  <w:style w:type="paragraph" w:styleId="18">
    <w:name w:val="Body Text First Indent 2"/>
    <w:basedOn w:val="8"/>
    <w:unhideWhenUsed/>
    <w:qFormat/>
    <w:uiPriority w:val="99"/>
    <w:pPr>
      <w:widowControl/>
      <w:wordWrap w:val="0"/>
      <w:ind w:firstLine="420" w:firstLineChars="200"/>
    </w:pPr>
    <w:rPr>
      <w:kern w:val="0"/>
      <w:sz w:val="20"/>
      <w:szCs w:val="20"/>
    </w:rPr>
  </w:style>
  <w:style w:type="paragraph" w:customStyle="1" w:styleId="21">
    <w:name w:val="无间隔1"/>
    <w:qFormat/>
    <w:uiPriority w:val="0"/>
    <w:rPr>
      <w:rFonts w:ascii="Times New Roman" w:hAnsi="Times New Roman" w:eastAsia="宋体" w:cs="Times New Roman"/>
      <w:sz w:val="22"/>
      <w:szCs w:val="22"/>
      <w:lang w:val="en-US" w:eastAsia="zh-CN" w:bidi="ar-SA"/>
    </w:rPr>
  </w:style>
  <w:style w:type="paragraph" w:styleId="22">
    <w:name w:val="List Paragraph"/>
    <w:basedOn w:val="1"/>
    <w:qFormat/>
    <w:uiPriority w:val="34"/>
    <w:pPr>
      <w:ind w:firstLine="420" w:firstLineChars="200"/>
    </w:pPr>
  </w:style>
  <w:style w:type="paragraph" w:customStyle="1" w:styleId="23">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6">
    <w:name w:val="font11"/>
    <w:basedOn w:val="20"/>
    <w:qFormat/>
    <w:uiPriority w:val="0"/>
    <w:rPr>
      <w:rFonts w:ascii="仿宋" w:hAnsi="仿宋" w:eastAsia="仿宋" w:cs="仿宋"/>
      <w:color w:val="000000"/>
      <w:sz w:val="24"/>
      <w:szCs w:val="24"/>
      <w:u w:val="none"/>
    </w:rPr>
  </w:style>
  <w:style w:type="paragraph" w:customStyle="1" w:styleId="27">
    <w:name w:val="二级"/>
    <w:basedOn w:val="1"/>
    <w:qFormat/>
    <w:uiPriority w:val="0"/>
    <w:pPr>
      <w:autoSpaceDN w:val="0"/>
      <w:spacing w:line="400" w:lineRule="exact"/>
      <w:outlineLvl w:val="2"/>
    </w:pPr>
    <w:rPr>
      <w:rFonts w:ascii="宋体" w:hAnsi="宋体"/>
      <w:b/>
      <w:bCs/>
      <w:sz w:val="28"/>
      <w:szCs w:val="28"/>
      <w:lang w:eastAsia="en-US"/>
    </w:rPr>
  </w:style>
  <w:style w:type="paragraph" w:customStyle="1" w:styleId="2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0">
    <w:name w:val="bjh-p"/>
    <w:basedOn w:val="20"/>
    <w:qFormat/>
    <w:uiPriority w:val="0"/>
  </w:style>
  <w:style w:type="paragraph" w:customStyle="1" w:styleId="31">
    <w:name w:val="标题3"/>
    <w:basedOn w:val="1"/>
    <w:next w:val="1"/>
    <w:qFormat/>
    <w:uiPriority w:val="0"/>
    <w:pPr>
      <w:snapToGrid w:val="0"/>
      <w:spacing w:line="360" w:lineRule="auto"/>
      <w:ind w:firstLine="200" w:firstLineChars="200"/>
      <w:outlineLvl w:val="2"/>
    </w:pPr>
    <w:rPr>
      <w:rFonts w:ascii="仿宋_GB2312" w:hAnsi="华文宋体" w:eastAsia="仿宋_GB2312"/>
      <w:sz w:val="32"/>
      <w:szCs w:val="32"/>
    </w:rPr>
  </w:style>
  <w:style w:type="character" w:customStyle="1" w:styleId="32">
    <w:name w:val="font41"/>
    <w:basedOn w:val="20"/>
    <w:qFormat/>
    <w:uiPriority w:val="0"/>
    <w:rPr>
      <w:rFonts w:hint="eastAsia" w:ascii="宋体" w:hAnsi="宋体" w:eastAsia="宋体" w:cs="宋体"/>
      <w:color w:val="000000"/>
      <w:sz w:val="20"/>
      <w:szCs w:val="20"/>
      <w:u w:val="none"/>
    </w:rPr>
  </w:style>
  <w:style w:type="character" w:customStyle="1" w:styleId="33">
    <w:name w:val="font01"/>
    <w:basedOn w:val="20"/>
    <w:qFormat/>
    <w:uiPriority w:val="0"/>
    <w:rPr>
      <w:rFonts w:hint="eastAsia" w:ascii="宋体" w:hAnsi="宋体" w:eastAsia="宋体" w:cs="宋体"/>
      <w:color w:val="000000"/>
      <w:sz w:val="20"/>
      <w:szCs w:val="20"/>
      <w:u w:val="none"/>
    </w:rPr>
  </w:style>
  <w:style w:type="paragraph" w:customStyle="1" w:styleId="34">
    <w:name w:val="Index9"/>
    <w:basedOn w:val="1"/>
    <w:next w:val="1"/>
    <w:semiHidden/>
    <w:qFormat/>
    <w:uiPriority w:val="0"/>
    <w:pPr>
      <w:ind w:left="1600" w:leftChars="1600"/>
      <w:textAlignment w:val="baseline"/>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252</Words>
  <Characters>266</Characters>
  <Lines>130</Lines>
  <Paragraphs>36</Paragraphs>
  <TotalTime>596</TotalTime>
  <ScaleCrop>false</ScaleCrop>
  <LinksUpToDate>false</LinksUpToDate>
  <CharactersWithSpaces>338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2022-04-16T18:14:00Z</dcterms:created>
  <dc:creator>岳辰 于</dc:creator>
  <cp:lastModifiedBy>❤️起点</cp:lastModifiedBy>
  <cp:lastPrinted>2025-08-22T23:02:00Z</cp:lastPrinted>
  <dcterms:modified xsi:type="dcterms:W3CDTF">2025-08-26T02:12:13Z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86B839CD3803469A83D6BD3DF4658A38_13</vt:lpwstr>
  </property>
  <property fmtid="{D5CDD505-2E9C-101B-9397-08002B2CF9AE}" pid="4" name="KSOTemplateDocerSaveRecord">
    <vt:lpwstr>eyJoZGlkIjoiNWY0YzJlMzdmZDRkNThjYTllMTI1MDcxNDdlMTU2NjAiLCJ1c2VySWQiOiI1Njk4NDExMjMifQ==</vt:lpwstr>
  </property>
</Properties>
</file>