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D945A8">
      <w:pPr>
        <w:spacing w:line="400" w:lineRule="atLeast"/>
        <w:ind w:firstLine="0" w:firstLineChars="0"/>
        <w:jc w:val="center"/>
        <w:rPr>
          <w:b/>
          <w:bCs/>
          <w:sz w:val="52"/>
          <w:szCs w:val="52"/>
        </w:rPr>
      </w:pPr>
      <w:bookmarkStart w:id="0" w:name="_Toc410210433"/>
      <w:bookmarkStart w:id="1" w:name="_Toc14173"/>
      <w:bookmarkStart w:id="2" w:name="_Toc13506"/>
    </w:p>
    <w:p w14:paraId="4D523923">
      <w:pPr>
        <w:pStyle w:val="6"/>
        <w:ind w:firstLine="720"/>
      </w:pPr>
    </w:p>
    <w:p w14:paraId="6666DE56">
      <w:pPr>
        <w:spacing w:line="400" w:lineRule="atLeast"/>
        <w:ind w:firstLine="0" w:firstLineChars="0"/>
        <w:jc w:val="center"/>
        <w:rPr>
          <w:rFonts w:eastAsia="方正小标宋_GBK"/>
          <w:b/>
          <w:bCs/>
          <w:sz w:val="44"/>
          <w:szCs w:val="44"/>
        </w:rPr>
      </w:pPr>
    </w:p>
    <w:p w14:paraId="136C754B">
      <w:pPr>
        <w:spacing w:line="400" w:lineRule="atLeast"/>
        <w:ind w:firstLine="0" w:firstLineChars="0"/>
        <w:jc w:val="center"/>
        <w:outlineLvl w:val="0"/>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北京市项目支出绩效评价报告</w:t>
      </w:r>
    </w:p>
    <w:p w14:paraId="42DC6EE0">
      <w:pPr>
        <w:spacing w:line="400" w:lineRule="atLeast"/>
        <w:ind w:firstLine="640"/>
        <w:rPr>
          <w:rFonts w:eastAsia="仿宋_GB2312"/>
          <w:sz w:val="32"/>
          <w:szCs w:val="32"/>
        </w:rPr>
      </w:pPr>
    </w:p>
    <w:p w14:paraId="1D965CCC">
      <w:pPr>
        <w:spacing w:line="400" w:lineRule="atLeast"/>
        <w:ind w:firstLine="0" w:firstLineChars="0"/>
        <w:rPr>
          <w:rFonts w:eastAsia="仿宋_GB2312"/>
          <w:sz w:val="32"/>
          <w:szCs w:val="32"/>
        </w:rPr>
      </w:pPr>
    </w:p>
    <w:p w14:paraId="2C72B449">
      <w:pPr>
        <w:spacing w:line="400" w:lineRule="atLeast"/>
        <w:ind w:firstLine="640"/>
        <w:rPr>
          <w:rFonts w:eastAsia="仿宋_GB2312"/>
          <w:sz w:val="32"/>
          <w:szCs w:val="32"/>
        </w:rPr>
      </w:pPr>
    </w:p>
    <w:p w14:paraId="477B1482">
      <w:pPr>
        <w:spacing w:line="400" w:lineRule="atLeast"/>
        <w:ind w:firstLine="640"/>
        <w:rPr>
          <w:rFonts w:eastAsia="仿宋_GB2312"/>
          <w:sz w:val="32"/>
          <w:szCs w:val="32"/>
        </w:rPr>
      </w:pPr>
    </w:p>
    <w:p w14:paraId="1E9D9FF6">
      <w:pPr>
        <w:pStyle w:val="2"/>
      </w:pPr>
    </w:p>
    <w:p w14:paraId="63A47541">
      <w:pPr>
        <w:ind w:firstLine="480"/>
      </w:pPr>
    </w:p>
    <w:p w14:paraId="57CE9DB6">
      <w:pPr>
        <w:spacing w:line="400" w:lineRule="atLeast"/>
        <w:ind w:firstLine="640"/>
        <w:rPr>
          <w:rFonts w:eastAsia="仿宋_GB2312"/>
          <w:sz w:val="32"/>
          <w:szCs w:val="32"/>
        </w:rPr>
      </w:pPr>
    </w:p>
    <w:p w14:paraId="2C852AD5">
      <w:pPr>
        <w:spacing w:line="600" w:lineRule="auto"/>
        <w:ind w:left="2326" w:leftChars="300" w:right="564" w:rightChars="235" w:hanging="1606" w:hangingChars="500"/>
        <w:jc w:val="left"/>
        <w:rPr>
          <w:rFonts w:eastAsia="仿宋_GB2312"/>
          <w:sz w:val="32"/>
          <w:szCs w:val="32"/>
          <w:u w:val="single"/>
        </w:rPr>
      </w:pPr>
      <w:r>
        <w:rPr>
          <w:rFonts w:eastAsia="仿宋_GB2312"/>
          <w:b/>
          <w:sz w:val="32"/>
          <w:szCs w:val="32"/>
        </w:rPr>
        <w:t>项目名称：</w:t>
      </w:r>
      <w:r>
        <w:rPr>
          <w:rFonts w:hint="eastAsia" w:eastAsia="仿宋_GB2312"/>
          <w:sz w:val="32"/>
          <w:szCs w:val="32"/>
          <w:u w:val="single"/>
        </w:rPr>
        <w:t xml:space="preserve"> 行政办公区二期0160等10个行政办公项目房屋面积和不动产地籍测绘项目</w:t>
      </w:r>
      <w:r>
        <w:rPr>
          <w:rFonts w:eastAsia="仿宋_GB2312"/>
          <w:sz w:val="32"/>
          <w:szCs w:val="32"/>
          <w:u w:val="single"/>
        </w:rPr>
        <w:t xml:space="preserve">   </w:t>
      </w:r>
    </w:p>
    <w:p w14:paraId="0BC8ED72">
      <w:pPr>
        <w:spacing w:line="600" w:lineRule="auto"/>
        <w:ind w:firstLine="707" w:firstLineChars="220"/>
        <w:rPr>
          <w:rFonts w:eastAsia="仿宋_GB2312"/>
          <w:sz w:val="32"/>
          <w:szCs w:val="32"/>
          <w:u w:val="single"/>
        </w:rPr>
      </w:pPr>
      <w:r>
        <w:rPr>
          <w:rFonts w:eastAsia="仿宋_GB2312"/>
          <w:b/>
          <w:sz w:val="32"/>
          <w:szCs w:val="32"/>
        </w:rPr>
        <w:t>实施部门：</w:t>
      </w:r>
      <w:r>
        <w:rPr>
          <w:rFonts w:eastAsia="仿宋_GB2312"/>
          <w:sz w:val="32"/>
          <w:szCs w:val="32"/>
          <w:u w:val="single"/>
        </w:rPr>
        <w:t>北京城市副中心工程建设管理办公室</w:t>
      </w:r>
      <w:r>
        <w:rPr>
          <w:rFonts w:hint="eastAsia" w:eastAsia="仿宋_GB2312"/>
          <w:sz w:val="32"/>
          <w:szCs w:val="32"/>
          <w:u w:val="single"/>
        </w:rPr>
        <w:t xml:space="preserve">   </w:t>
      </w:r>
    </w:p>
    <w:p w14:paraId="3649ED81">
      <w:pPr>
        <w:spacing w:line="600" w:lineRule="auto"/>
        <w:ind w:firstLine="2304" w:firstLineChars="720"/>
        <w:rPr>
          <w:rFonts w:eastAsia="仿宋_GB2312"/>
          <w:sz w:val="32"/>
          <w:szCs w:val="32"/>
          <w:u w:val="single"/>
        </w:rPr>
      </w:pPr>
      <w:r>
        <w:rPr>
          <w:rFonts w:hint="eastAsia" w:eastAsia="仿宋_GB2312"/>
          <w:sz w:val="32"/>
          <w:szCs w:val="32"/>
          <w:u w:val="single"/>
        </w:rPr>
        <w:t xml:space="preserve">           规划设计管理部 </w:t>
      </w:r>
      <w:r>
        <w:rPr>
          <w:rFonts w:eastAsia="仿宋_GB2312"/>
          <w:sz w:val="32"/>
          <w:szCs w:val="32"/>
          <w:u w:val="single"/>
        </w:rPr>
        <w:t xml:space="preserve">   </w:t>
      </w:r>
      <w:r>
        <w:rPr>
          <w:rFonts w:hint="eastAsia" w:eastAsia="仿宋_GB2312"/>
          <w:sz w:val="32"/>
          <w:szCs w:val="32"/>
          <w:u w:val="single"/>
        </w:rPr>
        <w:t xml:space="preserve">      </w:t>
      </w:r>
    </w:p>
    <w:p w14:paraId="4D294574">
      <w:pPr>
        <w:spacing w:line="500" w:lineRule="exact"/>
        <w:ind w:firstLine="0" w:firstLineChars="0"/>
        <w:jc w:val="left"/>
        <w:rPr>
          <w:rFonts w:eastAsia="仿宋_GB2312"/>
          <w:sz w:val="32"/>
          <w:szCs w:val="32"/>
          <w:u w:val="single"/>
        </w:rPr>
      </w:pPr>
    </w:p>
    <w:p w14:paraId="7C39547B">
      <w:pPr>
        <w:snapToGrid w:val="0"/>
        <w:spacing w:line="360" w:lineRule="auto"/>
        <w:ind w:firstLine="0" w:firstLineChars="0"/>
        <w:jc w:val="center"/>
        <w:rPr>
          <w:rFonts w:eastAsia="黑体"/>
          <w:b/>
          <w:sz w:val="32"/>
          <w:szCs w:val="32"/>
        </w:rPr>
      </w:pPr>
      <w:bookmarkStart w:id="3" w:name="_Hlk71569008"/>
    </w:p>
    <w:p w14:paraId="3E6ADC09">
      <w:pPr>
        <w:snapToGrid w:val="0"/>
        <w:spacing w:line="360" w:lineRule="auto"/>
        <w:ind w:firstLine="0" w:firstLineChars="0"/>
        <w:jc w:val="center"/>
        <w:rPr>
          <w:rFonts w:eastAsia="黑体"/>
          <w:b/>
          <w:sz w:val="32"/>
          <w:szCs w:val="32"/>
        </w:rPr>
      </w:pPr>
    </w:p>
    <w:p w14:paraId="248807BC">
      <w:pPr>
        <w:snapToGrid w:val="0"/>
        <w:spacing w:line="360" w:lineRule="auto"/>
        <w:ind w:firstLine="0" w:firstLineChars="0"/>
        <w:jc w:val="center"/>
        <w:outlineLvl w:val="0"/>
        <w:rPr>
          <w:rFonts w:eastAsia="黑体"/>
          <w:bCs/>
          <w:sz w:val="32"/>
          <w:szCs w:val="32"/>
        </w:rPr>
      </w:pPr>
      <w:r>
        <w:rPr>
          <w:rFonts w:eastAsia="黑体"/>
          <w:bCs/>
          <w:sz w:val="32"/>
          <w:szCs w:val="32"/>
        </w:rPr>
        <w:t>北京城市副中心工程建设管理办公室</w:t>
      </w:r>
    </w:p>
    <w:bookmarkEnd w:id="3"/>
    <w:p w14:paraId="5FBF97F8">
      <w:pPr>
        <w:snapToGrid w:val="0"/>
        <w:spacing w:line="360" w:lineRule="auto"/>
        <w:ind w:firstLine="0" w:firstLineChars="0"/>
        <w:jc w:val="center"/>
        <w:rPr>
          <w:rFonts w:eastAsia="黑体"/>
          <w:bCs/>
          <w:sz w:val="32"/>
          <w:szCs w:val="32"/>
        </w:rPr>
      </w:pPr>
      <w:r>
        <w:rPr>
          <w:rFonts w:eastAsia="黑体"/>
          <w:bCs/>
          <w:sz w:val="32"/>
          <w:szCs w:val="32"/>
        </w:rPr>
        <w:t>202</w:t>
      </w:r>
      <w:r>
        <w:rPr>
          <w:rFonts w:hint="eastAsia" w:eastAsia="黑体"/>
          <w:bCs/>
          <w:sz w:val="32"/>
          <w:szCs w:val="32"/>
        </w:rPr>
        <w:t>5</w:t>
      </w:r>
      <w:r>
        <w:rPr>
          <w:rFonts w:eastAsia="黑体"/>
          <w:bCs/>
          <w:sz w:val="32"/>
          <w:szCs w:val="32"/>
        </w:rPr>
        <w:t>年5月</w:t>
      </w:r>
      <w:bookmarkEnd w:id="0"/>
      <w:bookmarkEnd w:id="1"/>
      <w:bookmarkEnd w:id="2"/>
      <w:bookmarkStart w:id="4" w:name="_Hlk68002075"/>
      <w:bookmarkStart w:id="5" w:name="_Hlk67994668"/>
    </w:p>
    <w:bookmarkEnd w:id="4"/>
    <w:p w14:paraId="5435F7E2">
      <w:pPr>
        <w:snapToGrid w:val="0"/>
        <w:spacing w:line="360" w:lineRule="auto"/>
        <w:ind w:firstLine="0" w:firstLineChars="0"/>
        <w:jc w:val="center"/>
        <w:rPr>
          <w:rFonts w:eastAsia="方正小标宋_GBK"/>
          <w:bCs/>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701" w:right="1701" w:bottom="1701" w:left="1701" w:header="851" w:footer="992" w:gutter="0"/>
          <w:pgNumType w:start="1"/>
          <w:cols w:space="720" w:num="1"/>
          <w:docGrid w:type="lines" w:linePitch="327" w:charSpace="0"/>
        </w:sectPr>
      </w:pPr>
    </w:p>
    <w:bookmarkEnd w:id="5"/>
    <w:p w14:paraId="35737D6E">
      <w:pPr>
        <w:spacing w:line="240" w:lineRule="auto"/>
        <w:ind w:firstLine="0" w:firstLineChars="0"/>
        <w:jc w:val="center"/>
        <w:rPr>
          <w:b/>
          <w:bCs/>
          <w:sz w:val="44"/>
          <w:szCs w:val="44"/>
        </w:rPr>
      </w:pPr>
      <w:r>
        <w:rPr>
          <w:b/>
          <w:bCs/>
          <w:sz w:val="44"/>
          <w:szCs w:val="44"/>
        </w:rPr>
        <w:t>目</w:t>
      </w:r>
      <w:r>
        <w:rPr>
          <w:rFonts w:hint="eastAsia"/>
          <w:b/>
          <w:bCs/>
          <w:sz w:val="44"/>
          <w:szCs w:val="44"/>
        </w:rPr>
        <w:t xml:space="preserve"> </w:t>
      </w:r>
      <w:r>
        <w:rPr>
          <w:b/>
          <w:bCs/>
          <w:sz w:val="44"/>
          <w:szCs w:val="44"/>
        </w:rPr>
        <w:t>录</w:t>
      </w:r>
    </w:p>
    <w:p w14:paraId="2A9FC71E">
      <w:pPr>
        <w:pStyle w:val="13"/>
        <w:tabs>
          <w:tab w:val="right" w:leader="dot" w:pos="8504"/>
        </w:tabs>
        <w:ind w:firstLine="560"/>
        <w:rPr>
          <w:sz w:val="28"/>
          <w:szCs w:val="28"/>
        </w:rPr>
      </w:pPr>
      <w:r>
        <w:rPr>
          <w:sz w:val="28"/>
          <w:szCs w:val="28"/>
        </w:rPr>
        <w:fldChar w:fldCharType="begin"/>
      </w:r>
      <w:r>
        <w:rPr>
          <w:sz w:val="28"/>
          <w:szCs w:val="28"/>
        </w:rPr>
        <w:instrText xml:space="preserve">TOC \o "1-2" \h \u </w:instrText>
      </w:r>
      <w:r>
        <w:rPr>
          <w:sz w:val="28"/>
          <w:szCs w:val="28"/>
        </w:rPr>
        <w:fldChar w:fldCharType="separate"/>
      </w:r>
      <w:r>
        <w:fldChar w:fldCharType="begin"/>
      </w:r>
      <w:r>
        <w:instrText xml:space="preserve"> HYPERLINK \l "_Toc12917" </w:instrText>
      </w:r>
      <w:r>
        <w:fldChar w:fldCharType="separate"/>
      </w:r>
      <w:r>
        <w:rPr>
          <w:rFonts w:eastAsia="黑体"/>
          <w:sz w:val="28"/>
          <w:szCs w:val="28"/>
        </w:rPr>
        <w:t>一、基本情况</w:t>
      </w:r>
      <w:r>
        <w:rPr>
          <w:sz w:val="28"/>
          <w:szCs w:val="28"/>
        </w:rPr>
        <w:tab/>
      </w:r>
      <w:r>
        <w:rPr>
          <w:sz w:val="28"/>
          <w:szCs w:val="28"/>
        </w:rPr>
        <w:fldChar w:fldCharType="begin"/>
      </w:r>
      <w:r>
        <w:rPr>
          <w:sz w:val="28"/>
          <w:szCs w:val="28"/>
        </w:rPr>
        <w:instrText xml:space="preserve"> PAGEREF _Toc12917 \h </w:instrText>
      </w:r>
      <w:r>
        <w:rPr>
          <w:sz w:val="28"/>
          <w:szCs w:val="28"/>
        </w:rPr>
        <w:fldChar w:fldCharType="separate"/>
      </w:r>
      <w:r>
        <w:rPr>
          <w:sz w:val="28"/>
          <w:szCs w:val="28"/>
        </w:rPr>
        <w:t>1</w:t>
      </w:r>
      <w:r>
        <w:rPr>
          <w:sz w:val="28"/>
          <w:szCs w:val="28"/>
        </w:rPr>
        <w:fldChar w:fldCharType="end"/>
      </w:r>
      <w:r>
        <w:rPr>
          <w:sz w:val="28"/>
          <w:szCs w:val="28"/>
        </w:rPr>
        <w:fldChar w:fldCharType="end"/>
      </w:r>
    </w:p>
    <w:p w14:paraId="4EA6A1CA">
      <w:pPr>
        <w:pStyle w:val="16"/>
        <w:tabs>
          <w:tab w:val="right" w:leader="dot" w:pos="8504"/>
        </w:tabs>
        <w:ind w:left="480" w:firstLine="480"/>
        <w:rPr>
          <w:sz w:val="28"/>
          <w:szCs w:val="28"/>
        </w:rPr>
      </w:pPr>
      <w:r>
        <w:fldChar w:fldCharType="begin"/>
      </w:r>
      <w:r>
        <w:instrText xml:space="preserve"> HYPERLINK \l "_Toc15555" </w:instrText>
      </w:r>
      <w:r>
        <w:fldChar w:fldCharType="separate"/>
      </w:r>
      <w:r>
        <w:rPr>
          <w:rFonts w:eastAsia="楷体_GB2312"/>
          <w:sz w:val="28"/>
          <w:szCs w:val="28"/>
        </w:rPr>
        <w:t>（一）项目概况</w:t>
      </w:r>
      <w:r>
        <w:rPr>
          <w:sz w:val="28"/>
          <w:szCs w:val="28"/>
        </w:rPr>
        <w:tab/>
      </w:r>
      <w:r>
        <w:rPr>
          <w:sz w:val="28"/>
          <w:szCs w:val="28"/>
        </w:rPr>
        <w:fldChar w:fldCharType="begin"/>
      </w:r>
      <w:r>
        <w:rPr>
          <w:sz w:val="28"/>
          <w:szCs w:val="28"/>
        </w:rPr>
        <w:instrText xml:space="preserve"> PAGEREF _Toc15555 \h </w:instrText>
      </w:r>
      <w:r>
        <w:rPr>
          <w:sz w:val="28"/>
          <w:szCs w:val="28"/>
        </w:rPr>
        <w:fldChar w:fldCharType="separate"/>
      </w:r>
      <w:r>
        <w:rPr>
          <w:sz w:val="28"/>
          <w:szCs w:val="28"/>
        </w:rPr>
        <w:t>1</w:t>
      </w:r>
      <w:r>
        <w:rPr>
          <w:sz w:val="28"/>
          <w:szCs w:val="28"/>
        </w:rPr>
        <w:fldChar w:fldCharType="end"/>
      </w:r>
      <w:r>
        <w:rPr>
          <w:sz w:val="28"/>
          <w:szCs w:val="28"/>
        </w:rPr>
        <w:fldChar w:fldCharType="end"/>
      </w:r>
    </w:p>
    <w:p w14:paraId="69999EB1">
      <w:pPr>
        <w:pStyle w:val="16"/>
        <w:tabs>
          <w:tab w:val="right" w:leader="dot" w:pos="8504"/>
        </w:tabs>
        <w:ind w:left="480" w:firstLine="480"/>
        <w:rPr>
          <w:sz w:val="28"/>
          <w:szCs w:val="28"/>
        </w:rPr>
      </w:pPr>
      <w:r>
        <w:fldChar w:fldCharType="begin"/>
      </w:r>
      <w:r>
        <w:instrText xml:space="preserve"> HYPERLINK \l "_Toc5594" </w:instrText>
      </w:r>
      <w:r>
        <w:fldChar w:fldCharType="separate"/>
      </w:r>
      <w:r>
        <w:rPr>
          <w:rFonts w:eastAsia="楷体_GB2312"/>
          <w:sz w:val="28"/>
          <w:szCs w:val="28"/>
        </w:rPr>
        <w:t>（二）项目绩效目标</w:t>
      </w:r>
      <w:r>
        <w:rPr>
          <w:sz w:val="28"/>
          <w:szCs w:val="28"/>
        </w:rPr>
        <w:tab/>
      </w:r>
      <w:r>
        <w:rPr>
          <w:sz w:val="28"/>
          <w:szCs w:val="28"/>
        </w:rPr>
        <w:fldChar w:fldCharType="begin"/>
      </w:r>
      <w:r>
        <w:rPr>
          <w:sz w:val="28"/>
          <w:szCs w:val="28"/>
        </w:rPr>
        <w:instrText xml:space="preserve"> PAGEREF _Toc5594 \h </w:instrText>
      </w:r>
      <w:r>
        <w:rPr>
          <w:sz w:val="28"/>
          <w:szCs w:val="28"/>
        </w:rPr>
        <w:fldChar w:fldCharType="separate"/>
      </w:r>
      <w:r>
        <w:rPr>
          <w:sz w:val="28"/>
          <w:szCs w:val="28"/>
        </w:rPr>
        <w:t>3</w:t>
      </w:r>
      <w:r>
        <w:rPr>
          <w:sz w:val="28"/>
          <w:szCs w:val="28"/>
        </w:rPr>
        <w:fldChar w:fldCharType="end"/>
      </w:r>
      <w:r>
        <w:rPr>
          <w:sz w:val="28"/>
          <w:szCs w:val="28"/>
        </w:rPr>
        <w:fldChar w:fldCharType="end"/>
      </w:r>
    </w:p>
    <w:p w14:paraId="4569E41C">
      <w:pPr>
        <w:pStyle w:val="13"/>
        <w:tabs>
          <w:tab w:val="right" w:leader="dot" w:pos="8504"/>
        </w:tabs>
        <w:ind w:firstLine="480"/>
        <w:rPr>
          <w:sz w:val="28"/>
          <w:szCs w:val="28"/>
        </w:rPr>
      </w:pPr>
      <w:r>
        <w:fldChar w:fldCharType="begin"/>
      </w:r>
      <w:r>
        <w:instrText xml:space="preserve"> HYPERLINK \l "_Toc26299" </w:instrText>
      </w:r>
      <w:r>
        <w:fldChar w:fldCharType="separate"/>
      </w:r>
      <w:r>
        <w:rPr>
          <w:rFonts w:hint="eastAsia" w:ascii="黑体" w:hAnsi="黑体" w:eastAsia="黑体" w:cs="黑体"/>
          <w:sz w:val="28"/>
          <w:szCs w:val="28"/>
        </w:rPr>
        <w:t>二、绩效评价工作开展情况</w:t>
      </w:r>
      <w:r>
        <w:rPr>
          <w:sz w:val="28"/>
          <w:szCs w:val="28"/>
        </w:rPr>
        <w:tab/>
      </w:r>
      <w:r>
        <w:rPr>
          <w:sz w:val="28"/>
          <w:szCs w:val="28"/>
        </w:rPr>
        <w:fldChar w:fldCharType="begin"/>
      </w:r>
      <w:r>
        <w:rPr>
          <w:sz w:val="28"/>
          <w:szCs w:val="28"/>
        </w:rPr>
        <w:instrText xml:space="preserve"> PAGEREF _Toc26299 \h </w:instrText>
      </w:r>
      <w:r>
        <w:rPr>
          <w:sz w:val="28"/>
          <w:szCs w:val="28"/>
        </w:rPr>
        <w:fldChar w:fldCharType="separate"/>
      </w:r>
      <w:r>
        <w:rPr>
          <w:sz w:val="28"/>
          <w:szCs w:val="28"/>
        </w:rPr>
        <w:t>4</w:t>
      </w:r>
      <w:r>
        <w:rPr>
          <w:sz w:val="28"/>
          <w:szCs w:val="28"/>
        </w:rPr>
        <w:fldChar w:fldCharType="end"/>
      </w:r>
      <w:r>
        <w:rPr>
          <w:sz w:val="28"/>
          <w:szCs w:val="28"/>
        </w:rPr>
        <w:fldChar w:fldCharType="end"/>
      </w:r>
    </w:p>
    <w:p w14:paraId="0A60F106">
      <w:pPr>
        <w:pStyle w:val="16"/>
        <w:tabs>
          <w:tab w:val="right" w:leader="dot" w:pos="8504"/>
        </w:tabs>
        <w:ind w:left="480" w:firstLine="480"/>
        <w:rPr>
          <w:sz w:val="28"/>
          <w:szCs w:val="28"/>
        </w:rPr>
      </w:pPr>
      <w:r>
        <w:fldChar w:fldCharType="begin"/>
      </w:r>
      <w:r>
        <w:instrText xml:space="preserve"> HYPERLINK \l "_Toc21271" </w:instrText>
      </w:r>
      <w:r>
        <w:fldChar w:fldCharType="separate"/>
      </w:r>
      <w:r>
        <w:rPr>
          <w:rFonts w:eastAsia="楷体_GB2312"/>
          <w:sz w:val="28"/>
          <w:szCs w:val="28"/>
        </w:rPr>
        <w:t>（一）绩效评价目的、对象和范围</w:t>
      </w:r>
      <w:r>
        <w:rPr>
          <w:sz w:val="28"/>
          <w:szCs w:val="28"/>
        </w:rPr>
        <w:tab/>
      </w:r>
      <w:r>
        <w:rPr>
          <w:sz w:val="28"/>
          <w:szCs w:val="28"/>
        </w:rPr>
        <w:fldChar w:fldCharType="begin"/>
      </w:r>
      <w:r>
        <w:rPr>
          <w:sz w:val="28"/>
          <w:szCs w:val="28"/>
        </w:rPr>
        <w:instrText xml:space="preserve"> PAGEREF _Toc21271 \h </w:instrText>
      </w:r>
      <w:r>
        <w:rPr>
          <w:sz w:val="28"/>
          <w:szCs w:val="28"/>
        </w:rPr>
        <w:fldChar w:fldCharType="separate"/>
      </w:r>
      <w:r>
        <w:rPr>
          <w:sz w:val="28"/>
          <w:szCs w:val="28"/>
        </w:rPr>
        <w:t>4</w:t>
      </w:r>
      <w:r>
        <w:rPr>
          <w:sz w:val="28"/>
          <w:szCs w:val="28"/>
        </w:rPr>
        <w:fldChar w:fldCharType="end"/>
      </w:r>
      <w:r>
        <w:rPr>
          <w:sz w:val="28"/>
          <w:szCs w:val="28"/>
        </w:rPr>
        <w:fldChar w:fldCharType="end"/>
      </w:r>
    </w:p>
    <w:p w14:paraId="440B2768">
      <w:pPr>
        <w:pStyle w:val="16"/>
        <w:tabs>
          <w:tab w:val="right" w:leader="dot" w:pos="8504"/>
        </w:tabs>
        <w:ind w:left="480" w:firstLine="480"/>
        <w:rPr>
          <w:sz w:val="28"/>
          <w:szCs w:val="28"/>
        </w:rPr>
      </w:pPr>
      <w:r>
        <w:fldChar w:fldCharType="begin"/>
      </w:r>
      <w:r>
        <w:instrText xml:space="preserve"> HYPERLINK \l "_Toc22201" </w:instrText>
      </w:r>
      <w:r>
        <w:fldChar w:fldCharType="separate"/>
      </w:r>
      <w:r>
        <w:rPr>
          <w:rFonts w:eastAsia="楷体_GB2312"/>
          <w:sz w:val="28"/>
          <w:szCs w:val="28"/>
        </w:rPr>
        <w:t>（二）绩效评价原则、评价指标体系、评价方法和评价标准</w:t>
      </w:r>
      <w:r>
        <w:rPr>
          <w:sz w:val="28"/>
          <w:szCs w:val="28"/>
        </w:rPr>
        <w:tab/>
      </w:r>
      <w:r>
        <w:rPr>
          <w:rFonts w:hint="eastAsia"/>
          <w:sz w:val="28"/>
          <w:szCs w:val="28"/>
        </w:rPr>
        <w:t>5</w:t>
      </w:r>
      <w:r>
        <w:rPr>
          <w:rFonts w:hint="eastAsia"/>
          <w:sz w:val="28"/>
          <w:szCs w:val="28"/>
        </w:rPr>
        <w:fldChar w:fldCharType="end"/>
      </w:r>
    </w:p>
    <w:p w14:paraId="7AF38B68">
      <w:pPr>
        <w:pStyle w:val="16"/>
        <w:tabs>
          <w:tab w:val="right" w:leader="dot" w:pos="8504"/>
        </w:tabs>
        <w:ind w:left="480" w:firstLine="480"/>
        <w:rPr>
          <w:sz w:val="28"/>
          <w:szCs w:val="28"/>
        </w:rPr>
      </w:pPr>
      <w:r>
        <w:fldChar w:fldCharType="begin"/>
      </w:r>
      <w:r>
        <w:instrText xml:space="preserve"> HYPERLINK \l "_Toc159" </w:instrText>
      </w:r>
      <w:r>
        <w:fldChar w:fldCharType="separate"/>
      </w:r>
      <w:r>
        <w:rPr>
          <w:rFonts w:eastAsia="楷体_GB2312"/>
          <w:sz w:val="28"/>
          <w:szCs w:val="28"/>
        </w:rPr>
        <w:t>（三）绩效评价工作过程</w:t>
      </w:r>
      <w:r>
        <w:rPr>
          <w:sz w:val="28"/>
          <w:szCs w:val="28"/>
        </w:rPr>
        <w:tab/>
      </w:r>
      <w:r>
        <w:rPr>
          <w:rFonts w:hint="eastAsia"/>
          <w:sz w:val="28"/>
          <w:szCs w:val="28"/>
        </w:rPr>
        <w:t>6</w:t>
      </w:r>
      <w:r>
        <w:rPr>
          <w:rFonts w:hint="eastAsia"/>
          <w:sz w:val="28"/>
          <w:szCs w:val="28"/>
        </w:rPr>
        <w:fldChar w:fldCharType="end"/>
      </w:r>
    </w:p>
    <w:p w14:paraId="6C3811AF">
      <w:pPr>
        <w:pStyle w:val="13"/>
        <w:tabs>
          <w:tab w:val="right" w:leader="dot" w:pos="8504"/>
        </w:tabs>
        <w:ind w:firstLine="480"/>
        <w:rPr>
          <w:sz w:val="28"/>
          <w:szCs w:val="28"/>
        </w:rPr>
      </w:pPr>
      <w:r>
        <w:fldChar w:fldCharType="begin"/>
      </w:r>
      <w:r>
        <w:instrText xml:space="preserve"> HYPERLINK \l "_Toc30652" </w:instrText>
      </w:r>
      <w:r>
        <w:fldChar w:fldCharType="separate"/>
      </w:r>
      <w:r>
        <w:rPr>
          <w:rFonts w:eastAsia="黑体"/>
          <w:bCs/>
          <w:sz w:val="28"/>
          <w:szCs w:val="28"/>
        </w:rPr>
        <w:t>三、综合评价情况及评价结论</w:t>
      </w:r>
      <w:r>
        <w:rPr>
          <w:sz w:val="28"/>
          <w:szCs w:val="28"/>
        </w:rPr>
        <w:tab/>
      </w:r>
      <w:r>
        <w:rPr>
          <w:rFonts w:hint="eastAsia"/>
          <w:sz w:val="28"/>
          <w:szCs w:val="28"/>
        </w:rPr>
        <w:t>7</w:t>
      </w:r>
      <w:r>
        <w:rPr>
          <w:rFonts w:hint="eastAsia"/>
          <w:sz w:val="28"/>
          <w:szCs w:val="28"/>
        </w:rPr>
        <w:fldChar w:fldCharType="end"/>
      </w:r>
    </w:p>
    <w:p w14:paraId="3E0B5EFC">
      <w:pPr>
        <w:pStyle w:val="13"/>
        <w:tabs>
          <w:tab w:val="right" w:leader="dot" w:pos="8504"/>
        </w:tabs>
        <w:ind w:firstLine="480"/>
        <w:rPr>
          <w:sz w:val="28"/>
          <w:szCs w:val="28"/>
        </w:rPr>
      </w:pPr>
      <w:r>
        <w:fldChar w:fldCharType="begin"/>
      </w:r>
      <w:r>
        <w:instrText xml:space="preserve"> HYPERLINK \l "_Toc14951" </w:instrText>
      </w:r>
      <w:r>
        <w:fldChar w:fldCharType="separate"/>
      </w:r>
      <w:r>
        <w:rPr>
          <w:rFonts w:eastAsia="黑体"/>
          <w:sz w:val="28"/>
          <w:szCs w:val="28"/>
        </w:rPr>
        <w:t>四、绩效评价指标分析</w:t>
      </w:r>
      <w:r>
        <w:rPr>
          <w:sz w:val="28"/>
          <w:szCs w:val="28"/>
        </w:rPr>
        <w:tab/>
      </w:r>
      <w:r>
        <w:rPr>
          <w:rFonts w:hint="eastAsia"/>
          <w:sz w:val="28"/>
          <w:szCs w:val="28"/>
        </w:rPr>
        <w:t>8</w:t>
      </w:r>
      <w:r>
        <w:rPr>
          <w:rFonts w:hint="eastAsia"/>
          <w:sz w:val="28"/>
          <w:szCs w:val="28"/>
        </w:rPr>
        <w:fldChar w:fldCharType="end"/>
      </w:r>
    </w:p>
    <w:p w14:paraId="5547BF7D">
      <w:pPr>
        <w:pStyle w:val="16"/>
        <w:tabs>
          <w:tab w:val="right" w:leader="dot" w:pos="8504"/>
        </w:tabs>
        <w:ind w:left="480" w:firstLine="480"/>
        <w:rPr>
          <w:sz w:val="28"/>
          <w:szCs w:val="28"/>
        </w:rPr>
      </w:pPr>
      <w:r>
        <w:fldChar w:fldCharType="begin"/>
      </w:r>
      <w:r>
        <w:instrText xml:space="preserve"> HYPERLINK \l "_Toc9996" </w:instrText>
      </w:r>
      <w:r>
        <w:fldChar w:fldCharType="separate"/>
      </w:r>
      <w:r>
        <w:rPr>
          <w:rFonts w:eastAsia="楷体_GB2312"/>
          <w:sz w:val="28"/>
          <w:szCs w:val="28"/>
        </w:rPr>
        <w:t>（一）项目决策情况</w:t>
      </w:r>
      <w:r>
        <w:rPr>
          <w:sz w:val="28"/>
          <w:szCs w:val="28"/>
        </w:rPr>
        <w:tab/>
      </w:r>
      <w:r>
        <w:rPr>
          <w:rFonts w:hint="eastAsia"/>
          <w:sz w:val="28"/>
          <w:szCs w:val="28"/>
        </w:rPr>
        <w:t>8</w:t>
      </w:r>
      <w:r>
        <w:rPr>
          <w:rFonts w:hint="eastAsia"/>
          <w:sz w:val="28"/>
          <w:szCs w:val="28"/>
        </w:rPr>
        <w:fldChar w:fldCharType="end"/>
      </w:r>
    </w:p>
    <w:p w14:paraId="3C8A055D">
      <w:pPr>
        <w:pStyle w:val="16"/>
        <w:tabs>
          <w:tab w:val="right" w:leader="dot" w:pos="8504"/>
        </w:tabs>
        <w:ind w:left="480" w:firstLine="480"/>
        <w:rPr>
          <w:sz w:val="28"/>
          <w:szCs w:val="28"/>
        </w:rPr>
      </w:pPr>
      <w:r>
        <w:fldChar w:fldCharType="begin"/>
      </w:r>
      <w:r>
        <w:instrText xml:space="preserve"> HYPERLINK \l "_Toc32029" </w:instrText>
      </w:r>
      <w:r>
        <w:fldChar w:fldCharType="separate"/>
      </w:r>
      <w:r>
        <w:rPr>
          <w:rFonts w:eastAsia="楷体_GB2312"/>
          <w:sz w:val="28"/>
          <w:szCs w:val="28"/>
        </w:rPr>
        <w:t>（二）项目过程情况</w:t>
      </w:r>
      <w:r>
        <w:rPr>
          <w:sz w:val="28"/>
          <w:szCs w:val="28"/>
        </w:rPr>
        <w:tab/>
      </w:r>
      <w:r>
        <w:rPr>
          <w:sz w:val="28"/>
          <w:szCs w:val="28"/>
        </w:rPr>
        <w:fldChar w:fldCharType="begin"/>
      </w:r>
      <w:r>
        <w:rPr>
          <w:sz w:val="28"/>
          <w:szCs w:val="28"/>
        </w:rPr>
        <w:instrText xml:space="preserve"> PAGEREF _Toc32029 \h </w:instrText>
      </w:r>
      <w:r>
        <w:rPr>
          <w:sz w:val="28"/>
          <w:szCs w:val="28"/>
        </w:rPr>
        <w:fldChar w:fldCharType="separate"/>
      </w:r>
      <w:r>
        <w:rPr>
          <w:sz w:val="28"/>
          <w:szCs w:val="28"/>
        </w:rPr>
        <w:t>9</w:t>
      </w:r>
      <w:r>
        <w:rPr>
          <w:sz w:val="28"/>
          <w:szCs w:val="28"/>
        </w:rPr>
        <w:fldChar w:fldCharType="end"/>
      </w:r>
      <w:r>
        <w:rPr>
          <w:sz w:val="28"/>
          <w:szCs w:val="28"/>
        </w:rPr>
        <w:fldChar w:fldCharType="end"/>
      </w:r>
    </w:p>
    <w:p w14:paraId="15FC8A4B">
      <w:pPr>
        <w:pStyle w:val="16"/>
        <w:tabs>
          <w:tab w:val="right" w:leader="dot" w:pos="8504"/>
        </w:tabs>
        <w:ind w:left="480" w:firstLine="480"/>
        <w:rPr>
          <w:sz w:val="28"/>
          <w:szCs w:val="28"/>
        </w:rPr>
      </w:pPr>
      <w:r>
        <w:fldChar w:fldCharType="begin"/>
      </w:r>
      <w:r>
        <w:instrText xml:space="preserve"> HYPERLINK \l "_Toc14621" </w:instrText>
      </w:r>
      <w:r>
        <w:fldChar w:fldCharType="separate"/>
      </w:r>
      <w:r>
        <w:rPr>
          <w:rFonts w:hint="eastAsia" w:eastAsia="楷体_GB2312"/>
          <w:sz w:val="28"/>
          <w:szCs w:val="28"/>
        </w:rPr>
        <w:t>（三）</w:t>
      </w:r>
      <w:r>
        <w:rPr>
          <w:rFonts w:eastAsia="楷体_GB2312"/>
          <w:sz w:val="28"/>
          <w:szCs w:val="28"/>
        </w:rPr>
        <w:t>项目产出</w:t>
      </w:r>
      <w:r>
        <w:rPr>
          <w:rFonts w:hint="eastAsia" w:eastAsia="楷体_GB2312"/>
          <w:sz w:val="28"/>
          <w:szCs w:val="28"/>
        </w:rPr>
        <w:t>情况</w:t>
      </w:r>
      <w:r>
        <w:rPr>
          <w:sz w:val="28"/>
          <w:szCs w:val="28"/>
        </w:rPr>
        <w:tab/>
      </w:r>
      <w:r>
        <w:rPr>
          <w:sz w:val="28"/>
          <w:szCs w:val="28"/>
        </w:rPr>
        <w:fldChar w:fldCharType="begin"/>
      </w:r>
      <w:r>
        <w:rPr>
          <w:sz w:val="28"/>
          <w:szCs w:val="28"/>
        </w:rPr>
        <w:instrText xml:space="preserve"> PAGEREF _Toc14621 \h </w:instrText>
      </w:r>
      <w:r>
        <w:rPr>
          <w:sz w:val="28"/>
          <w:szCs w:val="28"/>
        </w:rPr>
        <w:fldChar w:fldCharType="separate"/>
      </w:r>
      <w:r>
        <w:rPr>
          <w:sz w:val="28"/>
          <w:szCs w:val="28"/>
        </w:rPr>
        <w:t>1</w:t>
      </w:r>
      <w:r>
        <w:rPr>
          <w:rFonts w:hint="eastAsia"/>
          <w:sz w:val="28"/>
          <w:szCs w:val="28"/>
        </w:rPr>
        <w:t>1</w:t>
      </w:r>
      <w:r>
        <w:rPr>
          <w:sz w:val="28"/>
          <w:szCs w:val="28"/>
        </w:rPr>
        <w:fldChar w:fldCharType="end"/>
      </w:r>
      <w:r>
        <w:rPr>
          <w:sz w:val="28"/>
          <w:szCs w:val="28"/>
        </w:rPr>
        <w:fldChar w:fldCharType="end"/>
      </w:r>
    </w:p>
    <w:p w14:paraId="145219FE">
      <w:pPr>
        <w:pStyle w:val="16"/>
        <w:tabs>
          <w:tab w:val="right" w:leader="dot" w:pos="8504"/>
        </w:tabs>
        <w:ind w:left="480" w:firstLine="480"/>
        <w:rPr>
          <w:sz w:val="28"/>
          <w:szCs w:val="28"/>
        </w:rPr>
      </w:pPr>
      <w:r>
        <w:fldChar w:fldCharType="begin"/>
      </w:r>
      <w:r>
        <w:instrText xml:space="preserve"> HYPERLINK \l "_Toc21491" </w:instrText>
      </w:r>
      <w:r>
        <w:fldChar w:fldCharType="separate"/>
      </w:r>
      <w:r>
        <w:rPr>
          <w:rFonts w:hint="eastAsia" w:eastAsia="楷体_GB2312"/>
          <w:sz w:val="28"/>
          <w:szCs w:val="28"/>
        </w:rPr>
        <w:t>（四）项目</w:t>
      </w:r>
      <w:r>
        <w:rPr>
          <w:rFonts w:eastAsia="楷体_GB2312"/>
          <w:sz w:val="28"/>
          <w:szCs w:val="28"/>
        </w:rPr>
        <w:t>效益情况</w:t>
      </w:r>
      <w:r>
        <w:rPr>
          <w:sz w:val="28"/>
          <w:szCs w:val="28"/>
        </w:rPr>
        <w:tab/>
      </w:r>
      <w:r>
        <w:rPr>
          <w:sz w:val="28"/>
          <w:szCs w:val="28"/>
        </w:rPr>
        <w:fldChar w:fldCharType="begin"/>
      </w:r>
      <w:r>
        <w:rPr>
          <w:sz w:val="28"/>
          <w:szCs w:val="28"/>
        </w:rPr>
        <w:instrText xml:space="preserve"> PAGEREF _Toc21491 \h </w:instrText>
      </w:r>
      <w:r>
        <w:rPr>
          <w:sz w:val="28"/>
          <w:szCs w:val="28"/>
        </w:rPr>
        <w:fldChar w:fldCharType="separate"/>
      </w:r>
      <w:r>
        <w:rPr>
          <w:sz w:val="28"/>
          <w:szCs w:val="28"/>
        </w:rPr>
        <w:t>12</w:t>
      </w:r>
      <w:r>
        <w:rPr>
          <w:sz w:val="28"/>
          <w:szCs w:val="28"/>
        </w:rPr>
        <w:fldChar w:fldCharType="end"/>
      </w:r>
      <w:r>
        <w:rPr>
          <w:sz w:val="28"/>
          <w:szCs w:val="28"/>
        </w:rPr>
        <w:fldChar w:fldCharType="end"/>
      </w:r>
    </w:p>
    <w:p w14:paraId="2CBBE856">
      <w:pPr>
        <w:pStyle w:val="13"/>
        <w:tabs>
          <w:tab w:val="right" w:leader="dot" w:pos="8504"/>
        </w:tabs>
        <w:ind w:firstLine="480"/>
        <w:rPr>
          <w:sz w:val="28"/>
          <w:szCs w:val="28"/>
        </w:rPr>
      </w:pPr>
      <w:r>
        <w:fldChar w:fldCharType="begin"/>
      </w:r>
      <w:r>
        <w:instrText xml:space="preserve"> HYPERLINK \l "_Toc15008" </w:instrText>
      </w:r>
      <w:r>
        <w:fldChar w:fldCharType="separate"/>
      </w:r>
      <w:r>
        <w:rPr>
          <w:rFonts w:eastAsia="黑体"/>
          <w:bCs/>
          <w:sz w:val="28"/>
          <w:szCs w:val="28"/>
        </w:rPr>
        <w:t>五、存在的问题及原因分析</w:t>
      </w:r>
      <w:r>
        <w:rPr>
          <w:sz w:val="28"/>
          <w:szCs w:val="28"/>
        </w:rPr>
        <w:tab/>
      </w:r>
      <w:r>
        <w:rPr>
          <w:sz w:val="28"/>
          <w:szCs w:val="28"/>
        </w:rPr>
        <w:fldChar w:fldCharType="begin"/>
      </w:r>
      <w:r>
        <w:rPr>
          <w:sz w:val="28"/>
          <w:szCs w:val="28"/>
        </w:rPr>
        <w:instrText xml:space="preserve"> PAGEREF _Toc15008 \h </w:instrText>
      </w:r>
      <w:r>
        <w:rPr>
          <w:sz w:val="28"/>
          <w:szCs w:val="28"/>
        </w:rPr>
        <w:fldChar w:fldCharType="separate"/>
      </w:r>
      <w:r>
        <w:rPr>
          <w:sz w:val="28"/>
          <w:szCs w:val="28"/>
        </w:rPr>
        <w:t>1</w:t>
      </w:r>
      <w:r>
        <w:rPr>
          <w:rFonts w:hint="eastAsia"/>
          <w:sz w:val="28"/>
          <w:szCs w:val="28"/>
        </w:rPr>
        <w:t>3</w:t>
      </w:r>
      <w:r>
        <w:rPr>
          <w:sz w:val="28"/>
          <w:szCs w:val="28"/>
        </w:rPr>
        <w:fldChar w:fldCharType="end"/>
      </w:r>
      <w:r>
        <w:rPr>
          <w:sz w:val="28"/>
          <w:szCs w:val="28"/>
        </w:rPr>
        <w:fldChar w:fldCharType="end"/>
      </w:r>
    </w:p>
    <w:p w14:paraId="4B6FA186">
      <w:pPr>
        <w:pStyle w:val="13"/>
        <w:tabs>
          <w:tab w:val="right" w:leader="dot" w:pos="8504"/>
        </w:tabs>
        <w:ind w:firstLine="480"/>
        <w:rPr>
          <w:sz w:val="28"/>
          <w:szCs w:val="28"/>
        </w:rPr>
      </w:pPr>
      <w:r>
        <w:fldChar w:fldCharType="begin"/>
      </w:r>
      <w:r>
        <w:instrText xml:space="preserve"> HYPERLINK \l "_Toc5917" </w:instrText>
      </w:r>
      <w:r>
        <w:fldChar w:fldCharType="separate"/>
      </w:r>
      <w:r>
        <w:rPr>
          <w:rFonts w:eastAsia="黑体"/>
          <w:bCs/>
          <w:sz w:val="28"/>
          <w:szCs w:val="28"/>
        </w:rPr>
        <w:t>六、有关建议</w:t>
      </w:r>
      <w:r>
        <w:rPr>
          <w:sz w:val="28"/>
          <w:szCs w:val="28"/>
        </w:rPr>
        <w:tab/>
      </w:r>
      <w:r>
        <w:rPr>
          <w:sz w:val="28"/>
          <w:szCs w:val="28"/>
        </w:rPr>
        <w:fldChar w:fldCharType="begin"/>
      </w:r>
      <w:r>
        <w:rPr>
          <w:sz w:val="28"/>
          <w:szCs w:val="28"/>
        </w:rPr>
        <w:instrText xml:space="preserve"> PAGEREF _Toc5917 \h </w:instrText>
      </w:r>
      <w:r>
        <w:rPr>
          <w:sz w:val="28"/>
          <w:szCs w:val="28"/>
        </w:rPr>
        <w:fldChar w:fldCharType="separate"/>
      </w:r>
      <w:r>
        <w:rPr>
          <w:sz w:val="28"/>
          <w:szCs w:val="28"/>
        </w:rPr>
        <w:t>14</w:t>
      </w:r>
      <w:r>
        <w:rPr>
          <w:sz w:val="28"/>
          <w:szCs w:val="28"/>
        </w:rPr>
        <w:fldChar w:fldCharType="end"/>
      </w:r>
      <w:r>
        <w:rPr>
          <w:sz w:val="28"/>
          <w:szCs w:val="28"/>
        </w:rPr>
        <w:fldChar w:fldCharType="end"/>
      </w:r>
    </w:p>
    <w:p w14:paraId="14948034">
      <w:pPr>
        <w:ind w:firstLine="560"/>
        <w:rPr>
          <w:sz w:val="28"/>
          <w:szCs w:val="28"/>
        </w:rPr>
      </w:pPr>
      <w:r>
        <w:rPr>
          <w:sz w:val="28"/>
          <w:szCs w:val="28"/>
        </w:rPr>
        <w:fldChar w:fldCharType="end"/>
      </w:r>
    </w:p>
    <w:p w14:paraId="2006FB4C">
      <w:pPr>
        <w:pStyle w:val="13"/>
        <w:tabs>
          <w:tab w:val="right" w:leader="dot" w:pos="8306"/>
        </w:tabs>
        <w:spacing w:line="600" w:lineRule="exact"/>
        <w:ind w:firstLine="0" w:firstLineChars="0"/>
        <w:jc w:val="center"/>
        <w:rPr>
          <w:rFonts w:eastAsia="方正小标宋_GBK"/>
          <w:bCs/>
          <w:sz w:val="44"/>
          <w:szCs w:val="44"/>
        </w:rPr>
      </w:pPr>
      <w:bookmarkStart w:id="6" w:name="_Toc1963367433_WPSOffice_Level1"/>
      <w:bookmarkStart w:id="7" w:name="_Toc683093632_WPSOffice_Level1"/>
      <w:bookmarkStart w:id="8" w:name="_Toc12982"/>
      <w:bookmarkStart w:id="9" w:name="_Toc15160"/>
      <w:bookmarkStart w:id="10" w:name="_Toc27012"/>
      <w:bookmarkStart w:id="11" w:name="_Toc14782"/>
    </w:p>
    <w:p w14:paraId="46E3531F">
      <w:pPr>
        <w:pStyle w:val="13"/>
        <w:tabs>
          <w:tab w:val="right" w:leader="dot" w:pos="8306"/>
        </w:tabs>
        <w:spacing w:line="600" w:lineRule="exact"/>
        <w:ind w:firstLine="0" w:firstLineChars="0"/>
        <w:jc w:val="center"/>
        <w:rPr>
          <w:rFonts w:eastAsia="方正小标宋_GBK"/>
          <w:bCs/>
          <w:sz w:val="44"/>
          <w:szCs w:val="44"/>
        </w:rPr>
        <w:sectPr>
          <w:footerReference r:id="rId11" w:type="default"/>
          <w:pgSz w:w="11906" w:h="16838"/>
          <w:pgMar w:top="1701" w:right="1701" w:bottom="1701" w:left="1701" w:header="851" w:footer="992" w:gutter="0"/>
          <w:pgNumType w:start="1"/>
          <w:cols w:space="720" w:num="1"/>
          <w:docGrid w:type="lines" w:linePitch="327" w:charSpace="0"/>
        </w:sectPr>
      </w:pPr>
    </w:p>
    <w:p w14:paraId="1ACB8BAD">
      <w:pPr>
        <w:pStyle w:val="13"/>
        <w:tabs>
          <w:tab w:val="right" w:leader="dot" w:pos="8306"/>
        </w:tabs>
        <w:spacing w:line="600" w:lineRule="exact"/>
        <w:ind w:firstLine="0" w:firstLineChars="0"/>
        <w:jc w:val="center"/>
        <w:outlineLvl w:val="0"/>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行政办公区二期0160等10个行政办公项目房屋面积和不动产地籍测绘</w:t>
      </w:r>
    </w:p>
    <w:p w14:paraId="754ACB1F">
      <w:pPr>
        <w:pStyle w:val="13"/>
        <w:tabs>
          <w:tab w:val="right" w:leader="dot" w:pos="8306"/>
        </w:tabs>
        <w:spacing w:line="600" w:lineRule="exact"/>
        <w:ind w:firstLine="0" w:firstLineChars="0"/>
        <w:jc w:val="center"/>
        <w:outlineLvl w:val="0"/>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项目</w:t>
      </w:r>
      <w:bookmarkEnd w:id="6"/>
      <w:bookmarkEnd w:id="7"/>
      <w:bookmarkStart w:id="12" w:name="_Toc307096162_WPSOffice_Level1"/>
      <w:bookmarkStart w:id="13" w:name="_Toc82726629_WPSOffice_Level1"/>
      <w:r>
        <w:rPr>
          <w:rFonts w:hint="eastAsia" w:ascii="方正小标宋简体" w:hAnsi="方正小标宋简体" w:eastAsia="方正小标宋简体" w:cs="方正小标宋简体"/>
          <w:bCs/>
          <w:sz w:val="44"/>
          <w:szCs w:val="44"/>
        </w:rPr>
        <w:t>支出绩效评价报告</w:t>
      </w:r>
      <w:bookmarkEnd w:id="8"/>
      <w:bookmarkEnd w:id="9"/>
      <w:bookmarkEnd w:id="10"/>
      <w:bookmarkEnd w:id="11"/>
      <w:bookmarkEnd w:id="12"/>
      <w:bookmarkEnd w:id="13"/>
    </w:p>
    <w:p w14:paraId="515F4D4F">
      <w:pPr>
        <w:adjustRightInd w:val="0"/>
        <w:snapToGrid w:val="0"/>
        <w:spacing w:line="560" w:lineRule="exact"/>
        <w:ind w:firstLine="640"/>
        <w:rPr>
          <w:rFonts w:hint="eastAsia" w:ascii="仿宋_GB2312" w:hAnsi="仿宋_GB2312" w:eastAsia="仿宋_GB2312" w:cs="仿宋_GB2312"/>
          <w:bCs/>
          <w:kern w:val="44"/>
          <w:sz w:val="32"/>
          <w:szCs w:val="32"/>
        </w:rPr>
      </w:pPr>
      <w:bookmarkStart w:id="14" w:name="_Toc2823"/>
      <w:bookmarkStart w:id="15" w:name="_Toc4184"/>
    </w:p>
    <w:p w14:paraId="5025C303">
      <w:pPr>
        <w:adjustRightInd w:val="0"/>
        <w:snapToGrid w:val="0"/>
        <w:spacing w:line="580" w:lineRule="atLeast"/>
        <w:ind w:firstLine="640"/>
        <w:rPr>
          <w:rFonts w:hint="eastAsia" w:ascii="仿宋_GB2312" w:hAnsi="仿宋_GB2312" w:eastAsia="仿宋_GB2312" w:cs="仿宋_GB2312"/>
          <w:bCs/>
          <w:kern w:val="44"/>
          <w:sz w:val="32"/>
          <w:szCs w:val="32"/>
        </w:rPr>
      </w:pPr>
      <w:r>
        <w:rPr>
          <w:rFonts w:hint="eastAsia" w:ascii="仿宋_GB2312" w:hAnsi="仿宋_GB2312" w:eastAsia="仿宋_GB2312" w:cs="仿宋_GB2312"/>
          <w:bCs/>
          <w:kern w:val="44"/>
          <w:sz w:val="32"/>
          <w:szCs w:val="32"/>
        </w:rPr>
        <w:t>为贯彻落实《中共中央 国务院关于全面实施预算绩效管理的意见》（中发〔</w:t>
      </w:r>
      <w:r>
        <w:rPr>
          <w:rFonts w:hint="eastAsia" w:eastAsia="仿宋_GB2312"/>
          <w:color w:val="000000"/>
          <w:kern w:val="0"/>
          <w:sz w:val="32"/>
          <w:szCs w:val="32"/>
        </w:rPr>
        <w:t>2018</w:t>
      </w:r>
      <w:r>
        <w:rPr>
          <w:rFonts w:hint="eastAsia" w:ascii="仿宋_GB2312" w:hAnsi="仿宋_GB2312" w:eastAsia="仿宋_GB2312" w:cs="仿宋_GB2312"/>
          <w:bCs/>
          <w:kern w:val="44"/>
          <w:sz w:val="32"/>
          <w:szCs w:val="32"/>
        </w:rPr>
        <w:t>〕</w:t>
      </w:r>
      <w:r>
        <w:rPr>
          <w:rFonts w:hint="eastAsia" w:eastAsia="仿宋_GB2312"/>
          <w:color w:val="000000"/>
          <w:kern w:val="0"/>
          <w:sz w:val="32"/>
          <w:szCs w:val="32"/>
        </w:rPr>
        <w:t>34</w:t>
      </w:r>
      <w:r>
        <w:rPr>
          <w:rFonts w:hint="eastAsia" w:ascii="仿宋_GB2312" w:hAnsi="仿宋_GB2312" w:eastAsia="仿宋_GB2312" w:cs="仿宋_GB2312"/>
          <w:bCs/>
          <w:kern w:val="44"/>
          <w:sz w:val="32"/>
          <w:szCs w:val="32"/>
        </w:rPr>
        <w:t>号），强化以结果为导向的预算绩效管理机制，规范财政支出管理，切实增强部门支出责任和效率意识，提高财政资金</w:t>
      </w:r>
      <w:r>
        <w:rPr>
          <w:rFonts w:hint="eastAsia" w:eastAsia="仿宋_GB2312"/>
          <w:color w:val="000000"/>
          <w:kern w:val="0"/>
          <w:sz w:val="32"/>
          <w:szCs w:val="32"/>
        </w:rPr>
        <w:t>使用效益，依据《中共北京市委</w:t>
      </w:r>
      <w:r>
        <w:rPr>
          <w:rFonts w:eastAsia="仿宋_GB2312"/>
          <w:color w:val="000000"/>
          <w:kern w:val="0"/>
          <w:sz w:val="32"/>
          <w:szCs w:val="32"/>
        </w:rPr>
        <w:t xml:space="preserve"> </w:t>
      </w:r>
      <w:r>
        <w:rPr>
          <w:rFonts w:hint="eastAsia" w:eastAsia="仿宋_GB2312"/>
          <w:color w:val="000000"/>
          <w:kern w:val="0"/>
          <w:sz w:val="32"/>
          <w:szCs w:val="32"/>
        </w:rPr>
        <w:t>北京市人民政府关于全面实施预算绩效管理的实施意见》（京发〔2019〕12号）、《北京市预算绩效管理办法》（京财绩效〔2019〕2129号）和</w:t>
      </w:r>
      <w:bookmarkStart w:id="16" w:name="_Hlk68003568"/>
      <w:r>
        <w:rPr>
          <w:rFonts w:hint="eastAsia" w:eastAsia="仿宋_GB2312"/>
          <w:color w:val="000000"/>
          <w:kern w:val="0"/>
          <w:sz w:val="32"/>
          <w:szCs w:val="32"/>
        </w:rPr>
        <w:t>《北京市项目</w:t>
      </w:r>
      <w:r>
        <w:rPr>
          <w:rFonts w:hint="eastAsia" w:ascii="仿宋_GB2312" w:hAnsi="仿宋_GB2312" w:eastAsia="仿宋_GB2312" w:cs="仿宋_GB2312"/>
          <w:bCs/>
          <w:kern w:val="44"/>
          <w:sz w:val="32"/>
          <w:szCs w:val="32"/>
        </w:rPr>
        <w:t>支出绩效评价管理办法》</w:t>
      </w:r>
      <w:r>
        <w:rPr>
          <w:rFonts w:eastAsia="仿宋_GB2312"/>
          <w:bCs/>
          <w:kern w:val="44"/>
          <w:sz w:val="32"/>
          <w:szCs w:val="32"/>
        </w:rPr>
        <w:t>（京财绩效〔</w:t>
      </w:r>
      <w:r>
        <w:rPr>
          <w:rFonts w:eastAsia="仿宋_GB2312"/>
          <w:color w:val="000000"/>
          <w:kern w:val="0"/>
          <w:sz w:val="32"/>
          <w:szCs w:val="32"/>
        </w:rPr>
        <w:t>2020</w:t>
      </w:r>
      <w:r>
        <w:rPr>
          <w:rFonts w:eastAsia="仿宋_GB2312"/>
          <w:bCs/>
          <w:kern w:val="44"/>
          <w:sz w:val="32"/>
          <w:szCs w:val="32"/>
        </w:rPr>
        <w:t>〕</w:t>
      </w:r>
      <w:r>
        <w:rPr>
          <w:rFonts w:eastAsia="仿宋_GB2312"/>
          <w:color w:val="000000"/>
          <w:kern w:val="0"/>
          <w:sz w:val="32"/>
          <w:szCs w:val="32"/>
        </w:rPr>
        <w:t>2146</w:t>
      </w:r>
      <w:r>
        <w:rPr>
          <w:rFonts w:eastAsia="仿宋_GB2312"/>
          <w:bCs/>
          <w:kern w:val="44"/>
          <w:sz w:val="32"/>
          <w:szCs w:val="32"/>
        </w:rPr>
        <w:t>号）</w:t>
      </w:r>
      <w:bookmarkEnd w:id="16"/>
      <w:r>
        <w:rPr>
          <w:rFonts w:eastAsia="仿宋_GB2312"/>
          <w:bCs/>
          <w:kern w:val="44"/>
          <w:sz w:val="32"/>
          <w:szCs w:val="32"/>
        </w:rPr>
        <w:t>等文件，</w:t>
      </w:r>
      <w:bookmarkStart w:id="17" w:name="_Hlk71567373"/>
      <w:r>
        <w:rPr>
          <w:rFonts w:eastAsia="仿宋_GB2312"/>
          <w:bCs/>
          <w:kern w:val="44"/>
          <w:sz w:val="32"/>
          <w:szCs w:val="32"/>
        </w:rPr>
        <w:t>北京城市副中心工程建设管理办公室</w:t>
      </w:r>
      <w:bookmarkEnd w:id="17"/>
      <w:r>
        <w:rPr>
          <w:rFonts w:eastAsia="仿宋_GB2312"/>
          <w:bCs/>
          <w:kern w:val="44"/>
          <w:sz w:val="32"/>
          <w:szCs w:val="32"/>
        </w:rPr>
        <w:t>（以下简称副中心工程办）按照《北京市财政局关于</w:t>
      </w:r>
      <w:r>
        <w:rPr>
          <w:rFonts w:hint="eastAsia" w:eastAsia="仿宋_GB2312"/>
          <w:bCs/>
          <w:kern w:val="44"/>
          <w:sz w:val="32"/>
          <w:szCs w:val="32"/>
        </w:rPr>
        <w:t>开展2024年预算绩效管理相关工作的函</w:t>
      </w:r>
      <w:r>
        <w:rPr>
          <w:rFonts w:eastAsia="仿宋_GB2312"/>
          <w:bCs/>
          <w:kern w:val="44"/>
          <w:sz w:val="32"/>
          <w:szCs w:val="32"/>
        </w:rPr>
        <w:t>》</w:t>
      </w:r>
      <w:r>
        <w:rPr>
          <w:rFonts w:eastAsia="仿宋_GB2312"/>
          <w:color w:val="000000"/>
          <w:kern w:val="0"/>
          <w:sz w:val="32"/>
          <w:szCs w:val="32"/>
        </w:rPr>
        <w:t>部署要求，组建重点项目绩效评价工作组（以下简称</w:t>
      </w:r>
      <w:r>
        <w:rPr>
          <w:rFonts w:eastAsia="仿宋_GB2312"/>
          <w:bCs/>
          <w:kern w:val="44"/>
          <w:sz w:val="32"/>
          <w:szCs w:val="32"/>
        </w:rPr>
        <w:t>评价工作组）对</w:t>
      </w:r>
      <w:r>
        <w:rPr>
          <w:rFonts w:hint="eastAsia" w:eastAsia="仿宋_GB2312"/>
          <w:bCs/>
          <w:kern w:val="44"/>
          <w:sz w:val="32"/>
          <w:szCs w:val="32"/>
        </w:rPr>
        <w:t>规划设计管理部</w:t>
      </w:r>
      <w:r>
        <w:rPr>
          <w:rFonts w:eastAsia="仿宋_GB2312"/>
          <w:bCs/>
          <w:kern w:val="44"/>
          <w:sz w:val="32"/>
          <w:szCs w:val="32"/>
        </w:rPr>
        <w:t>负责实施的“</w:t>
      </w:r>
      <w:r>
        <w:rPr>
          <w:rFonts w:hint="eastAsia" w:eastAsia="仿宋_GB2312"/>
          <w:bCs/>
          <w:kern w:val="44"/>
          <w:sz w:val="32"/>
          <w:szCs w:val="32"/>
        </w:rPr>
        <w:t>行政办公区二期0160等10个行政办公项目房屋面积和不动产地籍测绘项目</w:t>
      </w:r>
      <w:r>
        <w:rPr>
          <w:rFonts w:eastAsia="仿宋_GB2312"/>
          <w:bCs/>
          <w:kern w:val="44"/>
          <w:sz w:val="32"/>
          <w:szCs w:val="32"/>
        </w:rPr>
        <w:t>”（以下简称该项目）的绩效情况实施评价，形成本报告。</w:t>
      </w:r>
    </w:p>
    <w:bookmarkEnd w:id="14"/>
    <w:bookmarkEnd w:id="15"/>
    <w:p w14:paraId="53B738D5">
      <w:pPr>
        <w:adjustRightInd w:val="0"/>
        <w:snapToGrid w:val="0"/>
        <w:spacing w:line="580" w:lineRule="atLeast"/>
        <w:ind w:firstLine="640"/>
        <w:outlineLvl w:val="0"/>
        <w:rPr>
          <w:rFonts w:eastAsia="黑体"/>
          <w:b/>
          <w:sz w:val="32"/>
        </w:rPr>
      </w:pPr>
      <w:bookmarkStart w:id="18" w:name="_Toc964533994_WPSOffice_Level1"/>
      <w:bookmarkStart w:id="19" w:name="_Toc26439"/>
      <w:bookmarkStart w:id="20" w:name="_Toc28952"/>
      <w:bookmarkStart w:id="21" w:name="_Toc16374"/>
      <w:bookmarkStart w:id="22" w:name="_Toc15517"/>
      <w:bookmarkStart w:id="23" w:name="_Toc1783587871"/>
      <w:bookmarkStart w:id="24" w:name="_Toc12917"/>
      <w:bookmarkStart w:id="25" w:name="_Toc13095"/>
      <w:r>
        <w:rPr>
          <w:rFonts w:eastAsia="黑体"/>
          <w:sz w:val="32"/>
          <w:szCs w:val="32"/>
        </w:rPr>
        <w:t>一、基本情况</w:t>
      </w:r>
      <w:bookmarkEnd w:id="18"/>
      <w:bookmarkEnd w:id="19"/>
      <w:bookmarkEnd w:id="20"/>
      <w:bookmarkEnd w:id="21"/>
      <w:bookmarkEnd w:id="22"/>
      <w:bookmarkEnd w:id="23"/>
      <w:bookmarkEnd w:id="24"/>
    </w:p>
    <w:p w14:paraId="370C2F0D">
      <w:pPr>
        <w:adjustRightInd w:val="0"/>
        <w:snapToGrid w:val="0"/>
        <w:spacing w:line="580" w:lineRule="atLeast"/>
        <w:ind w:firstLine="643"/>
        <w:outlineLvl w:val="1"/>
        <w:rPr>
          <w:rFonts w:eastAsia="楷体_GB2312"/>
          <w:b/>
          <w:sz w:val="32"/>
        </w:rPr>
      </w:pPr>
      <w:bookmarkStart w:id="26" w:name="_Toc11131"/>
      <w:bookmarkStart w:id="27" w:name="_Toc15555"/>
      <w:bookmarkStart w:id="28" w:name="_Toc37119424"/>
      <w:bookmarkStart w:id="29" w:name="_Toc17092"/>
      <w:bookmarkStart w:id="30" w:name="_Toc23833"/>
      <w:bookmarkStart w:id="31" w:name="_Toc1716269602_WPSOffice_Level2"/>
      <w:bookmarkStart w:id="32" w:name="_Toc16496"/>
      <w:r>
        <w:rPr>
          <w:rFonts w:eastAsia="楷体_GB2312"/>
          <w:b/>
          <w:sz w:val="32"/>
        </w:rPr>
        <w:t>（一）项目概况</w:t>
      </w:r>
      <w:bookmarkEnd w:id="25"/>
      <w:bookmarkEnd w:id="26"/>
      <w:bookmarkEnd w:id="27"/>
      <w:bookmarkEnd w:id="28"/>
      <w:bookmarkEnd w:id="29"/>
      <w:bookmarkEnd w:id="30"/>
      <w:bookmarkEnd w:id="31"/>
      <w:bookmarkEnd w:id="32"/>
    </w:p>
    <w:p w14:paraId="6975E03C">
      <w:pPr>
        <w:adjustRightInd w:val="0"/>
        <w:snapToGrid w:val="0"/>
        <w:spacing w:line="580" w:lineRule="atLeast"/>
        <w:ind w:firstLine="640"/>
        <w:rPr>
          <w:rFonts w:eastAsia="仿宋_GB2312"/>
          <w:color w:val="000000"/>
          <w:kern w:val="0"/>
          <w:sz w:val="32"/>
          <w:szCs w:val="32"/>
        </w:rPr>
      </w:pPr>
      <w:r>
        <w:rPr>
          <w:rFonts w:hint="eastAsia" w:eastAsia="仿宋_GB2312"/>
          <w:color w:val="000000"/>
          <w:kern w:val="0"/>
          <w:sz w:val="32"/>
          <w:szCs w:val="32"/>
        </w:rPr>
        <w:t>1.项目基本情况</w:t>
      </w:r>
    </w:p>
    <w:p w14:paraId="6A2847D1">
      <w:pPr>
        <w:adjustRightInd w:val="0"/>
        <w:snapToGrid w:val="0"/>
        <w:spacing w:line="580" w:lineRule="atLeast"/>
        <w:ind w:firstLine="640"/>
        <w:rPr>
          <w:rFonts w:eastAsia="仿宋_GB2312"/>
          <w:color w:val="000000"/>
          <w:kern w:val="0"/>
          <w:sz w:val="32"/>
          <w:szCs w:val="32"/>
        </w:rPr>
      </w:pPr>
      <w:r>
        <w:rPr>
          <w:rFonts w:hint="eastAsia" w:eastAsia="仿宋_GB2312"/>
          <w:color w:val="000000"/>
          <w:kern w:val="0"/>
          <w:sz w:val="32"/>
          <w:szCs w:val="32"/>
        </w:rPr>
        <w:t>项目名称：行政办公区二期0160等10个行政办公项目房屋面积和不动产地籍测绘项目</w:t>
      </w:r>
    </w:p>
    <w:p w14:paraId="26581DF4">
      <w:pPr>
        <w:adjustRightInd w:val="0"/>
        <w:snapToGrid w:val="0"/>
        <w:spacing w:line="580" w:lineRule="atLeast"/>
        <w:ind w:left="2238" w:leftChars="266" w:hanging="1600" w:hangingChars="500"/>
        <w:jc w:val="left"/>
        <w:rPr>
          <w:rFonts w:eastAsia="仿宋_GB2312"/>
          <w:color w:val="000000"/>
          <w:kern w:val="0"/>
          <w:sz w:val="32"/>
          <w:szCs w:val="32"/>
        </w:rPr>
      </w:pPr>
      <w:r>
        <w:rPr>
          <w:rFonts w:eastAsia="仿宋_GB2312"/>
          <w:color w:val="000000"/>
          <w:kern w:val="0"/>
          <w:sz w:val="32"/>
          <w:szCs w:val="32"/>
        </w:rPr>
        <w:t>实施部门</w:t>
      </w:r>
      <w:r>
        <w:rPr>
          <w:rFonts w:hint="eastAsia" w:eastAsia="仿宋_GB2312"/>
          <w:color w:val="000000"/>
          <w:kern w:val="0"/>
          <w:sz w:val="32"/>
          <w:szCs w:val="32"/>
        </w:rPr>
        <w:t>：</w:t>
      </w:r>
      <w:r>
        <w:rPr>
          <w:rFonts w:eastAsia="仿宋_GB2312"/>
          <w:bCs/>
          <w:kern w:val="44"/>
          <w:sz w:val="32"/>
          <w:szCs w:val="32"/>
        </w:rPr>
        <w:t>副中心工程办</w:t>
      </w:r>
      <w:r>
        <w:rPr>
          <w:rFonts w:hint="eastAsia" w:eastAsia="仿宋_GB2312"/>
          <w:color w:val="000000"/>
          <w:kern w:val="0"/>
          <w:sz w:val="32"/>
          <w:szCs w:val="32"/>
        </w:rPr>
        <w:t>规划设计管理部</w:t>
      </w:r>
    </w:p>
    <w:p w14:paraId="1D81EB3D">
      <w:pPr>
        <w:adjustRightInd w:val="0"/>
        <w:snapToGrid w:val="0"/>
        <w:spacing w:line="580" w:lineRule="atLeast"/>
        <w:ind w:firstLine="640"/>
        <w:rPr>
          <w:rFonts w:eastAsia="仿宋_GB2312"/>
          <w:color w:val="000000"/>
          <w:kern w:val="0"/>
          <w:sz w:val="32"/>
          <w:szCs w:val="32"/>
        </w:rPr>
      </w:pPr>
      <w:r>
        <w:rPr>
          <w:rFonts w:hint="eastAsia" w:eastAsia="仿宋_GB2312"/>
          <w:color w:val="000000"/>
          <w:kern w:val="0"/>
          <w:sz w:val="32"/>
          <w:szCs w:val="32"/>
        </w:rPr>
        <w:t>项目类型：新增项目</w:t>
      </w:r>
    </w:p>
    <w:p w14:paraId="1C2A5595">
      <w:pPr>
        <w:adjustRightInd w:val="0"/>
        <w:snapToGrid w:val="0"/>
        <w:spacing w:line="580" w:lineRule="atLeast"/>
        <w:ind w:firstLine="640"/>
        <w:rPr>
          <w:rFonts w:eastAsia="仿宋_GB2312"/>
          <w:color w:val="000000"/>
          <w:kern w:val="0"/>
          <w:sz w:val="32"/>
          <w:szCs w:val="32"/>
        </w:rPr>
      </w:pPr>
      <w:r>
        <w:rPr>
          <w:rFonts w:hint="eastAsia" w:eastAsia="仿宋_GB2312"/>
          <w:color w:val="000000"/>
          <w:kern w:val="0"/>
          <w:sz w:val="32"/>
          <w:szCs w:val="32"/>
        </w:rPr>
        <w:t>项目开始时间：2024年1月</w:t>
      </w:r>
    </w:p>
    <w:p w14:paraId="1F22077A">
      <w:pPr>
        <w:adjustRightInd w:val="0"/>
        <w:snapToGrid w:val="0"/>
        <w:spacing w:line="580" w:lineRule="atLeast"/>
        <w:ind w:firstLine="640"/>
        <w:rPr>
          <w:rFonts w:eastAsia="仿宋_GB2312"/>
          <w:color w:val="000000"/>
          <w:kern w:val="0"/>
          <w:sz w:val="32"/>
          <w:szCs w:val="32"/>
        </w:rPr>
      </w:pPr>
      <w:r>
        <w:rPr>
          <w:rFonts w:hint="eastAsia" w:eastAsia="仿宋_GB2312"/>
          <w:color w:val="000000"/>
          <w:kern w:val="0"/>
          <w:sz w:val="32"/>
          <w:szCs w:val="32"/>
        </w:rPr>
        <w:t>项目完成时间：2024年12月</w:t>
      </w:r>
    </w:p>
    <w:p w14:paraId="77859EB2">
      <w:pPr>
        <w:adjustRightInd w:val="0"/>
        <w:snapToGrid w:val="0"/>
        <w:spacing w:line="580" w:lineRule="atLeast"/>
        <w:ind w:firstLine="640"/>
        <w:rPr>
          <w:rFonts w:eastAsia="仿宋_GB2312"/>
          <w:color w:val="000000"/>
          <w:kern w:val="0"/>
          <w:sz w:val="32"/>
          <w:szCs w:val="32"/>
        </w:rPr>
      </w:pPr>
      <w:r>
        <w:rPr>
          <w:rFonts w:hint="eastAsia" w:eastAsia="仿宋_GB2312"/>
          <w:color w:val="000000"/>
          <w:kern w:val="0"/>
          <w:sz w:val="32"/>
          <w:szCs w:val="32"/>
        </w:rPr>
        <w:t>2.项目实施背景</w:t>
      </w:r>
    </w:p>
    <w:p w14:paraId="5C260886">
      <w:pPr>
        <w:adjustRightInd w:val="0"/>
        <w:snapToGrid w:val="0"/>
        <w:spacing w:line="580" w:lineRule="atLeast"/>
        <w:ind w:firstLine="640"/>
        <w:rPr>
          <w:rFonts w:eastAsia="仿宋_GB2312"/>
          <w:color w:val="000000"/>
          <w:kern w:val="0"/>
          <w:sz w:val="32"/>
          <w:szCs w:val="32"/>
        </w:rPr>
      </w:pPr>
      <w:bookmarkStart w:id="33" w:name="_Toc15639"/>
      <w:r>
        <w:rPr>
          <w:rFonts w:hint="eastAsia" w:eastAsia="仿宋_GB2312"/>
          <w:color w:val="000000"/>
          <w:kern w:val="0"/>
          <w:sz w:val="32"/>
          <w:szCs w:val="32"/>
        </w:rPr>
        <w:t>按照项目基本建设审批程序的要求，副中心工程办规划设计管理部需在项目完成竣工验收备案后开展建设项目不动产权登记工作，在取得不动产权证书后与北京市机关事务管理局进行不动产转移登记工作，具体申报项目为2024年行政办公区二期0160等10个行政办公项目房屋面积和不动产地籍测绘项目。</w:t>
      </w:r>
    </w:p>
    <w:p w14:paraId="3A21F23E">
      <w:pPr>
        <w:adjustRightInd w:val="0"/>
        <w:snapToGrid w:val="0"/>
        <w:spacing w:line="580" w:lineRule="atLeast"/>
        <w:ind w:firstLine="640"/>
        <w:rPr>
          <w:rFonts w:eastAsia="仿宋_GB2312"/>
          <w:color w:val="000000"/>
          <w:kern w:val="0"/>
          <w:sz w:val="32"/>
          <w:szCs w:val="32"/>
        </w:rPr>
      </w:pPr>
      <w:r>
        <w:rPr>
          <w:rFonts w:hint="eastAsia" w:eastAsia="仿宋_GB2312"/>
          <w:color w:val="000000"/>
          <w:kern w:val="0"/>
          <w:sz w:val="32"/>
          <w:szCs w:val="32"/>
        </w:rPr>
        <w:t>3.项目主要内容</w:t>
      </w:r>
    </w:p>
    <w:p w14:paraId="43570E23">
      <w:pPr>
        <w:adjustRightInd w:val="0"/>
        <w:snapToGrid w:val="0"/>
        <w:spacing w:line="580" w:lineRule="atLeast"/>
        <w:ind w:firstLine="640"/>
        <w:rPr>
          <w:rFonts w:eastAsia="仿宋_GB2312"/>
          <w:color w:val="000000"/>
          <w:kern w:val="0"/>
          <w:sz w:val="32"/>
          <w:szCs w:val="32"/>
        </w:rPr>
      </w:pPr>
      <w:r>
        <w:rPr>
          <w:rFonts w:hint="eastAsia" w:eastAsia="仿宋_GB2312"/>
          <w:color w:val="000000"/>
          <w:kern w:val="0"/>
          <w:sz w:val="32"/>
          <w:szCs w:val="32"/>
        </w:rPr>
        <w:t>（1）测绘工作共分为两个阶段，第一阶段是根据中华人民共和国建设部、国家测绘局令第83号 第十八条 “用于房屋权属登记等房产管理的房产测绘成果，房地产行政主管部门应当对实测单位的资格、测绘成果的适用性、界址点准确性、面积测算依据与方法等内容进行审核；审核后的房产测绘成果纳入房产档案统一管理”的要求，在区住建部门完成建设项目房产实测备案工作。</w:t>
      </w:r>
    </w:p>
    <w:p w14:paraId="7DC637D7">
      <w:pPr>
        <w:adjustRightInd w:val="0"/>
        <w:snapToGrid w:val="0"/>
        <w:spacing w:line="580" w:lineRule="atLeast"/>
        <w:ind w:firstLine="640"/>
        <w:rPr>
          <w:rFonts w:eastAsia="仿宋_GB2312"/>
          <w:color w:val="000000"/>
          <w:kern w:val="0"/>
          <w:sz w:val="32"/>
          <w:szCs w:val="32"/>
        </w:rPr>
      </w:pPr>
      <w:r>
        <w:rPr>
          <w:rFonts w:hint="eastAsia" w:eastAsia="仿宋_GB2312"/>
          <w:color w:val="000000"/>
          <w:kern w:val="0"/>
          <w:sz w:val="32"/>
          <w:szCs w:val="32"/>
        </w:rPr>
        <w:t>（2）第二阶段是根据中华人民共和国主席令第45号第二百一十条：“不动产登记，由不动产所在地的登记机构办理。国家对不动产实行统一登记制度。统一登记的范围、登记机构和登记办法，由法律、行政法规规定。”及审批部门关于办理不动产首次登记申请材料要求，提供建设项目不动产权籍调查确认单等相关要求，完成建设项目不动产权籍调查工作。</w:t>
      </w:r>
    </w:p>
    <w:p w14:paraId="3F71AD42">
      <w:pPr>
        <w:adjustRightInd w:val="0"/>
        <w:snapToGrid w:val="0"/>
        <w:spacing w:line="580" w:lineRule="atLeast"/>
        <w:ind w:firstLine="640"/>
        <w:rPr>
          <w:rFonts w:eastAsia="仿宋_GB2312"/>
          <w:color w:val="000000"/>
          <w:kern w:val="0"/>
          <w:sz w:val="32"/>
          <w:szCs w:val="32"/>
        </w:rPr>
      </w:pPr>
      <w:r>
        <w:rPr>
          <w:rFonts w:hint="eastAsia" w:eastAsia="仿宋_GB2312"/>
          <w:color w:val="000000"/>
          <w:kern w:val="0"/>
          <w:sz w:val="32"/>
          <w:szCs w:val="32"/>
        </w:rPr>
        <w:t>（3）按照北京市“多测合一”整合测绘事项改革要求，副中心工程办规划设计管理部拟依法委托有资质的测绘单位进行房产实测备案、不动产首次登记前的土地核实工作及配合完成不动产权籍调查工作。</w:t>
      </w:r>
    </w:p>
    <w:bookmarkEnd w:id="33"/>
    <w:p w14:paraId="0710982B">
      <w:pPr>
        <w:adjustRightInd w:val="0"/>
        <w:snapToGrid w:val="0"/>
        <w:spacing w:line="580" w:lineRule="atLeast"/>
        <w:ind w:firstLine="640"/>
        <w:rPr>
          <w:rFonts w:eastAsia="仿宋_GB2312"/>
          <w:color w:val="000000"/>
          <w:kern w:val="0"/>
          <w:sz w:val="32"/>
          <w:szCs w:val="32"/>
        </w:rPr>
      </w:pPr>
      <w:r>
        <w:rPr>
          <w:rFonts w:hint="eastAsia" w:eastAsia="仿宋_GB2312"/>
          <w:color w:val="000000"/>
          <w:kern w:val="0"/>
          <w:sz w:val="32"/>
          <w:szCs w:val="32"/>
        </w:rPr>
        <w:t>4.资金投入和使用情况</w:t>
      </w:r>
      <w:bookmarkStart w:id="34" w:name="_Toc1095901538"/>
      <w:bookmarkStart w:id="35" w:name="_Toc25117"/>
    </w:p>
    <w:bookmarkEnd w:id="34"/>
    <w:p w14:paraId="22AA5F46">
      <w:pPr>
        <w:adjustRightInd w:val="0"/>
        <w:snapToGrid w:val="0"/>
        <w:spacing w:line="580" w:lineRule="atLeast"/>
        <w:ind w:firstLine="640"/>
        <w:rPr>
          <w:rFonts w:eastAsia="仿宋_GB2312"/>
          <w:color w:val="000000"/>
          <w:kern w:val="0"/>
          <w:sz w:val="32"/>
          <w:szCs w:val="32"/>
          <w:highlight w:val="none"/>
        </w:rPr>
      </w:pPr>
      <w:r>
        <w:rPr>
          <w:rFonts w:hint="eastAsia" w:eastAsia="仿宋_GB2312"/>
          <w:color w:val="000000"/>
          <w:kern w:val="0"/>
          <w:sz w:val="32"/>
          <w:szCs w:val="32"/>
        </w:rPr>
        <w:t>该项目申请市财政资金</w:t>
      </w:r>
      <w:r>
        <w:rPr>
          <w:rFonts w:eastAsia="仿宋_GB2312"/>
          <w:color w:val="000000"/>
          <w:kern w:val="0"/>
          <w:sz w:val="32"/>
          <w:szCs w:val="32"/>
        </w:rPr>
        <w:t>221.795817</w:t>
      </w:r>
      <w:r>
        <w:rPr>
          <w:rFonts w:hint="eastAsia" w:eastAsia="仿宋_GB2312"/>
          <w:color w:val="000000"/>
          <w:kern w:val="0"/>
          <w:sz w:val="32"/>
          <w:szCs w:val="32"/>
        </w:rPr>
        <w:t>万元，其中：行政办公区二期0160等10个行政办公项目“多测合一”220.640817万元，不动产权证书登记费1.155000万元，2024年2月北京市财政局批复该项目资金</w:t>
      </w:r>
      <w:r>
        <w:rPr>
          <w:rFonts w:ascii="仿宋_GB2312" w:hAnsi="仿宋_GB2312" w:eastAsia="仿宋_GB2312" w:cs="仿宋_GB2312"/>
          <w:sz w:val="32"/>
          <w:szCs w:val="32"/>
        </w:rPr>
        <w:t>221.795817</w:t>
      </w:r>
      <w:r>
        <w:rPr>
          <w:rFonts w:hint="eastAsia" w:eastAsia="仿宋_GB2312"/>
          <w:color w:val="000000"/>
          <w:kern w:val="0"/>
          <w:sz w:val="32"/>
          <w:szCs w:val="32"/>
        </w:rPr>
        <w:t>万元。截至2024年7</w:t>
      </w:r>
      <w:r>
        <w:rPr>
          <w:rFonts w:hint="eastAsia" w:eastAsia="仿宋_GB2312"/>
          <w:color w:val="000000"/>
          <w:kern w:val="0"/>
          <w:sz w:val="32"/>
          <w:szCs w:val="32"/>
          <w:highlight w:val="none"/>
        </w:rPr>
        <w:t>月支出资金127.515249万元，结余94.280568万元，</w:t>
      </w:r>
      <w:r>
        <w:rPr>
          <w:rFonts w:hint="eastAsia" w:eastAsia="仿宋_GB2312"/>
          <w:bCs/>
          <w:sz w:val="32"/>
          <w:szCs w:val="32"/>
          <w:highlight w:val="none"/>
        </w:rPr>
        <w:t>2024年7月</w:t>
      </w:r>
      <w:r>
        <w:rPr>
          <w:rFonts w:hint="eastAsia" w:eastAsia="仿宋_GB2312"/>
          <w:color w:val="000000"/>
          <w:kern w:val="0"/>
          <w:sz w:val="32"/>
          <w:szCs w:val="32"/>
          <w:highlight w:val="none"/>
        </w:rPr>
        <w:t>结余资金已全部申请退回财政。</w:t>
      </w:r>
    </w:p>
    <w:p w14:paraId="7D15B600">
      <w:pPr>
        <w:adjustRightInd w:val="0"/>
        <w:snapToGrid w:val="0"/>
        <w:spacing w:line="580" w:lineRule="atLeast"/>
        <w:ind w:firstLine="640"/>
        <w:rPr>
          <w:rFonts w:eastAsia="仿宋_GB2312"/>
          <w:color w:val="000000"/>
          <w:kern w:val="0"/>
          <w:sz w:val="32"/>
          <w:szCs w:val="32"/>
        </w:rPr>
      </w:pPr>
      <w:bookmarkStart w:id="36" w:name="_Toc1997392494"/>
      <w:bookmarkStart w:id="37" w:name="_Toc5594"/>
      <w:bookmarkStart w:id="38" w:name="_Toc342854310_WPSOffice_Level2"/>
      <w:bookmarkStart w:id="39" w:name="_Toc16120"/>
      <w:bookmarkStart w:id="40" w:name="_Toc9060"/>
      <w:bookmarkStart w:id="41" w:name="_Toc18958"/>
      <w:bookmarkStart w:id="42" w:name="_Toc16103"/>
      <w:r>
        <w:rPr>
          <w:rFonts w:hint="eastAsia" w:eastAsia="仿宋_GB2312"/>
          <w:color w:val="000000"/>
          <w:kern w:val="0"/>
          <w:sz w:val="32"/>
          <w:szCs w:val="32"/>
        </w:rPr>
        <w:t>（二）项目绩效目标</w:t>
      </w:r>
      <w:bookmarkEnd w:id="35"/>
      <w:bookmarkEnd w:id="36"/>
      <w:bookmarkEnd w:id="37"/>
      <w:bookmarkEnd w:id="38"/>
      <w:bookmarkEnd w:id="39"/>
      <w:bookmarkEnd w:id="40"/>
      <w:bookmarkEnd w:id="41"/>
      <w:bookmarkEnd w:id="42"/>
    </w:p>
    <w:p w14:paraId="44F41955">
      <w:pPr>
        <w:adjustRightInd w:val="0"/>
        <w:snapToGrid w:val="0"/>
        <w:spacing w:line="580" w:lineRule="atLeast"/>
        <w:ind w:firstLine="640"/>
        <w:rPr>
          <w:rFonts w:eastAsia="仿宋_GB2312"/>
          <w:color w:val="000000"/>
          <w:kern w:val="0"/>
          <w:sz w:val="32"/>
          <w:szCs w:val="32"/>
        </w:rPr>
      </w:pPr>
      <w:bookmarkStart w:id="43" w:name="_Toc26489"/>
      <w:bookmarkStart w:id="44" w:name="_Toc7351"/>
      <w:r>
        <w:rPr>
          <w:rFonts w:hint="eastAsia" w:eastAsia="仿宋_GB2312"/>
          <w:color w:val="000000"/>
          <w:kern w:val="0"/>
          <w:sz w:val="32"/>
          <w:szCs w:val="32"/>
        </w:rPr>
        <w:t>1.总体目标</w:t>
      </w:r>
    </w:p>
    <w:p w14:paraId="637CAB1E">
      <w:pPr>
        <w:adjustRightInd w:val="0"/>
        <w:snapToGrid w:val="0"/>
        <w:spacing w:line="580" w:lineRule="atLeast"/>
        <w:ind w:firstLine="640"/>
        <w:rPr>
          <w:rFonts w:eastAsia="仿宋_GB2312"/>
          <w:color w:val="000000"/>
          <w:kern w:val="0"/>
          <w:sz w:val="32"/>
          <w:szCs w:val="32"/>
        </w:rPr>
      </w:pPr>
      <w:r>
        <w:rPr>
          <w:rFonts w:hint="eastAsia" w:eastAsia="仿宋_GB2312"/>
          <w:color w:val="000000"/>
          <w:kern w:val="0"/>
          <w:sz w:val="32"/>
          <w:szCs w:val="32"/>
        </w:rPr>
        <w:t>按照基本建设审批程序要求，应在建设项目完成竣工验收备案后开展建设项目不动产权登记工作。在申报不动产权登记前，需完成房产实测备案及不动产权籍调查工作，取得审批部门核发的房产实测报告备案表、不动产权籍调查确认单，完成相关地块的不动产首次登记工作，并配合</w:t>
      </w:r>
      <w:r>
        <w:rPr>
          <w:rFonts w:hint="eastAsia" w:eastAsia="仿宋_GB2312"/>
          <w:color w:val="000000"/>
          <w:kern w:val="0"/>
          <w:sz w:val="32"/>
          <w:szCs w:val="32"/>
          <w:lang w:eastAsia="zh-CN"/>
        </w:rPr>
        <w:t>市机关事务管理局</w:t>
      </w:r>
      <w:r>
        <w:rPr>
          <w:rFonts w:hint="eastAsia" w:eastAsia="仿宋_GB2312"/>
          <w:color w:val="000000"/>
          <w:kern w:val="0"/>
          <w:sz w:val="32"/>
          <w:szCs w:val="32"/>
        </w:rPr>
        <w:t>完成产权转移工作。</w:t>
      </w:r>
    </w:p>
    <w:p w14:paraId="40BD848D">
      <w:pPr>
        <w:adjustRightInd w:val="0"/>
        <w:snapToGrid w:val="0"/>
        <w:spacing w:line="580" w:lineRule="atLeast"/>
        <w:ind w:firstLine="640"/>
        <w:rPr>
          <w:rFonts w:eastAsia="仿宋_GB2312"/>
          <w:color w:val="000000"/>
          <w:kern w:val="0"/>
          <w:sz w:val="32"/>
          <w:szCs w:val="32"/>
        </w:rPr>
      </w:pPr>
      <w:r>
        <w:rPr>
          <w:rFonts w:hint="eastAsia" w:eastAsia="仿宋_GB2312"/>
          <w:color w:val="000000"/>
          <w:kern w:val="0"/>
          <w:sz w:val="32"/>
          <w:szCs w:val="32"/>
        </w:rPr>
        <w:t>2.绩效指标</w:t>
      </w:r>
    </w:p>
    <w:p w14:paraId="1ADFBCB7">
      <w:pPr>
        <w:adjustRightInd w:val="0"/>
        <w:snapToGrid w:val="0"/>
        <w:spacing w:line="600" w:lineRule="atLeast"/>
        <w:ind w:firstLine="1687" w:firstLineChars="600"/>
        <w:rPr>
          <w:rFonts w:hint="eastAsia" w:ascii="宋体" w:hAnsi="宋体" w:cs="宋体"/>
          <w:b/>
          <w:bCs/>
          <w:color w:val="000000"/>
          <w:kern w:val="0"/>
          <w:sz w:val="28"/>
          <w:szCs w:val="28"/>
        </w:rPr>
      </w:pPr>
      <w:r>
        <w:rPr>
          <w:rFonts w:hint="eastAsia" w:ascii="宋体" w:hAnsi="宋体" w:cs="宋体"/>
          <w:b/>
          <w:bCs/>
          <w:color w:val="000000"/>
          <w:kern w:val="0"/>
          <w:sz w:val="28"/>
          <w:szCs w:val="28"/>
        </w:rPr>
        <w:t>2024</w:t>
      </w:r>
      <w:r>
        <w:rPr>
          <w:rFonts w:hint="eastAsia" w:ascii="宋体" w:hAnsi="宋体" w:cs="宋体"/>
          <w:b/>
          <w:bCs/>
          <w:kern w:val="44"/>
          <w:sz w:val="28"/>
          <w:szCs w:val="28"/>
        </w:rPr>
        <w:t>年度</w:t>
      </w:r>
      <w:r>
        <w:rPr>
          <w:rFonts w:hint="eastAsia" w:ascii="宋体" w:hAnsi="宋体" w:cs="宋体"/>
          <w:b/>
          <w:bCs/>
          <w:color w:val="000000"/>
          <w:kern w:val="0"/>
          <w:sz w:val="28"/>
          <w:szCs w:val="28"/>
        </w:rPr>
        <w:t>行政办公区二期0160等10个行政办公项目</w:t>
      </w:r>
    </w:p>
    <w:p w14:paraId="4192E938">
      <w:pPr>
        <w:adjustRightInd w:val="0"/>
        <w:snapToGrid w:val="0"/>
        <w:spacing w:line="600" w:lineRule="atLeast"/>
        <w:ind w:firstLine="1687" w:firstLineChars="600"/>
        <w:rPr>
          <w:rFonts w:hint="eastAsia" w:ascii="宋体" w:hAnsi="宋体" w:cs="宋体"/>
          <w:b/>
          <w:bCs/>
          <w:sz w:val="28"/>
          <w:szCs w:val="28"/>
        </w:rPr>
      </w:pPr>
      <w:r>
        <w:rPr>
          <w:rFonts w:hint="eastAsia" w:ascii="宋体" w:hAnsi="宋体" w:cs="宋体"/>
          <w:b/>
          <w:bCs/>
          <w:color w:val="000000"/>
          <w:kern w:val="0"/>
          <w:sz w:val="28"/>
          <w:szCs w:val="28"/>
        </w:rPr>
        <w:t>房屋面积和不动产地籍测绘项</w:t>
      </w:r>
      <w:r>
        <w:rPr>
          <w:rFonts w:hint="eastAsia" w:ascii="宋体" w:hAnsi="宋体" w:cs="宋体"/>
          <w:b/>
          <w:bCs/>
          <w:kern w:val="44"/>
          <w:sz w:val="28"/>
          <w:szCs w:val="28"/>
        </w:rPr>
        <w:t>目绩效指标一览表</w:t>
      </w:r>
    </w:p>
    <w:tbl>
      <w:tblPr>
        <w:tblStyle w:val="19"/>
        <w:tblW w:w="8284" w:type="dxa"/>
        <w:jc w:val="center"/>
        <w:tblLayout w:type="fixed"/>
        <w:tblCellMar>
          <w:top w:w="0" w:type="dxa"/>
          <w:left w:w="108" w:type="dxa"/>
          <w:bottom w:w="0" w:type="dxa"/>
          <w:right w:w="108" w:type="dxa"/>
        </w:tblCellMar>
      </w:tblPr>
      <w:tblGrid>
        <w:gridCol w:w="1444"/>
        <w:gridCol w:w="2472"/>
        <w:gridCol w:w="2211"/>
        <w:gridCol w:w="2157"/>
      </w:tblGrid>
      <w:tr w14:paraId="77AAA41D">
        <w:tblPrEx>
          <w:tblCellMar>
            <w:top w:w="0" w:type="dxa"/>
            <w:left w:w="108" w:type="dxa"/>
            <w:bottom w:w="0" w:type="dxa"/>
            <w:right w:w="108" w:type="dxa"/>
          </w:tblCellMar>
        </w:tblPrEx>
        <w:trPr>
          <w:cantSplit/>
          <w:trHeight w:val="567" w:hRule="atLeast"/>
          <w:jc w:val="center"/>
        </w:trPr>
        <w:tc>
          <w:tcPr>
            <w:tcW w:w="1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9D493">
            <w:pPr>
              <w:widowControl/>
              <w:adjustRightInd w:val="0"/>
              <w:snapToGrid w:val="0"/>
              <w:spacing w:line="240" w:lineRule="auto"/>
              <w:ind w:firstLine="0" w:firstLineChars="0"/>
              <w:jc w:val="center"/>
              <w:textAlignment w:val="center"/>
              <w:rPr>
                <w:rFonts w:hint="eastAsia" w:ascii="仿宋_GB2312" w:hAnsi="仿宋_GB2312" w:eastAsia="仿宋_GB2312" w:cs="仿宋_GB2312"/>
                <w:b/>
                <w:bCs/>
                <w:szCs w:val="24"/>
              </w:rPr>
            </w:pPr>
            <w:r>
              <w:rPr>
                <w:rFonts w:hint="eastAsia" w:ascii="仿宋_GB2312" w:hAnsi="仿宋_GB2312" w:eastAsia="仿宋_GB2312" w:cs="仿宋_GB2312"/>
                <w:b/>
                <w:bCs/>
                <w:kern w:val="0"/>
                <w:szCs w:val="24"/>
              </w:rPr>
              <w:t>一级指标</w:t>
            </w:r>
          </w:p>
        </w:tc>
        <w:tc>
          <w:tcPr>
            <w:tcW w:w="2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CCCF7">
            <w:pPr>
              <w:widowControl/>
              <w:adjustRightInd w:val="0"/>
              <w:snapToGrid w:val="0"/>
              <w:spacing w:line="240" w:lineRule="auto"/>
              <w:ind w:firstLine="0" w:firstLineChars="0"/>
              <w:jc w:val="center"/>
              <w:textAlignment w:val="center"/>
              <w:rPr>
                <w:rFonts w:hint="eastAsia" w:ascii="仿宋_GB2312" w:hAnsi="仿宋_GB2312" w:eastAsia="仿宋_GB2312" w:cs="仿宋_GB2312"/>
                <w:b/>
                <w:bCs/>
                <w:szCs w:val="24"/>
              </w:rPr>
            </w:pPr>
            <w:r>
              <w:rPr>
                <w:rFonts w:hint="eastAsia" w:ascii="仿宋_GB2312" w:hAnsi="仿宋_GB2312" w:eastAsia="仿宋_GB2312" w:cs="仿宋_GB2312"/>
                <w:b/>
                <w:bCs/>
                <w:kern w:val="0"/>
                <w:szCs w:val="24"/>
              </w:rPr>
              <w:t>二级指标</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FF719">
            <w:pPr>
              <w:widowControl/>
              <w:adjustRightInd w:val="0"/>
              <w:snapToGrid w:val="0"/>
              <w:spacing w:line="240" w:lineRule="auto"/>
              <w:ind w:firstLine="0" w:firstLineChars="0"/>
              <w:jc w:val="center"/>
              <w:textAlignment w:val="center"/>
              <w:rPr>
                <w:rFonts w:hint="eastAsia" w:ascii="仿宋_GB2312" w:hAnsi="仿宋_GB2312" w:eastAsia="仿宋_GB2312" w:cs="仿宋_GB2312"/>
                <w:b/>
                <w:bCs/>
                <w:szCs w:val="24"/>
              </w:rPr>
            </w:pPr>
            <w:r>
              <w:rPr>
                <w:rFonts w:hint="eastAsia" w:ascii="仿宋_GB2312" w:hAnsi="仿宋_GB2312" w:eastAsia="仿宋_GB2312" w:cs="仿宋_GB2312"/>
                <w:b/>
                <w:bCs/>
                <w:kern w:val="0"/>
                <w:szCs w:val="24"/>
              </w:rPr>
              <w:t>三级指标</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74BFB">
            <w:pPr>
              <w:widowControl/>
              <w:adjustRightInd w:val="0"/>
              <w:snapToGrid w:val="0"/>
              <w:spacing w:line="240" w:lineRule="auto"/>
              <w:ind w:firstLine="0" w:firstLineChars="0"/>
              <w:jc w:val="center"/>
              <w:textAlignment w:val="center"/>
              <w:rPr>
                <w:rFonts w:hint="eastAsia" w:ascii="仿宋_GB2312" w:hAnsi="仿宋_GB2312" w:eastAsia="仿宋_GB2312" w:cs="仿宋_GB2312"/>
                <w:b/>
                <w:bCs/>
                <w:szCs w:val="24"/>
              </w:rPr>
            </w:pPr>
            <w:r>
              <w:rPr>
                <w:rFonts w:hint="eastAsia" w:ascii="仿宋_GB2312" w:hAnsi="仿宋_GB2312" w:eastAsia="仿宋_GB2312" w:cs="仿宋_GB2312"/>
                <w:b/>
                <w:bCs/>
                <w:kern w:val="0"/>
                <w:szCs w:val="24"/>
              </w:rPr>
              <w:t>年度指标值</w:t>
            </w:r>
          </w:p>
        </w:tc>
      </w:tr>
      <w:tr w14:paraId="2DFABA20">
        <w:tblPrEx>
          <w:tblCellMar>
            <w:top w:w="0" w:type="dxa"/>
            <w:left w:w="108" w:type="dxa"/>
            <w:bottom w:w="0" w:type="dxa"/>
            <w:right w:w="108" w:type="dxa"/>
          </w:tblCellMar>
        </w:tblPrEx>
        <w:trPr>
          <w:cantSplit/>
          <w:trHeight w:val="567" w:hRule="atLeast"/>
          <w:jc w:val="center"/>
        </w:trPr>
        <w:tc>
          <w:tcPr>
            <w:tcW w:w="14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66D4C2">
            <w:pPr>
              <w:widowControl/>
              <w:adjustRightInd w:val="0"/>
              <w:snapToGrid w:val="0"/>
              <w:spacing w:line="240" w:lineRule="auto"/>
              <w:ind w:firstLine="0" w:firstLineChars="0"/>
              <w:jc w:val="center"/>
              <w:textAlignment w:val="center"/>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产出指标</w:t>
            </w:r>
          </w:p>
        </w:tc>
        <w:tc>
          <w:tcPr>
            <w:tcW w:w="2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D09CA">
            <w:pPr>
              <w:widowControl/>
              <w:adjustRightInd w:val="0"/>
              <w:snapToGrid w:val="0"/>
              <w:spacing w:line="240" w:lineRule="auto"/>
              <w:ind w:firstLine="0" w:firstLineChars="0"/>
              <w:jc w:val="center"/>
              <w:textAlignment w:val="center"/>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数量指标</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A9575">
            <w:pPr>
              <w:widowControl/>
              <w:adjustRightInd w:val="0"/>
              <w:snapToGrid w:val="0"/>
              <w:spacing w:line="240" w:lineRule="auto"/>
              <w:ind w:firstLine="0" w:firstLineChars="0"/>
              <w:jc w:val="center"/>
              <w:textAlignment w:val="center"/>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取得不动产权籍</w:t>
            </w:r>
          </w:p>
          <w:p w14:paraId="456D7920">
            <w:pPr>
              <w:widowControl/>
              <w:adjustRightInd w:val="0"/>
              <w:snapToGrid w:val="0"/>
              <w:spacing w:line="240" w:lineRule="auto"/>
              <w:ind w:firstLine="0" w:firstLineChars="0"/>
              <w:jc w:val="center"/>
              <w:textAlignment w:val="center"/>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调查报告</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CAC4D">
            <w:pPr>
              <w:widowControl/>
              <w:adjustRightInd w:val="0"/>
              <w:snapToGrid w:val="0"/>
              <w:spacing w:line="240" w:lineRule="auto"/>
              <w:ind w:firstLine="0" w:firstLineChars="0"/>
              <w:jc w:val="center"/>
              <w:textAlignment w:val="center"/>
              <w:rPr>
                <w:rFonts w:eastAsia="仿宋_GB2312"/>
                <w:color w:val="000000"/>
                <w:kern w:val="0"/>
                <w:szCs w:val="24"/>
              </w:rPr>
            </w:pPr>
            <w:r>
              <w:rPr>
                <w:rFonts w:hint="eastAsia" w:eastAsia="仿宋_GB2312"/>
                <w:color w:val="000000"/>
                <w:kern w:val="0"/>
                <w:szCs w:val="24"/>
              </w:rPr>
              <w:t>≤21本</w:t>
            </w:r>
          </w:p>
        </w:tc>
      </w:tr>
      <w:tr w14:paraId="5EC78894">
        <w:tblPrEx>
          <w:tblCellMar>
            <w:top w:w="0" w:type="dxa"/>
            <w:left w:w="108" w:type="dxa"/>
            <w:bottom w:w="0" w:type="dxa"/>
            <w:right w:w="108" w:type="dxa"/>
          </w:tblCellMar>
        </w:tblPrEx>
        <w:trPr>
          <w:cantSplit/>
          <w:trHeight w:val="567" w:hRule="atLeast"/>
          <w:jc w:val="center"/>
        </w:trPr>
        <w:tc>
          <w:tcPr>
            <w:tcW w:w="14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6AC1AB">
            <w:pPr>
              <w:widowControl/>
              <w:adjustRightInd w:val="0"/>
              <w:snapToGrid w:val="0"/>
              <w:spacing w:line="240" w:lineRule="auto"/>
              <w:ind w:firstLine="0" w:firstLineChars="0"/>
              <w:jc w:val="center"/>
              <w:textAlignment w:val="center"/>
              <w:rPr>
                <w:rFonts w:hint="eastAsia" w:ascii="仿宋_GB2312" w:hAnsi="仿宋_GB2312" w:eastAsia="仿宋_GB2312" w:cs="仿宋_GB2312"/>
                <w:kern w:val="0"/>
                <w:szCs w:val="24"/>
              </w:rPr>
            </w:pPr>
          </w:p>
        </w:tc>
        <w:tc>
          <w:tcPr>
            <w:tcW w:w="2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4A68C">
            <w:pPr>
              <w:widowControl/>
              <w:adjustRightInd w:val="0"/>
              <w:snapToGrid w:val="0"/>
              <w:spacing w:line="240" w:lineRule="auto"/>
              <w:ind w:firstLine="0" w:firstLineChars="0"/>
              <w:jc w:val="center"/>
              <w:textAlignment w:val="center"/>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数量指标</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61224">
            <w:pPr>
              <w:widowControl/>
              <w:adjustRightInd w:val="0"/>
              <w:snapToGrid w:val="0"/>
              <w:spacing w:line="240" w:lineRule="auto"/>
              <w:ind w:firstLine="0" w:firstLineChars="0"/>
              <w:jc w:val="center"/>
              <w:textAlignment w:val="center"/>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不动产权证书</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2BB48">
            <w:pPr>
              <w:widowControl/>
              <w:adjustRightInd w:val="0"/>
              <w:snapToGrid w:val="0"/>
              <w:spacing w:line="240" w:lineRule="auto"/>
              <w:ind w:firstLine="0" w:firstLineChars="0"/>
              <w:jc w:val="center"/>
              <w:textAlignment w:val="center"/>
              <w:rPr>
                <w:rFonts w:eastAsia="仿宋_GB2312"/>
                <w:color w:val="000000"/>
                <w:kern w:val="0"/>
                <w:szCs w:val="24"/>
              </w:rPr>
            </w:pPr>
            <w:r>
              <w:rPr>
                <w:rFonts w:hint="eastAsia" w:eastAsia="仿宋_GB2312"/>
                <w:color w:val="000000"/>
                <w:kern w:val="0"/>
                <w:szCs w:val="24"/>
              </w:rPr>
              <w:t>≤21本</w:t>
            </w:r>
          </w:p>
        </w:tc>
      </w:tr>
      <w:tr w14:paraId="5701CD4F">
        <w:tblPrEx>
          <w:tblCellMar>
            <w:top w:w="0" w:type="dxa"/>
            <w:left w:w="108" w:type="dxa"/>
            <w:bottom w:w="0" w:type="dxa"/>
            <w:right w:w="108" w:type="dxa"/>
          </w:tblCellMar>
        </w:tblPrEx>
        <w:trPr>
          <w:cantSplit/>
          <w:trHeight w:val="567" w:hRule="atLeast"/>
          <w:jc w:val="center"/>
        </w:trPr>
        <w:tc>
          <w:tcPr>
            <w:tcW w:w="14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DDFB16">
            <w:pPr>
              <w:widowControl/>
              <w:adjustRightInd w:val="0"/>
              <w:snapToGrid w:val="0"/>
              <w:spacing w:line="240" w:lineRule="auto"/>
              <w:ind w:firstLine="0" w:firstLineChars="0"/>
              <w:jc w:val="center"/>
              <w:textAlignment w:val="center"/>
              <w:rPr>
                <w:rFonts w:hint="eastAsia" w:ascii="仿宋_GB2312" w:hAnsi="仿宋_GB2312" w:eastAsia="仿宋_GB2312" w:cs="仿宋_GB2312"/>
                <w:kern w:val="0"/>
                <w:szCs w:val="24"/>
              </w:rPr>
            </w:pPr>
          </w:p>
        </w:tc>
        <w:tc>
          <w:tcPr>
            <w:tcW w:w="2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63DC1">
            <w:pPr>
              <w:widowControl/>
              <w:adjustRightInd w:val="0"/>
              <w:snapToGrid w:val="0"/>
              <w:spacing w:line="240" w:lineRule="auto"/>
              <w:ind w:firstLine="0" w:firstLineChars="0"/>
              <w:jc w:val="center"/>
              <w:textAlignment w:val="center"/>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数量指标</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BE8E2">
            <w:pPr>
              <w:widowControl/>
              <w:adjustRightInd w:val="0"/>
              <w:snapToGrid w:val="0"/>
              <w:spacing w:line="240" w:lineRule="auto"/>
              <w:ind w:firstLine="0" w:firstLineChars="0"/>
              <w:jc w:val="center"/>
              <w:textAlignment w:val="center"/>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房产实测报告</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202CA">
            <w:pPr>
              <w:widowControl/>
              <w:adjustRightInd w:val="0"/>
              <w:snapToGrid w:val="0"/>
              <w:spacing w:line="240" w:lineRule="auto"/>
              <w:ind w:firstLine="0" w:firstLineChars="0"/>
              <w:jc w:val="center"/>
              <w:textAlignment w:val="center"/>
              <w:rPr>
                <w:rFonts w:eastAsia="仿宋_GB2312"/>
                <w:color w:val="000000"/>
                <w:kern w:val="0"/>
                <w:szCs w:val="24"/>
              </w:rPr>
            </w:pPr>
            <w:r>
              <w:rPr>
                <w:rFonts w:hint="eastAsia" w:eastAsia="仿宋_GB2312"/>
                <w:color w:val="000000"/>
                <w:kern w:val="0"/>
                <w:szCs w:val="24"/>
              </w:rPr>
              <w:t>≤21本</w:t>
            </w:r>
          </w:p>
        </w:tc>
      </w:tr>
      <w:tr w14:paraId="596C72A0">
        <w:tblPrEx>
          <w:tblCellMar>
            <w:top w:w="0" w:type="dxa"/>
            <w:left w:w="108" w:type="dxa"/>
            <w:bottom w:w="0" w:type="dxa"/>
            <w:right w:w="108" w:type="dxa"/>
          </w:tblCellMar>
        </w:tblPrEx>
        <w:trPr>
          <w:cantSplit/>
          <w:trHeight w:val="567" w:hRule="atLeast"/>
          <w:jc w:val="center"/>
        </w:trPr>
        <w:tc>
          <w:tcPr>
            <w:tcW w:w="14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C3214A">
            <w:pPr>
              <w:widowControl/>
              <w:adjustRightInd w:val="0"/>
              <w:snapToGrid w:val="0"/>
              <w:spacing w:line="240" w:lineRule="auto"/>
              <w:ind w:firstLine="0" w:firstLineChars="0"/>
              <w:jc w:val="center"/>
              <w:textAlignment w:val="center"/>
              <w:rPr>
                <w:rFonts w:hint="eastAsia" w:ascii="仿宋_GB2312" w:hAnsi="仿宋_GB2312" w:eastAsia="仿宋_GB2312" w:cs="仿宋_GB2312"/>
                <w:kern w:val="0"/>
                <w:szCs w:val="24"/>
              </w:rPr>
            </w:pPr>
          </w:p>
        </w:tc>
        <w:tc>
          <w:tcPr>
            <w:tcW w:w="2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0C830">
            <w:pPr>
              <w:widowControl/>
              <w:adjustRightInd w:val="0"/>
              <w:snapToGrid w:val="0"/>
              <w:spacing w:line="240" w:lineRule="auto"/>
              <w:ind w:firstLine="0" w:firstLineChars="0"/>
              <w:jc w:val="center"/>
              <w:textAlignment w:val="center"/>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质量指标</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C84AB">
            <w:pPr>
              <w:widowControl/>
              <w:adjustRightInd w:val="0"/>
              <w:snapToGrid w:val="0"/>
              <w:spacing w:line="240" w:lineRule="auto"/>
              <w:ind w:firstLine="0" w:firstLineChars="0"/>
              <w:jc w:val="center"/>
              <w:textAlignment w:val="center"/>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测绘报告合格率</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A8CE7">
            <w:pPr>
              <w:widowControl/>
              <w:adjustRightInd w:val="0"/>
              <w:snapToGrid w:val="0"/>
              <w:spacing w:line="240" w:lineRule="auto"/>
              <w:ind w:firstLine="0" w:firstLineChars="0"/>
              <w:jc w:val="center"/>
              <w:textAlignment w:val="center"/>
              <w:rPr>
                <w:rFonts w:eastAsia="仿宋_GB2312"/>
                <w:color w:val="000000"/>
                <w:kern w:val="0"/>
                <w:szCs w:val="24"/>
              </w:rPr>
            </w:pPr>
            <w:r>
              <w:rPr>
                <w:rFonts w:hint="eastAsia" w:eastAsia="仿宋_GB2312"/>
                <w:color w:val="000000"/>
                <w:kern w:val="0"/>
                <w:szCs w:val="24"/>
              </w:rPr>
              <w:t>≥99%</w:t>
            </w:r>
          </w:p>
        </w:tc>
      </w:tr>
      <w:tr w14:paraId="6F387C6D">
        <w:tblPrEx>
          <w:tblCellMar>
            <w:top w:w="0" w:type="dxa"/>
            <w:left w:w="108" w:type="dxa"/>
            <w:bottom w:w="0" w:type="dxa"/>
            <w:right w:w="108" w:type="dxa"/>
          </w:tblCellMar>
        </w:tblPrEx>
        <w:trPr>
          <w:cantSplit/>
          <w:trHeight w:val="567" w:hRule="atLeast"/>
          <w:jc w:val="center"/>
        </w:trPr>
        <w:tc>
          <w:tcPr>
            <w:tcW w:w="14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7655F1">
            <w:pPr>
              <w:widowControl/>
              <w:adjustRightInd w:val="0"/>
              <w:snapToGrid w:val="0"/>
              <w:spacing w:line="240" w:lineRule="auto"/>
              <w:ind w:firstLine="0" w:firstLineChars="0"/>
              <w:jc w:val="center"/>
              <w:textAlignment w:val="center"/>
              <w:rPr>
                <w:rFonts w:hint="eastAsia" w:ascii="仿宋_GB2312" w:hAnsi="仿宋_GB2312" w:eastAsia="仿宋_GB2312" w:cs="仿宋_GB2312"/>
                <w:kern w:val="0"/>
                <w:szCs w:val="24"/>
              </w:rPr>
            </w:pPr>
          </w:p>
        </w:tc>
        <w:tc>
          <w:tcPr>
            <w:tcW w:w="2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BD505">
            <w:pPr>
              <w:widowControl/>
              <w:adjustRightInd w:val="0"/>
              <w:snapToGrid w:val="0"/>
              <w:spacing w:line="240" w:lineRule="auto"/>
              <w:ind w:firstLine="0" w:firstLineChars="0"/>
              <w:jc w:val="center"/>
              <w:textAlignment w:val="center"/>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时效指标</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7EBD3">
            <w:pPr>
              <w:widowControl/>
              <w:adjustRightInd w:val="0"/>
              <w:snapToGrid w:val="0"/>
              <w:spacing w:line="240" w:lineRule="auto"/>
              <w:ind w:firstLine="0" w:firstLineChars="0"/>
              <w:jc w:val="center"/>
              <w:textAlignment w:val="center"/>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按期完成率</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EAA4F">
            <w:pPr>
              <w:widowControl/>
              <w:adjustRightInd w:val="0"/>
              <w:snapToGrid w:val="0"/>
              <w:spacing w:line="240" w:lineRule="auto"/>
              <w:ind w:firstLine="0" w:firstLineChars="0"/>
              <w:jc w:val="center"/>
              <w:textAlignment w:val="center"/>
              <w:rPr>
                <w:rFonts w:eastAsia="仿宋_GB2312"/>
                <w:color w:val="000000"/>
                <w:kern w:val="0"/>
                <w:szCs w:val="24"/>
              </w:rPr>
            </w:pPr>
            <w:r>
              <w:rPr>
                <w:rFonts w:hint="eastAsia" w:eastAsia="仿宋_GB2312"/>
                <w:color w:val="000000"/>
                <w:kern w:val="0"/>
                <w:szCs w:val="24"/>
              </w:rPr>
              <w:t>≥99%</w:t>
            </w:r>
          </w:p>
        </w:tc>
      </w:tr>
      <w:tr w14:paraId="0B2EFDFD">
        <w:tblPrEx>
          <w:tblCellMar>
            <w:top w:w="0" w:type="dxa"/>
            <w:left w:w="108" w:type="dxa"/>
            <w:bottom w:w="0" w:type="dxa"/>
            <w:right w:w="108" w:type="dxa"/>
          </w:tblCellMar>
        </w:tblPrEx>
        <w:trPr>
          <w:cantSplit/>
          <w:trHeight w:val="567" w:hRule="atLeast"/>
          <w:jc w:val="center"/>
        </w:trPr>
        <w:tc>
          <w:tcPr>
            <w:tcW w:w="1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A58CE">
            <w:pPr>
              <w:widowControl/>
              <w:adjustRightInd w:val="0"/>
              <w:snapToGrid w:val="0"/>
              <w:spacing w:line="240" w:lineRule="auto"/>
              <w:ind w:firstLine="0" w:firstLineChars="0"/>
              <w:jc w:val="center"/>
              <w:textAlignment w:val="center"/>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成本指标</w:t>
            </w:r>
          </w:p>
        </w:tc>
        <w:tc>
          <w:tcPr>
            <w:tcW w:w="2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DD6BD">
            <w:pPr>
              <w:widowControl/>
              <w:adjustRightInd w:val="0"/>
              <w:snapToGrid w:val="0"/>
              <w:spacing w:line="240" w:lineRule="auto"/>
              <w:ind w:firstLine="0" w:firstLineChars="0"/>
              <w:jc w:val="center"/>
              <w:textAlignment w:val="center"/>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经济成本指标</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3ECD3">
            <w:pPr>
              <w:widowControl/>
              <w:adjustRightInd w:val="0"/>
              <w:snapToGrid w:val="0"/>
              <w:spacing w:line="240" w:lineRule="auto"/>
              <w:ind w:firstLine="0" w:firstLineChars="0"/>
              <w:jc w:val="center"/>
              <w:textAlignment w:val="center"/>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项目预算总成本</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11E2B">
            <w:pPr>
              <w:widowControl/>
              <w:adjustRightInd w:val="0"/>
              <w:snapToGrid w:val="0"/>
              <w:spacing w:line="240" w:lineRule="auto"/>
              <w:ind w:firstLine="0" w:firstLineChars="0"/>
              <w:jc w:val="center"/>
              <w:textAlignment w:val="center"/>
              <w:rPr>
                <w:rFonts w:eastAsia="仿宋_GB2312"/>
                <w:color w:val="000000"/>
                <w:kern w:val="0"/>
                <w:szCs w:val="24"/>
              </w:rPr>
            </w:pPr>
            <w:r>
              <w:rPr>
                <w:rFonts w:hint="eastAsia" w:eastAsia="仿宋_GB2312"/>
                <w:color w:val="000000"/>
                <w:kern w:val="0"/>
                <w:szCs w:val="24"/>
              </w:rPr>
              <w:t>≤221.795817万元</w:t>
            </w:r>
          </w:p>
        </w:tc>
      </w:tr>
      <w:tr w14:paraId="2A25DA86">
        <w:tblPrEx>
          <w:tblCellMar>
            <w:top w:w="0" w:type="dxa"/>
            <w:left w:w="108" w:type="dxa"/>
            <w:bottom w:w="0" w:type="dxa"/>
            <w:right w:w="108" w:type="dxa"/>
          </w:tblCellMar>
        </w:tblPrEx>
        <w:trPr>
          <w:cantSplit/>
          <w:trHeight w:val="567" w:hRule="atLeast"/>
          <w:jc w:val="center"/>
        </w:trPr>
        <w:tc>
          <w:tcPr>
            <w:tcW w:w="1444" w:type="dxa"/>
            <w:tcBorders>
              <w:top w:val="single" w:color="000000" w:sz="4" w:space="0"/>
              <w:left w:val="single" w:color="000000" w:sz="4" w:space="0"/>
              <w:right w:val="single" w:color="000000" w:sz="4" w:space="0"/>
            </w:tcBorders>
            <w:shd w:val="clear" w:color="auto" w:fill="auto"/>
            <w:vAlign w:val="center"/>
          </w:tcPr>
          <w:p w14:paraId="24D28663">
            <w:pPr>
              <w:widowControl/>
              <w:adjustRightInd w:val="0"/>
              <w:snapToGrid w:val="0"/>
              <w:spacing w:line="240" w:lineRule="auto"/>
              <w:ind w:firstLine="0" w:firstLineChars="0"/>
              <w:jc w:val="center"/>
              <w:textAlignment w:val="center"/>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效益指标</w:t>
            </w:r>
          </w:p>
        </w:tc>
        <w:tc>
          <w:tcPr>
            <w:tcW w:w="2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A55A3">
            <w:pPr>
              <w:widowControl/>
              <w:adjustRightInd w:val="0"/>
              <w:snapToGrid w:val="0"/>
              <w:spacing w:line="240" w:lineRule="auto"/>
              <w:ind w:firstLine="0" w:firstLineChars="0"/>
              <w:jc w:val="center"/>
              <w:textAlignment w:val="center"/>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社会效益指标</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4279A">
            <w:pPr>
              <w:widowControl/>
              <w:adjustRightInd w:val="0"/>
              <w:snapToGrid w:val="0"/>
              <w:spacing w:line="240" w:lineRule="auto"/>
              <w:ind w:firstLine="0" w:firstLineChars="0"/>
              <w:jc w:val="center"/>
              <w:textAlignment w:val="center"/>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报告成果采纳率</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03388">
            <w:pPr>
              <w:widowControl/>
              <w:adjustRightInd w:val="0"/>
              <w:snapToGrid w:val="0"/>
              <w:spacing w:line="240" w:lineRule="auto"/>
              <w:ind w:firstLine="0" w:firstLineChars="0"/>
              <w:jc w:val="center"/>
              <w:textAlignment w:val="center"/>
              <w:rPr>
                <w:rFonts w:eastAsia="仿宋_GB2312"/>
                <w:color w:val="000000"/>
                <w:kern w:val="0"/>
                <w:szCs w:val="24"/>
              </w:rPr>
            </w:pPr>
            <w:r>
              <w:rPr>
                <w:rFonts w:hint="eastAsia" w:eastAsia="仿宋_GB2312"/>
                <w:color w:val="000000"/>
                <w:kern w:val="0"/>
                <w:szCs w:val="24"/>
              </w:rPr>
              <w:t>≥99%</w:t>
            </w:r>
          </w:p>
        </w:tc>
      </w:tr>
      <w:tr w14:paraId="23630D83">
        <w:tblPrEx>
          <w:tblCellMar>
            <w:top w:w="0" w:type="dxa"/>
            <w:left w:w="108" w:type="dxa"/>
            <w:bottom w:w="0" w:type="dxa"/>
            <w:right w:w="108" w:type="dxa"/>
          </w:tblCellMar>
        </w:tblPrEx>
        <w:trPr>
          <w:cantSplit/>
          <w:trHeight w:val="567" w:hRule="atLeast"/>
          <w:jc w:val="center"/>
        </w:trPr>
        <w:tc>
          <w:tcPr>
            <w:tcW w:w="1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AA56D">
            <w:pPr>
              <w:widowControl/>
              <w:adjustRightInd w:val="0"/>
              <w:snapToGrid w:val="0"/>
              <w:spacing w:line="240" w:lineRule="auto"/>
              <w:ind w:firstLine="0" w:firstLineChars="0"/>
              <w:jc w:val="center"/>
              <w:textAlignment w:val="center"/>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满意度指标</w:t>
            </w:r>
          </w:p>
        </w:tc>
        <w:tc>
          <w:tcPr>
            <w:tcW w:w="2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908B0">
            <w:pPr>
              <w:widowControl/>
              <w:adjustRightInd w:val="0"/>
              <w:snapToGrid w:val="0"/>
              <w:spacing w:line="240" w:lineRule="auto"/>
              <w:ind w:firstLine="0" w:firstLineChars="0"/>
              <w:jc w:val="center"/>
              <w:textAlignment w:val="center"/>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服务对象满意度指标</w:t>
            </w:r>
          </w:p>
        </w:tc>
        <w:tc>
          <w:tcPr>
            <w:tcW w:w="2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F035C">
            <w:pPr>
              <w:widowControl/>
              <w:adjustRightInd w:val="0"/>
              <w:snapToGrid w:val="0"/>
              <w:spacing w:line="240" w:lineRule="auto"/>
              <w:ind w:firstLine="0" w:firstLineChars="0"/>
              <w:jc w:val="center"/>
              <w:textAlignment w:val="center"/>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使用单位满意度</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09579">
            <w:pPr>
              <w:widowControl/>
              <w:adjustRightInd w:val="0"/>
              <w:snapToGrid w:val="0"/>
              <w:spacing w:line="240" w:lineRule="auto"/>
              <w:ind w:firstLine="0" w:firstLineChars="0"/>
              <w:jc w:val="center"/>
              <w:textAlignment w:val="center"/>
              <w:rPr>
                <w:rFonts w:eastAsia="仿宋_GB2312"/>
                <w:color w:val="000000"/>
                <w:kern w:val="0"/>
                <w:szCs w:val="24"/>
              </w:rPr>
            </w:pPr>
            <w:r>
              <w:rPr>
                <w:rFonts w:hint="eastAsia" w:eastAsia="仿宋_GB2312"/>
                <w:color w:val="000000"/>
                <w:kern w:val="0"/>
                <w:szCs w:val="24"/>
              </w:rPr>
              <w:t>≥99%</w:t>
            </w:r>
          </w:p>
        </w:tc>
      </w:tr>
    </w:tbl>
    <w:p w14:paraId="2A0A2A2A">
      <w:pPr>
        <w:adjustRightInd w:val="0"/>
        <w:snapToGrid w:val="0"/>
        <w:spacing w:line="240" w:lineRule="auto"/>
        <w:ind w:firstLine="640"/>
        <w:rPr>
          <w:rFonts w:hint="eastAsia" w:ascii="仿宋_GB2312" w:hAnsi="仿宋_GB2312" w:eastAsia="仿宋_GB2312" w:cs="仿宋_GB2312"/>
          <w:bCs/>
          <w:kern w:val="44"/>
          <w:sz w:val="32"/>
          <w:szCs w:val="32"/>
        </w:rPr>
      </w:pPr>
    </w:p>
    <w:p w14:paraId="63006359">
      <w:pPr>
        <w:pStyle w:val="3"/>
        <w:adjustRightInd w:val="0"/>
        <w:snapToGrid w:val="0"/>
        <w:spacing w:before="0" w:after="0" w:line="580" w:lineRule="atLeast"/>
        <w:ind w:firstLine="640"/>
        <w:rPr>
          <w:szCs w:val="32"/>
        </w:rPr>
      </w:pPr>
      <w:bookmarkStart w:id="45" w:name="_Toc14179"/>
      <w:bookmarkStart w:id="46" w:name="_Toc4362"/>
      <w:bookmarkStart w:id="47" w:name="_Toc653763269_WPSOffice_Level1"/>
      <w:bookmarkStart w:id="48" w:name="_Toc32736"/>
      <w:bookmarkStart w:id="49" w:name="_Toc711276754"/>
      <w:bookmarkStart w:id="50" w:name="_Toc26299"/>
      <w:bookmarkStart w:id="51" w:name="_Toc15169"/>
      <w:bookmarkStart w:id="52" w:name="_Toc11592"/>
      <w:r>
        <w:rPr>
          <w:szCs w:val="32"/>
        </w:rPr>
        <w:t>二、</w:t>
      </w:r>
      <w:bookmarkEnd w:id="43"/>
      <w:bookmarkEnd w:id="44"/>
      <w:bookmarkStart w:id="53" w:name="_Toc22870"/>
      <w:r>
        <w:rPr>
          <w:szCs w:val="32"/>
        </w:rPr>
        <w:t>绩效评价工作开展情况</w:t>
      </w:r>
      <w:bookmarkEnd w:id="45"/>
      <w:bookmarkEnd w:id="46"/>
      <w:bookmarkEnd w:id="47"/>
      <w:bookmarkEnd w:id="48"/>
      <w:bookmarkEnd w:id="49"/>
      <w:bookmarkEnd w:id="50"/>
      <w:bookmarkEnd w:id="51"/>
      <w:bookmarkEnd w:id="52"/>
    </w:p>
    <w:bookmarkEnd w:id="53"/>
    <w:p w14:paraId="20F04239">
      <w:pPr>
        <w:adjustRightInd w:val="0"/>
        <w:snapToGrid w:val="0"/>
        <w:spacing w:line="580" w:lineRule="atLeast"/>
        <w:ind w:firstLine="643"/>
        <w:outlineLvl w:val="1"/>
        <w:rPr>
          <w:rFonts w:eastAsia="楷体_GB2312"/>
          <w:b/>
          <w:sz w:val="32"/>
        </w:rPr>
      </w:pPr>
      <w:bookmarkStart w:id="54" w:name="_Toc1534425276"/>
      <w:bookmarkStart w:id="55" w:name="_Toc21271"/>
      <w:bookmarkStart w:id="56" w:name="_Toc14668"/>
      <w:bookmarkStart w:id="57" w:name="_Toc28644"/>
      <w:bookmarkStart w:id="58" w:name="_Toc15667"/>
      <w:bookmarkStart w:id="59" w:name="_Toc1272924031_WPSOffice_Level2"/>
      <w:bookmarkStart w:id="60" w:name="_Toc1277"/>
      <w:bookmarkStart w:id="61" w:name="_Toc16887"/>
      <w:bookmarkStart w:id="62" w:name="_Toc17033"/>
      <w:r>
        <w:rPr>
          <w:rFonts w:eastAsia="楷体_GB2312"/>
          <w:b/>
          <w:sz w:val="32"/>
        </w:rPr>
        <w:t>（一）绩效评价目的、对象和范围</w:t>
      </w:r>
      <w:bookmarkEnd w:id="54"/>
      <w:bookmarkEnd w:id="55"/>
      <w:bookmarkEnd w:id="56"/>
      <w:bookmarkEnd w:id="57"/>
      <w:bookmarkEnd w:id="58"/>
      <w:bookmarkEnd w:id="59"/>
      <w:bookmarkEnd w:id="60"/>
    </w:p>
    <w:p w14:paraId="3C2945F8">
      <w:pPr>
        <w:adjustRightInd w:val="0"/>
        <w:snapToGrid w:val="0"/>
        <w:spacing w:line="580" w:lineRule="atLeast"/>
        <w:ind w:firstLine="640"/>
        <w:rPr>
          <w:rFonts w:hint="eastAsia" w:ascii="仿宋_GB2312" w:hAnsi="仿宋_GB2312" w:eastAsia="仿宋_GB2312" w:cs="仿宋_GB2312"/>
          <w:bCs/>
          <w:sz w:val="32"/>
          <w:szCs w:val="32"/>
        </w:rPr>
      </w:pPr>
      <w:r>
        <w:rPr>
          <w:rFonts w:hint="eastAsia" w:eastAsia="仿宋_GB2312"/>
          <w:color w:val="000000"/>
          <w:kern w:val="0"/>
          <w:sz w:val="32"/>
          <w:szCs w:val="32"/>
        </w:rPr>
        <w:t>1.</w:t>
      </w:r>
      <w:r>
        <w:rPr>
          <w:rFonts w:hint="eastAsia" w:ascii="仿宋_GB2312" w:hAnsi="仿宋_GB2312" w:eastAsia="仿宋_GB2312" w:cs="仿宋_GB2312"/>
          <w:bCs/>
          <w:sz w:val="32"/>
          <w:szCs w:val="32"/>
        </w:rPr>
        <w:t>评价目的</w:t>
      </w:r>
    </w:p>
    <w:p w14:paraId="166E1CF4">
      <w:pPr>
        <w:adjustRightInd w:val="0"/>
        <w:snapToGrid w:val="0"/>
        <w:spacing w:line="580" w:lineRule="atLeast"/>
        <w:ind w:firstLine="640"/>
        <w:rPr>
          <w:rFonts w:hint="eastAsia" w:ascii="仿宋_GB2312" w:hAnsi="仿宋_GB2312" w:eastAsia="仿宋_GB2312" w:cs="仿宋_GB2312"/>
          <w:bCs/>
          <w:kern w:val="44"/>
          <w:sz w:val="32"/>
          <w:szCs w:val="32"/>
        </w:rPr>
      </w:pPr>
      <w:bookmarkStart w:id="63" w:name="_Hlk66130966"/>
      <w:r>
        <w:rPr>
          <w:rFonts w:eastAsia="仿宋_GB2312"/>
          <w:bCs/>
          <w:sz w:val="32"/>
          <w:szCs w:val="32"/>
        </w:rPr>
        <w:t>通过绩效评价</w:t>
      </w:r>
      <w:r>
        <w:rPr>
          <w:rFonts w:hint="eastAsia" w:eastAsia="仿宋_GB2312"/>
          <w:bCs/>
          <w:sz w:val="32"/>
          <w:szCs w:val="32"/>
        </w:rPr>
        <w:t>，</w:t>
      </w:r>
      <w:r>
        <w:rPr>
          <w:rFonts w:eastAsia="仿宋_GB2312"/>
          <w:bCs/>
          <w:sz w:val="32"/>
          <w:szCs w:val="32"/>
        </w:rPr>
        <w:t>全面了解资金使用管理、资金实际产出、</w:t>
      </w:r>
      <w:r>
        <w:rPr>
          <w:rFonts w:hint="eastAsia" w:eastAsia="仿宋_GB2312"/>
          <w:bCs/>
          <w:sz w:val="32"/>
          <w:szCs w:val="32"/>
        </w:rPr>
        <w:t>项目</w:t>
      </w:r>
      <w:r>
        <w:rPr>
          <w:rFonts w:eastAsia="仿宋_GB2312"/>
          <w:bCs/>
          <w:sz w:val="32"/>
          <w:szCs w:val="32"/>
        </w:rPr>
        <w:t>实施效果等情况</w:t>
      </w:r>
      <w:r>
        <w:rPr>
          <w:rFonts w:hint="eastAsia" w:eastAsia="仿宋_GB2312"/>
          <w:bCs/>
          <w:sz w:val="32"/>
          <w:szCs w:val="32"/>
        </w:rPr>
        <w:t>，</w:t>
      </w:r>
      <w:r>
        <w:rPr>
          <w:rFonts w:hint="eastAsia" w:ascii="仿宋_GB2312" w:hAnsi="仿宋_GB2312" w:eastAsia="仿宋_GB2312" w:cs="仿宋_GB2312"/>
          <w:bCs/>
          <w:kern w:val="44"/>
          <w:sz w:val="32"/>
          <w:szCs w:val="32"/>
        </w:rPr>
        <w:t>考核财政支出效率和综合效果，</w:t>
      </w:r>
      <w:r>
        <w:rPr>
          <w:rFonts w:eastAsia="仿宋_GB2312"/>
          <w:bCs/>
          <w:sz w:val="32"/>
          <w:szCs w:val="32"/>
        </w:rPr>
        <w:t>掌握</w:t>
      </w:r>
      <w:r>
        <w:rPr>
          <w:rFonts w:hint="eastAsia" w:eastAsia="仿宋_GB2312"/>
          <w:bCs/>
          <w:sz w:val="32"/>
          <w:szCs w:val="32"/>
        </w:rPr>
        <w:t>财政资金</w:t>
      </w:r>
      <w:r>
        <w:rPr>
          <w:rFonts w:eastAsia="仿宋_GB2312"/>
          <w:bCs/>
          <w:sz w:val="32"/>
          <w:szCs w:val="32"/>
        </w:rPr>
        <w:t>分配使用的真实性、合法性和效益性</w:t>
      </w:r>
      <w:r>
        <w:rPr>
          <w:rFonts w:hint="eastAsia" w:eastAsia="仿宋_GB2312"/>
          <w:bCs/>
          <w:sz w:val="32"/>
          <w:szCs w:val="32"/>
        </w:rPr>
        <w:t>，</w:t>
      </w:r>
      <w:r>
        <w:rPr>
          <w:rFonts w:eastAsia="仿宋_GB2312"/>
          <w:bCs/>
          <w:sz w:val="32"/>
          <w:szCs w:val="32"/>
        </w:rPr>
        <w:t>发现问题</w:t>
      </w:r>
      <w:r>
        <w:rPr>
          <w:rFonts w:hint="eastAsia" w:eastAsia="仿宋_GB2312"/>
          <w:bCs/>
          <w:sz w:val="32"/>
          <w:szCs w:val="32"/>
        </w:rPr>
        <w:t>，</w:t>
      </w:r>
      <w:r>
        <w:rPr>
          <w:rFonts w:eastAsia="仿宋_GB2312"/>
          <w:bCs/>
          <w:sz w:val="32"/>
          <w:szCs w:val="32"/>
        </w:rPr>
        <w:t>总结经验</w:t>
      </w:r>
      <w:r>
        <w:rPr>
          <w:rFonts w:hint="eastAsia" w:eastAsia="仿宋_GB2312"/>
          <w:bCs/>
          <w:sz w:val="32"/>
          <w:szCs w:val="32"/>
        </w:rPr>
        <w:t>，</w:t>
      </w:r>
      <w:bookmarkEnd w:id="63"/>
      <w:r>
        <w:rPr>
          <w:rFonts w:hint="eastAsia" w:eastAsia="仿宋_GB2312"/>
          <w:bCs/>
          <w:sz w:val="32"/>
          <w:szCs w:val="32"/>
        </w:rPr>
        <w:t>进一步</w:t>
      </w:r>
      <w:r>
        <w:rPr>
          <w:rFonts w:hint="eastAsia" w:ascii="仿宋_GB2312" w:hAnsi="仿宋_GB2312" w:eastAsia="仿宋_GB2312" w:cs="仿宋_GB2312"/>
          <w:bCs/>
          <w:kern w:val="44"/>
          <w:sz w:val="32"/>
          <w:szCs w:val="32"/>
        </w:rPr>
        <w:t>加强预算绩效管理，强化支出责任，提高财政资金使用效益和保障效能。</w:t>
      </w:r>
    </w:p>
    <w:p w14:paraId="195978A9">
      <w:pPr>
        <w:adjustRightInd w:val="0"/>
        <w:snapToGrid w:val="0"/>
        <w:spacing w:line="580" w:lineRule="atLeast"/>
        <w:ind w:firstLine="640"/>
        <w:rPr>
          <w:rFonts w:eastAsia="仿宋_GB2312"/>
          <w:color w:val="000000"/>
          <w:kern w:val="0"/>
          <w:sz w:val="32"/>
          <w:szCs w:val="32"/>
        </w:rPr>
      </w:pPr>
      <w:r>
        <w:rPr>
          <w:rFonts w:hint="eastAsia" w:eastAsia="仿宋_GB2312"/>
          <w:color w:val="000000"/>
          <w:kern w:val="0"/>
          <w:sz w:val="32"/>
          <w:szCs w:val="32"/>
        </w:rPr>
        <w:t>2.评价对象</w:t>
      </w:r>
    </w:p>
    <w:p w14:paraId="1876B1D4">
      <w:pPr>
        <w:adjustRightInd w:val="0"/>
        <w:snapToGrid w:val="0"/>
        <w:spacing w:line="580" w:lineRule="atLeast"/>
        <w:ind w:firstLine="640"/>
        <w:rPr>
          <w:rFonts w:eastAsia="仿宋_GB2312"/>
          <w:color w:val="000000"/>
          <w:kern w:val="0"/>
          <w:sz w:val="32"/>
          <w:szCs w:val="32"/>
        </w:rPr>
      </w:pPr>
      <w:bookmarkStart w:id="64" w:name="_Toc2101980556"/>
      <w:bookmarkStart w:id="65" w:name="_Toc27151280"/>
      <w:bookmarkStart w:id="66" w:name="_Toc27151395"/>
      <w:r>
        <w:rPr>
          <w:rFonts w:hint="eastAsia" w:eastAsia="仿宋_GB2312"/>
          <w:color w:val="000000"/>
          <w:kern w:val="0"/>
          <w:sz w:val="32"/>
          <w:szCs w:val="32"/>
        </w:rPr>
        <w:t>副中心工程办行政办公区二期0160等10个行政办公项目房屋面积和不动产地籍测绘项目。</w:t>
      </w:r>
      <w:bookmarkEnd w:id="64"/>
    </w:p>
    <w:bookmarkEnd w:id="65"/>
    <w:bookmarkEnd w:id="66"/>
    <w:p w14:paraId="1C90E1F7">
      <w:pPr>
        <w:adjustRightInd w:val="0"/>
        <w:snapToGrid w:val="0"/>
        <w:spacing w:line="580" w:lineRule="atLeast"/>
        <w:ind w:firstLine="640"/>
        <w:rPr>
          <w:rFonts w:hint="eastAsia" w:ascii="仿宋_GB2312" w:hAnsi="仿宋_GB2312" w:eastAsia="仿宋_GB2312" w:cs="仿宋_GB2312"/>
          <w:bCs/>
          <w:sz w:val="32"/>
          <w:szCs w:val="32"/>
        </w:rPr>
      </w:pPr>
      <w:r>
        <w:rPr>
          <w:rFonts w:hint="eastAsia" w:eastAsia="仿宋_GB2312"/>
          <w:color w:val="000000"/>
          <w:kern w:val="0"/>
          <w:sz w:val="32"/>
          <w:szCs w:val="32"/>
        </w:rPr>
        <w:t>3.</w:t>
      </w:r>
      <w:r>
        <w:rPr>
          <w:rFonts w:hint="eastAsia" w:ascii="仿宋_GB2312" w:hAnsi="仿宋_GB2312" w:eastAsia="仿宋_GB2312" w:cs="仿宋_GB2312"/>
          <w:bCs/>
          <w:sz w:val="32"/>
          <w:szCs w:val="32"/>
        </w:rPr>
        <w:t>评价范围</w:t>
      </w:r>
    </w:p>
    <w:p w14:paraId="7D39934C">
      <w:pPr>
        <w:adjustRightInd w:val="0"/>
        <w:snapToGrid w:val="0"/>
        <w:spacing w:line="580" w:lineRule="atLeast"/>
        <w:ind w:firstLine="640"/>
        <w:rPr>
          <w:rFonts w:hint="eastAsia" w:ascii="仿宋_GB2312" w:hAnsi="仿宋_GB2312" w:eastAsia="仿宋_GB2312" w:cs="仿宋_GB2312"/>
          <w:bCs/>
          <w:kern w:val="44"/>
          <w:sz w:val="32"/>
          <w:szCs w:val="32"/>
        </w:rPr>
      </w:pPr>
      <w:r>
        <w:rPr>
          <w:rFonts w:hint="eastAsia" w:ascii="仿宋_GB2312" w:hAnsi="仿宋_GB2312" w:eastAsia="仿宋_GB2312" w:cs="仿宋_GB2312"/>
          <w:bCs/>
          <w:kern w:val="44"/>
          <w:sz w:val="32"/>
          <w:szCs w:val="32"/>
        </w:rPr>
        <w:t>副中心工程办规划设计管理部</w:t>
      </w:r>
      <w:r>
        <w:rPr>
          <w:rFonts w:ascii="仿宋_GB2312" w:hAnsi="仿宋_GB2312" w:eastAsia="仿宋_GB2312" w:cs="仿宋_GB2312"/>
          <w:bCs/>
          <w:kern w:val="44"/>
          <w:sz w:val="32"/>
          <w:szCs w:val="32"/>
        </w:rPr>
        <w:t>开展的</w:t>
      </w:r>
      <w:r>
        <w:rPr>
          <w:rFonts w:hint="eastAsia" w:ascii="仿宋_GB2312" w:hAnsi="仿宋_GB2312" w:eastAsia="仿宋_GB2312" w:cs="仿宋_GB2312"/>
          <w:bCs/>
          <w:kern w:val="44"/>
          <w:sz w:val="32"/>
          <w:szCs w:val="32"/>
        </w:rPr>
        <w:t>行政办公区二期0160等10个行政办公项目房屋面积和不动产地籍测绘项目相关的工作。</w:t>
      </w:r>
    </w:p>
    <w:p w14:paraId="24D4D142">
      <w:pPr>
        <w:adjustRightInd w:val="0"/>
        <w:snapToGrid w:val="0"/>
        <w:spacing w:line="580" w:lineRule="atLeast"/>
        <w:ind w:firstLine="643"/>
        <w:outlineLvl w:val="1"/>
        <w:rPr>
          <w:rFonts w:eastAsia="楷体_GB2312"/>
          <w:b/>
          <w:sz w:val="32"/>
        </w:rPr>
      </w:pPr>
      <w:bookmarkStart w:id="67" w:name="_Toc26616"/>
      <w:bookmarkStart w:id="68" w:name="_Toc1881211542"/>
      <w:bookmarkStart w:id="69" w:name="_Toc17330"/>
      <w:bookmarkStart w:id="70" w:name="_Toc15710"/>
      <w:bookmarkStart w:id="71" w:name="_Toc802097603_WPSOffice_Level2"/>
      <w:bookmarkStart w:id="72" w:name="_Toc22201"/>
      <w:bookmarkStart w:id="73" w:name="_Toc15822"/>
      <w:r>
        <w:rPr>
          <w:rFonts w:eastAsia="楷体_GB2312"/>
          <w:b/>
          <w:sz w:val="32"/>
        </w:rPr>
        <w:t>（二）绩效评价原则、评价指标体系、评价方法和评价标准</w:t>
      </w:r>
      <w:bookmarkEnd w:id="67"/>
      <w:bookmarkEnd w:id="68"/>
      <w:bookmarkEnd w:id="69"/>
      <w:bookmarkEnd w:id="70"/>
      <w:bookmarkEnd w:id="71"/>
      <w:bookmarkEnd w:id="72"/>
      <w:bookmarkEnd w:id="73"/>
    </w:p>
    <w:p w14:paraId="136C9431">
      <w:pPr>
        <w:adjustRightInd w:val="0"/>
        <w:snapToGrid w:val="0"/>
        <w:spacing w:line="580" w:lineRule="atLeast"/>
        <w:ind w:firstLine="640"/>
        <w:rPr>
          <w:rFonts w:eastAsia="仿宋_GB2312"/>
          <w:color w:val="000000"/>
          <w:kern w:val="0"/>
          <w:sz w:val="32"/>
          <w:szCs w:val="32"/>
        </w:rPr>
      </w:pPr>
      <w:r>
        <w:rPr>
          <w:rFonts w:hint="eastAsia" w:eastAsia="仿宋_GB2312"/>
          <w:color w:val="000000"/>
          <w:kern w:val="0"/>
          <w:sz w:val="32"/>
          <w:szCs w:val="32"/>
        </w:rPr>
        <w:t>1.评价原则</w:t>
      </w:r>
    </w:p>
    <w:p w14:paraId="477DCCA7">
      <w:pPr>
        <w:adjustRightInd w:val="0"/>
        <w:snapToGrid w:val="0"/>
        <w:spacing w:line="580" w:lineRule="atLeast"/>
        <w:ind w:firstLine="640"/>
        <w:rPr>
          <w:rFonts w:eastAsia="仿宋_GB2312"/>
          <w:color w:val="000000"/>
          <w:kern w:val="0"/>
          <w:sz w:val="32"/>
          <w:szCs w:val="32"/>
        </w:rPr>
      </w:pPr>
      <w:r>
        <w:rPr>
          <w:rFonts w:hint="eastAsia" w:eastAsia="仿宋_GB2312"/>
          <w:color w:val="000000"/>
          <w:kern w:val="0"/>
          <w:sz w:val="32"/>
          <w:szCs w:val="32"/>
        </w:rPr>
        <w:t>一是客观公正原则。本次绩效评价本着实事求是的原则，站在客观、公正的立场发表评价意见。</w:t>
      </w:r>
    </w:p>
    <w:p w14:paraId="40210CFE">
      <w:pPr>
        <w:adjustRightInd w:val="0"/>
        <w:snapToGrid w:val="0"/>
        <w:spacing w:line="580" w:lineRule="atLeast"/>
        <w:ind w:firstLine="640"/>
        <w:rPr>
          <w:rFonts w:eastAsia="仿宋_GB2312"/>
          <w:color w:val="000000"/>
          <w:kern w:val="0"/>
          <w:sz w:val="32"/>
          <w:szCs w:val="32"/>
        </w:rPr>
      </w:pPr>
      <w:r>
        <w:rPr>
          <w:rFonts w:hint="eastAsia" w:eastAsia="仿宋_GB2312"/>
          <w:color w:val="000000"/>
          <w:kern w:val="0"/>
          <w:sz w:val="32"/>
          <w:szCs w:val="32"/>
        </w:rPr>
        <w:t>二是科学规范原则。严格遵循</w:t>
      </w:r>
      <w:bookmarkStart w:id="74" w:name="_Hlk69739239"/>
      <w:r>
        <w:rPr>
          <w:rFonts w:hint="eastAsia" w:eastAsia="仿宋_GB2312"/>
          <w:color w:val="000000"/>
          <w:kern w:val="0"/>
          <w:sz w:val="32"/>
          <w:szCs w:val="32"/>
        </w:rPr>
        <w:t>《北京市项目支出绩效评价管理办法》</w:t>
      </w:r>
      <w:bookmarkEnd w:id="74"/>
      <w:r>
        <w:rPr>
          <w:rFonts w:hint="eastAsia" w:eastAsia="仿宋_GB2312"/>
          <w:color w:val="000000"/>
          <w:kern w:val="0"/>
          <w:sz w:val="32"/>
          <w:szCs w:val="32"/>
        </w:rPr>
        <w:t>等</w:t>
      </w:r>
      <w:r>
        <w:rPr>
          <w:rFonts w:eastAsia="仿宋_GB2312"/>
          <w:color w:val="000000"/>
          <w:kern w:val="0"/>
          <w:sz w:val="32"/>
          <w:szCs w:val="32"/>
        </w:rPr>
        <w:t>文件</w:t>
      </w:r>
      <w:r>
        <w:rPr>
          <w:rFonts w:hint="eastAsia" w:eastAsia="仿宋_GB2312"/>
          <w:color w:val="000000"/>
          <w:kern w:val="0"/>
          <w:sz w:val="32"/>
          <w:szCs w:val="32"/>
        </w:rPr>
        <w:t>规定，按市财政局要求规范组织实施。</w:t>
      </w:r>
    </w:p>
    <w:p w14:paraId="4EFC3C72">
      <w:pPr>
        <w:adjustRightInd w:val="0"/>
        <w:snapToGrid w:val="0"/>
        <w:spacing w:line="580" w:lineRule="atLeast"/>
        <w:ind w:firstLine="640"/>
        <w:rPr>
          <w:rFonts w:eastAsia="仿宋_GB2312"/>
          <w:color w:val="000000"/>
          <w:kern w:val="0"/>
          <w:sz w:val="32"/>
          <w:szCs w:val="32"/>
        </w:rPr>
      </w:pPr>
      <w:r>
        <w:rPr>
          <w:rFonts w:hint="eastAsia" w:eastAsia="仿宋_GB2312"/>
          <w:color w:val="000000"/>
          <w:kern w:val="0"/>
          <w:sz w:val="32"/>
          <w:szCs w:val="32"/>
        </w:rPr>
        <w:t>三是突出绩效原则。坚持以绩效为导向，着眼全面加强绩效管理，重点关注绩效，兼顾决策和管理。</w:t>
      </w:r>
    </w:p>
    <w:p w14:paraId="3DA7C8E4">
      <w:pPr>
        <w:adjustRightInd w:val="0"/>
        <w:snapToGrid w:val="0"/>
        <w:spacing w:line="580" w:lineRule="atLeast"/>
        <w:ind w:firstLine="640"/>
        <w:rPr>
          <w:rFonts w:eastAsia="仿宋_GB2312"/>
          <w:color w:val="000000"/>
          <w:kern w:val="0"/>
          <w:sz w:val="32"/>
          <w:szCs w:val="32"/>
        </w:rPr>
      </w:pPr>
      <w:r>
        <w:rPr>
          <w:rFonts w:hint="eastAsia" w:eastAsia="仿宋_GB2312"/>
          <w:color w:val="000000"/>
          <w:kern w:val="0"/>
          <w:sz w:val="32"/>
          <w:szCs w:val="32"/>
        </w:rPr>
        <w:t>2.评价指标体系</w:t>
      </w:r>
    </w:p>
    <w:p w14:paraId="68D2A6BF">
      <w:pPr>
        <w:adjustRightInd w:val="0"/>
        <w:snapToGrid w:val="0"/>
        <w:spacing w:line="580" w:lineRule="atLeast"/>
        <w:ind w:firstLine="640"/>
        <w:rPr>
          <w:rFonts w:eastAsia="仿宋_GB2312"/>
          <w:color w:val="000000"/>
          <w:kern w:val="0"/>
          <w:sz w:val="32"/>
          <w:szCs w:val="32"/>
        </w:rPr>
      </w:pPr>
      <w:r>
        <w:rPr>
          <w:rFonts w:hint="eastAsia" w:eastAsia="仿宋_GB2312"/>
          <w:color w:val="000000"/>
          <w:kern w:val="0"/>
          <w:sz w:val="32"/>
          <w:szCs w:val="32"/>
        </w:rPr>
        <w:t>评价工作组结合项目特点和预期绩效目标，以资金使用结果为主线，按照“相关性、重要性、可比性、系统性”原则，明确评价标准，按照《北京市项目支出绩效评价管理办法》（京财绩效〔2020〕2146号），确定了该项目绩效评价指标体系，其中一级指标4个，二级指标10个，三级指标17个，四级指标27个。</w:t>
      </w:r>
    </w:p>
    <w:p w14:paraId="7453D802">
      <w:pPr>
        <w:adjustRightInd w:val="0"/>
        <w:snapToGrid w:val="0"/>
        <w:spacing w:line="580" w:lineRule="atLeast"/>
        <w:ind w:firstLine="640"/>
        <w:rPr>
          <w:rFonts w:eastAsia="仿宋_GB2312"/>
          <w:color w:val="000000"/>
          <w:kern w:val="0"/>
          <w:sz w:val="32"/>
          <w:szCs w:val="32"/>
        </w:rPr>
      </w:pPr>
      <w:r>
        <w:rPr>
          <w:rFonts w:hint="eastAsia" w:eastAsia="仿宋_GB2312"/>
          <w:color w:val="000000"/>
          <w:kern w:val="0"/>
          <w:sz w:val="32"/>
          <w:szCs w:val="32"/>
        </w:rPr>
        <w:t>3.评价方法</w:t>
      </w:r>
    </w:p>
    <w:p w14:paraId="4F92B0C6">
      <w:pPr>
        <w:adjustRightInd w:val="0"/>
        <w:snapToGrid w:val="0"/>
        <w:spacing w:line="580" w:lineRule="atLeast"/>
        <w:ind w:firstLine="640"/>
        <w:rPr>
          <w:rFonts w:eastAsia="仿宋_GB2312"/>
          <w:color w:val="000000"/>
          <w:kern w:val="0"/>
          <w:sz w:val="32"/>
          <w:szCs w:val="32"/>
        </w:rPr>
      </w:pPr>
      <w:r>
        <w:rPr>
          <w:rFonts w:hint="eastAsia" w:eastAsia="仿宋_GB2312"/>
          <w:color w:val="000000"/>
          <w:kern w:val="0"/>
          <w:sz w:val="32"/>
          <w:szCs w:val="32"/>
        </w:rPr>
        <w:t>根据《北京市项目支出绩效评价管理办法》（京财绩效〔2020〕2146号）</w:t>
      </w:r>
      <w:r>
        <w:rPr>
          <w:rFonts w:eastAsia="仿宋_GB2312"/>
          <w:color w:val="000000"/>
          <w:kern w:val="0"/>
          <w:sz w:val="32"/>
          <w:szCs w:val="32"/>
        </w:rPr>
        <w:t>文件</w:t>
      </w:r>
      <w:r>
        <w:rPr>
          <w:rFonts w:hint="eastAsia" w:eastAsia="仿宋_GB2312"/>
          <w:color w:val="000000"/>
          <w:kern w:val="0"/>
          <w:sz w:val="32"/>
          <w:szCs w:val="32"/>
        </w:rPr>
        <w:t>规定的绩效评价方法，结合项目实际情况，本次绩效评价工作按照全面评价与重点评价相结合、现场评价与非现场评价相结合的方法组织实施。</w:t>
      </w:r>
    </w:p>
    <w:p w14:paraId="49947312">
      <w:pPr>
        <w:adjustRightInd w:val="0"/>
        <w:snapToGrid w:val="0"/>
        <w:spacing w:line="580" w:lineRule="atLeast"/>
        <w:ind w:firstLine="640"/>
        <w:rPr>
          <w:rFonts w:eastAsia="仿宋_GB2312"/>
          <w:color w:val="000000"/>
          <w:kern w:val="0"/>
          <w:sz w:val="32"/>
          <w:szCs w:val="32"/>
        </w:rPr>
      </w:pPr>
      <w:r>
        <w:rPr>
          <w:rFonts w:hint="eastAsia" w:eastAsia="仿宋_GB2312"/>
          <w:color w:val="000000"/>
          <w:kern w:val="0"/>
          <w:sz w:val="32"/>
          <w:szCs w:val="32"/>
        </w:rPr>
        <w:t>4.评价标准</w:t>
      </w:r>
    </w:p>
    <w:p w14:paraId="5F0F5CE4">
      <w:pPr>
        <w:adjustRightInd w:val="0"/>
        <w:snapToGrid w:val="0"/>
        <w:spacing w:line="580" w:lineRule="atLeast"/>
        <w:ind w:firstLine="640"/>
        <w:rPr>
          <w:rFonts w:hint="eastAsia" w:ascii="仿宋_GB2312" w:hAnsi="仿宋_GB2312" w:eastAsia="仿宋_GB2312" w:cs="仿宋_GB2312"/>
          <w:bCs/>
          <w:kern w:val="44"/>
          <w:sz w:val="32"/>
          <w:szCs w:val="32"/>
        </w:rPr>
      </w:pPr>
      <w:r>
        <w:rPr>
          <w:rFonts w:hint="eastAsia" w:eastAsia="仿宋_GB2312"/>
          <w:color w:val="000000"/>
          <w:kern w:val="0"/>
          <w:sz w:val="32"/>
          <w:szCs w:val="32"/>
        </w:rPr>
        <w:t>根据</w:t>
      </w:r>
      <w:bookmarkStart w:id="75" w:name="OLE_LINK3"/>
      <w:r>
        <w:rPr>
          <w:rFonts w:hint="eastAsia" w:eastAsia="仿宋_GB2312"/>
          <w:color w:val="000000"/>
          <w:kern w:val="0"/>
          <w:sz w:val="32"/>
          <w:szCs w:val="32"/>
        </w:rPr>
        <w:t>《北京市项目支出绩效评价管理办法》（京财绩效〔2020〕2146号）</w:t>
      </w:r>
      <w:bookmarkEnd w:id="75"/>
      <w:r>
        <w:rPr>
          <w:rFonts w:eastAsia="仿宋_GB2312"/>
          <w:color w:val="000000"/>
          <w:kern w:val="0"/>
          <w:sz w:val="32"/>
          <w:szCs w:val="32"/>
        </w:rPr>
        <w:t>文件</w:t>
      </w:r>
      <w:r>
        <w:rPr>
          <w:rFonts w:hint="eastAsia" w:eastAsia="仿宋_GB2312"/>
          <w:color w:val="000000"/>
          <w:kern w:val="0"/>
          <w:sz w:val="32"/>
          <w:szCs w:val="32"/>
        </w:rPr>
        <w:t>规定的绩效评价标准，结合项目实际情况，本次绩效评价工作采用计划标准，以预先制定的目标、计划、预算、定额作为</w:t>
      </w:r>
      <w:r>
        <w:rPr>
          <w:rFonts w:hint="eastAsia" w:ascii="仿宋_GB2312" w:hAnsi="仿宋_GB2312" w:eastAsia="仿宋_GB2312" w:cs="仿宋_GB2312"/>
          <w:bCs/>
          <w:kern w:val="44"/>
          <w:sz w:val="32"/>
          <w:szCs w:val="32"/>
        </w:rPr>
        <w:t>本次绩效评价的标准。</w:t>
      </w:r>
    </w:p>
    <w:p w14:paraId="6B6B917C">
      <w:pPr>
        <w:adjustRightInd w:val="0"/>
        <w:snapToGrid w:val="0"/>
        <w:spacing w:line="580" w:lineRule="atLeast"/>
        <w:ind w:firstLine="643"/>
        <w:outlineLvl w:val="1"/>
        <w:rPr>
          <w:rFonts w:eastAsia="楷体_GB2312"/>
          <w:b/>
          <w:sz w:val="32"/>
        </w:rPr>
      </w:pPr>
      <w:bookmarkStart w:id="76" w:name="_Toc25057"/>
      <w:bookmarkStart w:id="77" w:name="_Toc15729"/>
      <w:bookmarkStart w:id="78" w:name="_Toc29109"/>
      <w:bookmarkStart w:id="79" w:name="_Toc17159"/>
      <w:bookmarkStart w:id="80" w:name="_Toc159"/>
      <w:bookmarkStart w:id="81" w:name="_Toc7156"/>
      <w:bookmarkStart w:id="82" w:name="_Toc120651613"/>
      <w:bookmarkStart w:id="83" w:name="_Toc1099561402_WPSOffice_Level2"/>
      <w:r>
        <w:rPr>
          <w:rFonts w:eastAsia="楷体_GB2312"/>
          <w:b/>
          <w:sz w:val="32"/>
        </w:rPr>
        <w:t>（三）</w:t>
      </w:r>
      <w:bookmarkEnd w:id="76"/>
      <w:r>
        <w:rPr>
          <w:rFonts w:eastAsia="楷体_GB2312"/>
          <w:b/>
          <w:sz w:val="32"/>
        </w:rPr>
        <w:t>绩效评价工作过程</w:t>
      </w:r>
      <w:bookmarkEnd w:id="77"/>
      <w:bookmarkEnd w:id="78"/>
      <w:bookmarkEnd w:id="79"/>
      <w:bookmarkEnd w:id="80"/>
      <w:bookmarkEnd w:id="81"/>
      <w:bookmarkEnd w:id="82"/>
      <w:bookmarkEnd w:id="83"/>
    </w:p>
    <w:p w14:paraId="18B92927">
      <w:pPr>
        <w:adjustRightInd w:val="0"/>
        <w:snapToGrid w:val="0"/>
        <w:spacing w:line="580" w:lineRule="atLeast"/>
        <w:ind w:firstLine="640"/>
        <w:rPr>
          <w:rFonts w:hint="eastAsia" w:ascii="仿宋_GB2312" w:hAnsi="仿宋_GB2312" w:eastAsia="仿宋_GB2312" w:cs="仿宋_GB2312"/>
          <w:bCs/>
          <w:kern w:val="44"/>
          <w:sz w:val="32"/>
          <w:szCs w:val="32"/>
        </w:rPr>
      </w:pPr>
      <w:r>
        <w:rPr>
          <w:rFonts w:hint="eastAsia" w:ascii="仿宋_GB2312" w:hAnsi="仿宋_GB2312" w:eastAsia="仿宋_GB2312" w:cs="仿宋_GB2312"/>
          <w:bCs/>
          <w:kern w:val="44"/>
          <w:sz w:val="32"/>
          <w:szCs w:val="32"/>
        </w:rPr>
        <w:t>为确保绩效评价工作规范严谨、客观公正，评价工作组严格按照绩效评价工作程序，分为评价准备、评价实施、评价总结三个阶段，组织实施该项目的绩效评价工作。</w:t>
      </w:r>
    </w:p>
    <w:p w14:paraId="126C6E40">
      <w:pPr>
        <w:adjustRightInd w:val="0"/>
        <w:snapToGrid w:val="0"/>
        <w:spacing w:line="580" w:lineRule="atLeast"/>
        <w:ind w:firstLine="640"/>
        <w:rPr>
          <w:rFonts w:eastAsia="仿宋_GB2312"/>
          <w:color w:val="000000"/>
          <w:kern w:val="0"/>
          <w:sz w:val="32"/>
          <w:szCs w:val="32"/>
        </w:rPr>
      </w:pPr>
      <w:r>
        <w:rPr>
          <w:rFonts w:hint="eastAsia" w:eastAsia="仿宋_GB2312"/>
          <w:color w:val="000000"/>
          <w:kern w:val="0"/>
          <w:sz w:val="32"/>
          <w:szCs w:val="32"/>
        </w:rPr>
        <w:t>1.评价准备阶段</w:t>
      </w:r>
    </w:p>
    <w:p w14:paraId="64CE3FC0">
      <w:pPr>
        <w:adjustRightInd w:val="0"/>
        <w:snapToGrid w:val="0"/>
        <w:spacing w:line="580" w:lineRule="atLeast"/>
        <w:ind w:firstLine="640"/>
        <w:rPr>
          <w:rFonts w:eastAsia="仿宋_GB2312"/>
          <w:color w:val="000000"/>
          <w:kern w:val="0"/>
          <w:sz w:val="32"/>
          <w:szCs w:val="32"/>
        </w:rPr>
      </w:pPr>
      <w:r>
        <w:rPr>
          <w:rFonts w:hint="eastAsia" w:eastAsia="仿宋_GB2312"/>
          <w:color w:val="000000"/>
          <w:kern w:val="0"/>
          <w:sz w:val="32"/>
          <w:szCs w:val="32"/>
        </w:rPr>
        <w:t>（1）组建评价工作组。根据项目任务，组成评价</w:t>
      </w:r>
      <w:r>
        <w:rPr>
          <w:rFonts w:eastAsia="仿宋_GB2312"/>
          <w:color w:val="000000"/>
          <w:kern w:val="0"/>
          <w:sz w:val="32"/>
          <w:szCs w:val="32"/>
        </w:rPr>
        <w:t>工作</w:t>
      </w:r>
      <w:r>
        <w:rPr>
          <w:rFonts w:hint="eastAsia" w:eastAsia="仿宋_GB2312"/>
          <w:color w:val="000000"/>
          <w:kern w:val="0"/>
          <w:sz w:val="32"/>
          <w:szCs w:val="32"/>
        </w:rPr>
        <w:t>组，项目</w:t>
      </w:r>
      <w:r>
        <w:rPr>
          <w:rFonts w:eastAsia="仿宋_GB2312"/>
          <w:color w:val="000000"/>
          <w:kern w:val="0"/>
          <w:sz w:val="32"/>
          <w:szCs w:val="32"/>
        </w:rPr>
        <w:t>实施部门经办</w:t>
      </w:r>
      <w:r>
        <w:rPr>
          <w:rFonts w:hint="eastAsia" w:eastAsia="仿宋_GB2312"/>
          <w:color w:val="000000"/>
          <w:kern w:val="0"/>
          <w:sz w:val="32"/>
          <w:szCs w:val="32"/>
        </w:rPr>
        <w:t>人为成员，明确每名成员的职责及分工，并邀请专业机构进行必要的针对性指导和业务培训。</w:t>
      </w:r>
    </w:p>
    <w:p w14:paraId="577092EC">
      <w:pPr>
        <w:adjustRightInd w:val="0"/>
        <w:snapToGrid w:val="0"/>
        <w:spacing w:line="580" w:lineRule="atLeast"/>
        <w:ind w:firstLine="640"/>
        <w:rPr>
          <w:rFonts w:eastAsia="仿宋_GB2312"/>
          <w:color w:val="000000"/>
          <w:kern w:val="0"/>
          <w:sz w:val="32"/>
          <w:szCs w:val="32"/>
        </w:rPr>
      </w:pPr>
      <w:r>
        <w:rPr>
          <w:rFonts w:hint="eastAsia" w:eastAsia="仿宋_GB2312"/>
          <w:color w:val="000000"/>
          <w:kern w:val="0"/>
          <w:sz w:val="32"/>
          <w:szCs w:val="32"/>
        </w:rPr>
        <w:t>（2）制定绩效评价工作方案。确定评价重点、评价方法、评价指标体系框架和评分方法、评价进度等事项。</w:t>
      </w:r>
    </w:p>
    <w:p w14:paraId="14C15056">
      <w:pPr>
        <w:adjustRightInd w:val="0"/>
        <w:snapToGrid w:val="0"/>
        <w:spacing w:line="580" w:lineRule="atLeast"/>
        <w:ind w:firstLine="640"/>
        <w:rPr>
          <w:rFonts w:eastAsia="仿宋_GB2312"/>
          <w:color w:val="000000"/>
          <w:kern w:val="0"/>
          <w:sz w:val="32"/>
          <w:szCs w:val="32"/>
        </w:rPr>
      </w:pPr>
      <w:r>
        <w:rPr>
          <w:rFonts w:hint="eastAsia" w:eastAsia="仿宋_GB2312"/>
          <w:color w:val="000000"/>
          <w:kern w:val="0"/>
          <w:sz w:val="32"/>
          <w:szCs w:val="32"/>
        </w:rPr>
        <w:t>2.评价实施阶段</w:t>
      </w:r>
    </w:p>
    <w:p w14:paraId="5733BC99">
      <w:pPr>
        <w:adjustRightInd w:val="0"/>
        <w:snapToGrid w:val="0"/>
        <w:spacing w:line="580" w:lineRule="atLeast"/>
        <w:ind w:firstLine="640"/>
        <w:rPr>
          <w:rFonts w:eastAsia="仿宋_GB2312"/>
          <w:color w:val="000000"/>
          <w:kern w:val="0"/>
          <w:sz w:val="32"/>
          <w:szCs w:val="32"/>
        </w:rPr>
      </w:pPr>
      <w:r>
        <w:rPr>
          <w:rFonts w:hint="eastAsia" w:eastAsia="仿宋_GB2312"/>
          <w:color w:val="000000"/>
          <w:kern w:val="0"/>
          <w:sz w:val="32"/>
          <w:szCs w:val="32"/>
        </w:rPr>
        <w:t>（1）评价资料准备。邀请专业机构进行绩效评价资料准备辅导工作，明确项目资料清单，沟通评价依据、工作任务、日程安排等事项，向项目实施部门讲解评价原则、程序及具体要求，辅导项目</w:t>
      </w:r>
      <w:r>
        <w:rPr>
          <w:rFonts w:eastAsia="仿宋_GB2312"/>
          <w:color w:val="000000"/>
          <w:kern w:val="0"/>
          <w:sz w:val="32"/>
          <w:szCs w:val="32"/>
        </w:rPr>
        <w:t>实施部门</w:t>
      </w:r>
      <w:r>
        <w:rPr>
          <w:rFonts w:hint="eastAsia" w:eastAsia="仿宋_GB2312"/>
          <w:color w:val="000000"/>
          <w:kern w:val="0"/>
          <w:sz w:val="32"/>
          <w:szCs w:val="32"/>
        </w:rPr>
        <w:t>准备资料，撰写绩效报告。</w:t>
      </w:r>
    </w:p>
    <w:p w14:paraId="76D70CC0">
      <w:pPr>
        <w:adjustRightInd w:val="0"/>
        <w:snapToGrid w:val="0"/>
        <w:spacing w:line="580" w:lineRule="atLeast"/>
        <w:ind w:firstLine="640"/>
        <w:rPr>
          <w:rFonts w:eastAsia="仿宋_GB2312"/>
          <w:color w:val="000000"/>
          <w:kern w:val="0"/>
          <w:sz w:val="32"/>
          <w:szCs w:val="32"/>
        </w:rPr>
      </w:pPr>
      <w:r>
        <w:rPr>
          <w:rFonts w:hint="eastAsia" w:eastAsia="仿宋_GB2312"/>
          <w:color w:val="000000"/>
          <w:kern w:val="0"/>
          <w:sz w:val="32"/>
          <w:szCs w:val="32"/>
        </w:rPr>
        <w:t>（2）收集复核资料。评价工作组按照“项目支出绩效评价资料准备清单”，收集与项目支出绩效评价相关的决策、管理、绩效相关资料，复核其完整性、准确性、有效性。</w:t>
      </w:r>
    </w:p>
    <w:p w14:paraId="3311136B">
      <w:pPr>
        <w:adjustRightInd w:val="0"/>
        <w:snapToGrid w:val="0"/>
        <w:spacing w:line="580" w:lineRule="atLeast"/>
        <w:ind w:firstLine="640"/>
        <w:rPr>
          <w:rFonts w:eastAsia="仿宋_GB2312"/>
          <w:color w:val="000000"/>
          <w:kern w:val="0"/>
          <w:sz w:val="32"/>
          <w:szCs w:val="32"/>
        </w:rPr>
      </w:pPr>
      <w:r>
        <w:rPr>
          <w:rFonts w:hint="eastAsia" w:eastAsia="仿宋_GB2312"/>
          <w:color w:val="000000"/>
          <w:kern w:val="0"/>
          <w:sz w:val="32"/>
          <w:szCs w:val="32"/>
        </w:rPr>
        <w:t>（3）汇总分析评价。评价工作组围绕指标体系内容和评价重点，对收集的资料进行归集、整理、分析。依据项目执行情况和绩效评价指标体系，对该项目的决策、管理和绩效等方面进行评价和打分，出具评价意见。</w:t>
      </w:r>
    </w:p>
    <w:p w14:paraId="3122B87A">
      <w:pPr>
        <w:adjustRightInd w:val="0"/>
        <w:snapToGrid w:val="0"/>
        <w:spacing w:line="580" w:lineRule="atLeast"/>
        <w:ind w:firstLine="640"/>
        <w:rPr>
          <w:rFonts w:eastAsia="仿宋_GB2312"/>
          <w:color w:val="000000"/>
          <w:kern w:val="0"/>
          <w:sz w:val="32"/>
          <w:szCs w:val="32"/>
        </w:rPr>
      </w:pPr>
      <w:r>
        <w:rPr>
          <w:rFonts w:hint="eastAsia" w:eastAsia="仿宋_GB2312"/>
          <w:color w:val="000000"/>
          <w:kern w:val="0"/>
          <w:sz w:val="32"/>
          <w:szCs w:val="32"/>
        </w:rPr>
        <w:t>3.评价总结阶段</w:t>
      </w:r>
    </w:p>
    <w:p w14:paraId="1C0BFA89">
      <w:pPr>
        <w:adjustRightInd w:val="0"/>
        <w:snapToGrid w:val="0"/>
        <w:spacing w:line="580" w:lineRule="atLeast"/>
        <w:ind w:firstLine="640"/>
        <w:rPr>
          <w:rFonts w:eastAsia="仿宋_GB2312"/>
          <w:color w:val="000000"/>
          <w:kern w:val="0"/>
          <w:sz w:val="32"/>
          <w:szCs w:val="32"/>
        </w:rPr>
      </w:pPr>
      <w:bookmarkStart w:id="84" w:name="_Toc1231700979_WPSOffice_Level1"/>
      <w:bookmarkStart w:id="85" w:name="_Toc567096923"/>
      <w:r>
        <w:rPr>
          <w:rFonts w:hint="eastAsia" w:eastAsia="仿宋_GB2312"/>
          <w:color w:val="000000"/>
          <w:kern w:val="0"/>
          <w:sz w:val="32"/>
          <w:szCs w:val="32"/>
        </w:rPr>
        <w:t>（1）撰写绩效评价报告</w:t>
      </w:r>
      <w:r>
        <w:rPr>
          <w:rFonts w:eastAsia="仿宋_GB2312"/>
          <w:color w:val="000000"/>
          <w:kern w:val="0"/>
          <w:sz w:val="32"/>
          <w:szCs w:val="32"/>
        </w:rPr>
        <w:t>。</w:t>
      </w:r>
      <w:r>
        <w:rPr>
          <w:rFonts w:hint="eastAsia" w:eastAsia="仿宋_GB2312"/>
          <w:color w:val="000000"/>
          <w:kern w:val="0"/>
          <w:sz w:val="32"/>
          <w:szCs w:val="32"/>
        </w:rPr>
        <w:t>评价工作组审核资料后，确定绩效评价级别，研究撰写</w:t>
      </w:r>
      <w:r>
        <w:rPr>
          <w:rFonts w:eastAsia="仿宋_GB2312"/>
          <w:color w:val="000000"/>
          <w:kern w:val="0"/>
          <w:sz w:val="32"/>
          <w:szCs w:val="32"/>
        </w:rPr>
        <w:t>并</w:t>
      </w:r>
      <w:r>
        <w:rPr>
          <w:rFonts w:hint="eastAsia" w:eastAsia="仿宋_GB2312"/>
          <w:color w:val="000000"/>
          <w:kern w:val="0"/>
          <w:sz w:val="32"/>
          <w:szCs w:val="32"/>
        </w:rPr>
        <w:t>形成正式绩效评价报告</w:t>
      </w:r>
      <w:r>
        <w:rPr>
          <w:rFonts w:eastAsia="仿宋_GB2312"/>
          <w:color w:val="000000"/>
          <w:kern w:val="0"/>
          <w:sz w:val="32"/>
          <w:szCs w:val="32"/>
        </w:rPr>
        <w:t>。</w:t>
      </w:r>
    </w:p>
    <w:p w14:paraId="129727EC">
      <w:pPr>
        <w:adjustRightInd w:val="0"/>
        <w:snapToGrid w:val="0"/>
        <w:spacing w:line="580" w:lineRule="atLeast"/>
        <w:ind w:firstLine="640"/>
        <w:rPr>
          <w:rFonts w:hint="eastAsia" w:ascii="仿宋_GB2312" w:hAnsi="宋体" w:eastAsia="仿宋_GB2312" w:cs="宋体"/>
          <w:bCs/>
          <w:sz w:val="32"/>
          <w:szCs w:val="32"/>
        </w:rPr>
      </w:pPr>
      <w:r>
        <w:rPr>
          <w:rFonts w:hint="eastAsia" w:eastAsia="仿宋_GB2312"/>
          <w:color w:val="000000"/>
          <w:kern w:val="0"/>
          <w:sz w:val="32"/>
          <w:szCs w:val="32"/>
        </w:rPr>
        <w:t>（2）绩效评价资料归档。绩效评价工作结束后，及时将资料整理归档，建</w:t>
      </w:r>
      <w:r>
        <w:rPr>
          <w:rFonts w:hint="eastAsia" w:ascii="仿宋_GB2312" w:hAnsi="宋体" w:eastAsia="仿宋_GB2312" w:cs="宋体"/>
          <w:bCs/>
          <w:sz w:val="32"/>
          <w:szCs w:val="32"/>
        </w:rPr>
        <w:t>立绩效评价工作档案。</w:t>
      </w:r>
    </w:p>
    <w:p w14:paraId="4BE34D85">
      <w:pPr>
        <w:adjustRightInd w:val="0"/>
        <w:snapToGrid w:val="0"/>
        <w:spacing w:line="580" w:lineRule="atLeast"/>
        <w:ind w:firstLine="640"/>
        <w:outlineLvl w:val="0"/>
        <w:rPr>
          <w:rFonts w:eastAsia="黑体"/>
          <w:bCs/>
          <w:sz w:val="32"/>
          <w:szCs w:val="32"/>
        </w:rPr>
      </w:pPr>
      <w:bookmarkStart w:id="86" w:name="_Toc30652"/>
      <w:bookmarkStart w:id="87" w:name="_Toc24418"/>
      <w:bookmarkStart w:id="88" w:name="_Toc7615"/>
      <w:bookmarkStart w:id="89" w:name="_Toc8893"/>
      <w:bookmarkStart w:id="90" w:name="_Toc3728"/>
      <w:r>
        <w:rPr>
          <w:rFonts w:eastAsia="黑体"/>
          <w:bCs/>
          <w:sz w:val="32"/>
          <w:szCs w:val="32"/>
        </w:rPr>
        <w:t>三、综合评价情况及评价结论</w:t>
      </w:r>
      <w:bookmarkEnd w:id="84"/>
      <w:bookmarkEnd w:id="85"/>
      <w:bookmarkEnd w:id="86"/>
      <w:bookmarkEnd w:id="87"/>
      <w:bookmarkEnd w:id="88"/>
      <w:bookmarkEnd w:id="89"/>
      <w:bookmarkEnd w:id="90"/>
    </w:p>
    <w:p w14:paraId="6A21B76A">
      <w:pPr>
        <w:adjustRightInd w:val="0"/>
        <w:snapToGrid w:val="0"/>
        <w:spacing w:line="580" w:lineRule="atLeast"/>
        <w:ind w:firstLine="640"/>
        <w:rPr>
          <w:rFonts w:eastAsia="仿宋_GB2312"/>
          <w:bCs/>
          <w:kern w:val="44"/>
          <w:sz w:val="32"/>
          <w:szCs w:val="32"/>
        </w:rPr>
      </w:pPr>
      <w:bookmarkStart w:id="91" w:name="_Toc665559475"/>
      <w:r>
        <w:rPr>
          <w:rFonts w:hint="eastAsia" w:ascii="仿宋_GB2312" w:hAnsi="仿宋_GB2312" w:eastAsia="仿宋_GB2312" w:cs="仿宋_GB2312"/>
          <w:bCs/>
          <w:kern w:val="44"/>
          <w:sz w:val="32"/>
          <w:szCs w:val="32"/>
        </w:rPr>
        <w:t>经评价工作组综合分析评价，</w:t>
      </w:r>
      <w:r>
        <w:rPr>
          <w:rFonts w:hint="eastAsia" w:eastAsia="仿宋_GB2312"/>
          <w:color w:val="000000"/>
          <w:kern w:val="0"/>
          <w:sz w:val="32"/>
          <w:szCs w:val="32"/>
        </w:rPr>
        <w:t>2024年北京城市副中心工程建设管理办公室“行政办公区二期0160等10个行政办公项目房屋面积和不动产地籍测绘项目”得分95.00分</w:t>
      </w:r>
      <w:r>
        <w:rPr>
          <w:rFonts w:hint="eastAsia" w:ascii="仿宋_GB2312" w:hAnsi="仿宋_GB2312" w:eastAsia="仿宋_GB2312" w:cs="仿宋_GB2312"/>
          <w:bCs/>
          <w:kern w:val="44"/>
          <w:sz w:val="32"/>
          <w:szCs w:val="32"/>
        </w:rPr>
        <w:t>，绩效评定等次为“优”。</w:t>
      </w:r>
      <w:bookmarkEnd w:id="91"/>
    </w:p>
    <w:p w14:paraId="2A863E04">
      <w:pPr>
        <w:pStyle w:val="9"/>
        <w:adjustRightInd w:val="0"/>
        <w:snapToGrid w:val="0"/>
        <w:spacing w:before="327" w:beforeLines="100" w:after="327" w:afterLines="100" w:line="596" w:lineRule="exact"/>
        <w:ind w:left="0" w:leftChars="0"/>
        <w:jc w:val="center"/>
        <w:rPr>
          <w:b/>
          <w:sz w:val="28"/>
          <w:szCs w:val="28"/>
        </w:rPr>
      </w:pPr>
      <w:bookmarkStart w:id="92" w:name="_Toc21605"/>
      <w:bookmarkStart w:id="93" w:name="_Toc30812"/>
      <w:bookmarkStart w:id="94" w:name="_Toc1963262749"/>
      <w:bookmarkStart w:id="95" w:name="_Toc4078"/>
      <w:bookmarkStart w:id="96" w:name="_Toc1603480620_WPSOffice_Level1"/>
      <w:bookmarkStart w:id="97" w:name="_Toc14951"/>
      <w:bookmarkStart w:id="98" w:name="_Toc1161"/>
      <w:r>
        <w:rPr>
          <w:rFonts w:hint="eastAsia"/>
          <w:b/>
          <w:sz w:val="28"/>
          <w:szCs w:val="28"/>
        </w:rPr>
        <w:t>行政办公区二期0160等10个行政办公项目房屋面积和不动产地籍  测绘项目</w:t>
      </w:r>
      <w:r>
        <w:rPr>
          <w:b/>
          <w:sz w:val="28"/>
          <w:szCs w:val="28"/>
        </w:rPr>
        <w:t>绩效评价结论一览表</w:t>
      </w:r>
    </w:p>
    <w:tbl>
      <w:tblPr>
        <w:tblStyle w:val="19"/>
        <w:tblW w:w="8485"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auto" w:fill="C0C0C0"/>
        <w:tblLayout w:type="fixed"/>
        <w:tblCellMar>
          <w:top w:w="0" w:type="dxa"/>
          <w:left w:w="57" w:type="dxa"/>
          <w:bottom w:w="0" w:type="dxa"/>
          <w:right w:w="57" w:type="dxa"/>
        </w:tblCellMar>
      </w:tblPr>
      <w:tblGrid>
        <w:gridCol w:w="2250"/>
        <w:gridCol w:w="3240"/>
        <w:gridCol w:w="2995"/>
      </w:tblGrid>
      <w:tr w14:paraId="15BCECF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auto" w:fill="C0C0C0"/>
          <w:tblCellMar>
            <w:top w:w="0" w:type="dxa"/>
            <w:left w:w="57" w:type="dxa"/>
            <w:bottom w:w="0" w:type="dxa"/>
            <w:right w:w="57" w:type="dxa"/>
          </w:tblCellMar>
        </w:tblPrEx>
        <w:trPr>
          <w:cantSplit/>
          <w:trHeight w:val="567" w:hRule="atLeast"/>
          <w:jc w:val="center"/>
        </w:trPr>
        <w:tc>
          <w:tcPr>
            <w:tcW w:w="2250" w:type="dxa"/>
            <w:tcBorders>
              <w:bottom w:val="single" w:color="FFFFFF" w:sz="6" w:space="0"/>
              <w:right w:val="single" w:color="FFFFFF" w:sz="6" w:space="0"/>
            </w:tcBorders>
            <w:shd w:val="clear" w:color="auto" w:fill="C0C0C0"/>
            <w:vAlign w:val="center"/>
          </w:tcPr>
          <w:p w14:paraId="7B05F77E">
            <w:pPr>
              <w:adjustRightInd w:val="0"/>
              <w:snapToGrid w:val="0"/>
              <w:spacing w:line="240" w:lineRule="auto"/>
              <w:ind w:firstLine="0" w:firstLineChars="0"/>
              <w:jc w:val="center"/>
              <w:rPr>
                <w:rFonts w:eastAsia="仿宋_GB2312"/>
                <w:b/>
                <w:sz w:val="28"/>
                <w:szCs w:val="28"/>
              </w:rPr>
            </w:pPr>
            <w:r>
              <w:rPr>
                <w:rFonts w:eastAsia="仿宋_GB2312"/>
                <w:b/>
                <w:sz w:val="28"/>
                <w:szCs w:val="28"/>
              </w:rPr>
              <w:t>评价内容</w:t>
            </w:r>
          </w:p>
        </w:tc>
        <w:tc>
          <w:tcPr>
            <w:tcW w:w="3240" w:type="dxa"/>
            <w:tcBorders>
              <w:left w:val="single" w:color="FFFFFF" w:sz="6" w:space="0"/>
              <w:bottom w:val="single" w:color="FFFFFF" w:sz="6" w:space="0"/>
              <w:right w:val="single" w:color="FFFFFF" w:sz="6" w:space="0"/>
            </w:tcBorders>
            <w:shd w:val="clear" w:color="auto" w:fill="C0C0C0"/>
            <w:vAlign w:val="center"/>
          </w:tcPr>
          <w:p w14:paraId="2EF48706">
            <w:pPr>
              <w:adjustRightInd w:val="0"/>
              <w:snapToGrid w:val="0"/>
              <w:spacing w:line="240" w:lineRule="auto"/>
              <w:ind w:firstLine="0" w:firstLineChars="0"/>
              <w:jc w:val="center"/>
              <w:rPr>
                <w:rFonts w:eastAsia="仿宋_GB2312"/>
                <w:b/>
                <w:sz w:val="28"/>
                <w:szCs w:val="28"/>
              </w:rPr>
            </w:pPr>
            <w:r>
              <w:rPr>
                <w:rFonts w:eastAsia="仿宋_GB2312"/>
                <w:b/>
                <w:sz w:val="28"/>
                <w:szCs w:val="28"/>
              </w:rPr>
              <w:t>分值</w:t>
            </w:r>
          </w:p>
        </w:tc>
        <w:tc>
          <w:tcPr>
            <w:tcW w:w="2995" w:type="dxa"/>
            <w:tcBorders>
              <w:left w:val="single" w:color="FFFFFF" w:sz="6" w:space="0"/>
              <w:bottom w:val="single" w:color="FFFFFF" w:sz="6" w:space="0"/>
            </w:tcBorders>
            <w:shd w:val="clear" w:color="auto" w:fill="C0C0C0"/>
            <w:vAlign w:val="center"/>
          </w:tcPr>
          <w:p w14:paraId="75ECBA88">
            <w:pPr>
              <w:adjustRightInd w:val="0"/>
              <w:snapToGrid w:val="0"/>
              <w:spacing w:line="240" w:lineRule="auto"/>
              <w:ind w:firstLine="0" w:firstLineChars="0"/>
              <w:jc w:val="center"/>
              <w:rPr>
                <w:rFonts w:eastAsia="仿宋_GB2312"/>
                <w:b/>
                <w:sz w:val="28"/>
                <w:szCs w:val="28"/>
              </w:rPr>
            </w:pPr>
            <w:r>
              <w:rPr>
                <w:rFonts w:eastAsia="仿宋_GB2312"/>
                <w:b/>
                <w:sz w:val="28"/>
                <w:szCs w:val="28"/>
              </w:rPr>
              <w:t>评价得分</w:t>
            </w:r>
          </w:p>
        </w:tc>
      </w:tr>
      <w:tr w14:paraId="7FC8B59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57" w:type="dxa"/>
            <w:bottom w:w="0" w:type="dxa"/>
            <w:right w:w="57" w:type="dxa"/>
          </w:tblCellMar>
        </w:tblPrEx>
        <w:trPr>
          <w:cantSplit/>
          <w:trHeight w:val="567" w:hRule="atLeast"/>
          <w:jc w:val="center"/>
        </w:trPr>
        <w:tc>
          <w:tcPr>
            <w:tcW w:w="2250" w:type="dxa"/>
            <w:tcBorders>
              <w:top w:val="single" w:color="FFFFFF" w:sz="6" w:space="0"/>
              <w:bottom w:val="single" w:color="FFFFFF" w:sz="6" w:space="0"/>
              <w:right w:val="single" w:color="FFFFFF" w:sz="6" w:space="0"/>
            </w:tcBorders>
            <w:shd w:val="clear" w:color="auto" w:fill="C0C0C0"/>
            <w:vAlign w:val="center"/>
          </w:tcPr>
          <w:p w14:paraId="0BDAA502">
            <w:pPr>
              <w:pStyle w:val="2"/>
              <w:adjustRightInd w:val="0"/>
              <w:snapToGrid w:val="0"/>
              <w:ind w:firstLine="0"/>
              <w:jc w:val="center"/>
              <w:rPr>
                <w:rFonts w:eastAsia="仿宋_GB2312"/>
                <w:b/>
                <w:sz w:val="28"/>
                <w:szCs w:val="28"/>
              </w:rPr>
            </w:pPr>
            <w:r>
              <w:rPr>
                <w:rFonts w:eastAsia="仿宋_GB2312"/>
                <w:b/>
                <w:sz w:val="28"/>
                <w:szCs w:val="28"/>
              </w:rPr>
              <w:t>项目决策</w:t>
            </w:r>
          </w:p>
        </w:tc>
        <w:tc>
          <w:tcPr>
            <w:tcW w:w="3240" w:type="dxa"/>
            <w:tcBorders>
              <w:top w:val="single" w:color="FFFFFF" w:sz="6" w:space="0"/>
              <w:left w:val="single" w:color="FFFFFF" w:sz="6" w:space="0"/>
              <w:bottom w:val="single" w:color="FFFFFF" w:sz="6" w:space="0"/>
              <w:right w:val="single" w:color="FFFFFF" w:sz="6" w:space="0"/>
            </w:tcBorders>
            <w:shd w:val="clear" w:color="auto" w:fill="C0C0C0"/>
            <w:vAlign w:val="center"/>
          </w:tcPr>
          <w:p w14:paraId="5DF8EDD4">
            <w:pPr>
              <w:adjustRightInd w:val="0"/>
              <w:snapToGrid w:val="0"/>
              <w:spacing w:line="240" w:lineRule="auto"/>
              <w:ind w:firstLine="0" w:firstLineChars="0"/>
              <w:jc w:val="center"/>
              <w:rPr>
                <w:rFonts w:eastAsia="仿宋_GB2312"/>
                <w:b/>
                <w:sz w:val="28"/>
                <w:szCs w:val="28"/>
              </w:rPr>
            </w:pPr>
            <w:r>
              <w:rPr>
                <w:rFonts w:eastAsia="仿宋_GB2312"/>
                <w:b/>
                <w:sz w:val="28"/>
                <w:szCs w:val="28"/>
              </w:rPr>
              <w:t>10.00</w:t>
            </w:r>
          </w:p>
        </w:tc>
        <w:tc>
          <w:tcPr>
            <w:tcW w:w="2995" w:type="dxa"/>
            <w:tcBorders>
              <w:top w:val="single" w:color="FFFFFF" w:sz="6" w:space="0"/>
              <w:left w:val="single" w:color="FFFFFF" w:sz="6" w:space="0"/>
              <w:bottom w:val="single" w:color="FFFFFF" w:sz="6" w:space="0"/>
            </w:tcBorders>
            <w:shd w:val="clear" w:color="auto" w:fill="C0C0C0"/>
            <w:vAlign w:val="center"/>
          </w:tcPr>
          <w:p w14:paraId="31C8CF62">
            <w:pPr>
              <w:widowControl/>
              <w:adjustRightInd w:val="0"/>
              <w:snapToGrid w:val="0"/>
              <w:spacing w:line="240" w:lineRule="auto"/>
              <w:ind w:firstLine="0" w:firstLineChars="0"/>
              <w:jc w:val="center"/>
              <w:rPr>
                <w:rFonts w:eastAsia="仿宋_GB2312"/>
                <w:b/>
                <w:sz w:val="28"/>
                <w:szCs w:val="28"/>
              </w:rPr>
            </w:pPr>
            <w:r>
              <w:rPr>
                <w:rFonts w:hint="eastAsia" w:eastAsia="仿宋_GB2312"/>
                <w:b/>
                <w:sz w:val="28"/>
                <w:szCs w:val="28"/>
              </w:rPr>
              <w:t>10.00</w:t>
            </w:r>
          </w:p>
        </w:tc>
      </w:tr>
      <w:tr w14:paraId="28C1796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auto" w:fill="C0C0C0"/>
          <w:tblCellMar>
            <w:top w:w="0" w:type="dxa"/>
            <w:left w:w="57" w:type="dxa"/>
            <w:bottom w:w="0" w:type="dxa"/>
            <w:right w:w="57" w:type="dxa"/>
          </w:tblCellMar>
        </w:tblPrEx>
        <w:trPr>
          <w:cantSplit/>
          <w:trHeight w:val="567" w:hRule="atLeast"/>
          <w:jc w:val="center"/>
        </w:trPr>
        <w:tc>
          <w:tcPr>
            <w:tcW w:w="2250" w:type="dxa"/>
            <w:tcBorders>
              <w:top w:val="single" w:color="FFFFFF" w:sz="6" w:space="0"/>
              <w:bottom w:val="single" w:color="FFFFFF" w:sz="6" w:space="0"/>
              <w:right w:val="single" w:color="FFFFFF" w:sz="6" w:space="0"/>
            </w:tcBorders>
            <w:shd w:val="clear" w:color="auto" w:fill="C0C0C0"/>
            <w:vAlign w:val="center"/>
          </w:tcPr>
          <w:p w14:paraId="51EC787E">
            <w:pPr>
              <w:adjustRightInd w:val="0"/>
              <w:snapToGrid w:val="0"/>
              <w:spacing w:line="240" w:lineRule="auto"/>
              <w:ind w:firstLine="0" w:firstLineChars="0"/>
              <w:jc w:val="center"/>
              <w:rPr>
                <w:rFonts w:eastAsia="仿宋_GB2312"/>
                <w:b/>
                <w:sz w:val="28"/>
                <w:szCs w:val="28"/>
              </w:rPr>
            </w:pPr>
            <w:r>
              <w:rPr>
                <w:rFonts w:eastAsia="仿宋_GB2312"/>
                <w:b/>
                <w:sz w:val="28"/>
                <w:szCs w:val="28"/>
              </w:rPr>
              <w:t>项目过程</w:t>
            </w:r>
          </w:p>
        </w:tc>
        <w:tc>
          <w:tcPr>
            <w:tcW w:w="3240" w:type="dxa"/>
            <w:tcBorders>
              <w:top w:val="single" w:color="FFFFFF" w:sz="6" w:space="0"/>
              <w:left w:val="single" w:color="FFFFFF" w:sz="6" w:space="0"/>
              <w:bottom w:val="single" w:color="FFFFFF" w:sz="6" w:space="0"/>
              <w:right w:val="single" w:color="FFFFFF" w:sz="6" w:space="0"/>
            </w:tcBorders>
            <w:shd w:val="clear" w:color="auto" w:fill="C0C0C0"/>
            <w:vAlign w:val="center"/>
          </w:tcPr>
          <w:p w14:paraId="77D74A9E">
            <w:pPr>
              <w:adjustRightInd w:val="0"/>
              <w:snapToGrid w:val="0"/>
              <w:spacing w:line="240" w:lineRule="auto"/>
              <w:ind w:firstLine="0" w:firstLineChars="0"/>
              <w:jc w:val="center"/>
              <w:rPr>
                <w:rFonts w:eastAsia="仿宋_GB2312"/>
                <w:b/>
                <w:sz w:val="28"/>
                <w:szCs w:val="28"/>
              </w:rPr>
            </w:pPr>
            <w:r>
              <w:rPr>
                <w:rFonts w:eastAsia="仿宋_GB2312"/>
                <w:b/>
                <w:sz w:val="28"/>
                <w:szCs w:val="28"/>
              </w:rPr>
              <w:t>20.00</w:t>
            </w:r>
          </w:p>
        </w:tc>
        <w:tc>
          <w:tcPr>
            <w:tcW w:w="2995" w:type="dxa"/>
            <w:tcBorders>
              <w:top w:val="single" w:color="FFFFFF" w:sz="6" w:space="0"/>
              <w:left w:val="single" w:color="FFFFFF" w:sz="6" w:space="0"/>
              <w:bottom w:val="single" w:color="FFFFFF" w:sz="6" w:space="0"/>
            </w:tcBorders>
            <w:shd w:val="clear" w:color="auto" w:fill="C0C0C0"/>
            <w:vAlign w:val="center"/>
          </w:tcPr>
          <w:p w14:paraId="19568F3B">
            <w:pPr>
              <w:widowControl/>
              <w:adjustRightInd w:val="0"/>
              <w:snapToGrid w:val="0"/>
              <w:spacing w:line="240" w:lineRule="auto"/>
              <w:ind w:firstLine="0" w:firstLineChars="0"/>
              <w:jc w:val="center"/>
              <w:rPr>
                <w:rFonts w:eastAsia="仿宋_GB2312"/>
                <w:b/>
                <w:sz w:val="28"/>
                <w:szCs w:val="28"/>
              </w:rPr>
            </w:pPr>
            <w:r>
              <w:rPr>
                <w:rFonts w:hint="eastAsia" w:eastAsia="仿宋_GB2312"/>
                <w:b/>
                <w:sz w:val="28"/>
                <w:szCs w:val="28"/>
              </w:rPr>
              <w:t>20.00</w:t>
            </w:r>
          </w:p>
        </w:tc>
      </w:tr>
      <w:tr w14:paraId="3BE25EC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57" w:type="dxa"/>
            <w:bottom w:w="0" w:type="dxa"/>
            <w:right w:w="57" w:type="dxa"/>
          </w:tblCellMar>
        </w:tblPrEx>
        <w:trPr>
          <w:cantSplit/>
          <w:trHeight w:val="567" w:hRule="atLeast"/>
          <w:jc w:val="center"/>
        </w:trPr>
        <w:tc>
          <w:tcPr>
            <w:tcW w:w="2250" w:type="dxa"/>
            <w:tcBorders>
              <w:top w:val="single" w:color="FFFFFF" w:sz="6" w:space="0"/>
              <w:bottom w:val="single" w:color="FFFFFF" w:sz="4" w:space="0"/>
              <w:right w:val="single" w:color="FFFFFF" w:sz="6" w:space="0"/>
            </w:tcBorders>
            <w:shd w:val="clear" w:color="auto" w:fill="C0C0C0"/>
            <w:vAlign w:val="center"/>
          </w:tcPr>
          <w:p w14:paraId="215BAD14">
            <w:pPr>
              <w:adjustRightInd w:val="0"/>
              <w:snapToGrid w:val="0"/>
              <w:spacing w:line="240" w:lineRule="auto"/>
              <w:ind w:firstLine="0" w:firstLineChars="0"/>
              <w:jc w:val="center"/>
              <w:rPr>
                <w:rFonts w:eastAsia="仿宋_GB2312"/>
                <w:b/>
                <w:sz w:val="28"/>
                <w:szCs w:val="28"/>
              </w:rPr>
            </w:pPr>
            <w:r>
              <w:rPr>
                <w:rFonts w:eastAsia="仿宋_GB2312"/>
                <w:b/>
                <w:sz w:val="28"/>
                <w:szCs w:val="28"/>
              </w:rPr>
              <w:t>项目产出</w:t>
            </w:r>
          </w:p>
        </w:tc>
        <w:tc>
          <w:tcPr>
            <w:tcW w:w="3240" w:type="dxa"/>
            <w:tcBorders>
              <w:top w:val="single" w:color="FFFFFF" w:sz="6" w:space="0"/>
              <w:left w:val="single" w:color="FFFFFF" w:sz="6" w:space="0"/>
              <w:bottom w:val="single" w:color="FFFFFF" w:sz="4" w:space="0"/>
              <w:right w:val="single" w:color="FFFFFF" w:sz="4" w:space="0"/>
            </w:tcBorders>
            <w:shd w:val="clear" w:color="auto" w:fill="C0C0C0"/>
            <w:vAlign w:val="center"/>
          </w:tcPr>
          <w:p w14:paraId="550B9C60">
            <w:pPr>
              <w:adjustRightInd w:val="0"/>
              <w:snapToGrid w:val="0"/>
              <w:spacing w:line="240" w:lineRule="auto"/>
              <w:ind w:firstLine="0" w:firstLineChars="0"/>
              <w:jc w:val="center"/>
              <w:rPr>
                <w:rFonts w:eastAsia="仿宋_GB2312"/>
                <w:b/>
                <w:sz w:val="28"/>
                <w:szCs w:val="28"/>
              </w:rPr>
            </w:pPr>
            <w:r>
              <w:rPr>
                <w:rFonts w:eastAsia="仿宋_GB2312"/>
                <w:b/>
                <w:sz w:val="28"/>
                <w:szCs w:val="28"/>
              </w:rPr>
              <w:t>40.00</w:t>
            </w:r>
          </w:p>
        </w:tc>
        <w:tc>
          <w:tcPr>
            <w:tcW w:w="2995" w:type="dxa"/>
            <w:tcBorders>
              <w:top w:val="single" w:color="FFFFFF" w:sz="6" w:space="0"/>
              <w:left w:val="single" w:color="FFFFFF" w:sz="4" w:space="0"/>
              <w:bottom w:val="single" w:color="FFFFFF" w:sz="4" w:space="0"/>
            </w:tcBorders>
            <w:shd w:val="clear" w:color="auto" w:fill="C0C0C0"/>
            <w:vAlign w:val="center"/>
          </w:tcPr>
          <w:p w14:paraId="397AECFC">
            <w:pPr>
              <w:widowControl/>
              <w:adjustRightInd w:val="0"/>
              <w:snapToGrid w:val="0"/>
              <w:spacing w:line="240" w:lineRule="auto"/>
              <w:ind w:firstLine="0" w:firstLineChars="0"/>
              <w:jc w:val="center"/>
              <w:rPr>
                <w:rFonts w:eastAsia="仿宋_GB2312"/>
                <w:b/>
                <w:sz w:val="28"/>
                <w:szCs w:val="28"/>
              </w:rPr>
            </w:pPr>
            <w:r>
              <w:rPr>
                <w:rFonts w:hint="eastAsia" w:eastAsia="仿宋_GB2312"/>
                <w:b/>
                <w:sz w:val="28"/>
                <w:szCs w:val="28"/>
              </w:rPr>
              <w:t>40.00</w:t>
            </w:r>
          </w:p>
        </w:tc>
      </w:tr>
      <w:tr w14:paraId="19358FF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57" w:type="dxa"/>
            <w:bottom w:w="0" w:type="dxa"/>
            <w:right w:w="57" w:type="dxa"/>
          </w:tblCellMar>
        </w:tblPrEx>
        <w:trPr>
          <w:cantSplit/>
          <w:trHeight w:val="567" w:hRule="atLeast"/>
          <w:jc w:val="center"/>
        </w:trPr>
        <w:tc>
          <w:tcPr>
            <w:tcW w:w="2250" w:type="dxa"/>
            <w:tcBorders>
              <w:top w:val="single" w:color="FFFFFF" w:sz="6" w:space="0"/>
              <w:bottom w:val="single" w:color="FFFFFF" w:sz="4" w:space="0"/>
              <w:right w:val="single" w:color="FFFFFF" w:sz="6" w:space="0"/>
            </w:tcBorders>
            <w:shd w:val="clear" w:color="auto" w:fill="C0C0C0"/>
            <w:vAlign w:val="center"/>
          </w:tcPr>
          <w:p w14:paraId="765AF352">
            <w:pPr>
              <w:adjustRightInd w:val="0"/>
              <w:snapToGrid w:val="0"/>
              <w:spacing w:line="240" w:lineRule="auto"/>
              <w:ind w:firstLine="0" w:firstLineChars="0"/>
              <w:jc w:val="center"/>
              <w:rPr>
                <w:rFonts w:eastAsia="仿宋_GB2312"/>
                <w:b/>
                <w:sz w:val="28"/>
                <w:szCs w:val="28"/>
              </w:rPr>
            </w:pPr>
            <w:r>
              <w:rPr>
                <w:rFonts w:eastAsia="仿宋_GB2312"/>
                <w:b/>
                <w:sz w:val="28"/>
                <w:szCs w:val="28"/>
              </w:rPr>
              <w:t>项目效益</w:t>
            </w:r>
          </w:p>
        </w:tc>
        <w:tc>
          <w:tcPr>
            <w:tcW w:w="3240" w:type="dxa"/>
            <w:tcBorders>
              <w:top w:val="single" w:color="FFFFFF" w:sz="6" w:space="0"/>
              <w:left w:val="single" w:color="FFFFFF" w:sz="6" w:space="0"/>
              <w:bottom w:val="single" w:color="FFFFFF" w:sz="4" w:space="0"/>
              <w:right w:val="single" w:color="FFFFFF" w:sz="4" w:space="0"/>
            </w:tcBorders>
            <w:shd w:val="clear" w:color="auto" w:fill="C0C0C0"/>
            <w:vAlign w:val="center"/>
          </w:tcPr>
          <w:p w14:paraId="1A359ABC">
            <w:pPr>
              <w:adjustRightInd w:val="0"/>
              <w:snapToGrid w:val="0"/>
              <w:spacing w:line="240" w:lineRule="auto"/>
              <w:ind w:firstLine="0" w:firstLineChars="0"/>
              <w:jc w:val="center"/>
              <w:rPr>
                <w:rFonts w:eastAsia="仿宋_GB2312"/>
                <w:b/>
                <w:sz w:val="28"/>
                <w:szCs w:val="28"/>
              </w:rPr>
            </w:pPr>
            <w:r>
              <w:rPr>
                <w:rFonts w:eastAsia="仿宋_GB2312"/>
                <w:b/>
                <w:sz w:val="28"/>
                <w:szCs w:val="28"/>
              </w:rPr>
              <w:t>30.00</w:t>
            </w:r>
          </w:p>
        </w:tc>
        <w:tc>
          <w:tcPr>
            <w:tcW w:w="2995" w:type="dxa"/>
            <w:tcBorders>
              <w:top w:val="single" w:color="FFFFFF" w:sz="6" w:space="0"/>
              <w:left w:val="single" w:color="FFFFFF" w:sz="4" w:space="0"/>
              <w:bottom w:val="single" w:color="FFFFFF" w:sz="4" w:space="0"/>
            </w:tcBorders>
            <w:shd w:val="clear" w:color="auto" w:fill="C0C0C0"/>
            <w:vAlign w:val="center"/>
          </w:tcPr>
          <w:p w14:paraId="157DE136">
            <w:pPr>
              <w:widowControl/>
              <w:adjustRightInd w:val="0"/>
              <w:snapToGrid w:val="0"/>
              <w:spacing w:line="240" w:lineRule="auto"/>
              <w:ind w:firstLine="0" w:firstLineChars="0"/>
              <w:jc w:val="center"/>
              <w:rPr>
                <w:rFonts w:eastAsia="仿宋_GB2312"/>
                <w:b/>
                <w:sz w:val="28"/>
                <w:szCs w:val="28"/>
              </w:rPr>
            </w:pPr>
            <w:r>
              <w:rPr>
                <w:rFonts w:hint="eastAsia" w:eastAsia="仿宋_GB2312"/>
                <w:b/>
                <w:sz w:val="28"/>
                <w:szCs w:val="28"/>
              </w:rPr>
              <w:t>25</w:t>
            </w:r>
            <w:r>
              <w:rPr>
                <w:rFonts w:eastAsia="仿宋_GB2312"/>
                <w:b/>
                <w:sz w:val="28"/>
                <w:szCs w:val="28"/>
              </w:rPr>
              <w:t>.00</w:t>
            </w:r>
          </w:p>
        </w:tc>
      </w:tr>
      <w:tr w14:paraId="45C2680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57" w:type="dxa"/>
            <w:bottom w:w="0" w:type="dxa"/>
            <w:right w:w="57" w:type="dxa"/>
          </w:tblCellMar>
        </w:tblPrEx>
        <w:trPr>
          <w:cantSplit/>
          <w:trHeight w:val="567" w:hRule="atLeast"/>
          <w:jc w:val="center"/>
        </w:trPr>
        <w:tc>
          <w:tcPr>
            <w:tcW w:w="2250" w:type="dxa"/>
            <w:tcBorders>
              <w:top w:val="single" w:color="FFFFFF" w:sz="4" w:space="0"/>
              <w:bottom w:val="single" w:color="FFFFFF" w:sz="4" w:space="0"/>
              <w:right w:val="single" w:color="FFFFFF" w:sz="6" w:space="0"/>
            </w:tcBorders>
            <w:shd w:val="clear" w:color="auto" w:fill="C0C0C0"/>
            <w:vAlign w:val="center"/>
          </w:tcPr>
          <w:p w14:paraId="36E0A4D0">
            <w:pPr>
              <w:adjustRightInd w:val="0"/>
              <w:snapToGrid w:val="0"/>
              <w:spacing w:line="240" w:lineRule="auto"/>
              <w:ind w:firstLine="0" w:firstLineChars="0"/>
              <w:jc w:val="center"/>
              <w:rPr>
                <w:rFonts w:eastAsia="仿宋_GB2312"/>
                <w:b/>
                <w:sz w:val="28"/>
                <w:szCs w:val="28"/>
              </w:rPr>
            </w:pPr>
            <w:r>
              <w:rPr>
                <w:rFonts w:eastAsia="仿宋_GB2312"/>
                <w:b/>
                <w:sz w:val="28"/>
                <w:szCs w:val="28"/>
              </w:rPr>
              <w:t>综合得分</w:t>
            </w:r>
          </w:p>
        </w:tc>
        <w:tc>
          <w:tcPr>
            <w:tcW w:w="3240" w:type="dxa"/>
            <w:tcBorders>
              <w:top w:val="single" w:color="FFFFFF" w:sz="4" w:space="0"/>
              <w:left w:val="single" w:color="FFFFFF" w:sz="6" w:space="0"/>
              <w:bottom w:val="single" w:color="FFFFFF" w:sz="4" w:space="0"/>
            </w:tcBorders>
            <w:shd w:val="clear" w:color="auto" w:fill="C0C0C0"/>
            <w:vAlign w:val="center"/>
          </w:tcPr>
          <w:p w14:paraId="631F8E3C">
            <w:pPr>
              <w:adjustRightInd w:val="0"/>
              <w:snapToGrid w:val="0"/>
              <w:spacing w:line="240" w:lineRule="auto"/>
              <w:ind w:firstLine="0" w:firstLineChars="0"/>
              <w:jc w:val="center"/>
              <w:rPr>
                <w:rFonts w:eastAsia="仿宋_GB2312"/>
                <w:b/>
                <w:sz w:val="28"/>
                <w:szCs w:val="28"/>
              </w:rPr>
            </w:pPr>
            <w:r>
              <w:rPr>
                <w:rFonts w:eastAsia="仿宋_GB2312"/>
                <w:b/>
                <w:sz w:val="28"/>
                <w:szCs w:val="28"/>
              </w:rPr>
              <w:t>100.00</w:t>
            </w:r>
          </w:p>
        </w:tc>
        <w:tc>
          <w:tcPr>
            <w:tcW w:w="2995" w:type="dxa"/>
            <w:tcBorders>
              <w:top w:val="single" w:color="FFFFFF" w:sz="4" w:space="0"/>
              <w:left w:val="single" w:color="FFFFFF" w:sz="4" w:space="0"/>
              <w:bottom w:val="single" w:color="FFFFFF" w:sz="4" w:space="0"/>
            </w:tcBorders>
            <w:shd w:val="clear" w:color="auto" w:fill="C0C0C0"/>
            <w:vAlign w:val="center"/>
          </w:tcPr>
          <w:p w14:paraId="4CA0895C">
            <w:pPr>
              <w:adjustRightInd w:val="0"/>
              <w:snapToGrid w:val="0"/>
              <w:spacing w:line="240" w:lineRule="auto"/>
              <w:ind w:firstLine="0" w:firstLineChars="0"/>
              <w:jc w:val="center"/>
              <w:rPr>
                <w:rFonts w:eastAsia="仿宋_GB2312"/>
                <w:b/>
                <w:sz w:val="28"/>
                <w:szCs w:val="28"/>
              </w:rPr>
            </w:pPr>
            <w:r>
              <w:rPr>
                <w:rFonts w:hint="eastAsia" w:eastAsia="仿宋_GB2312"/>
                <w:b/>
                <w:sz w:val="28"/>
                <w:szCs w:val="28"/>
              </w:rPr>
              <w:t>95.00</w:t>
            </w:r>
          </w:p>
        </w:tc>
      </w:tr>
      <w:tr w14:paraId="1DC1AC4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57" w:type="dxa"/>
            <w:bottom w:w="0" w:type="dxa"/>
            <w:right w:w="57" w:type="dxa"/>
          </w:tblCellMar>
        </w:tblPrEx>
        <w:trPr>
          <w:cantSplit/>
          <w:trHeight w:val="567" w:hRule="atLeast"/>
          <w:jc w:val="center"/>
        </w:trPr>
        <w:tc>
          <w:tcPr>
            <w:tcW w:w="2250" w:type="dxa"/>
            <w:tcBorders>
              <w:top w:val="single" w:color="FFFFFF" w:sz="4" w:space="0"/>
              <w:bottom w:val="single" w:color="FFFFFF" w:sz="4" w:space="0"/>
              <w:right w:val="single" w:color="FFFFFF" w:sz="6" w:space="0"/>
            </w:tcBorders>
            <w:shd w:val="clear" w:color="auto" w:fill="C0C0C0"/>
            <w:vAlign w:val="center"/>
          </w:tcPr>
          <w:p w14:paraId="4E1E0466">
            <w:pPr>
              <w:adjustRightInd w:val="0"/>
              <w:snapToGrid w:val="0"/>
              <w:spacing w:line="240" w:lineRule="auto"/>
              <w:ind w:firstLine="0" w:firstLineChars="0"/>
              <w:jc w:val="center"/>
              <w:rPr>
                <w:rFonts w:eastAsia="仿宋_GB2312"/>
                <w:b/>
                <w:sz w:val="28"/>
                <w:szCs w:val="28"/>
              </w:rPr>
            </w:pPr>
            <w:r>
              <w:rPr>
                <w:rFonts w:eastAsia="仿宋_GB2312"/>
                <w:b/>
                <w:sz w:val="28"/>
                <w:szCs w:val="28"/>
              </w:rPr>
              <w:t>绩效评定</w:t>
            </w:r>
            <w:r>
              <w:rPr>
                <w:rFonts w:hint="eastAsia" w:eastAsia="仿宋_GB2312"/>
                <w:b/>
                <w:sz w:val="28"/>
                <w:szCs w:val="28"/>
              </w:rPr>
              <w:t>等次</w:t>
            </w:r>
          </w:p>
        </w:tc>
        <w:tc>
          <w:tcPr>
            <w:tcW w:w="6235" w:type="dxa"/>
            <w:gridSpan w:val="2"/>
            <w:tcBorders>
              <w:top w:val="single" w:color="FFFFFF" w:sz="4" w:space="0"/>
              <w:left w:val="single" w:color="FFFFFF" w:sz="6" w:space="0"/>
              <w:bottom w:val="single" w:color="FFFFFF" w:sz="4" w:space="0"/>
            </w:tcBorders>
            <w:shd w:val="clear" w:color="auto" w:fill="C0C0C0"/>
            <w:vAlign w:val="center"/>
          </w:tcPr>
          <w:p w14:paraId="709BA2CE">
            <w:pPr>
              <w:adjustRightInd w:val="0"/>
              <w:snapToGrid w:val="0"/>
              <w:spacing w:line="240" w:lineRule="auto"/>
              <w:ind w:firstLine="0" w:firstLineChars="0"/>
              <w:jc w:val="center"/>
              <w:rPr>
                <w:rFonts w:eastAsia="仿宋_GB2312"/>
                <w:b/>
                <w:sz w:val="28"/>
                <w:szCs w:val="28"/>
              </w:rPr>
            </w:pPr>
            <w:r>
              <w:rPr>
                <w:rFonts w:hint="eastAsia" w:eastAsia="仿宋_GB2312"/>
                <w:b/>
                <w:sz w:val="28"/>
                <w:szCs w:val="28"/>
              </w:rPr>
              <w:t>优</w:t>
            </w:r>
          </w:p>
        </w:tc>
      </w:tr>
    </w:tbl>
    <w:p w14:paraId="29FBDC5E">
      <w:pPr>
        <w:pStyle w:val="9"/>
        <w:adjustRightInd w:val="0"/>
        <w:snapToGrid w:val="0"/>
        <w:spacing w:after="0" w:line="240" w:lineRule="auto"/>
        <w:ind w:left="0" w:leftChars="0"/>
        <w:jc w:val="center"/>
        <w:rPr>
          <w:b/>
          <w:sz w:val="28"/>
          <w:szCs w:val="28"/>
        </w:rPr>
      </w:pPr>
    </w:p>
    <w:p w14:paraId="3E41C62F">
      <w:pPr>
        <w:adjustRightInd w:val="0"/>
        <w:snapToGrid w:val="0"/>
        <w:spacing w:line="580" w:lineRule="atLeast"/>
        <w:ind w:firstLine="640"/>
        <w:outlineLvl w:val="0"/>
        <w:rPr>
          <w:rFonts w:eastAsia="黑体"/>
          <w:sz w:val="32"/>
          <w:szCs w:val="32"/>
        </w:rPr>
      </w:pPr>
      <w:r>
        <w:rPr>
          <w:rFonts w:eastAsia="黑体"/>
          <w:sz w:val="32"/>
          <w:szCs w:val="32"/>
        </w:rPr>
        <w:t>四、绩效评价指标分析</w:t>
      </w:r>
      <w:bookmarkEnd w:id="61"/>
      <w:bookmarkEnd w:id="62"/>
      <w:bookmarkEnd w:id="92"/>
      <w:bookmarkEnd w:id="93"/>
      <w:bookmarkEnd w:id="94"/>
      <w:bookmarkEnd w:id="95"/>
      <w:bookmarkEnd w:id="96"/>
      <w:bookmarkEnd w:id="97"/>
      <w:bookmarkEnd w:id="98"/>
    </w:p>
    <w:p w14:paraId="7C5CD036">
      <w:pPr>
        <w:adjustRightInd w:val="0"/>
        <w:snapToGrid w:val="0"/>
        <w:spacing w:line="580" w:lineRule="atLeast"/>
        <w:ind w:firstLine="643"/>
        <w:outlineLvl w:val="1"/>
        <w:rPr>
          <w:rFonts w:eastAsia="楷体_GB2312"/>
          <w:b/>
          <w:sz w:val="32"/>
        </w:rPr>
      </w:pPr>
      <w:bookmarkStart w:id="99" w:name="_Toc470786288"/>
      <w:bookmarkStart w:id="100" w:name="_Toc781"/>
      <w:bookmarkStart w:id="101" w:name="_Toc926494137_WPSOffice_Level2"/>
      <w:bookmarkStart w:id="102" w:name="_Toc8713"/>
      <w:bookmarkStart w:id="103" w:name="_Toc27816"/>
      <w:bookmarkStart w:id="104" w:name="_Toc9996"/>
      <w:bookmarkStart w:id="105" w:name="_Toc14671"/>
      <w:bookmarkStart w:id="106" w:name="_Toc21955"/>
      <w:r>
        <w:rPr>
          <w:rFonts w:eastAsia="楷体_GB2312"/>
          <w:b/>
          <w:sz w:val="32"/>
        </w:rPr>
        <w:t>（一）项目决策情况</w:t>
      </w:r>
      <w:bookmarkEnd w:id="99"/>
      <w:bookmarkEnd w:id="100"/>
      <w:bookmarkEnd w:id="101"/>
      <w:bookmarkEnd w:id="102"/>
      <w:bookmarkEnd w:id="103"/>
      <w:bookmarkEnd w:id="104"/>
      <w:bookmarkEnd w:id="105"/>
    </w:p>
    <w:p w14:paraId="0FACB157">
      <w:pPr>
        <w:adjustRightInd w:val="0"/>
        <w:snapToGrid w:val="0"/>
        <w:spacing w:line="580" w:lineRule="atLeast"/>
        <w:ind w:firstLine="640"/>
        <w:outlineLvl w:val="2"/>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1.项目立项情况评价分析</w:t>
      </w:r>
    </w:p>
    <w:p w14:paraId="6F1C04AF">
      <w:pPr>
        <w:adjustRightInd w:val="0"/>
        <w:snapToGrid w:val="0"/>
        <w:spacing w:line="580" w:lineRule="atLeast"/>
        <w:ind w:firstLine="640"/>
        <w:rPr>
          <w:rFonts w:eastAsia="仿宋_GB2312"/>
          <w:bCs/>
          <w:kern w:val="0"/>
          <w:sz w:val="32"/>
          <w:szCs w:val="32"/>
        </w:rPr>
      </w:pPr>
      <w:r>
        <w:rPr>
          <w:rFonts w:hint="eastAsia" w:ascii="仿宋_GB2312" w:eastAsia="仿宋_GB2312" w:cs="Courier New"/>
          <w:color w:val="000000"/>
          <w:kern w:val="0"/>
          <w:sz w:val="32"/>
          <w:szCs w:val="32"/>
        </w:rPr>
        <w:t>该项目作为新增项目，</w:t>
      </w:r>
      <w:r>
        <w:rPr>
          <w:rFonts w:hint="eastAsia" w:ascii="仿宋_GB2312" w:hAnsi="仿宋_GB2312" w:eastAsia="仿宋_GB2312" w:cs="仿宋_GB2312"/>
          <w:bCs/>
          <w:kern w:val="44"/>
          <w:sz w:val="32"/>
          <w:szCs w:val="32"/>
        </w:rPr>
        <w:t>副中心工程办按照国家及北京市相关测绘规范技术要求</w:t>
      </w:r>
      <w:r>
        <w:rPr>
          <w:rFonts w:ascii="仿宋_GB2312" w:hAnsi="仿宋_GB2312" w:eastAsia="仿宋_GB2312" w:cs="仿宋_GB2312"/>
          <w:bCs/>
          <w:kern w:val="0"/>
          <w:sz w:val="32"/>
          <w:szCs w:val="32"/>
        </w:rPr>
        <w:t>，</w:t>
      </w:r>
      <w:r>
        <w:rPr>
          <w:rFonts w:eastAsia="仿宋_GB2312"/>
          <w:bCs/>
          <w:kern w:val="0"/>
          <w:sz w:val="32"/>
          <w:szCs w:val="32"/>
        </w:rPr>
        <w:t>经党委会会议审议后</w:t>
      </w:r>
      <w:r>
        <w:rPr>
          <w:rFonts w:hint="eastAsia" w:eastAsia="仿宋_GB2312"/>
          <w:bCs/>
          <w:kern w:val="0"/>
          <w:sz w:val="32"/>
          <w:szCs w:val="32"/>
        </w:rPr>
        <w:t>，对行政办公区二期0160等10个行政办公项目房屋面积和不动产地籍测绘项目进行立项，北京市财政局于2024年2月批复了副中心工程办2024年部门预算，包含该项目资金。</w:t>
      </w:r>
    </w:p>
    <w:p w14:paraId="20ECA29D">
      <w:pPr>
        <w:adjustRightInd w:val="0"/>
        <w:snapToGrid w:val="0"/>
        <w:spacing w:line="580" w:lineRule="atLeast"/>
        <w:ind w:firstLine="64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评价分析认为：该项目决策依据明确，符合法律法规、相关政策、发展规划以及部门职责，决策程序规范，事前经过集体决策，项目立项必要性理由充分，具有较强的可行性和可操作性。</w:t>
      </w:r>
    </w:p>
    <w:p w14:paraId="31273063">
      <w:pPr>
        <w:adjustRightInd w:val="0"/>
        <w:snapToGrid w:val="0"/>
        <w:spacing w:line="580" w:lineRule="atLeast"/>
        <w:ind w:firstLine="640"/>
        <w:outlineLvl w:val="2"/>
        <w:rPr>
          <w:rFonts w:eastAsia="仿宋_GB2312"/>
          <w:bCs/>
          <w:sz w:val="32"/>
          <w:szCs w:val="32"/>
        </w:rPr>
      </w:pPr>
      <w:r>
        <w:rPr>
          <w:rFonts w:eastAsia="仿宋_GB2312"/>
          <w:bCs/>
          <w:sz w:val="32"/>
          <w:szCs w:val="32"/>
        </w:rPr>
        <w:t>2.绩效目标评价分析</w:t>
      </w:r>
    </w:p>
    <w:p w14:paraId="47780727">
      <w:pPr>
        <w:adjustRightInd w:val="0"/>
        <w:snapToGrid w:val="0"/>
        <w:spacing w:line="580" w:lineRule="atLeast"/>
        <w:ind w:firstLine="640"/>
        <w:rPr>
          <w:rFonts w:eastAsia="仿宋_GB2312"/>
          <w:bCs/>
          <w:kern w:val="0"/>
          <w:sz w:val="32"/>
          <w:szCs w:val="32"/>
        </w:rPr>
      </w:pPr>
      <w:r>
        <w:rPr>
          <w:rFonts w:eastAsia="仿宋_GB2312"/>
          <w:bCs/>
          <w:kern w:val="0"/>
          <w:sz w:val="32"/>
          <w:szCs w:val="32"/>
        </w:rPr>
        <w:t>该项目绩效目标设定为：</w:t>
      </w:r>
      <w:r>
        <w:rPr>
          <w:rFonts w:hint="eastAsia" w:eastAsia="仿宋_GB2312"/>
          <w:bCs/>
          <w:kern w:val="0"/>
          <w:sz w:val="32"/>
          <w:szCs w:val="32"/>
        </w:rPr>
        <w:t>按照基本建设审批程序要求，应在建设项目完成竣工验收备案后开展建设项目不动产权登记工作。在申报不动产权登记前，需完成房产实测备案及不动产权籍调查工作，取得审批部门核发的房产实测报告备案表、不动产权籍调查确认单，完成相关地块的不动产首次登记工作，并配合</w:t>
      </w:r>
      <w:r>
        <w:rPr>
          <w:rFonts w:hint="eastAsia" w:eastAsia="仿宋_GB2312"/>
          <w:bCs/>
          <w:kern w:val="0"/>
          <w:sz w:val="32"/>
          <w:szCs w:val="32"/>
          <w:lang w:eastAsia="zh-CN"/>
        </w:rPr>
        <w:t>市机关事务管理局</w:t>
      </w:r>
      <w:r>
        <w:rPr>
          <w:rFonts w:hint="eastAsia" w:eastAsia="仿宋_GB2312"/>
          <w:bCs/>
          <w:kern w:val="0"/>
          <w:sz w:val="32"/>
          <w:szCs w:val="32"/>
        </w:rPr>
        <w:t>完成产权转移工作。</w:t>
      </w:r>
    </w:p>
    <w:p w14:paraId="62B73E0E">
      <w:pPr>
        <w:adjustRightInd w:val="0"/>
        <w:snapToGrid w:val="0"/>
        <w:spacing w:line="580" w:lineRule="atLeast"/>
        <w:ind w:firstLine="640"/>
        <w:rPr>
          <w:rFonts w:eastAsia="仿宋_GB2312"/>
          <w:bCs/>
          <w:kern w:val="0"/>
          <w:sz w:val="32"/>
          <w:szCs w:val="32"/>
        </w:rPr>
      </w:pPr>
      <w:r>
        <w:rPr>
          <w:rFonts w:eastAsia="仿宋_GB2312"/>
          <w:bCs/>
          <w:kern w:val="0"/>
          <w:sz w:val="32"/>
          <w:szCs w:val="32"/>
        </w:rPr>
        <w:t>评价分析认为：该项目总体目标明确，</w:t>
      </w:r>
      <w:r>
        <w:rPr>
          <w:rFonts w:hint="eastAsia" w:eastAsia="仿宋_GB2312"/>
          <w:bCs/>
          <w:kern w:val="0"/>
          <w:sz w:val="32"/>
          <w:szCs w:val="32"/>
        </w:rPr>
        <w:t>围绕单位职能，</w:t>
      </w:r>
      <w:r>
        <w:rPr>
          <w:rFonts w:eastAsia="仿宋_GB2312"/>
          <w:bCs/>
          <w:kern w:val="0"/>
          <w:sz w:val="32"/>
          <w:szCs w:val="32"/>
        </w:rPr>
        <w:t>结合</w:t>
      </w:r>
      <w:r>
        <w:rPr>
          <w:rFonts w:hint="eastAsia" w:eastAsia="仿宋_GB2312"/>
          <w:bCs/>
          <w:kern w:val="0"/>
          <w:sz w:val="32"/>
          <w:szCs w:val="32"/>
        </w:rPr>
        <w:t>副中心工程办规划设计管理部</w:t>
      </w:r>
      <w:r>
        <w:rPr>
          <w:rFonts w:eastAsia="仿宋_GB2312"/>
          <w:bCs/>
          <w:kern w:val="0"/>
          <w:sz w:val="32"/>
          <w:szCs w:val="32"/>
        </w:rPr>
        <w:t>实际，依据年度工作任务，设置相应的绩效目标，明确产出任务和预期效果</w:t>
      </w:r>
      <w:r>
        <w:rPr>
          <w:rFonts w:hint="eastAsia" w:eastAsia="仿宋_GB2312"/>
          <w:bCs/>
          <w:kern w:val="0"/>
          <w:sz w:val="32"/>
          <w:szCs w:val="32"/>
        </w:rPr>
        <w:t>，目标设置比较科学，预期效果体现充分。</w:t>
      </w:r>
    </w:p>
    <w:p w14:paraId="2AD48597">
      <w:pPr>
        <w:adjustRightInd w:val="0"/>
        <w:snapToGrid w:val="0"/>
        <w:spacing w:line="580" w:lineRule="atLeast"/>
        <w:ind w:firstLine="640"/>
        <w:outlineLvl w:val="2"/>
        <w:rPr>
          <w:rFonts w:eastAsia="仿宋_GB2312"/>
          <w:bCs/>
          <w:sz w:val="32"/>
          <w:szCs w:val="32"/>
        </w:rPr>
      </w:pPr>
      <w:r>
        <w:rPr>
          <w:rFonts w:eastAsia="仿宋_GB2312"/>
          <w:bCs/>
          <w:sz w:val="32"/>
          <w:szCs w:val="32"/>
        </w:rPr>
        <w:t>3.资金投入情况评价分析</w:t>
      </w:r>
    </w:p>
    <w:p w14:paraId="3615B7EA">
      <w:pPr>
        <w:adjustRightInd w:val="0"/>
        <w:snapToGrid w:val="0"/>
        <w:spacing w:line="580" w:lineRule="atLeast"/>
        <w:ind w:firstLine="640"/>
        <w:rPr>
          <w:rFonts w:eastAsia="仿宋_GB2312"/>
          <w:bCs/>
          <w:kern w:val="0"/>
          <w:sz w:val="32"/>
          <w:szCs w:val="32"/>
        </w:rPr>
      </w:pPr>
      <w:r>
        <w:rPr>
          <w:rFonts w:hint="eastAsia" w:eastAsia="仿宋_GB2312"/>
          <w:bCs/>
          <w:kern w:val="0"/>
          <w:sz w:val="32"/>
          <w:szCs w:val="32"/>
        </w:rPr>
        <w:t>2024年2月北京市财政局批复了副中心工程办2024年部门预算，包含该</w:t>
      </w:r>
      <w:r>
        <w:rPr>
          <w:rFonts w:eastAsia="仿宋_GB2312"/>
          <w:bCs/>
          <w:kern w:val="0"/>
          <w:sz w:val="32"/>
          <w:szCs w:val="32"/>
        </w:rPr>
        <w:t>项目</w:t>
      </w:r>
      <w:r>
        <w:rPr>
          <w:rFonts w:hint="eastAsia" w:eastAsia="仿宋_GB2312"/>
          <w:bCs/>
          <w:kern w:val="0"/>
          <w:sz w:val="32"/>
          <w:szCs w:val="32"/>
        </w:rPr>
        <w:t>预算</w:t>
      </w:r>
      <w:r>
        <w:rPr>
          <w:rFonts w:eastAsia="仿宋_GB2312"/>
          <w:bCs/>
          <w:kern w:val="0"/>
          <w:sz w:val="32"/>
          <w:szCs w:val="32"/>
        </w:rPr>
        <w:t>221.795817万元，</w:t>
      </w:r>
      <w:r>
        <w:rPr>
          <w:rFonts w:hint="eastAsia" w:ascii="仿宋_GB2312" w:hAnsi="仿宋_GB2312" w:eastAsia="仿宋_GB2312" w:cs="仿宋_GB2312"/>
          <w:bCs/>
          <w:kern w:val="44"/>
          <w:sz w:val="32"/>
          <w:szCs w:val="32"/>
        </w:rPr>
        <w:t>其中：行政办公区二期0160等10个行政办公项目“多测合一”220.640817万元，不动产权证书登记费1.155000万元</w:t>
      </w:r>
      <w:r>
        <w:rPr>
          <w:rFonts w:hint="eastAsia" w:eastAsia="仿宋_GB2312"/>
          <w:bCs/>
          <w:kern w:val="0"/>
          <w:sz w:val="32"/>
          <w:szCs w:val="32"/>
        </w:rPr>
        <w:t>。</w:t>
      </w:r>
    </w:p>
    <w:p w14:paraId="7A3D5F7A">
      <w:pPr>
        <w:adjustRightInd w:val="0"/>
        <w:snapToGrid w:val="0"/>
        <w:spacing w:line="580" w:lineRule="atLeast"/>
        <w:ind w:firstLine="640"/>
        <w:rPr>
          <w:rFonts w:eastAsia="仿宋_GB2312"/>
          <w:bCs/>
          <w:kern w:val="0"/>
          <w:sz w:val="32"/>
          <w:szCs w:val="32"/>
        </w:rPr>
      </w:pPr>
      <w:r>
        <w:rPr>
          <w:rFonts w:eastAsia="仿宋_GB2312"/>
          <w:bCs/>
          <w:kern w:val="0"/>
          <w:sz w:val="32"/>
          <w:szCs w:val="32"/>
        </w:rPr>
        <w:t>评价分析认为：该项目预算编制经过科学论证，资金额度与年度目标适应性</w:t>
      </w:r>
      <w:r>
        <w:rPr>
          <w:rFonts w:hint="eastAsia" w:eastAsia="仿宋_GB2312"/>
          <w:bCs/>
          <w:kern w:val="0"/>
          <w:sz w:val="32"/>
          <w:szCs w:val="32"/>
        </w:rPr>
        <w:t>较</w:t>
      </w:r>
      <w:r>
        <w:rPr>
          <w:rFonts w:eastAsia="仿宋_GB2312"/>
          <w:bCs/>
          <w:kern w:val="0"/>
          <w:sz w:val="32"/>
          <w:szCs w:val="32"/>
        </w:rPr>
        <w:t>强</w:t>
      </w:r>
      <w:r>
        <w:rPr>
          <w:rFonts w:hint="eastAsia" w:eastAsia="仿宋_GB2312"/>
          <w:bCs/>
          <w:kern w:val="0"/>
          <w:sz w:val="32"/>
          <w:szCs w:val="32"/>
        </w:rPr>
        <w:t>。项目资金足额、及时到位，为副中心工程办规划设计管理部开展相关工作提供了资金支持。</w:t>
      </w:r>
    </w:p>
    <w:p w14:paraId="1F84B280">
      <w:pPr>
        <w:pStyle w:val="4"/>
        <w:adjustRightInd w:val="0"/>
        <w:snapToGrid w:val="0"/>
        <w:spacing w:line="580" w:lineRule="atLeast"/>
        <w:ind w:firstLine="643" w:firstLineChars="200"/>
        <w:jc w:val="both"/>
        <w:rPr>
          <w:rFonts w:ascii="Times New Roman" w:hAnsi="Times New Roman" w:eastAsia="楷体_GB2312"/>
          <w:bCs w:val="0"/>
          <w:sz w:val="32"/>
        </w:rPr>
      </w:pPr>
      <w:bookmarkStart w:id="107" w:name="_Toc8881"/>
      <w:bookmarkStart w:id="108" w:name="_Toc24166"/>
      <w:bookmarkStart w:id="109" w:name="_Toc32029"/>
      <w:bookmarkStart w:id="110" w:name="_Toc7898"/>
      <w:bookmarkStart w:id="111" w:name="_Toc12093"/>
      <w:bookmarkStart w:id="112" w:name="_Toc183036162_WPSOffice_Level2"/>
      <w:bookmarkStart w:id="113" w:name="_Toc1175386868"/>
      <w:bookmarkStart w:id="114" w:name="_Toc4144"/>
      <w:r>
        <w:rPr>
          <w:rFonts w:ascii="Times New Roman" w:hAnsi="Times New Roman" w:eastAsia="楷体_GB2312"/>
          <w:bCs w:val="0"/>
          <w:sz w:val="32"/>
        </w:rPr>
        <w:t>（二）项目过程情况</w:t>
      </w:r>
      <w:bookmarkEnd w:id="107"/>
      <w:bookmarkEnd w:id="108"/>
      <w:bookmarkEnd w:id="109"/>
      <w:bookmarkEnd w:id="110"/>
      <w:bookmarkEnd w:id="111"/>
      <w:bookmarkEnd w:id="112"/>
      <w:bookmarkEnd w:id="113"/>
      <w:bookmarkEnd w:id="114"/>
    </w:p>
    <w:p w14:paraId="40C0909F">
      <w:pPr>
        <w:adjustRightInd w:val="0"/>
        <w:snapToGrid w:val="0"/>
        <w:spacing w:line="580" w:lineRule="atLeast"/>
        <w:ind w:firstLine="640"/>
        <w:outlineLvl w:val="2"/>
        <w:rPr>
          <w:rFonts w:eastAsia="仿宋_GB2312"/>
          <w:bCs/>
          <w:sz w:val="32"/>
          <w:szCs w:val="32"/>
        </w:rPr>
      </w:pPr>
      <w:r>
        <w:rPr>
          <w:rFonts w:eastAsia="仿宋_GB2312"/>
          <w:bCs/>
          <w:sz w:val="32"/>
          <w:szCs w:val="32"/>
        </w:rPr>
        <w:t>1.资金使用及管理情况评价分析</w:t>
      </w:r>
    </w:p>
    <w:p w14:paraId="3678FF7A">
      <w:pPr>
        <w:adjustRightInd w:val="0"/>
        <w:snapToGrid w:val="0"/>
        <w:spacing w:line="580" w:lineRule="atLeast"/>
        <w:ind w:firstLine="640"/>
        <w:rPr>
          <w:rFonts w:eastAsia="仿宋_GB2312"/>
          <w:bCs/>
          <w:sz w:val="32"/>
          <w:szCs w:val="32"/>
        </w:rPr>
      </w:pPr>
      <w:r>
        <w:rPr>
          <w:rFonts w:eastAsia="仿宋_GB2312"/>
          <w:bCs/>
          <w:sz w:val="32"/>
          <w:szCs w:val="32"/>
        </w:rPr>
        <w:t>（1）资金使用情况</w:t>
      </w:r>
    </w:p>
    <w:p w14:paraId="4CCFC934">
      <w:pPr>
        <w:adjustRightInd w:val="0"/>
        <w:snapToGrid w:val="0"/>
        <w:spacing w:line="580" w:lineRule="atLeast"/>
        <w:ind w:firstLine="640"/>
        <w:rPr>
          <w:rFonts w:eastAsia="仿宋_GB2312"/>
          <w:color w:val="000000"/>
          <w:kern w:val="0"/>
          <w:sz w:val="32"/>
          <w:szCs w:val="32"/>
        </w:rPr>
      </w:pPr>
      <w:r>
        <w:rPr>
          <w:rFonts w:eastAsia="仿宋_GB2312"/>
          <w:bCs/>
          <w:sz w:val="32"/>
          <w:szCs w:val="32"/>
        </w:rPr>
        <w:t>该项目年初</w:t>
      </w:r>
      <w:r>
        <w:rPr>
          <w:rFonts w:hint="eastAsia" w:eastAsia="仿宋_GB2312"/>
          <w:bCs/>
          <w:sz w:val="32"/>
          <w:szCs w:val="32"/>
        </w:rPr>
        <w:t>市财政局</w:t>
      </w:r>
      <w:r>
        <w:rPr>
          <w:rFonts w:eastAsia="仿宋_GB2312"/>
          <w:bCs/>
          <w:sz w:val="32"/>
          <w:szCs w:val="32"/>
        </w:rPr>
        <w:t>批复资金221.795817万元</w:t>
      </w:r>
      <w:r>
        <w:rPr>
          <w:rFonts w:hint="eastAsia" w:eastAsia="仿宋_GB2312"/>
          <w:bCs/>
          <w:sz w:val="32"/>
          <w:szCs w:val="32"/>
        </w:rPr>
        <w:t>，共</w:t>
      </w:r>
      <w:r>
        <w:rPr>
          <w:rFonts w:eastAsia="仿宋_GB2312"/>
          <w:bCs/>
          <w:sz w:val="32"/>
          <w:szCs w:val="32"/>
        </w:rPr>
        <w:t>支出</w:t>
      </w:r>
      <w:r>
        <w:rPr>
          <w:rFonts w:eastAsia="仿宋_GB2312"/>
          <w:bCs/>
          <w:sz w:val="32"/>
          <w:szCs w:val="32"/>
          <w:highlight w:val="none"/>
        </w:rPr>
        <w:t>资金127.515249万元</w:t>
      </w:r>
      <w:r>
        <w:rPr>
          <w:rFonts w:hint="eastAsia" w:eastAsia="仿宋_GB2312"/>
          <w:bCs/>
          <w:sz w:val="32"/>
          <w:szCs w:val="32"/>
          <w:highlight w:val="none"/>
        </w:rPr>
        <w:t>，结余94.280568万元，2024年7月</w:t>
      </w:r>
      <w:r>
        <w:rPr>
          <w:rFonts w:hint="eastAsia" w:eastAsia="仿宋_GB2312"/>
          <w:color w:val="000000"/>
          <w:kern w:val="0"/>
          <w:sz w:val="32"/>
          <w:szCs w:val="32"/>
          <w:highlight w:val="none"/>
        </w:rPr>
        <w:t>结</w:t>
      </w:r>
      <w:r>
        <w:rPr>
          <w:rFonts w:hint="eastAsia" w:eastAsia="仿宋_GB2312"/>
          <w:color w:val="000000"/>
          <w:kern w:val="0"/>
          <w:sz w:val="32"/>
          <w:szCs w:val="32"/>
        </w:rPr>
        <w:t>余资金已全部申请退回财政</w:t>
      </w:r>
      <w:r>
        <w:rPr>
          <w:rFonts w:hint="eastAsia" w:eastAsia="仿宋_GB2312"/>
          <w:bCs/>
          <w:sz w:val="32"/>
          <w:szCs w:val="32"/>
        </w:rPr>
        <w:t>。</w:t>
      </w:r>
      <w:r>
        <w:rPr>
          <w:rFonts w:eastAsia="仿宋_GB2312"/>
          <w:bCs/>
          <w:sz w:val="32"/>
          <w:szCs w:val="32"/>
        </w:rPr>
        <w:t>具体资金支出情况见下表：</w:t>
      </w:r>
    </w:p>
    <w:p w14:paraId="6AD4B40D">
      <w:pPr>
        <w:adjustRightInd w:val="0"/>
        <w:snapToGrid w:val="0"/>
        <w:spacing w:line="600" w:lineRule="atLeast"/>
        <w:ind w:firstLine="562"/>
        <w:jc w:val="center"/>
        <w:outlineLvl w:val="3"/>
        <w:rPr>
          <w:rFonts w:hint="eastAsia" w:ascii="宋体" w:hAnsi="宋体" w:cs="宋体"/>
          <w:b/>
          <w:sz w:val="28"/>
          <w:szCs w:val="28"/>
        </w:rPr>
      </w:pPr>
      <w:r>
        <w:rPr>
          <w:rFonts w:hint="eastAsia" w:ascii="宋体" w:hAnsi="宋体" w:cs="宋体"/>
          <w:b/>
          <w:sz w:val="28"/>
          <w:szCs w:val="28"/>
        </w:rPr>
        <w:t>“行政办公区二期0160等10个行政办公项目房屋面积和不动产地籍测绘项目”资金支出明细表</w:t>
      </w:r>
    </w:p>
    <w:tbl>
      <w:tblPr>
        <w:tblStyle w:val="20"/>
        <w:tblW w:w="0" w:type="auto"/>
        <w:tblInd w:w="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8"/>
        <w:gridCol w:w="4126"/>
        <w:gridCol w:w="2907"/>
      </w:tblGrid>
      <w:tr w14:paraId="3802F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98" w:type="dxa"/>
            <w:vAlign w:val="center"/>
          </w:tcPr>
          <w:p w14:paraId="7D0C54AC">
            <w:pPr>
              <w:adjustRightInd w:val="0"/>
              <w:snapToGrid w:val="0"/>
              <w:spacing w:line="240" w:lineRule="auto"/>
              <w:ind w:firstLine="0" w:firstLineChars="0"/>
              <w:jc w:val="center"/>
              <w:rPr>
                <w:b/>
                <w:sz w:val="28"/>
                <w:szCs w:val="28"/>
              </w:rPr>
            </w:pPr>
            <w:r>
              <w:rPr>
                <w:b/>
                <w:sz w:val="28"/>
                <w:szCs w:val="28"/>
              </w:rPr>
              <w:t>序 号</w:t>
            </w:r>
          </w:p>
        </w:tc>
        <w:tc>
          <w:tcPr>
            <w:tcW w:w="4126" w:type="dxa"/>
            <w:vAlign w:val="center"/>
          </w:tcPr>
          <w:p w14:paraId="5D1957B9">
            <w:pPr>
              <w:adjustRightInd w:val="0"/>
              <w:snapToGrid w:val="0"/>
              <w:spacing w:line="240" w:lineRule="auto"/>
              <w:ind w:firstLine="562"/>
              <w:jc w:val="center"/>
              <w:rPr>
                <w:b/>
                <w:sz w:val="28"/>
                <w:szCs w:val="28"/>
              </w:rPr>
            </w:pPr>
            <w:r>
              <w:rPr>
                <w:b/>
                <w:sz w:val="28"/>
                <w:szCs w:val="28"/>
              </w:rPr>
              <w:t>费用名称</w:t>
            </w:r>
          </w:p>
        </w:tc>
        <w:tc>
          <w:tcPr>
            <w:tcW w:w="2907" w:type="dxa"/>
            <w:vAlign w:val="center"/>
          </w:tcPr>
          <w:p w14:paraId="30473D2F">
            <w:pPr>
              <w:adjustRightInd w:val="0"/>
              <w:snapToGrid w:val="0"/>
              <w:spacing w:line="240" w:lineRule="auto"/>
              <w:ind w:firstLine="562"/>
              <w:jc w:val="center"/>
              <w:rPr>
                <w:b/>
                <w:sz w:val="28"/>
                <w:szCs w:val="28"/>
              </w:rPr>
            </w:pPr>
            <w:r>
              <w:rPr>
                <w:b/>
                <w:sz w:val="28"/>
                <w:szCs w:val="28"/>
              </w:rPr>
              <w:t>金额（</w:t>
            </w:r>
            <w:r>
              <w:rPr>
                <w:rFonts w:hint="eastAsia"/>
                <w:b/>
                <w:sz w:val="28"/>
                <w:szCs w:val="28"/>
              </w:rPr>
              <w:t>万</w:t>
            </w:r>
            <w:r>
              <w:rPr>
                <w:b/>
                <w:sz w:val="28"/>
                <w:szCs w:val="28"/>
              </w:rPr>
              <w:t>元）</w:t>
            </w:r>
          </w:p>
        </w:tc>
      </w:tr>
      <w:tr w14:paraId="4DEB3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98" w:type="dxa"/>
            <w:vAlign w:val="center"/>
          </w:tcPr>
          <w:p w14:paraId="653A1E35">
            <w:pPr>
              <w:adjustRightInd w:val="0"/>
              <w:snapToGrid w:val="0"/>
              <w:spacing w:line="240" w:lineRule="auto"/>
              <w:ind w:firstLine="0" w:firstLineChars="0"/>
              <w:jc w:val="center"/>
              <w:rPr>
                <w:bCs/>
                <w:sz w:val="28"/>
                <w:szCs w:val="28"/>
              </w:rPr>
            </w:pPr>
            <w:r>
              <w:rPr>
                <w:bCs/>
                <w:sz w:val="28"/>
                <w:szCs w:val="28"/>
              </w:rPr>
              <w:t>1</w:t>
            </w:r>
          </w:p>
        </w:tc>
        <w:tc>
          <w:tcPr>
            <w:tcW w:w="4126" w:type="dxa"/>
            <w:vAlign w:val="center"/>
          </w:tcPr>
          <w:p w14:paraId="01A5CACC">
            <w:pPr>
              <w:adjustRightInd w:val="0"/>
              <w:snapToGrid w:val="0"/>
              <w:spacing w:line="240" w:lineRule="auto"/>
              <w:ind w:firstLine="0" w:firstLineChars="0"/>
              <w:rPr>
                <w:bCs/>
                <w:sz w:val="28"/>
                <w:szCs w:val="28"/>
              </w:rPr>
            </w:pPr>
            <w:r>
              <w:rPr>
                <w:rFonts w:hint="eastAsia" w:eastAsia="仿宋_GB2312"/>
                <w:bCs/>
                <w:sz w:val="28"/>
                <w:szCs w:val="28"/>
              </w:rPr>
              <w:t>房屋面积和不动产地籍测绘费</w:t>
            </w:r>
          </w:p>
        </w:tc>
        <w:tc>
          <w:tcPr>
            <w:tcW w:w="2907" w:type="dxa"/>
            <w:vAlign w:val="center"/>
          </w:tcPr>
          <w:p w14:paraId="5061AB08">
            <w:pPr>
              <w:adjustRightInd w:val="0"/>
              <w:snapToGrid w:val="0"/>
              <w:spacing w:line="240" w:lineRule="auto"/>
              <w:ind w:firstLine="560"/>
              <w:jc w:val="center"/>
              <w:rPr>
                <w:bCs/>
                <w:sz w:val="28"/>
                <w:szCs w:val="28"/>
              </w:rPr>
            </w:pPr>
            <w:r>
              <w:rPr>
                <w:rFonts w:hint="eastAsia" w:eastAsia="仿宋_GB2312"/>
                <w:bCs/>
                <w:sz w:val="28"/>
                <w:szCs w:val="28"/>
              </w:rPr>
              <w:t>127.020249</w:t>
            </w:r>
          </w:p>
        </w:tc>
      </w:tr>
      <w:tr w14:paraId="77C6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98" w:type="dxa"/>
            <w:vAlign w:val="center"/>
          </w:tcPr>
          <w:p w14:paraId="52CBF215">
            <w:pPr>
              <w:adjustRightInd w:val="0"/>
              <w:snapToGrid w:val="0"/>
              <w:spacing w:line="240" w:lineRule="auto"/>
              <w:ind w:firstLine="0" w:firstLineChars="0"/>
              <w:jc w:val="center"/>
              <w:rPr>
                <w:bCs/>
                <w:sz w:val="28"/>
                <w:szCs w:val="28"/>
              </w:rPr>
            </w:pPr>
            <w:r>
              <w:rPr>
                <w:bCs/>
                <w:sz w:val="28"/>
                <w:szCs w:val="28"/>
              </w:rPr>
              <w:t>2</w:t>
            </w:r>
          </w:p>
        </w:tc>
        <w:tc>
          <w:tcPr>
            <w:tcW w:w="4126" w:type="dxa"/>
            <w:vAlign w:val="center"/>
          </w:tcPr>
          <w:p w14:paraId="7512E711">
            <w:pPr>
              <w:adjustRightInd w:val="0"/>
              <w:snapToGrid w:val="0"/>
              <w:spacing w:line="240" w:lineRule="auto"/>
              <w:ind w:firstLine="560"/>
              <w:jc w:val="center"/>
              <w:rPr>
                <w:bCs/>
                <w:sz w:val="28"/>
                <w:szCs w:val="28"/>
              </w:rPr>
            </w:pPr>
            <w:r>
              <w:rPr>
                <w:rFonts w:hint="eastAsia" w:eastAsia="仿宋_GB2312"/>
                <w:bCs/>
                <w:sz w:val="28"/>
                <w:szCs w:val="28"/>
              </w:rPr>
              <w:t>不动产登记费</w:t>
            </w:r>
          </w:p>
        </w:tc>
        <w:tc>
          <w:tcPr>
            <w:tcW w:w="2907" w:type="dxa"/>
            <w:vAlign w:val="center"/>
          </w:tcPr>
          <w:p w14:paraId="71377667">
            <w:pPr>
              <w:adjustRightInd w:val="0"/>
              <w:snapToGrid w:val="0"/>
              <w:spacing w:line="240" w:lineRule="auto"/>
              <w:ind w:firstLine="560"/>
              <w:jc w:val="center"/>
              <w:rPr>
                <w:bCs/>
                <w:sz w:val="28"/>
                <w:szCs w:val="28"/>
              </w:rPr>
            </w:pPr>
            <w:r>
              <w:rPr>
                <w:rFonts w:hint="eastAsia" w:eastAsia="仿宋_GB2312"/>
                <w:bCs/>
                <w:sz w:val="28"/>
                <w:szCs w:val="28"/>
              </w:rPr>
              <w:t>0.495000</w:t>
            </w:r>
          </w:p>
        </w:tc>
      </w:tr>
      <w:tr w14:paraId="5CDD7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24" w:type="dxa"/>
            <w:gridSpan w:val="2"/>
            <w:vAlign w:val="center"/>
          </w:tcPr>
          <w:p w14:paraId="471E44FA">
            <w:pPr>
              <w:adjustRightInd w:val="0"/>
              <w:snapToGrid w:val="0"/>
              <w:spacing w:line="240" w:lineRule="auto"/>
              <w:ind w:firstLine="562"/>
              <w:jc w:val="center"/>
              <w:rPr>
                <w:b/>
                <w:sz w:val="28"/>
                <w:szCs w:val="28"/>
              </w:rPr>
            </w:pPr>
            <w:r>
              <w:rPr>
                <w:b/>
                <w:sz w:val="28"/>
                <w:szCs w:val="28"/>
              </w:rPr>
              <w:t>合计</w:t>
            </w:r>
          </w:p>
        </w:tc>
        <w:tc>
          <w:tcPr>
            <w:tcW w:w="2907" w:type="dxa"/>
            <w:vAlign w:val="center"/>
          </w:tcPr>
          <w:p w14:paraId="6F48F49F">
            <w:pPr>
              <w:adjustRightInd w:val="0"/>
              <w:snapToGrid w:val="0"/>
              <w:spacing w:line="240" w:lineRule="auto"/>
              <w:ind w:firstLine="560"/>
              <w:jc w:val="center"/>
              <w:rPr>
                <w:b/>
                <w:sz w:val="28"/>
                <w:szCs w:val="28"/>
              </w:rPr>
            </w:pPr>
            <w:r>
              <w:rPr>
                <w:rFonts w:eastAsia="仿宋_GB2312"/>
                <w:bCs/>
                <w:sz w:val="28"/>
                <w:szCs w:val="28"/>
              </w:rPr>
              <w:t>127.515249</w:t>
            </w:r>
          </w:p>
        </w:tc>
      </w:tr>
    </w:tbl>
    <w:p w14:paraId="36D475F7">
      <w:pPr>
        <w:adjustRightInd w:val="0"/>
        <w:snapToGrid w:val="0"/>
        <w:spacing w:line="240" w:lineRule="auto"/>
        <w:ind w:firstLine="640"/>
        <w:rPr>
          <w:rFonts w:eastAsia="仿宋_GB2312"/>
          <w:bCs/>
          <w:sz w:val="32"/>
          <w:szCs w:val="32"/>
        </w:rPr>
      </w:pPr>
    </w:p>
    <w:p w14:paraId="0FBE4F83">
      <w:pPr>
        <w:adjustRightInd w:val="0"/>
        <w:snapToGrid w:val="0"/>
        <w:spacing w:line="580" w:lineRule="atLeast"/>
        <w:ind w:firstLine="640"/>
        <w:rPr>
          <w:rFonts w:hint="eastAsia" w:ascii="仿宋_GB2312" w:hAnsi="仿宋_GB2312" w:eastAsia="仿宋_GB2312" w:cs="仿宋_GB2312"/>
          <w:bCs/>
          <w:sz w:val="32"/>
          <w:szCs w:val="32"/>
          <w:highlight w:val="yellow"/>
        </w:rPr>
      </w:pPr>
      <w:r>
        <w:rPr>
          <w:rFonts w:eastAsia="仿宋_GB2312"/>
          <w:bCs/>
          <w:sz w:val="32"/>
          <w:szCs w:val="32"/>
        </w:rPr>
        <w:t>评价分析认为：该项目资金保障及时足额到位，预算执行率为</w:t>
      </w:r>
      <w:r>
        <w:rPr>
          <w:rFonts w:hint="eastAsia" w:eastAsia="仿宋_GB2312"/>
          <w:bCs/>
          <w:sz w:val="32"/>
          <w:szCs w:val="32"/>
        </w:rPr>
        <w:t>100</w:t>
      </w:r>
      <w:r>
        <w:rPr>
          <w:rFonts w:eastAsia="仿宋_GB2312"/>
          <w:bCs/>
          <w:sz w:val="32"/>
          <w:szCs w:val="32"/>
        </w:rPr>
        <w:t>%。</w:t>
      </w:r>
    </w:p>
    <w:p w14:paraId="12FD12B5">
      <w:pPr>
        <w:adjustRightInd w:val="0"/>
        <w:snapToGrid w:val="0"/>
        <w:spacing w:line="580" w:lineRule="atLeast"/>
        <w:ind w:firstLine="640"/>
        <w:rPr>
          <w:rFonts w:eastAsia="仿宋_GB2312"/>
          <w:bCs/>
          <w:sz w:val="32"/>
          <w:szCs w:val="32"/>
        </w:rPr>
      </w:pPr>
      <w:r>
        <w:rPr>
          <w:rFonts w:eastAsia="仿宋_GB2312"/>
          <w:bCs/>
          <w:sz w:val="32"/>
          <w:szCs w:val="32"/>
        </w:rPr>
        <w:t>（2）资金管理情况</w:t>
      </w:r>
    </w:p>
    <w:p w14:paraId="11C3737D">
      <w:pPr>
        <w:adjustRightInd w:val="0"/>
        <w:snapToGrid w:val="0"/>
        <w:spacing w:line="580" w:lineRule="atLeast"/>
        <w:ind w:firstLine="640"/>
        <w:rPr>
          <w:rFonts w:eastAsia="仿宋_GB2312"/>
          <w:sz w:val="32"/>
          <w:szCs w:val="32"/>
        </w:rPr>
      </w:pPr>
      <w:r>
        <w:rPr>
          <w:rFonts w:eastAsia="仿宋_GB2312"/>
          <w:sz w:val="32"/>
          <w:szCs w:val="32"/>
        </w:rPr>
        <w:t>该项目严格按照《政府购买服务管理办法》（财政部令第102号）、《北京城市副中心工程建设管理办公室内部控制手册》等系列规定进行资金管理，切实维护资金安全。</w:t>
      </w:r>
    </w:p>
    <w:p w14:paraId="12322BB3">
      <w:pPr>
        <w:adjustRightInd w:val="0"/>
        <w:snapToGrid w:val="0"/>
        <w:spacing w:line="580" w:lineRule="atLeast"/>
        <w:ind w:firstLine="640"/>
        <w:rPr>
          <w:rFonts w:eastAsia="仿宋_GB2312"/>
          <w:sz w:val="32"/>
          <w:szCs w:val="32"/>
        </w:rPr>
      </w:pPr>
      <w:r>
        <w:rPr>
          <w:rFonts w:eastAsia="仿宋_GB2312"/>
          <w:sz w:val="32"/>
          <w:szCs w:val="32"/>
        </w:rPr>
        <w:t>评价分析认为：该项目</w:t>
      </w:r>
      <w:r>
        <w:rPr>
          <w:rFonts w:hint="eastAsia" w:eastAsia="仿宋_GB2312"/>
          <w:sz w:val="32"/>
          <w:szCs w:val="32"/>
        </w:rPr>
        <w:t>按政府采购要求签订合同，</w:t>
      </w:r>
      <w:r>
        <w:rPr>
          <w:rFonts w:eastAsia="仿宋_GB2312"/>
          <w:sz w:val="32"/>
          <w:szCs w:val="32"/>
        </w:rPr>
        <w:t>费用支出按照副中心工程办有关财务制度执行，总体较为规范，支出审批手续齐全</w:t>
      </w:r>
      <w:r>
        <w:rPr>
          <w:rFonts w:hint="eastAsia" w:eastAsia="仿宋_GB2312"/>
          <w:sz w:val="32"/>
          <w:szCs w:val="32"/>
        </w:rPr>
        <w:t>，包含付款申请、发票原件、合同主要页复印件、成果审核办理结果通知书复印件等</w:t>
      </w:r>
      <w:r>
        <w:rPr>
          <w:rFonts w:eastAsia="仿宋_GB2312"/>
          <w:sz w:val="32"/>
          <w:szCs w:val="32"/>
        </w:rPr>
        <w:t>。</w:t>
      </w:r>
    </w:p>
    <w:p w14:paraId="29C328BA">
      <w:pPr>
        <w:adjustRightInd w:val="0"/>
        <w:snapToGrid w:val="0"/>
        <w:spacing w:line="580" w:lineRule="atLeast"/>
        <w:ind w:firstLine="640"/>
        <w:outlineLvl w:val="2"/>
        <w:rPr>
          <w:rFonts w:eastAsia="仿宋_GB2312"/>
          <w:bCs/>
          <w:sz w:val="32"/>
          <w:szCs w:val="32"/>
        </w:rPr>
      </w:pPr>
      <w:r>
        <w:rPr>
          <w:rFonts w:eastAsia="仿宋_GB2312"/>
          <w:bCs/>
          <w:sz w:val="32"/>
          <w:szCs w:val="32"/>
        </w:rPr>
        <w:t>2.项目组织实施情况评价分析</w:t>
      </w:r>
    </w:p>
    <w:p w14:paraId="3EFE31F9">
      <w:pPr>
        <w:adjustRightInd w:val="0"/>
        <w:snapToGrid w:val="0"/>
        <w:spacing w:line="580" w:lineRule="atLeast"/>
        <w:ind w:firstLine="640"/>
        <w:rPr>
          <w:rFonts w:eastAsia="仿宋_GB2312"/>
          <w:bCs/>
          <w:sz w:val="32"/>
          <w:szCs w:val="32"/>
        </w:rPr>
      </w:pPr>
      <w:r>
        <w:rPr>
          <w:rFonts w:eastAsia="仿宋_GB2312"/>
          <w:bCs/>
          <w:sz w:val="32"/>
          <w:szCs w:val="32"/>
        </w:rPr>
        <w:t>（1）管理制度健全性</w:t>
      </w:r>
    </w:p>
    <w:p w14:paraId="38D00575">
      <w:pPr>
        <w:widowControl/>
        <w:adjustRightInd w:val="0"/>
        <w:snapToGrid w:val="0"/>
        <w:spacing w:line="580" w:lineRule="atLeast"/>
        <w:ind w:firstLine="640"/>
        <w:jc w:val="left"/>
        <w:rPr>
          <w:rFonts w:eastAsia="仿宋_GB2312"/>
          <w:sz w:val="32"/>
          <w:szCs w:val="32"/>
        </w:rPr>
      </w:pPr>
      <w:r>
        <w:rPr>
          <w:rFonts w:hint="eastAsia" w:eastAsia="仿宋_GB2312"/>
          <w:sz w:val="32"/>
          <w:szCs w:val="32"/>
        </w:rPr>
        <w:t>行政办公区二期0160等10个行政办公项目房屋面积和不动产地籍测绘项目依据《北京城市副中心工程建设管理办公室内部控制手册》相关管理制度规定执行。</w:t>
      </w:r>
    </w:p>
    <w:p w14:paraId="1F6E37D7">
      <w:pPr>
        <w:widowControl/>
        <w:adjustRightInd w:val="0"/>
        <w:snapToGrid w:val="0"/>
        <w:spacing w:line="580" w:lineRule="atLeast"/>
        <w:ind w:firstLine="640"/>
        <w:jc w:val="left"/>
        <w:rPr>
          <w:rFonts w:eastAsia="仿宋_GB2312"/>
          <w:sz w:val="32"/>
          <w:szCs w:val="32"/>
        </w:rPr>
      </w:pPr>
      <w:r>
        <w:rPr>
          <w:rFonts w:eastAsia="仿宋_GB2312"/>
          <w:kern w:val="0"/>
          <w:sz w:val="32"/>
          <w:szCs w:val="32"/>
        </w:rPr>
        <w:t>评价分析认为：</w:t>
      </w:r>
      <w:r>
        <w:rPr>
          <w:rFonts w:eastAsia="仿宋_GB2312"/>
          <w:sz w:val="32"/>
          <w:szCs w:val="32"/>
        </w:rPr>
        <w:t>副中心工程办</w:t>
      </w:r>
      <w:r>
        <w:rPr>
          <w:rFonts w:hint="eastAsia" w:eastAsia="仿宋_GB2312"/>
          <w:sz w:val="32"/>
          <w:szCs w:val="32"/>
        </w:rPr>
        <w:t>内控制度完备，财务管理和资金管理制度比较健全，开展该项目实现了靠规章约束，靠制度管钱。</w:t>
      </w:r>
    </w:p>
    <w:p w14:paraId="626100E1">
      <w:pPr>
        <w:adjustRightInd w:val="0"/>
        <w:snapToGrid w:val="0"/>
        <w:spacing w:line="580" w:lineRule="atLeast"/>
        <w:ind w:firstLine="640"/>
        <w:rPr>
          <w:rFonts w:eastAsia="仿宋_GB2312"/>
          <w:bCs/>
          <w:sz w:val="32"/>
          <w:szCs w:val="32"/>
        </w:rPr>
      </w:pPr>
      <w:r>
        <w:rPr>
          <w:rFonts w:eastAsia="仿宋_GB2312"/>
          <w:bCs/>
          <w:sz w:val="32"/>
          <w:szCs w:val="32"/>
        </w:rPr>
        <w:t>（2）制度执行有效性</w:t>
      </w:r>
    </w:p>
    <w:bookmarkEnd w:id="106"/>
    <w:p w14:paraId="3E6BA668">
      <w:pPr>
        <w:adjustRightInd w:val="0"/>
        <w:snapToGrid w:val="0"/>
        <w:spacing w:line="580" w:lineRule="atLeast"/>
        <w:ind w:firstLine="640"/>
        <w:rPr>
          <w:rFonts w:eastAsia="仿宋_GB2312"/>
          <w:sz w:val="32"/>
          <w:szCs w:val="32"/>
        </w:rPr>
      </w:pPr>
      <w:bookmarkStart w:id="115" w:name="_Toc19455"/>
      <w:bookmarkStart w:id="116" w:name="_Toc23399"/>
      <w:bookmarkStart w:id="117" w:name="_Toc13755"/>
      <w:bookmarkStart w:id="118" w:name="_Toc1932078701_WPSOffice_Level1"/>
      <w:bookmarkStart w:id="119" w:name="_Toc15008"/>
      <w:bookmarkStart w:id="120" w:name="_Toc22214"/>
      <w:bookmarkStart w:id="121" w:name="_Toc14467"/>
      <w:bookmarkStart w:id="122" w:name="_Toc16722"/>
      <w:bookmarkStart w:id="123" w:name="_Toc1780787296"/>
      <w:r>
        <w:rPr>
          <w:rFonts w:eastAsia="仿宋_GB2312"/>
          <w:sz w:val="32"/>
          <w:szCs w:val="32"/>
        </w:rPr>
        <w:t>为保障项目的完成质量，副中心工程办</w:t>
      </w:r>
      <w:r>
        <w:rPr>
          <w:rFonts w:hint="eastAsia" w:eastAsia="仿宋_GB2312"/>
          <w:sz w:val="32"/>
          <w:szCs w:val="32"/>
        </w:rPr>
        <w:t>规划设计管理部</w:t>
      </w:r>
      <w:r>
        <w:rPr>
          <w:rFonts w:eastAsia="仿宋_GB2312"/>
          <w:sz w:val="32"/>
          <w:szCs w:val="32"/>
        </w:rPr>
        <w:t>日常</w:t>
      </w:r>
      <w:r>
        <w:rPr>
          <w:rFonts w:hint="eastAsia" w:eastAsia="仿宋_GB2312"/>
          <w:sz w:val="32"/>
          <w:szCs w:val="32"/>
        </w:rPr>
        <w:t>工作</w:t>
      </w:r>
      <w:r>
        <w:rPr>
          <w:rFonts w:eastAsia="仿宋_GB2312"/>
          <w:sz w:val="32"/>
          <w:szCs w:val="32"/>
        </w:rPr>
        <w:t>管理中，</w:t>
      </w:r>
      <w:r>
        <w:rPr>
          <w:rFonts w:hint="eastAsia" w:eastAsia="仿宋_GB2312"/>
          <w:sz w:val="32"/>
          <w:szCs w:val="32"/>
        </w:rPr>
        <w:t>项目资金支出使用严格按照制度规定执行，专款专用，单独核算，相关资金信息真实、准确、完整、规范，未发现截留或挪用专项资金行为</w:t>
      </w:r>
      <w:r>
        <w:rPr>
          <w:rFonts w:eastAsia="仿宋_GB2312"/>
          <w:sz w:val="32"/>
          <w:szCs w:val="32"/>
        </w:rPr>
        <w:t>。</w:t>
      </w:r>
    </w:p>
    <w:p w14:paraId="42DBC87C">
      <w:pPr>
        <w:adjustRightInd w:val="0"/>
        <w:snapToGrid w:val="0"/>
        <w:spacing w:line="580" w:lineRule="atLeast"/>
        <w:ind w:firstLine="640"/>
        <w:rPr>
          <w:rFonts w:eastAsia="仿宋_GB2312"/>
          <w:sz w:val="32"/>
          <w:szCs w:val="32"/>
        </w:rPr>
      </w:pPr>
      <w:r>
        <w:rPr>
          <w:rFonts w:eastAsia="仿宋_GB2312"/>
          <w:sz w:val="32"/>
          <w:szCs w:val="32"/>
        </w:rPr>
        <w:t>评价分析认为：副中心工程办</w:t>
      </w:r>
      <w:r>
        <w:rPr>
          <w:rFonts w:hint="eastAsia" w:eastAsia="仿宋_GB2312"/>
          <w:sz w:val="32"/>
          <w:szCs w:val="32"/>
        </w:rPr>
        <w:t>规划设计管理部严格遵守相关法律法规和相关管理规定；</w:t>
      </w:r>
      <w:r>
        <w:rPr>
          <w:rFonts w:eastAsia="仿宋_GB2312"/>
          <w:sz w:val="32"/>
          <w:szCs w:val="32"/>
        </w:rPr>
        <w:t>项目合同书、验收报告等资料归档完整</w:t>
      </w:r>
      <w:r>
        <w:rPr>
          <w:rFonts w:hint="eastAsia" w:eastAsia="仿宋_GB2312"/>
          <w:sz w:val="32"/>
          <w:szCs w:val="32"/>
        </w:rPr>
        <w:t>、</w:t>
      </w:r>
      <w:r>
        <w:rPr>
          <w:rFonts w:eastAsia="仿宋_GB2312"/>
          <w:sz w:val="32"/>
          <w:szCs w:val="32"/>
        </w:rPr>
        <w:t>及时</w:t>
      </w:r>
      <w:bookmarkStart w:id="124" w:name="_Toc14621"/>
      <w:bookmarkStart w:id="125" w:name="_Toc14405"/>
      <w:bookmarkStart w:id="126" w:name="_Toc26879"/>
      <w:bookmarkStart w:id="127" w:name="_Toc14613"/>
      <w:bookmarkStart w:id="128" w:name="_Toc13763"/>
      <w:bookmarkStart w:id="129" w:name="_Toc4876"/>
      <w:bookmarkStart w:id="130" w:name="_Toc25021723"/>
      <w:bookmarkStart w:id="131" w:name="_Toc1092192230_WPSOffice_Level2"/>
      <w:bookmarkStart w:id="132" w:name="_Toc19157"/>
      <w:r>
        <w:rPr>
          <w:rFonts w:hint="eastAsia" w:eastAsia="仿宋_GB2312"/>
          <w:sz w:val="32"/>
          <w:szCs w:val="32"/>
        </w:rPr>
        <w:t>；项目财务管理规范，资金支付过程严谨，审批手续完备。</w:t>
      </w:r>
    </w:p>
    <w:p w14:paraId="04A71BAF">
      <w:pPr>
        <w:pStyle w:val="4"/>
        <w:adjustRightInd w:val="0"/>
        <w:snapToGrid w:val="0"/>
        <w:spacing w:line="580" w:lineRule="atLeast"/>
        <w:ind w:firstLine="643" w:firstLineChars="200"/>
        <w:jc w:val="both"/>
        <w:rPr>
          <w:rFonts w:ascii="Times New Roman" w:hAnsi="Times New Roman" w:eastAsia="楷体_GB2312"/>
          <w:bCs w:val="0"/>
          <w:sz w:val="32"/>
        </w:rPr>
      </w:pPr>
      <w:r>
        <w:rPr>
          <w:rFonts w:ascii="Times New Roman" w:hAnsi="Times New Roman" w:eastAsia="楷体_GB2312"/>
          <w:bCs w:val="0"/>
          <w:sz w:val="32"/>
        </w:rPr>
        <w:t>（三）项目产出情况</w:t>
      </w:r>
      <w:bookmarkEnd w:id="124"/>
    </w:p>
    <w:p w14:paraId="19DDCBDD">
      <w:pPr>
        <w:adjustRightInd w:val="0"/>
        <w:snapToGrid w:val="0"/>
        <w:spacing w:line="580" w:lineRule="atLeast"/>
        <w:ind w:firstLine="640"/>
        <w:outlineLvl w:val="2"/>
        <w:rPr>
          <w:rFonts w:eastAsia="仿宋_GB2312"/>
          <w:bCs/>
          <w:sz w:val="32"/>
          <w:szCs w:val="32"/>
        </w:rPr>
      </w:pPr>
      <w:r>
        <w:rPr>
          <w:rFonts w:eastAsia="仿宋_GB2312"/>
          <w:bCs/>
          <w:sz w:val="32"/>
          <w:szCs w:val="32"/>
        </w:rPr>
        <w:t>1.项目经济性分析</w:t>
      </w:r>
    </w:p>
    <w:p w14:paraId="14204BE4">
      <w:pPr>
        <w:adjustRightInd w:val="0"/>
        <w:snapToGrid w:val="0"/>
        <w:spacing w:line="580" w:lineRule="atLeast"/>
        <w:ind w:firstLine="640"/>
        <w:rPr>
          <w:rFonts w:eastAsia="仿宋_GB2312"/>
          <w:kern w:val="0"/>
          <w:sz w:val="32"/>
          <w:szCs w:val="32"/>
        </w:rPr>
      </w:pPr>
      <w:r>
        <w:rPr>
          <w:rFonts w:eastAsia="仿宋_GB2312"/>
          <w:sz w:val="32"/>
          <w:szCs w:val="32"/>
        </w:rPr>
        <w:t>副中心工程办</w:t>
      </w:r>
      <w:r>
        <w:rPr>
          <w:rFonts w:hint="eastAsia" w:eastAsia="仿宋_GB2312"/>
          <w:sz w:val="32"/>
          <w:szCs w:val="32"/>
        </w:rPr>
        <w:t>将该项目以</w:t>
      </w:r>
      <w:r>
        <w:rPr>
          <w:rFonts w:hint="eastAsia" w:eastAsia="仿宋_GB2312"/>
          <w:kern w:val="0"/>
          <w:sz w:val="32"/>
          <w:szCs w:val="32"/>
        </w:rPr>
        <w:t>公开招标方式分三个标段确定三家服务单位，分别是：一标段(0160、0165、0169项目)中标单位为苍穹数码技术股份有限公司、二标段(0166、0167、0170、0172项目)中标单位为北京市勘察设计研究院有限公司、三标段(六合村C03、C05、C08行政办公项目)中标单位为北京市测绘设计研究院。一标段合同金额为69.980801万元，二标段合同金额为 37.985871万元，三标段合同金额为63.511923万元。总中标金额为171.478595万元，较下达财政预算资金节省49.162222万元。</w:t>
      </w:r>
    </w:p>
    <w:p w14:paraId="4B7F1303">
      <w:pPr>
        <w:adjustRightInd w:val="0"/>
        <w:snapToGrid w:val="0"/>
        <w:spacing w:line="580" w:lineRule="atLeast"/>
        <w:ind w:firstLine="640"/>
        <w:rPr>
          <w:rFonts w:eastAsia="仿宋_GB2312"/>
          <w:kern w:val="0"/>
          <w:sz w:val="32"/>
          <w:szCs w:val="32"/>
        </w:rPr>
      </w:pPr>
      <w:r>
        <w:rPr>
          <w:rFonts w:eastAsia="仿宋_GB2312"/>
          <w:kern w:val="0"/>
          <w:sz w:val="32"/>
          <w:szCs w:val="32"/>
        </w:rPr>
        <w:t>评价分析认为：该项目</w:t>
      </w:r>
      <w:r>
        <w:rPr>
          <w:rFonts w:hint="eastAsia" w:eastAsia="仿宋_GB2312"/>
          <w:kern w:val="0"/>
          <w:sz w:val="32"/>
          <w:szCs w:val="32"/>
        </w:rPr>
        <w:t>前期做了采购实施计划，委托采购代理机构北京中建源建筑工程管理有限公司</w:t>
      </w:r>
      <w:r>
        <w:rPr>
          <w:rFonts w:eastAsia="仿宋_GB2312"/>
          <w:kern w:val="0"/>
          <w:sz w:val="32"/>
          <w:szCs w:val="32"/>
        </w:rPr>
        <w:t>采用</w:t>
      </w:r>
      <w:r>
        <w:rPr>
          <w:rFonts w:hint="eastAsia" w:eastAsia="仿宋_GB2312"/>
          <w:kern w:val="0"/>
          <w:sz w:val="32"/>
          <w:szCs w:val="32"/>
        </w:rPr>
        <w:t>公开招标方式</w:t>
      </w:r>
      <w:r>
        <w:rPr>
          <w:rFonts w:eastAsia="仿宋_GB2312"/>
          <w:kern w:val="0"/>
          <w:sz w:val="32"/>
          <w:szCs w:val="32"/>
        </w:rPr>
        <w:t>进行采购，对服务商的选用，采用了集体审议方法，通过北京城市副中心工程建设管理办公室主任办公会</w:t>
      </w:r>
      <w:r>
        <w:rPr>
          <w:rFonts w:hint="eastAsia" w:eastAsia="仿宋_GB2312"/>
          <w:kern w:val="0"/>
          <w:sz w:val="32"/>
          <w:szCs w:val="32"/>
        </w:rPr>
        <w:t>和临时党委会</w:t>
      </w:r>
      <w:r>
        <w:rPr>
          <w:rFonts w:eastAsia="仿宋_GB2312"/>
          <w:kern w:val="0"/>
          <w:sz w:val="32"/>
          <w:szCs w:val="32"/>
        </w:rPr>
        <w:t>审议，保证项目支出的经济性。</w:t>
      </w:r>
      <w:r>
        <w:rPr>
          <w:rFonts w:hint="eastAsia" w:eastAsia="仿宋_GB2312"/>
          <w:kern w:val="0"/>
          <w:sz w:val="32"/>
          <w:szCs w:val="32"/>
        </w:rPr>
        <w:t>按合同规定的采购价格进行支出，</w:t>
      </w:r>
      <w:r>
        <w:rPr>
          <w:rFonts w:eastAsia="仿宋_GB2312"/>
          <w:kern w:val="0"/>
          <w:sz w:val="32"/>
          <w:szCs w:val="32"/>
        </w:rPr>
        <w:t>成本控制措施明确，成本效益呈现</w:t>
      </w:r>
      <w:r>
        <w:rPr>
          <w:rFonts w:hint="eastAsia" w:eastAsia="仿宋_GB2312"/>
          <w:kern w:val="0"/>
          <w:sz w:val="32"/>
          <w:szCs w:val="32"/>
        </w:rPr>
        <w:t>明显</w:t>
      </w:r>
      <w:r>
        <w:rPr>
          <w:rFonts w:eastAsia="仿宋_GB2312"/>
          <w:kern w:val="0"/>
          <w:sz w:val="32"/>
          <w:szCs w:val="32"/>
        </w:rPr>
        <w:t>。</w:t>
      </w:r>
    </w:p>
    <w:p w14:paraId="65092AA3">
      <w:pPr>
        <w:adjustRightInd w:val="0"/>
        <w:snapToGrid w:val="0"/>
        <w:spacing w:line="580" w:lineRule="atLeast"/>
        <w:ind w:firstLine="640"/>
        <w:outlineLvl w:val="2"/>
        <w:rPr>
          <w:rFonts w:eastAsia="仿宋_GB2312"/>
          <w:bCs/>
          <w:sz w:val="32"/>
          <w:szCs w:val="32"/>
        </w:rPr>
      </w:pPr>
      <w:r>
        <w:rPr>
          <w:rFonts w:eastAsia="仿宋_GB2312"/>
          <w:bCs/>
          <w:sz w:val="32"/>
          <w:szCs w:val="32"/>
        </w:rPr>
        <w:t>2.项目效率性分析</w:t>
      </w:r>
    </w:p>
    <w:p w14:paraId="2BB5932C">
      <w:pPr>
        <w:adjustRightInd w:val="0"/>
        <w:snapToGrid w:val="0"/>
        <w:spacing w:line="580" w:lineRule="atLeast"/>
        <w:ind w:firstLine="640"/>
        <w:rPr>
          <w:rFonts w:eastAsia="仿宋_GB2312"/>
          <w:kern w:val="0"/>
          <w:sz w:val="32"/>
          <w:szCs w:val="32"/>
        </w:rPr>
      </w:pPr>
      <w:r>
        <w:rPr>
          <w:rFonts w:eastAsia="仿宋_GB2312"/>
          <w:kern w:val="0"/>
          <w:sz w:val="32"/>
          <w:szCs w:val="32"/>
        </w:rPr>
        <w:t>该项目</w:t>
      </w:r>
      <w:r>
        <w:rPr>
          <w:rFonts w:hint="eastAsia" w:eastAsia="仿宋_GB2312"/>
          <w:kern w:val="0"/>
          <w:sz w:val="32"/>
          <w:szCs w:val="32"/>
        </w:rPr>
        <w:t>为新增项目，于2024年3月完成合同签订工作。项目经费于2024年2月到位，截至2024年12月，该项目预算执行率为</w:t>
      </w:r>
      <w:bookmarkStart w:id="133" w:name="OLE_LINK1"/>
      <w:r>
        <w:rPr>
          <w:rFonts w:hint="eastAsia" w:eastAsia="仿宋_GB2312"/>
          <w:kern w:val="0"/>
          <w:sz w:val="32"/>
          <w:szCs w:val="32"/>
        </w:rPr>
        <w:t>100%</w:t>
      </w:r>
      <w:bookmarkEnd w:id="133"/>
      <w:r>
        <w:rPr>
          <w:rFonts w:hint="eastAsia" w:eastAsia="仿宋_GB2312"/>
          <w:kern w:val="0"/>
          <w:sz w:val="32"/>
          <w:szCs w:val="32"/>
        </w:rPr>
        <w:t>，完成了</w:t>
      </w:r>
      <w:r>
        <w:rPr>
          <w:rFonts w:hint="eastAsia" w:eastAsia="仿宋_GB2312"/>
          <w:kern w:val="0"/>
          <w:sz w:val="32"/>
          <w:szCs w:val="32"/>
          <w:lang w:val="en-US" w:eastAsia="zh-CN"/>
        </w:rPr>
        <w:t>当年</w:t>
      </w:r>
      <w:r>
        <w:rPr>
          <w:rFonts w:hint="eastAsia" w:eastAsia="仿宋_GB2312"/>
          <w:kern w:val="0"/>
          <w:sz w:val="32"/>
          <w:szCs w:val="32"/>
        </w:rPr>
        <w:t>设定的目标。</w:t>
      </w:r>
      <w:r>
        <w:rPr>
          <w:rFonts w:eastAsia="仿宋_GB2312"/>
          <w:kern w:val="0"/>
          <w:sz w:val="32"/>
          <w:szCs w:val="32"/>
        </w:rPr>
        <w:t xml:space="preserve"> </w:t>
      </w:r>
    </w:p>
    <w:p w14:paraId="6FDBBE4C">
      <w:pPr>
        <w:adjustRightInd w:val="0"/>
        <w:snapToGrid w:val="0"/>
        <w:spacing w:line="580" w:lineRule="atLeast"/>
        <w:ind w:firstLine="640"/>
        <w:rPr>
          <w:rFonts w:eastAsia="仿宋_GB2312"/>
          <w:bCs/>
          <w:sz w:val="32"/>
          <w:szCs w:val="32"/>
        </w:rPr>
      </w:pPr>
      <w:r>
        <w:rPr>
          <w:rFonts w:eastAsia="仿宋_GB2312"/>
          <w:kern w:val="0"/>
          <w:sz w:val="32"/>
          <w:szCs w:val="32"/>
        </w:rPr>
        <w:t>评价分析认为：该项目</w:t>
      </w:r>
      <w:r>
        <w:rPr>
          <w:rFonts w:hint="eastAsia" w:eastAsia="仿宋_GB2312"/>
          <w:kern w:val="0"/>
          <w:sz w:val="32"/>
          <w:szCs w:val="32"/>
        </w:rPr>
        <w:t>前期准备工作充分，筹划安排得当，各方协调紧密，当年任务当年完成，项目效率性良好。</w:t>
      </w:r>
    </w:p>
    <w:p w14:paraId="5C20561B">
      <w:pPr>
        <w:pStyle w:val="4"/>
        <w:adjustRightInd w:val="0"/>
        <w:snapToGrid w:val="0"/>
        <w:spacing w:line="580" w:lineRule="atLeast"/>
        <w:ind w:firstLine="643" w:firstLineChars="200"/>
        <w:jc w:val="both"/>
        <w:rPr>
          <w:rFonts w:ascii="Times New Roman" w:hAnsi="Times New Roman" w:eastAsia="楷体_GB2312"/>
          <w:bCs w:val="0"/>
          <w:sz w:val="32"/>
        </w:rPr>
      </w:pPr>
      <w:bookmarkStart w:id="134" w:name="_Toc21491"/>
      <w:r>
        <w:rPr>
          <w:rFonts w:ascii="Times New Roman" w:hAnsi="Times New Roman" w:eastAsia="楷体_GB2312"/>
          <w:bCs w:val="0"/>
          <w:sz w:val="32"/>
        </w:rPr>
        <w:t>（四）项目效益情况</w:t>
      </w:r>
      <w:bookmarkEnd w:id="125"/>
      <w:bookmarkEnd w:id="126"/>
      <w:bookmarkEnd w:id="127"/>
      <w:bookmarkEnd w:id="128"/>
      <w:bookmarkEnd w:id="129"/>
      <w:bookmarkEnd w:id="130"/>
      <w:bookmarkEnd w:id="131"/>
      <w:bookmarkEnd w:id="132"/>
      <w:bookmarkEnd w:id="134"/>
    </w:p>
    <w:p w14:paraId="5F94243F">
      <w:pPr>
        <w:adjustRightInd w:val="0"/>
        <w:snapToGrid w:val="0"/>
        <w:spacing w:line="580" w:lineRule="atLeast"/>
        <w:ind w:firstLine="640"/>
        <w:outlineLvl w:val="2"/>
        <w:rPr>
          <w:rFonts w:eastAsia="仿宋_GB2312"/>
          <w:bCs/>
          <w:sz w:val="32"/>
          <w:szCs w:val="32"/>
        </w:rPr>
      </w:pPr>
      <w:bookmarkStart w:id="135" w:name="_Toc15382"/>
      <w:r>
        <w:rPr>
          <w:rFonts w:eastAsia="仿宋_GB2312"/>
          <w:bCs/>
          <w:sz w:val="32"/>
          <w:szCs w:val="32"/>
        </w:rPr>
        <w:t>1.项目预期目标完成情况</w:t>
      </w:r>
    </w:p>
    <w:p w14:paraId="2E3966A1">
      <w:pPr>
        <w:widowControl/>
        <w:adjustRightInd w:val="0"/>
        <w:snapToGrid w:val="0"/>
        <w:spacing w:line="580" w:lineRule="atLeast"/>
        <w:ind w:firstLine="640"/>
        <w:jc w:val="left"/>
        <w:rPr>
          <w:rFonts w:eastAsia="仿宋_GB2312"/>
          <w:bCs/>
          <w:sz w:val="32"/>
          <w:szCs w:val="32"/>
        </w:rPr>
      </w:pPr>
      <w:r>
        <w:rPr>
          <w:rFonts w:hint="eastAsia" w:eastAsia="仿宋_GB2312"/>
          <w:kern w:val="0"/>
          <w:sz w:val="32"/>
          <w:szCs w:val="32"/>
        </w:rPr>
        <w:t>该项目</w:t>
      </w:r>
      <w:r>
        <w:rPr>
          <w:rFonts w:hint="eastAsia" w:eastAsia="仿宋_GB2312"/>
          <w:bCs/>
          <w:sz w:val="32"/>
          <w:szCs w:val="32"/>
        </w:rPr>
        <w:t>已经完成行政办公区二期0160、0165、0166、0167、</w:t>
      </w:r>
      <w:bookmarkStart w:id="139" w:name="_GoBack"/>
      <w:bookmarkEnd w:id="139"/>
      <w:r>
        <w:rPr>
          <w:rFonts w:hint="eastAsia" w:eastAsia="仿宋_GB2312"/>
          <w:bCs/>
          <w:sz w:val="32"/>
          <w:szCs w:val="32"/>
        </w:rPr>
        <w:t>0169、0170、0172共 7个地块的不动产首次登记工作，并配合</w:t>
      </w:r>
      <w:r>
        <w:rPr>
          <w:rFonts w:hint="eastAsia" w:eastAsia="仿宋_GB2312"/>
          <w:bCs/>
          <w:sz w:val="32"/>
          <w:szCs w:val="32"/>
          <w:lang w:eastAsia="zh-CN"/>
        </w:rPr>
        <w:t>市机关事务管理局</w:t>
      </w:r>
      <w:r>
        <w:rPr>
          <w:rFonts w:hint="eastAsia" w:eastAsia="仿宋_GB2312"/>
          <w:bCs/>
          <w:sz w:val="32"/>
          <w:szCs w:val="32"/>
        </w:rPr>
        <w:t>完成了产权转移登记。</w:t>
      </w:r>
    </w:p>
    <w:p w14:paraId="513F67F1">
      <w:pPr>
        <w:widowControl/>
        <w:adjustRightInd w:val="0"/>
        <w:snapToGrid w:val="0"/>
        <w:spacing w:line="580" w:lineRule="atLeast"/>
        <w:ind w:firstLine="640"/>
        <w:jc w:val="left"/>
        <w:rPr>
          <w:rFonts w:eastAsia="仿宋_GB2312"/>
          <w:kern w:val="0"/>
          <w:sz w:val="32"/>
          <w:szCs w:val="32"/>
        </w:rPr>
      </w:pPr>
      <w:r>
        <w:rPr>
          <w:rFonts w:hint="eastAsia" w:eastAsia="仿宋_GB2312"/>
          <w:bCs/>
          <w:sz w:val="32"/>
          <w:szCs w:val="32"/>
        </w:rPr>
        <w:t>截</w:t>
      </w:r>
      <w:r>
        <w:rPr>
          <w:rFonts w:hint="eastAsia" w:eastAsia="仿宋_GB2312"/>
          <w:bCs/>
          <w:sz w:val="32"/>
          <w:szCs w:val="32"/>
          <w:lang w:val="en-US" w:eastAsia="zh-CN"/>
        </w:rPr>
        <w:t>至</w:t>
      </w:r>
      <w:r>
        <w:rPr>
          <w:rFonts w:hint="eastAsia" w:eastAsia="仿宋_GB2312"/>
          <w:bCs/>
          <w:sz w:val="32"/>
          <w:szCs w:val="32"/>
        </w:rPr>
        <w:t>2024年12月底，《行政办公区二期0160等10个行政办公项目房屋面积和不动产地籍测绘项目》项目未能完成，主要原因是相关基本建设审批手续正在有序推进中。</w:t>
      </w:r>
    </w:p>
    <w:p w14:paraId="08836757">
      <w:pPr>
        <w:adjustRightInd w:val="0"/>
        <w:snapToGrid w:val="0"/>
        <w:spacing w:line="580" w:lineRule="atLeast"/>
        <w:ind w:firstLine="640"/>
        <w:outlineLvl w:val="2"/>
        <w:rPr>
          <w:rFonts w:eastAsia="仿宋_GB2312"/>
          <w:kern w:val="0"/>
          <w:sz w:val="32"/>
          <w:szCs w:val="32"/>
        </w:rPr>
      </w:pPr>
      <w:r>
        <w:rPr>
          <w:rFonts w:eastAsia="仿宋_GB2312"/>
          <w:kern w:val="0"/>
          <w:sz w:val="32"/>
          <w:szCs w:val="32"/>
        </w:rPr>
        <w:t>2.效益指标情况分析</w:t>
      </w:r>
    </w:p>
    <w:p w14:paraId="34201F77">
      <w:pPr>
        <w:adjustRightInd w:val="0"/>
        <w:snapToGrid w:val="0"/>
        <w:spacing w:line="580" w:lineRule="atLeast"/>
        <w:ind w:firstLine="640"/>
        <w:rPr>
          <w:rFonts w:eastAsia="仿宋_GB2312"/>
          <w:kern w:val="0"/>
          <w:sz w:val="32"/>
          <w:szCs w:val="32"/>
        </w:rPr>
      </w:pPr>
      <w:r>
        <w:rPr>
          <w:rFonts w:eastAsia="仿宋_GB2312"/>
          <w:kern w:val="0"/>
          <w:sz w:val="32"/>
          <w:szCs w:val="32"/>
        </w:rPr>
        <w:t>该项目支出绩效目标申报表中设置了</w:t>
      </w:r>
      <w:r>
        <w:rPr>
          <w:rFonts w:hint="eastAsia" w:eastAsia="仿宋_GB2312"/>
          <w:kern w:val="0"/>
          <w:sz w:val="32"/>
          <w:szCs w:val="32"/>
        </w:rPr>
        <w:t>社会效益指标：报告成果采纳率≥</w:t>
      </w:r>
      <w:r>
        <w:rPr>
          <w:rFonts w:eastAsia="仿宋_GB2312"/>
          <w:kern w:val="0"/>
          <w:sz w:val="32"/>
          <w:szCs w:val="32"/>
        </w:rPr>
        <w:t>9</w:t>
      </w:r>
      <w:r>
        <w:rPr>
          <w:rFonts w:hint="eastAsia" w:eastAsia="仿宋_GB2312"/>
          <w:kern w:val="0"/>
          <w:sz w:val="32"/>
          <w:szCs w:val="32"/>
        </w:rPr>
        <w:t>9</w:t>
      </w:r>
      <w:r>
        <w:rPr>
          <w:rFonts w:eastAsia="仿宋_GB2312"/>
          <w:kern w:val="0"/>
          <w:sz w:val="32"/>
          <w:szCs w:val="32"/>
        </w:rPr>
        <w:t>%。</w:t>
      </w:r>
      <w:r>
        <w:rPr>
          <w:rFonts w:hint="eastAsia" w:eastAsia="仿宋_GB2312"/>
          <w:kern w:val="0"/>
          <w:sz w:val="32"/>
          <w:szCs w:val="32"/>
        </w:rPr>
        <w:t>该项目的实施，通过测绘能够精确确定行政办公项目的房屋面积和土地权属范围，清晰界定各产权主体的权利界限，为不动产产权登记提供准确的数据支持。已实施完成部分的报告成果采纳率100%。</w:t>
      </w:r>
    </w:p>
    <w:p w14:paraId="4F63EE2C">
      <w:pPr>
        <w:adjustRightInd w:val="0"/>
        <w:snapToGrid w:val="0"/>
        <w:spacing w:line="580" w:lineRule="atLeast"/>
        <w:ind w:firstLine="640"/>
        <w:rPr>
          <w:rFonts w:eastAsia="仿宋_GB2312"/>
          <w:kern w:val="0"/>
          <w:sz w:val="32"/>
          <w:szCs w:val="32"/>
        </w:rPr>
      </w:pPr>
      <w:r>
        <w:rPr>
          <w:rFonts w:eastAsia="仿宋_GB2312"/>
          <w:kern w:val="0"/>
          <w:sz w:val="32"/>
          <w:szCs w:val="32"/>
        </w:rPr>
        <w:t>评价分析认为：该项目的实施发挥了一定的社会效益，</w:t>
      </w:r>
      <w:r>
        <w:rPr>
          <w:rFonts w:hint="eastAsia" w:eastAsia="仿宋_GB2312"/>
          <w:kern w:val="0"/>
          <w:sz w:val="32"/>
          <w:szCs w:val="32"/>
        </w:rPr>
        <w:t>明确了产权归属，保障了产权人权益</w:t>
      </w:r>
      <w:r>
        <w:rPr>
          <w:rFonts w:eastAsia="仿宋_GB2312"/>
          <w:kern w:val="0"/>
          <w:sz w:val="32"/>
          <w:szCs w:val="32"/>
        </w:rPr>
        <w:t>。</w:t>
      </w:r>
    </w:p>
    <w:p w14:paraId="47B4F4F0">
      <w:pPr>
        <w:adjustRightInd w:val="0"/>
        <w:snapToGrid w:val="0"/>
        <w:spacing w:line="580" w:lineRule="atLeast"/>
        <w:ind w:firstLine="640"/>
        <w:outlineLvl w:val="2"/>
        <w:rPr>
          <w:rFonts w:eastAsia="仿宋_GB2312"/>
          <w:kern w:val="0"/>
          <w:sz w:val="32"/>
          <w:szCs w:val="32"/>
        </w:rPr>
      </w:pPr>
      <w:r>
        <w:rPr>
          <w:rFonts w:eastAsia="仿宋_GB2312"/>
          <w:kern w:val="0"/>
          <w:sz w:val="32"/>
          <w:szCs w:val="32"/>
        </w:rPr>
        <w:t>3.服务对象满意度分析</w:t>
      </w:r>
    </w:p>
    <w:bookmarkEnd w:id="135"/>
    <w:p w14:paraId="042564B2">
      <w:pPr>
        <w:adjustRightInd w:val="0"/>
        <w:snapToGrid w:val="0"/>
        <w:spacing w:line="580" w:lineRule="atLeast"/>
        <w:ind w:firstLine="640"/>
        <w:rPr>
          <w:rFonts w:eastAsia="仿宋_GB2312"/>
          <w:kern w:val="0"/>
          <w:sz w:val="32"/>
          <w:szCs w:val="32"/>
        </w:rPr>
      </w:pPr>
      <w:r>
        <w:rPr>
          <w:rFonts w:eastAsia="仿宋_GB2312"/>
          <w:kern w:val="0"/>
          <w:sz w:val="32"/>
          <w:szCs w:val="32"/>
        </w:rPr>
        <w:t>该项目支出绩效目标申报表中设置了服务对象满意度指标为</w:t>
      </w:r>
      <w:r>
        <w:rPr>
          <w:rFonts w:hint="eastAsia" w:eastAsia="仿宋_GB2312"/>
          <w:kern w:val="0"/>
          <w:sz w:val="32"/>
          <w:szCs w:val="32"/>
        </w:rPr>
        <w:t>“使用单位</w:t>
      </w:r>
      <w:r>
        <w:rPr>
          <w:rFonts w:eastAsia="仿宋_GB2312"/>
          <w:kern w:val="0"/>
          <w:sz w:val="32"/>
          <w:szCs w:val="32"/>
        </w:rPr>
        <w:t>满意度</w:t>
      </w:r>
      <w:r>
        <w:rPr>
          <w:rFonts w:hint="eastAsia" w:eastAsia="仿宋_GB2312"/>
          <w:kern w:val="0"/>
          <w:sz w:val="32"/>
          <w:szCs w:val="32"/>
        </w:rPr>
        <w:t>”，指标值为“≥99%”。</w:t>
      </w:r>
    </w:p>
    <w:p w14:paraId="2994BB69">
      <w:pPr>
        <w:adjustRightInd w:val="0"/>
        <w:snapToGrid w:val="0"/>
        <w:spacing w:line="580" w:lineRule="atLeast"/>
        <w:ind w:firstLine="640"/>
        <w:rPr>
          <w:rFonts w:eastAsia="仿宋_GB2312"/>
          <w:kern w:val="0"/>
          <w:sz w:val="32"/>
          <w:szCs w:val="32"/>
        </w:rPr>
      </w:pPr>
      <w:r>
        <w:rPr>
          <w:rFonts w:eastAsia="仿宋_GB2312"/>
          <w:kern w:val="0"/>
          <w:sz w:val="32"/>
          <w:szCs w:val="32"/>
        </w:rPr>
        <w:t>评价分析认为</w:t>
      </w:r>
      <w:r>
        <w:rPr>
          <w:rFonts w:hint="eastAsia" w:eastAsia="仿宋_GB2312"/>
          <w:kern w:val="0"/>
          <w:sz w:val="32"/>
          <w:szCs w:val="32"/>
        </w:rPr>
        <w:t>：</w:t>
      </w:r>
      <w:r>
        <w:rPr>
          <w:rFonts w:eastAsia="仿宋_GB2312"/>
          <w:kern w:val="0"/>
          <w:sz w:val="32"/>
          <w:szCs w:val="32"/>
        </w:rPr>
        <w:t>副中心工程办</w:t>
      </w:r>
      <w:r>
        <w:rPr>
          <w:rFonts w:hint="eastAsia" w:eastAsia="仿宋_GB2312"/>
          <w:kern w:val="0"/>
          <w:sz w:val="32"/>
          <w:szCs w:val="32"/>
        </w:rPr>
        <w:t>规划设计部设置了服务对象满意度指标，根据提供的项目资料显示，使用单位满意度为100%。</w:t>
      </w:r>
    </w:p>
    <w:p w14:paraId="49E66E34">
      <w:pPr>
        <w:adjustRightInd w:val="0"/>
        <w:snapToGrid w:val="0"/>
        <w:spacing w:line="580" w:lineRule="atLeast"/>
        <w:ind w:firstLine="640"/>
        <w:outlineLvl w:val="0"/>
        <w:rPr>
          <w:rFonts w:eastAsia="仿宋_GB2312"/>
          <w:bCs/>
          <w:sz w:val="32"/>
          <w:szCs w:val="32"/>
        </w:rPr>
      </w:pPr>
      <w:r>
        <w:rPr>
          <w:rFonts w:eastAsia="黑体"/>
          <w:bCs/>
          <w:sz w:val="32"/>
          <w:szCs w:val="32"/>
        </w:rPr>
        <w:t>五、</w:t>
      </w:r>
      <w:bookmarkEnd w:id="115"/>
      <w:bookmarkEnd w:id="116"/>
      <w:r>
        <w:rPr>
          <w:rFonts w:eastAsia="黑体"/>
          <w:bCs/>
          <w:sz w:val="32"/>
          <w:szCs w:val="32"/>
        </w:rPr>
        <w:t>存在的问题及原因分析</w:t>
      </w:r>
      <w:bookmarkEnd w:id="117"/>
      <w:bookmarkEnd w:id="118"/>
      <w:bookmarkEnd w:id="119"/>
      <w:bookmarkEnd w:id="120"/>
      <w:bookmarkEnd w:id="121"/>
      <w:bookmarkEnd w:id="122"/>
      <w:bookmarkEnd w:id="123"/>
      <w:bookmarkStart w:id="136" w:name="_Toc12899"/>
    </w:p>
    <w:bookmarkEnd w:id="136"/>
    <w:p w14:paraId="787D5DFE">
      <w:pPr>
        <w:pStyle w:val="2"/>
        <w:adjustRightInd w:val="0"/>
        <w:snapToGrid w:val="0"/>
        <w:spacing w:line="580" w:lineRule="atLeast"/>
        <w:ind w:firstLine="640" w:firstLineChars="200"/>
        <w:rPr>
          <w:rFonts w:eastAsia="仿宋_GB2312"/>
          <w:sz w:val="32"/>
          <w:szCs w:val="32"/>
        </w:rPr>
      </w:pPr>
      <w:bookmarkStart w:id="137" w:name="_Toc283979570_WPSOffice_Level2"/>
      <w:bookmarkStart w:id="138" w:name="_Toc821993324_WPSOffice_Level2"/>
      <w:r>
        <w:rPr>
          <w:rFonts w:hint="eastAsia" w:eastAsia="仿宋_GB2312"/>
          <w:sz w:val="32"/>
          <w:szCs w:val="32"/>
        </w:rPr>
        <w:t>无。</w:t>
      </w:r>
    </w:p>
    <w:p w14:paraId="7C8BD5A7">
      <w:pPr>
        <w:adjustRightInd w:val="0"/>
        <w:snapToGrid w:val="0"/>
        <w:spacing w:line="580" w:lineRule="atLeast"/>
        <w:ind w:firstLine="640"/>
        <w:rPr>
          <w:rFonts w:ascii="仿宋_GB2312" w:hAnsi="仿宋_GB2312" w:eastAsia="仿宋_GB2312" w:cs="仿宋_GB2312"/>
          <w:kern w:val="0"/>
          <w:sz w:val="32"/>
          <w:szCs w:val="32"/>
        </w:rPr>
      </w:pPr>
    </w:p>
    <w:p w14:paraId="0B7C7360">
      <w:pPr>
        <w:pStyle w:val="2"/>
      </w:pPr>
    </w:p>
    <w:p w14:paraId="2C0EF4A7">
      <w:pPr>
        <w:ind w:firstLine="480"/>
        <w:rPr>
          <w:rFonts w:hint="eastAsia"/>
        </w:rPr>
      </w:pPr>
    </w:p>
    <w:p w14:paraId="1EA0AB21">
      <w:pPr>
        <w:adjustRightInd w:val="0"/>
        <w:snapToGrid w:val="0"/>
        <w:spacing w:line="580" w:lineRule="atLeast"/>
        <w:ind w:firstLine="6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附件：</w:t>
      </w:r>
      <w:bookmarkEnd w:id="137"/>
      <w:bookmarkEnd w:id="138"/>
      <w:r>
        <w:rPr>
          <w:rFonts w:hint="eastAsia" w:ascii="仿宋_GB2312" w:hAnsi="仿宋_GB2312" w:eastAsia="仿宋_GB2312" w:cs="仿宋_GB2312"/>
          <w:kern w:val="0"/>
          <w:sz w:val="32"/>
          <w:szCs w:val="32"/>
        </w:rPr>
        <w:t>“行政办公区二期0160等10个行政办公项目房屋面积和不动产地籍测绘项目”项目绩效评价指标体系及评分表</w:t>
      </w:r>
    </w:p>
    <w:p w14:paraId="14D1E5F6">
      <w:pPr>
        <w:pStyle w:val="15"/>
        <w:adjustRightInd w:val="0"/>
        <w:snapToGrid w:val="0"/>
        <w:spacing w:line="600" w:lineRule="atLeast"/>
        <w:ind w:left="0" w:leftChars="0" w:firstLine="480"/>
      </w:pPr>
    </w:p>
    <w:p w14:paraId="014F8E70">
      <w:pPr>
        <w:adjustRightInd w:val="0"/>
        <w:snapToGrid w:val="0"/>
        <w:spacing w:line="600" w:lineRule="atLeast"/>
        <w:ind w:firstLine="4800" w:firstLineChars="1500"/>
        <w:rPr>
          <w:rFonts w:eastAsia="仿宋_GB2312"/>
          <w:kern w:val="0"/>
          <w:sz w:val="32"/>
          <w:szCs w:val="32"/>
        </w:rPr>
      </w:pPr>
      <w:r>
        <w:rPr>
          <w:rFonts w:eastAsia="仿宋_GB2312"/>
          <w:kern w:val="0"/>
          <w:sz w:val="32"/>
          <w:szCs w:val="32"/>
        </w:rPr>
        <w:t>202</w:t>
      </w:r>
      <w:r>
        <w:rPr>
          <w:rFonts w:hint="eastAsia" w:eastAsia="仿宋_GB2312"/>
          <w:kern w:val="0"/>
          <w:sz w:val="32"/>
          <w:szCs w:val="32"/>
        </w:rPr>
        <w:t>5</w:t>
      </w:r>
      <w:r>
        <w:rPr>
          <w:rFonts w:eastAsia="仿宋_GB2312"/>
          <w:kern w:val="0"/>
          <w:sz w:val="32"/>
          <w:szCs w:val="32"/>
        </w:rPr>
        <w:t>年5月</w:t>
      </w:r>
      <w:r>
        <w:rPr>
          <w:rFonts w:hint="eastAsia" w:eastAsia="仿宋_GB2312"/>
          <w:kern w:val="0"/>
          <w:sz w:val="32"/>
          <w:szCs w:val="32"/>
        </w:rPr>
        <w:t>6</w:t>
      </w:r>
      <w:r>
        <w:rPr>
          <w:rFonts w:eastAsia="仿宋_GB2312"/>
          <w:kern w:val="0"/>
          <w:sz w:val="32"/>
          <w:szCs w:val="32"/>
        </w:rPr>
        <w:t>日</w:t>
      </w:r>
    </w:p>
    <w:p w14:paraId="0AD9A2CC">
      <w:pPr>
        <w:ind w:firstLine="480"/>
        <w:sectPr>
          <w:footerReference r:id="rId12" w:type="default"/>
          <w:pgSz w:w="11906" w:h="16838"/>
          <w:pgMar w:top="1701" w:right="1701" w:bottom="1701" w:left="1701" w:header="851" w:footer="992" w:gutter="0"/>
          <w:pgNumType w:start="1"/>
          <w:cols w:space="720" w:num="1"/>
          <w:docGrid w:type="lines" w:linePitch="327" w:charSpace="0"/>
        </w:sectPr>
      </w:pPr>
    </w:p>
    <w:p w14:paraId="5A4719D0">
      <w:pPr>
        <w:adjustRightInd w:val="0"/>
        <w:snapToGrid w:val="0"/>
        <w:ind w:left="-240" w:leftChars="-100" w:firstLine="0" w:firstLineChars="0"/>
        <w:jc w:val="left"/>
        <w:outlineLvl w:val="0"/>
        <w:rPr>
          <w:rFonts w:hint="eastAsia" w:ascii="宋体" w:hAnsi="宋体" w:cs="宋体"/>
          <w:bCs/>
          <w:sz w:val="28"/>
          <w:szCs w:val="28"/>
        </w:rPr>
      </w:pPr>
      <w:r>
        <w:rPr>
          <w:rFonts w:hint="eastAsia" w:ascii="宋体" w:hAnsi="宋体" w:cs="宋体"/>
          <w:bCs/>
          <w:sz w:val="28"/>
          <w:szCs w:val="28"/>
        </w:rPr>
        <w:t>附件</w:t>
      </w:r>
    </w:p>
    <w:p w14:paraId="74B6391F">
      <w:pPr>
        <w:adjustRightInd w:val="0"/>
        <w:snapToGrid w:val="0"/>
        <w:spacing w:after="163" w:afterLines="50"/>
        <w:ind w:firstLine="723"/>
        <w:jc w:val="center"/>
        <w:outlineLvl w:val="0"/>
        <w:rPr>
          <w:b/>
          <w:sz w:val="36"/>
          <w:szCs w:val="36"/>
        </w:rPr>
      </w:pPr>
      <w:r>
        <w:rPr>
          <w:rFonts w:hint="eastAsia"/>
          <w:b/>
          <w:sz w:val="36"/>
          <w:szCs w:val="36"/>
        </w:rPr>
        <w:t>“行政办公区二期0160等10个行政办公项目房屋面积和不动产地籍测绘项目”项目绩效评价指标体系及评分表</w:t>
      </w:r>
    </w:p>
    <w:p w14:paraId="0DBA3E12">
      <w:pPr>
        <w:ind w:left="-120" w:leftChars="-50" w:firstLine="0" w:firstLineChars="0"/>
        <w:jc w:val="left"/>
        <w:rPr>
          <w:b/>
          <w:sz w:val="22"/>
        </w:rPr>
      </w:pPr>
      <w:r>
        <w:rPr>
          <w:rFonts w:hint="eastAsia"/>
          <w:b/>
          <w:sz w:val="22"/>
        </w:rPr>
        <w:t>被评价单位：北京城市副中心工程建设管理办公室</w:t>
      </w:r>
    </w:p>
    <w:tbl>
      <w:tblPr>
        <w:tblStyle w:val="19"/>
        <w:tblW w:w="52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1049"/>
        <w:gridCol w:w="1124"/>
        <w:gridCol w:w="629"/>
        <w:gridCol w:w="1348"/>
        <w:gridCol w:w="629"/>
        <w:gridCol w:w="2232"/>
        <w:gridCol w:w="1608"/>
        <w:gridCol w:w="2495"/>
        <w:gridCol w:w="823"/>
        <w:gridCol w:w="1692"/>
      </w:tblGrid>
      <w:tr w14:paraId="2CB09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blHeader/>
          <w:jc w:val="center"/>
        </w:trPr>
        <w:tc>
          <w:tcPr>
            <w:tcW w:w="279" w:type="pct"/>
            <w:shd w:val="clear" w:color="000000" w:fill="FFFFFF"/>
            <w:vAlign w:val="center"/>
          </w:tcPr>
          <w:p w14:paraId="3CEBE9EB">
            <w:pPr>
              <w:widowControl/>
              <w:adjustRightInd w:val="0"/>
              <w:snapToGrid w:val="0"/>
              <w:spacing w:line="240" w:lineRule="auto"/>
              <w:ind w:firstLine="0" w:firstLineChars="0"/>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363" w:type="pct"/>
            <w:shd w:val="clear" w:color="000000" w:fill="FFFFFF"/>
            <w:vAlign w:val="center"/>
          </w:tcPr>
          <w:p w14:paraId="4179AABF">
            <w:pPr>
              <w:widowControl/>
              <w:adjustRightInd w:val="0"/>
              <w:snapToGrid w:val="0"/>
              <w:spacing w:line="240" w:lineRule="auto"/>
              <w:ind w:firstLine="0" w:firstLineChars="0"/>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389" w:type="pct"/>
            <w:shd w:val="clear" w:color="000000" w:fill="FFFFFF"/>
            <w:vAlign w:val="center"/>
          </w:tcPr>
          <w:p w14:paraId="73983B13">
            <w:pPr>
              <w:widowControl/>
              <w:adjustRightInd w:val="0"/>
              <w:snapToGrid w:val="0"/>
              <w:spacing w:line="240" w:lineRule="auto"/>
              <w:ind w:firstLine="0" w:firstLineChars="0"/>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218" w:type="pct"/>
            <w:shd w:val="clear" w:color="000000" w:fill="FFFFFF"/>
            <w:vAlign w:val="center"/>
          </w:tcPr>
          <w:p w14:paraId="321F3201">
            <w:pPr>
              <w:widowControl/>
              <w:adjustRightInd w:val="0"/>
              <w:snapToGrid w:val="0"/>
              <w:spacing w:line="240" w:lineRule="auto"/>
              <w:ind w:firstLine="0" w:firstLineChars="0"/>
              <w:rPr>
                <w:rFonts w:hint="eastAsia" w:ascii="宋体" w:hAnsi="宋体" w:cs="宋体"/>
                <w:b/>
                <w:bCs/>
                <w:kern w:val="0"/>
                <w:sz w:val="20"/>
                <w:szCs w:val="20"/>
              </w:rPr>
            </w:pPr>
            <w:r>
              <w:rPr>
                <w:rFonts w:hint="eastAsia" w:ascii="宋体" w:hAnsi="宋体" w:cs="宋体"/>
                <w:b/>
                <w:bCs/>
                <w:kern w:val="0"/>
                <w:sz w:val="20"/>
                <w:szCs w:val="20"/>
              </w:rPr>
              <w:t>分值</w:t>
            </w:r>
          </w:p>
        </w:tc>
        <w:tc>
          <w:tcPr>
            <w:tcW w:w="467" w:type="pct"/>
            <w:shd w:val="clear" w:color="000000" w:fill="FFFFFF"/>
            <w:vAlign w:val="center"/>
          </w:tcPr>
          <w:p w14:paraId="71CE0BA1">
            <w:pPr>
              <w:widowControl/>
              <w:adjustRightInd w:val="0"/>
              <w:snapToGrid w:val="0"/>
              <w:spacing w:line="240" w:lineRule="auto"/>
              <w:ind w:firstLine="0" w:firstLineChars="0"/>
              <w:jc w:val="center"/>
              <w:rPr>
                <w:rFonts w:hint="eastAsia" w:ascii="宋体" w:hAnsi="宋体" w:cs="宋体"/>
                <w:b/>
                <w:bCs/>
                <w:kern w:val="0"/>
                <w:sz w:val="20"/>
                <w:szCs w:val="20"/>
              </w:rPr>
            </w:pPr>
            <w:r>
              <w:rPr>
                <w:rFonts w:hint="eastAsia" w:ascii="宋体" w:hAnsi="宋体" w:cs="宋体"/>
                <w:b/>
                <w:bCs/>
                <w:kern w:val="0"/>
                <w:sz w:val="20"/>
                <w:szCs w:val="20"/>
              </w:rPr>
              <w:t>四级指标</w:t>
            </w:r>
          </w:p>
        </w:tc>
        <w:tc>
          <w:tcPr>
            <w:tcW w:w="218" w:type="pct"/>
            <w:shd w:val="clear" w:color="000000" w:fill="FFFFFF"/>
            <w:vAlign w:val="center"/>
          </w:tcPr>
          <w:p w14:paraId="08A11355">
            <w:pPr>
              <w:widowControl/>
              <w:adjustRightInd w:val="0"/>
              <w:snapToGrid w:val="0"/>
              <w:spacing w:line="240" w:lineRule="auto"/>
              <w:ind w:firstLine="0" w:firstLineChars="0"/>
              <w:rPr>
                <w:rFonts w:hint="eastAsia" w:ascii="宋体" w:hAnsi="宋体" w:cs="宋体"/>
                <w:b/>
                <w:bCs/>
                <w:kern w:val="0"/>
                <w:sz w:val="20"/>
                <w:szCs w:val="20"/>
              </w:rPr>
            </w:pPr>
            <w:r>
              <w:rPr>
                <w:rFonts w:hint="eastAsia" w:ascii="宋体" w:hAnsi="宋体" w:cs="宋体"/>
                <w:b/>
                <w:bCs/>
                <w:kern w:val="0"/>
                <w:sz w:val="20"/>
                <w:szCs w:val="20"/>
              </w:rPr>
              <w:t>分值</w:t>
            </w:r>
          </w:p>
        </w:tc>
        <w:tc>
          <w:tcPr>
            <w:tcW w:w="772" w:type="pct"/>
            <w:shd w:val="clear" w:color="000000" w:fill="FFFFFF"/>
            <w:vAlign w:val="center"/>
          </w:tcPr>
          <w:p w14:paraId="266F5077">
            <w:pPr>
              <w:widowControl/>
              <w:adjustRightInd w:val="0"/>
              <w:snapToGrid w:val="0"/>
              <w:spacing w:line="240" w:lineRule="auto"/>
              <w:ind w:firstLine="0" w:firstLineChars="0"/>
              <w:jc w:val="center"/>
              <w:rPr>
                <w:rFonts w:hint="eastAsia" w:ascii="宋体" w:hAnsi="宋体" w:cs="宋体"/>
                <w:b/>
                <w:bCs/>
                <w:kern w:val="0"/>
                <w:sz w:val="20"/>
                <w:szCs w:val="20"/>
              </w:rPr>
            </w:pPr>
            <w:r>
              <w:rPr>
                <w:rFonts w:hint="eastAsia" w:ascii="宋体" w:hAnsi="宋体" w:cs="宋体"/>
                <w:b/>
                <w:bCs/>
                <w:kern w:val="0"/>
                <w:sz w:val="20"/>
                <w:szCs w:val="20"/>
              </w:rPr>
              <w:t>指标解释</w:t>
            </w:r>
          </w:p>
        </w:tc>
        <w:tc>
          <w:tcPr>
            <w:tcW w:w="556" w:type="pct"/>
            <w:shd w:val="clear" w:color="000000" w:fill="FFFFFF"/>
            <w:vAlign w:val="center"/>
          </w:tcPr>
          <w:p w14:paraId="176E9BA2">
            <w:pPr>
              <w:widowControl/>
              <w:adjustRightInd w:val="0"/>
              <w:snapToGrid w:val="0"/>
              <w:spacing w:line="240" w:lineRule="auto"/>
              <w:ind w:firstLine="0" w:firstLineChars="0"/>
              <w:jc w:val="center"/>
              <w:rPr>
                <w:rFonts w:hint="eastAsia" w:ascii="宋体" w:hAnsi="宋体" w:cs="宋体"/>
                <w:b/>
                <w:bCs/>
                <w:kern w:val="0"/>
                <w:sz w:val="20"/>
                <w:szCs w:val="20"/>
              </w:rPr>
            </w:pPr>
            <w:r>
              <w:rPr>
                <w:rFonts w:hint="eastAsia" w:ascii="宋体" w:hAnsi="宋体" w:cs="宋体"/>
                <w:b/>
                <w:bCs/>
                <w:kern w:val="0"/>
                <w:sz w:val="20"/>
                <w:szCs w:val="20"/>
              </w:rPr>
              <w:t>评价分值</w:t>
            </w:r>
          </w:p>
        </w:tc>
        <w:tc>
          <w:tcPr>
            <w:tcW w:w="863" w:type="pct"/>
            <w:shd w:val="clear" w:color="000000" w:fill="FFFFFF"/>
            <w:vAlign w:val="center"/>
          </w:tcPr>
          <w:p w14:paraId="09554463">
            <w:pPr>
              <w:widowControl/>
              <w:adjustRightInd w:val="0"/>
              <w:snapToGrid w:val="0"/>
              <w:spacing w:line="240" w:lineRule="auto"/>
              <w:ind w:firstLine="0" w:firstLineChars="0"/>
              <w:jc w:val="center"/>
              <w:rPr>
                <w:rFonts w:hint="eastAsia" w:ascii="宋体" w:hAnsi="宋体" w:cs="宋体"/>
                <w:b/>
                <w:bCs/>
                <w:kern w:val="0"/>
                <w:sz w:val="20"/>
                <w:szCs w:val="20"/>
              </w:rPr>
            </w:pPr>
            <w:r>
              <w:rPr>
                <w:rFonts w:hint="eastAsia" w:ascii="宋体" w:hAnsi="宋体" w:cs="宋体"/>
                <w:b/>
                <w:bCs/>
                <w:kern w:val="0"/>
                <w:sz w:val="20"/>
                <w:szCs w:val="20"/>
              </w:rPr>
              <w:t>评价标准</w:t>
            </w:r>
          </w:p>
        </w:tc>
        <w:tc>
          <w:tcPr>
            <w:tcW w:w="285" w:type="pct"/>
            <w:shd w:val="clear" w:color="000000" w:fill="FFFFFF"/>
            <w:vAlign w:val="center"/>
          </w:tcPr>
          <w:p w14:paraId="272D35BA">
            <w:pPr>
              <w:widowControl/>
              <w:adjustRightInd w:val="0"/>
              <w:snapToGrid w:val="0"/>
              <w:spacing w:line="240" w:lineRule="auto"/>
              <w:ind w:firstLine="0" w:firstLineChars="0"/>
              <w:jc w:val="center"/>
              <w:rPr>
                <w:rFonts w:hint="eastAsia" w:ascii="宋体" w:hAnsi="宋体" w:cs="宋体"/>
                <w:b/>
                <w:bCs/>
                <w:kern w:val="0"/>
                <w:sz w:val="20"/>
                <w:szCs w:val="20"/>
              </w:rPr>
            </w:pPr>
            <w:r>
              <w:rPr>
                <w:rFonts w:hint="eastAsia" w:ascii="宋体" w:hAnsi="宋体" w:cs="宋体"/>
                <w:b/>
                <w:bCs/>
                <w:kern w:val="0"/>
                <w:sz w:val="20"/>
                <w:szCs w:val="20"/>
              </w:rPr>
              <w:t>评价 得分</w:t>
            </w:r>
          </w:p>
        </w:tc>
        <w:tc>
          <w:tcPr>
            <w:tcW w:w="585" w:type="pct"/>
            <w:shd w:val="clear" w:color="000000" w:fill="FFFFFF"/>
            <w:vAlign w:val="center"/>
          </w:tcPr>
          <w:p w14:paraId="0C72D70C">
            <w:pPr>
              <w:widowControl/>
              <w:adjustRightInd w:val="0"/>
              <w:snapToGrid w:val="0"/>
              <w:spacing w:line="240" w:lineRule="auto"/>
              <w:ind w:firstLine="0" w:firstLineChars="0"/>
              <w:jc w:val="center"/>
              <w:rPr>
                <w:rFonts w:hint="eastAsia" w:ascii="宋体" w:hAnsi="宋体" w:cs="宋体"/>
                <w:b/>
                <w:bCs/>
                <w:kern w:val="0"/>
                <w:sz w:val="20"/>
                <w:szCs w:val="20"/>
              </w:rPr>
            </w:pPr>
            <w:r>
              <w:rPr>
                <w:rFonts w:hint="eastAsia" w:ascii="宋体" w:hAnsi="宋体" w:cs="宋体"/>
                <w:b/>
                <w:bCs/>
                <w:kern w:val="0"/>
                <w:sz w:val="20"/>
                <w:szCs w:val="20"/>
              </w:rPr>
              <w:t>扣分原因</w:t>
            </w:r>
          </w:p>
        </w:tc>
      </w:tr>
      <w:tr w14:paraId="6CB37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restart"/>
            <w:shd w:val="clear" w:color="000000" w:fill="FFFFFF"/>
            <w:vAlign w:val="center"/>
          </w:tcPr>
          <w:p w14:paraId="0E7E71ED">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决策</w:t>
            </w:r>
          </w:p>
        </w:tc>
        <w:tc>
          <w:tcPr>
            <w:tcW w:w="363" w:type="pct"/>
            <w:vMerge w:val="restart"/>
            <w:shd w:val="clear" w:color="000000" w:fill="FFFFFF"/>
            <w:vAlign w:val="center"/>
          </w:tcPr>
          <w:p w14:paraId="23E547F2">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项目立项</w:t>
            </w:r>
          </w:p>
        </w:tc>
        <w:tc>
          <w:tcPr>
            <w:tcW w:w="389" w:type="pct"/>
            <w:vMerge w:val="restart"/>
            <w:shd w:val="clear" w:color="000000" w:fill="FFFFFF"/>
            <w:vAlign w:val="center"/>
          </w:tcPr>
          <w:p w14:paraId="2E05E742">
            <w:pPr>
              <w:widowControl/>
              <w:adjustRightInd w:val="0"/>
              <w:snapToGrid w:val="0"/>
              <w:spacing w:line="240" w:lineRule="auto"/>
              <w:ind w:firstLine="0" w:firstLineChars="0"/>
              <w:jc w:val="left"/>
              <w:rPr>
                <w:rFonts w:hint="eastAsia" w:ascii="宋体" w:hAnsi="宋体" w:cs="宋体"/>
                <w:kern w:val="0"/>
                <w:sz w:val="20"/>
                <w:szCs w:val="20"/>
              </w:rPr>
            </w:pPr>
            <w:r>
              <w:rPr>
                <w:rFonts w:hint="eastAsia" w:ascii="宋体" w:hAnsi="宋体" w:cs="宋体"/>
                <w:kern w:val="0"/>
                <w:sz w:val="20"/>
                <w:szCs w:val="20"/>
              </w:rPr>
              <w:t>立项依据充分性</w:t>
            </w:r>
          </w:p>
        </w:tc>
        <w:tc>
          <w:tcPr>
            <w:tcW w:w="218" w:type="pct"/>
            <w:vMerge w:val="restart"/>
            <w:shd w:val="clear" w:color="000000" w:fill="FFFFFF"/>
            <w:vAlign w:val="center"/>
          </w:tcPr>
          <w:p w14:paraId="3385885F">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2</w:t>
            </w:r>
          </w:p>
        </w:tc>
        <w:tc>
          <w:tcPr>
            <w:tcW w:w="467" w:type="pct"/>
            <w:vMerge w:val="restart"/>
            <w:shd w:val="clear" w:color="000000" w:fill="FFFFFF"/>
            <w:vAlign w:val="center"/>
          </w:tcPr>
          <w:p w14:paraId="24CD8399">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项目立项与法律法规、相关政策、发展规划以及部门职责的相符性</w:t>
            </w:r>
          </w:p>
        </w:tc>
        <w:tc>
          <w:tcPr>
            <w:tcW w:w="218" w:type="pct"/>
            <w:vMerge w:val="restart"/>
            <w:shd w:val="clear" w:color="000000" w:fill="FFFFFF"/>
            <w:vAlign w:val="center"/>
          </w:tcPr>
          <w:p w14:paraId="7B3E4B50">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2</w:t>
            </w:r>
          </w:p>
        </w:tc>
        <w:tc>
          <w:tcPr>
            <w:tcW w:w="772" w:type="pct"/>
            <w:vMerge w:val="restart"/>
            <w:shd w:val="clear" w:color="000000" w:fill="FFFFFF"/>
            <w:vAlign w:val="center"/>
          </w:tcPr>
          <w:p w14:paraId="1FDC27E3">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项目立项是否符合法律法规、相关政策、发展规划以及部门职责，用以反映和考核项目立项依据情况。</w:t>
            </w:r>
          </w:p>
        </w:tc>
        <w:tc>
          <w:tcPr>
            <w:tcW w:w="556" w:type="pct"/>
            <w:shd w:val="clear" w:color="auto" w:fill="auto"/>
            <w:vAlign w:val="center"/>
          </w:tcPr>
          <w:p w14:paraId="5BF2F1A0">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1.8（含）-2.0</w:t>
            </w:r>
          </w:p>
        </w:tc>
        <w:tc>
          <w:tcPr>
            <w:tcW w:w="863" w:type="pct"/>
            <w:shd w:val="clear" w:color="000000" w:fill="FFFFFF"/>
            <w:vAlign w:val="center"/>
          </w:tcPr>
          <w:p w14:paraId="122C6FE1">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与法律法规、相关政策、发展规划以及部门职责相符性高</w:t>
            </w:r>
          </w:p>
        </w:tc>
        <w:tc>
          <w:tcPr>
            <w:tcW w:w="285" w:type="pct"/>
            <w:vMerge w:val="restart"/>
            <w:shd w:val="clear" w:color="auto" w:fill="auto"/>
            <w:noWrap/>
            <w:vAlign w:val="center"/>
          </w:tcPr>
          <w:p w14:paraId="4DCCBBAA">
            <w:pPr>
              <w:widowControl/>
              <w:adjustRightInd w:val="0"/>
              <w:snapToGrid w:val="0"/>
              <w:spacing w:line="240" w:lineRule="auto"/>
              <w:ind w:firstLine="0" w:firstLineChars="0"/>
              <w:jc w:val="center"/>
              <w:rPr>
                <w:rFonts w:hint="eastAsia" w:ascii="宋体" w:hAnsi="宋体" w:cs="宋体"/>
                <w:kern w:val="0"/>
                <w:sz w:val="20"/>
                <w:szCs w:val="20"/>
              </w:rPr>
            </w:pPr>
            <w:r>
              <w:rPr>
                <w:rFonts w:ascii="宋体" w:hAnsi="宋体" w:cs="宋体"/>
                <w:kern w:val="0"/>
                <w:sz w:val="20"/>
                <w:szCs w:val="20"/>
              </w:rPr>
              <w:t>2</w:t>
            </w:r>
          </w:p>
        </w:tc>
        <w:tc>
          <w:tcPr>
            <w:tcW w:w="585" w:type="pct"/>
            <w:vMerge w:val="restart"/>
            <w:shd w:val="clear" w:color="auto" w:fill="auto"/>
            <w:noWrap/>
            <w:vAlign w:val="center"/>
          </w:tcPr>
          <w:p w14:paraId="42485A0D">
            <w:pPr>
              <w:widowControl/>
              <w:adjustRightInd w:val="0"/>
              <w:snapToGrid w:val="0"/>
              <w:spacing w:line="240" w:lineRule="auto"/>
              <w:ind w:firstLine="400"/>
              <w:jc w:val="center"/>
              <w:rPr>
                <w:rFonts w:hint="eastAsia" w:ascii="宋体" w:hAnsi="宋体" w:cs="宋体"/>
                <w:kern w:val="0"/>
                <w:sz w:val="20"/>
                <w:szCs w:val="20"/>
                <w:highlight w:val="yellow"/>
              </w:rPr>
            </w:pPr>
          </w:p>
        </w:tc>
      </w:tr>
      <w:tr w14:paraId="797FC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3AFA43C8">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2E072035">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626B4ED8">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49BC9A25">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637269F0">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3756F6A0">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1E403B2F">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212B327F">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1.5（含）-1.8</w:t>
            </w:r>
          </w:p>
        </w:tc>
        <w:tc>
          <w:tcPr>
            <w:tcW w:w="863" w:type="pct"/>
            <w:shd w:val="clear" w:color="000000" w:fill="FFFFFF"/>
            <w:vAlign w:val="center"/>
          </w:tcPr>
          <w:p w14:paraId="113D035D">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与法律法规、相关政策、发展规划以及部门职责较为相符</w:t>
            </w:r>
          </w:p>
        </w:tc>
        <w:tc>
          <w:tcPr>
            <w:tcW w:w="285" w:type="pct"/>
            <w:vMerge w:val="continue"/>
            <w:vAlign w:val="center"/>
          </w:tcPr>
          <w:p w14:paraId="6CB6B65D">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387EF4BD">
            <w:pPr>
              <w:widowControl/>
              <w:adjustRightInd w:val="0"/>
              <w:snapToGrid w:val="0"/>
              <w:spacing w:line="240" w:lineRule="auto"/>
              <w:ind w:firstLine="400"/>
              <w:rPr>
                <w:rFonts w:hint="eastAsia" w:ascii="宋体" w:hAnsi="宋体" w:cs="宋体"/>
                <w:kern w:val="0"/>
                <w:sz w:val="20"/>
                <w:szCs w:val="20"/>
              </w:rPr>
            </w:pPr>
          </w:p>
        </w:tc>
      </w:tr>
      <w:tr w14:paraId="1B6EA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3501AC1B">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1C346925">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21B2620C">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53682346">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5D1E281E">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68F5F21E">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3E566654">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13A080E8">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1.2（含）-1.5</w:t>
            </w:r>
          </w:p>
        </w:tc>
        <w:tc>
          <w:tcPr>
            <w:tcW w:w="863" w:type="pct"/>
            <w:shd w:val="clear" w:color="000000" w:fill="FFFFFF"/>
            <w:vAlign w:val="center"/>
          </w:tcPr>
          <w:p w14:paraId="0F7DF656">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与法律法规、相关政策、发展规划以及部门职责基本相符</w:t>
            </w:r>
          </w:p>
        </w:tc>
        <w:tc>
          <w:tcPr>
            <w:tcW w:w="285" w:type="pct"/>
            <w:vMerge w:val="continue"/>
            <w:vAlign w:val="center"/>
          </w:tcPr>
          <w:p w14:paraId="6E60019A">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742A7245">
            <w:pPr>
              <w:widowControl/>
              <w:adjustRightInd w:val="0"/>
              <w:snapToGrid w:val="0"/>
              <w:spacing w:line="240" w:lineRule="auto"/>
              <w:ind w:firstLine="400"/>
              <w:rPr>
                <w:rFonts w:hint="eastAsia" w:ascii="宋体" w:hAnsi="宋体" w:cs="宋体"/>
                <w:kern w:val="0"/>
                <w:sz w:val="20"/>
                <w:szCs w:val="20"/>
              </w:rPr>
            </w:pPr>
          </w:p>
        </w:tc>
      </w:tr>
      <w:tr w14:paraId="05EC2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003065E4">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5BC18809">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2A8CA18E">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701E961B">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60717B9F">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7CA07FAA">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344E9518">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45BA88C5">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0（含）-1.2</w:t>
            </w:r>
          </w:p>
        </w:tc>
        <w:tc>
          <w:tcPr>
            <w:tcW w:w="863" w:type="pct"/>
            <w:shd w:val="clear" w:color="000000" w:fill="FFFFFF"/>
            <w:vAlign w:val="center"/>
          </w:tcPr>
          <w:p w14:paraId="201DB93F">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与法律法规、相关政策、发展规划以及部门职责不相符</w:t>
            </w:r>
          </w:p>
        </w:tc>
        <w:tc>
          <w:tcPr>
            <w:tcW w:w="285" w:type="pct"/>
            <w:vMerge w:val="continue"/>
            <w:vAlign w:val="center"/>
          </w:tcPr>
          <w:p w14:paraId="2F586AE6">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6E09B831">
            <w:pPr>
              <w:widowControl/>
              <w:adjustRightInd w:val="0"/>
              <w:snapToGrid w:val="0"/>
              <w:spacing w:line="240" w:lineRule="auto"/>
              <w:ind w:firstLine="400"/>
              <w:rPr>
                <w:rFonts w:hint="eastAsia" w:ascii="宋体" w:hAnsi="宋体" w:cs="宋体"/>
                <w:kern w:val="0"/>
                <w:sz w:val="20"/>
                <w:szCs w:val="20"/>
              </w:rPr>
            </w:pPr>
          </w:p>
        </w:tc>
      </w:tr>
      <w:tr w14:paraId="4554D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501FF1F0">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74916AD6">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restart"/>
            <w:shd w:val="clear" w:color="000000" w:fill="FFFFFF"/>
            <w:vAlign w:val="center"/>
          </w:tcPr>
          <w:p w14:paraId="09BC8E1B">
            <w:pPr>
              <w:widowControl/>
              <w:adjustRightInd w:val="0"/>
              <w:snapToGrid w:val="0"/>
              <w:spacing w:line="240" w:lineRule="auto"/>
              <w:ind w:firstLine="0" w:firstLineChars="0"/>
              <w:jc w:val="left"/>
              <w:rPr>
                <w:rFonts w:hint="eastAsia" w:ascii="宋体" w:hAnsi="宋体" w:cs="宋体"/>
                <w:kern w:val="0"/>
                <w:sz w:val="20"/>
                <w:szCs w:val="20"/>
              </w:rPr>
            </w:pPr>
            <w:r>
              <w:rPr>
                <w:rFonts w:hint="eastAsia" w:ascii="宋体" w:hAnsi="宋体" w:cs="宋体"/>
                <w:kern w:val="0"/>
                <w:sz w:val="20"/>
                <w:szCs w:val="20"/>
              </w:rPr>
              <w:t>立项程序规范性</w:t>
            </w:r>
          </w:p>
        </w:tc>
        <w:tc>
          <w:tcPr>
            <w:tcW w:w="218" w:type="pct"/>
            <w:vMerge w:val="restart"/>
            <w:shd w:val="clear" w:color="000000" w:fill="FFFFFF"/>
            <w:vAlign w:val="center"/>
          </w:tcPr>
          <w:p w14:paraId="21A446C0">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3</w:t>
            </w:r>
          </w:p>
        </w:tc>
        <w:tc>
          <w:tcPr>
            <w:tcW w:w="467" w:type="pct"/>
            <w:vMerge w:val="restart"/>
            <w:shd w:val="clear" w:color="000000" w:fill="FFFFFF"/>
            <w:vAlign w:val="center"/>
          </w:tcPr>
          <w:p w14:paraId="363AFC48">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项目立项程序的规范性</w:t>
            </w:r>
          </w:p>
        </w:tc>
        <w:tc>
          <w:tcPr>
            <w:tcW w:w="218" w:type="pct"/>
            <w:vMerge w:val="restart"/>
            <w:shd w:val="clear" w:color="000000" w:fill="FFFFFF"/>
            <w:vAlign w:val="center"/>
          </w:tcPr>
          <w:p w14:paraId="0FED2968">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w:t>
            </w:r>
          </w:p>
        </w:tc>
        <w:tc>
          <w:tcPr>
            <w:tcW w:w="772" w:type="pct"/>
            <w:vMerge w:val="restart"/>
            <w:shd w:val="clear" w:color="000000" w:fill="FFFFFF"/>
            <w:vAlign w:val="center"/>
          </w:tcPr>
          <w:p w14:paraId="185A26B1">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项目是否按照规定的程序申请设立</w:t>
            </w:r>
          </w:p>
        </w:tc>
        <w:tc>
          <w:tcPr>
            <w:tcW w:w="556" w:type="pct"/>
            <w:shd w:val="clear" w:color="auto" w:fill="auto"/>
            <w:vAlign w:val="center"/>
          </w:tcPr>
          <w:p w14:paraId="558B18B6">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0.9（含）-1.0</w:t>
            </w:r>
          </w:p>
        </w:tc>
        <w:tc>
          <w:tcPr>
            <w:tcW w:w="863" w:type="pct"/>
            <w:shd w:val="clear" w:color="auto" w:fill="auto"/>
            <w:vAlign w:val="center"/>
          </w:tcPr>
          <w:p w14:paraId="543FD1BC">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立项程序完整、有效，立项程序科学、程序化</w:t>
            </w:r>
          </w:p>
        </w:tc>
        <w:tc>
          <w:tcPr>
            <w:tcW w:w="285" w:type="pct"/>
            <w:vMerge w:val="restart"/>
            <w:shd w:val="clear" w:color="auto" w:fill="auto"/>
            <w:noWrap/>
            <w:vAlign w:val="center"/>
          </w:tcPr>
          <w:p w14:paraId="2F5E0E69">
            <w:pPr>
              <w:widowControl/>
              <w:adjustRightInd w:val="0"/>
              <w:snapToGrid w:val="0"/>
              <w:spacing w:line="240" w:lineRule="auto"/>
              <w:ind w:firstLine="0" w:firstLineChars="0"/>
              <w:jc w:val="center"/>
              <w:rPr>
                <w:rFonts w:hint="eastAsia" w:ascii="宋体" w:hAnsi="宋体" w:cs="宋体"/>
                <w:kern w:val="0"/>
                <w:sz w:val="20"/>
                <w:szCs w:val="20"/>
              </w:rPr>
            </w:pPr>
            <w:r>
              <w:rPr>
                <w:rFonts w:ascii="宋体" w:hAnsi="宋体" w:cs="宋体"/>
                <w:kern w:val="0"/>
                <w:sz w:val="20"/>
                <w:szCs w:val="20"/>
              </w:rPr>
              <w:t>1</w:t>
            </w:r>
          </w:p>
        </w:tc>
        <w:tc>
          <w:tcPr>
            <w:tcW w:w="585" w:type="pct"/>
            <w:vMerge w:val="restart"/>
            <w:shd w:val="clear" w:color="auto" w:fill="auto"/>
            <w:noWrap/>
            <w:vAlign w:val="center"/>
          </w:tcPr>
          <w:p w14:paraId="465BA850">
            <w:pPr>
              <w:widowControl/>
              <w:adjustRightInd w:val="0"/>
              <w:snapToGrid w:val="0"/>
              <w:spacing w:line="240" w:lineRule="auto"/>
              <w:ind w:firstLine="400"/>
              <w:jc w:val="center"/>
              <w:rPr>
                <w:rFonts w:hint="eastAsia" w:ascii="宋体" w:hAnsi="宋体" w:cs="宋体"/>
                <w:kern w:val="0"/>
                <w:sz w:val="20"/>
                <w:szCs w:val="20"/>
              </w:rPr>
            </w:pPr>
          </w:p>
        </w:tc>
      </w:tr>
      <w:tr w14:paraId="09A94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63515D17">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436D1D96">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4C14E25A">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583C6EE2">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2176CC4A">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6587F3D8">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2BA291D1">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16C0CB6E">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0.75（含）-0.9</w:t>
            </w:r>
          </w:p>
        </w:tc>
        <w:tc>
          <w:tcPr>
            <w:tcW w:w="863" w:type="pct"/>
            <w:shd w:val="clear" w:color="auto" w:fill="auto"/>
            <w:vAlign w:val="center"/>
          </w:tcPr>
          <w:p w14:paraId="7D48FFE4">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立项程序较为完整、有效，立项程序较为科学、程序化</w:t>
            </w:r>
          </w:p>
        </w:tc>
        <w:tc>
          <w:tcPr>
            <w:tcW w:w="285" w:type="pct"/>
            <w:vMerge w:val="continue"/>
            <w:vAlign w:val="center"/>
          </w:tcPr>
          <w:p w14:paraId="748DD239">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7FC6D368">
            <w:pPr>
              <w:widowControl/>
              <w:adjustRightInd w:val="0"/>
              <w:snapToGrid w:val="0"/>
              <w:spacing w:line="240" w:lineRule="auto"/>
              <w:ind w:firstLine="400"/>
              <w:rPr>
                <w:rFonts w:hint="eastAsia" w:ascii="宋体" w:hAnsi="宋体" w:cs="宋体"/>
                <w:kern w:val="0"/>
                <w:sz w:val="20"/>
                <w:szCs w:val="20"/>
              </w:rPr>
            </w:pPr>
          </w:p>
        </w:tc>
      </w:tr>
      <w:tr w14:paraId="0CB47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3D7B56F3">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3FC371DB">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47F3C6A2">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6E181A27">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2DB03A30">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5CB50C31">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28A19BF4">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5AE8A58C">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0.6（含）-0.75</w:t>
            </w:r>
          </w:p>
        </w:tc>
        <w:tc>
          <w:tcPr>
            <w:tcW w:w="863" w:type="pct"/>
            <w:shd w:val="clear" w:color="auto" w:fill="auto"/>
            <w:vAlign w:val="center"/>
          </w:tcPr>
          <w:p w14:paraId="2A23D7C2">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未将相关立项程序制度化，但项目立项经过相关立项程序</w:t>
            </w:r>
          </w:p>
        </w:tc>
        <w:tc>
          <w:tcPr>
            <w:tcW w:w="285" w:type="pct"/>
            <w:vMerge w:val="continue"/>
            <w:vAlign w:val="center"/>
          </w:tcPr>
          <w:p w14:paraId="3C18F688">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24B69D12">
            <w:pPr>
              <w:widowControl/>
              <w:adjustRightInd w:val="0"/>
              <w:snapToGrid w:val="0"/>
              <w:spacing w:line="240" w:lineRule="auto"/>
              <w:ind w:firstLine="400"/>
              <w:rPr>
                <w:rFonts w:hint="eastAsia" w:ascii="宋体" w:hAnsi="宋体" w:cs="宋体"/>
                <w:kern w:val="0"/>
                <w:sz w:val="20"/>
                <w:szCs w:val="20"/>
              </w:rPr>
            </w:pPr>
          </w:p>
        </w:tc>
      </w:tr>
      <w:tr w14:paraId="41E43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015E7AC4">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20986C2D">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127AABF4">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07237810">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76C1B36C">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000D21E0">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12D92BFA">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3078BFA2">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0（含）-0.6</w:t>
            </w:r>
          </w:p>
        </w:tc>
        <w:tc>
          <w:tcPr>
            <w:tcW w:w="863" w:type="pct"/>
            <w:shd w:val="clear" w:color="auto" w:fill="auto"/>
            <w:vAlign w:val="center"/>
          </w:tcPr>
          <w:p w14:paraId="235C789F">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立项程序不完整，缺乏有效性</w:t>
            </w:r>
          </w:p>
        </w:tc>
        <w:tc>
          <w:tcPr>
            <w:tcW w:w="285" w:type="pct"/>
            <w:vMerge w:val="continue"/>
            <w:vAlign w:val="center"/>
          </w:tcPr>
          <w:p w14:paraId="2D8C3A10">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779C4A88">
            <w:pPr>
              <w:widowControl/>
              <w:adjustRightInd w:val="0"/>
              <w:snapToGrid w:val="0"/>
              <w:spacing w:line="240" w:lineRule="auto"/>
              <w:ind w:firstLine="400"/>
              <w:rPr>
                <w:rFonts w:hint="eastAsia" w:ascii="宋体" w:hAnsi="宋体" w:cs="宋体"/>
                <w:kern w:val="0"/>
                <w:sz w:val="20"/>
                <w:szCs w:val="20"/>
              </w:rPr>
            </w:pPr>
          </w:p>
        </w:tc>
      </w:tr>
      <w:tr w14:paraId="66647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6A50A874">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335B6879">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54C3A6DF">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70E5ACB3">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restart"/>
            <w:shd w:val="clear" w:color="000000" w:fill="FFFFFF"/>
            <w:vAlign w:val="center"/>
          </w:tcPr>
          <w:p w14:paraId="361F3A40">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项目立项的审批文件、材料与相关要求的相符性</w:t>
            </w:r>
          </w:p>
        </w:tc>
        <w:tc>
          <w:tcPr>
            <w:tcW w:w="218" w:type="pct"/>
            <w:vMerge w:val="restart"/>
            <w:shd w:val="clear" w:color="000000" w:fill="FFFFFF"/>
            <w:vAlign w:val="center"/>
          </w:tcPr>
          <w:p w14:paraId="670A8064">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w:t>
            </w:r>
          </w:p>
        </w:tc>
        <w:tc>
          <w:tcPr>
            <w:tcW w:w="772" w:type="pct"/>
            <w:vMerge w:val="restart"/>
            <w:shd w:val="clear" w:color="000000" w:fill="FFFFFF"/>
            <w:vAlign w:val="center"/>
          </w:tcPr>
          <w:p w14:paraId="18EC5FB0">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审批文件、材料是否符合相关要求</w:t>
            </w:r>
          </w:p>
        </w:tc>
        <w:tc>
          <w:tcPr>
            <w:tcW w:w="556" w:type="pct"/>
            <w:shd w:val="clear" w:color="auto" w:fill="auto"/>
            <w:vAlign w:val="center"/>
          </w:tcPr>
          <w:p w14:paraId="3F1F90DE">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0.9（含）-1.0</w:t>
            </w:r>
          </w:p>
        </w:tc>
        <w:tc>
          <w:tcPr>
            <w:tcW w:w="863" w:type="pct"/>
            <w:shd w:val="clear" w:color="000000" w:fill="FFFFFF"/>
            <w:vAlign w:val="center"/>
          </w:tcPr>
          <w:p w14:paraId="39057BC0">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项目立项的审批文件、材料与相关要求的相符性高</w:t>
            </w:r>
          </w:p>
        </w:tc>
        <w:tc>
          <w:tcPr>
            <w:tcW w:w="285" w:type="pct"/>
            <w:vMerge w:val="restart"/>
            <w:shd w:val="clear" w:color="auto" w:fill="auto"/>
            <w:noWrap/>
            <w:vAlign w:val="center"/>
          </w:tcPr>
          <w:p w14:paraId="22694C32">
            <w:pPr>
              <w:widowControl/>
              <w:adjustRightInd w:val="0"/>
              <w:snapToGrid w:val="0"/>
              <w:spacing w:line="240" w:lineRule="auto"/>
              <w:ind w:firstLine="0" w:firstLineChars="0"/>
              <w:jc w:val="center"/>
              <w:rPr>
                <w:rFonts w:hint="eastAsia" w:ascii="宋体" w:hAnsi="宋体" w:cs="宋体"/>
                <w:kern w:val="0"/>
                <w:sz w:val="20"/>
                <w:szCs w:val="20"/>
              </w:rPr>
            </w:pPr>
            <w:r>
              <w:rPr>
                <w:rFonts w:ascii="宋体" w:hAnsi="宋体" w:cs="宋体"/>
                <w:kern w:val="0"/>
                <w:sz w:val="20"/>
                <w:szCs w:val="20"/>
              </w:rPr>
              <w:t>1</w:t>
            </w:r>
          </w:p>
        </w:tc>
        <w:tc>
          <w:tcPr>
            <w:tcW w:w="585" w:type="pct"/>
            <w:vMerge w:val="restart"/>
            <w:shd w:val="clear" w:color="auto" w:fill="auto"/>
            <w:noWrap/>
            <w:vAlign w:val="center"/>
          </w:tcPr>
          <w:p w14:paraId="3C9CCCAB">
            <w:pPr>
              <w:widowControl/>
              <w:adjustRightInd w:val="0"/>
              <w:snapToGrid w:val="0"/>
              <w:spacing w:line="240" w:lineRule="auto"/>
              <w:ind w:firstLine="400"/>
              <w:jc w:val="center"/>
              <w:rPr>
                <w:rFonts w:hint="eastAsia" w:ascii="宋体" w:hAnsi="宋体" w:cs="宋体"/>
                <w:kern w:val="0"/>
                <w:sz w:val="20"/>
                <w:szCs w:val="20"/>
              </w:rPr>
            </w:pPr>
          </w:p>
        </w:tc>
      </w:tr>
      <w:tr w14:paraId="5A5DB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388CB610">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09314D2C">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436A3DCB">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5DD1600C">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445E9B41">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7C76DFDB">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7776CD31">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23AABBBA">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0.75（含）-0.9</w:t>
            </w:r>
          </w:p>
        </w:tc>
        <w:tc>
          <w:tcPr>
            <w:tcW w:w="863" w:type="pct"/>
            <w:shd w:val="clear" w:color="000000" w:fill="FFFFFF"/>
            <w:vAlign w:val="center"/>
          </w:tcPr>
          <w:p w14:paraId="67F089D6">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项目立项的审批文件、材料与相关要求的相符性较高</w:t>
            </w:r>
          </w:p>
        </w:tc>
        <w:tc>
          <w:tcPr>
            <w:tcW w:w="285" w:type="pct"/>
            <w:vMerge w:val="continue"/>
            <w:vAlign w:val="center"/>
          </w:tcPr>
          <w:p w14:paraId="11E4CA96">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113C88EE">
            <w:pPr>
              <w:widowControl/>
              <w:adjustRightInd w:val="0"/>
              <w:snapToGrid w:val="0"/>
              <w:spacing w:line="240" w:lineRule="auto"/>
              <w:ind w:firstLine="400"/>
              <w:rPr>
                <w:rFonts w:hint="eastAsia" w:ascii="宋体" w:hAnsi="宋体" w:cs="宋体"/>
                <w:kern w:val="0"/>
                <w:sz w:val="20"/>
                <w:szCs w:val="20"/>
              </w:rPr>
            </w:pPr>
          </w:p>
        </w:tc>
      </w:tr>
      <w:tr w14:paraId="4FE8A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58D8CCDE">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10385863">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5CA38B7B">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092ACC66">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49F008F2">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189405FB">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01B62E67">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451ECC15">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0.6（含）-0.75</w:t>
            </w:r>
          </w:p>
        </w:tc>
        <w:tc>
          <w:tcPr>
            <w:tcW w:w="863" w:type="pct"/>
            <w:shd w:val="clear" w:color="000000" w:fill="FFFFFF"/>
            <w:vAlign w:val="center"/>
          </w:tcPr>
          <w:p w14:paraId="498810FB">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项目立项的审批文件、材料与相关要求的相符性一般</w:t>
            </w:r>
          </w:p>
        </w:tc>
        <w:tc>
          <w:tcPr>
            <w:tcW w:w="285" w:type="pct"/>
            <w:vMerge w:val="continue"/>
            <w:vAlign w:val="center"/>
          </w:tcPr>
          <w:p w14:paraId="04004561">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197245B3">
            <w:pPr>
              <w:widowControl/>
              <w:adjustRightInd w:val="0"/>
              <w:snapToGrid w:val="0"/>
              <w:spacing w:line="240" w:lineRule="auto"/>
              <w:ind w:firstLine="400"/>
              <w:rPr>
                <w:rFonts w:hint="eastAsia" w:ascii="宋体" w:hAnsi="宋体" w:cs="宋体"/>
                <w:kern w:val="0"/>
                <w:sz w:val="20"/>
                <w:szCs w:val="20"/>
              </w:rPr>
            </w:pPr>
          </w:p>
        </w:tc>
      </w:tr>
      <w:tr w14:paraId="7977E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jc w:val="center"/>
        </w:trPr>
        <w:tc>
          <w:tcPr>
            <w:tcW w:w="279" w:type="pct"/>
            <w:vMerge w:val="continue"/>
            <w:vAlign w:val="center"/>
          </w:tcPr>
          <w:p w14:paraId="2B0E6A42">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630F327A">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59105D9E">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63E4546E">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4987FE97">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013EBFA6">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5F4B0025">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5B51782A">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0（含）-0.6</w:t>
            </w:r>
          </w:p>
        </w:tc>
        <w:tc>
          <w:tcPr>
            <w:tcW w:w="863" w:type="pct"/>
            <w:shd w:val="clear" w:color="000000" w:fill="FFFFFF"/>
            <w:vAlign w:val="center"/>
          </w:tcPr>
          <w:p w14:paraId="5F7BB7B3">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项目立项的审批文件、材料与相关要求不相符</w:t>
            </w:r>
          </w:p>
        </w:tc>
        <w:tc>
          <w:tcPr>
            <w:tcW w:w="285" w:type="pct"/>
            <w:vMerge w:val="continue"/>
            <w:vAlign w:val="center"/>
          </w:tcPr>
          <w:p w14:paraId="28434311">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3770B260">
            <w:pPr>
              <w:widowControl/>
              <w:adjustRightInd w:val="0"/>
              <w:snapToGrid w:val="0"/>
              <w:spacing w:line="240" w:lineRule="auto"/>
              <w:ind w:firstLine="400"/>
              <w:rPr>
                <w:rFonts w:hint="eastAsia" w:ascii="宋体" w:hAnsi="宋体" w:cs="宋体"/>
                <w:kern w:val="0"/>
                <w:sz w:val="20"/>
                <w:szCs w:val="20"/>
              </w:rPr>
            </w:pPr>
          </w:p>
        </w:tc>
      </w:tr>
      <w:tr w14:paraId="3C496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279" w:type="pct"/>
            <w:vMerge w:val="continue"/>
            <w:vAlign w:val="center"/>
          </w:tcPr>
          <w:p w14:paraId="07D22C8B">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25038FF6">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14B6A471">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3DCF2EE2">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restart"/>
            <w:shd w:val="clear" w:color="000000" w:fill="FFFFFF"/>
            <w:vAlign w:val="center"/>
          </w:tcPr>
          <w:p w14:paraId="504677E8">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项目立项决策结果的合理性</w:t>
            </w:r>
          </w:p>
        </w:tc>
        <w:tc>
          <w:tcPr>
            <w:tcW w:w="218" w:type="pct"/>
            <w:vMerge w:val="restart"/>
            <w:shd w:val="clear" w:color="000000" w:fill="FFFFFF"/>
            <w:vAlign w:val="center"/>
          </w:tcPr>
          <w:p w14:paraId="3A72D706">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w:t>
            </w:r>
          </w:p>
        </w:tc>
        <w:tc>
          <w:tcPr>
            <w:tcW w:w="772" w:type="pct"/>
            <w:vMerge w:val="restart"/>
            <w:shd w:val="clear" w:color="000000" w:fill="FFFFFF"/>
            <w:vAlign w:val="center"/>
          </w:tcPr>
          <w:p w14:paraId="62AFCF8E">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事前是否已经过必要的可行性研究、专家论证、风险评估、绩效评估、集体决策</w:t>
            </w:r>
          </w:p>
        </w:tc>
        <w:tc>
          <w:tcPr>
            <w:tcW w:w="556" w:type="pct"/>
            <w:shd w:val="clear" w:color="auto" w:fill="auto"/>
            <w:vAlign w:val="center"/>
          </w:tcPr>
          <w:p w14:paraId="0DBA5447">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0.9（含）-1.0</w:t>
            </w:r>
          </w:p>
        </w:tc>
        <w:tc>
          <w:tcPr>
            <w:tcW w:w="863" w:type="pct"/>
            <w:shd w:val="clear" w:color="auto" w:fill="auto"/>
            <w:vAlign w:val="center"/>
          </w:tcPr>
          <w:p w14:paraId="403FEB87">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严格履行相关立项决策程序，决策过程有效，项目申报程序规范，可行性研究、专家论证、风险评估、绩效评估、集体决策等申报资料完整</w:t>
            </w:r>
          </w:p>
        </w:tc>
        <w:tc>
          <w:tcPr>
            <w:tcW w:w="285" w:type="pct"/>
            <w:vMerge w:val="restart"/>
            <w:shd w:val="clear" w:color="auto" w:fill="auto"/>
            <w:noWrap/>
            <w:vAlign w:val="center"/>
          </w:tcPr>
          <w:p w14:paraId="6F3B7BAC">
            <w:pPr>
              <w:widowControl/>
              <w:adjustRightInd w:val="0"/>
              <w:snapToGrid w:val="0"/>
              <w:spacing w:line="240" w:lineRule="auto"/>
              <w:ind w:firstLine="0" w:firstLineChars="0"/>
              <w:jc w:val="center"/>
              <w:rPr>
                <w:rFonts w:hint="eastAsia" w:ascii="宋体" w:hAnsi="宋体" w:cs="宋体"/>
                <w:kern w:val="0"/>
                <w:sz w:val="20"/>
                <w:szCs w:val="20"/>
              </w:rPr>
            </w:pPr>
            <w:r>
              <w:rPr>
                <w:rFonts w:ascii="宋体" w:hAnsi="宋体" w:cs="宋体"/>
                <w:kern w:val="0"/>
                <w:sz w:val="20"/>
                <w:szCs w:val="20"/>
              </w:rPr>
              <w:t>1</w:t>
            </w:r>
          </w:p>
        </w:tc>
        <w:tc>
          <w:tcPr>
            <w:tcW w:w="585" w:type="pct"/>
            <w:vMerge w:val="restart"/>
            <w:shd w:val="clear" w:color="auto" w:fill="auto"/>
            <w:noWrap/>
            <w:vAlign w:val="center"/>
          </w:tcPr>
          <w:p w14:paraId="58046953">
            <w:pPr>
              <w:widowControl/>
              <w:adjustRightInd w:val="0"/>
              <w:snapToGrid w:val="0"/>
              <w:spacing w:line="240" w:lineRule="auto"/>
              <w:ind w:firstLine="400"/>
              <w:jc w:val="center"/>
              <w:rPr>
                <w:rFonts w:hint="eastAsia" w:ascii="宋体" w:hAnsi="宋体" w:cs="宋体"/>
                <w:kern w:val="0"/>
                <w:sz w:val="20"/>
                <w:szCs w:val="20"/>
              </w:rPr>
            </w:pPr>
          </w:p>
        </w:tc>
      </w:tr>
      <w:tr w14:paraId="7CBBB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279" w:type="pct"/>
            <w:vMerge w:val="continue"/>
            <w:vAlign w:val="center"/>
          </w:tcPr>
          <w:p w14:paraId="672B63D7">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06A22A5E">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164003E9">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30E2B81E">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04BE32C4">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0FAE30D8">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28948551">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64CB4CC4">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0.75（含）-0.9</w:t>
            </w:r>
          </w:p>
        </w:tc>
        <w:tc>
          <w:tcPr>
            <w:tcW w:w="863" w:type="pct"/>
            <w:shd w:val="clear" w:color="auto" w:fill="auto"/>
            <w:vAlign w:val="center"/>
          </w:tcPr>
          <w:p w14:paraId="664CDAF6">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履行了相关决策程序，决策过程较为有效，可行性研究、专家论证、风险评估、绩效评估、集体决策等申报资料较为完整</w:t>
            </w:r>
          </w:p>
        </w:tc>
        <w:tc>
          <w:tcPr>
            <w:tcW w:w="285" w:type="pct"/>
            <w:vMerge w:val="continue"/>
            <w:vAlign w:val="center"/>
          </w:tcPr>
          <w:p w14:paraId="2D78EE74">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13609EE0">
            <w:pPr>
              <w:widowControl/>
              <w:adjustRightInd w:val="0"/>
              <w:snapToGrid w:val="0"/>
              <w:spacing w:line="240" w:lineRule="auto"/>
              <w:ind w:firstLine="400"/>
              <w:rPr>
                <w:rFonts w:hint="eastAsia" w:ascii="宋体" w:hAnsi="宋体" w:cs="宋体"/>
                <w:kern w:val="0"/>
                <w:sz w:val="20"/>
                <w:szCs w:val="20"/>
              </w:rPr>
            </w:pPr>
          </w:p>
        </w:tc>
      </w:tr>
      <w:tr w14:paraId="73EF2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279" w:type="pct"/>
            <w:vMerge w:val="continue"/>
            <w:vAlign w:val="center"/>
          </w:tcPr>
          <w:p w14:paraId="49481FD4">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6EF9E9F2">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0490D244">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42DF3D2A">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093A5285">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1D7C7F20">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4C25BB0D">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5E85C60D">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0.6（含）-0.75</w:t>
            </w:r>
          </w:p>
        </w:tc>
        <w:tc>
          <w:tcPr>
            <w:tcW w:w="863" w:type="pct"/>
            <w:shd w:val="clear" w:color="auto" w:fill="auto"/>
            <w:vAlign w:val="center"/>
          </w:tcPr>
          <w:p w14:paraId="4D0BC2E1">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履行了相关决策程序，决策过程的有效性有待提高，决策结果科学性一般；履行了项目申报程序，并提交了可行性研究、专家论证、风险评估、绩效评估、集体决策等相应申报资料</w:t>
            </w:r>
          </w:p>
        </w:tc>
        <w:tc>
          <w:tcPr>
            <w:tcW w:w="285" w:type="pct"/>
            <w:vMerge w:val="continue"/>
            <w:vAlign w:val="center"/>
          </w:tcPr>
          <w:p w14:paraId="574009A1">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4EBE41CD">
            <w:pPr>
              <w:widowControl/>
              <w:adjustRightInd w:val="0"/>
              <w:snapToGrid w:val="0"/>
              <w:spacing w:line="240" w:lineRule="auto"/>
              <w:ind w:firstLine="400"/>
              <w:rPr>
                <w:rFonts w:hint="eastAsia" w:ascii="宋体" w:hAnsi="宋体" w:cs="宋体"/>
                <w:kern w:val="0"/>
                <w:sz w:val="20"/>
                <w:szCs w:val="20"/>
              </w:rPr>
            </w:pPr>
          </w:p>
        </w:tc>
      </w:tr>
      <w:tr w14:paraId="2EA74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279" w:type="pct"/>
            <w:vMerge w:val="continue"/>
            <w:vAlign w:val="center"/>
          </w:tcPr>
          <w:p w14:paraId="38B4F038">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10706F16">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44625132">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0AD1B978">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2AC4DCF4">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5D5D447F">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5E199D64">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17B7FCB1">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0（含）-0.6</w:t>
            </w:r>
          </w:p>
        </w:tc>
        <w:tc>
          <w:tcPr>
            <w:tcW w:w="863" w:type="pct"/>
            <w:shd w:val="clear" w:color="auto" w:fill="auto"/>
            <w:vAlign w:val="center"/>
          </w:tcPr>
          <w:p w14:paraId="0865D358">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未履行相关决策程序，决策过程流于形式，决策结果缺乏科学性；未履行项目申报程序，可行性研究、专家论证、风险评估、绩效评估、集体决策等申报资料不完整</w:t>
            </w:r>
          </w:p>
        </w:tc>
        <w:tc>
          <w:tcPr>
            <w:tcW w:w="285" w:type="pct"/>
            <w:vMerge w:val="continue"/>
            <w:vAlign w:val="center"/>
          </w:tcPr>
          <w:p w14:paraId="45697D8F">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7B029F54">
            <w:pPr>
              <w:widowControl/>
              <w:adjustRightInd w:val="0"/>
              <w:snapToGrid w:val="0"/>
              <w:spacing w:line="240" w:lineRule="auto"/>
              <w:ind w:firstLine="400"/>
              <w:rPr>
                <w:rFonts w:hint="eastAsia" w:ascii="宋体" w:hAnsi="宋体" w:cs="宋体"/>
                <w:kern w:val="0"/>
                <w:sz w:val="20"/>
                <w:szCs w:val="20"/>
              </w:rPr>
            </w:pPr>
          </w:p>
        </w:tc>
      </w:tr>
      <w:tr w14:paraId="1FC79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279" w:type="pct"/>
            <w:vMerge w:val="continue"/>
            <w:vAlign w:val="center"/>
          </w:tcPr>
          <w:p w14:paraId="62161D06">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restart"/>
            <w:shd w:val="clear" w:color="000000" w:fill="FFFFFF"/>
            <w:vAlign w:val="center"/>
          </w:tcPr>
          <w:p w14:paraId="0564602D">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绩效目标</w:t>
            </w:r>
          </w:p>
        </w:tc>
        <w:tc>
          <w:tcPr>
            <w:tcW w:w="389" w:type="pct"/>
            <w:vMerge w:val="restart"/>
            <w:shd w:val="clear" w:color="000000" w:fill="FFFFFF"/>
            <w:vAlign w:val="center"/>
          </w:tcPr>
          <w:p w14:paraId="76CA4E86">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绩效目标合理性</w:t>
            </w:r>
          </w:p>
        </w:tc>
        <w:tc>
          <w:tcPr>
            <w:tcW w:w="218" w:type="pct"/>
            <w:vMerge w:val="restart"/>
            <w:shd w:val="clear" w:color="000000" w:fill="FFFFFF"/>
            <w:vAlign w:val="center"/>
          </w:tcPr>
          <w:p w14:paraId="4A336304">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2</w:t>
            </w:r>
          </w:p>
        </w:tc>
        <w:tc>
          <w:tcPr>
            <w:tcW w:w="467" w:type="pct"/>
            <w:vMerge w:val="restart"/>
            <w:shd w:val="clear" w:color="000000" w:fill="FFFFFF"/>
            <w:vAlign w:val="center"/>
          </w:tcPr>
          <w:p w14:paraId="306A5F81">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绩效目标合理性</w:t>
            </w:r>
          </w:p>
        </w:tc>
        <w:tc>
          <w:tcPr>
            <w:tcW w:w="218" w:type="pct"/>
            <w:vMerge w:val="restart"/>
            <w:shd w:val="clear" w:color="000000" w:fill="FFFFFF"/>
            <w:vAlign w:val="center"/>
          </w:tcPr>
          <w:p w14:paraId="7BDEA38A">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2</w:t>
            </w:r>
          </w:p>
        </w:tc>
        <w:tc>
          <w:tcPr>
            <w:tcW w:w="772" w:type="pct"/>
            <w:vMerge w:val="restart"/>
            <w:shd w:val="clear" w:color="000000" w:fill="FFFFFF"/>
            <w:vAlign w:val="center"/>
          </w:tcPr>
          <w:p w14:paraId="2734D082">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是否有绩效目标（如未设定预算绩效目标，可考核其他工作任务目标）；项目绩效目标与实际工作内容是否具有相关性；项目预期产出效益和效果是否符合正常的业绩水平；是否与预算确定的项目投资额或资金量相匹配。</w:t>
            </w:r>
          </w:p>
        </w:tc>
        <w:tc>
          <w:tcPr>
            <w:tcW w:w="556" w:type="pct"/>
            <w:shd w:val="clear" w:color="auto" w:fill="auto"/>
            <w:vAlign w:val="center"/>
          </w:tcPr>
          <w:p w14:paraId="302FC9F1">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1.8（含）-2.0</w:t>
            </w:r>
          </w:p>
        </w:tc>
        <w:tc>
          <w:tcPr>
            <w:tcW w:w="863" w:type="pct"/>
            <w:shd w:val="clear" w:color="auto" w:fill="auto"/>
            <w:vAlign w:val="center"/>
          </w:tcPr>
          <w:p w14:paraId="3462FDAA">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绩效目标的设立合理、可行，与实际工作内容相关性强，项目预期产出效益和效果与正常业绩水平的相符性强，与预算确定的项目投资额或资金量的匹配性高</w:t>
            </w:r>
          </w:p>
        </w:tc>
        <w:tc>
          <w:tcPr>
            <w:tcW w:w="285" w:type="pct"/>
            <w:vMerge w:val="restart"/>
            <w:shd w:val="clear" w:color="auto" w:fill="auto"/>
            <w:noWrap/>
            <w:vAlign w:val="center"/>
          </w:tcPr>
          <w:p w14:paraId="54AA37CD">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2</w:t>
            </w:r>
          </w:p>
        </w:tc>
        <w:tc>
          <w:tcPr>
            <w:tcW w:w="585" w:type="pct"/>
            <w:vMerge w:val="restart"/>
            <w:shd w:val="clear" w:color="auto" w:fill="auto"/>
            <w:noWrap/>
            <w:vAlign w:val="center"/>
          </w:tcPr>
          <w:p w14:paraId="212B9388">
            <w:pPr>
              <w:widowControl/>
              <w:adjustRightInd w:val="0"/>
              <w:snapToGrid w:val="0"/>
              <w:spacing w:line="240" w:lineRule="auto"/>
              <w:ind w:firstLine="0" w:firstLineChars="0"/>
              <w:rPr>
                <w:rFonts w:hint="eastAsia" w:ascii="宋体" w:hAnsi="宋体" w:cs="宋体"/>
                <w:kern w:val="0"/>
                <w:sz w:val="20"/>
                <w:szCs w:val="20"/>
              </w:rPr>
            </w:pPr>
          </w:p>
        </w:tc>
      </w:tr>
      <w:tr w14:paraId="4EDE2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279" w:type="pct"/>
            <w:vMerge w:val="continue"/>
            <w:vAlign w:val="center"/>
          </w:tcPr>
          <w:p w14:paraId="47DEE59C">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4D1B7EFE">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32E3B0A3">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63FC394D">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5E2F21E0">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51338596">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4098A4F5">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3AFD2033">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1.5（含）-1.8</w:t>
            </w:r>
          </w:p>
        </w:tc>
        <w:tc>
          <w:tcPr>
            <w:tcW w:w="863" w:type="pct"/>
            <w:shd w:val="clear" w:color="auto" w:fill="auto"/>
            <w:vAlign w:val="center"/>
          </w:tcPr>
          <w:p w14:paraId="1BC90C29">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绩效目标的设立比较合理、可行，与实际工作内容相关性较强，项目预期产出效益和效果与正常业绩水平的相符性较强，与预算确定的项目投资额或资金量的匹配性较高</w:t>
            </w:r>
          </w:p>
        </w:tc>
        <w:tc>
          <w:tcPr>
            <w:tcW w:w="285" w:type="pct"/>
            <w:vMerge w:val="continue"/>
            <w:vAlign w:val="center"/>
          </w:tcPr>
          <w:p w14:paraId="0AE44D40">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7374473F">
            <w:pPr>
              <w:widowControl/>
              <w:adjustRightInd w:val="0"/>
              <w:snapToGrid w:val="0"/>
              <w:spacing w:line="240" w:lineRule="auto"/>
              <w:ind w:firstLine="400"/>
              <w:rPr>
                <w:rFonts w:hint="eastAsia" w:ascii="宋体" w:hAnsi="宋体" w:cs="宋体"/>
                <w:kern w:val="0"/>
                <w:sz w:val="20"/>
                <w:szCs w:val="20"/>
              </w:rPr>
            </w:pPr>
          </w:p>
        </w:tc>
      </w:tr>
      <w:tr w14:paraId="67AA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279" w:type="pct"/>
            <w:vMerge w:val="continue"/>
            <w:vAlign w:val="center"/>
          </w:tcPr>
          <w:p w14:paraId="3AD17CDA">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11AF77A3">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138D63C9">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3239D902">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7046E409">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6AA723F4">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291B3D0E">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15020DC4">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1.2（含）-1.5</w:t>
            </w:r>
          </w:p>
        </w:tc>
        <w:tc>
          <w:tcPr>
            <w:tcW w:w="863" w:type="pct"/>
            <w:shd w:val="clear" w:color="auto" w:fill="auto"/>
            <w:vAlign w:val="center"/>
          </w:tcPr>
          <w:p w14:paraId="0AD6DD37">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绩效目标的设立基本合理、可行，与实际工作内容相关性一般，项目预期产出效益和效果与正常业绩水平的相符性一般，与预算确定的项目投资额或资金量的匹配性一般</w:t>
            </w:r>
          </w:p>
        </w:tc>
        <w:tc>
          <w:tcPr>
            <w:tcW w:w="285" w:type="pct"/>
            <w:vMerge w:val="continue"/>
            <w:vAlign w:val="center"/>
          </w:tcPr>
          <w:p w14:paraId="6FF1459E">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1608B8E9">
            <w:pPr>
              <w:widowControl/>
              <w:adjustRightInd w:val="0"/>
              <w:snapToGrid w:val="0"/>
              <w:spacing w:line="240" w:lineRule="auto"/>
              <w:ind w:firstLine="400"/>
              <w:rPr>
                <w:rFonts w:hint="eastAsia" w:ascii="宋体" w:hAnsi="宋体" w:cs="宋体"/>
                <w:kern w:val="0"/>
                <w:sz w:val="20"/>
                <w:szCs w:val="20"/>
              </w:rPr>
            </w:pPr>
          </w:p>
        </w:tc>
      </w:tr>
      <w:tr w14:paraId="1F1A6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279" w:type="pct"/>
            <w:vMerge w:val="continue"/>
            <w:vAlign w:val="center"/>
          </w:tcPr>
          <w:p w14:paraId="116B55F9">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5DCDDF16">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3DF44095">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5E5E7C0E">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69C9FC73">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04E6C00B">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23620791">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02C9078B">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0（含）-1.2</w:t>
            </w:r>
          </w:p>
        </w:tc>
        <w:tc>
          <w:tcPr>
            <w:tcW w:w="863" w:type="pct"/>
            <w:shd w:val="clear" w:color="auto" w:fill="auto"/>
            <w:vAlign w:val="center"/>
          </w:tcPr>
          <w:p w14:paraId="75330602">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绩效目标的设立不太合理、可行，缺乏与实际工作内容的相关性，项目预期产出效益和效果缺乏与正常业绩水平的相符性，缺乏与预算确定的项目投资额或资金量的匹配性</w:t>
            </w:r>
          </w:p>
        </w:tc>
        <w:tc>
          <w:tcPr>
            <w:tcW w:w="285" w:type="pct"/>
            <w:vMerge w:val="continue"/>
            <w:vAlign w:val="center"/>
          </w:tcPr>
          <w:p w14:paraId="417A6281">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0F21CF4D">
            <w:pPr>
              <w:widowControl/>
              <w:adjustRightInd w:val="0"/>
              <w:snapToGrid w:val="0"/>
              <w:spacing w:line="240" w:lineRule="auto"/>
              <w:ind w:firstLine="400"/>
              <w:rPr>
                <w:rFonts w:hint="eastAsia" w:ascii="宋体" w:hAnsi="宋体" w:cs="宋体"/>
                <w:kern w:val="0"/>
                <w:sz w:val="20"/>
                <w:szCs w:val="20"/>
              </w:rPr>
            </w:pPr>
          </w:p>
        </w:tc>
      </w:tr>
      <w:tr w14:paraId="3D2E0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53086C94">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053A58F7">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restart"/>
            <w:shd w:val="clear" w:color="000000" w:fill="FFFFFF"/>
            <w:vAlign w:val="center"/>
          </w:tcPr>
          <w:p w14:paraId="2A739E20">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绩效指标明确性</w:t>
            </w:r>
          </w:p>
        </w:tc>
        <w:tc>
          <w:tcPr>
            <w:tcW w:w="218" w:type="pct"/>
            <w:vMerge w:val="restart"/>
            <w:shd w:val="clear" w:color="000000" w:fill="FFFFFF"/>
            <w:vAlign w:val="center"/>
          </w:tcPr>
          <w:p w14:paraId="3085F36A">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w:t>
            </w:r>
          </w:p>
        </w:tc>
        <w:tc>
          <w:tcPr>
            <w:tcW w:w="467" w:type="pct"/>
            <w:vMerge w:val="restart"/>
            <w:shd w:val="clear" w:color="000000" w:fill="FFFFFF"/>
            <w:vAlign w:val="center"/>
          </w:tcPr>
          <w:p w14:paraId="1DD7EF6B">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绩效指标明确性</w:t>
            </w:r>
          </w:p>
        </w:tc>
        <w:tc>
          <w:tcPr>
            <w:tcW w:w="218" w:type="pct"/>
            <w:vMerge w:val="restart"/>
            <w:shd w:val="clear" w:color="000000" w:fill="FFFFFF"/>
            <w:vAlign w:val="center"/>
          </w:tcPr>
          <w:p w14:paraId="0008A169">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w:t>
            </w:r>
          </w:p>
        </w:tc>
        <w:tc>
          <w:tcPr>
            <w:tcW w:w="772" w:type="pct"/>
            <w:vMerge w:val="restart"/>
            <w:shd w:val="clear" w:color="000000" w:fill="FFFFFF"/>
            <w:vAlign w:val="center"/>
          </w:tcPr>
          <w:p w14:paraId="6624DBD6">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是否将项目绩效目标细化分解为具体的绩效指标；是否通过清晰、可衡量的指标值予以体现；是否与项目目标任务数或计划数相对应。</w:t>
            </w:r>
          </w:p>
        </w:tc>
        <w:tc>
          <w:tcPr>
            <w:tcW w:w="556" w:type="pct"/>
            <w:shd w:val="clear" w:color="auto" w:fill="auto"/>
            <w:vAlign w:val="center"/>
          </w:tcPr>
          <w:p w14:paraId="2F127E68">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0.9（含）-1.0</w:t>
            </w:r>
          </w:p>
        </w:tc>
        <w:tc>
          <w:tcPr>
            <w:tcW w:w="863" w:type="pct"/>
            <w:shd w:val="clear" w:color="auto" w:fill="auto"/>
            <w:vAlign w:val="center"/>
          </w:tcPr>
          <w:p w14:paraId="73881ED7">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绩效指标充分细化、量化、清晰、可衡量，与项目目标任务数或计划数的对应性强</w:t>
            </w:r>
          </w:p>
        </w:tc>
        <w:tc>
          <w:tcPr>
            <w:tcW w:w="285" w:type="pct"/>
            <w:vMerge w:val="restart"/>
            <w:shd w:val="clear" w:color="auto" w:fill="auto"/>
            <w:noWrap/>
            <w:vAlign w:val="center"/>
          </w:tcPr>
          <w:p w14:paraId="48140DC0">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w:t>
            </w:r>
          </w:p>
        </w:tc>
        <w:tc>
          <w:tcPr>
            <w:tcW w:w="585" w:type="pct"/>
            <w:vMerge w:val="restart"/>
            <w:shd w:val="clear" w:color="auto" w:fill="auto"/>
            <w:noWrap/>
            <w:vAlign w:val="center"/>
          </w:tcPr>
          <w:p w14:paraId="44604B1A">
            <w:pPr>
              <w:widowControl/>
              <w:adjustRightInd w:val="0"/>
              <w:snapToGrid w:val="0"/>
              <w:spacing w:line="240" w:lineRule="auto"/>
              <w:ind w:firstLine="0" w:firstLineChars="0"/>
              <w:rPr>
                <w:rFonts w:hint="eastAsia" w:ascii="宋体" w:hAnsi="宋体" w:cs="宋体"/>
                <w:kern w:val="0"/>
                <w:sz w:val="20"/>
                <w:szCs w:val="20"/>
              </w:rPr>
            </w:pPr>
          </w:p>
        </w:tc>
      </w:tr>
      <w:tr w14:paraId="2C23A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2908221D">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38118A0D">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13E9F48F">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1157D1A4">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71124330">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64A874A2">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2D8F4FC8">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6DF478D4">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0.75（含）-0.9</w:t>
            </w:r>
          </w:p>
        </w:tc>
        <w:tc>
          <w:tcPr>
            <w:tcW w:w="863" w:type="pct"/>
            <w:shd w:val="clear" w:color="auto" w:fill="auto"/>
            <w:vAlign w:val="center"/>
          </w:tcPr>
          <w:p w14:paraId="56CC60AA">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绩效指标比较细化、量化、清晰、可衡量，与项目目标任务数或计划数的对应性较强</w:t>
            </w:r>
          </w:p>
        </w:tc>
        <w:tc>
          <w:tcPr>
            <w:tcW w:w="285" w:type="pct"/>
            <w:vMerge w:val="continue"/>
            <w:vAlign w:val="center"/>
          </w:tcPr>
          <w:p w14:paraId="79A53923">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528DFCAF">
            <w:pPr>
              <w:widowControl/>
              <w:adjustRightInd w:val="0"/>
              <w:snapToGrid w:val="0"/>
              <w:spacing w:line="240" w:lineRule="auto"/>
              <w:ind w:firstLine="400"/>
              <w:rPr>
                <w:rFonts w:hint="eastAsia" w:ascii="宋体" w:hAnsi="宋体" w:cs="宋体"/>
                <w:kern w:val="0"/>
                <w:sz w:val="20"/>
                <w:szCs w:val="20"/>
              </w:rPr>
            </w:pPr>
          </w:p>
        </w:tc>
      </w:tr>
      <w:tr w14:paraId="6BD22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6DE0F497">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6A143EE9">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25BE6CCD">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1560CD7E">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3DB80628">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57D10CE3">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09E850F0">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3075ACF4">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0.6（含）-0.75</w:t>
            </w:r>
          </w:p>
        </w:tc>
        <w:tc>
          <w:tcPr>
            <w:tcW w:w="863" w:type="pct"/>
            <w:shd w:val="clear" w:color="auto" w:fill="auto"/>
            <w:vAlign w:val="center"/>
          </w:tcPr>
          <w:p w14:paraId="2D78D519">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绩效指标需要进一步细化、量化，与项目目标任务数或计划数的对应性一般</w:t>
            </w:r>
          </w:p>
        </w:tc>
        <w:tc>
          <w:tcPr>
            <w:tcW w:w="285" w:type="pct"/>
            <w:vMerge w:val="continue"/>
            <w:vAlign w:val="center"/>
          </w:tcPr>
          <w:p w14:paraId="0F93EC5D">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38DF5BD1">
            <w:pPr>
              <w:widowControl/>
              <w:adjustRightInd w:val="0"/>
              <w:snapToGrid w:val="0"/>
              <w:spacing w:line="240" w:lineRule="auto"/>
              <w:ind w:firstLine="400"/>
              <w:rPr>
                <w:rFonts w:hint="eastAsia" w:ascii="宋体" w:hAnsi="宋体" w:cs="宋体"/>
                <w:kern w:val="0"/>
                <w:sz w:val="20"/>
                <w:szCs w:val="20"/>
              </w:rPr>
            </w:pPr>
          </w:p>
        </w:tc>
      </w:tr>
      <w:tr w14:paraId="1A1A8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77E0C881">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057906A9">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0F01365F">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3C8F9E19">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6CB0F8C6">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5C44C002">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54870523">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5ADCE595">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0（含）-0.6</w:t>
            </w:r>
          </w:p>
        </w:tc>
        <w:tc>
          <w:tcPr>
            <w:tcW w:w="863" w:type="pct"/>
            <w:shd w:val="clear" w:color="auto" w:fill="auto"/>
            <w:vAlign w:val="center"/>
          </w:tcPr>
          <w:p w14:paraId="6760651C">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绩效目标不够细化、量化，或未设定量化、细化指标，缺乏与项目目标任务数或计划数的对应性</w:t>
            </w:r>
          </w:p>
        </w:tc>
        <w:tc>
          <w:tcPr>
            <w:tcW w:w="285" w:type="pct"/>
            <w:vMerge w:val="continue"/>
            <w:vAlign w:val="center"/>
          </w:tcPr>
          <w:p w14:paraId="7813D728">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2C3220A1">
            <w:pPr>
              <w:widowControl/>
              <w:adjustRightInd w:val="0"/>
              <w:snapToGrid w:val="0"/>
              <w:spacing w:line="240" w:lineRule="auto"/>
              <w:ind w:firstLine="400"/>
              <w:rPr>
                <w:rFonts w:hint="eastAsia" w:ascii="宋体" w:hAnsi="宋体" w:cs="宋体"/>
                <w:kern w:val="0"/>
                <w:sz w:val="20"/>
                <w:szCs w:val="20"/>
              </w:rPr>
            </w:pPr>
          </w:p>
        </w:tc>
      </w:tr>
      <w:tr w14:paraId="17D6C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06BF7B4C">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restart"/>
            <w:shd w:val="clear" w:color="000000" w:fill="FFFFFF"/>
            <w:vAlign w:val="center"/>
          </w:tcPr>
          <w:p w14:paraId="7AE9D8D0">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资金投入</w:t>
            </w:r>
          </w:p>
        </w:tc>
        <w:tc>
          <w:tcPr>
            <w:tcW w:w="389" w:type="pct"/>
            <w:vMerge w:val="restart"/>
            <w:shd w:val="clear" w:color="000000" w:fill="FFFFFF"/>
            <w:vAlign w:val="center"/>
          </w:tcPr>
          <w:p w14:paraId="782FAB54">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预算编制科学性</w:t>
            </w:r>
          </w:p>
        </w:tc>
        <w:tc>
          <w:tcPr>
            <w:tcW w:w="218" w:type="pct"/>
            <w:vMerge w:val="restart"/>
            <w:shd w:val="clear" w:color="000000" w:fill="FFFFFF"/>
            <w:vAlign w:val="center"/>
          </w:tcPr>
          <w:p w14:paraId="57CCBAD0">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w:t>
            </w:r>
          </w:p>
        </w:tc>
        <w:tc>
          <w:tcPr>
            <w:tcW w:w="467" w:type="pct"/>
            <w:vMerge w:val="restart"/>
            <w:shd w:val="clear" w:color="000000" w:fill="FFFFFF"/>
            <w:vAlign w:val="center"/>
          </w:tcPr>
          <w:p w14:paraId="64279CCB">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预算编制科学性</w:t>
            </w:r>
          </w:p>
        </w:tc>
        <w:tc>
          <w:tcPr>
            <w:tcW w:w="218" w:type="pct"/>
            <w:vMerge w:val="restart"/>
            <w:shd w:val="clear" w:color="000000" w:fill="FFFFFF"/>
            <w:vAlign w:val="center"/>
          </w:tcPr>
          <w:p w14:paraId="5EB712C7">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w:t>
            </w:r>
          </w:p>
        </w:tc>
        <w:tc>
          <w:tcPr>
            <w:tcW w:w="772" w:type="pct"/>
            <w:vMerge w:val="restart"/>
            <w:shd w:val="clear" w:color="000000" w:fill="FFFFFF"/>
            <w:vAlign w:val="center"/>
          </w:tcPr>
          <w:p w14:paraId="30583FE0">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项目预算编制是否经过科学论证、有明确标准，资金额度与年度目标是否相适应，用以反映和考核项目预算编制的科学性、合理性情况。</w:t>
            </w:r>
          </w:p>
        </w:tc>
        <w:tc>
          <w:tcPr>
            <w:tcW w:w="556" w:type="pct"/>
            <w:shd w:val="clear" w:color="auto" w:fill="auto"/>
            <w:vAlign w:val="center"/>
          </w:tcPr>
          <w:p w14:paraId="44973736">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0.9（含）-1.0</w:t>
            </w:r>
          </w:p>
        </w:tc>
        <w:tc>
          <w:tcPr>
            <w:tcW w:w="863" w:type="pct"/>
            <w:shd w:val="clear" w:color="auto" w:fill="auto"/>
            <w:vAlign w:val="center"/>
          </w:tcPr>
          <w:p w14:paraId="782DED5A">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项目预算编制经过充分的科学论证，资金额度与年度目标适应性强</w:t>
            </w:r>
          </w:p>
        </w:tc>
        <w:tc>
          <w:tcPr>
            <w:tcW w:w="285" w:type="pct"/>
            <w:vMerge w:val="restart"/>
            <w:shd w:val="clear" w:color="auto" w:fill="auto"/>
            <w:noWrap/>
            <w:vAlign w:val="center"/>
          </w:tcPr>
          <w:p w14:paraId="14F794A0">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w:t>
            </w:r>
          </w:p>
        </w:tc>
        <w:tc>
          <w:tcPr>
            <w:tcW w:w="585" w:type="pct"/>
            <w:vMerge w:val="restart"/>
            <w:shd w:val="clear" w:color="auto" w:fill="auto"/>
            <w:noWrap/>
            <w:vAlign w:val="center"/>
          </w:tcPr>
          <w:p w14:paraId="790D8C92">
            <w:pPr>
              <w:widowControl/>
              <w:adjustRightInd w:val="0"/>
              <w:snapToGrid w:val="0"/>
              <w:spacing w:line="240" w:lineRule="auto"/>
              <w:ind w:firstLine="0" w:firstLineChars="0"/>
              <w:rPr>
                <w:rFonts w:hint="eastAsia" w:ascii="宋体" w:hAnsi="宋体" w:cs="宋体"/>
                <w:kern w:val="0"/>
                <w:sz w:val="20"/>
                <w:szCs w:val="20"/>
              </w:rPr>
            </w:pPr>
          </w:p>
        </w:tc>
      </w:tr>
      <w:tr w14:paraId="1643B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252C5994">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31754C59">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7BFEB40A">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754DEF4C">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49E226A0">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03F0B73F">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44B2ADAC">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15BD8BC2">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0.75（含）-0.9</w:t>
            </w:r>
          </w:p>
        </w:tc>
        <w:tc>
          <w:tcPr>
            <w:tcW w:w="863" w:type="pct"/>
            <w:shd w:val="clear" w:color="auto" w:fill="auto"/>
            <w:vAlign w:val="center"/>
          </w:tcPr>
          <w:p w14:paraId="23A75703">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项目预算编制经过较为充分的科学论证，资金额度与年度目标适应性较强</w:t>
            </w:r>
          </w:p>
        </w:tc>
        <w:tc>
          <w:tcPr>
            <w:tcW w:w="285" w:type="pct"/>
            <w:vMerge w:val="continue"/>
            <w:vAlign w:val="center"/>
          </w:tcPr>
          <w:p w14:paraId="65C1D725">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5867841A">
            <w:pPr>
              <w:widowControl/>
              <w:adjustRightInd w:val="0"/>
              <w:snapToGrid w:val="0"/>
              <w:spacing w:line="240" w:lineRule="auto"/>
              <w:ind w:firstLine="400"/>
              <w:rPr>
                <w:rFonts w:hint="eastAsia" w:ascii="宋体" w:hAnsi="宋体" w:cs="宋体"/>
                <w:kern w:val="0"/>
                <w:sz w:val="20"/>
                <w:szCs w:val="20"/>
              </w:rPr>
            </w:pPr>
          </w:p>
        </w:tc>
      </w:tr>
      <w:tr w14:paraId="7E159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3E8C85D4">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2FF6F759">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307BE94D">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1CB1EBE4">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70B35727">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2B235E64">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06E8F979">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32B753F3">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0.6（含）-0.75</w:t>
            </w:r>
          </w:p>
        </w:tc>
        <w:tc>
          <w:tcPr>
            <w:tcW w:w="863" w:type="pct"/>
            <w:shd w:val="clear" w:color="auto" w:fill="auto"/>
            <w:vAlign w:val="center"/>
          </w:tcPr>
          <w:p w14:paraId="3E1C6592">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项目预算编制经过一定的科学论证，资金额度与年度目标适应性一般</w:t>
            </w:r>
          </w:p>
        </w:tc>
        <w:tc>
          <w:tcPr>
            <w:tcW w:w="285" w:type="pct"/>
            <w:vMerge w:val="continue"/>
            <w:vAlign w:val="center"/>
          </w:tcPr>
          <w:p w14:paraId="62717923">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36413185">
            <w:pPr>
              <w:widowControl/>
              <w:adjustRightInd w:val="0"/>
              <w:snapToGrid w:val="0"/>
              <w:spacing w:line="240" w:lineRule="auto"/>
              <w:ind w:firstLine="400"/>
              <w:rPr>
                <w:rFonts w:hint="eastAsia" w:ascii="宋体" w:hAnsi="宋体" w:cs="宋体"/>
                <w:kern w:val="0"/>
                <w:sz w:val="20"/>
                <w:szCs w:val="20"/>
              </w:rPr>
            </w:pPr>
          </w:p>
        </w:tc>
      </w:tr>
      <w:tr w14:paraId="03AA7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1CE292E3">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3B29D0C7">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4E3B329E">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5011A672">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502B5574">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297A2E84">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4F573C98">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60BC675D">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0（含）-0.6</w:t>
            </w:r>
          </w:p>
        </w:tc>
        <w:tc>
          <w:tcPr>
            <w:tcW w:w="863" w:type="pct"/>
            <w:shd w:val="clear" w:color="auto" w:fill="auto"/>
            <w:vAlign w:val="center"/>
          </w:tcPr>
          <w:p w14:paraId="36D633F3">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项目预算编制缺乏科学论证，资金额度与年度目标缺乏适应性</w:t>
            </w:r>
          </w:p>
        </w:tc>
        <w:tc>
          <w:tcPr>
            <w:tcW w:w="285" w:type="pct"/>
            <w:vMerge w:val="continue"/>
            <w:vAlign w:val="center"/>
          </w:tcPr>
          <w:p w14:paraId="5293D0F6">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0BC4457D">
            <w:pPr>
              <w:widowControl/>
              <w:adjustRightInd w:val="0"/>
              <w:snapToGrid w:val="0"/>
              <w:spacing w:line="240" w:lineRule="auto"/>
              <w:ind w:firstLine="400"/>
              <w:rPr>
                <w:rFonts w:hint="eastAsia" w:ascii="宋体" w:hAnsi="宋体" w:cs="宋体"/>
                <w:kern w:val="0"/>
                <w:sz w:val="20"/>
                <w:szCs w:val="20"/>
              </w:rPr>
            </w:pPr>
          </w:p>
        </w:tc>
      </w:tr>
      <w:tr w14:paraId="35D85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279" w:type="pct"/>
            <w:vMerge w:val="continue"/>
            <w:vAlign w:val="center"/>
          </w:tcPr>
          <w:p w14:paraId="3CBA1301">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4977D2F9">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restart"/>
            <w:shd w:val="clear" w:color="000000" w:fill="FFFFFF"/>
            <w:vAlign w:val="center"/>
          </w:tcPr>
          <w:p w14:paraId="14E56A7C">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资金分配合理性</w:t>
            </w:r>
          </w:p>
        </w:tc>
        <w:tc>
          <w:tcPr>
            <w:tcW w:w="218" w:type="pct"/>
            <w:vMerge w:val="restart"/>
            <w:shd w:val="clear" w:color="000000" w:fill="FFFFFF"/>
            <w:vAlign w:val="center"/>
          </w:tcPr>
          <w:p w14:paraId="4032CA39">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w:t>
            </w:r>
          </w:p>
        </w:tc>
        <w:tc>
          <w:tcPr>
            <w:tcW w:w="467" w:type="pct"/>
            <w:vMerge w:val="restart"/>
            <w:shd w:val="clear" w:color="000000" w:fill="FFFFFF"/>
            <w:vAlign w:val="center"/>
          </w:tcPr>
          <w:p w14:paraId="7784C8DE">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资金分配合理性</w:t>
            </w:r>
          </w:p>
        </w:tc>
        <w:tc>
          <w:tcPr>
            <w:tcW w:w="218" w:type="pct"/>
            <w:vMerge w:val="restart"/>
            <w:shd w:val="clear" w:color="000000" w:fill="FFFFFF"/>
            <w:vAlign w:val="center"/>
          </w:tcPr>
          <w:p w14:paraId="3C1AD686">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w:t>
            </w:r>
          </w:p>
        </w:tc>
        <w:tc>
          <w:tcPr>
            <w:tcW w:w="772" w:type="pct"/>
            <w:vMerge w:val="restart"/>
            <w:shd w:val="clear" w:color="000000" w:fill="FFFFFF"/>
            <w:vAlign w:val="center"/>
          </w:tcPr>
          <w:p w14:paraId="6CA49F7B">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项目预算资金分配是否有测算依据，与补助单位或地方实际是否相适应，用以反映和考核项目预算资金分配的科学性、合理性情况。</w:t>
            </w:r>
          </w:p>
        </w:tc>
        <w:tc>
          <w:tcPr>
            <w:tcW w:w="556" w:type="pct"/>
            <w:shd w:val="clear" w:color="auto" w:fill="auto"/>
            <w:vAlign w:val="center"/>
          </w:tcPr>
          <w:p w14:paraId="0287127F">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0.9（含）-1.0</w:t>
            </w:r>
          </w:p>
        </w:tc>
        <w:tc>
          <w:tcPr>
            <w:tcW w:w="863" w:type="pct"/>
            <w:shd w:val="clear" w:color="auto" w:fill="auto"/>
            <w:vAlign w:val="center"/>
          </w:tcPr>
          <w:p w14:paraId="12DD3954">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项目预算资金分配有充分的测算依据，与补助单位或地方实际适应性强</w:t>
            </w:r>
          </w:p>
        </w:tc>
        <w:tc>
          <w:tcPr>
            <w:tcW w:w="285" w:type="pct"/>
            <w:vMerge w:val="restart"/>
            <w:shd w:val="clear" w:color="auto" w:fill="auto"/>
            <w:noWrap/>
            <w:vAlign w:val="center"/>
          </w:tcPr>
          <w:p w14:paraId="4BECFEEB">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w:t>
            </w:r>
          </w:p>
        </w:tc>
        <w:tc>
          <w:tcPr>
            <w:tcW w:w="585" w:type="pct"/>
            <w:vMerge w:val="restart"/>
            <w:shd w:val="clear" w:color="auto" w:fill="auto"/>
            <w:noWrap/>
            <w:vAlign w:val="center"/>
          </w:tcPr>
          <w:p w14:paraId="5DFC5F13">
            <w:pPr>
              <w:widowControl/>
              <w:adjustRightInd w:val="0"/>
              <w:snapToGrid w:val="0"/>
              <w:spacing w:line="240" w:lineRule="auto"/>
              <w:ind w:firstLine="0" w:firstLineChars="0"/>
              <w:rPr>
                <w:rFonts w:hint="eastAsia" w:ascii="宋体" w:hAnsi="宋体" w:cs="宋体"/>
                <w:kern w:val="0"/>
                <w:sz w:val="20"/>
                <w:szCs w:val="20"/>
              </w:rPr>
            </w:pPr>
          </w:p>
        </w:tc>
      </w:tr>
      <w:tr w14:paraId="44F5B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478352CB">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140C04F3">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2C269188">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5EA9CB2C">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32E43CBD">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78FAEBC2">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4D336E28">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4915D7F6">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0.75（含）-0.9</w:t>
            </w:r>
          </w:p>
        </w:tc>
        <w:tc>
          <w:tcPr>
            <w:tcW w:w="863" w:type="pct"/>
            <w:shd w:val="clear" w:color="auto" w:fill="auto"/>
            <w:vAlign w:val="center"/>
          </w:tcPr>
          <w:p w14:paraId="660AD3A1">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项目预算资金分配有较为充分的测算依据，与补助单位或地方实际适应性较强</w:t>
            </w:r>
          </w:p>
        </w:tc>
        <w:tc>
          <w:tcPr>
            <w:tcW w:w="285" w:type="pct"/>
            <w:vMerge w:val="continue"/>
            <w:vAlign w:val="center"/>
          </w:tcPr>
          <w:p w14:paraId="4865AA78">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7F499568">
            <w:pPr>
              <w:widowControl/>
              <w:adjustRightInd w:val="0"/>
              <w:snapToGrid w:val="0"/>
              <w:spacing w:line="240" w:lineRule="auto"/>
              <w:ind w:firstLine="400"/>
              <w:rPr>
                <w:rFonts w:hint="eastAsia" w:ascii="宋体" w:hAnsi="宋体" w:cs="宋体"/>
                <w:kern w:val="0"/>
                <w:sz w:val="20"/>
                <w:szCs w:val="20"/>
              </w:rPr>
            </w:pPr>
          </w:p>
        </w:tc>
      </w:tr>
      <w:tr w14:paraId="32578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20CD3B0E">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7C5F5329">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70064C3E">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3CA7EC92">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112B753C">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4B3D2A41">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048AE6F1">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5FCA7188">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0.6（含）-0.75</w:t>
            </w:r>
          </w:p>
        </w:tc>
        <w:tc>
          <w:tcPr>
            <w:tcW w:w="863" w:type="pct"/>
            <w:shd w:val="clear" w:color="auto" w:fill="auto"/>
            <w:vAlign w:val="center"/>
          </w:tcPr>
          <w:p w14:paraId="74726145">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项目预算资金分配有一定的测算依据，与补助单位或地方实际适应性一般</w:t>
            </w:r>
          </w:p>
        </w:tc>
        <w:tc>
          <w:tcPr>
            <w:tcW w:w="285" w:type="pct"/>
            <w:vMerge w:val="continue"/>
            <w:vAlign w:val="center"/>
          </w:tcPr>
          <w:p w14:paraId="630A7F5D">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24C4F0D2">
            <w:pPr>
              <w:widowControl/>
              <w:adjustRightInd w:val="0"/>
              <w:snapToGrid w:val="0"/>
              <w:spacing w:line="240" w:lineRule="auto"/>
              <w:ind w:firstLine="400"/>
              <w:rPr>
                <w:rFonts w:hint="eastAsia" w:ascii="宋体" w:hAnsi="宋体" w:cs="宋体"/>
                <w:kern w:val="0"/>
                <w:sz w:val="20"/>
                <w:szCs w:val="20"/>
              </w:rPr>
            </w:pPr>
          </w:p>
        </w:tc>
      </w:tr>
      <w:tr w14:paraId="07BA5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61EBA060">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27746615">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377CF9FD">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508F27E4">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1EFA2C86">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7E8ACA39">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2D7CD9BB">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29B99980">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0（含）-0.6</w:t>
            </w:r>
          </w:p>
        </w:tc>
        <w:tc>
          <w:tcPr>
            <w:tcW w:w="863" w:type="pct"/>
            <w:shd w:val="clear" w:color="000000" w:fill="FFFFFF"/>
            <w:vAlign w:val="center"/>
          </w:tcPr>
          <w:p w14:paraId="504290AD">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项目预算资金分配缺乏测算依据，与补助单位或地方实际缺乏适应性</w:t>
            </w:r>
          </w:p>
        </w:tc>
        <w:tc>
          <w:tcPr>
            <w:tcW w:w="285" w:type="pct"/>
            <w:vMerge w:val="continue"/>
            <w:vAlign w:val="center"/>
          </w:tcPr>
          <w:p w14:paraId="24B51A23">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52B869A9">
            <w:pPr>
              <w:widowControl/>
              <w:adjustRightInd w:val="0"/>
              <w:snapToGrid w:val="0"/>
              <w:spacing w:line="240" w:lineRule="auto"/>
              <w:ind w:firstLine="400"/>
              <w:rPr>
                <w:rFonts w:hint="eastAsia" w:ascii="宋体" w:hAnsi="宋体" w:cs="宋体"/>
                <w:kern w:val="0"/>
                <w:sz w:val="20"/>
                <w:szCs w:val="20"/>
              </w:rPr>
            </w:pPr>
          </w:p>
        </w:tc>
      </w:tr>
      <w:tr w14:paraId="271C8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7" w:hRule="atLeast"/>
          <w:jc w:val="center"/>
        </w:trPr>
        <w:tc>
          <w:tcPr>
            <w:tcW w:w="279" w:type="pct"/>
            <w:vMerge w:val="restart"/>
            <w:shd w:val="clear" w:color="000000" w:fill="FFFFFF"/>
            <w:vAlign w:val="center"/>
          </w:tcPr>
          <w:p w14:paraId="1236965E">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过程</w:t>
            </w:r>
          </w:p>
        </w:tc>
        <w:tc>
          <w:tcPr>
            <w:tcW w:w="363" w:type="pct"/>
            <w:vMerge w:val="restart"/>
            <w:shd w:val="clear" w:color="000000" w:fill="FFFFFF"/>
            <w:vAlign w:val="center"/>
          </w:tcPr>
          <w:p w14:paraId="5333575C">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资金管理</w:t>
            </w:r>
          </w:p>
        </w:tc>
        <w:tc>
          <w:tcPr>
            <w:tcW w:w="389" w:type="pct"/>
            <w:shd w:val="clear" w:color="000000" w:fill="FFFFFF"/>
            <w:vAlign w:val="center"/>
          </w:tcPr>
          <w:p w14:paraId="73AB3BA3">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资金到位率</w:t>
            </w:r>
          </w:p>
        </w:tc>
        <w:tc>
          <w:tcPr>
            <w:tcW w:w="218" w:type="pct"/>
            <w:shd w:val="clear" w:color="000000" w:fill="FFFFFF"/>
            <w:vAlign w:val="center"/>
          </w:tcPr>
          <w:p w14:paraId="0B1BC68B">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2</w:t>
            </w:r>
          </w:p>
        </w:tc>
        <w:tc>
          <w:tcPr>
            <w:tcW w:w="467" w:type="pct"/>
            <w:shd w:val="clear" w:color="000000" w:fill="FFFFFF"/>
            <w:vAlign w:val="center"/>
          </w:tcPr>
          <w:p w14:paraId="439C6C62">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资金到位率</w:t>
            </w:r>
          </w:p>
        </w:tc>
        <w:tc>
          <w:tcPr>
            <w:tcW w:w="218" w:type="pct"/>
            <w:shd w:val="clear" w:color="000000" w:fill="FFFFFF"/>
            <w:vAlign w:val="center"/>
          </w:tcPr>
          <w:p w14:paraId="62F6B3AE">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2</w:t>
            </w:r>
          </w:p>
        </w:tc>
        <w:tc>
          <w:tcPr>
            <w:tcW w:w="772" w:type="pct"/>
            <w:shd w:val="clear" w:color="000000" w:fill="FFFFFF"/>
            <w:vAlign w:val="center"/>
          </w:tcPr>
          <w:p w14:paraId="2D581060">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实际到位资金与预算资金的比率，用以反映和考核资金落实情况对项目实施的总体保障程度。资金到位率=（实际到位资金/预算资金）×100%。</w:t>
            </w:r>
          </w:p>
          <w:p w14:paraId="2678F783">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实际到位资金：一定时期（本年度或项目期）内落实到具体项目的资金。</w:t>
            </w:r>
          </w:p>
          <w:p w14:paraId="09BC1EC1">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预算资金：一定时期（本年度或项目期）内预算安排到具体项目的资金。</w:t>
            </w:r>
          </w:p>
        </w:tc>
        <w:tc>
          <w:tcPr>
            <w:tcW w:w="556" w:type="pct"/>
            <w:shd w:val="clear" w:color="000000" w:fill="FFFFFF"/>
            <w:vAlign w:val="center"/>
          </w:tcPr>
          <w:p w14:paraId="10F49481">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2</w:t>
            </w:r>
          </w:p>
        </w:tc>
        <w:tc>
          <w:tcPr>
            <w:tcW w:w="863" w:type="pct"/>
            <w:shd w:val="clear" w:color="000000" w:fill="FFFFFF"/>
            <w:vAlign w:val="center"/>
          </w:tcPr>
          <w:p w14:paraId="11F1C9CB">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最后得分=资金到位率*2</w:t>
            </w:r>
          </w:p>
        </w:tc>
        <w:tc>
          <w:tcPr>
            <w:tcW w:w="285" w:type="pct"/>
            <w:shd w:val="clear" w:color="auto" w:fill="auto"/>
            <w:noWrap/>
            <w:vAlign w:val="center"/>
          </w:tcPr>
          <w:p w14:paraId="03D73BAE">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2</w:t>
            </w:r>
          </w:p>
        </w:tc>
        <w:tc>
          <w:tcPr>
            <w:tcW w:w="585" w:type="pct"/>
            <w:shd w:val="clear" w:color="auto" w:fill="auto"/>
            <w:noWrap/>
            <w:vAlign w:val="center"/>
          </w:tcPr>
          <w:p w14:paraId="731927E6">
            <w:pPr>
              <w:widowControl/>
              <w:adjustRightInd w:val="0"/>
              <w:snapToGrid w:val="0"/>
              <w:spacing w:line="240" w:lineRule="auto"/>
              <w:ind w:firstLine="400"/>
              <w:rPr>
                <w:rFonts w:hint="eastAsia" w:ascii="宋体" w:hAnsi="宋体" w:cs="宋体"/>
                <w:kern w:val="0"/>
                <w:sz w:val="20"/>
                <w:szCs w:val="20"/>
              </w:rPr>
            </w:pPr>
          </w:p>
        </w:tc>
      </w:tr>
      <w:tr w14:paraId="5EC51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1" w:hRule="atLeast"/>
          <w:jc w:val="center"/>
        </w:trPr>
        <w:tc>
          <w:tcPr>
            <w:tcW w:w="279" w:type="pct"/>
            <w:vMerge w:val="continue"/>
            <w:vAlign w:val="center"/>
          </w:tcPr>
          <w:p w14:paraId="0CF68855">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68D8E278">
            <w:pPr>
              <w:widowControl/>
              <w:adjustRightInd w:val="0"/>
              <w:snapToGrid w:val="0"/>
              <w:spacing w:line="240" w:lineRule="auto"/>
              <w:ind w:firstLine="400"/>
              <w:jc w:val="center"/>
              <w:rPr>
                <w:rFonts w:hint="eastAsia" w:ascii="宋体" w:hAnsi="宋体" w:cs="宋体"/>
                <w:kern w:val="0"/>
                <w:sz w:val="20"/>
                <w:szCs w:val="20"/>
              </w:rPr>
            </w:pPr>
          </w:p>
        </w:tc>
        <w:tc>
          <w:tcPr>
            <w:tcW w:w="389" w:type="pct"/>
            <w:shd w:val="clear" w:color="000000" w:fill="FFFFFF"/>
            <w:vAlign w:val="center"/>
          </w:tcPr>
          <w:p w14:paraId="6374FB45">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预算执行率</w:t>
            </w:r>
          </w:p>
        </w:tc>
        <w:tc>
          <w:tcPr>
            <w:tcW w:w="218" w:type="pct"/>
            <w:shd w:val="clear" w:color="000000" w:fill="FFFFFF"/>
            <w:vAlign w:val="center"/>
          </w:tcPr>
          <w:p w14:paraId="19D87291">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2</w:t>
            </w:r>
          </w:p>
        </w:tc>
        <w:tc>
          <w:tcPr>
            <w:tcW w:w="467" w:type="pct"/>
            <w:shd w:val="clear" w:color="000000" w:fill="FFFFFF"/>
            <w:vAlign w:val="center"/>
          </w:tcPr>
          <w:p w14:paraId="1FAFD8C1">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预算执行率</w:t>
            </w:r>
          </w:p>
        </w:tc>
        <w:tc>
          <w:tcPr>
            <w:tcW w:w="218" w:type="pct"/>
            <w:shd w:val="clear" w:color="000000" w:fill="FFFFFF"/>
            <w:vAlign w:val="center"/>
          </w:tcPr>
          <w:p w14:paraId="381B20CE">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2</w:t>
            </w:r>
          </w:p>
        </w:tc>
        <w:tc>
          <w:tcPr>
            <w:tcW w:w="772" w:type="pct"/>
            <w:shd w:val="clear" w:color="000000" w:fill="FFFFFF"/>
            <w:vAlign w:val="center"/>
          </w:tcPr>
          <w:p w14:paraId="03C65DA0">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项目预算资金是否按照计划执行，用以反映或考核项目预算执行情况。预算执行率=（实际支出资金/实际到位资金）×100%。</w:t>
            </w:r>
          </w:p>
          <w:p w14:paraId="6C026DFB">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实际支出资金：一定时期（本年度或项目期）内项目实际拨付的资金。</w:t>
            </w:r>
          </w:p>
        </w:tc>
        <w:tc>
          <w:tcPr>
            <w:tcW w:w="556" w:type="pct"/>
            <w:shd w:val="clear" w:color="000000" w:fill="FFFFFF"/>
            <w:vAlign w:val="center"/>
          </w:tcPr>
          <w:p w14:paraId="3442327E">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2</w:t>
            </w:r>
          </w:p>
        </w:tc>
        <w:tc>
          <w:tcPr>
            <w:tcW w:w="863" w:type="pct"/>
            <w:shd w:val="clear" w:color="000000" w:fill="FFFFFF"/>
            <w:vAlign w:val="center"/>
          </w:tcPr>
          <w:p w14:paraId="6A97CC6F">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最后得分=预算执行率*2</w:t>
            </w:r>
          </w:p>
        </w:tc>
        <w:tc>
          <w:tcPr>
            <w:tcW w:w="285" w:type="pct"/>
            <w:shd w:val="clear" w:color="auto" w:fill="auto"/>
            <w:noWrap/>
            <w:vAlign w:val="center"/>
          </w:tcPr>
          <w:p w14:paraId="5C8AB529">
            <w:pPr>
              <w:widowControl/>
              <w:adjustRightInd w:val="0"/>
              <w:snapToGrid w:val="0"/>
              <w:spacing w:line="240" w:lineRule="auto"/>
              <w:ind w:firstLine="0" w:firstLineChars="0"/>
              <w:jc w:val="center"/>
              <w:rPr>
                <w:rFonts w:hint="eastAsia" w:ascii="宋体" w:hAnsi="宋体" w:cs="宋体"/>
                <w:kern w:val="0"/>
                <w:sz w:val="20"/>
                <w:szCs w:val="20"/>
                <w:highlight w:val="yellow"/>
              </w:rPr>
            </w:pPr>
            <w:r>
              <w:rPr>
                <w:rFonts w:hint="eastAsia" w:ascii="宋体" w:hAnsi="宋体" w:cs="宋体"/>
                <w:kern w:val="0"/>
                <w:sz w:val="20"/>
                <w:szCs w:val="20"/>
              </w:rPr>
              <w:t>2</w:t>
            </w:r>
          </w:p>
        </w:tc>
        <w:tc>
          <w:tcPr>
            <w:tcW w:w="585" w:type="pct"/>
            <w:shd w:val="clear" w:color="auto" w:fill="auto"/>
            <w:noWrap/>
            <w:vAlign w:val="center"/>
          </w:tcPr>
          <w:p w14:paraId="5054C2E1">
            <w:pPr>
              <w:widowControl/>
              <w:adjustRightInd w:val="0"/>
              <w:snapToGrid w:val="0"/>
              <w:spacing w:line="240" w:lineRule="auto"/>
              <w:ind w:firstLine="0" w:firstLineChars="0"/>
              <w:rPr>
                <w:rFonts w:hint="eastAsia" w:ascii="宋体" w:hAnsi="宋体" w:cs="宋体"/>
                <w:kern w:val="0"/>
                <w:sz w:val="20"/>
                <w:szCs w:val="20"/>
              </w:rPr>
            </w:pPr>
          </w:p>
        </w:tc>
      </w:tr>
      <w:tr w14:paraId="5C551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279" w:type="pct"/>
            <w:vMerge w:val="continue"/>
            <w:vAlign w:val="center"/>
          </w:tcPr>
          <w:p w14:paraId="4ABE42E4">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001902CB">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restart"/>
            <w:shd w:val="clear" w:color="000000" w:fill="FFFFFF"/>
            <w:vAlign w:val="center"/>
          </w:tcPr>
          <w:p w14:paraId="5A8CD0AE">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资金使用合规性</w:t>
            </w:r>
          </w:p>
        </w:tc>
        <w:tc>
          <w:tcPr>
            <w:tcW w:w="218" w:type="pct"/>
            <w:vMerge w:val="restart"/>
            <w:shd w:val="clear" w:color="000000" w:fill="FFFFFF"/>
            <w:vAlign w:val="center"/>
          </w:tcPr>
          <w:p w14:paraId="672E801F">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4</w:t>
            </w:r>
          </w:p>
        </w:tc>
        <w:tc>
          <w:tcPr>
            <w:tcW w:w="467" w:type="pct"/>
            <w:vMerge w:val="restart"/>
            <w:shd w:val="clear" w:color="000000" w:fill="FFFFFF"/>
            <w:vAlign w:val="center"/>
          </w:tcPr>
          <w:p w14:paraId="7DF615BA">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与国家财经法规和财务管理制度以及有关专项资金管理办法规定的相符性</w:t>
            </w:r>
          </w:p>
        </w:tc>
        <w:tc>
          <w:tcPr>
            <w:tcW w:w="218" w:type="pct"/>
            <w:vMerge w:val="restart"/>
            <w:shd w:val="clear" w:color="000000" w:fill="FFFFFF"/>
            <w:vAlign w:val="center"/>
          </w:tcPr>
          <w:p w14:paraId="64AC730F">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w:t>
            </w:r>
          </w:p>
        </w:tc>
        <w:tc>
          <w:tcPr>
            <w:tcW w:w="772" w:type="pct"/>
            <w:vMerge w:val="restart"/>
            <w:shd w:val="clear" w:color="000000" w:fill="FFFFFF"/>
            <w:vAlign w:val="center"/>
          </w:tcPr>
          <w:p w14:paraId="46C6F545">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项目资金使用是否符合相关的财务管理制度规定，用以反映和考核项目资金的规范运行情况。</w:t>
            </w:r>
          </w:p>
        </w:tc>
        <w:tc>
          <w:tcPr>
            <w:tcW w:w="556" w:type="pct"/>
            <w:shd w:val="clear" w:color="auto" w:fill="auto"/>
            <w:vAlign w:val="center"/>
          </w:tcPr>
          <w:p w14:paraId="59BC2458">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0.9（含）-1.0</w:t>
            </w:r>
          </w:p>
        </w:tc>
        <w:tc>
          <w:tcPr>
            <w:tcW w:w="863" w:type="pct"/>
            <w:shd w:val="clear" w:color="000000" w:fill="FFFFFF"/>
            <w:vAlign w:val="center"/>
          </w:tcPr>
          <w:p w14:paraId="21CB1A5D">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与国家财经法规和财务管理制度以及有关专项资金管理办法规定的相符性强</w:t>
            </w:r>
          </w:p>
        </w:tc>
        <w:tc>
          <w:tcPr>
            <w:tcW w:w="285" w:type="pct"/>
            <w:vMerge w:val="restart"/>
            <w:shd w:val="clear" w:color="auto" w:fill="auto"/>
            <w:noWrap/>
            <w:vAlign w:val="center"/>
          </w:tcPr>
          <w:p w14:paraId="07BF25D3">
            <w:pPr>
              <w:widowControl/>
              <w:adjustRightInd w:val="0"/>
              <w:snapToGrid w:val="0"/>
              <w:spacing w:line="240" w:lineRule="auto"/>
              <w:ind w:firstLine="0" w:firstLineChars="0"/>
              <w:jc w:val="center"/>
              <w:rPr>
                <w:rFonts w:hint="eastAsia" w:ascii="宋体" w:hAnsi="宋体" w:cs="宋体"/>
                <w:kern w:val="0"/>
                <w:sz w:val="20"/>
                <w:szCs w:val="20"/>
              </w:rPr>
            </w:pPr>
            <w:r>
              <w:rPr>
                <w:rFonts w:ascii="宋体" w:hAnsi="宋体" w:cs="宋体"/>
                <w:kern w:val="0"/>
                <w:sz w:val="20"/>
                <w:szCs w:val="20"/>
              </w:rPr>
              <w:t>1</w:t>
            </w:r>
          </w:p>
        </w:tc>
        <w:tc>
          <w:tcPr>
            <w:tcW w:w="585" w:type="pct"/>
            <w:vMerge w:val="restart"/>
            <w:shd w:val="clear" w:color="auto" w:fill="auto"/>
            <w:noWrap/>
            <w:vAlign w:val="center"/>
          </w:tcPr>
          <w:p w14:paraId="4B1AC06E">
            <w:pPr>
              <w:widowControl/>
              <w:adjustRightInd w:val="0"/>
              <w:snapToGrid w:val="0"/>
              <w:spacing w:line="240" w:lineRule="auto"/>
              <w:ind w:firstLine="400"/>
              <w:jc w:val="center"/>
              <w:rPr>
                <w:rFonts w:hint="eastAsia" w:ascii="宋体" w:hAnsi="宋体" w:cs="宋体"/>
                <w:kern w:val="0"/>
                <w:sz w:val="20"/>
                <w:szCs w:val="20"/>
              </w:rPr>
            </w:pPr>
          </w:p>
        </w:tc>
      </w:tr>
      <w:tr w14:paraId="4B7BF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489F3AB8">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1F9C8BF3">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53B19A5B">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5F7B6DEC">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1D34E0E9">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10A50CE2">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26EC0375">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474D72AD">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0.75（含）-0.9</w:t>
            </w:r>
          </w:p>
        </w:tc>
        <w:tc>
          <w:tcPr>
            <w:tcW w:w="863" w:type="pct"/>
            <w:shd w:val="clear" w:color="000000" w:fill="FFFFFF"/>
            <w:vAlign w:val="center"/>
          </w:tcPr>
          <w:p w14:paraId="01352228">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与国家财经法规和财务管理制度以及有关专项资金管理办法规定的相符性较强</w:t>
            </w:r>
          </w:p>
        </w:tc>
        <w:tc>
          <w:tcPr>
            <w:tcW w:w="285" w:type="pct"/>
            <w:vMerge w:val="continue"/>
            <w:vAlign w:val="center"/>
          </w:tcPr>
          <w:p w14:paraId="6E6BFAB2">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3F7D7846">
            <w:pPr>
              <w:widowControl/>
              <w:adjustRightInd w:val="0"/>
              <w:snapToGrid w:val="0"/>
              <w:spacing w:line="240" w:lineRule="auto"/>
              <w:ind w:firstLine="400"/>
              <w:rPr>
                <w:rFonts w:hint="eastAsia" w:ascii="宋体" w:hAnsi="宋体" w:cs="宋体"/>
                <w:kern w:val="0"/>
                <w:sz w:val="20"/>
                <w:szCs w:val="20"/>
              </w:rPr>
            </w:pPr>
          </w:p>
        </w:tc>
      </w:tr>
      <w:tr w14:paraId="6F0AF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6D3234C1">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3A1EB125">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467EBAF9">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06D7B6D5">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1C8DAAB9">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01DB4E88">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55606A48">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6EDA32CF">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0.6（含）-0.75</w:t>
            </w:r>
          </w:p>
        </w:tc>
        <w:tc>
          <w:tcPr>
            <w:tcW w:w="863" w:type="pct"/>
            <w:shd w:val="clear" w:color="000000" w:fill="FFFFFF"/>
            <w:vAlign w:val="center"/>
          </w:tcPr>
          <w:p w14:paraId="43DC1A32">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与国家财经法规和财务管理制度以及有关专项资金管理办法规定的相符性一般</w:t>
            </w:r>
          </w:p>
        </w:tc>
        <w:tc>
          <w:tcPr>
            <w:tcW w:w="285" w:type="pct"/>
            <w:vMerge w:val="continue"/>
            <w:vAlign w:val="center"/>
          </w:tcPr>
          <w:p w14:paraId="6DE5D8B0">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25B6C0B0">
            <w:pPr>
              <w:widowControl/>
              <w:adjustRightInd w:val="0"/>
              <w:snapToGrid w:val="0"/>
              <w:spacing w:line="240" w:lineRule="auto"/>
              <w:ind w:firstLine="400"/>
              <w:rPr>
                <w:rFonts w:hint="eastAsia" w:ascii="宋体" w:hAnsi="宋体" w:cs="宋体"/>
                <w:kern w:val="0"/>
                <w:sz w:val="20"/>
                <w:szCs w:val="20"/>
              </w:rPr>
            </w:pPr>
          </w:p>
        </w:tc>
      </w:tr>
      <w:tr w14:paraId="42A93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12C11D1B">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158658C5">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5E084DBD">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7F9B3322">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000599A4">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71E3C679">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4A41FC01">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606D974A">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0（含）-0.6</w:t>
            </w:r>
          </w:p>
        </w:tc>
        <w:tc>
          <w:tcPr>
            <w:tcW w:w="863" w:type="pct"/>
            <w:shd w:val="clear" w:color="000000" w:fill="FFFFFF"/>
            <w:vAlign w:val="center"/>
          </w:tcPr>
          <w:p w14:paraId="6751E56C">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与国家财经法规和财务管理制度以及有关专项资金管理办法的规定缺乏相符性</w:t>
            </w:r>
          </w:p>
        </w:tc>
        <w:tc>
          <w:tcPr>
            <w:tcW w:w="285" w:type="pct"/>
            <w:vMerge w:val="continue"/>
            <w:vAlign w:val="center"/>
          </w:tcPr>
          <w:p w14:paraId="4BDB3D85">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34D3F6A0">
            <w:pPr>
              <w:widowControl/>
              <w:adjustRightInd w:val="0"/>
              <w:snapToGrid w:val="0"/>
              <w:spacing w:line="240" w:lineRule="auto"/>
              <w:ind w:firstLine="400"/>
              <w:rPr>
                <w:rFonts w:hint="eastAsia" w:ascii="宋体" w:hAnsi="宋体" w:cs="宋体"/>
                <w:kern w:val="0"/>
                <w:sz w:val="20"/>
                <w:szCs w:val="20"/>
              </w:rPr>
            </w:pPr>
          </w:p>
        </w:tc>
      </w:tr>
      <w:tr w14:paraId="601F4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70339F4C">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07731030">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6440B25D">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21078B14">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restart"/>
            <w:shd w:val="clear" w:color="000000" w:fill="FFFFFF"/>
            <w:vAlign w:val="center"/>
          </w:tcPr>
          <w:p w14:paraId="396F4A52">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资金拨付审批程序和手续的完整性</w:t>
            </w:r>
          </w:p>
        </w:tc>
        <w:tc>
          <w:tcPr>
            <w:tcW w:w="218" w:type="pct"/>
            <w:vMerge w:val="restart"/>
            <w:shd w:val="clear" w:color="000000" w:fill="FFFFFF"/>
            <w:vAlign w:val="center"/>
          </w:tcPr>
          <w:p w14:paraId="7D82ED46">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w:t>
            </w:r>
          </w:p>
        </w:tc>
        <w:tc>
          <w:tcPr>
            <w:tcW w:w="772" w:type="pct"/>
            <w:vMerge w:val="restart"/>
            <w:shd w:val="clear" w:color="000000" w:fill="FFFFFF"/>
            <w:vAlign w:val="center"/>
          </w:tcPr>
          <w:p w14:paraId="22D58D31">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资金的拨付是否有完整的审批程序和手续</w:t>
            </w:r>
          </w:p>
        </w:tc>
        <w:tc>
          <w:tcPr>
            <w:tcW w:w="556" w:type="pct"/>
            <w:shd w:val="clear" w:color="auto" w:fill="auto"/>
            <w:vAlign w:val="center"/>
          </w:tcPr>
          <w:p w14:paraId="759666E4">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0.9（含）-1.0</w:t>
            </w:r>
          </w:p>
        </w:tc>
        <w:tc>
          <w:tcPr>
            <w:tcW w:w="863" w:type="pct"/>
            <w:shd w:val="clear" w:color="000000" w:fill="FFFFFF"/>
            <w:vAlign w:val="center"/>
          </w:tcPr>
          <w:p w14:paraId="25F62DB8">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资金拨付审批程序和手续完整</w:t>
            </w:r>
          </w:p>
        </w:tc>
        <w:tc>
          <w:tcPr>
            <w:tcW w:w="285" w:type="pct"/>
            <w:vMerge w:val="restart"/>
            <w:shd w:val="clear" w:color="auto" w:fill="auto"/>
            <w:noWrap/>
            <w:vAlign w:val="center"/>
          </w:tcPr>
          <w:p w14:paraId="7044AD1B">
            <w:pPr>
              <w:widowControl/>
              <w:adjustRightInd w:val="0"/>
              <w:snapToGrid w:val="0"/>
              <w:spacing w:line="240" w:lineRule="auto"/>
              <w:ind w:firstLine="0" w:firstLineChars="0"/>
              <w:jc w:val="center"/>
              <w:rPr>
                <w:rFonts w:hint="eastAsia" w:ascii="宋体" w:hAnsi="宋体" w:cs="宋体"/>
                <w:kern w:val="0"/>
                <w:sz w:val="20"/>
                <w:szCs w:val="20"/>
              </w:rPr>
            </w:pPr>
            <w:r>
              <w:rPr>
                <w:rFonts w:ascii="宋体" w:hAnsi="宋体" w:cs="宋体"/>
                <w:kern w:val="0"/>
                <w:sz w:val="20"/>
                <w:szCs w:val="20"/>
              </w:rPr>
              <w:t>1</w:t>
            </w:r>
          </w:p>
        </w:tc>
        <w:tc>
          <w:tcPr>
            <w:tcW w:w="585" w:type="pct"/>
            <w:vMerge w:val="restart"/>
            <w:shd w:val="clear" w:color="auto" w:fill="auto"/>
            <w:noWrap/>
            <w:vAlign w:val="center"/>
          </w:tcPr>
          <w:p w14:paraId="15B1C6AB">
            <w:pPr>
              <w:widowControl/>
              <w:adjustRightInd w:val="0"/>
              <w:snapToGrid w:val="0"/>
              <w:spacing w:line="240" w:lineRule="auto"/>
              <w:ind w:firstLine="400"/>
              <w:jc w:val="center"/>
              <w:rPr>
                <w:rFonts w:hint="eastAsia" w:ascii="宋体" w:hAnsi="宋体" w:cs="宋体"/>
                <w:kern w:val="0"/>
                <w:sz w:val="20"/>
                <w:szCs w:val="20"/>
              </w:rPr>
            </w:pPr>
          </w:p>
        </w:tc>
      </w:tr>
      <w:tr w14:paraId="5BDA0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2B71CD41">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47DBFE52">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5DB8631C">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05BF026A">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0BCC5CCD">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3A10D21B">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3259210A">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20553E33">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0.75（含）-0.9</w:t>
            </w:r>
          </w:p>
        </w:tc>
        <w:tc>
          <w:tcPr>
            <w:tcW w:w="863" w:type="pct"/>
            <w:shd w:val="clear" w:color="000000" w:fill="FFFFFF"/>
            <w:vAlign w:val="center"/>
          </w:tcPr>
          <w:p w14:paraId="013FDB89">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资金拨付审批程序和手续较为完整</w:t>
            </w:r>
          </w:p>
        </w:tc>
        <w:tc>
          <w:tcPr>
            <w:tcW w:w="285" w:type="pct"/>
            <w:vMerge w:val="continue"/>
            <w:vAlign w:val="center"/>
          </w:tcPr>
          <w:p w14:paraId="09D5C24E">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688BF244">
            <w:pPr>
              <w:widowControl/>
              <w:adjustRightInd w:val="0"/>
              <w:snapToGrid w:val="0"/>
              <w:spacing w:line="240" w:lineRule="auto"/>
              <w:ind w:firstLine="400"/>
              <w:rPr>
                <w:rFonts w:hint="eastAsia" w:ascii="宋体" w:hAnsi="宋体" w:cs="宋体"/>
                <w:kern w:val="0"/>
                <w:sz w:val="20"/>
                <w:szCs w:val="20"/>
              </w:rPr>
            </w:pPr>
          </w:p>
        </w:tc>
      </w:tr>
      <w:tr w14:paraId="5899E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57686D86">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5C3E862B">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65AE0D50">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6141B344">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3087258D">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4BB850A3">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78FA62D1">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38ADD174">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0.6（含）-0.75</w:t>
            </w:r>
          </w:p>
        </w:tc>
        <w:tc>
          <w:tcPr>
            <w:tcW w:w="863" w:type="pct"/>
            <w:shd w:val="clear" w:color="000000" w:fill="FFFFFF"/>
            <w:vAlign w:val="center"/>
          </w:tcPr>
          <w:p w14:paraId="7F492DC6">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资金拨付审批程序和手续基本完整</w:t>
            </w:r>
          </w:p>
        </w:tc>
        <w:tc>
          <w:tcPr>
            <w:tcW w:w="285" w:type="pct"/>
            <w:vMerge w:val="continue"/>
            <w:vAlign w:val="center"/>
          </w:tcPr>
          <w:p w14:paraId="356DEE94">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55668219">
            <w:pPr>
              <w:widowControl/>
              <w:adjustRightInd w:val="0"/>
              <w:snapToGrid w:val="0"/>
              <w:spacing w:line="240" w:lineRule="auto"/>
              <w:ind w:firstLine="400"/>
              <w:rPr>
                <w:rFonts w:hint="eastAsia" w:ascii="宋体" w:hAnsi="宋体" w:cs="宋体"/>
                <w:kern w:val="0"/>
                <w:sz w:val="20"/>
                <w:szCs w:val="20"/>
              </w:rPr>
            </w:pPr>
          </w:p>
        </w:tc>
      </w:tr>
      <w:tr w14:paraId="767CC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242E6C04">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23F293CC">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2C1CB162">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63CDBFE3">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674745A6">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3447D782">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432366C6">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402A9DE2">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0（含）-0.6</w:t>
            </w:r>
          </w:p>
        </w:tc>
        <w:tc>
          <w:tcPr>
            <w:tcW w:w="863" w:type="pct"/>
            <w:shd w:val="clear" w:color="000000" w:fill="FFFFFF"/>
            <w:vAlign w:val="center"/>
          </w:tcPr>
          <w:p w14:paraId="3DF7CCC8">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资金拨付审批程序和手续不完整</w:t>
            </w:r>
          </w:p>
        </w:tc>
        <w:tc>
          <w:tcPr>
            <w:tcW w:w="285" w:type="pct"/>
            <w:vMerge w:val="continue"/>
            <w:vAlign w:val="center"/>
          </w:tcPr>
          <w:p w14:paraId="6677DACA">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1F1151D3">
            <w:pPr>
              <w:widowControl/>
              <w:adjustRightInd w:val="0"/>
              <w:snapToGrid w:val="0"/>
              <w:spacing w:line="240" w:lineRule="auto"/>
              <w:ind w:firstLine="400"/>
              <w:rPr>
                <w:rFonts w:hint="eastAsia" w:ascii="宋体" w:hAnsi="宋体" w:cs="宋体"/>
                <w:kern w:val="0"/>
                <w:sz w:val="20"/>
                <w:szCs w:val="20"/>
              </w:rPr>
            </w:pPr>
          </w:p>
        </w:tc>
      </w:tr>
      <w:tr w14:paraId="7040C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2C1EB6C1">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3155DB69">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45CF280E">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374083EB">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restart"/>
            <w:shd w:val="clear" w:color="000000" w:fill="FFFFFF"/>
            <w:vAlign w:val="center"/>
          </w:tcPr>
          <w:p w14:paraId="41119840">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与项目预算批复或合同规定用途的相符性</w:t>
            </w:r>
          </w:p>
        </w:tc>
        <w:tc>
          <w:tcPr>
            <w:tcW w:w="218" w:type="pct"/>
            <w:vMerge w:val="restart"/>
            <w:shd w:val="clear" w:color="000000" w:fill="FFFFFF"/>
            <w:vAlign w:val="center"/>
          </w:tcPr>
          <w:p w14:paraId="5B0AACD6">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w:t>
            </w:r>
          </w:p>
        </w:tc>
        <w:tc>
          <w:tcPr>
            <w:tcW w:w="772" w:type="pct"/>
            <w:vMerge w:val="restart"/>
            <w:shd w:val="clear" w:color="000000" w:fill="FFFFFF"/>
            <w:vAlign w:val="center"/>
          </w:tcPr>
          <w:p w14:paraId="43956290">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是否符合项目预算批复或合同规定的用途</w:t>
            </w:r>
          </w:p>
        </w:tc>
        <w:tc>
          <w:tcPr>
            <w:tcW w:w="556" w:type="pct"/>
            <w:shd w:val="clear" w:color="auto" w:fill="auto"/>
            <w:vAlign w:val="center"/>
          </w:tcPr>
          <w:p w14:paraId="54F2F977">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0.9（含）-1.0</w:t>
            </w:r>
          </w:p>
        </w:tc>
        <w:tc>
          <w:tcPr>
            <w:tcW w:w="863" w:type="pct"/>
            <w:shd w:val="clear" w:color="000000" w:fill="FFFFFF"/>
            <w:vAlign w:val="center"/>
          </w:tcPr>
          <w:p w14:paraId="08592B31">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与项目预算批复或合同规定用途的相符性强</w:t>
            </w:r>
          </w:p>
        </w:tc>
        <w:tc>
          <w:tcPr>
            <w:tcW w:w="285" w:type="pct"/>
            <w:vMerge w:val="restart"/>
            <w:shd w:val="clear" w:color="auto" w:fill="auto"/>
            <w:noWrap/>
            <w:vAlign w:val="center"/>
          </w:tcPr>
          <w:p w14:paraId="5FDAABEC">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w:t>
            </w:r>
          </w:p>
        </w:tc>
        <w:tc>
          <w:tcPr>
            <w:tcW w:w="585" w:type="pct"/>
            <w:vMerge w:val="restart"/>
            <w:shd w:val="clear" w:color="auto" w:fill="auto"/>
            <w:noWrap/>
            <w:vAlign w:val="center"/>
          </w:tcPr>
          <w:p w14:paraId="6302749E">
            <w:pPr>
              <w:widowControl/>
              <w:adjustRightInd w:val="0"/>
              <w:snapToGrid w:val="0"/>
              <w:spacing w:line="240" w:lineRule="auto"/>
              <w:ind w:firstLine="400"/>
              <w:jc w:val="center"/>
              <w:rPr>
                <w:rFonts w:hint="eastAsia" w:ascii="宋体" w:hAnsi="宋体" w:cs="宋体"/>
                <w:kern w:val="0"/>
                <w:sz w:val="20"/>
                <w:szCs w:val="20"/>
              </w:rPr>
            </w:pPr>
          </w:p>
        </w:tc>
      </w:tr>
      <w:tr w14:paraId="75EB2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7F8DEB72">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028E65EF">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2BE93C7F">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2DC2903C">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1C240BD7">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2DE6F9DE">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110C8D6C">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299A1E8F">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0.75（含）-0.9</w:t>
            </w:r>
          </w:p>
        </w:tc>
        <w:tc>
          <w:tcPr>
            <w:tcW w:w="863" w:type="pct"/>
            <w:shd w:val="clear" w:color="000000" w:fill="FFFFFF"/>
            <w:vAlign w:val="center"/>
          </w:tcPr>
          <w:p w14:paraId="189321E1">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与项目预算批复或合同规定用途的相符性较强</w:t>
            </w:r>
          </w:p>
        </w:tc>
        <w:tc>
          <w:tcPr>
            <w:tcW w:w="285" w:type="pct"/>
            <w:vMerge w:val="continue"/>
            <w:vAlign w:val="center"/>
          </w:tcPr>
          <w:p w14:paraId="5F87649E">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682BDDDC">
            <w:pPr>
              <w:widowControl/>
              <w:adjustRightInd w:val="0"/>
              <w:snapToGrid w:val="0"/>
              <w:spacing w:line="240" w:lineRule="auto"/>
              <w:ind w:firstLine="400"/>
              <w:rPr>
                <w:rFonts w:hint="eastAsia" w:ascii="宋体" w:hAnsi="宋体" w:cs="宋体"/>
                <w:kern w:val="0"/>
                <w:sz w:val="20"/>
                <w:szCs w:val="20"/>
              </w:rPr>
            </w:pPr>
          </w:p>
        </w:tc>
      </w:tr>
      <w:tr w14:paraId="7691F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584332F1">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250622E4">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77754869">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6967DE33">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50C446AF">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14D88098">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50C9F29A">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6E6CDE4D">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0.6（含）-0.75</w:t>
            </w:r>
          </w:p>
        </w:tc>
        <w:tc>
          <w:tcPr>
            <w:tcW w:w="863" w:type="pct"/>
            <w:shd w:val="clear" w:color="000000" w:fill="FFFFFF"/>
            <w:vAlign w:val="center"/>
          </w:tcPr>
          <w:p w14:paraId="61992070">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与项目预算批复或合同规定用途的相符性一般</w:t>
            </w:r>
          </w:p>
        </w:tc>
        <w:tc>
          <w:tcPr>
            <w:tcW w:w="285" w:type="pct"/>
            <w:vMerge w:val="continue"/>
            <w:vAlign w:val="center"/>
          </w:tcPr>
          <w:p w14:paraId="4A7E5B41">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6C7F9C09">
            <w:pPr>
              <w:widowControl/>
              <w:adjustRightInd w:val="0"/>
              <w:snapToGrid w:val="0"/>
              <w:spacing w:line="240" w:lineRule="auto"/>
              <w:ind w:firstLine="400"/>
              <w:rPr>
                <w:rFonts w:hint="eastAsia" w:ascii="宋体" w:hAnsi="宋体" w:cs="宋体"/>
                <w:kern w:val="0"/>
                <w:sz w:val="20"/>
                <w:szCs w:val="20"/>
              </w:rPr>
            </w:pPr>
          </w:p>
        </w:tc>
      </w:tr>
      <w:tr w14:paraId="6FB90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58426339">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05E56FA1">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4DF838DF">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46AAA47E">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1B755BAE">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004AD6E4">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5222908A">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130FE251">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0（含）-0.6</w:t>
            </w:r>
          </w:p>
        </w:tc>
        <w:tc>
          <w:tcPr>
            <w:tcW w:w="863" w:type="pct"/>
            <w:shd w:val="clear" w:color="000000" w:fill="FFFFFF"/>
            <w:vAlign w:val="center"/>
          </w:tcPr>
          <w:p w14:paraId="6369F9AB">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与项目预算批复或合同规定用途缺乏相符性</w:t>
            </w:r>
          </w:p>
        </w:tc>
        <w:tc>
          <w:tcPr>
            <w:tcW w:w="285" w:type="pct"/>
            <w:vMerge w:val="continue"/>
            <w:vAlign w:val="center"/>
          </w:tcPr>
          <w:p w14:paraId="739BF075">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4064A274">
            <w:pPr>
              <w:widowControl/>
              <w:adjustRightInd w:val="0"/>
              <w:snapToGrid w:val="0"/>
              <w:spacing w:line="240" w:lineRule="auto"/>
              <w:ind w:firstLine="400"/>
              <w:rPr>
                <w:rFonts w:hint="eastAsia" w:ascii="宋体" w:hAnsi="宋体" w:cs="宋体"/>
                <w:kern w:val="0"/>
                <w:sz w:val="20"/>
                <w:szCs w:val="20"/>
              </w:rPr>
            </w:pPr>
          </w:p>
        </w:tc>
      </w:tr>
      <w:tr w14:paraId="761FE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29A71A34">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0AA506D9">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78047105">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5D70C3E0">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restart"/>
            <w:shd w:val="clear" w:color="000000" w:fill="FFFFFF"/>
            <w:vAlign w:val="center"/>
          </w:tcPr>
          <w:p w14:paraId="4A175A57">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资金使用规范性</w:t>
            </w:r>
          </w:p>
        </w:tc>
        <w:tc>
          <w:tcPr>
            <w:tcW w:w="218" w:type="pct"/>
            <w:vMerge w:val="restart"/>
            <w:shd w:val="clear" w:color="000000" w:fill="FFFFFF"/>
            <w:vAlign w:val="center"/>
          </w:tcPr>
          <w:p w14:paraId="7CF1A002">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w:t>
            </w:r>
          </w:p>
        </w:tc>
        <w:tc>
          <w:tcPr>
            <w:tcW w:w="772" w:type="pct"/>
            <w:vMerge w:val="restart"/>
            <w:shd w:val="clear" w:color="000000" w:fill="FFFFFF"/>
            <w:vAlign w:val="center"/>
          </w:tcPr>
          <w:p w14:paraId="5C9455D9">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是否存在截留、挤占、挪用、虚列支出等情况</w:t>
            </w:r>
          </w:p>
        </w:tc>
        <w:tc>
          <w:tcPr>
            <w:tcW w:w="556" w:type="pct"/>
            <w:shd w:val="clear" w:color="auto" w:fill="auto"/>
            <w:vAlign w:val="center"/>
          </w:tcPr>
          <w:p w14:paraId="41AE600A">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0.9（含）-1.0</w:t>
            </w:r>
          </w:p>
        </w:tc>
        <w:tc>
          <w:tcPr>
            <w:tcW w:w="863" w:type="pct"/>
            <w:shd w:val="clear" w:color="000000" w:fill="FFFFFF"/>
            <w:vAlign w:val="center"/>
          </w:tcPr>
          <w:p w14:paraId="59A74349">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资金使用不存在截留、挤占、挪用、虚列支出等情况</w:t>
            </w:r>
          </w:p>
        </w:tc>
        <w:tc>
          <w:tcPr>
            <w:tcW w:w="285" w:type="pct"/>
            <w:vMerge w:val="restart"/>
            <w:shd w:val="clear" w:color="auto" w:fill="auto"/>
            <w:noWrap/>
            <w:vAlign w:val="center"/>
          </w:tcPr>
          <w:p w14:paraId="00CD37B1">
            <w:pPr>
              <w:widowControl/>
              <w:adjustRightInd w:val="0"/>
              <w:snapToGrid w:val="0"/>
              <w:spacing w:line="240" w:lineRule="auto"/>
              <w:ind w:firstLine="0" w:firstLineChars="0"/>
              <w:jc w:val="center"/>
              <w:rPr>
                <w:rFonts w:hint="eastAsia" w:ascii="宋体" w:hAnsi="宋体" w:cs="宋体"/>
                <w:kern w:val="0"/>
                <w:sz w:val="20"/>
                <w:szCs w:val="20"/>
              </w:rPr>
            </w:pPr>
            <w:r>
              <w:rPr>
                <w:rFonts w:ascii="宋体" w:hAnsi="宋体" w:cs="宋体"/>
                <w:kern w:val="0"/>
                <w:sz w:val="20"/>
                <w:szCs w:val="20"/>
              </w:rPr>
              <w:t>1</w:t>
            </w:r>
          </w:p>
        </w:tc>
        <w:tc>
          <w:tcPr>
            <w:tcW w:w="585" w:type="pct"/>
            <w:vMerge w:val="restart"/>
            <w:shd w:val="clear" w:color="auto" w:fill="auto"/>
            <w:noWrap/>
            <w:vAlign w:val="center"/>
          </w:tcPr>
          <w:p w14:paraId="5BDE318E">
            <w:pPr>
              <w:widowControl/>
              <w:adjustRightInd w:val="0"/>
              <w:snapToGrid w:val="0"/>
              <w:spacing w:line="240" w:lineRule="auto"/>
              <w:ind w:firstLine="400"/>
              <w:rPr>
                <w:rFonts w:hint="eastAsia" w:ascii="宋体" w:hAnsi="宋体" w:cs="宋体"/>
                <w:kern w:val="0"/>
                <w:sz w:val="20"/>
                <w:szCs w:val="20"/>
              </w:rPr>
            </w:pPr>
          </w:p>
        </w:tc>
      </w:tr>
      <w:tr w14:paraId="0A98F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41E82A49">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02AB0F0F">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776D726F">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3CCC112D">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7BBBB7B2">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6B832B63">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22245B65">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67D2F0DB">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0.75（含）-0.9</w:t>
            </w:r>
          </w:p>
        </w:tc>
        <w:tc>
          <w:tcPr>
            <w:tcW w:w="863" w:type="pct"/>
            <w:shd w:val="clear" w:color="000000" w:fill="FFFFFF"/>
            <w:vAlign w:val="center"/>
          </w:tcPr>
          <w:p w14:paraId="226EE01F">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资金使用基本不存在截留、挤占、挪用、虚列支出等情况</w:t>
            </w:r>
          </w:p>
        </w:tc>
        <w:tc>
          <w:tcPr>
            <w:tcW w:w="285" w:type="pct"/>
            <w:vMerge w:val="continue"/>
            <w:vAlign w:val="center"/>
          </w:tcPr>
          <w:p w14:paraId="1298C195">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09472D13">
            <w:pPr>
              <w:widowControl/>
              <w:adjustRightInd w:val="0"/>
              <w:snapToGrid w:val="0"/>
              <w:spacing w:line="240" w:lineRule="auto"/>
              <w:ind w:firstLine="400"/>
              <w:rPr>
                <w:rFonts w:hint="eastAsia" w:ascii="宋体" w:hAnsi="宋体" w:cs="宋体"/>
                <w:kern w:val="0"/>
                <w:sz w:val="20"/>
                <w:szCs w:val="20"/>
              </w:rPr>
            </w:pPr>
          </w:p>
        </w:tc>
      </w:tr>
      <w:tr w14:paraId="70792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28707738">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7D9A7189">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29029EF0">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649834ED">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3E335CD6">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537D576E">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0A900110">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51857E14">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0.6（含）-0.75</w:t>
            </w:r>
          </w:p>
        </w:tc>
        <w:tc>
          <w:tcPr>
            <w:tcW w:w="863" w:type="pct"/>
            <w:shd w:val="clear" w:color="000000" w:fill="FFFFFF"/>
            <w:vAlign w:val="center"/>
          </w:tcPr>
          <w:p w14:paraId="0942B91C">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资金使用存在轻微截留、挤占、挪用、虚列支出等情况</w:t>
            </w:r>
          </w:p>
        </w:tc>
        <w:tc>
          <w:tcPr>
            <w:tcW w:w="285" w:type="pct"/>
            <w:vMerge w:val="continue"/>
            <w:vAlign w:val="center"/>
          </w:tcPr>
          <w:p w14:paraId="5FC4139A">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0030F023">
            <w:pPr>
              <w:widowControl/>
              <w:adjustRightInd w:val="0"/>
              <w:snapToGrid w:val="0"/>
              <w:spacing w:line="240" w:lineRule="auto"/>
              <w:ind w:firstLine="400"/>
              <w:rPr>
                <w:rFonts w:hint="eastAsia" w:ascii="宋体" w:hAnsi="宋体" w:cs="宋体"/>
                <w:kern w:val="0"/>
                <w:sz w:val="20"/>
                <w:szCs w:val="20"/>
              </w:rPr>
            </w:pPr>
          </w:p>
        </w:tc>
      </w:tr>
      <w:tr w14:paraId="19B0B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79" w:type="pct"/>
            <w:vMerge w:val="continue"/>
            <w:vAlign w:val="center"/>
          </w:tcPr>
          <w:p w14:paraId="729FFDC8">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7ED7D3EB">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38E9DEB9">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7F123EE3">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7A0388F1">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74A976C4">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243E28BA">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7FAD3438">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0（含）-0.6</w:t>
            </w:r>
          </w:p>
        </w:tc>
        <w:tc>
          <w:tcPr>
            <w:tcW w:w="863" w:type="pct"/>
            <w:shd w:val="clear" w:color="000000" w:fill="FFFFFF"/>
            <w:vAlign w:val="center"/>
          </w:tcPr>
          <w:p w14:paraId="32B94194">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资金使用存在严重截留、挤占、挪用、虚列支出等情况</w:t>
            </w:r>
          </w:p>
        </w:tc>
        <w:tc>
          <w:tcPr>
            <w:tcW w:w="285" w:type="pct"/>
            <w:vMerge w:val="continue"/>
            <w:vAlign w:val="center"/>
          </w:tcPr>
          <w:p w14:paraId="0815A0B6">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40C326B5">
            <w:pPr>
              <w:widowControl/>
              <w:adjustRightInd w:val="0"/>
              <w:snapToGrid w:val="0"/>
              <w:spacing w:line="240" w:lineRule="auto"/>
              <w:ind w:firstLine="400"/>
              <w:rPr>
                <w:rFonts w:hint="eastAsia" w:ascii="宋体" w:hAnsi="宋体" w:cs="宋体"/>
                <w:kern w:val="0"/>
                <w:sz w:val="20"/>
                <w:szCs w:val="20"/>
              </w:rPr>
            </w:pPr>
          </w:p>
        </w:tc>
      </w:tr>
      <w:tr w14:paraId="62561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2B734016">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restart"/>
            <w:shd w:val="clear" w:color="000000" w:fill="FFFFFF"/>
            <w:vAlign w:val="center"/>
          </w:tcPr>
          <w:p w14:paraId="7F6E4F0D">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组织实施</w:t>
            </w:r>
          </w:p>
        </w:tc>
        <w:tc>
          <w:tcPr>
            <w:tcW w:w="389" w:type="pct"/>
            <w:vMerge w:val="restart"/>
            <w:shd w:val="clear" w:color="000000" w:fill="FFFFFF"/>
            <w:vAlign w:val="center"/>
          </w:tcPr>
          <w:p w14:paraId="45DB955E">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管理制度健全性</w:t>
            </w:r>
          </w:p>
        </w:tc>
        <w:tc>
          <w:tcPr>
            <w:tcW w:w="218" w:type="pct"/>
            <w:vMerge w:val="restart"/>
            <w:shd w:val="clear" w:color="000000" w:fill="FFFFFF"/>
            <w:vAlign w:val="center"/>
          </w:tcPr>
          <w:p w14:paraId="13FE0381">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4</w:t>
            </w:r>
          </w:p>
        </w:tc>
        <w:tc>
          <w:tcPr>
            <w:tcW w:w="467" w:type="pct"/>
            <w:vMerge w:val="restart"/>
            <w:shd w:val="clear" w:color="000000" w:fill="FFFFFF"/>
            <w:vAlign w:val="center"/>
          </w:tcPr>
          <w:p w14:paraId="12D922DD">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 xml:space="preserve">财务和业务管理制度健全性 </w:t>
            </w:r>
          </w:p>
        </w:tc>
        <w:tc>
          <w:tcPr>
            <w:tcW w:w="218" w:type="pct"/>
            <w:vMerge w:val="restart"/>
            <w:shd w:val="clear" w:color="000000" w:fill="FFFFFF"/>
            <w:vAlign w:val="center"/>
          </w:tcPr>
          <w:p w14:paraId="2F1B3833">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2</w:t>
            </w:r>
          </w:p>
        </w:tc>
        <w:tc>
          <w:tcPr>
            <w:tcW w:w="772" w:type="pct"/>
            <w:vMerge w:val="restart"/>
            <w:shd w:val="clear" w:color="000000" w:fill="FFFFFF"/>
            <w:vAlign w:val="center"/>
          </w:tcPr>
          <w:p w14:paraId="4247D40B">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项目实施单位的财务和业务管理制度是否健全，用以反映和考核财务和业务管理制度对项目顺利实施的保障情况。</w:t>
            </w:r>
          </w:p>
        </w:tc>
        <w:tc>
          <w:tcPr>
            <w:tcW w:w="556" w:type="pct"/>
            <w:shd w:val="clear" w:color="auto" w:fill="auto"/>
            <w:vAlign w:val="center"/>
          </w:tcPr>
          <w:p w14:paraId="589E89D4">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1.8（含）-2.0</w:t>
            </w:r>
          </w:p>
        </w:tc>
        <w:tc>
          <w:tcPr>
            <w:tcW w:w="863" w:type="pct"/>
            <w:shd w:val="clear" w:color="auto" w:fill="auto"/>
            <w:vAlign w:val="center"/>
          </w:tcPr>
          <w:p w14:paraId="551A7011">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项目单位财务和业务管理制度健全</w:t>
            </w:r>
          </w:p>
        </w:tc>
        <w:tc>
          <w:tcPr>
            <w:tcW w:w="285" w:type="pct"/>
            <w:vMerge w:val="restart"/>
            <w:shd w:val="clear" w:color="auto" w:fill="auto"/>
            <w:noWrap/>
            <w:vAlign w:val="center"/>
          </w:tcPr>
          <w:p w14:paraId="724A2526">
            <w:pPr>
              <w:widowControl/>
              <w:adjustRightInd w:val="0"/>
              <w:snapToGrid w:val="0"/>
              <w:spacing w:line="240" w:lineRule="auto"/>
              <w:ind w:firstLine="0" w:firstLineChars="0"/>
              <w:jc w:val="center"/>
              <w:rPr>
                <w:rFonts w:hint="eastAsia" w:ascii="宋体" w:hAnsi="宋体" w:cs="宋体"/>
                <w:kern w:val="0"/>
                <w:sz w:val="20"/>
                <w:szCs w:val="20"/>
              </w:rPr>
            </w:pPr>
            <w:r>
              <w:rPr>
                <w:rFonts w:ascii="宋体" w:hAnsi="宋体" w:cs="宋体"/>
                <w:kern w:val="0"/>
                <w:sz w:val="20"/>
                <w:szCs w:val="20"/>
              </w:rPr>
              <w:t>2</w:t>
            </w:r>
          </w:p>
        </w:tc>
        <w:tc>
          <w:tcPr>
            <w:tcW w:w="585" w:type="pct"/>
            <w:vMerge w:val="restart"/>
            <w:shd w:val="clear" w:color="auto" w:fill="auto"/>
            <w:noWrap/>
            <w:vAlign w:val="center"/>
          </w:tcPr>
          <w:p w14:paraId="21800F01">
            <w:pPr>
              <w:widowControl/>
              <w:adjustRightInd w:val="0"/>
              <w:snapToGrid w:val="0"/>
              <w:spacing w:line="240" w:lineRule="auto"/>
              <w:ind w:firstLine="400"/>
              <w:jc w:val="center"/>
              <w:rPr>
                <w:rFonts w:hint="eastAsia" w:ascii="宋体" w:hAnsi="宋体" w:cs="宋体"/>
                <w:kern w:val="0"/>
                <w:sz w:val="20"/>
                <w:szCs w:val="20"/>
              </w:rPr>
            </w:pPr>
          </w:p>
          <w:p w14:paraId="48CC57EE">
            <w:pPr>
              <w:widowControl/>
              <w:adjustRightInd w:val="0"/>
              <w:snapToGrid w:val="0"/>
              <w:spacing w:line="240" w:lineRule="auto"/>
              <w:ind w:firstLine="400"/>
              <w:jc w:val="center"/>
              <w:rPr>
                <w:rFonts w:hint="eastAsia" w:ascii="宋体" w:hAnsi="宋体" w:cs="宋体"/>
                <w:kern w:val="0"/>
                <w:sz w:val="20"/>
                <w:szCs w:val="20"/>
              </w:rPr>
            </w:pPr>
          </w:p>
        </w:tc>
      </w:tr>
      <w:tr w14:paraId="3748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1B15D481">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2F8611CF">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45660DD6">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772DAA33">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2DE7501A">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1DF8CCBD">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6CD33996">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7E5521E7">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1.5（含）-1.8</w:t>
            </w:r>
          </w:p>
        </w:tc>
        <w:tc>
          <w:tcPr>
            <w:tcW w:w="863" w:type="pct"/>
            <w:shd w:val="clear" w:color="auto" w:fill="auto"/>
            <w:vAlign w:val="center"/>
          </w:tcPr>
          <w:p w14:paraId="2302A935">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项目单位财务和业务管理制度较为健全</w:t>
            </w:r>
          </w:p>
        </w:tc>
        <w:tc>
          <w:tcPr>
            <w:tcW w:w="285" w:type="pct"/>
            <w:vMerge w:val="continue"/>
            <w:vAlign w:val="center"/>
          </w:tcPr>
          <w:p w14:paraId="38222DB2">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123FDE88">
            <w:pPr>
              <w:widowControl/>
              <w:adjustRightInd w:val="0"/>
              <w:snapToGrid w:val="0"/>
              <w:spacing w:line="240" w:lineRule="auto"/>
              <w:ind w:firstLine="400"/>
              <w:rPr>
                <w:rFonts w:hint="eastAsia" w:ascii="宋体" w:hAnsi="宋体" w:cs="宋体"/>
                <w:kern w:val="0"/>
                <w:sz w:val="20"/>
                <w:szCs w:val="20"/>
              </w:rPr>
            </w:pPr>
          </w:p>
        </w:tc>
      </w:tr>
      <w:tr w14:paraId="5B0D5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7EA8E594">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307C4E7C">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2BDBBE4B">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28201585">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71E653B9">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2C26DA31">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698D588C">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6E8AEF63">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1.2（含）-1.5</w:t>
            </w:r>
          </w:p>
        </w:tc>
        <w:tc>
          <w:tcPr>
            <w:tcW w:w="863" w:type="pct"/>
            <w:shd w:val="clear" w:color="auto" w:fill="auto"/>
            <w:vAlign w:val="center"/>
          </w:tcPr>
          <w:p w14:paraId="630EA4D2">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项目单位财务和业务管理制度健全性一般</w:t>
            </w:r>
          </w:p>
        </w:tc>
        <w:tc>
          <w:tcPr>
            <w:tcW w:w="285" w:type="pct"/>
            <w:vMerge w:val="continue"/>
            <w:vAlign w:val="center"/>
          </w:tcPr>
          <w:p w14:paraId="43D5EFDE">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016000DA">
            <w:pPr>
              <w:widowControl/>
              <w:adjustRightInd w:val="0"/>
              <w:snapToGrid w:val="0"/>
              <w:spacing w:line="240" w:lineRule="auto"/>
              <w:ind w:firstLine="400"/>
              <w:rPr>
                <w:rFonts w:hint="eastAsia" w:ascii="宋体" w:hAnsi="宋体" w:cs="宋体"/>
                <w:kern w:val="0"/>
                <w:sz w:val="20"/>
                <w:szCs w:val="20"/>
              </w:rPr>
            </w:pPr>
          </w:p>
        </w:tc>
      </w:tr>
      <w:tr w14:paraId="606A3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2B183C9B">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5BD9E012">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5076039B">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5A752ED1">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5C91FC23">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6782C05A">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1E1A1D48">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6AE20BCD">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0（含）-1.2</w:t>
            </w:r>
          </w:p>
        </w:tc>
        <w:tc>
          <w:tcPr>
            <w:tcW w:w="863" w:type="pct"/>
            <w:shd w:val="clear" w:color="auto" w:fill="auto"/>
            <w:vAlign w:val="center"/>
          </w:tcPr>
          <w:p w14:paraId="7CEB9D99">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项目单位财务和业务管理制度不健全</w:t>
            </w:r>
          </w:p>
        </w:tc>
        <w:tc>
          <w:tcPr>
            <w:tcW w:w="285" w:type="pct"/>
            <w:vMerge w:val="continue"/>
            <w:vAlign w:val="center"/>
          </w:tcPr>
          <w:p w14:paraId="7609E699">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74E06AB3">
            <w:pPr>
              <w:widowControl/>
              <w:adjustRightInd w:val="0"/>
              <w:snapToGrid w:val="0"/>
              <w:spacing w:line="240" w:lineRule="auto"/>
              <w:ind w:firstLine="400"/>
              <w:rPr>
                <w:rFonts w:hint="eastAsia" w:ascii="宋体" w:hAnsi="宋体" w:cs="宋体"/>
                <w:kern w:val="0"/>
                <w:sz w:val="20"/>
                <w:szCs w:val="20"/>
              </w:rPr>
            </w:pPr>
          </w:p>
        </w:tc>
      </w:tr>
      <w:tr w14:paraId="4B2B4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66BCB390">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70418A0E">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1D5A26C3">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268DBB11">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restart"/>
            <w:shd w:val="clear" w:color="000000" w:fill="FFFFFF"/>
            <w:vAlign w:val="center"/>
          </w:tcPr>
          <w:p w14:paraId="264E45CE">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 xml:space="preserve">财务和业务管理制度合法、合规和完整性 </w:t>
            </w:r>
          </w:p>
        </w:tc>
        <w:tc>
          <w:tcPr>
            <w:tcW w:w="218" w:type="pct"/>
            <w:vMerge w:val="restart"/>
            <w:shd w:val="clear" w:color="000000" w:fill="FFFFFF"/>
            <w:vAlign w:val="center"/>
          </w:tcPr>
          <w:p w14:paraId="23D8C661">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2</w:t>
            </w:r>
          </w:p>
        </w:tc>
        <w:tc>
          <w:tcPr>
            <w:tcW w:w="772" w:type="pct"/>
            <w:vMerge w:val="restart"/>
            <w:shd w:val="clear" w:color="000000" w:fill="FFFFFF"/>
            <w:vAlign w:val="center"/>
          </w:tcPr>
          <w:p w14:paraId="4E3F4936">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财务和业务管理制度是否合法、合规、完整</w:t>
            </w:r>
          </w:p>
        </w:tc>
        <w:tc>
          <w:tcPr>
            <w:tcW w:w="556" w:type="pct"/>
            <w:shd w:val="clear" w:color="auto" w:fill="auto"/>
            <w:vAlign w:val="center"/>
          </w:tcPr>
          <w:p w14:paraId="6CE86B84">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1.8（含）-2.0</w:t>
            </w:r>
          </w:p>
        </w:tc>
        <w:tc>
          <w:tcPr>
            <w:tcW w:w="863" w:type="pct"/>
            <w:shd w:val="clear" w:color="000000" w:fill="FFFFFF"/>
            <w:vAlign w:val="center"/>
          </w:tcPr>
          <w:p w14:paraId="2B718B0F">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项目单位财务和业务管理制度合法、合规和完整</w:t>
            </w:r>
          </w:p>
        </w:tc>
        <w:tc>
          <w:tcPr>
            <w:tcW w:w="285" w:type="pct"/>
            <w:vMerge w:val="restart"/>
            <w:shd w:val="clear" w:color="auto" w:fill="auto"/>
            <w:noWrap/>
            <w:vAlign w:val="center"/>
          </w:tcPr>
          <w:p w14:paraId="3DF08BB3">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2</w:t>
            </w:r>
          </w:p>
        </w:tc>
        <w:tc>
          <w:tcPr>
            <w:tcW w:w="585" w:type="pct"/>
            <w:vMerge w:val="restart"/>
            <w:shd w:val="clear" w:color="auto" w:fill="auto"/>
            <w:noWrap/>
            <w:vAlign w:val="center"/>
          </w:tcPr>
          <w:p w14:paraId="502C3648">
            <w:pPr>
              <w:widowControl/>
              <w:adjustRightInd w:val="0"/>
              <w:snapToGrid w:val="0"/>
              <w:spacing w:line="240" w:lineRule="auto"/>
              <w:ind w:firstLine="400"/>
              <w:jc w:val="center"/>
              <w:rPr>
                <w:rFonts w:hint="eastAsia" w:ascii="宋体" w:hAnsi="宋体" w:cs="宋体"/>
                <w:kern w:val="0"/>
                <w:sz w:val="20"/>
                <w:szCs w:val="20"/>
              </w:rPr>
            </w:pPr>
          </w:p>
        </w:tc>
      </w:tr>
      <w:tr w14:paraId="012E0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55C362FB">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43B9131F">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2E1F613B">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04E1ED87">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6A620664">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4D9C2CED">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7B7470F0">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3D1D9628">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1.5（含）-1.8</w:t>
            </w:r>
          </w:p>
        </w:tc>
        <w:tc>
          <w:tcPr>
            <w:tcW w:w="863" w:type="pct"/>
            <w:shd w:val="clear" w:color="000000" w:fill="FFFFFF"/>
            <w:vAlign w:val="center"/>
          </w:tcPr>
          <w:p w14:paraId="331656D2">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项目单位财务和业务管理制度较为合法、合规和完整</w:t>
            </w:r>
          </w:p>
        </w:tc>
        <w:tc>
          <w:tcPr>
            <w:tcW w:w="285" w:type="pct"/>
            <w:vMerge w:val="continue"/>
            <w:vAlign w:val="center"/>
          </w:tcPr>
          <w:p w14:paraId="7B0D8B68">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51A9FBCF">
            <w:pPr>
              <w:widowControl/>
              <w:adjustRightInd w:val="0"/>
              <w:snapToGrid w:val="0"/>
              <w:spacing w:line="240" w:lineRule="auto"/>
              <w:ind w:firstLine="400"/>
              <w:rPr>
                <w:rFonts w:hint="eastAsia" w:ascii="宋体" w:hAnsi="宋体" w:cs="宋体"/>
                <w:kern w:val="0"/>
                <w:sz w:val="20"/>
                <w:szCs w:val="20"/>
              </w:rPr>
            </w:pPr>
          </w:p>
        </w:tc>
      </w:tr>
      <w:tr w14:paraId="6245A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5D78F757">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04B5AA4A">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4852841E">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20A34552">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32A72D23">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527B6318">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62955F37">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1772B679">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1.2（含）-1.5</w:t>
            </w:r>
          </w:p>
        </w:tc>
        <w:tc>
          <w:tcPr>
            <w:tcW w:w="863" w:type="pct"/>
            <w:shd w:val="clear" w:color="000000" w:fill="FFFFFF"/>
            <w:vAlign w:val="center"/>
          </w:tcPr>
          <w:p w14:paraId="26CEEC3E">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项目单位财务和业务管理制度合法性、合规性和完整性一般</w:t>
            </w:r>
          </w:p>
        </w:tc>
        <w:tc>
          <w:tcPr>
            <w:tcW w:w="285" w:type="pct"/>
            <w:vMerge w:val="continue"/>
            <w:vAlign w:val="center"/>
          </w:tcPr>
          <w:p w14:paraId="6B49C769">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0873EC87">
            <w:pPr>
              <w:widowControl/>
              <w:adjustRightInd w:val="0"/>
              <w:snapToGrid w:val="0"/>
              <w:spacing w:line="240" w:lineRule="auto"/>
              <w:ind w:firstLine="400"/>
              <w:rPr>
                <w:rFonts w:hint="eastAsia" w:ascii="宋体" w:hAnsi="宋体" w:cs="宋体"/>
                <w:kern w:val="0"/>
                <w:sz w:val="20"/>
                <w:szCs w:val="20"/>
              </w:rPr>
            </w:pPr>
          </w:p>
        </w:tc>
      </w:tr>
      <w:tr w14:paraId="21D00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244CD1C5">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321829A4">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64023F75">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45496543">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2BBE9B8D">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4A622C64">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334DCCB3">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4AB2B6BC">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0（含）-1.2</w:t>
            </w:r>
          </w:p>
        </w:tc>
        <w:tc>
          <w:tcPr>
            <w:tcW w:w="863" w:type="pct"/>
            <w:shd w:val="clear" w:color="000000" w:fill="FFFFFF"/>
            <w:vAlign w:val="center"/>
          </w:tcPr>
          <w:p w14:paraId="45191D9E">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项目单位财务和业务管理制度缺乏合法性、合规性和完整性</w:t>
            </w:r>
          </w:p>
        </w:tc>
        <w:tc>
          <w:tcPr>
            <w:tcW w:w="285" w:type="pct"/>
            <w:vMerge w:val="continue"/>
            <w:vAlign w:val="center"/>
          </w:tcPr>
          <w:p w14:paraId="6F920FA3">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516EC6DE">
            <w:pPr>
              <w:widowControl/>
              <w:adjustRightInd w:val="0"/>
              <w:snapToGrid w:val="0"/>
              <w:spacing w:line="240" w:lineRule="auto"/>
              <w:ind w:firstLine="400"/>
              <w:rPr>
                <w:rFonts w:hint="eastAsia" w:ascii="宋体" w:hAnsi="宋体" w:cs="宋体"/>
                <w:kern w:val="0"/>
                <w:sz w:val="20"/>
                <w:szCs w:val="20"/>
              </w:rPr>
            </w:pPr>
          </w:p>
        </w:tc>
      </w:tr>
      <w:tr w14:paraId="72FA0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44A172E9">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00C23455">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restart"/>
            <w:shd w:val="clear" w:color="000000" w:fill="FFFFFF"/>
            <w:vAlign w:val="center"/>
          </w:tcPr>
          <w:p w14:paraId="355E52A2">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制度执行有效性</w:t>
            </w:r>
          </w:p>
        </w:tc>
        <w:tc>
          <w:tcPr>
            <w:tcW w:w="218" w:type="pct"/>
            <w:vMerge w:val="restart"/>
            <w:shd w:val="clear" w:color="000000" w:fill="FFFFFF"/>
            <w:vAlign w:val="center"/>
          </w:tcPr>
          <w:p w14:paraId="7E94DBB4">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8</w:t>
            </w:r>
          </w:p>
        </w:tc>
        <w:tc>
          <w:tcPr>
            <w:tcW w:w="467" w:type="pct"/>
            <w:vMerge w:val="restart"/>
            <w:shd w:val="clear" w:color="auto" w:fill="auto"/>
            <w:vAlign w:val="center"/>
          </w:tcPr>
          <w:p w14:paraId="2FBD7F57">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遵守相关法律法规和相关管理规定情况</w:t>
            </w:r>
          </w:p>
        </w:tc>
        <w:tc>
          <w:tcPr>
            <w:tcW w:w="218" w:type="pct"/>
            <w:vMerge w:val="restart"/>
            <w:shd w:val="clear" w:color="auto" w:fill="auto"/>
            <w:vAlign w:val="center"/>
          </w:tcPr>
          <w:p w14:paraId="13CB00E7">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2</w:t>
            </w:r>
          </w:p>
        </w:tc>
        <w:tc>
          <w:tcPr>
            <w:tcW w:w="772" w:type="pct"/>
            <w:vMerge w:val="restart"/>
            <w:shd w:val="clear" w:color="auto" w:fill="auto"/>
            <w:vAlign w:val="center"/>
          </w:tcPr>
          <w:p w14:paraId="6DEE5EA7">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项目实施是否遵守相关法律法规和相关管理规定，用以反映和考核相关管理制度的有效执行情况。</w:t>
            </w:r>
          </w:p>
        </w:tc>
        <w:tc>
          <w:tcPr>
            <w:tcW w:w="556" w:type="pct"/>
            <w:shd w:val="clear" w:color="auto" w:fill="auto"/>
            <w:vAlign w:val="center"/>
          </w:tcPr>
          <w:p w14:paraId="6CB22A78">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1.8（含）-2.0</w:t>
            </w:r>
          </w:p>
        </w:tc>
        <w:tc>
          <w:tcPr>
            <w:tcW w:w="863" w:type="pct"/>
            <w:shd w:val="clear" w:color="auto" w:fill="auto"/>
            <w:vAlign w:val="center"/>
          </w:tcPr>
          <w:p w14:paraId="0A143CE7">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项目单位严格遵守相关法律法规和相关管理规定</w:t>
            </w:r>
          </w:p>
        </w:tc>
        <w:tc>
          <w:tcPr>
            <w:tcW w:w="285" w:type="pct"/>
            <w:vMerge w:val="restart"/>
            <w:shd w:val="clear" w:color="auto" w:fill="auto"/>
            <w:noWrap/>
            <w:vAlign w:val="center"/>
          </w:tcPr>
          <w:p w14:paraId="45710E68">
            <w:pPr>
              <w:widowControl/>
              <w:adjustRightInd w:val="0"/>
              <w:snapToGrid w:val="0"/>
              <w:spacing w:line="240" w:lineRule="auto"/>
              <w:ind w:firstLine="0" w:firstLineChars="0"/>
              <w:jc w:val="center"/>
              <w:rPr>
                <w:rFonts w:hint="eastAsia" w:ascii="宋体" w:hAnsi="宋体" w:cs="宋体"/>
                <w:kern w:val="0"/>
                <w:sz w:val="20"/>
                <w:szCs w:val="20"/>
              </w:rPr>
            </w:pPr>
            <w:r>
              <w:rPr>
                <w:rFonts w:ascii="宋体" w:hAnsi="宋体" w:cs="宋体"/>
                <w:kern w:val="0"/>
                <w:sz w:val="20"/>
                <w:szCs w:val="20"/>
              </w:rPr>
              <w:t>2</w:t>
            </w:r>
          </w:p>
        </w:tc>
        <w:tc>
          <w:tcPr>
            <w:tcW w:w="585" w:type="pct"/>
            <w:vMerge w:val="restart"/>
            <w:shd w:val="clear" w:color="auto" w:fill="auto"/>
            <w:noWrap/>
            <w:vAlign w:val="center"/>
          </w:tcPr>
          <w:p w14:paraId="1D42973B">
            <w:pPr>
              <w:widowControl/>
              <w:adjustRightInd w:val="0"/>
              <w:snapToGrid w:val="0"/>
              <w:spacing w:line="240" w:lineRule="auto"/>
              <w:ind w:firstLine="400"/>
              <w:jc w:val="center"/>
              <w:rPr>
                <w:rFonts w:hint="eastAsia" w:ascii="宋体" w:hAnsi="宋体" w:cs="宋体"/>
                <w:kern w:val="0"/>
                <w:sz w:val="20"/>
                <w:szCs w:val="20"/>
              </w:rPr>
            </w:pPr>
          </w:p>
          <w:p w14:paraId="1EB0780B">
            <w:pPr>
              <w:widowControl/>
              <w:adjustRightInd w:val="0"/>
              <w:snapToGrid w:val="0"/>
              <w:spacing w:line="240" w:lineRule="auto"/>
              <w:ind w:firstLine="400"/>
              <w:jc w:val="center"/>
              <w:rPr>
                <w:rFonts w:hint="eastAsia" w:ascii="宋体" w:hAnsi="宋体" w:cs="宋体"/>
                <w:kern w:val="0"/>
                <w:sz w:val="20"/>
                <w:szCs w:val="20"/>
              </w:rPr>
            </w:pPr>
          </w:p>
        </w:tc>
      </w:tr>
      <w:tr w14:paraId="1F036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7DF8AF5A">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486C124C">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7506B829">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1DD3F2D6">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6717AB9F">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121FCF3A">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695D9D17">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47605DF6">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1.5（含）-1.8</w:t>
            </w:r>
          </w:p>
        </w:tc>
        <w:tc>
          <w:tcPr>
            <w:tcW w:w="863" w:type="pct"/>
            <w:shd w:val="clear" w:color="auto" w:fill="auto"/>
            <w:vAlign w:val="center"/>
          </w:tcPr>
          <w:p w14:paraId="570181B4">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项目单位较好地遵守了相关法律法规和相关管理规定</w:t>
            </w:r>
          </w:p>
        </w:tc>
        <w:tc>
          <w:tcPr>
            <w:tcW w:w="285" w:type="pct"/>
            <w:vMerge w:val="continue"/>
            <w:vAlign w:val="center"/>
          </w:tcPr>
          <w:p w14:paraId="6FD9C056">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0FB49D4E">
            <w:pPr>
              <w:widowControl/>
              <w:adjustRightInd w:val="0"/>
              <w:snapToGrid w:val="0"/>
              <w:spacing w:line="240" w:lineRule="auto"/>
              <w:ind w:firstLine="400"/>
              <w:rPr>
                <w:rFonts w:hint="eastAsia" w:ascii="宋体" w:hAnsi="宋体" w:cs="宋体"/>
                <w:kern w:val="0"/>
                <w:sz w:val="20"/>
                <w:szCs w:val="20"/>
              </w:rPr>
            </w:pPr>
          </w:p>
        </w:tc>
      </w:tr>
      <w:tr w14:paraId="21B1D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60D70037">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33303617">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5B97F0B6">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6EFA6695">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173E549F">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4D412038">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567DD09F">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33B93A28">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1.2（含）-1.5</w:t>
            </w:r>
          </w:p>
        </w:tc>
        <w:tc>
          <w:tcPr>
            <w:tcW w:w="863" w:type="pct"/>
            <w:shd w:val="clear" w:color="auto" w:fill="auto"/>
            <w:vAlign w:val="center"/>
          </w:tcPr>
          <w:p w14:paraId="63F8D490">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项目单位一定程度上遵守了相关法律法规和相关管理规定</w:t>
            </w:r>
          </w:p>
        </w:tc>
        <w:tc>
          <w:tcPr>
            <w:tcW w:w="285" w:type="pct"/>
            <w:vMerge w:val="continue"/>
            <w:vAlign w:val="center"/>
          </w:tcPr>
          <w:p w14:paraId="5BFF95D1">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77235647">
            <w:pPr>
              <w:widowControl/>
              <w:adjustRightInd w:val="0"/>
              <w:snapToGrid w:val="0"/>
              <w:spacing w:line="240" w:lineRule="auto"/>
              <w:ind w:firstLine="400"/>
              <w:rPr>
                <w:rFonts w:hint="eastAsia" w:ascii="宋体" w:hAnsi="宋体" w:cs="宋体"/>
                <w:kern w:val="0"/>
                <w:sz w:val="20"/>
                <w:szCs w:val="20"/>
              </w:rPr>
            </w:pPr>
          </w:p>
        </w:tc>
      </w:tr>
      <w:tr w14:paraId="72D19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3F630EF4">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5641850D">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2A9A1878">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74A977C7">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2464F260">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4FB301B3">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21550C0B">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56BBB792">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0（含）-1.2</w:t>
            </w:r>
          </w:p>
        </w:tc>
        <w:tc>
          <w:tcPr>
            <w:tcW w:w="863" w:type="pct"/>
            <w:shd w:val="clear" w:color="auto" w:fill="auto"/>
            <w:vAlign w:val="center"/>
          </w:tcPr>
          <w:p w14:paraId="7A7E3101">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项目单位未遵守相关法律法规和相关管理规定</w:t>
            </w:r>
          </w:p>
        </w:tc>
        <w:tc>
          <w:tcPr>
            <w:tcW w:w="285" w:type="pct"/>
            <w:vMerge w:val="continue"/>
            <w:vAlign w:val="center"/>
          </w:tcPr>
          <w:p w14:paraId="562AF2D1">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48B214B7">
            <w:pPr>
              <w:widowControl/>
              <w:adjustRightInd w:val="0"/>
              <w:snapToGrid w:val="0"/>
              <w:spacing w:line="240" w:lineRule="auto"/>
              <w:ind w:firstLine="400"/>
              <w:rPr>
                <w:rFonts w:hint="eastAsia" w:ascii="宋体" w:hAnsi="宋体" w:cs="宋体"/>
                <w:kern w:val="0"/>
                <w:sz w:val="20"/>
                <w:szCs w:val="20"/>
              </w:rPr>
            </w:pPr>
          </w:p>
        </w:tc>
      </w:tr>
      <w:tr w14:paraId="20D5B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6D1B8D4B">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550865AA">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3E31087E">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7A1FAC87">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restart"/>
            <w:shd w:val="clear" w:color="auto" w:fill="auto"/>
            <w:vAlign w:val="center"/>
          </w:tcPr>
          <w:p w14:paraId="2C2AA052">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项目调整及支出调整手续完备情况</w:t>
            </w:r>
          </w:p>
        </w:tc>
        <w:tc>
          <w:tcPr>
            <w:tcW w:w="218" w:type="pct"/>
            <w:vMerge w:val="restart"/>
            <w:shd w:val="clear" w:color="auto" w:fill="auto"/>
            <w:vAlign w:val="center"/>
          </w:tcPr>
          <w:p w14:paraId="7A552534">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2</w:t>
            </w:r>
          </w:p>
        </w:tc>
        <w:tc>
          <w:tcPr>
            <w:tcW w:w="772" w:type="pct"/>
            <w:vMerge w:val="restart"/>
            <w:shd w:val="clear" w:color="auto" w:fill="auto"/>
            <w:vAlign w:val="center"/>
          </w:tcPr>
          <w:p w14:paraId="2F813DAB">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项目调整及支出调整手续是否完备</w:t>
            </w:r>
          </w:p>
        </w:tc>
        <w:tc>
          <w:tcPr>
            <w:tcW w:w="556" w:type="pct"/>
            <w:shd w:val="clear" w:color="auto" w:fill="auto"/>
            <w:vAlign w:val="center"/>
          </w:tcPr>
          <w:p w14:paraId="0C2793AE">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1.8（含）-2.0</w:t>
            </w:r>
          </w:p>
        </w:tc>
        <w:tc>
          <w:tcPr>
            <w:tcW w:w="863" w:type="pct"/>
            <w:shd w:val="clear" w:color="auto" w:fill="auto"/>
            <w:vAlign w:val="center"/>
          </w:tcPr>
          <w:p w14:paraId="6559236B">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项目调整及支出调整手续完备性高</w:t>
            </w:r>
          </w:p>
        </w:tc>
        <w:tc>
          <w:tcPr>
            <w:tcW w:w="285" w:type="pct"/>
            <w:vMerge w:val="restart"/>
            <w:shd w:val="clear" w:color="auto" w:fill="auto"/>
            <w:noWrap/>
            <w:vAlign w:val="center"/>
          </w:tcPr>
          <w:p w14:paraId="27B0BC54">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2</w:t>
            </w:r>
          </w:p>
        </w:tc>
        <w:tc>
          <w:tcPr>
            <w:tcW w:w="585" w:type="pct"/>
            <w:vMerge w:val="restart"/>
            <w:shd w:val="clear" w:color="auto" w:fill="auto"/>
            <w:noWrap/>
            <w:vAlign w:val="center"/>
          </w:tcPr>
          <w:p w14:paraId="4235B10A">
            <w:pPr>
              <w:widowControl/>
              <w:adjustRightInd w:val="0"/>
              <w:snapToGrid w:val="0"/>
              <w:spacing w:line="240" w:lineRule="auto"/>
              <w:ind w:firstLine="400"/>
              <w:jc w:val="center"/>
              <w:rPr>
                <w:rFonts w:hint="eastAsia" w:ascii="宋体" w:hAnsi="宋体" w:cs="宋体"/>
                <w:kern w:val="0"/>
                <w:sz w:val="20"/>
                <w:szCs w:val="20"/>
              </w:rPr>
            </w:pPr>
          </w:p>
        </w:tc>
      </w:tr>
      <w:tr w14:paraId="6227E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417129D5">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2D5EB2C3">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24FCA946">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0BF6B262">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122605D0">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57B9B67B">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0A9A7630">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62B4B952">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1.5（含）-1.8</w:t>
            </w:r>
          </w:p>
        </w:tc>
        <w:tc>
          <w:tcPr>
            <w:tcW w:w="863" w:type="pct"/>
            <w:shd w:val="clear" w:color="auto" w:fill="auto"/>
            <w:vAlign w:val="center"/>
          </w:tcPr>
          <w:p w14:paraId="4A366D3C">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项目调整及支出调整手续完备性较高</w:t>
            </w:r>
          </w:p>
        </w:tc>
        <w:tc>
          <w:tcPr>
            <w:tcW w:w="285" w:type="pct"/>
            <w:vMerge w:val="continue"/>
            <w:vAlign w:val="center"/>
          </w:tcPr>
          <w:p w14:paraId="25096699">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74B1C037">
            <w:pPr>
              <w:widowControl/>
              <w:adjustRightInd w:val="0"/>
              <w:snapToGrid w:val="0"/>
              <w:spacing w:line="240" w:lineRule="auto"/>
              <w:ind w:firstLine="400"/>
              <w:rPr>
                <w:rFonts w:hint="eastAsia" w:ascii="宋体" w:hAnsi="宋体" w:cs="宋体"/>
                <w:kern w:val="0"/>
                <w:sz w:val="20"/>
                <w:szCs w:val="20"/>
              </w:rPr>
            </w:pPr>
          </w:p>
        </w:tc>
      </w:tr>
      <w:tr w14:paraId="6C92B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2FC2CBB0">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5F0CFD32">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105A5456">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746233AB">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76650B72">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1D751D03">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30E6B4A9">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1DAD968E">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1.2（含）-1.5</w:t>
            </w:r>
          </w:p>
        </w:tc>
        <w:tc>
          <w:tcPr>
            <w:tcW w:w="863" w:type="pct"/>
            <w:shd w:val="clear" w:color="auto" w:fill="auto"/>
            <w:vAlign w:val="center"/>
          </w:tcPr>
          <w:p w14:paraId="2775934A">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项目调整及支出调整手续完备性一般</w:t>
            </w:r>
          </w:p>
        </w:tc>
        <w:tc>
          <w:tcPr>
            <w:tcW w:w="285" w:type="pct"/>
            <w:vMerge w:val="continue"/>
            <w:vAlign w:val="center"/>
          </w:tcPr>
          <w:p w14:paraId="64A03F38">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72A6302A">
            <w:pPr>
              <w:widowControl/>
              <w:adjustRightInd w:val="0"/>
              <w:snapToGrid w:val="0"/>
              <w:spacing w:line="240" w:lineRule="auto"/>
              <w:ind w:firstLine="400"/>
              <w:rPr>
                <w:rFonts w:hint="eastAsia" w:ascii="宋体" w:hAnsi="宋体" w:cs="宋体"/>
                <w:kern w:val="0"/>
                <w:sz w:val="20"/>
                <w:szCs w:val="20"/>
              </w:rPr>
            </w:pPr>
          </w:p>
        </w:tc>
      </w:tr>
      <w:tr w14:paraId="4D0DE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54D8080F">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7EBA01E2">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40E74485">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033C8141">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43375369">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3C87B0D9">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3C984D2C">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39D570BE">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0（含）-1.2</w:t>
            </w:r>
          </w:p>
        </w:tc>
        <w:tc>
          <w:tcPr>
            <w:tcW w:w="863" w:type="pct"/>
            <w:shd w:val="clear" w:color="auto" w:fill="auto"/>
            <w:vAlign w:val="center"/>
          </w:tcPr>
          <w:p w14:paraId="4C53081B">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项目调整及支出调整手续缺乏完备性</w:t>
            </w:r>
          </w:p>
        </w:tc>
        <w:tc>
          <w:tcPr>
            <w:tcW w:w="285" w:type="pct"/>
            <w:vMerge w:val="continue"/>
            <w:vAlign w:val="center"/>
          </w:tcPr>
          <w:p w14:paraId="286AE0E8">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2742E9BE">
            <w:pPr>
              <w:widowControl/>
              <w:adjustRightInd w:val="0"/>
              <w:snapToGrid w:val="0"/>
              <w:spacing w:line="240" w:lineRule="auto"/>
              <w:ind w:firstLine="400"/>
              <w:rPr>
                <w:rFonts w:hint="eastAsia" w:ascii="宋体" w:hAnsi="宋体" w:cs="宋体"/>
                <w:kern w:val="0"/>
                <w:sz w:val="20"/>
                <w:szCs w:val="20"/>
              </w:rPr>
            </w:pPr>
          </w:p>
        </w:tc>
      </w:tr>
      <w:tr w14:paraId="1512E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285B73F4">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577C330D">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52BF6AA4">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146AE528">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restart"/>
            <w:shd w:val="clear" w:color="auto" w:fill="auto"/>
            <w:vAlign w:val="center"/>
          </w:tcPr>
          <w:p w14:paraId="63E5DF42">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项目合同书、验收报告、技术鉴定等资料归档的完整性和及时性</w:t>
            </w:r>
          </w:p>
        </w:tc>
        <w:tc>
          <w:tcPr>
            <w:tcW w:w="218" w:type="pct"/>
            <w:vMerge w:val="restart"/>
            <w:shd w:val="clear" w:color="auto" w:fill="auto"/>
            <w:vAlign w:val="center"/>
          </w:tcPr>
          <w:p w14:paraId="04B2DBDE">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2</w:t>
            </w:r>
          </w:p>
        </w:tc>
        <w:tc>
          <w:tcPr>
            <w:tcW w:w="772" w:type="pct"/>
            <w:vMerge w:val="restart"/>
            <w:shd w:val="clear" w:color="auto" w:fill="auto"/>
            <w:vAlign w:val="center"/>
          </w:tcPr>
          <w:p w14:paraId="5CA994E9">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项目合同书、验收报告、技术鉴定等资料是否齐全并及时归档</w:t>
            </w:r>
          </w:p>
        </w:tc>
        <w:tc>
          <w:tcPr>
            <w:tcW w:w="556" w:type="pct"/>
            <w:shd w:val="clear" w:color="auto" w:fill="auto"/>
            <w:vAlign w:val="center"/>
          </w:tcPr>
          <w:p w14:paraId="70C29080">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1.8（含）-2.0</w:t>
            </w:r>
          </w:p>
        </w:tc>
        <w:tc>
          <w:tcPr>
            <w:tcW w:w="863" w:type="pct"/>
            <w:shd w:val="clear" w:color="auto" w:fill="auto"/>
            <w:vAlign w:val="center"/>
          </w:tcPr>
          <w:p w14:paraId="732E60E1">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项目合同书、验收报告、技术鉴定等资料归档齐全、及时</w:t>
            </w:r>
          </w:p>
        </w:tc>
        <w:tc>
          <w:tcPr>
            <w:tcW w:w="285" w:type="pct"/>
            <w:vMerge w:val="restart"/>
            <w:shd w:val="clear" w:color="auto" w:fill="auto"/>
            <w:noWrap/>
            <w:vAlign w:val="center"/>
          </w:tcPr>
          <w:p w14:paraId="5547849C">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2</w:t>
            </w:r>
          </w:p>
        </w:tc>
        <w:tc>
          <w:tcPr>
            <w:tcW w:w="585" w:type="pct"/>
            <w:vMerge w:val="restart"/>
            <w:shd w:val="clear" w:color="auto" w:fill="auto"/>
            <w:noWrap/>
            <w:vAlign w:val="center"/>
          </w:tcPr>
          <w:p w14:paraId="33B72BAA">
            <w:pPr>
              <w:widowControl/>
              <w:adjustRightInd w:val="0"/>
              <w:snapToGrid w:val="0"/>
              <w:spacing w:line="240" w:lineRule="auto"/>
              <w:ind w:firstLine="0" w:firstLineChars="0"/>
              <w:rPr>
                <w:rFonts w:hint="eastAsia" w:ascii="宋体" w:hAnsi="宋体" w:cs="宋体"/>
                <w:kern w:val="0"/>
                <w:sz w:val="20"/>
                <w:szCs w:val="20"/>
              </w:rPr>
            </w:pPr>
          </w:p>
        </w:tc>
      </w:tr>
      <w:tr w14:paraId="12877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124810E3">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71BC9473">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6A98049F">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64F649E9">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577E5D0A">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25C429F7">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718AC0B2">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730F4FF1">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1.5（含）-1.8</w:t>
            </w:r>
          </w:p>
        </w:tc>
        <w:tc>
          <w:tcPr>
            <w:tcW w:w="863" w:type="pct"/>
            <w:shd w:val="clear" w:color="auto" w:fill="auto"/>
            <w:vAlign w:val="center"/>
          </w:tcPr>
          <w:p w14:paraId="2D7AC451">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项目合同书、验收报告、技术鉴定等资料归档较为齐全、及时</w:t>
            </w:r>
          </w:p>
        </w:tc>
        <w:tc>
          <w:tcPr>
            <w:tcW w:w="285" w:type="pct"/>
            <w:vMerge w:val="continue"/>
            <w:vAlign w:val="center"/>
          </w:tcPr>
          <w:p w14:paraId="59CA2354">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3ABA276E">
            <w:pPr>
              <w:widowControl/>
              <w:adjustRightInd w:val="0"/>
              <w:snapToGrid w:val="0"/>
              <w:spacing w:line="240" w:lineRule="auto"/>
              <w:ind w:firstLine="400"/>
              <w:rPr>
                <w:rFonts w:hint="eastAsia" w:ascii="宋体" w:hAnsi="宋体" w:cs="宋体"/>
                <w:kern w:val="0"/>
                <w:sz w:val="20"/>
                <w:szCs w:val="20"/>
              </w:rPr>
            </w:pPr>
          </w:p>
        </w:tc>
      </w:tr>
      <w:tr w14:paraId="1074C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73370C36">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21DC6895">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1FA4E470">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13DC5B08">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079CFA2E">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2C367A00">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40F309D2">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46CCA37E">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1.2（含）-1.5</w:t>
            </w:r>
          </w:p>
        </w:tc>
        <w:tc>
          <w:tcPr>
            <w:tcW w:w="863" w:type="pct"/>
            <w:shd w:val="clear" w:color="auto" w:fill="auto"/>
            <w:vAlign w:val="center"/>
          </w:tcPr>
          <w:p w14:paraId="33A8E953">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项目合同书、验收报告、技术鉴定等资料归档情况一般</w:t>
            </w:r>
          </w:p>
        </w:tc>
        <w:tc>
          <w:tcPr>
            <w:tcW w:w="285" w:type="pct"/>
            <w:vMerge w:val="continue"/>
            <w:vAlign w:val="center"/>
          </w:tcPr>
          <w:p w14:paraId="720BD2BE">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4AA0A8B3">
            <w:pPr>
              <w:widowControl/>
              <w:adjustRightInd w:val="0"/>
              <w:snapToGrid w:val="0"/>
              <w:spacing w:line="240" w:lineRule="auto"/>
              <w:ind w:firstLine="400"/>
              <w:rPr>
                <w:rFonts w:hint="eastAsia" w:ascii="宋体" w:hAnsi="宋体" w:cs="宋体"/>
                <w:kern w:val="0"/>
                <w:sz w:val="20"/>
                <w:szCs w:val="20"/>
              </w:rPr>
            </w:pPr>
          </w:p>
        </w:tc>
      </w:tr>
      <w:tr w14:paraId="66D4E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6B1A19FD">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6363DDD8">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094286B5">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58367C0F">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3D422F08">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2F1308BE">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08433BC4">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16588068">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0（含）-1.2</w:t>
            </w:r>
          </w:p>
        </w:tc>
        <w:tc>
          <w:tcPr>
            <w:tcW w:w="863" w:type="pct"/>
            <w:shd w:val="clear" w:color="auto" w:fill="auto"/>
            <w:vAlign w:val="center"/>
          </w:tcPr>
          <w:p w14:paraId="5C42E414">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项目合同书、验收报告、技术鉴定等资料归档不齐全、不及时</w:t>
            </w:r>
          </w:p>
        </w:tc>
        <w:tc>
          <w:tcPr>
            <w:tcW w:w="285" w:type="pct"/>
            <w:vMerge w:val="continue"/>
            <w:vAlign w:val="center"/>
          </w:tcPr>
          <w:p w14:paraId="0D34CC5A">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3D90608D">
            <w:pPr>
              <w:widowControl/>
              <w:adjustRightInd w:val="0"/>
              <w:snapToGrid w:val="0"/>
              <w:spacing w:line="240" w:lineRule="auto"/>
              <w:ind w:firstLine="400"/>
              <w:rPr>
                <w:rFonts w:hint="eastAsia" w:ascii="宋体" w:hAnsi="宋体" w:cs="宋体"/>
                <w:kern w:val="0"/>
                <w:sz w:val="20"/>
                <w:szCs w:val="20"/>
              </w:rPr>
            </w:pPr>
          </w:p>
        </w:tc>
      </w:tr>
      <w:tr w14:paraId="6AE0A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100159AF">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1EDA4F9D">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382D06FD">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3271E04B">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restart"/>
            <w:shd w:val="clear" w:color="auto" w:fill="auto"/>
            <w:vAlign w:val="center"/>
          </w:tcPr>
          <w:p w14:paraId="55B6628E">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项目实施的人员条件、场地设备、信息支撑等落实到位情况</w:t>
            </w:r>
          </w:p>
        </w:tc>
        <w:tc>
          <w:tcPr>
            <w:tcW w:w="218" w:type="pct"/>
            <w:vMerge w:val="restart"/>
            <w:shd w:val="clear" w:color="auto" w:fill="auto"/>
            <w:vAlign w:val="center"/>
          </w:tcPr>
          <w:p w14:paraId="50EFBC19">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2</w:t>
            </w:r>
          </w:p>
        </w:tc>
        <w:tc>
          <w:tcPr>
            <w:tcW w:w="772" w:type="pct"/>
            <w:vMerge w:val="restart"/>
            <w:shd w:val="clear" w:color="auto" w:fill="auto"/>
            <w:vAlign w:val="center"/>
          </w:tcPr>
          <w:p w14:paraId="180FF51C">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项目实施的人员条件、场地设备、信息支撑等是否落实到位</w:t>
            </w:r>
          </w:p>
        </w:tc>
        <w:tc>
          <w:tcPr>
            <w:tcW w:w="556" w:type="pct"/>
            <w:shd w:val="clear" w:color="auto" w:fill="auto"/>
            <w:vAlign w:val="center"/>
          </w:tcPr>
          <w:p w14:paraId="373AE779">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1.8（含）-2.0</w:t>
            </w:r>
          </w:p>
        </w:tc>
        <w:tc>
          <w:tcPr>
            <w:tcW w:w="863" w:type="pct"/>
            <w:shd w:val="clear" w:color="auto" w:fill="auto"/>
            <w:vAlign w:val="center"/>
          </w:tcPr>
          <w:p w14:paraId="69CEDE8D">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项目实施的人员条件、场地设备、信息支撑等落实到位情况好</w:t>
            </w:r>
          </w:p>
        </w:tc>
        <w:tc>
          <w:tcPr>
            <w:tcW w:w="285" w:type="pct"/>
            <w:vMerge w:val="restart"/>
            <w:shd w:val="clear" w:color="auto" w:fill="auto"/>
            <w:noWrap/>
            <w:vAlign w:val="center"/>
          </w:tcPr>
          <w:p w14:paraId="403CC002">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 xml:space="preserve">  2</w:t>
            </w:r>
          </w:p>
        </w:tc>
        <w:tc>
          <w:tcPr>
            <w:tcW w:w="585" w:type="pct"/>
            <w:vMerge w:val="restart"/>
            <w:shd w:val="clear" w:color="auto" w:fill="auto"/>
            <w:noWrap/>
            <w:vAlign w:val="center"/>
          </w:tcPr>
          <w:p w14:paraId="759EDF12">
            <w:pPr>
              <w:widowControl/>
              <w:adjustRightInd w:val="0"/>
              <w:snapToGrid w:val="0"/>
              <w:spacing w:line="240" w:lineRule="auto"/>
              <w:ind w:firstLine="0" w:firstLineChars="0"/>
              <w:rPr>
                <w:rFonts w:hint="eastAsia" w:ascii="宋体" w:hAnsi="宋体" w:cs="宋体"/>
                <w:kern w:val="0"/>
                <w:sz w:val="20"/>
                <w:szCs w:val="20"/>
              </w:rPr>
            </w:pPr>
          </w:p>
        </w:tc>
      </w:tr>
      <w:tr w14:paraId="2BC1B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477E44CE">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52226FF9">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0E2E74D5">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2744CCE6">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15754BE7">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4FEDA72C">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6B331D0C">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22EE3BF0">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1.5（含）-1.8</w:t>
            </w:r>
          </w:p>
        </w:tc>
        <w:tc>
          <w:tcPr>
            <w:tcW w:w="863" w:type="pct"/>
            <w:shd w:val="clear" w:color="auto" w:fill="auto"/>
            <w:vAlign w:val="center"/>
          </w:tcPr>
          <w:p w14:paraId="287E334A">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项目实施的人员条件、场地设备、信息支撑等落实到位情况较好</w:t>
            </w:r>
          </w:p>
        </w:tc>
        <w:tc>
          <w:tcPr>
            <w:tcW w:w="285" w:type="pct"/>
            <w:vMerge w:val="continue"/>
            <w:vAlign w:val="center"/>
          </w:tcPr>
          <w:p w14:paraId="0C827434">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03B0ABF6">
            <w:pPr>
              <w:widowControl/>
              <w:adjustRightInd w:val="0"/>
              <w:snapToGrid w:val="0"/>
              <w:spacing w:line="240" w:lineRule="auto"/>
              <w:ind w:firstLine="400"/>
              <w:rPr>
                <w:rFonts w:hint="eastAsia" w:ascii="宋体" w:hAnsi="宋体" w:cs="宋体"/>
                <w:kern w:val="0"/>
                <w:sz w:val="20"/>
                <w:szCs w:val="20"/>
              </w:rPr>
            </w:pPr>
          </w:p>
        </w:tc>
      </w:tr>
      <w:tr w14:paraId="06C21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40BA60AF">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491BF164">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50085EAC">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6C24C20D">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59355732">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6E5EF759">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4C43F789">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667C1351">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1.2（含）-1.5</w:t>
            </w:r>
          </w:p>
        </w:tc>
        <w:tc>
          <w:tcPr>
            <w:tcW w:w="863" w:type="pct"/>
            <w:shd w:val="clear" w:color="auto" w:fill="auto"/>
            <w:vAlign w:val="center"/>
          </w:tcPr>
          <w:p w14:paraId="40FDEE61">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项目实施的人员条件、场地设备、信息支撑等落实到位情况一般</w:t>
            </w:r>
          </w:p>
        </w:tc>
        <w:tc>
          <w:tcPr>
            <w:tcW w:w="285" w:type="pct"/>
            <w:vMerge w:val="continue"/>
            <w:vAlign w:val="center"/>
          </w:tcPr>
          <w:p w14:paraId="68AEE4EA">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1890D182">
            <w:pPr>
              <w:widowControl/>
              <w:adjustRightInd w:val="0"/>
              <w:snapToGrid w:val="0"/>
              <w:spacing w:line="240" w:lineRule="auto"/>
              <w:ind w:firstLine="400"/>
              <w:rPr>
                <w:rFonts w:hint="eastAsia" w:ascii="宋体" w:hAnsi="宋体" w:cs="宋体"/>
                <w:kern w:val="0"/>
                <w:sz w:val="20"/>
                <w:szCs w:val="20"/>
              </w:rPr>
            </w:pPr>
          </w:p>
        </w:tc>
      </w:tr>
      <w:tr w14:paraId="7D841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5FC49907">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142F8055">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7D5AE7BC">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2379139B">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76F1E1F8">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3876DDEE">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432CD099">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294B4EF5">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0（含）-1.2</w:t>
            </w:r>
          </w:p>
        </w:tc>
        <w:tc>
          <w:tcPr>
            <w:tcW w:w="863" w:type="pct"/>
            <w:shd w:val="clear" w:color="auto" w:fill="auto"/>
            <w:vAlign w:val="center"/>
          </w:tcPr>
          <w:p w14:paraId="4920CA85">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项目实施的人员条件、场地设备、信息支撑等未落实到位</w:t>
            </w:r>
          </w:p>
        </w:tc>
        <w:tc>
          <w:tcPr>
            <w:tcW w:w="285" w:type="pct"/>
            <w:vMerge w:val="continue"/>
            <w:vAlign w:val="center"/>
          </w:tcPr>
          <w:p w14:paraId="0A062F08">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2A46E9CC">
            <w:pPr>
              <w:widowControl/>
              <w:adjustRightInd w:val="0"/>
              <w:snapToGrid w:val="0"/>
              <w:spacing w:line="240" w:lineRule="auto"/>
              <w:ind w:firstLine="400"/>
              <w:rPr>
                <w:rFonts w:hint="eastAsia" w:ascii="宋体" w:hAnsi="宋体" w:cs="宋体"/>
                <w:kern w:val="0"/>
                <w:sz w:val="20"/>
                <w:szCs w:val="20"/>
              </w:rPr>
            </w:pPr>
          </w:p>
        </w:tc>
      </w:tr>
      <w:tr w14:paraId="2FC32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jc w:val="center"/>
        </w:trPr>
        <w:tc>
          <w:tcPr>
            <w:tcW w:w="279" w:type="pct"/>
            <w:vMerge w:val="restart"/>
            <w:shd w:val="clear" w:color="000000" w:fill="FFFFFF"/>
            <w:vAlign w:val="center"/>
          </w:tcPr>
          <w:p w14:paraId="4E93AB90">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产出</w:t>
            </w:r>
          </w:p>
        </w:tc>
        <w:tc>
          <w:tcPr>
            <w:tcW w:w="363" w:type="pct"/>
            <w:vMerge w:val="restart"/>
            <w:shd w:val="clear" w:color="000000" w:fill="FFFFFF"/>
            <w:vAlign w:val="center"/>
          </w:tcPr>
          <w:p w14:paraId="1229806B">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产出数量</w:t>
            </w:r>
          </w:p>
        </w:tc>
        <w:tc>
          <w:tcPr>
            <w:tcW w:w="389" w:type="pct"/>
            <w:vMerge w:val="restart"/>
            <w:shd w:val="clear" w:color="000000" w:fill="FFFFFF"/>
            <w:vAlign w:val="center"/>
          </w:tcPr>
          <w:p w14:paraId="5D3038D3">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实际完成率</w:t>
            </w:r>
          </w:p>
        </w:tc>
        <w:tc>
          <w:tcPr>
            <w:tcW w:w="218" w:type="pct"/>
            <w:vMerge w:val="restart"/>
            <w:shd w:val="clear" w:color="000000" w:fill="FFFFFF"/>
            <w:vAlign w:val="center"/>
          </w:tcPr>
          <w:p w14:paraId="1E00DA16">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10</w:t>
            </w:r>
          </w:p>
        </w:tc>
        <w:tc>
          <w:tcPr>
            <w:tcW w:w="467" w:type="pct"/>
            <w:vMerge w:val="restart"/>
            <w:shd w:val="clear" w:color="000000" w:fill="FFFFFF"/>
            <w:vAlign w:val="center"/>
          </w:tcPr>
          <w:p w14:paraId="21BB32E5">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实际完成率</w:t>
            </w:r>
          </w:p>
        </w:tc>
        <w:tc>
          <w:tcPr>
            <w:tcW w:w="218" w:type="pct"/>
            <w:vMerge w:val="restart"/>
            <w:shd w:val="clear" w:color="000000" w:fill="FFFFFF"/>
            <w:vAlign w:val="center"/>
          </w:tcPr>
          <w:p w14:paraId="259C37CF">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10</w:t>
            </w:r>
          </w:p>
        </w:tc>
        <w:tc>
          <w:tcPr>
            <w:tcW w:w="772" w:type="pct"/>
            <w:vMerge w:val="restart"/>
            <w:shd w:val="clear" w:color="000000" w:fill="FFFFFF"/>
            <w:vAlign w:val="center"/>
          </w:tcPr>
          <w:p w14:paraId="7515D803">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项目实施的实际产出数与计划产出数的比率，用以反映和考核项目产出数量目标的实现程度。实际完成率=（实际产出数/计划产出数）×100%。</w:t>
            </w:r>
          </w:p>
          <w:p w14:paraId="620CE6CB">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实际产出数：一定时期（本年度或项目期）内项目实际产出的产品或提供的服务数量。</w:t>
            </w:r>
          </w:p>
          <w:p w14:paraId="23FEF5C1">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计划产出数：项目绩效目标确定的在一定时期（本年度或项目期）内计划产出的产品或提供的服务数量。</w:t>
            </w:r>
          </w:p>
        </w:tc>
        <w:tc>
          <w:tcPr>
            <w:tcW w:w="556" w:type="pct"/>
            <w:shd w:val="clear" w:color="auto" w:fill="auto"/>
            <w:vAlign w:val="center"/>
          </w:tcPr>
          <w:p w14:paraId="0726B832">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9.0（含）-10.0</w:t>
            </w:r>
          </w:p>
        </w:tc>
        <w:tc>
          <w:tcPr>
            <w:tcW w:w="863" w:type="pct"/>
            <w:shd w:val="clear" w:color="auto" w:fill="auto"/>
            <w:vAlign w:val="center"/>
          </w:tcPr>
          <w:p w14:paraId="737509C9">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实际完成率≥95%</w:t>
            </w:r>
          </w:p>
        </w:tc>
        <w:tc>
          <w:tcPr>
            <w:tcW w:w="285" w:type="pct"/>
            <w:vMerge w:val="restart"/>
            <w:shd w:val="clear" w:color="auto" w:fill="auto"/>
            <w:noWrap/>
            <w:vAlign w:val="center"/>
          </w:tcPr>
          <w:p w14:paraId="6C0569FD">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10</w:t>
            </w:r>
          </w:p>
        </w:tc>
        <w:tc>
          <w:tcPr>
            <w:tcW w:w="585" w:type="pct"/>
            <w:vMerge w:val="restart"/>
            <w:shd w:val="clear" w:color="auto" w:fill="auto"/>
            <w:noWrap/>
            <w:vAlign w:val="center"/>
          </w:tcPr>
          <w:p w14:paraId="26C0066C">
            <w:pPr>
              <w:widowControl/>
              <w:adjustRightInd w:val="0"/>
              <w:snapToGrid w:val="0"/>
              <w:spacing w:line="240" w:lineRule="auto"/>
              <w:ind w:firstLine="0" w:firstLineChars="0"/>
              <w:rPr>
                <w:rFonts w:hint="eastAsia" w:ascii="宋体" w:hAnsi="宋体" w:cs="宋体"/>
                <w:kern w:val="0"/>
                <w:sz w:val="20"/>
                <w:szCs w:val="20"/>
              </w:rPr>
            </w:pPr>
          </w:p>
        </w:tc>
      </w:tr>
      <w:tr w14:paraId="1728E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279" w:type="pct"/>
            <w:vMerge w:val="continue"/>
            <w:vAlign w:val="center"/>
          </w:tcPr>
          <w:p w14:paraId="6D86B832">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64554189">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35C009D9">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2346A4F2">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6832ACF5">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7B22130F">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65422168">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35086F78">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7.5（含）-9.0</w:t>
            </w:r>
          </w:p>
        </w:tc>
        <w:tc>
          <w:tcPr>
            <w:tcW w:w="863" w:type="pct"/>
            <w:shd w:val="clear" w:color="auto" w:fill="auto"/>
            <w:vAlign w:val="center"/>
          </w:tcPr>
          <w:p w14:paraId="1FA91C85">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80%≤实际完成率＜95%</w:t>
            </w:r>
          </w:p>
        </w:tc>
        <w:tc>
          <w:tcPr>
            <w:tcW w:w="285" w:type="pct"/>
            <w:vMerge w:val="continue"/>
            <w:vAlign w:val="center"/>
          </w:tcPr>
          <w:p w14:paraId="35B7F08F">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6C947A69">
            <w:pPr>
              <w:widowControl/>
              <w:adjustRightInd w:val="0"/>
              <w:snapToGrid w:val="0"/>
              <w:spacing w:line="240" w:lineRule="auto"/>
              <w:ind w:firstLine="400"/>
              <w:rPr>
                <w:rFonts w:hint="eastAsia" w:ascii="宋体" w:hAnsi="宋体" w:cs="宋体"/>
                <w:kern w:val="0"/>
                <w:sz w:val="20"/>
                <w:szCs w:val="20"/>
              </w:rPr>
            </w:pPr>
          </w:p>
        </w:tc>
      </w:tr>
      <w:tr w14:paraId="4A438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jc w:val="center"/>
        </w:trPr>
        <w:tc>
          <w:tcPr>
            <w:tcW w:w="279" w:type="pct"/>
            <w:vMerge w:val="continue"/>
            <w:vAlign w:val="center"/>
          </w:tcPr>
          <w:p w14:paraId="182D36BA">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19993984">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26403C6B">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095AA8F2">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760FF7BF">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5DA03E31">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677EB58A">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030763E0">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6.0（含）-7.5</w:t>
            </w:r>
          </w:p>
        </w:tc>
        <w:tc>
          <w:tcPr>
            <w:tcW w:w="863" w:type="pct"/>
            <w:shd w:val="clear" w:color="auto" w:fill="auto"/>
            <w:vAlign w:val="center"/>
          </w:tcPr>
          <w:p w14:paraId="4D8F3BB3">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60%≤实际完成率＜80%</w:t>
            </w:r>
          </w:p>
        </w:tc>
        <w:tc>
          <w:tcPr>
            <w:tcW w:w="285" w:type="pct"/>
            <w:vMerge w:val="continue"/>
            <w:vAlign w:val="center"/>
          </w:tcPr>
          <w:p w14:paraId="0AF22C22">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0793C043">
            <w:pPr>
              <w:widowControl/>
              <w:adjustRightInd w:val="0"/>
              <w:snapToGrid w:val="0"/>
              <w:spacing w:line="240" w:lineRule="auto"/>
              <w:ind w:firstLine="400"/>
              <w:rPr>
                <w:rFonts w:hint="eastAsia" w:ascii="宋体" w:hAnsi="宋体" w:cs="宋体"/>
                <w:kern w:val="0"/>
                <w:sz w:val="20"/>
                <w:szCs w:val="20"/>
              </w:rPr>
            </w:pPr>
          </w:p>
        </w:tc>
      </w:tr>
      <w:tr w14:paraId="1857A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279" w:type="pct"/>
            <w:vMerge w:val="continue"/>
            <w:vAlign w:val="center"/>
          </w:tcPr>
          <w:p w14:paraId="1CC82F5F">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continue"/>
            <w:vAlign w:val="center"/>
          </w:tcPr>
          <w:p w14:paraId="46CE1E43">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6C6BC681">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7DAB3EB7">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2D91FC6D">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548DA482">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58ECF0EF">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14E3D545">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0（含）-6.0</w:t>
            </w:r>
          </w:p>
        </w:tc>
        <w:tc>
          <w:tcPr>
            <w:tcW w:w="863" w:type="pct"/>
            <w:shd w:val="clear" w:color="auto" w:fill="auto"/>
            <w:vAlign w:val="center"/>
          </w:tcPr>
          <w:p w14:paraId="037986BF">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实际完成率＜60%</w:t>
            </w:r>
          </w:p>
        </w:tc>
        <w:tc>
          <w:tcPr>
            <w:tcW w:w="285" w:type="pct"/>
            <w:vMerge w:val="continue"/>
            <w:vAlign w:val="center"/>
          </w:tcPr>
          <w:p w14:paraId="6832F638">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061CC253">
            <w:pPr>
              <w:widowControl/>
              <w:adjustRightInd w:val="0"/>
              <w:snapToGrid w:val="0"/>
              <w:spacing w:line="240" w:lineRule="auto"/>
              <w:ind w:firstLine="400"/>
              <w:rPr>
                <w:rFonts w:hint="eastAsia" w:ascii="宋体" w:hAnsi="宋体" w:cs="宋体"/>
                <w:kern w:val="0"/>
                <w:sz w:val="20"/>
                <w:szCs w:val="20"/>
              </w:rPr>
            </w:pPr>
          </w:p>
        </w:tc>
      </w:tr>
      <w:tr w14:paraId="312A1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279" w:type="pct"/>
            <w:vMerge w:val="continue"/>
            <w:vAlign w:val="center"/>
          </w:tcPr>
          <w:p w14:paraId="75AB6B1F">
            <w:pPr>
              <w:widowControl/>
              <w:adjustRightInd w:val="0"/>
              <w:snapToGrid w:val="0"/>
              <w:spacing w:line="240" w:lineRule="auto"/>
              <w:ind w:firstLine="400"/>
              <w:jc w:val="center"/>
              <w:rPr>
                <w:rFonts w:hint="eastAsia" w:ascii="宋体" w:hAnsi="宋体" w:cs="宋体"/>
                <w:kern w:val="0"/>
                <w:sz w:val="20"/>
                <w:szCs w:val="20"/>
              </w:rPr>
            </w:pPr>
          </w:p>
        </w:tc>
        <w:tc>
          <w:tcPr>
            <w:tcW w:w="363" w:type="pct"/>
            <w:vMerge w:val="restart"/>
            <w:shd w:val="clear" w:color="000000" w:fill="FFFFFF"/>
            <w:vAlign w:val="center"/>
          </w:tcPr>
          <w:p w14:paraId="4C3977BA">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产出质量</w:t>
            </w:r>
          </w:p>
        </w:tc>
        <w:tc>
          <w:tcPr>
            <w:tcW w:w="389" w:type="pct"/>
            <w:vMerge w:val="restart"/>
            <w:shd w:val="clear" w:color="000000" w:fill="FFFFFF"/>
            <w:vAlign w:val="center"/>
          </w:tcPr>
          <w:p w14:paraId="53B2F0F6">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质量达标率</w:t>
            </w:r>
          </w:p>
        </w:tc>
        <w:tc>
          <w:tcPr>
            <w:tcW w:w="218" w:type="pct"/>
            <w:vMerge w:val="restart"/>
            <w:shd w:val="clear" w:color="000000" w:fill="FFFFFF"/>
            <w:vAlign w:val="center"/>
          </w:tcPr>
          <w:p w14:paraId="12D2F7C5">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10</w:t>
            </w:r>
          </w:p>
        </w:tc>
        <w:tc>
          <w:tcPr>
            <w:tcW w:w="467" w:type="pct"/>
            <w:vMerge w:val="restart"/>
            <w:shd w:val="clear" w:color="000000" w:fill="FFFFFF"/>
            <w:vAlign w:val="center"/>
          </w:tcPr>
          <w:p w14:paraId="4277F158">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质量达标率</w:t>
            </w:r>
          </w:p>
        </w:tc>
        <w:tc>
          <w:tcPr>
            <w:tcW w:w="218" w:type="pct"/>
            <w:vMerge w:val="restart"/>
            <w:shd w:val="clear" w:color="000000" w:fill="FFFFFF"/>
            <w:vAlign w:val="center"/>
          </w:tcPr>
          <w:p w14:paraId="0E72A054">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10</w:t>
            </w:r>
          </w:p>
        </w:tc>
        <w:tc>
          <w:tcPr>
            <w:tcW w:w="772" w:type="pct"/>
            <w:vMerge w:val="restart"/>
            <w:shd w:val="clear" w:color="000000" w:fill="FFFFFF"/>
            <w:vAlign w:val="center"/>
          </w:tcPr>
          <w:p w14:paraId="5E7D6472">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项目完成的质量达标产出数与实际产出数的比率，用以反映和考核项目产出质量目标的实现程度。质量达标率=（质量达标产出数/实际产出数）×100%。</w:t>
            </w:r>
          </w:p>
          <w:p w14:paraId="0B835085">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56" w:type="pct"/>
            <w:shd w:val="clear" w:color="auto" w:fill="auto"/>
            <w:vAlign w:val="center"/>
          </w:tcPr>
          <w:p w14:paraId="47B4AF65">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9.0（含）-10.0</w:t>
            </w:r>
          </w:p>
        </w:tc>
        <w:tc>
          <w:tcPr>
            <w:tcW w:w="863" w:type="pct"/>
            <w:shd w:val="clear" w:color="auto" w:fill="auto"/>
            <w:vAlign w:val="center"/>
          </w:tcPr>
          <w:p w14:paraId="79B98E8E">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质量达标率≥95%</w:t>
            </w:r>
          </w:p>
        </w:tc>
        <w:tc>
          <w:tcPr>
            <w:tcW w:w="285" w:type="pct"/>
            <w:vMerge w:val="restart"/>
            <w:shd w:val="clear" w:color="auto" w:fill="auto"/>
            <w:noWrap/>
            <w:vAlign w:val="center"/>
          </w:tcPr>
          <w:p w14:paraId="5E9EC7C2">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10</w:t>
            </w:r>
          </w:p>
        </w:tc>
        <w:tc>
          <w:tcPr>
            <w:tcW w:w="585" w:type="pct"/>
            <w:vMerge w:val="restart"/>
            <w:shd w:val="clear" w:color="auto" w:fill="auto"/>
            <w:noWrap/>
            <w:vAlign w:val="center"/>
          </w:tcPr>
          <w:p w14:paraId="0C624628">
            <w:pPr>
              <w:widowControl/>
              <w:adjustRightInd w:val="0"/>
              <w:snapToGrid w:val="0"/>
              <w:spacing w:line="240" w:lineRule="auto"/>
              <w:ind w:firstLine="400"/>
              <w:jc w:val="center"/>
              <w:rPr>
                <w:rFonts w:hint="eastAsia" w:ascii="宋体" w:hAnsi="宋体" w:cs="宋体"/>
                <w:kern w:val="0"/>
                <w:sz w:val="20"/>
                <w:szCs w:val="20"/>
              </w:rPr>
            </w:pPr>
          </w:p>
        </w:tc>
      </w:tr>
      <w:tr w14:paraId="504BC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3" w:hRule="atLeast"/>
          <w:jc w:val="center"/>
        </w:trPr>
        <w:tc>
          <w:tcPr>
            <w:tcW w:w="279" w:type="pct"/>
            <w:vMerge w:val="continue"/>
            <w:vAlign w:val="center"/>
          </w:tcPr>
          <w:p w14:paraId="36ADAED3">
            <w:pPr>
              <w:widowControl/>
              <w:adjustRightInd w:val="0"/>
              <w:snapToGrid w:val="0"/>
              <w:spacing w:line="240" w:lineRule="auto"/>
              <w:ind w:firstLine="400"/>
              <w:rPr>
                <w:rFonts w:hint="eastAsia" w:ascii="宋体" w:hAnsi="宋体" w:cs="宋体"/>
                <w:kern w:val="0"/>
                <w:sz w:val="20"/>
                <w:szCs w:val="20"/>
              </w:rPr>
            </w:pPr>
          </w:p>
        </w:tc>
        <w:tc>
          <w:tcPr>
            <w:tcW w:w="363" w:type="pct"/>
            <w:vMerge w:val="continue"/>
            <w:vAlign w:val="center"/>
          </w:tcPr>
          <w:p w14:paraId="4018A055">
            <w:pPr>
              <w:widowControl/>
              <w:adjustRightInd w:val="0"/>
              <w:snapToGrid w:val="0"/>
              <w:spacing w:line="240" w:lineRule="auto"/>
              <w:ind w:firstLine="400"/>
              <w:rPr>
                <w:rFonts w:hint="eastAsia" w:ascii="宋体" w:hAnsi="宋体" w:cs="宋体"/>
                <w:kern w:val="0"/>
                <w:sz w:val="20"/>
                <w:szCs w:val="20"/>
              </w:rPr>
            </w:pPr>
          </w:p>
        </w:tc>
        <w:tc>
          <w:tcPr>
            <w:tcW w:w="389" w:type="pct"/>
            <w:vMerge w:val="continue"/>
            <w:vAlign w:val="center"/>
          </w:tcPr>
          <w:p w14:paraId="0BCBA1E4">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1E0E6678">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297DDDBD">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5CB074D3">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787EA255">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2D26955C">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7.5（含）-9.0</w:t>
            </w:r>
          </w:p>
        </w:tc>
        <w:tc>
          <w:tcPr>
            <w:tcW w:w="863" w:type="pct"/>
            <w:shd w:val="clear" w:color="auto" w:fill="auto"/>
            <w:vAlign w:val="center"/>
          </w:tcPr>
          <w:p w14:paraId="3C3CB547">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80%≤质量达标率＜95%</w:t>
            </w:r>
          </w:p>
        </w:tc>
        <w:tc>
          <w:tcPr>
            <w:tcW w:w="285" w:type="pct"/>
            <w:vMerge w:val="continue"/>
            <w:vAlign w:val="center"/>
          </w:tcPr>
          <w:p w14:paraId="000329E2">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146A625A">
            <w:pPr>
              <w:widowControl/>
              <w:adjustRightInd w:val="0"/>
              <w:snapToGrid w:val="0"/>
              <w:spacing w:line="240" w:lineRule="auto"/>
              <w:ind w:firstLine="400"/>
              <w:rPr>
                <w:rFonts w:hint="eastAsia" w:ascii="宋体" w:hAnsi="宋体" w:cs="宋体"/>
                <w:kern w:val="0"/>
                <w:sz w:val="20"/>
                <w:szCs w:val="20"/>
              </w:rPr>
            </w:pPr>
          </w:p>
        </w:tc>
      </w:tr>
      <w:tr w14:paraId="3D409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279" w:type="pct"/>
            <w:vMerge w:val="continue"/>
            <w:vAlign w:val="center"/>
          </w:tcPr>
          <w:p w14:paraId="051F4A6D">
            <w:pPr>
              <w:widowControl/>
              <w:adjustRightInd w:val="0"/>
              <w:snapToGrid w:val="0"/>
              <w:spacing w:line="240" w:lineRule="auto"/>
              <w:ind w:firstLine="400"/>
              <w:rPr>
                <w:rFonts w:hint="eastAsia" w:ascii="宋体" w:hAnsi="宋体" w:cs="宋体"/>
                <w:kern w:val="0"/>
                <w:sz w:val="20"/>
                <w:szCs w:val="20"/>
              </w:rPr>
            </w:pPr>
          </w:p>
        </w:tc>
        <w:tc>
          <w:tcPr>
            <w:tcW w:w="363" w:type="pct"/>
            <w:vMerge w:val="continue"/>
            <w:vAlign w:val="center"/>
          </w:tcPr>
          <w:p w14:paraId="1C76EDD9">
            <w:pPr>
              <w:widowControl/>
              <w:adjustRightInd w:val="0"/>
              <w:snapToGrid w:val="0"/>
              <w:spacing w:line="240" w:lineRule="auto"/>
              <w:ind w:firstLine="400"/>
              <w:rPr>
                <w:rFonts w:hint="eastAsia" w:ascii="宋体" w:hAnsi="宋体" w:cs="宋体"/>
                <w:kern w:val="0"/>
                <w:sz w:val="20"/>
                <w:szCs w:val="20"/>
              </w:rPr>
            </w:pPr>
          </w:p>
        </w:tc>
        <w:tc>
          <w:tcPr>
            <w:tcW w:w="389" w:type="pct"/>
            <w:vMerge w:val="continue"/>
            <w:vAlign w:val="center"/>
          </w:tcPr>
          <w:p w14:paraId="198F64CB">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2D1A73BF">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6AD74279">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5F1DFEDC">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1CC73523">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214E32D1">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6.0（含）-7.5</w:t>
            </w:r>
          </w:p>
        </w:tc>
        <w:tc>
          <w:tcPr>
            <w:tcW w:w="863" w:type="pct"/>
            <w:shd w:val="clear" w:color="auto" w:fill="auto"/>
            <w:vAlign w:val="center"/>
          </w:tcPr>
          <w:p w14:paraId="5000511E">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60%≤质量达标率＜80%</w:t>
            </w:r>
          </w:p>
        </w:tc>
        <w:tc>
          <w:tcPr>
            <w:tcW w:w="285" w:type="pct"/>
            <w:vMerge w:val="continue"/>
            <w:vAlign w:val="center"/>
          </w:tcPr>
          <w:p w14:paraId="3734D9E5">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0197F28C">
            <w:pPr>
              <w:widowControl/>
              <w:adjustRightInd w:val="0"/>
              <w:snapToGrid w:val="0"/>
              <w:spacing w:line="240" w:lineRule="auto"/>
              <w:ind w:firstLine="400"/>
              <w:rPr>
                <w:rFonts w:hint="eastAsia" w:ascii="宋体" w:hAnsi="宋体" w:cs="宋体"/>
                <w:kern w:val="0"/>
                <w:sz w:val="20"/>
                <w:szCs w:val="20"/>
              </w:rPr>
            </w:pPr>
          </w:p>
        </w:tc>
      </w:tr>
      <w:tr w14:paraId="11D56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279" w:type="pct"/>
            <w:vMerge w:val="continue"/>
            <w:vAlign w:val="center"/>
          </w:tcPr>
          <w:p w14:paraId="72A806D6">
            <w:pPr>
              <w:widowControl/>
              <w:adjustRightInd w:val="0"/>
              <w:snapToGrid w:val="0"/>
              <w:spacing w:line="240" w:lineRule="auto"/>
              <w:ind w:firstLine="400"/>
              <w:rPr>
                <w:rFonts w:hint="eastAsia" w:ascii="宋体" w:hAnsi="宋体" w:cs="宋体"/>
                <w:kern w:val="0"/>
                <w:sz w:val="20"/>
                <w:szCs w:val="20"/>
              </w:rPr>
            </w:pPr>
          </w:p>
        </w:tc>
        <w:tc>
          <w:tcPr>
            <w:tcW w:w="363" w:type="pct"/>
            <w:vMerge w:val="continue"/>
            <w:vAlign w:val="center"/>
          </w:tcPr>
          <w:p w14:paraId="331B22B9">
            <w:pPr>
              <w:widowControl/>
              <w:adjustRightInd w:val="0"/>
              <w:snapToGrid w:val="0"/>
              <w:spacing w:line="240" w:lineRule="auto"/>
              <w:ind w:firstLine="400"/>
              <w:rPr>
                <w:rFonts w:hint="eastAsia" w:ascii="宋体" w:hAnsi="宋体" w:cs="宋体"/>
                <w:kern w:val="0"/>
                <w:sz w:val="20"/>
                <w:szCs w:val="20"/>
              </w:rPr>
            </w:pPr>
          </w:p>
        </w:tc>
        <w:tc>
          <w:tcPr>
            <w:tcW w:w="389" w:type="pct"/>
            <w:vMerge w:val="continue"/>
            <w:vAlign w:val="center"/>
          </w:tcPr>
          <w:p w14:paraId="330FEB19">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04BAFA66">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1424C624">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61D21790">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53DEC9E6">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24F46D8C">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0（含）-6.0</w:t>
            </w:r>
          </w:p>
        </w:tc>
        <w:tc>
          <w:tcPr>
            <w:tcW w:w="863" w:type="pct"/>
            <w:shd w:val="clear" w:color="auto" w:fill="auto"/>
            <w:vAlign w:val="center"/>
          </w:tcPr>
          <w:p w14:paraId="501B6A67">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质量达标率＜60%</w:t>
            </w:r>
          </w:p>
        </w:tc>
        <w:tc>
          <w:tcPr>
            <w:tcW w:w="285" w:type="pct"/>
            <w:vMerge w:val="continue"/>
            <w:vAlign w:val="center"/>
          </w:tcPr>
          <w:p w14:paraId="46CDC364">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5ECDA23A">
            <w:pPr>
              <w:widowControl/>
              <w:adjustRightInd w:val="0"/>
              <w:snapToGrid w:val="0"/>
              <w:spacing w:line="240" w:lineRule="auto"/>
              <w:ind w:firstLine="400"/>
              <w:rPr>
                <w:rFonts w:hint="eastAsia" w:ascii="宋体" w:hAnsi="宋体" w:cs="宋体"/>
                <w:kern w:val="0"/>
                <w:sz w:val="20"/>
                <w:szCs w:val="20"/>
              </w:rPr>
            </w:pPr>
          </w:p>
        </w:tc>
      </w:tr>
      <w:tr w14:paraId="681B2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279" w:type="pct"/>
            <w:vMerge w:val="continue"/>
            <w:vAlign w:val="center"/>
          </w:tcPr>
          <w:p w14:paraId="4416DE99">
            <w:pPr>
              <w:widowControl/>
              <w:adjustRightInd w:val="0"/>
              <w:snapToGrid w:val="0"/>
              <w:spacing w:line="240" w:lineRule="auto"/>
              <w:ind w:firstLine="400"/>
              <w:rPr>
                <w:rFonts w:hint="eastAsia" w:ascii="宋体" w:hAnsi="宋体" w:cs="宋体"/>
                <w:kern w:val="0"/>
                <w:sz w:val="20"/>
                <w:szCs w:val="20"/>
              </w:rPr>
            </w:pPr>
          </w:p>
        </w:tc>
        <w:tc>
          <w:tcPr>
            <w:tcW w:w="363" w:type="pct"/>
            <w:vMerge w:val="restart"/>
            <w:shd w:val="clear" w:color="000000" w:fill="FFFFFF"/>
            <w:vAlign w:val="center"/>
          </w:tcPr>
          <w:p w14:paraId="3C6677D6">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产出时效</w:t>
            </w:r>
          </w:p>
        </w:tc>
        <w:tc>
          <w:tcPr>
            <w:tcW w:w="389" w:type="pct"/>
            <w:vMerge w:val="restart"/>
            <w:shd w:val="clear" w:color="000000" w:fill="FFFFFF"/>
            <w:vAlign w:val="center"/>
          </w:tcPr>
          <w:p w14:paraId="421027EE">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完成及时性</w:t>
            </w:r>
          </w:p>
        </w:tc>
        <w:tc>
          <w:tcPr>
            <w:tcW w:w="218" w:type="pct"/>
            <w:vMerge w:val="restart"/>
            <w:shd w:val="clear" w:color="000000" w:fill="FFFFFF"/>
            <w:vAlign w:val="center"/>
          </w:tcPr>
          <w:p w14:paraId="00D8B17A">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10</w:t>
            </w:r>
          </w:p>
        </w:tc>
        <w:tc>
          <w:tcPr>
            <w:tcW w:w="467" w:type="pct"/>
            <w:vMerge w:val="restart"/>
            <w:shd w:val="clear" w:color="000000" w:fill="FFFFFF"/>
            <w:vAlign w:val="center"/>
          </w:tcPr>
          <w:p w14:paraId="141D4AE6">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完成及时性</w:t>
            </w:r>
          </w:p>
        </w:tc>
        <w:tc>
          <w:tcPr>
            <w:tcW w:w="218" w:type="pct"/>
            <w:vMerge w:val="restart"/>
            <w:shd w:val="clear" w:color="000000" w:fill="FFFFFF"/>
            <w:vAlign w:val="center"/>
          </w:tcPr>
          <w:p w14:paraId="42CF0829">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10</w:t>
            </w:r>
          </w:p>
        </w:tc>
        <w:tc>
          <w:tcPr>
            <w:tcW w:w="772" w:type="pct"/>
            <w:vMerge w:val="restart"/>
            <w:shd w:val="clear" w:color="000000" w:fill="FFFFFF"/>
            <w:vAlign w:val="center"/>
          </w:tcPr>
          <w:p w14:paraId="1B78F17D">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项目实际完成时间与计划完成时间的比较，用以反映和考核项目产出时效目标的实现程度。实际完成时间：项目实施单位完成该项目实际所耗用的时间。</w:t>
            </w:r>
          </w:p>
          <w:p w14:paraId="09D50974">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计划完成时间：按照项目实施计划或相关规定完成该项目所需的时间。</w:t>
            </w:r>
          </w:p>
        </w:tc>
        <w:tc>
          <w:tcPr>
            <w:tcW w:w="556" w:type="pct"/>
            <w:shd w:val="clear" w:color="auto" w:fill="auto"/>
            <w:vAlign w:val="center"/>
          </w:tcPr>
          <w:p w14:paraId="4CD84DBA">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9.0（含）-10.0</w:t>
            </w:r>
          </w:p>
        </w:tc>
        <w:tc>
          <w:tcPr>
            <w:tcW w:w="863" w:type="pct"/>
            <w:shd w:val="clear" w:color="000000" w:fill="FFFFFF"/>
            <w:vAlign w:val="center"/>
          </w:tcPr>
          <w:p w14:paraId="212AC751">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项目实施完成及时性好</w:t>
            </w:r>
          </w:p>
        </w:tc>
        <w:tc>
          <w:tcPr>
            <w:tcW w:w="285" w:type="pct"/>
            <w:vMerge w:val="restart"/>
            <w:shd w:val="clear" w:color="auto" w:fill="auto"/>
            <w:noWrap/>
            <w:vAlign w:val="center"/>
          </w:tcPr>
          <w:p w14:paraId="012D33BD">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10</w:t>
            </w:r>
          </w:p>
        </w:tc>
        <w:tc>
          <w:tcPr>
            <w:tcW w:w="585" w:type="pct"/>
            <w:vMerge w:val="restart"/>
            <w:shd w:val="clear" w:color="auto" w:fill="auto"/>
            <w:noWrap/>
            <w:vAlign w:val="center"/>
          </w:tcPr>
          <w:p w14:paraId="3E268DD0">
            <w:pPr>
              <w:widowControl/>
              <w:adjustRightInd w:val="0"/>
              <w:snapToGrid w:val="0"/>
              <w:spacing w:line="240" w:lineRule="auto"/>
              <w:ind w:firstLine="0" w:firstLineChars="0"/>
              <w:rPr>
                <w:rFonts w:hint="eastAsia" w:ascii="宋体" w:hAnsi="宋体" w:cs="宋体"/>
                <w:kern w:val="0"/>
                <w:sz w:val="20"/>
                <w:szCs w:val="20"/>
              </w:rPr>
            </w:pPr>
          </w:p>
        </w:tc>
      </w:tr>
      <w:tr w14:paraId="34272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279" w:type="pct"/>
            <w:vMerge w:val="continue"/>
            <w:vAlign w:val="center"/>
          </w:tcPr>
          <w:p w14:paraId="74E2F8D5">
            <w:pPr>
              <w:widowControl/>
              <w:adjustRightInd w:val="0"/>
              <w:snapToGrid w:val="0"/>
              <w:spacing w:line="240" w:lineRule="auto"/>
              <w:ind w:firstLine="400"/>
              <w:rPr>
                <w:rFonts w:hint="eastAsia" w:ascii="宋体" w:hAnsi="宋体" w:cs="宋体"/>
                <w:kern w:val="0"/>
                <w:sz w:val="20"/>
                <w:szCs w:val="20"/>
              </w:rPr>
            </w:pPr>
          </w:p>
        </w:tc>
        <w:tc>
          <w:tcPr>
            <w:tcW w:w="363" w:type="pct"/>
            <w:vMerge w:val="continue"/>
            <w:vAlign w:val="center"/>
          </w:tcPr>
          <w:p w14:paraId="4270F352">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02337905">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0BB65B55">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6DDA8D4B">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746B56AB">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54E8C658">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010E114A">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7.5（含）-9.0</w:t>
            </w:r>
          </w:p>
        </w:tc>
        <w:tc>
          <w:tcPr>
            <w:tcW w:w="863" w:type="pct"/>
            <w:shd w:val="clear" w:color="000000" w:fill="FFFFFF"/>
            <w:vAlign w:val="center"/>
          </w:tcPr>
          <w:p w14:paraId="13B9E5E7">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项目实施完成及时性较好</w:t>
            </w:r>
          </w:p>
        </w:tc>
        <w:tc>
          <w:tcPr>
            <w:tcW w:w="285" w:type="pct"/>
            <w:vMerge w:val="continue"/>
            <w:vAlign w:val="center"/>
          </w:tcPr>
          <w:p w14:paraId="5DB5943A">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1A045B16">
            <w:pPr>
              <w:widowControl/>
              <w:adjustRightInd w:val="0"/>
              <w:snapToGrid w:val="0"/>
              <w:spacing w:line="240" w:lineRule="auto"/>
              <w:ind w:firstLine="400"/>
              <w:rPr>
                <w:rFonts w:hint="eastAsia" w:ascii="宋体" w:hAnsi="宋体" w:cs="宋体"/>
                <w:kern w:val="0"/>
                <w:sz w:val="20"/>
                <w:szCs w:val="20"/>
              </w:rPr>
            </w:pPr>
          </w:p>
        </w:tc>
      </w:tr>
      <w:tr w14:paraId="6FD17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279" w:type="pct"/>
            <w:vMerge w:val="continue"/>
            <w:vAlign w:val="center"/>
          </w:tcPr>
          <w:p w14:paraId="5E004E1C">
            <w:pPr>
              <w:widowControl/>
              <w:adjustRightInd w:val="0"/>
              <w:snapToGrid w:val="0"/>
              <w:spacing w:line="240" w:lineRule="auto"/>
              <w:ind w:firstLine="400"/>
              <w:rPr>
                <w:rFonts w:hint="eastAsia" w:ascii="宋体" w:hAnsi="宋体" w:cs="宋体"/>
                <w:kern w:val="0"/>
                <w:sz w:val="20"/>
                <w:szCs w:val="20"/>
              </w:rPr>
            </w:pPr>
          </w:p>
        </w:tc>
        <w:tc>
          <w:tcPr>
            <w:tcW w:w="363" w:type="pct"/>
            <w:vMerge w:val="continue"/>
            <w:vAlign w:val="center"/>
          </w:tcPr>
          <w:p w14:paraId="4CC18228">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36AB0748">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5A432B53">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5DE1E4A5">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3E0D7172">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24C604A6">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5BAD0CCD">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6.0（含）-7.5</w:t>
            </w:r>
          </w:p>
        </w:tc>
        <w:tc>
          <w:tcPr>
            <w:tcW w:w="863" w:type="pct"/>
            <w:shd w:val="clear" w:color="000000" w:fill="FFFFFF"/>
            <w:vAlign w:val="center"/>
          </w:tcPr>
          <w:p w14:paraId="18D0ECAA">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项目实施完成及时性一般</w:t>
            </w:r>
          </w:p>
        </w:tc>
        <w:tc>
          <w:tcPr>
            <w:tcW w:w="285" w:type="pct"/>
            <w:vMerge w:val="continue"/>
            <w:vAlign w:val="center"/>
          </w:tcPr>
          <w:p w14:paraId="22140795">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7573A017">
            <w:pPr>
              <w:widowControl/>
              <w:adjustRightInd w:val="0"/>
              <w:snapToGrid w:val="0"/>
              <w:spacing w:line="240" w:lineRule="auto"/>
              <w:ind w:firstLine="400"/>
              <w:rPr>
                <w:rFonts w:hint="eastAsia" w:ascii="宋体" w:hAnsi="宋体" w:cs="宋体"/>
                <w:kern w:val="0"/>
                <w:sz w:val="20"/>
                <w:szCs w:val="20"/>
              </w:rPr>
            </w:pPr>
          </w:p>
        </w:tc>
      </w:tr>
      <w:tr w14:paraId="401C6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279" w:type="pct"/>
            <w:vMerge w:val="continue"/>
            <w:vAlign w:val="center"/>
          </w:tcPr>
          <w:p w14:paraId="52F68C0B">
            <w:pPr>
              <w:widowControl/>
              <w:adjustRightInd w:val="0"/>
              <w:snapToGrid w:val="0"/>
              <w:spacing w:line="240" w:lineRule="auto"/>
              <w:ind w:firstLine="400"/>
              <w:rPr>
                <w:rFonts w:hint="eastAsia" w:ascii="宋体" w:hAnsi="宋体" w:cs="宋体"/>
                <w:kern w:val="0"/>
                <w:sz w:val="20"/>
                <w:szCs w:val="20"/>
              </w:rPr>
            </w:pPr>
          </w:p>
        </w:tc>
        <w:tc>
          <w:tcPr>
            <w:tcW w:w="363" w:type="pct"/>
            <w:vMerge w:val="continue"/>
            <w:vAlign w:val="center"/>
          </w:tcPr>
          <w:p w14:paraId="576754F1">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32327E50">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562497F5">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54E66420">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259BFC77">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6C3116BA">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3241D1EF">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0（含）-6.0</w:t>
            </w:r>
          </w:p>
        </w:tc>
        <w:tc>
          <w:tcPr>
            <w:tcW w:w="863" w:type="pct"/>
            <w:shd w:val="clear" w:color="000000" w:fill="FFFFFF"/>
            <w:vAlign w:val="center"/>
          </w:tcPr>
          <w:p w14:paraId="221F9B1D">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项目实施未及时完成</w:t>
            </w:r>
          </w:p>
        </w:tc>
        <w:tc>
          <w:tcPr>
            <w:tcW w:w="285" w:type="pct"/>
            <w:vMerge w:val="continue"/>
            <w:vAlign w:val="center"/>
          </w:tcPr>
          <w:p w14:paraId="318E607B">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3E182A52">
            <w:pPr>
              <w:widowControl/>
              <w:adjustRightInd w:val="0"/>
              <w:snapToGrid w:val="0"/>
              <w:spacing w:line="240" w:lineRule="auto"/>
              <w:ind w:firstLine="400"/>
              <w:rPr>
                <w:rFonts w:hint="eastAsia" w:ascii="宋体" w:hAnsi="宋体" w:cs="宋体"/>
                <w:kern w:val="0"/>
                <w:sz w:val="20"/>
                <w:szCs w:val="20"/>
              </w:rPr>
            </w:pPr>
          </w:p>
        </w:tc>
      </w:tr>
      <w:tr w14:paraId="443D3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279" w:type="pct"/>
            <w:vMerge w:val="continue"/>
            <w:vAlign w:val="center"/>
          </w:tcPr>
          <w:p w14:paraId="1D4B3977">
            <w:pPr>
              <w:widowControl/>
              <w:adjustRightInd w:val="0"/>
              <w:snapToGrid w:val="0"/>
              <w:spacing w:line="240" w:lineRule="auto"/>
              <w:ind w:firstLine="400"/>
              <w:rPr>
                <w:rFonts w:hint="eastAsia" w:ascii="宋体" w:hAnsi="宋体" w:cs="宋体"/>
                <w:kern w:val="0"/>
                <w:sz w:val="20"/>
                <w:szCs w:val="20"/>
              </w:rPr>
            </w:pPr>
          </w:p>
        </w:tc>
        <w:tc>
          <w:tcPr>
            <w:tcW w:w="363" w:type="pct"/>
            <w:vMerge w:val="restart"/>
            <w:shd w:val="clear" w:color="000000" w:fill="FFFFFF"/>
            <w:vAlign w:val="center"/>
          </w:tcPr>
          <w:p w14:paraId="69E83B15">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产出成本</w:t>
            </w:r>
          </w:p>
        </w:tc>
        <w:tc>
          <w:tcPr>
            <w:tcW w:w="389" w:type="pct"/>
            <w:vMerge w:val="restart"/>
            <w:shd w:val="clear" w:color="000000" w:fill="FFFFFF"/>
            <w:vAlign w:val="center"/>
          </w:tcPr>
          <w:p w14:paraId="0D2F7EF5">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成本节约率</w:t>
            </w:r>
          </w:p>
        </w:tc>
        <w:tc>
          <w:tcPr>
            <w:tcW w:w="218" w:type="pct"/>
            <w:vMerge w:val="restart"/>
            <w:shd w:val="clear" w:color="000000" w:fill="FFFFFF"/>
            <w:vAlign w:val="center"/>
          </w:tcPr>
          <w:p w14:paraId="722626D0">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10</w:t>
            </w:r>
          </w:p>
        </w:tc>
        <w:tc>
          <w:tcPr>
            <w:tcW w:w="467" w:type="pct"/>
            <w:vMerge w:val="restart"/>
            <w:shd w:val="clear" w:color="000000" w:fill="FFFFFF"/>
            <w:vAlign w:val="center"/>
          </w:tcPr>
          <w:p w14:paraId="3CABE10A">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成本节约率</w:t>
            </w:r>
          </w:p>
        </w:tc>
        <w:tc>
          <w:tcPr>
            <w:tcW w:w="218" w:type="pct"/>
            <w:vMerge w:val="restart"/>
            <w:shd w:val="clear" w:color="000000" w:fill="FFFFFF"/>
            <w:vAlign w:val="center"/>
          </w:tcPr>
          <w:p w14:paraId="28E510A1">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10</w:t>
            </w:r>
          </w:p>
        </w:tc>
        <w:tc>
          <w:tcPr>
            <w:tcW w:w="772" w:type="pct"/>
            <w:vMerge w:val="restart"/>
            <w:shd w:val="clear" w:color="000000" w:fill="FFFFFF"/>
            <w:vAlign w:val="center"/>
          </w:tcPr>
          <w:p w14:paraId="76BBBBB7">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完成项目计划工作目标的实际节约成本与计划成本的比率，用以反映和考核项目的成本节约程度。成本节约率=[（计划成本-实际成本）/计划成本]×100%。</w:t>
            </w:r>
          </w:p>
          <w:p w14:paraId="1B1D4369">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实际成本：项目实施单位如期、保质、保量完成既定工作目标实际所耗费的支出。</w:t>
            </w:r>
          </w:p>
          <w:p w14:paraId="4CAFC439">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计划成本：项目实施单位为完成工作目标计划安排的支出，一般以项目预算为参考。</w:t>
            </w:r>
          </w:p>
        </w:tc>
        <w:tc>
          <w:tcPr>
            <w:tcW w:w="556" w:type="pct"/>
            <w:shd w:val="clear" w:color="auto" w:fill="auto"/>
            <w:vAlign w:val="center"/>
          </w:tcPr>
          <w:p w14:paraId="0E079793">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9.0（含）-10.0</w:t>
            </w:r>
          </w:p>
        </w:tc>
        <w:tc>
          <w:tcPr>
            <w:tcW w:w="863" w:type="pct"/>
            <w:shd w:val="clear" w:color="000000" w:fill="FFFFFF"/>
            <w:vAlign w:val="center"/>
          </w:tcPr>
          <w:p w14:paraId="544EA636">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项目实施成本节约率高</w:t>
            </w:r>
          </w:p>
        </w:tc>
        <w:tc>
          <w:tcPr>
            <w:tcW w:w="285" w:type="pct"/>
            <w:vMerge w:val="restart"/>
            <w:shd w:val="clear" w:color="auto" w:fill="auto"/>
            <w:noWrap/>
            <w:vAlign w:val="center"/>
          </w:tcPr>
          <w:p w14:paraId="684B4E37">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10</w:t>
            </w:r>
          </w:p>
        </w:tc>
        <w:tc>
          <w:tcPr>
            <w:tcW w:w="585" w:type="pct"/>
            <w:vMerge w:val="restart"/>
            <w:shd w:val="clear" w:color="auto" w:fill="auto"/>
            <w:noWrap/>
            <w:vAlign w:val="center"/>
          </w:tcPr>
          <w:p w14:paraId="2C0483B3">
            <w:pPr>
              <w:widowControl/>
              <w:adjustRightInd w:val="0"/>
              <w:snapToGrid w:val="0"/>
              <w:spacing w:line="240" w:lineRule="auto"/>
              <w:ind w:firstLine="400"/>
              <w:jc w:val="center"/>
              <w:rPr>
                <w:rFonts w:hint="eastAsia" w:ascii="宋体" w:hAnsi="宋体" w:cs="宋体"/>
                <w:kern w:val="0"/>
                <w:sz w:val="20"/>
                <w:szCs w:val="20"/>
              </w:rPr>
            </w:pPr>
          </w:p>
        </w:tc>
      </w:tr>
      <w:tr w14:paraId="18A2D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279" w:type="pct"/>
            <w:vMerge w:val="continue"/>
            <w:vAlign w:val="center"/>
          </w:tcPr>
          <w:p w14:paraId="7C6198D4">
            <w:pPr>
              <w:widowControl/>
              <w:adjustRightInd w:val="0"/>
              <w:snapToGrid w:val="0"/>
              <w:spacing w:line="240" w:lineRule="auto"/>
              <w:ind w:firstLine="400"/>
              <w:rPr>
                <w:rFonts w:hint="eastAsia" w:ascii="宋体" w:hAnsi="宋体" w:cs="宋体"/>
                <w:kern w:val="0"/>
                <w:sz w:val="20"/>
                <w:szCs w:val="20"/>
              </w:rPr>
            </w:pPr>
          </w:p>
        </w:tc>
        <w:tc>
          <w:tcPr>
            <w:tcW w:w="363" w:type="pct"/>
            <w:vMerge w:val="continue"/>
            <w:vAlign w:val="center"/>
          </w:tcPr>
          <w:p w14:paraId="4730EBE9">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3AD71CE4">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697C2919">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5B418EDA">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7D123B2D">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3F752276">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0BB7DF1D">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7.5（含）-9.0</w:t>
            </w:r>
          </w:p>
        </w:tc>
        <w:tc>
          <w:tcPr>
            <w:tcW w:w="863" w:type="pct"/>
            <w:shd w:val="clear" w:color="000000" w:fill="FFFFFF"/>
            <w:vAlign w:val="center"/>
          </w:tcPr>
          <w:p w14:paraId="27F711A3">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项目实施成本节约率较高</w:t>
            </w:r>
          </w:p>
        </w:tc>
        <w:tc>
          <w:tcPr>
            <w:tcW w:w="285" w:type="pct"/>
            <w:vMerge w:val="continue"/>
            <w:vAlign w:val="center"/>
          </w:tcPr>
          <w:p w14:paraId="4C6C533C">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72C20766">
            <w:pPr>
              <w:widowControl/>
              <w:adjustRightInd w:val="0"/>
              <w:snapToGrid w:val="0"/>
              <w:spacing w:line="240" w:lineRule="auto"/>
              <w:ind w:firstLine="400"/>
              <w:rPr>
                <w:rFonts w:hint="eastAsia" w:ascii="宋体" w:hAnsi="宋体" w:cs="宋体"/>
                <w:kern w:val="0"/>
                <w:sz w:val="20"/>
                <w:szCs w:val="20"/>
              </w:rPr>
            </w:pPr>
          </w:p>
        </w:tc>
      </w:tr>
      <w:tr w14:paraId="65E77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jc w:val="center"/>
        </w:trPr>
        <w:tc>
          <w:tcPr>
            <w:tcW w:w="279" w:type="pct"/>
            <w:vMerge w:val="continue"/>
            <w:vAlign w:val="center"/>
          </w:tcPr>
          <w:p w14:paraId="39EF3723">
            <w:pPr>
              <w:widowControl/>
              <w:adjustRightInd w:val="0"/>
              <w:snapToGrid w:val="0"/>
              <w:spacing w:line="240" w:lineRule="auto"/>
              <w:ind w:firstLine="400"/>
              <w:rPr>
                <w:rFonts w:hint="eastAsia" w:ascii="宋体" w:hAnsi="宋体" w:cs="宋体"/>
                <w:kern w:val="0"/>
                <w:sz w:val="20"/>
                <w:szCs w:val="20"/>
              </w:rPr>
            </w:pPr>
          </w:p>
        </w:tc>
        <w:tc>
          <w:tcPr>
            <w:tcW w:w="363" w:type="pct"/>
            <w:vMerge w:val="continue"/>
            <w:vAlign w:val="center"/>
          </w:tcPr>
          <w:p w14:paraId="29231461">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41D19ED6">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21C74A2A">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7574FF9A">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247EA8B0">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2A1A3797">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4AD3528E">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6.0（含）-7.5</w:t>
            </w:r>
          </w:p>
        </w:tc>
        <w:tc>
          <w:tcPr>
            <w:tcW w:w="863" w:type="pct"/>
            <w:shd w:val="clear" w:color="000000" w:fill="FFFFFF"/>
            <w:vAlign w:val="center"/>
          </w:tcPr>
          <w:p w14:paraId="2812DBFE">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项目实施成本节约率一般</w:t>
            </w:r>
          </w:p>
        </w:tc>
        <w:tc>
          <w:tcPr>
            <w:tcW w:w="285" w:type="pct"/>
            <w:vMerge w:val="continue"/>
            <w:vAlign w:val="center"/>
          </w:tcPr>
          <w:p w14:paraId="768E60E8">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4F28A8FB">
            <w:pPr>
              <w:widowControl/>
              <w:adjustRightInd w:val="0"/>
              <w:snapToGrid w:val="0"/>
              <w:spacing w:line="240" w:lineRule="auto"/>
              <w:ind w:firstLine="400"/>
              <w:rPr>
                <w:rFonts w:hint="eastAsia" w:ascii="宋体" w:hAnsi="宋体" w:cs="宋体"/>
                <w:kern w:val="0"/>
                <w:sz w:val="20"/>
                <w:szCs w:val="20"/>
              </w:rPr>
            </w:pPr>
          </w:p>
        </w:tc>
      </w:tr>
      <w:tr w14:paraId="7A5C1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279" w:type="pct"/>
            <w:vMerge w:val="continue"/>
            <w:vAlign w:val="center"/>
          </w:tcPr>
          <w:p w14:paraId="7B34EF8A">
            <w:pPr>
              <w:widowControl/>
              <w:adjustRightInd w:val="0"/>
              <w:snapToGrid w:val="0"/>
              <w:spacing w:line="240" w:lineRule="auto"/>
              <w:ind w:firstLine="400"/>
              <w:rPr>
                <w:rFonts w:hint="eastAsia" w:ascii="宋体" w:hAnsi="宋体" w:cs="宋体"/>
                <w:kern w:val="0"/>
                <w:sz w:val="20"/>
                <w:szCs w:val="20"/>
              </w:rPr>
            </w:pPr>
          </w:p>
        </w:tc>
        <w:tc>
          <w:tcPr>
            <w:tcW w:w="363" w:type="pct"/>
            <w:vMerge w:val="continue"/>
            <w:vAlign w:val="center"/>
          </w:tcPr>
          <w:p w14:paraId="38D68814">
            <w:pPr>
              <w:widowControl/>
              <w:adjustRightInd w:val="0"/>
              <w:snapToGrid w:val="0"/>
              <w:spacing w:line="240" w:lineRule="auto"/>
              <w:ind w:firstLine="400"/>
              <w:jc w:val="center"/>
              <w:rPr>
                <w:rFonts w:hint="eastAsia" w:ascii="宋体" w:hAnsi="宋体" w:cs="宋体"/>
                <w:kern w:val="0"/>
                <w:sz w:val="20"/>
                <w:szCs w:val="20"/>
              </w:rPr>
            </w:pPr>
          </w:p>
        </w:tc>
        <w:tc>
          <w:tcPr>
            <w:tcW w:w="389" w:type="pct"/>
            <w:vMerge w:val="continue"/>
            <w:vAlign w:val="center"/>
          </w:tcPr>
          <w:p w14:paraId="192F465A">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45AAB16D">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40658E6B">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13158753">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3BF53692">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493B5A74">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0（含）-6.0</w:t>
            </w:r>
          </w:p>
        </w:tc>
        <w:tc>
          <w:tcPr>
            <w:tcW w:w="863" w:type="pct"/>
            <w:shd w:val="clear" w:color="000000" w:fill="FFFFFF"/>
            <w:vAlign w:val="center"/>
          </w:tcPr>
          <w:p w14:paraId="0509DEB3">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项目实施成本节约率低</w:t>
            </w:r>
          </w:p>
        </w:tc>
        <w:tc>
          <w:tcPr>
            <w:tcW w:w="285" w:type="pct"/>
            <w:vMerge w:val="continue"/>
            <w:vAlign w:val="center"/>
          </w:tcPr>
          <w:p w14:paraId="66B1223C">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347B5441">
            <w:pPr>
              <w:widowControl/>
              <w:adjustRightInd w:val="0"/>
              <w:snapToGrid w:val="0"/>
              <w:spacing w:line="240" w:lineRule="auto"/>
              <w:ind w:firstLine="400"/>
              <w:rPr>
                <w:rFonts w:hint="eastAsia" w:ascii="宋体" w:hAnsi="宋体" w:cs="宋体"/>
                <w:kern w:val="0"/>
                <w:sz w:val="20"/>
                <w:szCs w:val="20"/>
              </w:rPr>
            </w:pPr>
          </w:p>
        </w:tc>
      </w:tr>
      <w:tr w14:paraId="1154E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restart"/>
            <w:shd w:val="clear" w:color="000000" w:fill="FFFFFF"/>
            <w:vAlign w:val="center"/>
          </w:tcPr>
          <w:p w14:paraId="38E3F657">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效益</w:t>
            </w:r>
          </w:p>
        </w:tc>
        <w:tc>
          <w:tcPr>
            <w:tcW w:w="363" w:type="pct"/>
            <w:vMerge w:val="restart"/>
            <w:shd w:val="clear" w:color="000000" w:fill="FFFFFF"/>
            <w:vAlign w:val="center"/>
          </w:tcPr>
          <w:p w14:paraId="1C6E498A">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项目效益</w:t>
            </w:r>
          </w:p>
        </w:tc>
        <w:tc>
          <w:tcPr>
            <w:tcW w:w="389" w:type="pct"/>
            <w:vMerge w:val="restart"/>
            <w:shd w:val="clear" w:color="000000" w:fill="FFFFFF"/>
            <w:vAlign w:val="center"/>
          </w:tcPr>
          <w:p w14:paraId="4E07F61E">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实施效益</w:t>
            </w:r>
          </w:p>
        </w:tc>
        <w:tc>
          <w:tcPr>
            <w:tcW w:w="218" w:type="pct"/>
            <w:vMerge w:val="restart"/>
            <w:shd w:val="clear" w:color="000000" w:fill="FFFFFF"/>
            <w:vAlign w:val="center"/>
          </w:tcPr>
          <w:p w14:paraId="2279C593">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20</w:t>
            </w:r>
          </w:p>
        </w:tc>
        <w:tc>
          <w:tcPr>
            <w:tcW w:w="467" w:type="pct"/>
            <w:vMerge w:val="restart"/>
            <w:shd w:val="clear" w:color="000000" w:fill="FFFFFF"/>
            <w:vAlign w:val="center"/>
          </w:tcPr>
          <w:p w14:paraId="349D68BA">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社会效益</w:t>
            </w:r>
          </w:p>
        </w:tc>
        <w:tc>
          <w:tcPr>
            <w:tcW w:w="218" w:type="pct"/>
            <w:vMerge w:val="restart"/>
            <w:shd w:val="clear" w:color="000000" w:fill="FFFFFF"/>
            <w:vAlign w:val="center"/>
          </w:tcPr>
          <w:p w14:paraId="15C7769F">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10</w:t>
            </w:r>
          </w:p>
        </w:tc>
        <w:tc>
          <w:tcPr>
            <w:tcW w:w="772" w:type="pct"/>
            <w:vMerge w:val="restart"/>
            <w:shd w:val="clear" w:color="auto" w:fill="auto"/>
            <w:vAlign w:val="center"/>
          </w:tcPr>
          <w:p w14:paraId="201E7D71">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项目实施是否产生社会综合效益及其影响程度。</w:t>
            </w:r>
          </w:p>
        </w:tc>
        <w:tc>
          <w:tcPr>
            <w:tcW w:w="556" w:type="pct"/>
            <w:shd w:val="clear" w:color="auto" w:fill="auto"/>
            <w:vAlign w:val="center"/>
          </w:tcPr>
          <w:p w14:paraId="4CBF1D0F">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9.0（含）-10.0</w:t>
            </w:r>
          </w:p>
        </w:tc>
        <w:tc>
          <w:tcPr>
            <w:tcW w:w="863" w:type="pct"/>
            <w:shd w:val="clear" w:color="auto" w:fill="auto"/>
            <w:vAlign w:val="center"/>
          </w:tcPr>
          <w:p w14:paraId="5ACAAD74">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项目实施产生的社会效益影响显著</w:t>
            </w:r>
          </w:p>
        </w:tc>
        <w:tc>
          <w:tcPr>
            <w:tcW w:w="285" w:type="pct"/>
            <w:vMerge w:val="restart"/>
            <w:shd w:val="clear" w:color="auto" w:fill="auto"/>
            <w:noWrap/>
            <w:vAlign w:val="center"/>
          </w:tcPr>
          <w:p w14:paraId="2C6D0F49">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8</w:t>
            </w:r>
          </w:p>
        </w:tc>
        <w:tc>
          <w:tcPr>
            <w:tcW w:w="585" w:type="pct"/>
            <w:vMerge w:val="restart"/>
            <w:shd w:val="clear" w:color="auto" w:fill="auto"/>
            <w:noWrap/>
            <w:vAlign w:val="center"/>
          </w:tcPr>
          <w:p w14:paraId="6EF03CAF">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比较显著</w:t>
            </w:r>
          </w:p>
        </w:tc>
      </w:tr>
      <w:tr w14:paraId="0133C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00EBED2C">
            <w:pPr>
              <w:widowControl/>
              <w:adjustRightInd w:val="0"/>
              <w:snapToGrid w:val="0"/>
              <w:spacing w:line="240" w:lineRule="auto"/>
              <w:ind w:firstLine="400"/>
              <w:rPr>
                <w:rFonts w:hint="eastAsia" w:ascii="宋体" w:hAnsi="宋体" w:cs="宋体"/>
                <w:kern w:val="0"/>
                <w:sz w:val="20"/>
                <w:szCs w:val="20"/>
              </w:rPr>
            </w:pPr>
          </w:p>
        </w:tc>
        <w:tc>
          <w:tcPr>
            <w:tcW w:w="363" w:type="pct"/>
            <w:vMerge w:val="continue"/>
            <w:vAlign w:val="center"/>
          </w:tcPr>
          <w:p w14:paraId="75F65C71">
            <w:pPr>
              <w:widowControl/>
              <w:adjustRightInd w:val="0"/>
              <w:snapToGrid w:val="0"/>
              <w:spacing w:line="240" w:lineRule="auto"/>
              <w:ind w:firstLine="400"/>
              <w:rPr>
                <w:rFonts w:hint="eastAsia" w:ascii="宋体" w:hAnsi="宋体" w:cs="宋体"/>
                <w:kern w:val="0"/>
                <w:sz w:val="20"/>
                <w:szCs w:val="20"/>
              </w:rPr>
            </w:pPr>
          </w:p>
        </w:tc>
        <w:tc>
          <w:tcPr>
            <w:tcW w:w="389" w:type="pct"/>
            <w:vMerge w:val="continue"/>
            <w:vAlign w:val="center"/>
          </w:tcPr>
          <w:p w14:paraId="07454262">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071054D7">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1893682B">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6A0FE59A">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7EE836AF">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2D86CD70">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7.5（含）-9.0</w:t>
            </w:r>
          </w:p>
        </w:tc>
        <w:tc>
          <w:tcPr>
            <w:tcW w:w="863" w:type="pct"/>
            <w:shd w:val="clear" w:color="auto" w:fill="auto"/>
            <w:vAlign w:val="center"/>
          </w:tcPr>
          <w:p w14:paraId="278410E3">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项目实施产生的社会效益影响比较显著</w:t>
            </w:r>
          </w:p>
        </w:tc>
        <w:tc>
          <w:tcPr>
            <w:tcW w:w="285" w:type="pct"/>
            <w:vMerge w:val="continue"/>
            <w:vAlign w:val="center"/>
          </w:tcPr>
          <w:p w14:paraId="1088AE15">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668B1865">
            <w:pPr>
              <w:widowControl/>
              <w:adjustRightInd w:val="0"/>
              <w:snapToGrid w:val="0"/>
              <w:spacing w:line="240" w:lineRule="auto"/>
              <w:ind w:firstLine="400"/>
              <w:rPr>
                <w:rFonts w:hint="eastAsia" w:ascii="宋体" w:hAnsi="宋体" w:cs="宋体"/>
                <w:kern w:val="0"/>
                <w:sz w:val="20"/>
                <w:szCs w:val="20"/>
              </w:rPr>
            </w:pPr>
          </w:p>
        </w:tc>
      </w:tr>
      <w:tr w14:paraId="49B6B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396AA284">
            <w:pPr>
              <w:widowControl/>
              <w:adjustRightInd w:val="0"/>
              <w:snapToGrid w:val="0"/>
              <w:spacing w:line="240" w:lineRule="auto"/>
              <w:ind w:firstLine="400"/>
              <w:rPr>
                <w:rFonts w:hint="eastAsia" w:ascii="宋体" w:hAnsi="宋体" w:cs="宋体"/>
                <w:kern w:val="0"/>
                <w:sz w:val="20"/>
                <w:szCs w:val="20"/>
              </w:rPr>
            </w:pPr>
          </w:p>
        </w:tc>
        <w:tc>
          <w:tcPr>
            <w:tcW w:w="363" w:type="pct"/>
            <w:vMerge w:val="continue"/>
            <w:vAlign w:val="center"/>
          </w:tcPr>
          <w:p w14:paraId="4AE97845">
            <w:pPr>
              <w:widowControl/>
              <w:adjustRightInd w:val="0"/>
              <w:snapToGrid w:val="0"/>
              <w:spacing w:line="240" w:lineRule="auto"/>
              <w:ind w:firstLine="400"/>
              <w:rPr>
                <w:rFonts w:hint="eastAsia" w:ascii="宋体" w:hAnsi="宋体" w:cs="宋体"/>
                <w:kern w:val="0"/>
                <w:sz w:val="20"/>
                <w:szCs w:val="20"/>
              </w:rPr>
            </w:pPr>
          </w:p>
        </w:tc>
        <w:tc>
          <w:tcPr>
            <w:tcW w:w="389" w:type="pct"/>
            <w:vMerge w:val="continue"/>
            <w:vAlign w:val="center"/>
          </w:tcPr>
          <w:p w14:paraId="79B7DDF5">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1DCAF99D">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0ED6CE62">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61B850FA">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77077CAE">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754714B2">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6.0（含）-7.5</w:t>
            </w:r>
          </w:p>
        </w:tc>
        <w:tc>
          <w:tcPr>
            <w:tcW w:w="863" w:type="pct"/>
            <w:shd w:val="clear" w:color="auto" w:fill="auto"/>
            <w:vAlign w:val="center"/>
          </w:tcPr>
          <w:p w14:paraId="42F1E9AC">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项目实施产生的社会效益影响一般显著</w:t>
            </w:r>
          </w:p>
        </w:tc>
        <w:tc>
          <w:tcPr>
            <w:tcW w:w="285" w:type="pct"/>
            <w:vMerge w:val="continue"/>
            <w:vAlign w:val="center"/>
          </w:tcPr>
          <w:p w14:paraId="559E52CF">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35DBBB8C">
            <w:pPr>
              <w:widowControl/>
              <w:adjustRightInd w:val="0"/>
              <w:snapToGrid w:val="0"/>
              <w:spacing w:line="240" w:lineRule="auto"/>
              <w:ind w:firstLine="400"/>
              <w:rPr>
                <w:rFonts w:hint="eastAsia" w:ascii="宋体" w:hAnsi="宋体" w:cs="宋体"/>
                <w:kern w:val="0"/>
                <w:sz w:val="20"/>
                <w:szCs w:val="20"/>
              </w:rPr>
            </w:pPr>
          </w:p>
        </w:tc>
      </w:tr>
      <w:tr w14:paraId="55AF1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017ED2B9">
            <w:pPr>
              <w:widowControl/>
              <w:adjustRightInd w:val="0"/>
              <w:snapToGrid w:val="0"/>
              <w:spacing w:line="240" w:lineRule="auto"/>
              <w:ind w:firstLine="400"/>
              <w:rPr>
                <w:rFonts w:hint="eastAsia" w:ascii="宋体" w:hAnsi="宋体" w:cs="宋体"/>
                <w:kern w:val="0"/>
                <w:sz w:val="20"/>
                <w:szCs w:val="20"/>
              </w:rPr>
            </w:pPr>
          </w:p>
        </w:tc>
        <w:tc>
          <w:tcPr>
            <w:tcW w:w="363" w:type="pct"/>
            <w:vMerge w:val="continue"/>
            <w:vAlign w:val="center"/>
          </w:tcPr>
          <w:p w14:paraId="7966BAE0">
            <w:pPr>
              <w:widowControl/>
              <w:adjustRightInd w:val="0"/>
              <w:snapToGrid w:val="0"/>
              <w:spacing w:line="240" w:lineRule="auto"/>
              <w:ind w:firstLine="400"/>
              <w:rPr>
                <w:rFonts w:hint="eastAsia" w:ascii="宋体" w:hAnsi="宋体" w:cs="宋体"/>
                <w:kern w:val="0"/>
                <w:sz w:val="20"/>
                <w:szCs w:val="20"/>
              </w:rPr>
            </w:pPr>
          </w:p>
        </w:tc>
        <w:tc>
          <w:tcPr>
            <w:tcW w:w="389" w:type="pct"/>
            <w:vMerge w:val="continue"/>
            <w:vAlign w:val="center"/>
          </w:tcPr>
          <w:p w14:paraId="751C2201">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535164B1">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7490BC87">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6F9D8C43">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0A1AE50C">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44D1B6D4">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0（含）-6.0</w:t>
            </w:r>
          </w:p>
        </w:tc>
        <w:tc>
          <w:tcPr>
            <w:tcW w:w="863" w:type="pct"/>
            <w:shd w:val="clear" w:color="auto" w:fill="auto"/>
            <w:vAlign w:val="center"/>
          </w:tcPr>
          <w:p w14:paraId="3C5FC912">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项目实施产生的社会效益影响不显著</w:t>
            </w:r>
          </w:p>
        </w:tc>
        <w:tc>
          <w:tcPr>
            <w:tcW w:w="285" w:type="pct"/>
            <w:vMerge w:val="continue"/>
            <w:vAlign w:val="center"/>
          </w:tcPr>
          <w:p w14:paraId="41B17A27">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50A7F000">
            <w:pPr>
              <w:widowControl/>
              <w:adjustRightInd w:val="0"/>
              <w:snapToGrid w:val="0"/>
              <w:spacing w:line="240" w:lineRule="auto"/>
              <w:ind w:firstLine="400"/>
              <w:rPr>
                <w:rFonts w:hint="eastAsia" w:ascii="宋体" w:hAnsi="宋体" w:cs="宋体"/>
                <w:kern w:val="0"/>
                <w:sz w:val="20"/>
                <w:szCs w:val="20"/>
              </w:rPr>
            </w:pPr>
          </w:p>
        </w:tc>
      </w:tr>
      <w:tr w14:paraId="213FB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38C2BBA3">
            <w:pPr>
              <w:widowControl/>
              <w:adjustRightInd w:val="0"/>
              <w:snapToGrid w:val="0"/>
              <w:spacing w:line="240" w:lineRule="auto"/>
              <w:ind w:firstLine="400"/>
              <w:rPr>
                <w:rFonts w:hint="eastAsia" w:ascii="宋体" w:hAnsi="宋体" w:cs="宋体"/>
                <w:kern w:val="0"/>
                <w:sz w:val="20"/>
                <w:szCs w:val="20"/>
              </w:rPr>
            </w:pPr>
          </w:p>
        </w:tc>
        <w:tc>
          <w:tcPr>
            <w:tcW w:w="363" w:type="pct"/>
            <w:vMerge w:val="continue"/>
            <w:vAlign w:val="center"/>
          </w:tcPr>
          <w:p w14:paraId="21A53981">
            <w:pPr>
              <w:widowControl/>
              <w:adjustRightInd w:val="0"/>
              <w:snapToGrid w:val="0"/>
              <w:spacing w:line="240" w:lineRule="auto"/>
              <w:ind w:firstLine="400"/>
              <w:rPr>
                <w:rFonts w:hint="eastAsia" w:ascii="宋体" w:hAnsi="宋体" w:cs="宋体"/>
                <w:kern w:val="0"/>
                <w:sz w:val="20"/>
                <w:szCs w:val="20"/>
              </w:rPr>
            </w:pPr>
          </w:p>
        </w:tc>
        <w:tc>
          <w:tcPr>
            <w:tcW w:w="389" w:type="pct"/>
            <w:vMerge w:val="continue"/>
            <w:vAlign w:val="center"/>
          </w:tcPr>
          <w:p w14:paraId="5A9BC2CF">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248D5AD7">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restart"/>
            <w:shd w:val="clear" w:color="000000" w:fill="FFFFFF"/>
            <w:vAlign w:val="center"/>
          </w:tcPr>
          <w:p w14:paraId="5DE2A333">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可持续影响</w:t>
            </w:r>
          </w:p>
        </w:tc>
        <w:tc>
          <w:tcPr>
            <w:tcW w:w="218" w:type="pct"/>
            <w:vMerge w:val="restart"/>
            <w:shd w:val="clear" w:color="000000" w:fill="FFFFFF"/>
            <w:vAlign w:val="center"/>
          </w:tcPr>
          <w:p w14:paraId="5A9BC51A">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10</w:t>
            </w:r>
          </w:p>
        </w:tc>
        <w:tc>
          <w:tcPr>
            <w:tcW w:w="772" w:type="pct"/>
            <w:vMerge w:val="restart"/>
            <w:shd w:val="clear" w:color="auto" w:fill="auto"/>
            <w:vAlign w:val="center"/>
          </w:tcPr>
          <w:p w14:paraId="24E54DAA">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项目实施对人、自然、资源是否带来可持续影响。</w:t>
            </w:r>
          </w:p>
        </w:tc>
        <w:tc>
          <w:tcPr>
            <w:tcW w:w="556" w:type="pct"/>
            <w:shd w:val="clear" w:color="auto" w:fill="auto"/>
            <w:vAlign w:val="center"/>
          </w:tcPr>
          <w:p w14:paraId="0BE136B9">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9.0（含）-10.0</w:t>
            </w:r>
          </w:p>
        </w:tc>
        <w:tc>
          <w:tcPr>
            <w:tcW w:w="863" w:type="pct"/>
            <w:shd w:val="clear" w:color="auto" w:fill="auto"/>
            <w:vAlign w:val="center"/>
          </w:tcPr>
          <w:p w14:paraId="59FD0104">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项目实施产生的可持续影响显著</w:t>
            </w:r>
          </w:p>
        </w:tc>
        <w:tc>
          <w:tcPr>
            <w:tcW w:w="285" w:type="pct"/>
            <w:vMerge w:val="restart"/>
            <w:shd w:val="clear" w:color="auto" w:fill="auto"/>
            <w:noWrap/>
            <w:vAlign w:val="center"/>
          </w:tcPr>
          <w:p w14:paraId="5A1CDDEE">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8</w:t>
            </w:r>
          </w:p>
        </w:tc>
        <w:tc>
          <w:tcPr>
            <w:tcW w:w="585" w:type="pct"/>
            <w:vMerge w:val="restart"/>
            <w:shd w:val="clear" w:color="auto" w:fill="auto"/>
            <w:noWrap/>
            <w:vAlign w:val="center"/>
          </w:tcPr>
          <w:p w14:paraId="207AC762">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比较显著</w:t>
            </w:r>
          </w:p>
        </w:tc>
      </w:tr>
      <w:tr w14:paraId="67D53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2589E9F8">
            <w:pPr>
              <w:widowControl/>
              <w:adjustRightInd w:val="0"/>
              <w:snapToGrid w:val="0"/>
              <w:spacing w:line="240" w:lineRule="auto"/>
              <w:ind w:firstLine="400"/>
              <w:rPr>
                <w:rFonts w:hint="eastAsia" w:ascii="宋体" w:hAnsi="宋体" w:cs="宋体"/>
                <w:kern w:val="0"/>
                <w:sz w:val="20"/>
                <w:szCs w:val="20"/>
              </w:rPr>
            </w:pPr>
          </w:p>
        </w:tc>
        <w:tc>
          <w:tcPr>
            <w:tcW w:w="363" w:type="pct"/>
            <w:vMerge w:val="continue"/>
            <w:vAlign w:val="center"/>
          </w:tcPr>
          <w:p w14:paraId="36E1A616">
            <w:pPr>
              <w:widowControl/>
              <w:adjustRightInd w:val="0"/>
              <w:snapToGrid w:val="0"/>
              <w:spacing w:line="240" w:lineRule="auto"/>
              <w:ind w:firstLine="400"/>
              <w:rPr>
                <w:rFonts w:hint="eastAsia" w:ascii="宋体" w:hAnsi="宋体" w:cs="宋体"/>
                <w:kern w:val="0"/>
                <w:sz w:val="20"/>
                <w:szCs w:val="20"/>
              </w:rPr>
            </w:pPr>
          </w:p>
        </w:tc>
        <w:tc>
          <w:tcPr>
            <w:tcW w:w="389" w:type="pct"/>
            <w:vMerge w:val="continue"/>
            <w:vAlign w:val="center"/>
          </w:tcPr>
          <w:p w14:paraId="09AD6F6A">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5D97EBAE">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28395891">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3B076ACC">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2698EFD3">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543531B7">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7.5（含）-9.0</w:t>
            </w:r>
          </w:p>
        </w:tc>
        <w:tc>
          <w:tcPr>
            <w:tcW w:w="863" w:type="pct"/>
            <w:shd w:val="clear" w:color="auto" w:fill="auto"/>
            <w:vAlign w:val="center"/>
          </w:tcPr>
          <w:p w14:paraId="17C11EF0">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项目实施产生地可持续影响比较显著</w:t>
            </w:r>
          </w:p>
        </w:tc>
        <w:tc>
          <w:tcPr>
            <w:tcW w:w="285" w:type="pct"/>
            <w:vMerge w:val="continue"/>
            <w:vAlign w:val="center"/>
          </w:tcPr>
          <w:p w14:paraId="66CC8E6A">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50805F4F">
            <w:pPr>
              <w:widowControl/>
              <w:adjustRightInd w:val="0"/>
              <w:snapToGrid w:val="0"/>
              <w:spacing w:line="240" w:lineRule="auto"/>
              <w:ind w:firstLine="400"/>
              <w:rPr>
                <w:rFonts w:hint="eastAsia" w:ascii="宋体" w:hAnsi="宋体" w:cs="宋体"/>
                <w:kern w:val="0"/>
                <w:sz w:val="20"/>
                <w:szCs w:val="20"/>
              </w:rPr>
            </w:pPr>
          </w:p>
        </w:tc>
      </w:tr>
      <w:tr w14:paraId="4F031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7A5D78D6">
            <w:pPr>
              <w:widowControl/>
              <w:adjustRightInd w:val="0"/>
              <w:snapToGrid w:val="0"/>
              <w:spacing w:line="240" w:lineRule="auto"/>
              <w:ind w:firstLine="400"/>
              <w:rPr>
                <w:rFonts w:hint="eastAsia" w:ascii="宋体" w:hAnsi="宋体" w:cs="宋体"/>
                <w:kern w:val="0"/>
                <w:sz w:val="20"/>
                <w:szCs w:val="20"/>
              </w:rPr>
            </w:pPr>
          </w:p>
        </w:tc>
        <w:tc>
          <w:tcPr>
            <w:tcW w:w="363" w:type="pct"/>
            <w:vMerge w:val="continue"/>
            <w:vAlign w:val="center"/>
          </w:tcPr>
          <w:p w14:paraId="6EF1926A">
            <w:pPr>
              <w:widowControl/>
              <w:adjustRightInd w:val="0"/>
              <w:snapToGrid w:val="0"/>
              <w:spacing w:line="240" w:lineRule="auto"/>
              <w:ind w:firstLine="400"/>
              <w:rPr>
                <w:rFonts w:hint="eastAsia" w:ascii="宋体" w:hAnsi="宋体" w:cs="宋体"/>
                <w:kern w:val="0"/>
                <w:sz w:val="20"/>
                <w:szCs w:val="20"/>
              </w:rPr>
            </w:pPr>
          </w:p>
        </w:tc>
        <w:tc>
          <w:tcPr>
            <w:tcW w:w="389" w:type="pct"/>
            <w:vMerge w:val="continue"/>
            <w:vAlign w:val="center"/>
          </w:tcPr>
          <w:p w14:paraId="448AE345">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1F3DA429">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1ACF876C">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268AFB80">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3CDF18FE">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55CEAAA7">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6.0（含）-7.5</w:t>
            </w:r>
          </w:p>
        </w:tc>
        <w:tc>
          <w:tcPr>
            <w:tcW w:w="863" w:type="pct"/>
            <w:shd w:val="clear" w:color="auto" w:fill="auto"/>
            <w:vAlign w:val="center"/>
          </w:tcPr>
          <w:p w14:paraId="7475B576">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项目实施产生地可持续影响一般显著</w:t>
            </w:r>
          </w:p>
        </w:tc>
        <w:tc>
          <w:tcPr>
            <w:tcW w:w="285" w:type="pct"/>
            <w:vMerge w:val="continue"/>
            <w:vAlign w:val="center"/>
          </w:tcPr>
          <w:p w14:paraId="62BF662D">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63BFC55B">
            <w:pPr>
              <w:widowControl/>
              <w:adjustRightInd w:val="0"/>
              <w:snapToGrid w:val="0"/>
              <w:spacing w:line="240" w:lineRule="auto"/>
              <w:ind w:firstLine="400"/>
              <w:rPr>
                <w:rFonts w:hint="eastAsia" w:ascii="宋体" w:hAnsi="宋体" w:cs="宋体"/>
                <w:kern w:val="0"/>
                <w:sz w:val="20"/>
                <w:szCs w:val="20"/>
              </w:rPr>
            </w:pPr>
          </w:p>
        </w:tc>
      </w:tr>
      <w:tr w14:paraId="41712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453B8B14">
            <w:pPr>
              <w:widowControl/>
              <w:adjustRightInd w:val="0"/>
              <w:snapToGrid w:val="0"/>
              <w:spacing w:line="240" w:lineRule="auto"/>
              <w:ind w:firstLine="400"/>
              <w:rPr>
                <w:rFonts w:hint="eastAsia" w:ascii="宋体" w:hAnsi="宋体" w:cs="宋体"/>
                <w:kern w:val="0"/>
                <w:sz w:val="20"/>
                <w:szCs w:val="20"/>
              </w:rPr>
            </w:pPr>
          </w:p>
        </w:tc>
        <w:tc>
          <w:tcPr>
            <w:tcW w:w="363" w:type="pct"/>
            <w:vMerge w:val="continue"/>
            <w:vAlign w:val="center"/>
          </w:tcPr>
          <w:p w14:paraId="18534EE4">
            <w:pPr>
              <w:widowControl/>
              <w:adjustRightInd w:val="0"/>
              <w:snapToGrid w:val="0"/>
              <w:spacing w:line="240" w:lineRule="auto"/>
              <w:ind w:firstLine="400"/>
              <w:rPr>
                <w:rFonts w:hint="eastAsia" w:ascii="宋体" w:hAnsi="宋体" w:cs="宋体"/>
                <w:kern w:val="0"/>
                <w:sz w:val="20"/>
                <w:szCs w:val="20"/>
              </w:rPr>
            </w:pPr>
          </w:p>
        </w:tc>
        <w:tc>
          <w:tcPr>
            <w:tcW w:w="389" w:type="pct"/>
            <w:vMerge w:val="continue"/>
            <w:vAlign w:val="center"/>
          </w:tcPr>
          <w:p w14:paraId="4F064563">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3EA0C886">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39398330">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6E6A9F5A">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0B703483">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6A9B3FF5">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0（含）-6.0</w:t>
            </w:r>
          </w:p>
        </w:tc>
        <w:tc>
          <w:tcPr>
            <w:tcW w:w="863" w:type="pct"/>
            <w:shd w:val="clear" w:color="auto" w:fill="auto"/>
            <w:vAlign w:val="center"/>
          </w:tcPr>
          <w:p w14:paraId="60F186F3">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项目实施产生的可持续影响不显著</w:t>
            </w:r>
          </w:p>
        </w:tc>
        <w:tc>
          <w:tcPr>
            <w:tcW w:w="285" w:type="pct"/>
            <w:vMerge w:val="continue"/>
            <w:vAlign w:val="center"/>
          </w:tcPr>
          <w:p w14:paraId="2CD2F62A">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343A7396">
            <w:pPr>
              <w:widowControl/>
              <w:adjustRightInd w:val="0"/>
              <w:snapToGrid w:val="0"/>
              <w:spacing w:line="240" w:lineRule="auto"/>
              <w:ind w:firstLine="400"/>
              <w:rPr>
                <w:rFonts w:hint="eastAsia" w:ascii="宋体" w:hAnsi="宋体" w:cs="宋体"/>
                <w:kern w:val="0"/>
                <w:sz w:val="20"/>
                <w:szCs w:val="20"/>
              </w:rPr>
            </w:pPr>
          </w:p>
        </w:tc>
      </w:tr>
      <w:tr w14:paraId="370BF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2C465123">
            <w:pPr>
              <w:widowControl/>
              <w:adjustRightInd w:val="0"/>
              <w:snapToGrid w:val="0"/>
              <w:spacing w:line="240" w:lineRule="auto"/>
              <w:ind w:firstLine="400"/>
              <w:rPr>
                <w:rFonts w:hint="eastAsia" w:ascii="宋体" w:hAnsi="宋体" w:cs="宋体"/>
                <w:kern w:val="0"/>
                <w:sz w:val="20"/>
                <w:szCs w:val="20"/>
              </w:rPr>
            </w:pPr>
          </w:p>
        </w:tc>
        <w:tc>
          <w:tcPr>
            <w:tcW w:w="363" w:type="pct"/>
            <w:vMerge w:val="continue"/>
            <w:vAlign w:val="center"/>
          </w:tcPr>
          <w:p w14:paraId="20A3791E">
            <w:pPr>
              <w:widowControl/>
              <w:adjustRightInd w:val="0"/>
              <w:snapToGrid w:val="0"/>
              <w:spacing w:line="240" w:lineRule="auto"/>
              <w:ind w:firstLine="400"/>
              <w:rPr>
                <w:rFonts w:hint="eastAsia" w:ascii="宋体" w:hAnsi="宋体" w:cs="宋体"/>
                <w:kern w:val="0"/>
                <w:sz w:val="20"/>
                <w:szCs w:val="20"/>
              </w:rPr>
            </w:pPr>
          </w:p>
        </w:tc>
        <w:tc>
          <w:tcPr>
            <w:tcW w:w="389" w:type="pct"/>
            <w:vMerge w:val="restart"/>
            <w:shd w:val="clear" w:color="000000" w:fill="FFFFFF"/>
            <w:vAlign w:val="center"/>
          </w:tcPr>
          <w:p w14:paraId="3A6A3FBA">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满意度</w:t>
            </w:r>
          </w:p>
        </w:tc>
        <w:tc>
          <w:tcPr>
            <w:tcW w:w="218" w:type="pct"/>
            <w:vMerge w:val="restart"/>
            <w:shd w:val="clear" w:color="000000" w:fill="FFFFFF"/>
            <w:vAlign w:val="center"/>
          </w:tcPr>
          <w:p w14:paraId="191B9585">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10</w:t>
            </w:r>
          </w:p>
        </w:tc>
        <w:tc>
          <w:tcPr>
            <w:tcW w:w="467" w:type="pct"/>
            <w:vMerge w:val="restart"/>
            <w:shd w:val="clear" w:color="000000" w:fill="FFFFFF"/>
            <w:vAlign w:val="center"/>
          </w:tcPr>
          <w:p w14:paraId="5243C5B7">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服务对象满意度及其程度</w:t>
            </w:r>
          </w:p>
        </w:tc>
        <w:tc>
          <w:tcPr>
            <w:tcW w:w="218" w:type="pct"/>
            <w:vMerge w:val="restart"/>
            <w:shd w:val="clear" w:color="000000" w:fill="FFFFFF"/>
            <w:vAlign w:val="center"/>
          </w:tcPr>
          <w:p w14:paraId="0D04D261">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10</w:t>
            </w:r>
          </w:p>
        </w:tc>
        <w:tc>
          <w:tcPr>
            <w:tcW w:w="772" w:type="pct"/>
            <w:vMerge w:val="restart"/>
            <w:shd w:val="clear" w:color="000000" w:fill="FFFFFF"/>
            <w:vAlign w:val="center"/>
          </w:tcPr>
          <w:p w14:paraId="0D077F00">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社会公众或服务对象对项目实施效果的满意程度。社会公众或服务对象是指因该项目实施而受到影响的部门（单位）、群体或个人。一般采取社会调查的方式。</w:t>
            </w:r>
          </w:p>
        </w:tc>
        <w:tc>
          <w:tcPr>
            <w:tcW w:w="556" w:type="pct"/>
            <w:shd w:val="clear" w:color="auto" w:fill="auto"/>
            <w:vAlign w:val="center"/>
          </w:tcPr>
          <w:p w14:paraId="739FD978">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9.0（含）-10.0</w:t>
            </w:r>
          </w:p>
        </w:tc>
        <w:tc>
          <w:tcPr>
            <w:tcW w:w="863" w:type="pct"/>
            <w:shd w:val="clear" w:color="auto" w:fill="auto"/>
            <w:vAlign w:val="center"/>
          </w:tcPr>
          <w:p w14:paraId="5666D2D1">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服务对象非常满意</w:t>
            </w:r>
          </w:p>
        </w:tc>
        <w:tc>
          <w:tcPr>
            <w:tcW w:w="285" w:type="pct"/>
            <w:vMerge w:val="restart"/>
            <w:shd w:val="clear" w:color="auto" w:fill="auto"/>
            <w:noWrap/>
            <w:vAlign w:val="center"/>
          </w:tcPr>
          <w:p w14:paraId="41B29071">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9</w:t>
            </w:r>
          </w:p>
        </w:tc>
        <w:tc>
          <w:tcPr>
            <w:tcW w:w="585" w:type="pct"/>
            <w:vMerge w:val="restart"/>
            <w:shd w:val="clear" w:color="auto" w:fill="auto"/>
            <w:noWrap/>
            <w:vAlign w:val="center"/>
          </w:tcPr>
          <w:p w14:paraId="7A5C03D5">
            <w:pPr>
              <w:widowControl/>
              <w:adjustRightInd w:val="0"/>
              <w:snapToGrid w:val="0"/>
              <w:spacing w:line="240" w:lineRule="auto"/>
              <w:ind w:firstLine="0" w:firstLineChars="0"/>
              <w:rPr>
                <w:rFonts w:hint="eastAsia" w:ascii="宋体" w:hAnsi="宋体" w:cs="宋体"/>
                <w:kern w:val="0"/>
                <w:sz w:val="20"/>
                <w:szCs w:val="20"/>
              </w:rPr>
            </w:pPr>
          </w:p>
        </w:tc>
      </w:tr>
      <w:tr w14:paraId="4F95C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615630B0">
            <w:pPr>
              <w:widowControl/>
              <w:adjustRightInd w:val="0"/>
              <w:snapToGrid w:val="0"/>
              <w:spacing w:line="240" w:lineRule="auto"/>
              <w:ind w:firstLine="400"/>
              <w:rPr>
                <w:rFonts w:hint="eastAsia" w:ascii="宋体" w:hAnsi="宋体" w:cs="宋体"/>
                <w:kern w:val="0"/>
                <w:sz w:val="20"/>
                <w:szCs w:val="20"/>
              </w:rPr>
            </w:pPr>
          </w:p>
        </w:tc>
        <w:tc>
          <w:tcPr>
            <w:tcW w:w="363" w:type="pct"/>
            <w:vMerge w:val="continue"/>
            <w:vAlign w:val="center"/>
          </w:tcPr>
          <w:p w14:paraId="4296AEF2">
            <w:pPr>
              <w:widowControl/>
              <w:adjustRightInd w:val="0"/>
              <w:snapToGrid w:val="0"/>
              <w:spacing w:line="240" w:lineRule="auto"/>
              <w:ind w:firstLine="400"/>
              <w:rPr>
                <w:rFonts w:hint="eastAsia" w:ascii="宋体" w:hAnsi="宋体" w:cs="宋体"/>
                <w:kern w:val="0"/>
                <w:sz w:val="20"/>
                <w:szCs w:val="20"/>
              </w:rPr>
            </w:pPr>
          </w:p>
        </w:tc>
        <w:tc>
          <w:tcPr>
            <w:tcW w:w="389" w:type="pct"/>
            <w:vMerge w:val="continue"/>
            <w:vAlign w:val="center"/>
          </w:tcPr>
          <w:p w14:paraId="29C2600B">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20EB4F94">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7E58A279">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295E07A0">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17574EC8">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0B761757">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7.5（含）-9.0</w:t>
            </w:r>
          </w:p>
        </w:tc>
        <w:tc>
          <w:tcPr>
            <w:tcW w:w="863" w:type="pct"/>
            <w:shd w:val="clear" w:color="auto" w:fill="auto"/>
            <w:vAlign w:val="center"/>
          </w:tcPr>
          <w:p w14:paraId="4C6A1F6C">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服务对象比较满意</w:t>
            </w:r>
          </w:p>
        </w:tc>
        <w:tc>
          <w:tcPr>
            <w:tcW w:w="285" w:type="pct"/>
            <w:vMerge w:val="continue"/>
            <w:vAlign w:val="center"/>
          </w:tcPr>
          <w:p w14:paraId="1E4462A1">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40887FA6">
            <w:pPr>
              <w:widowControl/>
              <w:adjustRightInd w:val="0"/>
              <w:snapToGrid w:val="0"/>
              <w:spacing w:line="240" w:lineRule="auto"/>
              <w:ind w:firstLine="400"/>
              <w:rPr>
                <w:rFonts w:hint="eastAsia" w:ascii="宋体" w:hAnsi="宋体" w:cs="宋体"/>
                <w:kern w:val="0"/>
                <w:sz w:val="20"/>
                <w:szCs w:val="20"/>
              </w:rPr>
            </w:pPr>
          </w:p>
        </w:tc>
      </w:tr>
      <w:tr w14:paraId="669E6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4154DD01">
            <w:pPr>
              <w:widowControl/>
              <w:adjustRightInd w:val="0"/>
              <w:snapToGrid w:val="0"/>
              <w:spacing w:line="240" w:lineRule="auto"/>
              <w:ind w:firstLine="400"/>
              <w:rPr>
                <w:rFonts w:hint="eastAsia" w:ascii="宋体" w:hAnsi="宋体" w:cs="宋体"/>
                <w:kern w:val="0"/>
                <w:sz w:val="20"/>
                <w:szCs w:val="20"/>
              </w:rPr>
            </w:pPr>
          </w:p>
        </w:tc>
        <w:tc>
          <w:tcPr>
            <w:tcW w:w="363" w:type="pct"/>
            <w:vMerge w:val="continue"/>
            <w:vAlign w:val="center"/>
          </w:tcPr>
          <w:p w14:paraId="6FAF4946">
            <w:pPr>
              <w:widowControl/>
              <w:adjustRightInd w:val="0"/>
              <w:snapToGrid w:val="0"/>
              <w:spacing w:line="240" w:lineRule="auto"/>
              <w:ind w:firstLine="400"/>
              <w:rPr>
                <w:rFonts w:hint="eastAsia" w:ascii="宋体" w:hAnsi="宋体" w:cs="宋体"/>
                <w:kern w:val="0"/>
                <w:sz w:val="20"/>
                <w:szCs w:val="20"/>
              </w:rPr>
            </w:pPr>
          </w:p>
        </w:tc>
        <w:tc>
          <w:tcPr>
            <w:tcW w:w="389" w:type="pct"/>
            <w:vMerge w:val="continue"/>
            <w:vAlign w:val="center"/>
          </w:tcPr>
          <w:p w14:paraId="329B016F">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7F92D4AA">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3EF579B1">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6A4A3F8F">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3D753CFF">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55B1D9A1">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6.0（含）-7.5</w:t>
            </w:r>
          </w:p>
        </w:tc>
        <w:tc>
          <w:tcPr>
            <w:tcW w:w="863" w:type="pct"/>
            <w:shd w:val="clear" w:color="auto" w:fill="auto"/>
            <w:vAlign w:val="center"/>
          </w:tcPr>
          <w:p w14:paraId="22F6CAE9">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服务对象态度一般</w:t>
            </w:r>
          </w:p>
        </w:tc>
        <w:tc>
          <w:tcPr>
            <w:tcW w:w="285" w:type="pct"/>
            <w:vMerge w:val="continue"/>
            <w:vAlign w:val="center"/>
          </w:tcPr>
          <w:p w14:paraId="70D302D1">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6A1FF247">
            <w:pPr>
              <w:widowControl/>
              <w:adjustRightInd w:val="0"/>
              <w:snapToGrid w:val="0"/>
              <w:spacing w:line="240" w:lineRule="auto"/>
              <w:ind w:firstLine="400"/>
              <w:rPr>
                <w:rFonts w:hint="eastAsia" w:ascii="宋体" w:hAnsi="宋体" w:cs="宋体"/>
                <w:kern w:val="0"/>
                <w:sz w:val="20"/>
                <w:szCs w:val="20"/>
              </w:rPr>
            </w:pPr>
          </w:p>
        </w:tc>
      </w:tr>
      <w:tr w14:paraId="18151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14:paraId="66B27B3F">
            <w:pPr>
              <w:widowControl/>
              <w:adjustRightInd w:val="0"/>
              <w:snapToGrid w:val="0"/>
              <w:spacing w:line="240" w:lineRule="auto"/>
              <w:ind w:firstLine="400"/>
              <w:rPr>
                <w:rFonts w:hint="eastAsia" w:ascii="宋体" w:hAnsi="宋体" w:cs="宋体"/>
                <w:kern w:val="0"/>
                <w:sz w:val="20"/>
                <w:szCs w:val="20"/>
              </w:rPr>
            </w:pPr>
          </w:p>
        </w:tc>
        <w:tc>
          <w:tcPr>
            <w:tcW w:w="363" w:type="pct"/>
            <w:vMerge w:val="continue"/>
            <w:vAlign w:val="center"/>
          </w:tcPr>
          <w:p w14:paraId="682EFE12">
            <w:pPr>
              <w:widowControl/>
              <w:adjustRightInd w:val="0"/>
              <w:snapToGrid w:val="0"/>
              <w:spacing w:line="240" w:lineRule="auto"/>
              <w:ind w:firstLine="400"/>
              <w:rPr>
                <w:rFonts w:hint="eastAsia" w:ascii="宋体" w:hAnsi="宋体" w:cs="宋体"/>
                <w:kern w:val="0"/>
                <w:sz w:val="20"/>
                <w:szCs w:val="20"/>
              </w:rPr>
            </w:pPr>
          </w:p>
        </w:tc>
        <w:tc>
          <w:tcPr>
            <w:tcW w:w="389" w:type="pct"/>
            <w:vMerge w:val="continue"/>
            <w:vAlign w:val="center"/>
          </w:tcPr>
          <w:p w14:paraId="6DD5DEBD">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40CEEF92">
            <w:pPr>
              <w:widowControl/>
              <w:adjustRightInd w:val="0"/>
              <w:snapToGrid w:val="0"/>
              <w:spacing w:line="240" w:lineRule="auto"/>
              <w:ind w:firstLine="400"/>
              <w:jc w:val="center"/>
              <w:rPr>
                <w:rFonts w:hint="eastAsia" w:ascii="宋体" w:hAnsi="宋体" w:cs="宋体"/>
                <w:kern w:val="0"/>
                <w:sz w:val="20"/>
                <w:szCs w:val="20"/>
              </w:rPr>
            </w:pPr>
          </w:p>
        </w:tc>
        <w:tc>
          <w:tcPr>
            <w:tcW w:w="467" w:type="pct"/>
            <w:vMerge w:val="continue"/>
            <w:vAlign w:val="center"/>
          </w:tcPr>
          <w:p w14:paraId="5DC99811">
            <w:pPr>
              <w:widowControl/>
              <w:adjustRightInd w:val="0"/>
              <w:snapToGrid w:val="0"/>
              <w:spacing w:line="240" w:lineRule="auto"/>
              <w:ind w:firstLine="400"/>
              <w:rPr>
                <w:rFonts w:hint="eastAsia" w:ascii="宋体" w:hAnsi="宋体" w:cs="宋体"/>
                <w:kern w:val="0"/>
                <w:sz w:val="20"/>
                <w:szCs w:val="20"/>
              </w:rPr>
            </w:pPr>
          </w:p>
        </w:tc>
        <w:tc>
          <w:tcPr>
            <w:tcW w:w="218" w:type="pct"/>
            <w:vMerge w:val="continue"/>
            <w:vAlign w:val="center"/>
          </w:tcPr>
          <w:p w14:paraId="19DBB0D3">
            <w:pPr>
              <w:widowControl/>
              <w:adjustRightInd w:val="0"/>
              <w:snapToGrid w:val="0"/>
              <w:spacing w:line="240" w:lineRule="auto"/>
              <w:ind w:firstLine="400"/>
              <w:jc w:val="center"/>
              <w:rPr>
                <w:rFonts w:hint="eastAsia" w:ascii="宋体" w:hAnsi="宋体" w:cs="宋体"/>
                <w:kern w:val="0"/>
                <w:sz w:val="20"/>
                <w:szCs w:val="20"/>
              </w:rPr>
            </w:pPr>
          </w:p>
        </w:tc>
        <w:tc>
          <w:tcPr>
            <w:tcW w:w="772" w:type="pct"/>
            <w:vMerge w:val="continue"/>
            <w:vAlign w:val="center"/>
          </w:tcPr>
          <w:p w14:paraId="1C1B50AB">
            <w:pPr>
              <w:widowControl/>
              <w:adjustRightInd w:val="0"/>
              <w:snapToGrid w:val="0"/>
              <w:spacing w:line="240" w:lineRule="auto"/>
              <w:ind w:firstLine="400"/>
              <w:rPr>
                <w:rFonts w:hint="eastAsia" w:ascii="宋体" w:hAnsi="宋体" w:cs="宋体"/>
                <w:kern w:val="0"/>
                <w:sz w:val="20"/>
                <w:szCs w:val="20"/>
              </w:rPr>
            </w:pPr>
          </w:p>
        </w:tc>
        <w:tc>
          <w:tcPr>
            <w:tcW w:w="556" w:type="pct"/>
            <w:shd w:val="clear" w:color="auto" w:fill="auto"/>
            <w:vAlign w:val="center"/>
          </w:tcPr>
          <w:p w14:paraId="5EF26492">
            <w:pPr>
              <w:widowControl/>
              <w:adjustRightInd w:val="0"/>
              <w:snapToGrid w:val="0"/>
              <w:spacing w:line="240" w:lineRule="auto"/>
              <w:ind w:firstLine="0" w:firstLineChars="0"/>
              <w:jc w:val="center"/>
              <w:rPr>
                <w:rFonts w:hint="eastAsia" w:ascii="宋体" w:hAnsi="宋体" w:cs="宋体"/>
                <w:kern w:val="0"/>
                <w:sz w:val="20"/>
                <w:szCs w:val="20"/>
              </w:rPr>
            </w:pPr>
            <w:r>
              <w:rPr>
                <w:rFonts w:hint="eastAsia" w:ascii="宋体" w:hAnsi="宋体" w:cs="宋体"/>
                <w:kern w:val="0"/>
                <w:sz w:val="20"/>
                <w:szCs w:val="20"/>
              </w:rPr>
              <w:t>0（含）-6.0</w:t>
            </w:r>
          </w:p>
        </w:tc>
        <w:tc>
          <w:tcPr>
            <w:tcW w:w="863" w:type="pct"/>
            <w:shd w:val="clear" w:color="auto" w:fill="auto"/>
            <w:vAlign w:val="center"/>
          </w:tcPr>
          <w:p w14:paraId="14091493">
            <w:pPr>
              <w:widowControl/>
              <w:adjustRightInd w:val="0"/>
              <w:snapToGrid w:val="0"/>
              <w:spacing w:line="240" w:lineRule="auto"/>
              <w:ind w:firstLine="0" w:firstLineChars="0"/>
              <w:rPr>
                <w:rFonts w:hint="eastAsia" w:ascii="宋体" w:hAnsi="宋体" w:cs="宋体"/>
                <w:kern w:val="0"/>
                <w:sz w:val="20"/>
                <w:szCs w:val="20"/>
              </w:rPr>
            </w:pPr>
            <w:r>
              <w:rPr>
                <w:rFonts w:hint="eastAsia" w:ascii="宋体" w:hAnsi="宋体" w:cs="宋体"/>
                <w:kern w:val="0"/>
                <w:sz w:val="20"/>
                <w:szCs w:val="20"/>
              </w:rPr>
              <w:t>服务对象不满意</w:t>
            </w:r>
          </w:p>
        </w:tc>
        <w:tc>
          <w:tcPr>
            <w:tcW w:w="285" w:type="pct"/>
            <w:vMerge w:val="continue"/>
            <w:vAlign w:val="center"/>
          </w:tcPr>
          <w:p w14:paraId="3B671595">
            <w:pPr>
              <w:widowControl/>
              <w:adjustRightInd w:val="0"/>
              <w:snapToGrid w:val="0"/>
              <w:spacing w:line="240" w:lineRule="auto"/>
              <w:ind w:firstLine="400"/>
              <w:jc w:val="center"/>
              <w:rPr>
                <w:rFonts w:hint="eastAsia" w:ascii="宋体" w:hAnsi="宋体" w:cs="宋体"/>
                <w:kern w:val="0"/>
                <w:sz w:val="20"/>
                <w:szCs w:val="20"/>
              </w:rPr>
            </w:pPr>
          </w:p>
        </w:tc>
        <w:tc>
          <w:tcPr>
            <w:tcW w:w="585" w:type="pct"/>
            <w:vMerge w:val="continue"/>
            <w:vAlign w:val="center"/>
          </w:tcPr>
          <w:p w14:paraId="7CB3C839">
            <w:pPr>
              <w:widowControl/>
              <w:adjustRightInd w:val="0"/>
              <w:snapToGrid w:val="0"/>
              <w:spacing w:line="240" w:lineRule="auto"/>
              <w:ind w:firstLine="400"/>
              <w:rPr>
                <w:rFonts w:hint="eastAsia" w:ascii="宋体" w:hAnsi="宋体" w:cs="宋体"/>
                <w:kern w:val="0"/>
                <w:sz w:val="20"/>
                <w:szCs w:val="20"/>
              </w:rPr>
            </w:pPr>
          </w:p>
        </w:tc>
      </w:tr>
      <w:tr w14:paraId="7D835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79" w:type="pct"/>
            <w:shd w:val="clear" w:color="auto" w:fill="auto"/>
            <w:noWrap/>
            <w:vAlign w:val="center"/>
          </w:tcPr>
          <w:p w14:paraId="7D15EB6E">
            <w:pPr>
              <w:widowControl/>
              <w:adjustRightInd w:val="0"/>
              <w:snapToGrid w:val="0"/>
              <w:spacing w:line="240" w:lineRule="auto"/>
              <w:ind w:firstLine="0" w:firstLineChars="0"/>
              <w:jc w:val="center"/>
              <w:rPr>
                <w:rFonts w:hint="eastAsia" w:ascii="宋体" w:hAnsi="宋体" w:cs="宋体"/>
                <w:b/>
                <w:bCs/>
                <w:kern w:val="0"/>
                <w:sz w:val="20"/>
                <w:szCs w:val="20"/>
              </w:rPr>
            </w:pPr>
            <w:r>
              <w:rPr>
                <w:rFonts w:hint="eastAsia" w:ascii="宋体" w:hAnsi="宋体" w:cs="宋体"/>
                <w:b/>
                <w:bCs/>
                <w:kern w:val="0"/>
                <w:sz w:val="20"/>
                <w:szCs w:val="20"/>
              </w:rPr>
              <w:t>合计</w:t>
            </w:r>
          </w:p>
        </w:tc>
        <w:tc>
          <w:tcPr>
            <w:tcW w:w="363" w:type="pct"/>
            <w:shd w:val="clear" w:color="000000" w:fill="FFFFFF"/>
            <w:vAlign w:val="center"/>
          </w:tcPr>
          <w:p w14:paraId="4CF5D432">
            <w:pPr>
              <w:widowControl/>
              <w:adjustRightInd w:val="0"/>
              <w:snapToGrid w:val="0"/>
              <w:spacing w:line="240" w:lineRule="auto"/>
              <w:ind w:firstLine="402"/>
              <w:rPr>
                <w:rFonts w:hint="eastAsia" w:ascii="宋体" w:hAnsi="宋体" w:cs="宋体"/>
                <w:b/>
                <w:bCs/>
                <w:kern w:val="0"/>
                <w:sz w:val="20"/>
                <w:szCs w:val="20"/>
              </w:rPr>
            </w:pPr>
            <w:r>
              <w:rPr>
                <w:rFonts w:hint="eastAsia" w:ascii="宋体" w:hAnsi="宋体" w:cs="宋体"/>
                <w:b/>
                <w:bCs/>
                <w:kern w:val="0"/>
                <w:sz w:val="20"/>
                <w:szCs w:val="20"/>
              </w:rPr>
              <w:t>　</w:t>
            </w:r>
          </w:p>
        </w:tc>
        <w:tc>
          <w:tcPr>
            <w:tcW w:w="389" w:type="pct"/>
            <w:shd w:val="clear" w:color="000000" w:fill="FFFFFF"/>
            <w:vAlign w:val="center"/>
          </w:tcPr>
          <w:p w14:paraId="0DDA581C">
            <w:pPr>
              <w:widowControl/>
              <w:adjustRightInd w:val="0"/>
              <w:snapToGrid w:val="0"/>
              <w:spacing w:line="240" w:lineRule="auto"/>
              <w:ind w:firstLine="402"/>
              <w:rPr>
                <w:rFonts w:hint="eastAsia" w:ascii="宋体" w:hAnsi="宋体" w:cs="宋体"/>
                <w:b/>
                <w:bCs/>
                <w:kern w:val="0"/>
                <w:sz w:val="20"/>
                <w:szCs w:val="20"/>
              </w:rPr>
            </w:pPr>
            <w:r>
              <w:rPr>
                <w:rFonts w:hint="eastAsia" w:ascii="宋体" w:hAnsi="宋体" w:cs="宋体"/>
                <w:b/>
                <w:bCs/>
                <w:kern w:val="0"/>
                <w:sz w:val="20"/>
                <w:szCs w:val="20"/>
              </w:rPr>
              <w:t>　</w:t>
            </w:r>
          </w:p>
        </w:tc>
        <w:tc>
          <w:tcPr>
            <w:tcW w:w="218" w:type="pct"/>
            <w:shd w:val="clear" w:color="000000" w:fill="FFFFFF"/>
            <w:vAlign w:val="center"/>
          </w:tcPr>
          <w:p w14:paraId="0C72EAC3">
            <w:pPr>
              <w:widowControl/>
              <w:adjustRightInd w:val="0"/>
              <w:snapToGrid w:val="0"/>
              <w:spacing w:line="240" w:lineRule="auto"/>
              <w:ind w:firstLine="0" w:firstLineChars="0"/>
              <w:jc w:val="center"/>
              <w:rPr>
                <w:rFonts w:hint="eastAsia" w:ascii="宋体" w:hAnsi="宋体" w:cs="宋体"/>
                <w:b/>
                <w:bCs/>
                <w:kern w:val="0"/>
                <w:sz w:val="20"/>
                <w:szCs w:val="20"/>
              </w:rPr>
            </w:pPr>
            <w:r>
              <w:rPr>
                <w:rFonts w:hint="eastAsia" w:ascii="宋体" w:hAnsi="宋体" w:cs="宋体"/>
                <w:b/>
                <w:bCs/>
                <w:kern w:val="0"/>
                <w:sz w:val="20"/>
                <w:szCs w:val="20"/>
              </w:rPr>
              <w:t>100</w:t>
            </w:r>
          </w:p>
        </w:tc>
        <w:tc>
          <w:tcPr>
            <w:tcW w:w="467" w:type="pct"/>
            <w:shd w:val="clear" w:color="000000" w:fill="FFFFFF"/>
            <w:vAlign w:val="center"/>
          </w:tcPr>
          <w:p w14:paraId="2FA50459">
            <w:pPr>
              <w:widowControl/>
              <w:adjustRightInd w:val="0"/>
              <w:snapToGrid w:val="0"/>
              <w:spacing w:line="240" w:lineRule="auto"/>
              <w:ind w:firstLine="402"/>
              <w:rPr>
                <w:rFonts w:hint="eastAsia" w:ascii="宋体" w:hAnsi="宋体" w:cs="宋体"/>
                <w:b/>
                <w:bCs/>
                <w:kern w:val="0"/>
                <w:sz w:val="20"/>
                <w:szCs w:val="20"/>
              </w:rPr>
            </w:pPr>
            <w:r>
              <w:rPr>
                <w:rFonts w:hint="eastAsia" w:ascii="宋体" w:hAnsi="宋体" w:cs="宋体"/>
                <w:b/>
                <w:bCs/>
                <w:kern w:val="0"/>
                <w:sz w:val="20"/>
                <w:szCs w:val="20"/>
              </w:rPr>
              <w:t>　</w:t>
            </w:r>
          </w:p>
        </w:tc>
        <w:tc>
          <w:tcPr>
            <w:tcW w:w="218" w:type="pct"/>
            <w:shd w:val="clear" w:color="000000" w:fill="FFFFFF"/>
            <w:vAlign w:val="center"/>
          </w:tcPr>
          <w:p w14:paraId="68A48513">
            <w:pPr>
              <w:widowControl/>
              <w:adjustRightInd w:val="0"/>
              <w:snapToGrid w:val="0"/>
              <w:spacing w:line="240" w:lineRule="auto"/>
              <w:ind w:firstLine="0" w:firstLineChars="0"/>
              <w:jc w:val="center"/>
              <w:rPr>
                <w:rFonts w:hint="eastAsia" w:ascii="宋体" w:hAnsi="宋体" w:cs="宋体"/>
                <w:b/>
                <w:bCs/>
                <w:kern w:val="0"/>
                <w:sz w:val="20"/>
                <w:szCs w:val="20"/>
              </w:rPr>
            </w:pPr>
            <w:r>
              <w:rPr>
                <w:rFonts w:hint="eastAsia" w:ascii="宋体" w:hAnsi="宋体" w:cs="宋体"/>
                <w:b/>
                <w:bCs/>
                <w:kern w:val="0"/>
                <w:sz w:val="20"/>
                <w:szCs w:val="20"/>
              </w:rPr>
              <w:t>100</w:t>
            </w:r>
          </w:p>
        </w:tc>
        <w:tc>
          <w:tcPr>
            <w:tcW w:w="772" w:type="pct"/>
            <w:shd w:val="clear" w:color="auto" w:fill="auto"/>
            <w:noWrap/>
            <w:vAlign w:val="bottom"/>
          </w:tcPr>
          <w:p w14:paraId="0A921354">
            <w:pPr>
              <w:widowControl/>
              <w:adjustRightInd w:val="0"/>
              <w:snapToGrid w:val="0"/>
              <w:spacing w:line="240" w:lineRule="auto"/>
              <w:ind w:firstLine="402"/>
              <w:rPr>
                <w:rFonts w:hint="eastAsia" w:ascii="宋体" w:hAnsi="宋体" w:cs="宋体"/>
                <w:b/>
                <w:bCs/>
                <w:kern w:val="0"/>
                <w:sz w:val="20"/>
                <w:szCs w:val="20"/>
              </w:rPr>
            </w:pPr>
            <w:r>
              <w:rPr>
                <w:rFonts w:hint="eastAsia" w:ascii="宋体" w:hAnsi="宋体" w:cs="宋体"/>
                <w:b/>
                <w:bCs/>
                <w:kern w:val="0"/>
                <w:sz w:val="20"/>
                <w:szCs w:val="20"/>
              </w:rPr>
              <w:t>　</w:t>
            </w:r>
          </w:p>
        </w:tc>
        <w:tc>
          <w:tcPr>
            <w:tcW w:w="556" w:type="pct"/>
            <w:shd w:val="clear" w:color="auto" w:fill="auto"/>
            <w:noWrap/>
            <w:vAlign w:val="bottom"/>
          </w:tcPr>
          <w:p w14:paraId="20FC46CC">
            <w:pPr>
              <w:widowControl/>
              <w:adjustRightInd w:val="0"/>
              <w:snapToGrid w:val="0"/>
              <w:spacing w:line="240" w:lineRule="auto"/>
              <w:ind w:firstLine="402"/>
              <w:jc w:val="left"/>
              <w:rPr>
                <w:rFonts w:hint="eastAsia" w:ascii="宋体" w:hAnsi="宋体" w:cs="宋体"/>
                <w:b/>
                <w:bCs/>
                <w:kern w:val="0"/>
                <w:sz w:val="20"/>
                <w:szCs w:val="20"/>
              </w:rPr>
            </w:pPr>
            <w:r>
              <w:rPr>
                <w:rFonts w:hint="eastAsia" w:ascii="宋体" w:hAnsi="宋体" w:cs="宋体"/>
                <w:b/>
                <w:bCs/>
                <w:kern w:val="0"/>
                <w:sz w:val="20"/>
                <w:szCs w:val="20"/>
              </w:rPr>
              <w:t>　</w:t>
            </w:r>
          </w:p>
        </w:tc>
        <w:tc>
          <w:tcPr>
            <w:tcW w:w="863" w:type="pct"/>
            <w:shd w:val="clear" w:color="auto" w:fill="auto"/>
            <w:noWrap/>
            <w:vAlign w:val="bottom"/>
          </w:tcPr>
          <w:p w14:paraId="0934CC51">
            <w:pPr>
              <w:widowControl/>
              <w:adjustRightInd w:val="0"/>
              <w:snapToGrid w:val="0"/>
              <w:spacing w:line="240" w:lineRule="auto"/>
              <w:ind w:firstLine="402"/>
              <w:rPr>
                <w:rFonts w:hint="eastAsia" w:ascii="宋体" w:hAnsi="宋体" w:cs="宋体"/>
                <w:b/>
                <w:bCs/>
                <w:kern w:val="0"/>
                <w:sz w:val="20"/>
                <w:szCs w:val="20"/>
              </w:rPr>
            </w:pPr>
            <w:r>
              <w:rPr>
                <w:rFonts w:hint="eastAsia" w:ascii="宋体" w:hAnsi="宋体" w:cs="宋体"/>
                <w:b/>
                <w:bCs/>
                <w:kern w:val="0"/>
                <w:sz w:val="20"/>
                <w:szCs w:val="20"/>
              </w:rPr>
              <w:t>　</w:t>
            </w:r>
          </w:p>
        </w:tc>
        <w:tc>
          <w:tcPr>
            <w:tcW w:w="285" w:type="pct"/>
            <w:shd w:val="clear" w:color="000000" w:fill="FFFFFF"/>
            <w:vAlign w:val="center"/>
          </w:tcPr>
          <w:p w14:paraId="498EE87C">
            <w:pPr>
              <w:widowControl/>
              <w:adjustRightInd w:val="0"/>
              <w:snapToGrid w:val="0"/>
              <w:spacing w:line="240" w:lineRule="auto"/>
              <w:ind w:firstLine="0" w:firstLineChars="0"/>
              <w:jc w:val="center"/>
              <w:rPr>
                <w:rFonts w:hint="eastAsia" w:ascii="宋体" w:hAnsi="宋体" w:cs="宋体"/>
                <w:b/>
                <w:bCs/>
                <w:kern w:val="0"/>
                <w:sz w:val="20"/>
                <w:szCs w:val="20"/>
              </w:rPr>
            </w:pPr>
            <w:r>
              <w:rPr>
                <w:rFonts w:hint="eastAsia" w:ascii="宋体" w:hAnsi="宋体" w:cs="宋体"/>
                <w:b/>
                <w:bCs/>
                <w:kern w:val="0"/>
                <w:sz w:val="20"/>
                <w:szCs w:val="20"/>
              </w:rPr>
              <w:t>95</w:t>
            </w:r>
          </w:p>
        </w:tc>
        <w:tc>
          <w:tcPr>
            <w:tcW w:w="585" w:type="pct"/>
            <w:shd w:val="clear" w:color="auto" w:fill="auto"/>
            <w:noWrap/>
            <w:vAlign w:val="center"/>
          </w:tcPr>
          <w:p w14:paraId="0A79CB92">
            <w:pPr>
              <w:widowControl/>
              <w:adjustRightInd w:val="0"/>
              <w:snapToGrid w:val="0"/>
              <w:spacing w:line="240" w:lineRule="auto"/>
              <w:ind w:firstLine="402"/>
              <w:rPr>
                <w:rFonts w:hint="eastAsia" w:ascii="宋体" w:hAnsi="宋体" w:cs="宋体"/>
                <w:b/>
                <w:bCs/>
                <w:kern w:val="0"/>
                <w:sz w:val="20"/>
                <w:szCs w:val="20"/>
              </w:rPr>
            </w:pPr>
          </w:p>
        </w:tc>
      </w:tr>
    </w:tbl>
    <w:p w14:paraId="31B1E5EE">
      <w:pPr>
        <w:pStyle w:val="6"/>
        <w:ind w:firstLine="720"/>
      </w:pPr>
    </w:p>
    <w:sectPr>
      <w:footerReference r:id="rId13" w:type="default"/>
      <w:pgSz w:w="16838" w:h="11906" w:orient="landscape"/>
      <w:pgMar w:top="1701" w:right="1701" w:bottom="1701" w:left="1701" w:header="851" w:footer="992" w:gutter="0"/>
      <w:pgNumType w:start="1"/>
      <w:cols w:space="720" w:num="1"/>
      <w:docGrid w:type="lines" w:linePitch="327"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27615AE-34F5-4CD5-B5BC-13A98E0578C0}"/>
  </w:font>
  <w:font w:name="Courier New">
    <w:panose1 w:val="02070309020205020404"/>
    <w:charset w:val="01"/>
    <w:family w:val="modern"/>
    <w:pitch w:val="default"/>
    <w:sig w:usb0="E0002EFF" w:usb1="C0007843" w:usb2="00000009" w:usb3="00000000" w:csb0="400001FF" w:csb1="FFFF0000"/>
    <w:embedRegular r:id="rId2" w:fontKey="{F1E27C0C-8FF9-47A3-A37C-EF7FF80839CD}"/>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B3D09676-947E-4A96-A02B-F52B4621E7C4}"/>
  </w:font>
  <w:font w:name="方正小标宋_GBK">
    <w:altName w:val="微软雅黑"/>
    <w:panose1 w:val="03000509000000000000"/>
    <w:charset w:val="86"/>
    <w:family w:val="script"/>
    <w:pitch w:val="default"/>
    <w:sig w:usb0="00000000" w:usb1="00000000" w:usb2="00000010" w:usb3="00000000" w:csb0="00040000" w:csb1="00000000"/>
    <w:embedRegular r:id="rId4" w:fontKey="{2E573691-4A36-4062-9774-FA6E611D616A}"/>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embedRegular r:id="rId5" w:fontKey="{B46A9CFD-617A-4250-B8F8-13860D7D825E}"/>
  </w:font>
  <w:font w:name="楷体_GB2312">
    <w:panose1 w:val="02010609030101010101"/>
    <w:charset w:val="86"/>
    <w:family w:val="modern"/>
    <w:pitch w:val="default"/>
    <w:sig w:usb0="00000001" w:usb1="080E0000" w:usb2="00000000" w:usb3="00000000" w:csb0="00040000" w:csb1="00000000"/>
    <w:embedRegular r:id="rId6" w:fontKey="{A023BC99-0ED4-4FE4-83D2-928BB28A9AC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D1119">
    <w:pPr>
      <w:pStyle w:val="11"/>
      <w:ind w:firstLine="480"/>
      <w:jc w:val="center"/>
      <w:rPr>
        <w:sz w:val="28"/>
        <w:szCs w:val="28"/>
      </w:rPr>
    </w:pPr>
  </w:p>
  <w:p w14:paraId="7055E65D">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7150E">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9FB1B">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7949E8">
    <w:pPr>
      <w:pStyle w:val="11"/>
      <w:ind w:firstLine="480"/>
      <w:jc w:val="center"/>
      <w:rPr>
        <w:sz w:val="28"/>
        <w:szCs w:val="28"/>
      </w:rPr>
    </w:pPr>
  </w:p>
  <w:p w14:paraId="501500E1">
    <w:pPr>
      <w:pStyle w:val="1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8FB2E">
    <w:pPr>
      <w:pStyle w:val="11"/>
      <w:ind w:firstLine="480"/>
      <w:jc w:val="center"/>
      <w:rPr>
        <w:sz w:val="28"/>
        <w:szCs w:val="28"/>
      </w:rPr>
    </w:pPr>
    <w:r>
      <w:rPr>
        <w:sz w:val="28"/>
      </w:rPr>
      <mc:AlternateContent>
        <mc:Choice Requires="wps">
          <w:drawing>
            <wp:anchor distT="0" distB="0" distL="0" distR="0" simplePos="0" relativeHeight="251659264" behindDoc="0" locked="0" layoutInCell="1" allowOverlap="1">
              <wp:simplePos x="0" y="0"/>
              <wp:positionH relativeFrom="margin">
                <wp:posOffset>2498090</wp:posOffset>
              </wp:positionH>
              <wp:positionV relativeFrom="paragraph">
                <wp:posOffset>6985</wp:posOffset>
              </wp:positionV>
              <wp:extent cx="725170" cy="457200"/>
              <wp:effectExtent l="0" t="0" r="0" b="0"/>
              <wp:wrapNone/>
              <wp:docPr id="4097" name="文本框 1"/>
              <wp:cNvGraphicFramePr/>
              <a:graphic xmlns:a="http://schemas.openxmlformats.org/drawingml/2006/main">
                <a:graphicData uri="http://schemas.microsoft.com/office/word/2010/wordprocessingShape">
                  <wps:wsp>
                    <wps:cNvSpPr/>
                    <wps:spPr>
                      <a:xfrm>
                        <a:off x="0" y="0"/>
                        <a:ext cx="725214" cy="457200"/>
                      </a:xfrm>
                      <a:prstGeom prst="rect">
                        <a:avLst/>
                      </a:prstGeom>
                      <a:ln>
                        <a:noFill/>
                      </a:ln>
                    </wps:spPr>
                    <wps:txbx>
                      <w:txbxContent>
                        <w:p w14:paraId="46215A26">
                          <w:pPr>
                            <w:pStyle w:val="11"/>
                            <w:ind w:firstLine="480"/>
                            <w:jc w:val="center"/>
                          </w:pP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16</w:t>
                          </w:r>
                          <w:r>
                            <w:rPr>
                              <w:sz w:val="28"/>
                              <w:szCs w:val="28"/>
                            </w:rPr>
                            <w:fldChar w:fldCharType="end"/>
                          </w:r>
                        </w:p>
                      </w:txbxContent>
                    </wps:txbx>
                    <wps:bodyPr vert="horz" wrap="square" lIns="0" tIns="0" rIns="0" bIns="0" anchor="t">
                      <a:noAutofit/>
                    </wps:bodyPr>
                  </wps:wsp>
                </a:graphicData>
              </a:graphic>
            </wp:anchor>
          </w:drawing>
        </mc:Choice>
        <mc:Fallback>
          <w:pict>
            <v:rect id="文本框 1" o:spid="_x0000_s1026" o:spt="1" style="position:absolute;left:0pt;margin-left:196.7pt;margin-top:0.55pt;height:36pt;width:57.1pt;mso-position-horizontal-relative:margin;z-index:251659264;mso-width-relative:page;mso-height-relative:page;" filled="f" stroked="f" coordsize="21600,21600" o:gfxdata="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Dh5J3tkAAAAIAQAADwAAAAAAAAABACAAAAAi&#10;AAAAZHJzL2Rvd25yZXYueG1sUEsBAhQAFAAAAAgAh07iQMX2gFTQAQAAkgMAAA4AAAAAAAAAAQAg&#10;AAAAKAEAAGRycy9lMm9Eb2MueG1sUEsFBgAAAAAGAAYAWQEAAGoFAAAAAA==&#10;">
              <v:fill on="f" focussize="0,0"/>
              <v:stroke on="f"/>
              <v:imagedata o:title=""/>
              <o:lock v:ext="edit" aspectratio="f"/>
              <v:textbox inset="0mm,0mm,0mm,0mm">
                <w:txbxContent>
                  <w:p w14:paraId="46215A26">
                    <w:pPr>
                      <w:pStyle w:val="11"/>
                      <w:ind w:firstLine="480"/>
                      <w:jc w:val="center"/>
                    </w:pP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16</w:t>
                    </w:r>
                    <w:r>
                      <w:rPr>
                        <w:sz w:val="28"/>
                        <w:szCs w:val="28"/>
                      </w:rPr>
                      <w:fldChar w:fldCharType="end"/>
                    </w:r>
                  </w:p>
                </w:txbxContent>
              </v:textbox>
            </v:rect>
          </w:pict>
        </mc:Fallback>
      </mc:AlternateContent>
    </w:r>
  </w:p>
  <w:p w14:paraId="6D58F68A">
    <w:pPr>
      <w:pStyle w:val="11"/>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3CCC9D">
    <w:pPr>
      <w:pStyle w:val="11"/>
      <w:ind w:firstLine="480"/>
      <w:jc w:val="center"/>
      <w:rPr>
        <w:sz w:val="28"/>
        <w:szCs w:val="28"/>
      </w:rPr>
    </w:pPr>
  </w:p>
  <w:p w14:paraId="65825F6D">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12" w:lineRule="auto"/>
        <w:ind w:firstLine="480"/>
      </w:pPr>
      <w:r>
        <w:separator/>
      </w:r>
    </w:p>
  </w:footnote>
  <w:footnote w:type="continuationSeparator" w:id="1">
    <w:p>
      <w:pPr>
        <w:spacing w:line="312"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97F7E6">
    <w:pPr>
      <w:ind w:firstLine="480"/>
    </w:pPr>
  </w:p>
  <w:p w14:paraId="300DF684">
    <w:pPr>
      <w:pStyle w:val="6"/>
      <w:ind w:firstLine="7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5018A">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4701A">
    <w:pPr>
      <w:pStyle w:val="1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327"/>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iZjYwNDk0NWFmNTlkZjZlNjNlOWRjMjVlMjI2MGIifQ=="/>
  </w:docVars>
  <w:rsids>
    <w:rsidRoot w:val="00E96A4A"/>
    <w:rsid w:val="00032F3C"/>
    <w:rsid w:val="00052228"/>
    <w:rsid w:val="000525DB"/>
    <w:rsid w:val="000A3441"/>
    <w:rsid w:val="000F153F"/>
    <w:rsid w:val="00106A7E"/>
    <w:rsid w:val="00121CB0"/>
    <w:rsid w:val="001431BC"/>
    <w:rsid w:val="001C1904"/>
    <w:rsid w:val="001E0A82"/>
    <w:rsid w:val="001E6282"/>
    <w:rsid w:val="0033192F"/>
    <w:rsid w:val="00360891"/>
    <w:rsid w:val="003661CA"/>
    <w:rsid w:val="00387956"/>
    <w:rsid w:val="003E6278"/>
    <w:rsid w:val="003F1E2D"/>
    <w:rsid w:val="0040280A"/>
    <w:rsid w:val="00514857"/>
    <w:rsid w:val="005159E2"/>
    <w:rsid w:val="0056708A"/>
    <w:rsid w:val="00591FDE"/>
    <w:rsid w:val="005A6129"/>
    <w:rsid w:val="005D0D06"/>
    <w:rsid w:val="005E5433"/>
    <w:rsid w:val="00652B0F"/>
    <w:rsid w:val="006C22F1"/>
    <w:rsid w:val="00701E8D"/>
    <w:rsid w:val="00705860"/>
    <w:rsid w:val="007243B6"/>
    <w:rsid w:val="00777F9B"/>
    <w:rsid w:val="007B3BB7"/>
    <w:rsid w:val="008073CE"/>
    <w:rsid w:val="00810756"/>
    <w:rsid w:val="00826968"/>
    <w:rsid w:val="00827A04"/>
    <w:rsid w:val="00867B4D"/>
    <w:rsid w:val="008A15CF"/>
    <w:rsid w:val="008D00D0"/>
    <w:rsid w:val="00916E16"/>
    <w:rsid w:val="00955CD9"/>
    <w:rsid w:val="00991773"/>
    <w:rsid w:val="00A540C5"/>
    <w:rsid w:val="00A603D0"/>
    <w:rsid w:val="00A73136"/>
    <w:rsid w:val="00AF061D"/>
    <w:rsid w:val="00B924C1"/>
    <w:rsid w:val="00BA49BE"/>
    <w:rsid w:val="00BF63E4"/>
    <w:rsid w:val="00BF6713"/>
    <w:rsid w:val="00C049A2"/>
    <w:rsid w:val="00C32C73"/>
    <w:rsid w:val="00C555CA"/>
    <w:rsid w:val="00C672D4"/>
    <w:rsid w:val="00CB087D"/>
    <w:rsid w:val="00D21829"/>
    <w:rsid w:val="00D650F9"/>
    <w:rsid w:val="00D729C6"/>
    <w:rsid w:val="00E0758E"/>
    <w:rsid w:val="00E20A01"/>
    <w:rsid w:val="00E27348"/>
    <w:rsid w:val="00E31F67"/>
    <w:rsid w:val="00E70519"/>
    <w:rsid w:val="00E825EA"/>
    <w:rsid w:val="00E96A4A"/>
    <w:rsid w:val="00E97DA0"/>
    <w:rsid w:val="00F2062C"/>
    <w:rsid w:val="00F466DB"/>
    <w:rsid w:val="00F83441"/>
    <w:rsid w:val="00FD1568"/>
    <w:rsid w:val="00FE4DC1"/>
    <w:rsid w:val="00FF5C7F"/>
    <w:rsid w:val="02D505B0"/>
    <w:rsid w:val="08646E76"/>
    <w:rsid w:val="0D6945E7"/>
    <w:rsid w:val="11A2456B"/>
    <w:rsid w:val="14DF69A7"/>
    <w:rsid w:val="153876C0"/>
    <w:rsid w:val="19F67CCD"/>
    <w:rsid w:val="1A5B79AD"/>
    <w:rsid w:val="1CC41839"/>
    <w:rsid w:val="26FD2518"/>
    <w:rsid w:val="28BC3D0D"/>
    <w:rsid w:val="2E7377A5"/>
    <w:rsid w:val="2FED0C50"/>
    <w:rsid w:val="333C7F24"/>
    <w:rsid w:val="3D2959BD"/>
    <w:rsid w:val="428B7752"/>
    <w:rsid w:val="43B27D8E"/>
    <w:rsid w:val="442E1B0B"/>
    <w:rsid w:val="444924A1"/>
    <w:rsid w:val="44B244EA"/>
    <w:rsid w:val="46A9668B"/>
    <w:rsid w:val="48A51C70"/>
    <w:rsid w:val="49FB423D"/>
    <w:rsid w:val="4A895CED"/>
    <w:rsid w:val="4DFB79A4"/>
    <w:rsid w:val="4F7E70A0"/>
    <w:rsid w:val="509E1584"/>
    <w:rsid w:val="514364CA"/>
    <w:rsid w:val="52D84E19"/>
    <w:rsid w:val="54D23DEC"/>
    <w:rsid w:val="55C73B6D"/>
    <w:rsid w:val="56026953"/>
    <w:rsid w:val="571D27FC"/>
    <w:rsid w:val="57A852D8"/>
    <w:rsid w:val="58647451"/>
    <w:rsid w:val="587A0A23"/>
    <w:rsid w:val="5AAF6E31"/>
    <w:rsid w:val="5BA11E35"/>
    <w:rsid w:val="5BCD355F"/>
    <w:rsid w:val="5BFB6F02"/>
    <w:rsid w:val="5D121B72"/>
    <w:rsid w:val="63660521"/>
    <w:rsid w:val="653F727C"/>
    <w:rsid w:val="65B37C6A"/>
    <w:rsid w:val="67BB1801"/>
    <w:rsid w:val="68183DB4"/>
    <w:rsid w:val="69C266CE"/>
    <w:rsid w:val="6A4470E3"/>
    <w:rsid w:val="72BB1F0C"/>
    <w:rsid w:val="75B570E6"/>
    <w:rsid w:val="7D342FE7"/>
    <w:rsid w:val="7EB638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99"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12" w:lineRule="auto"/>
      <w:ind w:firstLine="200" w:firstLineChars="200"/>
      <w:jc w:val="both"/>
    </w:pPr>
    <w:rPr>
      <w:rFonts w:ascii="Times New Roman" w:hAnsi="Times New Roman" w:eastAsia="宋体" w:cs="Times New Roman"/>
      <w:kern w:val="2"/>
      <w:sz w:val="24"/>
      <w:szCs w:val="22"/>
      <w:lang w:val="en-US" w:eastAsia="zh-CN" w:bidi="ar-SA"/>
    </w:rPr>
  </w:style>
  <w:style w:type="paragraph" w:styleId="3">
    <w:name w:val="heading 1"/>
    <w:basedOn w:val="1"/>
    <w:next w:val="1"/>
    <w:autoRedefine/>
    <w:qFormat/>
    <w:uiPriority w:val="0"/>
    <w:pPr>
      <w:keepNext/>
      <w:keepLines/>
      <w:spacing w:before="340" w:after="330" w:line="576" w:lineRule="auto"/>
      <w:outlineLvl w:val="0"/>
    </w:pPr>
    <w:rPr>
      <w:rFonts w:eastAsia="黑体"/>
      <w:kern w:val="44"/>
      <w:sz w:val="32"/>
    </w:rPr>
  </w:style>
  <w:style w:type="paragraph" w:styleId="4">
    <w:name w:val="heading 2"/>
    <w:basedOn w:val="1"/>
    <w:next w:val="1"/>
    <w:link w:val="28"/>
    <w:autoRedefine/>
    <w:qFormat/>
    <w:uiPriority w:val="0"/>
    <w:pPr>
      <w:keepNext/>
      <w:keepLines/>
      <w:ind w:firstLine="0" w:firstLineChars="0"/>
      <w:jc w:val="center"/>
      <w:outlineLvl w:val="1"/>
    </w:pPr>
    <w:rPr>
      <w:rFonts w:ascii="Calibri Light" w:hAnsi="Calibri Light"/>
      <w:b/>
      <w:bCs/>
      <w:kern w:val="0"/>
      <w:sz w:val="36"/>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autoRedefine/>
    <w:qFormat/>
    <w:uiPriority w:val="0"/>
    <w:pPr>
      <w:spacing w:line="240" w:lineRule="auto"/>
      <w:ind w:firstLine="420" w:firstLineChars="0"/>
    </w:pPr>
    <w:rPr>
      <w:sz w:val="21"/>
      <w:szCs w:val="21"/>
    </w:rPr>
  </w:style>
  <w:style w:type="paragraph" w:styleId="5">
    <w:name w:val="annotation text"/>
    <w:basedOn w:val="1"/>
    <w:link w:val="29"/>
    <w:qFormat/>
    <w:uiPriority w:val="0"/>
    <w:pPr>
      <w:jc w:val="left"/>
    </w:pPr>
  </w:style>
  <w:style w:type="paragraph" w:styleId="6">
    <w:name w:val="Body Text"/>
    <w:basedOn w:val="1"/>
    <w:autoRedefine/>
    <w:qFormat/>
    <w:uiPriority w:val="0"/>
    <w:rPr>
      <w:rFonts w:eastAsia="黑体"/>
      <w:sz w:val="36"/>
      <w:szCs w:val="24"/>
    </w:rPr>
  </w:style>
  <w:style w:type="paragraph" w:styleId="7">
    <w:name w:val="Plain Text"/>
    <w:basedOn w:val="1"/>
    <w:link w:val="30"/>
    <w:autoRedefine/>
    <w:qFormat/>
    <w:uiPriority w:val="0"/>
    <w:pPr>
      <w:spacing w:line="240" w:lineRule="auto"/>
      <w:ind w:firstLine="0" w:firstLineChars="0"/>
    </w:pPr>
    <w:rPr>
      <w:rFonts w:ascii="宋体" w:hAnsi="Courier New" w:cs="Courier New"/>
      <w:sz w:val="21"/>
      <w:szCs w:val="21"/>
    </w:rPr>
  </w:style>
  <w:style w:type="paragraph" w:styleId="8">
    <w:name w:val="Date"/>
    <w:basedOn w:val="1"/>
    <w:next w:val="1"/>
    <w:link w:val="31"/>
    <w:autoRedefine/>
    <w:qFormat/>
    <w:uiPriority w:val="0"/>
    <w:pPr>
      <w:ind w:left="100" w:leftChars="2500"/>
    </w:pPr>
  </w:style>
  <w:style w:type="paragraph" w:styleId="9">
    <w:name w:val="Body Text Indent 2"/>
    <w:basedOn w:val="1"/>
    <w:autoRedefine/>
    <w:qFormat/>
    <w:uiPriority w:val="0"/>
    <w:pPr>
      <w:spacing w:after="120" w:line="480" w:lineRule="auto"/>
      <w:ind w:left="420" w:leftChars="200" w:firstLine="0" w:firstLineChars="0"/>
    </w:pPr>
    <w:rPr>
      <w:sz w:val="21"/>
      <w:szCs w:val="21"/>
    </w:rPr>
  </w:style>
  <w:style w:type="paragraph" w:styleId="10">
    <w:name w:val="Balloon Text"/>
    <w:basedOn w:val="1"/>
    <w:autoRedefine/>
    <w:qFormat/>
    <w:uiPriority w:val="0"/>
    <w:rPr>
      <w:sz w:val="18"/>
      <w:szCs w:val="18"/>
    </w:rPr>
  </w:style>
  <w:style w:type="paragraph" w:styleId="11">
    <w:name w:val="footer"/>
    <w:basedOn w:val="1"/>
    <w:link w:val="32"/>
    <w:autoRedefine/>
    <w:qFormat/>
    <w:uiPriority w:val="99"/>
    <w:pPr>
      <w:tabs>
        <w:tab w:val="center" w:pos="4153"/>
        <w:tab w:val="right" w:pos="8306"/>
      </w:tabs>
      <w:ind w:firstLine="0" w:firstLineChars="0"/>
      <w:jc w:val="left"/>
    </w:pPr>
    <w:rPr>
      <w:sz w:val="18"/>
      <w:szCs w:val="18"/>
    </w:rPr>
  </w:style>
  <w:style w:type="paragraph" w:styleId="12">
    <w:name w:val="header"/>
    <w:basedOn w:val="1"/>
    <w:autoRedefine/>
    <w:qFormat/>
    <w:uiPriority w:val="0"/>
    <w:pPr>
      <w:pBdr>
        <w:bottom w:val="single" w:color="auto" w:sz="6" w:space="1"/>
      </w:pBdr>
      <w:tabs>
        <w:tab w:val="center" w:pos="4153"/>
        <w:tab w:val="right" w:pos="8306"/>
      </w:tabs>
      <w:ind w:firstLine="0" w:firstLineChars="0"/>
      <w:jc w:val="center"/>
    </w:pPr>
    <w:rPr>
      <w:sz w:val="18"/>
      <w:szCs w:val="18"/>
    </w:rPr>
  </w:style>
  <w:style w:type="paragraph" w:styleId="13">
    <w:name w:val="toc 1"/>
    <w:basedOn w:val="1"/>
    <w:next w:val="1"/>
    <w:autoRedefine/>
    <w:qFormat/>
    <w:uiPriority w:val="0"/>
  </w:style>
  <w:style w:type="paragraph" w:styleId="14">
    <w:name w:val="footnote text"/>
    <w:basedOn w:val="1"/>
    <w:autoRedefine/>
    <w:qFormat/>
    <w:uiPriority w:val="0"/>
    <w:pPr>
      <w:snapToGrid w:val="0"/>
      <w:jc w:val="left"/>
    </w:pPr>
    <w:rPr>
      <w:sz w:val="18"/>
    </w:rPr>
  </w:style>
  <w:style w:type="paragraph" w:styleId="15">
    <w:name w:val="index 9"/>
    <w:basedOn w:val="1"/>
    <w:next w:val="1"/>
    <w:autoRedefine/>
    <w:qFormat/>
    <w:uiPriority w:val="99"/>
    <w:pPr>
      <w:ind w:left="1600" w:leftChars="1600"/>
    </w:pPr>
  </w:style>
  <w:style w:type="paragraph" w:styleId="16">
    <w:name w:val="toc 2"/>
    <w:basedOn w:val="1"/>
    <w:next w:val="1"/>
    <w:autoRedefine/>
    <w:qFormat/>
    <w:uiPriority w:val="0"/>
    <w:pPr>
      <w:ind w:left="420" w:leftChars="200"/>
    </w:pPr>
  </w:style>
  <w:style w:type="paragraph" w:styleId="17">
    <w:name w:val="Normal (Web)"/>
    <w:basedOn w:val="1"/>
    <w:autoRedefine/>
    <w:qFormat/>
    <w:uiPriority w:val="0"/>
    <w:pPr>
      <w:widowControl/>
      <w:spacing w:before="100" w:beforeAutospacing="1" w:after="100" w:afterAutospacing="1"/>
      <w:jc w:val="left"/>
    </w:pPr>
    <w:rPr>
      <w:rFonts w:ascii="宋体" w:hAnsi="宋体" w:cs="宋体"/>
      <w:kern w:val="0"/>
    </w:rPr>
  </w:style>
  <w:style w:type="paragraph" w:styleId="18">
    <w:name w:val="annotation subject"/>
    <w:basedOn w:val="5"/>
    <w:next w:val="5"/>
    <w:link w:val="33"/>
    <w:autoRedefine/>
    <w:qFormat/>
    <w:uiPriority w:val="0"/>
    <w:rPr>
      <w:b/>
      <w:bCs/>
    </w:rPr>
  </w:style>
  <w:style w:type="table" w:styleId="20">
    <w:name w:val="Table Grid"/>
    <w:basedOn w:val="1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autoRedefine/>
    <w:qFormat/>
    <w:uiPriority w:val="22"/>
    <w:rPr>
      <w:b/>
    </w:rPr>
  </w:style>
  <w:style w:type="character" w:styleId="23">
    <w:name w:val="page number"/>
    <w:basedOn w:val="21"/>
    <w:autoRedefine/>
    <w:qFormat/>
    <w:uiPriority w:val="0"/>
  </w:style>
  <w:style w:type="character" w:styleId="24">
    <w:name w:val="FollowedHyperlink"/>
    <w:autoRedefine/>
    <w:qFormat/>
    <w:uiPriority w:val="99"/>
    <w:rPr>
      <w:color w:val="954F72"/>
      <w:u w:val="single"/>
    </w:rPr>
  </w:style>
  <w:style w:type="character" w:styleId="25">
    <w:name w:val="Hyperlink"/>
    <w:autoRedefine/>
    <w:qFormat/>
    <w:uiPriority w:val="99"/>
    <w:rPr>
      <w:color w:val="0000FF"/>
      <w:u w:val="single"/>
    </w:rPr>
  </w:style>
  <w:style w:type="character" w:styleId="26">
    <w:name w:val="annotation reference"/>
    <w:autoRedefine/>
    <w:qFormat/>
    <w:uiPriority w:val="0"/>
    <w:rPr>
      <w:sz w:val="21"/>
      <w:szCs w:val="21"/>
    </w:rPr>
  </w:style>
  <w:style w:type="character" w:styleId="27">
    <w:name w:val="footnote reference"/>
    <w:autoRedefine/>
    <w:qFormat/>
    <w:uiPriority w:val="0"/>
    <w:rPr>
      <w:vertAlign w:val="superscript"/>
    </w:rPr>
  </w:style>
  <w:style w:type="character" w:customStyle="1" w:styleId="28">
    <w:name w:val="标题 2 字符"/>
    <w:link w:val="4"/>
    <w:autoRedefine/>
    <w:qFormat/>
    <w:uiPriority w:val="0"/>
    <w:rPr>
      <w:rFonts w:ascii="Calibri Light" w:hAnsi="Calibri Light" w:cs="Times New Roman"/>
      <w:b/>
      <w:bCs/>
      <w:sz w:val="36"/>
      <w:szCs w:val="32"/>
    </w:rPr>
  </w:style>
  <w:style w:type="character" w:customStyle="1" w:styleId="29">
    <w:name w:val="批注文字 字符"/>
    <w:link w:val="5"/>
    <w:autoRedefine/>
    <w:qFormat/>
    <w:uiPriority w:val="0"/>
    <w:rPr>
      <w:rFonts w:ascii="Times New Roman" w:hAnsi="Times New Roman"/>
      <w:kern w:val="2"/>
      <w:sz w:val="24"/>
      <w:szCs w:val="22"/>
    </w:rPr>
  </w:style>
  <w:style w:type="character" w:customStyle="1" w:styleId="30">
    <w:name w:val="纯文本 字符1"/>
    <w:link w:val="7"/>
    <w:autoRedefine/>
    <w:qFormat/>
    <w:uiPriority w:val="0"/>
    <w:rPr>
      <w:rFonts w:ascii="宋体" w:hAnsi="Courier New" w:cs="Courier New"/>
      <w:kern w:val="2"/>
      <w:sz w:val="21"/>
      <w:szCs w:val="21"/>
    </w:rPr>
  </w:style>
  <w:style w:type="character" w:customStyle="1" w:styleId="31">
    <w:name w:val="日期 字符"/>
    <w:link w:val="8"/>
    <w:autoRedefine/>
    <w:qFormat/>
    <w:uiPriority w:val="0"/>
    <w:rPr>
      <w:kern w:val="2"/>
      <w:sz w:val="24"/>
      <w:szCs w:val="22"/>
    </w:rPr>
  </w:style>
  <w:style w:type="character" w:customStyle="1" w:styleId="32">
    <w:name w:val="页脚 字符"/>
    <w:link w:val="11"/>
    <w:autoRedefine/>
    <w:qFormat/>
    <w:uiPriority w:val="99"/>
    <w:rPr>
      <w:kern w:val="2"/>
      <w:sz w:val="18"/>
      <w:szCs w:val="18"/>
    </w:rPr>
  </w:style>
  <w:style w:type="character" w:customStyle="1" w:styleId="33">
    <w:name w:val="批注主题 字符"/>
    <w:basedOn w:val="29"/>
    <w:link w:val="18"/>
    <w:autoRedefine/>
    <w:qFormat/>
    <w:uiPriority w:val="0"/>
    <w:rPr>
      <w:rFonts w:ascii="Times New Roman" w:hAnsi="Times New Roman"/>
      <w:kern w:val="2"/>
      <w:sz w:val="24"/>
      <w:szCs w:val="22"/>
    </w:rPr>
  </w:style>
  <w:style w:type="character" w:customStyle="1" w:styleId="34">
    <w:name w:val="纯文本 字符"/>
    <w:autoRedefine/>
    <w:qFormat/>
    <w:uiPriority w:val="0"/>
    <w:rPr>
      <w:rFonts w:ascii="宋体" w:hAnsi="Courier New" w:cs="Courier New"/>
      <w:kern w:val="2"/>
      <w:sz w:val="21"/>
      <w:szCs w:val="21"/>
    </w:rPr>
  </w:style>
  <w:style w:type="paragraph" w:customStyle="1" w:styleId="35">
    <w:name w:val="xl69"/>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line="240" w:lineRule="auto"/>
      <w:ind w:firstLine="0" w:firstLineChars="0"/>
      <w:jc w:val="center"/>
      <w:textAlignment w:val="center"/>
    </w:pPr>
    <w:rPr>
      <w:rFonts w:ascii="宋体" w:hAnsi="宋体" w:cs="宋体"/>
      <w:kern w:val="0"/>
      <w:sz w:val="18"/>
      <w:szCs w:val="18"/>
    </w:rPr>
  </w:style>
  <w:style w:type="paragraph" w:customStyle="1" w:styleId="36">
    <w:name w:val="xl6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宋体" w:hAnsi="宋体" w:cs="宋体"/>
      <w:kern w:val="0"/>
      <w:sz w:val="18"/>
      <w:szCs w:val="18"/>
    </w:rPr>
  </w:style>
  <w:style w:type="paragraph" w:customStyle="1" w:styleId="37">
    <w:name w:val="font5"/>
    <w:basedOn w:val="1"/>
    <w:autoRedefine/>
    <w:qFormat/>
    <w:uiPriority w:val="0"/>
    <w:pPr>
      <w:widowControl/>
      <w:spacing w:before="100" w:beforeAutospacing="1" w:after="100" w:afterAutospacing="1" w:line="240" w:lineRule="auto"/>
      <w:ind w:firstLine="0" w:firstLineChars="0"/>
      <w:jc w:val="left"/>
    </w:pPr>
    <w:rPr>
      <w:rFonts w:ascii="宋体" w:hAnsi="宋体" w:cs="宋体"/>
      <w:kern w:val="0"/>
      <w:sz w:val="18"/>
      <w:szCs w:val="18"/>
    </w:rPr>
  </w:style>
  <w:style w:type="paragraph" w:customStyle="1" w:styleId="38">
    <w:name w:val="xl74"/>
    <w:basedOn w:val="1"/>
    <w:autoRedefine/>
    <w:qFormat/>
    <w:uiPriority w:val="0"/>
    <w:pPr>
      <w:widowControl/>
      <w:spacing w:before="100" w:beforeAutospacing="1" w:after="100" w:afterAutospacing="1" w:line="240" w:lineRule="auto"/>
      <w:ind w:firstLine="0" w:firstLineChars="0"/>
      <w:jc w:val="left"/>
    </w:pPr>
    <w:rPr>
      <w:rFonts w:ascii="宋体" w:hAnsi="宋体" w:cs="宋体"/>
      <w:kern w:val="0"/>
      <w:sz w:val="20"/>
      <w:szCs w:val="20"/>
    </w:rPr>
  </w:style>
  <w:style w:type="paragraph" w:customStyle="1" w:styleId="39">
    <w:name w:val="无缩进"/>
    <w:basedOn w:val="1"/>
    <w:autoRedefine/>
    <w:qFormat/>
    <w:uiPriority w:val="0"/>
    <w:pPr>
      <w:ind w:firstLine="0" w:firstLineChars="0"/>
    </w:pPr>
  </w:style>
  <w:style w:type="paragraph" w:customStyle="1" w:styleId="40">
    <w:name w:val="列出段落2"/>
    <w:basedOn w:val="1"/>
    <w:autoRedefine/>
    <w:qFormat/>
    <w:uiPriority w:val="0"/>
    <w:pPr>
      <w:ind w:firstLine="420"/>
    </w:pPr>
  </w:style>
  <w:style w:type="paragraph" w:styleId="41">
    <w:name w:val="List Paragraph"/>
    <w:basedOn w:val="1"/>
    <w:autoRedefine/>
    <w:qFormat/>
    <w:uiPriority w:val="99"/>
    <w:pPr>
      <w:ind w:firstLine="420"/>
    </w:pPr>
  </w:style>
  <w:style w:type="paragraph" w:customStyle="1" w:styleId="42">
    <w:name w:val="xl6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宋体" w:hAnsi="宋体" w:cs="宋体"/>
      <w:kern w:val="0"/>
      <w:sz w:val="18"/>
      <w:szCs w:val="18"/>
    </w:rPr>
  </w:style>
  <w:style w:type="paragraph" w:customStyle="1" w:styleId="43">
    <w:name w:val="xl7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宋体" w:hAnsi="宋体" w:cs="宋体"/>
      <w:kern w:val="0"/>
      <w:sz w:val="18"/>
      <w:szCs w:val="18"/>
    </w:rPr>
  </w:style>
  <w:style w:type="paragraph" w:customStyle="1" w:styleId="44">
    <w:name w:val="表格"/>
    <w:basedOn w:val="1"/>
    <w:autoRedefine/>
    <w:qFormat/>
    <w:uiPriority w:val="0"/>
    <w:pPr>
      <w:spacing w:line="240" w:lineRule="auto"/>
      <w:ind w:firstLine="0" w:firstLineChars="0"/>
      <w:jc w:val="center"/>
    </w:pPr>
    <w:rPr>
      <w:rFonts w:ascii="Verdana" w:hAnsi="Verdana" w:eastAsia="仿宋_GB2312" w:cs="Verdana"/>
      <w:kern w:val="0"/>
      <w:sz w:val="21"/>
      <w:szCs w:val="21"/>
      <w:lang w:eastAsia="en-US"/>
    </w:rPr>
  </w:style>
  <w:style w:type="paragraph" w:customStyle="1" w:styleId="45">
    <w:name w:val="xl71"/>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宋体" w:hAnsi="宋体" w:cs="宋体"/>
      <w:kern w:val="0"/>
      <w:sz w:val="18"/>
      <w:szCs w:val="18"/>
    </w:rPr>
  </w:style>
  <w:style w:type="paragraph" w:customStyle="1" w:styleId="46">
    <w:name w:val="xl76"/>
    <w:basedOn w:val="1"/>
    <w:autoRedefine/>
    <w:qFormat/>
    <w:uiPriority w:val="0"/>
    <w:pPr>
      <w:widowControl/>
      <w:spacing w:before="100" w:beforeAutospacing="1" w:after="100" w:afterAutospacing="1" w:line="240" w:lineRule="auto"/>
      <w:ind w:firstLine="0" w:firstLineChars="0"/>
      <w:jc w:val="left"/>
    </w:pPr>
    <w:rPr>
      <w:rFonts w:ascii="宋体" w:hAnsi="宋体" w:cs="宋体"/>
      <w:kern w:val="0"/>
      <w:sz w:val="18"/>
      <w:szCs w:val="18"/>
    </w:rPr>
  </w:style>
  <w:style w:type="paragraph" w:customStyle="1" w:styleId="47">
    <w:name w:val="WPSOffice手动目录 1"/>
    <w:autoRedefine/>
    <w:qFormat/>
    <w:uiPriority w:val="0"/>
    <w:rPr>
      <w:rFonts w:ascii="Times New Roman" w:hAnsi="Times New Roman" w:eastAsia="宋体" w:cs="Times New Roman"/>
      <w:lang w:val="en-US" w:eastAsia="zh-CN" w:bidi="ar-SA"/>
    </w:rPr>
  </w:style>
  <w:style w:type="paragraph" w:customStyle="1" w:styleId="48">
    <w:name w:val="xl72"/>
    <w:basedOn w:val="1"/>
    <w:autoRedefine/>
    <w:qFormat/>
    <w:uiPriority w:val="0"/>
    <w:pPr>
      <w:widowControl/>
      <w:spacing w:before="100" w:beforeAutospacing="1" w:after="100" w:afterAutospacing="1" w:line="240" w:lineRule="auto"/>
      <w:ind w:firstLine="0" w:firstLineChars="0"/>
      <w:jc w:val="left"/>
    </w:pPr>
    <w:rPr>
      <w:rFonts w:ascii="宋体" w:hAnsi="宋体" w:cs="宋体"/>
      <w:kern w:val="0"/>
      <w:szCs w:val="24"/>
    </w:rPr>
  </w:style>
  <w:style w:type="paragraph" w:customStyle="1" w:styleId="49">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50">
    <w:name w:val="xl7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宋体" w:hAnsi="宋体" w:cs="宋体"/>
      <w:b/>
      <w:bCs/>
      <w:kern w:val="0"/>
      <w:sz w:val="20"/>
      <w:szCs w:val="20"/>
    </w:rPr>
  </w:style>
  <w:style w:type="paragraph" w:customStyle="1" w:styleId="51">
    <w:name w:val="xl70"/>
    <w:basedOn w:val="1"/>
    <w:autoRedefine/>
    <w:qFormat/>
    <w:uiPriority w:val="0"/>
    <w:pPr>
      <w:widowControl/>
      <w:pBdr>
        <w:left w:val="single" w:color="auto" w:sz="4" w:space="0"/>
        <w:right w:val="single" w:color="auto" w:sz="4" w:space="0"/>
      </w:pBdr>
      <w:spacing w:before="100" w:beforeAutospacing="1" w:after="100" w:afterAutospacing="1" w:line="240" w:lineRule="auto"/>
      <w:ind w:firstLine="0" w:firstLineChars="0"/>
      <w:jc w:val="center"/>
      <w:textAlignment w:val="center"/>
    </w:pPr>
    <w:rPr>
      <w:rFonts w:ascii="宋体" w:hAnsi="宋体" w:cs="宋体"/>
      <w:kern w:val="0"/>
      <w:sz w:val="18"/>
      <w:szCs w:val="18"/>
    </w:rPr>
  </w:style>
  <w:style w:type="paragraph" w:customStyle="1" w:styleId="52">
    <w:name w:val="msonormal"/>
    <w:basedOn w:val="1"/>
    <w:autoRedefine/>
    <w:qFormat/>
    <w:uiPriority w:val="0"/>
    <w:pPr>
      <w:widowControl/>
      <w:spacing w:before="100" w:beforeAutospacing="1" w:after="100" w:afterAutospacing="1" w:line="240" w:lineRule="auto"/>
      <w:ind w:firstLine="0" w:firstLineChars="0"/>
      <w:jc w:val="left"/>
    </w:pPr>
    <w:rPr>
      <w:rFonts w:ascii="宋体" w:hAnsi="宋体" w:cs="宋体"/>
      <w:kern w:val="0"/>
      <w:szCs w:val="24"/>
    </w:rPr>
  </w:style>
  <w:style w:type="paragraph" w:customStyle="1" w:styleId="53">
    <w:name w:val="List Paragraph1"/>
    <w:basedOn w:val="1"/>
    <w:autoRedefine/>
    <w:qFormat/>
    <w:uiPriority w:val="34"/>
    <w:pPr>
      <w:ind w:firstLine="420"/>
    </w:pPr>
  </w:style>
  <w:style w:type="paragraph" w:customStyle="1" w:styleId="54">
    <w:name w:val="xl6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宋体" w:hAnsi="宋体" w:cs="宋体"/>
      <w:kern w:val="0"/>
      <w:sz w:val="18"/>
      <w:szCs w:val="18"/>
    </w:rPr>
  </w:style>
  <w:style w:type="paragraph" w:customStyle="1" w:styleId="55">
    <w:name w:val="_Style 18"/>
    <w:basedOn w:val="1"/>
    <w:next w:val="41"/>
    <w:autoRedefine/>
    <w:qFormat/>
    <w:uiPriority w:val="99"/>
    <w:pPr>
      <w:spacing w:line="240" w:lineRule="auto"/>
      <w:ind w:firstLine="420" w:firstLineChars="0"/>
    </w:pPr>
    <w:rPr>
      <w:sz w:val="21"/>
      <w:szCs w:val="24"/>
    </w:rPr>
  </w:style>
  <w:style w:type="character" w:customStyle="1" w:styleId="56">
    <w:name w:val="15"/>
    <w:basedOn w:val="21"/>
    <w:autoRedefine/>
    <w:qFormat/>
    <w:uiPriority w:val="0"/>
    <w:rPr>
      <w:rFonts w:hint="default" w:ascii="Calibri" w:hAnsi="Calibri" w:cs="Calibri"/>
      <w:vertAlign w:val="superscript"/>
    </w:rPr>
  </w:style>
  <w:style w:type="character" w:customStyle="1" w:styleId="57">
    <w:name w:val="font61"/>
    <w:basedOn w:val="21"/>
    <w:autoRedefine/>
    <w:qFormat/>
    <w:uiPriority w:val="0"/>
    <w:rPr>
      <w:rFonts w:hint="default" w:ascii="Calibri" w:hAnsi="Calibri" w:cs="Calibri"/>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http://www.deepbbs.org</Company>
  <Pages>29</Pages>
  <Words>277</Words>
  <Characters>288</Characters>
  <Lines>101</Lines>
  <Paragraphs>28</Paragraphs>
  <TotalTime>580</TotalTime>
  <ScaleCrop>false</ScaleCrop>
  <LinksUpToDate>false</LinksUpToDate>
  <CharactersWithSpaces>332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2021-05-08T04:32:00Z</dcterms:created>
  <dc:creator>Administrator</dc:creator>
  <cp:lastModifiedBy>❤️起点</cp:lastModifiedBy>
  <cp:lastPrinted>2022-05-28T09:03:00Z</cp:lastPrinted>
  <dcterms:modified xsi:type="dcterms:W3CDTF">2025-08-26T01:46:43Z</dcterms:modified>
  <dc:title>北京市市级财政支出项目</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7C0833E88F9D48D78C7BC202C1D285A6_13</vt:lpwstr>
  </property>
  <property fmtid="{D5CDD505-2E9C-101B-9397-08002B2CF9AE}" pid="4" name="KSOTemplateDocerSaveRecord">
    <vt:lpwstr>eyJoZGlkIjoiNWY0YzJlMzdmZDRkNThjYTllMTI1MDcxNDdlMTU2NjAiLCJ1c2VySWQiOiI1Njk4NDExMjMifQ==</vt:lpwstr>
  </property>
</Properties>
</file>