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C00C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44"/>
        </w:rPr>
      </w:pPr>
      <w:r>
        <w:rPr>
          <w:rFonts w:hint="eastAsia" w:ascii="方正小标宋简体" w:eastAsia="方正小标宋简体"/>
          <w:sz w:val="44"/>
          <w:szCs w:val="44"/>
          <w:lang w:val="en-US" w:eastAsia="zh-CN"/>
        </w:rPr>
        <w:t>北</w:t>
      </w:r>
      <w:r>
        <w:rPr>
          <w:rFonts w:ascii="方正小标宋简体" w:eastAsia="方正小标宋简体"/>
          <w:sz w:val="44"/>
          <w:szCs w:val="44"/>
        </w:rPr>
        <w:t>京海外学人中心</w:t>
      </w:r>
      <w:r>
        <w:rPr>
          <w:rFonts w:hint="eastAsia" w:ascii="方正小标宋简体" w:eastAsia="方正小标宋简体"/>
          <w:sz w:val="44"/>
          <w:szCs w:val="44"/>
        </w:rPr>
        <w:t>2</w:t>
      </w:r>
      <w:r>
        <w:rPr>
          <w:rFonts w:ascii="方正小标宋简体" w:eastAsia="方正小标宋简体"/>
          <w:sz w:val="44"/>
          <w:szCs w:val="44"/>
        </w:rPr>
        <w:t>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w:t>
      </w:r>
    </w:p>
    <w:p w14:paraId="0886EAA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44"/>
        </w:rPr>
      </w:pPr>
      <w:r>
        <w:rPr>
          <w:rFonts w:hint="eastAsia" w:ascii="方正小标宋简体" w:eastAsia="方正小标宋简体"/>
          <w:sz w:val="44"/>
          <w:szCs w:val="44"/>
          <w:lang w:val="en-US" w:eastAsia="zh-CN"/>
        </w:rPr>
        <w:t>海创扶持资金项目</w:t>
      </w:r>
      <w:r>
        <w:rPr>
          <w:rFonts w:hint="eastAsia" w:ascii="方正小标宋简体" w:eastAsia="方正小标宋简体"/>
          <w:sz w:val="44"/>
          <w:szCs w:val="44"/>
        </w:rPr>
        <w:t>绩效评价报告</w:t>
      </w:r>
    </w:p>
    <w:p w14:paraId="3EDD70C1">
      <w:pPr>
        <w:spacing w:line="560" w:lineRule="exact"/>
        <w:ind w:firstLine="880" w:firstLineChars="200"/>
        <w:jc w:val="center"/>
        <w:rPr>
          <w:rFonts w:ascii="方正小标宋简体" w:eastAsia="方正小标宋简体"/>
          <w:sz w:val="44"/>
          <w:szCs w:val="44"/>
        </w:rPr>
      </w:pPr>
    </w:p>
    <w:p w14:paraId="0830DA7B">
      <w:pPr>
        <w:spacing w:line="560" w:lineRule="exact"/>
        <w:ind w:firstLine="640" w:firstLineChars="200"/>
        <w:rPr>
          <w:rFonts w:ascii="仿宋_GB2312" w:hAnsi="黑体" w:eastAsia="仿宋_GB2312" w:cs="黑体"/>
          <w:sz w:val="32"/>
          <w:szCs w:val="32"/>
        </w:rPr>
      </w:pPr>
      <w:r>
        <w:rPr>
          <w:rFonts w:hint="eastAsia" w:ascii="仿宋_GB2312" w:hAnsi="仿宋" w:eastAsia="仿宋_GB2312" w:cs="仿宋"/>
          <w:bCs/>
          <w:kern w:val="44"/>
          <w:sz w:val="32"/>
          <w:szCs w:val="32"/>
        </w:rPr>
        <w:t>为进一步加强预算绩效管理，增强支出责任和成本效益意识，提高财政资金使用效益，根据《北京市项目支出绩效评价管理办法》（京财绩效〔2020〕2146号）</w:t>
      </w:r>
      <w:r>
        <w:rPr>
          <w:rFonts w:hint="eastAsia" w:ascii="仿宋_GB2312" w:hAnsi="仿宋" w:eastAsia="仿宋_GB2312" w:cs="仿宋"/>
          <w:bCs/>
          <w:kern w:val="44"/>
          <w:sz w:val="32"/>
          <w:szCs w:val="32"/>
          <w:highlight w:val="none"/>
        </w:rPr>
        <w:t>和《北京市财政局关于</w:t>
      </w:r>
      <w:r>
        <w:rPr>
          <w:rFonts w:hint="eastAsia" w:ascii="仿宋_GB2312" w:hAnsi="仿宋" w:eastAsia="仿宋_GB2312" w:cs="仿宋"/>
          <w:bCs/>
          <w:kern w:val="44"/>
          <w:sz w:val="32"/>
          <w:szCs w:val="32"/>
          <w:highlight w:val="none"/>
          <w:lang w:eastAsia="zh-CN"/>
        </w:rPr>
        <w:t>202</w:t>
      </w:r>
      <w:r>
        <w:rPr>
          <w:rFonts w:hint="eastAsia" w:ascii="仿宋_GB2312" w:hAnsi="仿宋" w:eastAsia="仿宋_GB2312" w:cs="仿宋"/>
          <w:bCs/>
          <w:kern w:val="44"/>
          <w:sz w:val="32"/>
          <w:szCs w:val="32"/>
          <w:highlight w:val="none"/>
          <w:lang w:val="en-US" w:eastAsia="zh-CN"/>
        </w:rPr>
        <w:t>5</w:t>
      </w:r>
      <w:r>
        <w:rPr>
          <w:rFonts w:hint="eastAsia" w:ascii="仿宋_GB2312" w:hAnsi="仿宋" w:eastAsia="仿宋_GB2312" w:cs="仿宋"/>
          <w:bCs/>
          <w:kern w:val="44"/>
          <w:sz w:val="32"/>
          <w:szCs w:val="32"/>
          <w:highlight w:val="none"/>
          <w:lang w:eastAsia="zh-CN"/>
        </w:rPr>
        <w:t>年</w:t>
      </w:r>
      <w:r>
        <w:rPr>
          <w:rFonts w:hint="eastAsia" w:ascii="仿宋_GB2312" w:hAnsi="仿宋" w:eastAsia="仿宋_GB2312" w:cs="仿宋"/>
          <w:bCs/>
          <w:kern w:val="44"/>
          <w:sz w:val="32"/>
          <w:szCs w:val="32"/>
          <w:highlight w:val="none"/>
        </w:rPr>
        <w:t>预算绩效管理</w:t>
      </w:r>
      <w:r>
        <w:rPr>
          <w:rFonts w:hint="eastAsia" w:ascii="仿宋_GB2312" w:hAnsi="仿宋" w:eastAsia="仿宋_GB2312" w:cs="仿宋"/>
          <w:bCs/>
          <w:kern w:val="44"/>
          <w:sz w:val="32"/>
          <w:szCs w:val="32"/>
          <w:highlight w:val="none"/>
          <w:lang w:val="en-US" w:eastAsia="zh-CN"/>
        </w:rPr>
        <w:t>工作</w:t>
      </w:r>
      <w:r>
        <w:rPr>
          <w:rFonts w:hint="eastAsia" w:ascii="仿宋_GB2312" w:hAnsi="仿宋" w:eastAsia="仿宋_GB2312" w:cs="仿宋"/>
          <w:bCs/>
          <w:kern w:val="44"/>
          <w:sz w:val="32"/>
          <w:szCs w:val="32"/>
          <w:highlight w:val="none"/>
        </w:rPr>
        <w:t>的通知》</w:t>
      </w:r>
      <w:r>
        <w:rPr>
          <w:rFonts w:hint="eastAsia" w:ascii="仿宋_GB2312" w:hAnsi="仿宋" w:eastAsia="仿宋_GB2312" w:cs="仿宋"/>
          <w:bCs/>
          <w:kern w:val="44"/>
          <w:sz w:val="32"/>
          <w:szCs w:val="32"/>
        </w:rPr>
        <w:t>等文件规定，北京海外学人中心成立绩效评价工作组，对2</w:t>
      </w:r>
      <w:r>
        <w:rPr>
          <w:rFonts w:ascii="仿宋_GB2312" w:hAnsi="仿宋" w:eastAsia="仿宋_GB2312" w:cs="仿宋"/>
          <w:bCs/>
          <w:kern w:val="44"/>
          <w:sz w:val="32"/>
          <w:szCs w:val="32"/>
        </w:rPr>
        <w:t>02</w:t>
      </w:r>
      <w:r>
        <w:rPr>
          <w:rFonts w:hint="eastAsia" w:ascii="仿宋_GB2312" w:hAnsi="仿宋" w:eastAsia="仿宋_GB2312" w:cs="仿宋"/>
          <w:bCs/>
          <w:kern w:val="44"/>
          <w:sz w:val="32"/>
          <w:szCs w:val="32"/>
          <w:lang w:val="en-US" w:eastAsia="zh-CN"/>
        </w:rPr>
        <w:t>4</w:t>
      </w:r>
      <w:r>
        <w:rPr>
          <w:rFonts w:hint="eastAsia" w:ascii="仿宋_GB2312" w:hAnsi="仿宋" w:eastAsia="仿宋_GB2312" w:cs="仿宋"/>
          <w:bCs/>
          <w:kern w:val="44"/>
          <w:sz w:val="32"/>
          <w:szCs w:val="32"/>
        </w:rPr>
        <w:t>年</w:t>
      </w:r>
      <w:r>
        <w:rPr>
          <w:rFonts w:hint="eastAsia" w:ascii="仿宋_GB2312" w:hAnsi="仿宋" w:eastAsia="仿宋_GB2312" w:cs="仿宋"/>
          <w:bCs/>
          <w:kern w:val="44"/>
          <w:sz w:val="32"/>
          <w:szCs w:val="32"/>
          <w:lang w:val="en-US" w:eastAsia="zh-CN"/>
        </w:rPr>
        <w:t>海创扶持资金</w:t>
      </w:r>
      <w:r>
        <w:rPr>
          <w:rFonts w:hint="eastAsia" w:ascii="仿宋_GB2312" w:hAnsi="仿宋" w:eastAsia="仿宋_GB2312" w:cs="仿宋"/>
          <w:bCs/>
          <w:kern w:val="44"/>
          <w:sz w:val="32"/>
          <w:szCs w:val="32"/>
        </w:rPr>
        <w:t>项目（以下简称“该项目”）实施绩效评价，形成本绩效评价报告。</w:t>
      </w:r>
    </w:p>
    <w:p w14:paraId="4A7FC92D">
      <w:pPr>
        <w:spacing w:line="560" w:lineRule="exact"/>
        <w:ind w:firstLine="643" w:firstLineChars="200"/>
        <w:rPr>
          <w:rFonts w:ascii="黑体" w:hAnsi="黑体" w:eastAsia="黑体" w:cs="黑体"/>
          <w:b/>
          <w:sz w:val="32"/>
          <w:szCs w:val="32"/>
        </w:rPr>
      </w:pPr>
      <w:r>
        <w:rPr>
          <w:rFonts w:hint="eastAsia" w:ascii="黑体" w:hAnsi="黑体" w:eastAsia="黑体" w:cs="黑体"/>
          <w:b/>
          <w:sz w:val="32"/>
          <w:szCs w:val="32"/>
        </w:rPr>
        <w:t>一、基本情况</w:t>
      </w:r>
    </w:p>
    <w:p w14:paraId="6491E38A">
      <w:pPr>
        <w:spacing w:line="56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（一）项目概况</w:t>
      </w:r>
    </w:p>
    <w:p w14:paraId="4A15EECA">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 xml:space="preserve">1.项目背景 </w:t>
      </w:r>
    </w:p>
    <w:p w14:paraId="04A6E650">
      <w:pPr>
        <w:spacing w:line="560" w:lineRule="exact"/>
        <w:ind w:firstLine="640" w:firstLineChars="200"/>
        <w:outlineLvl w:val="0"/>
        <w:rPr>
          <w:rFonts w:ascii="仿宋_GB2312" w:hAnsi="仿宋" w:eastAsia="仿宋_GB2312"/>
          <w:bCs/>
          <w:color w:val="0000FF"/>
          <w:sz w:val="32"/>
          <w:szCs w:val="32"/>
          <w:highlight w:val="cyan"/>
        </w:rPr>
      </w:pPr>
      <w:r>
        <w:rPr>
          <w:rFonts w:hint="eastAsia" w:ascii="仿宋_GB2312" w:hAnsi="仿宋_GB2312" w:eastAsia="仿宋_GB2312" w:cs="仿宋_GB2312"/>
          <w:sz w:val="32"/>
          <w:szCs w:val="32"/>
        </w:rPr>
        <w:t>2020年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促进海外人才来京创业创新，</w:t>
      </w:r>
      <w:r>
        <w:rPr>
          <w:rFonts w:hint="eastAsia" w:ascii="仿宋_GB2312" w:hAnsi="仿宋_GB2312" w:eastAsia="仿宋_GB2312" w:cs="仿宋_GB2312"/>
          <w:sz w:val="32"/>
          <w:szCs w:val="32"/>
          <w:lang w:val="en-US" w:eastAsia="zh-CN"/>
        </w:rPr>
        <w:t>支持</w:t>
      </w:r>
      <w:r>
        <w:rPr>
          <w:rFonts w:hint="eastAsia" w:ascii="仿宋_GB2312" w:hAnsi="仿宋_GB2312" w:eastAsia="仿宋_GB2312" w:cs="仿宋_GB2312"/>
          <w:sz w:val="32"/>
          <w:szCs w:val="32"/>
        </w:rPr>
        <w:t>HICOOL</w:t>
      </w:r>
      <w:r>
        <w:rPr>
          <w:rFonts w:hint="eastAsia" w:ascii="仿宋_GB2312" w:hAnsi="仿宋_GB2312" w:eastAsia="仿宋_GB2312" w:cs="仿宋_GB2312"/>
          <w:sz w:val="32"/>
          <w:szCs w:val="32"/>
          <w:lang w:val="en-US" w:eastAsia="zh-CN"/>
        </w:rPr>
        <w:t>全球创业大赛举办，根据</w:t>
      </w:r>
      <w:r>
        <w:rPr>
          <w:rFonts w:hint="eastAsia" w:ascii="仿宋_GB2312" w:hAnsi="仿宋_GB2312" w:eastAsia="仿宋_GB2312" w:cs="仿宋_GB2312"/>
          <w:kern w:val="0"/>
          <w:sz w:val="32"/>
          <w:szCs w:val="32"/>
        </w:rPr>
        <w:t>市</w:t>
      </w:r>
      <w:r>
        <w:rPr>
          <w:rFonts w:hint="eastAsia" w:ascii="仿宋_GB2312" w:hAnsi="仿宋_GB2312" w:eastAsia="仿宋_GB2312" w:cs="仿宋_GB2312"/>
          <w:kern w:val="0"/>
          <w:sz w:val="32"/>
          <w:szCs w:val="32"/>
          <w:lang w:val="en-US" w:eastAsia="zh-CN"/>
        </w:rPr>
        <w:t>委有关规定和</w:t>
      </w:r>
      <w:r>
        <w:rPr>
          <w:rFonts w:hint="eastAsia" w:ascii="仿宋_GB2312" w:hAnsi="仿宋_GB2312" w:eastAsia="仿宋_GB2312" w:cs="仿宋_GB2312"/>
          <w:kern w:val="0"/>
          <w:sz w:val="32"/>
          <w:szCs w:val="32"/>
        </w:rPr>
        <w:t>通知要求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设立海创扶持资金项目，</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资金用于发放HICOOL</w:t>
      </w:r>
      <w:r>
        <w:rPr>
          <w:rFonts w:hint="eastAsia" w:ascii="仿宋_GB2312" w:hAnsi="仿宋_GB2312" w:eastAsia="仿宋_GB2312" w:cs="仿宋_GB2312"/>
          <w:sz w:val="32"/>
          <w:szCs w:val="32"/>
          <w:lang w:val="en-US" w:eastAsia="zh-CN"/>
        </w:rPr>
        <w:t>全球创业大赛</w:t>
      </w:r>
      <w:r>
        <w:rPr>
          <w:rFonts w:hint="eastAsia" w:ascii="仿宋_GB2312" w:hAnsi="仿宋_GB2312" w:eastAsia="仿宋_GB2312" w:cs="仿宋_GB2312"/>
          <w:sz w:val="32"/>
          <w:szCs w:val="32"/>
        </w:rPr>
        <w:t>“优胜奖”奖励</w:t>
      </w:r>
      <w:r>
        <w:rPr>
          <w:rFonts w:hint="eastAsia" w:ascii="仿宋_GB2312" w:hAnsi="黑体" w:eastAsia="仿宋_GB2312"/>
          <w:bCs/>
          <w:sz w:val="32"/>
          <w:szCs w:val="32"/>
          <w:lang w:val="en-US" w:eastAsia="zh-CN"/>
        </w:rPr>
        <w:t>。</w:t>
      </w:r>
      <w:r>
        <w:rPr>
          <w:rFonts w:hint="eastAsia" w:ascii="仿宋_GB2312" w:hAnsi="仿宋_GB2312" w:eastAsia="仿宋_GB2312" w:cs="仿宋_GB2312"/>
          <w:sz w:val="32"/>
          <w:szCs w:val="32"/>
        </w:rPr>
        <w:t>HICOOL</w:t>
      </w:r>
      <w:r>
        <w:rPr>
          <w:rFonts w:hint="eastAsia" w:ascii="仿宋_GB2312" w:hAnsi="仿宋_GB2312" w:eastAsia="仿宋_GB2312" w:cs="仿宋_GB2312"/>
          <w:sz w:val="32"/>
          <w:szCs w:val="32"/>
          <w:lang w:val="en-US" w:eastAsia="zh-CN"/>
        </w:rPr>
        <w:t>全球创业大赛是以海内外人才创业大赛为主体的综合性国际人才活动，通过多维度和国际化的创业服务体系，帮助创业者和初创企业在北京落地和发展。</w:t>
      </w:r>
    </w:p>
    <w:p w14:paraId="23DB6BCA">
      <w:pPr>
        <w:numPr>
          <w:ilvl w:val="0"/>
          <w:numId w:val="0"/>
        </w:numPr>
        <w:spacing w:line="560" w:lineRule="exact"/>
        <w:ind w:firstLine="640" w:firstLineChars="200"/>
        <w:outlineLvl w:val="0"/>
        <w:rPr>
          <w:rFonts w:hint="eastAsia"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项目主要内容</w:t>
      </w:r>
    </w:p>
    <w:p w14:paraId="6A7FB250">
      <w:pPr>
        <w:spacing w:line="560" w:lineRule="exact"/>
        <w:ind w:firstLine="640" w:firstLineChars="200"/>
        <w:outlineLvl w:val="0"/>
        <w:rPr>
          <w:rFonts w:hint="default" w:ascii="仿宋_GB2312" w:hAnsi="仿宋" w:eastAsia="仿宋_GB2312"/>
          <w:bCs/>
          <w:sz w:val="32"/>
          <w:szCs w:val="32"/>
          <w:highlight w:val="cyan"/>
          <w:lang w:val="en-US" w:eastAsia="zh-CN"/>
        </w:rPr>
      </w:pPr>
      <w:r>
        <w:rPr>
          <w:rFonts w:hint="eastAsia" w:ascii="仿宋_GB2312" w:hAnsi="仿宋_GB2312" w:eastAsia="仿宋_GB2312" w:cs="仿宋_GB2312"/>
          <w:sz w:val="32"/>
          <w:szCs w:val="32"/>
        </w:rPr>
        <w:t>北京海外学人中心</w:t>
      </w:r>
      <w:r>
        <w:rPr>
          <w:rFonts w:hint="eastAsia" w:ascii="仿宋_GB2312" w:hAnsi="仿宋_GB2312" w:eastAsia="仿宋_GB2312" w:cs="仿宋_GB2312"/>
          <w:sz w:val="32"/>
          <w:szCs w:val="32"/>
          <w:lang w:val="en-US" w:eastAsia="zh-CN"/>
        </w:rPr>
        <w:t>参与</w:t>
      </w:r>
      <w:r>
        <w:rPr>
          <w:rFonts w:hint="eastAsia" w:ascii="仿宋_GB2312" w:hAnsi="仿宋_GB2312" w:eastAsia="仿宋_GB2312" w:cs="仿宋_GB2312"/>
          <w:sz w:val="32"/>
          <w:szCs w:val="32"/>
        </w:rPr>
        <w:t>联合检验组对“优胜奖”获奖项目开展现场</w:t>
      </w:r>
      <w:r>
        <w:rPr>
          <w:rFonts w:hint="eastAsia" w:ascii="仿宋_GB2312" w:hAnsi="仿宋_GB2312" w:eastAsia="仿宋_GB2312" w:cs="仿宋_GB2312"/>
          <w:sz w:val="32"/>
          <w:szCs w:val="32"/>
          <w:lang w:val="en-US" w:eastAsia="zh-CN"/>
        </w:rPr>
        <w:t>核验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依据《HICOOL全球创业大赛优胜奖入选资格名单》《关于发放HICOOL全球创业大赛（海外组）符合条件获奖者政府奖励资金的通知》，按程序向获奖人才所在企业一次性拨付20万元优胜奖奖励资金</w:t>
      </w:r>
      <w:r>
        <w:rPr>
          <w:rFonts w:hint="eastAsia" w:ascii="仿宋_GB2312" w:hAnsi="仿宋" w:eastAsia="仿宋_GB2312"/>
          <w:bCs/>
          <w:sz w:val="32"/>
          <w:szCs w:val="32"/>
          <w:highlight w:val="none"/>
          <w:lang w:val="en-US" w:eastAsia="zh-CN"/>
        </w:rPr>
        <w:t>。</w:t>
      </w:r>
    </w:p>
    <w:p w14:paraId="5E769564">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3.项目资金情况</w:t>
      </w:r>
    </w:p>
    <w:p w14:paraId="3736B655">
      <w:pPr>
        <w:spacing w:line="560" w:lineRule="exact"/>
        <w:ind w:firstLine="640" w:firstLineChars="200"/>
        <w:outlineLvl w:val="0"/>
        <w:rPr>
          <w:rFonts w:ascii="仿宋_GB2312" w:hAnsi="楷体_GB2312" w:eastAsia="仿宋_GB2312" w:cs="楷体_GB2312"/>
          <w:sz w:val="32"/>
          <w:szCs w:val="32"/>
        </w:rPr>
      </w:pPr>
      <w:r>
        <w:rPr>
          <w:rFonts w:hint="eastAsia" w:ascii="仿宋_GB2312" w:hAnsi="黑体" w:eastAsia="仿宋_GB2312"/>
          <w:bCs/>
          <w:sz w:val="32"/>
          <w:szCs w:val="32"/>
        </w:rPr>
        <w:t>该项目年初预算批复金额</w:t>
      </w:r>
      <w:r>
        <w:rPr>
          <w:rFonts w:hint="eastAsia" w:ascii="仿宋_GB2312" w:hAnsi="黑体" w:eastAsia="仿宋_GB2312"/>
          <w:sz w:val="32"/>
          <w:szCs w:val="32"/>
          <w:lang w:val="en-US" w:eastAsia="zh-CN"/>
        </w:rPr>
        <w:t>200</w:t>
      </w:r>
      <w:r>
        <w:rPr>
          <w:rFonts w:hint="eastAsia" w:ascii="仿宋_GB2312" w:hAnsi="黑体" w:eastAsia="仿宋_GB2312"/>
          <w:bCs/>
          <w:sz w:val="32"/>
          <w:szCs w:val="32"/>
        </w:rPr>
        <w:t>万元，资金到位率100%。截至202</w:t>
      </w:r>
      <w:r>
        <w:rPr>
          <w:rFonts w:hint="eastAsia" w:ascii="仿宋_GB2312" w:hAnsi="黑体" w:eastAsia="仿宋_GB2312"/>
          <w:bCs/>
          <w:sz w:val="32"/>
          <w:szCs w:val="32"/>
          <w:lang w:val="en-US" w:eastAsia="zh-CN"/>
        </w:rPr>
        <w:t>4</w:t>
      </w:r>
      <w:r>
        <w:rPr>
          <w:rFonts w:hint="eastAsia" w:ascii="仿宋_GB2312" w:hAnsi="黑体" w:eastAsia="仿宋_GB2312"/>
          <w:bCs/>
          <w:sz w:val="32"/>
          <w:szCs w:val="32"/>
        </w:rPr>
        <w:t>年12月底，项目实际支出金额</w:t>
      </w:r>
      <w:r>
        <w:rPr>
          <w:rFonts w:ascii="仿宋_GB2312" w:hAnsi="黑体" w:eastAsia="仿宋_GB2312"/>
          <w:bCs/>
          <w:sz w:val="32"/>
          <w:szCs w:val="32"/>
        </w:rPr>
        <w:t>2</w:t>
      </w:r>
      <w:r>
        <w:rPr>
          <w:rFonts w:hint="eastAsia" w:ascii="仿宋_GB2312" w:hAnsi="黑体" w:eastAsia="仿宋_GB2312"/>
          <w:bCs/>
          <w:sz w:val="32"/>
          <w:szCs w:val="32"/>
          <w:lang w:val="en-US" w:eastAsia="zh-CN"/>
        </w:rPr>
        <w:t>00</w:t>
      </w:r>
      <w:r>
        <w:rPr>
          <w:rFonts w:hint="eastAsia" w:ascii="仿宋_GB2312" w:hAnsi="黑体" w:eastAsia="仿宋_GB2312"/>
          <w:bCs/>
          <w:sz w:val="32"/>
          <w:szCs w:val="32"/>
        </w:rPr>
        <w:t>万元，项目预算执行率</w:t>
      </w:r>
      <w:r>
        <w:rPr>
          <w:rFonts w:hint="eastAsia" w:ascii="仿宋_GB2312" w:hAnsi="黑体" w:eastAsia="仿宋_GB2312"/>
          <w:bCs/>
          <w:sz w:val="32"/>
          <w:szCs w:val="32"/>
          <w:lang w:val="en-US" w:eastAsia="zh-CN"/>
        </w:rPr>
        <w:t>100</w:t>
      </w:r>
      <w:r>
        <w:rPr>
          <w:rFonts w:hint="eastAsia" w:ascii="仿宋_GB2312" w:hAnsi="黑体" w:eastAsia="仿宋_GB2312"/>
          <w:bCs/>
          <w:sz w:val="32"/>
          <w:szCs w:val="32"/>
        </w:rPr>
        <w:t>%。</w:t>
      </w:r>
    </w:p>
    <w:p w14:paraId="6922463B">
      <w:pPr>
        <w:spacing w:line="560" w:lineRule="exact"/>
        <w:ind w:firstLine="640" w:firstLineChars="200"/>
        <w:outlineLvl w:val="0"/>
        <w:rPr>
          <w:rFonts w:ascii="仿宋_GB2312" w:hAnsi="楷体_GB2312" w:eastAsia="仿宋_GB2312" w:cs="楷体_GB2312"/>
          <w:sz w:val="32"/>
          <w:szCs w:val="32"/>
        </w:rPr>
      </w:pPr>
      <w:r>
        <w:rPr>
          <w:rFonts w:hint="eastAsia" w:ascii="楷体" w:hAnsi="楷体" w:eastAsia="楷体" w:cs="楷体"/>
          <w:sz w:val="32"/>
          <w:szCs w:val="32"/>
        </w:rPr>
        <w:t>（二）项目绩效目标</w:t>
      </w:r>
    </w:p>
    <w:p w14:paraId="6CFBECDE">
      <w:pPr>
        <w:spacing w:line="560" w:lineRule="exact"/>
        <w:ind w:firstLine="640" w:firstLineChars="200"/>
        <w:outlineLvl w:val="0"/>
        <w:rPr>
          <w:rFonts w:ascii="仿宋_GB2312" w:hAnsi="黑体" w:eastAsia="仿宋_GB2312"/>
          <w:bCs/>
          <w:sz w:val="32"/>
          <w:szCs w:val="32"/>
        </w:rPr>
      </w:pPr>
      <w:r>
        <w:rPr>
          <w:rFonts w:hint="eastAsia" w:ascii="仿宋_GB2312" w:hAnsi="黑体" w:eastAsia="仿宋_GB2312"/>
          <w:bCs/>
          <w:sz w:val="32"/>
          <w:szCs w:val="32"/>
        </w:rPr>
        <w:t>该项目总体绩效目标为：</w:t>
      </w:r>
      <w:r>
        <w:rPr>
          <w:rFonts w:hint="eastAsia" w:ascii="仿宋_GB2312" w:hAnsi="仿宋_GB2312" w:eastAsia="仿宋_GB2312" w:cs="仿宋_GB2312"/>
          <w:sz w:val="32"/>
          <w:szCs w:val="32"/>
        </w:rPr>
        <w:t>加大海创扶持工作力度,促进海外人才来京创业创新，培育具有创新能力与国际竞争力的高新技术企业和科技企业家，促进高新技术发展和科技成果产业化。培育一批具有自主知识产权、发展潜力大的优质中小企业，达到相当的数量规模，形成创新创业聚集效应，带动高质量发展</w:t>
      </w:r>
      <w:r>
        <w:rPr>
          <w:rFonts w:hint="eastAsia" w:ascii="仿宋_GB2312" w:hAnsi="仿宋_GB2312" w:eastAsia="仿宋_GB2312" w:cs="仿宋_GB2312"/>
          <w:sz w:val="32"/>
          <w:szCs w:val="32"/>
          <w:lang w:val="en-US" w:eastAsia="zh-CN"/>
        </w:rPr>
        <w:t>方</w:t>
      </w:r>
      <w:r>
        <w:rPr>
          <w:rFonts w:hint="eastAsia" w:ascii="仿宋_GB2312" w:hAnsi="仿宋_GB2312" w:eastAsia="仿宋_GB2312" w:cs="仿宋_GB2312"/>
          <w:sz w:val="32"/>
          <w:szCs w:val="32"/>
        </w:rPr>
        <w:t>面做出卓有成效的贡献。</w:t>
      </w:r>
    </w:p>
    <w:p w14:paraId="45D7733F">
      <w:pPr>
        <w:spacing w:line="560" w:lineRule="exact"/>
        <w:ind w:firstLine="640" w:firstLineChars="200"/>
        <w:outlineLvl w:val="0"/>
        <w:rPr>
          <w:rFonts w:ascii="仿宋_GB2312" w:hAnsi="楷体_GB2312" w:eastAsia="仿宋_GB2312" w:cs="楷体_GB2312"/>
          <w:bCs/>
          <w:sz w:val="32"/>
          <w:szCs w:val="32"/>
        </w:rPr>
      </w:pPr>
      <w:r>
        <w:rPr>
          <w:rFonts w:hint="eastAsia" w:ascii="仿宋_GB2312" w:hAnsi="黑体" w:eastAsia="仿宋_GB2312"/>
          <w:bCs/>
          <w:sz w:val="32"/>
          <w:szCs w:val="32"/>
        </w:rPr>
        <w:t>该项目具体目标设定情况为：数量指标</w:t>
      </w:r>
      <w:r>
        <w:rPr>
          <w:rFonts w:hint="eastAsia" w:ascii="仿宋_GB2312" w:hAnsi="黑体" w:eastAsia="仿宋_GB2312"/>
          <w:bCs/>
          <w:sz w:val="32"/>
          <w:szCs w:val="32"/>
          <w:lang w:eastAsia="zh-CN"/>
        </w:rPr>
        <w:t>：</w:t>
      </w:r>
      <w:r>
        <w:rPr>
          <w:rFonts w:hint="eastAsia" w:ascii="仿宋_GB2312" w:hAnsi="仿宋_GB2312" w:eastAsia="仿宋_GB2312" w:cs="仿宋_GB2312"/>
          <w:kern w:val="0"/>
          <w:sz w:val="32"/>
          <w:szCs w:val="32"/>
        </w:rPr>
        <w:t>扶持海创</w:t>
      </w:r>
      <w:r>
        <w:rPr>
          <w:rFonts w:hint="eastAsia" w:ascii="仿宋_GB2312" w:hAnsi="仿宋_GB2312" w:eastAsia="仿宋_GB2312" w:cs="仿宋_GB2312"/>
          <w:kern w:val="0"/>
          <w:sz w:val="32"/>
          <w:szCs w:val="32"/>
          <w:lang w:val="en-US" w:eastAsia="zh-CN"/>
        </w:rPr>
        <w:t>项目</w:t>
      </w:r>
      <w:r>
        <w:rPr>
          <w:rFonts w:hint="eastAsia" w:ascii="仿宋_GB2312" w:hAnsi="仿宋_GB2312" w:eastAsia="仿宋_GB2312" w:cs="仿宋_GB2312"/>
          <w:kern w:val="0"/>
          <w:sz w:val="32"/>
          <w:szCs w:val="32"/>
        </w:rPr>
        <w:t>数量</w:t>
      </w:r>
      <w:r>
        <w:rPr>
          <w:rFonts w:hint="eastAsia" w:ascii="仿宋_GB2312" w:hAnsi="楷体_GB2312" w:eastAsia="仿宋_GB2312" w:cs="楷体_GB2312"/>
          <w:bCs/>
          <w:sz w:val="32"/>
          <w:szCs w:val="32"/>
        </w:rPr>
        <w:t>≤</w:t>
      </w:r>
      <w:r>
        <w:rPr>
          <w:rFonts w:hint="eastAsia" w:ascii="仿宋_GB2312" w:hAnsi="黑体" w:eastAsia="仿宋_GB2312"/>
          <w:bCs/>
          <w:sz w:val="32"/>
          <w:szCs w:val="32"/>
          <w:lang w:val="en-US" w:eastAsia="zh-CN"/>
        </w:rPr>
        <w:t>2</w:t>
      </w:r>
      <w:r>
        <w:rPr>
          <w:rFonts w:ascii="仿宋_GB2312" w:hAnsi="黑体" w:eastAsia="仿宋_GB2312"/>
          <w:bCs/>
          <w:sz w:val="32"/>
          <w:szCs w:val="32"/>
        </w:rPr>
        <w:t>0</w:t>
      </w:r>
      <w:r>
        <w:rPr>
          <w:rFonts w:hint="eastAsia" w:ascii="仿宋_GB2312" w:hAnsi="黑体" w:eastAsia="仿宋_GB2312"/>
          <w:bCs/>
          <w:sz w:val="32"/>
          <w:szCs w:val="32"/>
          <w:lang w:val="en-US" w:eastAsia="zh-CN"/>
        </w:rPr>
        <w:t>个</w:t>
      </w:r>
      <w:r>
        <w:rPr>
          <w:rFonts w:hint="eastAsia" w:ascii="仿宋_GB2312" w:hAnsi="黑体" w:eastAsia="仿宋_GB2312"/>
          <w:bCs/>
          <w:sz w:val="32"/>
          <w:szCs w:val="32"/>
        </w:rPr>
        <w:t>；</w:t>
      </w:r>
      <w:r>
        <w:rPr>
          <w:rFonts w:hint="eastAsia" w:ascii="仿宋_GB2312" w:hAnsi="楷体_GB2312" w:eastAsia="仿宋_GB2312" w:cs="楷体_GB2312"/>
          <w:bCs/>
          <w:sz w:val="32"/>
          <w:szCs w:val="32"/>
        </w:rPr>
        <w:t>质量指标：</w:t>
      </w:r>
      <w:r>
        <w:rPr>
          <w:rFonts w:hint="eastAsia" w:ascii="仿宋_GB2312" w:hAnsi="仿宋_GB2312" w:eastAsia="仿宋_GB2312" w:cs="仿宋_GB2312"/>
          <w:kern w:val="0"/>
          <w:sz w:val="32"/>
          <w:szCs w:val="32"/>
        </w:rPr>
        <w:t>扶持海创项目工作任务完成率</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50</w:t>
      </w:r>
      <w:r>
        <w:rPr>
          <w:rFonts w:hint="eastAsia" w:ascii="仿宋_GB2312" w:hAnsi="楷体_GB2312" w:eastAsia="仿宋_GB2312" w:cs="楷体_GB2312"/>
          <w:bCs/>
          <w:sz w:val="32"/>
          <w:szCs w:val="32"/>
        </w:rPr>
        <w:t>%；时效指标：</w:t>
      </w:r>
      <w:r>
        <w:rPr>
          <w:rFonts w:hint="eastAsia" w:ascii="仿宋_GB2312" w:hAnsi="仿宋_GB2312" w:eastAsia="仿宋_GB2312" w:cs="仿宋_GB2312"/>
          <w:kern w:val="0"/>
          <w:sz w:val="32"/>
          <w:szCs w:val="32"/>
        </w:rPr>
        <w:t>扶持资金及时下达率</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12月</w:t>
      </w:r>
      <w:r>
        <w:rPr>
          <w:rFonts w:hint="eastAsia" w:ascii="仿宋_GB2312" w:hAnsi="楷体_GB2312" w:eastAsia="仿宋_GB2312" w:cs="楷体_GB2312"/>
          <w:bCs/>
          <w:sz w:val="32"/>
          <w:szCs w:val="32"/>
        </w:rPr>
        <w:t>；经济成本指标：</w:t>
      </w:r>
      <w:r>
        <w:rPr>
          <w:rFonts w:hint="eastAsia" w:ascii="仿宋_GB2312" w:hAnsi="仿宋_GB2312" w:eastAsia="仿宋_GB2312" w:cs="仿宋_GB2312"/>
          <w:kern w:val="0"/>
          <w:sz w:val="32"/>
          <w:szCs w:val="32"/>
        </w:rPr>
        <w:t>项目扶持标准</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20</w:t>
      </w:r>
      <w:r>
        <w:rPr>
          <w:rFonts w:hint="eastAsia" w:ascii="仿宋_GB2312" w:hAnsi="楷体_GB2312" w:eastAsia="仿宋_GB2312" w:cs="楷体_GB2312"/>
          <w:bCs/>
          <w:sz w:val="32"/>
          <w:szCs w:val="32"/>
        </w:rPr>
        <w:t>万元；社会效益指标：</w:t>
      </w:r>
      <w:r>
        <w:rPr>
          <w:rFonts w:hint="eastAsia" w:ascii="仿宋_GB2312" w:hAnsi="仿宋_GB2312" w:eastAsia="仿宋_GB2312" w:cs="仿宋_GB2312"/>
          <w:kern w:val="0"/>
          <w:sz w:val="32"/>
          <w:szCs w:val="32"/>
        </w:rPr>
        <w:t>引进达到国际、国内领先水平、契合北京产业发展方向、具有市场前景的创业项目数量</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1</w:t>
      </w:r>
      <w:r>
        <w:rPr>
          <w:rFonts w:ascii="仿宋_GB2312" w:hAnsi="黑体" w:eastAsia="仿宋_GB2312"/>
          <w:bCs/>
          <w:sz w:val="32"/>
          <w:szCs w:val="32"/>
        </w:rPr>
        <w:t>0</w:t>
      </w:r>
      <w:r>
        <w:rPr>
          <w:rFonts w:hint="eastAsia" w:ascii="仿宋_GB2312" w:hAnsi="黑体" w:eastAsia="仿宋_GB2312"/>
          <w:bCs/>
          <w:sz w:val="32"/>
          <w:szCs w:val="32"/>
          <w:lang w:val="en-US" w:eastAsia="zh-CN"/>
        </w:rPr>
        <w:t>个</w:t>
      </w:r>
      <w:r>
        <w:rPr>
          <w:rFonts w:hint="eastAsia" w:ascii="仿宋_GB2312" w:hAnsi="楷体_GB2312" w:eastAsia="仿宋_GB2312" w:cs="楷体_GB2312"/>
          <w:bCs/>
          <w:sz w:val="32"/>
          <w:szCs w:val="32"/>
        </w:rPr>
        <w:t>；服务对象满意度指标：</w:t>
      </w:r>
      <w:r>
        <w:rPr>
          <w:rFonts w:hint="eastAsia" w:ascii="仿宋_GB2312" w:hAnsi="仿宋_GB2312" w:eastAsia="仿宋_GB2312" w:cs="仿宋_GB2312"/>
          <w:kern w:val="0"/>
          <w:sz w:val="32"/>
          <w:szCs w:val="32"/>
          <w:lang w:val="en-US" w:eastAsia="zh-CN"/>
        </w:rPr>
        <w:t>资助</w:t>
      </w:r>
      <w:r>
        <w:rPr>
          <w:rFonts w:hint="eastAsia" w:ascii="仿宋_GB2312" w:hAnsi="仿宋_GB2312" w:eastAsia="仿宋_GB2312" w:cs="仿宋_GB2312"/>
          <w:kern w:val="0"/>
          <w:sz w:val="32"/>
          <w:szCs w:val="32"/>
        </w:rPr>
        <w:t>对象满意度指标</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8</w:t>
      </w:r>
      <w:r>
        <w:rPr>
          <w:rFonts w:ascii="仿宋_GB2312" w:hAnsi="楷体_GB2312" w:eastAsia="仿宋_GB2312" w:cs="楷体_GB2312"/>
          <w:bCs/>
          <w:sz w:val="32"/>
          <w:szCs w:val="32"/>
        </w:rPr>
        <w:t>5</w:t>
      </w:r>
      <w:r>
        <w:rPr>
          <w:rFonts w:hint="eastAsia" w:ascii="仿宋_GB2312" w:hAnsi="楷体_GB2312" w:eastAsia="仿宋_GB2312" w:cs="楷体_GB2312"/>
          <w:bCs/>
          <w:sz w:val="32"/>
          <w:szCs w:val="32"/>
        </w:rPr>
        <w:t>%。</w:t>
      </w:r>
    </w:p>
    <w:p w14:paraId="5D9514EC">
      <w:pPr>
        <w:spacing w:line="560" w:lineRule="exact"/>
        <w:ind w:firstLine="643" w:firstLineChars="200"/>
        <w:rPr>
          <w:rFonts w:ascii="黑体" w:hAnsi="黑体" w:eastAsia="黑体" w:cs="楷体_GB2312"/>
          <w:b/>
          <w:sz w:val="32"/>
          <w:szCs w:val="32"/>
        </w:rPr>
      </w:pPr>
      <w:r>
        <w:rPr>
          <w:rFonts w:hint="eastAsia" w:ascii="黑体" w:hAnsi="黑体" w:eastAsia="黑体" w:cs="楷体_GB2312"/>
          <w:b/>
          <w:sz w:val="32"/>
          <w:szCs w:val="32"/>
        </w:rPr>
        <w:t>二、绩效评价工作开展情况</w:t>
      </w:r>
    </w:p>
    <w:p w14:paraId="1541C74E">
      <w:pPr>
        <w:spacing w:line="560" w:lineRule="exact"/>
        <w:ind w:firstLine="640" w:firstLineChars="200"/>
        <w:rPr>
          <w:rFonts w:ascii="仿宋_GB2312" w:hAnsi="楷体_GB2312" w:eastAsia="仿宋_GB2312" w:cs="楷体_GB2312"/>
          <w:sz w:val="32"/>
          <w:szCs w:val="32"/>
        </w:rPr>
      </w:pPr>
      <w:r>
        <w:rPr>
          <w:rFonts w:hint="eastAsia" w:ascii="楷体" w:hAnsi="楷体" w:eastAsia="楷体" w:cs="楷体"/>
          <w:sz w:val="32"/>
          <w:szCs w:val="32"/>
        </w:rPr>
        <w:t>（一）绩效评价目的、对象和范围</w:t>
      </w:r>
    </w:p>
    <w:p w14:paraId="17739E08">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通过评价分析202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sz w:val="32"/>
          <w:szCs w:val="32"/>
          <w:lang w:val="en-US" w:eastAsia="zh-CN"/>
        </w:rPr>
        <w:t>海创扶持资金</w:t>
      </w:r>
      <w:r>
        <w:rPr>
          <w:rFonts w:hint="eastAsia" w:ascii="仿宋_GB2312" w:hAnsi="黑体" w:eastAsia="仿宋_GB2312"/>
          <w:sz w:val="32"/>
          <w:szCs w:val="32"/>
        </w:rPr>
        <w:t>项目的经济性、效率性和效果性，梳理总结项目决策、项目管理、项目绩效和满意度等情况，总结项目开展过程中的工作经验及做法，发现项目实施中存在的问题，提出进一步改善的建议，提高财政资金使用效益。</w:t>
      </w:r>
    </w:p>
    <w:p w14:paraId="49FC1AA9">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（二）绩效评价原则、评价指标体系（附表说明）、评价方法、评价标准等</w:t>
      </w:r>
    </w:p>
    <w:p w14:paraId="6C54EC02">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本次绩效评价遵循“客观、公正、科学、规范”的原则。</w:t>
      </w:r>
    </w:p>
    <w:p w14:paraId="7F475ED3">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（1）指标体系</w:t>
      </w:r>
    </w:p>
    <w:p w14:paraId="6B25F991">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绩效评价指标体系包括决策、过程、产出和效益4个方面，满分100分。其中：</w:t>
      </w:r>
      <w:r>
        <w:rPr>
          <w:rFonts w:hint="eastAsia" w:ascii="仿宋_GB2312" w:hAnsi="黑体" w:eastAsia="仿宋_GB2312"/>
          <w:bCs/>
          <w:sz w:val="32"/>
          <w:szCs w:val="32"/>
        </w:rPr>
        <w:t>决策指标（10分），主要评价项目立项依据和程序、绩效目标及资金投入情况</w:t>
      </w:r>
      <w:r>
        <w:rPr>
          <w:rFonts w:hint="eastAsia" w:ascii="仿宋_GB2312" w:hAnsi="黑体" w:eastAsia="仿宋_GB2312"/>
          <w:sz w:val="32"/>
          <w:szCs w:val="32"/>
        </w:rPr>
        <w:t>；</w:t>
      </w:r>
      <w:r>
        <w:rPr>
          <w:rFonts w:hint="eastAsia" w:ascii="仿宋_GB2312" w:hAnsi="黑体" w:eastAsia="仿宋_GB2312"/>
          <w:bCs/>
          <w:sz w:val="32"/>
          <w:szCs w:val="32"/>
        </w:rPr>
        <w:t>过程指标（20分），主要评价预算管理、资金到位、财务管理、制度建设和过程控制；产出指标（40分），主要评价产出数量、质量、时效及成本等指标的实现情况</w:t>
      </w:r>
      <w:r>
        <w:rPr>
          <w:rFonts w:hint="eastAsia" w:ascii="仿宋_GB2312" w:hAnsi="黑体" w:eastAsia="仿宋_GB2312"/>
          <w:sz w:val="32"/>
          <w:szCs w:val="32"/>
        </w:rPr>
        <w:t>;</w:t>
      </w:r>
      <w:r>
        <w:rPr>
          <w:rFonts w:hint="eastAsia" w:ascii="仿宋_GB2312" w:hAnsi="黑体" w:eastAsia="仿宋_GB2312"/>
          <w:bCs/>
          <w:sz w:val="32"/>
          <w:szCs w:val="32"/>
        </w:rPr>
        <w:t>效益指标（30分），主要评价项目实现效果和服务对象满意度等内容。</w:t>
      </w:r>
    </w:p>
    <w:p w14:paraId="7CBDA00A">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（2）评价方法</w:t>
      </w:r>
    </w:p>
    <w:p w14:paraId="5764B9A5">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本次评价采用因素分析法、比较法和评判法等方法，定性与定量相结合的方式进行。一是通过综合分析影响绩效目标实现、实施效果的内外因素，评价绩效目标的实现程度。二是通过比较项目目标预定与实施效果,评价绩效目标的实现程度。三是对于无法直接量化的效果指标，采取评判法，定性与定量相结合的方式进行评价。</w:t>
      </w:r>
    </w:p>
    <w:p w14:paraId="0C02757B">
      <w:pPr>
        <w:spacing w:line="560" w:lineRule="exact"/>
        <w:ind w:firstLine="640" w:firstLineChars="200"/>
        <w:outlineLvl w:val="0"/>
        <w:rPr>
          <w:rFonts w:ascii="仿宋_GB2312" w:hAnsi="楷体_GB2312" w:eastAsia="仿宋_GB2312" w:cs="楷体_GB2312"/>
          <w:sz w:val="32"/>
          <w:szCs w:val="32"/>
        </w:rPr>
      </w:pPr>
      <w:r>
        <w:rPr>
          <w:rFonts w:hint="eastAsia" w:ascii="楷体" w:hAnsi="楷体" w:eastAsia="楷体" w:cs="楷体"/>
          <w:sz w:val="32"/>
          <w:szCs w:val="32"/>
        </w:rPr>
        <w:t>（三）绩效评价工作过程</w:t>
      </w:r>
    </w:p>
    <w:p w14:paraId="79BFCF8E">
      <w:pPr>
        <w:spacing w:line="560" w:lineRule="exact"/>
        <w:ind w:firstLine="640" w:firstLineChars="200"/>
        <w:outlineLvl w:val="0"/>
        <w:rPr>
          <w:rFonts w:ascii="仿宋_GB2312" w:hAnsi="黑体" w:eastAsia="仿宋_GB2312"/>
          <w:sz w:val="32"/>
          <w:szCs w:val="32"/>
        </w:rPr>
      </w:pPr>
      <w:r>
        <w:rPr>
          <w:rFonts w:hint="eastAsia" w:ascii="仿宋_GB2312" w:hAnsi="黑体" w:eastAsia="仿宋_GB2312"/>
          <w:sz w:val="32"/>
          <w:szCs w:val="32"/>
        </w:rPr>
        <w:t>绩效评价工作分为评价准备、评价实施、评价报告三个阶段。一是准备阶段。明确工作目的,确定分析对象。二是实施阶段。开展项目绩效评价，包括明确工作要求，收集整理资料及开展现场工作，多方收集项目相关信息，按照</w:t>
      </w:r>
      <w:r>
        <w:rPr>
          <w:rFonts w:hint="eastAsia" w:ascii="仿宋_GB2312" w:hAnsi="黑体" w:eastAsia="仿宋_GB2312"/>
          <w:bCs/>
          <w:sz w:val="32"/>
          <w:szCs w:val="32"/>
        </w:rPr>
        <w:t>《北京市项目支出绩效评价管理办法》（京财绩效〔2020〕2146号）</w:t>
      </w:r>
      <w:r>
        <w:rPr>
          <w:rFonts w:hint="eastAsia" w:ascii="仿宋_GB2312" w:hAnsi="黑体" w:eastAsia="仿宋_GB2312"/>
          <w:sz w:val="32"/>
          <w:szCs w:val="32"/>
        </w:rPr>
        <w:t>有关要求，形成项目绩效评价报告，征求项目相关人员意见，补充完善评价报告。三是报告阶段。完成项目绩效评价报告，并报送市财政局。</w:t>
      </w:r>
    </w:p>
    <w:p w14:paraId="0253B607">
      <w:pPr>
        <w:spacing w:line="560" w:lineRule="exact"/>
        <w:ind w:firstLine="640" w:firstLineChars="200"/>
        <w:rPr>
          <w:rFonts w:ascii="黑体" w:hAnsi="黑体" w:eastAsia="黑体" w:cs="仿宋_GB2312"/>
          <w:bCs/>
          <w:kern w:val="44"/>
          <w:sz w:val="32"/>
          <w:szCs w:val="32"/>
        </w:rPr>
      </w:pPr>
      <w:bookmarkStart w:id="0" w:name="_Hlk43366055"/>
      <w:r>
        <w:rPr>
          <w:rFonts w:hint="eastAsia" w:ascii="黑体" w:hAnsi="黑体" w:eastAsia="黑体" w:cs="仿宋_GB2312"/>
          <w:bCs/>
          <w:kern w:val="44"/>
          <w:sz w:val="32"/>
          <w:szCs w:val="32"/>
        </w:rPr>
        <w:t>三、综合评价情况及评价结论（附相关评分表）</w:t>
      </w:r>
    </w:p>
    <w:p w14:paraId="4544F185">
      <w:pPr>
        <w:spacing w:line="560" w:lineRule="exact"/>
        <w:ind w:firstLine="640" w:firstLineChars="200"/>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202</w:t>
      </w:r>
      <w:r>
        <w:rPr>
          <w:rFonts w:hint="eastAsia" w:ascii="仿宋_GB2312" w:hAnsi="仿宋_GB2312" w:eastAsia="仿宋_GB2312" w:cs="仿宋_GB2312"/>
          <w:bCs/>
          <w:kern w:val="44"/>
          <w:sz w:val="32"/>
          <w:szCs w:val="32"/>
          <w:lang w:val="en-US" w:eastAsia="zh-CN"/>
        </w:rPr>
        <w:t>4</w:t>
      </w:r>
      <w:r>
        <w:rPr>
          <w:rFonts w:hint="eastAsia" w:ascii="仿宋_GB2312" w:hAnsi="仿宋_GB2312" w:eastAsia="仿宋_GB2312" w:cs="仿宋_GB2312"/>
          <w:bCs/>
          <w:kern w:val="44"/>
          <w:sz w:val="32"/>
          <w:szCs w:val="32"/>
        </w:rPr>
        <w:t>年</w:t>
      </w:r>
      <w:r>
        <w:rPr>
          <w:rFonts w:hint="eastAsia" w:ascii="仿宋_GB2312" w:hAnsi="黑体" w:eastAsia="仿宋_GB2312"/>
          <w:sz w:val="32"/>
          <w:szCs w:val="32"/>
          <w:lang w:val="en-US" w:eastAsia="zh-CN"/>
        </w:rPr>
        <w:t>海创扶持资金</w:t>
      </w:r>
      <w:r>
        <w:rPr>
          <w:rFonts w:hint="eastAsia" w:ascii="仿宋_GB2312" w:hAnsi="黑体" w:eastAsia="仿宋_GB2312"/>
          <w:sz w:val="32"/>
          <w:szCs w:val="32"/>
        </w:rPr>
        <w:t>项目</w:t>
      </w:r>
      <w:r>
        <w:rPr>
          <w:rFonts w:hint="eastAsia" w:ascii="仿宋_GB2312" w:hAnsi="仿宋_GB2312" w:eastAsia="仿宋_GB2312" w:cs="仿宋_GB2312"/>
          <w:bCs/>
          <w:kern w:val="44"/>
          <w:sz w:val="32"/>
          <w:szCs w:val="32"/>
        </w:rPr>
        <w:t>综合得分</w:t>
      </w:r>
      <w:r>
        <w:rPr>
          <w:rFonts w:hint="eastAsia" w:ascii="仿宋_GB2312" w:hAnsi="仿宋_GB2312" w:eastAsia="仿宋_GB2312" w:cs="仿宋_GB2312"/>
          <w:bCs/>
          <w:kern w:val="44"/>
          <w:sz w:val="32"/>
          <w:szCs w:val="32"/>
          <w:lang w:val="en-US" w:eastAsia="zh-CN"/>
        </w:rPr>
        <w:t>95</w:t>
      </w:r>
      <w:r>
        <w:rPr>
          <w:rFonts w:hint="eastAsia" w:ascii="仿宋_GB2312" w:hAnsi="仿宋_GB2312" w:eastAsia="仿宋_GB2312" w:cs="仿宋_GB2312"/>
          <w:bCs/>
          <w:kern w:val="44"/>
          <w:sz w:val="32"/>
          <w:szCs w:val="32"/>
        </w:rPr>
        <w:t>分，其中，项目决策</w:t>
      </w:r>
      <w:r>
        <w:rPr>
          <w:rFonts w:hint="eastAsia" w:ascii="仿宋_GB2312" w:hAnsi="仿宋_GB2312" w:eastAsia="仿宋_GB2312" w:cs="仿宋_GB2312"/>
          <w:bCs/>
          <w:kern w:val="44"/>
          <w:sz w:val="32"/>
          <w:szCs w:val="32"/>
          <w:lang w:val="en-US" w:eastAsia="zh-CN"/>
        </w:rPr>
        <w:t>9</w:t>
      </w:r>
      <w:r>
        <w:rPr>
          <w:rFonts w:hint="eastAsia" w:ascii="仿宋_GB2312" w:hAnsi="仿宋_GB2312" w:eastAsia="仿宋_GB2312" w:cs="仿宋_GB2312"/>
          <w:bCs/>
          <w:kern w:val="44"/>
          <w:sz w:val="32"/>
          <w:szCs w:val="32"/>
        </w:rPr>
        <w:t>分、项目过程</w:t>
      </w:r>
      <w:r>
        <w:rPr>
          <w:rFonts w:hint="eastAsia" w:ascii="仿宋_GB2312" w:hAnsi="仿宋_GB2312" w:eastAsia="仿宋_GB2312" w:cs="仿宋_GB2312"/>
          <w:bCs/>
          <w:kern w:val="44"/>
          <w:sz w:val="32"/>
          <w:szCs w:val="32"/>
          <w:lang w:val="en-US" w:eastAsia="zh-CN"/>
        </w:rPr>
        <w:t>20</w:t>
      </w:r>
      <w:r>
        <w:rPr>
          <w:rFonts w:hint="eastAsia" w:ascii="仿宋_GB2312" w:hAnsi="仿宋_GB2312" w:eastAsia="仿宋_GB2312" w:cs="仿宋_GB2312"/>
          <w:bCs/>
          <w:kern w:val="44"/>
          <w:sz w:val="32"/>
          <w:szCs w:val="32"/>
        </w:rPr>
        <w:t>分、项目产出</w:t>
      </w:r>
      <w:r>
        <w:rPr>
          <w:rFonts w:hint="eastAsia" w:ascii="仿宋_GB2312" w:hAnsi="仿宋_GB2312" w:eastAsia="仿宋_GB2312" w:cs="仿宋_GB2312"/>
          <w:bCs/>
          <w:kern w:val="44"/>
          <w:sz w:val="32"/>
          <w:szCs w:val="32"/>
          <w:lang w:val="en-US" w:eastAsia="zh-CN"/>
        </w:rPr>
        <w:t>39分</w:t>
      </w:r>
      <w:r>
        <w:rPr>
          <w:rFonts w:hint="eastAsia" w:ascii="仿宋_GB2312" w:hAnsi="仿宋_GB2312" w:eastAsia="仿宋_GB2312" w:cs="仿宋_GB2312"/>
          <w:bCs/>
          <w:kern w:val="44"/>
          <w:sz w:val="32"/>
          <w:szCs w:val="32"/>
        </w:rPr>
        <w:t>、项目效益</w:t>
      </w:r>
      <w:r>
        <w:rPr>
          <w:rFonts w:hint="eastAsia" w:ascii="仿宋_GB2312" w:hAnsi="仿宋_GB2312" w:eastAsia="仿宋_GB2312" w:cs="仿宋_GB2312"/>
          <w:bCs/>
          <w:kern w:val="44"/>
          <w:sz w:val="32"/>
          <w:szCs w:val="32"/>
          <w:lang w:val="en-US" w:eastAsia="zh-CN"/>
        </w:rPr>
        <w:t>27</w:t>
      </w:r>
      <w:r>
        <w:rPr>
          <w:rFonts w:hint="eastAsia" w:ascii="仿宋_GB2312" w:hAnsi="仿宋_GB2312" w:eastAsia="仿宋_GB2312" w:cs="仿宋_GB2312"/>
          <w:bCs/>
          <w:kern w:val="44"/>
          <w:sz w:val="32"/>
          <w:szCs w:val="32"/>
        </w:rPr>
        <w:t>分，项目综合绩效评定结论为“</w:t>
      </w:r>
      <w:r>
        <w:rPr>
          <w:rFonts w:hint="eastAsia" w:ascii="仿宋_GB2312" w:hAnsi="仿宋_GB2312" w:eastAsia="仿宋_GB2312" w:cs="仿宋_GB2312"/>
          <w:bCs/>
          <w:kern w:val="44"/>
          <w:sz w:val="32"/>
          <w:szCs w:val="32"/>
          <w:lang w:val="en-US" w:eastAsia="zh-CN"/>
        </w:rPr>
        <w:t>优</w:t>
      </w:r>
      <w:r>
        <w:rPr>
          <w:rFonts w:hint="eastAsia" w:ascii="仿宋_GB2312" w:hAnsi="仿宋_GB2312" w:eastAsia="仿宋_GB2312" w:cs="仿宋_GB2312"/>
          <w:bCs/>
          <w:kern w:val="44"/>
          <w:sz w:val="32"/>
          <w:szCs w:val="32"/>
        </w:rPr>
        <w:t>”。具体情况详见下表。</w:t>
      </w:r>
    </w:p>
    <w:p w14:paraId="67652BA9">
      <w:pPr>
        <w:spacing w:line="560" w:lineRule="exact"/>
        <w:ind w:firstLine="640" w:firstLineChars="200"/>
        <w:rPr>
          <w:rFonts w:ascii="仿宋_GB2312" w:hAnsi="仿宋_GB2312" w:eastAsia="仿宋_GB2312" w:cs="仿宋_GB2312"/>
          <w:bCs/>
          <w:kern w:val="44"/>
          <w:sz w:val="32"/>
          <w:szCs w:val="32"/>
        </w:rPr>
      </w:pPr>
    </w:p>
    <w:p w14:paraId="58F21603">
      <w:pPr>
        <w:spacing w:line="560" w:lineRule="exact"/>
        <w:ind w:firstLine="640" w:firstLineChars="200"/>
        <w:rPr>
          <w:rFonts w:ascii="仿宋_GB2312" w:hAnsi="仿宋_GB2312" w:eastAsia="仿宋_GB2312" w:cs="仿宋_GB2312"/>
          <w:bCs/>
          <w:kern w:val="44"/>
          <w:sz w:val="32"/>
          <w:szCs w:val="32"/>
        </w:rPr>
      </w:pPr>
    </w:p>
    <w:bookmarkEnd w:id="0"/>
    <w:p w14:paraId="3F281AA8">
      <w:pPr>
        <w:spacing w:line="360" w:lineRule="auto"/>
        <w:rPr>
          <w:rFonts w:ascii="仿宋_GB2312" w:hAnsi="等线" w:eastAsia="仿宋_GB2312"/>
          <w:bCs/>
          <w:sz w:val="32"/>
          <w:szCs w:val="32"/>
        </w:rPr>
      </w:pPr>
      <w:r>
        <w:rPr>
          <w:rFonts w:ascii="仿宋_GB2312" w:hAnsi="等线" w:eastAsia="仿宋_GB2312"/>
          <w:bCs/>
          <w:sz w:val="32"/>
          <w:szCs w:val="32"/>
        </w:rPr>
        <w:br w:type="page"/>
      </w:r>
    </w:p>
    <w:p w14:paraId="11F08EA7">
      <w:pPr>
        <w:widowControl/>
        <w:spacing w:line="240" w:lineRule="atLeast"/>
        <w:jc w:val="center"/>
        <w:textAlignment w:val="center"/>
        <w:rPr>
          <w:rFonts w:ascii="宋体" w:hAnsi="宋体" w:cs="宋体"/>
          <w:b/>
          <w:bCs/>
          <w:color w:val="000000"/>
          <w:kern w:val="0"/>
          <w:sz w:val="30"/>
          <w:szCs w:val="30"/>
        </w:rPr>
      </w:pPr>
      <w:r>
        <w:rPr>
          <w:rFonts w:hint="eastAsia" w:ascii="宋体" w:hAnsi="宋体" w:cs="宋体"/>
          <w:b/>
          <w:bCs/>
          <w:color w:val="000000"/>
          <w:kern w:val="0"/>
          <w:sz w:val="30"/>
          <w:szCs w:val="30"/>
          <w:lang w:val="en-US" w:eastAsia="zh-CN"/>
        </w:rPr>
        <w:t>海创扶持资金项目</w:t>
      </w:r>
      <w:r>
        <w:rPr>
          <w:rFonts w:hint="eastAsia" w:ascii="宋体" w:hAnsi="宋体" w:cs="宋体"/>
          <w:b/>
          <w:bCs/>
          <w:color w:val="000000"/>
          <w:kern w:val="0"/>
          <w:sz w:val="30"/>
          <w:szCs w:val="30"/>
        </w:rPr>
        <w:t>绩效评价指标体系及打分情况表</w:t>
      </w:r>
    </w:p>
    <w:tbl>
      <w:tblPr>
        <w:tblStyle w:val="9"/>
        <w:tblW w:w="5171" w:type="pct"/>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958"/>
        <w:gridCol w:w="783"/>
        <w:gridCol w:w="5341"/>
        <w:gridCol w:w="545"/>
        <w:gridCol w:w="815"/>
      </w:tblGrid>
      <w:tr w14:paraId="4425C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95" w:type="pct"/>
            <w:shd w:val="clear" w:color="auto" w:fill="FFFFFF"/>
            <w:vAlign w:val="center"/>
          </w:tcPr>
          <w:p w14:paraId="7056F3A9">
            <w:pPr>
              <w:widowControl/>
              <w:spacing w:line="240" w:lineRule="atLeast"/>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一级</w:t>
            </w:r>
          </w:p>
          <w:p w14:paraId="72EAAF87">
            <w:pPr>
              <w:widowControl/>
              <w:spacing w:line="240" w:lineRule="atLeast"/>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指标</w:t>
            </w:r>
          </w:p>
        </w:tc>
        <w:tc>
          <w:tcPr>
            <w:tcW w:w="511" w:type="pct"/>
            <w:shd w:val="clear" w:color="auto" w:fill="FFFFFF"/>
            <w:vAlign w:val="center"/>
          </w:tcPr>
          <w:p w14:paraId="11A6A5BA">
            <w:pPr>
              <w:widowControl/>
              <w:spacing w:line="240" w:lineRule="atLeast"/>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二级</w:t>
            </w:r>
          </w:p>
          <w:p w14:paraId="6753D80A">
            <w:pPr>
              <w:widowControl/>
              <w:spacing w:line="240" w:lineRule="atLeast"/>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指标</w:t>
            </w:r>
          </w:p>
        </w:tc>
        <w:tc>
          <w:tcPr>
            <w:tcW w:w="418" w:type="pct"/>
            <w:shd w:val="clear" w:color="auto" w:fill="FFFFFF"/>
            <w:vAlign w:val="center"/>
          </w:tcPr>
          <w:p w14:paraId="131CCBCA">
            <w:pPr>
              <w:widowControl/>
              <w:spacing w:line="240" w:lineRule="atLeast"/>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三级</w:t>
            </w:r>
          </w:p>
          <w:p w14:paraId="646317A8">
            <w:pPr>
              <w:widowControl/>
              <w:spacing w:line="240" w:lineRule="atLeast"/>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指标</w:t>
            </w:r>
          </w:p>
        </w:tc>
        <w:tc>
          <w:tcPr>
            <w:tcW w:w="2850" w:type="pct"/>
            <w:shd w:val="clear" w:color="auto" w:fill="FFFFFF"/>
            <w:vAlign w:val="center"/>
          </w:tcPr>
          <w:p w14:paraId="122FD48C">
            <w:pPr>
              <w:widowControl/>
              <w:spacing w:line="240" w:lineRule="atLeast"/>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评价要点</w:t>
            </w:r>
          </w:p>
        </w:tc>
        <w:tc>
          <w:tcPr>
            <w:tcW w:w="291" w:type="pct"/>
            <w:shd w:val="clear" w:color="auto" w:fill="FFFFFF"/>
            <w:vAlign w:val="center"/>
          </w:tcPr>
          <w:p w14:paraId="169DD28B">
            <w:pPr>
              <w:widowControl/>
              <w:spacing w:line="240" w:lineRule="atLeast"/>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分</w:t>
            </w:r>
          </w:p>
          <w:p w14:paraId="56729D33">
            <w:pPr>
              <w:widowControl/>
              <w:spacing w:line="240" w:lineRule="atLeast"/>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值</w:t>
            </w:r>
          </w:p>
        </w:tc>
        <w:tc>
          <w:tcPr>
            <w:tcW w:w="435" w:type="pct"/>
            <w:shd w:val="clear" w:color="auto" w:fill="FFFFFF"/>
            <w:vAlign w:val="center"/>
          </w:tcPr>
          <w:p w14:paraId="6A17A3DA">
            <w:pPr>
              <w:widowControl/>
              <w:spacing w:line="240" w:lineRule="atLeast"/>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专家</w:t>
            </w:r>
          </w:p>
          <w:p w14:paraId="30CF2258">
            <w:pPr>
              <w:widowControl/>
              <w:spacing w:line="240" w:lineRule="atLeast"/>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评分</w:t>
            </w:r>
          </w:p>
        </w:tc>
      </w:tr>
      <w:tr w14:paraId="2D6F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restart"/>
            <w:shd w:val="clear" w:color="auto" w:fill="FFFFFF"/>
            <w:vAlign w:val="center"/>
          </w:tcPr>
          <w:p w14:paraId="4BC0767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决策   </w:t>
            </w:r>
            <w:r>
              <w:rPr>
                <w:rFonts w:hint="eastAsia" w:ascii="宋体" w:hAnsi="宋体" w:cs="宋体"/>
                <w:color w:val="000000"/>
                <w:kern w:val="0"/>
                <w:sz w:val="18"/>
                <w:szCs w:val="18"/>
              </w:rPr>
              <w:t>（1</w:t>
            </w:r>
            <w:r>
              <w:rPr>
                <w:rFonts w:ascii="宋体" w:hAnsi="宋体" w:cs="宋体"/>
                <w:color w:val="000000"/>
                <w:kern w:val="0"/>
                <w:sz w:val="18"/>
                <w:szCs w:val="18"/>
              </w:rPr>
              <w:t>0</w:t>
            </w:r>
            <w:r>
              <w:rPr>
                <w:rFonts w:hint="eastAsia" w:ascii="宋体" w:hAnsi="宋体" w:cs="宋体"/>
                <w:color w:val="000000"/>
                <w:kern w:val="0"/>
                <w:sz w:val="18"/>
                <w:szCs w:val="18"/>
              </w:rPr>
              <w:t>分）</w:t>
            </w:r>
          </w:p>
        </w:tc>
        <w:tc>
          <w:tcPr>
            <w:tcW w:w="511" w:type="pct"/>
            <w:vMerge w:val="restart"/>
            <w:shd w:val="clear" w:color="auto" w:fill="FFFFFF"/>
            <w:vAlign w:val="center"/>
          </w:tcPr>
          <w:p w14:paraId="0311F5E6">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项目</w:t>
            </w:r>
          </w:p>
          <w:p w14:paraId="1FA49832">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立项 </w:t>
            </w:r>
          </w:p>
          <w:p w14:paraId="4AD8C263">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18"/>
                <w:szCs w:val="18"/>
              </w:rPr>
              <w:t>（</w:t>
            </w:r>
            <w:r>
              <w:rPr>
                <w:rFonts w:ascii="宋体" w:hAnsi="宋体" w:cs="宋体"/>
                <w:color w:val="000000"/>
                <w:kern w:val="0"/>
                <w:sz w:val="18"/>
                <w:szCs w:val="18"/>
              </w:rPr>
              <w:t>3</w:t>
            </w:r>
            <w:r>
              <w:rPr>
                <w:rFonts w:hint="eastAsia" w:ascii="宋体" w:hAnsi="宋体" w:cs="宋体"/>
                <w:color w:val="000000"/>
                <w:kern w:val="0"/>
                <w:sz w:val="18"/>
                <w:szCs w:val="18"/>
              </w:rPr>
              <w:t>分）</w:t>
            </w:r>
          </w:p>
        </w:tc>
        <w:tc>
          <w:tcPr>
            <w:tcW w:w="418" w:type="pct"/>
            <w:vMerge w:val="restart"/>
            <w:shd w:val="clear" w:color="auto" w:fill="FFFFFF"/>
            <w:vAlign w:val="center"/>
          </w:tcPr>
          <w:p w14:paraId="306DAEE2">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立项依据</w:t>
            </w:r>
          </w:p>
          <w:p w14:paraId="49B5019A">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充分性</w:t>
            </w:r>
          </w:p>
        </w:tc>
        <w:tc>
          <w:tcPr>
            <w:tcW w:w="2850" w:type="pct"/>
            <w:shd w:val="clear" w:color="auto" w:fill="FFFFFF"/>
            <w:vAlign w:val="center"/>
          </w:tcPr>
          <w:p w14:paraId="6B44FC31">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①项目立项是否符合国家法律法规、国民经济发展规划和相关政策；</w:t>
            </w:r>
          </w:p>
        </w:tc>
        <w:tc>
          <w:tcPr>
            <w:tcW w:w="291" w:type="pct"/>
            <w:vMerge w:val="restart"/>
            <w:shd w:val="clear" w:color="auto" w:fill="FFFFFF"/>
            <w:vAlign w:val="center"/>
          </w:tcPr>
          <w:p w14:paraId="47BF230C">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1.5</w:t>
            </w:r>
          </w:p>
        </w:tc>
        <w:tc>
          <w:tcPr>
            <w:tcW w:w="435" w:type="pct"/>
            <w:vMerge w:val="restart"/>
            <w:shd w:val="clear" w:color="auto" w:fill="FFFFFF"/>
            <w:vAlign w:val="center"/>
          </w:tcPr>
          <w:p w14:paraId="10B2C74D">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1.5</w:t>
            </w:r>
          </w:p>
        </w:tc>
      </w:tr>
      <w:tr w14:paraId="22FA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495" w:type="pct"/>
            <w:vMerge w:val="continue"/>
            <w:shd w:val="clear" w:color="auto" w:fill="FFFFFF"/>
            <w:vAlign w:val="center"/>
          </w:tcPr>
          <w:p w14:paraId="50A875B3">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3791F71E">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7EC503B7">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294A8487">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②项目立项是否符合行业发展规划和政策要求；</w:t>
            </w:r>
          </w:p>
        </w:tc>
        <w:tc>
          <w:tcPr>
            <w:tcW w:w="291" w:type="pct"/>
            <w:vMerge w:val="continue"/>
            <w:shd w:val="clear" w:color="auto" w:fill="FFFFFF"/>
            <w:vAlign w:val="center"/>
          </w:tcPr>
          <w:p w14:paraId="74879459">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561AB48">
            <w:pPr>
              <w:widowControl/>
              <w:spacing w:line="240" w:lineRule="atLeast"/>
              <w:jc w:val="center"/>
              <w:rPr>
                <w:rFonts w:ascii="宋体" w:hAnsi="宋体" w:cs="宋体"/>
                <w:color w:val="000000"/>
                <w:sz w:val="20"/>
                <w:szCs w:val="20"/>
              </w:rPr>
            </w:pPr>
          </w:p>
        </w:tc>
      </w:tr>
      <w:tr w14:paraId="75D71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495" w:type="pct"/>
            <w:vMerge w:val="continue"/>
            <w:shd w:val="clear" w:color="auto" w:fill="FFFFFF"/>
            <w:vAlign w:val="center"/>
          </w:tcPr>
          <w:p w14:paraId="220457DB">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6C072786">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37CA4C6F">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7103C123">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③项目立项是否与部门职责范围相符，属于部门履职所需；</w:t>
            </w:r>
          </w:p>
        </w:tc>
        <w:tc>
          <w:tcPr>
            <w:tcW w:w="291" w:type="pct"/>
            <w:vMerge w:val="continue"/>
            <w:shd w:val="clear" w:color="auto" w:fill="FFFFFF"/>
            <w:vAlign w:val="center"/>
          </w:tcPr>
          <w:p w14:paraId="40D49A0C">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1BE53352">
            <w:pPr>
              <w:widowControl/>
              <w:spacing w:line="240" w:lineRule="atLeast"/>
              <w:jc w:val="center"/>
              <w:rPr>
                <w:rFonts w:ascii="宋体" w:hAnsi="宋体" w:cs="宋体"/>
                <w:color w:val="000000"/>
                <w:sz w:val="20"/>
                <w:szCs w:val="20"/>
              </w:rPr>
            </w:pPr>
          </w:p>
        </w:tc>
      </w:tr>
      <w:tr w14:paraId="3F744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95" w:type="pct"/>
            <w:vMerge w:val="continue"/>
            <w:shd w:val="clear" w:color="auto" w:fill="FFFFFF"/>
            <w:vAlign w:val="center"/>
          </w:tcPr>
          <w:p w14:paraId="5DCDA40E">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0483E3D8">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1D1E8E69">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3087E3BB">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④项目是否属于公共财政支持范围，是否符合中央、地方事权支出责任划分原则；</w:t>
            </w:r>
          </w:p>
        </w:tc>
        <w:tc>
          <w:tcPr>
            <w:tcW w:w="291" w:type="pct"/>
            <w:vMerge w:val="continue"/>
            <w:shd w:val="clear" w:color="auto" w:fill="FFFFFF"/>
            <w:vAlign w:val="center"/>
          </w:tcPr>
          <w:p w14:paraId="370E0BBC">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7692F0B4">
            <w:pPr>
              <w:widowControl/>
              <w:spacing w:line="240" w:lineRule="atLeast"/>
              <w:jc w:val="center"/>
              <w:rPr>
                <w:rFonts w:ascii="宋体" w:hAnsi="宋体" w:cs="宋体"/>
                <w:color w:val="000000"/>
                <w:sz w:val="20"/>
                <w:szCs w:val="20"/>
              </w:rPr>
            </w:pPr>
          </w:p>
        </w:tc>
      </w:tr>
      <w:tr w14:paraId="471B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95" w:type="pct"/>
            <w:vMerge w:val="continue"/>
            <w:shd w:val="clear" w:color="auto" w:fill="FFFFFF"/>
            <w:vAlign w:val="center"/>
          </w:tcPr>
          <w:p w14:paraId="7341911A">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71551763">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102C59E9">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2509109A">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⑤项目是否与相关部门同类项目或部门内部相关项目重复。</w:t>
            </w:r>
          </w:p>
        </w:tc>
        <w:tc>
          <w:tcPr>
            <w:tcW w:w="291" w:type="pct"/>
            <w:vMerge w:val="continue"/>
            <w:shd w:val="clear" w:color="auto" w:fill="FFFFFF"/>
            <w:vAlign w:val="center"/>
          </w:tcPr>
          <w:p w14:paraId="27C4A9A3">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2889929">
            <w:pPr>
              <w:widowControl/>
              <w:spacing w:line="240" w:lineRule="atLeast"/>
              <w:jc w:val="center"/>
              <w:rPr>
                <w:rFonts w:ascii="宋体" w:hAnsi="宋体" w:cs="宋体"/>
                <w:color w:val="000000"/>
                <w:sz w:val="20"/>
                <w:szCs w:val="20"/>
              </w:rPr>
            </w:pPr>
          </w:p>
        </w:tc>
      </w:tr>
      <w:tr w14:paraId="1BB58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95" w:type="pct"/>
            <w:vMerge w:val="continue"/>
            <w:shd w:val="clear" w:color="auto" w:fill="FFFFFF"/>
            <w:vAlign w:val="center"/>
          </w:tcPr>
          <w:p w14:paraId="0255C0CE">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618AF78C">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14:paraId="3627658F">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立项程序</w:t>
            </w:r>
          </w:p>
          <w:p w14:paraId="3AB2553C">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规范性</w:t>
            </w:r>
          </w:p>
        </w:tc>
        <w:tc>
          <w:tcPr>
            <w:tcW w:w="2850" w:type="pct"/>
            <w:shd w:val="clear" w:color="auto" w:fill="FFFFFF"/>
            <w:vAlign w:val="center"/>
          </w:tcPr>
          <w:p w14:paraId="65820868">
            <w:pPr>
              <w:pStyle w:val="14"/>
              <w:widowControl/>
              <w:numPr>
                <w:ilvl w:val="0"/>
                <w:numId w:val="1"/>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项目是否按照规定的程序申请设立；</w:t>
            </w:r>
          </w:p>
        </w:tc>
        <w:tc>
          <w:tcPr>
            <w:tcW w:w="291" w:type="pct"/>
            <w:vMerge w:val="restart"/>
            <w:shd w:val="clear" w:color="auto" w:fill="FFFFFF"/>
            <w:vAlign w:val="center"/>
          </w:tcPr>
          <w:p w14:paraId="2D502D77">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1.5</w:t>
            </w:r>
          </w:p>
        </w:tc>
        <w:tc>
          <w:tcPr>
            <w:tcW w:w="435" w:type="pct"/>
            <w:vMerge w:val="restart"/>
            <w:shd w:val="clear" w:color="auto" w:fill="FFFFFF"/>
            <w:vAlign w:val="center"/>
          </w:tcPr>
          <w:p w14:paraId="0B5A3BBF">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1.5</w:t>
            </w:r>
          </w:p>
        </w:tc>
      </w:tr>
      <w:tr w14:paraId="24CB1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95" w:type="pct"/>
            <w:vMerge w:val="continue"/>
            <w:shd w:val="clear" w:color="auto" w:fill="FFFFFF"/>
            <w:vAlign w:val="center"/>
          </w:tcPr>
          <w:p w14:paraId="440E3427">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19D04E7B">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421DD1BF">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228D6653">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②审批文件、材料是否符合相关要求；</w:t>
            </w:r>
          </w:p>
        </w:tc>
        <w:tc>
          <w:tcPr>
            <w:tcW w:w="291" w:type="pct"/>
            <w:vMerge w:val="continue"/>
            <w:shd w:val="clear" w:color="auto" w:fill="FFFFFF"/>
            <w:vAlign w:val="center"/>
          </w:tcPr>
          <w:p w14:paraId="09799085">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EA666B1">
            <w:pPr>
              <w:widowControl/>
              <w:spacing w:line="240" w:lineRule="atLeast"/>
              <w:jc w:val="center"/>
              <w:rPr>
                <w:rFonts w:ascii="宋体" w:hAnsi="宋体" w:cs="宋体"/>
                <w:color w:val="000000"/>
                <w:sz w:val="20"/>
                <w:szCs w:val="20"/>
              </w:rPr>
            </w:pPr>
          </w:p>
        </w:tc>
      </w:tr>
      <w:tr w14:paraId="1327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495" w:type="pct"/>
            <w:vMerge w:val="continue"/>
            <w:shd w:val="clear" w:color="auto" w:fill="FFFFFF"/>
            <w:vAlign w:val="center"/>
          </w:tcPr>
          <w:p w14:paraId="686DC238">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655B671">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30CAE17B">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21D1321E">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③事前是否已经过必要的可行性研究、专家论证、风险评估、绩效评估、集体决策。</w:t>
            </w:r>
          </w:p>
        </w:tc>
        <w:tc>
          <w:tcPr>
            <w:tcW w:w="291" w:type="pct"/>
            <w:vMerge w:val="continue"/>
            <w:shd w:val="clear" w:color="auto" w:fill="FFFFFF"/>
            <w:vAlign w:val="center"/>
          </w:tcPr>
          <w:p w14:paraId="6C8B99FE">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64E903A">
            <w:pPr>
              <w:widowControl/>
              <w:spacing w:line="240" w:lineRule="atLeast"/>
              <w:jc w:val="center"/>
              <w:rPr>
                <w:rFonts w:ascii="宋体" w:hAnsi="宋体" w:cs="宋体"/>
                <w:color w:val="000000"/>
                <w:sz w:val="20"/>
                <w:szCs w:val="20"/>
              </w:rPr>
            </w:pPr>
          </w:p>
        </w:tc>
      </w:tr>
      <w:tr w14:paraId="7190F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495" w:type="pct"/>
            <w:vMerge w:val="continue"/>
            <w:shd w:val="clear" w:color="auto" w:fill="FFFFFF"/>
            <w:vAlign w:val="center"/>
          </w:tcPr>
          <w:p w14:paraId="3605C3D1">
            <w:pPr>
              <w:widowControl/>
              <w:spacing w:line="240" w:lineRule="atLeast"/>
              <w:jc w:val="center"/>
              <w:rPr>
                <w:rFonts w:ascii="宋体" w:hAnsi="宋体" w:cs="宋体"/>
                <w:color w:val="000000"/>
                <w:sz w:val="20"/>
                <w:szCs w:val="20"/>
              </w:rPr>
            </w:pPr>
          </w:p>
        </w:tc>
        <w:tc>
          <w:tcPr>
            <w:tcW w:w="511" w:type="pct"/>
            <w:vMerge w:val="restart"/>
            <w:shd w:val="clear" w:color="auto" w:fill="FFFFFF"/>
            <w:vAlign w:val="center"/>
          </w:tcPr>
          <w:p w14:paraId="300A136C">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绩效</w:t>
            </w:r>
          </w:p>
          <w:p w14:paraId="1980BD50">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目标 </w:t>
            </w:r>
          </w:p>
          <w:p w14:paraId="3EC15EB1">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18"/>
                <w:szCs w:val="18"/>
              </w:rPr>
              <w:t>（</w:t>
            </w:r>
            <w:r>
              <w:rPr>
                <w:rFonts w:ascii="宋体" w:hAnsi="宋体" w:cs="宋体"/>
                <w:color w:val="000000"/>
                <w:kern w:val="0"/>
                <w:sz w:val="18"/>
                <w:szCs w:val="18"/>
              </w:rPr>
              <w:t>3</w:t>
            </w:r>
            <w:r>
              <w:rPr>
                <w:rFonts w:hint="eastAsia" w:ascii="宋体" w:hAnsi="宋体" w:cs="宋体"/>
                <w:color w:val="000000"/>
                <w:kern w:val="0"/>
                <w:sz w:val="18"/>
                <w:szCs w:val="18"/>
              </w:rPr>
              <w:t>分）</w:t>
            </w:r>
          </w:p>
        </w:tc>
        <w:tc>
          <w:tcPr>
            <w:tcW w:w="418" w:type="pct"/>
            <w:vMerge w:val="restart"/>
            <w:shd w:val="clear" w:color="auto" w:fill="FFFFFF"/>
            <w:vAlign w:val="center"/>
          </w:tcPr>
          <w:p w14:paraId="441FCD6B">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绩效目标</w:t>
            </w:r>
          </w:p>
          <w:p w14:paraId="4901F21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合理性</w:t>
            </w:r>
          </w:p>
        </w:tc>
        <w:tc>
          <w:tcPr>
            <w:tcW w:w="2850" w:type="pct"/>
            <w:shd w:val="clear" w:color="auto" w:fill="FFFFFF"/>
            <w:vAlign w:val="center"/>
          </w:tcPr>
          <w:p w14:paraId="15416637">
            <w:pPr>
              <w:pStyle w:val="14"/>
              <w:widowControl/>
              <w:numPr>
                <w:ilvl w:val="0"/>
                <w:numId w:val="2"/>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项目是否有绩效目标；</w:t>
            </w:r>
          </w:p>
        </w:tc>
        <w:tc>
          <w:tcPr>
            <w:tcW w:w="291" w:type="pct"/>
            <w:vMerge w:val="restart"/>
            <w:shd w:val="clear" w:color="auto" w:fill="FFFFFF"/>
            <w:vAlign w:val="center"/>
          </w:tcPr>
          <w:p w14:paraId="380C5EF4">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1.5</w:t>
            </w:r>
          </w:p>
        </w:tc>
        <w:tc>
          <w:tcPr>
            <w:tcW w:w="435" w:type="pct"/>
            <w:vMerge w:val="restart"/>
            <w:shd w:val="clear" w:color="auto" w:fill="FFFFFF"/>
            <w:vAlign w:val="center"/>
          </w:tcPr>
          <w:p w14:paraId="654CEB76">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1.5</w:t>
            </w:r>
          </w:p>
        </w:tc>
      </w:tr>
      <w:tr w14:paraId="6CA18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95" w:type="pct"/>
            <w:vMerge w:val="continue"/>
            <w:shd w:val="clear" w:color="auto" w:fill="FFFFFF"/>
            <w:vAlign w:val="center"/>
          </w:tcPr>
          <w:p w14:paraId="6898B599">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3B3230A2">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7C171E13">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390EE503">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②项目绩效目标与实际工作内容是否具有相关性；</w:t>
            </w:r>
          </w:p>
        </w:tc>
        <w:tc>
          <w:tcPr>
            <w:tcW w:w="291" w:type="pct"/>
            <w:vMerge w:val="continue"/>
            <w:shd w:val="clear" w:color="auto" w:fill="FFFFFF"/>
            <w:vAlign w:val="center"/>
          </w:tcPr>
          <w:p w14:paraId="68CA5382">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065A9B0E">
            <w:pPr>
              <w:widowControl/>
              <w:spacing w:line="240" w:lineRule="atLeast"/>
              <w:jc w:val="center"/>
              <w:rPr>
                <w:rFonts w:ascii="宋体" w:hAnsi="宋体" w:cs="宋体"/>
                <w:color w:val="000000"/>
                <w:sz w:val="20"/>
                <w:szCs w:val="20"/>
              </w:rPr>
            </w:pPr>
          </w:p>
        </w:tc>
      </w:tr>
      <w:tr w14:paraId="11D2E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14:paraId="58BEE869">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6DBF6BDB">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14C09D48">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05BEDD2B">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③项目预期产出效益和效果是否符合正常的业绩水平；</w:t>
            </w:r>
          </w:p>
        </w:tc>
        <w:tc>
          <w:tcPr>
            <w:tcW w:w="291" w:type="pct"/>
            <w:vMerge w:val="continue"/>
            <w:shd w:val="clear" w:color="auto" w:fill="FFFFFF"/>
            <w:vAlign w:val="center"/>
          </w:tcPr>
          <w:p w14:paraId="1EB11516">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22711591">
            <w:pPr>
              <w:widowControl/>
              <w:spacing w:line="240" w:lineRule="atLeast"/>
              <w:jc w:val="center"/>
              <w:rPr>
                <w:rFonts w:ascii="宋体" w:hAnsi="宋体" w:cs="宋体"/>
                <w:color w:val="000000"/>
                <w:sz w:val="20"/>
                <w:szCs w:val="20"/>
              </w:rPr>
            </w:pPr>
          </w:p>
        </w:tc>
      </w:tr>
      <w:tr w14:paraId="52E7F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495" w:type="pct"/>
            <w:vMerge w:val="continue"/>
            <w:shd w:val="clear" w:color="auto" w:fill="FFFFFF"/>
            <w:vAlign w:val="center"/>
          </w:tcPr>
          <w:p w14:paraId="0EBD6EEF">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6F6823B">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3ED82C4D">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1E54FB87">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④是否与预算确定的项目投资额或资金量相匹配。</w:t>
            </w:r>
          </w:p>
        </w:tc>
        <w:tc>
          <w:tcPr>
            <w:tcW w:w="291" w:type="pct"/>
            <w:vMerge w:val="continue"/>
            <w:shd w:val="clear" w:color="auto" w:fill="FFFFFF"/>
            <w:vAlign w:val="center"/>
          </w:tcPr>
          <w:p w14:paraId="6B890A71">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71ECF6FA">
            <w:pPr>
              <w:widowControl/>
              <w:spacing w:line="240" w:lineRule="atLeast"/>
              <w:jc w:val="center"/>
              <w:rPr>
                <w:rFonts w:ascii="宋体" w:hAnsi="宋体" w:cs="宋体"/>
                <w:color w:val="000000"/>
                <w:sz w:val="20"/>
                <w:szCs w:val="20"/>
              </w:rPr>
            </w:pPr>
          </w:p>
        </w:tc>
      </w:tr>
      <w:tr w14:paraId="6A06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14:paraId="32858021">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1483F51A">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14:paraId="714CE8C1">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绩效指标</w:t>
            </w:r>
          </w:p>
          <w:p w14:paraId="1E47A926">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明确性</w:t>
            </w:r>
          </w:p>
        </w:tc>
        <w:tc>
          <w:tcPr>
            <w:tcW w:w="2850" w:type="pct"/>
            <w:shd w:val="clear" w:color="auto" w:fill="FFFFFF"/>
            <w:vAlign w:val="center"/>
          </w:tcPr>
          <w:p w14:paraId="299A2F59">
            <w:pPr>
              <w:pStyle w:val="14"/>
              <w:widowControl/>
              <w:numPr>
                <w:ilvl w:val="0"/>
                <w:numId w:val="3"/>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是否将项目绩效目标细化分解为具体的绩效指标；</w:t>
            </w:r>
          </w:p>
        </w:tc>
        <w:tc>
          <w:tcPr>
            <w:tcW w:w="291" w:type="pct"/>
            <w:vMerge w:val="restart"/>
            <w:shd w:val="clear" w:color="auto" w:fill="FFFFFF"/>
            <w:vAlign w:val="center"/>
          </w:tcPr>
          <w:p w14:paraId="2300B89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1.5</w:t>
            </w:r>
          </w:p>
        </w:tc>
        <w:tc>
          <w:tcPr>
            <w:tcW w:w="435" w:type="pct"/>
            <w:vMerge w:val="restart"/>
            <w:shd w:val="clear" w:color="auto" w:fill="FFFFFF"/>
            <w:vAlign w:val="center"/>
          </w:tcPr>
          <w:p w14:paraId="2E2E9B28">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0.5</w:t>
            </w:r>
          </w:p>
        </w:tc>
      </w:tr>
      <w:tr w14:paraId="1649B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14:paraId="7F6BCA15">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2BE18A74">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51CB5027">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77289416">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②是否通过清晰、可衡量的指标值予以体现；</w:t>
            </w:r>
          </w:p>
        </w:tc>
        <w:tc>
          <w:tcPr>
            <w:tcW w:w="291" w:type="pct"/>
            <w:vMerge w:val="continue"/>
            <w:shd w:val="clear" w:color="auto" w:fill="FFFFFF"/>
            <w:vAlign w:val="center"/>
          </w:tcPr>
          <w:p w14:paraId="3C07DE51">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41319D79">
            <w:pPr>
              <w:widowControl/>
              <w:spacing w:line="240" w:lineRule="atLeast"/>
              <w:jc w:val="center"/>
              <w:rPr>
                <w:rFonts w:ascii="宋体" w:hAnsi="宋体" w:cs="宋体"/>
                <w:color w:val="000000"/>
                <w:sz w:val="20"/>
                <w:szCs w:val="20"/>
              </w:rPr>
            </w:pPr>
          </w:p>
        </w:tc>
      </w:tr>
      <w:tr w14:paraId="7E34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14:paraId="36B55C88">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1E92D424">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43830F23">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50443678">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③是否与项目目标任务数或计划数相对应。</w:t>
            </w:r>
          </w:p>
        </w:tc>
        <w:tc>
          <w:tcPr>
            <w:tcW w:w="291" w:type="pct"/>
            <w:vMerge w:val="continue"/>
            <w:shd w:val="clear" w:color="auto" w:fill="FFFFFF"/>
            <w:vAlign w:val="center"/>
          </w:tcPr>
          <w:p w14:paraId="6546E3A0">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70D703A6">
            <w:pPr>
              <w:widowControl/>
              <w:spacing w:line="240" w:lineRule="atLeast"/>
              <w:jc w:val="center"/>
              <w:rPr>
                <w:rFonts w:ascii="宋体" w:hAnsi="宋体" w:cs="宋体"/>
                <w:color w:val="000000"/>
                <w:sz w:val="20"/>
                <w:szCs w:val="20"/>
              </w:rPr>
            </w:pPr>
          </w:p>
        </w:tc>
      </w:tr>
      <w:tr w14:paraId="55082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495" w:type="pct"/>
            <w:vMerge w:val="continue"/>
            <w:shd w:val="clear" w:color="auto" w:fill="FFFFFF"/>
            <w:vAlign w:val="center"/>
          </w:tcPr>
          <w:p w14:paraId="49AD0418">
            <w:pPr>
              <w:widowControl/>
              <w:spacing w:line="240" w:lineRule="atLeast"/>
              <w:jc w:val="center"/>
              <w:rPr>
                <w:rFonts w:ascii="宋体" w:hAnsi="宋体" w:cs="宋体"/>
                <w:color w:val="000000"/>
                <w:sz w:val="20"/>
                <w:szCs w:val="20"/>
              </w:rPr>
            </w:pPr>
          </w:p>
        </w:tc>
        <w:tc>
          <w:tcPr>
            <w:tcW w:w="511" w:type="pct"/>
            <w:vMerge w:val="restart"/>
            <w:shd w:val="clear" w:color="auto" w:fill="FFFFFF"/>
            <w:vAlign w:val="center"/>
          </w:tcPr>
          <w:p w14:paraId="5FA3560D">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资金</w:t>
            </w:r>
          </w:p>
          <w:p w14:paraId="7460A277">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投入 </w:t>
            </w:r>
          </w:p>
          <w:p w14:paraId="7009F3D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18"/>
                <w:szCs w:val="18"/>
              </w:rPr>
              <w:t>（</w:t>
            </w:r>
            <w:r>
              <w:rPr>
                <w:rFonts w:ascii="宋体" w:hAnsi="宋体" w:cs="宋体"/>
                <w:color w:val="000000"/>
                <w:kern w:val="0"/>
                <w:sz w:val="18"/>
                <w:szCs w:val="18"/>
              </w:rPr>
              <w:t>4</w:t>
            </w:r>
            <w:r>
              <w:rPr>
                <w:rFonts w:hint="eastAsia" w:ascii="宋体" w:hAnsi="宋体" w:cs="宋体"/>
                <w:color w:val="000000"/>
                <w:kern w:val="0"/>
                <w:sz w:val="18"/>
                <w:szCs w:val="18"/>
              </w:rPr>
              <w:t>分）</w:t>
            </w:r>
          </w:p>
        </w:tc>
        <w:tc>
          <w:tcPr>
            <w:tcW w:w="418" w:type="pct"/>
            <w:vMerge w:val="restart"/>
            <w:shd w:val="clear" w:color="auto" w:fill="FFFFFF"/>
            <w:vAlign w:val="center"/>
          </w:tcPr>
          <w:p w14:paraId="79F8F128">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预算编制</w:t>
            </w:r>
          </w:p>
          <w:p w14:paraId="7332F9A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科学性</w:t>
            </w:r>
          </w:p>
        </w:tc>
        <w:tc>
          <w:tcPr>
            <w:tcW w:w="2850" w:type="pct"/>
            <w:shd w:val="clear" w:color="auto" w:fill="FFFFFF"/>
            <w:vAlign w:val="center"/>
          </w:tcPr>
          <w:p w14:paraId="77CD87E6">
            <w:pPr>
              <w:pStyle w:val="14"/>
              <w:widowControl/>
              <w:numPr>
                <w:ilvl w:val="0"/>
                <w:numId w:val="4"/>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预算编制是否经过科学论证；</w:t>
            </w:r>
          </w:p>
        </w:tc>
        <w:tc>
          <w:tcPr>
            <w:tcW w:w="291" w:type="pct"/>
            <w:vMerge w:val="restart"/>
            <w:shd w:val="clear" w:color="auto" w:fill="FFFFFF"/>
            <w:vAlign w:val="center"/>
          </w:tcPr>
          <w:p w14:paraId="37BDCFBF">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2</w:t>
            </w:r>
          </w:p>
        </w:tc>
        <w:tc>
          <w:tcPr>
            <w:tcW w:w="435" w:type="pct"/>
            <w:vMerge w:val="restart"/>
            <w:shd w:val="clear" w:color="auto" w:fill="FFFFFF"/>
            <w:vAlign w:val="center"/>
          </w:tcPr>
          <w:p w14:paraId="6BC12670">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r>
      <w:tr w14:paraId="0E5C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14:paraId="42CBA222">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30C62D70">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3B4B1A7C">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15C6C8ED">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②预算内容与项目内容是否匹配；</w:t>
            </w:r>
          </w:p>
        </w:tc>
        <w:tc>
          <w:tcPr>
            <w:tcW w:w="291" w:type="pct"/>
            <w:vMerge w:val="continue"/>
            <w:shd w:val="clear" w:color="auto" w:fill="FFFFFF"/>
            <w:vAlign w:val="center"/>
          </w:tcPr>
          <w:p w14:paraId="354FE9B3">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118716C">
            <w:pPr>
              <w:widowControl/>
              <w:spacing w:line="240" w:lineRule="atLeast"/>
              <w:jc w:val="center"/>
              <w:rPr>
                <w:rFonts w:ascii="宋体" w:hAnsi="宋体" w:cs="宋体"/>
                <w:color w:val="000000"/>
                <w:sz w:val="20"/>
                <w:szCs w:val="20"/>
              </w:rPr>
            </w:pPr>
          </w:p>
        </w:tc>
      </w:tr>
      <w:tr w14:paraId="5C25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95" w:type="pct"/>
            <w:vMerge w:val="continue"/>
            <w:shd w:val="clear" w:color="auto" w:fill="FFFFFF"/>
            <w:vAlign w:val="center"/>
          </w:tcPr>
          <w:p w14:paraId="257F135A">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CED13E1">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7C12F349">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0763C862">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③预算额度测算依据是否充分，是否按照标准编制；</w:t>
            </w:r>
          </w:p>
        </w:tc>
        <w:tc>
          <w:tcPr>
            <w:tcW w:w="291" w:type="pct"/>
            <w:vMerge w:val="continue"/>
            <w:shd w:val="clear" w:color="auto" w:fill="FFFFFF"/>
            <w:vAlign w:val="center"/>
          </w:tcPr>
          <w:p w14:paraId="6217CF28">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7EB64CD2">
            <w:pPr>
              <w:widowControl/>
              <w:spacing w:line="240" w:lineRule="atLeast"/>
              <w:jc w:val="center"/>
              <w:rPr>
                <w:rFonts w:ascii="宋体" w:hAnsi="宋体" w:cs="宋体"/>
                <w:color w:val="000000"/>
                <w:sz w:val="20"/>
                <w:szCs w:val="20"/>
              </w:rPr>
            </w:pPr>
          </w:p>
        </w:tc>
      </w:tr>
      <w:tr w14:paraId="58A5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495" w:type="pct"/>
            <w:vMerge w:val="continue"/>
            <w:shd w:val="clear" w:color="auto" w:fill="FFFFFF"/>
            <w:vAlign w:val="center"/>
          </w:tcPr>
          <w:p w14:paraId="2745C838">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6E0BC3CF">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0880E6A2">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12EC7B13">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④预算确定的项目投资额或资金量是否与工作任务相匹配。</w:t>
            </w:r>
          </w:p>
        </w:tc>
        <w:tc>
          <w:tcPr>
            <w:tcW w:w="291" w:type="pct"/>
            <w:vMerge w:val="continue"/>
            <w:shd w:val="clear" w:color="auto" w:fill="FFFFFF"/>
            <w:vAlign w:val="center"/>
          </w:tcPr>
          <w:p w14:paraId="2A5B895F">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5F49085">
            <w:pPr>
              <w:widowControl/>
              <w:spacing w:line="240" w:lineRule="atLeast"/>
              <w:jc w:val="center"/>
              <w:rPr>
                <w:rFonts w:ascii="宋体" w:hAnsi="宋体" w:cs="宋体"/>
                <w:color w:val="000000"/>
                <w:sz w:val="20"/>
                <w:szCs w:val="20"/>
              </w:rPr>
            </w:pPr>
          </w:p>
        </w:tc>
      </w:tr>
      <w:tr w14:paraId="70A02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495" w:type="pct"/>
            <w:vMerge w:val="continue"/>
            <w:shd w:val="clear" w:color="auto" w:fill="FFFFFF"/>
            <w:vAlign w:val="center"/>
          </w:tcPr>
          <w:p w14:paraId="67E42D8F">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3A936243">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14:paraId="32EC6AB8">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资金分配</w:t>
            </w:r>
          </w:p>
          <w:p w14:paraId="5F9BBE6A">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合理性</w:t>
            </w:r>
          </w:p>
        </w:tc>
        <w:tc>
          <w:tcPr>
            <w:tcW w:w="2850" w:type="pct"/>
            <w:shd w:val="clear" w:color="auto" w:fill="FFFFFF"/>
            <w:vAlign w:val="center"/>
          </w:tcPr>
          <w:p w14:paraId="423DDE48">
            <w:pPr>
              <w:pStyle w:val="14"/>
              <w:widowControl/>
              <w:numPr>
                <w:ilvl w:val="0"/>
                <w:numId w:val="5"/>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预算资金分配依据是否充分；</w:t>
            </w:r>
          </w:p>
        </w:tc>
        <w:tc>
          <w:tcPr>
            <w:tcW w:w="291" w:type="pct"/>
            <w:vMerge w:val="restart"/>
            <w:shd w:val="clear" w:color="auto" w:fill="FFFFFF"/>
            <w:vAlign w:val="center"/>
          </w:tcPr>
          <w:p w14:paraId="0041837C">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35" w:type="pct"/>
            <w:vMerge w:val="restart"/>
            <w:shd w:val="clear" w:color="auto" w:fill="FFFFFF"/>
            <w:vAlign w:val="center"/>
          </w:tcPr>
          <w:p w14:paraId="6138D6AB">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r>
      <w:tr w14:paraId="2A2E3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495" w:type="pct"/>
            <w:vMerge w:val="continue"/>
            <w:shd w:val="clear" w:color="auto" w:fill="FFFFFF"/>
            <w:vAlign w:val="center"/>
          </w:tcPr>
          <w:p w14:paraId="564046CF">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308E34FD">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529DEF94">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433FEC5D">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②资金分配额度是否合理，与项目单位的实际需求是否相适应</w:t>
            </w:r>
          </w:p>
        </w:tc>
        <w:tc>
          <w:tcPr>
            <w:tcW w:w="291" w:type="pct"/>
            <w:vMerge w:val="continue"/>
            <w:shd w:val="clear" w:color="auto" w:fill="FFFFFF"/>
            <w:vAlign w:val="center"/>
          </w:tcPr>
          <w:p w14:paraId="12877BC8">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413D8779">
            <w:pPr>
              <w:widowControl/>
              <w:spacing w:line="240" w:lineRule="atLeast"/>
              <w:jc w:val="center"/>
              <w:rPr>
                <w:rFonts w:ascii="宋体" w:hAnsi="宋体" w:cs="宋体"/>
                <w:color w:val="000000"/>
                <w:sz w:val="20"/>
                <w:szCs w:val="20"/>
              </w:rPr>
            </w:pPr>
          </w:p>
        </w:tc>
      </w:tr>
      <w:tr w14:paraId="0F3F8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495" w:type="pct"/>
            <w:vMerge w:val="restart"/>
            <w:shd w:val="clear" w:color="auto" w:fill="FFFFFF"/>
            <w:vAlign w:val="center"/>
          </w:tcPr>
          <w:p w14:paraId="6BCDE077">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过程   </w:t>
            </w:r>
            <w:r>
              <w:rPr>
                <w:rFonts w:hint="eastAsia" w:ascii="宋体" w:hAnsi="宋体" w:cs="宋体"/>
                <w:color w:val="000000"/>
                <w:kern w:val="0"/>
                <w:sz w:val="18"/>
                <w:szCs w:val="18"/>
              </w:rPr>
              <w:t>（</w:t>
            </w:r>
            <w:r>
              <w:rPr>
                <w:rFonts w:ascii="宋体" w:hAnsi="宋体" w:cs="宋体"/>
                <w:color w:val="000000"/>
                <w:kern w:val="0"/>
                <w:sz w:val="18"/>
                <w:szCs w:val="18"/>
              </w:rPr>
              <w:t>20</w:t>
            </w:r>
            <w:r>
              <w:rPr>
                <w:rFonts w:hint="eastAsia" w:ascii="宋体" w:hAnsi="宋体" w:cs="宋体"/>
                <w:color w:val="000000"/>
                <w:kern w:val="0"/>
                <w:sz w:val="18"/>
                <w:szCs w:val="18"/>
              </w:rPr>
              <w:t>分）</w:t>
            </w:r>
          </w:p>
        </w:tc>
        <w:tc>
          <w:tcPr>
            <w:tcW w:w="511" w:type="pct"/>
            <w:vMerge w:val="restart"/>
            <w:shd w:val="clear" w:color="auto" w:fill="FFFFFF"/>
            <w:vAlign w:val="center"/>
          </w:tcPr>
          <w:p w14:paraId="2986E096">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资金</w:t>
            </w:r>
          </w:p>
          <w:p w14:paraId="65F49AF4">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管理</w:t>
            </w:r>
          </w:p>
          <w:p w14:paraId="1A1DE92C">
            <w:pPr>
              <w:widowControl/>
              <w:spacing w:line="240" w:lineRule="atLeast"/>
              <w:jc w:val="center"/>
              <w:textAlignment w:val="center"/>
              <w:rPr>
                <w:rFonts w:ascii="宋体" w:hAnsi="宋体" w:cs="宋体"/>
                <w:color w:val="00000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2</w:t>
            </w:r>
            <w:r>
              <w:rPr>
                <w:rFonts w:hint="eastAsia" w:ascii="宋体" w:hAnsi="宋体" w:cs="宋体"/>
                <w:color w:val="000000"/>
                <w:kern w:val="0"/>
                <w:sz w:val="18"/>
                <w:szCs w:val="18"/>
              </w:rPr>
              <w:t>分）</w:t>
            </w:r>
          </w:p>
        </w:tc>
        <w:tc>
          <w:tcPr>
            <w:tcW w:w="418" w:type="pct"/>
            <w:shd w:val="clear" w:color="auto" w:fill="FFFFFF"/>
            <w:vAlign w:val="center"/>
          </w:tcPr>
          <w:p w14:paraId="560B75A7">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资金到位 情况</w:t>
            </w:r>
          </w:p>
        </w:tc>
        <w:tc>
          <w:tcPr>
            <w:tcW w:w="2850" w:type="pct"/>
            <w:shd w:val="clear" w:color="auto" w:fill="FFFFFF"/>
            <w:vAlign w:val="center"/>
          </w:tcPr>
          <w:p w14:paraId="354E6A1D">
            <w:pPr>
              <w:widowControl/>
              <w:spacing w:line="240" w:lineRule="atLeast"/>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资金到位率=（实际到位资金/预算资金）×100%。        </w:t>
            </w:r>
          </w:p>
          <w:p w14:paraId="34281D3B">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公式中的实际到位资金为项目期内落实到具体项目的资金；预算资金为项目期内预算安排到具体项目的资金。</w:t>
            </w:r>
          </w:p>
        </w:tc>
        <w:tc>
          <w:tcPr>
            <w:tcW w:w="291" w:type="pct"/>
            <w:shd w:val="clear" w:color="auto" w:fill="FFFFFF"/>
            <w:vAlign w:val="center"/>
          </w:tcPr>
          <w:p w14:paraId="4CC73C7F">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shd w:val="clear" w:color="auto" w:fill="FFFFFF"/>
            <w:vAlign w:val="center"/>
          </w:tcPr>
          <w:p w14:paraId="40A012E8">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4</w:t>
            </w:r>
          </w:p>
        </w:tc>
      </w:tr>
      <w:tr w14:paraId="7033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95" w:type="pct"/>
            <w:vMerge w:val="continue"/>
            <w:shd w:val="clear" w:color="auto" w:fill="FFFFFF"/>
            <w:vAlign w:val="center"/>
          </w:tcPr>
          <w:p w14:paraId="42C38354">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B913566">
            <w:pPr>
              <w:widowControl/>
              <w:spacing w:line="240" w:lineRule="atLeast"/>
              <w:jc w:val="center"/>
              <w:rPr>
                <w:rFonts w:ascii="宋体" w:hAnsi="宋体" w:cs="宋体"/>
                <w:color w:val="000000"/>
                <w:sz w:val="20"/>
                <w:szCs w:val="20"/>
              </w:rPr>
            </w:pPr>
          </w:p>
        </w:tc>
        <w:tc>
          <w:tcPr>
            <w:tcW w:w="418" w:type="pct"/>
            <w:shd w:val="clear" w:color="auto" w:fill="FFFFFF"/>
            <w:vAlign w:val="center"/>
          </w:tcPr>
          <w:p w14:paraId="23043A5F">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预算执行 情况</w:t>
            </w:r>
          </w:p>
        </w:tc>
        <w:tc>
          <w:tcPr>
            <w:tcW w:w="2850" w:type="pct"/>
            <w:shd w:val="clear" w:color="auto" w:fill="FFFFFF"/>
            <w:vAlign w:val="center"/>
          </w:tcPr>
          <w:p w14:paraId="1180FC40">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预算执行率=（实际支出资金/实际到位资金）×100%。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公式中的实际支出资金为项目期内项目实际支出的资金；实际到位资金为项目期内落实到具体项目的资金。</w:t>
            </w:r>
          </w:p>
        </w:tc>
        <w:tc>
          <w:tcPr>
            <w:tcW w:w="291" w:type="pct"/>
            <w:shd w:val="clear" w:color="auto" w:fill="FFFFFF"/>
            <w:vAlign w:val="center"/>
          </w:tcPr>
          <w:p w14:paraId="6C1CB2BF">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shd w:val="clear" w:color="auto" w:fill="FFFFFF"/>
            <w:vAlign w:val="center"/>
          </w:tcPr>
          <w:p w14:paraId="28BB22B6">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4</w:t>
            </w:r>
          </w:p>
        </w:tc>
      </w:tr>
      <w:tr w14:paraId="20E68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continue"/>
            <w:shd w:val="clear" w:color="auto" w:fill="FFFFFF"/>
            <w:vAlign w:val="center"/>
          </w:tcPr>
          <w:p w14:paraId="20CEEF04">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0CE5C0A1">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14:paraId="765DAFB7">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资金使用合规性</w:t>
            </w:r>
          </w:p>
        </w:tc>
        <w:tc>
          <w:tcPr>
            <w:tcW w:w="2850" w:type="pct"/>
            <w:shd w:val="clear" w:color="auto" w:fill="FFFFFF"/>
            <w:vAlign w:val="center"/>
          </w:tcPr>
          <w:p w14:paraId="79AA1B35">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①是否符合国家财经法规和财务管理制度以及有关专项资金管理办法的规定；</w:t>
            </w:r>
          </w:p>
        </w:tc>
        <w:tc>
          <w:tcPr>
            <w:tcW w:w="291" w:type="pct"/>
            <w:vMerge w:val="restart"/>
            <w:shd w:val="clear" w:color="auto" w:fill="FFFFFF"/>
            <w:vAlign w:val="center"/>
          </w:tcPr>
          <w:p w14:paraId="17202494">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vMerge w:val="restart"/>
            <w:shd w:val="clear" w:color="auto" w:fill="FFFFFF"/>
            <w:vAlign w:val="center"/>
          </w:tcPr>
          <w:p w14:paraId="433959D0">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4</w:t>
            </w:r>
          </w:p>
        </w:tc>
      </w:tr>
      <w:tr w14:paraId="05AD5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14:paraId="60E947A7">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0091FB10">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173F1E46">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26FC99DC">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②资金的拨付是否有完整的审批程序和手续；</w:t>
            </w:r>
          </w:p>
        </w:tc>
        <w:tc>
          <w:tcPr>
            <w:tcW w:w="291" w:type="pct"/>
            <w:vMerge w:val="continue"/>
            <w:shd w:val="clear" w:color="auto" w:fill="FFFFFF"/>
            <w:vAlign w:val="center"/>
          </w:tcPr>
          <w:p w14:paraId="0ABE2A0B">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5B1C1632">
            <w:pPr>
              <w:widowControl/>
              <w:spacing w:line="240" w:lineRule="atLeast"/>
              <w:jc w:val="center"/>
              <w:rPr>
                <w:rFonts w:ascii="宋体" w:hAnsi="宋体" w:cs="宋体"/>
                <w:color w:val="000000"/>
                <w:sz w:val="20"/>
                <w:szCs w:val="20"/>
              </w:rPr>
            </w:pPr>
          </w:p>
        </w:tc>
      </w:tr>
      <w:tr w14:paraId="3A6A1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495" w:type="pct"/>
            <w:vMerge w:val="continue"/>
            <w:shd w:val="clear" w:color="auto" w:fill="FFFFFF"/>
            <w:vAlign w:val="center"/>
          </w:tcPr>
          <w:p w14:paraId="0638D758">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6EB4EE53">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010EA050">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623F90B4">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③是否符合项目预算批复或合同规定的用途；</w:t>
            </w:r>
          </w:p>
        </w:tc>
        <w:tc>
          <w:tcPr>
            <w:tcW w:w="291" w:type="pct"/>
            <w:vMerge w:val="continue"/>
            <w:shd w:val="clear" w:color="auto" w:fill="FFFFFF"/>
            <w:vAlign w:val="center"/>
          </w:tcPr>
          <w:p w14:paraId="0F6AA67E">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12D2A7D3">
            <w:pPr>
              <w:widowControl/>
              <w:spacing w:line="240" w:lineRule="atLeast"/>
              <w:jc w:val="center"/>
              <w:rPr>
                <w:rFonts w:ascii="宋体" w:hAnsi="宋体" w:cs="宋体"/>
                <w:color w:val="000000"/>
                <w:sz w:val="20"/>
                <w:szCs w:val="20"/>
              </w:rPr>
            </w:pPr>
          </w:p>
        </w:tc>
      </w:tr>
      <w:tr w14:paraId="41C60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95" w:type="pct"/>
            <w:vMerge w:val="continue"/>
            <w:shd w:val="clear" w:color="auto" w:fill="FFFFFF"/>
            <w:vAlign w:val="center"/>
          </w:tcPr>
          <w:p w14:paraId="3163D12F">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220BDE27">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7030A90C">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2BF41B86">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④是否存在截留、挤占、挪用、虚列支出等情况。</w:t>
            </w:r>
          </w:p>
        </w:tc>
        <w:tc>
          <w:tcPr>
            <w:tcW w:w="291" w:type="pct"/>
            <w:vMerge w:val="continue"/>
            <w:shd w:val="clear" w:color="auto" w:fill="FFFFFF"/>
            <w:vAlign w:val="center"/>
          </w:tcPr>
          <w:p w14:paraId="155DB021">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0C4326CA">
            <w:pPr>
              <w:widowControl/>
              <w:spacing w:line="240" w:lineRule="atLeast"/>
              <w:jc w:val="center"/>
              <w:rPr>
                <w:rFonts w:ascii="宋体" w:hAnsi="宋体" w:cs="宋体"/>
                <w:color w:val="000000"/>
                <w:sz w:val="20"/>
                <w:szCs w:val="20"/>
              </w:rPr>
            </w:pPr>
          </w:p>
        </w:tc>
      </w:tr>
      <w:tr w14:paraId="744B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495" w:type="pct"/>
            <w:vMerge w:val="continue"/>
            <w:shd w:val="clear" w:color="auto" w:fill="FFFFFF"/>
            <w:vAlign w:val="center"/>
          </w:tcPr>
          <w:p w14:paraId="5C3BFD56">
            <w:pPr>
              <w:widowControl/>
              <w:spacing w:line="240" w:lineRule="atLeast"/>
              <w:jc w:val="center"/>
              <w:rPr>
                <w:rFonts w:ascii="宋体" w:hAnsi="宋体" w:cs="宋体"/>
                <w:color w:val="000000"/>
                <w:sz w:val="20"/>
                <w:szCs w:val="20"/>
              </w:rPr>
            </w:pPr>
          </w:p>
        </w:tc>
        <w:tc>
          <w:tcPr>
            <w:tcW w:w="511" w:type="pct"/>
            <w:vMerge w:val="restart"/>
            <w:shd w:val="clear" w:color="auto" w:fill="FFFFFF"/>
            <w:vAlign w:val="center"/>
          </w:tcPr>
          <w:p w14:paraId="20D14833">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组织</w:t>
            </w:r>
          </w:p>
          <w:p w14:paraId="1784B198">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实施</w:t>
            </w:r>
          </w:p>
          <w:p w14:paraId="06BA238C">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18"/>
                <w:szCs w:val="18"/>
              </w:rPr>
              <w:t>（</w:t>
            </w:r>
            <w:r>
              <w:rPr>
                <w:rFonts w:ascii="宋体" w:hAnsi="宋体" w:cs="宋体"/>
                <w:color w:val="000000"/>
                <w:kern w:val="0"/>
                <w:sz w:val="18"/>
                <w:szCs w:val="18"/>
              </w:rPr>
              <w:t>8</w:t>
            </w:r>
            <w:r>
              <w:rPr>
                <w:rFonts w:hint="eastAsia" w:ascii="宋体" w:hAnsi="宋体" w:cs="宋体"/>
                <w:color w:val="000000"/>
                <w:kern w:val="0"/>
                <w:sz w:val="18"/>
                <w:szCs w:val="18"/>
              </w:rPr>
              <w:t>分）</w:t>
            </w:r>
          </w:p>
        </w:tc>
        <w:tc>
          <w:tcPr>
            <w:tcW w:w="418" w:type="pct"/>
            <w:vMerge w:val="restart"/>
            <w:shd w:val="clear" w:color="auto" w:fill="FFFFFF"/>
            <w:vAlign w:val="center"/>
          </w:tcPr>
          <w:p w14:paraId="65125312">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管理制度</w:t>
            </w:r>
          </w:p>
          <w:p w14:paraId="5CA54EB3">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健全性</w:t>
            </w:r>
          </w:p>
        </w:tc>
        <w:tc>
          <w:tcPr>
            <w:tcW w:w="2850" w:type="pct"/>
            <w:shd w:val="clear" w:color="auto" w:fill="FFFFFF"/>
            <w:vAlign w:val="center"/>
          </w:tcPr>
          <w:p w14:paraId="03CA2614">
            <w:pPr>
              <w:pStyle w:val="14"/>
              <w:widowControl/>
              <w:numPr>
                <w:ilvl w:val="0"/>
                <w:numId w:val="6"/>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是否具有健全的内控制度；</w:t>
            </w:r>
          </w:p>
        </w:tc>
        <w:tc>
          <w:tcPr>
            <w:tcW w:w="291" w:type="pct"/>
            <w:vMerge w:val="restart"/>
            <w:shd w:val="clear" w:color="auto" w:fill="FFFFFF"/>
            <w:vAlign w:val="center"/>
          </w:tcPr>
          <w:p w14:paraId="3BA618A5">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vMerge w:val="restart"/>
            <w:shd w:val="clear" w:color="auto" w:fill="FFFFFF"/>
            <w:vAlign w:val="center"/>
          </w:tcPr>
          <w:p w14:paraId="57FF6932">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4</w:t>
            </w:r>
          </w:p>
        </w:tc>
      </w:tr>
      <w:tr w14:paraId="3C386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95" w:type="pct"/>
            <w:vMerge w:val="continue"/>
            <w:shd w:val="clear" w:color="auto" w:fill="FFFFFF"/>
            <w:vAlign w:val="center"/>
          </w:tcPr>
          <w:p w14:paraId="03B15410">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2C1DFE2">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5FE478B5">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5DBC3DC9">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②是否已制定或具有相应的财务和业务管理制度；</w:t>
            </w:r>
          </w:p>
        </w:tc>
        <w:tc>
          <w:tcPr>
            <w:tcW w:w="291" w:type="pct"/>
            <w:vMerge w:val="continue"/>
            <w:shd w:val="clear" w:color="auto" w:fill="FFFFFF"/>
            <w:vAlign w:val="center"/>
          </w:tcPr>
          <w:p w14:paraId="73A15745">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3877B374">
            <w:pPr>
              <w:widowControl/>
              <w:spacing w:line="240" w:lineRule="atLeast"/>
              <w:jc w:val="center"/>
              <w:rPr>
                <w:rFonts w:ascii="宋体" w:hAnsi="宋体" w:cs="宋体"/>
                <w:color w:val="000000"/>
                <w:sz w:val="20"/>
                <w:szCs w:val="20"/>
              </w:rPr>
            </w:pPr>
          </w:p>
        </w:tc>
      </w:tr>
      <w:tr w14:paraId="5BBB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495" w:type="pct"/>
            <w:vMerge w:val="continue"/>
            <w:shd w:val="clear" w:color="auto" w:fill="FFFFFF"/>
            <w:vAlign w:val="center"/>
          </w:tcPr>
          <w:p w14:paraId="7A3716F4">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6E454CED">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51A7C410">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737D1E6A">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③财务和业务管理制度是否合法、合规、完整。</w:t>
            </w:r>
          </w:p>
        </w:tc>
        <w:tc>
          <w:tcPr>
            <w:tcW w:w="291" w:type="pct"/>
            <w:vMerge w:val="continue"/>
            <w:shd w:val="clear" w:color="auto" w:fill="FFFFFF"/>
            <w:vAlign w:val="center"/>
          </w:tcPr>
          <w:p w14:paraId="6EEBA426">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6D3A682F">
            <w:pPr>
              <w:widowControl/>
              <w:spacing w:line="240" w:lineRule="atLeast"/>
              <w:jc w:val="center"/>
              <w:rPr>
                <w:rFonts w:ascii="宋体" w:hAnsi="宋体" w:cs="宋体"/>
                <w:color w:val="000000"/>
                <w:sz w:val="20"/>
                <w:szCs w:val="20"/>
              </w:rPr>
            </w:pPr>
          </w:p>
        </w:tc>
      </w:tr>
      <w:tr w14:paraId="3376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95" w:type="pct"/>
            <w:vMerge w:val="continue"/>
            <w:shd w:val="clear" w:color="auto" w:fill="FFFFFF"/>
            <w:vAlign w:val="center"/>
          </w:tcPr>
          <w:p w14:paraId="31A2D5E5">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03E50BB1">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14:paraId="520D9238">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制度执行</w:t>
            </w:r>
          </w:p>
          <w:p w14:paraId="18EF8162">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有效性</w:t>
            </w:r>
          </w:p>
        </w:tc>
        <w:tc>
          <w:tcPr>
            <w:tcW w:w="2850" w:type="pct"/>
            <w:shd w:val="clear" w:color="auto" w:fill="FFFFFF"/>
            <w:vAlign w:val="center"/>
          </w:tcPr>
          <w:p w14:paraId="59CAA0F6">
            <w:pPr>
              <w:pStyle w:val="14"/>
              <w:widowControl/>
              <w:numPr>
                <w:ilvl w:val="0"/>
                <w:numId w:val="7"/>
              </w:numPr>
              <w:spacing w:line="240" w:lineRule="atLeast"/>
              <w:ind w:firstLineChars="0"/>
              <w:textAlignment w:val="center"/>
              <w:rPr>
                <w:rFonts w:ascii="宋体" w:hAnsi="宋体" w:cs="宋体"/>
                <w:color w:val="000000"/>
                <w:sz w:val="20"/>
                <w:szCs w:val="20"/>
              </w:rPr>
            </w:pPr>
            <w:r>
              <w:rPr>
                <w:rFonts w:hint="eastAsia" w:ascii="宋体" w:hAnsi="宋体" w:cs="宋体"/>
                <w:color w:val="000000"/>
                <w:kern w:val="0"/>
                <w:sz w:val="20"/>
                <w:szCs w:val="20"/>
              </w:rPr>
              <w:t>是否遵守相关法律法规和相关管理规定；</w:t>
            </w:r>
          </w:p>
        </w:tc>
        <w:tc>
          <w:tcPr>
            <w:tcW w:w="291" w:type="pct"/>
            <w:vMerge w:val="restart"/>
            <w:shd w:val="clear" w:color="auto" w:fill="FFFFFF"/>
            <w:vAlign w:val="center"/>
          </w:tcPr>
          <w:p w14:paraId="735AF2AC">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vMerge w:val="restart"/>
            <w:shd w:val="clear" w:color="auto" w:fill="FFFFFF"/>
            <w:vAlign w:val="center"/>
          </w:tcPr>
          <w:p w14:paraId="4B8A45E9">
            <w:pPr>
              <w:widowControl/>
              <w:spacing w:line="240" w:lineRule="atLeast"/>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4</w:t>
            </w:r>
          </w:p>
        </w:tc>
      </w:tr>
      <w:tr w14:paraId="4AD8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495" w:type="pct"/>
            <w:vMerge w:val="continue"/>
            <w:shd w:val="clear" w:color="auto" w:fill="FFFFFF"/>
            <w:vAlign w:val="center"/>
          </w:tcPr>
          <w:p w14:paraId="2FD33AD1">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73C6DC4">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2F44D74D">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522255E6">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②项目调整及支出调整手续是否完备；</w:t>
            </w:r>
          </w:p>
        </w:tc>
        <w:tc>
          <w:tcPr>
            <w:tcW w:w="291" w:type="pct"/>
            <w:vMerge w:val="continue"/>
            <w:shd w:val="clear" w:color="auto" w:fill="FFFFFF"/>
            <w:vAlign w:val="center"/>
          </w:tcPr>
          <w:p w14:paraId="2A417515">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2CBB6292">
            <w:pPr>
              <w:widowControl/>
              <w:spacing w:line="240" w:lineRule="atLeast"/>
              <w:jc w:val="center"/>
              <w:rPr>
                <w:rFonts w:ascii="宋体" w:hAnsi="宋体" w:cs="宋体"/>
                <w:color w:val="000000"/>
                <w:sz w:val="20"/>
                <w:szCs w:val="20"/>
              </w:rPr>
            </w:pPr>
          </w:p>
        </w:tc>
      </w:tr>
      <w:tr w14:paraId="6FF96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495" w:type="pct"/>
            <w:vMerge w:val="continue"/>
            <w:shd w:val="clear" w:color="auto" w:fill="FFFFFF"/>
            <w:vAlign w:val="center"/>
          </w:tcPr>
          <w:p w14:paraId="1D6D39F1">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58074153">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3384D5CD">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7D6A103B">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③项目合同书、验收报告等资料是否齐全并及时归档；</w:t>
            </w:r>
          </w:p>
        </w:tc>
        <w:tc>
          <w:tcPr>
            <w:tcW w:w="291" w:type="pct"/>
            <w:vMerge w:val="continue"/>
            <w:shd w:val="clear" w:color="auto" w:fill="FFFFFF"/>
            <w:vAlign w:val="center"/>
          </w:tcPr>
          <w:p w14:paraId="6CFDC1E3">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4D855767">
            <w:pPr>
              <w:widowControl/>
              <w:spacing w:line="240" w:lineRule="atLeast"/>
              <w:jc w:val="center"/>
              <w:rPr>
                <w:rFonts w:ascii="宋体" w:hAnsi="宋体" w:cs="宋体"/>
                <w:color w:val="000000"/>
                <w:sz w:val="20"/>
                <w:szCs w:val="20"/>
              </w:rPr>
            </w:pPr>
          </w:p>
        </w:tc>
      </w:tr>
      <w:tr w14:paraId="5F97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95" w:type="pct"/>
            <w:vMerge w:val="continue"/>
            <w:shd w:val="clear" w:color="auto" w:fill="FFFFFF"/>
            <w:vAlign w:val="center"/>
          </w:tcPr>
          <w:p w14:paraId="32BA846D">
            <w:pPr>
              <w:widowControl/>
              <w:spacing w:line="240" w:lineRule="atLeast"/>
              <w:jc w:val="center"/>
              <w:rPr>
                <w:rFonts w:ascii="宋体" w:hAnsi="宋体" w:cs="宋体"/>
                <w:color w:val="000000"/>
                <w:sz w:val="20"/>
                <w:szCs w:val="20"/>
              </w:rPr>
            </w:pPr>
          </w:p>
        </w:tc>
        <w:tc>
          <w:tcPr>
            <w:tcW w:w="511" w:type="pct"/>
            <w:vMerge w:val="continue"/>
            <w:shd w:val="clear" w:color="auto" w:fill="FFFFFF"/>
            <w:vAlign w:val="center"/>
          </w:tcPr>
          <w:p w14:paraId="47CBF80F">
            <w:pPr>
              <w:widowControl/>
              <w:spacing w:line="240" w:lineRule="atLeast"/>
              <w:jc w:val="center"/>
              <w:rPr>
                <w:rFonts w:ascii="宋体" w:hAnsi="宋体" w:cs="宋体"/>
                <w:color w:val="000000"/>
                <w:sz w:val="20"/>
                <w:szCs w:val="20"/>
              </w:rPr>
            </w:pPr>
          </w:p>
        </w:tc>
        <w:tc>
          <w:tcPr>
            <w:tcW w:w="418" w:type="pct"/>
            <w:vMerge w:val="continue"/>
            <w:shd w:val="clear" w:color="auto" w:fill="FFFFFF"/>
            <w:vAlign w:val="center"/>
          </w:tcPr>
          <w:p w14:paraId="156417A0">
            <w:pPr>
              <w:widowControl/>
              <w:spacing w:line="240" w:lineRule="atLeast"/>
              <w:jc w:val="center"/>
              <w:rPr>
                <w:rFonts w:ascii="宋体" w:hAnsi="宋体" w:cs="宋体"/>
                <w:color w:val="000000"/>
                <w:sz w:val="20"/>
                <w:szCs w:val="20"/>
              </w:rPr>
            </w:pPr>
          </w:p>
        </w:tc>
        <w:tc>
          <w:tcPr>
            <w:tcW w:w="2850" w:type="pct"/>
            <w:shd w:val="clear" w:color="auto" w:fill="FFFFFF"/>
            <w:vAlign w:val="center"/>
          </w:tcPr>
          <w:p w14:paraId="570C18D6">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④项目实施的人员、场地设备、信息支撑等是否落实到位。</w:t>
            </w:r>
          </w:p>
        </w:tc>
        <w:tc>
          <w:tcPr>
            <w:tcW w:w="291" w:type="pct"/>
            <w:vMerge w:val="continue"/>
            <w:shd w:val="clear" w:color="auto" w:fill="FFFFFF"/>
            <w:vAlign w:val="center"/>
          </w:tcPr>
          <w:p w14:paraId="0E49C0D9">
            <w:pPr>
              <w:widowControl/>
              <w:spacing w:line="240" w:lineRule="atLeast"/>
              <w:jc w:val="center"/>
              <w:rPr>
                <w:rFonts w:ascii="宋体" w:hAnsi="宋体" w:cs="宋体"/>
                <w:color w:val="000000"/>
                <w:sz w:val="20"/>
                <w:szCs w:val="20"/>
              </w:rPr>
            </w:pPr>
          </w:p>
        </w:tc>
        <w:tc>
          <w:tcPr>
            <w:tcW w:w="435" w:type="pct"/>
            <w:vMerge w:val="continue"/>
            <w:shd w:val="clear" w:color="auto" w:fill="FFFFFF"/>
            <w:vAlign w:val="center"/>
          </w:tcPr>
          <w:p w14:paraId="42295638">
            <w:pPr>
              <w:widowControl/>
              <w:spacing w:line="240" w:lineRule="atLeast"/>
              <w:jc w:val="center"/>
              <w:rPr>
                <w:rFonts w:ascii="宋体" w:hAnsi="宋体" w:cs="宋体"/>
                <w:color w:val="000000"/>
                <w:sz w:val="20"/>
                <w:szCs w:val="20"/>
              </w:rPr>
            </w:pPr>
          </w:p>
        </w:tc>
      </w:tr>
      <w:tr w14:paraId="4243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495" w:type="pct"/>
            <w:vMerge w:val="restart"/>
            <w:shd w:val="clear" w:color="auto" w:fill="FFFFFF"/>
            <w:vAlign w:val="center"/>
          </w:tcPr>
          <w:p w14:paraId="46C502C4">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产出  </w:t>
            </w:r>
            <w:r>
              <w:rPr>
                <w:rFonts w:hint="eastAsia" w:ascii="宋体" w:hAnsi="宋体" w:cs="宋体"/>
                <w:color w:val="000000"/>
                <w:kern w:val="0"/>
                <w:sz w:val="18"/>
                <w:szCs w:val="18"/>
              </w:rPr>
              <w:t>（40分）</w:t>
            </w:r>
          </w:p>
        </w:tc>
        <w:tc>
          <w:tcPr>
            <w:tcW w:w="511" w:type="pct"/>
            <w:shd w:val="clear" w:color="auto" w:fill="FFFFFF"/>
            <w:vAlign w:val="center"/>
          </w:tcPr>
          <w:p w14:paraId="53422CF8">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产出</w:t>
            </w:r>
          </w:p>
          <w:p w14:paraId="186CA4AA">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数量   </w:t>
            </w:r>
            <w:r>
              <w:rPr>
                <w:rFonts w:hint="eastAsia" w:ascii="宋体" w:hAnsi="宋体" w:cs="宋体"/>
                <w:color w:val="000000"/>
                <w:kern w:val="0"/>
                <w:sz w:val="18"/>
                <w:szCs w:val="18"/>
              </w:rPr>
              <w:t>（10分）</w:t>
            </w:r>
          </w:p>
        </w:tc>
        <w:tc>
          <w:tcPr>
            <w:tcW w:w="418" w:type="pct"/>
            <w:shd w:val="clear" w:color="auto" w:fill="FFFFFF"/>
            <w:vAlign w:val="center"/>
          </w:tcPr>
          <w:p w14:paraId="24FC707E">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实际完成</w:t>
            </w:r>
          </w:p>
          <w:p w14:paraId="3B94F65F">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情况</w:t>
            </w:r>
          </w:p>
        </w:tc>
        <w:tc>
          <w:tcPr>
            <w:tcW w:w="2850" w:type="pct"/>
            <w:shd w:val="clear" w:color="auto" w:fill="FFFFFF"/>
            <w:vAlign w:val="center"/>
          </w:tcPr>
          <w:p w14:paraId="6BA92F9E">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实际完成率=（实际产出数/计划产出数）×100%。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公式中的实际产出数为项目期内项目实际产出的产品或提供的服务数量；计划产出数为项目绩效目标确定的在项目期内计划产出的产品或提供的服务数量。</w:t>
            </w:r>
          </w:p>
        </w:tc>
        <w:tc>
          <w:tcPr>
            <w:tcW w:w="291" w:type="pct"/>
            <w:noWrap/>
            <w:vAlign w:val="center"/>
          </w:tcPr>
          <w:p w14:paraId="1221D341">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435" w:type="pct"/>
            <w:vAlign w:val="center"/>
          </w:tcPr>
          <w:p w14:paraId="5D37DDDA">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w:t>
            </w:r>
          </w:p>
        </w:tc>
      </w:tr>
      <w:tr w14:paraId="716E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495" w:type="pct"/>
            <w:vMerge w:val="continue"/>
            <w:shd w:val="clear" w:color="auto" w:fill="FFFFFF"/>
            <w:vAlign w:val="center"/>
          </w:tcPr>
          <w:p w14:paraId="334926B4">
            <w:pPr>
              <w:widowControl/>
              <w:spacing w:line="240" w:lineRule="atLeast"/>
              <w:jc w:val="center"/>
              <w:rPr>
                <w:rFonts w:ascii="宋体" w:hAnsi="宋体" w:cs="宋体"/>
                <w:color w:val="000000"/>
                <w:sz w:val="20"/>
                <w:szCs w:val="20"/>
              </w:rPr>
            </w:pPr>
          </w:p>
        </w:tc>
        <w:tc>
          <w:tcPr>
            <w:tcW w:w="511" w:type="pct"/>
            <w:shd w:val="clear" w:color="auto" w:fill="FFFFFF"/>
            <w:vAlign w:val="center"/>
          </w:tcPr>
          <w:p w14:paraId="75FF5737">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产出</w:t>
            </w:r>
          </w:p>
          <w:p w14:paraId="55CDB057">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质量 </w:t>
            </w:r>
          </w:p>
          <w:p w14:paraId="61547CF3">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18"/>
                <w:szCs w:val="18"/>
              </w:rPr>
              <w:t>（10分）</w:t>
            </w:r>
          </w:p>
        </w:tc>
        <w:tc>
          <w:tcPr>
            <w:tcW w:w="418" w:type="pct"/>
            <w:shd w:val="clear" w:color="auto" w:fill="FFFFFF"/>
            <w:vAlign w:val="center"/>
          </w:tcPr>
          <w:p w14:paraId="44203CEF">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质量达标</w:t>
            </w:r>
          </w:p>
          <w:p w14:paraId="34F8A356">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情况</w:t>
            </w:r>
          </w:p>
        </w:tc>
        <w:tc>
          <w:tcPr>
            <w:tcW w:w="2850" w:type="pct"/>
            <w:shd w:val="clear" w:color="auto" w:fill="FFFFFF"/>
            <w:vAlign w:val="center"/>
          </w:tcPr>
          <w:p w14:paraId="673B90CD">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质量达标率=（质量达标产出数/实际产出数）×100%。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公式中的质量达标产出数为项目期内实际达到既定质量标准的产品或服务数量；既定质量标准是指项目实施单位设立绩效目标时依据计划标准、行业标准、历史标准或其他标准而设定的绩效指标值。</w:t>
            </w:r>
          </w:p>
        </w:tc>
        <w:tc>
          <w:tcPr>
            <w:tcW w:w="291" w:type="pct"/>
            <w:noWrap/>
            <w:vAlign w:val="center"/>
          </w:tcPr>
          <w:p w14:paraId="078185EE">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435" w:type="pct"/>
            <w:vAlign w:val="center"/>
          </w:tcPr>
          <w:p w14:paraId="231C3BD3">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10</w:t>
            </w:r>
          </w:p>
        </w:tc>
      </w:tr>
      <w:tr w14:paraId="2765D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95" w:type="pct"/>
            <w:vMerge w:val="continue"/>
            <w:shd w:val="clear" w:color="auto" w:fill="FFFFFF"/>
            <w:vAlign w:val="center"/>
          </w:tcPr>
          <w:p w14:paraId="68AB8074">
            <w:pPr>
              <w:widowControl/>
              <w:spacing w:line="240" w:lineRule="atLeast"/>
              <w:jc w:val="center"/>
              <w:rPr>
                <w:rFonts w:ascii="宋体" w:hAnsi="宋体" w:cs="宋体"/>
                <w:color w:val="000000"/>
                <w:sz w:val="20"/>
                <w:szCs w:val="20"/>
              </w:rPr>
            </w:pPr>
          </w:p>
        </w:tc>
        <w:tc>
          <w:tcPr>
            <w:tcW w:w="511" w:type="pct"/>
            <w:shd w:val="clear" w:color="auto" w:fill="FFFFFF"/>
            <w:vAlign w:val="center"/>
          </w:tcPr>
          <w:p w14:paraId="517045C8">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产出</w:t>
            </w:r>
          </w:p>
          <w:p w14:paraId="7238F701">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时效  </w:t>
            </w:r>
            <w:r>
              <w:rPr>
                <w:rFonts w:hint="eastAsia" w:ascii="宋体" w:hAnsi="宋体" w:cs="宋体"/>
                <w:color w:val="000000"/>
                <w:kern w:val="0"/>
                <w:sz w:val="18"/>
                <w:szCs w:val="18"/>
              </w:rPr>
              <w:t>（10分）</w:t>
            </w:r>
          </w:p>
        </w:tc>
        <w:tc>
          <w:tcPr>
            <w:tcW w:w="418" w:type="pct"/>
            <w:shd w:val="clear" w:color="auto" w:fill="FFFFFF"/>
            <w:vAlign w:val="center"/>
          </w:tcPr>
          <w:p w14:paraId="587051E3">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完成及时</w:t>
            </w:r>
          </w:p>
          <w:p w14:paraId="1E31F70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情况</w:t>
            </w:r>
          </w:p>
        </w:tc>
        <w:tc>
          <w:tcPr>
            <w:tcW w:w="2850" w:type="pct"/>
            <w:shd w:val="clear" w:color="auto" w:fill="FFFFFF"/>
            <w:vAlign w:val="center"/>
          </w:tcPr>
          <w:p w14:paraId="3A7E4F73">
            <w:pPr>
              <w:widowControl/>
              <w:spacing w:line="240" w:lineRule="atLeast"/>
              <w:textAlignment w:val="center"/>
              <w:rPr>
                <w:rFonts w:ascii="宋体" w:hAnsi="宋体" w:cs="宋体"/>
                <w:color w:val="000000"/>
                <w:sz w:val="20"/>
                <w:szCs w:val="20"/>
              </w:rPr>
            </w:pPr>
            <w:r>
              <w:rPr>
                <w:rFonts w:hint="eastAsia" w:ascii="宋体" w:hAnsi="宋体" w:cs="宋体"/>
                <w:color w:val="000000"/>
                <w:kern w:val="0"/>
                <w:sz w:val="20"/>
                <w:szCs w:val="20"/>
              </w:rPr>
              <w:t>项目实施单位完成该项目实际所耗用的时间与设立绩效目标时设定的进度指标值是否相符。</w:t>
            </w:r>
          </w:p>
        </w:tc>
        <w:tc>
          <w:tcPr>
            <w:tcW w:w="291" w:type="pct"/>
            <w:shd w:val="clear" w:color="auto" w:fill="auto"/>
            <w:noWrap/>
            <w:vAlign w:val="center"/>
          </w:tcPr>
          <w:p w14:paraId="18F055AB">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435" w:type="pct"/>
            <w:shd w:val="clear" w:color="auto" w:fill="FFFFFF"/>
            <w:vAlign w:val="center"/>
          </w:tcPr>
          <w:p w14:paraId="30590EC7">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10</w:t>
            </w:r>
          </w:p>
        </w:tc>
      </w:tr>
      <w:tr w14:paraId="3A6E1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95" w:type="pct"/>
            <w:vMerge w:val="continue"/>
            <w:shd w:val="clear" w:color="auto" w:fill="FFFFFF"/>
            <w:vAlign w:val="center"/>
          </w:tcPr>
          <w:p w14:paraId="09CFC9DD">
            <w:pPr>
              <w:widowControl/>
              <w:spacing w:line="240" w:lineRule="atLeast"/>
              <w:jc w:val="center"/>
              <w:rPr>
                <w:rFonts w:ascii="宋体" w:hAnsi="宋体" w:cs="宋体"/>
                <w:color w:val="000000"/>
                <w:sz w:val="20"/>
                <w:szCs w:val="20"/>
              </w:rPr>
            </w:pPr>
          </w:p>
        </w:tc>
        <w:tc>
          <w:tcPr>
            <w:tcW w:w="511" w:type="pct"/>
            <w:shd w:val="clear" w:color="auto" w:fill="FFFFFF"/>
            <w:vAlign w:val="center"/>
          </w:tcPr>
          <w:p w14:paraId="34BFAC21">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产出</w:t>
            </w:r>
          </w:p>
          <w:p w14:paraId="2C9B4F4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成本   </w:t>
            </w:r>
            <w:r>
              <w:rPr>
                <w:rFonts w:hint="eastAsia" w:ascii="宋体" w:hAnsi="宋体" w:cs="宋体"/>
                <w:color w:val="000000"/>
                <w:kern w:val="0"/>
                <w:sz w:val="18"/>
                <w:szCs w:val="18"/>
              </w:rPr>
              <w:t>（10分）</w:t>
            </w:r>
          </w:p>
        </w:tc>
        <w:tc>
          <w:tcPr>
            <w:tcW w:w="418" w:type="pct"/>
            <w:shd w:val="clear" w:color="auto" w:fill="FFFFFF"/>
            <w:vAlign w:val="center"/>
          </w:tcPr>
          <w:p w14:paraId="16599809">
            <w:pPr>
              <w:widowControl/>
              <w:spacing w:line="240" w:lineRule="atLeast"/>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成本节约</w:t>
            </w:r>
          </w:p>
          <w:p w14:paraId="6F0C892D">
            <w:pPr>
              <w:widowControl/>
              <w:spacing w:line="240" w:lineRule="atLeast"/>
              <w:jc w:val="center"/>
              <w:textAlignment w:val="center"/>
              <w:rPr>
                <w:rFonts w:ascii="宋体" w:hAnsi="宋体" w:cs="宋体"/>
                <w:color w:val="000000"/>
                <w:sz w:val="20"/>
                <w:szCs w:val="20"/>
                <w:highlight w:val="cyan"/>
              </w:rPr>
            </w:pPr>
            <w:r>
              <w:rPr>
                <w:rFonts w:hint="eastAsia" w:ascii="宋体" w:hAnsi="宋体" w:cs="宋体"/>
                <w:color w:val="000000"/>
                <w:kern w:val="0"/>
                <w:sz w:val="20"/>
                <w:szCs w:val="20"/>
                <w:highlight w:val="none"/>
              </w:rPr>
              <w:t>情况</w:t>
            </w:r>
          </w:p>
        </w:tc>
        <w:tc>
          <w:tcPr>
            <w:tcW w:w="2850" w:type="pct"/>
            <w:shd w:val="clear" w:color="auto" w:fill="FFFFFF"/>
            <w:vAlign w:val="center"/>
          </w:tcPr>
          <w:p w14:paraId="096387FF">
            <w:pPr>
              <w:widowControl/>
              <w:spacing w:line="240" w:lineRule="atLeast"/>
              <w:textAlignment w:val="center"/>
              <w:rPr>
                <w:rFonts w:ascii="宋体" w:hAnsi="宋体" w:cs="宋体"/>
                <w:color w:val="000000"/>
                <w:sz w:val="20"/>
                <w:szCs w:val="20"/>
                <w:highlight w:val="cyan"/>
              </w:rPr>
            </w:pPr>
            <w:r>
              <w:rPr>
                <w:rFonts w:hint="eastAsia" w:ascii="宋体" w:hAnsi="宋体" w:cs="宋体"/>
                <w:color w:val="000000"/>
                <w:kern w:val="0"/>
                <w:sz w:val="20"/>
                <w:szCs w:val="20"/>
                <w:highlight w:val="none"/>
              </w:rPr>
              <w:t>成本节约率=[（计划成本-实际成本）/计划成本]×100%。</w:t>
            </w:r>
            <w:r>
              <w:rPr>
                <w:rFonts w:hint="eastAsia" w:ascii="宋体" w:hAnsi="宋体" w:cs="宋体"/>
                <w:color w:val="000000"/>
                <w:kern w:val="0"/>
                <w:sz w:val="20"/>
                <w:szCs w:val="20"/>
                <w:highlight w:val="none"/>
              </w:rPr>
              <w:br w:type="textWrapping"/>
            </w:r>
            <w:r>
              <w:rPr>
                <w:rFonts w:hint="eastAsia" w:ascii="宋体" w:hAnsi="宋体" w:cs="宋体"/>
                <w:color w:val="000000"/>
                <w:kern w:val="0"/>
                <w:sz w:val="20"/>
                <w:szCs w:val="20"/>
                <w:highlight w:val="none"/>
              </w:rPr>
              <w:t>公示中的实际成本是指项目实施单位如期、保质、保量完成既定工作目标实际所耗费的支出；计划成本是指项目实施单位为完成工作目标计划安排的支出，一般以财政批复的项目预算为准。</w:t>
            </w:r>
          </w:p>
        </w:tc>
        <w:tc>
          <w:tcPr>
            <w:tcW w:w="291" w:type="pct"/>
            <w:shd w:val="clear" w:color="auto" w:fill="auto"/>
            <w:noWrap/>
            <w:vAlign w:val="center"/>
          </w:tcPr>
          <w:p w14:paraId="78F30775">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435" w:type="pct"/>
            <w:shd w:val="clear" w:color="auto" w:fill="FFFFFF"/>
            <w:vAlign w:val="center"/>
          </w:tcPr>
          <w:p w14:paraId="44E69D7E">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10</w:t>
            </w:r>
          </w:p>
        </w:tc>
      </w:tr>
      <w:tr w14:paraId="768D5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95" w:type="pct"/>
            <w:vMerge w:val="restart"/>
            <w:shd w:val="clear" w:color="auto" w:fill="FFFFFF"/>
            <w:vAlign w:val="center"/>
          </w:tcPr>
          <w:p w14:paraId="249D9EE0">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效益   </w:t>
            </w:r>
            <w:r>
              <w:rPr>
                <w:rFonts w:hint="eastAsia" w:ascii="宋体" w:hAnsi="宋体" w:cs="宋体"/>
                <w:color w:val="000000"/>
                <w:kern w:val="0"/>
                <w:sz w:val="18"/>
                <w:szCs w:val="18"/>
              </w:rPr>
              <w:t>（</w:t>
            </w:r>
            <w:r>
              <w:rPr>
                <w:rFonts w:ascii="宋体" w:hAnsi="宋体" w:cs="宋体"/>
                <w:color w:val="000000"/>
                <w:kern w:val="0"/>
                <w:sz w:val="18"/>
                <w:szCs w:val="18"/>
              </w:rPr>
              <w:t>30</w:t>
            </w:r>
            <w:r>
              <w:rPr>
                <w:rFonts w:hint="eastAsia" w:ascii="宋体" w:hAnsi="宋体" w:cs="宋体"/>
                <w:color w:val="000000"/>
                <w:kern w:val="0"/>
                <w:sz w:val="18"/>
                <w:szCs w:val="18"/>
              </w:rPr>
              <w:t>分）</w:t>
            </w:r>
          </w:p>
        </w:tc>
        <w:tc>
          <w:tcPr>
            <w:tcW w:w="511" w:type="pct"/>
            <w:shd w:val="clear" w:color="auto" w:fill="FFFFFF"/>
            <w:vAlign w:val="center"/>
          </w:tcPr>
          <w:p w14:paraId="6AEB6696">
            <w:pPr>
              <w:widowControl/>
              <w:spacing w:line="240" w:lineRule="atLeast"/>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项目</w:t>
            </w:r>
          </w:p>
          <w:p w14:paraId="2DAC455B">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效益  </w:t>
            </w:r>
            <w:r>
              <w:rPr>
                <w:rFonts w:hint="eastAsia" w:ascii="宋体" w:hAnsi="宋体" w:cs="宋体"/>
                <w:color w:val="000000"/>
                <w:kern w:val="0"/>
                <w:sz w:val="18"/>
                <w:szCs w:val="18"/>
              </w:rPr>
              <w:t>（</w:t>
            </w:r>
            <w:r>
              <w:rPr>
                <w:rFonts w:ascii="宋体" w:hAnsi="宋体" w:cs="宋体"/>
                <w:color w:val="000000"/>
                <w:kern w:val="0"/>
                <w:sz w:val="18"/>
                <w:szCs w:val="18"/>
              </w:rPr>
              <w:t>20</w:t>
            </w:r>
            <w:r>
              <w:rPr>
                <w:rFonts w:hint="eastAsia" w:ascii="宋体" w:hAnsi="宋体" w:cs="宋体"/>
                <w:color w:val="000000"/>
                <w:kern w:val="0"/>
                <w:sz w:val="18"/>
                <w:szCs w:val="18"/>
              </w:rPr>
              <w:t>分）</w:t>
            </w:r>
          </w:p>
        </w:tc>
        <w:tc>
          <w:tcPr>
            <w:tcW w:w="418" w:type="pct"/>
            <w:shd w:val="clear" w:color="auto" w:fill="FFFFFF"/>
            <w:vAlign w:val="center"/>
          </w:tcPr>
          <w:p w14:paraId="37084CDB">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社会效益</w:t>
            </w:r>
          </w:p>
        </w:tc>
        <w:tc>
          <w:tcPr>
            <w:tcW w:w="2850" w:type="pct"/>
            <w:shd w:val="clear" w:color="auto" w:fill="FFFFFF"/>
            <w:vAlign w:val="center"/>
          </w:tcPr>
          <w:p w14:paraId="1072E979">
            <w:pPr>
              <w:widowControl/>
              <w:spacing w:line="240" w:lineRule="atLeast"/>
              <w:textAlignment w:val="center"/>
              <w:rPr>
                <w:rFonts w:ascii="宋体" w:hAnsi="宋体" w:cs="宋体"/>
                <w:color w:val="000000"/>
                <w:sz w:val="20"/>
                <w:szCs w:val="20"/>
              </w:rPr>
            </w:pPr>
            <w:r>
              <w:rPr>
                <w:rFonts w:hint="eastAsia" w:ascii="宋体" w:hAnsi="宋体" w:eastAsia="宋体" w:cs="宋体"/>
                <w:kern w:val="0"/>
                <w:sz w:val="20"/>
                <w:szCs w:val="20"/>
              </w:rPr>
              <w:t>引进达到国际、国内领先水平、契合北京产业发展方向、具有市场前景的创业项目数量</w:t>
            </w:r>
          </w:p>
        </w:tc>
        <w:tc>
          <w:tcPr>
            <w:tcW w:w="291" w:type="pct"/>
            <w:shd w:val="clear" w:color="auto" w:fill="auto"/>
            <w:noWrap/>
            <w:vAlign w:val="center"/>
          </w:tcPr>
          <w:p w14:paraId="5A25938B">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20</w:t>
            </w:r>
          </w:p>
        </w:tc>
        <w:tc>
          <w:tcPr>
            <w:tcW w:w="435" w:type="pct"/>
            <w:shd w:val="clear" w:color="auto" w:fill="FFFFFF"/>
            <w:vAlign w:val="center"/>
          </w:tcPr>
          <w:p w14:paraId="16B81751">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17</w:t>
            </w:r>
          </w:p>
        </w:tc>
      </w:tr>
      <w:tr w14:paraId="0D4CE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495" w:type="pct"/>
            <w:vMerge w:val="continue"/>
            <w:shd w:val="clear" w:color="auto" w:fill="FFFFFF"/>
            <w:vAlign w:val="center"/>
          </w:tcPr>
          <w:p w14:paraId="36C11BD4">
            <w:pPr>
              <w:widowControl/>
              <w:spacing w:line="240" w:lineRule="atLeast"/>
              <w:jc w:val="center"/>
              <w:rPr>
                <w:rFonts w:ascii="宋体" w:hAnsi="宋体" w:cs="宋体"/>
                <w:color w:val="000000"/>
                <w:sz w:val="20"/>
                <w:szCs w:val="20"/>
              </w:rPr>
            </w:pPr>
          </w:p>
        </w:tc>
        <w:tc>
          <w:tcPr>
            <w:tcW w:w="511" w:type="pct"/>
            <w:shd w:val="clear" w:color="auto" w:fill="FFFFFF"/>
            <w:vAlign w:val="center"/>
          </w:tcPr>
          <w:p w14:paraId="7F61949F">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满意度   （</w:t>
            </w:r>
            <w:r>
              <w:rPr>
                <w:rFonts w:ascii="宋体" w:hAnsi="宋体" w:cs="宋体"/>
                <w:color w:val="000000"/>
                <w:kern w:val="0"/>
                <w:sz w:val="20"/>
                <w:szCs w:val="20"/>
              </w:rPr>
              <w:t>10</w:t>
            </w:r>
            <w:r>
              <w:rPr>
                <w:rFonts w:hint="eastAsia" w:ascii="宋体" w:hAnsi="宋体" w:cs="宋体"/>
                <w:color w:val="000000"/>
                <w:kern w:val="0"/>
                <w:sz w:val="20"/>
                <w:szCs w:val="20"/>
              </w:rPr>
              <w:t>分）</w:t>
            </w:r>
          </w:p>
        </w:tc>
        <w:tc>
          <w:tcPr>
            <w:tcW w:w="418" w:type="pct"/>
            <w:shd w:val="clear" w:color="auto" w:fill="FFFFFF"/>
            <w:vAlign w:val="center"/>
          </w:tcPr>
          <w:p w14:paraId="4321327A">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rPr>
              <w:t>服务对象</w:t>
            </w:r>
          </w:p>
        </w:tc>
        <w:tc>
          <w:tcPr>
            <w:tcW w:w="2850" w:type="pct"/>
            <w:shd w:val="clear" w:color="auto" w:fill="FFFFFF"/>
            <w:vAlign w:val="center"/>
          </w:tcPr>
          <w:p w14:paraId="5791B1E7">
            <w:pPr>
              <w:widowControl/>
              <w:spacing w:line="240" w:lineRule="atLeast"/>
              <w:textAlignment w:val="center"/>
              <w:rPr>
                <w:rFonts w:ascii="宋体" w:hAnsi="宋体" w:cs="宋体"/>
                <w:color w:val="000000"/>
                <w:sz w:val="20"/>
                <w:szCs w:val="20"/>
              </w:rPr>
            </w:pPr>
            <w:r>
              <w:rPr>
                <w:rFonts w:hint="eastAsia" w:ascii="宋体" w:hAnsi="宋体" w:cs="宋体"/>
                <w:color w:val="000000"/>
                <w:sz w:val="20"/>
                <w:szCs w:val="20"/>
              </w:rPr>
              <w:t>服务对象对项目实施的满意度</w:t>
            </w:r>
          </w:p>
        </w:tc>
        <w:tc>
          <w:tcPr>
            <w:tcW w:w="291" w:type="pct"/>
            <w:shd w:val="clear" w:color="auto" w:fill="auto"/>
            <w:noWrap/>
            <w:vAlign w:val="center"/>
          </w:tcPr>
          <w:p w14:paraId="20A45516">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10</w:t>
            </w:r>
          </w:p>
        </w:tc>
        <w:tc>
          <w:tcPr>
            <w:tcW w:w="435" w:type="pct"/>
            <w:shd w:val="clear" w:color="auto" w:fill="FFFFFF"/>
            <w:vAlign w:val="center"/>
          </w:tcPr>
          <w:p w14:paraId="09E8545E">
            <w:pPr>
              <w:widowControl/>
              <w:spacing w:line="240" w:lineRule="atLeast"/>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10</w:t>
            </w:r>
          </w:p>
        </w:tc>
      </w:tr>
      <w:tr w14:paraId="47EBA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274" w:type="pct"/>
            <w:gridSpan w:val="4"/>
            <w:shd w:val="clear" w:color="auto" w:fill="FFFFFF"/>
            <w:vAlign w:val="center"/>
          </w:tcPr>
          <w:p w14:paraId="542FBB1F">
            <w:pPr>
              <w:widowControl/>
              <w:spacing w:line="240" w:lineRule="atLeast"/>
              <w:textAlignment w:val="center"/>
              <w:rPr>
                <w:rFonts w:ascii="宋体" w:hAnsi="宋体" w:cs="宋体"/>
                <w:b/>
                <w:color w:val="000000"/>
                <w:kern w:val="0"/>
                <w:sz w:val="20"/>
                <w:szCs w:val="20"/>
              </w:rPr>
            </w:pPr>
            <w:r>
              <w:rPr>
                <w:rFonts w:hint="eastAsia" w:ascii="宋体" w:hAnsi="宋体" w:cs="宋体"/>
                <w:b/>
                <w:color w:val="000000"/>
                <w:kern w:val="0"/>
                <w:sz w:val="20"/>
                <w:szCs w:val="20"/>
              </w:rPr>
              <w:t>合</w:t>
            </w:r>
            <w:r>
              <w:rPr>
                <w:rFonts w:hint="eastAsia" w:ascii="宋体" w:hAnsi="宋体" w:cs="宋体"/>
                <w:b/>
                <w:color w:val="000000"/>
                <w:kern w:val="0"/>
                <w:sz w:val="20"/>
                <w:szCs w:val="20"/>
                <w:lang w:val="en-US" w:eastAsia="zh-CN"/>
              </w:rPr>
              <w:t xml:space="preserve"> </w:t>
            </w:r>
            <w:r>
              <w:rPr>
                <w:rFonts w:hint="eastAsia" w:ascii="宋体" w:hAnsi="宋体" w:cs="宋体"/>
                <w:b/>
                <w:color w:val="000000"/>
                <w:kern w:val="0"/>
                <w:sz w:val="20"/>
                <w:szCs w:val="20"/>
              </w:rPr>
              <w:t>计</w:t>
            </w:r>
          </w:p>
        </w:tc>
        <w:tc>
          <w:tcPr>
            <w:tcW w:w="291" w:type="pct"/>
            <w:shd w:val="clear" w:color="auto" w:fill="auto"/>
            <w:noWrap/>
            <w:vAlign w:val="center"/>
          </w:tcPr>
          <w:p w14:paraId="50063842">
            <w:pPr>
              <w:widowControl/>
              <w:spacing w:line="240" w:lineRule="atLeast"/>
              <w:jc w:val="center"/>
              <w:textAlignment w:val="center"/>
              <w:rPr>
                <w:rFonts w:ascii="宋体" w:hAnsi="宋体" w:cs="宋体"/>
                <w:b/>
                <w:color w:val="000000"/>
                <w:kern w:val="0"/>
                <w:sz w:val="20"/>
                <w:szCs w:val="20"/>
              </w:rPr>
            </w:pPr>
            <w:r>
              <w:rPr>
                <w:rFonts w:hint="eastAsia" w:ascii="宋体" w:hAnsi="宋体" w:cs="宋体"/>
                <w:b/>
                <w:color w:val="000000"/>
                <w:kern w:val="0"/>
                <w:sz w:val="20"/>
                <w:szCs w:val="20"/>
              </w:rPr>
              <w:t>100</w:t>
            </w:r>
          </w:p>
        </w:tc>
        <w:tc>
          <w:tcPr>
            <w:tcW w:w="435" w:type="pct"/>
            <w:shd w:val="clear" w:color="auto" w:fill="FFFFFF"/>
            <w:vAlign w:val="center"/>
          </w:tcPr>
          <w:p w14:paraId="6E9B9934">
            <w:pPr>
              <w:widowControl/>
              <w:spacing w:line="240" w:lineRule="atLeast"/>
              <w:jc w:val="center"/>
              <w:textAlignment w:val="center"/>
              <w:rPr>
                <w:rFonts w:hint="default" w:ascii="宋体" w:hAnsi="宋体" w:eastAsia="宋体" w:cs="宋体"/>
                <w:b/>
                <w:color w:val="000000"/>
                <w:kern w:val="0"/>
                <w:sz w:val="20"/>
                <w:szCs w:val="20"/>
                <w:lang w:val="en-US" w:eastAsia="zh-CN"/>
              </w:rPr>
            </w:pPr>
            <w:r>
              <w:rPr>
                <w:rFonts w:hint="eastAsia" w:ascii="宋体" w:hAnsi="宋体" w:cs="宋体"/>
                <w:b/>
                <w:color w:val="000000"/>
                <w:kern w:val="0"/>
                <w:sz w:val="20"/>
                <w:szCs w:val="20"/>
                <w:lang w:val="en-US" w:eastAsia="zh-CN"/>
              </w:rPr>
              <w:t>95</w:t>
            </w:r>
          </w:p>
        </w:tc>
      </w:tr>
    </w:tbl>
    <w:p w14:paraId="371E792C">
      <w:pPr>
        <w:spacing w:line="560" w:lineRule="exact"/>
        <w:ind w:firstLine="640" w:firstLineChars="200"/>
        <w:outlineLvl w:val="0"/>
        <w:rPr>
          <w:rFonts w:ascii="仿宋_GB2312" w:hAnsi="黑体" w:eastAsia="仿宋_GB2312"/>
          <w:bCs/>
          <w:sz w:val="32"/>
          <w:szCs w:val="32"/>
        </w:rPr>
      </w:pPr>
    </w:p>
    <w:p w14:paraId="0ABCD3A0">
      <w:pPr>
        <w:spacing w:line="560" w:lineRule="exact"/>
        <w:ind w:firstLine="640" w:firstLineChars="200"/>
        <w:outlineLvl w:val="0"/>
        <w:rPr>
          <w:rFonts w:ascii="仿宋_GB2312" w:hAnsi="黑体" w:eastAsia="仿宋_GB2312"/>
          <w:bCs/>
          <w:sz w:val="32"/>
          <w:szCs w:val="32"/>
        </w:rPr>
      </w:pPr>
    </w:p>
    <w:p w14:paraId="0889F915">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bCs/>
          <w:sz w:val="32"/>
          <w:szCs w:val="32"/>
        </w:rPr>
      </w:pPr>
      <w:r>
        <w:rPr>
          <w:rFonts w:hint="eastAsia" w:ascii="黑体" w:hAnsi="黑体" w:eastAsia="黑体"/>
          <w:bCs/>
          <w:sz w:val="32"/>
          <w:szCs w:val="32"/>
        </w:rPr>
        <w:t>四、绩效评价指标分析</w:t>
      </w:r>
    </w:p>
    <w:p w14:paraId="223CC193">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仿宋_GB2312" w:hAnsi="黑体" w:eastAsia="仿宋_GB2312"/>
          <w:bCs/>
          <w:sz w:val="32"/>
          <w:szCs w:val="32"/>
        </w:rPr>
      </w:pPr>
      <w:r>
        <w:rPr>
          <w:rFonts w:hint="eastAsia" w:ascii="楷体" w:hAnsi="楷体" w:eastAsia="楷体" w:cs="楷体"/>
          <w:bCs/>
          <w:sz w:val="32"/>
          <w:szCs w:val="32"/>
        </w:rPr>
        <w:t>（一）项目决策情况</w:t>
      </w:r>
    </w:p>
    <w:p w14:paraId="26716CFB">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default" w:ascii="仿宋_GB2312" w:hAnsi="黑体" w:eastAsia="仿宋_GB2312"/>
          <w:bCs/>
          <w:sz w:val="32"/>
          <w:szCs w:val="32"/>
          <w:lang w:val="en-US"/>
        </w:rPr>
      </w:pPr>
      <w:r>
        <w:rPr>
          <w:rFonts w:hint="eastAsia" w:ascii="仿宋_GB2312" w:hAnsi="黑体" w:eastAsia="仿宋_GB2312"/>
          <w:bCs/>
          <w:sz w:val="32"/>
          <w:szCs w:val="32"/>
        </w:rPr>
        <w:t>项目决策指标，满分10.00分，评定得分</w:t>
      </w:r>
      <w:r>
        <w:rPr>
          <w:rFonts w:hint="eastAsia" w:ascii="仿宋_GB2312" w:hAnsi="黑体" w:eastAsia="仿宋_GB2312"/>
          <w:bCs/>
          <w:sz w:val="32"/>
          <w:szCs w:val="32"/>
          <w:lang w:val="en-US" w:eastAsia="zh-CN"/>
        </w:rPr>
        <w:t>9</w:t>
      </w:r>
      <w:r>
        <w:rPr>
          <w:rFonts w:hint="eastAsia" w:ascii="仿宋_GB2312" w:hAnsi="黑体" w:eastAsia="仿宋_GB2312"/>
          <w:bCs/>
          <w:sz w:val="32"/>
          <w:szCs w:val="32"/>
        </w:rPr>
        <w:t>分。该项目属于延续性项目，项目内容符合</w:t>
      </w:r>
      <w:r>
        <w:rPr>
          <w:rFonts w:hint="eastAsia" w:ascii="仿宋_GB2312" w:hAnsi="黑体" w:eastAsia="仿宋_GB2312"/>
          <w:bCs/>
          <w:sz w:val="32"/>
          <w:szCs w:val="32"/>
          <w:highlight w:val="none"/>
          <w:lang w:val="en-US" w:eastAsia="zh-CN"/>
        </w:rPr>
        <w:t>突出创新在现代化建设全局中的核心地位以及</w:t>
      </w:r>
      <w:r>
        <w:rPr>
          <w:rFonts w:hint="eastAsia" w:ascii="仿宋_GB2312" w:hAnsi="黑体" w:eastAsia="仿宋_GB2312"/>
          <w:bCs/>
          <w:sz w:val="32"/>
          <w:szCs w:val="32"/>
          <w:highlight w:val="none"/>
        </w:rPr>
        <w:t>深入实施</w:t>
      </w:r>
      <w:r>
        <w:rPr>
          <w:rFonts w:hint="eastAsia" w:ascii="仿宋_GB2312" w:hAnsi="黑体" w:eastAsia="仿宋_GB2312"/>
          <w:bCs/>
          <w:sz w:val="32"/>
          <w:szCs w:val="32"/>
          <w:highlight w:val="none"/>
          <w:lang w:val="en-US" w:eastAsia="zh-CN"/>
        </w:rPr>
        <w:t>新时代</w:t>
      </w:r>
      <w:r>
        <w:rPr>
          <w:rFonts w:hint="eastAsia" w:ascii="仿宋_GB2312" w:hAnsi="黑体" w:eastAsia="仿宋_GB2312"/>
          <w:bCs/>
          <w:sz w:val="32"/>
          <w:szCs w:val="32"/>
          <w:highlight w:val="none"/>
        </w:rPr>
        <w:t>人才强国战略要求</w:t>
      </w:r>
      <w:r>
        <w:rPr>
          <w:rFonts w:hint="eastAsia" w:ascii="仿宋_GB2312" w:hAnsi="黑体" w:eastAsia="仿宋_GB2312"/>
          <w:bCs/>
          <w:sz w:val="32"/>
          <w:szCs w:val="32"/>
          <w:highlight w:val="none"/>
          <w:lang w:eastAsia="zh-CN"/>
        </w:rPr>
        <w:t>。</w:t>
      </w:r>
      <w:r>
        <w:rPr>
          <w:rFonts w:hint="eastAsia" w:ascii="仿宋_GB2312" w:hAnsi="黑体" w:eastAsia="仿宋_GB2312"/>
          <w:bCs/>
          <w:sz w:val="32"/>
          <w:szCs w:val="32"/>
          <w:lang w:eastAsia="zh-CN"/>
        </w:rPr>
        <w:t>2024年</w:t>
      </w:r>
      <w:r>
        <w:rPr>
          <w:rFonts w:hint="eastAsia" w:ascii="仿宋_GB2312" w:hAnsi="黑体" w:eastAsia="仿宋_GB2312"/>
          <w:bCs/>
          <w:sz w:val="32"/>
          <w:szCs w:val="32"/>
        </w:rPr>
        <w:t>按照预算编报要求，项目资金参考项目工作情况和年度规划进行测算，明确了项目总体绩效目标，并依据总体绩效目标设定了绩效指标，编制了项目预算和项目支出绩效目标表，经主管领导审核和党委会审议后立项，立项依据较为充分，立项程序规范，绩效目标合理明确</w:t>
      </w:r>
      <w:r>
        <w:rPr>
          <w:rFonts w:hint="eastAsia" w:ascii="仿宋_GB2312" w:hAnsi="黑体" w:eastAsia="仿宋_GB2312"/>
          <w:bCs/>
          <w:sz w:val="32"/>
          <w:szCs w:val="32"/>
          <w:lang w:eastAsia="zh-CN"/>
        </w:rPr>
        <w:t>，</w:t>
      </w:r>
      <w:r>
        <w:rPr>
          <w:rFonts w:hint="eastAsia" w:ascii="仿宋_GB2312" w:hAnsi="黑体" w:eastAsia="仿宋_GB2312"/>
          <w:bCs/>
          <w:sz w:val="32"/>
          <w:szCs w:val="32"/>
          <w:lang w:val="en-US" w:eastAsia="zh-CN"/>
        </w:rPr>
        <w:t>但项目绩效指标值设置有待进一步完善。</w:t>
      </w:r>
    </w:p>
    <w:p w14:paraId="5E6BA7F3">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仿宋_GB2312" w:hAnsi="黑体" w:eastAsia="仿宋_GB2312"/>
          <w:bCs/>
          <w:sz w:val="32"/>
          <w:szCs w:val="32"/>
        </w:rPr>
      </w:pPr>
      <w:r>
        <w:rPr>
          <w:rFonts w:hint="eastAsia" w:ascii="楷体" w:hAnsi="楷体" w:eastAsia="楷体" w:cs="楷体"/>
          <w:bCs/>
          <w:sz w:val="32"/>
          <w:szCs w:val="32"/>
        </w:rPr>
        <w:t>（二）项目过程情况</w:t>
      </w:r>
    </w:p>
    <w:p w14:paraId="4C64CF82">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黑体" w:eastAsia="仿宋_GB2312"/>
          <w:bCs/>
          <w:sz w:val="32"/>
          <w:szCs w:val="32"/>
          <w:highlight w:val="none"/>
          <w:lang w:val="en-US" w:eastAsia="zh-CN"/>
        </w:rPr>
      </w:pPr>
      <w:r>
        <w:rPr>
          <w:rFonts w:hint="eastAsia" w:ascii="仿宋_GB2312" w:hAnsi="黑体" w:eastAsia="仿宋_GB2312"/>
          <w:bCs/>
          <w:sz w:val="32"/>
          <w:szCs w:val="32"/>
        </w:rPr>
        <w:t>项目过程指标，满分20.00分，评价得分</w:t>
      </w:r>
      <w:r>
        <w:rPr>
          <w:rFonts w:hint="eastAsia" w:ascii="仿宋_GB2312" w:hAnsi="黑体" w:eastAsia="仿宋_GB2312"/>
          <w:bCs/>
          <w:sz w:val="32"/>
          <w:szCs w:val="32"/>
          <w:lang w:val="en-US" w:eastAsia="zh-CN"/>
        </w:rPr>
        <w:t>20</w:t>
      </w:r>
      <w:r>
        <w:rPr>
          <w:rFonts w:hint="eastAsia" w:ascii="仿宋_GB2312" w:hAnsi="黑体" w:eastAsia="仿宋_GB2312"/>
          <w:bCs/>
          <w:sz w:val="32"/>
          <w:szCs w:val="32"/>
        </w:rPr>
        <w:t>分。在资金管理方面，该项目资金全部为财政资金，资金足额及时到位。项目预算2</w:t>
      </w:r>
      <w:r>
        <w:rPr>
          <w:rFonts w:hint="eastAsia" w:ascii="仿宋_GB2312" w:hAnsi="黑体" w:eastAsia="仿宋_GB2312"/>
          <w:bCs/>
          <w:sz w:val="32"/>
          <w:szCs w:val="32"/>
          <w:lang w:val="en-US" w:eastAsia="zh-CN"/>
        </w:rPr>
        <w:t>00</w:t>
      </w:r>
      <w:r>
        <w:rPr>
          <w:rFonts w:hint="eastAsia" w:ascii="仿宋_GB2312" w:hAnsi="黑体" w:eastAsia="仿宋_GB2312"/>
          <w:bCs/>
          <w:sz w:val="32"/>
          <w:szCs w:val="32"/>
        </w:rPr>
        <w:t>万元，实际支出资金为2</w:t>
      </w:r>
      <w:r>
        <w:rPr>
          <w:rFonts w:hint="eastAsia" w:ascii="仿宋_GB2312" w:hAnsi="黑体" w:eastAsia="仿宋_GB2312"/>
          <w:bCs/>
          <w:sz w:val="32"/>
          <w:szCs w:val="32"/>
          <w:lang w:val="en-US" w:eastAsia="zh-CN"/>
        </w:rPr>
        <w:t>00</w:t>
      </w:r>
      <w:r>
        <w:rPr>
          <w:rFonts w:hint="eastAsia" w:ascii="仿宋_GB2312" w:hAnsi="黑体" w:eastAsia="仿宋_GB2312"/>
          <w:bCs/>
          <w:sz w:val="32"/>
          <w:szCs w:val="32"/>
        </w:rPr>
        <w:t>万元，项目预算执行率</w:t>
      </w:r>
      <w:r>
        <w:rPr>
          <w:rFonts w:hint="eastAsia" w:ascii="仿宋_GB2312" w:hAnsi="黑体" w:eastAsia="仿宋_GB2312"/>
          <w:bCs/>
          <w:sz w:val="32"/>
          <w:szCs w:val="32"/>
          <w:lang w:val="en-US" w:eastAsia="zh-CN"/>
        </w:rPr>
        <w:t>100</w:t>
      </w:r>
      <w:r>
        <w:rPr>
          <w:rFonts w:hint="eastAsia" w:ascii="仿宋_GB2312" w:hAnsi="黑体" w:eastAsia="仿宋_GB2312"/>
          <w:bCs/>
          <w:sz w:val="32"/>
          <w:szCs w:val="32"/>
        </w:rPr>
        <w:t>%。在资金使用过程中，项目资金单独核算，专款专用，项目资金支出</w:t>
      </w:r>
      <w:r>
        <w:rPr>
          <w:rFonts w:hint="eastAsia" w:ascii="仿宋_GB2312" w:hAnsi="仿宋_GB2312" w:eastAsia="仿宋_GB2312" w:cs="仿宋_GB2312"/>
          <w:color w:val="000000"/>
          <w:kern w:val="0"/>
          <w:sz w:val="32"/>
          <w:szCs w:val="32"/>
          <w:highlight w:val="none"/>
        </w:rPr>
        <w:t>审批程序</w:t>
      </w:r>
      <w:r>
        <w:rPr>
          <w:rFonts w:hint="eastAsia" w:ascii="仿宋_GB2312" w:hAnsi="黑体" w:eastAsia="仿宋_GB2312"/>
          <w:bCs/>
          <w:sz w:val="32"/>
          <w:szCs w:val="32"/>
        </w:rPr>
        <w:t>规范。</w:t>
      </w:r>
      <w:r>
        <w:rPr>
          <w:rFonts w:hint="eastAsia" w:ascii="仿宋_GB2312" w:hAnsi="黑体" w:eastAsia="仿宋_GB2312"/>
          <w:bCs/>
          <w:sz w:val="32"/>
          <w:szCs w:val="32"/>
          <w:highlight w:val="none"/>
        </w:rPr>
        <w:t>在组织实施方面，严格按照项目</w:t>
      </w:r>
      <w:r>
        <w:rPr>
          <w:rFonts w:hint="eastAsia" w:ascii="仿宋_GB2312" w:hAnsi="黑体" w:eastAsia="仿宋_GB2312"/>
          <w:bCs/>
          <w:sz w:val="32"/>
          <w:szCs w:val="32"/>
          <w:highlight w:val="none"/>
          <w:lang w:val="en-US" w:eastAsia="zh-CN"/>
        </w:rPr>
        <w:t>管理规定开展实地核查、风险核查，并履行业务报批程序。</w:t>
      </w:r>
    </w:p>
    <w:p w14:paraId="246227AE">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楷体" w:hAnsi="楷体" w:eastAsia="楷体" w:cs="楷体"/>
          <w:bCs/>
          <w:sz w:val="32"/>
          <w:szCs w:val="32"/>
        </w:rPr>
      </w:pPr>
      <w:r>
        <w:rPr>
          <w:rFonts w:hint="eastAsia" w:ascii="楷体" w:hAnsi="楷体" w:eastAsia="楷体" w:cs="楷体"/>
          <w:bCs/>
          <w:sz w:val="32"/>
          <w:szCs w:val="32"/>
        </w:rPr>
        <w:t>（三）项目产出情况</w:t>
      </w:r>
    </w:p>
    <w:p w14:paraId="3B77C076">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仿宋_GB2312" w:hAnsi="黑体" w:eastAsia="仿宋_GB2312"/>
          <w:bCs/>
          <w:sz w:val="32"/>
          <w:szCs w:val="32"/>
        </w:rPr>
      </w:pPr>
      <w:r>
        <w:rPr>
          <w:rFonts w:hint="eastAsia" w:ascii="仿宋_GB2312" w:hAnsi="黑体" w:eastAsia="仿宋_GB2312"/>
          <w:bCs/>
          <w:sz w:val="32"/>
          <w:szCs w:val="32"/>
        </w:rPr>
        <w:t>项目产出指标，满分40.00分，评价得分3</w:t>
      </w:r>
      <w:r>
        <w:rPr>
          <w:rFonts w:hint="eastAsia" w:ascii="仿宋_GB2312" w:hAnsi="黑体" w:eastAsia="仿宋_GB2312"/>
          <w:bCs/>
          <w:sz w:val="32"/>
          <w:szCs w:val="32"/>
          <w:lang w:val="en-US" w:eastAsia="zh-CN"/>
        </w:rPr>
        <w:t>9</w:t>
      </w:r>
      <w:r>
        <w:rPr>
          <w:rFonts w:hint="eastAsia" w:ascii="仿宋_GB2312" w:hAnsi="黑体" w:eastAsia="仿宋_GB2312"/>
          <w:bCs/>
          <w:sz w:val="32"/>
          <w:szCs w:val="32"/>
        </w:rPr>
        <w:t>分。产出数量得分</w:t>
      </w:r>
      <w:r>
        <w:rPr>
          <w:rFonts w:hint="eastAsia" w:ascii="仿宋_GB2312" w:hAnsi="黑体" w:eastAsia="仿宋_GB2312"/>
          <w:bCs/>
          <w:sz w:val="32"/>
          <w:szCs w:val="32"/>
          <w:lang w:val="en-US" w:eastAsia="zh-CN"/>
        </w:rPr>
        <w:t>9</w:t>
      </w:r>
      <w:r>
        <w:rPr>
          <w:rFonts w:hint="eastAsia" w:ascii="仿宋_GB2312" w:hAnsi="黑体" w:eastAsia="仿宋_GB2312"/>
          <w:bCs/>
          <w:sz w:val="32"/>
          <w:szCs w:val="32"/>
        </w:rPr>
        <w:t>分，数量指标设定为</w:t>
      </w:r>
      <w:r>
        <w:rPr>
          <w:rFonts w:hint="eastAsia" w:ascii="仿宋_GB2312" w:hAnsi="仿宋_GB2312" w:eastAsia="仿宋_GB2312" w:cs="仿宋_GB2312"/>
          <w:kern w:val="0"/>
          <w:sz w:val="32"/>
          <w:szCs w:val="32"/>
        </w:rPr>
        <w:t>扶持海创</w:t>
      </w:r>
      <w:r>
        <w:rPr>
          <w:rFonts w:hint="eastAsia" w:ascii="仿宋_GB2312" w:hAnsi="仿宋_GB2312" w:eastAsia="仿宋_GB2312" w:cs="仿宋_GB2312"/>
          <w:kern w:val="0"/>
          <w:sz w:val="32"/>
          <w:szCs w:val="32"/>
          <w:lang w:val="en-US" w:eastAsia="zh-CN"/>
        </w:rPr>
        <w:t>项目</w:t>
      </w:r>
      <w:r>
        <w:rPr>
          <w:rFonts w:hint="eastAsia" w:ascii="仿宋_GB2312" w:hAnsi="仿宋_GB2312" w:eastAsia="仿宋_GB2312" w:cs="仿宋_GB2312"/>
          <w:kern w:val="0"/>
          <w:sz w:val="32"/>
          <w:szCs w:val="32"/>
        </w:rPr>
        <w:t>数量</w:t>
      </w:r>
      <w:r>
        <w:rPr>
          <w:rFonts w:hint="eastAsia" w:ascii="仿宋_GB2312" w:hAnsi="楷体_GB2312" w:eastAsia="仿宋_GB2312" w:cs="楷体_GB2312"/>
          <w:bCs/>
          <w:sz w:val="32"/>
          <w:szCs w:val="32"/>
        </w:rPr>
        <w:t>≤</w:t>
      </w:r>
      <w:r>
        <w:rPr>
          <w:rFonts w:hint="eastAsia" w:ascii="仿宋_GB2312" w:hAnsi="黑体" w:eastAsia="仿宋_GB2312"/>
          <w:bCs/>
          <w:sz w:val="32"/>
          <w:szCs w:val="32"/>
          <w:lang w:val="en-US" w:eastAsia="zh-CN"/>
        </w:rPr>
        <w:t>2</w:t>
      </w:r>
      <w:r>
        <w:rPr>
          <w:rFonts w:ascii="仿宋_GB2312" w:hAnsi="黑体" w:eastAsia="仿宋_GB2312"/>
          <w:bCs/>
          <w:sz w:val="32"/>
          <w:szCs w:val="32"/>
        </w:rPr>
        <w:t>0</w:t>
      </w:r>
      <w:r>
        <w:rPr>
          <w:rFonts w:hint="eastAsia" w:ascii="仿宋_GB2312" w:hAnsi="黑体" w:eastAsia="仿宋_GB2312"/>
          <w:bCs/>
          <w:sz w:val="32"/>
          <w:szCs w:val="32"/>
          <w:lang w:val="en-US" w:eastAsia="zh-CN"/>
        </w:rPr>
        <w:t>个，</w:t>
      </w:r>
      <w:r>
        <w:rPr>
          <w:rFonts w:hint="eastAsia" w:ascii="仿宋_GB2312" w:hAnsi="黑体" w:eastAsia="仿宋_GB2312"/>
          <w:bCs/>
          <w:sz w:val="32"/>
          <w:szCs w:val="32"/>
        </w:rPr>
        <w:t>项目全年实际</w:t>
      </w:r>
      <w:r>
        <w:rPr>
          <w:rFonts w:hint="eastAsia" w:ascii="仿宋_GB2312" w:hAnsi="黑体" w:eastAsia="仿宋_GB2312"/>
          <w:bCs/>
          <w:sz w:val="32"/>
          <w:szCs w:val="32"/>
          <w:lang w:val="en-US" w:eastAsia="zh-CN"/>
        </w:rPr>
        <w:t>扶持项目</w:t>
      </w:r>
      <w:r>
        <w:rPr>
          <w:rFonts w:hint="eastAsia" w:ascii="仿宋_GB2312" w:hAnsi="黑体" w:eastAsia="仿宋_GB2312"/>
          <w:bCs/>
          <w:sz w:val="32"/>
          <w:szCs w:val="32"/>
        </w:rPr>
        <w:t>数量</w:t>
      </w:r>
      <w:r>
        <w:rPr>
          <w:rFonts w:hint="eastAsia" w:ascii="仿宋_GB2312" w:hAnsi="黑体" w:eastAsia="仿宋_GB2312"/>
          <w:bCs/>
          <w:sz w:val="32"/>
          <w:szCs w:val="32"/>
          <w:lang w:val="en-US" w:eastAsia="zh-CN"/>
        </w:rPr>
        <w:t>10个</w:t>
      </w:r>
      <w:r>
        <w:rPr>
          <w:rFonts w:hint="eastAsia" w:ascii="仿宋_GB2312" w:hAnsi="黑体" w:eastAsia="仿宋_GB2312"/>
          <w:bCs/>
          <w:sz w:val="32"/>
          <w:szCs w:val="32"/>
        </w:rPr>
        <w:t>；产出质量指标得分10分，</w:t>
      </w:r>
      <w:r>
        <w:rPr>
          <w:rFonts w:hint="eastAsia" w:ascii="仿宋_GB2312" w:hAnsi="楷体_GB2312" w:eastAsia="仿宋_GB2312" w:cs="楷体_GB2312"/>
          <w:bCs/>
          <w:sz w:val="32"/>
          <w:szCs w:val="32"/>
        </w:rPr>
        <w:t>质量指标</w:t>
      </w:r>
      <w:r>
        <w:rPr>
          <w:rFonts w:hint="eastAsia" w:ascii="仿宋_GB2312" w:hAnsi="楷体_GB2312" w:eastAsia="仿宋_GB2312" w:cs="楷体_GB2312"/>
          <w:bCs/>
          <w:sz w:val="32"/>
          <w:szCs w:val="32"/>
          <w:lang w:val="en-US" w:eastAsia="zh-CN"/>
        </w:rPr>
        <w:t>设定为</w:t>
      </w:r>
      <w:r>
        <w:rPr>
          <w:rFonts w:hint="eastAsia" w:ascii="仿宋_GB2312" w:hAnsi="仿宋_GB2312" w:eastAsia="仿宋_GB2312" w:cs="仿宋_GB2312"/>
          <w:kern w:val="0"/>
          <w:sz w:val="32"/>
          <w:szCs w:val="32"/>
        </w:rPr>
        <w:t>扶持海创项目工作任务完成率</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50</w:t>
      </w:r>
      <w:r>
        <w:rPr>
          <w:rFonts w:hint="eastAsia" w:ascii="仿宋_GB2312" w:hAnsi="楷体_GB2312" w:eastAsia="仿宋_GB2312" w:cs="楷体_GB2312"/>
          <w:bCs/>
          <w:sz w:val="32"/>
          <w:szCs w:val="32"/>
        </w:rPr>
        <w:t>%</w:t>
      </w:r>
      <w:r>
        <w:rPr>
          <w:rFonts w:hint="eastAsia" w:ascii="仿宋_GB2312" w:hAnsi="黑体" w:eastAsia="仿宋_GB2312"/>
          <w:bCs/>
          <w:sz w:val="32"/>
          <w:szCs w:val="32"/>
        </w:rPr>
        <w:t>，全年工作事项均已开展，工作</w:t>
      </w:r>
      <w:r>
        <w:rPr>
          <w:rFonts w:hint="eastAsia" w:ascii="仿宋_GB2312" w:hAnsi="黑体" w:eastAsia="仿宋_GB2312"/>
          <w:bCs/>
          <w:sz w:val="32"/>
          <w:szCs w:val="32"/>
          <w:lang w:val="en-US" w:eastAsia="zh-CN"/>
        </w:rPr>
        <w:t>任务</w:t>
      </w:r>
      <w:r>
        <w:rPr>
          <w:rFonts w:hint="eastAsia" w:ascii="仿宋_GB2312" w:hAnsi="黑体" w:eastAsia="仿宋_GB2312"/>
          <w:bCs/>
          <w:sz w:val="32"/>
          <w:szCs w:val="32"/>
        </w:rPr>
        <w:t>完成率100%</w:t>
      </w:r>
      <w:r>
        <w:rPr>
          <w:rFonts w:hint="eastAsia" w:ascii="仿宋_GB2312" w:hAnsi="楷体_GB2312" w:eastAsia="仿宋_GB2312" w:cs="楷体_GB2312"/>
          <w:bCs/>
          <w:sz w:val="32"/>
          <w:szCs w:val="32"/>
        </w:rPr>
        <w:t>；</w:t>
      </w:r>
      <w:r>
        <w:rPr>
          <w:rFonts w:hint="eastAsia" w:ascii="仿宋_GB2312" w:hAnsi="黑体" w:eastAsia="仿宋_GB2312"/>
          <w:bCs/>
          <w:sz w:val="32"/>
          <w:szCs w:val="32"/>
        </w:rPr>
        <w:t>时效指标得分</w:t>
      </w:r>
      <w:r>
        <w:rPr>
          <w:rFonts w:hint="eastAsia" w:ascii="仿宋_GB2312" w:hAnsi="黑体" w:eastAsia="仿宋_GB2312"/>
          <w:bCs/>
          <w:sz w:val="32"/>
          <w:szCs w:val="32"/>
          <w:lang w:val="en-US" w:eastAsia="zh-CN"/>
        </w:rPr>
        <w:t>10</w:t>
      </w:r>
      <w:r>
        <w:rPr>
          <w:rFonts w:hint="eastAsia" w:ascii="仿宋_GB2312" w:hAnsi="黑体" w:eastAsia="仿宋_GB2312"/>
          <w:bCs/>
          <w:sz w:val="32"/>
          <w:szCs w:val="32"/>
        </w:rPr>
        <w:t>分，时效指标设定</w:t>
      </w:r>
      <w:r>
        <w:rPr>
          <w:rFonts w:hint="eastAsia" w:ascii="仿宋_GB2312" w:hAnsi="仿宋_GB2312" w:eastAsia="仿宋_GB2312" w:cs="仿宋_GB2312"/>
          <w:kern w:val="0"/>
          <w:sz w:val="32"/>
          <w:szCs w:val="32"/>
        </w:rPr>
        <w:t>扶持资金及时下达率</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12月，全年及时完成资金发放</w:t>
      </w:r>
      <w:r>
        <w:rPr>
          <w:rFonts w:hint="eastAsia" w:ascii="仿宋_GB2312" w:hAnsi="楷体_GB2312" w:eastAsia="仿宋_GB2312" w:cs="楷体_GB2312"/>
          <w:bCs/>
          <w:sz w:val="32"/>
          <w:szCs w:val="32"/>
        </w:rPr>
        <w:t>；</w:t>
      </w:r>
      <w:r>
        <w:rPr>
          <w:rFonts w:hint="eastAsia" w:ascii="仿宋_GB2312" w:hAnsi="黑体" w:eastAsia="仿宋_GB2312"/>
          <w:bCs/>
          <w:sz w:val="32"/>
          <w:szCs w:val="32"/>
        </w:rPr>
        <w:t>经济成本指标得分10分，指标设定为项目预算控制数≤</w:t>
      </w:r>
      <w:r>
        <w:rPr>
          <w:rFonts w:hint="eastAsia" w:ascii="仿宋_GB2312" w:hAnsi="黑体" w:eastAsia="仿宋_GB2312"/>
          <w:bCs/>
          <w:sz w:val="32"/>
          <w:szCs w:val="32"/>
          <w:lang w:val="en-US" w:eastAsia="zh-CN"/>
        </w:rPr>
        <w:t>20</w:t>
      </w:r>
      <w:r>
        <w:rPr>
          <w:rFonts w:hint="eastAsia" w:ascii="仿宋_GB2312" w:hAnsi="黑体" w:eastAsia="仿宋_GB2312"/>
          <w:bCs/>
          <w:sz w:val="32"/>
          <w:szCs w:val="32"/>
        </w:rPr>
        <w:t>0万元，</w:t>
      </w:r>
      <w:r>
        <w:rPr>
          <w:rFonts w:hint="eastAsia" w:ascii="仿宋_GB2312" w:hAnsi="仿宋_GB2312" w:eastAsia="仿宋_GB2312" w:cs="仿宋_GB2312"/>
          <w:kern w:val="0"/>
          <w:sz w:val="32"/>
          <w:szCs w:val="32"/>
        </w:rPr>
        <w:t>项目扶持标准</w:t>
      </w:r>
      <w:r>
        <w:rPr>
          <w:rFonts w:hint="eastAsia" w:ascii="仿宋_GB2312" w:hAnsi="楷体_GB2312" w:eastAsia="仿宋_GB2312" w:cs="楷体_GB2312"/>
          <w:bCs/>
          <w:sz w:val="32"/>
          <w:szCs w:val="32"/>
          <w:lang w:val="en-US" w:eastAsia="zh-CN"/>
        </w:rPr>
        <w:t>20</w:t>
      </w:r>
      <w:r>
        <w:rPr>
          <w:rFonts w:hint="eastAsia" w:ascii="仿宋_GB2312" w:hAnsi="楷体_GB2312" w:eastAsia="仿宋_GB2312" w:cs="楷体_GB2312"/>
          <w:bCs/>
          <w:sz w:val="32"/>
          <w:szCs w:val="32"/>
        </w:rPr>
        <w:t>万元</w:t>
      </w:r>
      <w:r>
        <w:rPr>
          <w:rFonts w:hint="eastAsia" w:ascii="仿宋_GB2312" w:hAnsi="楷体_GB2312" w:eastAsia="仿宋_GB2312" w:cs="楷体_GB2312"/>
          <w:bCs/>
          <w:sz w:val="32"/>
          <w:szCs w:val="32"/>
          <w:lang w:val="en-US" w:eastAsia="zh-CN"/>
        </w:rPr>
        <w:t>/个</w:t>
      </w:r>
      <w:r>
        <w:rPr>
          <w:rFonts w:hint="eastAsia" w:ascii="仿宋_GB2312" w:hAnsi="楷体_GB2312" w:eastAsia="仿宋_GB2312" w:cs="楷体_GB2312"/>
          <w:bCs/>
          <w:sz w:val="32"/>
          <w:szCs w:val="32"/>
          <w:lang w:eastAsia="zh-CN"/>
        </w:rPr>
        <w:t>，</w:t>
      </w:r>
      <w:r>
        <w:rPr>
          <w:rFonts w:hint="eastAsia" w:ascii="仿宋_GB2312" w:hAnsi="黑体" w:eastAsia="仿宋_GB2312"/>
          <w:bCs/>
          <w:sz w:val="32"/>
          <w:szCs w:val="32"/>
        </w:rPr>
        <w:t>严格</w:t>
      </w:r>
      <w:r>
        <w:rPr>
          <w:rFonts w:hint="eastAsia" w:ascii="仿宋_GB2312" w:hAnsi="黑体" w:eastAsia="仿宋_GB2312"/>
          <w:bCs/>
          <w:sz w:val="32"/>
          <w:szCs w:val="32"/>
          <w:lang w:val="en-US" w:eastAsia="zh-CN"/>
        </w:rPr>
        <w:t>按</w:t>
      </w:r>
      <w:r>
        <w:rPr>
          <w:rFonts w:hint="eastAsia" w:ascii="仿宋_GB2312" w:hAnsi="黑体" w:eastAsia="仿宋_GB2312"/>
          <w:bCs/>
          <w:sz w:val="32"/>
          <w:szCs w:val="32"/>
        </w:rPr>
        <w:t>项目</w:t>
      </w:r>
      <w:r>
        <w:rPr>
          <w:rFonts w:hint="eastAsia" w:ascii="仿宋_GB2312" w:hAnsi="黑体" w:eastAsia="仿宋_GB2312"/>
          <w:bCs/>
          <w:sz w:val="32"/>
          <w:szCs w:val="32"/>
          <w:lang w:val="en-US" w:eastAsia="zh-CN"/>
        </w:rPr>
        <w:t>标准</w:t>
      </w:r>
      <w:r>
        <w:rPr>
          <w:rFonts w:hint="eastAsia" w:ascii="仿宋_GB2312" w:hAnsi="黑体" w:eastAsia="仿宋_GB2312"/>
          <w:bCs/>
          <w:sz w:val="32"/>
          <w:szCs w:val="32"/>
        </w:rPr>
        <w:t>支出，实际成本2</w:t>
      </w:r>
      <w:r>
        <w:rPr>
          <w:rFonts w:hint="eastAsia" w:ascii="仿宋_GB2312" w:hAnsi="黑体" w:eastAsia="仿宋_GB2312"/>
          <w:bCs/>
          <w:sz w:val="32"/>
          <w:szCs w:val="32"/>
          <w:lang w:val="en-US" w:eastAsia="zh-CN"/>
        </w:rPr>
        <w:t>00</w:t>
      </w:r>
      <w:r>
        <w:rPr>
          <w:rFonts w:hint="eastAsia" w:ascii="仿宋_GB2312" w:hAnsi="黑体" w:eastAsia="仿宋_GB2312"/>
          <w:bCs/>
          <w:sz w:val="32"/>
          <w:szCs w:val="32"/>
        </w:rPr>
        <w:t>万元</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rPr>
        <w:t>绩效指标要求</w:t>
      </w:r>
      <w:r>
        <w:rPr>
          <w:rFonts w:hint="eastAsia" w:ascii="仿宋_GB2312" w:hAnsi="黑体" w:eastAsia="仿宋_GB2312"/>
          <w:bCs/>
          <w:sz w:val="32"/>
          <w:szCs w:val="32"/>
        </w:rPr>
        <w:t>。</w:t>
      </w:r>
    </w:p>
    <w:p w14:paraId="7D23FAD3">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楷体" w:hAnsi="楷体" w:eastAsia="楷体" w:cs="楷体"/>
          <w:bCs/>
          <w:sz w:val="32"/>
          <w:szCs w:val="32"/>
        </w:rPr>
      </w:pPr>
      <w:r>
        <w:rPr>
          <w:rFonts w:hint="eastAsia" w:ascii="楷体" w:hAnsi="楷体" w:eastAsia="楷体" w:cs="楷体"/>
          <w:bCs/>
          <w:sz w:val="32"/>
          <w:szCs w:val="32"/>
        </w:rPr>
        <w:t>（四）项目效益情况</w:t>
      </w:r>
    </w:p>
    <w:p w14:paraId="20DD08CE">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黑体" w:eastAsia="仿宋_GB2312"/>
          <w:bCs/>
          <w:sz w:val="32"/>
          <w:szCs w:val="32"/>
          <w:lang w:val="en-US" w:eastAsia="zh-CN"/>
        </w:rPr>
      </w:pPr>
      <w:r>
        <w:rPr>
          <w:rFonts w:hint="eastAsia" w:ascii="仿宋_GB2312" w:hAnsi="黑体" w:eastAsia="仿宋_GB2312"/>
          <w:bCs/>
          <w:sz w:val="32"/>
          <w:szCs w:val="32"/>
        </w:rPr>
        <w:t>项目效益指标，满分30.00分，评价得分2</w:t>
      </w:r>
      <w:r>
        <w:rPr>
          <w:rFonts w:hint="eastAsia" w:ascii="仿宋_GB2312" w:hAnsi="黑体" w:eastAsia="仿宋_GB2312"/>
          <w:bCs/>
          <w:sz w:val="32"/>
          <w:szCs w:val="32"/>
          <w:lang w:val="en-US" w:eastAsia="zh-CN"/>
        </w:rPr>
        <w:t>7</w:t>
      </w:r>
      <w:r>
        <w:rPr>
          <w:rFonts w:hint="eastAsia" w:ascii="仿宋_GB2312" w:hAnsi="黑体" w:eastAsia="仿宋_GB2312"/>
          <w:bCs/>
          <w:sz w:val="32"/>
          <w:szCs w:val="32"/>
        </w:rPr>
        <w:t>分。</w:t>
      </w:r>
      <w:r>
        <w:rPr>
          <w:rFonts w:hint="eastAsia" w:ascii="仿宋_GB2312" w:hAnsi="楷体_GB2312" w:eastAsia="仿宋_GB2312" w:cs="楷体_GB2312"/>
          <w:bCs/>
          <w:sz w:val="32"/>
          <w:szCs w:val="32"/>
        </w:rPr>
        <w:t>社会效益指标：引领技术创新水平和加速提升产业竞争影响力</w:t>
      </w:r>
      <w:r>
        <w:rPr>
          <w:rFonts w:hint="eastAsia" w:ascii="仿宋_GB2312" w:hAnsi="楷体_GB2312" w:eastAsia="仿宋_GB2312" w:cs="楷体_GB2312"/>
          <w:bCs/>
          <w:sz w:val="32"/>
          <w:szCs w:val="32"/>
          <w:lang w:eastAsia="zh-CN"/>
        </w:rPr>
        <w:t>，</w:t>
      </w:r>
      <w:r>
        <w:rPr>
          <w:rFonts w:hint="eastAsia" w:ascii="仿宋_GB2312" w:hAnsi="仿宋_GB2312" w:eastAsia="仿宋_GB2312" w:cs="仿宋_GB2312"/>
          <w:kern w:val="0"/>
          <w:sz w:val="32"/>
          <w:szCs w:val="32"/>
        </w:rPr>
        <w:t>引进达到国际、国内领先水平、契合北京产业发展方向、具有市场前景的创业项目数量</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1</w:t>
      </w:r>
      <w:bookmarkStart w:id="1" w:name="_GoBack"/>
      <w:bookmarkEnd w:id="1"/>
      <w:r>
        <w:rPr>
          <w:rFonts w:ascii="仿宋_GB2312" w:hAnsi="黑体" w:eastAsia="仿宋_GB2312"/>
          <w:bCs/>
          <w:sz w:val="32"/>
          <w:szCs w:val="32"/>
        </w:rPr>
        <w:t>0</w:t>
      </w:r>
      <w:r>
        <w:rPr>
          <w:rFonts w:hint="eastAsia" w:ascii="仿宋_GB2312" w:hAnsi="黑体" w:eastAsia="仿宋_GB2312"/>
          <w:bCs/>
          <w:sz w:val="32"/>
          <w:szCs w:val="32"/>
          <w:lang w:val="en-US" w:eastAsia="zh-CN"/>
        </w:rPr>
        <w:t>个</w:t>
      </w:r>
      <w:r>
        <w:rPr>
          <w:rFonts w:hint="eastAsia" w:ascii="仿宋_GB2312" w:hAnsi="楷体_GB2312" w:eastAsia="仿宋_GB2312" w:cs="楷体_GB2312"/>
          <w:bCs/>
          <w:sz w:val="32"/>
          <w:szCs w:val="32"/>
        </w:rPr>
        <w:t>。</w:t>
      </w:r>
      <w:r>
        <w:rPr>
          <w:rFonts w:hint="eastAsia" w:ascii="仿宋_GB2312" w:hAnsi="黑体" w:eastAsia="仿宋_GB2312"/>
          <w:bCs/>
          <w:sz w:val="32"/>
          <w:szCs w:val="32"/>
          <w:lang w:eastAsia="zh-CN"/>
        </w:rPr>
        <w:t>2024年</w:t>
      </w:r>
      <w:r>
        <w:rPr>
          <w:rFonts w:hint="eastAsia" w:ascii="仿宋_GB2312" w:hAnsi="黑体" w:eastAsia="仿宋_GB2312"/>
          <w:bCs/>
          <w:sz w:val="32"/>
          <w:szCs w:val="32"/>
        </w:rPr>
        <w:t>度项目效益实现情况较好，该项目</w:t>
      </w:r>
      <w:r>
        <w:rPr>
          <w:rFonts w:hint="eastAsia" w:ascii="仿宋_GB2312" w:hAnsi="黑体" w:eastAsia="仿宋_GB2312"/>
          <w:bCs/>
          <w:sz w:val="32"/>
          <w:szCs w:val="32"/>
          <w:lang w:val="en-US" w:eastAsia="zh-CN"/>
        </w:rPr>
        <w:t>扶持HICOOL全球创业大赛10个优胜奖项目在京落地</w:t>
      </w:r>
      <w:r>
        <w:rPr>
          <w:rFonts w:hint="eastAsia" w:ascii="仿宋_GB2312" w:hAnsi="黑体" w:eastAsia="仿宋_GB2312"/>
          <w:bCs/>
          <w:sz w:val="32"/>
          <w:szCs w:val="32"/>
        </w:rPr>
        <w:t>。</w:t>
      </w:r>
      <w:r>
        <w:rPr>
          <w:rFonts w:hint="eastAsia" w:ascii="仿宋_GB2312" w:hAnsi="黑体" w:eastAsia="仿宋_GB2312"/>
          <w:bCs/>
          <w:sz w:val="32"/>
          <w:szCs w:val="32"/>
          <w:lang w:val="en-US" w:eastAsia="zh-CN"/>
        </w:rPr>
        <w:t>2020年以来，HICOOL全球创业大赛已连续举办五届，累计吸引全球145个国家和地区的24171个项目、32001人报名参赛；目前，已经诞生了16家独角兽企业和157家“专精特新”企业。</w:t>
      </w:r>
    </w:p>
    <w:p w14:paraId="21EE5A0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bCs/>
          <w:sz w:val="32"/>
          <w:szCs w:val="32"/>
          <w:lang w:val="en-US" w:eastAsia="zh-CN"/>
        </w:rPr>
      </w:pPr>
      <w:r>
        <w:rPr>
          <w:rFonts w:hint="eastAsia" w:ascii="仿宋_GB2312" w:hAnsi="仿宋_GB2312" w:eastAsia="仿宋_GB2312" w:cs="仿宋_GB2312"/>
          <w:b w:val="0"/>
          <w:bCs w:val="0"/>
          <w:sz w:val="32"/>
          <w:szCs w:val="32"/>
        </w:rPr>
        <w:t>满意度指标完成情况</w:t>
      </w:r>
      <w:r>
        <w:rPr>
          <w:rFonts w:hint="eastAsia" w:ascii="仿宋_GB2312" w:hAnsi="仿宋_GB2312" w:eastAsia="仿宋_GB2312" w:cs="仿宋_GB2312"/>
          <w:b w:val="0"/>
          <w:bCs w:val="0"/>
          <w:sz w:val="32"/>
          <w:szCs w:val="32"/>
          <w:lang w:eastAsia="zh-CN"/>
        </w:rPr>
        <w:t>。</w:t>
      </w:r>
      <w:r>
        <w:rPr>
          <w:rFonts w:hint="eastAsia" w:ascii="仿宋_GB2312" w:hAnsi="楷体_GB2312" w:eastAsia="仿宋_GB2312" w:cs="楷体_GB2312"/>
          <w:bCs/>
          <w:sz w:val="32"/>
          <w:szCs w:val="32"/>
        </w:rPr>
        <w:t>服务对象满意度指标：</w:t>
      </w:r>
      <w:r>
        <w:rPr>
          <w:rFonts w:hint="eastAsia" w:ascii="仿宋_GB2312" w:hAnsi="仿宋_GB2312" w:eastAsia="仿宋_GB2312" w:cs="仿宋_GB2312"/>
          <w:kern w:val="0"/>
          <w:sz w:val="32"/>
          <w:szCs w:val="32"/>
        </w:rPr>
        <w:t>扶持对象满意度指标</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val="en-US" w:eastAsia="zh-CN"/>
        </w:rPr>
        <w:t>8</w:t>
      </w:r>
      <w:r>
        <w:rPr>
          <w:rFonts w:ascii="仿宋_GB2312" w:hAnsi="楷体_GB2312" w:eastAsia="仿宋_GB2312" w:cs="楷体_GB2312"/>
          <w:bCs/>
          <w:sz w:val="32"/>
          <w:szCs w:val="32"/>
        </w:rPr>
        <w:t>5</w:t>
      </w:r>
      <w:r>
        <w:rPr>
          <w:rFonts w:hint="eastAsia" w:ascii="仿宋_GB2312" w:hAnsi="楷体_GB2312" w:eastAsia="仿宋_GB2312" w:cs="楷体_GB2312"/>
          <w:bCs/>
          <w:sz w:val="32"/>
          <w:szCs w:val="32"/>
        </w:rPr>
        <w:t>%</w:t>
      </w:r>
      <w:r>
        <w:rPr>
          <w:rFonts w:hint="eastAsia" w:ascii="仿宋_GB2312" w:hAnsi="楷体_GB2312" w:eastAsia="仿宋_GB2312" w:cs="楷体_GB2312"/>
          <w:bCs/>
          <w:sz w:val="32"/>
          <w:szCs w:val="32"/>
          <w:lang w:eastAsia="zh-CN"/>
        </w:rPr>
        <w:t>，</w:t>
      </w:r>
      <w:r>
        <w:rPr>
          <w:rFonts w:hint="eastAsia" w:ascii="仿宋_GB2312" w:hAnsi="仿宋_GB2312" w:eastAsia="仿宋_GB2312" w:cs="仿宋_GB2312"/>
          <w:b w:val="0"/>
          <w:bCs w:val="0"/>
          <w:sz w:val="32"/>
          <w:szCs w:val="32"/>
          <w:lang w:eastAsia="zh-CN"/>
        </w:rPr>
        <w:t>经汇总抽样调查结果，本市</w:t>
      </w:r>
      <w:r>
        <w:rPr>
          <w:rFonts w:hint="eastAsia" w:ascii="仿宋_GB2312" w:hAnsi="仿宋_GB2312" w:eastAsia="仿宋_GB2312" w:cs="仿宋_GB2312"/>
          <w:b w:val="0"/>
          <w:bCs w:val="0"/>
          <w:sz w:val="32"/>
          <w:szCs w:val="32"/>
          <w:lang w:val="en-US" w:eastAsia="zh-CN"/>
        </w:rPr>
        <w:t>优胜奖扶持</w:t>
      </w:r>
      <w:r>
        <w:rPr>
          <w:rFonts w:hint="eastAsia" w:ascii="仿宋_GB2312" w:hAnsi="仿宋_GB2312" w:eastAsia="仿宋_GB2312" w:cs="仿宋_GB2312"/>
          <w:b w:val="0"/>
          <w:bCs w:val="0"/>
          <w:sz w:val="32"/>
          <w:szCs w:val="32"/>
          <w:lang w:eastAsia="zh-CN"/>
        </w:rPr>
        <w:t>企业满意度指标为</w:t>
      </w:r>
      <w:r>
        <w:rPr>
          <w:rFonts w:hint="eastAsia" w:ascii="仿宋_GB2312" w:hAnsi="仿宋_GB2312" w:eastAsia="仿宋_GB2312" w:cs="仿宋_GB2312"/>
          <w:b w:val="0"/>
          <w:bCs w:val="0"/>
          <w:sz w:val="32"/>
          <w:szCs w:val="32"/>
          <w:lang w:val="en-US" w:eastAsia="zh-CN"/>
        </w:rPr>
        <w:t>100%，</w:t>
      </w:r>
      <w:r>
        <w:rPr>
          <w:rFonts w:hint="eastAsia" w:ascii="仿宋_GB2312" w:hAnsi="仿宋_GB2312" w:eastAsia="仿宋_GB2312" w:cs="仿宋_GB2312"/>
          <w:b w:val="0"/>
          <w:bCs w:val="0"/>
          <w:sz w:val="32"/>
          <w:szCs w:val="32"/>
          <w:lang w:eastAsia="zh-CN"/>
        </w:rPr>
        <w:t>实现</w:t>
      </w:r>
      <w:r>
        <w:rPr>
          <w:rFonts w:hint="eastAsia" w:ascii="仿宋_GB2312" w:hAnsi="仿宋_GB2312" w:eastAsia="仿宋_GB2312" w:cs="仿宋_GB2312"/>
          <w:b w:val="0"/>
          <w:bCs w:val="0"/>
          <w:sz w:val="32"/>
          <w:szCs w:val="32"/>
        </w:rPr>
        <w:t>绩效指标要求。</w:t>
      </w:r>
    </w:p>
    <w:p w14:paraId="25EBC95E">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bCs/>
          <w:sz w:val="32"/>
          <w:szCs w:val="32"/>
          <w:highlight w:val="none"/>
        </w:rPr>
      </w:pPr>
      <w:r>
        <w:rPr>
          <w:rFonts w:hint="eastAsia" w:ascii="黑体" w:hAnsi="黑体" w:eastAsia="黑体"/>
          <w:bCs/>
          <w:sz w:val="32"/>
          <w:szCs w:val="32"/>
          <w:highlight w:val="none"/>
        </w:rPr>
        <w:t>五、主要经验及做法、存在的问题及原因分析</w:t>
      </w:r>
    </w:p>
    <w:p w14:paraId="4F718EED">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楷体" w:hAnsi="楷体" w:eastAsia="楷体" w:cs="楷体"/>
          <w:bCs/>
          <w:sz w:val="32"/>
          <w:szCs w:val="32"/>
        </w:rPr>
      </w:pPr>
      <w:r>
        <w:rPr>
          <w:rFonts w:hint="eastAsia" w:ascii="楷体" w:hAnsi="楷体" w:eastAsia="楷体" w:cs="楷体"/>
          <w:bCs/>
          <w:sz w:val="32"/>
          <w:szCs w:val="32"/>
        </w:rPr>
        <w:t>（一）主要经验及做法</w:t>
      </w:r>
    </w:p>
    <w:p w14:paraId="6E33DDEF">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黑体" w:eastAsia="仿宋_GB2312"/>
          <w:bCs/>
          <w:sz w:val="32"/>
          <w:szCs w:val="32"/>
          <w:highlight w:val="cyan"/>
        </w:rPr>
      </w:pPr>
      <w:r>
        <w:rPr>
          <w:rFonts w:hint="eastAsia" w:ascii="仿宋_GB2312" w:hAnsi="黑体" w:eastAsia="仿宋_GB2312"/>
          <w:bCs/>
          <w:sz w:val="32"/>
          <w:szCs w:val="32"/>
          <w:highlight w:val="none"/>
          <w:lang w:val="en-US" w:eastAsia="zh-CN"/>
        </w:rPr>
        <w:t>优化项目实施流程管理，材料</w:t>
      </w:r>
      <w:r>
        <w:rPr>
          <w:rFonts w:hint="eastAsia" w:ascii="仿宋_GB2312" w:hAnsi="黑体" w:eastAsia="仿宋_GB2312"/>
          <w:bCs/>
          <w:sz w:val="32"/>
          <w:szCs w:val="32"/>
          <w:highlight w:val="none"/>
        </w:rPr>
        <w:t>审核前置，提前了解项目的基本情况，提升</w:t>
      </w:r>
      <w:r>
        <w:rPr>
          <w:rFonts w:hint="eastAsia" w:ascii="仿宋_GB2312" w:hAnsi="黑体" w:eastAsia="仿宋_GB2312"/>
          <w:bCs/>
          <w:sz w:val="32"/>
          <w:szCs w:val="32"/>
          <w:highlight w:val="none"/>
          <w:lang w:val="en-US" w:eastAsia="zh-CN"/>
        </w:rPr>
        <w:t>后续</w:t>
      </w:r>
      <w:r>
        <w:rPr>
          <w:rFonts w:hint="eastAsia" w:ascii="仿宋_GB2312" w:hAnsi="黑体" w:eastAsia="仿宋_GB2312"/>
          <w:bCs/>
          <w:sz w:val="32"/>
          <w:szCs w:val="32"/>
          <w:highlight w:val="none"/>
        </w:rPr>
        <w:t>走访调查的针对性</w:t>
      </w:r>
      <w:r>
        <w:rPr>
          <w:rFonts w:hint="eastAsia" w:ascii="仿宋_GB2312" w:hAnsi="黑体" w:eastAsia="仿宋_GB2312"/>
          <w:bCs/>
          <w:sz w:val="32"/>
          <w:szCs w:val="32"/>
          <w:highlight w:val="none"/>
          <w:lang w:eastAsia="zh-CN"/>
        </w:rPr>
        <w:t>。</w:t>
      </w:r>
      <w:r>
        <w:rPr>
          <w:rFonts w:hint="eastAsia" w:ascii="仿宋_GB2312" w:hAnsi="黑体" w:eastAsia="仿宋_GB2312"/>
          <w:bCs/>
          <w:sz w:val="32"/>
          <w:szCs w:val="32"/>
          <w:highlight w:val="none"/>
          <w:lang w:val="en-US" w:eastAsia="zh-CN"/>
        </w:rPr>
        <w:t>材料</w:t>
      </w:r>
      <w:r>
        <w:rPr>
          <w:rFonts w:hint="eastAsia" w:ascii="仿宋_GB2312" w:hAnsi="黑体" w:eastAsia="仿宋_GB2312"/>
          <w:bCs/>
          <w:sz w:val="32"/>
          <w:szCs w:val="32"/>
          <w:highlight w:val="none"/>
          <w:lang w:eastAsia="zh-CN"/>
        </w:rPr>
        <w:t>交叉审核，提高审核的准确性，增强审核的透明度，保障审核的公正性和可靠性。规范材料审核和现场走访的流程，确保各项工作的标准化和一致性，提高</w:t>
      </w:r>
      <w:r>
        <w:rPr>
          <w:rFonts w:hint="eastAsia" w:ascii="仿宋_GB2312" w:hAnsi="黑体" w:eastAsia="仿宋_GB2312"/>
          <w:bCs/>
          <w:sz w:val="32"/>
          <w:szCs w:val="32"/>
          <w:highlight w:val="none"/>
          <w:lang w:val="en-US" w:eastAsia="zh-CN"/>
        </w:rPr>
        <w:t>了</w:t>
      </w:r>
      <w:r>
        <w:rPr>
          <w:rFonts w:hint="eastAsia" w:ascii="仿宋_GB2312" w:hAnsi="黑体" w:eastAsia="仿宋_GB2312"/>
          <w:bCs/>
          <w:sz w:val="32"/>
          <w:szCs w:val="32"/>
          <w:highlight w:val="none"/>
          <w:lang w:eastAsia="zh-CN"/>
        </w:rPr>
        <w:t>工作效率，使得整个核验过程更加严谨有序。</w:t>
      </w:r>
    </w:p>
    <w:p w14:paraId="7471AFED">
      <w:pPr>
        <w:keepNext w:val="0"/>
        <w:keepLines w:val="0"/>
        <w:pageBreakBefore w:val="0"/>
        <w:widowControl w:val="0"/>
        <w:numPr>
          <w:ilvl w:val="0"/>
          <w:numId w:val="8"/>
        </w:numPr>
        <w:kinsoku/>
        <w:wordWrap/>
        <w:overflowPunct/>
        <w:topLinePunct w:val="0"/>
        <w:autoSpaceDE/>
        <w:autoSpaceDN/>
        <w:bidi w:val="0"/>
        <w:spacing w:line="560" w:lineRule="exact"/>
        <w:ind w:firstLine="640" w:firstLineChars="200"/>
        <w:textAlignment w:val="auto"/>
        <w:outlineLvl w:val="0"/>
        <w:rPr>
          <w:rFonts w:hint="eastAsia" w:ascii="楷体" w:hAnsi="楷体" w:eastAsia="楷体" w:cs="楷体"/>
          <w:bCs/>
          <w:sz w:val="32"/>
          <w:szCs w:val="32"/>
        </w:rPr>
      </w:pPr>
      <w:r>
        <w:rPr>
          <w:rFonts w:hint="eastAsia" w:ascii="楷体" w:hAnsi="楷体" w:eastAsia="楷体" w:cs="楷体"/>
          <w:bCs/>
          <w:sz w:val="32"/>
          <w:szCs w:val="32"/>
        </w:rPr>
        <w:t>存在的问题及原因</w:t>
      </w:r>
    </w:p>
    <w:p w14:paraId="5ED89A87">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default" w:ascii="仿宋_GB2312" w:hAnsi="黑体" w:eastAsia="仿宋_GB2312"/>
          <w:bCs/>
          <w:sz w:val="32"/>
          <w:szCs w:val="32"/>
          <w:lang w:val="en-US" w:eastAsia="zh-CN"/>
        </w:rPr>
      </w:pPr>
      <w:r>
        <w:rPr>
          <w:rFonts w:hint="eastAsia" w:ascii="仿宋_GB2312" w:hAnsi="黑体" w:eastAsia="仿宋_GB2312"/>
          <w:bCs/>
          <w:sz w:val="32"/>
          <w:szCs w:val="32"/>
          <w:highlight w:val="none"/>
          <w:lang w:val="en-US" w:eastAsia="zh-CN"/>
        </w:rPr>
        <w:t>按照相关政策规定，HICOOL全球创业大赛获奖项目在京实际落地运营后方可兑现奖励资金，项目落地时间不确定，奖励资金支付时间较难判断。</w:t>
      </w:r>
    </w:p>
    <w:p w14:paraId="2F1F9FD9">
      <w:pPr>
        <w:keepNext w:val="0"/>
        <w:keepLines w:val="0"/>
        <w:pageBreakBefore w:val="0"/>
        <w:widowControl w:val="0"/>
        <w:numPr>
          <w:ilvl w:val="0"/>
          <w:numId w:val="9"/>
        </w:numPr>
        <w:kinsoku/>
        <w:wordWrap/>
        <w:overflowPunct/>
        <w:topLinePunct w:val="0"/>
        <w:autoSpaceDE/>
        <w:autoSpaceDN/>
        <w:bidi w:val="0"/>
        <w:spacing w:line="560" w:lineRule="exact"/>
        <w:ind w:firstLine="640" w:firstLineChars="200"/>
        <w:textAlignment w:val="auto"/>
        <w:outlineLvl w:val="0"/>
        <w:rPr>
          <w:rFonts w:hint="eastAsia" w:ascii="黑体" w:hAnsi="黑体" w:eastAsia="黑体"/>
          <w:bCs/>
          <w:sz w:val="32"/>
          <w:szCs w:val="32"/>
          <w:highlight w:val="none"/>
        </w:rPr>
      </w:pPr>
      <w:r>
        <w:rPr>
          <w:rFonts w:hint="eastAsia" w:ascii="黑体" w:hAnsi="黑体" w:eastAsia="黑体"/>
          <w:bCs/>
          <w:sz w:val="32"/>
          <w:szCs w:val="32"/>
          <w:highlight w:val="none"/>
        </w:rPr>
        <w:t>有关建议</w:t>
      </w:r>
    </w:p>
    <w:p w14:paraId="153AD117">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default" w:ascii="黑体" w:hAnsi="黑体" w:eastAsia="黑体"/>
          <w:bCs/>
          <w:sz w:val="32"/>
          <w:szCs w:val="32"/>
          <w:highlight w:val="cyan"/>
          <w:lang w:val="en-US" w:eastAsia="zh-CN"/>
        </w:rPr>
      </w:pPr>
      <w:r>
        <w:rPr>
          <w:rFonts w:hint="eastAsia" w:ascii="仿宋_GB2312" w:hAnsi="黑体" w:eastAsia="仿宋_GB2312" w:cs="Times New Roman"/>
          <w:bCs/>
          <w:sz w:val="32"/>
          <w:szCs w:val="32"/>
          <w:highlight w:val="none"/>
          <w:lang w:val="en-US" w:eastAsia="zh-CN"/>
        </w:rPr>
        <w:t>深化项目服务跟踪，实时掌握项目动态，在项目落地的关键阶段，提供包括政策解读、业务指导、资源对接在内的全方位服务，加速项目落地进程。</w:t>
      </w:r>
    </w:p>
    <w:p w14:paraId="0CEAACC1">
      <w:pPr>
        <w:spacing w:line="560" w:lineRule="exact"/>
        <w:ind w:firstLine="640" w:firstLineChars="200"/>
        <w:outlineLvl w:val="0"/>
        <w:rPr>
          <w:rFonts w:hint="eastAsia" w:ascii="仿宋_GB2312" w:hAnsi="黑体" w:eastAsia="仿宋_GB2312"/>
          <w:bCs/>
          <w:sz w:val="32"/>
          <w:szCs w:val="32"/>
        </w:rPr>
      </w:pPr>
    </w:p>
    <w:sectPr>
      <w:headerReference r:id="rId3" w:type="default"/>
      <w:footerReference r:id="rId4"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04CCD">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23F905">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23F905">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v:textbox>
            </v:shape>
          </w:pict>
        </mc:Fallback>
      </mc:AlternateContent>
    </w:r>
  </w:p>
  <w:p w14:paraId="61DF7E4F">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11CE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12000"/>
    <w:multiLevelType w:val="multilevel"/>
    <w:tmpl w:val="0111200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723497"/>
    <w:multiLevelType w:val="multilevel"/>
    <w:tmpl w:val="1372349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ABB1EE5"/>
    <w:multiLevelType w:val="singleLevel"/>
    <w:tmpl w:val="1ABB1EE5"/>
    <w:lvl w:ilvl="0" w:tentative="0">
      <w:start w:val="2"/>
      <w:numFmt w:val="chineseCounting"/>
      <w:suff w:val="nothing"/>
      <w:lvlText w:val="（%1）"/>
      <w:lvlJc w:val="left"/>
      <w:rPr>
        <w:rFonts w:hint="eastAsia"/>
      </w:rPr>
    </w:lvl>
  </w:abstractNum>
  <w:abstractNum w:abstractNumId="3">
    <w:nsid w:val="1EEB45A9"/>
    <w:multiLevelType w:val="multilevel"/>
    <w:tmpl w:val="1EEB45A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0AA64DD"/>
    <w:multiLevelType w:val="multilevel"/>
    <w:tmpl w:val="20AA64DD"/>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B35431F"/>
    <w:multiLevelType w:val="multilevel"/>
    <w:tmpl w:val="2B35431F"/>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7C11D6B"/>
    <w:multiLevelType w:val="multilevel"/>
    <w:tmpl w:val="37C11D6B"/>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C873697"/>
    <w:multiLevelType w:val="multilevel"/>
    <w:tmpl w:val="3C87369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205F405"/>
    <w:multiLevelType w:val="singleLevel"/>
    <w:tmpl w:val="4205F405"/>
    <w:lvl w:ilvl="0" w:tentative="0">
      <w:start w:val="6"/>
      <w:numFmt w:val="chineseCounting"/>
      <w:suff w:val="nothing"/>
      <w:lvlText w:val="%1、"/>
      <w:lvlJc w:val="left"/>
      <w:rPr>
        <w:rFonts w:hint="eastAsia"/>
      </w:rPr>
    </w:lvl>
  </w:abstractNum>
  <w:num w:numId="1">
    <w:abstractNumId w:val="3"/>
  </w:num>
  <w:num w:numId="2">
    <w:abstractNumId w:val="7"/>
  </w:num>
  <w:num w:numId="3">
    <w:abstractNumId w:val="6"/>
  </w:num>
  <w:num w:numId="4">
    <w:abstractNumId w:val="5"/>
  </w:num>
  <w:num w:numId="5">
    <w:abstractNumId w:val="0"/>
  </w:num>
  <w:num w:numId="6">
    <w:abstractNumId w:val="1"/>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00AD2"/>
    <w:rsid w:val="00001506"/>
    <w:rsid w:val="0000496A"/>
    <w:rsid w:val="00004C1B"/>
    <w:rsid w:val="00006473"/>
    <w:rsid w:val="0000735A"/>
    <w:rsid w:val="000155EB"/>
    <w:rsid w:val="00016287"/>
    <w:rsid w:val="00016E15"/>
    <w:rsid w:val="0001712F"/>
    <w:rsid w:val="000175C2"/>
    <w:rsid w:val="00020BA3"/>
    <w:rsid w:val="00022A76"/>
    <w:rsid w:val="00023927"/>
    <w:rsid w:val="00024FC1"/>
    <w:rsid w:val="00025506"/>
    <w:rsid w:val="00027058"/>
    <w:rsid w:val="0003182C"/>
    <w:rsid w:val="00034B4E"/>
    <w:rsid w:val="00037326"/>
    <w:rsid w:val="00040976"/>
    <w:rsid w:val="00044A03"/>
    <w:rsid w:val="000464B5"/>
    <w:rsid w:val="00050757"/>
    <w:rsid w:val="00052928"/>
    <w:rsid w:val="0005599F"/>
    <w:rsid w:val="0005672F"/>
    <w:rsid w:val="00060933"/>
    <w:rsid w:val="00062983"/>
    <w:rsid w:val="00074A08"/>
    <w:rsid w:val="00076020"/>
    <w:rsid w:val="00077C55"/>
    <w:rsid w:val="000803D3"/>
    <w:rsid w:val="00081278"/>
    <w:rsid w:val="00081FB6"/>
    <w:rsid w:val="00084924"/>
    <w:rsid w:val="00087828"/>
    <w:rsid w:val="00090DD2"/>
    <w:rsid w:val="00095E86"/>
    <w:rsid w:val="000A4A31"/>
    <w:rsid w:val="000A5462"/>
    <w:rsid w:val="000A75B1"/>
    <w:rsid w:val="000B55A3"/>
    <w:rsid w:val="000C1FE1"/>
    <w:rsid w:val="000C31B7"/>
    <w:rsid w:val="000C3606"/>
    <w:rsid w:val="000C43B5"/>
    <w:rsid w:val="000C5EA9"/>
    <w:rsid w:val="000D0757"/>
    <w:rsid w:val="000D1860"/>
    <w:rsid w:val="000D1C74"/>
    <w:rsid w:val="000D4B85"/>
    <w:rsid w:val="000D4CB1"/>
    <w:rsid w:val="000D4E7E"/>
    <w:rsid w:val="000E2EEE"/>
    <w:rsid w:val="000E44E0"/>
    <w:rsid w:val="000E454E"/>
    <w:rsid w:val="000F1490"/>
    <w:rsid w:val="000F2B50"/>
    <w:rsid w:val="000F4727"/>
    <w:rsid w:val="001034E2"/>
    <w:rsid w:val="00103B30"/>
    <w:rsid w:val="00104882"/>
    <w:rsid w:val="00104B2A"/>
    <w:rsid w:val="001053C0"/>
    <w:rsid w:val="001060C0"/>
    <w:rsid w:val="00107883"/>
    <w:rsid w:val="0011179B"/>
    <w:rsid w:val="00112C32"/>
    <w:rsid w:val="00113212"/>
    <w:rsid w:val="00113679"/>
    <w:rsid w:val="001166A2"/>
    <w:rsid w:val="0011677B"/>
    <w:rsid w:val="00121CDE"/>
    <w:rsid w:val="0012323B"/>
    <w:rsid w:val="00127BB9"/>
    <w:rsid w:val="00131847"/>
    <w:rsid w:val="00131964"/>
    <w:rsid w:val="00133337"/>
    <w:rsid w:val="001403B8"/>
    <w:rsid w:val="00140A6D"/>
    <w:rsid w:val="00140A84"/>
    <w:rsid w:val="00141FEB"/>
    <w:rsid w:val="00145905"/>
    <w:rsid w:val="00146A24"/>
    <w:rsid w:val="0015154D"/>
    <w:rsid w:val="00151ABA"/>
    <w:rsid w:val="00153363"/>
    <w:rsid w:val="001537D7"/>
    <w:rsid w:val="00157773"/>
    <w:rsid w:val="001608D9"/>
    <w:rsid w:val="001616CD"/>
    <w:rsid w:val="001639EB"/>
    <w:rsid w:val="0016558D"/>
    <w:rsid w:val="00165B4F"/>
    <w:rsid w:val="0016619C"/>
    <w:rsid w:val="001661E9"/>
    <w:rsid w:val="001673CC"/>
    <w:rsid w:val="00167CD5"/>
    <w:rsid w:val="0017101D"/>
    <w:rsid w:val="00171B42"/>
    <w:rsid w:val="0017280E"/>
    <w:rsid w:val="00172B86"/>
    <w:rsid w:val="00172E0F"/>
    <w:rsid w:val="0017435D"/>
    <w:rsid w:val="00175D77"/>
    <w:rsid w:val="0018114B"/>
    <w:rsid w:val="001811A4"/>
    <w:rsid w:val="00183349"/>
    <w:rsid w:val="00185150"/>
    <w:rsid w:val="001870FB"/>
    <w:rsid w:val="00193D94"/>
    <w:rsid w:val="001A0657"/>
    <w:rsid w:val="001A16B2"/>
    <w:rsid w:val="001A435D"/>
    <w:rsid w:val="001A70C8"/>
    <w:rsid w:val="001B03D0"/>
    <w:rsid w:val="001B0CF9"/>
    <w:rsid w:val="001B2DC7"/>
    <w:rsid w:val="001B5719"/>
    <w:rsid w:val="001C335D"/>
    <w:rsid w:val="001C38EE"/>
    <w:rsid w:val="001C4AAD"/>
    <w:rsid w:val="001C570C"/>
    <w:rsid w:val="001C5DD4"/>
    <w:rsid w:val="001C6DC3"/>
    <w:rsid w:val="001C757E"/>
    <w:rsid w:val="001C7BA2"/>
    <w:rsid w:val="001D3A0C"/>
    <w:rsid w:val="001D7D77"/>
    <w:rsid w:val="001E1D7E"/>
    <w:rsid w:val="001E6364"/>
    <w:rsid w:val="001E6BF6"/>
    <w:rsid w:val="001F24BB"/>
    <w:rsid w:val="001F2F17"/>
    <w:rsid w:val="00202A41"/>
    <w:rsid w:val="00203DB5"/>
    <w:rsid w:val="00204BC5"/>
    <w:rsid w:val="00205FD1"/>
    <w:rsid w:val="00206275"/>
    <w:rsid w:val="00206F75"/>
    <w:rsid w:val="00207107"/>
    <w:rsid w:val="002072DC"/>
    <w:rsid w:val="00211809"/>
    <w:rsid w:val="002141A5"/>
    <w:rsid w:val="00216417"/>
    <w:rsid w:val="002172F4"/>
    <w:rsid w:val="002179C9"/>
    <w:rsid w:val="00217EEE"/>
    <w:rsid w:val="00221168"/>
    <w:rsid w:val="00222345"/>
    <w:rsid w:val="00225D81"/>
    <w:rsid w:val="00230728"/>
    <w:rsid w:val="0023078C"/>
    <w:rsid w:val="00232790"/>
    <w:rsid w:val="00232CEF"/>
    <w:rsid w:val="00236D0E"/>
    <w:rsid w:val="0024130D"/>
    <w:rsid w:val="002413E2"/>
    <w:rsid w:val="00241F25"/>
    <w:rsid w:val="002439C6"/>
    <w:rsid w:val="00246280"/>
    <w:rsid w:val="002506EC"/>
    <w:rsid w:val="00254732"/>
    <w:rsid w:val="00254B57"/>
    <w:rsid w:val="00257734"/>
    <w:rsid w:val="002578BF"/>
    <w:rsid w:val="0025799D"/>
    <w:rsid w:val="002604F1"/>
    <w:rsid w:val="00264361"/>
    <w:rsid w:val="002649BE"/>
    <w:rsid w:val="002702AD"/>
    <w:rsid w:val="002735FB"/>
    <w:rsid w:val="00273E87"/>
    <w:rsid w:val="00274C39"/>
    <w:rsid w:val="00276C30"/>
    <w:rsid w:val="002779BA"/>
    <w:rsid w:val="0028220C"/>
    <w:rsid w:val="0028756B"/>
    <w:rsid w:val="002932E8"/>
    <w:rsid w:val="00294054"/>
    <w:rsid w:val="00294B29"/>
    <w:rsid w:val="002A02CC"/>
    <w:rsid w:val="002A121C"/>
    <w:rsid w:val="002A13C3"/>
    <w:rsid w:val="002A1AC0"/>
    <w:rsid w:val="002A6650"/>
    <w:rsid w:val="002A6837"/>
    <w:rsid w:val="002B206B"/>
    <w:rsid w:val="002B3942"/>
    <w:rsid w:val="002B7189"/>
    <w:rsid w:val="002C2410"/>
    <w:rsid w:val="002C7BCE"/>
    <w:rsid w:val="002D36ED"/>
    <w:rsid w:val="002D7FF3"/>
    <w:rsid w:val="002E3234"/>
    <w:rsid w:val="002E4D00"/>
    <w:rsid w:val="002E559A"/>
    <w:rsid w:val="002E586B"/>
    <w:rsid w:val="002E60C6"/>
    <w:rsid w:val="002E6401"/>
    <w:rsid w:val="0030045F"/>
    <w:rsid w:val="00302CF7"/>
    <w:rsid w:val="00302DE1"/>
    <w:rsid w:val="003078C5"/>
    <w:rsid w:val="00307F6E"/>
    <w:rsid w:val="0031044B"/>
    <w:rsid w:val="00313138"/>
    <w:rsid w:val="0031423C"/>
    <w:rsid w:val="003150D4"/>
    <w:rsid w:val="0031680F"/>
    <w:rsid w:val="003176CE"/>
    <w:rsid w:val="00317A4D"/>
    <w:rsid w:val="00317F1E"/>
    <w:rsid w:val="003224D6"/>
    <w:rsid w:val="003240DB"/>
    <w:rsid w:val="00335785"/>
    <w:rsid w:val="003365B7"/>
    <w:rsid w:val="00337464"/>
    <w:rsid w:val="0033773D"/>
    <w:rsid w:val="003378D6"/>
    <w:rsid w:val="003425E2"/>
    <w:rsid w:val="00343BE7"/>
    <w:rsid w:val="00351570"/>
    <w:rsid w:val="00351656"/>
    <w:rsid w:val="003538F9"/>
    <w:rsid w:val="00355A49"/>
    <w:rsid w:val="00360C71"/>
    <w:rsid w:val="00360E33"/>
    <w:rsid w:val="0036129F"/>
    <w:rsid w:val="00361D67"/>
    <w:rsid w:val="00361D74"/>
    <w:rsid w:val="00362E80"/>
    <w:rsid w:val="00365881"/>
    <w:rsid w:val="0036612D"/>
    <w:rsid w:val="00366436"/>
    <w:rsid w:val="00366CDD"/>
    <w:rsid w:val="00370DC9"/>
    <w:rsid w:val="0037745C"/>
    <w:rsid w:val="00382125"/>
    <w:rsid w:val="003823CB"/>
    <w:rsid w:val="00385E1F"/>
    <w:rsid w:val="00390143"/>
    <w:rsid w:val="003907B3"/>
    <w:rsid w:val="00394F83"/>
    <w:rsid w:val="0039602D"/>
    <w:rsid w:val="003A1DD0"/>
    <w:rsid w:val="003A20C4"/>
    <w:rsid w:val="003A2614"/>
    <w:rsid w:val="003A347A"/>
    <w:rsid w:val="003B2150"/>
    <w:rsid w:val="003B3350"/>
    <w:rsid w:val="003B374D"/>
    <w:rsid w:val="003B3F13"/>
    <w:rsid w:val="003B4311"/>
    <w:rsid w:val="003C089E"/>
    <w:rsid w:val="003C1721"/>
    <w:rsid w:val="003C470D"/>
    <w:rsid w:val="003C5383"/>
    <w:rsid w:val="003D08AB"/>
    <w:rsid w:val="003D1C84"/>
    <w:rsid w:val="003D2D10"/>
    <w:rsid w:val="003D3868"/>
    <w:rsid w:val="003D4532"/>
    <w:rsid w:val="003D5CC0"/>
    <w:rsid w:val="003D69DB"/>
    <w:rsid w:val="003E0531"/>
    <w:rsid w:val="003E1994"/>
    <w:rsid w:val="003E37F1"/>
    <w:rsid w:val="003E5090"/>
    <w:rsid w:val="003E6416"/>
    <w:rsid w:val="003F00B5"/>
    <w:rsid w:val="003F6AFC"/>
    <w:rsid w:val="0040087C"/>
    <w:rsid w:val="004024EC"/>
    <w:rsid w:val="00402FA1"/>
    <w:rsid w:val="00403834"/>
    <w:rsid w:val="00407A2C"/>
    <w:rsid w:val="00416D9B"/>
    <w:rsid w:val="0042566C"/>
    <w:rsid w:val="004261F2"/>
    <w:rsid w:val="00426526"/>
    <w:rsid w:val="0043289E"/>
    <w:rsid w:val="00434A45"/>
    <w:rsid w:val="00435EA9"/>
    <w:rsid w:val="0043664E"/>
    <w:rsid w:val="00437393"/>
    <w:rsid w:val="00442B45"/>
    <w:rsid w:val="00444B39"/>
    <w:rsid w:val="004462A8"/>
    <w:rsid w:val="00447E07"/>
    <w:rsid w:val="0045227D"/>
    <w:rsid w:val="00452A50"/>
    <w:rsid w:val="004535AC"/>
    <w:rsid w:val="004539A1"/>
    <w:rsid w:val="00455315"/>
    <w:rsid w:val="00455C91"/>
    <w:rsid w:val="0045661F"/>
    <w:rsid w:val="0045693F"/>
    <w:rsid w:val="00464D28"/>
    <w:rsid w:val="00464FF0"/>
    <w:rsid w:val="00465649"/>
    <w:rsid w:val="004719B0"/>
    <w:rsid w:val="004745F6"/>
    <w:rsid w:val="004753A6"/>
    <w:rsid w:val="00475C49"/>
    <w:rsid w:val="00477B04"/>
    <w:rsid w:val="00477F40"/>
    <w:rsid w:val="004833FB"/>
    <w:rsid w:val="00485732"/>
    <w:rsid w:val="00490817"/>
    <w:rsid w:val="004953A8"/>
    <w:rsid w:val="004966F3"/>
    <w:rsid w:val="004975D6"/>
    <w:rsid w:val="004A2186"/>
    <w:rsid w:val="004A3398"/>
    <w:rsid w:val="004A41ED"/>
    <w:rsid w:val="004A43C8"/>
    <w:rsid w:val="004A560C"/>
    <w:rsid w:val="004A57C8"/>
    <w:rsid w:val="004B2BD9"/>
    <w:rsid w:val="004B3B7B"/>
    <w:rsid w:val="004B50EE"/>
    <w:rsid w:val="004B6299"/>
    <w:rsid w:val="004C2861"/>
    <w:rsid w:val="004C521E"/>
    <w:rsid w:val="004C7F37"/>
    <w:rsid w:val="004D078B"/>
    <w:rsid w:val="004D39A8"/>
    <w:rsid w:val="004E0E5F"/>
    <w:rsid w:val="004E178D"/>
    <w:rsid w:val="004E208C"/>
    <w:rsid w:val="004E737B"/>
    <w:rsid w:val="004E762C"/>
    <w:rsid w:val="004E7FEA"/>
    <w:rsid w:val="004F1C06"/>
    <w:rsid w:val="004F3D44"/>
    <w:rsid w:val="004F3E8E"/>
    <w:rsid w:val="004F46D1"/>
    <w:rsid w:val="004F56D1"/>
    <w:rsid w:val="004F6074"/>
    <w:rsid w:val="004F6517"/>
    <w:rsid w:val="005003C7"/>
    <w:rsid w:val="00501CFF"/>
    <w:rsid w:val="00502E6A"/>
    <w:rsid w:val="00503030"/>
    <w:rsid w:val="00505941"/>
    <w:rsid w:val="00506C9E"/>
    <w:rsid w:val="00507866"/>
    <w:rsid w:val="00507B71"/>
    <w:rsid w:val="005121C2"/>
    <w:rsid w:val="00513A0E"/>
    <w:rsid w:val="00513AEE"/>
    <w:rsid w:val="00515553"/>
    <w:rsid w:val="00515896"/>
    <w:rsid w:val="005216F6"/>
    <w:rsid w:val="0053074A"/>
    <w:rsid w:val="00533A2A"/>
    <w:rsid w:val="00533B75"/>
    <w:rsid w:val="00535F8C"/>
    <w:rsid w:val="00536FA6"/>
    <w:rsid w:val="005414D1"/>
    <w:rsid w:val="00541DFC"/>
    <w:rsid w:val="00545600"/>
    <w:rsid w:val="00545E96"/>
    <w:rsid w:val="00546A1B"/>
    <w:rsid w:val="005528A0"/>
    <w:rsid w:val="00553700"/>
    <w:rsid w:val="00557027"/>
    <w:rsid w:val="00557D7E"/>
    <w:rsid w:val="00560305"/>
    <w:rsid w:val="00562936"/>
    <w:rsid w:val="005649F6"/>
    <w:rsid w:val="00565A97"/>
    <w:rsid w:val="0056618F"/>
    <w:rsid w:val="0056703D"/>
    <w:rsid w:val="00567693"/>
    <w:rsid w:val="00571D25"/>
    <w:rsid w:val="005729F0"/>
    <w:rsid w:val="00583544"/>
    <w:rsid w:val="00584559"/>
    <w:rsid w:val="00585D29"/>
    <w:rsid w:val="00587142"/>
    <w:rsid w:val="0059149A"/>
    <w:rsid w:val="005A35B6"/>
    <w:rsid w:val="005A4066"/>
    <w:rsid w:val="005A582A"/>
    <w:rsid w:val="005A692F"/>
    <w:rsid w:val="005B2F35"/>
    <w:rsid w:val="005B3E00"/>
    <w:rsid w:val="005B4DC5"/>
    <w:rsid w:val="005B59B9"/>
    <w:rsid w:val="005B5C81"/>
    <w:rsid w:val="005B644D"/>
    <w:rsid w:val="005C34FA"/>
    <w:rsid w:val="005C74BC"/>
    <w:rsid w:val="005D06B6"/>
    <w:rsid w:val="005D38F4"/>
    <w:rsid w:val="005D42B3"/>
    <w:rsid w:val="005D6B0E"/>
    <w:rsid w:val="005E26E3"/>
    <w:rsid w:val="005E27EB"/>
    <w:rsid w:val="005E3BB2"/>
    <w:rsid w:val="005E3F3F"/>
    <w:rsid w:val="005F0B5C"/>
    <w:rsid w:val="005F236D"/>
    <w:rsid w:val="005F27A5"/>
    <w:rsid w:val="005F605F"/>
    <w:rsid w:val="005F7396"/>
    <w:rsid w:val="006063B2"/>
    <w:rsid w:val="00611959"/>
    <w:rsid w:val="006156B6"/>
    <w:rsid w:val="00615938"/>
    <w:rsid w:val="006163F5"/>
    <w:rsid w:val="00617048"/>
    <w:rsid w:val="0061747F"/>
    <w:rsid w:val="00617A67"/>
    <w:rsid w:val="00617E32"/>
    <w:rsid w:val="00626F11"/>
    <w:rsid w:val="00631215"/>
    <w:rsid w:val="0063317A"/>
    <w:rsid w:val="00634881"/>
    <w:rsid w:val="00640635"/>
    <w:rsid w:val="006469D9"/>
    <w:rsid w:val="006520D1"/>
    <w:rsid w:val="00656FA4"/>
    <w:rsid w:val="00657208"/>
    <w:rsid w:val="00662AE9"/>
    <w:rsid w:val="00666EE3"/>
    <w:rsid w:val="00670064"/>
    <w:rsid w:val="00671ACF"/>
    <w:rsid w:val="0067277B"/>
    <w:rsid w:val="00676111"/>
    <w:rsid w:val="00677D8E"/>
    <w:rsid w:val="00680654"/>
    <w:rsid w:val="0068221F"/>
    <w:rsid w:val="006852E8"/>
    <w:rsid w:val="0068592B"/>
    <w:rsid w:val="00685FFA"/>
    <w:rsid w:val="00691E91"/>
    <w:rsid w:val="006926EB"/>
    <w:rsid w:val="006A153C"/>
    <w:rsid w:val="006A740F"/>
    <w:rsid w:val="006A77E7"/>
    <w:rsid w:val="006A7A2E"/>
    <w:rsid w:val="006B16EE"/>
    <w:rsid w:val="006B1D12"/>
    <w:rsid w:val="006B2623"/>
    <w:rsid w:val="006B489B"/>
    <w:rsid w:val="006C2084"/>
    <w:rsid w:val="006C286B"/>
    <w:rsid w:val="006C32F0"/>
    <w:rsid w:val="006C4889"/>
    <w:rsid w:val="006C48ED"/>
    <w:rsid w:val="006C4CCB"/>
    <w:rsid w:val="006C55C4"/>
    <w:rsid w:val="006C619B"/>
    <w:rsid w:val="006C755C"/>
    <w:rsid w:val="006D007C"/>
    <w:rsid w:val="006D4B1B"/>
    <w:rsid w:val="006D5282"/>
    <w:rsid w:val="006D606A"/>
    <w:rsid w:val="006E091E"/>
    <w:rsid w:val="006E0D29"/>
    <w:rsid w:val="006E16BB"/>
    <w:rsid w:val="006E249D"/>
    <w:rsid w:val="006E28EF"/>
    <w:rsid w:val="006E29A9"/>
    <w:rsid w:val="006E2BD3"/>
    <w:rsid w:val="006E5314"/>
    <w:rsid w:val="006E5E36"/>
    <w:rsid w:val="006F3ADA"/>
    <w:rsid w:val="006F52D8"/>
    <w:rsid w:val="006F57E9"/>
    <w:rsid w:val="006F5B22"/>
    <w:rsid w:val="006F5F33"/>
    <w:rsid w:val="006F7ED4"/>
    <w:rsid w:val="00701725"/>
    <w:rsid w:val="00704D55"/>
    <w:rsid w:val="00704DC3"/>
    <w:rsid w:val="00707105"/>
    <w:rsid w:val="00712566"/>
    <w:rsid w:val="00712B70"/>
    <w:rsid w:val="0071356B"/>
    <w:rsid w:val="007138B8"/>
    <w:rsid w:val="007160D0"/>
    <w:rsid w:val="00717B53"/>
    <w:rsid w:val="00722FE1"/>
    <w:rsid w:val="007231ED"/>
    <w:rsid w:val="007257F3"/>
    <w:rsid w:val="00726B9D"/>
    <w:rsid w:val="00726CA7"/>
    <w:rsid w:val="007302E7"/>
    <w:rsid w:val="00730C6B"/>
    <w:rsid w:val="00731263"/>
    <w:rsid w:val="007403E4"/>
    <w:rsid w:val="00740745"/>
    <w:rsid w:val="007409BA"/>
    <w:rsid w:val="0074230A"/>
    <w:rsid w:val="00750662"/>
    <w:rsid w:val="00750750"/>
    <w:rsid w:val="00750A51"/>
    <w:rsid w:val="00753493"/>
    <w:rsid w:val="0076158B"/>
    <w:rsid w:val="00763899"/>
    <w:rsid w:val="0076793C"/>
    <w:rsid w:val="00773B84"/>
    <w:rsid w:val="00774DEB"/>
    <w:rsid w:val="007751AF"/>
    <w:rsid w:val="00776138"/>
    <w:rsid w:val="0078117E"/>
    <w:rsid w:val="007832F0"/>
    <w:rsid w:val="007848D7"/>
    <w:rsid w:val="00785FE6"/>
    <w:rsid w:val="00790127"/>
    <w:rsid w:val="00793CF3"/>
    <w:rsid w:val="007940F5"/>
    <w:rsid w:val="007963FC"/>
    <w:rsid w:val="007A0147"/>
    <w:rsid w:val="007A3FB1"/>
    <w:rsid w:val="007A4E51"/>
    <w:rsid w:val="007A51B9"/>
    <w:rsid w:val="007A54AB"/>
    <w:rsid w:val="007A5CCF"/>
    <w:rsid w:val="007B3A82"/>
    <w:rsid w:val="007B6B39"/>
    <w:rsid w:val="007B7DA2"/>
    <w:rsid w:val="007C5448"/>
    <w:rsid w:val="007D1F1C"/>
    <w:rsid w:val="007D546D"/>
    <w:rsid w:val="007D6098"/>
    <w:rsid w:val="007D751C"/>
    <w:rsid w:val="007E5325"/>
    <w:rsid w:val="007E75FF"/>
    <w:rsid w:val="007F003A"/>
    <w:rsid w:val="007F0722"/>
    <w:rsid w:val="007F1372"/>
    <w:rsid w:val="007F6269"/>
    <w:rsid w:val="007F7BCB"/>
    <w:rsid w:val="00801A3E"/>
    <w:rsid w:val="00802A3C"/>
    <w:rsid w:val="008052B2"/>
    <w:rsid w:val="00807D38"/>
    <w:rsid w:val="00810EE2"/>
    <w:rsid w:val="00812A60"/>
    <w:rsid w:val="0081560F"/>
    <w:rsid w:val="008159B9"/>
    <w:rsid w:val="00816060"/>
    <w:rsid w:val="00820BD7"/>
    <w:rsid w:val="00823631"/>
    <w:rsid w:val="00826112"/>
    <w:rsid w:val="00832996"/>
    <w:rsid w:val="0083404D"/>
    <w:rsid w:val="00835EC2"/>
    <w:rsid w:val="008367E9"/>
    <w:rsid w:val="0084213A"/>
    <w:rsid w:val="00842434"/>
    <w:rsid w:val="00847BBC"/>
    <w:rsid w:val="008515D2"/>
    <w:rsid w:val="00851A09"/>
    <w:rsid w:val="00851C70"/>
    <w:rsid w:val="00857AEA"/>
    <w:rsid w:val="00861362"/>
    <w:rsid w:val="008635BA"/>
    <w:rsid w:val="00865437"/>
    <w:rsid w:val="00865C83"/>
    <w:rsid w:val="00871579"/>
    <w:rsid w:val="008715F4"/>
    <w:rsid w:val="008763E2"/>
    <w:rsid w:val="00877231"/>
    <w:rsid w:val="00877E65"/>
    <w:rsid w:val="00877E8C"/>
    <w:rsid w:val="0088020C"/>
    <w:rsid w:val="008820A7"/>
    <w:rsid w:val="00883E1E"/>
    <w:rsid w:val="0088557A"/>
    <w:rsid w:val="00890D55"/>
    <w:rsid w:val="00891794"/>
    <w:rsid w:val="00894DF6"/>
    <w:rsid w:val="008A1819"/>
    <w:rsid w:val="008A2016"/>
    <w:rsid w:val="008A6CAB"/>
    <w:rsid w:val="008B0177"/>
    <w:rsid w:val="008B37E4"/>
    <w:rsid w:val="008B4602"/>
    <w:rsid w:val="008C0E3D"/>
    <w:rsid w:val="008C2D72"/>
    <w:rsid w:val="008C2ED1"/>
    <w:rsid w:val="008C3CA1"/>
    <w:rsid w:val="008C4E1B"/>
    <w:rsid w:val="008C5D40"/>
    <w:rsid w:val="008C5E82"/>
    <w:rsid w:val="008C62DE"/>
    <w:rsid w:val="008C740E"/>
    <w:rsid w:val="008D0696"/>
    <w:rsid w:val="008D0844"/>
    <w:rsid w:val="008D3CD5"/>
    <w:rsid w:val="008D3EB1"/>
    <w:rsid w:val="008D4250"/>
    <w:rsid w:val="008D54B0"/>
    <w:rsid w:val="008E0A63"/>
    <w:rsid w:val="008E37D0"/>
    <w:rsid w:val="008E3B32"/>
    <w:rsid w:val="008E3B92"/>
    <w:rsid w:val="008E4EB4"/>
    <w:rsid w:val="008E56AF"/>
    <w:rsid w:val="008E61AE"/>
    <w:rsid w:val="008F1430"/>
    <w:rsid w:val="008F5DC6"/>
    <w:rsid w:val="009001BC"/>
    <w:rsid w:val="00901B85"/>
    <w:rsid w:val="00902A6B"/>
    <w:rsid w:val="00904B51"/>
    <w:rsid w:val="0090793B"/>
    <w:rsid w:val="00910B11"/>
    <w:rsid w:val="00911C94"/>
    <w:rsid w:val="00915BFE"/>
    <w:rsid w:val="00916B1A"/>
    <w:rsid w:val="00920780"/>
    <w:rsid w:val="00920BCD"/>
    <w:rsid w:val="00920D0F"/>
    <w:rsid w:val="00926853"/>
    <w:rsid w:val="009271FA"/>
    <w:rsid w:val="00932568"/>
    <w:rsid w:val="009329C5"/>
    <w:rsid w:val="009338E7"/>
    <w:rsid w:val="00934213"/>
    <w:rsid w:val="00936FA9"/>
    <w:rsid w:val="00937C5A"/>
    <w:rsid w:val="00940E19"/>
    <w:rsid w:val="009452B0"/>
    <w:rsid w:val="009463DF"/>
    <w:rsid w:val="00946A65"/>
    <w:rsid w:val="00947C02"/>
    <w:rsid w:val="009530BC"/>
    <w:rsid w:val="009573A2"/>
    <w:rsid w:val="00962F6B"/>
    <w:rsid w:val="0096357A"/>
    <w:rsid w:val="00964D2F"/>
    <w:rsid w:val="00970B62"/>
    <w:rsid w:val="00970DB8"/>
    <w:rsid w:val="00973B86"/>
    <w:rsid w:val="00975D66"/>
    <w:rsid w:val="00980A3A"/>
    <w:rsid w:val="00982357"/>
    <w:rsid w:val="00983241"/>
    <w:rsid w:val="009835D4"/>
    <w:rsid w:val="009855F3"/>
    <w:rsid w:val="009878EC"/>
    <w:rsid w:val="009928A8"/>
    <w:rsid w:val="00992E01"/>
    <w:rsid w:val="00994DDB"/>
    <w:rsid w:val="00996BBE"/>
    <w:rsid w:val="009A0920"/>
    <w:rsid w:val="009A1B3E"/>
    <w:rsid w:val="009A5DCC"/>
    <w:rsid w:val="009B0EE4"/>
    <w:rsid w:val="009B2877"/>
    <w:rsid w:val="009C0B9A"/>
    <w:rsid w:val="009C0C9D"/>
    <w:rsid w:val="009C2494"/>
    <w:rsid w:val="009C3AA7"/>
    <w:rsid w:val="009C4228"/>
    <w:rsid w:val="009C7AA2"/>
    <w:rsid w:val="009D1C43"/>
    <w:rsid w:val="009D1E42"/>
    <w:rsid w:val="009D205A"/>
    <w:rsid w:val="009D2329"/>
    <w:rsid w:val="009D23CB"/>
    <w:rsid w:val="009D24BF"/>
    <w:rsid w:val="009D3A7A"/>
    <w:rsid w:val="009D66CB"/>
    <w:rsid w:val="009D7006"/>
    <w:rsid w:val="009D7544"/>
    <w:rsid w:val="009E02A4"/>
    <w:rsid w:val="009E09E5"/>
    <w:rsid w:val="009E1E68"/>
    <w:rsid w:val="009E4310"/>
    <w:rsid w:val="009E4DC3"/>
    <w:rsid w:val="009E59E7"/>
    <w:rsid w:val="009E74B6"/>
    <w:rsid w:val="009F06AD"/>
    <w:rsid w:val="009F1119"/>
    <w:rsid w:val="009F12CB"/>
    <w:rsid w:val="009F1797"/>
    <w:rsid w:val="009F73CF"/>
    <w:rsid w:val="009F7782"/>
    <w:rsid w:val="00A0516C"/>
    <w:rsid w:val="00A077F3"/>
    <w:rsid w:val="00A12F23"/>
    <w:rsid w:val="00A22957"/>
    <w:rsid w:val="00A229A2"/>
    <w:rsid w:val="00A23A94"/>
    <w:rsid w:val="00A25708"/>
    <w:rsid w:val="00A2638E"/>
    <w:rsid w:val="00A32E7D"/>
    <w:rsid w:val="00A35695"/>
    <w:rsid w:val="00A35C5E"/>
    <w:rsid w:val="00A40994"/>
    <w:rsid w:val="00A43A37"/>
    <w:rsid w:val="00A43D50"/>
    <w:rsid w:val="00A43EAB"/>
    <w:rsid w:val="00A5099C"/>
    <w:rsid w:val="00A52733"/>
    <w:rsid w:val="00A52761"/>
    <w:rsid w:val="00A53FF1"/>
    <w:rsid w:val="00A55D36"/>
    <w:rsid w:val="00A57679"/>
    <w:rsid w:val="00A610D3"/>
    <w:rsid w:val="00A620BB"/>
    <w:rsid w:val="00A6220B"/>
    <w:rsid w:val="00A637CD"/>
    <w:rsid w:val="00A64C48"/>
    <w:rsid w:val="00A65984"/>
    <w:rsid w:val="00A71B3B"/>
    <w:rsid w:val="00A732EE"/>
    <w:rsid w:val="00A735A7"/>
    <w:rsid w:val="00A73AEB"/>
    <w:rsid w:val="00A751E2"/>
    <w:rsid w:val="00A7680B"/>
    <w:rsid w:val="00A840E6"/>
    <w:rsid w:val="00A854AC"/>
    <w:rsid w:val="00A86ED1"/>
    <w:rsid w:val="00A87230"/>
    <w:rsid w:val="00A91D3F"/>
    <w:rsid w:val="00A91EF9"/>
    <w:rsid w:val="00A92D2B"/>
    <w:rsid w:val="00A93A88"/>
    <w:rsid w:val="00A94889"/>
    <w:rsid w:val="00A970DD"/>
    <w:rsid w:val="00AA5B63"/>
    <w:rsid w:val="00AA79AB"/>
    <w:rsid w:val="00AA7A2E"/>
    <w:rsid w:val="00AB303B"/>
    <w:rsid w:val="00AC27E4"/>
    <w:rsid w:val="00AC3432"/>
    <w:rsid w:val="00AC4F4D"/>
    <w:rsid w:val="00AD1EE6"/>
    <w:rsid w:val="00AD4B18"/>
    <w:rsid w:val="00AD642B"/>
    <w:rsid w:val="00AD7E2A"/>
    <w:rsid w:val="00AD7F2D"/>
    <w:rsid w:val="00AE2121"/>
    <w:rsid w:val="00AE2949"/>
    <w:rsid w:val="00AE3414"/>
    <w:rsid w:val="00AE4B5F"/>
    <w:rsid w:val="00AF1AFA"/>
    <w:rsid w:val="00AF2C6A"/>
    <w:rsid w:val="00AF3A5A"/>
    <w:rsid w:val="00AF519C"/>
    <w:rsid w:val="00AF7AE0"/>
    <w:rsid w:val="00B006B1"/>
    <w:rsid w:val="00B01B72"/>
    <w:rsid w:val="00B0312E"/>
    <w:rsid w:val="00B073C6"/>
    <w:rsid w:val="00B07541"/>
    <w:rsid w:val="00B13D8B"/>
    <w:rsid w:val="00B14C7A"/>
    <w:rsid w:val="00B207AA"/>
    <w:rsid w:val="00B2311E"/>
    <w:rsid w:val="00B24A63"/>
    <w:rsid w:val="00B25878"/>
    <w:rsid w:val="00B27206"/>
    <w:rsid w:val="00B272D3"/>
    <w:rsid w:val="00B314B9"/>
    <w:rsid w:val="00B3519E"/>
    <w:rsid w:val="00B36D83"/>
    <w:rsid w:val="00B37044"/>
    <w:rsid w:val="00B37768"/>
    <w:rsid w:val="00B37B71"/>
    <w:rsid w:val="00B413F9"/>
    <w:rsid w:val="00B4171C"/>
    <w:rsid w:val="00B465AA"/>
    <w:rsid w:val="00B4686A"/>
    <w:rsid w:val="00B53190"/>
    <w:rsid w:val="00B55AA8"/>
    <w:rsid w:val="00B55B0E"/>
    <w:rsid w:val="00B56629"/>
    <w:rsid w:val="00B568EA"/>
    <w:rsid w:val="00B56E99"/>
    <w:rsid w:val="00B6015F"/>
    <w:rsid w:val="00B679A1"/>
    <w:rsid w:val="00B67C07"/>
    <w:rsid w:val="00B73CBE"/>
    <w:rsid w:val="00B7414A"/>
    <w:rsid w:val="00B759B0"/>
    <w:rsid w:val="00B7743E"/>
    <w:rsid w:val="00B8356C"/>
    <w:rsid w:val="00B864A7"/>
    <w:rsid w:val="00B865DD"/>
    <w:rsid w:val="00B876DD"/>
    <w:rsid w:val="00B90534"/>
    <w:rsid w:val="00B91632"/>
    <w:rsid w:val="00B94D4C"/>
    <w:rsid w:val="00B956EC"/>
    <w:rsid w:val="00B96FF7"/>
    <w:rsid w:val="00BA298E"/>
    <w:rsid w:val="00BA2C24"/>
    <w:rsid w:val="00BA47D1"/>
    <w:rsid w:val="00BA58C6"/>
    <w:rsid w:val="00BA5B44"/>
    <w:rsid w:val="00BA70A7"/>
    <w:rsid w:val="00BA7CA7"/>
    <w:rsid w:val="00BB190D"/>
    <w:rsid w:val="00BB318A"/>
    <w:rsid w:val="00BB4CF3"/>
    <w:rsid w:val="00BB5208"/>
    <w:rsid w:val="00BC07E2"/>
    <w:rsid w:val="00BC1ACC"/>
    <w:rsid w:val="00BC3BF2"/>
    <w:rsid w:val="00BC468C"/>
    <w:rsid w:val="00BC5134"/>
    <w:rsid w:val="00BD3E47"/>
    <w:rsid w:val="00BD5399"/>
    <w:rsid w:val="00BE170D"/>
    <w:rsid w:val="00BE3536"/>
    <w:rsid w:val="00BE3B59"/>
    <w:rsid w:val="00BE5617"/>
    <w:rsid w:val="00BE6111"/>
    <w:rsid w:val="00BE7848"/>
    <w:rsid w:val="00BF54E4"/>
    <w:rsid w:val="00BF5A43"/>
    <w:rsid w:val="00C0217B"/>
    <w:rsid w:val="00C02E24"/>
    <w:rsid w:val="00C04FAB"/>
    <w:rsid w:val="00C06FC5"/>
    <w:rsid w:val="00C113AE"/>
    <w:rsid w:val="00C124CC"/>
    <w:rsid w:val="00C14B88"/>
    <w:rsid w:val="00C16629"/>
    <w:rsid w:val="00C21C0D"/>
    <w:rsid w:val="00C235F2"/>
    <w:rsid w:val="00C260F6"/>
    <w:rsid w:val="00C262C7"/>
    <w:rsid w:val="00C27486"/>
    <w:rsid w:val="00C27D58"/>
    <w:rsid w:val="00C3167E"/>
    <w:rsid w:val="00C37A86"/>
    <w:rsid w:val="00C40091"/>
    <w:rsid w:val="00C42E4A"/>
    <w:rsid w:val="00C51005"/>
    <w:rsid w:val="00C510F8"/>
    <w:rsid w:val="00C52165"/>
    <w:rsid w:val="00C528FC"/>
    <w:rsid w:val="00C529DB"/>
    <w:rsid w:val="00C53924"/>
    <w:rsid w:val="00C5754E"/>
    <w:rsid w:val="00C61586"/>
    <w:rsid w:val="00C61F8E"/>
    <w:rsid w:val="00C65E83"/>
    <w:rsid w:val="00C668E4"/>
    <w:rsid w:val="00C7215C"/>
    <w:rsid w:val="00C73786"/>
    <w:rsid w:val="00C75C8B"/>
    <w:rsid w:val="00C832F7"/>
    <w:rsid w:val="00C8332C"/>
    <w:rsid w:val="00C86C0E"/>
    <w:rsid w:val="00C91207"/>
    <w:rsid w:val="00C9493C"/>
    <w:rsid w:val="00C96192"/>
    <w:rsid w:val="00C972E1"/>
    <w:rsid w:val="00CA26AC"/>
    <w:rsid w:val="00CA4672"/>
    <w:rsid w:val="00CA58D1"/>
    <w:rsid w:val="00CA6C48"/>
    <w:rsid w:val="00CA754A"/>
    <w:rsid w:val="00CB003F"/>
    <w:rsid w:val="00CB0745"/>
    <w:rsid w:val="00CB225E"/>
    <w:rsid w:val="00CB4810"/>
    <w:rsid w:val="00CB5F19"/>
    <w:rsid w:val="00CB68E3"/>
    <w:rsid w:val="00CB6D2D"/>
    <w:rsid w:val="00CC0032"/>
    <w:rsid w:val="00CC0177"/>
    <w:rsid w:val="00CC17C0"/>
    <w:rsid w:val="00CC34BD"/>
    <w:rsid w:val="00CC3715"/>
    <w:rsid w:val="00CC376A"/>
    <w:rsid w:val="00CD4E0A"/>
    <w:rsid w:val="00CD5914"/>
    <w:rsid w:val="00CD61F9"/>
    <w:rsid w:val="00CD65AF"/>
    <w:rsid w:val="00CD6C74"/>
    <w:rsid w:val="00CE0348"/>
    <w:rsid w:val="00CE3C1C"/>
    <w:rsid w:val="00CE66C1"/>
    <w:rsid w:val="00CE7CF7"/>
    <w:rsid w:val="00CF369F"/>
    <w:rsid w:val="00CF62AF"/>
    <w:rsid w:val="00CF7EA9"/>
    <w:rsid w:val="00D031E8"/>
    <w:rsid w:val="00D050DC"/>
    <w:rsid w:val="00D068AC"/>
    <w:rsid w:val="00D11733"/>
    <w:rsid w:val="00D124F8"/>
    <w:rsid w:val="00D152C5"/>
    <w:rsid w:val="00D20CEC"/>
    <w:rsid w:val="00D20CF8"/>
    <w:rsid w:val="00D20FDA"/>
    <w:rsid w:val="00D21606"/>
    <w:rsid w:val="00D30EF7"/>
    <w:rsid w:val="00D315AC"/>
    <w:rsid w:val="00D3492A"/>
    <w:rsid w:val="00D350CE"/>
    <w:rsid w:val="00D404EB"/>
    <w:rsid w:val="00D43FF5"/>
    <w:rsid w:val="00D5376F"/>
    <w:rsid w:val="00D5408A"/>
    <w:rsid w:val="00D54809"/>
    <w:rsid w:val="00D57771"/>
    <w:rsid w:val="00D6059E"/>
    <w:rsid w:val="00D63ABB"/>
    <w:rsid w:val="00D65536"/>
    <w:rsid w:val="00D66898"/>
    <w:rsid w:val="00D67902"/>
    <w:rsid w:val="00D707F7"/>
    <w:rsid w:val="00D73D21"/>
    <w:rsid w:val="00D8196A"/>
    <w:rsid w:val="00D82066"/>
    <w:rsid w:val="00D831A3"/>
    <w:rsid w:val="00D91BCC"/>
    <w:rsid w:val="00D91F29"/>
    <w:rsid w:val="00D92DEC"/>
    <w:rsid w:val="00D94E6F"/>
    <w:rsid w:val="00D969F3"/>
    <w:rsid w:val="00D97470"/>
    <w:rsid w:val="00DA12E2"/>
    <w:rsid w:val="00DA3D10"/>
    <w:rsid w:val="00DA3E53"/>
    <w:rsid w:val="00DA466D"/>
    <w:rsid w:val="00DA4BEB"/>
    <w:rsid w:val="00DB01E0"/>
    <w:rsid w:val="00DB3A03"/>
    <w:rsid w:val="00DB417E"/>
    <w:rsid w:val="00DB50A2"/>
    <w:rsid w:val="00DB52EF"/>
    <w:rsid w:val="00DB5BF8"/>
    <w:rsid w:val="00DB7138"/>
    <w:rsid w:val="00DB74E7"/>
    <w:rsid w:val="00DB7C49"/>
    <w:rsid w:val="00DC08F0"/>
    <w:rsid w:val="00DC43C8"/>
    <w:rsid w:val="00DC6099"/>
    <w:rsid w:val="00DD344A"/>
    <w:rsid w:val="00DD6A3B"/>
    <w:rsid w:val="00DE1F4C"/>
    <w:rsid w:val="00DE5525"/>
    <w:rsid w:val="00DE5FE3"/>
    <w:rsid w:val="00DE6948"/>
    <w:rsid w:val="00DE71FD"/>
    <w:rsid w:val="00DF480E"/>
    <w:rsid w:val="00DF743D"/>
    <w:rsid w:val="00E01877"/>
    <w:rsid w:val="00E0248C"/>
    <w:rsid w:val="00E03854"/>
    <w:rsid w:val="00E044EA"/>
    <w:rsid w:val="00E05C16"/>
    <w:rsid w:val="00E106E1"/>
    <w:rsid w:val="00E2071D"/>
    <w:rsid w:val="00E22925"/>
    <w:rsid w:val="00E23918"/>
    <w:rsid w:val="00E2779A"/>
    <w:rsid w:val="00E30734"/>
    <w:rsid w:val="00E34485"/>
    <w:rsid w:val="00E35379"/>
    <w:rsid w:val="00E36963"/>
    <w:rsid w:val="00E3789B"/>
    <w:rsid w:val="00E40880"/>
    <w:rsid w:val="00E40D30"/>
    <w:rsid w:val="00E44DAB"/>
    <w:rsid w:val="00E45354"/>
    <w:rsid w:val="00E45CD4"/>
    <w:rsid w:val="00E5262A"/>
    <w:rsid w:val="00E568FA"/>
    <w:rsid w:val="00E56BAB"/>
    <w:rsid w:val="00E57D0B"/>
    <w:rsid w:val="00E63021"/>
    <w:rsid w:val="00E641C8"/>
    <w:rsid w:val="00E643BE"/>
    <w:rsid w:val="00E6441C"/>
    <w:rsid w:val="00E67086"/>
    <w:rsid w:val="00E673F1"/>
    <w:rsid w:val="00E716E6"/>
    <w:rsid w:val="00E740FB"/>
    <w:rsid w:val="00E748B1"/>
    <w:rsid w:val="00E84035"/>
    <w:rsid w:val="00E8457F"/>
    <w:rsid w:val="00E87B6B"/>
    <w:rsid w:val="00E87E2F"/>
    <w:rsid w:val="00E911E6"/>
    <w:rsid w:val="00E91275"/>
    <w:rsid w:val="00E91EF3"/>
    <w:rsid w:val="00E93281"/>
    <w:rsid w:val="00E96D7E"/>
    <w:rsid w:val="00EA38C1"/>
    <w:rsid w:val="00EA4AA9"/>
    <w:rsid w:val="00EB29DF"/>
    <w:rsid w:val="00EB3D53"/>
    <w:rsid w:val="00EB5432"/>
    <w:rsid w:val="00EC167F"/>
    <w:rsid w:val="00EC19C9"/>
    <w:rsid w:val="00ED0581"/>
    <w:rsid w:val="00ED3CA8"/>
    <w:rsid w:val="00ED42B9"/>
    <w:rsid w:val="00ED7E36"/>
    <w:rsid w:val="00EE1637"/>
    <w:rsid w:val="00EE65C4"/>
    <w:rsid w:val="00EE7F2F"/>
    <w:rsid w:val="00EF120A"/>
    <w:rsid w:val="00EF2240"/>
    <w:rsid w:val="00EF254E"/>
    <w:rsid w:val="00EF2E6A"/>
    <w:rsid w:val="00EF48BB"/>
    <w:rsid w:val="00EF4F7E"/>
    <w:rsid w:val="00EF6B1A"/>
    <w:rsid w:val="00F010CB"/>
    <w:rsid w:val="00F01406"/>
    <w:rsid w:val="00F01D29"/>
    <w:rsid w:val="00F039FD"/>
    <w:rsid w:val="00F06318"/>
    <w:rsid w:val="00F07282"/>
    <w:rsid w:val="00F117B4"/>
    <w:rsid w:val="00F11FF0"/>
    <w:rsid w:val="00F12A1B"/>
    <w:rsid w:val="00F14195"/>
    <w:rsid w:val="00F23C1F"/>
    <w:rsid w:val="00F23FCA"/>
    <w:rsid w:val="00F2638D"/>
    <w:rsid w:val="00F3189D"/>
    <w:rsid w:val="00F32888"/>
    <w:rsid w:val="00F36331"/>
    <w:rsid w:val="00F40D92"/>
    <w:rsid w:val="00F437D2"/>
    <w:rsid w:val="00F457E0"/>
    <w:rsid w:val="00F466F7"/>
    <w:rsid w:val="00F46EBB"/>
    <w:rsid w:val="00F478C5"/>
    <w:rsid w:val="00F532DC"/>
    <w:rsid w:val="00F5345C"/>
    <w:rsid w:val="00F54477"/>
    <w:rsid w:val="00F5547A"/>
    <w:rsid w:val="00F55F9A"/>
    <w:rsid w:val="00F57092"/>
    <w:rsid w:val="00F61DCD"/>
    <w:rsid w:val="00F635D9"/>
    <w:rsid w:val="00F63B10"/>
    <w:rsid w:val="00F63F8D"/>
    <w:rsid w:val="00F655A4"/>
    <w:rsid w:val="00F66F31"/>
    <w:rsid w:val="00F7216D"/>
    <w:rsid w:val="00F737E1"/>
    <w:rsid w:val="00F7422A"/>
    <w:rsid w:val="00F745E0"/>
    <w:rsid w:val="00F84FA5"/>
    <w:rsid w:val="00F85741"/>
    <w:rsid w:val="00F8638C"/>
    <w:rsid w:val="00F926A7"/>
    <w:rsid w:val="00FA2244"/>
    <w:rsid w:val="00FA32CC"/>
    <w:rsid w:val="00FA42D2"/>
    <w:rsid w:val="00FA49E4"/>
    <w:rsid w:val="00FA5A85"/>
    <w:rsid w:val="00FB3CFE"/>
    <w:rsid w:val="00FB3D02"/>
    <w:rsid w:val="00FB5580"/>
    <w:rsid w:val="00FC4A27"/>
    <w:rsid w:val="00FD67F9"/>
    <w:rsid w:val="00FD70CE"/>
    <w:rsid w:val="00FD742F"/>
    <w:rsid w:val="00FE7F5D"/>
    <w:rsid w:val="00FF65CF"/>
    <w:rsid w:val="010333FC"/>
    <w:rsid w:val="021D04ED"/>
    <w:rsid w:val="027C5214"/>
    <w:rsid w:val="02A426EE"/>
    <w:rsid w:val="03C07382"/>
    <w:rsid w:val="0428593A"/>
    <w:rsid w:val="04983E5B"/>
    <w:rsid w:val="04E13A54"/>
    <w:rsid w:val="04E90B5B"/>
    <w:rsid w:val="050F6813"/>
    <w:rsid w:val="05243941"/>
    <w:rsid w:val="05EA6938"/>
    <w:rsid w:val="069468A4"/>
    <w:rsid w:val="06BC02D5"/>
    <w:rsid w:val="06E4782C"/>
    <w:rsid w:val="06F07F7E"/>
    <w:rsid w:val="071D4AEC"/>
    <w:rsid w:val="07356B7B"/>
    <w:rsid w:val="07797F74"/>
    <w:rsid w:val="078B414B"/>
    <w:rsid w:val="07D10323"/>
    <w:rsid w:val="083D5445"/>
    <w:rsid w:val="087B5F6E"/>
    <w:rsid w:val="08907C6B"/>
    <w:rsid w:val="08D92F45"/>
    <w:rsid w:val="090B10A0"/>
    <w:rsid w:val="09B90AFC"/>
    <w:rsid w:val="0A4A5BF8"/>
    <w:rsid w:val="0AE95411"/>
    <w:rsid w:val="0B445A27"/>
    <w:rsid w:val="0BBC2B25"/>
    <w:rsid w:val="0BC65752"/>
    <w:rsid w:val="0C0C5C97"/>
    <w:rsid w:val="0C8C0749"/>
    <w:rsid w:val="0DF742E8"/>
    <w:rsid w:val="0EAF071F"/>
    <w:rsid w:val="0F0547E3"/>
    <w:rsid w:val="0F0E3698"/>
    <w:rsid w:val="0F2509E1"/>
    <w:rsid w:val="0F892716"/>
    <w:rsid w:val="101E5B5C"/>
    <w:rsid w:val="1054157E"/>
    <w:rsid w:val="10BC7123"/>
    <w:rsid w:val="10D26947"/>
    <w:rsid w:val="11651569"/>
    <w:rsid w:val="11CC15E8"/>
    <w:rsid w:val="11E626AA"/>
    <w:rsid w:val="12E81AF9"/>
    <w:rsid w:val="13166FBF"/>
    <w:rsid w:val="13174AE5"/>
    <w:rsid w:val="13497394"/>
    <w:rsid w:val="13596EAB"/>
    <w:rsid w:val="13DF1AA7"/>
    <w:rsid w:val="153B2D0D"/>
    <w:rsid w:val="158A5A42"/>
    <w:rsid w:val="159E329B"/>
    <w:rsid w:val="166444E5"/>
    <w:rsid w:val="17B374D2"/>
    <w:rsid w:val="180970F2"/>
    <w:rsid w:val="182A7068"/>
    <w:rsid w:val="188C387F"/>
    <w:rsid w:val="189F35B2"/>
    <w:rsid w:val="18C1177B"/>
    <w:rsid w:val="18DC4807"/>
    <w:rsid w:val="19185113"/>
    <w:rsid w:val="193F4572"/>
    <w:rsid w:val="1A3F329F"/>
    <w:rsid w:val="1A6D4ABE"/>
    <w:rsid w:val="1AA17AB6"/>
    <w:rsid w:val="1AD36C6A"/>
    <w:rsid w:val="1B1C66E9"/>
    <w:rsid w:val="1BBB0703"/>
    <w:rsid w:val="1BE55780"/>
    <w:rsid w:val="1C47643B"/>
    <w:rsid w:val="1C4A7CD9"/>
    <w:rsid w:val="1C8631CB"/>
    <w:rsid w:val="1CA53161"/>
    <w:rsid w:val="1D4B3D09"/>
    <w:rsid w:val="1D4F1028"/>
    <w:rsid w:val="1E562965"/>
    <w:rsid w:val="1E7159F1"/>
    <w:rsid w:val="1E9A6CF6"/>
    <w:rsid w:val="1F1D09A2"/>
    <w:rsid w:val="1F301695"/>
    <w:rsid w:val="1F486752"/>
    <w:rsid w:val="1F5C044F"/>
    <w:rsid w:val="20EE157B"/>
    <w:rsid w:val="213F01B2"/>
    <w:rsid w:val="217557F8"/>
    <w:rsid w:val="21AD4F92"/>
    <w:rsid w:val="22160D89"/>
    <w:rsid w:val="228D0920"/>
    <w:rsid w:val="22AD2D70"/>
    <w:rsid w:val="22D36C7A"/>
    <w:rsid w:val="22DB168B"/>
    <w:rsid w:val="234E30ED"/>
    <w:rsid w:val="235F1734"/>
    <w:rsid w:val="23CB5BA3"/>
    <w:rsid w:val="245B4891"/>
    <w:rsid w:val="25F3318F"/>
    <w:rsid w:val="26DD00C8"/>
    <w:rsid w:val="27207FB4"/>
    <w:rsid w:val="279314FE"/>
    <w:rsid w:val="27A26C1B"/>
    <w:rsid w:val="280E2503"/>
    <w:rsid w:val="283A50A6"/>
    <w:rsid w:val="283C0E1E"/>
    <w:rsid w:val="286D7229"/>
    <w:rsid w:val="290D27BA"/>
    <w:rsid w:val="29FA1F67"/>
    <w:rsid w:val="2A6C41AC"/>
    <w:rsid w:val="2A77438F"/>
    <w:rsid w:val="2ACC494B"/>
    <w:rsid w:val="2BA967CA"/>
    <w:rsid w:val="2C4449D4"/>
    <w:rsid w:val="2CB573F1"/>
    <w:rsid w:val="2CF57321"/>
    <w:rsid w:val="2D085772"/>
    <w:rsid w:val="2D6A1F89"/>
    <w:rsid w:val="2DC55411"/>
    <w:rsid w:val="2E0F4409"/>
    <w:rsid w:val="2E7D3F3E"/>
    <w:rsid w:val="2F94153F"/>
    <w:rsid w:val="2F9E23BE"/>
    <w:rsid w:val="2FD7142C"/>
    <w:rsid w:val="306E3B3E"/>
    <w:rsid w:val="308E41E1"/>
    <w:rsid w:val="31322DBE"/>
    <w:rsid w:val="32384404"/>
    <w:rsid w:val="327A0EC0"/>
    <w:rsid w:val="3310712F"/>
    <w:rsid w:val="335C2374"/>
    <w:rsid w:val="336E20A7"/>
    <w:rsid w:val="339935C8"/>
    <w:rsid w:val="33D77C4D"/>
    <w:rsid w:val="347B2CCE"/>
    <w:rsid w:val="34B55320"/>
    <w:rsid w:val="34FC1F63"/>
    <w:rsid w:val="35B00EA9"/>
    <w:rsid w:val="36EE7787"/>
    <w:rsid w:val="37173543"/>
    <w:rsid w:val="371F3DE4"/>
    <w:rsid w:val="375D07A8"/>
    <w:rsid w:val="37EE37B7"/>
    <w:rsid w:val="3840618A"/>
    <w:rsid w:val="388303A3"/>
    <w:rsid w:val="38C42E95"/>
    <w:rsid w:val="397A79F8"/>
    <w:rsid w:val="3AA12D62"/>
    <w:rsid w:val="3AE55345"/>
    <w:rsid w:val="3B585B17"/>
    <w:rsid w:val="3B7346FF"/>
    <w:rsid w:val="3B7D732B"/>
    <w:rsid w:val="3C9E39FD"/>
    <w:rsid w:val="3CF03B2D"/>
    <w:rsid w:val="3CFE624A"/>
    <w:rsid w:val="3D0A1093"/>
    <w:rsid w:val="3D5A3DC8"/>
    <w:rsid w:val="3D9170BE"/>
    <w:rsid w:val="3E23065E"/>
    <w:rsid w:val="3E8B6203"/>
    <w:rsid w:val="3FBE7F13"/>
    <w:rsid w:val="3FE51083"/>
    <w:rsid w:val="3FF76880"/>
    <w:rsid w:val="400B13AA"/>
    <w:rsid w:val="401D2E8B"/>
    <w:rsid w:val="40880C4C"/>
    <w:rsid w:val="41275354"/>
    <w:rsid w:val="417411D1"/>
    <w:rsid w:val="4177481D"/>
    <w:rsid w:val="41A43864"/>
    <w:rsid w:val="421D53C4"/>
    <w:rsid w:val="422E75D1"/>
    <w:rsid w:val="42417305"/>
    <w:rsid w:val="42664FBD"/>
    <w:rsid w:val="42AD5EC2"/>
    <w:rsid w:val="42C1107D"/>
    <w:rsid w:val="42CB4E20"/>
    <w:rsid w:val="42E67EAC"/>
    <w:rsid w:val="432F3601"/>
    <w:rsid w:val="433E3844"/>
    <w:rsid w:val="43487E20"/>
    <w:rsid w:val="43776D56"/>
    <w:rsid w:val="43993170"/>
    <w:rsid w:val="440143FF"/>
    <w:rsid w:val="44BF09B5"/>
    <w:rsid w:val="44C85ABB"/>
    <w:rsid w:val="453E5D7D"/>
    <w:rsid w:val="45D3296A"/>
    <w:rsid w:val="464078D3"/>
    <w:rsid w:val="46445615"/>
    <w:rsid w:val="46826C84"/>
    <w:rsid w:val="46AC6D17"/>
    <w:rsid w:val="46DD5122"/>
    <w:rsid w:val="47DB3D58"/>
    <w:rsid w:val="480768FB"/>
    <w:rsid w:val="481D6D2D"/>
    <w:rsid w:val="48335942"/>
    <w:rsid w:val="48FC64F2"/>
    <w:rsid w:val="490D628B"/>
    <w:rsid w:val="49695393"/>
    <w:rsid w:val="4981092F"/>
    <w:rsid w:val="49AE0662"/>
    <w:rsid w:val="49F509D5"/>
    <w:rsid w:val="49F7474D"/>
    <w:rsid w:val="4A3E412A"/>
    <w:rsid w:val="4B6E4EE3"/>
    <w:rsid w:val="4B8E2E8F"/>
    <w:rsid w:val="4BDC3BFA"/>
    <w:rsid w:val="4C0D64AA"/>
    <w:rsid w:val="4C327CBE"/>
    <w:rsid w:val="4C39104D"/>
    <w:rsid w:val="4C545E87"/>
    <w:rsid w:val="4D0478AD"/>
    <w:rsid w:val="4D125895"/>
    <w:rsid w:val="4D382631"/>
    <w:rsid w:val="4D492C42"/>
    <w:rsid w:val="4DA8648A"/>
    <w:rsid w:val="4E121F7C"/>
    <w:rsid w:val="4E52580B"/>
    <w:rsid w:val="4E6F6FA8"/>
    <w:rsid w:val="4F18319B"/>
    <w:rsid w:val="4F2935FA"/>
    <w:rsid w:val="50591CBD"/>
    <w:rsid w:val="5100038B"/>
    <w:rsid w:val="52825CD0"/>
    <w:rsid w:val="52A42F98"/>
    <w:rsid w:val="534F55FA"/>
    <w:rsid w:val="541F6D7A"/>
    <w:rsid w:val="54341ED1"/>
    <w:rsid w:val="54442C85"/>
    <w:rsid w:val="544D7D8B"/>
    <w:rsid w:val="54501629"/>
    <w:rsid w:val="54503044"/>
    <w:rsid w:val="54890697"/>
    <w:rsid w:val="54A84FC1"/>
    <w:rsid w:val="54B716A8"/>
    <w:rsid w:val="54CD4A28"/>
    <w:rsid w:val="55480552"/>
    <w:rsid w:val="55983288"/>
    <w:rsid w:val="55C91693"/>
    <w:rsid w:val="56286E93"/>
    <w:rsid w:val="56545892"/>
    <w:rsid w:val="57305A45"/>
    <w:rsid w:val="57835872"/>
    <w:rsid w:val="58436111"/>
    <w:rsid w:val="584414A5"/>
    <w:rsid w:val="58E30CBE"/>
    <w:rsid w:val="590B7E91"/>
    <w:rsid w:val="59583724"/>
    <w:rsid w:val="59E868CA"/>
    <w:rsid w:val="5A0233C6"/>
    <w:rsid w:val="5A026F22"/>
    <w:rsid w:val="5ABD553F"/>
    <w:rsid w:val="5ADD173D"/>
    <w:rsid w:val="5B022F52"/>
    <w:rsid w:val="5BC63D84"/>
    <w:rsid w:val="5BF775EF"/>
    <w:rsid w:val="5D0C6782"/>
    <w:rsid w:val="5D2418A5"/>
    <w:rsid w:val="5D730178"/>
    <w:rsid w:val="5D9B49EA"/>
    <w:rsid w:val="5DB04EE7"/>
    <w:rsid w:val="5DB42C29"/>
    <w:rsid w:val="5E394EDC"/>
    <w:rsid w:val="5F217E4A"/>
    <w:rsid w:val="5F2D2C93"/>
    <w:rsid w:val="5F3A715E"/>
    <w:rsid w:val="5F6D308F"/>
    <w:rsid w:val="5F700DD2"/>
    <w:rsid w:val="5FC92290"/>
    <w:rsid w:val="5FDE2D35"/>
    <w:rsid w:val="603D4769"/>
    <w:rsid w:val="609F060C"/>
    <w:rsid w:val="615A7643"/>
    <w:rsid w:val="61840B64"/>
    <w:rsid w:val="61BD7BD2"/>
    <w:rsid w:val="631321A0"/>
    <w:rsid w:val="63584057"/>
    <w:rsid w:val="63585E49"/>
    <w:rsid w:val="63770981"/>
    <w:rsid w:val="642F3009"/>
    <w:rsid w:val="646B7DB9"/>
    <w:rsid w:val="651D10B4"/>
    <w:rsid w:val="656C203B"/>
    <w:rsid w:val="65E25E59"/>
    <w:rsid w:val="66434B4A"/>
    <w:rsid w:val="6650370B"/>
    <w:rsid w:val="669435F8"/>
    <w:rsid w:val="67762CFD"/>
    <w:rsid w:val="67B33F51"/>
    <w:rsid w:val="682409AB"/>
    <w:rsid w:val="68376930"/>
    <w:rsid w:val="68D234FD"/>
    <w:rsid w:val="69335900"/>
    <w:rsid w:val="694F3394"/>
    <w:rsid w:val="69FF347E"/>
    <w:rsid w:val="6A470981"/>
    <w:rsid w:val="6AA54025"/>
    <w:rsid w:val="6AEB57B0"/>
    <w:rsid w:val="6AFC79BD"/>
    <w:rsid w:val="6B1B7E43"/>
    <w:rsid w:val="6B9D6AAA"/>
    <w:rsid w:val="6CD02EB0"/>
    <w:rsid w:val="6DD864C0"/>
    <w:rsid w:val="6DEC3D19"/>
    <w:rsid w:val="6E315BD0"/>
    <w:rsid w:val="6EF32E85"/>
    <w:rsid w:val="6F2A4AF9"/>
    <w:rsid w:val="6F3B4F58"/>
    <w:rsid w:val="6F5E0C47"/>
    <w:rsid w:val="6F8A37EA"/>
    <w:rsid w:val="6FA10B33"/>
    <w:rsid w:val="6FA36924"/>
    <w:rsid w:val="6FCE6140"/>
    <w:rsid w:val="6FD44A65"/>
    <w:rsid w:val="6FF2313D"/>
    <w:rsid w:val="70C67EBC"/>
    <w:rsid w:val="71B13DA2"/>
    <w:rsid w:val="72276524"/>
    <w:rsid w:val="72646574"/>
    <w:rsid w:val="72E41463"/>
    <w:rsid w:val="7358265F"/>
    <w:rsid w:val="73A429A0"/>
    <w:rsid w:val="744A79EB"/>
    <w:rsid w:val="753A469A"/>
    <w:rsid w:val="753D6949"/>
    <w:rsid w:val="755C52B6"/>
    <w:rsid w:val="75DE663D"/>
    <w:rsid w:val="76004806"/>
    <w:rsid w:val="760616F0"/>
    <w:rsid w:val="760A7432"/>
    <w:rsid w:val="76E47C83"/>
    <w:rsid w:val="778925D9"/>
    <w:rsid w:val="779609C0"/>
    <w:rsid w:val="77EE58F1"/>
    <w:rsid w:val="781E71C5"/>
    <w:rsid w:val="78216CB5"/>
    <w:rsid w:val="7831514A"/>
    <w:rsid w:val="78A27DF6"/>
    <w:rsid w:val="79951709"/>
    <w:rsid w:val="79A61220"/>
    <w:rsid w:val="7A3A5E0C"/>
    <w:rsid w:val="7AB7FF50"/>
    <w:rsid w:val="7BB73BB8"/>
    <w:rsid w:val="7BB8348D"/>
    <w:rsid w:val="7BFEB0DB"/>
    <w:rsid w:val="7C3F3BAE"/>
    <w:rsid w:val="7C7C128F"/>
    <w:rsid w:val="7C99506C"/>
    <w:rsid w:val="7DA97531"/>
    <w:rsid w:val="7DB639FC"/>
    <w:rsid w:val="7E694F12"/>
    <w:rsid w:val="7EC64112"/>
    <w:rsid w:val="7F2D4191"/>
    <w:rsid w:val="7F967F89"/>
    <w:rsid w:val="7F98785D"/>
    <w:rsid w:val="7FE44850"/>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Indent"/>
    <w:basedOn w:val="1"/>
    <w:next w:val="5"/>
    <w:qFormat/>
    <w:uiPriority w:val="0"/>
    <w:pPr>
      <w:spacing w:line="360" w:lineRule="auto"/>
      <w:ind w:left="210" w:firstLine="630"/>
    </w:pPr>
    <w:rPr>
      <w:rFonts w:eastAsia="楷体_GB2312"/>
      <w:sz w:val="32"/>
      <w:szCs w:val="20"/>
    </w:rPr>
  </w:style>
  <w:style w:type="paragraph" w:styleId="5">
    <w:name w:val="Body Text First Indent 2"/>
    <w:basedOn w:val="4"/>
    <w:next w:val="1"/>
    <w:qFormat/>
    <w:uiPriority w:val="0"/>
    <w:pPr>
      <w:ind w:firstLine="420" w:firstLineChars="200"/>
    </w:p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rPr>
      <w:sz w:val="24"/>
    </w:rPr>
  </w:style>
  <w:style w:type="character" w:styleId="11">
    <w:name w:val="Hyperlink"/>
    <w:basedOn w:val="10"/>
    <w:qFormat/>
    <w:uiPriority w:val="0"/>
    <w:rPr>
      <w:color w:val="0563C1" w:themeColor="hyperlink"/>
      <w:u w:val="single"/>
      <w14:textFill>
        <w14:solidFill>
          <w14:schemeClr w14:val="hlink"/>
        </w14:solidFill>
      </w14:textFill>
    </w:rPr>
  </w:style>
  <w:style w:type="paragraph" w:customStyle="1" w:styleId="12">
    <w:name w:val="列出段落1"/>
    <w:basedOn w:val="1"/>
    <w:qFormat/>
    <w:uiPriority w:val="34"/>
    <w:pPr>
      <w:ind w:firstLine="420" w:firstLineChars="200"/>
    </w:pPr>
    <w:rPr>
      <w:rFonts w:ascii="Calibri" w:hAnsi="Calibri" w:cs="黑体"/>
      <w:szCs w:val="22"/>
    </w:rPr>
  </w:style>
  <w:style w:type="paragraph" w:customStyle="1" w:styleId="13">
    <w:name w:val="表格"/>
    <w:basedOn w:val="1"/>
    <w:qFormat/>
    <w:uiPriority w:val="0"/>
    <w:pPr>
      <w:autoSpaceDN w:val="0"/>
      <w:jc w:val="center"/>
    </w:pPr>
    <w:rPr>
      <w:rFonts w:ascii="Verdana" w:hAnsi="Verdana" w:eastAsia="仿宋_GB2312"/>
      <w:bCs/>
      <w:sz w:val="24"/>
      <w:szCs w:val="21"/>
      <w:lang w:eastAsia="en-US"/>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20C7AB-2721-496E-AB30-597F9BC5A257}">
  <ds:schemaRefs/>
</ds:datastoreItem>
</file>

<file path=docProps/app.xml><?xml version="1.0" encoding="utf-8"?>
<Properties xmlns="http://schemas.openxmlformats.org/officeDocument/2006/extended-properties" xmlns:vt="http://schemas.openxmlformats.org/officeDocument/2006/docPropsVTypes">
  <Template>Normal</Template>
  <Pages>9</Pages>
  <Words>4399</Words>
  <Characters>4633</Characters>
  <Lines>40</Lines>
  <Paragraphs>11</Paragraphs>
  <TotalTime>0</TotalTime>
  <ScaleCrop>false</ScaleCrop>
  <LinksUpToDate>false</LinksUpToDate>
  <CharactersWithSpaces>4673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微信用户</cp:lastModifiedBy>
  <cp:lastPrinted>2025-05-10T08:03:00Z</cp:lastPrinted>
  <dcterms:modified xsi:type="dcterms:W3CDTF">2025-08-20T10:12:02Z</dcterms:modified>
  <cp:revision>1129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eyJoZGlkIjoiZmE0MzAyYmU0ZDdjMDc4MjYwN2Q0YjE5ZTMyMDE1NWIiLCJ1c2VySWQiOiIxMjUwNzkzNjkyIn0=</vt:lpwstr>
  </property>
  <property fmtid="{D5CDD505-2E9C-101B-9397-08002B2CF9AE}" pid="4" name="ICV">
    <vt:lpwstr>099590124E4D4F7B945F8F66DE71715A_13</vt:lpwstr>
  </property>
</Properties>
</file>