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1044"/>
        <w:jc w:val="center"/>
        <w:rPr>
          <w:rFonts w:eastAsia="黑体"/>
          <w:b/>
          <w:sz w:val="52"/>
          <w:szCs w:val="52"/>
          <w:lang w:val="zh-CN"/>
        </w:rPr>
      </w:pPr>
    </w:p>
    <w:p>
      <w:pPr>
        <w:adjustRightInd w:val="0"/>
        <w:snapToGrid w:val="0"/>
        <w:spacing w:line="360" w:lineRule="auto"/>
        <w:ind w:firstLine="1044"/>
        <w:rPr>
          <w:rFonts w:eastAsia="黑体"/>
          <w:b/>
          <w:sz w:val="52"/>
          <w:szCs w:val="52"/>
          <w:lang w:val="zh-CN"/>
        </w:rPr>
      </w:pPr>
    </w:p>
    <w:p>
      <w:pPr>
        <w:adjustRightInd w:val="0"/>
        <w:snapToGrid w:val="0"/>
        <w:spacing w:line="360" w:lineRule="auto"/>
        <w:ind w:firstLine="1040"/>
        <w:jc w:val="center"/>
        <w:outlineLvl w:val="0"/>
        <w:rPr>
          <w:rFonts w:ascii="黑体" w:hAnsi="黑体" w:eastAsia="黑体" w:cs="黑体"/>
          <w:bCs/>
          <w:sz w:val="52"/>
          <w:szCs w:val="52"/>
        </w:rPr>
      </w:pPr>
      <w:bookmarkStart w:id="0" w:name="_Toc17961"/>
      <w:r>
        <w:rPr>
          <w:rFonts w:hint="eastAsia" w:ascii="黑体" w:hAnsi="黑体" w:eastAsia="黑体" w:cs="黑体"/>
          <w:bCs/>
          <w:sz w:val="52"/>
          <w:szCs w:val="52"/>
        </w:rPr>
        <w:t>北京市气象局</w:t>
      </w:r>
      <w:bookmarkEnd w:id="0"/>
    </w:p>
    <w:p>
      <w:pPr>
        <w:adjustRightInd w:val="0"/>
        <w:snapToGrid w:val="0"/>
        <w:spacing w:line="360" w:lineRule="auto"/>
        <w:ind w:firstLine="1040"/>
        <w:jc w:val="center"/>
        <w:outlineLvl w:val="0"/>
        <w:rPr>
          <w:rFonts w:hint="eastAsia" w:ascii="黑体" w:hAnsi="黑体" w:eastAsia="黑体" w:cs="黑体"/>
          <w:bCs/>
          <w:sz w:val="52"/>
          <w:szCs w:val="52"/>
          <w:lang w:val="zh-CN"/>
        </w:rPr>
      </w:pPr>
      <w:bookmarkStart w:id="1" w:name="_Toc25130"/>
      <w:r>
        <w:rPr>
          <w:rFonts w:hint="eastAsia" w:ascii="黑体" w:hAnsi="黑体" w:eastAsia="黑体" w:cs="黑体"/>
          <w:bCs/>
          <w:sz w:val="52"/>
          <w:szCs w:val="52"/>
          <w:lang w:val="zh-CN"/>
        </w:rPr>
        <w:t>202</w:t>
      </w:r>
      <w:r>
        <w:rPr>
          <w:rFonts w:hint="eastAsia" w:ascii="黑体" w:hAnsi="黑体" w:eastAsia="黑体" w:cs="黑体"/>
          <w:bCs/>
          <w:sz w:val="52"/>
          <w:szCs w:val="52"/>
        </w:rPr>
        <w:t>4</w:t>
      </w:r>
      <w:r>
        <w:rPr>
          <w:rFonts w:hint="eastAsia" w:ascii="黑体" w:hAnsi="黑体" w:eastAsia="黑体" w:cs="黑体"/>
          <w:bCs/>
          <w:sz w:val="52"/>
          <w:szCs w:val="52"/>
          <w:lang w:val="zh-CN"/>
        </w:rPr>
        <w:t>年度部门整体绩效评价</w:t>
      </w:r>
    </w:p>
    <w:p>
      <w:pPr>
        <w:adjustRightInd w:val="0"/>
        <w:snapToGrid w:val="0"/>
        <w:spacing w:line="360" w:lineRule="auto"/>
        <w:ind w:firstLine="1040"/>
        <w:jc w:val="center"/>
        <w:outlineLvl w:val="0"/>
        <w:rPr>
          <w:rFonts w:ascii="黑体" w:hAnsi="黑体" w:eastAsia="黑体" w:cs="黑体"/>
          <w:bCs/>
          <w:sz w:val="52"/>
          <w:szCs w:val="52"/>
          <w:lang w:val="zh-CN"/>
        </w:rPr>
      </w:pPr>
      <w:r>
        <w:rPr>
          <w:rFonts w:hint="eastAsia" w:ascii="黑体" w:hAnsi="黑体" w:eastAsia="黑体" w:cs="黑体"/>
          <w:bCs/>
          <w:sz w:val="52"/>
          <w:szCs w:val="52"/>
          <w:lang w:val="zh-CN"/>
        </w:rPr>
        <w:t>报告</w:t>
      </w:r>
      <w:bookmarkEnd w:id="1"/>
    </w:p>
    <w:p>
      <w:pPr>
        <w:adjustRightInd w:val="0"/>
        <w:snapToGrid w:val="0"/>
        <w:spacing w:line="560" w:lineRule="exact"/>
        <w:ind w:firstLine="640" w:firstLineChars="200"/>
        <w:jc w:val="left"/>
        <w:rPr>
          <w:rFonts w:ascii="仿宋_GB2312" w:hAnsi="黑体" w:eastAsia="仿宋_GB2312" w:cs="黑体"/>
          <w:sz w:val="32"/>
          <w:szCs w:val="32"/>
        </w:rPr>
      </w:pPr>
    </w:p>
    <w:p>
      <w:pPr>
        <w:adjustRightInd w:val="0"/>
        <w:snapToGrid w:val="0"/>
        <w:spacing w:line="560" w:lineRule="exact"/>
        <w:ind w:firstLine="640" w:firstLineChars="200"/>
        <w:jc w:val="left"/>
        <w:rPr>
          <w:rFonts w:ascii="仿宋_GB2312" w:hAnsi="黑体" w:eastAsia="仿宋_GB2312" w:cs="黑体"/>
          <w:sz w:val="32"/>
          <w:szCs w:val="32"/>
        </w:rPr>
      </w:pPr>
    </w:p>
    <w:p>
      <w:pPr>
        <w:pStyle w:val="14"/>
        <w:ind w:firstLine="643"/>
        <w:outlineLvl w:val="9"/>
      </w:pPr>
    </w:p>
    <w:p>
      <w:pPr>
        <w:adjustRightInd w:val="0"/>
        <w:snapToGrid w:val="0"/>
        <w:spacing w:line="560" w:lineRule="exact"/>
        <w:jc w:val="left"/>
        <w:rPr>
          <w:rFonts w:ascii="仿宋_GB2312" w:hAnsi="黑体" w:eastAsia="仿宋_GB2312" w:cs="黑体"/>
          <w:sz w:val="32"/>
          <w:szCs w:val="32"/>
        </w:rPr>
      </w:pPr>
    </w:p>
    <w:p>
      <w:pPr>
        <w:ind w:firstLine="723"/>
        <w:jc w:val="center"/>
        <w:rPr>
          <w:rFonts w:ascii="宋体" w:hAnsi="宋体"/>
          <w:b/>
          <w:sz w:val="36"/>
          <w:szCs w:val="36"/>
        </w:rPr>
      </w:pPr>
    </w:p>
    <w:p>
      <w:pPr>
        <w:pStyle w:val="2"/>
        <w:ind w:firstLine="420"/>
      </w:pPr>
    </w:p>
    <w:p/>
    <w:p>
      <w:pPr>
        <w:pStyle w:val="2"/>
        <w:ind w:firstLine="420"/>
      </w:pPr>
    </w:p>
    <w:p/>
    <w:p>
      <w:pPr>
        <w:pStyle w:val="2"/>
        <w:ind w:firstLine="420"/>
      </w:pPr>
    </w:p>
    <w:p/>
    <w:p>
      <w:pPr>
        <w:pStyle w:val="2"/>
        <w:ind w:firstLine="420"/>
      </w:pPr>
    </w:p>
    <w:p/>
    <w:p>
      <w:pPr>
        <w:pStyle w:val="2"/>
        <w:ind w:firstLine="420"/>
      </w:pPr>
    </w:p>
    <w:p/>
    <w:p>
      <w:pPr>
        <w:pStyle w:val="14"/>
        <w:ind w:firstLine="643"/>
        <w:jc w:val="both"/>
        <w:outlineLvl w:val="9"/>
      </w:pPr>
    </w:p>
    <w:p>
      <w:pPr>
        <w:ind w:firstLine="720"/>
        <w:jc w:val="center"/>
        <w:rPr>
          <w:rFonts w:eastAsia="黑体"/>
          <w:bCs/>
          <w:sz w:val="36"/>
          <w:szCs w:val="44"/>
        </w:rPr>
      </w:pPr>
      <w:r>
        <w:rPr>
          <w:rFonts w:hint="eastAsia" w:eastAsia="黑体"/>
          <w:bCs/>
          <w:sz w:val="36"/>
          <w:szCs w:val="44"/>
        </w:rPr>
        <w:t>北京市气象局</w:t>
      </w:r>
    </w:p>
    <w:p>
      <w:pPr>
        <w:pStyle w:val="7"/>
      </w:pPr>
    </w:p>
    <w:p>
      <w:pPr>
        <w:spacing w:line="560" w:lineRule="exact"/>
        <w:ind w:firstLine="720"/>
        <w:jc w:val="center"/>
        <w:rPr>
          <w:rFonts w:ascii="华文中宋" w:hAnsi="华文中宋" w:eastAsia="华文中宋"/>
          <w:sz w:val="36"/>
          <w:szCs w:val="36"/>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ascii="黑体" w:hAnsi="黑体" w:eastAsia="黑体"/>
          <w:bCs/>
          <w:sz w:val="36"/>
          <w:szCs w:val="44"/>
        </w:rPr>
        <w:t>202</w:t>
      </w:r>
      <w:r>
        <w:rPr>
          <w:rFonts w:hint="eastAsia" w:ascii="黑体" w:hAnsi="黑体" w:eastAsia="黑体"/>
          <w:bCs/>
          <w:sz w:val="36"/>
          <w:szCs w:val="44"/>
        </w:rPr>
        <w:t>5</w:t>
      </w:r>
      <w:r>
        <w:rPr>
          <w:rFonts w:ascii="黑体" w:hAnsi="黑体" w:eastAsia="黑体"/>
          <w:bCs/>
          <w:sz w:val="36"/>
          <w:szCs w:val="44"/>
        </w:rPr>
        <w:t>年5月</w:t>
      </w:r>
    </w:p>
    <w:p>
      <w:pPr>
        <w:pStyle w:val="6"/>
        <w:jc w:val="center"/>
      </w:pPr>
      <w:r>
        <w:rPr>
          <w:rFonts w:hint="eastAsia" w:ascii="黑体" w:hAnsi="黑体" w:eastAsia="黑体" w:cs="黑体"/>
          <w:sz w:val="32"/>
          <w:szCs w:val="32"/>
        </w:rPr>
        <w:t>目  录</w:t>
      </w:r>
    </w:p>
    <w:p>
      <w:pPr>
        <w:pStyle w:val="6"/>
        <w:ind w:firstLine="480"/>
      </w:pPr>
    </w:p>
    <w:sdt>
      <w:sdtPr>
        <w:rPr>
          <w:rFonts w:ascii="宋体" w:hAnsi="宋体"/>
        </w:rPr>
        <w:id w:val="147480217"/>
        <w:docPartObj>
          <w:docPartGallery w:val="Table of Contents"/>
          <w:docPartUnique/>
        </w:docPartObj>
      </w:sdtPr>
      <w:sdtEndPr>
        <w:rPr>
          <w:rFonts w:ascii="宋体" w:hAnsi="宋体"/>
          <w:b/>
        </w:rPr>
      </w:sdtEndPr>
      <w:sdtContent>
        <w:p>
          <w:pPr>
            <w:jc w:val="center"/>
            <w:rPr>
              <w:b/>
            </w:rPr>
          </w:pPr>
          <w:r>
            <w:fldChar w:fldCharType="begin"/>
          </w:r>
          <w:r>
            <w:instrText xml:space="preserve">TOC \o "1-2" \h \u </w:instrText>
          </w:r>
          <w:r>
            <w:fldChar w:fldCharType="separate"/>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"_Toc9991" </w:instrText>
          </w:r>
          <w:r>
            <w:fldChar w:fldCharType="separate"/>
          </w:r>
          <w:r>
            <w:rPr>
              <w:rFonts w:hint="eastAsia" w:ascii="仿宋_GB2312" w:hAnsi="仿宋_GB2312" w:eastAsia="仿宋_GB2312" w:cs="仿宋_GB2312"/>
              <w:b/>
              <w:sz w:val="28"/>
              <w:szCs w:val="28"/>
            </w:rPr>
            <w:t>一、部门概况</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_Toc9991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"_Toc28948" </w:instrText>
          </w:r>
          <w:r>
            <w:fldChar w:fldCharType="separate"/>
          </w:r>
          <w:r>
            <w:rPr>
              <w:rFonts w:hint="eastAsia" w:ascii="仿宋_GB2312" w:hAnsi="仿宋_GB2312" w:eastAsia="仿宋_GB2312" w:cs="仿宋_GB2312"/>
              <w:sz w:val="28"/>
              <w:szCs w:val="28"/>
            </w:rPr>
            <w:t>（一）部门职责、机构设置及工作任务情况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_Toc28948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"_Toc21308" </w:instrText>
          </w:r>
          <w:r>
            <w:fldChar w:fldCharType="separate"/>
          </w:r>
          <w:r>
            <w:rPr>
              <w:rFonts w:hint="eastAsia" w:ascii="仿宋_GB2312" w:hAnsi="仿宋_GB2312" w:eastAsia="仿宋_GB2312" w:cs="仿宋_GB2312"/>
              <w:sz w:val="28"/>
              <w:szCs w:val="28"/>
            </w:rPr>
            <w:t>（二） 部门整体绩效目标设立情况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_Toc21308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"_Toc11851" </w:instrText>
          </w:r>
          <w:r>
            <w:fldChar w:fldCharType="separate"/>
          </w:r>
          <w:r>
            <w:rPr>
              <w:rFonts w:hint="eastAsia" w:ascii="仿宋_GB2312" w:hAnsi="仿宋_GB2312" w:eastAsia="仿宋_GB2312" w:cs="仿宋_GB2312"/>
              <w:b/>
              <w:sz w:val="28"/>
              <w:szCs w:val="28"/>
            </w:rPr>
            <w:t>二、当年预算执行情况</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_Toc11851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4</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"_Toc4412" </w:instrText>
          </w:r>
          <w:r>
            <w:fldChar w:fldCharType="separate"/>
          </w:r>
          <w:r>
            <w:rPr>
              <w:rFonts w:hint="eastAsia" w:ascii="仿宋_GB2312" w:hAnsi="仿宋_GB2312" w:eastAsia="仿宋_GB2312" w:cs="仿宋_GB2312"/>
              <w:b/>
              <w:sz w:val="28"/>
              <w:szCs w:val="28"/>
            </w:rPr>
            <w:t>三、整体绩效目标实现情况</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_Toc4412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4</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"_Toc25090" </w:instrText>
          </w:r>
          <w:r>
            <w:fldChar w:fldCharType="separate"/>
          </w:r>
          <w:r>
            <w:rPr>
              <w:rFonts w:hint="eastAsia" w:ascii="仿宋_GB2312" w:hAnsi="仿宋_GB2312" w:eastAsia="仿宋_GB2312" w:cs="仿宋_GB2312"/>
              <w:sz w:val="28"/>
              <w:szCs w:val="28"/>
            </w:rPr>
            <w:t>（一）产出完成情况分析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_Toc25090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"_Toc16658" </w:instrText>
          </w:r>
          <w:r>
            <w:fldChar w:fldCharType="separate"/>
          </w:r>
          <w:r>
            <w:rPr>
              <w:rFonts w:hint="eastAsia" w:ascii="仿宋_GB2312" w:hAnsi="仿宋_GB2312" w:eastAsia="仿宋_GB2312" w:cs="仿宋_GB2312"/>
              <w:sz w:val="28"/>
              <w:szCs w:val="28"/>
            </w:rPr>
            <w:t>（二）效果实现情况分析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_Toc16658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"_Toc13611" </w:instrText>
          </w:r>
          <w:r>
            <w:fldChar w:fldCharType="separate"/>
          </w:r>
          <w:r>
            <w:rPr>
              <w:rFonts w:hint="eastAsia" w:ascii="仿宋_GB2312" w:hAnsi="仿宋_GB2312" w:eastAsia="仿宋_GB2312" w:cs="仿宋_GB2312"/>
              <w:b/>
              <w:sz w:val="28"/>
              <w:szCs w:val="28"/>
            </w:rPr>
            <w:t>四、预算管理情况分析</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_Toc13611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9</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"_Toc21686" </w:instrText>
          </w:r>
          <w:r>
            <w:fldChar w:fldCharType="separate"/>
          </w:r>
          <w:r>
            <w:rPr>
              <w:rFonts w:hint="eastAsia" w:ascii="仿宋_GB2312" w:hAnsi="仿宋_GB2312" w:eastAsia="仿宋_GB2312" w:cs="仿宋_GB2312"/>
              <w:sz w:val="28"/>
              <w:szCs w:val="28"/>
            </w:rPr>
            <w:t>（一）财务管理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_Toc21686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"_Toc13184" </w:instrText>
          </w:r>
          <w:r>
            <w:fldChar w:fldCharType="separate"/>
          </w:r>
          <w:r>
            <w:rPr>
              <w:rFonts w:hint="eastAsia" w:ascii="仿宋_GB2312" w:hAnsi="仿宋_GB2312" w:eastAsia="仿宋_GB2312" w:cs="仿宋_GB2312"/>
              <w:sz w:val="28"/>
              <w:szCs w:val="28"/>
            </w:rPr>
            <w:t>（二）资产管理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_Toc13184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"_Toc3092" </w:instrText>
          </w:r>
          <w:r>
            <w:fldChar w:fldCharType="separate"/>
          </w:r>
          <w:r>
            <w:rPr>
              <w:rFonts w:hint="eastAsia" w:ascii="仿宋_GB2312" w:hAnsi="仿宋_GB2312" w:eastAsia="仿宋_GB2312" w:cs="仿宋_GB2312"/>
              <w:sz w:val="28"/>
              <w:szCs w:val="28"/>
            </w:rPr>
            <w:t>（三）绩效管理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"_Toc23535" </w:instrText>
          </w:r>
          <w:r>
            <w:fldChar w:fldCharType="separate"/>
          </w:r>
          <w:r>
            <w:rPr>
              <w:rFonts w:hint="eastAsia" w:ascii="仿宋_GB2312" w:hAnsi="仿宋_GB2312" w:eastAsia="仿宋_GB2312" w:cs="仿宋_GB2312"/>
              <w:sz w:val="28"/>
              <w:szCs w:val="28"/>
            </w:rPr>
            <w:t>（四）结转结余率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_Toc23535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"_Toc30284" </w:instrText>
          </w:r>
          <w:r>
            <w:fldChar w:fldCharType="separate"/>
          </w:r>
          <w:r>
            <w:rPr>
              <w:rFonts w:hint="eastAsia" w:ascii="仿宋_GB2312" w:hAnsi="仿宋_GB2312" w:eastAsia="仿宋_GB2312" w:cs="仿宋_GB2312"/>
              <w:sz w:val="28"/>
              <w:szCs w:val="28"/>
            </w:rPr>
            <w:t>（五）部门预决算差异率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_Toc30284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"_Toc1368" </w:instrText>
          </w:r>
          <w:r>
            <w:fldChar w:fldCharType="separate"/>
          </w:r>
          <w:r>
            <w:rPr>
              <w:rFonts w:hint="eastAsia" w:ascii="仿宋_GB2312" w:hAnsi="仿宋_GB2312" w:eastAsia="仿宋_GB2312" w:cs="仿宋_GB2312"/>
              <w:b/>
              <w:sz w:val="28"/>
              <w:szCs w:val="28"/>
            </w:rPr>
            <w:t>五、总体评价结论</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_Toc1368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12</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"_Toc2549" </w:instrText>
          </w:r>
          <w:r>
            <w:fldChar w:fldCharType="separate"/>
          </w:r>
          <w:r>
            <w:rPr>
              <w:rFonts w:hint="eastAsia" w:ascii="仿宋_GB2312" w:hAnsi="仿宋_GB2312" w:eastAsia="仿宋_GB2312" w:cs="仿宋_GB2312"/>
              <w:sz w:val="28"/>
              <w:szCs w:val="28"/>
            </w:rPr>
            <w:t>（一）评价得分情况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_Toc2549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"_Toc16975" </w:instrText>
          </w:r>
          <w:r>
            <w:fldChar w:fldCharType="separate"/>
          </w:r>
          <w:r>
            <w:rPr>
              <w:rFonts w:hint="eastAsia" w:ascii="仿宋_GB2312" w:hAnsi="仿宋_GB2312" w:eastAsia="仿宋_GB2312" w:cs="仿宋_GB2312"/>
              <w:sz w:val="28"/>
              <w:szCs w:val="28"/>
            </w:rPr>
            <w:t>（二）存在的问题及原因分析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_Toc16975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"_Toc29794" </w:instrText>
          </w:r>
          <w:r>
            <w:fldChar w:fldCharType="separate"/>
          </w:r>
          <w:r>
            <w:rPr>
              <w:rFonts w:hint="eastAsia" w:ascii="仿宋_GB2312" w:hAnsi="仿宋_GB2312" w:eastAsia="仿宋_GB2312" w:cs="仿宋_GB2312"/>
              <w:b/>
              <w:sz w:val="28"/>
              <w:szCs w:val="28"/>
            </w:rPr>
            <w:t>六、措施建议</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_Toc29794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14</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"_Toc950" </w:instrText>
          </w:r>
          <w:r>
            <w:fldChar w:fldCharType="separate"/>
          </w:r>
          <w:r>
            <w:rPr>
              <w:rFonts w:hint="eastAsia" w:ascii="仿宋_GB2312" w:hAnsi="仿宋_GB2312" w:eastAsia="仿宋_GB2312" w:cs="仿宋_GB2312"/>
              <w:bCs/>
              <w:sz w:val="28"/>
              <w:szCs w:val="28"/>
            </w:rPr>
            <w:t>（一）加大培训力度，合理编制绩效目标及指标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_Toc950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"_Toc67" </w:instrText>
          </w:r>
          <w:r>
            <w:fldChar w:fldCharType="separate"/>
          </w:r>
          <w:r>
            <w:rPr>
              <w:rFonts w:hint="eastAsia" w:ascii="仿宋_GB2312" w:hAnsi="仿宋_GB2312" w:eastAsia="仿宋_GB2312" w:cs="仿宋_GB2312"/>
              <w:bCs/>
              <w:sz w:val="28"/>
              <w:szCs w:val="28"/>
            </w:rPr>
            <w:t>（二）加强过程管理，提高项目实施质量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7"/>
            <w:tabs>
              <w:tab w:val="right" w:leader="dot" w:pos="8306"/>
            </w:tabs>
            <w:adjustRightInd w:val="0"/>
            <w:snapToGrid w:val="0"/>
            <w:spacing w:line="360" w:lineRule="auto"/>
            <w:ind w:left="220" w:leftChars="0" w:hanging="220" w:hangingChars="110"/>
            <w:rPr>
              <w:rFonts w:ascii="仿宋_GB2312" w:hAnsi="仿宋_GB2312" w:eastAsia="仿宋_GB2312" w:cs="仿宋_GB2312"/>
              <w:sz w:val="28"/>
              <w:szCs w:val="28"/>
            </w:rPr>
          </w:pPr>
          <w:r>
            <w:fldChar w:fldCharType="begin"/>
          </w:r>
          <w:r>
            <w:instrText xml:space="preserve"> HYPERLINK \l "_Toc31089" </w:instrText>
          </w:r>
          <w:r>
            <w:fldChar w:fldCharType="separate"/>
          </w:r>
          <w:r>
            <w:rPr>
              <w:rFonts w:hint="eastAsia" w:ascii="仿宋_GB2312" w:hAnsi="仿宋_GB2312" w:eastAsia="仿宋_GB2312" w:cs="仿宋_GB2312"/>
              <w:bCs/>
              <w:sz w:val="28"/>
              <w:szCs w:val="28"/>
            </w:rPr>
            <w:t>（三）强化绩效管理意识，丰富效益支撑材料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_Toc31089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26"/>
            <w:tabs>
              <w:tab w:val="right" w:leader="dot" w:pos="8306"/>
            </w:tabs>
            <w:adjustRightInd w:val="0"/>
            <w:snapToGrid w:val="0"/>
            <w:spacing w:line="360" w:lineRule="auto"/>
            <w:ind w:left="220" w:hanging="220" w:hangingChars="110"/>
            <w:rPr>
              <w:rFonts w:ascii="仿宋_GB2312" w:hAnsi="仿宋_GB2312" w:eastAsia="仿宋_GB2312" w:cs="仿宋_GB2312"/>
              <w:b/>
              <w:sz w:val="28"/>
              <w:szCs w:val="28"/>
            </w:rPr>
          </w:pPr>
          <w:r>
            <w:fldChar w:fldCharType="begin"/>
          </w:r>
          <w:r>
            <w:instrText xml:space="preserve"> HYPERLINK \l "_Toc13846" </w:instrText>
          </w:r>
          <w:r>
            <w:fldChar w:fldCharType="separate"/>
          </w:r>
          <w:r>
            <w:rPr>
              <w:rFonts w:hint="eastAsia" w:ascii="仿宋_GB2312" w:hAnsi="仿宋_GB2312" w:eastAsia="仿宋_GB2312" w:cs="仿宋_GB2312"/>
              <w:b/>
              <w:sz w:val="28"/>
              <w:szCs w:val="28"/>
            </w:rPr>
            <w:t>七、附件</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_Toc13846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15</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ind w:firstLine="643"/>
          </w:pPr>
          <w:r>
            <w:rPr>
              <w:b/>
            </w:rPr>
            <w:fldChar w:fldCharType="end"/>
          </w:r>
        </w:p>
      </w:sdtContent>
    </w:sdt>
    <w:p>
      <w:pPr>
        <w:pStyle w:val="6"/>
        <w:ind w:firstLine="480"/>
        <w:sectPr>
          <w:footerReference r:id="rId4" w:type="default"/>
          <w:pgSz w:w="11906" w:h="16838"/>
          <w:pgMar w:top="1440" w:right="1800" w:bottom="1440" w:left="1800" w:header="851" w:footer="992" w:gutter="0"/>
          <w:cols w:space="425" w:num="1"/>
          <w:docGrid w:type="lines" w:linePitch="312" w:charSpace="0"/>
        </w:sectPr>
      </w:pPr>
    </w:p>
    <w:p>
      <w:pPr>
        <w:spacing w:line="560" w:lineRule="exact"/>
        <w:ind w:firstLine="720"/>
        <w:jc w:val="center"/>
        <w:outlineLvl w:val="0"/>
        <w:rPr>
          <w:rFonts w:ascii="方正小标宋简体" w:hAnsi="方正小标宋简体" w:eastAsia="方正小标宋简体" w:cs="方正小标宋简体"/>
          <w:sz w:val="36"/>
          <w:szCs w:val="36"/>
        </w:rPr>
      </w:pPr>
      <w:bookmarkStart w:id="2" w:name="_Toc14522"/>
      <w:r>
        <w:rPr>
          <w:rFonts w:hint="eastAsia" w:ascii="方正小标宋简体" w:hAnsi="方正小标宋简体" w:eastAsia="方正小标宋简体" w:cs="方正小标宋简体"/>
          <w:sz w:val="36"/>
          <w:szCs w:val="36"/>
        </w:rPr>
        <w:t>北京市气象局2024年度部门整体绩效评价报告</w:t>
      </w:r>
      <w:bookmarkEnd w:id="2"/>
    </w:p>
    <w:p>
      <w:pPr>
        <w:spacing w:line="560" w:lineRule="exact"/>
        <w:ind w:firstLine="720"/>
        <w:jc w:val="center"/>
        <w:rPr>
          <w:rFonts w:ascii="Arial Unicode MS" w:eastAsia="Arial Unicode MS"/>
          <w:sz w:val="36"/>
          <w:szCs w:val="36"/>
        </w:rPr>
      </w:pPr>
    </w:p>
    <w:p>
      <w:pPr>
        <w:jc w:val="center"/>
        <w:rPr>
          <w:rFonts w:ascii="仿宋_GB2312"/>
          <w:szCs w:val="30"/>
        </w:rPr>
      </w:pPr>
    </w:p>
    <w:p>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3" w:name="_Toc9991"/>
      <w:bookmarkStart w:id="4" w:name="_Toc10446"/>
      <w:r>
        <w:rPr>
          <w:rFonts w:hint="eastAsia" w:ascii="黑体" w:hAnsi="黑体" w:eastAsia="黑体" w:cs="宋体"/>
          <w:color w:val="000000"/>
          <w:kern w:val="0"/>
          <w:sz w:val="32"/>
          <w:szCs w:val="32"/>
        </w:rPr>
        <w:t>一、部门概况</w:t>
      </w:r>
      <w:bookmarkEnd w:id="3"/>
      <w:bookmarkEnd w:id="4"/>
    </w:p>
    <w:p>
      <w:pPr>
        <w:adjustRightInd w:val="0"/>
        <w:snapToGrid w:val="0"/>
        <w:spacing w:line="560" w:lineRule="exact"/>
        <w:ind w:firstLine="640" w:firstLineChars="200"/>
        <w:outlineLvl w:val="1"/>
        <w:rPr>
          <w:rFonts w:ascii="楷体_GB2312" w:eastAsia="楷体_GB2312"/>
          <w:sz w:val="32"/>
          <w:szCs w:val="32"/>
        </w:rPr>
      </w:pPr>
      <w:bookmarkStart w:id="5" w:name="_Toc28948"/>
      <w:bookmarkStart w:id="6" w:name="_Toc13931"/>
      <w:r>
        <w:rPr>
          <w:rFonts w:hint="eastAsia" w:ascii="楷体_GB2312" w:eastAsia="楷体_GB2312"/>
          <w:sz w:val="32"/>
          <w:szCs w:val="32"/>
        </w:rPr>
        <w:t>（一）部门职责、机构设置及工作任务情况</w:t>
      </w:r>
      <w:bookmarkEnd w:id="5"/>
      <w:bookmarkEnd w:id="6"/>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1.部门职责</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气象局主要职责为：制定地方气象事业发展规划；依法保护气象探测环境；在本行政区域内组织对重大灾害性天气跨地区、跨部门的联合监测、预报工作；管理本行政区域内公共气象服务工作；管理本行政区域内公众气象预报、灾害性天气警报以及农业气象预报、城市环境气象预报、火险气象等级预报等专业气象预报的发布；组织本行政区域内气象灾害防御应急管理工作；参与市政府应对气候变化工作，组织开展气候变化影响评估、技术开发和决策咨询服务；组织开展气象法制宣传教育，负责监督有关气象法规的实施；会同各区人民政府对所辖气象机构实施以部门为主的双重管理等。</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2.机构设置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气象局为一级预算单位，包括23个二级预算单位，即市气象局本级、7个直属事业单位、14个区气象局以及1个代管事业单位北京市人工影响天气办公室。其中，北京市人工影响天气办公室为北京市农业农村局直属全额拨款事业单位，基本和项目经费纳入北京市财政预算，其日常管理由市气象局代管。</w:t>
      </w:r>
    </w:p>
    <w:p>
      <w:pPr>
        <w:widowControl/>
        <w:shd w:val="clear" w:color="auto" w:fill="FFFFFF"/>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直属事业单位为北京市气象台、北京市气候中心、北京市气象数据中心、北京市气象服务中心、北京市北京城市气象研究院、北京市气象探测中心、北京市气象局机关服务中心。区设气象局为海淀、朝阳、丰台、石景山、门头沟、房山、通州、顺义、大兴、昌平、平谷、怀柔、密云、延庆区气象局。</w:t>
      </w:r>
    </w:p>
    <w:p>
      <w:pPr>
        <w:widowControl/>
        <w:shd w:val="clear" w:color="auto" w:fill="FFFFFF"/>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3.2024年度工作任务</w:t>
      </w:r>
    </w:p>
    <w:p>
      <w:pPr>
        <w:widowControl/>
        <w:shd w:val="clear" w:color="auto" w:fill="FFFFFF"/>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北京市气象局坚持以习近平新时代中国特色社会主义思想为指导，学习贯彻党的二十大和二十届二中、三中全会精神,贯彻落实习近平总书记对北京重要讲话精神和关于气象工作重要指示精神，聚焦北京“四个中心”战略定位，全力保障北京城市安全运行和人民群众生命财产安全。</w:t>
      </w:r>
    </w:p>
    <w:p>
      <w:pPr>
        <w:numPr>
          <w:ilvl w:val="0"/>
          <w:numId w:val="1"/>
        </w:numPr>
        <w:adjustRightInd w:val="0"/>
        <w:snapToGrid w:val="0"/>
        <w:spacing w:line="560" w:lineRule="exact"/>
        <w:ind w:firstLine="640" w:firstLineChars="200"/>
        <w:outlineLvl w:val="1"/>
        <w:rPr>
          <w:rFonts w:ascii="楷体_GB2312" w:eastAsia="楷体_GB2312"/>
          <w:sz w:val="32"/>
          <w:szCs w:val="32"/>
        </w:rPr>
      </w:pPr>
      <w:bookmarkStart w:id="7" w:name="_Toc21308"/>
      <w:bookmarkStart w:id="8" w:name="_Toc2563"/>
      <w:r>
        <w:rPr>
          <w:rFonts w:hint="eastAsia" w:ascii="楷体" w:hAnsi="楷体" w:eastAsia="楷体"/>
          <w:sz w:val="32"/>
          <w:szCs w:val="32"/>
        </w:rPr>
        <w:t>部门整</w:t>
      </w:r>
      <w:r>
        <w:rPr>
          <w:rFonts w:hint="eastAsia" w:ascii="楷体_GB2312" w:eastAsia="楷体_GB2312"/>
          <w:sz w:val="32"/>
          <w:szCs w:val="32"/>
        </w:rPr>
        <w:t>体绩效目标设立情况</w:t>
      </w:r>
      <w:bookmarkEnd w:id="7"/>
      <w:bookmarkEnd w:id="8"/>
    </w:p>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市气象局在编报2024年度部门预算时，结合2024年度重点工作计划和市气象局职责编报了部门整体绩效目标。北京市财政局在批复市气象局2024年度部门预算时，一并批复了部门整体绩效目标，具体情况详见下表1。</w:t>
      </w:r>
    </w:p>
    <w:p>
      <w:pPr>
        <w:adjustRightInd w:val="0"/>
        <w:snapToGrid w:val="0"/>
        <w:spacing w:line="560" w:lineRule="exact"/>
        <w:ind w:firstLine="560" w:firstLineChars="200"/>
        <w:jc w:val="center"/>
        <w:rPr>
          <w:rFonts w:ascii="仿宋_GB2312" w:hAnsi="Arial" w:eastAsia="仿宋_GB2312" w:cs="Arial"/>
          <w:kern w:val="0"/>
          <w:sz w:val="32"/>
          <w:szCs w:val="32"/>
        </w:rPr>
      </w:pPr>
      <w:r>
        <w:rPr>
          <w:rFonts w:hint="eastAsia" w:ascii="黑体" w:hAnsi="黑体" w:eastAsia="黑体"/>
          <w:sz w:val="28"/>
          <w:szCs w:val="28"/>
        </w:rPr>
        <w:t>表1：北京市气象局2024年度部门整体绩效目标表</w:t>
      </w:r>
    </w:p>
    <w:tbl>
      <w:tblPr>
        <w:tblStyle w:val="19"/>
        <w:tblW w:w="8744" w:type="dxa"/>
        <w:jc w:val="center"/>
        <w:tblInd w:w="0" w:type="dxa"/>
        <w:tblLayout w:type="fixed"/>
        <w:tblCellMar>
          <w:top w:w="0" w:type="dxa"/>
          <w:left w:w="108" w:type="dxa"/>
          <w:bottom w:w="0" w:type="dxa"/>
          <w:right w:w="108" w:type="dxa"/>
        </w:tblCellMar>
      </w:tblPr>
      <w:tblGrid>
        <w:gridCol w:w="2094"/>
        <w:gridCol w:w="1561"/>
        <w:gridCol w:w="1541"/>
        <w:gridCol w:w="1703"/>
        <w:gridCol w:w="1845"/>
      </w:tblGrid>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部门（单位）名称</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北京市气象局</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部门（单位）负责人</w:t>
            </w:r>
          </w:p>
        </w:tc>
        <w:tc>
          <w:tcPr>
            <w:tcW w:w="3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hint="eastAsia" w:ascii="宋体" w:hAnsi="宋体" w:cs="宋体"/>
                <w:color w:val="000000"/>
                <w:kern w:val="0"/>
                <w:sz w:val="20"/>
                <w:szCs w:val="20"/>
              </w:rPr>
              <w:t>郝丽萍</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联系电话</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68400739</w:t>
            </w:r>
          </w:p>
        </w:tc>
      </w:tr>
      <w:tr>
        <w:tblPrEx>
          <w:tblLayout w:type="fixed"/>
          <w:tblCellMar>
            <w:top w:w="0" w:type="dxa"/>
            <w:left w:w="108" w:type="dxa"/>
            <w:bottom w:w="0" w:type="dxa"/>
            <w:right w:w="108" w:type="dxa"/>
          </w:tblCellMar>
        </w:tblPrEx>
        <w:trPr>
          <w:trHeight w:val="624" w:hRule="atLeast"/>
          <w:jc w:val="center"/>
        </w:trPr>
        <w:tc>
          <w:tcPr>
            <w:tcW w:w="2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部门（单位）总体资金情况(万元）</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资金总体</w:t>
            </w:r>
          </w:p>
        </w:tc>
        <w:tc>
          <w:tcPr>
            <w:tcW w:w="5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right"/>
              <w:textAlignment w:val="center"/>
              <w:rPr>
                <w:rFonts w:ascii="宋体" w:hAnsi="宋体" w:cs="宋体"/>
                <w:color w:val="000000"/>
                <w:sz w:val="20"/>
                <w:szCs w:val="20"/>
              </w:rPr>
            </w:pPr>
            <w:r>
              <w:rPr>
                <w:rFonts w:hint="eastAsia" w:ascii="宋体" w:hAnsi="宋体" w:cs="宋体"/>
                <w:color w:val="000000"/>
                <w:sz w:val="20"/>
                <w:szCs w:val="20"/>
              </w:rPr>
              <w:t>116,082.59</w:t>
            </w:r>
          </w:p>
        </w:tc>
      </w:tr>
      <w:tr>
        <w:tblPrEx>
          <w:tblLayout w:type="fixed"/>
          <w:tblCellMar>
            <w:top w:w="0" w:type="dxa"/>
            <w:left w:w="108" w:type="dxa"/>
            <w:bottom w:w="0" w:type="dxa"/>
            <w:right w:w="108" w:type="dxa"/>
          </w:tblCellMar>
        </w:tblPrEx>
        <w:trPr>
          <w:trHeight w:val="624" w:hRule="atLeast"/>
          <w:jc w:val="center"/>
        </w:trPr>
        <w:tc>
          <w:tcPr>
            <w:tcW w:w="2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基本支出</w:t>
            </w:r>
          </w:p>
        </w:tc>
        <w:tc>
          <w:tcPr>
            <w:tcW w:w="5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right"/>
              <w:textAlignment w:val="center"/>
              <w:rPr>
                <w:rFonts w:ascii="宋体" w:hAnsi="宋体" w:cs="宋体"/>
                <w:color w:val="000000"/>
                <w:sz w:val="20"/>
                <w:szCs w:val="20"/>
              </w:rPr>
            </w:pPr>
            <w:r>
              <w:rPr>
                <w:rFonts w:hint="eastAsia" w:ascii="宋体" w:hAnsi="宋体" w:cs="宋体"/>
                <w:color w:val="000000"/>
                <w:sz w:val="20"/>
                <w:szCs w:val="20"/>
              </w:rPr>
              <w:t>1,696.64</w:t>
            </w:r>
          </w:p>
        </w:tc>
      </w:tr>
      <w:tr>
        <w:tblPrEx>
          <w:tblLayout w:type="fixed"/>
          <w:tblCellMar>
            <w:top w:w="0" w:type="dxa"/>
            <w:left w:w="108" w:type="dxa"/>
            <w:bottom w:w="0" w:type="dxa"/>
            <w:right w:w="108" w:type="dxa"/>
          </w:tblCellMar>
        </w:tblPrEx>
        <w:trPr>
          <w:trHeight w:val="624" w:hRule="atLeast"/>
          <w:jc w:val="center"/>
        </w:trPr>
        <w:tc>
          <w:tcPr>
            <w:tcW w:w="2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项目支出</w:t>
            </w:r>
          </w:p>
        </w:tc>
        <w:tc>
          <w:tcPr>
            <w:tcW w:w="5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right"/>
              <w:textAlignment w:val="center"/>
              <w:rPr>
                <w:rFonts w:ascii="宋体" w:hAnsi="宋体" w:cs="宋体"/>
                <w:color w:val="000000"/>
                <w:sz w:val="20"/>
                <w:szCs w:val="20"/>
              </w:rPr>
            </w:pPr>
            <w:r>
              <w:rPr>
                <w:rFonts w:hint="eastAsia" w:ascii="宋体" w:hAnsi="宋体" w:cs="宋体"/>
                <w:color w:val="000000"/>
                <w:sz w:val="20"/>
                <w:szCs w:val="20"/>
              </w:rPr>
              <w:t>114,377.95</w:t>
            </w:r>
          </w:p>
        </w:tc>
      </w:tr>
      <w:tr>
        <w:tblPrEx>
          <w:tblLayout w:type="fixed"/>
          <w:tblCellMar>
            <w:top w:w="0" w:type="dxa"/>
            <w:left w:w="108" w:type="dxa"/>
            <w:bottom w:w="0" w:type="dxa"/>
            <w:right w:w="108" w:type="dxa"/>
          </w:tblCellMar>
        </w:tblPrEx>
        <w:trPr>
          <w:trHeight w:val="624" w:hRule="atLeast"/>
          <w:jc w:val="center"/>
        </w:trPr>
        <w:tc>
          <w:tcPr>
            <w:tcW w:w="2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其他</w:t>
            </w:r>
          </w:p>
        </w:tc>
        <w:tc>
          <w:tcPr>
            <w:tcW w:w="5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right"/>
              <w:textAlignment w:val="center"/>
              <w:rPr>
                <w:rFonts w:ascii="宋体" w:hAnsi="宋体" w:cs="宋体"/>
                <w:color w:val="000000"/>
                <w:sz w:val="20"/>
                <w:szCs w:val="20"/>
              </w:rPr>
            </w:pPr>
            <w:r>
              <w:rPr>
                <w:rFonts w:hint="eastAsia" w:ascii="宋体" w:hAnsi="宋体" w:cs="宋体"/>
                <w:color w:val="000000"/>
                <w:sz w:val="20"/>
                <w:szCs w:val="20"/>
              </w:rPr>
              <w:t>8.00</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部门（单位）绩效目标</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sz w:val="20"/>
                <w:szCs w:val="20"/>
              </w:rPr>
            </w:pPr>
            <w:r>
              <w:rPr>
                <w:rFonts w:hint="eastAsia"/>
                <w:sz w:val="20"/>
                <w:szCs w:val="20"/>
              </w:rPr>
              <w:t>组织本行政区域内气象灾害防御应急管理等各项工作，会同各区人民政府对所辖气象机构实施以部门为主的双重管理等，推动形成首都气象事业高质量发展新格局。</w:t>
            </w:r>
          </w:p>
        </w:tc>
      </w:tr>
      <w:tr>
        <w:tblPrEx>
          <w:tblLayout w:type="fixed"/>
          <w:tblCellMar>
            <w:top w:w="0" w:type="dxa"/>
            <w:left w:w="108" w:type="dxa"/>
            <w:bottom w:w="0" w:type="dxa"/>
            <w:right w:w="108" w:type="dxa"/>
          </w:tblCellMar>
        </w:tblPrEx>
        <w:trPr>
          <w:trHeight w:val="624" w:hRule="atLeast"/>
          <w:jc w:val="center"/>
        </w:trPr>
        <w:tc>
          <w:tcPr>
            <w:tcW w:w="87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2"/>
              <w:jc w:val="left"/>
              <w:textAlignment w:val="center"/>
              <w:rPr>
                <w:rFonts w:ascii="宋体" w:hAnsi="宋体" w:cs="宋体"/>
                <w:b/>
                <w:bCs/>
                <w:color w:val="000000"/>
                <w:sz w:val="20"/>
                <w:szCs w:val="20"/>
              </w:rPr>
            </w:pPr>
            <w:r>
              <w:rPr>
                <w:rFonts w:ascii="宋体" w:hAnsi="宋体" w:cs="宋体"/>
                <w:b/>
                <w:bCs/>
                <w:color w:val="000000"/>
                <w:kern w:val="0"/>
                <w:sz w:val="20"/>
                <w:szCs w:val="20"/>
              </w:rPr>
              <w:t>绩效指标</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绩效指标一</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sz w:val="20"/>
                <w:szCs w:val="20"/>
              </w:rPr>
            </w:pPr>
            <w:r>
              <w:rPr>
                <w:rFonts w:hint="eastAsia" w:ascii="宋体" w:hAnsi="宋体" w:cs="宋体"/>
                <w:color w:val="000000"/>
                <w:sz w:val="20"/>
                <w:szCs w:val="20"/>
              </w:rPr>
              <w:t>完成程度是否合格</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绩效指标二</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sz w:val="20"/>
                <w:szCs w:val="20"/>
              </w:rPr>
            </w:pPr>
            <w:r>
              <w:rPr>
                <w:rFonts w:hint="eastAsia" w:ascii="宋体" w:hAnsi="宋体" w:cs="宋体"/>
                <w:color w:val="000000"/>
                <w:kern w:val="0"/>
                <w:sz w:val="20"/>
                <w:szCs w:val="20"/>
              </w:rPr>
              <w:t>完成时间≥1年</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kern w:val="0"/>
                <w:sz w:val="20"/>
                <w:szCs w:val="20"/>
              </w:rPr>
            </w:pPr>
            <w:r>
              <w:rPr>
                <w:rFonts w:ascii="宋体" w:hAnsi="宋体" w:cs="宋体"/>
                <w:color w:val="000000"/>
                <w:kern w:val="0"/>
                <w:sz w:val="20"/>
                <w:szCs w:val="20"/>
              </w:rPr>
              <w:t>绩效指标三</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为各部门提供有效服务=100%</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kern w:val="0"/>
                <w:sz w:val="20"/>
                <w:szCs w:val="20"/>
              </w:rPr>
            </w:pPr>
            <w:r>
              <w:rPr>
                <w:rFonts w:ascii="宋体" w:hAnsi="宋体" w:cs="宋体"/>
                <w:color w:val="000000"/>
                <w:kern w:val="0"/>
                <w:sz w:val="20"/>
                <w:szCs w:val="20"/>
              </w:rPr>
              <w:t>绩效指标四</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可持续发展能力=100%</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绩效指标</w:t>
            </w:r>
            <w:r>
              <w:rPr>
                <w:rFonts w:hint="eastAsia" w:ascii="宋体" w:hAnsi="宋体" w:cs="宋体"/>
                <w:color w:val="000000"/>
                <w:kern w:val="0"/>
                <w:sz w:val="20"/>
                <w:szCs w:val="20"/>
              </w:rPr>
              <w:t>五</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sz w:val="20"/>
                <w:szCs w:val="20"/>
              </w:rPr>
            </w:pPr>
            <w:r>
              <w:rPr>
                <w:rFonts w:hint="eastAsia" w:ascii="宋体" w:hAnsi="宋体" w:cs="宋体"/>
                <w:color w:val="000000"/>
                <w:sz w:val="20"/>
                <w:szCs w:val="20"/>
              </w:rPr>
              <w:t>本年度预算22300万元</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kern w:val="0"/>
                <w:sz w:val="20"/>
                <w:szCs w:val="20"/>
              </w:rPr>
            </w:pPr>
            <w:r>
              <w:rPr>
                <w:rFonts w:ascii="宋体" w:hAnsi="宋体" w:cs="宋体"/>
                <w:color w:val="000000"/>
                <w:kern w:val="0"/>
                <w:sz w:val="20"/>
                <w:szCs w:val="20"/>
              </w:rPr>
              <w:t>绩效指标</w:t>
            </w:r>
            <w:r>
              <w:rPr>
                <w:rFonts w:hint="eastAsia" w:ascii="宋体" w:hAnsi="宋体" w:cs="宋体"/>
                <w:color w:val="000000"/>
                <w:kern w:val="0"/>
                <w:sz w:val="20"/>
                <w:szCs w:val="20"/>
              </w:rPr>
              <w:t>六</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left"/>
              <w:textAlignment w:val="center"/>
              <w:rPr>
                <w:rFonts w:ascii="宋体" w:hAnsi="宋体" w:cs="宋体"/>
                <w:color w:val="000000"/>
                <w:sz w:val="20"/>
                <w:szCs w:val="20"/>
              </w:rPr>
            </w:pPr>
            <w:r>
              <w:rPr>
                <w:rFonts w:hint="eastAsia" w:ascii="宋体" w:hAnsi="宋体" w:cs="宋体"/>
                <w:color w:val="000000"/>
                <w:sz w:val="20"/>
                <w:szCs w:val="20"/>
              </w:rPr>
              <w:t>公众满意度≥95%</w:t>
            </w:r>
          </w:p>
        </w:tc>
      </w:tr>
      <w:tr>
        <w:tblPrEx>
          <w:tblLayout w:type="fixed"/>
          <w:tblCellMar>
            <w:top w:w="0" w:type="dxa"/>
            <w:left w:w="108" w:type="dxa"/>
            <w:bottom w:w="0" w:type="dxa"/>
            <w:right w:w="108" w:type="dxa"/>
          </w:tblCellMar>
        </w:tblPrEx>
        <w:trPr>
          <w:trHeight w:val="624" w:hRule="atLeast"/>
          <w:jc w:val="center"/>
        </w:trPr>
        <w:tc>
          <w:tcPr>
            <w:tcW w:w="20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0"/>
              <w:jc w:val="center"/>
              <w:textAlignment w:val="center"/>
              <w:rPr>
                <w:rFonts w:ascii="宋体" w:hAnsi="宋体" w:cs="宋体"/>
                <w:color w:val="000000"/>
                <w:sz w:val="20"/>
                <w:szCs w:val="20"/>
              </w:rPr>
            </w:pPr>
            <w:r>
              <w:rPr>
                <w:rFonts w:ascii="宋体" w:hAnsi="宋体" w:cs="宋体"/>
                <w:color w:val="000000"/>
                <w:kern w:val="0"/>
                <w:sz w:val="20"/>
                <w:szCs w:val="20"/>
              </w:rPr>
              <w:t>其他说明的问题</w:t>
            </w:r>
          </w:p>
        </w:tc>
        <w:tc>
          <w:tcPr>
            <w:tcW w:w="6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left"/>
              <w:rPr>
                <w:rFonts w:ascii="宋体" w:hAnsi="宋体" w:cs="宋体"/>
                <w:color w:val="000000"/>
                <w:sz w:val="20"/>
                <w:szCs w:val="20"/>
              </w:rPr>
            </w:pPr>
            <w:r>
              <w:rPr>
                <w:rFonts w:hint="eastAsia" w:ascii="宋体" w:hAnsi="宋体" w:cs="宋体"/>
                <w:color w:val="000000"/>
                <w:sz w:val="20"/>
                <w:szCs w:val="20"/>
              </w:rPr>
              <w:t>无。</w:t>
            </w:r>
          </w:p>
        </w:tc>
      </w:tr>
    </w:tbl>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市气象局设定的2024年度部门整体绩效目标与部门职能、气象事业发展规划较匹配，绩效指标与绩效目标较相关，但绩效目标和指标设置尚需完善，一是绩效指标不够全面，部门重点工作气象监测、气象探测设施设备维护等职能方面未设置具体产出、效益指标，不能充分反映部门履职情况；二是部分绩效指标设置不够清晰、细化、量化，不利于后期考核。</w:t>
      </w:r>
    </w:p>
    <w:p>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9" w:name="_Toc11851"/>
      <w:bookmarkStart w:id="10" w:name="_Toc284"/>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9"/>
      <w:bookmarkEnd w:id="10"/>
    </w:p>
    <w:p>
      <w:pPr>
        <w:adjustRightInd w:val="0"/>
        <w:snapToGrid w:val="0"/>
        <w:spacing w:line="560" w:lineRule="exact"/>
        <w:ind w:firstLine="640" w:firstLineChars="200"/>
        <w:rPr>
          <w:rFonts w:ascii="仿宋_GB2312" w:hAnsi="Arial" w:eastAsia="仿宋_GB2312" w:cs="Arial"/>
          <w:kern w:val="0"/>
          <w:sz w:val="32"/>
          <w:szCs w:val="32"/>
        </w:rPr>
      </w:pPr>
      <w:bookmarkStart w:id="11" w:name="_Toc20643"/>
      <w:bookmarkStart w:id="12" w:name="_Toc4412"/>
      <w:r>
        <w:rPr>
          <w:rFonts w:hint="eastAsia" w:ascii="仿宋_GB2312" w:hAnsi="Arial" w:eastAsia="仿宋_GB2312" w:cs="Arial"/>
          <w:kern w:val="0"/>
          <w:sz w:val="32"/>
          <w:szCs w:val="32"/>
        </w:rPr>
        <w:t>2024年全年预算数147,058.71万元，其中，基本支出预算数</w:t>
      </w:r>
      <w:r>
        <w:rPr>
          <w:rFonts w:ascii="仿宋_GB2312" w:hAnsi="Arial" w:eastAsia="仿宋_GB2312" w:cs="Arial"/>
          <w:kern w:val="0"/>
          <w:sz w:val="32"/>
          <w:szCs w:val="32"/>
        </w:rPr>
        <w:t>1</w:t>
      </w:r>
      <w:r>
        <w:rPr>
          <w:rFonts w:hint="eastAsia" w:ascii="仿宋_GB2312" w:hAnsi="Arial" w:eastAsia="仿宋_GB2312" w:cs="Arial"/>
          <w:kern w:val="0"/>
          <w:sz w:val="32"/>
          <w:szCs w:val="32"/>
        </w:rPr>
        <w:t>,</w:t>
      </w:r>
      <w:r>
        <w:rPr>
          <w:rFonts w:ascii="仿宋_GB2312" w:hAnsi="Arial" w:eastAsia="仿宋_GB2312" w:cs="Arial"/>
          <w:kern w:val="0"/>
          <w:sz w:val="32"/>
          <w:szCs w:val="32"/>
        </w:rPr>
        <w:t>6</w:t>
      </w:r>
      <w:r>
        <w:rPr>
          <w:rFonts w:hint="eastAsia" w:ascii="仿宋_GB2312" w:hAnsi="Arial" w:eastAsia="仿宋_GB2312" w:cs="Arial"/>
          <w:kern w:val="0"/>
          <w:sz w:val="32"/>
          <w:szCs w:val="32"/>
        </w:rPr>
        <w:t>99.</w:t>
      </w:r>
      <w:r>
        <w:rPr>
          <w:rFonts w:ascii="仿宋_GB2312" w:hAnsi="Arial" w:eastAsia="仿宋_GB2312" w:cs="Arial"/>
          <w:kern w:val="0"/>
          <w:sz w:val="32"/>
          <w:szCs w:val="32"/>
        </w:rPr>
        <w:t>8</w:t>
      </w:r>
      <w:r>
        <w:rPr>
          <w:rFonts w:hint="eastAsia" w:ascii="仿宋_GB2312" w:hAnsi="Arial" w:eastAsia="仿宋_GB2312" w:cs="Arial"/>
          <w:kern w:val="0"/>
          <w:sz w:val="32"/>
          <w:szCs w:val="32"/>
        </w:rPr>
        <w:t>5万元，项目支出预算数145,358.86万元，其他支出预算数0.00万元。资金总体支出120,696.06万元，其中，基本支出1,695.98万元，项目支出119,000.09万元，其他支出0.00万元。预算执行率为82.07%。</w:t>
      </w:r>
    </w:p>
    <w:p>
      <w:pPr>
        <w:adjustRightInd w:val="0"/>
        <w:snapToGrid w:val="0"/>
        <w:spacing w:line="56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1"/>
      <w:bookmarkEnd w:id="12"/>
    </w:p>
    <w:p>
      <w:pPr>
        <w:adjustRightInd w:val="0"/>
        <w:snapToGrid w:val="0"/>
        <w:spacing w:line="560" w:lineRule="exact"/>
        <w:ind w:firstLine="640" w:firstLineChars="200"/>
        <w:outlineLvl w:val="1"/>
        <w:rPr>
          <w:rFonts w:ascii="楷体_GB2312" w:eastAsia="楷体_GB2312"/>
          <w:sz w:val="32"/>
          <w:szCs w:val="32"/>
        </w:rPr>
      </w:pPr>
      <w:bookmarkStart w:id="13" w:name="_Toc25090"/>
      <w:bookmarkStart w:id="14" w:name="_Toc25675"/>
      <w:r>
        <w:rPr>
          <w:rFonts w:hint="eastAsia" w:ascii="楷体_GB2312" w:eastAsia="楷体_GB2312"/>
          <w:sz w:val="32"/>
          <w:szCs w:val="32"/>
        </w:rPr>
        <w:t>（一）产出完成情况分析</w:t>
      </w:r>
      <w:bookmarkEnd w:id="13"/>
      <w:bookmarkEnd w:id="14"/>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adjustRightInd w:val="0"/>
        <w:snapToGrid w:val="0"/>
        <w:spacing w:line="560" w:lineRule="exact"/>
        <w:ind w:firstLine="640" w:firstLineChars="200"/>
        <w:rPr>
          <w:rFonts w:ascii="仿宋_GB2312" w:hAnsi="宋体" w:eastAsia="仿宋_GB2312" w:cs="宋体"/>
          <w:b/>
          <w:bCs/>
          <w:color w:val="000000"/>
          <w:kern w:val="0"/>
          <w:sz w:val="32"/>
          <w:szCs w:val="32"/>
        </w:rPr>
      </w:pPr>
      <w:r>
        <w:rPr>
          <w:rFonts w:hint="eastAsia" w:ascii="仿宋_GB2312" w:hAnsi="宋体" w:eastAsia="仿宋_GB2312" w:cs="宋体"/>
          <w:color w:val="000000"/>
          <w:kern w:val="0"/>
          <w:sz w:val="32"/>
          <w:szCs w:val="32"/>
        </w:rPr>
        <w:t>2024年市气象局重点</w:t>
      </w:r>
      <w:r>
        <w:rPr>
          <w:rFonts w:hint="eastAsia" w:ascii="仿宋_GB2312" w:eastAsia="仿宋_GB2312"/>
          <w:color w:val="000000"/>
          <w:sz w:val="32"/>
          <w:szCs w:val="32"/>
        </w:rPr>
        <w:t>工作取得新进展新成效，主要产出数量如下：</w:t>
      </w:r>
    </w:p>
    <w:p>
      <w:pPr>
        <w:spacing w:line="560" w:lineRule="exact"/>
        <w:ind w:firstLine="643" w:firstLineChars="200"/>
        <w:textAlignment w:val="baseline"/>
        <w:rPr>
          <w:rFonts w:ascii="仿宋_GB2312"/>
          <w:sz w:val="32"/>
          <w:szCs w:val="32"/>
        </w:rPr>
      </w:pPr>
      <w:r>
        <w:rPr>
          <w:rFonts w:hint="eastAsia" w:ascii="仿宋_GB2312" w:hAnsi="宋体" w:eastAsia="仿宋_GB2312" w:cs="宋体"/>
          <w:b/>
          <w:bCs/>
          <w:color w:val="000000"/>
          <w:kern w:val="0"/>
          <w:sz w:val="32"/>
          <w:szCs w:val="32"/>
        </w:rPr>
        <w:t>（1）气象预警方面，</w:t>
      </w:r>
      <w:r>
        <w:rPr>
          <w:rFonts w:hint="eastAsia" w:ascii="仿宋_GB2312" w:eastAsia="仿宋_GB2312"/>
          <w:sz w:val="32"/>
          <w:szCs w:val="32"/>
        </w:rPr>
        <w:t>全天候会商联动和重大信息“直通式”服务，实现气象预警信号中英文同步发布。出台高温、抗旱、暴雪低温天气应急预案，修订突发事件气象应急保障预案、预警信号防御指南等。</w:t>
      </w:r>
    </w:p>
    <w:p>
      <w:pPr>
        <w:adjustRightInd w:val="0"/>
        <w:snapToGrid w:val="0"/>
        <w:spacing w:line="56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（2）气象系统建设和站点重建方面，</w:t>
      </w:r>
      <w:r>
        <w:rPr>
          <w:rFonts w:hint="eastAsia" w:ascii="仿宋_GB2312" w:eastAsia="仿宋_GB2312"/>
          <w:sz w:val="32"/>
          <w:szCs w:val="32"/>
        </w:rPr>
        <w:t>创新开展稠密三维立体观测系统建设，气象铁塔站建设全部完成;重建修复重灾区损毁气象站;新建花粉自动观测站、交通气象站等。</w:t>
      </w:r>
    </w:p>
    <w:p>
      <w:pPr>
        <w:adjustRightInd w:val="0"/>
        <w:snapToGrid w:val="0"/>
        <w:spacing w:line="56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（3）人工影响天气方面，</w:t>
      </w:r>
      <w:r>
        <w:rPr>
          <w:rFonts w:hint="eastAsia" w:ascii="仿宋_GB2312" w:hAnsi="宋体" w:eastAsia="仿宋_GB2312" w:cs="宋体"/>
          <w:color w:val="000000"/>
          <w:kern w:val="0"/>
          <w:sz w:val="32"/>
          <w:szCs w:val="32"/>
        </w:rPr>
        <w:t>助力生态文明建设，与</w:t>
      </w:r>
      <w:r>
        <w:rPr>
          <w:rFonts w:hint="eastAsia" w:eastAsia="仿宋_GB2312" w:cs="宋体" w:asciiTheme="minorHAnsi" w:hAnsiTheme="minorHAnsi"/>
          <w:color w:val="000000"/>
          <w:kern w:val="0"/>
          <w:sz w:val="32"/>
          <w:szCs w:val="32"/>
        </w:rPr>
        <w:t>相关</w:t>
      </w:r>
      <w:r>
        <w:rPr>
          <w:rFonts w:hint="eastAsia" w:ascii="仿宋_GB2312" w:hAnsi="宋体" w:eastAsia="仿宋_GB2312" w:cs="宋体"/>
          <w:color w:val="000000"/>
          <w:kern w:val="0"/>
          <w:sz w:val="32"/>
          <w:szCs w:val="32"/>
        </w:rPr>
        <w:t>委办局联合印发《北京市适应气候变化行动方案》，开展人工影响天气作业，助力防雹减灾等工作。</w:t>
      </w:r>
    </w:p>
    <w:p>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（4）关键区域气象服务方面，</w:t>
      </w:r>
      <w:r>
        <w:rPr>
          <w:rFonts w:hint="eastAsia" w:ascii="仿宋_GB2312" w:hAnsi="宋体" w:eastAsia="仿宋_GB2312" w:cs="宋体"/>
          <w:color w:val="000000"/>
          <w:kern w:val="0"/>
          <w:sz w:val="32"/>
          <w:szCs w:val="32"/>
        </w:rPr>
        <w:t>成立首都关键区域气象服务保障中心，与国家气象中心组建专班，重要国事外事气象保障任务快速响应。圆满完成本年重大活动保障任务。</w:t>
      </w:r>
    </w:p>
    <w:p>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（5）深化党建方面，</w:t>
      </w:r>
      <w:r>
        <w:rPr>
          <w:rFonts w:hint="eastAsia" w:ascii="仿宋_GB2312" w:hAnsi="宋体" w:eastAsia="仿宋_GB2312" w:cs="宋体"/>
          <w:color w:val="000000"/>
          <w:kern w:val="0"/>
          <w:sz w:val="32"/>
          <w:szCs w:val="32"/>
        </w:rPr>
        <w:t>深入学习贯彻党的二十届三中全会精神，再学习再落实习近平总书记“7·9”重要讲话精神，党组署名文章在《旗帜》刊载。抓实党纪学习教育，深化联动融合，青年榜样入选市直机关宣讲团。</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市气象局2024年度各项工作完成质量较好，</w:t>
      </w:r>
      <w:r>
        <w:rPr>
          <w:rFonts w:hint="eastAsia" w:ascii="仿宋_GB2312" w:hAnsi="黑体" w:eastAsia="仿宋_GB2312"/>
          <w:color w:val="000000"/>
          <w:sz w:val="32"/>
          <w:szCs w:val="32"/>
        </w:rPr>
        <w:t>预报准确率达标。</w:t>
      </w:r>
      <w:r>
        <w:rPr>
          <w:rFonts w:hint="eastAsia" w:ascii="仿宋_GB2312" w:eastAsia="仿宋_GB2312"/>
          <w:sz w:val="32"/>
          <w:szCs w:val="32"/>
        </w:rPr>
        <w:t>重灾区建设任务100%完成，站网工程建设率81%。正式发布具备完全自主知识产权天气预报模型，强降水预报评分较主流大模型提升。研发基于集成学习的强对流预报技术</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市气象局2024年度各项工作基本按照计划进度序时完成。</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2024年全年预算数147,058.71万元，其中，基本支出预算数1,699.85万元，项目支出预算数145,358.86万元。资金总体支出120,696.06万元，其中，基本支出1,695.98万元，项目支出119,000.09万元。预算执行率为82.07%。2024年度各项支出严格按照少花钱、多办事的原则执行，通过政府采购、磋商等方式，严格控制支出成本。</w:t>
      </w:r>
    </w:p>
    <w:p>
      <w:pPr>
        <w:adjustRightInd w:val="0"/>
        <w:snapToGrid w:val="0"/>
        <w:spacing w:line="560" w:lineRule="exact"/>
        <w:ind w:firstLine="640" w:firstLineChars="200"/>
        <w:outlineLvl w:val="1"/>
        <w:rPr>
          <w:rFonts w:ascii="楷体_GB2312" w:eastAsia="楷体_GB2312"/>
          <w:sz w:val="32"/>
          <w:szCs w:val="32"/>
        </w:rPr>
      </w:pPr>
      <w:bookmarkStart w:id="15" w:name="_Toc16658"/>
      <w:bookmarkStart w:id="16" w:name="_Toc136"/>
      <w:r>
        <w:rPr>
          <w:rFonts w:hint="eastAsia" w:ascii="楷体_GB2312" w:eastAsia="楷体_GB2312"/>
          <w:sz w:val="32"/>
          <w:szCs w:val="32"/>
        </w:rPr>
        <w:t>（二）效果</w:t>
      </w:r>
      <w:r>
        <w:rPr>
          <w:rFonts w:ascii="楷体_GB2312" w:eastAsia="楷体_GB2312"/>
          <w:sz w:val="32"/>
          <w:szCs w:val="32"/>
        </w:rPr>
        <w:t>实现情况分析</w:t>
      </w:r>
      <w:bookmarkEnd w:id="15"/>
      <w:bookmarkEnd w:id="16"/>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及时提供关键农时气象灾害监测预报、实施人工防雹、人工增雨雪作业，为防灾减灾提供决策支撑，有效降低了极端天气造成的经济损失。风险预估产品在重大天气过程服务中取得一</w:t>
      </w:r>
      <w:r>
        <w:rPr>
          <w:rFonts w:hint="eastAsia" w:ascii="仿宋_GB2312" w:hAnsi="黑体" w:eastAsia="仿宋_GB2312"/>
          <w:color w:val="000000" w:themeColor="text1"/>
          <w:sz w:val="32"/>
          <w:szCs w:val="32"/>
          <w14:textFill>
            <w14:solidFill>
              <w14:schemeClr w14:val="tx1"/>
            </w14:solidFill>
          </w14:textFill>
        </w:rPr>
        <w:t>定的应用成效，为气象防灾减灾、城市安全运行等方面提供科学决策依据</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通过气象预警工作的实施，提供各类决策服务材料，及时提供监测预报、气象预警信号、风险预警等，为城市安全运行各行业、各决策部门，气象赋能新质生产力发展。促进北京“气象数据要素x”金融保险、森林防火、交通保障、能源保供、文旅产业和低空经济等六类场景落地。</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二是气象综合探测系统、新建及重建站点稳定运行，及时高效地向设施生产农户和农业相关管理部门提供气象预报预警、转折性天气和灾害性等天气过程的服务产品和短信，减少了气象灾害损失。</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高质量、高标准完成全年重大活动气象服务保障，精准研判、精细服务，多维度精细化提供定制化气象保障服务。加强与中央气象台和周边省市气象台的联合会商，强化北京地区“春季障碍”预报技术攻关成果应用，圆满完成保障任务。</w:t>
      </w:r>
    </w:p>
    <w:p>
      <w:pPr>
        <w:adjustRightInd w:val="0"/>
        <w:snapToGrid w:val="0"/>
        <w:spacing w:line="56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四是层层压实全面从严治党责任，举办首届华北区域纪检工作联席会。全年未出现重大安全生产事故和意识形态领域问题。</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3.生态效益</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服务京津冀协同发展，“通武廊”气象合作走深走实。赋能乡村振兴发展，发布设施农业气象灾害预报等服务产品。继续全面推动跨区域精细化生态修复型人影常态化作业。</w:t>
      </w:r>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4.服务对象</w:t>
      </w:r>
      <w:r>
        <w:rPr>
          <w:rFonts w:ascii="仿宋_GB2312" w:hAnsi="宋体" w:eastAsia="仿宋_GB2312" w:cs="宋体"/>
          <w:color w:val="000000"/>
          <w:kern w:val="0"/>
          <w:sz w:val="32"/>
          <w:szCs w:val="32"/>
        </w:rPr>
        <w:t>满意度</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创新发展城市微尺度预报技术，首批入选北京市人工智能应用场景联合研发平台。主管部门、市民、各行业对市气象局提供的气象服务均较为满意。</w:t>
      </w:r>
    </w:p>
    <w:p>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17" w:name="_Toc19559"/>
      <w:bookmarkStart w:id="18" w:name="_Toc13611"/>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7"/>
      <w:bookmarkEnd w:id="18"/>
    </w:p>
    <w:p>
      <w:pPr>
        <w:adjustRightInd w:val="0"/>
        <w:snapToGrid w:val="0"/>
        <w:spacing w:line="560" w:lineRule="exact"/>
        <w:ind w:firstLine="640" w:firstLineChars="200"/>
        <w:outlineLvl w:val="1"/>
        <w:rPr>
          <w:rFonts w:ascii="楷体_GB2312" w:eastAsia="楷体_GB2312"/>
          <w:sz w:val="32"/>
          <w:szCs w:val="32"/>
        </w:rPr>
      </w:pPr>
      <w:bookmarkStart w:id="19" w:name="_Toc21686"/>
      <w:bookmarkStart w:id="20" w:name="_Toc21628"/>
      <w:r>
        <w:rPr>
          <w:rFonts w:hint="eastAsia" w:ascii="楷体_GB2312" w:eastAsia="楷体_GB2312"/>
          <w:sz w:val="32"/>
          <w:szCs w:val="32"/>
        </w:rPr>
        <w:t>（一）财务管理</w:t>
      </w:r>
      <w:bookmarkEnd w:id="19"/>
      <w:bookmarkEnd w:id="20"/>
    </w:p>
    <w:p>
      <w:pPr>
        <w:adjustRightInd w:val="0"/>
        <w:snapToGrid w:val="0"/>
        <w:spacing w:line="560" w:lineRule="exact"/>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在预算管理、收支管理、合同管理、项目管理、政府采购等工作中，参照财政部、北京市财政局、中国气象局等部门制定的相关办法执行。同时结合市气象局具体情况制定相关管理制度。财务管理制度较为健全，为部门资金使用管理提供了有效制度保障。</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资金使用合规，资金使用符合国家财经法规和财务管理制度规定以及有关专项资金管理办法的规定，资金的拨付有完整的审批程序和手续，项目的重大开支经过评估论证，资金支出符合部门预算批复的用途，资金使用符合政府采购的程序和流程，符合公务卡结算相关制度和规定。</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按照《中华人民共和国会计法》《会计基础工作规范》等文件要求规范会计行为，加强会计基础工作。做好各项日常会计核算工作，认真审核原始凭证，严格执行审批流程和报销手续，及时处理会计账目，定期编制财务报表，完整归集票据、合同、协议、会议纪要等会计档案。会计档案按规定年限保存，并由专人负责。基础数据信息和会计信息资料均较为真实、完整、准确。</w:t>
      </w:r>
    </w:p>
    <w:p>
      <w:pPr>
        <w:adjustRightInd w:val="0"/>
        <w:snapToGrid w:val="0"/>
        <w:spacing w:line="560" w:lineRule="exact"/>
        <w:ind w:firstLine="640" w:firstLineChars="200"/>
        <w:outlineLvl w:val="1"/>
        <w:rPr>
          <w:rFonts w:ascii="楷体_GB2312" w:eastAsia="楷体_GB2312"/>
          <w:sz w:val="32"/>
          <w:szCs w:val="32"/>
        </w:rPr>
      </w:pPr>
      <w:bookmarkStart w:id="21" w:name="_Toc13184"/>
      <w:bookmarkStart w:id="22" w:name="_Toc20694"/>
      <w:r>
        <w:rPr>
          <w:rFonts w:hint="eastAsia" w:ascii="楷体_GB2312" w:eastAsia="楷体_GB2312"/>
          <w:sz w:val="32"/>
          <w:szCs w:val="32"/>
        </w:rPr>
        <w:t>（二）资产管理</w:t>
      </w:r>
      <w:bookmarkEnd w:id="21"/>
      <w:bookmarkEnd w:id="22"/>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市气象局按照中国气象局、北京市资产管理相关制度和要求，结合市气象局具体情况制定了相关管理办法，进一步明确了国有资产使用和处置的具体管理要求，以及资产管理具体职责划分。</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市气象局严格按照相关要求进行部门资产管理，资产设有专人管理，建有固定资产台账，资产配置、使用、处置等程序规范、手续齐全，均处于在用状态。固定资产标签按照要求粘贴，按期进行了固定资产盘点。</w:t>
      </w:r>
    </w:p>
    <w:p>
      <w:pPr>
        <w:adjustRightInd w:val="0"/>
        <w:snapToGrid w:val="0"/>
        <w:spacing w:line="560" w:lineRule="exact"/>
        <w:ind w:firstLine="640" w:firstLineChars="200"/>
        <w:outlineLvl w:val="1"/>
        <w:rPr>
          <w:rFonts w:ascii="楷体_GB2312" w:eastAsia="楷体_GB2312"/>
          <w:sz w:val="32"/>
          <w:szCs w:val="32"/>
        </w:rPr>
      </w:pPr>
      <w:bookmarkStart w:id="23" w:name="_Toc22250"/>
      <w:bookmarkStart w:id="24" w:name="_Toc3092"/>
      <w:r>
        <w:rPr>
          <w:rFonts w:hint="eastAsia" w:ascii="楷体_GB2312" w:eastAsia="楷体_GB2312"/>
          <w:sz w:val="32"/>
          <w:szCs w:val="32"/>
        </w:rPr>
        <w:t>（三）绩效</w:t>
      </w:r>
      <w:r>
        <w:rPr>
          <w:rFonts w:ascii="楷体_GB2312" w:eastAsia="楷体_GB2312"/>
          <w:sz w:val="32"/>
          <w:szCs w:val="32"/>
        </w:rPr>
        <w:t>管理</w:t>
      </w:r>
      <w:bookmarkEnd w:id="23"/>
      <w:bookmarkEnd w:id="24"/>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贯彻落实中共北京市委、北京市人民政府发布的《关于全面实施预算绩效管理的实施意见》，进一步推动财政资金科学化、精细化管理，提高预算资金的使用效益，市气象局2024年度绩效管理工作严格按照北京市财政局预算绩效管理要求执行，相关材料按照规定时间汇总上报。主要完成以下工作：</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绩效目标填报、审核。各业务处室（单位）根据年度工作任务以及预算申报规定，随项目预算申报，填报项目支出绩效目标表。组织对所有项目的绩效目标进行审核，审核不合格的退回相关处室（单位）进行修改直至合格；审核通过的项目上报市财政部门。但部分项目绩效目标设置还不够科学规范，存在指标设置不够完善、未体现项目核心产出和效果等情况。</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绩效运行监控。及时跟进各项目执行进度，按要求开展半年绩效跟踪。各处室（单位）对本处室（单位）工作完成情况进行总结。对截至2024年6月30日的项目预算执行率、目标执行情况、目标执行偏差原因分析及对策等进行跟踪，填写《市级项目支出绩效目标执行监控汇总表》，撰写《项目支出绩效目标执行监控报告》，按时上报财政部门。做到及时对绩效信息进行汇总分析整理，对于绩效目标偏离情况及时进行矫正，督促相关单位落实整改。</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3.绩效自评。市气象局对2024年度项目开展绩效评价，评价项</w:t>
      </w:r>
      <w:r>
        <w:rPr>
          <w:rFonts w:hint="eastAsia" w:ascii="仿宋_GB2312" w:hAnsi="宋体" w:eastAsia="仿宋_GB2312" w:cs="宋体"/>
          <w:kern w:val="0"/>
          <w:sz w:val="32"/>
          <w:szCs w:val="32"/>
        </w:rPr>
        <w:t>目45个（不含涉密项目和人员经费类项目）。其中，</w:t>
      </w:r>
      <w:r>
        <w:rPr>
          <w:rFonts w:hint="eastAsia" w:ascii="仿宋_GB2312" w:hAnsi="宋体" w:eastAsia="仿宋_GB2312"/>
          <w:kern w:val="0"/>
          <w:sz w:val="32"/>
          <w:szCs w:val="32"/>
        </w:rPr>
        <w:t>部门评价项目1个</w:t>
      </w:r>
      <w:r>
        <w:rPr>
          <w:rFonts w:hint="eastAsia" w:ascii="仿宋_GB2312" w:hAnsi="宋体" w:eastAsia="仿宋_GB2312" w:cs="宋体"/>
          <w:kern w:val="0"/>
          <w:sz w:val="32"/>
          <w:szCs w:val="32"/>
        </w:rPr>
        <w:t>，自评项目45个，并将绩效自评材料整理汇总后于5月20日上报北京市财政局</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outlineLvl w:val="1"/>
        <w:rPr>
          <w:rFonts w:ascii="楷体_GB2312" w:eastAsia="楷体_GB2312"/>
          <w:sz w:val="32"/>
          <w:szCs w:val="32"/>
        </w:rPr>
      </w:pPr>
      <w:bookmarkStart w:id="25" w:name="_Toc23535"/>
      <w:bookmarkStart w:id="26" w:name="_Toc26739"/>
      <w:r>
        <w:rPr>
          <w:rFonts w:hint="eastAsia" w:ascii="楷体_GB2312" w:eastAsia="楷体_GB2312"/>
          <w:sz w:val="32"/>
          <w:szCs w:val="32"/>
        </w:rPr>
        <w:t>（四）结转结余率</w:t>
      </w:r>
      <w:bookmarkEnd w:id="25"/>
      <w:bookmarkEnd w:id="26"/>
    </w:p>
    <w:p>
      <w:pPr>
        <w:adjustRightInd w:val="0"/>
        <w:snapToGrid w:val="0"/>
        <w:spacing w:line="560" w:lineRule="exact"/>
        <w:ind w:firstLine="640" w:firstLineChars="200"/>
        <w:rPr>
          <w:rFonts w:ascii="楷体_GB2312" w:eastAsia="楷体_GB2312"/>
          <w:sz w:val="32"/>
          <w:szCs w:val="32"/>
        </w:rPr>
      </w:pPr>
      <w:r>
        <w:rPr>
          <w:rFonts w:hint="eastAsia" w:ascii="仿宋_GB2312" w:hAnsi="宋体" w:eastAsia="仿宋_GB2312" w:cs="宋体"/>
          <w:color w:val="000000"/>
          <w:kern w:val="0"/>
          <w:sz w:val="32"/>
          <w:szCs w:val="32"/>
        </w:rPr>
        <w:t>市气象局2024年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预算数为147,058.71万元，年末结转结余数为26,362.64万元，结转结余率为17.93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outlineLvl w:val="1"/>
        <w:rPr>
          <w:rFonts w:ascii="楷体_GB2312" w:eastAsia="楷体_GB2312"/>
          <w:sz w:val="32"/>
          <w:szCs w:val="32"/>
        </w:rPr>
      </w:pPr>
      <w:bookmarkStart w:id="27" w:name="_Toc30284"/>
      <w:bookmarkStart w:id="28" w:name="_Toc18680"/>
      <w:r>
        <w:rPr>
          <w:rFonts w:hint="eastAsia" w:ascii="楷体_GB2312" w:eastAsia="楷体_GB2312"/>
          <w:sz w:val="32"/>
          <w:szCs w:val="32"/>
        </w:rPr>
        <w:t>（五）部门</w:t>
      </w:r>
      <w:r>
        <w:rPr>
          <w:rFonts w:ascii="楷体_GB2312" w:eastAsia="楷体_GB2312"/>
          <w:sz w:val="32"/>
          <w:szCs w:val="32"/>
        </w:rPr>
        <w:t>预决算差异率</w:t>
      </w:r>
      <w:bookmarkEnd w:id="27"/>
      <w:bookmarkEnd w:id="28"/>
    </w:p>
    <w:p>
      <w:pPr>
        <w:adjustRightInd w:val="0"/>
        <w:snapToGrid w:val="0"/>
        <w:spacing w:line="560" w:lineRule="exact"/>
        <w:ind w:firstLine="640" w:firstLineChars="200"/>
        <w:rPr>
          <w:rFonts w:ascii="楷体_GB2312" w:eastAsia="楷体_GB2312"/>
          <w:sz w:val="32"/>
          <w:szCs w:val="32"/>
        </w:rPr>
      </w:pPr>
      <w:r>
        <w:rPr>
          <w:rFonts w:hint="eastAsia" w:ascii="仿宋_GB2312" w:hAnsi="宋体" w:eastAsia="仿宋_GB2312" w:cs="宋体"/>
          <w:color w:val="000000"/>
          <w:kern w:val="0"/>
          <w:sz w:val="32"/>
          <w:szCs w:val="32"/>
        </w:rPr>
        <w:t>市气象局2024年部门支出预算年初数为116,082.59万元，支出决算总数为120,696.06万元，差异率为3.97%。</w:t>
      </w:r>
    </w:p>
    <w:p>
      <w:pPr>
        <w:adjustRightInd w:val="0"/>
        <w:snapToGrid w:val="0"/>
        <w:spacing w:line="560" w:lineRule="exact"/>
        <w:ind w:firstLine="640" w:firstLineChars="200"/>
        <w:outlineLvl w:val="0"/>
        <w:rPr>
          <w:rFonts w:ascii="黑体" w:hAnsi="黑体" w:eastAsia="黑体"/>
          <w:sz w:val="32"/>
          <w:szCs w:val="32"/>
        </w:rPr>
      </w:pPr>
      <w:bookmarkStart w:id="29" w:name="_Toc9914"/>
      <w:bookmarkStart w:id="30" w:name="_Toc1368"/>
      <w:r>
        <w:rPr>
          <w:rFonts w:hint="eastAsia" w:ascii="黑体" w:hAnsi="黑体" w:eastAsia="黑体"/>
          <w:sz w:val="32"/>
          <w:szCs w:val="32"/>
        </w:rPr>
        <w:t>五、总体</w:t>
      </w:r>
      <w:r>
        <w:rPr>
          <w:rFonts w:ascii="黑体" w:hAnsi="黑体" w:eastAsia="黑体"/>
          <w:sz w:val="32"/>
          <w:szCs w:val="32"/>
        </w:rPr>
        <w:t>评价结论</w:t>
      </w:r>
      <w:bookmarkEnd w:id="29"/>
      <w:bookmarkEnd w:id="30"/>
    </w:p>
    <w:p>
      <w:pPr>
        <w:adjustRightInd w:val="0"/>
        <w:snapToGrid w:val="0"/>
        <w:spacing w:line="560" w:lineRule="exact"/>
        <w:ind w:firstLine="640" w:firstLineChars="200"/>
        <w:outlineLvl w:val="1"/>
        <w:rPr>
          <w:rFonts w:ascii="楷体_GB2312" w:eastAsia="楷体_GB2312"/>
          <w:sz w:val="32"/>
          <w:szCs w:val="32"/>
        </w:rPr>
      </w:pPr>
      <w:bookmarkStart w:id="31" w:name="_Toc2549"/>
      <w:bookmarkStart w:id="32" w:name="_Toc4979"/>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1"/>
      <w:bookmarkEnd w:id="32"/>
    </w:p>
    <w:p>
      <w:pPr>
        <w:adjustRightInd w:val="0"/>
        <w:snapToGrid w:val="0"/>
        <w:spacing w:line="560" w:lineRule="exact"/>
        <w:ind w:firstLine="640" w:firstLineChars="200"/>
        <w:rPr>
          <w:rFonts w:ascii="仿宋_GB2312" w:hAnsi="仿宋" w:eastAsia="仿宋_GB2312" w:cs="仿宋"/>
          <w:iCs/>
          <w:sz w:val="32"/>
          <w:szCs w:val="32"/>
        </w:rPr>
      </w:pPr>
      <w:r>
        <w:rPr>
          <w:rFonts w:hint="eastAsia" w:ascii="仿宋_GB2312" w:hAnsi="宋体" w:eastAsia="仿宋_GB2312" w:cs="宋体"/>
          <w:color w:val="000000"/>
          <w:kern w:val="0"/>
          <w:sz w:val="32"/>
          <w:szCs w:val="32"/>
        </w:rPr>
        <w:t>2024年市气象局完成了气象预警服务工作，为城市安全运行各行业、各决策部门以及重大活动提供了精准、细致的气象预报、保障服务；气象综合探测系统、新建及重建站点稳定运行，及时高效向设施生产农户和农业相关管理部门提供气象预报预警、转折性天气和灾害性等天气过程的服务产品和短信，减少了气象灾害损失；持续开展人工影响天气作业，生态环境得到进一步改善；高质量、高标准完成全年重大活动气象服务保障。但还存在绩效目标和指标设置不够规范合理、过程管理不够精细、资金使用不够规范合理及反映项目实施效果、服务对象满意度方面的支撑资料不足等问题。经评价，市气象局2024年部门整体支出综合评价得分为95.41分，评价等级为“优”，得分情况见表2。</w:t>
      </w:r>
    </w:p>
    <w:p>
      <w:pPr>
        <w:snapToGrid w:val="0"/>
        <w:spacing w:line="560" w:lineRule="exact"/>
        <w:ind w:firstLine="560"/>
        <w:jc w:val="center"/>
        <w:rPr>
          <w:rFonts w:ascii="黑体" w:hAnsi="黑体" w:eastAsia="黑体"/>
          <w:sz w:val="24"/>
          <w:szCs w:val="32"/>
        </w:rPr>
      </w:pPr>
      <w:r>
        <w:rPr>
          <w:rFonts w:hint="eastAsia" w:ascii="黑体" w:hAnsi="黑体" w:eastAsia="黑体"/>
          <w:sz w:val="28"/>
          <w:szCs w:val="28"/>
        </w:rPr>
        <w:t>表2：综合评价得分情况表</w:t>
      </w:r>
    </w:p>
    <w:tbl>
      <w:tblPr>
        <w:tblStyle w:val="1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1950"/>
        <w:gridCol w:w="1840"/>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blHeader/>
          <w:jc w:val="center"/>
        </w:trPr>
        <w:tc>
          <w:tcPr>
            <w:tcW w:w="2475" w:type="dxa"/>
            <w:shd w:val="clear" w:color="auto" w:fill="BEBEBE"/>
            <w:vAlign w:val="center"/>
          </w:tcPr>
          <w:p>
            <w:pPr>
              <w:widowControl/>
              <w:adjustRightInd w:val="0"/>
              <w:snapToGrid w:val="0"/>
              <w:ind w:firstLine="402"/>
              <w:jc w:val="center"/>
              <w:rPr>
                <w:rFonts w:ascii="宋体" w:hAnsi="宋体" w:cs="宋体"/>
                <w:b/>
                <w:bCs/>
                <w:kern w:val="0"/>
                <w:sz w:val="20"/>
                <w:szCs w:val="20"/>
              </w:rPr>
            </w:pPr>
            <w:r>
              <w:rPr>
                <w:rFonts w:hint="eastAsia" w:ascii="宋体" w:hAnsi="宋体" w:cs="宋体"/>
                <w:b/>
                <w:bCs/>
                <w:kern w:val="0"/>
                <w:sz w:val="20"/>
                <w:szCs w:val="20"/>
              </w:rPr>
              <w:t>一级指标</w:t>
            </w:r>
          </w:p>
        </w:tc>
        <w:tc>
          <w:tcPr>
            <w:tcW w:w="1950" w:type="dxa"/>
            <w:shd w:val="clear" w:color="auto" w:fill="BEBEBE"/>
            <w:vAlign w:val="center"/>
          </w:tcPr>
          <w:p>
            <w:pPr>
              <w:widowControl/>
              <w:adjustRightInd w:val="0"/>
              <w:snapToGrid w:val="0"/>
              <w:ind w:firstLine="402"/>
              <w:jc w:val="center"/>
              <w:rPr>
                <w:rFonts w:ascii="宋体" w:hAnsi="宋体" w:cs="宋体"/>
                <w:b/>
                <w:bCs/>
                <w:kern w:val="0"/>
                <w:sz w:val="20"/>
                <w:szCs w:val="20"/>
              </w:rPr>
            </w:pPr>
            <w:r>
              <w:rPr>
                <w:rFonts w:hint="eastAsia" w:ascii="宋体" w:hAnsi="宋体" w:cs="宋体"/>
                <w:b/>
                <w:bCs/>
                <w:kern w:val="0"/>
                <w:sz w:val="20"/>
                <w:szCs w:val="20"/>
              </w:rPr>
              <w:t>分值</w:t>
            </w:r>
          </w:p>
        </w:tc>
        <w:tc>
          <w:tcPr>
            <w:tcW w:w="1840" w:type="dxa"/>
            <w:shd w:val="clear" w:color="auto" w:fill="BEBEBE"/>
            <w:vAlign w:val="center"/>
          </w:tcPr>
          <w:p>
            <w:pPr>
              <w:widowControl/>
              <w:adjustRightInd w:val="0"/>
              <w:snapToGrid w:val="0"/>
              <w:ind w:firstLine="402"/>
              <w:jc w:val="center"/>
              <w:rPr>
                <w:rFonts w:ascii="宋体" w:hAnsi="宋体" w:cs="宋体"/>
                <w:b/>
                <w:bCs/>
                <w:kern w:val="0"/>
                <w:sz w:val="20"/>
                <w:szCs w:val="20"/>
              </w:rPr>
            </w:pPr>
            <w:r>
              <w:rPr>
                <w:rFonts w:hint="eastAsia" w:ascii="宋体" w:hAnsi="宋体" w:cs="宋体"/>
                <w:b/>
                <w:bCs/>
                <w:kern w:val="0"/>
                <w:sz w:val="20"/>
                <w:szCs w:val="20"/>
              </w:rPr>
              <w:t>得分</w:t>
            </w:r>
          </w:p>
        </w:tc>
        <w:tc>
          <w:tcPr>
            <w:tcW w:w="2239" w:type="dxa"/>
            <w:shd w:val="clear" w:color="auto" w:fill="BEBEBE"/>
            <w:vAlign w:val="center"/>
          </w:tcPr>
          <w:p>
            <w:pPr>
              <w:widowControl/>
              <w:adjustRightInd w:val="0"/>
              <w:snapToGrid w:val="0"/>
              <w:ind w:firstLine="402"/>
              <w:jc w:val="center"/>
              <w:rPr>
                <w:rFonts w:ascii="宋体" w:hAnsi="宋体" w:cs="宋体"/>
                <w:b/>
                <w:bCs/>
                <w:kern w:val="0"/>
                <w:sz w:val="20"/>
                <w:szCs w:val="20"/>
              </w:rPr>
            </w:pPr>
            <w:r>
              <w:rPr>
                <w:rFonts w:hint="eastAsia" w:ascii="宋体" w:hAnsi="宋体" w:cs="宋体"/>
                <w:b/>
                <w:bCs/>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jc w:val="center"/>
        </w:trPr>
        <w:tc>
          <w:tcPr>
            <w:tcW w:w="2475" w:type="dxa"/>
            <w:vAlign w:val="center"/>
          </w:tcPr>
          <w:p>
            <w:pPr>
              <w:widowControl/>
              <w:adjustRightInd w:val="0"/>
              <w:snapToGrid w:val="0"/>
              <w:ind w:firstLine="400"/>
              <w:jc w:val="center"/>
              <w:rPr>
                <w:rFonts w:ascii="宋体" w:hAnsi="宋体" w:cs="宋体"/>
                <w:kern w:val="0"/>
                <w:sz w:val="20"/>
                <w:szCs w:val="20"/>
              </w:rPr>
            </w:pPr>
            <w:r>
              <w:rPr>
                <w:rFonts w:hint="eastAsia" w:ascii="宋体" w:hAnsi="宋体" w:cs="宋体"/>
                <w:kern w:val="0"/>
                <w:sz w:val="20"/>
                <w:szCs w:val="20"/>
              </w:rPr>
              <w:t>当年预算执行情况</w:t>
            </w:r>
          </w:p>
        </w:tc>
        <w:tc>
          <w:tcPr>
            <w:tcW w:w="1950"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w:t>
            </w:r>
          </w:p>
        </w:tc>
        <w:tc>
          <w:tcPr>
            <w:tcW w:w="1840" w:type="dxa"/>
            <w:vAlign w:val="center"/>
          </w:tcPr>
          <w:p>
            <w:pPr>
              <w:widowControl/>
              <w:ind w:firstLine="400"/>
              <w:jc w:val="center"/>
              <w:textAlignment w:val="center"/>
              <w:rPr>
                <w:rFonts w:ascii="宋体" w:hAnsi="宋体" w:cs="宋体"/>
                <w:b/>
                <w:bCs/>
                <w:kern w:val="0"/>
                <w:sz w:val="20"/>
                <w:szCs w:val="20"/>
              </w:rPr>
            </w:pPr>
            <w:r>
              <w:rPr>
                <w:rFonts w:hint="eastAsia" w:ascii="宋体" w:hAnsi="宋体" w:cs="宋体"/>
                <w:color w:val="000000"/>
                <w:kern w:val="0"/>
                <w:sz w:val="20"/>
                <w:szCs w:val="20"/>
                <w:lang w:bidi="ar"/>
              </w:rPr>
              <w:t xml:space="preserve">16.41 </w:t>
            </w:r>
          </w:p>
        </w:tc>
        <w:tc>
          <w:tcPr>
            <w:tcW w:w="2239"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82.07%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jc w:val="center"/>
        </w:trPr>
        <w:tc>
          <w:tcPr>
            <w:tcW w:w="2475" w:type="dxa"/>
            <w:vAlign w:val="center"/>
          </w:tcPr>
          <w:p>
            <w:pPr>
              <w:widowControl/>
              <w:adjustRightInd w:val="0"/>
              <w:snapToGrid w:val="0"/>
              <w:ind w:firstLine="400"/>
              <w:jc w:val="center"/>
              <w:rPr>
                <w:rFonts w:ascii="宋体" w:hAnsi="宋体" w:cs="宋体"/>
                <w:kern w:val="0"/>
                <w:sz w:val="20"/>
                <w:szCs w:val="20"/>
              </w:rPr>
            </w:pPr>
            <w:r>
              <w:rPr>
                <w:rFonts w:hint="eastAsia" w:ascii="宋体" w:hAnsi="宋体" w:cs="宋体"/>
                <w:kern w:val="0"/>
                <w:sz w:val="20"/>
                <w:szCs w:val="20"/>
              </w:rPr>
              <w:t>整体绩效目标实现情况</w:t>
            </w:r>
          </w:p>
        </w:tc>
        <w:tc>
          <w:tcPr>
            <w:tcW w:w="1950"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w:t>
            </w:r>
          </w:p>
        </w:tc>
        <w:tc>
          <w:tcPr>
            <w:tcW w:w="1840" w:type="dxa"/>
            <w:vAlign w:val="center"/>
          </w:tcPr>
          <w:p>
            <w:pPr>
              <w:widowControl/>
              <w:ind w:firstLine="400"/>
              <w:jc w:val="center"/>
              <w:textAlignment w:val="center"/>
              <w:rPr>
                <w:rFonts w:ascii="宋体" w:hAnsi="宋体" w:cs="宋体"/>
                <w:b/>
                <w:bCs/>
                <w:kern w:val="0"/>
                <w:sz w:val="20"/>
                <w:szCs w:val="20"/>
              </w:rPr>
            </w:pPr>
            <w:r>
              <w:rPr>
                <w:rFonts w:hint="eastAsia" w:ascii="宋体" w:hAnsi="宋体" w:cs="宋体"/>
                <w:color w:val="000000"/>
                <w:kern w:val="0"/>
                <w:sz w:val="20"/>
                <w:szCs w:val="20"/>
                <w:lang w:bidi="ar"/>
              </w:rPr>
              <w:t>59</w:t>
            </w:r>
          </w:p>
        </w:tc>
        <w:tc>
          <w:tcPr>
            <w:tcW w:w="2239"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98.33%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jc w:val="center"/>
        </w:trPr>
        <w:tc>
          <w:tcPr>
            <w:tcW w:w="2475" w:type="dxa"/>
            <w:vAlign w:val="center"/>
          </w:tcPr>
          <w:p>
            <w:pPr>
              <w:widowControl/>
              <w:adjustRightInd w:val="0"/>
              <w:snapToGrid w:val="0"/>
              <w:ind w:firstLine="400"/>
              <w:jc w:val="center"/>
              <w:rPr>
                <w:rFonts w:ascii="宋体" w:hAnsi="宋体" w:cs="宋体"/>
                <w:kern w:val="0"/>
                <w:sz w:val="20"/>
                <w:szCs w:val="20"/>
              </w:rPr>
            </w:pPr>
            <w:r>
              <w:rPr>
                <w:rFonts w:hint="eastAsia" w:ascii="宋体" w:hAnsi="宋体" w:cs="宋体"/>
                <w:kern w:val="0"/>
                <w:sz w:val="20"/>
                <w:szCs w:val="20"/>
              </w:rPr>
              <w:t>预算管理情况</w:t>
            </w:r>
          </w:p>
        </w:tc>
        <w:tc>
          <w:tcPr>
            <w:tcW w:w="1950"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w:t>
            </w:r>
          </w:p>
        </w:tc>
        <w:tc>
          <w:tcPr>
            <w:tcW w:w="1840" w:type="dxa"/>
            <w:vAlign w:val="center"/>
          </w:tcPr>
          <w:p>
            <w:pPr>
              <w:widowControl/>
              <w:ind w:firstLine="400"/>
              <w:jc w:val="center"/>
              <w:textAlignment w:val="center"/>
              <w:rPr>
                <w:rFonts w:ascii="宋体" w:hAnsi="宋体" w:cs="宋体"/>
                <w:b/>
                <w:bCs/>
                <w:kern w:val="0"/>
                <w:sz w:val="20"/>
                <w:szCs w:val="20"/>
              </w:rPr>
            </w:pPr>
            <w:r>
              <w:rPr>
                <w:rFonts w:hint="eastAsia" w:ascii="宋体" w:hAnsi="宋体" w:cs="宋体"/>
                <w:color w:val="000000"/>
                <w:kern w:val="0"/>
                <w:sz w:val="20"/>
                <w:szCs w:val="20"/>
                <w:lang w:bidi="ar"/>
              </w:rPr>
              <w:t>20</w:t>
            </w:r>
          </w:p>
        </w:tc>
        <w:tc>
          <w:tcPr>
            <w:tcW w:w="2239" w:type="dxa"/>
            <w:vAlign w:val="center"/>
          </w:tcPr>
          <w:p>
            <w:pPr>
              <w:widowControl/>
              <w:ind w:firstLine="400"/>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jc w:val="center"/>
        </w:trPr>
        <w:tc>
          <w:tcPr>
            <w:tcW w:w="2475" w:type="dxa"/>
            <w:vAlign w:val="center"/>
          </w:tcPr>
          <w:p>
            <w:pPr>
              <w:widowControl/>
              <w:adjustRightInd w:val="0"/>
              <w:snapToGrid w:val="0"/>
              <w:ind w:firstLine="402"/>
              <w:jc w:val="center"/>
              <w:rPr>
                <w:rFonts w:ascii="宋体" w:hAnsi="宋体" w:cs="宋体"/>
                <w:b/>
                <w:bCs/>
                <w:kern w:val="0"/>
                <w:sz w:val="20"/>
                <w:szCs w:val="20"/>
              </w:rPr>
            </w:pPr>
            <w:r>
              <w:rPr>
                <w:rFonts w:hint="eastAsia" w:ascii="宋体" w:hAnsi="宋体" w:cs="宋体"/>
                <w:b/>
                <w:bCs/>
                <w:kern w:val="0"/>
                <w:sz w:val="20"/>
                <w:szCs w:val="20"/>
              </w:rPr>
              <w:t>合　计</w:t>
            </w:r>
          </w:p>
        </w:tc>
        <w:tc>
          <w:tcPr>
            <w:tcW w:w="1950" w:type="dxa"/>
            <w:vAlign w:val="center"/>
          </w:tcPr>
          <w:p>
            <w:pPr>
              <w:widowControl/>
              <w:ind w:firstLine="402"/>
              <w:jc w:val="center"/>
              <w:textAlignment w:val="center"/>
              <w:rPr>
                <w:rFonts w:ascii="宋体" w:hAnsi="宋体" w:cs="宋体"/>
                <w:b/>
                <w:bCs/>
                <w:kern w:val="0"/>
                <w:sz w:val="20"/>
                <w:szCs w:val="20"/>
              </w:rPr>
            </w:pPr>
            <w:r>
              <w:rPr>
                <w:rFonts w:hint="eastAsia" w:ascii="宋体" w:hAnsi="宋体" w:cs="宋体"/>
                <w:b/>
                <w:bCs/>
                <w:color w:val="000000"/>
                <w:kern w:val="0"/>
                <w:sz w:val="20"/>
                <w:szCs w:val="20"/>
                <w:lang w:bidi="ar"/>
              </w:rPr>
              <w:t>100</w:t>
            </w:r>
          </w:p>
        </w:tc>
        <w:tc>
          <w:tcPr>
            <w:tcW w:w="1840" w:type="dxa"/>
            <w:vAlign w:val="center"/>
          </w:tcPr>
          <w:p>
            <w:pPr>
              <w:widowControl/>
              <w:ind w:firstLine="402"/>
              <w:jc w:val="center"/>
              <w:textAlignment w:val="center"/>
              <w:rPr>
                <w:rFonts w:ascii="宋体" w:hAnsi="宋体" w:cs="宋体"/>
                <w:b/>
                <w:bCs/>
                <w:kern w:val="0"/>
                <w:sz w:val="20"/>
                <w:szCs w:val="20"/>
              </w:rPr>
            </w:pPr>
            <w:r>
              <w:rPr>
                <w:rFonts w:hint="eastAsia" w:ascii="宋体" w:hAnsi="宋体" w:cs="宋体"/>
                <w:b/>
                <w:bCs/>
                <w:color w:val="000000"/>
                <w:kern w:val="0"/>
                <w:sz w:val="20"/>
                <w:szCs w:val="20"/>
                <w:lang w:bidi="ar"/>
              </w:rPr>
              <w:t xml:space="preserve">95.41 </w:t>
            </w:r>
          </w:p>
        </w:tc>
        <w:tc>
          <w:tcPr>
            <w:tcW w:w="2239" w:type="dxa"/>
            <w:vAlign w:val="center"/>
          </w:tcPr>
          <w:p>
            <w:pPr>
              <w:widowControl/>
              <w:ind w:firstLine="402"/>
              <w:jc w:val="center"/>
              <w:textAlignment w:val="center"/>
              <w:rPr>
                <w:rFonts w:ascii="宋体" w:hAnsi="宋体" w:cs="宋体"/>
                <w:b/>
                <w:bCs/>
                <w:kern w:val="0"/>
                <w:sz w:val="20"/>
                <w:szCs w:val="20"/>
              </w:rPr>
            </w:pPr>
            <w:r>
              <w:rPr>
                <w:rFonts w:hint="eastAsia" w:ascii="宋体" w:hAnsi="宋体" w:cs="宋体"/>
                <w:b/>
                <w:bCs/>
                <w:color w:val="000000"/>
                <w:kern w:val="0"/>
                <w:sz w:val="20"/>
                <w:szCs w:val="20"/>
                <w:lang w:bidi="ar"/>
              </w:rPr>
              <w:t>95.41%</w:t>
            </w:r>
          </w:p>
        </w:tc>
      </w:tr>
    </w:tbl>
    <w:p>
      <w:pPr>
        <w:adjustRightInd w:val="0"/>
        <w:snapToGrid w:val="0"/>
        <w:spacing w:line="560" w:lineRule="exact"/>
        <w:ind w:firstLine="640" w:firstLineChars="200"/>
        <w:outlineLvl w:val="1"/>
        <w:rPr>
          <w:rFonts w:ascii="楷体_GB2312" w:eastAsia="楷体_GB2312"/>
          <w:sz w:val="32"/>
          <w:szCs w:val="32"/>
        </w:rPr>
      </w:pPr>
      <w:bookmarkStart w:id="33" w:name="_Toc16975"/>
      <w:bookmarkStart w:id="34" w:name="_Toc28537"/>
      <w:r>
        <w:rPr>
          <w:rFonts w:hint="eastAsia" w:ascii="楷体_GB2312" w:eastAsia="楷体_GB2312"/>
          <w:sz w:val="32"/>
          <w:szCs w:val="32"/>
        </w:rPr>
        <w:t>（二）存在的问题及原因分析</w:t>
      </w:r>
      <w:bookmarkEnd w:id="33"/>
      <w:bookmarkEnd w:id="34"/>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通过部门整体绩效评价工作的开展，市气象局在部门预算绩效管理工作中还存在不足：</w:t>
      </w:r>
    </w:p>
    <w:p>
      <w:pPr>
        <w:adjustRightInd w:val="0"/>
        <w:snapToGrid w:val="0"/>
        <w:spacing w:line="560" w:lineRule="exact"/>
        <w:ind w:firstLine="643" w:firstLineChars="200"/>
        <w:outlineLvl w:val="2"/>
        <w:rPr>
          <w:rFonts w:ascii="仿宋_GB2312" w:eastAsia="仿宋_GB2312"/>
          <w:sz w:val="32"/>
          <w:szCs w:val="32"/>
        </w:rPr>
      </w:pPr>
      <w:r>
        <w:rPr>
          <w:rFonts w:hint="eastAsia" w:ascii="仿宋_GB2312" w:eastAsia="仿宋_GB2312"/>
          <w:b/>
          <w:bCs/>
          <w:sz w:val="32"/>
          <w:szCs w:val="32"/>
        </w:rPr>
        <w:t>1.部分项目绩效目标设置有待完善</w:t>
      </w:r>
    </w:p>
    <w:p>
      <w:pPr>
        <w:adjustRightInd w:val="0"/>
        <w:snapToGrid w:val="0"/>
        <w:spacing w:line="560" w:lineRule="exact"/>
        <w:ind w:firstLine="640" w:firstLineChars="200"/>
        <w:rPr>
          <w:rFonts w:ascii="仿宋_GB2312" w:hAnsi="仿宋_GB2312" w:eastAsia="仿宋_GB2312" w:cs="仿宋_GB2312"/>
          <w:sz w:val="32"/>
          <w:szCs w:val="32"/>
          <w:highlight w:val="yellow"/>
        </w:rPr>
      </w:pPr>
      <w:r>
        <w:rPr>
          <w:rFonts w:hint="eastAsia" w:ascii="仿宋_GB2312" w:eastAsia="仿宋_GB2312"/>
          <w:sz w:val="32"/>
          <w:szCs w:val="32"/>
        </w:rPr>
        <w:t>部门整体支出和部分项目绩效目标及指标设置不够科学规范，存在绩效目标及指标设置不够完善、核心产出和效益未能充分体现、指标值不够清晰明确等问题。</w:t>
      </w:r>
    </w:p>
    <w:p>
      <w:pPr>
        <w:adjustRightInd w:val="0"/>
        <w:snapToGrid w:val="0"/>
        <w:spacing w:line="56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2.部分项目过程管理有待进一步加强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市气象局部分项目过程管理还不够精细，部分项目实施存在考核验收管理不够完善、过程监管力度不足等情况，项目实施规范性、有效性有待进一步提升。</w:t>
      </w:r>
    </w:p>
    <w:p>
      <w:pPr>
        <w:adjustRightInd w:val="0"/>
        <w:snapToGrid w:val="0"/>
        <w:spacing w:line="56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3.部门履职效益佐证材料收集整理略有不足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市气象局较好地完成了2024年度目标任务，具有良好的效益。但缺少满意度调查相关资料，部门履职效益佐证材料收集整理略有不足，现有资料不能全面、客观地反映履职效果情况。</w:t>
      </w:r>
    </w:p>
    <w:p>
      <w:pPr>
        <w:adjustRightInd w:val="0"/>
        <w:snapToGrid w:val="0"/>
        <w:spacing w:line="560" w:lineRule="exact"/>
        <w:ind w:firstLine="640" w:firstLineChars="200"/>
        <w:outlineLvl w:val="0"/>
        <w:rPr>
          <w:rFonts w:ascii="仿宋_GB2312" w:hAnsi="宋体" w:eastAsia="仿宋_GB2312" w:cs="宋体"/>
          <w:color w:val="000000"/>
          <w:kern w:val="0"/>
          <w:sz w:val="32"/>
          <w:szCs w:val="32"/>
        </w:rPr>
      </w:pPr>
      <w:bookmarkStart w:id="35" w:name="_Toc6209"/>
      <w:bookmarkStart w:id="36" w:name="_Toc29794"/>
      <w:r>
        <w:rPr>
          <w:rFonts w:hint="eastAsia" w:ascii="黑体" w:hAnsi="黑体" w:eastAsia="黑体" w:cs="宋体"/>
          <w:color w:val="000000"/>
          <w:kern w:val="0"/>
          <w:sz w:val="32"/>
          <w:szCs w:val="32"/>
        </w:rPr>
        <w:t>六、措施建议</w:t>
      </w:r>
      <w:bookmarkEnd w:id="35"/>
      <w:bookmarkEnd w:id="36"/>
    </w:p>
    <w:p>
      <w:pPr>
        <w:adjustRightInd w:val="0"/>
        <w:snapToGrid w:val="0"/>
        <w:spacing w:line="560" w:lineRule="exact"/>
        <w:ind w:firstLine="640" w:firstLineChars="200"/>
        <w:outlineLvl w:val="1"/>
        <w:rPr>
          <w:rFonts w:ascii="仿宋_GB2312" w:eastAsia="仿宋_GB2312"/>
          <w:sz w:val="32"/>
          <w:szCs w:val="32"/>
        </w:rPr>
      </w:pPr>
      <w:bookmarkStart w:id="37" w:name="_Toc950"/>
      <w:bookmarkStart w:id="38" w:name="_Toc15630"/>
      <w:bookmarkStart w:id="39" w:name="_Toc7440"/>
      <w:bookmarkStart w:id="40" w:name="_Toc14519"/>
      <w:bookmarkStart w:id="41" w:name="_Toc6782"/>
      <w:bookmarkStart w:id="42" w:name="_Toc20371"/>
      <w:bookmarkStart w:id="43" w:name="_Toc31246"/>
      <w:r>
        <w:rPr>
          <w:rFonts w:hint="eastAsia" w:ascii="楷体_GB2312" w:hAnsi="楷体_GB2312" w:eastAsia="楷体_GB2312" w:cs="楷体_GB2312"/>
          <w:bCs/>
          <w:sz w:val="32"/>
          <w:szCs w:val="32"/>
        </w:rPr>
        <w:t>（一）合理编制绩效目标及指标</w:t>
      </w:r>
      <w:bookmarkEnd w:id="37"/>
      <w:bookmarkEnd w:id="38"/>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进一步优化部门整体绩效目标设置，根据部门职责和预算，分层次提炼部门整体目标；在深入论证的基础上，设置更加贴近部门职责且具体、量化的指标。重视项目绩效目标设置，使项目绩效目标内容能够更加贴合项目的实际内容，提高绩效目标及绩效指标设置的细化量化程度，提高指标的可评价程度</w:t>
      </w:r>
      <w:r>
        <w:rPr>
          <w:rFonts w:hint="eastAsia" w:ascii="仿宋_GB2312" w:hAnsi="仿宋_GB2312" w:eastAsia="仿宋_GB2312" w:cs="仿宋_GB2312"/>
          <w:sz w:val="32"/>
          <w:szCs w:val="32"/>
        </w:rPr>
        <w:t>。</w:t>
      </w:r>
    </w:p>
    <w:p>
      <w:pPr>
        <w:adjustRightInd w:val="0"/>
        <w:snapToGrid w:val="0"/>
        <w:spacing w:line="560" w:lineRule="exact"/>
        <w:ind w:firstLine="640" w:firstLineChars="200"/>
        <w:outlineLvl w:val="1"/>
        <w:rPr>
          <w:rFonts w:ascii="仿宋_GB2312" w:hAnsi="仿宋_GB2312" w:eastAsia="楷体_GB2312" w:cs="仿宋_GB2312"/>
          <w:sz w:val="32"/>
          <w:szCs w:val="32"/>
        </w:rPr>
      </w:pPr>
      <w:bookmarkStart w:id="44" w:name="_Toc67"/>
      <w:bookmarkStart w:id="45" w:name="_Toc12332"/>
      <w:r>
        <w:rPr>
          <w:rFonts w:hint="eastAsia" w:ascii="楷体_GB2312" w:hAnsi="楷体_GB2312" w:eastAsia="楷体_GB2312" w:cs="楷体_GB2312"/>
          <w:bCs/>
          <w:sz w:val="32"/>
          <w:szCs w:val="32"/>
        </w:rPr>
        <w:t>（二）加强项目过程管理，提高项目实施质量</w:t>
      </w:r>
      <w:bookmarkEnd w:id="44"/>
      <w:bookmarkEnd w:id="45"/>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进一步提升项目实施质量和精细化管理水平。一是完善项目过程管理相关制度，确保项目实施质量。二是进一步加强合同管理和内控制度的执行，规范资金使用管理，结合履约进度支付资金，针对合同条款发生变更现象，及时签署补充协议。三是在实施过程中按照预算绩效管理要求及时收集整理项目实施过程资料，以便后期分析总结和查阅。</w:t>
      </w:r>
    </w:p>
    <w:p>
      <w:pPr>
        <w:adjustRightInd w:val="0"/>
        <w:snapToGrid w:val="0"/>
        <w:spacing w:line="560" w:lineRule="exact"/>
        <w:ind w:firstLine="640" w:firstLineChars="200"/>
        <w:outlineLvl w:val="1"/>
        <w:rPr>
          <w:rFonts w:ascii="楷体_GB2312" w:hAnsi="楷体_GB2312" w:eastAsia="楷体_GB2312" w:cs="楷体_GB2312"/>
          <w:bCs/>
          <w:sz w:val="32"/>
          <w:szCs w:val="32"/>
        </w:rPr>
      </w:pPr>
      <w:bookmarkStart w:id="46" w:name="_Toc31089"/>
      <w:bookmarkStart w:id="47" w:name="_Toc13678"/>
      <w:r>
        <w:rPr>
          <w:rFonts w:hint="eastAsia" w:ascii="楷体_GB2312" w:hAnsi="楷体_GB2312" w:eastAsia="楷体_GB2312" w:cs="楷体_GB2312"/>
          <w:bCs/>
          <w:sz w:val="32"/>
          <w:szCs w:val="32"/>
        </w:rPr>
        <w:t>（三）强化绩效管理意识，</w:t>
      </w:r>
      <w:bookmarkEnd w:id="39"/>
      <w:bookmarkEnd w:id="40"/>
      <w:bookmarkEnd w:id="41"/>
      <w:bookmarkEnd w:id="42"/>
      <w:bookmarkEnd w:id="43"/>
      <w:r>
        <w:rPr>
          <w:rFonts w:hint="eastAsia" w:ascii="楷体_GB2312" w:hAnsi="楷体_GB2312" w:eastAsia="楷体_GB2312" w:cs="楷体_GB2312"/>
          <w:bCs/>
          <w:sz w:val="32"/>
          <w:szCs w:val="32"/>
        </w:rPr>
        <w:t>丰富效益支撑材料</w:t>
      </w:r>
      <w:bookmarkEnd w:id="46"/>
      <w:bookmarkEnd w:id="47"/>
    </w:p>
    <w:p>
      <w:pPr>
        <w:adjustRightInd w:val="0"/>
        <w:snapToGrid w:val="0"/>
        <w:spacing w:line="560" w:lineRule="exact"/>
        <w:ind w:firstLine="640" w:firstLineChars="200"/>
      </w:pPr>
      <w:r>
        <w:rPr>
          <w:rFonts w:hint="eastAsia" w:ascii="仿宋_GB2312" w:hAnsi="仿宋_GB2312" w:eastAsia="仿宋_GB2312" w:cs="仿宋_GB2312"/>
          <w:sz w:val="32"/>
          <w:szCs w:val="32"/>
        </w:rPr>
        <w:t>进一步加强对项目产出和项目效益的支撑资料的收集、整理和分析工作，总结和梳理部门整体绩效实现情况，进一步收集反映实施效果的支撑资料；采取服务对象满意度调查、座谈、访谈等方式，通过多种途径了解服务对象满意度情况，以服务对象现实需求作为改进部门决策与绩效的主要依据。</w:t>
      </w:r>
    </w:p>
    <w:p>
      <w:pPr>
        <w:adjustRightInd w:val="0"/>
        <w:snapToGrid w:val="0"/>
        <w:spacing w:line="560" w:lineRule="exact"/>
        <w:ind w:firstLine="640" w:firstLineChars="200"/>
        <w:rPr>
          <w:rFonts w:ascii="仿宋_GB2312" w:eastAsia="仿宋_GB2312"/>
          <w:sz w:val="32"/>
          <w:szCs w:val="32"/>
        </w:rPr>
      </w:pPr>
      <w:bookmarkStart w:id="48" w:name="_GoBack"/>
      <w:bookmarkEnd w:id="48"/>
    </w:p>
    <w:p>
      <w:pPr>
        <w:spacing w:line="560" w:lineRule="exact"/>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38D9BB-B62F-43AF-8711-1EFECF4131C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D5A1EFBD-663D-43B0-9F40-A1A73B0FAFAC}"/>
  </w:font>
  <w:font w:name="Arial">
    <w:panose1 w:val="020B0604020202020204"/>
    <w:charset w:val="00"/>
    <w:family w:val="swiss"/>
    <w:pitch w:val="default"/>
    <w:sig w:usb0="E0002AFF" w:usb1="C0007843" w:usb2="00000009" w:usb3="00000000" w:csb0="400001FF" w:csb1="FFFF0000"/>
    <w:embedRegular r:id="rId3" w:fontKey="{DEF0CBFA-3A13-44FA-B242-56A054C46D68}"/>
  </w:font>
  <w:font w:name="华文中宋">
    <w:altName w:val="宋体"/>
    <w:panose1 w:val="02010600040101010101"/>
    <w:charset w:val="86"/>
    <w:family w:val="auto"/>
    <w:pitch w:val="default"/>
    <w:sig w:usb0="00000000" w:usb1="00000000" w:usb2="00000010" w:usb3="00000000" w:csb0="0004009F" w:csb1="00000000"/>
    <w:embedRegular r:id="rId4" w:fontKey="{3210CA22-D68B-48C9-89AD-54AB1B9BC8FA}"/>
  </w:font>
  <w:font w:name="方正小标宋简体">
    <w:panose1 w:val="02010601030101010101"/>
    <w:charset w:val="86"/>
    <w:family w:val="auto"/>
    <w:pitch w:val="default"/>
    <w:sig w:usb0="00000000" w:usb1="00000000" w:usb2="00000000" w:usb3="00000000" w:csb0="00000000" w:csb1="00000000"/>
    <w:embedRegular r:id="rId5" w:fontKey="{601F8BB3-63CB-42FE-A14C-D6CF65744459}"/>
  </w:font>
  <w:font w:name="Arial Unicode MS">
    <w:altName w:val="宋体"/>
    <w:panose1 w:val="020B0604020202020204"/>
    <w:charset w:val="86"/>
    <w:family w:val="swiss"/>
    <w:pitch w:val="default"/>
    <w:sig w:usb0="00000000" w:usb1="00000000" w:usb2="0000003F" w:usb3="00000000" w:csb0="003F01FF" w:csb1="00000000"/>
    <w:embedRegular r:id="rId6" w:fontKey="{0F3EDDAB-607A-472D-9DC7-53DFC04C4087}"/>
  </w:font>
  <w:font w:name="楷体_GB2312">
    <w:altName w:val="楷体"/>
    <w:panose1 w:val="00000000000000000000"/>
    <w:charset w:val="86"/>
    <w:family w:val="modern"/>
    <w:pitch w:val="default"/>
    <w:sig w:usb0="00000000" w:usb1="00000000" w:usb2="00000010" w:usb3="00000000" w:csb0="00040000" w:csb1="00000000"/>
    <w:embedRegular r:id="rId7" w:fontKey="{77CC05D6-8552-46F8-8522-68F69EFA71A1}"/>
  </w:font>
  <w:font w:name="楷体">
    <w:panose1 w:val="02010609060101010101"/>
    <w:charset w:val="86"/>
    <w:family w:val="modern"/>
    <w:pitch w:val="default"/>
    <w:sig w:usb0="800002BF" w:usb1="38CF7CFA" w:usb2="00000016" w:usb3="00000000" w:csb0="00040001" w:csb1="00000000"/>
    <w:embedRegular r:id="rId8" w:fontKey="{2DECB271-2230-4F04-9185-36CD4AE90C5D}"/>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embedRegular r:id="rId9" w:fontKey="{293506F8-C495-4A51-A54D-8CD4033DE7C7}"/>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Droid Sans">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6335103"/>
    </w:sdtPr>
    <w:sdtEndPr>
      <w:rPr>
        <w:rFonts w:ascii="宋体" w:hAnsi="宋体"/>
        <w:sz w:val="28"/>
        <w:szCs w:val="28"/>
      </w:rPr>
    </w:sdtEndPr>
    <w:sdtContent>
      <w:p>
        <w:pPr>
          <w:pStyle w:val="9"/>
          <w:ind w:firstLine="36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p>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3F842"/>
    <w:multiLevelType w:val="singleLevel"/>
    <w:tmpl w:val="3CC3F84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MDRhNTEyNjdmZDFjZmNhYjFkMjIwMzY3MjgxZTcifQ=="/>
  </w:docVars>
  <w:rsids>
    <w:rsidRoot w:val="005E4E7A"/>
    <w:rsid w:val="00012D2D"/>
    <w:rsid w:val="00020202"/>
    <w:rsid w:val="000542C5"/>
    <w:rsid w:val="00085DE8"/>
    <w:rsid w:val="000A1B33"/>
    <w:rsid w:val="000A60A0"/>
    <w:rsid w:val="000C4A7B"/>
    <w:rsid w:val="000D57F5"/>
    <w:rsid w:val="000E0DF7"/>
    <w:rsid w:val="00131E5D"/>
    <w:rsid w:val="001416E9"/>
    <w:rsid w:val="00154E91"/>
    <w:rsid w:val="00175FE4"/>
    <w:rsid w:val="00185EB6"/>
    <w:rsid w:val="001A640A"/>
    <w:rsid w:val="00211ED3"/>
    <w:rsid w:val="002135AF"/>
    <w:rsid w:val="0022343F"/>
    <w:rsid w:val="00253113"/>
    <w:rsid w:val="002764DD"/>
    <w:rsid w:val="00290C3D"/>
    <w:rsid w:val="002C4449"/>
    <w:rsid w:val="003062E0"/>
    <w:rsid w:val="00337586"/>
    <w:rsid w:val="003410D3"/>
    <w:rsid w:val="0038450E"/>
    <w:rsid w:val="003E6C7B"/>
    <w:rsid w:val="003F3AE9"/>
    <w:rsid w:val="003F7F3D"/>
    <w:rsid w:val="004759A2"/>
    <w:rsid w:val="00477784"/>
    <w:rsid w:val="004D575D"/>
    <w:rsid w:val="004E1554"/>
    <w:rsid w:val="004F5A51"/>
    <w:rsid w:val="005236BD"/>
    <w:rsid w:val="00557500"/>
    <w:rsid w:val="005628A0"/>
    <w:rsid w:val="005714C6"/>
    <w:rsid w:val="0057633F"/>
    <w:rsid w:val="00581076"/>
    <w:rsid w:val="005B7C2F"/>
    <w:rsid w:val="005E4E7A"/>
    <w:rsid w:val="00647FD2"/>
    <w:rsid w:val="00653405"/>
    <w:rsid w:val="0066795B"/>
    <w:rsid w:val="006817BA"/>
    <w:rsid w:val="00682E33"/>
    <w:rsid w:val="006A1489"/>
    <w:rsid w:val="006B79BB"/>
    <w:rsid w:val="006C5A77"/>
    <w:rsid w:val="006D5004"/>
    <w:rsid w:val="00706CD5"/>
    <w:rsid w:val="00723128"/>
    <w:rsid w:val="007C01D4"/>
    <w:rsid w:val="007D713B"/>
    <w:rsid w:val="00810C50"/>
    <w:rsid w:val="00814EF8"/>
    <w:rsid w:val="00861B22"/>
    <w:rsid w:val="008908E4"/>
    <w:rsid w:val="00894CEE"/>
    <w:rsid w:val="009006D4"/>
    <w:rsid w:val="009056DF"/>
    <w:rsid w:val="00912CDF"/>
    <w:rsid w:val="0096367D"/>
    <w:rsid w:val="0099788E"/>
    <w:rsid w:val="009E2B99"/>
    <w:rsid w:val="00A12804"/>
    <w:rsid w:val="00A30F54"/>
    <w:rsid w:val="00A3299E"/>
    <w:rsid w:val="00A626BE"/>
    <w:rsid w:val="00AB0775"/>
    <w:rsid w:val="00B100F3"/>
    <w:rsid w:val="00B1631E"/>
    <w:rsid w:val="00B349CC"/>
    <w:rsid w:val="00B378C7"/>
    <w:rsid w:val="00B40235"/>
    <w:rsid w:val="00B461D2"/>
    <w:rsid w:val="00B62A8A"/>
    <w:rsid w:val="00B80F44"/>
    <w:rsid w:val="00BB4F29"/>
    <w:rsid w:val="00BC49DC"/>
    <w:rsid w:val="00BF3E5D"/>
    <w:rsid w:val="00C11BD9"/>
    <w:rsid w:val="00C126FA"/>
    <w:rsid w:val="00C13A05"/>
    <w:rsid w:val="00C344C1"/>
    <w:rsid w:val="00C454A6"/>
    <w:rsid w:val="00C5092A"/>
    <w:rsid w:val="00C50E24"/>
    <w:rsid w:val="00C702D7"/>
    <w:rsid w:val="00C763A4"/>
    <w:rsid w:val="00C96617"/>
    <w:rsid w:val="00CB56A7"/>
    <w:rsid w:val="00CE3EEF"/>
    <w:rsid w:val="00CE79FA"/>
    <w:rsid w:val="00D03026"/>
    <w:rsid w:val="00D20199"/>
    <w:rsid w:val="00D20F5E"/>
    <w:rsid w:val="00D243E3"/>
    <w:rsid w:val="00D32EFE"/>
    <w:rsid w:val="00D40D69"/>
    <w:rsid w:val="00D53AAB"/>
    <w:rsid w:val="00D673F8"/>
    <w:rsid w:val="00DA326F"/>
    <w:rsid w:val="00DE3F0A"/>
    <w:rsid w:val="00DF000F"/>
    <w:rsid w:val="00E6284A"/>
    <w:rsid w:val="00E7373B"/>
    <w:rsid w:val="00E77E49"/>
    <w:rsid w:val="00E91D9F"/>
    <w:rsid w:val="00EA10EB"/>
    <w:rsid w:val="00EA7387"/>
    <w:rsid w:val="00EB5E31"/>
    <w:rsid w:val="00F02CE6"/>
    <w:rsid w:val="00F30CA4"/>
    <w:rsid w:val="00F75E89"/>
    <w:rsid w:val="00F77AA7"/>
    <w:rsid w:val="00F96EBC"/>
    <w:rsid w:val="00FB538D"/>
    <w:rsid w:val="00FC6BB1"/>
    <w:rsid w:val="00FD0A3E"/>
    <w:rsid w:val="00FE5D5A"/>
    <w:rsid w:val="0119677B"/>
    <w:rsid w:val="016245C6"/>
    <w:rsid w:val="016320EC"/>
    <w:rsid w:val="018C33F1"/>
    <w:rsid w:val="0194674A"/>
    <w:rsid w:val="01A06A39"/>
    <w:rsid w:val="01B82438"/>
    <w:rsid w:val="01EA0118"/>
    <w:rsid w:val="024A32BB"/>
    <w:rsid w:val="025A6BD0"/>
    <w:rsid w:val="02693733"/>
    <w:rsid w:val="0274049D"/>
    <w:rsid w:val="029307AF"/>
    <w:rsid w:val="02BC5324"/>
    <w:rsid w:val="02BF556A"/>
    <w:rsid w:val="02CD1F13"/>
    <w:rsid w:val="02D7069C"/>
    <w:rsid w:val="02E37041"/>
    <w:rsid w:val="02F254D6"/>
    <w:rsid w:val="03056415"/>
    <w:rsid w:val="032D5213"/>
    <w:rsid w:val="033E4DC5"/>
    <w:rsid w:val="0340211D"/>
    <w:rsid w:val="03B95FF4"/>
    <w:rsid w:val="03C055D4"/>
    <w:rsid w:val="03FD4132"/>
    <w:rsid w:val="04042B58"/>
    <w:rsid w:val="04443A13"/>
    <w:rsid w:val="04447FB3"/>
    <w:rsid w:val="04763EE5"/>
    <w:rsid w:val="049C1B9D"/>
    <w:rsid w:val="04E470A0"/>
    <w:rsid w:val="050B0AD1"/>
    <w:rsid w:val="052A1A5B"/>
    <w:rsid w:val="05630028"/>
    <w:rsid w:val="05636B50"/>
    <w:rsid w:val="057A17B3"/>
    <w:rsid w:val="058C1C12"/>
    <w:rsid w:val="05BA62A3"/>
    <w:rsid w:val="05E01F5E"/>
    <w:rsid w:val="05EC445F"/>
    <w:rsid w:val="05F8202A"/>
    <w:rsid w:val="05FB28F4"/>
    <w:rsid w:val="06336531"/>
    <w:rsid w:val="06474324"/>
    <w:rsid w:val="0664493D"/>
    <w:rsid w:val="06685466"/>
    <w:rsid w:val="06726130"/>
    <w:rsid w:val="068154EF"/>
    <w:rsid w:val="068211CF"/>
    <w:rsid w:val="0686663A"/>
    <w:rsid w:val="06952D48"/>
    <w:rsid w:val="06976AC0"/>
    <w:rsid w:val="069D1BFD"/>
    <w:rsid w:val="06B62CBE"/>
    <w:rsid w:val="06B93618"/>
    <w:rsid w:val="06BA27AF"/>
    <w:rsid w:val="06CE1903"/>
    <w:rsid w:val="06D674CA"/>
    <w:rsid w:val="06DF3FC3"/>
    <w:rsid w:val="06F832D7"/>
    <w:rsid w:val="06FF7F8B"/>
    <w:rsid w:val="070752C8"/>
    <w:rsid w:val="071874D5"/>
    <w:rsid w:val="072102C7"/>
    <w:rsid w:val="073F2CB4"/>
    <w:rsid w:val="076F5347"/>
    <w:rsid w:val="07724A47"/>
    <w:rsid w:val="077741FC"/>
    <w:rsid w:val="07CE2105"/>
    <w:rsid w:val="07E51AAD"/>
    <w:rsid w:val="08145EEF"/>
    <w:rsid w:val="081D2FF5"/>
    <w:rsid w:val="082320BB"/>
    <w:rsid w:val="0843182F"/>
    <w:rsid w:val="084560A8"/>
    <w:rsid w:val="08485B98"/>
    <w:rsid w:val="085A5FF7"/>
    <w:rsid w:val="08624EAC"/>
    <w:rsid w:val="0869448C"/>
    <w:rsid w:val="086C1A35"/>
    <w:rsid w:val="086E4CDF"/>
    <w:rsid w:val="087E15BA"/>
    <w:rsid w:val="088272FC"/>
    <w:rsid w:val="08856DEC"/>
    <w:rsid w:val="088F37C7"/>
    <w:rsid w:val="089D5EE4"/>
    <w:rsid w:val="08AF5C17"/>
    <w:rsid w:val="091343F8"/>
    <w:rsid w:val="09292963"/>
    <w:rsid w:val="09852046"/>
    <w:rsid w:val="098B3F49"/>
    <w:rsid w:val="0995305F"/>
    <w:rsid w:val="099A001C"/>
    <w:rsid w:val="09A432A2"/>
    <w:rsid w:val="09A6526C"/>
    <w:rsid w:val="09DE67B4"/>
    <w:rsid w:val="09F4422A"/>
    <w:rsid w:val="0A1B3564"/>
    <w:rsid w:val="0A337547"/>
    <w:rsid w:val="0A4A209B"/>
    <w:rsid w:val="0A723FC3"/>
    <w:rsid w:val="0A870BFA"/>
    <w:rsid w:val="0A8E01DA"/>
    <w:rsid w:val="0A8F7AAE"/>
    <w:rsid w:val="0A9B28F7"/>
    <w:rsid w:val="0AAF1EFF"/>
    <w:rsid w:val="0AB8079B"/>
    <w:rsid w:val="0ACA0AE6"/>
    <w:rsid w:val="0AD100C7"/>
    <w:rsid w:val="0AD1239D"/>
    <w:rsid w:val="0AFB0F44"/>
    <w:rsid w:val="0BB53545"/>
    <w:rsid w:val="0C072D0E"/>
    <w:rsid w:val="0C7A2FE9"/>
    <w:rsid w:val="0C8E44C1"/>
    <w:rsid w:val="0C8F023A"/>
    <w:rsid w:val="0C9E11A3"/>
    <w:rsid w:val="0CAA577F"/>
    <w:rsid w:val="0CAF268A"/>
    <w:rsid w:val="0CAF4438"/>
    <w:rsid w:val="0CE34E7C"/>
    <w:rsid w:val="0D200E92"/>
    <w:rsid w:val="0D342BD8"/>
    <w:rsid w:val="0D425B94"/>
    <w:rsid w:val="0D7D4536"/>
    <w:rsid w:val="0D9754D2"/>
    <w:rsid w:val="0DCE6B40"/>
    <w:rsid w:val="0DD92BE4"/>
    <w:rsid w:val="0DDF2AFB"/>
    <w:rsid w:val="0E056A05"/>
    <w:rsid w:val="0E0B2B42"/>
    <w:rsid w:val="0E1C5AFD"/>
    <w:rsid w:val="0E2F75DE"/>
    <w:rsid w:val="0E3A26F5"/>
    <w:rsid w:val="0E587A42"/>
    <w:rsid w:val="0E8A515C"/>
    <w:rsid w:val="0E990EFC"/>
    <w:rsid w:val="0EC56195"/>
    <w:rsid w:val="0EF56A7A"/>
    <w:rsid w:val="0F0942D3"/>
    <w:rsid w:val="0F0E18EA"/>
    <w:rsid w:val="0F447184"/>
    <w:rsid w:val="0F6459AD"/>
    <w:rsid w:val="0F6D0386"/>
    <w:rsid w:val="0F977B31"/>
    <w:rsid w:val="0FB2312B"/>
    <w:rsid w:val="0FC401FA"/>
    <w:rsid w:val="0FF52AA9"/>
    <w:rsid w:val="101051ED"/>
    <w:rsid w:val="107678B7"/>
    <w:rsid w:val="1092654A"/>
    <w:rsid w:val="10E36DA6"/>
    <w:rsid w:val="11052878"/>
    <w:rsid w:val="111F0F84"/>
    <w:rsid w:val="11203B56"/>
    <w:rsid w:val="112371A2"/>
    <w:rsid w:val="112E585D"/>
    <w:rsid w:val="114B097A"/>
    <w:rsid w:val="11641C95"/>
    <w:rsid w:val="117619C8"/>
    <w:rsid w:val="117813E3"/>
    <w:rsid w:val="118B0CEB"/>
    <w:rsid w:val="11924C7B"/>
    <w:rsid w:val="11AB78C4"/>
    <w:rsid w:val="11CE5360"/>
    <w:rsid w:val="11CE710E"/>
    <w:rsid w:val="11DF756D"/>
    <w:rsid w:val="11EC57E6"/>
    <w:rsid w:val="11F76665"/>
    <w:rsid w:val="11FF376C"/>
    <w:rsid w:val="12080872"/>
    <w:rsid w:val="123824B3"/>
    <w:rsid w:val="1249325E"/>
    <w:rsid w:val="127777A6"/>
    <w:rsid w:val="129465AA"/>
    <w:rsid w:val="12BA7692"/>
    <w:rsid w:val="12E666D9"/>
    <w:rsid w:val="12E7492B"/>
    <w:rsid w:val="12EF1A32"/>
    <w:rsid w:val="12F9640D"/>
    <w:rsid w:val="12FF41EC"/>
    <w:rsid w:val="13511DA5"/>
    <w:rsid w:val="13653AA2"/>
    <w:rsid w:val="1380268A"/>
    <w:rsid w:val="13A26AA4"/>
    <w:rsid w:val="13A52762"/>
    <w:rsid w:val="13AB6DD5"/>
    <w:rsid w:val="13C927E6"/>
    <w:rsid w:val="13E96481"/>
    <w:rsid w:val="140013D5"/>
    <w:rsid w:val="14082A45"/>
    <w:rsid w:val="14103A0E"/>
    <w:rsid w:val="143837E5"/>
    <w:rsid w:val="143E01F5"/>
    <w:rsid w:val="146401FE"/>
    <w:rsid w:val="148166BA"/>
    <w:rsid w:val="149311DD"/>
    <w:rsid w:val="149363ED"/>
    <w:rsid w:val="149A777C"/>
    <w:rsid w:val="14E530ED"/>
    <w:rsid w:val="15035321"/>
    <w:rsid w:val="15325C06"/>
    <w:rsid w:val="1534197E"/>
    <w:rsid w:val="15477903"/>
    <w:rsid w:val="157A6AF1"/>
    <w:rsid w:val="15A46B04"/>
    <w:rsid w:val="15D749AF"/>
    <w:rsid w:val="15DC59AC"/>
    <w:rsid w:val="15E2587E"/>
    <w:rsid w:val="160C46A9"/>
    <w:rsid w:val="16134C45"/>
    <w:rsid w:val="162C08A7"/>
    <w:rsid w:val="16777D74"/>
    <w:rsid w:val="16873D30"/>
    <w:rsid w:val="169E79F7"/>
    <w:rsid w:val="16B234A2"/>
    <w:rsid w:val="16B84854"/>
    <w:rsid w:val="16D76A65"/>
    <w:rsid w:val="16ED44DA"/>
    <w:rsid w:val="16F05D79"/>
    <w:rsid w:val="170F26A3"/>
    <w:rsid w:val="1711641B"/>
    <w:rsid w:val="171657DF"/>
    <w:rsid w:val="172F62D0"/>
    <w:rsid w:val="17342109"/>
    <w:rsid w:val="173E4D36"/>
    <w:rsid w:val="17562080"/>
    <w:rsid w:val="17654071"/>
    <w:rsid w:val="17A275EC"/>
    <w:rsid w:val="17AA23CB"/>
    <w:rsid w:val="17B374D2"/>
    <w:rsid w:val="17EC6540"/>
    <w:rsid w:val="181D0DEF"/>
    <w:rsid w:val="182B4D09"/>
    <w:rsid w:val="18A40BC9"/>
    <w:rsid w:val="18B33036"/>
    <w:rsid w:val="18E20953"/>
    <w:rsid w:val="193573D0"/>
    <w:rsid w:val="19377C8F"/>
    <w:rsid w:val="194F44DF"/>
    <w:rsid w:val="195E346D"/>
    <w:rsid w:val="197917AB"/>
    <w:rsid w:val="197D7D98"/>
    <w:rsid w:val="198F7ACB"/>
    <w:rsid w:val="19E75211"/>
    <w:rsid w:val="19FA13E8"/>
    <w:rsid w:val="1A147FD0"/>
    <w:rsid w:val="1A402B73"/>
    <w:rsid w:val="1A5B79AD"/>
    <w:rsid w:val="1A6525DA"/>
    <w:rsid w:val="1A8E38DF"/>
    <w:rsid w:val="1AAE21D3"/>
    <w:rsid w:val="1ABF15CF"/>
    <w:rsid w:val="1B0D536D"/>
    <w:rsid w:val="1B1A1616"/>
    <w:rsid w:val="1B1F5EDB"/>
    <w:rsid w:val="1B7C5E2D"/>
    <w:rsid w:val="1BC202FF"/>
    <w:rsid w:val="1BC72249"/>
    <w:rsid w:val="1BD26FDA"/>
    <w:rsid w:val="1BD91B5A"/>
    <w:rsid w:val="1BE340FE"/>
    <w:rsid w:val="1BFD6F6E"/>
    <w:rsid w:val="1C0957FF"/>
    <w:rsid w:val="1C2F4C4D"/>
    <w:rsid w:val="1C5D5C5E"/>
    <w:rsid w:val="1CBF4223"/>
    <w:rsid w:val="1CDD0B4D"/>
    <w:rsid w:val="1CEC0D90"/>
    <w:rsid w:val="1CF90066"/>
    <w:rsid w:val="1CF92E9A"/>
    <w:rsid w:val="1D305121"/>
    <w:rsid w:val="1D571025"/>
    <w:rsid w:val="1D6A0633"/>
    <w:rsid w:val="1D9B4C90"/>
    <w:rsid w:val="1DBB0E8E"/>
    <w:rsid w:val="1DD261D8"/>
    <w:rsid w:val="1DED3012"/>
    <w:rsid w:val="1DEF28E6"/>
    <w:rsid w:val="1E3E386E"/>
    <w:rsid w:val="1E4C1283"/>
    <w:rsid w:val="1E550EC8"/>
    <w:rsid w:val="1E6E4153"/>
    <w:rsid w:val="1EBB4EBE"/>
    <w:rsid w:val="1F0B3750"/>
    <w:rsid w:val="1F5455CA"/>
    <w:rsid w:val="1F835BC6"/>
    <w:rsid w:val="1FAE68DC"/>
    <w:rsid w:val="1FBA5176"/>
    <w:rsid w:val="1FC3227C"/>
    <w:rsid w:val="1FD46237"/>
    <w:rsid w:val="1FF22B62"/>
    <w:rsid w:val="201523AC"/>
    <w:rsid w:val="20407FE0"/>
    <w:rsid w:val="20580C17"/>
    <w:rsid w:val="20651585"/>
    <w:rsid w:val="207158A7"/>
    <w:rsid w:val="209A783B"/>
    <w:rsid w:val="20AE6A88"/>
    <w:rsid w:val="20D83B05"/>
    <w:rsid w:val="20EB1A8B"/>
    <w:rsid w:val="21053439"/>
    <w:rsid w:val="210963B5"/>
    <w:rsid w:val="210D20E9"/>
    <w:rsid w:val="2110329F"/>
    <w:rsid w:val="211508B6"/>
    <w:rsid w:val="212057DC"/>
    <w:rsid w:val="213B5E42"/>
    <w:rsid w:val="215F4227"/>
    <w:rsid w:val="215F7D83"/>
    <w:rsid w:val="216C6275"/>
    <w:rsid w:val="21DA38AD"/>
    <w:rsid w:val="21E64000"/>
    <w:rsid w:val="21FE57EE"/>
    <w:rsid w:val="21FF50C2"/>
    <w:rsid w:val="220646A2"/>
    <w:rsid w:val="220A1F6D"/>
    <w:rsid w:val="220D61EA"/>
    <w:rsid w:val="2219440B"/>
    <w:rsid w:val="221B014E"/>
    <w:rsid w:val="222D7E81"/>
    <w:rsid w:val="224376A4"/>
    <w:rsid w:val="22804455"/>
    <w:rsid w:val="22BF5338"/>
    <w:rsid w:val="22C32593"/>
    <w:rsid w:val="22D95913"/>
    <w:rsid w:val="22F74196"/>
    <w:rsid w:val="23024E6A"/>
    <w:rsid w:val="23030CDE"/>
    <w:rsid w:val="23144B9D"/>
    <w:rsid w:val="233B65CE"/>
    <w:rsid w:val="23445482"/>
    <w:rsid w:val="234C4337"/>
    <w:rsid w:val="238E6718"/>
    <w:rsid w:val="23DC1B5F"/>
    <w:rsid w:val="23F32A04"/>
    <w:rsid w:val="240F5A90"/>
    <w:rsid w:val="241412F8"/>
    <w:rsid w:val="24207C9D"/>
    <w:rsid w:val="245661E7"/>
    <w:rsid w:val="247052C5"/>
    <w:rsid w:val="2483647E"/>
    <w:rsid w:val="24A501A2"/>
    <w:rsid w:val="24BC4B5A"/>
    <w:rsid w:val="24C525F3"/>
    <w:rsid w:val="24E0567E"/>
    <w:rsid w:val="24E45DA7"/>
    <w:rsid w:val="25302162"/>
    <w:rsid w:val="25493224"/>
    <w:rsid w:val="255120D8"/>
    <w:rsid w:val="25C462B5"/>
    <w:rsid w:val="25DC4098"/>
    <w:rsid w:val="25DC5E46"/>
    <w:rsid w:val="25EB42DB"/>
    <w:rsid w:val="261C7471"/>
    <w:rsid w:val="26321F0A"/>
    <w:rsid w:val="263A2B6C"/>
    <w:rsid w:val="2641214D"/>
    <w:rsid w:val="264B2FCC"/>
    <w:rsid w:val="265579A6"/>
    <w:rsid w:val="26881B2A"/>
    <w:rsid w:val="269620B4"/>
    <w:rsid w:val="26A36BF9"/>
    <w:rsid w:val="26B66697"/>
    <w:rsid w:val="26BE72FA"/>
    <w:rsid w:val="26F31699"/>
    <w:rsid w:val="271E7453"/>
    <w:rsid w:val="27435A51"/>
    <w:rsid w:val="274A6DDF"/>
    <w:rsid w:val="274E68CF"/>
    <w:rsid w:val="27C70430"/>
    <w:rsid w:val="27CA1562"/>
    <w:rsid w:val="27F82CDF"/>
    <w:rsid w:val="28036860"/>
    <w:rsid w:val="28101DD7"/>
    <w:rsid w:val="283830DC"/>
    <w:rsid w:val="284877C3"/>
    <w:rsid w:val="2849353B"/>
    <w:rsid w:val="284B72B3"/>
    <w:rsid w:val="28534CF5"/>
    <w:rsid w:val="285A5748"/>
    <w:rsid w:val="28610884"/>
    <w:rsid w:val="28687E65"/>
    <w:rsid w:val="289406A2"/>
    <w:rsid w:val="28DE0127"/>
    <w:rsid w:val="28E15521"/>
    <w:rsid w:val="29047EBC"/>
    <w:rsid w:val="29121B7F"/>
    <w:rsid w:val="292F2731"/>
    <w:rsid w:val="292F44DF"/>
    <w:rsid w:val="29312BD0"/>
    <w:rsid w:val="295154D4"/>
    <w:rsid w:val="297B0A4F"/>
    <w:rsid w:val="299D58EC"/>
    <w:rsid w:val="29BC0891"/>
    <w:rsid w:val="29F01EC0"/>
    <w:rsid w:val="2A13795C"/>
    <w:rsid w:val="2A141504"/>
    <w:rsid w:val="2A264090"/>
    <w:rsid w:val="2A2E4667"/>
    <w:rsid w:val="2A4B5696"/>
    <w:rsid w:val="2A5C57A7"/>
    <w:rsid w:val="2A770D67"/>
    <w:rsid w:val="2A952970"/>
    <w:rsid w:val="2AA44A58"/>
    <w:rsid w:val="2AB977AC"/>
    <w:rsid w:val="2AC450FA"/>
    <w:rsid w:val="2AC84BEB"/>
    <w:rsid w:val="2B110340"/>
    <w:rsid w:val="2B6568DD"/>
    <w:rsid w:val="2B724B56"/>
    <w:rsid w:val="2B74267D"/>
    <w:rsid w:val="2B944ACD"/>
    <w:rsid w:val="2BB1742D"/>
    <w:rsid w:val="2BB40B4E"/>
    <w:rsid w:val="2BE21CDC"/>
    <w:rsid w:val="2BF10171"/>
    <w:rsid w:val="2C131E96"/>
    <w:rsid w:val="2C324A12"/>
    <w:rsid w:val="2C3A78CD"/>
    <w:rsid w:val="2C444745"/>
    <w:rsid w:val="2C792640"/>
    <w:rsid w:val="2C7D37B3"/>
    <w:rsid w:val="2C84319C"/>
    <w:rsid w:val="2C891CAA"/>
    <w:rsid w:val="2C9D5C03"/>
    <w:rsid w:val="2CA0630C"/>
    <w:rsid w:val="2CA451E4"/>
    <w:rsid w:val="2CC31B0E"/>
    <w:rsid w:val="2CC7473A"/>
    <w:rsid w:val="2CC94C4A"/>
    <w:rsid w:val="2CE101E6"/>
    <w:rsid w:val="2CF25F4F"/>
    <w:rsid w:val="2CFB44A5"/>
    <w:rsid w:val="2CFC5020"/>
    <w:rsid w:val="2D0F4D53"/>
    <w:rsid w:val="2D2B455C"/>
    <w:rsid w:val="2D452523"/>
    <w:rsid w:val="2D490594"/>
    <w:rsid w:val="2D60110A"/>
    <w:rsid w:val="2D68163C"/>
    <w:rsid w:val="2D7C3A6A"/>
    <w:rsid w:val="2DB444AD"/>
    <w:rsid w:val="2DEA30CA"/>
    <w:rsid w:val="2DF41022"/>
    <w:rsid w:val="2DF850EE"/>
    <w:rsid w:val="2DFF6B75"/>
    <w:rsid w:val="2E0A551A"/>
    <w:rsid w:val="2E2C36E3"/>
    <w:rsid w:val="2E644C2A"/>
    <w:rsid w:val="2E9F3EB4"/>
    <w:rsid w:val="2EA119DB"/>
    <w:rsid w:val="2EE60A59"/>
    <w:rsid w:val="2EE95130"/>
    <w:rsid w:val="2EFC30B5"/>
    <w:rsid w:val="2F0B779C"/>
    <w:rsid w:val="2F146650"/>
    <w:rsid w:val="2F3063B0"/>
    <w:rsid w:val="2F634EE2"/>
    <w:rsid w:val="2F7E665E"/>
    <w:rsid w:val="2F837332"/>
    <w:rsid w:val="2F882B9B"/>
    <w:rsid w:val="2FA21EAE"/>
    <w:rsid w:val="2FA86D99"/>
    <w:rsid w:val="2FBF1EFB"/>
    <w:rsid w:val="2FCF4325"/>
    <w:rsid w:val="2FEC7D80"/>
    <w:rsid w:val="302F1268"/>
    <w:rsid w:val="30336FAA"/>
    <w:rsid w:val="303B5E5F"/>
    <w:rsid w:val="304271ED"/>
    <w:rsid w:val="3054071E"/>
    <w:rsid w:val="305E56A9"/>
    <w:rsid w:val="309317F7"/>
    <w:rsid w:val="30A65BBD"/>
    <w:rsid w:val="30A6777C"/>
    <w:rsid w:val="30BC0D4E"/>
    <w:rsid w:val="30CE6CD3"/>
    <w:rsid w:val="30E12562"/>
    <w:rsid w:val="31085D41"/>
    <w:rsid w:val="31350B00"/>
    <w:rsid w:val="314174A5"/>
    <w:rsid w:val="317258B0"/>
    <w:rsid w:val="3186310A"/>
    <w:rsid w:val="319F202D"/>
    <w:rsid w:val="31CF685F"/>
    <w:rsid w:val="31EA18EB"/>
    <w:rsid w:val="31FE0EF2"/>
    <w:rsid w:val="32025D33"/>
    <w:rsid w:val="32236BAB"/>
    <w:rsid w:val="322725CC"/>
    <w:rsid w:val="322C5A5F"/>
    <w:rsid w:val="32494863"/>
    <w:rsid w:val="3276317E"/>
    <w:rsid w:val="327A2C6E"/>
    <w:rsid w:val="329A4D91"/>
    <w:rsid w:val="32B77909"/>
    <w:rsid w:val="32DD1848"/>
    <w:rsid w:val="3301513E"/>
    <w:rsid w:val="331405F8"/>
    <w:rsid w:val="333F5C66"/>
    <w:rsid w:val="334D2131"/>
    <w:rsid w:val="33613E2E"/>
    <w:rsid w:val="336B25B7"/>
    <w:rsid w:val="33833DA5"/>
    <w:rsid w:val="33857B1D"/>
    <w:rsid w:val="33BA7EE8"/>
    <w:rsid w:val="33C5616B"/>
    <w:rsid w:val="33D403E4"/>
    <w:rsid w:val="340D7B12"/>
    <w:rsid w:val="340F73E6"/>
    <w:rsid w:val="346239BA"/>
    <w:rsid w:val="346F60D7"/>
    <w:rsid w:val="347D07F4"/>
    <w:rsid w:val="349B1290"/>
    <w:rsid w:val="34A915E9"/>
    <w:rsid w:val="34C226AB"/>
    <w:rsid w:val="34E46AC5"/>
    <w:rsid w:val="34FB5E8A"/>
    <w:rsid w:val="35074398"/>
    <w:rsid w:val="35380BBF"/>
    <w:rsid w:val="355754E9"/>
    <w:rsid w:val="35663BAA"/>
    <w:rsid w:val="357C0AAC"/>
    <w:rsid w:val="35875DB4"/>
    <w:rsid w:val="35A87AF3"/>
    <w:rsid w:val="35D703D8"/>
    <w:rsid w:val="35F1149A"/>
    <w:rsid w:val="35F9034E"/>
    <w:rsid w:val="35FE78C8"/>
    <w:rsid w:val="36111D85"/>
    <w:rsid w:val="363475D8"/>
    <w:rsid w:val="36486BE0"/>
    <w:rsid w:val="3659703F"/>
    <w:rsid w:val="366652B8"/>
    <w:rsid w:val="36877708"/>
    <w:rsid w:val="368F480F"/>
    <w:rsid w:val="36CC5A63"/>
    <w:rsid w:val="36F67483"/>
    <w:rsid w:val="36FC6348"/>
    <w:rsid w:val="37070849"/>
    <w:rsid w:val="37377380"/>
    <w:rsid w:val="374101FF"/>
    <w:rsid w:val="37410504"/>
    <w:rsid w:val="37423AD1"/>
    <w:rsid w:val="37697A0D"/>
    <w:rsid w:val="37712166"/>
    <w:rsid w:val="377D0B0B"/>
    <w:rsid w:val="37976071"/>
    <w:rsid w:val="37986116"/>
    <w:rsid w:val="37A12A4B"/>
    <w:rsid w:val="37A8186B"/>
    <w:rsid w:val="37A91900"/>
    <w:rsid w:val="37B704C1"/>
    <w:rsid w:val="37BD06E4"/>
    <w:rsid w:val="37D7504F"/>
    <w:rsid w:val="37F16F16"/>
    <w:rsid w:val="37F232A7"/>
    <w:rsid w:val="37F61ECE"/>
    <w:rsid w:val="380F3E59"/>
    <w:rsid w:val="38286CC9"/>
    <w:rsid w:val="38367638"/>
    <w:rsid w:val="385E5FD6"/>
    <w:rsid w:val="38A345A1"/>
    <w:rsid w:val="38A70B9D"/>
    <w:rsid w:val="38A74091"/>
    <w:rsid w:val="38BA3086"/>
    <w:rsid w:val="38C65B34"/>
    <w:rsid w:val="38CC3AF8"/>
    <w:rsid w:val="38E76B84"/>
    <w:rsid w:val="391A5A4B"/>
    <w:rsid w:val="393F7712"/>
    <w:rsid w:val="39706B79"/>
    <w:rsid w:val="397B655D"/>
    <w:rsid w:val="399E745F"/>
    <w:rsid w:val="39A9208B"/>
    <w:rsid w:val="39E3559D"/>
    <w:rsid w:val="39E9692C"/>
    <w:rsid w:val="3A14213F"/>
    <w:rsid w:val="3A2636DC"/>
    <w:rsid w:val="3A323E2F"/>
    <w:rsid w:val="3A347BA7"/>
    <w:rsid w:val="3A371445"/>
    <w:rsid w:val="3A39340F"/>
    <w:rsid w:val="3A4B446D"/>
    <w:rsid w:val="3A685AA2"/>
    <w:rsid w:val="3A6B10EF"/>
    <w:rsid w:val="3A745ADE"/>
    <w:rsid w:val="3A833317"/>
    <w:rsid w:val="3A8A77C7"/>
    <w:rsid w:val="3B117EE8"/>
    <w:rsid w:val="3B1361AE"/>
    <w:rsid w:val="3B181276"/>
    <w:rsid w:val="3B223EA3"/>
    <w:rsid w:val="3B2C4D22"/>
    <w:rsid w:val="3B331C0C"/>
    <w:rsid w:val="3B351E28"/>
    <w:rsid w:val="3B7010B2"/>
    <w:rsid w:val="3B732951"/>
    <w:rsid w:val="3BC1776D"/>
    <w:rsid w:val="3BD873AF"/>
    <w:rsid w:val="3C0D6901"/>
    <w:rsid w:val="3C2E6878"/>
    <w:rsid w:val="3C447033"/>
    <w:rsid w:val="3C4A0B16"/>
    <w:rsid w:val="3C8841DA"/>
    <w:rsid w:val="3C8B5A78"/>
    <w:rsid w:val="3C942B7F"/>
    <w:rsid w:val="3C9E6D1C"/>
    <w:rsid w:val="3CAD59EE"/>
    <w:rsid w:val="3CD25455"/>
    <w:rsid w:val="3CD92C87"/>
    <w:rsid w:val="3D000214"/>
    <w:rsid w:val="3D073351"/>
    <w:rsid w:val="3D1A7694"/>
    <w:rsid w:val="3D1D2B74"/>
    <w:rsid w:val="3D600CB3"/>
    <w:rsid w:val="3D7B7594"/>
    <w:rsid w:val="3D7D3613"/>
    <w:rsid w:val="3D872D00"/>
    <w:rsid w:val="3D9B618F"/>
    <w:rsid w:val="3DBD4357"/>
    <w:rsid w:val="3DC37667"/>
    <w:rsid w:val="3DDF607B"/>
    <w:rsid w:val="3DE03BA2"/>
    <w:rsid w:val="3DE90CA8"/>
    <w:rsid w:val="3DEC3AAD"/>
    <w:rsid w:val="3E285C74"/>
    <w:rsid w:val="3E287A22"/>
    <w:rsid w:val="3E55633E"/>
    <w:rsid w:val="3E7C1B1C"/>
    <w:rsid w:val="3E895FE7"/>
    <w:rsid w:val="3EB017C6"/>
    <w:rsid w:val="3EB839AE"/>
    <w:rsid w:val="3EBB0897"/>
    <w:rsid w:val="3EE57762"/>
    <w:rsid w:val="3EF20030"/>
    <w:rsid w:val="3EFE69D5"/>
    <w:rsid w:val="3F0D6C18"/>
    <w:rsid w:val="3F1B7587"/>
    <w:rsid w:val="3F275F2C"/>
    <w:rsid w:val="3F2A1578"/>
    <w:rsid w:val="3F36616F"/>
    <w:rsid w:val="3F514D57"/>
    <w:rsid w:val="3FA70E1B"/>
    <w:rsid w:val="3FDA4D4C"/>
    <w:rsid w:val="3FE22071"/>
    <w:rsid w:val="3FEA0D08"/>
    <w:rsid w:val="3FF676AC"/>
    <w:rsid w:val="3FF86D8C"/>
    <w:rsid w:val="400D3374"/>
    <w:rsid w:val="402B1A4C"/>
    <w:rsid w:val="40316936"/>
    <w:rsid w:val="405038FD"/>
    <w:rsid w:val="40512B35"/>
    <w:rsid w:val="405E3BCF"/>
    <w:rsid w:val="40632F94"/>
    <w:rsid w:val="407C4056"/>
    <w:rsid w:val="40A37834"/>
    <w:rsid w:val="40B57568"/>
    <w:rsid w:val="40F938F8"/>
    <w:rsid w:val="40FD796C"/>
    <w:rsid w:val="40FE2CBD"/>
    <w:rsid w:val="412A3AB2"/>
    <w:rsid w:val="412A5860"/>
    <w:rsid w:val="412D5350"/>
    <w:rsid w:val="413929E4"/>
    <w:rsid w:val="41581F18"/>
    <w:rsid w:val="41686388"/>
    <w:rsid w:val="416C5E78"/>
    <w:rsid w:val="416D1BF0"/>
    <w:rsid w:val="416E7E42"/>
    <w:rsid w:val="41D8350E"/>
    <w:rsid w:val="420936C7"/>
    <w:rsid w:val="421910D7"/>
    <w:rsid w:val="42783757"/>
    <w:rsid w:val="427A2817"/>
    <w:rsid w:val="427C658F"/>
    <w:rsid w:val="42A17DA3"/>
    <w:rsid w:val="42B555FD"/>
    <w:rsid w:val="42C35F6C"/>
    <w:rsid w:val="42FF2D1C"/>
    <w:rsid w:val="43581FBB"/>
    <w:rsid w:val="43672D9B"/>
    <w:rsid w:val="438B6221"/>
    <w:rsid w:val="439416B6"/>
    <w:rsid w:val="43B35FE5"/>
    <w:rsid w:val="440E76BA"/>
    <w:rsid w:val="4420119C"/>
    <w:rsid w:val="44463398"/>
    <w:rsid w:val="444A2E06"/>
    <w:rsid w:val="44AE67A8"/>
    <w:rsid w:val="44D51F86"/>
    <w:rsid w:val="44E421C9"/>
    <w:rsid w:val="451D0117"/>
    <w:rsid w:val="4538782B"/>
    <w:rsid w:val="454315E6"/>
    <w:rsid w:val="45570BED"/>
    <w:rsid w:val="45A22017"/>
    <w:rsid w:val="45A2455E"/>
    <w:rsid w:val="45C42E27"/>
    <w:rsid w:val="45D85B67"/>
    <w:rsid w:val="45D87F80"/>
    <w:rsid w:val="46063CE6"/>
    <w:rsid w:val="461273D2"/>
    <w:rsid w:val="46522D24"/>
    <w:rsid w:val="465B64BB"/>
    <w:rsid w:val="4662179D"/>
    <w:rsid w:val="46721D08"/>
    <w:rsid w:val="46835782"/>
    <w:rsid w:val="468C2B4D"/>
    <w:rsid w:val="46AB11F1"/>
    <w:rsid w:val="46D149CF"/>
    <w:rsid w:val="470834AB"/>
    <w:rsid w:val="47721D0E"/>
    <w:rsid w:val="477B5067"/>
    <w:rsid w:val="477B62C4"/>
    <w:rsid w:val="479E271A"/>
    <w:rsid w:val="47B21328"/>
    <w:rsid w:val="47B642F1"/>
    <w:rsid w:val="47BB36B5"/>
    <w:rsid w:val="47E36768"/>
    <w:rsid w:val="47F53461"/>
    <w:rsid w:val="47FE17F4"/>
    <w:rsid w:val="480D334D"/>
    <w:rsid w:val="48166B3E"/>
    <w:rsid w:val="482318E4"/>
    <w:rsid w:val="483454B8"/>
    <w:rsid w:val="48367DA4"/>
    <w:rsid w:val="483D056E"/>
    <w:rsid w:val="48653621"/>
    <w:rsid w:val="487B1097"/>
    <w:rsid w:val="48C92504"/>
    <w:rsid w:val="48D762BE"/>
    <w:rsid w:val="48EC3D42"/>
    <w:rsid w:val="492053AB"/>
    <w:rsid w:val="492A637E"/>
    <w:rsid w:val="495E079C"/>
    <w:rsid w:val="495E1FB7"/>
    <w:rsid w:val="49643494"/>
    <w:rsid w:val="49647D7D"/>
    <w:rsid w:val="49831FB1"/>
    <w:rsid w:val="498F4DFA"/>
    <w:rsid w:val="49AB5983"/>
    <w:rsid w:val="49D722FD"/>
    <w:rsid w:val="49DE18DD"/>
    <w:rsid w:val="49EA43B4"/>
    <w:rsid w:val="49ED5588"/>
    <w:rsid w:val="4A201EF6"/>
    <w:rsid w:val="4A2F038B"/>
    <w:rsid w:val="4A880F9B"/>
    <w:rsid w:val="4AA20B5D"/>
    <w:rsid w:val="4AB12B4E"/>
    <w:rsid w:val="4ABB1C1E"/>
    <w:rsid w:val="4AD35E1A"/>
    <w:rsid w:val="4ADF2AFB"/>
    <w:rsid w:val="4ADF76BB"/>
    <w:rsid w:val="4AE051E1"/>
    <w:rsid w:val="4AE66C9B"/>
    <w:rsid w:val="4AEE5C72"/>
    <w:rsid w:val="4AF173EE"/>
    <w:rsid w:val="4AF44F8E"/>
    <w:rsid w:val="4B125CE2"/>
    <w:rsid w:val="4B221C9D"/>
    <w:rsid w:val="4B24502D"/>
    <w:rsid w:val="4B271062"/>
    <w:rsid w:val="4B356D24"/>
    <w:rsid w:val="4B533C05"/>
    <w:rsid w:val="4B673131"/>
    <w:rsid w:val="4B8D7117"/>
    <w:rsid w:val="4BA10E14"/>
    <w:rsid w:val="4BB943B0"/>
    <w:rsid w:val="4BE156B5"/>
    <w:rsid w:val="4BE62AF6"/>
    <w:rsid w:val="4BF70A34"/>
    <w:rsid w:val="4C5E0AB3"/>
    <w:rsid w:val="4C612351"/>
    <w:rsid w:val="4C87625C"/>
    <w:rsid w:val="4CB66B41"/>
    <w:rsid w:val="4CBD46A4"/>
    <w:rsid w:val="4CBD762A"/>
    <w:rsid w:val="4CCF19B1"/>
    <w:rsid w:val="4CDE3730"/>
    <w:rsid w:val="4CE4720A"/>
    <w:rsid w:val="4CFF45DE"/>
    <w:rsid w:val="4D227D33"/>
    <w:rsid w:val="4D344388"/>
    <w:rsid w:val="4D454A45"/>
    <w:rsid w:val="4D5C3245"/>
    <w:rsid w:val="4D6C0FAE"/>
    <w:rsid w:val="4D8B3B2A"/>
    <w:rsid w:val="4D907566"/>
    <w:rsid w:val="4DB623EA"/>
    <w:rsid w:val="4E1E1EDC"/>
    <w:rsid w:val="4E742810"/>
    <w:rsid w:val="4E881E17"/>
    <w:rsid w:val="4EA330F5"/>
    <w:rsid w:val="4EE92C3F"/>
    <w:rsid w:val="4EFE086D"/>
    <w:rsid w:val="4F0771E0"/>
    <w:rsid w:val="4F1813ED"/>
    <w:rsid w:val="4F604B42"/>
    <w:rsid w:val="4F672375"/>
    <w:rsid w:val="4F835A85"/>
    <w:rsid w:val="4FA92B1D"/>
    <w:rsid w:val="4FCC3F86"/>
    <w:rsid w:val="4FD55530"/>
    <w:rsid w:val="4FEE3009"/>
    <w:rsid w:val="5005580E"/>
    <w:rsid w:val="502344EE"/>
    <w:rsid w:val="502918AA"/>
    <w:rsid w:val="5043693E"/>
    <w:rsid w:val="50650F36"/>
    <w:rsid w:val="50AB1369"/>
    <w:rsid w:val="50C80BF1"/>
    <w:rsid w:val="50E35A2B"/>
    <w:rsid w:val="50F27DBB"/>
    <w:rsid w:val="51087240"/>
    <w:rsid w:val="51383FC9"/>
    <w:rsid w:val="514E7348"/>
    <w:rsid w:val="515526FB"/>
    <w:rsid w:val="5184720E"/>
    <w:rsid w:val="519A258E"/>
    <w:rsid w:val="51ED6060"/>
    <w:rsid w:val="52466FD1"/>
    <w:rsid w:val="52495D62"/>
    <w:rsid w:val="525941F7"/>
    <w:rsid w:val="52611A9F"/>
    <w:rsid w:val="52720F22"/>
    <w:rsid w:val="52AF3E17"/>
    <w:rsid w:val="52B64EA5"/>
    <w:rsid w:val="52BE04FE"/>
    <w:rsid w:val="52EF4B5B"/>
    <w:rsid w:val="52F932E4"/>
    <w:rsid w:val="530D0A20"/>
    <w:rsid w:val="532948AA"/>
    <w:rsid w:val="5362532D"/>
    <w:rsid w:val="537961D3"/>
    <w:rsid w:val="53A21BCD"/>
    <w:rsid w:val="53A6145D"/>
    <w:rsid w:val="53B37937"/>
    <w:rsid w:val="53B611D5"/>
    <w:rsid w:val="53C1183E"/>
    <w:rsid w:val="53CB2ED2"/>
    <w:rsid w:val="53CC6C4A"/>
    <w:rsid w:val="53CE29C2"/>
    <w:rsid w:val="53E775E0"/>
    <w:rsid w:val="53ED3050"/>
    <w:rsid w:val="53FF492A"/>
    <w:rsid w:val="541D1254"/>
    <w:rsid w:val="54352A41"/>
    <w:rsid w:val="544462F2"/>
    <w:rsid w:val="54996B2C"/>
    <w:rsid w:val="54E57110"/>
    <w:rsid w:val="54FA3343"/>
    <w:rsid w:val="55144405"/>
    <w:rsid w:val="55287EB0"/>
    <w:rsid w:val="55326F81"/>
    <w:rsid w:val="554051FA"/>
    <w:rsid w:val="555E38D2"/>
    <w:rsid w:val="55672879"/>
    <w:rsid w:val="556D1D67"/>
    <w:rsid w:val="55713605"/>
    <w:rsid w:val="557E3F74"/>
    <w:rsid w:val="559D43FA"/>
    <w:rsid w:val="55AC6D33"/>
    <w:rsid w:val="55C833FF"/>
    <w:rsid w:val="55D10C97"/>
    <w:rsid w:val="55DA20EF"/>
    <w:rsid w:val="55E62245"/>
    <w:rsid w:val="55F5505A"/>
    <w:rsid w:val="561B17C3"/>
    <w:rsid w:val="561D553B"/>
    <w:rsid w:val="56570A4D"/>
    <w:rsid w:val="566B274A"/>
    <w:rsid w:val="567333AD"/>
    <w:rsid w:val="56937B31"/>
    <w:rsid w:val="56941CA1"/>
    <w:rsid w:val="56DA342C"/>
    <w:rsid w:val="5721105B"/>
    <w:rsid w:val="573214BA"/>
    <w:rsid w:val="574569A8"/>
    <w:rsid w:val="57511940"/>
    <w:rsid w:val="577E64AD"/>
    <w:rsid w:val="579730CB"/>
    <w:rsid w:val="57A061D8"/>
    <w:rsid w:val="57B41ECF"/>
    <w:rsid w:val="57EA769F"/>
    <w:rsid w:val="58207CED"/>
    <w:rsid w:val="58440F0E"/>
    <w:rsid w:val="586E02D0"/>
    <w:rsid w:val="588B70D4"/>
    <w:rsid w:val="58F9403E"/>
    <w:rsid w:val="58FA1B64"/>
    <w:rsid w:val="58FF16CE"/>
    <w:rsid w:val="590216C0"/>
    <w:rsid w:val="59126EAD"/>
    <w:rsid w:val="593A5382"/>
    <w:rsid w:val="5975743C"/>
    <w:rsid w:val="597D4C6F"/>
    <w:rsid w:val="5980475F"/>
    <w:rsid w:val="59B63CDD"/>
    <w:rsid w:val="59B85978"/>
    <w:rsid w:val="59BE7035"/>
    <w:rsid w:val="59DC1022"/>
    <w:rsid w:val="5A4958D6"/>
    <w:rsid w:val="5A53777D"/>
    <w:rsid w:val="5A843DDB"/>
    <w:rsid w:val="5A89065B"/>
    <w:rsid w:val="5A8B6F17"/>
    <w:rsid w:val="5AA4447D"/>
    <w:rsid w:val="5AB3646E"/>
    <w:rsid w:val="5ADA39FB"/>
    <w:rsid w:val="5AEE56F8"/>
    <w:rsid w:val="5AF537C6"/>
    <w:rsid w:val="5AFB0111"/>
    <w:rsid w:val="5AFD3697"/>
    <w:rsid w:val="5B0171D9"/>
    <w:rsid w:val="5B12588A"/>
    <w:rsid w:val="5B1B3701"/>
    <w:rsid w:val="5B2630E4"/>
    <w:rsid w:val="5B302BB2"/>
    <w:rsid w:val="5B3202E4"/>
    <w:rsid w:val="5B3752F1"/>
    <w:rsid w:val="5B4812AC"/>
    <w:rsid w:val="5B647768"/>
    <w:rsid w:val="5B7C0F56"/>
    <w:rsid w:val="5B8147BE"/>
    <w:rsid w:val="5BBE3CFE"/>
    <w:rsid w:val="5C1D44E7"/>
    <w:rsid w:val="5C237623"/>
    <w:rsid w:val="5C2E04A2"/>
    <w:rsid w:val="5C5D0D87"/>
    <w:rsid w:val="5C877BB2"/>
    <w:rsid w:val="5C980752"/>
    <w:rsid w:val="5CA42512"/>
    <w:rsid w:val="5CAC7619"/>
    <w:rsid w:val="5CEE19DF"/>
    <w:rsid w:val="5CF07506"/>
    <w:rsid w:val="5D63417B"/>
    <w:rsid w:val="5D740137"/>
    <w:rsid w:val="5D86286D"/>
    <w:rsid w:val="5DC34C1A"/>
    <w:rsid w:val="5DE40447"/>
    <w:rsid w:val="5DE93B9C"/>
    <w:rsid w:val="5E435D5B"/>
    <w:rsid w:val="5E4D2736"/>
    <w:rsid w:val="5E5E4943"/>
    <w:rsid w:val="5E655CD1"/>
    <w:rsid w:val="5E7E6D93"/>
    <w:rsid w:val="5E8E1FD8"/>
    <w:rsid w:val="5EA62B34"/>
    <w:rsid w:val="5EAB1374"/>
    <w:rsid w:val="5EB34C8F"/>
    <w:rsid w:val="5EB6652D"/>
    <w:rsid w:val="5EBB1D95"/>
    <w:rsid w:val="5EC759C2"/>
    <w:rsid w:val="5F2636B2"/>
    <w:rsid w:val="5F2A32FA"/>
    <w:rsid w:val="5F3736F9"/>
    <w:rsid w:val="5F497146"/>
    <w:rsid w:val="5F816C5A"/>
    <w:rsid w:val="5F8F1018"/>
    <w:rsid w:val="5FA6034F"/>
    <w:rsid w:val="5FD72BFF"/>
    <w:rsid w:val="600F4147"/>
    <w:rsid w:val="60114363"/>
    <w:rsid w:val="603718EF"/>
    <w:rsid w:val="605B3830"/>
    <w:rsid w:val="60663C94"/>
    <w:rsid w:val="60BD1DF5"/>
    <w:rsid w:val="60E750C3"/>
    <w:rsid w:val="60F65306"/>
    <w:rsid w:val="613B0F6B"/>
    <w:rsid w:val="613F6CAD"/>
    <w:rsid w:val="614442C4"/>
    <w:rsid w:val="616B1851"/>
    <w:rsid w:val="61722BDF"/>
    <w:rsid w:val="61926DDD"/>
    <w:rsid w:val="61A92379"/>
    <w:rsid w:val="61C13B66"/>
    <w:rsid w:val="61F41846"/>
    <w:rsid w:val="62000988"/>
    <w:rsid w:val="622639C9"/>
    <w:rsid w:val="624F291E"/>
    <w:rsid w:val="62506E8A"/>
    <w:rsid w:val="626A7D5A"/>
    <w:rsid w:val="627666FF"/>
    <w:rsid w:val="627E3805"/>
    <w:rsid w:val="62C27B96"/>
    <w:rsid w:val="62C52F94"/>
    <w:rsid w:val="62C90438"/>
    <w:rsid w:val="62C92CD3"/>
    <w:rsid w:val="62D653F0"/>
    <w:rsid w:val="62EA2C49"/>
    <w:rsid w:val="62FB4E56"/>
    <w:rsid w:val="631B2313"/>
    <w:rsid w:val="634305C9"/>
    <w:rsid w:val="634600F6"/>
    <w:rsid w:val="63514A76"/>
    <w:rsid w:val="636C7B02"/>
    <w:rsid w:val="637569B7"/>
    <w:rsid w:val="639E2131"/>
    <w:rsid w:val="63EB4ECB"/>
    <w:rsid w:val="63F97846"/>
    <w:rsid w:val="64151F48"/>
    <w:rsid w:val="64366729"/>
    <w:rsid w:val="643F0D73"/>
    <w:rsid w:val="644D16E1"/>
    <w:rsid w:val="64591E34"/>
    <w:rsid w:val="648D1ADE"/>
    <w:rsid w:val="649B5961"/>
    <w:rsid w:val="65006754"/>
    <w:rsid w:val="6506411F"/>
    <w:rsid w:val="6509559A"/>
    <w:rsid w:val="65280CDE"/>
    <w:rsid w:val="653603C7"/>
    <w:rsid w:val="65554CF2"/>
    <w:rsid w:val="656B0071"/>
    <w:rsid w:val="65752C9E"/>
    <w:rsid w:val="657B5DDA"/>
    <w:rsid w:val="657C227E"/>
    <w:rsid w:val="65856C59"/>
    <w:rsid w:val="658D6813"/>
    <w:rsid w:val="65B337C6"/>
    <w:rsid w:val="65B572A8"/>
    <w:rsid w:val="65BC152C"/>
    <w:rsid w:val="65C036DA"/>
    <w:rsid w:val="65D540D0"/>
    <w:rsid w:val="65D81BAE"/>
    <w:rsid w:val="65E73470"/>
    <w:rsid w:val="65FB4A32"/>
    <w:rsid w:val="65FF6A0B"/>
    <w:rsid w:val="660E6C4E"/>
    <w:rsid w:val="66212E26"/>
    <w:rsid w:val="6635242D"/>
    <w:rsid w:val="6648312B"/>
    <w:rsid w:val="66521231"/>
    <w:rsid w:val="665F56FC"/>
    <w:rsid w:val="667F18FA"/>
    <w:rsid w:val="66846F11"/>
    <w:rsid w:val="66855163"/>
    <w:rsid w:val="66AB5CC6"/>
    <w:rsid w:val="66B15F58"/>
    <w:rsid w:val="66D203EB"/>
    <w:rsid w:val="67114C48"/>
    <w:rsid w:val="671D77FA"/>
    <w:rsid w:val="672506F4"/>
    <w:rsid w:val="67572F4E"/>
    <w:rsid w:val="67982C74"/>
    <w:rsid w:val="679A4C3E"/>
    <w:rsid w:val="679A69EC"/>
    <w:rsid w:val="67F2275B"/>
    <w:rsid w:val="680E2F36"/>
    <w:rsid w:val="68182006"/>
    <w:rsid w:val="68394457"/>
    <w:rsid w:val="683A37ED"/>
    <w:rsid w:val="684D1CB0"/>
    <w:rsid w:val="689C49E5"/>
    <w:rsid w:val="68C161FA"/>
    <w:rsid w:val="68CF0AEA"/>
    <w:rsid w:val="68E24AEE"/>
    <w:rsid w:val="68E5638C"/>
    <w:rsid w:val="68EA39A3"/>
    <w:rsid w:val="690A194F"/>
    <w:rsid w:val="69132EFA"/>
    <w:rsid w:val="692073C4"/>
    <w:rsid w:val="69286279"/>
    <w:rsid w:val="696C43B8"/>
    <w:rsid w:val="697668D2"/>
    <w:rsid w:val="698F00A6"/>
    <w:rsid w:val="69935DE8"/>
    <w:rsid w:val="69947D95"/>
    <w:rsid w:val="69B55D5F"/>
    <w:rsid w:val="69F078E4"/>
    <w:rsid w:val="6A350C4E"/>
    <w:rsid w:val="6A507835"/>
    <w:rsid w:val="6A5A06B4"/>
    <w:rsid w:val="6A6E5F0E"/>
    <w:rsid w:val="6A7A0D56"/>
    <w:rsid w:val="6A931BD8"/>
    <w:rsid w:val="6ACD70D8"/>
    <w:rsid w:val="6AD30444"/>
    <w:rsid w:val="6AE95080"/>
    <w:rsid w:val="6AED2091"/>
    <w:rsid w:val="6AF61974"/>
    <w:rsid w:val="6B1871B2"/>
    <w:rsid w:val="6B566834"/>
    <w:rsid w:val="6B7632CC"/>
    <w:rsid w:val="6BAB01F2"/>
    <w:rsid w:val="6BB87D88"/>
    <w:rsid w:val="6BBA3B00"/>
    <w:rsid w:val="6BC77FCB"/>
    <w:rsid w:val="6BE2166D"/>
    <w:rsid w:val="6BF417A6"/>
    <w:rsid w:val="6C054650"/>
    <w:rsid w:val="6C353187"/>
    <w:rsid w:val="6C3D028D"/>
    <w:rsid w:val="6C44161C"/>
    <w:rsid w:val="6C500A40"/>
    <w:rsid w:val="6C515AE7"/>
    <w:rsid w:val="6C5F6456"/>
    <w:rsid w:val="6C6E48EB"/>
    <w:rsid w:val="6C942006"/>
    <w:rsid w:val="6CCB062D"/>
    <w:rsid w:val="6CDA065C"/>
    <w:rsid w:val="6CDB7669"/>
    <w:rsid w:val="6CF3094C"/>
    <w:rsid w:val="6D1065FF"/>
    <w:rsid w:val="6D111256"/>
    <w:rsid w:val="6D2B458A"/>
    <w:rsid w:val="6D301BA0"/>
    <w:rsid w:val="6D6F4477"/>
    <w:rsid w:val="6D7F0E4B"/>
    <w:rsid w:val="6D9D7236"/>
    <w:rsid w:val="6DCA0B5E"/>
    <w:rsid w:val="6E000787"/>
    <w:rsid w:val="6E1374F8"/>
    <w:rsid w:val="6E1F7801"/>
    <w:rsid w:val="6E235208"/>
    <w:rsid w:val="6E6E472E"/>
    <w:rsid w:val="6E970129"/>
    <w:rsid w:val="6E9C573F"/>
    <w:rsid w:val="6EBE56B6"/>
    <w:rsid w:val="6EC32CCC"/>
    <w:rsid w:val="6EFC3B5E"/>
    <w:rsid w:val="6F0230C8"/>
    <w:rsid w:val="6F0F5F11"/>
    <w:rsid w:val="6F237CA6"/>
    <w:rsid w:val="6F2968A7"/>
    <w:rsid w:val="6FAA79E8"/>
    <w:rsid w:val="6FB24AEE"/>
    <w:rsid w:val="6FC22F83"/>
    <w:rsid w:val="6FC54822"/>
    <w:rsid w:val="6FCF1ED2"/>
    <w:rsid w:val="6FD131C7"/>
    <w:rsid w:val="6FD35191"/>
    <w:rsid w:val="6FD42CB7"/>
    <w:rsid w:val="6FD74555"/>
    <w:rsid w:val="6FEA4288"/>
    <w:rsid w:val="6FFD045F"/>
    <w:rsid w:val="6FFD43BC"/>
    <w:rsid w:val="70057314"/>
    <w:rsid w:val="700D310B"/>
    <w:rsid w:val="700E441B"/>
    <w:rsid w:val="707C55FA"/>
    <w:rsid w:val="7089584F"/>
    <w:rsid w:val="70926DFA"/>
    <w:rsid w:val="70E37655"/>
    <w:rsid w:val="70F25AEA"/>
    <w:rsid w:val="71145A61"/>
    <w:rsid w:val="713010F9"/>
    <w:rsid w:val="713A2FED"/>
    <w:rsid w:val="714B63FB"/>
    <w:rsid w:val="71557E27"/>
    <w:rsid w:val="71956836"/>
    <w:rsid w:val="719625B8"/>
    <w:rsid w:val="71A62431"/>
    <w:rsid w:val="71A655C1"/>
    <w:rsid w:val="71AA0173"/>
    <w:rsid w:val="71BB412E"/>
    <w:rsid w:val="71F72C8D"/>
    <w:rsid w:val="720E3EE6"/>
    <w:rsid w:val="722021E3"/>
    <w:rsid w:val="72227D09"/>
    <w:rsid w:val="722A12B4"/>
    <w:rsid w:val="722E4900"/>
    <w:rsid w:val="72587BCF"/>
    <w:rsid w:val="725B146D"/>
    <w:rsid w:val="727367B7"/>
    <w:rsid w:val="728269FA"/>
    <w:rsid w:val="72827065"/>
    <w:rsid w:val="728409C4"/>
    <w:rsid w:val="729843E7"/>
    <w:rsid w:val="72A56194"/>
    <w:rsid w:val="72B55021"/>
    <w:rsid w:val="730218E9"/>
    <w:rsid w:val="730D6C0C"/>
    <w:rsid w:val="734E3A76"/>
    <w:rsid w:val="73920EBF"/>
    <w:rsid w:val="73ED2599"/>
    <w:rsid w:val="73EE0BE7"/>
    <w:rsid w:val="742A10F7"/>
    <w:rsid w:val="742E508B"/>
    <w:rsid w:val="742F4960"/>
    <w:rsid w:val="74406B6D"/>
    <w:rsid w:val="745560D3"/>
    <w:rsid w:val="74620891"/>
    <w:rsid w:val="74980757"/>
    <w:rsid w:val="74BA691F"/>
    <w:rsid w:val="74C23A26"/>
    <w:rsid w:val="74E25E76"/>
    <w:rsid w:val="74F160B9"/>
    <w:rsid w:val="74F470FA"/>
    <w:rsid w:val="74F87447"/>
    <w:rsid w:val="75030FF5"/>
    <w:rsid w:val="751B04D0"/>
    <w:rsid w:val="753F5076"/>
    <w:rsid w:val="755F161D"/>
    <w:rsid w:val="756A7B05"/>
    <w:rsid w:val="757F5473"/>
    <w:rsid w:val="75AB44BA"/>
    <w:rsid w:val="75C86E1A"/>
    <w:rsid w:val="75D25EEA"/>
    <w:rsid w:val="75EA3234"/>
    <w:rsid w:val="75EE45E6"/>
    <w:rsid w:val="761E4C8C"/>
    <w:rsid w:val="763B583E"/>
    <w:rsid w:val="76CC0B8C"/>
    <w:rsid w:val="76D11CFE"/>
    <w:rsid w:val="76DA5057"/>
    <w:rsid w:val="77100A78"/>
    <w:rsid w:val="77381D7D"/>
    <w:rsid w:val="77440722"/>
    <w:rsid w:val="77784870"/>
    <w:rsid w:val="77933457"/>
    <w:rsid w:val="77A92BF5"/>
    <w:rsid w:val="77D84510"/>
    <w:rsid w:val="780305DD"/>
    <w:rsid w:val="7813413A"/>
    <w:rsid w:val="786646C8"/>
    <w:rsid w:val="786778A7"/>
    <w:rsid w:val="786B03D3"/>
    <w:rsid w:val="7899650D"/>
    <w:rsid w:val="78AF3326"/>
    <w:rsid w:val="78D4779F"/>
    <w:rsid w:val="792151BF"/>
    <w:rsid w:val="7956428E"/>
    <w:rsid w:val="795A5FDB"/>
    <w:rsid w:val="7986580F"/>
    <w:rsid w:val="79984D55"/>
    <w:rsid w:val="799F60E4"/>
    <w:rsid w:val="79CE4C1B"/>
    <w:rsid w:val="7A0D74F1"/>
    <w:rsid w:val="7A1A1C0E"/>
    <w:rsid w:val="7A456035"/>
    <w:rsid w:val="7A5B64AE"/>
    <w:rsid w:val="7A741E0B"/>
    <w:rsid w:val="7A8157E9"/>
    <w:rsid w:val="7AD1051F"/>
    <w:rsid w:val="7AEE7323"/>
    <w:rsid w:val="7AF75AAB"/>
    <w:rsid w:val="7B3D7962"/>
    <w:rsid w:val="7B79766B"/>
    <w:rsid w:val="7B8E6410"/>
    <w:rsid w:val="7BAD0F8C"/>
    <w:rsid w:val="7BD302C6"/>
    <w:rsid w:val="7C0469D6"/>
    <w:rsid w:val="7C1C619F"/>
    <w:rsid w:val="7CD662C0"/>
    <w:rsid w:val="7D0F532E"/>
    <w:rsid w:val="7D145441"/>
    <w:rsid w:val="7D3B6123"/>
    <w:rsid w:val="7D4C0330"/>
    <w:rsid w:val="7D567401"/>
    <w:rsid w:val="7D5853D6"/>
    <w:rsid w:val="7D823D52"/>
    <w:rsid w:val="7D9D0B8C"/>
    <w:rsid w:val="7DB008BF"/>
    <w:rsid w:val="7DD17E27"/>
    <w:rsid w:val="7DEC0AFC"/>
    <w:rsid w:val="7E186464"/>
    <w:rsid w:val="7E2766A8"/>
    <w:rsid w:val="7E5A6A7D"/>
    <w:rsid w:val="7E6B2A38"/>
    <w:rsid w:val="7EA9384A"/>
    <w:rsid w:val="7EAF501B"/>
    <w:rsid w:val="7EB268B9"/>
    <w:rsid w:val="7EC34622"/>
    <w:rsid w:val="7F17496E"/>
    <w:rsid w:val="7F196938"/>
    <w:rsid w:val="7F2D5F40"/>
    <w:rsid w:val="7F4F235A"/>
    <w:rsid w:val="7F62208D"/>
    <w:rsid w:val="7F983D01"/>
    <w:rsid w:val="7FA94971"/>
    <w:rsid w:val="7FD36AE7"/>
    <w:rsid w:val="7FE72592"/>
    <w:rsid w:val="7FF6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宋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annotation subject"/>
    <w:basedOn w:val="5"/>
    <w:next w:val="5"/>
    <w:link w:val="23"/>
    <w:semiHidden/>
    <w:unhideWhenUsed/>
    <w:qFormat/>
    <w:uiPriority w:val="99"/>
    <w:rPr>
      <w:b/>
      <w:bCs/>
    </w:rPr>
  </w:style>
  <w:style w:type="paragraph" w:styleId="5">
    <w:name w:val="annotation text"/>
    <w:basedOn w:val="1"/>
    <w:link w:val="22"/>
    <w:unhideWhenUsed/>
    <w:qFormat/>
    <w:uiPriority w:val="0"/>
    <w:pPr>
      <w:jc w:val="left"/>
    </w:pPr>
  </w:style>
  <w:style w:type="paragraph" w:styleId="6">
    <w:name w:val="Body Text"/>
    <w:basedOn w:val="1"/>
    <w:next w:val="1"/>
    <w:qFormat/>
    <w:uiPriority w:val="0"/>
    <w:rPr>
      <w:rFonts w:eastAsia="仿宋_GB2312"/>
      <w:sz w:val="24"/>
      <w:szCs w:val="20"/>
    </w:rPr>
  </w:style>
  <w:style w:type="paragraph" w:styleId="7">
    <w:name w:val="toc 3"/>
    <w:basedOn w:val="1"/>
    <w:next w:val="1"/>
    <w:qFormat/>
    <w:uiPriority w:val="39"/>
    <w:pPr>
      <w:ind w:left="840" w:leftChars="400"/>
    </w:pPr>
  </w:style>
  <w:style w:type="paragraph" w:styleId="8">
    <w:name w:val="Balloon Text"/>
    <w:basedOn w:val="1"/>
    <w:link w:val="24"/>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20"/>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nhideWhenUsed/>
    <w:qFormat/>
    <w:uiPriority w:val="39"/>
  </w:style>
  <w:style w:type="paragraph" w:styleId="12">
    <w:name w:val="footnote text"/>
    <w:basedOn w:val="1"/>
    <w:semiHidden/>
    <w:unhideWhenUsed/>
    <w:qFormat/>
    <w:uiPriority w:val="99"/>
    <w:pPr>
      <w:snapToGrid w:val="0"/>
      <w:jc w:val="left"/>
    </w:pPr>
    <w:rPr>
      <w:sz w:val="18"/>
    </w:rPr>
  </w:style>
  <w:style w:type="paragraph" w:styleId="13">
    <w:name w:val="toc 2"/>
    <w:basedOn w:val="1"/>
    <w:next w:val="1"/>
    <w:semiHidden/>
    <w:unhideWhenUsed/>
    <w:qFormat/>
    <w:uiPriority w:val="39"/>
    <w:pPr>
      <w:ind w:left="420" w:leftChars="200"/>
    </w:pPr>
  </w:style>
  <w:style w:type="paragraph" w:styleId="14">
    <w:name w:val="Title"/>
    <w:basedOn w:val="1"/>
    <w:link w:val="28"/>
    <w:qFormat/>
    <w:uiPriority w:val="0"/>
    <w:pPr>
      <w:spacing w:before="240" w:after="60"/>
      <w:jc w:val="center"/>
      <w:outlineLvl w:val="0"/>
    </w:pPr>
    <w:rPr>
      <w:rFonts w:ascii="Arial" w:hAnsi="Arial" w:cs="宋体"/>
      <w:b/>
      <w:sz w:val="32"/>
      <w:szCs w:val="22"/>
    </w:rPr>
  </w:style>
  <w:style w:type="character" w:styleId="16">
    <w:name w:val="Strong"/>
    <w:basedOn w:val="15"/>
    <w:qFormat/>
    <w:uiPriority w:val="22"/>
    <w:rPr>
      <w:b/>
      <w:bCs/>
    </w:rPr>
  </w:style>
  <w:style w:type="character" w:styleId="17">
    <w:name w:val="annotation reference"/>
    <w:basedOn w:val="15"/>
    <w:semiHidden/>
    <w:unhideWhenUsed/>
    <w:qFormat/>
    <w:uiPriority w:val="0"/>
    <w:rPr>
      <w:sz w:val="21"/>
      <w:szCs w:val="21"/>
    </w:rPr>
  </w:style>
  <w:style w:type="character" w:styleId="18">
    <w:name w:val="footnote reference"/>
    <w:basedOn w:val="15"/>
    <w:semiHidden/>
    <w:unhideWhenUsed/>
    <w:qFormat/>
    <w:uiPriority w:val="99"/>
    <w:rPr>
      <w:vertAlign w:val="superscript"/>
    </w:rPr>
  </w:style>
  <w:style w:type="character" w:customStyle="1" w:styleId="20">
    <w:name w:val="页脚 Char"/>
    <w:basedOn w:val="15"/>
    <w:link w:val="9"/>
    <w:qFormat/>
    <w:uiPriority w:val="99"/>
    <w:rPr>
      <w:rFonts w:ascii="Times New Roman" w:hAnsi="Times New Roman" w:eastAsia="宋体" w:cs="Times New Roman"/>
      <w:sz w:val="18"/>
      <w:szCs w:val="20"/>
    </w:rPr>
  </w:style>
  <w:style w:type="character" w:customStyle="1" w:styleId="21">
    <w:name w:val="页眉 Char"/>
    <w:basedOn w:val="15"/>
    <w:link w:val="10"/>
    <w:qFormat/>
    <w:uiPriority w:val="99"/>
    <w:rPr>
      <w:rFonts w:ascii="Times New Roman" w:hAnsi="Times New Roman" w:eastAsia="宋体" w:cs="Times New Roman"/>
      <w:sz w:val="18"/>
      <w:szCs w:val="18"/>
    </w:rPr>
  </w:style>
  <w:style w:type="character" w:customStyle="1" w:styleId="22">
    <w:name w:val="批注文字 Char1"/>
    <w:basedOn w:val="15"/>
    <w:link w:val="5"/>
    <w:semiHidden/>
    <w:qFormat/>
    <w:uiPriority w:val="99"/>
    <w:rPr>
      <w:rFonts w:ascii="Times New Roman" w:hAnsi="Times New Roman" w:eastAsia="宋体" w:cs="Times New Roman"/>
      <w:szCs w:val="24"/>
    </w:rPr>
  </w:style>
  <w:style w:type="character" w:customStyle="1" w:styleId="23">
    <w:name w:val="批注主题 Char"/>
    <w:basedOn w:val="22"/>
    <w:link w:val="4"/>
    <w:semiHidden/>
    <w:qFormat/>
    <w:uiPriority w:val="99"/>
    <w:rPr>
      <w:rFonts w:ascii="Times New Roman" w:hAnsi="Times New Roman" w:eastAsia="宋体" w:cs="Times New Roman"/>
      <w:b/>
      <w:bCs/>
      <w:szCs w:val="24"/>
    </w:rPr>
  </w:style>
  <w:style w:type="character" w:customStyle="1" w:styleId="24">
    <w:name w:val="批注框文本 Char"/>
    <w:basedOn w:val="15"/>
    <w:link w:val="8"/>
    <w:semiHidden/>
    <w:qFormat/>
    <w:uiPriority w:val="99"/>
    <w:rPr>
      <w:rFonts w:ascii="Times New Roman" w:hAnsi="Times New Roman" w:eastAsia="宋体" w:cs="Times New Roman"/>
      <w:sz w:val="18"/>
      <w:szCs w:val="18"/>
    </w:rPr>
  </w:style>
  <w:style w:type="character" w:customStyle="1" w:styleId="25">
    <w:name w:val="批注文字 Char"/>
    <w:qFormat/>
    <w:uiPriority w:val="0"/>
    <w:rPr>
      <w:rFonts w:eastAsia="仿宋_GB2312"/>
      <w:kern w:val="2"/>
      <w:sz w:val="30"/>
      <w:szCs w:val="24"/>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标题 Char"/>
    <w:basedOn w:val="15"/>
    <w:link w:val="14"/>
    <w:qFormat/>
    <w:uiPriority w:val="0"/>
    <w:rPr>
      <w:rFonts w:ascii="Arial" w:hAnsi="Arial" w:cs="宋体"/>
      <w:b/>
      <w:kern w:val="2"/>
      <w:sz w:val="32"/>
      <w:szCs w:val="22"/>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15</Pages>
  <Words>1165</Words>
  <Characters>6646</Characters>
  <Lines>55</Lines>
  <Paragraphs>15</Paragraphs>
  <TotalTime>3</TotalTime>
  <ScaleCrop>false</ScaleCrop>
  <LinksUpToDate>false</LinksUpToDate>
  <CharactersWithSpaces>7796</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2024-05-17T01:42:00Z</dcterms:created>
  <dc:creator>Administrator</dc:creator>
  <cp:lastModifiedBy>Administrator</cp:lastModifiedBy>
  <dcterms:modified xsi:type="dcterms:W3CDTF">2025-08-25T09:12:17Z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8A970928C7174757BF9DE6362067DDCA_13</vt:lpwstr>
  </property>
  <property fmtid="{D5CDD505-2E9C-101B-9397-08002B2CF9AE}" pid="4" name="KSOTemplateDocerSaveRecord">
    <vt:lpwstr>eyJoZGlkIjoiMWMyNzg3MDk4MWJlMDdhYTUyMGRiNDc2NzBmMWI5ZTIiLCJ1c2VySWQiOiIyNDgzNzY5NzIifQ==</vt:lpwstr>
  </property>
</Properties>
</file>