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beforeLines="0" w:after="0" w:afterLines="0" w:line="560" w:lineRule="exact"/>
        <w:jc w:val="center"/>
        <w:rPr>
          <w:rFonts w:ascii="方正小标宋简体" w:eastAsia="方正小标宋简体"/>
          <w:sz w:val="36"/>
          <w:szCs w:val="36"/>
        </w:rPr>
      </w:pPr>
      <w:r>
        <w:rPr>
          <w:rFonts w:hint="eastAsia" w:ascii="方正小标宋简体" w:eastAsia="方正小标宋简体"/>
          <w:sz w:val="36"/>
          <w:szCs w:val="36"/>
        </w:rPr>
        <w:t>九三学社北京市委员会</w:t>
      </w:r>
    </w:p>
    <w:p>
      <w:pPr>
        <w:spacing w:beforeLines="0" w:after="0" w:afterLines="0"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2</w:t>
      </w:r>
      <w:r>
        <w:rPr>
          <w:rFonts w:ascii="方正小标宋简体" w:eastAsia="方正小标宋简体"/>
          <w:sz w:val="36"/>
          <w:szCs w:val="36"/>
        </w:rPr>
        <w:t>024</w:t>
      </w:r>
      <w:r>
        <w:rPr>
          <w:rFonts w:hint="eastAsia" w:ascii="方正小标宋简体" w:eastAsia="方正小标宋简体"/>
          <w:sz w:val="36"/>
          <w:szCs w:val="36"/>
        </w:rPr>
        <w:t>年度部门整体绩效评价报告</w:t>
      </w:r>
    </w:p>
    <w:p>
      <w:pPr>
        <w:pStyle w:val="2"/>
        <w:rPr>
          <w:rFonts w:hint="eastAsia" w:ascii="仿宋" w:hAnsi="仿宋" w:eastAsia="仿宋" w:cs="仿宋"/>
          <w:sz w:val="32"/>
          <w:szCs w:val="32"/>
        </w:rPr>
      </w:pPr>
    </w:p>
    <w:p>
      <w:pPr>
        <w:wordWrap/>
        <w:spacing w:after="0" w:line="560" w:lineRule="exact"/>
        <w:ind w:left="0" w:leftChars="0" w:right="0" w:firstLine="640" w:firstLineChars="200"/>
        <w:jc w:val="both"/>
        <w:textAlignment w:val="auto"/>
        <w:rPr>
          <w:rFonts w:ascii="仿宋" w:hAnsi="仿宋" w:eastAsia="仿宋"/>
          <w:sz w:val="32"/>
          <w:szCs w:val="32"/>
        </w:rPr>
      </w:pPr>
      <w:r>
        <w:rPr>
          <w:rFonts w:hint="eastAsia" w:ascii="仿宋" w:hAnsi="仿宋" w:eastAsia="仿宋"/>
          <w:sz w:val="32"/>
          <w:szCs w:val="32"/>
        </w:rPr>
        <w:t>为加强九三学社北京市委员会部门财政资金管理，强化支出责任，建立科学、合理的财政支出绩效评价管理体系，提高财政资金的使用效益，根据财政部《预算绩效管理工作规划（20122015)》（财预〔2012〕396号）、财政部《财政支出绩效评价管理暂行办法》（财预〔2020〕10号）、《党政机关厉行节约反对浪费条例》《北京市项目支出绩效评价管理办法》《关于全面实施预算绩效管理的实施意见》（京发〔2019〕12号）等文件的要求，202</w:t>
      </w:r>
      <w:r>
        <w:rPr>
          <w:rFonts w:ascii="仿宋" w:hAnsi="仿宋" w:eastAsia="仿宋"/>
          <w:sz w:val="32"/>
          <w:szCs w:val="32"/>
        </w:rPr>
        <w:t>4</w:t>
      </w:r>
      <w:r>
        <w:rPr>
          <w:rFonts w:hint="eastAsia" w:ascii="仿宋" w:hAnsi="仿宋" w:eastAsia="仿宋"/>
          <w:sz w:val="32"/>
          <w:szCs w:val="32"/>
        </w:rPr>
        <w:t>年4月至5月期间，九三学社北京市委员会机关组织开展了部门预算整体支出绩效评价，本次评价遵循了“科学规范，公正公开、分类管理、绩效相关”的原则，运用科学、合理的绩效评价指标、评价标准和评价方法，对202</w:t>
      </w:r>
      <w:r>
        <w:rPr>
          <w:rFonts w:ascii="仿宋" w:hAnsi="仿宋" w:eastAsia="仿宋"/>
          <w:sz w:val="32"/>
          <w:szCs w:val="32"/>
        </w:rPr>
        <w:t>4</w:t>
      </w:r>
      <w:r>
        <w:rPr>
          <w:rFonts w:hint="eastAsia" w:ascii="仿宋" w:hAnsi="仿宋" w:eastAsia="仿宋"/>
          <w:sz w:val="32"/>
          <w:szCs w:val="32"/>
        </w:rPr>
        <w:t>年度部门整体支出的绩效情况进行了客观、公正的评价。现将情况汇报如下。</w:t>
      </w:r>
    </w:p>
    <w:p>
      <w:pPr>
        <w:wordWrap/>
        <w:spacing w:after="0" w:line="560" w:lineRule="exact"/>
        <w:ind w:left="0" w:leftChars="0" w:right="0" w:firstLine="640" w:firstLineChars="200"/>
        <w:jc w:val="both"/>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wordWrap/>
        <w:spacing w:after="0" w:line="560" w:lineRule="exact"/>
        <w:ind w:left="0" w:leftChars="0" w:right="0" w:firstLine="640" w:firstLineChars="200"/>
        <w:jc w:val="both"/>
        <w:textAlignment w:val="auto"/>
        <w:rPr>
          <w:rFonts w:ascii="楷体_GB2312" w:eastAsia="楷体_GB2312"/>
          <w:sz w:val="32"/>
          <w:szCs w:val="32"/>
        </w:rPr>
      </w:pPr>
      <w:r>
        <w:rPr>
          <w:rFonts w:hint="eastAsia" w:ascii="楷体_GB2312" w:eastAsia="楷体_GB2312"/>
          <w:sz w:val="32"/>
          <w:szCs w:val="32"/>
        </w:rPr>
        <w:t>（一）机构设置及职责工作任务情况</w:t>
      </w:r>
    </w:p>
    <w:p>
      <w:pPr>
        <w:wordWrap/>
        <w:spacing w:after="0" w:line="560" w:lineRule="exact"/>
        <w:ind w:left="0" w:leftChars="0" w:right="0" w:firstLine="640" w:firstLineChars="200"/>
        <w:jc w:val="both"/>
        <w:textAlignment w:val="auto"/>
        <w:rPr>
          <w:rFonts w:hint="eastAsia" w:ascii="仿宋" w:hAnsi="仿宋" w:eastAsia="仿宋"/>
          <w:sz w:val="32"/>
          <w:szCs w:val="32"/>
        </w:rPr>
      </w:pPr>
      <w:r>
        <w:rPr>
          <w:rFonts w:hint="eastAsia" w:ascii="仿宋" w:hAnsi="仿宋" w:eastAsia="仿宋"/>
          <w:sz w:val="32"/>
          <w:szCs w:val="32"/>
        </w:rPr>
        <w:t>九三学社是以科学技术界高、中级知识分子为主的具有政治联盟特点的政党，是接受中国共产党领导、同中国共产党通力合作的亲密友党，是中国特色社会主义参政党。九三学社北京市委员会是九三学社省级组织，其前身是九三学社北京分社，于1951年4月8日成立。多年来，作为参政党省级组织，九三学社北京市委在九三学社中央和中共北京市委的领导下，不断加强自身建设，围绕北京市的经济社会发展，发挥自身优势，积极参加中国共产党领导的政治协商，切实履行参政议政、民主监督职能，认真建言献策、广泛开展社会服务，为坚持和完善中国共产党领导的多党合作和政治协商制度，为建设中国特色社会主义事业作出了积极的贡献。</w:t>
      </w:r>
    </w:p>
    <w:p>
      <w:pPr>
        <w:pStyle w:val="2"/>
        <w:widowControl w:val="0"/>
        <w:wordWrap/>
        <w:adjustRightInd/>
        <w:snapToGrid/>
        <w:spacing w:after="160" w:line="560" w:lineRule="exact"/>
        <w:ind w:left="0" w:leftChars="0" w:right="0" w:firstLine="640" w:firstLineChars="200"/>
        <w:jc w:val="both"/>
        <w:textAlignment w:val="auto"/>
        <w:outlineLvl w:val="9"/>
      </w:pPr>
      <w:r>
        <w:rPr>
          <w:rFonts w:hint="eastAsia" w:ascii="仿宋" w:hAnsi="仿宋" w:eastAsia="仿宋" w:cs="Times New Roman"/>
          <w:kern w:val="2"/>
          <w:sz w:val="32"/>
          <w:szCs w:val="32"/>
          <w:lang w:val="en-US" w:eastAsia="zh-CN" w:bidi="ar-SA"/>
        </w:rPr>
        <w:t>根据北京市机构编制委员会关于印发《八个民主党派市委机关和市工商联机关机构设置、人员编制方案》的通知（京编委[1997]2号），九三学社北京市委员会机关五个职能部门，分别为</w:t>
      </w:r>
      <w:bookmarkStart w:id="1" w:name="_GoBack"/>
      <w:bookmarkEnd w:id="1"/>
      <w:r>
        <w:rPr>
          <w:rFonts w:hint="eastAsia" w:ascii="仿宋" w:hAnsi="仿宋" w:eastAsia="仿宋" w:cs="Times New Roman"/>
          <w:kern w:val="2"/>
          <w:sz w:val="32"/>
          <w:szCs w:val="32"/>
          <w:lang w:val="en-US" w:eastAsia="zh-CN" w:bidi="ar-SA"/>
        </w:rPr>
        <w:t>办公室、参政议政部、组织部、宣传研究部和社会工作部。办公室是负责机关事务管理与服务的综合部门；参政议政部是负责联系社市委各专门委员会，负责调研、提案等工作的职能部门；组织部是负责组织建设的职能部门；宣传研究部是负责对内思想引导、对外宣传报道、参政党理论研究等工作的职能部门；社会工作部是开展社会服务、服务社员和直属支社管理的职能部门。各部门互相配合，完成既定职责。九三学社北京市委员会机关属财政全额拨款单位，主要任务是落实九三学社北京市委员会各项决议，为社的各级组织和社员提供履职保障。</w:t>
      </w:r>
    </w:p>
    <w:p>
      <w:pPr>
        <w:widowControl w:val="0"/>
        <w:numPr>
          <w:numId w:val="0"/>
        </w:numPr>
        <w:wordWrap/>
        <w:adjustRightInd/>
        <w:snapToGrid/>
        <w:spacing w:after="0" w:line="560" w:lineRule="exact"/>
        <w:ind w:left="0" w:leftChars="0" w:right="0" w:firstLine="640" w:firstLineChars="200"/>
        <w:jc w:val="both"/>
        <w:textAlignment w:val="auto"/>
        <w:outlineLvl w:val="9"/>
        <w:rPr>
          <w:rFonts w:ascii="楷体_GB2312" w:eastAsia="楷体_GB2312"/>
          <w:sz w:val="32"/>
          <w:szCs w:val="32"/>
        </w:rPr>
      </w:pPr>
      <w:r>
        <w:rPr>
          <w:rFonts w:hint="eastAsia" w:ascii="楷体_GB2312" w:eastAsia="楷体_GB2312"/>
          <w:sz w:val="32"/>
          <w:szCs w:val="32"/>
          <w:lang w:eastAsia="zh-CN"/>
        </w:rPr>
        <w:t>（二）</w:t>
      </w:r>
      <w:r>
        <w:rPr>
          <w:rFonts w:hint="eastAsia" w:ascii="楷体_GB2312" w:eastAsia="楷体_GB2312"/>
          <w:sz w:val="32"/>
          <w:szCs w:val="32"/>
        </w:rPr>
        <w:t>部门整体绩效目标设立情况</w:t>
      </w:r>
    </w:p>
    <w:p>
      <w:pPr>
        <w:wordWrap/>
        <w:spacing w:after="0" w:line="560" w:lineRule="exact"/>
        <w:ind w:left="0" w:leftChars="0" w:right="0" w:firstLine="640" w:firstLineChars="200"/>
        <w:jc w:val="both"/>
        <w:textAlignment w:val="auto"/>
        <w:rPr>
          <w:rFonts w:ascii="仿宋" w:hAnsi="仿宋" w:eastAsia="仿宋"/>
          <w:sz w:val="32"/>
          <w:szCs w:val="32"/>
        </w:rPr>
      </w:pPr>
      <w:r>
        <w:rPr>
          <w:rFonts w:hint="eastAsia" w:ascii="仿宋" w:hAnsi="仿宋" w:eastAsia="仿宋" w:cs="仿宋"/>
          <w:bCs/>
          <w:sz w:val="32"/>
          <w:szCs w:val="32"/>
        </w:rPr>
        <w:t>2024年是新中国成立75周年，是中国共产党领导的多党合作和政治协商制度确立75周年，也是实施“十四五”规划的关键一年。一年来，九三学社北京市委始终坚持以习近平新时代中国特色社会主义思想为指导，深入学习贯彻中共二十大和二十届二中、三中全会精神，认真贯彻落实九三学社中央和中共北京市委有关决策部署，巩固拓展“凝心铸魂强根基，团结奋进新征程”主题教育成果，深化纪律学习教育，切实履行好参政党职能，圆满完成各项任务，为新时代首都发展作出新贡献。</w:t>
      </w:r>
    </w:p>
    <w:p>
      <w:pPr>
        <w:wordWrap/>
        <w:spacing w:after="0" w:line="560" w:lineRule="exact"/>
        <w:ind w:left="0" w:leftChars="0" w:right="0" w:firstLine="640" w:firstLineChars="200"/>
        <w:jc w:val="both"/>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wordWrap/>
        <w:spacing w:after="0" w:line="560" w:lineRule="exact"/>
        <w:ind w:left="0" w:leftChars="0" w:right="0" w:firstLine="640" w:firstLineChars="200"/>
        <w:jc w:val="both"/>
        <w:textAlignment w:val="auto"/>
        <w:rPr>
          <w:rFonts w:ascii="仿宋" w:hAnsi="仿宋" w:eastAsia="仿宋"/>
          <w:sz w:val="32"/>
          <w:szCs w:val="32"/>
        </w:rPr>
      </w:pP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年全年预算数</w:t>
      </w:r>
      <w:r>
        <w:rPr>
          <w:rFonts w:ascii="仿宋" w:hAnsi="仿宋" w:eastAsia="仿宋"/>
          <w:sz w:val="32"/>
          <w:szCs w:val="32"/>
        </w:rPr>
        <w:t>1640.60</w:t>
      </w:r>
      <w:r>
        <w:rPr>
          <w:rFonts w:hint="eastAsia" w:ascii="仿宋" w:hAnsi="仿宋" w:eastAsia="仿宋"/>
          <w:sz w:val="32"/>
          <w:szCs w:val="32"/>
        </w:rPr>
        <w:t>万元，其中，基本支出预算数</w:t>
      </w:r>
      <w:r>
        <w:rPr>
          <w:rFonts w:ascii="仿宋" w:hAnsi="仿宋" w:eastAsia="仿宋"/>
          <w:sz w:val="32"/>
          <w:szCs w:val="32"/>
        </w:rPr>
        <w:t>1438.15</w:t>
      </w:r>
      <w:r>
        <w:rPr>
          <w:rFonts w:hint="eastAsia" w:ascii="仿宋" w:hAnsi="仿宋" w:eastAsia="仿宋"/>
          <w:sz w:val="32"/>
          <w:szCs w:val="32"/>
        </w:rPr>
        <w:t>万元，项目支出预算数</w:t>
      </w:r>
      <w:r>
        <w:rPr>
          <w:rFonts w:ascii="仿宋" w:hAnsi="仿宋" w:eastAsia="仿宋"/>
          <w:sz w:val="32"/>
          <w:szCs w:val="32"/>
        </w:rPr>
        <w:t>202.45</w:t>
      </w:r>
      <w:r>
        <w:rPr>
          <w:rFonts w:hint="eastAsia" w:ascii="仿宋" w:hAnsi="仿宋" w:eastAsia="仿宋"/>
          <w:sz w:val="32"/>
          <w:szCs w:val="32"/>
        </w:rPr>
        <w:t>万元。资金总体支出15</w:t>
      </w:r>
      <w:r>
        <w:rPr>
          <w:rFonts w:ascii="仿宋" w:hAnsi="仿宋" w:eastAsia="仿宋"/>
          <w:sz w:val="32"/>
          <w:szCs w:val="32"/>
        </w:rPr>
        <w:t>72.94</w:t>
      </w:r>
      <w:r>
        <w:rPr>
          <w:rFonts w:hint="eastAsia" w:ascii="仿宋" w:hAnsi="仿宋" w:eastAsia="仿宋"/>
          <w:sz w:val="32"/>
          <w:szCs w:val="32"/>
        </w:rPr>
        <w:t>万元，其中，基本支出13</w:t>
      </w:r>
      <w:r>
        <w:rPr>
          <w:rFonts w:ascii="仿宋" w:hAnsi="仿宋" w:eastAsia="仿宋"/>
          <w:sz w:val="32"/>
          <w:szCs w:val="32"/>
        </w:rPr>
        <w:t>87.22</w:t>
      </w:r>
      <w:r>
        <w:rPr>
          <w:rFonts w:hint="eastAsia" w:ascii="仿宋" w:hAnsi="仿宋" w:eastAsia="仿宋"/>
          <w:sz w:val="32"/>
          <w:szCs w:val="32"/>
        </w:rPr>
        <w:t>万元，项目支出1</w:t>
      </w:r>
      <w:r>
        <w:rPr>
          <w:rFonts w:ascii="仿宋" w:hAnsi="仿宋" w:eastAsia="仿宋"/>
          <w:sz w:val="32"/>
          <w:szCs w:val="32"/>
        </w:rPr>
        <w:t>85.72</w:t>
      </w:r>
      <w:r>
        <w:rPr>
          <w:rFonts w:hint="eastAsia" w:ascii="仿宋" w:hAnsi="仿宋" w:eastAsia="仿宋"/>
          <w:sz w:val="32"/>
          <w:szCs w:val="32"/>
        </w:rPr>
        <w:t>万元。预算执行率为9</w:t>
      </w:r>
      <w:r>
        <w:rPr>
          <w:rFonts w:ascii="仿宋" w:hAnsi="仿宋" w:eastAsia="仿宋"/>
          <w:sz w:val="32"/>
          <w:szCs w:val="32"/>
        </w:rPr>
        <w:t>5.87</w:t>
      </w:r>
      <w:r>
        <w:rPr>
          <w:rFonts w:hint="eastAsia" w:ascii="仿宋" w:hAnsi="仿宋" w:eastAsia="仿宋"/>
          <w:sz w:val="32"/>
          <w:szCs w:val="32"/>
        </w:rPr>
        <w:t>%。</w:t>
      </w:r>
    </w:p>
    <w:p>
      <w:pPr>
        <w:wordWrap/>
        <w:spacing w:after="0" w:line="560" w:lineRule="exact"/>
        <w:ind w:left="0" w:leftChars="0" w:right="0" w:firstLine="640" w:firstLineChars="200"/>
        <w:jc w:val="both"/>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widowControl/>
        <w:wordWrap/>
        <w:adjustRightInd w:val="0"/>
        <w:snapToGrid w:val="0"/>
        <w:spacing w:after="0" w:line="560" w:lineRule="exact"/>
        <w:ind w:left="0" w:leftChars="0" w:right="0" w:firstLine="640" w:firstLineChars="200"/>
        <w:jc w:val="both"/>
        <w:textAlignment w:val="auto"/>
        <w:rPr>
          <w:rFonts w:ascii="仿宋" w:hAnsi="仿宋" w:eastAsia="仿宋" w:cs="仿宋"/>
          <w:bCs/>
          <w:sz w:val="32"/>
          <w:szCs w:val="32"/>
        </w:rPr>
      </w:pPr>
      <w:r>
        <w:rPr>
          <w:rFonts w:hint="eastAsia" w:ascii="仿宋" w:hAnsi="仿宋" w:eastAsia="仿宋" w:cs="仿宋"/>
          <w:bCs/>
          <w:sz w:val="32"/>
          <w:szCs w:val="32"/>
        </w:rPr>
        <w:t>（一）产出完成情况分析</w:t>
      </w:r>
    </w:p>
    <w:p>
      <w:pPr>
        <w:widowControl/>
        <w:wordWrap/>
        <w:adjustRightInd w:val="0"/>
        <w:snapToGrid w:val="0"/>
        <w:spacing w:after="0" w:line="560" w:lineRule="exact"/>
        <w:ind w:left="0" w:leftChars="0" w:right="0" w:firstLine="640" w:firstLineChars="200"/>
        <w:jc w:val="both"/>
        <w:textAlignment w:val="auto"/>
        <w:rPr>
          <w:rFonts w:ascii="仿宋" w:eastAsia="仿宋" w:cs="仿宋"/>
          <w:sz w:val="32"/>
          <w:szCs w:val="32"/>
        </w:rPr>
      </w:pPr>
      <w:r>
        <w:rPr>
          <w:rFonts w:hint="eastAsia" w:ascii="仿宋" w:hAnsi="仿宋" w:eastAsia="仿宋" w:cs="仿宋"/>
          <w:bCs/>
          <w:sz w:val="32"/>
          <w:szCs w:val="32"/>
        </w:rPr>
        <w:t>产出完成情况（30分）。主要从产出数量、产出质量、产出进度和产出成本4项内容进行评价。根据部门整体支出绩效评价表，产出指标总得分30分，其中产出数量6分、产出质量12分、产出进度6分、产出成本6分。针对项目完成率、项目达标率、项目成果转化与获奖情况、是否按时完成保质保量工作和成本控制率进行绩效评价。此项综合评价得分为30.00分。</w:t>
      </w:r>
    </w:p>
    <w:p>
      <w:pPr>
        <w:wordWrap/>
        <w:spacing w:after="0" w:line="560" w:lineRule="exact"/>
        <w:ind w:left="0" w:leftChars="0" w:right="0" w:firstLine="640" w:firstLineChars="200"/>
        <w:jc w:val="both"/>
        <w:textAlignment w:val="auto"/>
        <w:rPr>
          <w:rFonts w:ascii="仿宋" w:hAnsi="仿宋" w:eastAsia="仿宋" w:cs="宋体"/>
          <w:b/>
          <w:color w:val="000000"/>
          <w:kern w:val="0"/>
          <w:sz w:val="32"/>
          <w:szCs w:val="32"/>
        </w:rPr>
      </w:pPr>
      <w:r>
        <w:rPr>
          <w:rFonts w:hint="eastAsia" w:ascii="仿宋" w:hAnsi="仿宋" w:eastAsia="仿宋" w:cs="宋体"/>
          <w:b/>
          <w:color w:val="000000"/>
          <w:kern w:val="0"/>
          <w:sz w:val="32"/>
          <w:szCs w:val="32"/>
        </w:rPr>
        <w:t>1.产出数量</w:t>
      </w:r>
    </w:p>
    <w:p>
      <w:pPr>
        <w:wordWrap/>
        <w:spacing w:after="0" w:line="560" w:lineRule="exact"/>
        <w:ind w:left="0" w:leftChars="0" w:right="0" w:firstLine="640" w:firstLineChars="200"/>
        <w:jc w:val="both"/>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围绕学习贯彻三中全会精神主线，凝聚思想政治共识。以领导班子领学促学高起点开启学习活动。发挥理论学习中心组领学作用，落实好“第一议题”制度，领导班子开展集中学习12次，参加社中央、中共北京市委及各领域组织的专题培训15次。发挥代表人士示范作用，领导班子成员、常委、委员快速响应，认真学习领会中共二十届三中全会精神，撰写个人学习体会20余篇。落实机关政治学习制度，机关干部参加中共二十届三中全会精神学习培训47人次。</w:t>
      </w:r>
    </w:p>
    <w:p>
      <w:pPr>
        <w:wordWrap/>
        <w:spacing w:after="0" w:line="560" w:lineRule="exact"/>
        <w:ind w:left="0" w:leftChars="0" w:right="0" w:firstLine="640" w:firstLineChars="200"/>
        <w:jc w:val="both"/>
        <w:textAlignment w:val="auto"/>
        <w:rPr>
          <w:rFonts w:ascii="仿宋" w:hAnsi="仿宋" w:eastAsia="仿宋" w:cs="宋体"/>
          <w:color w:val="FF0000"/>
          <w:kern w:val="0"/>
          <w:sz w:val="32"/>
          <w:szCs w:val="32"/>
        </w:rPr>
      </w:pPr>
      <w:r>
        <w:rPr>
          <w:rFonts w:hint="eastAsia" w:ascii="仿宋" w:hAnsi="仿宋" w:eastAsia="仿宋" w:cs="宋体"/>
          <w:color w:val="000000"/>
          <w:kern w:val="0"/>
          <w:sz w:val="32"/>
          <w:szCs w:val="32"/>
        </w:rPr>
        <w:t>强化宣传阵地建设，提升新闻宣传效能。按照有内容、有特色、有规范、有覆盖的“四有标准”，重点对社北京市委网站、微信公众号进行升级改版。改版后，微信公众号发布次数同比增长338%，编辑发稿量同比增长68%，全年共编辑发稿290余篇。充分利用社内新媒体信息平台，及时在网站、公众号开设人民政协成立75周年、纪律学习教育等专栏，发布相关报道70余篇。拓展与社外媒体合作领域，主动推介社北京市委履职工作及代表性人物，在社外媒体刊发“九三三城发展座谈会”等相关报道19篇，组织人物专访6次。</w:t>
      </w:r>
    </w:p>
    <w:p>
      <w:pPr>
        <w:wordWrap/>
        <w:spacing w:after="0" w:line="560" w:lineRule="exact"/>
        <w:ind w:left="0" w:leftChars="0" w:right="0" w:firstLine="640" w:firstLineChars="200"/>
        <w:jc w:val="both"/>
        <w:textAlignment w:val="auto"/>
        <w:rPr>
          <w:rFonts w:ascii="仿宋" w:hAnsi="仿宋" w:eastAsia="仿宋" w:cs="宋体"/>
          <w:color w:val="FF0000"/>
          <w:kern w:val="0"/>
          <w:sz w:val="32"/>
          <w:szCs w:val="32"/>
        </w:rPr>
      </w:pPr>
      <w:r>
        <w:rPr>
          <w:rFonts w:hint="eastAsia" w:ascii="仿宋" w:hAnsi="仿宋" w:eastAsia="仿宋" w:cs="宋体"/>
          <w:color w:val="000000"/>
          <w:kern w:val="0"/>
          <w:sz w:val="32"/>
          <w:szCs w:val="32"/>
        </w:rPr>
        <w:t>深化理论研究和社史研究，服务参政党履职实践。社北京市委领导班子成员牵头，持续开展新时代新征程加强首都中国特色社会主义参政党履职能力建设系列调研、纪律学习教育专题调研等，完成9项理论研究课题。开展理论研究“固本强基”专项工程，推动社东城区委成立理论研究会。</w:t>
      </w:r>
    </w:p>
    <w:p>
      <w:pPr>
        <w:wordWrap/>
        <w:spacing w:after="0" w:line="560" w:lineRule="exact"/>
        <w:ind w:left="0" w:leftChars="0" w:right="0" w:firstLine="640" w:firstLineChars="200"/>
        <w:jc w:val="both"/>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加强领导班子建设，切实发挥头雁效应。坚持以上率下，坚持民主集中制。全年共召开主委会议12次，常委会议3次。落实领导班子联系基层机制，全年主委会成员参与基层活动52次。</w:t>
      </w:r>
    </w:p>
    <w:p>
      <w:pPr>
        <w:wordWrap/>
        <w:spacing w:after="0" w:line="560" w:lineRule="exact"/>
        <w:ind w:left="0" w:leftChars="0" w:right="0" w:firstLine="640" w:firstLineChars="200"/>
        <w:jc w:val="both"/>
        <w:textAlignment w:val="auto"/>
        <w:rPr>
          <w:rFonts w:ascii="仿宋" w:hAnsi="仿宋" w:eastAsia="仿宋" w:cs="宋体"/>
          <w:color w:val="FF0000"/>
          <w:kern w:val="0"/>
          <w:sz w:val="32"/>
          <w:szCs w:val="32"/>
        </w:rPr>
      </w:pPr>
      <w:r>
        <w:rPr>
          <w:rFonts w:hint="eastAsia" w:ascii="仿宋" w:hAnsi="仿宋" w:eastAsia="仿宋" w:cs="宋体"/>
          <w:color w:val="000000"/>
          <w:kern w:val="0"/>
          <w:sz w:val="32"/>
          <w:szCs w:val="32"/>
        </w:rPr>
        <w:t>贯彻改革创新理念，构建参政议政新格局。全年共召开各类调研座谈会、主题议政会63次，组织实地调研38次，共50余个基层组织、180余名社员参与相关工作，形成各类建议成果60余件。</w:t>
      </w:r>
    </w:p>
    <w:p>
      <w:pPr>
        <w:wordWrap/>
        <w:spacing w:after="0" w:line="560" w:lineRule="exact"/>
        <w:ind w:left="0" w:leftChars="0" w:right="0" w:firstLine="640" w:firstLineChars="200"/>
        <w:jc w:val="both"/>
        <w:textAlignment w:val="auto"/>
        <w:rPr>
          <w:rFonts w:ascii="仿宋" w:hAnsi="仿宋" w:eastAsia="仿宋" w:cs="宋体"/>
          <w:b/>
          <w:color w:val="000000"/>
          <w:kern w:val="0"/>
          <w:sz w:val="32"/>
          <w:szCs w:val="32"/>
        </w:rPr>
      </w:pPr>
      <w:r>
        <w:rPr>
          <w:rFonts w:hint="eastAsia" w:ascii="仿宋" w:hAnsi="仿宋" w:eastAsia="仿宋" w:cs="宋体"/>
          <w:b/>
          <w:color w:val="000000"/>
          <w:kern w:val="0"/>
          <w:sz w:val="32"/>
          <w:szCs w:val="32"/>
        </w:rPr>
        <w:t>2.产出</w:t>
      </w:r>
      <w:r>
        <w:rPr>
          <w:rFonts w:ascii="仿宋" w:hAnsi="仿宋" w:eastAsia="仿宋" w:cs="宋体"/>
          <w:b/>
          <w:color w:val="000000"/>
          <w:kern w:val="0"/>
          <w:sz w:val="32"/>
          <w:szCs w:val="32"/>
        </w:rPr>
        <w:t>质量</w:t>
      </w:r>
    </w:p>
    <w:p>
      <w:pPr>
        <w:wordWrap/>
        <w:spacing w:after="0" w:line="560" w:lineRule="exact"/>
        <w:ind w:left="0" w:leftChars="0" w:right="0" w:firstLine="640" w:firstLineChars="200"/>
        <w:jc w:val="both"/>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全年共有4个区级和基层组织、16人获得社中央宣传思想工作表彰。在社中央参政党理论研究工作表彰中，社北京市委获先进集体，2名社员获先进个人。全年共完成科技类课题10件，市区联合课题15件，专委会联合课题68件，社内外联合课题9件。</w:t>
      </w:r>
    </w:p>
    <w:p>
      <w:pPr>
        <w:widowControl w:val="0"/>
        <w:wordWrap/>
        <w:autoSpaceDE w:val="0"/>
        <w:adjustRightInd/>
        <w:snapToGrid/>
        <w:spacing w:after="0" w:line="560" w:lineRule="exact"/>
        <w:ind w:left="0" w:leftChars="0" w:right="0" w:firstLine="640" w:firstLineChars="200"/>
        <w:jc w:val="both"/>
        <w:textAlignment w:val="auto"/>
        <w:outlineLvl w:val="9"/>
        <w:rPr>
          <w:rFonts w:ascii="仿宋" w:hAnsi="仿宋" w:eastAsia="仿宋" w:cs="宋体"/>
          <w:color w:val="000000"/>
          <w:kern w:val="0"/>
          <w:sz w:val="32"/>
          <w:szCs w:val="32"/>
        </w:rPr>
      </w:pPr>
      <w:r>
        <w:rPr>
          <w:rFonts w:ascii="仿宋" w:hAnsi="仿宋" w:eastAsia="仿宋" w:cs="宋体"/>
          <w:color w:val="000000"/>
          <w:kern w:val="0"/>
          <w:sz w:val="32"/>
          <w:szCs w:val="32"/>
        </w:rPr>
        <w:t>落实社中央重点任务，高质量开展专题调研。向社中央报送</w:t>
      </w:r>
      <w:r>
        <w:rPr>
          <w:rFonts w:hint="eastAsia" w:ascii="仿宋" w:hAnsi="仿宋" w:eastAsia="仿宋" w:cs="宋体"/>
          <w:color w:val="000000"/>
          <w:kern w:val="0"/>
          <w:sz w:val="32"/>
          <w:szCs w:val="32"/>
          <w:lang w:eastAsia="zh-CN"/>
        </w:rPr>
        <w:t>多篇</w:t>
      </w:r>
      <w:r>
        <w:rPr>
          <w:rFonts w:ascii="仿宋" w:hAnsi="仿宋" w:eastAsia="仿宋" w:cs="宋体"/>
          <w:color w:val="000000"/>
          <w:kern w:val="0"/>
          <w:sz w:val="32"/>
          <w:szCs w:val="32"/>
        </w:rPr>
        <w:t>建议案，为社中央党派大调研提供重要支撑。</w:t>
      </w:r>
    </w:p>
    <w:p>
      <w:pPr>
        <w:pStyle w:val="2"/>
        <w:widowControl w:val="0"/>
        <w:wordWrap/>
        <w:adjustRightInd/>
        <w:snapToGrid/>
        <w:spacing w:after="0" w:line="560" w:lineRule="exact"/>
        <w:ind w:left="0" w:leftChars="0" w:right="0" w:firstLine="640" w:firstLineChars="200"/>
        <w:jc w:val="both"/>
        <w:textAlignment w:val="auto"/>
        <w:outlineLvl w:val="9"/>
        <w:rPr>
          <w:rFonts w:hint="eastAsia" w:eastAsia="仿宋"/>
          <w:lang w:eastAsia="zh-CN"/>
        </w:rPr>
      </w:pPr>
      <w:r>
        <w:rPr>
          <w:rFonts w:hint="eastAsia" w:ascii="仿宋" w:hAnsi="仿宋" w:eastAsia="仿宋" w:cs="宋体"/>
          <w:color w:val="000000"/>
          <w:kern w:val="0"/>
          <w:sz w:val="32"/>
          <w:szCs w:val="32"/>
          <w:lang w:eastAsia="zh-CN"/>
        </w:rPr>
        <w:t>开展高层协商，围绕经济社会发展中的重大问题，向中共市委统战部报送建言专报、调研报告，为首都高质量发展贡献力量。</w:t>
      </w:r>
    </w:p>
    <w:p>
      <w:pPr>
        <w:widowControl w:val="0"/>
        <w:wordWrap/>
        <w:autoSpaceDE w:val="0"/>
        <w:adjustRightInd/>
        <w:snapToGrid/>
        <w:spacing w:after="0" w:line="560" w:lineRule="exact"/>
        <w:ind w:left="0" w:leftChars="0" w:right="0" w:firstLine="640" w:firstLineChars="200"/>
        <w:jc w:val="both"/>
        <w:textAlignment w:val="auto"/>
        <w:outlineLvl w:val="9"/>
        <w:rPr>
          <w:rFonts w:ascii="仿宋" w:hAnsi="仿宋" w:eastAsia="仿宋" w:cs="宋体"/>
          <w:color w:val="000000"/>
          <w:kern w:val="0"/>
          <w:sz w:val="32"/>
          <w:szCs w:val="32"/>
        </w:rPr>
      </w:pPr>
      <w:r>
        <w:rPr>
          <w:rFonts w:ascii="仿宋" w:hAnsi="仿宋" w:eastAsia="仿宋" w:cs="宋体"/>
          <w:color w:val="000000"/>
          <w:kern w:val="0"/>
          <w:sz w:val="32"/>
          <w:szCs w:val="32"/>
        </w:rPr>
        <w:t>向市政协提交</w:t>
      </w:r>
      <w:r>
        <w:rPr>
          <w:rFonts w:hint="eastAsia" w:ascii="仿宋" w:hAnsi="仿宋" w:eastAsia="仿宋" w:cs="宋体"/>
          <w:color w:val="000000"/>
          <w:kern w:val="0"/>
          <w:sz w:val="32"/>
          <w:szCs w:val="32"/>
          <w:lang w:eastAsia="zh-CN"/>
        </w:rPr>
        <w:t>多篇</w:t>
      </w:r>
      <w:r>
        <w:rPr>
          <w:rFonts w:ascii="仿宋" w:hAnsi="仿宋" w:eastAsia="仿宋" w:cs="宋体"/>
          <w:color w:val="000000"/>
          <w:kern w:val="0"/>
          <w:sz w:val="32"/>
          <w:szCs w:val="32"/>
        </w:rPr>
        <w:t>党派提案、界别提案。</w:t>
      </w:r>
      <w:r>
        <w:rPr>
          <w:rFonts w:hint="eastAsia" w:ascii="仿宋" w:hAnsi="仿宋" w:eastAsia="仿宋" w:cs="宋体"/>
          <w:color w:val="000000"/>
          <w:kern w:val="0"/>
          <w:sz w:val="32"/>
          <w:szCs w:val="32"/>
          <w:lang w:eastAsia="zh-CN"/>
        </w:rPr>
        <w:t>多</w:t>
      </w:r>
      <w:r>
        <w:rPr>
          <w:rFonts w:ascii="仿宋" w:hAnsi="仿宋" w:eastAsia="仿宋" w:cs="宋体"/>
          <w:color w:val="000000"/>
          <w:kern w:val="0"/>
          <w:sz w:val="32"/>
          <w:szCs w:val="32"/>
        </w:rPr>
        <w:t>篇议政建言成果，作为市政协和中共市委统战部联合召开的议政会</w:t>
      </w:r>
      <w:r>
        <w:rPr>
          <w:rFonts w:hint="eastAsia" w:ascii="仿宋" w:hAnsi="仿宋" w:eastAsia="仿宋" w:cs="宋体"/>
          <w:color w:val="000000"/>
          <w:kern w:val="0"/>
          <w:sz w:val="32"/>
          <w:szCs w:val="32"/>
          <w:lang w:eastAsia="zh-CN"/>
        </w:rPr>
        <w:t>、</w:t>
      </w:r>
      <w:r>
        <w:rPr>
          <w:rFonts w:ascii="仿宋" w:hAnsi="仿宋" w:eastAsia="仿宋" w:cs="宋体"/>
          <w:color w:val="000000"/>
          <w:kern w:val="0"/>
          <w:sz w:val="32"/>
          <w:szCs w:val="32"/>
        </w:rPr>
        <w:t>市政协议政性常委会、专题协商会、协商座谈会重点发言</w:t>
      </w:r>
      <w:r>
        <w:rPr>
          <w:rFonts w:hint="eastAsia" w:ascii="仿宋" w:hAnsi="仿宋" w:eastAsia="仿宋" w:cs="宋体"/>
          <w:color w:val="000000"/>
          <w:kern w:val="0"/>
          <w:sz w:val="32"/>
          <w:szCs w:val="32"/>
          <w:lang w:eastAsia="zh-CN"/>
        </w:rPr>
        <w:t>材料</w:t>
      </w:r>
      <w:r>
        <w:rPr>
          <w:rFonts w:ascii="仿宋" w:hAnsi="仿宋" w:eastAsia="仿宋" w:cs="宋体"/>
          <w:color w:val="000000"/>
          <w:kern w:val="0"/>
          <w:sz w:val="32"/>
          <w:szCs w:val="32"/>
        </w:rPr>
        <w:t>。充分发挥党派提案作用，加强与政府部门</w:t>
      </w:r>
      <w:r>
        <w:rPr>
          <w:rFonts w:hint="eastAsia" w:ascii="仿宋" w:hAnsi="仿宋" w:eastAsia="仿宋" w:cs="宋体"/>
          <w:color w:val="000000"/>
          <w:kern w:val="0"/>
          <w:sz w:val="32"/>
          <w:szCs w:val="32"/>
          <w:lang w:eastAsia="zh-CN"/>
        </w:rPr>
        <w:t>沟通</w:t>
      </w:r>
      <w:r>
        <w:rPr>
          <w:rFonts w:ascii="仿宋" w:hAnsi="仿宋" w:eastAsia="仿宋" w:cs="宋体"/>
          <w:color w:val="000000"/>
          <w:kern w:val="0"/>
          <w:sz w:val="32"/>
          <w:szCs w:val="32"/>
        </w:rPr>
        <w:t>联系，召开提案办理座谈会</w:t>
      </w:r>
      <w:r>
        <w:rPr>
          <w:rFonts w:hint="eastAsia" w:ascii="仿宋" w:hAnsi="仿宋" w:eastAsia="仿宋" w:cs="宋体"/>
          <w:color w:val="000000"/>
          <w:kern w:val="0"/>
          <w:sz w:val="32"/>
          <w:szCs w:val="32"/>
          <w:lang w:eastAsia="zh-CN"/>
        </w:rPr>
        <w:t>，</w:t>
      </w:r>
      <w:r>
        <w:rPr>
          <w:rFonts w:ascii="仿宋" w:hAnsi="仿宋" w:eastAsia="仿宋" w:cs="宋体"/>
          <w:color w:val="000000"/>
          <w:kern w:val="0"/>
          <w:sz w:val="32"/>
          <w:szCs w:val="32"/>
        </w:rPr>
        <w:t>开展调研活</w:t>
      </w:r>
      <w:r>
        <w:rPr>
          <w:rFonts w:ascii="仿宋" w:hAnsi="仿宋" w:eastAsia="仿宋" w:cs="宋体"/>
          <w:color w:val="000000"/>
          <w:kern w:val="0"/>
          <w:sz w:val="32"/>
          <w:szCs w:val="32"/>
          <w:highlight w:val="none"/>
        </w:rPr>
        <w:t>动。</w:t>
      </w:r>
    </w:p>
    <w:p>
      <w:pPr>
        <w:wordWrap/>
        <w:spacing w:after="0" w:line="560" w:lineRule="exact"/>
        <w:ind w:left="0" w:leftChars="0" w:right="0" w:firstLine="640" w:firstLineChars="200"/>
        <w:jc w:val="both"/>
        <w:textAlignment w:val="auto"/>
        <w:rPr>
          <w:rFonts w:ascii="仿宋" w:hAnsi="仿宋" w:eastAsia="仿宋"/>
          <w:b/>
          <w:sz w:val="32"/>
          <w:szCs w:val="32"/>
        </w:rPr>
      </w:pPr>
      <w:r>
        <w:rPr>
          <w:rFonts w:hint="eastAsia" w:ascii="仿宋" w:hAnsi="仿宋" w:eastAsia="仿宋"/>
          <w:b/>
          <w:sz w:val="32"/>
          <w:szCs w:val="32"/>
        </w:rPr>
        <w:t>3.产出</w:t>
      </w:r>
      <w:r>
        <w:rPr>
          <w:rFonts w:ascii="仿宋" w:hAnsi="仿宋" w:eastAsia="仿宋"/>
          <w:b/>
          <w:sz w:val="32"/>
          <w:szCs w:val="32"/>
        </w:rPr>
        <w:t>进度</w:t>
      </w:r>
    </w:p>
    <w:p>
      <w:pPr>
        <w:pStyle w:val="2"/>
        <w:wordWrap/>
        <w:spacing w:after="0" w:line="560" w:lineRule="exact"/>
        <w:ind w:left="0" w:leftChars="0" w:right="0" w:firstLine="640" w:firstLineChars="200"/>
        <w:jc w:val="both"/>
        <w:textAlignment w:val="auto"/>
        <w:rPr>
          <w:rFonts w:ascii="仿宋" w:hAnsi="仿宋" w:eastAsia="仿宋"/>
          <w:sz w:val="32"/>
          <w:szCs w:val="32"/>
        </w:rPr>
      </w:pPr>
      <w:r>
        <w:rPr>
          <w:rFonts w:hint="eastAsia" w:ascii="仿宋" w:hAnsi="仿宋" w:eastAsia="仿宋"/>
          <w:sz w:val="32"/>
          <w:szCs w:val="32"/>
        </w:rPr>
        <w:t>对照</w:t>
      </w:r>
      <w:r>
        <w:rPr>
          <w:rFonts w:ascii="仿宋" w:hAnsi="仿宋" w:eastAsia="仿宋"/>
          <w:sz w:val="32"/>
          <w:szCs w:val="32"/>
        </w:rPr>
        <w:t>9</w:t>
      </w:r>
      <w:r>
        <w:rPr>
          <w:rFonts w:hint="eastAsia" w:ascii="仿宋" w:hAnsi="仿宋" w:eastAsia="仿宋"/>
          <w:sz w:val="32"/>
          <w:szCs w:val="32"/>
        </w:rPr>
        <w:t>个项目的绩效申报表所列202</w:t>
      </w:r>
      <w:r>
        <w:rPr>
          <w:rFonts w:ascii="仿宋" w:hAnsi="仿宋" w:eastAsia="仿宋"/>
          <w:sz w:val="32"/>
          <w:szCs w:val="32"/>
        </w:rPr>
        <w:t>4</w:t>
      </w:r>
      <w:r>
        <w:rPr>
          <w:rFonts w:hint="eastAsia" w:ascii="仿宋" w:hAnsi="仿宋" w:eastAsia="仿宋"/>
          <w:sz w:val="32"/>
          <w:szCs w:val="32"/>
        </w:rPr>
        <w:t>年度绩效目标任务，对各项目202</w:t>
      </w:r>
      <w:r>
        <w:rPr>
          <w:rFonts w:ascii="仿宋" w:hAnsi="仿宋" w:eastAsia="仿宋"/>
          <w:sz w:val="32"/>
          <w:szCs w:val="32"/>
        </w:rPr>
        <w:t>4</w:t>
      </w:r>
      <w:r>
        <w:rPr>
          <w:rFonts w:hint="eastAsia" w:ascii="仿宋" w:hAnsi="仿宋" w:eastAsia="仿宋"/>
          <w:sz w:val="32"/>
          <w:szCs w:val="32"/>
        </w:rPr>
        <w:t>年度目标任务和计划安排进行核查，“专项民主监督工作经费项目”、“机动经费项目”2</w:t>
      </w:r>
      <w:r>
        <w:rPr>
          <w:rFonts w:ascii="仿宋" w:hAnsi="仿宋" w:eastAsia="仿宋"/>
          <w:sz w:val="32"/>
          <w:szCs w:val="32"/>
        </w:rPr>
        <w:t>024</w:t>
      </w:r>
      <w:r>
        <w:rPr>
          <w:rFonts w:hint="eastAsia" w:ascii="仿宋" w:hAnsi="仿宋" w:eastAsia="仿宋"/>
          <w:sz w:val="32"/>
          <w:szCs w:val="32"/>
        </w:rPr>
        <w:t>年度未支出，其余各项目均基本按时保质完成。</w:t>
      </w:r>
    </w:p>
    <w:p>
      <w:pPr>
        <w:wordWrap/>
        <w:spacing w:after="0" w:line="560" w:lineRule="exact"/>
        <w:ind w:left="0" w:leftChars="0" w:right="0" w:firstLine="640" w:firstLineChars="200"/>
        <w:jc w:val="both"/>
        <w:textAlignment w:val="auto"/>
        <w:rPr>
          <w:rFonts w:ascii="仿宋" w:hAnsi="仿宋" w:eastAsia="仿宋"/>
          <w:b/>
          <w:bCs/>
          <w:sz w:val="32"/>
          <w:szCs w:val="32"/>
        </w:rPr>
      </w:pPr>
      <w:r>
        <w:rPr>
          <w:rFonts w:hint="eastAsia" w:ascii="仿宋" w:hAnsi="仿宋" w:eastAsia="仿宋"/>
          <w:b/>
          <w:bCs/>
          <w:sz w:val="32"/>
          <w:szCs w:val="32"/>
        </w:rPr>
        <w:t>4.产出成本</w:t>
      </w:r>
    </w:p>
    <w:p>
      <w:pPr>
        <w:wordWrap/>
        <w:spacing w:after="0" w:line="560" w:lineRule="exact"/>
        <w:ind w:left="0" w:leftChars="0" w:right="0" w:firstLine="640" w:firstLineChars="200"/>
        <w:jc w:val="both"/>
        <w:textAlignment w:val="auto"/>
        <w:rPr>
          <w:rFonts w:ascii="仿宋" w:hAnsi="仿宋" w:eastAsia="仿宋"/>
          <w:sz w:val="32"/>
          <w:szCs w:val="32"/>
        </w:rPr>
      </w:pP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年实际支出</w:t>
      </w:r>
      <w:r>
        <w:rPr>
          <w:rFonts w:ascii="仿宋" w:hAnsi="仿宋" w:eastAsia="仿宋"/>
          <w:sz w:val="32"/>
          <w:szCs w:val="32"/>
        </w:rPr>
        <w:t>1572.94</w:t>
      </w:r>
      <w:r>
        <w:rPr>
          <w:rFonts w:hint="eastAsia" w:ascii="仿宋" w:hAnsi="仿宋" w:eastAsia="仿宋"/>
          <w:sz w:val="32"/>
          <w:szCs w:val="32"/>
        </w:rPr>
        <w:t>万元，其中基本经费13</w:t>
      </w:r>
      <w:r>
        <w:rPr>
          <w:rFonts w:ascii="仿宋" w:hAnsi="仿宋" w:eastAsia="仿宋"/>
          <w:sz w:val="32"/>
          <w:szCs w:val="32"/>
        </w:rPr>
        <w:t>87.22</w:t>
      </w:r>
      <w:r>
        <w:rPr>
          <w:rFonts w:hint="eastAsia" w:ascii="仿宋" w:hAnsi="仿宋" w:eastAsia="仿宋"/>
          <w:sz w:val="32"/>
          <w:szCs w:val="32"/>
        </w:rPr>
        <w:t>万元，项目经费</w:t>
      </w:r>
      <w:r>
        <w:rPr>
          <w:rFonts w:ascii="仿宋" w:hAnsi="仿宋" w:eastAsia="仿宋"/>
          <w:sz w:val="32"/>
          <w:szCs w:val="32"/>
        </w:rPr>
        <w:t>185.72</w:t>
      </w:r>
      <w:r>
        <w:rPr>
          <w:rFonts w:hint="eastAsia" w:ascii="仿宋" w:hAnsi="仿宋" w:eastAsia="仿宋"/>
          <w:sz w:val="32"/>
          <w:szCs w:val="32"/>
        </w:rPr>
        <w:t>万元。基本经费中人员经费</w:t>
      </w:r>
      <w:r>
        <w:rPr>
          <w:rFonts w:ascii="仿宋" w:hAnsi="仿宋" w:eastAsia="仿宋"/>
          <w:sz w:val="32"/>
          <w:szCs w:val="32"/>
        </w:rPr>
        <w:t>1285.62</w:t>
      </w:r>
      <w:r>
        <w:rPr>
          <w:rFonts w:hint="eastAsia" w:ascii="仿宋" w:hAnsi="仿宋" w:eastAsia="仿宋"/>
          <w:sz w:val="32"/>
          <w:szCs w:val="32"/>
        </w:rPr>
        <w:t>万元，公用经费</w:t>
      </w:r>
      <w:r>
        <w:rPr>
          <w:rFonts w:ascii="仿宋" w:hAnsi="仿宋" w:eastAsia="仿宋"/>
          <w:sz w:val="32"/>
          <w:szCs w:val="32"/>
        </w:rPr>
        <w:t>101.60</w:t>
      </w:r>
      <w:r>
        <w:rPr>
          <w:rFonts w:hint="eastAsia" w:ascii="仿宋" w:hAnsi="仿宋" w:eastAsia="仿宋"/>
          <w:sz w:val="32"/>
          <w:szCs w:val="32"/>
        </w:rPr>
        <w:t>万元；项目经费共有</w:t>
      </w:r>
      <w:r>
        <w:rPr>
          <w:rFonts w:ascii="仿宋" w:hAnsi="仿宋" w:eastAsia="仿宋"/>
          <w:sz w:val="32"/>
          <w:szCs w:val="32"/>
        </w:rPr>
        <w:t>9</w:t>
      </w:r>
      <w:r>
        <w:rPr>
          <w:rFonts w:hint="eastAsia" w:ascii="仿宋" w:hAnsi="仿宋" w:eastAsia="仿宋"/>
          <w:sz w:val="32"/>
          <w:szCs w:val="32"/>
        </w:rPr>
        <w:t>个项目，分别为：社会服务工作经费</w:t>
      </w:r>
      <w:r>
        <w:rPr>
          <w:rFonts w:ascii="仿宋" w:hAnsi="仿宋" w:eastAsia="仿宋"/>
          <w:sz w:val="32"/>
          <w:szCs w:val="32"/>
        </w:rPr>
        <w:t>17.49</w:t>
      </w:r>
      <w:r>
        <w:rPr>
          <w:rFonts w:hint="eastAsia" w:ascii="仿宋" w:hAnsi="仿宋" w:eastAsia="仿宋"/>
          <w:sz w:val="32"/>
          <w:szCs w:val="32"/>
        </w:rPr>
        <w:t>万元，组织建设工作经费</w:t>
      </w:r>
      <w:r>
        <w:rPr>
          <w:rFonts w:ascii="仿宋" w:hAnsi="仿宋" w:eastAsia="仿宋"/>
          <w:sz w:val="32"/>
          <w:szCs w:val="32"/>
        </w:rPr>
        <w:t>17</w:t>
      </w:r>
      <w:r>
        <w:rPr>
          <w:rFonts w:hint="eastAsia" w:ascii="仿宋" w:hAnsi="仿宋" w:eastAsia="仿宋"/>
          <w:sz w:val="32"/>
          <w:szCs w:val="32"/>
        </w:rPr>
        <w:t>万元，参政议政工作经费2</w:t>
      </w:r>
      <w:r>
        <w:rPr>
          <w:rFonts w:ascii="仿宋" w:hAnsi="仿宋" w:eastAsia="仿宋"/>
          <w:sz w:val="32"/>
          <w:szCs w:val="32"/>
        </w:rPr>
        <w:t>5.83</w:t>
      </w:r>
      <w:r>
        <w:rPr>
          <w:rFonts w:hint="eastAsia" w:ascii="仿宋" w:hAnsi="仿宋" w:eastAsia="仿宋"/>
          <w:sz w:val="32"/>
          <w:szCs w:val="32"/>
        </w:rPr>
        <w:t>万元，基层组织工作经费</w:t>
      </w:r>
      <w:r>
        <w:rPr>
          <w:rFonts w:ascii="仿宋" w:hAnsi="仿宋" w:eastAsia="仿宋"/>
          <w:sz w:val="32"/>
          <w:szCs w:val="32"/>
        </w:rPr>
        <w:t>22.44</w:t>
      </w:r>
      <w:r>
        <w:rPr>
          <w:rFonts w:hint="eastAsia" w:ascii="仿宋" w:hAnsi="仿宋" w:eastAsia="仿宋"/>
          <w:sz w:val="32"/>
          <w:szCs w:val="32"/>
        </w:rPr>
        <w:t>万元，宣传研究工作经费支出</w:t>
      </w:r>
      <w:r>
        <w:rPr>
          <w:rFonts w:ascii="仿宋" w:hAnsi="仿宋" w:eastAsia="仿宋"/>
          <w:sz w:val="32"/>
          <w:szCs w:val="32"/>
        </w:rPr>
        <w:t>24.92</w:t>
      </w:r>
      <w:r>
        <w:rPr>
          <w:rFonts w:hint="eastAsia" w:ascii="仿宋" w:hAnsi="仿宋" w:eastAsia="仿宋"/>
          <w:sz w:val="32"/>
          <w:szCs w:val="32"/>
        </w:rPr>
        <w:t>万元，专项民主监督经费支出</w:t>
      </w:r>
      <w:r>
        <w:rPr>
          <w:rFonts w:ascii="仿宋" w:hAnsi="仿宋" w:eastAsia="仿宋"/>
          <w:sz w:val="32"/>
          <w:szCs w:val="32"/>
        </w:rPr>
        <w:t>0</w:t>
      </w:r>
      <w:r>
        <w:rPr>
          <w:rFonts w:hint="eastAsia" w:ascii="仿宋" w:hAnsi="仿宋" w:eastAsia="仿宋"/>
          <w:sz w:val="32"/>
          <w:szCs w:val="32"/>
        </w:rPr>
        <w:t>万元，办公室工作经费支出</w:t>
      </w:r>
      <w:r>
        <w:rPr>
          <w:rFonts w:ascii="仿宋" w:hAnsi="仿宋" w:eastAsia="仿宋"/>
          <w:sz w:val="32"/>
          <w:szCs w:val="32"/>
        </w:rPr>
        <w:t>43.77</w:t>
      </w:r>
      <w:r>
        <w:rPr>
          <w:rFonts w:hint="eastAsia" w:ascii="仿宋" w:hAnsi="仿宋" w:eastAsia="仿宋"/>
          <w:sz w:val="32"/>
          <w:szCs w:val="32"/>
        </w:rPr>
        <w:t>万元，后勤保障经费项目支出</w:t>
      </w:r>
      <w:r>
        <w:rPr>
          <w:rFonts w:ascii="仿宋" w:hAnsi="仿宋" w:eastAsia="仿宋"/>
          <w:sz w:val="32"/>
          <w:szCs w:val="32"/>
        </w:rPr>
        <w:t>34.27</w:t>
      </w:r>
      <w:r>
        <w:rPr>
          <w:rFonts w:hint="eastAsia" w:ascii="仿宋" w:hAnsi="仿宋" w:eastAsia="仿宋"/>
          <w:sz w:val="32"/>
          <w:szCs w:val="32"/>
        </w:rPr>
        <w:t>万元，机动经费0元。</w:t>
      </w:r>
    </w:p>
    <w:p>
      <w:pPr>
        <w:wordWrap/>
        <w:spacing w:after="0" w:line="560" w:lineRule="exact"/>
        <w:ind w:left="0" w:leftChars="0" w:right="0" w:firstLine="640" w:firstLineChars="200"/>
        <w:jc w:val="both"/>
        <w:textAlignment w:val="auto"/>
        <w:rPr>
          <w:rFonts w:ascii="仿宋" w:hAnsi="仿宋" w:eastAsia="仿宋"/>
          <w:b/>
          <w:bCs/>
          <w:sz w:val="32"/>
          <w:szCs w:val="32"/>
        </w:rPr>
      </w:pPr>
      <w:r>
        <w:rPr>
          <w:rFonts w:hint="eastAsia" w:ascii="仿宋" w:hAnsi="仿宋" w:eastAsia="仿宋"/>
          <w:b/>
          <w:bCs/>
          <w:sz w:val="32"/>
          <w:szCs w:val="32"/>
        </w:rPr>
        <w:t>（二）效果实现情况分析</w:t>
      </w:r>
    </w:p>
    <w:p>
      <w:pPr>
        <w:pStyle w:val="2"/>
        <w:wordWrap/>
        <w:spacing w:after="0" w:line="560" w:lineRule="exact"/>
        <w:ind w:left="0" w:leftChars="0" w:right="0" w:firstLine="640" w:firstLineChars="200"/>
        <w:jc w:val="both"/>
        <w:textAlignment w:val="auto"/>
        <w:rPr>
          <w:rFonts w:ascii="仿宋" w:hAnsi="仿宋" w:eastAsia="仿宋"/>
          <w:sz w:val="32"/>
          <w:szCs w:val="32"/>
        </w:rPr>
      </w:pPr>
      <w:r>
        <w:rPr>
          <w:rFonts w:hint="eastAsia" w:ascii="仿宋" w:hAnsi="仿宋" w:eastAsia="仿宋"/>
          <w:sz w:val="32"/>
          <w:szCs w:val="32"/>
        </w:rPr>
        <w:t>效果实现情况（30分）。针对经济效益、社会效益、</w:t>
      </w:r>
      <w:r>
        <w:rPr>
          <w:rFonts w:hint="eastAsia" w:ascii="仿宋" w:hAnsi="仿宋" w:eastAsia="仿宋"/>
          <w:sz w:val="32"/>
          <w:szCs w:val="32"/>
          <w:lang w:eastAsia="zh-CN"/>
        </w:rPr>
        <w:t>环境</w:t>
      </w:r>
      <w:r>
        <w:rPr>
          <w:rFonts w:hint="eastAsia" w:ascii="仿宋" w:hAnsi="仿宋" w:eastAsia="仿宋"/>
          <w:sz w:val="32"/>
          <w:szCs w:val="32"/>
        </w:rPr>
        <w:t>效益</w:t>
      </w:r>
      <w:r>
        <w:rPr>
          <w:rFonts w:hint="eastAsia" w:ascii="仿宋" w:hAnsi="仿宋" w:eastAsia="仿宋"/>
          <w:sz w:val="32"/>
          <w:szCs w:val="32"/>
          <w:lang w:eastAsia="zh-CN"/>
        </w:rPr>
        <w:t>、</w:t>
      </w:r>
      <w:r>
        <w:rPr>
          <w:rFonts w:hint="eastAsia" w:ascii="仿宋" w:hAnsi="仿宋" w:eastAsia="仿宋"/>
          <w:sz w:val="32"/>
          <w:szCs w:val="32"/>
        </w:rPr>
        <w:t>可持续影响、社会公众或服务对象满意度进行绩效评价。根据部门整体支出绩效评价表，效果实现指标总得分30分，其中经济效益5分、社会效益</w:t>
      </w:r>
      <w:r>
        <w:rPr>
          <w:rFonts w:ascii="仿宋" w:hAnsi="仿宋" w:eastAsia="仿宋"/>
          <w:sz w:val="32"/>
          <w:szCs w:val="32"/>
        </w:rPr>
        <w:t>9</w:t>
      </w:r>
      <w:r>
        <w:rPr>
          <w:rFonts w:hint="eastAsia" w:ascii="仿宋" w:hAnsi="仿宋" w:eastAsia="仿宋"/>
          <w:sz w:val="32"/>
          <w:szCs w:val="32"/>
        </w:rPr>
        <w:t>分、可持续影响</w:t>
      </w:r>
      <w:r>
        <w:rPr>
          <w:rFonts w:ascii="仿宋" w:hAnsi="仿宋" w:eastAsia="仿宋"/>
          <w:sz w:val="32"/>
          <w:szCs w:val="32"/>
        </w:rPr>
        <w:t>6</w:t>
      </w:r>
      <w:r>
        <w:rPr>
          <w:rFonts w:hint="eastAsia" w:ascii="仿宋" w:hAnsi="仿宋" w:eastAsia="仿宋"/>
          <w:sz w:val="32"/>
          <w:szCs w:val="32"/>
        </w:rPr>
        <w:t>分、服务对象满意度</w:t>
      </w:r>
      <w:r>
        <w:rPr>
          <w:rFonts w:ascii="仿宋" w:hAnsi="仿宋" w:eastAsia="仿宋"/>
          <w:sz w:val="32"/>
          <w:szCs w:val="32"/>
        </w:rPr>
        <w:t>4</w:t>
      </w:r>
      <w:r>
        <w:rPr>
          <w:rFonts w:hint="eastAsia" w:ascii="仿宋" w:hAnsi="仿宋" w:eastAsia="仿宋"/>
          <w:sz w:val="32"/>
          <w:szCs w:val="32"/>
        </w:rPr>
        <w:t>分。此项综合评价得分为</w:t>
      </w:r>
      <w:r>
        <w:rPr>
          <w:rFonts w:ascii="仿宋" w:hAnsi="仿宋" w:eastAsia="仿宋"/>
          <w:sz w:val="32"/>
          <w:szCs w:val="32"/>
        </w:rPr>
        <w:t>24</w:t>
      </w:r>
      <w:r>
        <w:rPr>
          <w:rFonts w:hint="eastAsia" w:ascii="仿宋" w:hAnsi="仿宋" w:eastAsia="仿宋"/>
          <w:sz w:val="32"/>
          <w:szCs w:val="32"/>
        </w:rPr>
        <w:t>分。</w:t>
      </w:r>
    </w:p>
    <w:p>
      <w:pPr>
        <w:wordWrap/>
        <w:spacing w:after="0" w:line="560" w:lineRule="exact"/>
        <w:ind w:left="0" w:leftChars="0" w:right="0" w:firstLine="640" w:firstLineChars="200"/>
        <w:jc w:val="both"/>
        <w:textAlignment w:val="auto"/>
        <w:rPr>
          <w:rFonts w:ascii="仿宋" w:hAnsi="仿宋" w:eastAsia="仿宋"/>
          <w:b/>
          <w:sz w:val="32"/>
          <w:szCs w:val="32"/>
        </w:rPr>
      </w:pPr>
      <w:r>
        <w:rPr>
          <w:rFonts w:hint="eastAsia" w:ascii="仿宋" w:hAnsi="仿宋" w:eastAsia="仿宋"/>
          <w:b/>
          <w:sz w:val="32"/>
          <w:szCs w:val="32"/>
        </w:rPr>
        <w:t>1.经济效益</w:t>
      </w:r>
    </w:p>
    <w:p>
      <w:pPr>
        <w:wordWrap/>
        <w:spacing w:after="0" w:line="560" w:lineRule="exact"/>
        <w:ind w:left="0" w:leftChars="0" w:right="0" w:firstLine="640" w:firstLineChars="200"/>
        <w:jc w:val="both"/>
        <w:textAlignment w:val="auto"/>
        <w:rPr>
          <w:rFonts w:ascii="仿宋" w:eastAsia="仿宋" w:cs="仿宋"/>
          <w:kern w:val="0"/>
          <w:sz w:val="32"/>
          <w:szCs w:val="32"/>
        </w:rPr>
      </w:pPr>
      <w:r>
        <w:rPr>
          <w:rFonts w:ascii="仿宋" w:eastAsia="仿宋" w:cs="仿宋"/>
          <w:kern w:val="0"/>
          <w:sz w:val="32"/>
          <w:szCs w:val="32"/>
        </w:rPr>
        <w:t>抓好四个重点工作，扎实服务乡村振兴</w:t>
      </w:r>
      <w:r>
        <w:rPr>
          <w:rFonts w:hint="eastAsia" w:ascii="仿宋" w:eastAsia="仿宋" w:cs="仿宋"/>
          <w:kern w:val="0"/>
          <w:sz w:val="32"/>
          <w:szCs w:val="32"/>
        </w:rPr>
        <w:t>。建设智慧果园，构建水肥、土壤等与产量品质相关模型，为水肥数字标准化管理建立基础，引进新品种并发展林下经济。就门头沟京白梨栽培系统核心区的保护与可持续发展现状进行了评估，讨论了依托北京市文化中心和国际交往中心建设以及门头沟便利的区位优势，建立农遗良品展销中心的可能性，并形成建议上报农业农村部。牵头北京联合大学旅游学院与门头沟区军庄镇东山村共建“北京科技小院”。打造小院特色农产品，为当地引进中国农业大学自研的多个品种番茄、辣椒等各种优质品种农作物；在平谷区大华山镇挂甲峪村建立渔菜共作示范基地，引入水体养分转化技术，构建天然自调节生态系统，达到水产养殖、蔬菜种植、水体微生物养分需求的动态平衡，实现系统低成本，并将养殖模式辐射到密云、亦庄和承德等地。组织中国农业大学专家实地考察平谷食用菊花、吊秧西瓜种植建设情况，并开展品种选育、植保用药等相关指导。</w:t>
      </w:r>
    </w:p>
    <w:p>
      <w:pPr>
        <w:wordWrap/>
        <w:spacing w:after="0" w:line="560" w:lineRule="exact"/>
        <w:ind w:left="0" w:leftChars="0" w:right="0" w:firstLine="640" w:firstLineChars="200"/>
        <w:jc w:val="both"/>
        <w:textAlignment w:val="auto"/>
        <w:rPr>
          <w:rFonts w:ascii="仿宋" w:hAnsi="仿宋" w:eastAsia="仿宋"/>
          <w:b/>
          <w:sz w:val="32"/>
          <w:szCs w:val="32"/>
        </w:rPr>
      </w:pPr>
      <w:r>
        <w:rPr>
          <w:rFonts w:hint="eastAsia" w:ascii="仿宋" w:hAnsi="仿宋" w:eastAsia="仿宋"/>
          <w:b/>
          <w:sz w:val="32"/>
          <w:szCs w:val="32"/>
        </w:rPr>
        <w:t>2.社会效益</w:t>
      </w:r>
    </w:p>
    <w:p>
      <w:pPr>
        <w:wordWrap/>
        <w:spacing w:after="0" w:line="560" w:lineRule="exact"/>
        <w:ind w:left="0" w:leftChars="0" w:right="0" w:firstLine="640" w:firstLineChars="200"/>
        <w:jc w:val="both"/>
        <w:textAlignment w:val="auto"/>
        <w:rPr>
          <w:rFonts w:ascii="仿宋" w:eastAsia="仿宋" w:cs="仿宋"/>
          <w:kern w:val="0"/>
          <w:sz w:val="32"/>
          <w:szCs w:val="32"/>
        </w:rPr>
      </w:pPr>
      <w:r>
        <w:rPr>
          <w:rFonts w:hint="eastAsia" w:ascii="仿宋" w:eastAsia="仿宋" w:cs="仿宋"/>
          <w:kern w:val="0"/>
          <w:sz w:val="32"/>
          <w:szCs w:val="32"/>
        </w:rPr>
        <w:t>结合门头沟区灾后重建及文旅产业发展，成功推动“马致远雕塑”项目在</w:t>
      </w:r>
      <w:r>
        <w:rPr>
          <w:rFonts w:ascii="仿宋" w:eastAsia="仿宋" w:cs="仿宋"/>
          <w:kern w:val="0"/>
          <w:sz w:val="32"/>
          <w:szCs w:val="32"/>
        </w:rPr>
        <w:t>滨河世纪公园</w:t>
      </w:r>
      <w:r>
        <w:rPr>
          <w:rFonts w:hint="eastAsia" w:ascii="仿宋" w:eastAsia="仿宋" w:cs="仿宋"/>
          <w:kern w:val="0"/>
          <w:sz w:val="32"/>
          <w:szCs w:val="32"/>
        </w:rPr>
        <w:t>落地，</w:t>
      </w:r>
      <w:r>
        <w:rPr>
          <w:rFonts w:ascii="仿宋" w:eastAsia="仿宋" w:cs="仿宋"/>
          <w:kern w:val="0"/>
          <w:sz w:val="32"/>
          <w:szCs w:val="32"/>
        </w:rPr>
        <w:t>通过树立当地历史名人雕塑、书画展等形式，</w:t>
      </w:r>
      <w:r>
        <w:rPr>
          <w:rFonts w:hint="eastAsia" w:ascii="仿宋" w:eastAsia="仿宋" w:cs="仿宋"/>
          <w:kern w:val="0"/>
          <w:sz w:val="32"/>
          <w:szCs w:val="32"/>
        </w:rPr>
        <w:t>发挥</w:t>
      </w:r>
      <w:r>
        <w:rPr>
          <w:rFonts w:ascii="仿宋" w:eastAsia="仿宋" w:cs="仿宋"/>
          <w:kern w:val="0"/>
          <w:sz w:val="32"/>
          <w:szCs w:val="32"/>
        </w:rPr>
        <w:t>弘扬优秀传统文化的示范引领作用</w:t>
      </w:r>
      <w:r>
        <w:rPr>
          <w:rFonts w:hint="eastAsia" w:ascii="仿宋" w:eastAsia="仿宋" w:cs="仿宋"/>
          <w:kern w:val="0"/>
          <w:sz w:val="32"/>
          <w:szCs w:val="32"/>
        </w:rPr>
        <w:t>，并带动文旅产业发展。对5年来灵山生态涵养和修复的整体效果进行评估，为灵山科学、适度、有序利用提供有力支撑。每月安排医生到妙峰山卫生院出诊带教，培育乡村小名医；为妙峰山镇儿童进行先天性心脏病筛查。围绕百花山生物多样性研学，制定“恐龙时代的古火山口”地址研学路线，重点建设了百花山社天地生研学基地，举办了多期研学活动。举办2期百花山文体旅融合发展高端对话暨百花山冬季音乐嘉年华活动。组织北京石墨烯研究院专业团队，为门头沟琉璃龙泉镇琉璃渠村文化园、第4届中国短视频大会解决采暖难题。创办科技小院“兴农书屋”。组织中医科学院、望京医院医疗专家到社区开展义诊咨询，筹办名医工作室。组织北京大学第六医院心理专家赴平谷区儿童福利院，为福利院未成年人开展多次心理辅导。</w:t>
      </w:r>
    </w:p>
    <w:p>
      <w:pPr>
        <w:wordWrap/>
        <w:spacing w:after="0" w:line="560" w:lineRule="exact"/>
        <w:ind w:left="0" w:leftChars="0" w:right="0" w:firstLine="640" w:firstLineChars="200"/>
        <w:jc w:val="both"/>
        <w:textAlignment w:val="auto"/>
        <w:rPr>
          <w:rFonts w:ascii="仿宋" w:hAnsi="仿宋" w:eastAsia="仿宋"/>
          <w:b/>
          <w:sz w:val="32"/>
          <w:szCs w:val="32"/>
        </w:rPr>
      </w:pPr>
      <w:r>
        <w:rPr>
          <w:rFonts w:hint="eastAsia" w:ascii="仿宋" w:hAnsi="仿宋" w:eastAsia="仿宋"/>
          <w:b/>
          <w:sz w:val="32"/>
          <w:szCs w:val="32"/>
        </w:rPr>
        <w:t>3.环境效益</w:t>
      </w:r>
    </w:p>
    <w:p>
      <w:pPr>
        <w:wordWrap/>
        <w:spacing w:after="0" w:line="560" w:lineRule="exact"/>
        <w:ind w:left="0" w:leftChars="0" w:right="0" w:firstLine="640" w:firstLineChars="200"/>
        <w:jc w:val="both"/>
        <w:textAlignment w:val="auto"/>
        <w:rPr>
          <w:rFonts w:hint="eastAsia" w:ascii="仿宋" w:eastAsia="仿宋" w:cs="仿宋_GB2312"/>
          <w:sz w:val="32"/>
          <w:szCs w:val="32"/>
        </w:rPr>
      </w:pPr>
      <w:r>
        <w:rPr>
          <w:rFonts w:hint="eastAsia" w:ascii="仿宋" w:eastAsia="仿宋" w:cs="仿宋_GB2312"/>
          <w:sz w:val="32"/>
          <w:szCs w:val="32"/>
        </w:rPr>
        <w:t>未涉及。</w:t>
      </w:r>
    </w:p>
    <w:p>
      <w:pPr>
        <w:wordWrap/>
        <w:spacing w:after="0" w:line="560" w:lineRule="exact"/>
        <w:ind w:left="0" w:leftChars="0" w:right="0" w:firstLine="640" w:firstLineChars="200"/>
        <w:jc w:val="both"/>
        <w:textAlignment w:val="auto"/>
        <w:rPr>
          <w:rFonts w:ascii="仿宋" w:hAnsi="仿宋" w:eastAsia="仿宋"/>
          <w:b/>
          <w:sz w:val="32"/>
          <w:szCs w:val="32"/>
        </w:rPr>
      </w:pPr>
      <w:r>
        <w:rPr>
          <w:rFonts w:hint="eastAsia" w:ascii="仿宋" w:hAnsi="仿宋" w:eastAsia="仿宋"/>
          <w:b/>
          <w:sz w:val="32"/>
          <w:szCs w:val="32"/>
        </w:rPr>
        <w:t>4.可持续</w:t>
      </w:r>
      <w:r>
        <w:rPr>
          <w:rFonts w:ascii="仿宋" w:hAnsi="仿宋" w:eastAsia="仿宋"/>
          <w:b/>
          <w:sz w:val="32"/>
          <w:szCs w:val="32"/>
        </w:rPr>
        <w:t>性影响</w:t>
      </w:r>
    </w:p>
    <w:p>
      <w:pPr>
        <w:wordWrap/>
        <w:spacing w:after="0" w:line="560" w:lineRule="exact"/>
        <w:ind w:left="0" w:leftChars="0" w:right="0" w:firstLine="640" w:firstLineChars="200"/>
        <w:jc w:val="both"/>
        <w:textAlignment w:val="auto"/>
        <w:rPr>
          <w:rFonts w:ascii="仿宋" w:eastAsia="仿宋" w:cs="仿宋"/>
          <w:kern w:val="0"/>
          <w:sz w:val="32"/>
          <w:szCs w:val="32"/>
        </w:rPr>
      </w:pPr>
      <w:r>
        <w:rPr>
          <w:rFonts w:hint="eastAsia" w:ascii="仿宋" w:hAnsi="仿宋" w:eastAsia="仿宋" w:cs="仿宋"/>
          <w:bCs/>
          <w:sz w:val="32"/>
          <w:szCs w:val="32"/>
        </w:rPr>
        <w:t>通过深入开展主题教育活动，创新党史宣传、党史研究形式、举办多样化的文化实践活动，不断加强思想政治引领，推动建立各类项目长效机制，持续不断提升和扩大九三学社的专业性和影响力，并结合自身专业领域研究，为首都经济社会发展、产业发展提供创新性强、建设性高的专业意见，不但开拓创新、打造更加全面、专业的交流合作平台，推动履职尽责提质增效，围绕经济社会高质量发展、产业经济优质转型、人与自然和谐共生等主题，持续不断助力提升首都城市治理水平。</w:t>
      </w:r>
    </w:p>
    <w:p>
      <w:pPr>
        <w:wordWrap/>
        <w:spacing w:after="0" w:line="560" w:lineRule="exact"/>
        <w:ind w:left="0" w:leftChars="0" w:right="0" w:firstLine="640" w:firstLineChars="200"/>
        <w:jc w:val="both"/>
        <w:textAlignment w:val="auto"/>
        <w:rPr>
          <w:rFonts w:ascii="仿宋" w:hAnsi="仿宋" w:eastAsia="仿宋"/>
          <w:b/>
          <w:sz w:val="32"/>
          <w:szCs w:val="32"/>
        </w:rPr>
      </w:pPr>
      <w:r>
        <w:rPr>
          <w:rFonts w:hint="eastAsia" w:ascii="仿宋" w:hAnsi="仿宋" w:eastAsia="仿宋"/>
          <w:b/>
          <w:sz w:val="32"/>
          <w:szCs w:val="32"/>
        </w:rPr>
        <w:t>5.服务对象</w:t>
      </w:r>
      <w:r>
        <w:rPr>
          <w:rFonts w:ascii="仿宋" w:hAnsi="仿宋" w:eastAsia="仿宋"/>
          <w:b/>
          <w:sz w:val="32"/>
          <w:szCs w:val="32"/>
        </w:rPr>
        <w:t>满意度</w:t>
      </w:r>
    </w:p>
    <w:p>
      <w:pPr>
        <w:wordWrap/>
        <w:spacing w:after="0" w:line="560" w:lineRule="exact"/>
        <w:ind w:left="0" w:leftChars="0" w:right="0" w:firstLine="640" w:firstLineChars="200"/>
        <w:jc w:val="both"/>
        <w:textAlignment w:val="auto"/>
        <w:rPr>
          <w:rFonts w:ascii="仿宋" w:hAnsi="仿宋" w:eastAsia="仿宋" w:cs="仿宋"/>
          <w:bCs/>
          <w:sz w:val="32"/>
          <w:szCs w:val="32"/>
        </w:rPr>
      </w:pPr>
      <w:r>
        <w:rPr>
          <w:rFonts w:hint="eastAsia" w:ascii="仿宋" w:hAnsi="仿宋" w:eastAsia="仿宋" w:cs="仿宋"/>
          <w:bCs/>
          <w:sz w:val="32"/>
          <w:szCs w:val="32"/>
        </w:rPr>
        <w:t>202</w:t>
      </w:r>
      <w:r>
        <w:rPr>
          <w:rFonts w:ascii="仿宋" w:hAnsi="仿宋" w:eastAsia="仿宋" w:cs="仿宋"/>
          <w:bCs/>
          <w:sz w:val="32"/>
          <w:szCs w:val="32"/>
        </w:rPr>
        <w:t>4</w:t>
      </w:r>
      <w:r>
        <w:rPr>
          <w:rFonts w:hint="eastAsia" w:ascii="仿宋" w:hAnsi="仿宋" w:eastAsia="仿宋" w:cs="仿宋"/>
          <w:bCs/>
          <w:sz w:val="32"/>
          <w:szCs w:val="32"/>
        </w:rPr>
        <w:t>年在九三学社中央和中共北京市委的领导下，在中共市委统战部的工作指导下，围绕工作重点，圆满完成各项重大活动，有效地发挥界别优势，积极建言资政，较好地完成了全年部门整体绩效目标，达到较高的工作满意度。但缺乏满意度调查规范化管理过程材料，如调查问卷、实际回收数据、数据分析具体结果等。</w:t>
      </w:r>
    </w:p>
    <w:p>
      <w:pPr>
        <w:wordWrap/>
        <w:spacing w:after="0" w:line="560" w:lineRule="exact"/>
        <w:ind w:left="0" w:leftChars="0" w:right="0" w:firstLine="640" w:firstLineChars="200"/>
        <w:jc w:val="both"/>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wordWrap/>
        <w:spacing w:after="0" w:line="560" w:lineRule="exact"/>
        <w:ind w:left="0" w:leftChars="0" w:right="0" w:firstLine="640" w:firstLineChars="200"/>
        <w:jc w:val="both"/>
        <w:textAlignment w:val="auto"/>
        <w:rPr>
          <w:rFonts w:ascii="楷体_GB2312" w:eastAsia="楷体_GB2312"/>
          <w:sz w:val="32"/>
          <w:szCs w:val="32"/>
        </w:rPr>
      </w:pPr>
      <w:r>
        <w:rPr>
          <w:rFonts w:hint="eastAsia" w:ascii="楷体_GB2312" w:eastAsia="楷体_GB2312"/>
          <w:sz w:val="32"/>
          <w:szCs w:val="32"/>
        </w:rPr>
        <w:t>（一）财务管理</w:t>
      </w:r>
    </w:p>
    <w:p>
      <w:pPr>
        <w:wordWrap/>
        <w:spacing w:after="0" w:line="560" w:lineRule="exact"/>
        <w:ind w:left="0" w:leftChars="0" w:right="0" w:firstLine="640" w:firstLineChars="200"/>
        <w:jc w:val="both"/>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1.财务</w:t>
      </w:r>
      <w:r>
        <w:rPr>
          <w:rFonts w:ascii="仿宋" w:hAnsi="仿宋" w:eastAsia="仿宋" w:cs="宋体"/>
          <w:color w:val="000000"/>
          <w:kern w:val="0"/>
          <w:sz w:val="32"/>
          <w:szCs w:val="32"/>
        </w:rPr>
        <w:t>管理制度健全性</w:t>
      </w:r>
    </w:p>
    <w:p>
      <w:pPr>
        <w:wordWrap/>
        <w:spacing w:after="0" w:line="560" w:lineRule="exact"/>
        <w:ind w:left="0" w:leftChars="0" w:right="0" w:firstLine="640" w:firstLineChars="200"/>
        <w:jc w:val="both"/>
        <w:textAlignment w:val="auto"/>
        <w:rPr>
          <w:rFonts w:ascii="仿宋" w:hAnsi="仿宋" w:eastAsia="仿宋"/>
          <w:sz w:val="32"/>
          <w:szCs w:val="32"/>
        </w:rPr>
      </w:pPr>
      <w:r>
        <w:rPr>
          <w:rFonts w:hint="eastAsia" w:ascii="仿宋" w:hAnsi="仿宋" w:eastAsia="仿宋" w:cs="宋体"/>
          <w:color w:val="000000"/>
          <w:kern w:val="0"/>
          <w:sz w:val="32"/>
          <w:szCs w:val="32"/>
        </w:rPr>
        <w:t>为提高财政资金使用的合规性和安全性，进一步规范财务管理，提高</w:t>
      </w:r>
      <w:r>
        <w:rPr>
          <w:rFonts w:hint="eastAsia" w:ascii="仿宋" w:hAnsi="仿宋" w:eastAsia="仿宋"/>
          <w:sz w:val="32"/>
          <w:szCs w:val="32"/>
        </w:rPr>
        <w:t>财务管理能力和水平，九三学社北京市委建立完善了财务管理制度和内部控制体系，从资金审批、预算管理、会计核算、资产管理、政府采购等方面对财务工作进行了规范监督，保障日常工作有章可循、稳步推进。</w:t>
      </w:r>
    </w:p>
    <w:p>
      <w:pPr>
        <w:wordWrap/>
        <w:spacing w:after="0" w:line="560" w:lineRule="exact"/>
        <w:ind w:left="0" w:leftChars="0" w:right="0" w:firstLine="640" w:firstLineChars="200"/>
        <w:jc w:val="both"/>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2.资金使用合规性和安全性</w:t>
      </w:r>
    </w:p>
    <w:p>
      <w:pPr>
        <w:wordWrap/>
        <w:spacing w:after="0" w:line="560" w:lineRule="exact"/>
        <w:ind w:left="0" w:leftChars="0" w:right="0" w:firstLine="640" w:firstLineChars="200"/>
        <w:jc w:val="both"/>
        <w:textAlignment w:val="auto"/>
        <w:rPr>
          <w:rFonts w:ascii="仿宋" w:hAnsi="仿宋" w:eastAsia="仿宋"/>
          <w:sz w:val="32"/>
          <w:szCs w:val="32"/>
        </w:rPr>
      </w:pPr>
      <w:r>
        <w:rPr>
          <w:rFonts w:hint="eastAsia" w:ascii="仿宋" w:hAnsi="仿宋" w:eastAsia="仿宋" w:cs="宋体"/>
          <w:color w:val="000000"/>
          <w:kern w:val="0"/>
          <w:sz w:val="32"/>
          <w:szCs w:val="32"/>
        </w:rPr>
        <w:t>资金使用严格遵照国家法律法规和有关管理制度执行，资金拨付审批程序完整规范，资金使用安全合规。九三学社北京市委资金收付完全按照内控</w:t>
      </w:r>
      <w:r>
        <w:rPr>
          <w:rFonts w:hint="eastAsia" w:ascii="仿宋" w:hAnsi="仿宋" w:eastAsia="仿宋"/>
          <w:sz w:val="32"/>
          <w:szCs w:val="32"/>
        </w:rPr>
        <w:t>制度有关审评流程的规定，不存在截留、挤占、挪用情况，涉及政府采购的支出完全按照政府采购程序和流程，公务卡结算符合相关制度和规定。资金支出受财务部门的全程监督,符合预算批复的用途，与年度重点工作方向相一致，资金主要根据合同约定支出，对于2</w:t>
      </w:r>
      <w:r>
        <w:rPr>
          <w:rFonts w:ascii="仿宋" w:hAnsi="仿宋" w:eastAsia="仿宋"/>
          <w:sz w:val="32"/>
          <w:szCs w:val="32"/>
        </w:rPr>
        <w:t>02</w:t>
      </w:r>
      <w:r>
        <w:rPr>
          <w:rFonts w:hint="eastAsia" w:ascii="仿宋" w:hAnsi="仿宋" w:eastAsia="仿宋"/>
          <w:sz w:val="32"/>
          <w:szCs w:val="32"/>
          <w:lang w:val="en-US" w:eastAsia="zh-CN"/>
        </w:rPr>
        <w:t>4</w:t>
      </w:r>
      <w:r>
        <w:rPr>
          <w:rFonts w:hint="eastAsia" w:ascii="仿宋" w:hAnsi="仿宋" w:eastAsia="仿宋"/>
          <w:sz w:val="32"/>
          <w:szCs w:val="32"/>
        </w:rPr>
        <w:t>年当年支出计划有变的内容，及时调整预算并按有关规定将相应资金交回财政，不存在截留、挤占、挪用情况。</w:t>
      </w:r>
    </w:p>
    <w:p>
      <w:pPr>
        <w:wordWrap/>
        <w:spacing w:after="0" w:line="560" w:lineRule="exact"/>
        <w:ind w:left="0" w:leftChars="0" w:right="0" w:firstLine="640" w:firstLineChars="200"/>
        <w:jc w:val="both"/>
        <w:textAlignment w:val="auto"/>
        <w:rPr>
          <w:rFonts w:ascii="仿宋" w:hAnsi="仿宋" w:eastAsia="仿宋"/>
          <w:sz w:val="32"/>
          <w:szCs w:val="32"/>
        </w:rPr>
      </w:pPr>
      <w:r>
        <w:rPr>
          <w:rFonts w:hint="eastAsia" w:ascii="仿宋" w:hAnsi="仿宋" w:eastAsia="仿宋"/>
          <w:sz w:val="32"/>
          <w:szCs w:val="32"/>
        </w:rPr>
        <w:t>3.会计基础信息完善性</w:t>
      </w:r>
    </w:p>
    <w:p>
      <w:pPr>
        <w:wordWrap/>
        <w:spacing w:after="0" w:line="560" w:lineRule="exact"/>
        <w:ind w:left="0" w:leftChars="0" w:right="0" w:firstLine="640" w:firstLineChars="200"/>
        <w:jc w:val="both"/>
        <w:textAlignment w:val="auto"/>
        <w:rPr>
          <w:rFonts w:ascii="仿宋" w:hAnsi="仿宋" w:eastAsia="仿宋"/>
          <w:sz w:val="32"/>
          <w:szCs w:val="32"/>
        </w:rPr>
      </w:pPr>
      <w:r>
        <w:rPr>
          <w:rFonts w:hint="eastAsia" w:ascii="仿宋" w:hAnsi="仿宋" w:eastAsia="仿宋"/>
          <w:sz w:val="32"/>
          <w:szCs w:val="32"/>
        </w:rPr>
        <w:t>在费用报销及合同付款过程中，严格审批原始凭证，对内容不全、手续不完备的原始凭证以及未审批完成的支出不予办理支付。及时与银行和一体化国库支付系统对账，保证会计信息资料真实、正确、可靠。会计凭证、会计账簿、会计报表及其相关的电算化数据规范完整、真实详尽，原始凭证及记账凭证内容要素、签名签章齐全。会计账簿记录与原始凭证、记账凭证的时间、凭证字号、内容、金额一致，记账方向相符；总账与明细账相符，总账与日记账相符；会计账簿记录与财产等实有数额相符。</w:t>
      </w:r>
    </w:p>
    <w:p>
      <w:pPr>
        <w:wordWrap/>
        <w:spacing w:after="0" w:line="560" w:lineRule="exact"/>
        <w:ind w:left="0" w:leftChars="0" w:right="0" w:firstLine="640" w:firstLineChars="200"/>
        <w:jc w:val="both"/>
        <w:textAlignment w:val="auto"/>
        <w:rPr>
          <w:rFonts w:ascii="楷体_GB2312" w:eastAsia="楷体_GB2312"/>
          <w:sz w:val="32"/>
          <w:szCs w:val="32"/>
        </w:rPr>
      </w:pPr>
      <w:r>
        <w:rPr>
          <w:rFonts w:hint="eastAsia" w:ascii="楷体_GB2312" w:eastAsia="楷体_GB2312"/>
          <w:sz w:val="32"/>
          <w:szCs w:val="32"/>
        </w:rPr>
        <w:t>（二）资产管理</w:t>
      </w:r>
    </w:p>
    <w:p>
      <w:pPr>
        <w:wordWrap/>
        <w:spacing w:after="0" w:line="560" w:lineRule="exact"/>
        <w:ind w:left="0" w:leftChars="0" w:right="0" w:firstLine="640" w:firstLineChars="200"/>
        <w:jc w:val="both"/>
        <w:textAlignment w:val="auto"/>
        <w:rPr>
          <w:rFonts w:ascii="仿宋" w:hAnsi="仿宋" w:eastAsia="仿宋"/>
          <w:sz w:val="32"/>
          <w:szCs w:val="32"/>
        </w:rPr>
      </w:pPr>
      <w:r>
        <w:rPr>
          <w:rFonts w:hint="eastAsia" w:ascii="仿宋" w:hAnsi="仿宋" w:eastAsia="仿宋"/>
          <w:sz w:val="32"/>
          <w:szCs w:val="32"/>
        </w:rPr>
        <w:t>九三学社北京市委制定了《九三学社北京市委机关固定资产管理办法》，并按照“合理配置、分工负责、归口管理、依规使用、毁损问责”的原则，管理调配本部门资产。日常资产管理类中，做到及时进行资产卡片信息更新，实现固定资产管理信息化,资产的审批、领用、入库基本实现内控管理信息化。每年进行资产盘点，及时全面真实地掌握固定资产的数量、价值和配置使用情况。固定资产的配置未超《北京市行政事业单位日常办公设备配置标准（试行）》中的上限数量。</w:t>
      </w:r>
    </w:p>
    <w:p>
      <w:pPr>
        <w:wordWrap/>
        <w:spacing w:after="0" w:line="560" w:lineRule="exact"/>
        <w:ind w:left="0" w:leftChars="0" w:right="0" w:firstLine="640" w:firstLineChars="200"/>
        <w:jc w:val="both"/>
        <w:textAlignment w:val="auto"/>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wordWrap/>
        <w:spacing w:after="0" w:line="560" w:lineRule="exact"/>
        <w:ind w:left="0" w:leftChars="0" w:right="0" w:firstLine="640" w:firstLineChars="200"/>
        <w:jc w:val="both"/>
        <w:textAlignment w:val="auto"/>
        <w:rPr>
          <w:rFonts w:ascii="仿宋" w:hAnsi="仿宋" w:eastAsia="仿宋"/>
          <w:color w:val="404040"/>
          <w:sz w:val="32"/>
          <w:szCs w:val="32"/>
          <w:shd w:val="clear" w:color="auto" w:fill="FFFFFF"/>
        </w:rPr>
      </w:pPr>
      <w:r>
        <w:rPr>
          <w:rFonts w:hint="eastAsia" w:ascii="仿宋" w:hAnsi="仿宋" w:eastAsia="仿宋"/>
          <w:color w:val="404040"/>
          <w:sz w:val="32"/>
          <w:szCs w:val="32"/>
          <w:shd w:val="clear" w:color="auto" w:fill="FFFFFF"/>
        </w:rPr>
        <w:t>根据北京市财政局的要求，202</w:t>
      </w:r>
      <w:r>
        <w:rPr>
          <w:rFonts w:ascii="仿宋" w:hAnsi="仿宋" w:eastAsia="仿宋"/>
          <w:color w:val="404040"/>
          <w:sz w:val="32"/>
          <w:szCs w:val="32"/>
          <w:shd w:val="clear" w:color="auto" w:fill="FFFFFF"/>
        </w:rPr>
        <w:t>5</w:t>
      </w:r>
      <w:r>
        <w:rPr>
          <w:rFonts w:hint="eastAsia" w:ascii="仿宋" w:hAnsi="仿宋" w:eastAsia="仿宋"/>
          <w:color w:val="404040"/>
          <w:sz w:val="32"/>
          <w:szCs w:val="32"/>
          <w:shd w:val="clear" w:color="auto" w:fill="FFFFFF"/>
        </w:rPr>
        <w:t>年度对纳入202</w:t>
      </w:r>
      <w:r>
        <w:rPr>
          <w:rFonts w:ascii="仿宋" w:hAnsi="仿宋" w:eastAsia="仿宋"/>
          <w:color w:val="404040"/>
          <w:sz w:val="32"/>
          <w:szCs w:val="32"/>
          <w:shd w:val="clear" w:color="auto" w:fill="FFFFFF"/>
        </w:rPr>
        <w:t>4</w:t>
      </w:r>
      <w:r>
        <w:rPr>
          <w:rFonts w:hint="eastAsia" w:ascii="仿宋" w:hAnsi="仿宋" w:eastAsia="仿宋"/>
          <w:color w:val="404040"/>
          <w:sz w:val="32"/>
          <w:szCs w:val="32"/>
          <w:shd w:val="clear" w:color="auto" w:fill="FFFFFF"/>
        </w:rPr>
        <w:t>年部门预算管理的所有填报绩效目标的项目开展绩效自评工作。针对管理制度健全性、落实绩效主体责任、整改落实、资料、信息报送、预决算公开的及时性等进行绩效评价。九三学社北京市委依据财政部《预算绩效管理工作规划（20122015)》（财预〔2012〕396号）、财政部《项目支出绩效评价管理办法》、北京市财政局《北京市项目支出绩效评价管理办法》，明确了部门应根据北京市委市政府、九三学社中央的重大决策部署，结合本部门职能，全面设置整体绩效目标、政策及项目绩效目标，并依据绩效目标、支出标准合理确定预算需求；组织对纳入绩效管理的所有项目上半年执行情况实施绩效监控，对项目的绩效目标实现程度、项目预算资金拨款到位情况及预算执行情况，进行绩效监控，提高预算执行效力和项目资金使用效率。开展成本预算绩效分析，充分利用成本绩效分析形成的成果，强化支出标准对预算核定的约束作用。</w:t>
      </w:r>
    </w:p>
    <w:p>
      <w:pPr>
        <w:wordWrap/>
        <w:spacing w:after="0" w:line="560" w:lineRule="exact"/>
        <w:ind w:left="0" w:leftChars="0" w:right="0" w:firstLine="640" w:firstLineChars="200"/>
        <w:jc w:val="both"/>
        <w:textAlignment w:val="auto"/>
        <w:rPr>
          <w:rFonts w:ascii="楷体_GB2312" w:eastAsia="楷体_GB2312"/>
          <w:sz w:val="32"/>
          <w:szCs w:val="32"/>
        </w:rPr>
      </w:pPr>
      <w:r>
        <w:rPr>
          <w:rFonts w:hint="eastAsia" w:ascii="楷体_GB2312" w:eastAsia="楷体_GB2312"/>
          <w:sz w:val="32"/>
          <w:szCs w:val="32"/>
        </w:rPr>
        <w:t>（四）结转结余率</w:t>
      </w:r>
    </w:p>
    <w:p>
      <w:pPr>
        <w:wordWrap/>
        <w:spacing w:after="0" w:line="560" w:lineRule="exact"/>
        <w:ind w:left="0" w:leftChars="0" w:right="0" w:firstLine="640" w:firstLineChars="200"/>
        <w:jc w:val="both"/>
        <w:textAlignment w:val="auto"/>
        <w:rPr>
          <w:rFonts w:ascii="楷体_GB2312" w:eastAsia="仿宋"/>
          <w:sz w:val="32"/>
          <w:szCs w:val="32"/>
        </w:rPr>
      </w:pPr>
      <w:r>
        <w:rPr>
          <w:rFonts w:hint="eastAsia" w:ascii="仿宋" w:hAnsi="仿宋" w:eastAsia="仿宋"/>
          <w:sz w:val="32"/>
          <w:szCs w:val="32"/>
        </w:rPr>
        <w:t>九三学社北京市委202</w:t>
      </w:r>
      <w:r>
        <w:rPr>
          <w:rFonts w:ascii="仿宋" w:hAnsi="仿宋" w:eastAsia="仿宋"/>
          <w:sz w:val="32"/>
          <w:szCs w:val="32"/>
        </w:rPr>
        <w:t>4</w:t>
      </w:r>
      <w:r>
        <w:rPr>
          <w:rFonts w:hint="eastAsia" w:ascii="仿宋" w:hAnsi="仿宋" w:eastAsia="仿宋"/>
          <w:sz w:val="32"/>
          <w:szCs w:val="32"/>
        </w:rPr>
        <w:t>年年末结转结余资金总额为</w:t>
      </w:r>
      <w:r>
        <w:rPr>
          <w:rFonts w:ascii="仿宋" w:hAnsi="仿宋" w:eastAsia="仿宋"/>
          <w:sz w:val="32"/>
          <w:szCs w:val="32"/>
        </w:rPr>
        <w:t>67.67</w:t>
      </w:r>
      <w:r>
        <w:rPr>
          <w:rFonts w:hint="eastAsia" w:ascii="仿宋" w:hAnsi="仿宋" w:eastAsia="仿宋"/>
          <w:sz w:val="32"/>
          <w:szCs w:val="32"/>
        </w:rPr>
        <w:t>万元，预算数为</w:t>
      </w:r>
      <w:r>
        <w:rPr>
          <w:rFonts w:ascii="仿宋" w:hAnsi="仿宋" w:eastAsia="仿宋"/>
          <w:sz w:val="32"/>
          <w:szCs w:val="32"/>
        </w:rPr>
        <w:t>1640.60</w:t>
      </w:r>
      <w:r>
        <w:rPr>
          <w:rFonts w:hint="eastAsia" w:ascii="仿宋" w:hAnsi="仿宋" w:eastAsia="仿宋"/>
          <w:sz w:val="32"/>
          <w:szCs w:val="32"/>
        </w:rPr>
        <w:t>万元，资金结转结余率为</w:t>
      </w:r>
      <w:r>
        <w:rPr>
          <w:rFonts w:ascii="仿宋" w:hAnsi="仿宋" w:eastAsia="仿宋"/>
          <w:sz w:val="32"/>
          <w:szCs w:val="32"/>
        </w:rPr>
        <w:t>4.12</w:t>
      </w:r>
      <w:r>
        <w:rPr>
          <w:rFonts w:hint="eastAsia" w:ascii="仿宋" w:hAnsi="仿宋" w:eastAsia="仿宋"/>
          <w:sz w:val="32"/>
          <w:szCs w:val="32"/>
        </w:rPr>
        <w:t>%。</w:t>
      </w:r>
    </w:p>
    <w:p>
      <w:pPr>
        <w:wordWrap/>
        <w:spacing w:after="0" w:line="560" w:lineRule="exact"/>
        <w:ind w:left="0" w:leftChars="0" w:right="0" w:firstLine="640" w:firstLineChars="200"/>
        <w:jc w:val="both"/>
        <w:textAlignment w:val="auto"/>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wordWrap/>
        <w:spacing w:after="0" w:line="560" w:lineRule="exact"/>
        <w:ind w:left="0" w:leftChars="0" w:right="0" w:firstLine="640" w:firstLineChars="200"/>
        <w:jc w:val="both"/>
        <w:textAlignment w:val="auto"/>
        <w:rPr>
          <w:rFonts w:ascii="仿宋" w:hAnsi="仿宋" w:eastAsia="仿宋"/>
          <w:sz w:val="32"/>
          <w:szCs w:val="32"/>
        </w:rPr>
      </w:pPr>
      <w:r>
        <w:rPr>
          <w:rFonts w:hint="eastAsia" w:ascii="仿宋" w:hAnsi="仿宋" w:eastAsia="仿宋"/>
          <w:sz w:val="32"/>
          <w:szCs w:val="32"/>
        </w:rPr>
        <w:t>九三学社北京市委202</w:t>
      </w:r>
      <w:r>
        <w:rPr>
          <w:rFonts w:ascii="仿宋" w:hAnsi="仿宋" w:eastAsia="仿宋"/>
          <w:sz w:val="32"/>
          <w:szCs w:val="32"/>
        </w:rPr>
        <w:t>4</w:t>
      </w:r>
      <w:r>
        <w:rPr>
          <w:rFonts w:hint="eastAsia" w:ascii="仿宋" w:hAnsi="仿宋" w:eastAsia="仿宋"/>
          <w:sz w:val="32"/>
          <w:szCs w:val="32"/>
        </w:rPr>
        <w:t>年年初预算数为</w:t>
      </w:r>
      <w:r>
        <w:rPr>
          <w:rFonts w:ascii="仿宋" w:hAnsi="仿宋" w:eastAsia="仿宋"/>
          <w:sz w:val="32"/>
          <w:szCs w:val="32"/>
        </w:rPr>
        <w:t>1627.95</w:t>
      </w:r>
      <w:r>
        <w:rPr>
          <w:rFonts w:hint="eastAsia" w:ascii="仿宋" w:hAnsi="仿宋" w:eastAsia="仿宋"/>
          <w:sz w:val="32"/>
          <w:szCs w:val="32"/>
        </w:rPr>
        <w:t>万元，部门年度决算数为</w:t>
      </w:r>
      <w:r>
        <w:rPr>
          <w:rFonts w:ascii="仿宋" w:hAnsi="仿宋" w:eastAsia="仿宋"/>
          <w:sz w:val="32"/>
          <w:szCs w:val="32"/>
        </w:rPr>
        <w:t>1572.94</w:t>
      </w:r>
      <w:r>
        <w:rPr>
          <w:rFonts w:hint="eastAsia" w:ascii="仿宋" w:hAnsi="仿宋" w:eastAsia="仿宋"/>
          <w:sz w:val="32"/>
          <w:szCs w:val="32"/>
        </w:rPr>
        <w:t>万元，差额为</w:t>
      </w:r>
      <w:r>
        <w:rPr>
          <w:rFonts w:ascii="仿宋" w:hAnsi="仿宋" w:eastAsia="仿宋"/>
          <w:sz w:val="32"/>
          <w:szCs w:val="32"/>
        </w:rPr>
        <w:t>55.01</w:t>
      </w:r>
      <w:r>
        <w:rPr>
          <w:rFonts w:hint="eastAsia" w:ascii="仿宋" w:hAnsi="仿宋" w:eastAsia="仿宋"/>
          <w:sz w:val="32"/>
          <w:szCs w:val="32"/>
        </w:rPr>
        <w:t>万元，部门预决算差异率为3</w:t>
      </w:r>
      <w:r>
        <w:rPr>
          <w:rFonts w:ascii="仿宋" w:hAnsi="仿宋" w:eastAsia="仿宋"/>
          <w:sz w:val="32"/>
          <w:szCs w:val="32"/>
        </w:rPr>
        <w:t>.38</w:t>
      </w:r>
      <w:r>
        <w:rPr>
          <w:rFonts w:hint="eastAsia" w:ascii="仿宋" w:hAnsi="仿宋" w:eastAsia="仿宋"/>
          <w:sz w:val="32"/>
          <w:szCs w:val="32"/>
        </w:rPr>
        <w:t>%。</w:t>
      </w:r>
    </w:p>
    <w:p>
      <w:pPr>
        <w:wordWrap/>
        <w:spacing w:after="0" w:line="560" w:lineRule="exact"/>
        <w:ind w:left="0" w:leftChars="0" w:right="0" w:firstLine="640" w:firstLineChars="200"/>
        <w:jc w:val="both"/>
        <w:textAlignment w:val="auto"/>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wordWrap/>
        <w:spacing w:after="0" w:line="560" w:lineRule="exact"/>
        <w:ind w:left="0" w:leftChars="0" w:right="0" w:firstLine="640" w:firstLineChars="200"/>
        <w:jc w:val="both"/>
        <w:textAlignment w:val="auto"/>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wordWrap/>
        <w:spacing w:after="0" w:line="560" w:lineRule="exact"/>
        <w:ind w:left="0" w:leftChars="0" w:right="0" w:firstLine="640" w:firstLineChars="200"/>
        <w:jc w:val="both"/>
        <w:textAlignment w:val="auto"/>
        <w:rPr>
          <w:rFonts w:ascii="楷体_GB2312" w:eastAsia="楷体_GB2312"/>
          <w:sz w:val="32"/>
          <w:szCs w:val="32"/>
        </w:rPr>
      </w:pPr>
      <w:r>
        <w:rPr>
          <w:rFonts w:hint="eastAsia" w:ascii="仿宋" w:eastAsia="仿宋" w:cs="仿宋_GB2312"/>
          <w:sz w:val="32"/>
          <w:szCs w:val="32"/>
        </w:rPr>
        <w:t>202</w:t>
      </w:r>
      <w:r>
        <w:rPr>
          <w:rFonts w:ascii="仿宋" w:eastAsia="仿宋" w:cs="仿宋_GB2312"/>
          <w:sz w:val="32"/>
          <w:szCs w:val="32"/>
        </w:rPr>
        <w:t>4</w:t>
      </w:r>
      <w:r>
        <w:rPr>
          <w:rFonts w:hint="eastAsia" w:ascii="仿宋" w:eastAsia="仿宋" w:cs="仿宋_GB2312"/>
          <w:sz w:val="32"/>
          <w:szCs w:val="32"/>
        </w:rPr>
        <w:t>年整体绩效评价指标体系评分9</w:t>
      </w:r>
      <w:r>
        <w:rPr>
          <w:rFonts w:ascii="仿宋" w:eastAsia="仿宋" w:cs="仿宋_GB2312"/>
          <w:sz w:val="32"/>
          <w:szCs w:val="32"/>
        </w:rPr>
        <w:t>3.17</w:t>
      </w:r>
      <w:r>
        <w:rPr>
          <w:rFonts w:hint="eastAsia" w:ascii="仿宋" w:eastAsia="仿宋" w:cs="仿宋_GB2312"/>
          <w:sz w:val="32"/>
          <w:szCs w:val="32"/>
        </w:rPr>
        <w:t>分，其中当年预算执行情况19.</w:t>
      </w:r>
      <w:r>
        <w:rPr>
          <w:rFonts w:ascii="仿宋" w:eastAsia="仿宋" w:cs="仿宋_GB2312"/>
          <w:sz w:val="32"/>
          <w:szCs w:val="32"/>
        </w:rPr>
        <w:t>17</w:t>
      </w:r>
      <w:r>
        <w:rPr>
          <w:rFonts w:hint="eastAsia" w:ascii="仿宋" w:eastAsia="仿宋" w:cs="仿宋_GB2312"/>
          <w:sz w:val="32"/>
          <w:szCs w:val="32"/>
        </w:rPr>
        <w:t>分，整体绩效目标实现情况</w:t>
      </w:r>
      <w:r>
        <w:rPr>
          <w:rFonts w:ascii="仿宋" w:eastAsia="仿宋" w:cs="仿宋_GB2312"/>
          <w:sz w:val="32"/>
          <w:szCs w:val="32"/>
        </w:rPr>
        <w:t>54</w:t>
      </w:r>
      <w:r>
        <w:rPr>
          <w:rFonts w:hint="eastAsia" w:ascii="仿宋" w:eastAsia="仿宋" w:cs="仿宋_GB2312"/>
          <w:sz w:val="32"/>
          <w:szCs w:val="32"/>
        </w:rPr>
        <w:t>分，预算管理情况20分。综合评价等级为“优”。</w:t>
      </w:r>
    </w:p>
    <w:p>
      <w:pPr>
        <w:wordWrap/>
        <w:spacing w:after="0" w:line="560" w:lineRule="exact"/>
        <w:ind w:left="0" w:leftChars="0" w:right="0" w:firstLine="640" w:firstLineChars="200"/>
        <w:jc w:val="both"/>
        <w:textAlignment w:val="auto"/>
        <w:rPr>
          <w:rFonts w:ascii="楷体_GB2312" w:eastAsia="楷体_GB2312"/>
          <w:sz w:val="32"/>
          <w:szCs w:val="32"/>
        </w:rPr>
      </w:pPr>
      <w:r>
        <w:rPr>
          <w:rFonts w:hint="eastAsia" w:ascii="楷体_GB2312" w:eastAsia="楷体_GB2312"/>
          <w:sz w:val="32"/>
          <w:szCs w:val="32"/>
        </w:rPr>
        <w:t>（二）存在的问题及原因分析</w:t>
      </w:r>
    </w:p>
    <w:p>
      <w:pPr>
        <w:wordWrap/>
        <w:spacing w:after="0" w:line="560" w:lineRule="exact"/>
        <w:ind w:left="0" w:leftChars="0" w:right="0" w:firstLine="640" w:firstLineChars="200"/>
        <w:jc w:val="both"/>
        <w:textAlignment w:val="auto"/>
        <w:rPr>
          <w:rFonts w:ascii="仿宋" w:hAnsi="仿宋" w:eastAsia="仿宋"/>
          <w:sz w:val="32"/>
          <w:szCs w:val="32"/>
        </w:rPr>
      </w:pPr>
      <w:r>
        <w:rPr>
          <w:rFonts w:hint="eastAsia" w:ascii="仿宋" w:hAnsi="仿宋" w:eastAsia="仿宋"/>
          <w:sz w:val="32"/>
          <w:szCs w:val="32"/>
        </w:rPr>
        <w:t>1.项目绩效评价指标体系有待进一步优化。项目绩效评价项目涉及多个领域，各项目之间任务、功能、特点、周期均存在一定差异，其评价指标体系也需要对应进行合理化设置和调整，确保评价指标体系科学、合理、可落地。</w:t>
      </w:r>
    </w:p>
    <w:p>
      <w:pPr>
        <w:wordWrap/>
        <w:spacing w:after="0" w:line="560" w:lineRule="exact"/>
        <w:ind w:left="0" w:leftChars="0" w:right="0" w:firstLine="640" w:firstLineChars="200"/>
        <w:jc w:val="both"/>
        <w:textAlignment w:val="auto"/>
        <w:rPr>
          <w:rFonts w:ascii="仿宋" w:hAnsi="仿宋" w:eastAsia="仿宋"/>
          <w:sz w:val="32"/>
          <w:szCs w:val="32"/>
        </w:rPr>
      </w:pPr>
      <w:r>
        <w:rPr>
          <w:rFonts w:hint="eastAsia" w:ascii="仿宋" w:hAnsi="仿宋" w:eastAsia="仿宋"/>
          <w:sz w:val="32"/>
          <w:szCs w:val="32"/>
        </w:rPr>
        <w:t>2.服务对象满意度资料有待进一步完善。服务对象满意度评价是衡量各个项目绩效目标达成情况的一个关键指标，应予以重视。设置科学、合理的满意度评价指标体系，量化服务对象对项目运作过程中不同阶段、版块的评价，为后续持续提升项目质量提供数据支撑和改进方向。</w:t>
      </w:r>
    </w:p>
    <w:p>
      <w:pPr>
        <w:wordWrap/>
        <w:spacing w:after="0" w:line="560" w:lineRule="exact"/>
        <w:ind w:left="0" w:leftChars="0" w:right="0" w:firstLine="640" w:firstLineChars="200"/>
        <w:jc w:val="both"/>
        <w:textAlignment w:val="auto"/>
        <w:rPr>
          <w:rFonts w:ascii="仿宋" w:hAnsi="仿宋" w:eastAsia="仿宋"/>
          <w:sz w:val="32"/>
          <w:szCs w:val="32"/>
        </w:rPr>
      </w:pPr>
      <w:r>
        <w:rPr>
          <w:rFonts w:hint="eastAsia" w:ascii="仿宋" w:hAnsi="仿宋" w:eastAsia="仿宋"/>
          <w:sz w:val="32"/>
          <w:szCs w:val="32"/>
        </w:rPr>
        <w:t>3.项目绩效评价管理有待进一步加强。项目绩效评价管理包括计划管理、过程管理、考核管理几大关键管理阶段。目前各项目绩效评价管理仍有待规范，加强前期绩效计划目标的制定与评估，严格规范要求落实绩效目标管理，并加强项目绩效考核结果运用，提高项目绩效评价工作质效。</w:t>
      </w:r>
    </w:p>
    <w:p>
      <w:pPr>
        <w:wordWrap/>
        <w:spacing w:after="0" w:line="560" w:lineRule="exact"/>
        <w:ind w:left="0" w:leftChars="0" w:right="0" w:firstLine="640" w:firstLineChars="200"/>
        <w:jc w:val="both"/>
        <w:textAlignment w:val="auto"/>
        <w:rPr>
          <w:rFonts w:ascii="楷体_GB2312" w:eastAsia="楷体_GB2312"/>
          <w:sz w:val="32"/>
          <w:szCs w:val="32"/>
        </w:rPr>
      </w:pPr>
      <w:r>
        <w:rPr>
          <w:rFonts w:hint="eastAsia" w:ascii="黑体" w:hAnsi="黑体" w:eastAsia="黑体" w:cs="宋体"/>
          <w:color w:val="000000"/>
          <w:kern w:val="0"/>
          <w:sz w:val="32"/>
          <w:szCs w:val="32"/>
        </w:rPr>
        <w:t>六、措施建议</w:t>
      </w:r>
    </w:p>
    <w:p>
      <w:pPr>
        <w:wordWrap/>
        <w:spacing w:after="0" w:line="560" w:lineRule="exact"/>
        <w:ind w:left="0" w:leftChars="0" w:right="0" w:firstLine="640" w:firstLineChars="200"/>
        <w:jc w:val="both"/>
        <w:textAlignment w:val="auto"/>
        <w:rPr>
          <w:rFonts w:ascii="仿宋" w:hAnsi="仿宋" w:eastAsia="仿宋"/>
          <w:sz w:val="32"/>
          <w:szCs w:val="32"/>
        </w:rPr>
      </w:pPr>
      <w:r>
        <w:rPr>
          <w:rFonts w:hint="eastAsia" w:ascii="仿宋" w:hAnsi="仿宋" w:eastAsia="仿宋"/>
          <w:sz w:val="32"/>
          <w:szCs w:val="32"/>
        </w:rPr>
        <w:t>1.进一步优化项目绩效评价指标体系。一是根据项目类别和项目预算资金使用实际情况进行科学评估，明确不同类别项目绩效考核的重点方向。二是结合各项目过往运作经验，合理制定绩效评价考核目标，确保绩效目标的科学性、合理性、可落地性和可持续性。三是加强项目绩效评价指标体系培训，明确各项目负责人、责任部门的工作职责，确保项目绩效评价工作有序开展。</w:t>
      </w:r>
    </w:p>
    <w:p>
      <w:pPr>
        <w:wordWrap/>
        <w:spacing w:after="0" w:line="560" w:lineRule="exact"/>
        <w:ind w:left="0" w:leftChars="0" w:right="0" w:firstLine="640" w:firstLineChars="200"/>
        <w:jc w:val="both"/>
        <w:textAlignment w:val="auto"/>
        <w:rPr>
          <w:rFonts w:ascii="仿宋" w:hAnsi="仿宋" w:eastAsia="仿宋"/>
          <w:sz w:val="32"/>
          <w:szCs w:val="32"/>
        </w:rPr>
      </w:pPr>
      <w:r>
        <w:rPr>
          <w:rFonts w:hint="eastAsia" w:ascii="仿宋" w:hAnsi="仿宋" w:eastAsia="仿宋"/>
          <w:sz w:val="32"/>
          <w:szCs w:val="32"/>
        </w:rPr>
        <w:t>2.持续完善服务对象满意度评价工作。一是建立健全各项目服务对象满意度评价指标体系，搭建适用于各项目的服务对象满意度评价指标体系框架，并根据不同项目实际情况设计细项指标，确保评价指标可量化、有针对性。二是做好满意度评价工作过程管理，各项目开展过程中，应提前规划满意度评价工作开展时间、频次、对象、内容等，并按照计划有序推进，同时做好满意度数据回收留痕管理，提高评价数据采集的规范化程度。</w:t>
      </w:r>
    </w:p>
    <w:p>
      <w:pPr>
        <w:wordWrap/>
        <w:spacing w:after="0" w:line="560" w:lineRule="exact"/>
        <w:ind w:left="0" w:leftChars="0" w:right="0" w:firstLine="640" w:firstLineChars="200"/>
        <w:jc w:val="both"/>
        <w:textAlignment w:val="auto"/>
        <w:rPr>
          <w:rFonts w:ascii="仿宋" w:hAnsi="仿宋" w:eastAsia="仿宋"/>
          <w:sz w:val="32"/>
          <w:szCs w:val="32"/>
        </w:rPr>
      </w:pPr>
      <w:r>
        <w:rPr>
          <w:rFonts w:hint="eastAsia" w:ascii="仿宋" w:hAnsi="仿宋" w:eastAsia="仿宋"/>
          <w:sz w:val="32"/>
          <w:szCs w:val="32"/>
        </w:rPr>
        <w:t>3.深化项目绩效评价管理工作。一是加强项目绩效目标针对性管理，应秉承严谨、科学、合理的原则对不同类型项目设置合理的项目绩效目标，确保绩效目标有利于推进、优化项目工作。二是严格落实项目绩效评价过程管理，明确项目运作过程中应予以归档、整理、留存的资料，相关部门、负责人按照要求进行过程管理，便于后续项目绩效考核工作的开展。三是强化项目绩效考核结果运用，持续提升各项目运作和资金使用的科学与规范化程度。</w:t>
      </w:r>
    </w:p>
    <w:p>
      <w:pPr>
        <w:pStyle w:val="3"/>
        <w:wordWrap/>
        <w:spacing w:after="0" w:line="560" w:lineRule="exact"/>
        <w:ind w:left="0" w:leftChars="0" w:right="0" w:firstLine="640" w:firstLineChars="200"/>
        <w:jc w:val="both"/>
        <w:textAlignment w:val="auto"/>
        <w:rPr>
          <w:sz w:val="32"/>
          <w:szCs w:val="32"/>
        </w:rPr>
      </w:pPr>
      <w:bookmarkStart w:id="0" w:name="_Toc103006301"/>
      <w:r>
        <w:rPr>
          <w:rFonts w:hint="eastAsia"/>
          <w:sz w:val="32"/>
          <w:szCs w:val="32"/>
        </w:rPr>
        <w:t>七、附件</w:t>
      </w:r>
      <w:bookmarkEnd w:id="0"/>
    </w:p>
    <w:p>
      <w:pPr>
        <w:wordWrap/>
        <w:spacing w:after="0" w:line="560" w:lineRule="exact"/>
        <w:ind w:left="0" w:leftChars="0" w:right="0" w:firstLine="640" w:firstLineChars="200"/>
        <w:jc w:val="both"/>
        <w:textAlignment w:val="auto"/>
        <w:rPr>
          <w:rFonts w:ascii="仿宋_GB2312" w:hAnsi="仿宋_GB2312" w:eastAsia="仿宋_GB2312" w:cs="仿宋_GB2312"/>
          <w:sz w:val="32"/>
          <w:szCs w:val="32"/>
        </w:rPr>
        <w:sectPr>
          <w:footerReference r:id="rId4" w:type="default"/>
          <w:pgSz w:w="11906" w:h="16838"/>
          <w:pgMar w:top="1440" w:right="1800" w:bottom="1440" w:left="1800" w:header="851" w:footer="964" w:gutter="0"/>
          <w:pgNumType w:start="1"/>
          <w:cols w:space="720" w:num="1"/>
          <w:docGrid w:type="lines" w:linePitch="435" w:charSpace="0"/>
        </w:sectPr>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年部门整体绩效评价指标体系评分表</w:t>
      </w:r>
    </w:p>
    <w:p>
      <w:pPr>
        <w:spacing w:line="560" w:lineRule="exact"/>
        <w:jc w:val="left"/>
        <w:rPr>
          <w:rFonts w:ascii="方正黑体_GBK" w:hAnsi="方正黑体_GBK" w:eastAsia="方正黑体_GBK" w:cs="方正黑体_GBK"/>
          <w:sz w:val="32"/>
        </w:rPr>
      </w:pPr>
      <w:r>
        <w:rPr>
          <w:rFonts w:hint="eastAsia" w:ascii="方正黑体_GBK" w:hAnsi="方正黑体_GBK" w:eastAsia="方正黑体_GBK" w:cs="方正黑体_GBK"/>
          <w:sz w:val="32"/>
        </w:rPr>
        <w:t>附件：</w:t>
      </w:r>
    </w:p>
    <w:tbl>
      <w:tblPr>
        <w:tblStyle w:val="12"/>
        <w:tblW w:w="14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1"/>
        <w:gridCol w:w="1725"/>
        <w:gridCol w:w="2651"/>
        <w:gridCol w:w="2910"/>
        <w:gridCol w:w="92"/>
        <w:gridCol w:w="2873"/>
        <w:gridCol w:w="1276"/>
        <w:gridCol w:w="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14174" w:type="dxa"/>
            <w:gridSpan w:val="8"/>
            <w:tcBorders>
              <w:tl2br w:val="nil"/>
              <w:tr2bl w:val="nil"/>
            </w:tcBorders>
            <w:vAlign w:val="bottom"/>
          </w:tcPr>
          <w:p>
            <w:pPr>
              <w:widowControl/>
              <w:spacing w:after="0" w:line="240" w:lineRule="auto"/>
              <w:jc w:val="center"/>
              <w:rPr>
                <w:rFonts w:hint="eastAsia" w:ascii="仿宋" w:hAnsi="仿宋" w:eastAsia="仿宋" w:cs="仿宋"/>
                <w:kern w:val="0"/>
                <w:sz w:val="44"/>
                <w:szCs w:val="44"/>
              </w:rPr>
            </w:pPr>
            <w:r>
              <w:rPr>
                <w:rFonts w:hint="eastAsia" w:ascii="仿宋" w:hAnsi="仿宋" w:eastAsia="仿宋" w:cs="仿宋"/>
                <w:kern w:val="0"/>
                <w:sz w:val="44"/>
                <w:szCs w:val="44"/>
              </w:rPr>
              <w:t>202</w:t>
            </w:r>
            <w:r>
              <w:rPr>
                <w:rFonts w:ascii="仿宋" w:hAnsi="仿宋" w:eastAsia="仿宋" w:cs="仿宋"/>
                <w:kern w:val="0"/>
                <w:sz w:val="44"/>
                <w:szCs w:val="44"/>
              </w:rPr>
              <w:t>4</w:t>
            </w:r>
            <w:r>
              <w:rPr>
                <w:rFonts w:hint="eastAsia" w:ascii="仿宋" w:hAnsi="仿宋" w:eastAsia="仿宋" w:cs="仿宋"/>
                <w:kern w:val="0"/>
                <w:sz w:val="44"/>
                <w:szCs w:val="44"/>
              </w:rPr>
              <w:t>年部门整体绩效评价指标体系评分表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174" w:type="dxa"/>
            <w:gridSpan w:val="8"/>
            <w:tcBorders>
              <w:tl2br w:val="nil"/>
              <w:tr2bl w:val="nil"/>
            </w:tcBorders>
            <w:vAlign w:val="center"/>
          </w:tcPr>
          <w:p>
            <w:pPr>
              <w:widowControl/>
              <w:spacing w:after="0" w:line="340" w:lineRule="exact"/>
              <w:jc w:val="left"/>
              <w:rPr>
                <w:rFonts w:hint="eastAsia" w:ascii="仿宋" w:hAnsi="仿宋" w:eastAsia="仿宋" w:cs="仿宋"/>
                <w:b/>
                <w:bCs/>
                <w:kern w:val="0"/>
                <w:sz w:val="18"/>
                <w:szCs w:val="18"/>
              </w:rPr>
            </w:pPr>
            <w:r>
              <w:rPr>
                <w:rFonts w:hint="eastAsia" w:ascii="仿宋" w:hAnsi="仿宋" w:eastAsia="仿宋" w:cs="仿宋"/>
                <w:b/>
                <w:bCs/>
                <w:kern w:val="0"/>
                <w:sz w:val="18"/>
                <w:szCs w:val="18"/>
              </w:rPr>
              <w:t>一、</w:t>
            </w:r>
            <w:r>
              <w:rPr>
                <w:rFonts w:hint="eastAsia" w:ascii="仿宋" w:hAnsi="仿宋" w:eastAsia="仿宋" w:cs="仿宋"/>
                <w:b/>
                <w:bCs/>
                <w:kern w:val="0"/>
                <w:sz w:val="20"/>
                <w:szCs w:val="20"/>
              </w:rPr>
              <w:t>当年预算执行情况（20分）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一级</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指标</w:t>
            </w:r>
          </w:p>
        </w:tc>
        <w:tc>
          <w:tcPr>
            <w:tcW w:w="1725"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二级</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指标</w:t>
            </w:r>
          </w:p>
        </w:tc>
        <w:tc>
          <w:tcPr>
            <w:tcW w:w="2651"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预算数</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（万元）</w:t>
            </w:r>
          </w:p>
        </w:tc>
        <w:tc>
          <w:tcPr>
            <w:tcW w:w="2910"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执行数</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（万元）</w:t>
            </w:r>
          </w:p>
        </w:tc>
        <w:tc>
          <w:tcPr>
            <w:tcW w:w="2965" w:type="dxa"/>
            <w:gridSpan w:val="2"/>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预算</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执行率</w:t>
            </w:r>
          </w:p>
        </w:tc>
        <w:tc>
          <w:tcPr>
            <w:tcW w:w="127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分值</w:t>
            </w: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restart"/>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当年预算执行情况（20）</w:t>
            </w:r>
          </w:p>
        </w:tc>
        <w:tc>
          <w:tcPr>
            <w:tcW w:w="1725"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资金</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总体</w:t>
            </w:r>
          </w:p>
        </w:tc>
        <w:tc>
          <w:tcPr>
            <w:tcW w:w="2651" w:type="dxa"/>
            <w:tcBorders>
              <w:tl2br w:val="nil"/>
              <w:tr2bl w:val="nil"/>
            </w:tcBorders>
            <w:tcMar>
              <w:top w:w="0" w:type="dxa"/>
              <w:left w:w="11" w:type="dxa"/>
              <w:bottom w:w="0" w:type="dxa"/>
              <w:right w:w="11" w:type="dxa"/>
            </w:tcMar>
            <w:vAlign w:val="center"/>
          </w:tcPr>
          <w:p>
            <w:pPr>
              <w:widowControl/>
              <w:spacing w:after="0" w:line="340" w:lineRule="exact"/>
              <w:jc w:val="center"/>
              <w:rPr>
                <w:rFonts w:ascii="仿宋" w:hAnsi="仿宋" w:eastAsia="仿宋" w:cs="仿宋"/>
                <w:kern w:val="0"/>
                <w:sz w:val="20"/>
                <w:szCs w:val="20"/>
              </w:rPr>
            </w:pPr>
            <w:r>
              <w:rPr>
                <w:rFonts w:ascii="仿宋" w:hAnsi="仿宋" w:eastAsia="仿宋" w:cs="仿宋"/>
                <w:kern w:val="0"/>
                <w:sz w:val="20"/>
                <w:szCs w:val="20"/>
              </w:rPr>
              <w:t>1640.62</w:t>
            </w:r>
          </w:p>
        </w:tc>
        <w:tc>
          <w:tcPr>
            <w:tcW w:w="2910" w:type="dxa"/>
            <w:tcBorders>
              <w:tl2br w:val="nil"/>
              <w:tr2bl w:val="nil"/>
            </w:tcBorders>
            <w:tcMar>
              <w:top w:w="0" w:type="dxa"/>
              <w:left w:w="11" w:type="dxa"/>
              <w:bottom w:w="0" w:type="dxa"/>
              <w:right w:w="11" w:type="dxa"/>
            </w:tcMar>
            <w:vAlign w:val="center"/>
          </w:tcPr>
          <w:p>
            <w:pPr>
              <w:widowControl/>
              <w:spacing w:after="0" w:line="340" w:lineRule="exact"/>
              <w:jc w:val="center"/>
              <w:rPr>
                <w:rFonts w:ascii="仿宋" w:hAnsi="仿宋" w:eastAsia="仿宋" w:cs="仿宋"/>
                <w:kern w:val="0"/>
                <w:sz w:val="20"/>
                <w:szCs w:val="20"/>
              </w:rPr>
            </w:pPr>
            <w:r>
              <w:rPr>
                <w:rFonts w:ascii="仿宋" w:hAnsi="仿宋" w:eastAsia="仿宋" w:cs="仿宋"/>
                <w:kern w:val="0"/>
                <w:sz w:val="20"/>
                <w:szCs w:val="20"/>
              </w:rPr>
              <w:t>1572.94</w:t>
            </w:r>
          </w:p>
        </w:tc>
        <w:tc>
          <w:tcPr>
            <w:tcW w:w="2965" w:type="dxa"/>
            <w:gridSpan w:val="2"/>
            <w:tcBorders>
              <w:tl2br w:val="nil"/>
              <w:tr2bl w:val="nil"/>
            </w:tcBorders>
            <w:vAlign w:val="center"/>
          </w:tcPr>
          <w:p>
            <w:pPr>
              <w:widowControl/>
              <w:spacing w:after="0" w:line="340" w:lineRule="exact"/>
              <w:jc w:val="center"/>
              <w:rPr>
                <w:rFonts w:ascii="仿宋" w:hAnsi="仿宋" w:eastAsia="仿宋" w:cs="仿宋"/>
                <w:color w:val="FF0000"/>
                <w:kern w:val="0"/>
                <w:sz w:val="20"/>
                <w:szCs w:val="20"/>
              </w:rPr>
            </w:pPr>
            <w:r>
              <w:rPr>
                <w:rFonts w:ascii="仿宋" w:hAnsi="仿宋" w:eastAsia="仿宋" w:cs="仿宋"/>
                <w:kern w:val="0"/>
                <w:sz w:val="20"/>
                <w:szCs w:val="20"/>
              </w:rPr>
              <w:t>95.87</w:t>
            </w:r>
            <w:r>
              <w:rPr>
                <w:rFonts w:hint="eastAsia" w:ascii="仿宋" w:hAnsi="仿宋" w:eastAsia="仿宋" w:cs="仿宋"/>
                <w:kern w:val="0"/>
                <w:sz w:val="20"/>
                <w:szCs w:val="20"/>
              </w:rPr>
              <w:t>%</w:t>
            </w:r>
          </w:p>
        </w:tc>
        <w:tc>
          <w:tcPr>
            <w:tcW w:w="1276" w:type="dxa"/>
            <w:vMerge w:val="restart"/>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20</w:t>
            </w:r>
          </w:p>
        </w:tc>
        <w:tc>
          <w:tcPr>
            <w:tcW w:w="996" w:type="dxa"/>
            <w:vMerge w:val="restart"/>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ascii="仿宋" w:hAnsi="仿宋" w:eastAsia="仿宋" w:cs="仿宋"/>
                <w:kern w:val="0"/>
                <w:sz w:val="20"/>
                <w:szCs w:val="20"/>
              </w:rPr>
              <w:t>19.17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基本</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支出</w:t>
            </w:r>
          </w:p>
        </w:tc>
        <w:tc>
          <w:tcPr>
            <w:tcW w:w="2651" w:type="dxa"/>
            <w:tcBorders>
              <w:tl2br w:val="nil"/>
              <w:tr2bl w:val="nil"/>
            </w:tcBorders>
            <w:tcMar>
              <w:top w:w="0" w:type="dxa"/>
              <w:left w:w="11" w:type="dxa"/>
              <w:bottom w:w="0" w:type="dxa"/>
              <w:right w:w="11" w:type="dxa"/>
            </w:tcMar>
            <w:vAlign w:val="center"/>
          </w:tcPr>
          <w:p>
            <w:pPr>
              <w:widowControl/>
              <w:spacing w:after="0" w:line="340" w:lineRule="exact"/>
              <w:jc w:val="center"/>
              <w:rPr>
                <w:rFonts w:ascii="仿宋" w:hAnsi="仿宋" w:eastAsia="仿宋" w:cs="仿宋"/>
                <w:kern w:val="0"/>
                <w:sz w:val="20"/>
                <w:szCs w:val="20"/>
              </w:rPr>
            </w:pPr>
            <w:r>
              <w:rPr>
                <w:rFonts w:ascii="仿宋" w:hAnsi="仿宋" w:eastAsia="仿宋" w:cs="仿宋"/>
                <w:kern w:val="0"/>
                <w:sz w:val="20"/>
                <w:szCs w:val="20"/>
              </w:rPr>
              <w:t>1438.15</w:t>
            </w:r>
          </w:p>
        </w:tc>
        <w:tc>
          <w:tcPr>
            <w:tcW w:w="2910" w:type="dxa"/>
            <w:tcBorders>
              <w:tl2br w:val="nil"/>
              <w:tr2bl w:val="nil"/>
            </w:tcBorders>
            <w:tcMar>
              <w:top w:w="0" w:type="dxa"/>
              <w:left w:w="11" w:type="dxa"/>
              <w:bottom w:w="0" w:type="dxa"/>
              <w:right w:w="11" w:type="dxa"/>
            </w:tcMar>
            <w:vAlign w:val="center"/>
          </w:tcPr>
          <w:p>
            <w:pPr>
              <w:widowControl/>
              <w:spacing w:after="0" w:line="340" w:lineRule="exact"/>
              <w:jc w:val="center"/>
              <w:rPr>
                <w:rFonts w:ascii="仿宋" w:hAnsi="仿宋" w:eastAsia="仿宋" w:cs="仿宋"/>
                <w:kern w:val="0"/>
                <w:sz w:val="20"/>
                <w:szCs w:val="20"/>
              </w:rPr>
            </w:pPr>
            <w:r>
              <w:rPr>
                <w:rFonts w:ascii="仿宋" w:hAnsi="仿宋" w:eastAsia="仿宋" w:cs="仿宋"/>
                <w:kern w:val="0"/>
                <w:sz w:val="20"/>
                <w:szCs w:val="20"/>
              </w:rPr>
              <w:t>1387.22</w:t>
            </w:r>
          </w:p>
        </w:tc>
        <w:tc>
          <w:tcPr>
            <w:tcW w:w="2965" w:type="dxa"/>
            <w:gridSpan w:val="2"/>
            <w:vMerge w:val="restart"/>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w:t>
            </w:r>
          </w:p>
        </w:tc>
        <w:tc>
          <w:tcPr>
            <w:tcW w:w="1276"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996"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项目</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支出</w:t>
            </w:r>
          </w:p>
        </w:tc>
        <w:tc>
          <w:tcPr>
            <w:tcW w:w="2651" w:type="dxa"/>
            <w:tcBorders>
              <w:tl2br w:val="nil"/>
              <w:tr2bl w:val="nil"/>
            </w:tcBorders>
            <w:tcMar>
              <w:top w:w="0" w:type="dxa"/>
              <w:left w:w="11" w:type="dxa"/>
              <w:bottom w:w="0" w:type="dxa"/>
              <w:right w:w="11" w:type="dxa"/>
            </w:tcMar>
            <w:vAlign w:val="center"/>
          </w:tcPr>
          <w:p>
            <w:pPr>
              <w:widowControl/>
              <w:spacing w:after="0" w:line="340" w:lineRule="exact"/>
              <w:jc w:val="center"/>
              <w:rPr>
                <w:rFonts w:ascii="仿宋" w:hAnsi="仿宋" w:eastAsia="仿宋" w:cs="仿宋"/>
                <w:kern w:val="0"/>
                <w:sz w:val="20"/>
                <w:szCs w:val="20"/>
              </w:rPr>
            </w:pPr>
            <w:r>
              <w:rPr>
                <w:rFonts w:ascii="仿宋" w:hAnsi="仿宋" w:eastAsia="仿宋" w:cs="仿宋"/>
                <w:kern w:val="0"/>
                <w:sz w:val="20"/>
                <w:szCs w:val="20"/>
              </w:rPr>
              <w:t>202.45</w:t>
            </w:r>
          </w:p>
        </w:tc>
        <w:tc>
          <w:tcPr>
            <w:tcW w:w="2910" w:type="dxa"/>
            <w:tcBorders>
              <w:tl2br w:val="nil"/>
              <w:tr2bl w:val="nil"/>
            </w:tcBorders>
            <w:tcMar>
              <w:top w:w="0" w:type="dxa"/>
              <w:left w:w="11" w:type="dxa"/>
              <w:bottom w:w="0" w:type="dxa"/>
              <w:right w:w="11" w:type="dxa"/>
            </w:tcMar>
            <w:vAlign w:val="center"/>
          </w:tcPr>
          <w:p>
            <w:pPr>
              <w:widowControl/>
              <w:spacing w:after="0" w:line="340" w:lineRule="exact"/>
              <w:jc w:val="center"/>
              <w:rPr>
                <w:rFonts w:ascii="仿宋" w:hAnsi="仿宋" w:eastAsia="仿宋" w:cs="仿宋"/>
                <w:kern w:val="0"/>
                <w:sz w:val="20"/>
                <w:szCs w:val="20"/>
              </w:rPr>
            </w:pPr>
            <w:r>
              <w:rPr>
                <w:rFonts w:ascii="仿宋" w:hAnsi="仿宋" w:eastAsia="仿宋" w:cs="仿宋"/>
                <w:kern w:val="0"/>
                <w:sz w:val="20"/>
                <w:szCs w:val="20"/>
              </w:rPr>
              <w:t>185.72</w:t>
            </w:r>
          </w:p>
        </w:tc>
        <w:tc>
          <w:tcPr>
            <w:tcW w:w="2965" w:type="dxa"/>
            <w:gridSpan w:val="2"/>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276"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996"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其他</w:t>
            </w:r>
          </w:p>
        </w:tc>
        <w:tc>
          <w:tcPr>
            <w:tcW w:w="2651"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w:t>
            </w:r>
          </w:p>
        </w:tc>
        <w:tc>
          <w:tcPr>
            <w:tcW w:w="2910"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w:t>
            </w:r>
          </w:p>
        </w:tc>
        <w:tc>
          <w:tcPr>
            <w:tcW w:w="2965" w:type="dxa"/>
            <w:gridSpan w:val="2"/>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276"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996"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174" w:type="dxa"/>
            <w:gridSpan w:val="8"/>
            <w:tcBorders>
              <w:tl2br w:val="nil"/>
              <w:tr2bl w:val="nil"/>
            </w:tcBorders>
            <w:vAlign w:val="center"/>
          </w:tcPr>
          <w:p>
            <w:pPr>
              <w:widowControl/>
              <w:spacing w:after="0" w:line="340" w:lineRule="exact"/>
              <w:jc w:val="left"/>
              <w:rPr>
                <w:rFonts w:hint="eastAsia" w:ascii="仿宋" w:hAnsi="仿宋" w:eastAsia="仿宋" w:cs="仿宋"/>
                <w:b/>
                <w:bCs/>
                <w:kern w:val="0"/>
                <w:sz w:val="18"/>
                <w:szCs w:val="18"/>
              </w:rPr>
            </w:pPr>
            <w:r>
              <w:rPr>
                <w:rFonts w:hint="eastAsia" w:ascii="仿宋" w:hAnsi="仿宋" w:eastAsia="仿宋" w:cs="仿宋"/>
                <w:b/>
                <w:bCs/>
                <w:kern w:val="0"/>
                <w:sz w:val="18"/>
                <w:szCs w:val="18"/>
              </w:rPr>
              <w:t>二、</w:t>
            </w:r>
            <w:r>
              <w:rPr>
                <w:rFonts w:hint="eastAsia" w:ascii="仿宋" w:hAnsi="仿宋" w:eastAsia="仿宋" w:cs="仿宋"/>
                <w:b/>
                <w:bCs/>
                <w:kern w:val="0"/>
                <w:sz w:val="20"/>
                <w:szCs w:val="20"/>
              </w:rPr>
              <w:t>整体绩效目标实现情况（60分）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一级</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指标</w:t>
            </w:r>
          </w:p>
        </w:tc>
        <w:tc>
          <w:tcPr>
            <w:tcW w:w="1725"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二级</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指标</w:t>
            </w:r>
          </w:p>
        </w:tc>
        <w:tc>
          <w:tcPr>
            <w:tcW w:w="2651"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910"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指标值</w:t>
            </w:r>
          </w:p>
        </w:tc>
        <w:tc>
          <w:tcPr>
            <w:tcW w:w="2965" w:type="dxa"/>
            <w:gridSpan w:val="2"/>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完成值</w:t>
            </w:r>
          </w:p>
        </w:tc>
        <w:tc>
          <w:tcPr>
            <w:tcW w:w="127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分值</w:t>
            </w: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restart"/>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整体绩效目标实现情况（60）</w:t>
            </w:r>
          </w:p>
        </w:tc>
        <w:tc>
          <w:tcPr>
            <w:tcW w:w="1725" w:type="dxa"/>
            <w:vMerge w:val="restart"/>
            <w:tcBorders>
              <w:tl2br w:val="nil"/>
              <w:tr2bl w:val="nil"/>
            </w:tcBorders>
            <w:vAlign w:val="center"/>
          </w:tcPr>
          <w:p>
            <w:pPr>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产出（30）</w:t>
            </w:r>
          </w:p>
        </w:tc>
        <w:tc>
          <w:tcPr>
            <w:tcW w:w="2651" w:type="dxa"/>
            <w:tcBorders>
              <w:tl2br w:val="nil"/>
              <w:tr2bl w:val="nil"/>
            </w:tcBorders>
            <w:vAlign w:val="center"/>
          </w:tcPr>
          <w:p>
            <w:pPr>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产出数量</w:t>
            </w:r>
          </w:p>
          <w:p>
            <w:pPr>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（6）</w:t>
            </w:r>
          </w:p>
        </w:tc>
        <w:tc>
          <w:tcPr>
            <w:tcW w:w="2910" w:type="dxa"/>
            <w:tcBorders>
              <w:tl2br w:val="nil"/>
              <w:tr2bl w:val="nil"/>
            </w:tcBorders>
            <w:vAlign w:val="center"/>
          </w:tcPr>
          <w:p>
            <w:pPr>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项目完成率</w:t>
            </w:r>
          </w:p>
          <w:p>
            <w:pPr>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（6）</w:t>
            </w:r>
          </w:p>
        </w:tc>
        <w:tc>
          <w:tcPr>
            <w:tcW w:w="2965" w:type="dxa"/>
            <w:gridSpan w:val="2"/>
            <w:tcBorders>
              <w:tl2br w:val="nil"/>
              <w:tr2bl w:val="nil"/>
            </w:tcBorders>
            <w:vAlign w:val="center"/>
          </w:tcPr>
          <w:p>
            <w:pPr>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100%</w:t>
            </w:r>
          </w:p>
        </w:tc>
        <w:tc>
          <w:tcPr>
            <w:tcW w:w="1276" w:type="dxa"/>
            <w:vMerge w:val="restart"/>
            <w:tcBorders>
              <w:tl2br w:val="nil"/>
              <w:tr2bl w:val="nil"/>
            </w:tcBorders>
            <w:vAlign w:val="center"/>
          </w:tcPr>
          <w:p>
            <w:pPr>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30</w:t>
            </w:r>
          </w:p>
        </w:tc>
        <w:tc>
          <w:tcPr>
            <w:tcW w:w="996" w:type="dxa"/>
            <w:tcBorders>
              <w:tl2br w:val="nil"/>
              <w:tr2bl w:val="nil"/>
            </w:tcBorders>
            <w:vAlign w:val="center"/>
          </w:tcPr>
          <w:p>
            <w:pPr>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2651" w:type="dxa"/>
            <w:vMerge w:val="restart"/>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产出质量</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（12）</w:t>
            </w:r>
          </w:p>
        </w:tc>
        <w:tc>
          <w:tcPr>
            <w:tcW w:w="2910"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项目达标率</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（6）</w:t>
            </w:r>
          </w:p>
        </w:tc>
        <w:tc>
          <w:tcPr>
            <w:tcW w:w="2965" w:type="dxa"/>
            <w:gridSpan w:val="2"/>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100%</w:t>
            </w:r>
          </w:p>
        </w:tc>
        <w:tc>
          <w:tcPr>
            <w:tcW w:w="1276"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2651" w:type="dxa"/>
            <w:vMerge w:val="continue"/>
            <w:tcBorders>
              <w:tl2br w:val="nil"/>
              <w:tr2bl w:val="nil"/>
            </w:tcBorders>
            <w:vAlign w:val="center"/>
          </w:tcPr>
          <w:p>
            <w:pPr>
              <w:widowControl/>
              <w:spacing w:after="0" w:line="340" w:lineRule="exact"/>
              <w:jc w:val="center"/>
              <w:rPr>
                <w:rFonts w:ascii="仿宋" w:hAnsi="仿宋" w:eastAsia="仿宋" w:cs="仿宋"/>
                <w:kern w:val="0"/>
                <w:sz w:val="20"/>
                <w:szCs w:val="20"/>
              </w:rPr>
            </w:pPr>
          </w:p>
        </w:tc>
        <w:tc>
          <w:tcPr>
            <w:tcW w:w="2910"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项目成果转化与获奖情况</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（6）</w:t>
            </w:r>
          </w:p>
        </w:tc>
        <w:tc>
          <w:tcPr>
            <w:tcW w:w="2965" w:type="dxa"/>
            <w:gridSpan w:val="2"/>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ascii="仿宋" w:hAnsi="仿宋" w:eastAsia="仿宋" w:cs="仿宋"/>
                <w:kern w:val="0"/>
                <w:sz w:val="20"/>
                <w:szCs w:val="20"/>
              </w:rPr>
              <w:t>5</w:t>
            </w:r>
            <w:r>
              <w:rPr>
                <w:rFonts w:hint="eastAsia" w:ascii="仿宋" w:hAnsi="仿宋" w:eastAsia="仿宋" w:cs="仿宋"/>
                <w:kern w:val="0"/>
                <w:sz w:val="20"/>
                <w:szCs w:val="20"/>
              </w:rPr>
              <w:t>篇调研成果获奖，5篇建言获领导批示</w:t>
            </w:r>
          </w:p>
        </w:tc>
        <w:tc>
          <w:tcPr>
            <w:tcW w:w="1276"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2651"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产出进度</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（6）</w:t>
            </w:r>
          </w:p>
        </w:tc>
        <w:tc>
          <w:tcPr>
            <w:tcW w:w="2910" w:type="dxa"/>
            <w:tcBorders>
              <w:tl2br w:val="nil"/>
              <w:tr2bl w:val="nil"/>
            </w:tcBorders>
            <w:vAlign w:val="center"/>
          </w:tcPr>
          <w:p>
            <w:pPr>
              <w:widowControl/>
              <w:spacing w:after="0" w:line="340" w:lineRule="exact"/>
              <w:jc w:val="center"/>
              <w:textAlignment w:val="center"/>
              <w:rPr>
                <w:rFonts w:ascii="仿宋" w:hAnsi="仿宋" w:eastAsia="仿宋" w:cs="仿宋"/>
                <w:kern w:val="0"/>
                <w:sz w:val="20"/>
                <w:szCs w:val="20"/>
              </w:rPr>
            </w:pPr>
            <w:r>
              <w:rPr>
                <w:rFonts w:hint="eastAsia" w:ascii="仿宋" w:hAnsi="仿宋" w:eastAsia="仿宋" w:cs="仿宋"/>
                <w:kern w:val="0"/>
                <w:sz w:val="20"/>
                <w:szCs w:val="20"/>
              </w:rPr>
              <w:t>是否按时完成工作</w:t>
            </w:r>
          </w:p>
          <w:p>
            <w:pPr>
              <w:widowControl/>
              <w:spacing w:after="0" w:line="340" w:lineRule="exact"/>
              <w:jc w:val="center"/>
              <w:textAlignment w:val="center"/>
              <w:rPr>
                <w:rFonts w:ascii="仿宋" w:hAnsi="仿宋" w:eastAsia="仿宋" w:cs="仿宋"/>
                <w:kern w:val="0"/>
                <w:sz w:val="20"/>
                <w:szCs w:val="20"/>
              </w:rPr>
            </w:pPr>
            <w:r>
              <w:rPr>
                <w:rFonts w:hint="eastAsia" w:ascii="仿宋" w:hAnsi="仿宋" w:eastAsia="仿宋" w:cs="仿宋"/>
                <w:kern w:val="0"/>
                <w:sz w:val="20"/>
                <w:szCs w:val="20"/>
              </w:rPr>
              <w:t>（6）</w:t>
            </w:r>
          </w:p>
        </w:tc>
        <w:tc>
          <w:tcPr>
            <w:tcW w:w="2965" w:type="dxa"/>
            <w:gridSpan w:val="2"/>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按时完成</w:t>
            </w:r>
          </w:p>
        </w:tc>
        <w:tc>
          <w:tcPr>
            <w:tcW w:w="1276"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2651"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产出成本</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（6）</w:t>
            </w:r>
          </w:p>
        </w:tc>
        <w:tc>
          <w:tcPr>
            <w:tcW w:w="2910"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成本控制率</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（6）</w:t>
            </w:r>
          </w:p>
        </w:tc>
        <w:tc>
          <w:tcPr>
            <w:tcW w:w="2965" w:type="dxa"/>
            <w:gridSpan w:val="2"/>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100%</w:t>
            </w:r>
          </w:p>
        </w:tc>
        <w:tc>
          <w:tcPr>
            <w:tcW w:w="1276"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vMerge w:val="restart"/>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效果（30）</w:t>
            </w:r>
          </w:p>
        </w:tc>
        <w:tc>
          <w:tcPr>
            <w:tcW w:w="2651"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经济效益</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（5）</w:t>
            </w:r>
          </w:p>
        </w:tc>
        <w:tc>
          <w:tcPr>
            <w:tcW w:w="2910"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带动当地产业发展，产业开拓创新，持续开展精准帮扶工作</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（5）</w:t>
            </w:r>
          </w:p>
        </w:tc>
        <w:tc>
          <w:tcPr>
            <w:tcW w:w="2965" w:type="dxa"/>
            <w:gridSpan w:val="2"/>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带动当地产业发展，促进产业开拓创新，持续开展精准帮扶工作</w:t>
            </w:r>
          </w:p>
        </w:tc>
        <w:tc>
          <w:tcPr>
            <w:tcW w:w="1276" w:type="dxa"/>
            <w:vMerge w:val="restart"/>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30</w:t>
            </w: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ascii="仿宋" w:hAnsi="仿宋" w:eastAsia="仿宋" w:cs="仿宋"/>
                <w:kern w:val="0"/>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2651" w:type="dxa"/>
            <w:vMerge w:val="restart"/>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社会效益</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（12）</w:t>
            </w:r>
          </w:p>
        </w:tc>
        <w:tc>
          <w:tcPr>
            <w:tcW w:w="2910" w:type="dxa"/>
            <w:tcBorders>
              <w:tl2br w:val="nil"/>
              <w:tr2bl w:val="nil"/>
            </w:tcBorders>
            <w:vAlign w:val="center"/>
          </w:tcPr>
          <w:p>
            <w:pPr>
              <w:widowControl/>
              <w:spacing w:after="0" w:line="340" w:lineRule="exact"/>
              <w:jc w:val="center"/>
              <w:rPr>
                <w:rFonts w:ascii="仿宋" w:hAnsi="仿宋" w:eastAsia="仿宋" w:cs="仿宋"/>
                <w:kern w:val="0"/>
                <w:szCs w:val="21"/>
              </w:rPr>
            </w:pPr>
            <w:r>
              <w:rPr>
                <w:rFonts w:hint="eastAsia" w:ascii="仿宋" w:hAnsi="仿宋" w:eastAsia="仿宋" w:cs="仿宋"/>
                <w:kern w:val="0"/>
                <w:szCs w:val="21"/>
              </w:rPr>
              <w:t>社员综合素质提升</w:t>
            </w:r>
          </w:p>
          <w:p>
            <w:pPr>
              <w:widowControl/>
              <w:spacing w:after="0" w:line="340" w:lineRule="exact"/>
              <w:jc w:val="center"/>
              <w:rPr>
                <w:rFonts w:ascii="仿宋" w:hAnsi="仿宋" w:eastAsia="仿宋" w:cs="仿宋"/>
                <w:kern w:val="0"/>
                <w:szCs w:val="21"/>
              </w:rPr>
            </w:pPr>
            <w:r>
              <w:rPr>
                <w:rFonts w:hint="eastAsia" w:ascii="仿宋" w:hAnsi="仿宋" w:eastAsia="仿宋" w:cs="仿宋"/>
                <w:kern w:val="0"/>
                <w:szCs w:val="21"/>
              </w:rPr>
              <w:t>（3）</w:t>
            </w:r>
          </w:p>
        </w:tc>
        <w:tc>
          <w:tcPr>
            <w:tcW w:w="2965" w:type="dxa"/>
            <w:gridSpan w:val="2"/>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Cs w:val="21"/>
              </w:rPr>
              <w:t>加大重点分工领域社员发展力度，加强社员培训</w:t>
            </w:r>
          </w:p>
        </w:tc>
        <w:tc>
          <w:tcPr>
            <w:tcW w:w="1276"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2651" w:type="dxa"/>
            <w:vMerge w:val="continue"/>
            <w:tcBorders>
              <w:tl2br w:val="nil"/>
              <w:tr2bl w:val="nil"/>
            </w:tcBorders>
            <w:vAlign w:val="center"/>
          </w:tcPr>
          <w:p>
            <w:pPr>
              <w:widowControl/>
              <w:spacing w:after="0" w:line="340" w:lineRule="exact"/>
              <w:jc w:val="center"/>
              <w:rPr>
                <w:rFonts w:ascii="仿宋" w:hAnsi="仿宋" w:eastAsia="仿宋" w:cs="仿宋"/>
                <w:kern w:val="0"/>
                <w:sz w:val="20"/>
                <w:szCs w:val="20"/>
              </w:rPr>
            </w:pPr>
          </w:p>
        </w:tc>
        <w:tc>
          <w:tcPr>
            <w:tcW w:w="2910" w:type="dxa"/>
            <w:tcBorders>
              <w:tl2br w:val="nil"/>
              <w:tr2bl w:val="nil"/>
            </w:tcBorders>
            <w:vAlign w:val="center"/>
          </w:tcPr>
          <w:p>
            <w:pPr>
              <w:widowControl/>
              <w:spacing w:after="0" w:line="340" w:lineRule="exact"/>
              <w:jc w:val="center"/>
              <w:rPr>
                <w:rFonts w:ascii="仿宋" w:hAnsi="仿宋" w:eastAsia="仿宋" w:cs="仿宋"/>
                <w:kern w:val="0"/>
                <w:szCs w:val="21"/>
              </w:rPr>
            </w:pPr>
            <w:r>
              <w:rPr>
                <w:rFonts w:hint="eastAsia" w:ascii="仿宋" w:hAnsi="仿宋" w:eastAsia="仿宋" w:cs="仿宋"/>
                <w:kern w:val="0"/>
                <w:szCs w:val="21"/>
              </w:rPr>
              <w:t>提交提案/建议并推动落实</w:t>
            </w:r>
          </w:p>
          <w:p>
            <w:pPr>
              <w:widowControl/>
              <w:spacing w:after="0" w:line="340" w:lineRule="exact"/>
              <w:jc w:val="center"/>
              <w:rPr>
                <w:rFonts w:ascii="仿宋" w:hAnsi="仿宋" w:eastAsia="仿宋" w:cs="仿宋"/>
                <w:kern w:val="0"/>
                <w:szCs w:val="21"/>
              </w:rPr>
            </w:pPr>
            <w:r>
              <w:rPr>
                <w:rFonts w:hint="eastAsia" w:ascii="仿宋" w:hAnsi="仿宋" w:eastAsia="仿宋" w:cs="仿宋"/>
                <w:kern w:val="0"/>
                <w:szCs w:val="21"/>
              </w:rPr>
              <w:t>（3）</w:t>
            </w:r>
          </w:p>
        </w:tc>
        <w:tc>
          <w:tcPr>
            <w:tcW w:w="2965" w:type="dxa"/>
            <w:gridSpan w:val="2"/>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Cs w:val="21"/>
              </w:rPr>
              <w:t>提交提案/建议被采用或批示，推进办理</w:t>
            </w:r>
          </w:p>
        </w:tc>
        <w:tc>
          <w:tcPr>
            <w:tcW w:w="1276"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ascii="仿宋" w:hAnsi="仿宋" w:eastAsia="仿宋" w:cs="仿宋"/>
                <w:kern w:val="0"/>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2651" w:type="dxa"/>
            <w:vMerge w:val="continue"/>
            <w:tcBorders>
              <w:tl2br w:val="nil"/>
              <w:tr2bl w:val="nil"/>
            </w:tcBorders>
            <w:vAlign w:val="center"/>
          </w:tcPr>
          <w:p>
            <w:pPr>
              <w:widowControl/>
              <w:spacing w:after="0" w:line="340" w:lineRule="exact"/>
              <w:jc w:val="center"/>
              <w:rPr>
                <w:rFonts w:ascii="仿宋" w:hAnsi="仿宋" w:eastAsia="仿宋" w:cs="仿宋"/>
                <w:kern w:val="0"/>
                <w:sz w:val="20"/>
                <w:szCs w:val="20"/>
              </w:rPr>
            </w:pPr>
          </w:p>
        </w:tc>
        <w:tc>
          <w:tcPr>
            <w:tcW w:w="2910"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专项民主监督落实</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Cs w:val="21"/>
              </w:rPr>
              <w:t>（3）</w:t>
            </w:r>
          </w:p>
        </w:tc>
        <w:tc>
          <w:tcPr>
            <w:tcW w:w="2965" w:type="dxa"/>
            <w:gridSpan w:val="2"/>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本年度专项民主监督工作无支出</w:t>
            </w:r>
          </w:p>
        </w:tc>
        <w:tc>
          <w:tcPr>
            <w:tcW w:w="1276"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ascii="仿宋" w:hAnsi="仿宋" w:eastAsia="仿宋" w:cs="仿宋"/>
                <w:kern w:val="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7"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2651" w:type="dxa"/>
            <w:vMerge w:val="continue"/>
            <w:tcBorders>
              <w:tl2br w:val="nil"/>
              <w:tr2bl w:val="nil"/>
            </w:tcBorders>
            <w:vAlign w:val="center"/>
          </w:tcPr>
          <w:p>
            <w:pPr>
              <w:widowControl/>
              <w:spacing w:after="0" w:line="340" w:lineRule="exact"/>
              <w:jc w:val="center"/>
              <w:rPr>
                <w:rFonts w:ascii="仿宋" w:hAnsi="仿宋" w:eastAsia="仿宋" w:cs="仿宋"/>
                <w:kern w:val="0"/>
                <w:sz w:val="20"/>
                <w:szCs w:val="20"/>
              </w:rPr>
            </w:pPr>
          </w:p>
        </w:tc>
        <w:tc>
          <w:tcPr>
            <w:tcW w:w="2910" w:type="dxa"/>
            <w:tcBorders>
              <w:tl2br w:val="nil"/>
              <w:tr2bl w:val="nil"/>
            </w:tcBorders>
            <w:vAlign w:val="center"/>
          </w:tcPr>
          <w:p>
            <w:pPr>
              <w:widowControl/>
              <w:spacing w:after="0" w:line="340" w:lineRule="exact"/>
              <w:jc w:val="center"/>
              <w:rPr>
                <w:rFonts w:ascii="仿宋" w:hAnsi="仿宋" w:eastAsia="仿宋" w:cs="仿宋"/>
                <w:kern w:val="0"/>
                <w:szCs w:val="21"/>
              </w:rPr>
            </w:pPr>
            <w:r>
              <w:rPr>
                <w:rFonts w:hint="eastAsia" w:ascii="仿宋" w:hAnsi="仿宋" w:eastAsia="仿宋" w:cs="仿宋"/>
                <w:kern w:val="0"/>
                <w:szCs w:val="21"/>
              </w:rPr>
              <w:t>推动当地经济、文化教育、医疗卫生发展</w:t>
            </w:r>
          </w:p>
          <w:p>
            <w:pPr>
              <w:widowControl/>
              <w:spacing w:after="0" w:line="340" w:lineRule="exact"/>
              <w:jc w:val="center"/>
              <w:rPr>
                <w:rFonts w:ascii="仿宋" w:hAnsi="仿宋" w:eastAsia="仿宋" w:cs="仿宋"/>
                <w:kern w:val="0"/>
                <w:szCs w:val="21"/>
              </w:rPr>
            </w:pPr>
            <w:r>
              <w:rPr>
                <w:rFonts w:hint="eastAsia" w:ascii="仿宋" w:hAnsi="仿宋" w:eastAsia="仿宋" w:cs="仿宋"/>
                <w:kern w:val="0"/>
                <w:szCs w:val="21"/>
              </w:rPr>
              <w:t>（3）</w:t>
            </w:r>
          </w:p>
        </w:tc>
        <w:tc>
          <w:tcPr>
            <w:tcW w:w="2965" w:type="dxa"/>
            <w:gridSpan w:val="2"/>
            <w:tcBorders>
              <w:tl2br w:val="nil"/>
              <w:tr2bl w:val="nil"/>
            </w:tcBorders>
            <w:vAlign w:val="center"/>
          </w:tcPr>
          <w:p>
            <w:pPr>
              <w:widowControl/>
              <w:spacing w:after="0" w:line="340" w:lineRule="exact"/>
              <w:jc w:val="center"/>
              <w:rPr>
                <w:rFonts w:ascii="仿宋" w:hAnsi="仿宋" w:eastAsia="仿宋" w:cs="仿宋"/>
                <w:kern w:val="0"/>
                <w:szCs w:val="21"/>
              </w:rPr>
            </w:pPr>
            <w:r>
              <w:rPr>
                <w:rFonts w:hint="eastAsia" w:ascii="仿宋" w:hAnsi="仿宋" w:eastAsia="仿宋" w:cs="仿宋"/>
                <w:kern w:val="0"/>
                <w:szCs w:val="21"/>
              </w:rPr>
              <w:t>有效推动当地经济、文化教育、医疗卫生发展</w:t>
            </w:r>
          </w:p>
          <w:p>
            <w:pPr>
              <w:widowControl/>
              <w:spacing w:after="0" w:line="340" w:lineRule="exact"/>
              <w:jc w:val="center"/>
              <w:rPr>
                <w:rFonts w:ascii="仿宋" w:hAnsi="仿宋" w:eastAsia="仿宋" w:cs="仿宋"/>
                <w:kern w:val="0"/>
                <w:sz w:val="20"/>
                <w:szCs w:val="20"/>
              </w:rPr>
            </w:pPr>
          </w:p>
        </w:tc>
        <w:tc>
          <w:tcPr>
            <w:tcW w:w="1276"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2651" w:type="dxa"/>
            <w:vMerge w:val="restart"/>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可持续影响</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（8）</w:t>
            </w:r>
          </w:p>
        </w:tc>
        <w:tc>
          <w:tcPr>
            <w:tcW w:w="2910" w:type="dxa"/>
            <w:tcBorders>
              <w:tl2br w:val="nil"/>
              <w:tr2bl w:val="nil"/>
            </w:tcBorders>
            <w:vAlign w:val="center"/>
          </w:tcPr>
          <w:p>
            <w:pPr>
              <w:widowControl/>
              <w:spacing w:after="0" w:line="340" w:lineRule="exact"/>
              <w:jc w:val="center"/>
              <w:rPr>
                <w:rFonts w:ascii="仿宋" w:hAnsi="仿宋" w:eastAsia="仿宋" w:cs="仿宋"/>
                <w:kern w:val="0"/>
                <w:szCs w:val="21"/>
              </w:rPr>
            </w:pPr>
            <w:r>
              <w:rPr>
                <w:rFonts w:hint="eastAsia" w:ascii="仿宋" w:hAnsi="仿宋" w:eastAsia="仿宋" w:cs="仿宋"/>
                <w:kern w:val="0"/>
                <w:szCs w:val="21"/>
              </w:rPr>
              <w:t>发挥界别优势，不断提供有质量的提案</w:t>
            </w:r>
          </w:p>
          <w:p>
            <w:pPr>
              <w:widowControl/>
              <w:spacing w:after="0" w:line="340" w:lineRule="exact"/>
              <w:jc w:val="center"/>
              <w:rPr>
                <w:rFonts w:ascii="仿宋" w:hAnsi="仿宋" w:eastAsia="仿宋" w:cs="仿宋"/>
                <w:kern w:val="0"/>
                <w:szCs w:val="21"/>
              </w:rPr>
            </w:pPr>
            <w:r>
              <w:rPr>
                <w:rFonts w:hint="eastAsia" w:ascii="仿宋" w:hAnsi="仿宋" w:eastAsia="仿宋" w:cs="仿宋"/>
                <w:kern w:val="0"/>
                <w:szCs w:val="21"/>
              </w:rPr>
              <w:t>（4）</w:t>
            </w:r>
          </w:p>
        </w:tc>
        <w:tc>
          <w:tcPr>
            <w:tcW w:w="2965" w:type="dxa"/>
            <w:gridSpan w:val="2"/>
            <w:tcBorders>
              <w:tl2br w:val="nil"/>
              <w:tr2bl w:val="nil"/>
            </w:tcBorders>
            <w:vAlign w:val="center"/>
          </w:tcPr>
          <w:p>
            <w:pPr>
              <w:widowControl/>
              <w:spacing w:after="0" w:line="340" w:lineRule="exact"/>
              <w:jc w:val="center"/>
              <w:rPr>
                <w:rFonts w:ascii="仿宋" w:hAnsi="仿宋" w:eastAsia="仿宋" w:cs="仿宋"/>
                <w:kern w:val="0"/>
                <w:szCs w:val="21"/>
              </w:rPr>
            </w:pPr>
            <w:r>
              <w:rPr>
                <w:rFonts w:hint="eastAsia" w:ascii="仿宋" w:hAnsi="仿宋" w:eastAsia="仿宋" w:cs="仿宋"/>
                <w:kern w:val="0"/>
                <w:szCs w:val="21"/>
              </w:rPr>
              <w:t>发挥界别优势，不断提供有质量的提案</w:t>
            </w:r>
          </w:p>
          <w:p>
            <w:pPr>
              <w:widowControl/>
              <w:spacing w:after="0" w:line="340" w:lineRule="exact"/>
              <w:jc w:val="center"/>
              <w:rPr>
                <w:rFonts w:ascii="仿宋" w:hAnsi="仿宋" w:eastAsia="仿宋" w:cs="仿宋"/>
                <w:kern w:val="0"/>
                <w:sz w:val="20"/>
                <w:szCs w:val="20"/>
              </w:rPr>
            </w:pPr>
          </w:p>
        </w:tc>
        <w:tc>
          <w:tcPr>
            <w:tcW w:w="1276"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2651" w:type="dxa"/>
            <w:vMerge w:val="continue"/>
            <w:tcBorders>
              <w:tl2br w:val="nil"/>
              <w:tr2bl w:val="nil"/>
            </w:tcBorders>
            <w:vAlign w:val="center"/>
          </w:tcPr>
          <w:p>
            <w:pPr>
              <w:widowControl/>
              <w:spacing w:after="0" w:line="340" w:lineRule="exact"/>
              <w:jc w:val="center"/>
              <w:rPr>
                <w:rFonts w:ascii="仿宋" w:hAnsi="仿宋" w:eastAsia="仿宋" w:cs="仿宋"/>
                <w:kern w:val="0"/>
                <w:sz w:val="20"/>
                <w:szCs w:val="20"/>
              </w:rPr>
            </w:pPr>
          </w:p>
        </w:tc>
        <w:tc>
          <w:tcPr>
            <w:tcW w:w="2910" w:type="dxa"/>
            <w:tcBorders>
              <w:tl2br w:val="nil"/>
              <w:tr2bl w:val="nil"/>
            </w:tcBorders>
            <w:vAlign w:val="center"/>
          </w:tcPr>
          <w:p>
            <w:pPr>
              <w:widowControl/>
              <w:spacing w:after="0" w:line="340" w:lineRule="exact"/>
              <w:jc w:val="center"/>
              <w:rPr>
                <w:rFonts w:ascii="仿宋" w:hAnsi="仿宋" w:eastAsia="仿宋" w:cs="仿宋"/>
                <w:kern w:val="0"/>
                <w:szCs w:val="21"/>
              </w:rPr>
            </w:pPr>
            <w:r>
              <w:rPr>
                <w:rFonts w:hint="eastAsia" w:ascii="仿宋" w:hAnsi="仿宋" w:eastAsia="仿宋" w:cs="仿宋"/>
                <w:kern w:val="0"/>
                <w:szCs w:val="21"/>
              </w:rPr>
              <w:t>助力国家生态环境、科技教育、乡村振兴、文化卫生等多领域建设</w:t>
            </w:r>
          </w:p>
          <w:p>
            <w:pPr>
              <w:widowControl/>
              <w:spacing w:after="0" w:line="340" w:lineRule="exact"/>
              <w:jc w:val="center"/>
              <w:rPr>
                <w:rFonts w:ascii="仿宋" w:hAnsi="仿宋" w:eastAsia="仿宋" w:cs="仿宋"/>
                <w:kern w:val="0"/>
                <w:szCs w:val="21"/>
              </w:rPr>
            </w:pPr>
            <w:r>
              <w:rPr>
                <w:rFonts w:hint="eastAsia" w:ascii="仿宋" w:hAnsi="仿宋" w:eastAsia="仿宋" w:cs="仿宋"/>
                <w:kern w:val="0"/>
                <w:szCs w:val="21"/>
              </w:rPr>
              <w:t>（4）</w:t>
            </w:r>
          </w:p>
        </w:tc>
        <w:tc>
          <w:tcPr>
            <w:tcW w:w="2965" w:type="dxa"/>
            <w:gridSpan w:val="2"/>
            <w:tcBorders>
              <w:tl2br w:val="nil"/>
              <w:tr2bl w:val="nil"/>
            </w:tcBorders>
            <w:vAlign w:val="center"/>
          </w:tcPr>
          <w:p>
            <w:pPr>
              <w:widowControl/>
              <w:spacing w:after="0" w:line="340" w:lineRule="exact"/>
              <w:jc w:val="center"/>
              <w:rPr>
                <w:rFonts w:ascii="仿宋" w:hAnsi="仿宋" w:eastAsia="仿宋" w:cs="仿宋"/>
                <w:kern w:val="0"/>
                <w:szCs w:val="21"/>
              </w:rPr>
            </w:pPr>
            <w:r>
              <w:rPr>
                <w:rFonts w:hint="eastAsia" w:ascii="仿宋" w:hAnsi="仿宋" w:eastAsia="仿宋" w:cs="仿宋"/>
                <w:kern w:val="0"/>
                <w:szCs w:val="21"/>
              </w:rPr>
              <w:t>助力国家生态环境、科技教育、乡村振兴、文化卫生等多领域建设</w:t>
            </w:r>
          </w:p>
          <w:p>
            <w:pPr>
              <w:widowControl/>
              <w:spacing w:after="0" w:line="340" w:lineRule="exact"/>
              <w:jc w:val="center"/>
              <w:rPr>
                <w:rFonts w:ascii="仿宋" w:hAnsi="仿宋" w:eastAsia="仿宋" w:cs="仿宋"/>
                <w:kern w:val="0"/>
                <w:sz w:val="20"/>
                <w:szCs w:val="20"/>
              </w:rPr>
            </w:pPr>
          </w:p>
        </w:tc>
        <w:tc>
          <w:tcPr>
            <w:tcW w:w="1276"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2651"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服务对象满意度</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（5）</w:t>
            </w:r>
          </w:p>
        </w:tc>
        <w:tc>
          <w:tcPr>
            <w:tcW w:w="2910"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服务对象满意度</w:t>
            </w:r>
          </w:p>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（5）</w:t>
            </w:r>
          </w:p>
        </w:tc>
        <w:tc>
          <w:tcPr>
            <w:tcW w:w="2965" w:type="dxa"/>
            <w:gridSpan w:val="2"/>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服务对象满意度较高</w:t>
            </w:r>
          </w:p>
        </w:tc>
        <w:tc>
          <w:tcPr>
            <w:tcW w:w="1276"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174" w:type="dxa"/>
            <w:gridSpan w:val="8"/>
            <w:tcBorders>
              <w:tl2br w:val="nil"/>
              <w:tr2bl w:val="nil"/>
            </w:tcBorders>
            <w:vAlign w:val="center"/>
          </w:tcPr>
          <w:p>
            <w:pPr>
              <w:widowControl/>
              <w:spacing w:after="0" w:line="340" w:lineRule="exact"/>
              <w:jc w:val="left"/>
              <w:rPr>
                <w:rFonts w:hint="eastAsia" w:ascii="仿宋" w:hAnsi="仿宋" w:eastAsia="仿宋" w:cs="仿宋"/>
                <w:b/>
                <w:bCs/>
                <w:kern w:val="0"/>
                <w:sz w:val="18"/>
                <w:szCs w:val="18"/>
              </w:rPr>
            </w:pPr>
            <w:r>
              <w:rPr>
                <w:rFonts w:hint="eastAsia" w:ascii="仿宋" w:hAnsi="仿宋" w:eastAsia="仿宋" w:cs="仿宋"/>
                <w:b/>
                <w:bCs/>
                <w:kern w:val="0"/>
                <w:sz w:val="18"/>
                <w:szCs w:val="18"/>
              </w:rPr>
              <w:t>三、</w:t>
            </w:r>
            <w:r>
              <w:rPr>
                <w:rFonts w:hint="eastAsia" w:ascii="仿宋" w:hAnsi="仿宋" w:eastAsia="仿宋" w:cs="仿宋"/>
                <w:b/>
                <w:bCs/>
                <w:kern w:val="0"/>
                <w:sz w:val="20"/>
                <w:szCs w:val="20"/>
              </w:rPr>
              <w:t>预算管理情况（20分）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725"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2651"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3002" w:type="dxa"/>
            <w:gridSpan w:val="2"/>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指标值</w:t>
            </w:r>
          </w:p>
        </w:tc>
        <w:tc>
          <w:tcPr>
            <w:tcW w:w="2873"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完成值</w:t>
            </w:r>
          </w:p>
        </w:tc>
        <w:tc>
          <w:tcPr>
            <w:tcW w:w="127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分值</w:t>
            </w: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restart"/>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预算管理情况（20）</w:t>
            </w:r>
          </w:p>
        </w:tc>
        <w:tc>
          <w:tcPr>
            <w:tcW w:w="1725" w:type="dxa"/>
            <w:vMerge w:val="restart"/>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财务管理（4）</w:t>
            </w:r>
          </w:p>
        </w:tc>
        <w:tc>
          <w:tcPr>
            <w:tcW w:w="2651"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财务管理制度健全性</w:t>
            </w:r>
          </w:p>
        </w:tc>
        <w:tc>
          <w:tcPr>
            <w:tcW w:w="3002" w:type="dxa"/>
            <w:gridSpan w:val="2"/>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预算绩效管理、资产、财务管理等制度健全性</w:t>
            </w:r>
          </w:p>
        </w:tc>
        <w:tc>
          <w:tcPr>
            <w:tcW w:w="2873"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预算绩效管理、资产、财务管理等制度完整、合规</w:t>
            </w:r>
          </w:p>
        </w:tc>
        <w:tc>
          <w:tcPr>
            <w:tcW w:w="127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1</w:t>
            </w: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2651"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资金使用合规性和安全性</w:t>
            </w:r>
          </w:p>
        </w:tc>
        <w:tc>
          <w:tcPr>
            <w:tcW w:w="3002" w:type="dxa"/>
            <w:gridSpan w:val="2"/>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资金使用合规性与安全性</w:t>
            </w:r>
          </w:p>
        </w:tc>
        <w:tc>
          <w:tcPr>
            <w:tcW w:w="2873"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资金使用规范运行和安全运行</w:t>
            </w:r>
          </w:p>
        </w:tc>
        <w:tc>
          <w:tcPr>
            <w:tcW w:w="127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2</w:t>
            </w: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2651"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会计基础信息完善性</w:t>
            </w:r>
          </w:p>
        </w:tc>
        <w:tc>
          <w:tcPr>
            <w:tcW w:w="3002" w:type="dxa"/>
            <w:gridSpan w:val="2"/>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会计基础信息的真实性、完整性和准确性</w:t>
            </w:r>
          </w:p>
        </w:tc>
        <w:tc>
          <w:tcPr>
            <w:tcW w:w="2873"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基础数据信息和会计信息资料真实、完整、准确</w:t>
            </w:r>
          </w:p>
        </w:tc>
        <w:tc>
          <w:tcPr>
            <w:tcW w:w="127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1</w:t>
            </w: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资产管理（4）</w:t>
            </w:r>
          </w:p>
        </w:tc>
        <w:tc>
          <w:tcPr>
            <w:tcW w:w="2651"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资产管理规范性</w:t>
            </w:r>
          </w:p>
        </w:tc>
        <w:tc>
          <w:tcPr>
            <w:tcW w:w="3002" w:type="dxa"/>
            <w:gridSpan w:val="2"/>
            <w:tcBorders>
              <w:tl2br w:val="nil"/>
              <w:tr2bl w:val="nil"/>
            </w:tcBorders>
            <w:vAlign w:val="center"/>
          </w:tcPr>
          <w:p>
            <w:pPr>
              <w:widowControl/>
              <w:spacing w:after="0" w:line="340" w:lineRule="exact"/>
              <w:jc w:val="left"/>
              <w:rPr>
                <w:rFonts w:ascii="仿宋" w:hAnsi="仿宋" w:eastAsia="仿宋" w:cs="仿宋"/>
                <w:kern w:val="0"/>
                <w:sz w:val="20"/>
                <w:szCs w:val="20"/>
              </w:rPr>
            </w:pPr>
            <w:r>
              <w:rPr>
                <w:rFonts w:hint="eastAsia" w:ascii="仿宋" w:hAnsi="仿宋" w:eastAsia="仿宋" w:cs="仿宋"/>
                <w:kern w:val="0"/>
                <w:sz w:val="20"/>
                <w:szCs w:val="20"/>
              </w:rPr>
              <w:t>资产配置、使用和处理的规范性</w:t>
            </w:r>
          </w:p>
        </w:tc>
        <w:tc>
          <w:tcPr>
            <w:tcW w:w="2873" w:type="dxa"/>
            <w:tcBorders>
              <w:tl2br w:val="nil"/>
              <w:tr2bl w:val="nil"/>
            </w:tcBorders>
            <w:vAlign w:val="center"/>
          </w:tcPr>
          <w:p>
            <w:pPr>
              <w:widowControl/>
              <w:spacing w:after="0" w:line="340" w:lineRule="exact"/>
              <w:jc w:val="left"/>
              <w:rPr>
                <w:rFonts w:ascii="仿宋" w:hAnsi="仿宋" w:eastAsia="仿宋" w:cs="仿宋"/>
                <w:kern w:val="0"/>
                <w:sz w:val="20"/>
                <w:szCs w:val="20"/>
              </w:rPr>
            </w:pPr>
            <w:r>
              <w:rPr>
                <w:rFonts w:hint="eastAsia" w:ascii="仿宋" w:hAnsi="仿宋" w:eastAsia="仿宋" w:cs="仿宋"/>
                <w:kern w:val="0"/>
                <w:sz w:val="20"/>
                <w:szCs w:val="20"/>
              </w:rPr>
              <w:t>资产配置、使用和处理合理规范，未存在严重资产损失和丢失情况</w:t>
            </w:r>
          </w:p>
        </w:tc>
        <w:tc>
          <w:tcPr>
            <w:tcW w:w="127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4</w:t>
            </w: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绩效管理（4）</w:t>
            </w:r>
          </w:p>
        </w:tc>
        <w:tc>
          <w:tcPr>
            <w:tcW w:w="2651"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绩效管理情况</w:t>
            </w:r>
          </w:p>
        </w:tc>
        <w:tc>
          <w:tcPr>
            <w:tcW w:w="3002" w:type="dxa"/>
            <w:gridSpan w:val="2"/>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绩效信息收集和分析应用</w:t>
            </w:r>
          </w:p>
        </w:tc>
        <w:tc>
          <w:tcPr>
            <w:tcW w:w="2873"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及时对绩效信息进行汇总分析整理并对绩效目标偏离情况及时进行矫正</w:t>
            </w:r>
          </w:p>
        </w:tc>
        <w:tc>
          <w:tcPr>
            <w:tcW w:w="127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4</w:t>
            </w: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tcBorders>
              <w:tl2br w:val="nil"/>
              <w:tr2bl w:val="nil"/>
            </w:tcBorders>
            <w:vAlign w:val="center"/>
          </w:tcPr>
          <w:p>
            <w:pPr>
              <w:widowControl/>
              <w:spacing w:after="0" w:line="340" w:lineRule="exact"/>
              <w:rPr>
                <w:rFonts w:ascii="仿宋" w:hAnsi="仿宋" w:eastAsia="仿宋" w:cs="仿宋"/>
                <w:kern w:val="0"/>
                <w:sz w:val="20"/>
                <w:szCs w:val="20"/>
              </w:rPr>
            </w:pPr>
            <w:r>
              <w:rPr>
                <w:rFonts w:hint="eastAsia" w:ascii="仿宋" w:hAnsi="仿宋" w:eastAsia="仿宋" w:cs="仿宋"/>
                <w:kern w:val="0"/>
                <w:sz w:val="20"/>
                <w:szCs w:val="20"/>
              </w:rPr>
              <w:t>结转结余率（4）</w:t>
            </w:r>
          </w:p>
        </w:tc>
        <w:tc>
          <w:tcPr>
            <w:tcW w:w="5653" w:type="dxa"/>
            <w:gridSpan w:val="3"/>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w:t>
            </w:r>
          </w:p>
        </w:tc>
        <w:tc>
          <w:tcPr>
            <w:tcW w:w="2873" w:type="dxa"/>
            <w:tcBorders>
              <w:tl2br w:val="nil"/>
              <w:tr2bl w:val="nil"/>
            </w:tcBorders>
            <w:vAlign w:val="center"/>
          </w:tcPr>
          <w:p>
            <w:pPr>
              <w:widowControl/>
              <w:spacing w:after="0" w:line="340" w:lineRule="exact"/>
              <w:jc w:val="center"/>
              <w:rPr>
                <w:rFonts w:ascii="仿宋" w:hAnsi="仿宋" w:eastAsia="仿宋" w:cs="仿宋"/>
                <w:kern w:val="0"/>
                <w:sz w:val="20"/>
                <w:szCs w:val="20"/>
                <w:highlight w:val="green"/>
              </w:rPr>
            </w:pPr>
            <w:r>
              <w:rPr>
                <w:rFonts w:ascii="仿宋" w:hAnsi="仿宋" w:eastAsia="仿宋" w:cs="仿宋"/>
                <w:kern w:val="0"/>
                <w:sz w:val="20"/>
                <w:szCs w:val="20"/>
              </w:rPr>
              <w:t>4.12</w:t>
            </w:r>
            <w:r>
              <w:rPr>
                <w:rFonts w:hint="eastAsia" w:ascii="仿宋" w:hAnsi="仿宋" w:eastAsia="仿宋" w:cs="仿宋"/>
                <w:kern w:val="0"/>
                <w:sz w:val="20"/>
                <w:szCs w:val="20"/>
              </w:rPr>
              <w:t>%</w:t>
            </w:r>
          </w:p>
        </w:tc>
        <w:tc>
          <w:tcPr>
            <w:tcW w:w="127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4</w:t>
            </w: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651" w:type="dxa"/>
            <w:vMerge w:val="continue"/>
            <w:tcBorders>
              <w:tl2br w:val="nil"/>
              <w:tr2bl w:val="nil"/>
            </w:tcBorders>
            <w:vAlign w:val="center"/>
          </w:tcPr>
          <w:p>
            <w:pPr>
              <w:widowControl/>
              <w:spacing w:after="0" w:line="340" w:lineRule="exact"/>
              <w:jc w:val="left"/>
              <w:rPr>
                <w:rFonts w:ascii="仿宋" w:hAnsi="仿宋" w:eastAsia="仿宋" w:cs="仿宋"/>
                <w:kern w:val="0"/>
                <w:sz w:val="20"/>
                <w:szCs w:val="20"/>
              </w:rPr>
            </w:pPr>
          </w:p>
        </w:tc>
        <w:tc>
          <w:tcPr>
            <w:tcW w:w="1725" w:type="dxa"/>
            <w:tcBorders>
              <w:tl2br w:val="nil"/>
              <w:tr2bl w:val="nil"/>
            </w:tcBorders>
            <w:vAlign w:val="center"/>
          </w:tcPr>
          <w:p>
            <w:pPr>
              <w:widowControl/>
              <w:spacing w:after="0" w:line="340" w:lineRule="exact"/>
              <w:rPr>
                <w:rFonts w:ascii="仿宋" w:hAnsi="仿宋" w:eastAsia="仿宋" w:cs="仿宋"/>
                <w:kern w:val="0"/>
                <w:sz w:val="20"/>
                <w:szCs w:val="20"/>
              </w:rPr>
            </w:pPr>
            <w:r>
              <w:rPr>
                <w:rFonts w:hint="eastAsia" w:ascii="仿宋" w:hAnsi="仿宋" w:eastAsia="仿宋" w:cs="仿宋"/>
                <w:kern w:val="0"/>
                <w:sz w:val="20"/>
                <w:szCs w:val="20"/>
              </w:rPr>
              <w:t>部门预决算差异率（4）</w:t>
            </w:r>
          </w:p>
        </w:tc>
        <w:tc>
          <w:tcPr>
            <w:tcW w:w="5653" w:type="dxa"/>
            <w:gridSpan w:val="3"/>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w:t>
            </w:r>
          </w:p>
        </w:tc>
        <w:tc>
          <w:tcPr>
            <w:tcW w:w="2873" w:type="dxa"/>
            <w:tcBorders>
              <w:tl2br w:val="nil"/>
              <w:tr2bl w:val="nil"/>
            </w:tcBorders>
            <w:vAlign w:val="center"/>
          </w:tcPr>
          <w:p>
            <w:pPr>
              <w:widowControl/>
              <w:spacing w:after="0" w:line="340" w:lineRule="exact"/>
              <w:jc w:val="center"/>
              <w:rPr>
                <w:rFonts w:ascii="仿宋" w:hAnsi="仿宋" w:eastAsia="仿宋" w:cs="仿宋"/>
                <w:kern w:val="0"/>
                <w:sz w:val="20"/>
                <w:szCs w:val="20"/>
                <w:highlight w:val="green"/>
              </w:rPr>
            </w:pPr>
            <w:r>
              <w:rPr>
                <w:rFonts w:ascii="仿宋" w:hAnsi="仿宋" w:eastAsia="仿宋" w:cs="仿宋"/>
                <w:kern w:val="0"/>
                <w:sz w:val="20"/>
                <w:szCs w:val="20"/>
              </w:rPr>
              <w:t>3.38</w:t>
            </w:r>
            <w:r>
              <w:rPr>
                <w:rFonts w:hint="eastAsia" w:ascii="仿宋" w:hAnsi="仿宋" w:eastAsia="仿宋" w:cs="仿宋"/>
                <w:kern w:val="0"/>
                <w:sz w:val="20"/>
                <w:szCs w:val="20"/>
              </w:rPr>
              <w:t>%</w:t>
            </w:r>
          </w:p>
        </w:tc>
        <w:tc>
          <w:tcPr>
            <w:tcW w:w="127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4</w:t>
            </w:r>
          </w:p>
        </w:tc>
        <w:tc>
          <w:tcPr>
            <w:tcW w:w="996" w:type="dxa"/>
            <w:tcBorders>
              <w:tl2br w:val="nil"/>
              <w:tr2bl w:val="nil"/>
            </w:tcBorders>
            <w:vAlign w:val="center"/>
          </w:tcPr>
          <w:p>
            <w:pPr>
              <w:widowControl/>
              <w:spacing w:after="0" w:line="340" w:lineRule="exact"/>
              <w:jc w:val="center"/>
              <w:rPr>
                <w:rFonts w:ascii="仿宋" w:hAnsi="仿宋" w:eastAsia="仿宋" w:cs="仿宋"/>
                <w:kern w:val="0"/>
                <w:sz w:val="20"/>
                <w:szCs w:val="20"/>
              </w:rPr>
            </w:pPr>
            <w:r>
              <w:rPr>
                <w:rFonts w:hint="eastAsia" w:ascii="仿宋" w:hAnsi="仿宋" w:eastAsia="仿宋" w:cs="仿宋"/>
                <w:kern w:val="0"/>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1902" w:type="dxa"/>
            <w:gridSpan w:val="6"/>
            <w:tcBorders>
              <w:tl2br w:val="nil"/>
              <w:tr2bl w:val="nil"/>
            </w:tcBorders>
            <w:vAlign w:val="center"/>
          </w:tcPr>
          <w:p>
            <w:pPr>
              <w:widowControl/>
              <w:spacing w:after="0" w:line="340" w:lineRule="exact"/>
              <w:jc w:val="center"/>
              <w:rPr>
                <w:rFonts w:ascii="仿宋" w:hAnsi="仿宋" w:eastAsia="仿宋" w:cs="仿宋"/>
                <w:b/>
                <w:bCs/>
                <w:kern w:val="0"/>
                <w:sz w:val="20"/>
                <w:szCs w:val="20"/>
              </w:rPr>
            </w:pPr>
            <w:r>
              <w:rPr>
                <w:rFonts w:hint="eastAsia" w:ascii="仿宋" w:hAnsi="仿宋" w:eastAsia="仿宋" w:cs="仿宋"/>
                <w:b/>
                <w:bCs/>
                <w:kern w:val="0"/>
                <w:sz w:val="20"/>
                <w:szCs w:val="20"/>
              </w:rPr>
              <w:t>合计</w:t>
            </w:r>
          </w:p>
        </w:tc>
        <w:tc>
          <w:tcPr>
            <w:tcW w:w="1276" w:type="dxa"/>
            <w:tcBorders>
              <w:tl2br w:val="nil"/>
              <w:tr2bl w:val="nil"/>
            </w:tcBorders>
            <w:vAlign w:val="center"/>
          </w:tcPr>
          <w:p>
            <w:pPr>
              <w:widowControl/>
              <w:spacing w:after="0" w:line="340" w:lineRule="exact"/>
              <w:jc w:val="center"/>
              <w:rPr>
                <w:rFonts w:ascii="仿宋" w:hAnsi="仿宋" w:eastAsia="仿宋" w:cs="仿宋"/>
                <w:b/>
                <w:bCs/>
                <w:kern w:val="0"/>
                <w:sz w:val="20"/>
                <w:szCs w:val="20"/>
              </w:rPr>
            </w:pPr>
            <w:r>
              <w:rPr>
                <w:rFonts w:hint="eastAsia" w:ascii="仿宋" w:hAnsi="仿宋" w:eastAsia="仿宋" w:cs="仿宋"/>
                <w:b/>
                <w:bCs/>
                <w:kern w:val="0"/>
                <w:sz w:val="20"/>
                <w:szCs w:val="20"/>
              </w:rPr>
              <w:t>100</w:t>
            </w:r>
          </w:p>
        </w:tc>
        <w:tc>
          <w:tcPr>
            <w:tcW w:w="996" w:type="dxa"/>
            <w:tcBorders>
              <w:tl2br w:val="nil"/>
              <w:tr2bl w:val="nil"/>
            </w:tcBorders>
            <w:vAlign w:val="center"/>
          </w:tcPr>
          <w:p>
            <w:pPr>
              <w:widowControl/>
              <w:spacing w:after="0" w:line="340" w:lineRule="exact"/>
              <w:jc w:val="center"/>
              <w:rPr>
                <w:rFonts w:ascii="仿宋" w:hAnsi="仿宋" w:eastAsia="仿宋" w:cs="仿宋"/>
                <w:b/>
                <w:bCs/>
                <w:color w:val="FF0000"/>
                <w:kern w:val="0"/>
                <w:sz w:val="20"/>
                <w:szCs w:val="20"/>
              </w:rPr>
            </w:pPr>
            <w:r>
              <w:rPr>
                <w:rFonts w:ascii="仿宋" w:hAnsi="仿宋" w:eastAsia="仿宋" w:cs="仿宋"/>
                <w:b/>
                <w:bCs/>
                <w:kern w:val="0"/>
                <w:sz w:val="20"/>
                <w:szCs w:val="20"/>
              </w:rPr>
              <w:t>93.17</w:t>
            </w:r>
          </w:p>
        </w:tc>
      </w:tr>
    </w:tbl>
    <w:p>
      <w:pPr>
        <w:pStyle w:val="2"/>
        <w:ind w:firstLine="0" w:firstLineChars="0"/>
      </w:pPr>
    </w:p>
    <w:p>
      <w:pPr>
        <w:pStyle w:val="2"/>
        <w:ind w:firstLine="420"/>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_GBK">
    <w:altName w:val="微软雅黑"/>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ind w:firstLine="360"/>
      <w:jc w:val="center"/>
      <w:rPr>
        <w:sz w:val="21"/>
        <w:szCs w:val="21"/>
      </w:rPr>
    </w:pPr>
    <w:r>
      <w:rPr>
        <w:rFonts w:ascii="Times New Roman" w:hAnsi="Times New Roman" w:eastAsia="宋体" w:cs="Times New Roman"/>
        <w:kern w:val="2"/>
        <w:sz w:val="18"/>
        <w:szCs w:val="18"/>
        <w:lang w:val="en-US" w:eastAsia="zh-CN" w:bidi="ar-SA"/>
      </w:rPr>
      <w:pict>
        <v:rect id="文本框 1" o:spid="_x0000_s1025" style="position:absolute;left:0;margin-top:0pt;height:20pt;width:4.55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8"/>
                </w:pPr>
                <w:r>
                  <w:fldChar w:fldCharType="begin"/>
                </w:r>
                <w:r>
                  <w:instrText xml:space="preserve"> PAGE  \* MERGEFORMAT </w:instrText>
                </w:r>
                <w:r>
                  <w:fldChar w:fldCharType="separate"/>
                </w:r>
                <w:r>
                  <w:t>1</w:t>
                </w:r>
                <w: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Tk5YzQ3YTk2OWE3NmU4ZTNmNTQwMjRlMTFlNDIzMzIifQ=="/>
  </w:docVars>
  <w:rsids>
    <w:rsidRoot w:val="00BD117D"/>
    <w:rsid w:val="00004FF7"/>
    <w:rsid w:val="00022ABF"/>
    <w:rsid w:val="00062150"/>
    <w:rsid w:val="00065B05"/>
    <w:rsid w:val="00071BE6"/>
    <w:rsid w:val="000727EC"/>
    <w:rsid w:val="0007392D"/>
    <w:rsid w:val="00074F7B"/>
    <w:rsid w:val="000B07ED"/>
    <w:rsid w:val="001079F0"/>
    <w:rsid w:val="00117F14"/>
    <w:rsid w:val="00187A03"/>
    <w:rsid w:val="001953CF"/>
    <w:rsid w:val="00203F0A"/>
    <w:rsid w:val="00230CEF"/>
    <w:rsid w:val="002311DE"/>
    <w:rsid w:val="002423A2"/>
    <w:rsid w:val="00243554"/>
    <w:rsid w:val="002514D4"/>
    <w:rsid w:val="002A5727"/>
    <w:rsid w:val="002F1E49"/>
    <w:rsid w:val="00300446"/>
    <w:rsid w:val="0034294F"/>
    <w:rsid w:val="00344B7C"/>
    <w:rsid w:val="00392AAD"/>
    <w:rsid w:val="003D0372"/>
    <w:rsid w:val="003E1329"/>
    <w:rsid w:val="003E762A"/>
    <w:rsid w:val="003F2BA7"/>
    <w:rsid w:val="00482573"/>
    <w:rsid w:val="004D5F7A"/>
    <w:rsid w:val="004F5817"/>
    <w:rsid w:val="0052084A"/>
    <w:rsid w:val="005335B0"/>
    <w:rsid w:val="0054246A"/>
    <w:rsid w:val="0054611D"/>
    <w:rsid w:val="00556316"/>
    <w:rsid w:val="00565CBA"/>
    <w:rsid w:val="00587BF6"/>
    <w:rsid w:val="005A3CBF"/>
    <w:rsid w:val="005F1B81"/>
    <w:rsid w:val="006216B4"/>
    <w:rsid w:val="00663B02"/>
    <w:rsid w:val="006B2B07"/>
    <w:rsid w:val="006D61E8"/>
    <w:rsid w:val="007C7E0A"/>
    <w:rsid w:val="007D3D5A"/>
    <w:rsid w:val="007F3493"/>
    <w:rsid w:val="00804623"/>
    <w:rsid w:val="008314B3"/>
    <w:rsid w:val="008874A1"/>
    <w:rsid w:val="00896623"/>
    <w:rsid w:val="008D5BCA"/>
    <w:rsid w:val="009032A1"/>
    <w:rsid w:val="0090658D"/>
    <w:rsid w:val="00913503"/>
    <w:rsid w:val="009602D8"/>
    <w:rsid w:val="009679C3"/>
    <w:rsid w:val="009D4362"/>
    <w:rsid w:val="009E41C0"/>
    <w:rsid w:val="009F13AB"/>
    <w:rsid w:val="00A2430D"/>
    <w:rsid w:val="00A422EF"/>
    <w:rsid w:val="00B05B6C"/>
    <w:rsid w:val="00B40853"/>
    <w:rsid w:val="00BB5810"/>
    <w:rsid w:val="00BC1A86"/>
    <w:rsid w:val="00BC71D8"/>
    <w:rsid w:val="00BC745C"/>
    <w:rsid w:val="00BD117D"/>
    <w:rsid w:val="00BD66F8"/>
    <w:rsid w:val="00C16A8A"/>
    <w:rsid w:val="00C30F63"/>
    <w:rsid w:val="00C65E7B"/>
    <w:rsid w:val="00C85FBE"/>
    <w:rsid w:val="00D22AAF"/>
    <w:rsid w:val="00D52120"/>
    <w:rsid w:val="00D52CD5"/>
    <w:rsid w:val="00D763AF"/>
    <w:rsid w:val="00E06AAA"/>
    <w:rsid w:val="00E31837"/>
    <w:rsid w:val="00E45AA4"/>
    <w:rsid w:val="00E53CD1"/>
    <w:rsid w:val="00E778AC"/>
    <w:rsid w:val="00E91B7F"/>
    <w:rsid w:val="00E93DC7"/>
    <w:rsid w:val="00EB0A70"/>
    <w:rsid w:val="00ED6B62"/>
    <w:rsid w:val="00F773BD"/>
    <w:rsid w:val="00F91F4A"/>
    <w:rsid w:val="00F94D5F"/>
    <w:rsid w:val="00FC03DF"/>
    <w:rsid w:val="00FC47B0"/>
    <w:rsid w:val="00FF16D5"/>
    <w:rsid w:val="00FF2490"/>
    <w:rsid w:val="087D1C8A"/>
    <w:rsid w:val="0C506C17"/>
    <w:rsid w:val="0FAA2363"/>
    <w:rsid w:val="127A0E2F"/>
    <w:rsid w:val="158C4D6A"/>
    <w:rsid w:val="163205BD"/>
    <w:rsid w:val="181F2772"/>
    <w:rsid w:val="1D9F610D"/>
    <w:rsid w:val="1E6D10E5"/>
    <w:rsid w:val="1FC2006A"/>
    <w:rsid w:val="21FB5715"/>
    <w:rsid w:val="27393520"/>
    <w:rsid w:val="28B30A92"/>
    <w:rsid w:val="29DD532D"/>
    <w:rsid w:val="2F493D6F"/>
    <w:rsid w:val="314C5377"/>
    <w:rsid w:val="31980539"/>
    <w:rsid w:val="33D12E95"/>
    <w:rsid w:val="35D42B52"/>
    <w:rsid w:val="3790083E"/>
    <w:rsid w:val="39DF7DFE"/>
    <w:rsid w:val="3AB16D71"/>
    <w:rsid w:val="3F411B4D"/>
    <w:rsid w:val="4018195C"/>
    <w:rsid w:val="469F284C"/>
    <w:rsid w:val="47176886"/>
    <w:rsid w:val="47A575FA"/>
    <w:rsid w:val="487C2A42"/>
    <w:rsid w:val="489313CA"/>
    <w:rsid w:val="49741721"/>
    <w:rsid w:val="49F049D5"/>
    <w:rsid w:val="4ECB2773"/>
    <w:rsid w:val="51A60F54"/>
    <w:rsid w:val="5364642C"/>
    <w:rsid w:val="540A7817"/>
    <w:rsid w:val="55F92B1E"/>
    <w:rsid w:val="56127AF2"/>
    <w:rsid w:val="577E4B20"/>
    <w:rsid w:val="59A77D29"/>
    <w:rsid w:val="5C494B03"/>
    <w:rsid w:val="608A1A1F"/>
    <w:rsid w:val="62D03CBC"/>
    <w:rsid w:val="63AD498C"/>
    <w:rsid w:val="6A4E6CB6"/>
    <w:rsid w:val="723154A8"/>
    <w:rsid w:val="7794726C"/>
    <w:rsid w:val="78AA0246"/>
    <w:rsid w:val="7B4E623F"/>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4">
    <w:name w:val="heading 2"/>
    <w:next w:val="1"/>
    <w:qFormat/>
    <w:uiPriority w:val="0"/>
    <w:pPr>
      <w:keepNext/>
      <w:keepLines/>
      <w:widowControl w:val="0"/>
      <w:spacing w:before="260" w:after="260" w:line="412" w:lineRule="auto"/>
      <w:jc w:val="both"/>
      <w:outlineLvl w:val="1"/>
    </w:pPr>
    <w:rPr>
      <w:rFonts w:ascii="Arial" w:hAnsi="Arial" w:eastAsia="黑体" w:cs="Times New Roman"/>
      <w:b/>
      <w:kern w:val="2"/>
      <w:sz w:val="32"/>
      <w:lang w:val="en-US" w:eastAsia="zh-CN" w:bidi="ar-SA"/>
    </w:rPr>
  </w:style>
  <w:style w:type="character" w:default="1" w:styleId="11">
    <w:name w:val="Default Paragraph Font"/>
    <w:unhideWhenUsed/>
    <w:uiPriority w:val="1"/>
  </w:style>
  <w:style w:type="table" w:default="1" w:styleId="12">
    <w:name w:val="Normal Table"/>
    <w:unhideWhenUsed/>
    <w:uiPriority w:val="99"/>
    <w:tblPr>
      <w:tblStyle w:val="12"/>
      <w:tblLayout w:type="fixed"/>
      <w:tblCellMar>
        <w:top w:w="0" w:type="dxa"/>
        <w:left w:w="108" w:type="dxa"/>
        <w:bottom w:w="0" w:type="dxa"/>
        <w:right w:w="108" w:type="dxa"/>
      </w:tblCellMar>
    </w:tblPr>
    <w:tcPr>
      <w:textDirection w:val="lrTb"/>
    </w:tcPr>
  </w:style>
  <w:style w:type="paragraph" w:styleId="2">
    <w:name w:val="Normal Indent"/>
    <w:basedOn w:val="1"/>
    <w:qFormat/>
    <w:uiPriority w:val="0"/>
    <w:pPr>
      <w:ind w:firstLine="200" w:firstLineChars="200"/>
    </w:p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lock Text"/>
    <w:basedOn w:val="1"/>
    <w:qFormat/>
    <w:uiPriority w:val="0"/>
    <w:pPr>
      <w:spacing w:after="120"/>
      <w:ind w:left="700" w:leftChars="700" w:right="700" w:rightChars="700"/>
    </w:pPr>
  </w:style>
  <w:style w:type="paragraph" w:styleId="8">
    <w:name w:val="footer"/>
    <w:basedOn w:val="1"/>
    <w:next w:val="1"/>
    <w:qFormat/>
    <w:uiPriority w:val="0"/>
    <w:pPr>
      <w:tabs>
        <w:tab w:val="center" w:pos="4153"/>
        <w:tab w:val="right" w:pos="8306"/>
      </w:tabs>
      <w:snapToGrid w:val="0"/>
      <w:jc w:val="left"/>
    </w:pPr>
    <w:rPr>
      <w:sz w:val="18"/>
      <w:szCs w:val="18"/>
    </w:rPr>
  </w:style>
  <w:style w:type="paragraph" w:styleId="9">
    <w:name w:val="header"/>
    <w:basedOn w:val="1"/>
    <w:link w:val="16"/>
    <w:uiPriority w:val="0"/>
    <w:pPr>
      <w:tabs>
        <w:tab w:val="center" w:pos="4153"/>
        <w:tab w:val="right" w:pos="8306"/>
      </w:tabs>
      <w:snapToGrid w:val="0"/>
      <w:jc w:val="center"/>
    </w:pPr>
    <w:rPr>
      <w:sz w:val="18"/>
      <w:szCs w:val="18"/>
    </w:rPr>
  </w:style>
  <w:style w:type="paragraph" w:styleId="10">
    <w:name w:val="Normal (Web)"/>
    <w:basedOn w:val="1"/>
    <w:uiPriority w:val="0"/>
    <w:pPr>
      <w:widowControl/>
      <w:spacing w:before="100" w:beforeAutospacing="1" w:after="100" w:afterAutospacing="1" w:line="240" w:lineRule="auto"/>
      <w:jc w:val="left"/>
    </w:pPr>
    <w:rPr>
      <w:rFonts w:ascii="宋体" w:hAnsi="宋体"/>
      <w:kern w:val="0"/>
      <w:sz w:val="24"/>
    </w:rPr>
  </w:style>
  <w:style w:type="paragraph" w:customStyle="1" w:styleId="13">
    <w:name w:val="列表段落1"/>
    <w:basedOn w:val="1"/>
    <w:unhideWhenUsed/>
    <w:uiPriority w:val="99"/>
    <w:pPr>
      <w:ind w:firstLine="420" w:firstLineChars="200"/>
    </w:pPr>
  </w:style>
  <w:style w:type="paragraph" w:customStyle="1" w:styleId="14">
    <w:name w:val="修订1"/>
    <w:hidden/>
    <w:unhideWhenUsed/>
    <w:uiPriority w:val="99"/>
    <w:rPr>
      <w:rFonts w:ascii="Times New Roman" w:hAnsi="Times New Roman" w:eastAsia="宋体" w:cs="Times New Roman"/>
      <w:kern w:val="2"/>
      <w:sz w:val="21"/>
      <w:szCs w:val="24"/>
      <w:lang w:val="en-US" w:eastAsia="zh-CN" w:bidi="ar-SA"/>
    </w:rPr>
  </w:style>
  <w:style w:type="paragraph" w:customStyle="1" w:styleId="15">
    <w:name w:val="Revision"/>
    <w:hidden/>
    <w:unhideWhenUsed/>
    <w:uiPriority w:val="99"/>
    <w:pPr>
      <w:spacing w:after="0" w:line="240" w:lineRule="auto"/>
    </w:pPr>
    <w:rPr>
      <w:rFonts w:ascii="Times New Roman" w:hAnsi="Times New Roman" w:eastAsia="宋体" w:cs="Times New Roman"/>
      <w:kern w:val="2"/>
      <w:sz w:val="21"/>
      <w:szCs w:val="24"/>
      <w:lang w:val="en-US" w:eastAsia="zh-CN" w:bidi="ar-SA"/>
    </w:rPr>
  </w:style>
  <w:style w:type="character" w:customStyle="1" w:styleId="16">
    <w:name w:val="页眉 字符"/>
    <w:basedOn w:val="11"/>
    <w:link w:val="9"/>
    <w:uiPriority w:val="0"/>
    <w:rPr>
      <w:kern w:val="2"/>
      <w:sz w:val="18"/>
      <w:szCs w:val="18"/>
    </w:rPr>
  </w:style>
  <w:style w:type="character" w:customStyle="1" w:styleId="17">
    <w:name w:val="font41"/>
    <w:basedOn w:val="11"/>
    <w:uiPriority w:val="0"/>
    <w:rPr>
      <w:rFonts w:hint="eastAsia" w:ascii="方正小标宋简体" w:hAnsi="方正小标宋简体" w:eastAsia="方正小标宋简体" w:cs="方正小标宋简体"/>
      <w:color w:val="000000"/>
      <w:sz w:val="44"/>
      <w:szCs w:val="44"/>
      <w:u w:val="none"/>
    </w:rPr>
  </w:style>
  <w:style w:type="character" w:customStyle="1" w:styleId="18">
    <w:name w:val="font21"/>
    <w:basedOn w:val="11"/>
    <w:uiPriority w:val="0"/>
    <w:rPr>
      <w:rFonts w:hint="eastAsia" w:ascii="宋体" w:hAnsi="宋体" w:eastAsia="宋体" w:cs="宋体"/>
      <w:color w:val="000000"/>
      <w:sz w:val="20"/>
      <w:szCs w:val="20"/>
      <w:u w:val="none"/>
    </w:rPr>
  </w:style>
  <w:style w:type="character" w:customStyle="1" w:styleId="19">
    <w:name w:val="font31"/>
    <w:basedOn w:val="11"/>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1579</Words>
  <Characters>9001</Characters>
  <Lines>75</Lines>
  <Paragraphs>21</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2024-05-20T07:16:00Z</dcterms:created>
  <dc:creator>jscxw</dc:creator>
  <cp:lastModifiedBy>tfj</cp:lastModifiedBy>
  <cp:lastPrinted>2025-08-22T01:36:00Z</cp:lastPrinted>
  <dcterms:modified xsi:type="dcterms:W3CDTF">2025-08-26T01:52:20Z</dcterms:modified>
  <dc:title>附件4</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EE9F5C5097804E3290084EAA93BCE522_12</vt:lpwstr>
  </property>
</Properties>
</file>