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B2AC3">
      <w:pPr>
        <w:spacing w:line="560" w:lineRule="exact"/>
        <w:jc w:val="center"/>
        <w:rPr>
          <w:rFonts w:hint="eastAsia" w:ascii="方正小标宋简体" w:eastAsia="方正小标宋简体"/>
          <w:sz w:val="36"/>
          <w:szCs w:val="36"/>
          <w:highlight w:val="none"/>
        </w:rPr>
      </w:pPr>
      <w:r>
        <w:rPr>
          <w:rFonts w:hint="eastAsia" w:ascii="方正小标宋简体" w:eastAsia="方正小标宋简体"/>
          <w:sz w:val="36"/>
          <w:szCs w:val="36"/>
        </w:rPr>
        <w:t>部门整体绩效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p>
    <w:p w14:paraId="077D6172">
      <w:pPr>
        <w:keepNext w:val="0"/>
        <w:keepLines w:val="0"/>
        <w:pageBreakBefore w:val="0"/>
        <w:kinsoku/>
        <w:wordWrap/>
        <w:overflowPunct/>
        <w:topLinePunct w:val="0"/>
        <w:autoSpaceDE/>
        <w:autoSpaceDN/>
        <w:bidi w:val="0"/>
        <w:adjustRightInd/>
        <w:snapToGrid/>
        <w:spacing w:line="360" w:lineRule="auto"/>
        <w:jc w:val="center"/>
        <w:rPr>
          <w:rFonts w:ascii="仿宋_GB2312"/>
          <w:szCs w:val="30"/>
          <w:highlight w:val="none"/>
        </w:rPr>
      </w:pPr>
    </w:p>
    <w:p w14:paraId="3D9D5659">
      <w:pPr>
        <w:keepNext w:val="0"/>
        <w:keepLines w:val="0"/>
        <w:pageBreakBefore w:val="0"/>
        <w:kinsoku/>
        <w:wordWrap/>
        <w:overflowPunct/>
        <w:topLinePunct w:val="0"/>
        <w:autoSpaceDE/>
        <w:autoSpaceDN/>
        <w:bidi w:val="0"/>
        <w:adjustRightInd/>
        <w:snapToGrid/>
        <w:spacing w:line="600" w:lineRule="exact"/>
        <w:ind w:firstLine="640" w:firstLineChars="200"/>
        <w:outlineLvl w:val="0"/>
        <w:rPr>
          <w:rFonts w:hint="eastAsia"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一、部门概况</w:t>
      </w:r>
    </w:p>
    <w:p w14:paraId="70F5609B">
      <w:pPr>
        <w:keepNext w:val="0"/>
        <w:keepLines w:val="0"/>
        <w:pageBreakBefore w:val="0"/>
        <w:kinsoku/>
        <w:wordWrap/>
        <w:overflowPunct/>
        <w:topLinePunct w:val="0"/>
        <w:autoSpaceDE/>
        <w:autoSpaceDN/>
        <w:bidi w:val="0"/>
        <w:adjustRightInd/>
        <w:snapToGrid/>
        <w:spacing w:line="600" w:lineRule="exact"/>
        <w:ind w:firstLine="640" w:firstLineChars="200"/>
        <w:outlineLvl w:val="1"/>
        <w:rPr>
          <w:rFonts w:hint="eastAsia" w:ascii="楷体_GB2312" w:eastAsia="楷体_GB2312"/>
          <w:sz w:val="32"/>
          <w:szCs w:val="32"/>
          <w:highlight w:val="none"/>
        </w:rPr>
      </w:pPr>
      <w:r>
        <w:rPr>
          <w:rFonts w:hint="eastAsia" w:ascii="楷体_GB2312" w:eastAsia="楷体_GB2312"/>
          <w:sz w:val="32"/>
          <w:szCs w:val="32"/>
          <w:highlight w:val="none"/>
        </w:rPr>
        <w:t>（一）机构设置及职责工作任务情况</w:t>
      </w:r>
    </w:p>
    <w:p w14:paraId="68F8DD1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主要职能</w:t>
      </w:r>
    </w:p>
    <w:p w14:paraId="181E4F7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北京市海淀区人民检察院主要职责是在辖区内依法独立行使检察权。接受北京市人民检察院和区委的领导，对本区人民代表大会及其常务委员会负责并报告工作；负责受理审查本院管辖提请逮捕的案件；负责受理本院管辖提起公诉的案件，并出庭支持公诉；负责对辖区内公民、单位的法制宣传和犯罪预防；负责受理辖区内公民和法人的检举、控告、申诉的案件；负责对辖区内的民事、经济、行政诉讼判决的监督；负责对公安局、国家安全局侦查工作的法律监督；负责对辖区内监管场所收押犯罪嫌疑人、罪犯改造工作的监督；负责本院的党建工作和干部教育管理以及思想政治工作；负责本院党的纪律检查和行政监察工作；负责本院的后勤管理和物资装备工作；负责由上级人民检察院交办的其他工作。</w:t>
      </w:r>
    </w:p>
    <w:p w14:paraId="0D1472C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机构情况</w:t>
      </w:r>
    </w:p>
    <w:p w14:paraId="4F76766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北京市机构编制委员会、北京市人民检察院关于印发&lt;北京市区、县人民检察院机构改革的意见&gt;的通知》（京编委[2002]3号）、《北京市人民检察院关于印发&lt;关于北京市检察机关内设机构优化设置的实施意见（试行）&gt;的通知》（京检发[2016]127号）以及北京市检察机关内设机构改革方案，设立北京市海淀区人民检察院。内设12个部门，分别为办公室（行政事务管理部）、政治部（机关党委、机关纪委）、第一检察部、第二检察部、第三检察部、第四检察部、第五检察部、第六检察部、第七检察部、第八检察部、第九检察部（法律政策研究室）、检务督察部。</w:t>
      </w:r>
    </w:p>
    <w:p w14:paraId="6DE629F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3.重点工作任务情况</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21"/>
        <w:gridCol w:w="4801"/>
      </w:tblGrid>
      <w:tr w14:paraId="5709E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721" w:type="dxa"/>
            <w:vAlign w:val="top"/>
          </w:tcPr>
          <w:p w14:paraId="4809156E">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b/>
                <w:bCs/>
                <w:sz w:val="24"/>
                <w:szCs w:val="24"/>
                <w:highlight w:val="none"/>
                <w:vertAlign w:val="baseline"/>
                <w:lang w:val="en-US" w:eastAsia="zh-CN"/>
              </w:rPr>
              <w:t>主要职能</w:t>
            </w:r>
          </w:p>
        </w:tc>
        <w:tc>
          <w:tcPr>
            <w:tcW w:w="4801" w:type="dxa"/>
            <w:vAlign w:val="top"/>
          </w:tcPr>
          <w:p w14:paraId="1D265015">
            <w:pPr>
              <w:keepNext w:val="0"/>
              <w:keepLines w:val="0"/>
              <w:pageBreakBefore w:val="0"/>
              <w:kinsoku/>
              <w:wordWrap/>
              <w:overflowPunct/>
              <w:topLinePunct w:val="0"/>
              <w:autoSpaceDE/>
              <w:autoSpaceDN/>
              <w:bidi w:val="0"/>
              <w:adjustRightInd/>
              <w:snapToGrid/>
              <w:spacing w:line="600" w:lineRule="exact"/>
              <w:jc w:val="center"/>
              <w:rPr>
                <w:rFonts w:hint="default" w:ascii="仿宋_GB2312" w:hAnsi="仿宋_GB2312" w:eastAsia="仿宋_GB2312" w:cs="仿宋_GB2312"/>
                <w:b/>
                <w:bCs/>
                <w:sz w:val="24"/>
                <w:szCs w:val="24"/>
                <w:highlight w:val="none"/>
                <w:vertAlign w:val="baseline"/>
                <w:lang w:val="en-US" w:eastAsia="zh-CN"/>
              </w:rPr>
            </w:pPr>
            <w:r>
              <w:rPr>
                <w:rFonts w:hint="eastAsia" w:ascii="仿宋_GB2312" w:hAnsi="仿宋_GB2312" w:eastAsia="仿宋_GB2312" w:cs="仿宋_GB2312"/>
                <w:b/>
                <w:bCs/>
                <w:sz w:val="24"/>
                <w:szCs w:val="24"/>
                <w:highlight w:val="none"/>
                <w:vertAlign w:val="baseline"/>
                <w:lang w:val="en-US" w:eastAsia="zh-CN"/>
              </w:rPr>
              <w:t>2024年度重点工作任务</w:t>
            </w:r>
          </w:p>
        </w:tc>
      </w:tr>
      <w:tr w14:paraId="4ADA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1" w:type="dxa"/>
            <w:vAlign w:val="center"/>
          </w:tcPr>
          <w:p w14:paraId="7034DCC4">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vertAlign w:val="baseline"/>
              </w:rPr>
            </w:pPr>
            <w:r>
              <w:rPr>
                <w:rFonts w:hint="eastAsia" w:ascii="仿宋_GB2312" w:hAnsi="仿宋_GB2312" w:eastAsia="仿宋_GB2312" w:cs="仿宋_GB2312"/>
                <w:sz w:val="24"/>
                <w:szCs w:val="24"/>
                <w:highlight w:val="none"/>
              </w:rPr>
              <w:t>负责受理审查本院管辖提请逮捕的案件</w:t>
            </w:r>
          </w:p>
        </w:tc>
        <w:tc>
          <w:tcPr>
            <w:tcW w:w="4801" w:type="dxa"/>
            <w:vMerge w:val="restart"/>
          </w:tcPr>
          <w:p w14:paraId="24D3EE6A">
            <w:pPr>
              <w:keepNext w:val="0"/>
              <w:keepLines w:val="0"/>
              <w:pageBreakBefore w:val="0"/>
              <w:kinsoku/>
              <w:wordWrap/>
              <w:overflowPunct/>
              <w:topLinePunct w:val="0"/>
              <w:autoSpaceDE/>
              <w:autoSpaceDN/>
              <w:bidi w:val="0"/>
              <w:adjustRightInd/>
              <w:snapToGrid/>
              <w:spacing w:line="600" w:lineRule="exact"/>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持续坚持司法办案和监督办案并重，深化类案监督、专项监督机制，全面提升法律监督质效，更有力推动“四大检察”全面协调充分发展</w:t>
            </w:r>
            <w:r>
              <w:rPr>
                <w:rFonts w:hint="eastAsia" w:ascii="仿宋_GB2312" w:hAnsi="仿宋_GB2312" w:eastAsia="仿宋_GB2312" w:cs="仿宋_GB2312"/>
                <w:sz w:val="24"/>
                <w:szCs w:val="24"/>
                <w:highlight w:val="none"/>
                <w:lang w:eastAsia="zh-CN"/>
              </w:rPr>
              <w:t>。</w:t>
            </w:r>
          </w:p>
          <w:p w14:paraId="6C010087">
            <w:pPr>
              <w:keepNext w:val="0"/>
              <w:keepLines w:val="0"/>
              <w:pageBreakBefore w:val="0"/>
              <w:kinsoku/>
              <w:wordWrap/>
              <w:overflowPunct/>
              <w:topLinePunct w:val="0"/>
              <w:autoSpaceDE/>
              <w:autoSpaceDN/>
              <w:bidi w:val="0"/>
              <w:adjustRightInd/>
              <w:snapToGrid/>
              <w:spacing w:line="600" w:lineRule="exact"/>
              <w:ind w:firstLine="480" w:firstLineChars="200"/>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持续以健全完善侦查监督与协作配合机制、行刑双向衔接机制等为牵引，进一步推动构建规范高效的执法司法监督制约体系。</w:t>
            </w:r>
          </w:p>
          <w:p w14:paraId="3DD7BA8D">
            <w:pPr>
              <w:keepNext w:val="0"/>
              <w:keepLines w:val="0"/>
              <w:pageBreakBefore w:val="0"/>
              <w:kinsoku/>
              <w:wordWrap/>
              <w:overflowPunct/>
              <w:topLinePunct w:val="0"/>
              <w:autoSpaceDE/>
              <w:autoSpaceDN/>
              <w:bidi w:val="0"/>
              <w:adjustRightInd/>
              <w:snapToGrid/>
              <w:spacing w:line="600" w:lineRule="exact"/>
              <w:ind w:firstLine="480" w:firstLineChars="200"/>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持续以精准监督、穿透式监督等理念为指引，推动民事、行政监督继续做大做强。</w:t>
            </w:r>
          </w:p>
          <w:p w14:paraId="00B12B18">
            <w:pPr>
              <w:keepNext w:val="0"/>
              <w:keepLines w:val="0"/>
              <w:pageBreakBefore w:val="0"/>
              <w:kinsoku/>
              <w:wordWrap/>
              <w:overflowPunct/>
              <w:topLinePunct w:val="0"/>
              <w:autoSpaceDE/>
              <w:autoSpaceDN/>
              <w:bidi w:val="0"/>
              <w:adjustRightInd/>
              <w:snapToGrid/>
              <w:spacing w:line="600" w:lineRule="exact"/>
              <w:ind w:firstLine="480" w:firstLineChars="200"/>
              <w:rPr>
                <w:rFonts w:hint="eastAsia"/>
                <w:highlight w:val="none"/>
                <w:lang w:eastAsia="zh-CN"/>
              </w:rPr>
            </w:pPr>
            <w:r>
              <w:rPr>
                <w:rFonts w:hint="eastAsia" w:ascii="仿宋_GB2312" w:hAnsi="仿宋_GB2312" w:eastAsia="仿宋_GB2312" w:cs="仿宋_GB2312"/>
                <w:color w:val="auto"/>
                <w:kern w:val="2"/>
                <w:sz w:val="24"/>
                <w:szCs w:val="24"/>
                <w:highlight w:val="none"/>
                <w:lang w:val="en-US" w:eastAsia="zh-CN" w:bidi="ar-SA"/>
              </w:rPr>
              <w:t>持续以“我管”促“都管”，深入推进公益诉讼检察“4+9”更多领域实践，更好履行“公共利益代表”神圣职责。</w:t>
            </w:r>
          </w:p>
        </w:tc>
      </w:tr>
      <w:tr w14:paraId="7FE5E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1" w:type="dxa"/>
            <w:vAlign w:val="center"/>
          </w:tcPr>
          <w:p w14:paraId="542B06D8">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负责受理本院管辖提起公诉的案件，并出庭支持公诉</w:t>
            </w:r>
          </w:p>
        </w:tc>
        <w:tc>
          <w:tcPr>
            <w:tcW w:w="4801" w:type="dxa"/>
            <w:vMerge w:val="continue"/>
          </w:tcPr>
          <w:p w14:paraId="46B07203">
            <w:pPr>
              <w:keepNext w:val="0"/>
              <w:keepLines w:val="0"/>
              <w:pageBreakBefore w:val="0"/>
              <w:kinsoku/>
              <w:wordWrap/>
              <w:overflowPunct/>
              <w:topLinePunct w:val="0"/>
              <w:autoSpaceDE/>
              <w:autoSpaceDN/>
              <w:bidi w:val="0"/>
              <w:adjustRightInd/>
              <w:snapToGrid/>
              <w:spacing w:line="600" w:lineRule="exact"/>
              <w:rPr>
                <w:rFonts w:hint="eastAsia" w:ascii="仿宋_GB2312" w:hAnsi="仿宋_GB2312" w:eastAsia="仿宋_GB2312" w:cs="仿宋_GB2312"/>
                <w:sz w:val="24"/>
                <w:szCs w:val="24"/>
                <w:highlight w:val="none"/>
              </w:rPr>
            </w:pPr>
          </w:p>
        </w:tc>
      </w:tr>
      <w:tr w14:paraId="2CDE8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1" w:type="dxa"/>
            <w:vAlign w:val="center"/>
          </w:tcPr>
          <w:p w14:paraId="3F3CC7F9">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vertAlign w:val="baseline"/>
              </w:rPr>
            </w:pPr>
            <w:r>
              <w:rPr>
                <w:rFonts w:hint="eastAsia" w:ascii="仿宋_GB2312" w:hAnsi="仿宋_GB2312" w:eastAsia="仿宋_GB2312" w:cs="仿宋_GB2312"/>
                <w:sz w:val="24"/>
                <w:szCs w:val="24"/>
                <w:highlight w:val="none"/>
              </w:rPr>
              <w:t>负责受理辖区内公民和法人的检举、控告、申诉的案件</w:t>
            </w:r>
          </w:p>
        </w:tc>
        <w:tc>
          <w:tcPr>
            <w:tcW w:w="4801" w:type="dxa"/>
            <w:vMerge w:val="continue"/>
          </w:tcPr>
          <w:p w14:paraId="4CC64A2F">
            <w:pPr>
              <w:keepNext w:val="0"/>
              <w:keepLines w:val="0"/>
              <w:pageBreakBefore w:val="0"/>
              <w:kinsoku/>
              <w:wordWrap/>
              <w:overflowPunct/>
              <w:topLinePunct w:val="0"/>
              <w:autoSpaceDE/>
              <w:autoSpaceDN/>
              <w:bidi w:val="0"/>
              <w:adjustRightInd/>
              <w:snapToGrid/>
              <w:spacing w:line="600" w:lineRule="exact"/>
              <w:rPr>
                <w:rFonts w:hint="eastAsia" w:ascii="仿宋_GB2312" w:hAnsi="仿宋_GB2312" w:eastAsia="仿宋_GB2312" w:cs="仿宋_GB2312"/>
                <w:sz w:val="24"/>
                <w:szCs w:val="24"/>
                <w:highlight w:val="none"/>
              </w:rPr>
            </w:pPr>
          </w:p>
        </w:tc>
      </w:tr>
      <w:tr w14:paraId="47E1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1" w:type="dxa"/>
            <w:vAlign w:val="center"/>
          </w:tcPr>
          <w:p w14:paraId="2F1A5B55">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vertAlign w:val="baseline"/>
              </w:rPr>
            </w:pPr>
            <w:r>
              <w:rPr>
                <w:rFonts w:hint="eastAsia" w:ascii="仿宋_GB2312" w:hAnsi="仿宋_GB2312" w:eastAsia="仿宋_GB2312" w:cs="仿宋_GB2312"/>
                <w:sz w:val="24"/>
                <w:szCs w:val="24"/>
                <w:highlight w:val="none"/>
              </w:rPr>
              <w:t>负责对辖区内的民事、经济、行政诉讼判决的监督</w:t>
            </w:r>
          </w:p>
        </w:tc>
        <w:tc>
          <w:tcPr>
            <w:tcW w:w="4801" w:type="dxa"/>
            <w:vMerge w:val="continue"/>
          </w:tcPr>
          <w:p w14:paraId="0A9BD3F3">
            <w:pPr>
              <w:keepNext w:val="0"/>
              <w:keepLines w:val="0"/>
              <w:pageBreakBefore w:val="0"/>
              <w:kinsoku/>
              <w:wordWrap/>
              <w:overflowPunct/>
              <w:topLinePunct w:val="0"/>
              <w:autoSpaceDE/>
              <w:autoSpaceDN/>
              <w:bidi w:val="0"/>
              <w:adjustRightInd/>
              <w:snapToGrid/>
              <w:spacing w:line="600" w:lineRule="exact"/>
              <w:rPr>
                <w:rFonts w:hint="eastAsia" w:ascii="仿宋_GB2312" w:hAnsi="仿宋_GB2312" w:eastAsia="仿宋_GB2312" w:cs="仿宋_GB2312"/>
                <w:sz w:val="24"/>
                <w:szCs w:val="24"/>
                <w:highlight w:val="none"/>
              </w:rPr>
            </w:pPr>
          </w:p>
        </w:tc>
      </w:tr>
      <w:tr w14:paraId="50DD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1" w:type="dxa"/>
            <w:vAlign w:val="center"/>
          </w:tcPr>
          <w:p w14:paraId="17AAF7E2">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vertAlign w:val="baseline"/>
              </w:rPr>
            </w:pPr>
            <w:r>
              <w:rPr>
                <w:rFonts w:hint="eastAsia" w:ascii="仿宋_GB2312" w:hAnsi="仿宋_GB2312" w:eastAsia="仿宋_GB2312" w:cs="仿宋_GB2312"/>
                <w:sz w:val="24"/>
                <w:szCs w:val="24"/>
                <w:highlight w:val="none"/>
              </w:rPr>
              <w:t>负责对公安局、国家安全局侦查工作的法律监督</w:t>
            </w:r>
          </w:p>
        </w:tc>
        <w:tc>
          <w:tcPr>
            <w:tcW w:w="4801" w:type="dxa"/>
            <w:vMerge w:val="continue"/>
          </w:tcPr>
          <w:p w14:paraId="0C0192BF">
            <w:pPr>
              <w:keepNext w:val="0"/>
              <w:keepLines w:val="0"/>
              <w:pageBreakBefore w:val="0"/>
              <w:kinsoku/>
              <w:wordWrap/>
              <w:overflowPunct/>
              <w:topLinePunct w:val="0"/>
              <w:autoSpaceDE/>
              <w:autoSpaceDN/>
              <w:bidi w:val="0"/>
              <w:adjustRightInd/>
              <w:snapToGrid/>
              <w:spacing w:line="600" w:lineRule="exact"/>
              <w:rPr>
                <w:rFonts w:hint="eastAsia" w:ascii="仿宋_GB2312" w:hAnsi="仿宋_GB2312" w:eastAsia="仿宋_GB2312" w:cs="仿宋_GB2312"/>
                <w:sz w:val="24"/>
                <w:szCs w:val="24"/>
                <w:highlight w:val="none"/>
              </w:rPr>
            </w:pPr>
          </w:p>
        </w:tc>
      </w:tr>
      <w:tr w14:paraId="2CAEF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1" w:type="dxa"/>
            <w:vAlign w:val="center"/>
          </w:tcPr>
          <w:p w14:paraId="1F8277A5">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vertAlign w:val="baseline"/>
              </w:rPr>
            </w:pPr>
            <w:r>
              <w:rPr>
                <w:rFonts w:hint="eastAsia" w:ascii="仿宋_GB2312" w:hAnsi="仿宋_GB2312" w:eastAsia="仿宋_GB2312" w:cs="仿宋_GB2312"/>
                <w:sz w:val="24"/>
                <w:szCs w:val="24"/>
                <w:highlight w:val="none"/>
              </w:rPr>
              <w:t>负责对辖区内监管场所收押犯罪嫌疑人、罪犯改造工作的监督</w:t>
            </w:r>
          </w:p>
        </w:tc>
        <w:tc>
          <w:tcPr>
            <w:tcW w:w="4801" w:type="dxa"/>
            <w:vMerge w:val="continue"/>
          </w:tcPr>
          <w:p w14:paraId="2D65CDEA">
            <w:pPr>
              <w:keepNext w:val="0"/>
              <w:keepLines w:val="0"/>
              <w:pageBreakBefore w:val="0"/>
              <w:kinsoku/>
              <w:wordWrap/>
              <w:overflowPunct/>
              <w:topLinePunct w:val="0"/>
              <w:autoSpaceDE/>
              <w:autoSpaceDN/>
              <w:bidi w:val="0"/>
              <w:adjustRightInd/>
              <w:snapToGrid/>
              <w:spacing w:line="600" w:lineRule="exact"/>
              <w:rPr>
                <w:rFonts w:hint="eastAsia" w:ascii="仿宋_GB2312" w:hAnsi="仿宋_GB2312" w:eastAsia="仿宋_GB2312" w:cs="仿宋_GB2312"/>
                <w:sz w:val="24"/>
                <w:szCs w:val="24"/>
                <w:highlight w:val="none"/>
              </w:rPr>
            </w:pPr>
          </w:p>
        </w:tc>
      </w:tr>
      <w:tr w14:paraId="2B27D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1" w:type="dxa"/>
            <w:vAlign w:val="center"/>
          </w:tcPr>
          <w:p w14:paraId="0F191BA9">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负责对辖区内公民、单位的法制宣传和犯罪预防</w:t>
            </w:r>
          </w:p>
        </w:tc>
        <w:tc>
          <w:tcPr>
            <w:tcW w:w="4801" w:type="dxa"/>
          </w:tcPr>
          <w:p w14:paraId="7E4AFA66">
            <w:pPr>
              <w:keepNext w:val="0"/>
              <w:keepLines w:val="0"/>
              <w:pageBreakBefore w:val="0"/>
              <w:kinsoku/>
              <w:wordWrap/>
              <w:overflowPunct/>
              <w:topLinePunct w:val="0"/>
              <w:autoSpaceDE/>
              <w:autoSpaceDN/>
              <w:bidi w:val="0"/>
              <w:adjustRightInd/>
              <w:snapToGrid/>
              <w:spacing w:line="60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断加大民生检察力度，强化食药环领域违法犯罪打击整治，扎实办好司法救助、支持起诉、群众来信“件件有回复”等惠民生、暖民心举措，解决好人民群众急难愁盼问题。不断提升检察普法工作成效，链接“百姓”和“企业”两大主体，以多元化、高精度普法，持续拓展法治宣传辐射面，以“检察蓝”撑起法治晴空。</w:t>
            </w:r>
          </w:p>
        </w:tc>
      </w:tr>
      <w:tr w14:paraId="750E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1" w:type="dxa"/>
            <w:vAlign w:val="center"/>
          </w:tcPr>
          <w:p w14:paraId="69816526">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负责本院的党建工作和干部教育管理以及思想政治工作</w:t>
            </w:r>
          </w:p>
        </w:tc>
        <w:tc>
          <w:tcPr>
            <w:tcW w:w="4801" w:type="dxa"/>
          </w:tcPr>
          <w:p w14:paraId="1B8043F8">
            <w:pPr>
              <w:keepNext w:val="0"/>
              <w:keepLines w:val="0"/>
              <w:pageBreakBefore w:val="0"/>
              <w:kinsoku/>
              <w:wordWrap/>
              <w:overflowPunct/>
              <w:topLinePunct w:val="0"/>
              <w:autoSpaceDE/>
              <w:autoSpaceDN/>
              <w:bidi w:val="0"/>
              <w:adjustRightInd/>
              <w:snapToGrid/>
              <w:spacing w:line="60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持续加强检察机关党的政治建设</w:t>
            </w:r>
          </w:p>
        </w:tc>
      </w:tr>
      <w:tr w14:paraId="48AA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1" w:type="dxa"/>
            <w:vAlign w:val="center"/>
          </w:tcPr>
          <w:p w14:paraId="76A24EFC">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vertAlign w:val="baseline"/>
              </w:rPr>
            </w:pPr>
            <w:r>
              <w:rPr>
                <w:rFonts w:hint="eastAsia" w:ascii="仿宋_GB2312" w:hAnsi="仿宋_GB2312" w:eastAsia="仿宋_GB2312" w:cs="仿宋_GB2312"/>
                <w:sz w:val="24"/>
                <w:szCs w:val="24"/>
                <w:highlight w:val="none"/>
              </w:rPr>
              <w:t>负责本院党的纪律检查和行政监察工作</w:t>
            </w:r>
          </w:p>
        </w:tc>
        <w:tc>
          <w:tcPr>
            <w:tcW w:w="4801" w:type="dxa"/>
          </w:tcPr>
          <w:p w14:paraId="0AFF09CC">
            <w:pPr>
              <w:keepNext w:val="0"/>
              <w:keepLines w:val="0"/>
              <w:pageBreakBefore w:val="0"/>
              <w:kinsoku/>
              <w:wordWrap/>
              <w:overflowPunct/>
              <w:topLinePunct w:val="0"/>
              <w:autoSpaceDE/>
              <w:autoSpaceDN/>
              <w:bidi w:val="0"/>
              <w:adjustRightInd/>
              <w:snapToGrid/>
              <w:spacing w:line="60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不断加强外部监督制约，锻造堪当时代重任的高素质检察队伍</w:t>
            </w:r>
          </w:p>
        </w:tc>
      </w:tr>
      <w:tr w14:paraId="26F4E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1" w:type="dxa"/>
            <w:vAlign w:val="center"/>
          </w:tcPr>
          <w:p w14:paraId="1965D71F">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负责本院的后勤管理和物资装备工作</w:t>
            </w:r>
          </w:p>
        </w:tc>
        <w:tc>
          <w:tcPr>
            <w:tcW w:w="4801" w:type="dxa"/>
          </w:tcPr>
          <w:p w14:paraId="1A30F5EA">
            <w:pPr>
              <w:keepNext w:val="0"/>
              <w:keepLines w:val="0"/>
              <w:pageBreakBefore w:val="0"/>
              <w:kinsoku/>
              <w:wordWrap/>
              <w:overflowPunct/>
              <w:topLinePunct w:val="0"/>
              <w:autoSpaceDE/>
              <w:autoSpaceDN/>
              <w:bidi w:val="0"/>
              <w:adjustRightInd/>
              <w:snapToGrid/>
              <w:spacing w:line="60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深入实施“检察大数据战略”，将“数字芯片”植入检察工作关键领域和环节。全力推进“数字办案”。以法律监督模型的建用并举为突破口，以推动跨部门数据互联互通、共建共享为有力支撑，充分用好大数据办案，促进法律监督“产能”“效能”双提升。全力推进“数字管理”。以数字化平台为依托，以信息化、智能化管理为抓手，打造检察管理运作新形态，以“数字革命”驱动新时代检察工作实现精彩蝶变。</w:t>
            </w:r>
          </w:p>
        </w:tc>
      </w:tr>
    </w:tbl>
    <w:p w14:paraId="1E6A636F">
      <w:pPr>
        <w:keepNext w:val="0"/>
        <w:keepLines w:val="0"/>
        <w:pageBreakBefore w:val="0"/>
        <w:numPr>
          <w:ilvl w:val="0"/>
          <w:numId w:val="1"/>
        </w:numPr>
        <w:kinsoku/>
        <w:wordWrap/>
        <w:overflowPunct/>
        <w:topLinePunct w:val="0"/>
        <w:autoSpaceDE/>
        <w:autoSpaceDN/>
        <w:bidi w:val="0"/>
        <w:adjustRightInd/>
        <w:snapToGrid/>
        <w:spacing w:line="600" w:lineRule="exact"/>
        <w:ind w:firstLine="640" w:firstLineChars="200"/>
        <w:outlineLvl w:val="1"/>
        <w:rPr>
          <w:rFonts w:hint="eastAsia" w:ascii="楷体_GB2312" w:eastAsia="楷体_GB2312"/>
          <w:sz w:val="32"/>
          <w:szCs w:val="32"/>
          <w:highlight w:val="none"/>
        </w:rPr>
      </w:pPr>
      <w:r>
        <w:rPr>
          <w:rFonts w:hint="eastAsia" w:ascii="楷体_GB2312" w:eastAsia="楷体_GB2312"/>
          <w:sz w:val="32"/>
          <w:szCs w:val="32"/>
          <w:highlight w:val="none"/>
        </w:rPr>
        <w:t>部门整体绩效目标设立情况</w:t>
      </w:r>
    </w:p>
    <w:p w14:paraId="0E07E96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1.整体绩效目标</w:t>
      </w:r>
    </w:p>
    <w:p w14:paraId="6AF5111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根据《中华人民共和国预算法》《中华人民共和国预算法实施条例》《北京市预算审查监督条例》以及预算公开的有关规定，我院从依法行政、依法理财的高度认真执行预算，完善内部预算管理及监督机制，进一步提升预算资金使用的规范性、时效性和效益性。 </w:t>
      </w:r>
    </w:p>
    <w:p w14:paraId="721A577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预算资金的投入，保证机关大楼的正常运行，并全面保障各项检察业务工作的正常开展，以司法办案为中心，切实履行好法律监督职责。在此基础上，做优刑事检察工作、做强民事检察工作、做实行政检察工作、做好公益诉讼检察工作，推动“四大检察”全面协调充分发展。同时进一步提高检察业务装备配备水平，推动科技强检战略全面深入实施，为检察工作科学发展提供有力的科技保障。</w:t>
      </w:r>
    </w:p>
    <w:p w14:paraId="53F1BB5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sz w:val="32"/>
          <w:szCs w:val="32"/>
          <w:highlight w:val="none"/>
          <w:lang w:val="en-US" w:eastAsia="zh-CN"/>
        </w:rPr>
        <w:t>2.具体目标</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1440"/>
        <w:gridCol w:w="4607"/>
        <w:gridCol w:w="1613"/>
      </w:tblGrid>
      <w:tr w14:paraId="53FD2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blHeader/>
        </w:trPr>
        <w:tc>
          <w:tcPr>
            <w:tcW w:w="504" w:type="pct"/>
            <w:vAlign w:val="center"/>
          </w:tcPr>
          <w:p w14:paraId="19FA7434">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b/>
                <w:bCs/>
                <w:color w:val="000000"/>
                <w:kern w:val="0"/>
                <w:sz w:val="24"/>
                <w:szCs w:val="24"/>
                <w:highlight w:val="none"/>
                <w:vertAlign w:val="baseline"/>
                <w:lang w:val="en-US" w:eastAsia="zh-CN"/>
              </w:rPr>
            </w:pPr>
            <w:r>
              <w:rPr>
                <w:rFonts w:hint="eastAsia" w:ascii="仿宋_GB2312" w:hAnsi="仿宋_GB2312" w:eastAsia="仿宋_GB2312" w:cs="仿宋_GB2312"/>
                <w:b/>
                <w:bCs/>
                <w:kern w:val="0"/>
                <w:sz w:val="24"/>
                <w:szCs w:val="24"/>
                <w:highlight w:val="none"/>
              </w:rPr>
              <w:t>一级指标</w:t>
            </w:r>
          </w:p>
        </w:tc>
        <w:tc>
          <w:tcPr>
            <w:tcW w:w="845" w:type="pct"/>
            <w:vAlign w:val="center"/>
          </w:tcPr>
          <w:p w14:paraId="795C2575">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b/>
                <w:bCs/>
                <w:color w:val="000000"/>
                <w:kern w:val="0"/>
                <w:sz w:val="24"/>
                <w:szCs w:val="24"/>
                <w:highlight w:val="none"/>
                <w:vertAlign w:val="baseline"/>
                <w:lang w:val="en-US" w:eastAsia="zh-CN"/>
              </w:rPr>
            </w:pPr>
            <w:r>
              <w:rPr>
                <w:rFonts w:hint="eastAsia" w:ascii="仿宋_GB2312" w:hAnsi="仿宋_GB2312" w:eastAsia="仿宋_GB2312" w:cs="仿宋_GB2312"/>
                <w:b/>
                <w:bCs/>
                <w:kern w:val="0"/>
                <w:sz w:val="24"/>
                <w:szCs w:val="24"/>
                <w:highlight w:val="none"/>
              </w:rPr>
              <w:t>二级</w:t>
            </w:r>
            <w:r>
              <w:rPr>
                <w:rFonts w:hint="eastAsia" w:ascii="仿宋_GB2312" w:hAnsi="仿宋_GB2312" w:eastAsia="仿宋_GB2312" w:cs="仿宋_GB2312"/>
                <w:b/>
                <w:bCs/>
                <w:kern w:val="0"/>
                <w:sz w:val="24"/>
                <w:szCs w:val="24"/>
                <w:highlight w:val="none"/>
                <w:lang w:val="en-US" w:eastAsia="zh-CN"/>
              </w:rPr>
              <w:t>指标</w:t>
            </w:r>
          </w:p>
        </w:tc>
        <w:tc>
          <w:tcPr>
            <w:tcW w:w="2703" w:type="pct"/>
            <w:vAlign w:val="center"/>
          </w:tcPr>
          <w:p w14:paraId="659CDC0C">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b/>
                <w:bCs/>
                <w:color w:val="000000"/>
                <w:kern w:val="0"/>
                <w:sz w:val="24"/>
                <w:szCs w:val="24"/>
                <w:highlight w:val="none"/>
                <w:vertAlign w:val="baseline"/>
                <w:lang w:val="en-US" w:eastAsia="zh-CN"/>
              </w:rPr>
            </w:pPr>
            <w:r>
              <w:rPr>
                <w:rFonts w:hint="eastAsia" w:ascii="仿宋_GB2312" w:hAnsi="仿宋_GB2312" w:eastAsia="仿宋_GB2312" w:cs="仿宋_GB2312"/>
                <w:b/>
                <w:bCs/>
                <w:kern w:val="0"/>
                <w:sz w:val="24"/>
                <w:szCs w:val="24"/>
                <w:highlight w:val="none"/>
              </w:rPr>
              <w:t>三级指标</w:t>
            </w:r>
          </w:p>
        </w:tc>
        <w:tc>
          <w:tcPr>
            <w:tcW w:w="946" w:type="pct"/>
            <w:vAlign w:val="center"/>
          </w:tcPr>
          <w:p w14:paraId="08201F82">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b/>
                <w:bCs/>
                <w:color w:val="000000"/>
                <w:kern w:val="0"/>
                <w:sz w:val="24"/>
                <w:szCs w:val="24"/>
                <w:highlight w:val="none"/>
                <w:vertAlign w:val="baseline"/>
                <w:lang w:val="en-US" w:eastAsia="zh-CN"/>
              </w:rPr>
            </w:pPr>
            <w:r>
              <w:rPr>
                <w:rFonts w:hint="eastAsia" w:ascii="仿宋_GB2312" w:hAnsi="仿宋_GB2312" w:eastAsia="仿宋_GB2312" w:cs="仿宋_GB2312"/>
                <w:b/>
                <w:bCs/>
                <w:kern w:val="0"/>
                <w:sz w:val="24"/>
                <w:szCs w:val="24"/>
                <w:highlight w:val="none"/>
                <w:lang w:val="en-US" w:eastAsia="zh-CN"/>
              </w:rPr>
              <w:t>指标值</w:t>
            </w:r>
          </w:p>
        </w:tc>
      </w:tr>
      <w:tr w14:paraId="731A9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pct"/>
            <w:vMerge w:val="restart"/>
            <w:vAlign w:val="center"/>
          </w:tcPr>
          <w:p w14:paraId="359BF62F">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r>
              <w:rPr>
                <w:rFonts w:hint="eastAsia" w:ascii="仿宋_GB2312" w:hAnsi="仿宋_GB2312" w:eastAsia="仿宋_GB2312" w:cs="仿宋_GB2312"/>
                <w:kern w:val="0"/>
                <w:sz w:val="24"/>
                <w:szCs w:val="24"/>
                <w:highlight w:val="none"/>
                <w:lang w:val="en-US" w:eastAsia="zh-CN"/>
              </w:rPr>
              <w:t>产出指标</w:t>
            </w:r>
          </w:p>
        </w:tc>
        <w:tc>
          <w:tcPr>
            <w:tcW w:w="845" w:type="pct"/>
            <w:vAlign w:val="center"/>
          </w:tcPr>
          <w:p w14:paraId="622062FC">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r>
              <w:rPr>
                <w:rFonts w:hint="eastAsia" w:ascii="仿宋_GB2312" w:hAnsi="仿宋_GB2312" w:eastAsia="仿宋_GB2312" w:cs="仿宋_GB2312"/>
                <w:kern w:val="0"/>
                <w:sz w:val="24"/>
                <w:szCs w:val="24"/>
                <w:highlight w:val="none"/>
              </w:rPr>
              <w:t>质量指标</w:t>
            </w:r>
          </w:p>
        </w:tc>
        <w:tc>
          <w:tcPr>
            <w:tcW w:w="2703" w:type="pct"/>
            <w:vAlign w:val="center"/>
          </w:tcPr>
          <w:p w14:paraId="0CC09F88">
            <w:pPr>
              <w:keepNext w:val="0"/>
              <w:keepLines w:val="0"/>
              <w:pageBreakBefore w:val="0"/>
              <w:kinsoku/>
              <w:wordWrap/>
              <w:overflowPunct/>
              <w:topLinePunct w:val="0"/>
              <w:autoSpaceDE/>
              <w:autoSpaceDN/>
              <w:bidi w:val="0"/>
              <w:adjustRightInd/>
              <w:snapToGrid/>
              <w:spacing w:line="600" w:lineRule="exact"/>
              <w:jc w:val="left"/>
              <w:rPr>
                <w:rFonts w:hint="eastAsia" w:ascii="仿宋_GB2312" w:hAnsi="仿宋_GB2312" w:eastAsia="仿宋_GB2312" w:cs="仿宋_GB2312"/>
                <w:color w:val="000000"/>
                <w:kern w:val="0"/>
                <w:sz w:val="24"/>
                <w:szCs w:val="24"/>
                <w:highlight w:val="none"/>
                <w:vertAlign w:val="baseline"/>
                <w:lang w:val="en-US" w:eastAsia="zh-CN" w:bidi="ar-SA"/>
              </w:rPr>
            </w:pPr>
            <w:r>
              <w:rPr>
                <w:rFonts w:hint="eastAsia" w:ascii="仿宋_GB2312" w:hAnsi="仿宋_GB2312" w:eastAsia="仿宋_GB2312" w:cs="仿宋_GB2312"/>
                <w:color w:val="000000"/>
                <w:kern w:val="0"/>
                <w:sz w:val="24"/>
                <w:szCs w:val="24"/>
                <w:highlight w:val="none"/>
              </w:rPr>
              <w:t>指标</w:t>
            </w:r>
            <w:r>
              <w:rPr>
                <w:rFonts w:hint="eastAsia" w:ascii="仿宋_GB2312" w:hAnsi="仿宋_GB2312" w:eastAsia="仿宋_GB2312" w:cs="仿宋_GB2312"/>
                <w:color w:val="000000"/>
                <w:kern w:val="0"/>
                <w:sz w:val="24"/>
                <w:szCs w:val="24"/>
                <w:highlight w:val="none"/>
                <w:lang w:val="en-US" w:eastAsia="zh-CN"/>
              </w:rPr>
              <w:t>1</w:t>
            </w:r>
            <w:r>
              <w:rPr>
                <w:rFonts w:hint="eastAsia" w:ascii="仿宋_GB2312" w:hAnsi="仿宋_GB2312" w:eastAsia="仿宋_GB2312" w:cs="仿宋_GB2312"/>
                <w:color w:val="000000"/>
                <w:kern w:val="0"/>
                <w:sz w:val="24"/>
                <w:szCs w:val="24"/>
                <w:highlight w:val="none"/>
              </w:rPr>
              <w:t>：有效提升司法办案质效</w:t>
            </w:r>
          </w:p>
        </w:tc>
        <w:tc>
          <w:tcPr>
            <w:tcW w:w="946" w:type="pct"/>
            <w:vAlign w:val="center"/>
          </w:tcPr>
          <w:p w14:paraId="10260E9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eastAsia" w:ascii="仿宋_GB2312" w:hAnsi="仿宋_GB2312" w:eastAsia="仿宋_GB2312" w:cs="仿宋_GB2312"/>
                <w:color w:val="000000"/>
                <w:kern w:val="0"/>
                <w:sz w:val="24"/>
                <w:szCs w:val="24"/>
                <w:highlight w:val="none"/>
                <w:vertAlign w:val="baseline"/>
                <w:lang w:val="en-US" w:eastAsia="zh-CN"/>
              </w:rPr>
            </w:pPr>
            <w:r>
              <w:rPr>
                <w:rFonts w:hint="eastAsia" w:ascii="仿宋_GB2312" w:hAnsi="仿宋_GB2312" w:eastAsia="仿宋_GB2312" w:cs="仿宋_GB2312"/>
                <w:color w:val="000000"/>
                <w:kern w:val="0"/>
                <w:sz w:val="24"/>
                <w:szCs w:val="24"/>
                <w:highlight w:val="none"/>
              </w:rPr>
              <w:t>定性（优）</w:t>
            </w:r>
          </w:p>
        </w:tc>
      </w:tr>
      <w:tr w14:paraId="7005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pct"/>
            <w:vMerge w:val="continue"/>
            <w:vAlign w:val="center"/>
          </w:tcPr>
          <w:p w14:paraId="7CD183B3">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p>
        </w:tc>
        <w:tc>
          <w:tcPr>
            <w:tcW w:w="845" w:type="pct"/>
            <w:vAlign w:val="center"/>
          </w:tcPr>
          <w:p w14:paraId="7C00DB9C">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r>
              <w:rPr>
                <w:rFonts w:hint="eastAsia" w:ascii="仿宋_GB2312" w:hAnsi="仿宋_GB2312" w:eastAsia="仿宋_GB2312" w:cs="仿宋_GB2312"/>
                <w:kern w:val="0"/>
                <w:sz w:val="24"/>
                <w:szCs w:val="24"/>
                <w:highlight w:val="none"/>
              </w:rPr>
              <w:t>时效指标</w:t>
            </w:r>
          </w:p>
        </w:tc>
        <w:tc>
          <w:tcPr>
            <w:tcW w:w="2703" w:type="pct"/>
            <w:vAlign w:val="center"/>
          </w:tcPr>
          <w:p w14:paraId="13534CCA">
            <w:pPr>
              <w:keepNext w:val="0"/>
              <w:keepLines w:val="0"/>
              <w:pageBreakBefore w:val="0"/>
              <w:kinsoku/>
              <w:wordWrap/>
              <w:overflowPunct/>
              <w:topLinePunct w:val="0"/>
              <w:autoSpaceDE/>
              <w:autoSpaceDN/>
              <w:bidi w:val="0"/>
              <w:adjustRightInd/>
              <w:snapToGrid/>
              <w:spacing w:line="600" w:lineRule="exact"/>
              <w:jc w:val="left"/>
              <w:rPr>
                <w:rFonts w:hint="eastAsia" w:ascii="仿宋_GB2312" w:hAnsi="仿宋_GB2312" w:eastAsia="仿宋_GB2312" w:cs="仿宋_GB2312"/>
                <w:color w:val="000000"/>
                <w:kern w:val="0"/>
                <w:sz w:val="24"/>
                <w:szCs w:val="24"/>
                <w:highlight w:val="none"/>
                <w:vertAlign w:val="baseline"/>
                <w:lang w:val="en-US" w:eastAsia="zh-CN" w:bidi="ar-SA"/>
              </w:rPr>
            </w:pPr>
            <w:r>
              <w:rPr>
                <w:rFonts w:hint="eastAsia" w:ascii="仿宋_GB2312" w:hAnsi="仿宋_GB2312" w:eastAsia="仿宋_GB2312" w:cs="仿宋_GB2312"/>
                <w:color w:val="000000"/>
                <w:kern w:val="0"/>
                <w:sz w:val="24"/>
                <w:szCs w:val="24"/>
                <w:highlight w:val="none"/>
              </w:rPr>
              <w:t>指标</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：202</w:t>
            </w:r>
            <w:r>
              <w:rPr>
                <w:rFonts w:hint="eastAsia" w:ascii="仿宋_GB2312" w:hAnsi="仿宋_GB2312" w:eastAsia="仿宋_GB2312" w:cs="仿宋_GB2312"/>
                <w:color w:val="000000"/>
                <w:kern w:val="0"/>
                <w:sz w:val="24"/>
                <w:szCs w:val="24"/>
                <w:highlight w:val="none"/>
                <w:lang w:val="en-US" w:eastAsia="zh-CN"/>
              </w:rPr>
              <w:t>4</w:t>
            </w:r>
            <w:r>
              <w:rPr>
                <w:rFonts w:hint="eastAsia" w:ascii="仿宋_GB2312" w:hAnsi="仿宋_GB2312" w:eastAsia="仿宋_GB2312" w:cs="仿宋_GB2312"/>
                <w:color w:val="000000"/>
                <w:kern w:val="0"/>
                <w:sz w:val="24"/>
                <w:szCs w:val="24"/>
                <w:highlight w:val="none"/>
              </w:rPr>
              <w:t>年12月底前预算执行进度</w:t>
            </w:r>
          </w:p>
        </w:tc>
        <w:tc>
          <w:tcPr>
            <w:tcW w:w="946" w:type="pct"/>
            <w:vAlign w:val="center"/>
          </w:tcPr>
          <w:p w14:paraId="30F83D6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eastAsia" w:ascii="仿宋_GB2312" w:hAnsi="仿宋_GB2312" w:eastAsia="仿宋_GB2312" w:cs="仿宋_GB2312"/>
                <w:color w:val="000000"/>
                <w:kern w:val="0"/>
                <w:sz w:val="24"/>
                <w:szCs w:val="24"/>
                <w:highlight w:val="none"/>
                <w:vertAlign w:val="baseline"/>
                <w:lang w:val="en-US" w:eastAsia="zh-CN"/>
              </w:rPr>
            </w:pPr>
            <w:r>
              <w:rPr>
                <w:rFonts w:hint="eastAsia" w:ascii="仿宋_GB2312" w:hAnsi="仿宋_GB2312" w:eastAsia="仿宋_GB2312" w:cs="仿宋_GB2312"/>
                <w:kern w:val="0"/>
                <w:sz w:val="24"/>
                <w:szCs w:val="24"/>
                <w:highlight w:val="none"/>
                <w:lang w:val="en-US" w:eastAsia="zh-CN"/>
              </w:rPr>
              <w:t>≥95%</w:t>
            </w:r>
          </w:p>
        </w:tc>
      </w:tr>
      <w:tr w14:paraId="336CB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4" w:type="pct"/>
            <w:vMerge w:val="restart"/>
            <w:vAlign w:val="center"/>
          </w:tcPr>
          <w:p w14:paraId="730FC6C8">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r>
              <w:rPr>
                <w:rFonts w:hint="eastAsia" w:ascii="仿宋_GB2312" w:hAnsi="仿宋_GB2312" w:eastAsia="仿宋_GB2312" w:cs="仿宋_GB2312"/>
                <w:kern w:val="0"/>
                <w:sz w:val="24"/>
                <w:szCs w:val="24"/>
                <w:highlight w:val="none"/>
                <w:lang w:val="en-US" w:eastAsia="zh-CN"/>
              </w:rPr>
              <w:t>效益指标</w:t>
            </w:r>
          </w:p>
        </w:tc>
        <w:tc>
          <w:tcPr>
            <w:tcW w:w="845" w:type="pct"/>
            <w:vMerge w:val="restart"/>
            <w:vAlign w:val="center"/>
          </w:tcPr>
          <w:p w14:paraId="72E4C947">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社会效益</w:t>
            </w:r>
          </w:p>
          <w:p w14:paraId="71721978">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r>
              <w:rPr>
                <w:rFonts w:hint="eastAsia" w:ascii="仿宋_GB2312" w:hAnsi="仿宋_GB2312" w:eastAsia="仿宋_GB2312" w:cs="仿宋_GB2312"/>
                <w:kern w:val="0"/>
                <w:sz w:val="24"/>
                <w:szCs w:val="24"/>
                <w:highlight w:val="none"/>
              </w:rPr>
              <w:t>指标</w:t>
            </w:r>
          </w:p>
        </w:tc>
        <w:tc>
          <w:tcPr>
            <w:tcW w:w="2703" w:type="pct"/>
            <w:vAlign w:val="center"/>
          </w:tcPr>
          <w:p w14:paraId="7964BBCB">
            <w:pPr>
              <w:keepNext w:val="0"/>
              <w:keepLines w:val="0"/>
              <w:pageBreakBefore w:val="0"/>
              <w:kinsoku/>
              <w:wordWrap/>
              <w:overflowPunct/>
              <w:topLinePunct w:val="0"/>
              <w:autoSpaceDE/>
              <w:autoSpaceDN/>
              <w:bidi w:val="0"/>
              <w:adjustRightInd/>
              <w:snapToGrid/>
              <w:spacing w:line="600" w:lineRule="exact"/>
              <w:jc w:val="left"/>
              <w:rPr>
                <w:rFonts w:hint="eastAsia" w:ascii="仿宋_GB2312" w:hAnsi="仿宋_GB2312" w:eastAsia="仿宋_GB2312" w:cs="仿宋_GB2312"/>
                <w:color w:val="000000"/>
                <w:kern w:val="0"/>
                <w:sz w:val="24"/>
                <w:szCs w:val="24"/>
                <w:highlight w:val="none"/>
                <w:vertAlign w:val="baseline"/>
                <w:lang w:val="en-US" w:eastAsia="zh-CN" w:bidi="ar-SA"/>
              </w:rPr>
            </w:pPr>
            <w:r>
              <w:rPr>
                <w:rFonts w:hint="eastAsia" w:ascii="仿宋_GB2312" w:hAnsi="仿宋_GB2312" w:eastAsia="仿宋_GB2312" w:cs="仿宋_GB2312"/>
                <w:color w:val="000000"/>
                <w:kern w:val="0"/>
                <w:sz w:val="24"/>
                <w:szCs w:val="24"/>
                <w:highlight w:val="none"/>
              </w:rPr>
              <w:t>指标1：社会和谐安定程度</w:t>
            </w:r>
          </w:p>
        </w:tc>
        <w:tc>
          <w:tcPr>
            <w:tcW w:w="946" w:type="pct"/>
            <w:vAlign w:val="center"/>
          </w:tcPr>
          <w:p w14:paraId="41A3D30D">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eastAsia" w:ascii="仿宋_GB2312" w:hAnsi="仿宋_GB2312" w:eastAsia="仿宋_GB2312" w:cs="仿宋_GB2312"/>
                <w:color w:val="000000"/>
                <w:kern w:val="0"/>
                <w:sz w:val="24"/>
                <w:szCs w:val="24"/>
                <w:highlight w:val="none"/>
                <w:vertAlign w:val="baseline"/>
                <w:lang w:val="en-US" w:eastAsia="zh-CN"/>
              </w:rPr>
            </w:pPr>
            <w:r>
              <w:rPr>
                <w:rFonts w:hint="eastAsia" w:ascii="仿宋_GB2312" w:hAnsi="仿宋_GB2312" w:eastAsia="仿宋_GB2312" w:cs="仿宋_GB2312"/>
                <w:kern w:val="0"/>
                <w:sz w:val="24"/>
                <w:szCs w:val="24"/>
                <w:highlight w:val="none"/>
                <w:lang w:val="en-US" w:eastAsia="zh-CN"/>
              </w:rPr>
              <w:t>定性（优）</w:t>
            </w:r>
          </w:p>
        </w:tc>
      </w:tr>
      <w:tr w14:paraId="4D96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pct"/>
            <w:vMerge w:val="continue"/>
            <w:vAlign w:val="center"/>
          </w:tcPr>
          <w:p w14:paraId="6B7D0D43">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p>
        </w:tc>
        <w:tc>
          <w:tcPr>
            <w:tcW w:w="845" w:type="pct"/>
            <w:vMerge w:val="continue"/>
            <w:vAlign w:val="center"/>
          </w:tcPr>
          <w:p w14:paraId="3C26C4B6">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p>
        </w:tc>
        <w:tc>
          <w:tcPr>
            <w:tcW w:w="2703" w:type="pct"/>
            <w:vAlign w:val="center"/>
          </w:tcPr>
          <w:p w14:paraId="1D7D1808">
            <w:pPr>
              <w:keepNext w:val="0"/>
              <w:keepLines w:val="0"/>
              <w:pageBreakBefore w:val="0"/>
              <w:kinsoku/>
              <w:wordWrap/>
              <w:overflowPunct/>
              <w:topLinePunct w:val="0"/>
              <w:autoSpaceDE/>
              <w:autoSpaceDN/>
              <w:bidi w:val="0"/>
              <w:adjustRightInd/>
              <w:snapToGrid/>
              <w:spacing w:line="600" w:lineRule="exact"/>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指标2：党组领导作用发挥情况</w:t>
            </w:r>
          </w:p>
        </w:tc>
        <w:tc>
          <w:tcPr>
            <w:tcW w:w="946" w:type="pct"/>
            <w:vAlign w:val="center"/>
          </w:tcPr>
          <w:p w14:paraId="0447145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kern w:val="0"/>
                <w:sz w:val="24"/>
                <w:szCs w:val="24"/>
                <w:highlight w:val="none"/>
                <w:lang w:val="en-US" w:eastAsia="zh-CN"/>
              </w:rPr>
              <w:t>定性（优）</w:t>
            </w:r>
          </w:p>
        </w:tc>
      </w:tr>
      <w:tr w14:paraId="13275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pct"/>
            <w:vMerge w:val="continue"/>
            <w:vAlign w:val="center"/>
          </w:tcPr>
          <w:p w14:paraId="0C382288">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p>
        </w:tc>
        <w:tc>
          <w:tcPr>
            <w:tcW w:w="845" w:type="pct"/>
            <w:vMerge w:val="continue"/>
            <w:vAlign w:val="center"/>
          </w:tcPr>
          <w:p w14:paraId="2DE22E77">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p>
        </w:tc>
        <w:tc>
          <w:tcPr>
            <w:tcW w:w="2703" w:type="pct"/>
            <w:vAlign w:val="center"/>
          </w:tcPr>
          <w:p w14:paraId="2461572F">
            <w:pPr>
              <w:keepNext w:val="0"/>
              <w:keepLines w:val="0"/>
              <w:pageBreakBefore w:val="0"/>
              <w:kinsoku/>
              <w:wordWrap/>
              <w:overflowPunct/>
              <w:topLinePunct w:val="0"/>
              <w:autoSpaceDE/>
              <w:autoSpaceDN/>
              <w:bidi w:val="0"/>
              <w:adjustRightInd/>
              <w:snapToGrid/>
              <w:spacing w:line="600" w:lineRule="exact"/>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val="en-US" w:eastAsia="zh-CN"/>
              </w:rPr>
              <w:t>指标3：为检察工作科学发展提供科技保障，有效提升检察工作质效</w:t>
            </w:r>
          </w:p>
        </w:tc>
        <w:tc>
          <w:tcPr>
            <w:tcW w:w="946" w:type="pct"/>
            <w:vAlign w:val="center"/>
          </w:tcPr>
          <w:p w14:paraId="6C29E17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kern w:val="0"/>
                <w:sz w:val="24"/>
                <w:szCs w:val="24"/>
                <w:highlight w:val="none"/>
                <w:lang w:val="en-US" w:eastAsia="zh-CN"/>
              </w:rPr>
              <w:t>定性（优）</w:t>
            </w:r>
          </w:p>
        </w:tc>
      </w:tr>
      <w:tr w14:paraId="47E5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pct"/>
            <w:vAlign w:val="center"/>
          </w:tcPr>
          <w:p w14:paraId="5C102780">
            <w:pPr>
              <w:keepNext w:val="0"/>
              <w:keepLines w:val="0"/>
              <w:pageBreakBefore w:val="0"/>
              <w:widowControl/>
              <w:kinsoku/>
              <w:wordWrap/>
              <w:overflowPunct/>
              <w:topLinePunct w:val="0"/>
              <w:autoSpaceDE/>
              <w:autoSpaceDN/>
              <w:bidi w:val="0"/>
              <w:adjustRightInd/>
              <w:snapToGrid/>
              <w:spacing w:line="60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满意度</w:t>
            </w:r>
          </w:p>
          <w:p w14:paraId="45586F9F">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r>
              <w:rPr>
                <w:rFonts w:hint="eastAsia" w:ascii="仿宋_GB2312" w:hAnsi="仿宋_GB2312" w:eastAsia="仿宋_GB2312" w:cs="仿宋_GB2312"/>
                <w:kern w:val="0"/>
                <w:sz w:val="24"/>
                <w:szCs w:val="24"/>
                <w:highlight w:val="none"/>
              </w:rPr>
              <w:t>指标</w:t>
            </w:r>
          </w:p>
        </w:tc>
        <w:tc>
          <w:tcPr>
            <w:tcW w:w="845" w:type="pct"/>
            <w:vAlign w:val="center"/>
          </w:tcPr>
          <w:p w14:paraId="1D6EA014">
            <w:pPr>
              <w:keepNext w:val="0"/>
              <w:keepLines w:val="0"/>
              <w:pageBreakBefore w:val="0"/>
              <w:kinsoku/>
              <w:wordWrap/>
              <w:overflowPunct/>
              <w:topLinePunct w:val="0"/>
              <w:autoSpaceDE/>
              <w:autoSpaceDN/>
              <w:bidi w:val="0"/>
              <w:adjustRightInd/>
              <w:snapToGrid/>
              <w:spacing w:line="600" w:lineRule="exact"/>
              <w:jc w:val="center"/>
              <w:rPr>
                <w:rFonts w:hint="eastAsia" w:ascii="仿宋_GB2312" w:hAnsi="仿宋_GB2312" w:eastAsia="仿宋_GB2312" w:cs="仿宋_GB2312"/>
                <w:color w:val="000000"/>
                <w:kern w:val="0"/>
                <w:sz w:val="24"/>
                <w:szCs w:val="24"/>
                <w:highlight w:val="none"/>
                <w:vertAlign w:val="baseline"/>
                <w:lang w:val="en-US" w:eastAsia="zh-CN"/>
              </w:rPr>
            </w:pPr>
            <w:r>
              <w:rPr>
                <w:rFonts w:hint="eastAsia" w:ascii="仿宋_GB2312" w:hAnsi="仿宋_GB2312" w:eastAsia="仿宋_GB2312" w:cs="仿宋_GB2312"/>
                <w:kern w:val="0"/>
                <w:sz w:val="24"/>
                <w:szCs w:val="24"/>
                <w:highlight w:val="none"/>
              </w:rPr>
              <w:t>服务对象满意度指标</w:t>
            </w:r>
          </w:p>
        </w:tc>
        <w:tc>
          <w:tcPr>
            <w:tcW w:w="2703" w:type="pct"/>
            <w:vAlign w:val="center"/>
          </w:tcPr>
          <w:p w14:paraId="77F03486">
            <w:pPr>
              <w:keepNext w:val="0"/>
              <w:keepLines w:val="0"/>
              <w:pageBreakBefore w:val="0"/>
              <w:kinsoku/>
              <w:wordWrap/>
              <w:overflowPunct/>
              <w:topLinePunct w:val="0"/>
              <w:autoSpaceDE/>
              <w:autoSpaceDN/>
              <w:bidi w:val="0"/>
              <w:adjustRightInd/>
              <w:snapToGrid/>
              <w:spacing w:line="600" w:lineRule="exact"/>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指标1：满意度指标服务对象满意度指标人民群众对检察工作的满意度</w:t>
            </w:r>
          </w:p>
        </w:tc>
        <w:tc>
          <w:tcPr>
            <w:tcW w:w="946" w:type="pct"/>
            <w:vAlign w:val="center"/>
          </w:tcPr>
          <w:p w14:paraId="5C89CF4D">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kern w:val="0"/>
                <w:sz w:val="24"/>
                <w:szCs w:val="24"/>
                <w:highlight w:val="none"/>
                <w:lang w:val="en-US" w:eastAsia="zh-CN"/>
              </w:rPr>
              <w:t>≥95%</w:t>
            </w:r>
          </w:p>
        </w:tc>
      </w:tr>
    </w:tbl>
    <w:p w14:paraId="07939164">
      <w:pPr>
        <w:keepNext w:val="0"/>
        <w:keepLines w:val="0"/>
        <w:pageBreakBefore w:val="0"/>
        <w:numPr>
          <w:ilvl w:val="0"/>
          <w:numId w:val="0"/>
        </w:numPr>
        <w:kinsoku/>
        <w:wordWrap/>
        <w:overflowPunct/>
        <w:topLinePunct w:val="0"/>
        <w:autoSpaceDE/>
        <w:autoSpaceDN/>
        <w:bidi w:val="0"/>
        <w:adjustRightInd/>
        <w:snapToGrid/>
        <w:spacing w:line="600" w:lineRule="exact"/>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注：以上整体绩效目标和具体目标均为编制2024年度部门预算时填写，绩效目标未完全体现出我院重点工作任务。我院整体绩效情况将在“三、整体绩效目标实现情况”中详细分析</w:t>
      </w:r>
    </w:p>
    <w:p w14:paraId="5F4FF90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3.绩效目标设立依据</w:t>
      </w:r>
    </w:p>
    <w:p w14:paraId="0969D4B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本院部门整体绩效目标是基于部门的职能定位、相关中长期发展规划以及年度重点工作任务来确定的。这些目标与部门的战略规划紧密相连，确保每一项工作都能推进部门向既定的长期目标前进。</w:t>
      </w:r>
    </w:p>
    <w:p w14:paraId="2082245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4.目标与职责任务匹配情况</w:t>
      </w:r>
    </w:p>
    <w:p w14:paraId="08A4EB8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highlight w:val="none"/>
        </w:rPr>
      </w:pPr>
      <w:r>
        <w:rPr>
          <w:rFonts w:hint="eastAsia" w:ascii="仿宋_GB2312" w:hAnsi="仿宋_GB2312" w:eastAsia="仿宋_GB2312" w:cs="仿宋_GB2312"/>
          <w:sz w:val="32"/>
          <w:szCs w:val="32"/>
          <w:highlight w:val="none"/>
          <w:lang w:val="en-US" w:eastAsia="zh-CN"/>
        </w:rPr>
        <w:t>在设定绩效目标时，本院已经明确每个目标与部门及其成员的具体职责之间的对应关系。确保所有检察干警都清楚自己的工作如何贡献于整体目标的实现，这有助于提高目标的可执行性和所有干警的工作效率。</w:t>
      </w:r>
    </w:p>
    <w:p w14:paraId="5F901562">
      <w:pPr>
        <w:keepNext w:val="0"/>
        <w:keepLines w:val="0"/>
        <w:pageBreakBefore w:val="0"/>
        <w:kinsoku/>
        <w:wordWrap/>
        <w:overflowPunct/>
        <w:topLinePunct w:val="0"/>
        <w:autoSpaceDE/>
        <w:autoSpaceDN/>
        <w:bidi w:val="0"/>
        <w:adjustRightInd/>
        <w:snapToGrid/>
        <w:spacing w:line="600" w:lineRule="exact"/>
        <w:ind w:firstLine="640" w:firstLineChars="200"/>
        <w:outlineLvl w:val="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p>
    <w:p w14:paraId="2C034F9F">
      <w:pPr>
        <w:keepNext w:val="0"/>
        <w:keepLines w:val="0"/>
        <w:pageBreakBefore w:val="0"/>
        <w:kinsoku/>
        <w:wordWrap/>
        <w:overflowPunct/>
        <w:topLinePunct w:val="0"/>
        <w:autoSpaceDE/>
        <w:autoSpaceDN/>
        <w:bidi w:val="0"/>
        <w:adjustRightInd/>
        <w:snapToGrid/>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000000"/>
          <w:kern w:val="0"/>
          <w:sz w:val="32"/>
          <w:szCs w:val="32"/>
          <w:highlight w:val="none"/>
        </w:rPr>
        <w:t>年</w:t>
      </w:r>
      <w:r>
        <w:rPr>
          <w:rFonts w:ascii="仿宋_GB2312" w:hAnsi="宋体" w:eastAsia="仿宋_GB2312" w:cs="宋体"/>
          <w:color w:val="000000"/>
          <w:kern w:val="0"/>
          <w:sz w:val="32"/>
          <w:szCs w:val="32"/>
          <w:highlight w:val="none"/>
        </w:rPr>
        <w:t>全年</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19651.45</w:t>
      </w:r>
      <w:r>
        <w:rPr>
          <w:rFonts w:hint="eastAsia" w:ascii="仿宋_GB2312" w:hAnsi="宋体" w:eastAsia="仿宋_GB2312" w:cs="宋体"/>
          <w:color w:val="000000"/>
          <w:kern w:val="0"/>
          <w:sz w:val="32"/>
          <w:szCs w:val="32"/>
          <w:highlight w:val="none"/>
        </w:rPr>
        <w:t>万元</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其中</w:t>
      </w:r>
      <w:r>
        <w:rPr>
          <w:rFonts w:hint="eastAsia" w:ascii="仿宋_GB2312" w:hAnsi="宋体" w:eastAsia="仿宋_GB2312" w:cs="宋体"/>
          <w:color w:val="000000"/>
          <w:kern w:val="0"/>
          <w:sz w:val="32"/>
          <w:szCs w:val="32"/>
          <w:highlight w:val="none"/>
          <w:lang w:eastAsia="zh-CN"/>
        </w:rPr>
        <w:t>：</w:t>
      </w:r>
      <w:r>
        <w:rPr>
          <w:rFonts w:ascii="仿宋_GB2312" w:hAnsi="宋体" w:eastAsia="仿宋_GB2312" w:cs="宋体"/>
          <w:color w:val="000000"/>
          <w:kern w:val="0"/>
          <w:sz w:val="32"/>
          <w:szCs w:val="32"/>
          <w:highlight w:val="none"/>
        </w:rPr>
        <w:t>基本</w:t>
      </w:r>
      <w:r>
        <w:rPr>
          <w:rFonts w:hint="eastAsia" w:ascii="仿宋_GB2312" w:hAnsi="宋体" w:eastAsia="仿宋_GB2312" w:cs="宋体"/>
          <w:color w:val="000000"/>
          <w:kern w:val="0"/>
          <w:sz w:val="32"/>
          <w:szCs w:val="32"/>
          <w:highlight w:val="none"/>
        </w:rPr>
        <w:t>支出</w:t>
      </w:r>
      <w:r>
        <w:rPr>
          <w:rFonts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16960.71</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财政拨款项目支出预算数</w:t>
      </w:r>
      <w:r>
        <w:rPr>
          <w:rFonts w:hint="eastAsia" w:ascii="仿宋_GB2312" w:hAnsi="宋体" w:eastAsia="仿宋_GB2312" w:cs="宋体"/>
          <w:color w:val="000000"/>
          <w:kern w:val="0"/>
          <w:sz w:val="32"/>
          <w:szCs w:val="32"/>
          <w:highlight w:val="none"/>
          <w:lang w:val="en-US" w:eastAsia="zh-CN"/>
        </w:rPr>
        <w:t>1714.58</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非财政拨款</w:t>
      </w:r>
      <w:r>
        <w:rPr>
          <w:rFonts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976.16</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19561.76</w:t>
      </w:r>
      <w:r>
        <w:rPr>
          <w:rFonts w:ascii="仿宋_GB2312" w:hAnsi="宋体" w:eastAsia="仿宋_GB2312" w:cs="宋体"/>
          <w:color w:val="000000"/>
          <w:kern w:val="0"/>
          <w:sz w:val="32"/>
          <w:szCs w:val="32"/>
          <w:highlight w:val="none"/>
        </w:rPr>
        <w:t>万元，其中</w:t>
      </w:r>
      <w:r>
        <w:rPr>
          <w:rFonts w:hint="eastAsia" w:ascii="仿宋_GB2312" w:hAnsi="宋体" w:eastAsia="仿宋_GB2312" w:cs="宋体"/>
          <w:color w:val="000000"/>
          <w:kern w:val="0"/>
          <w:sz w:val="32"/>
          <w:szCs w:val="32"/>
          <w:highlight w:val="none"/>
          <w:lang w:eastAsia="zh-CN"/>
        </w:rPr>
        <w:t>：</w:t>
      </w:r>
      <w:r>
        <w:rPr>
          <w:rFonts w:ascii="仿宋_GB2312" w:hAnsi="宋体" w:eastAsia="仿宋_GB2312" w:cs="宋体"/>
          <w:color w:val="000000"/>
          <w:kern w:val="0"/>
          <w:sz w:val="32"/>
          <w:szCs w:val="32"/>
          <w:highlight w:val="none"/>
        </w:rPr>
        <w:t>基本支出</w:t>
      </w:r>
      <w:r>
        <w:rPr>
          <w:rFonts w:hint="eastAsia" w:ascii="仿宋_GB2312" w:hAnsi="宋体" w:eastAsia="仿宋_GB2312" w:cs="宋体"/>
          <w:color w:val="000000"/>
          <w:kern w:val="0"/>
          <w:sz w:val="32"/>
          <w:szCs w:val="32"/>
          <w:highlight w:val="none"/>
          <w:lang w:val="en-US" w:eastAsia="zh-CN"/>
        </w:rPr>
        <w:t>16892.83万</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财政拨款</w:t>
      </w:r>
      <w:r>
        <w:rPr>
          <w:rFonts w:ascii="仿宋_GB2312" w:hAnsi="宋体" w:eastAsia="仿宋_GB2312" w:cs="宋体"/>
          <w:color w:val="000000"/>
          <w:kern w:val="0"/>
          <w:sz w:val="32"/>
          <w:szCs w:val="32"/>
          <w:highlight w:val="none"/>
        </w:rPr>
        <w:t>项目</w:t>
      </w:r>
      <w:r>
        <w:rPr>
          <w:rFonts w:hint="eastAsia"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1709.03</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非财政拨款</w:t>
      </w:r>
      <w:r>
        <w:rPr>
          <w:rFonts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959.91</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预算</w:t>
      </w:r>
      <w:r>
        <w:rPr>
          <w:rFonts w:ascii="仿宋_GB2312" w:hAnsi="宋体" w:eastAsia="仿宋_GB2312" w:cs="宋体"/>
          <w:color w:val="000000"/>
          <w:kern w:val="0"/>
          <w:sz w:val="32"/>
          <w:szCs w:val="32"/>
          <w:highlight w:val="none"/>
        </w:rPr>
        <w:t>执行率为</w:t>
      </w:r>
      <w:r>
        <w:rPr>
          <w:rFonts w:hint="eastAsia" w:ascii="仿宋_GB2312" w:hAnsi="宋体" w:eastAsia="仿宋_GB2312" w:cs="宋体"/>
          <w:color w:val="000000"/>
          <w:kern w:val="0"/>
          <w:sz w:val="32"/>
          <w:szCs w:val="32"/>
          <w:highlight w:val="none"/>
          <w:lang w:val="en-US" w:eastAsia="zh-CN"/>
        </w:rPr>
        <w:t>99.54%</w:t>
      </w:r>
      <w:r>
        <w:rPr>
          <w:rFonts w:hint="eastAsia" w:ascii="仿宋_GB2312" w:hAnsi="宋体" w:eastAsia="仿宋_GB2312" w:cs="宋体"/>
          <w:color w:val="000000"/>
          <w:kern w:val="0"/>
          <w:sz w:val="32"/>
          <w:szCs w:val="32"/>
          <w:highlight w:val="none"/>
        </w:rPr>
        <w:t>。</w:t>
      </w:r>
    </w:p>
    <w:p w14:paraId="51E61BDC">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p>
    <w:p w14:paraId="765C557B">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1"/>
        <w:rPr>
          <w:rFonts w:ascii="楷体_GB2312" w:eastAsia="楷体_GB2312"/>
          <w:sz w:val="32"/>
          <w:szCs w:val="32"/>
          <w:highlight w:val="none"/>
        </w:rPr>
      </w:pPr>
      <w:r>
        <w:rPr>
          <w:rFonts w:hint="eastAsia" w:ascii="楷体_GB2312" w:eastAsia="楷体_GB2312"/>
          <w:sz w:val="32"/>
          <w:szCs w:val="32"/>
          <w:highlight w:val="none"/>
        </w:rPr>
        <w:t>（一）产出完成情况分析</w:t>
      </w:r>
    </w:p>
    <w:p w14:paraId="3A3672F3">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2"/>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1.产出数量</w:t>
      </w:r>
    </w:p>
    <w:p w14:paraId="3489621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仿宋_GB2312" w:eastAsia="仿宋_GB2312" w:cs="仿宋_GB2312"/>
          <w:kern w:val="0"/>
          <w:sz w:val="32"/>
          <w:szCs w:val="32"/>
          <w:highlight w:val="none"/>
        </w:rPr>
        <w:t>2024年，我院共办理“四大检察”案件13681件，其中，刑事检察案件9006件，占比65.8%，民事、行政、公益诉讼检察案件4675件，占比34.2%，“四大检察”全面协调充分发展良性态势进一步巩固。侦查监督、审判监督等监督案件占比达55.1%，批捕、起诉等司法办案数量占比为44.9%，办案与监督属性更趋融合。大数据法律监督模型对监督线索发现、监督案件办理的贡献率分别达61.7%、54.0%，数字检察赋能法律监督、牵引带动检察业态转型升级的成效愈发显著。</w:t>
      </w:r>
    </w:p>
    <w:p w14:paraId="6813F604">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2"/>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产出质量</w:t>
      </w:r>
    </w:p>
    <w:p w14:paraId="3997B0E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聚焦服务大局，助推区域高质量发展</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紧紧围绕海淀中心工作，统筹发展和安全，以高质效检察履职维护稳定、促进发展、保障善治。</w:t>
      </w:r>
    </w:p>
    <w:p w14:paraId="0E26B70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一是立足大局保稳定，服务海淀促发展。紧紧围绕海淀中心任务，公正高效司法，综合履职尽责，更好落实统筹发展和安全的要求。以履职之本守海淀之稳。严格依法办案，全年批准逮捕2202人，提起公诉2170人。严厉打击危害群众安全感犯罪。以专业之力护创新之智。深入开展“检察护企”专项行动，依法平等保护各类经营主体。扎实办好涉企案件。以检察之为促区域之治。坚持治罪与治理并重，努力增进社会和谐。“轻枫数治”轻罪检察品牌及5项治理成效获评市院优秀成果。以尽责之实助反腐之效。发挥职务犯罪检察职能，全面融入一体推进“三不腐”建设。</w:t>
      </w:r>
    </w:p>
    <w:p w14:paraId="43D5779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 xml:space="preserve"> 二是法律监督严把关，初心如磐护公正。依法履行各类诉讼监督职能，确保法律统一正确实施，维护执法司法公平公正。强化数字赋能，履职更具智慧。强化靶向发力，履职更加精准。突出重点诉讼领域，做实有效监督。强化办案思维，履职更为有力。全面准确查明案件事实，及时依法监督。强化部门协同，履职更趋融合。牢固树立检察一盘棋意识，汇聚监督合力。</w:t>
      </w:r>
    </w:p>
    <w:p w14:paraId="4F4F12D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三是为民司法显本色，检护民生暖人心。紧紧围绕以人民为中心的发展思想，切实践行为民服务宗旨，在检察履职中保障和改善民生。用爱用心托起明天的太阳。依托“四叶草”品牌，持续做优未成年人检察各项工作，全年办理各类案件510件。全心全意守护民生福祉。全年办理公益诉讼案件505件，发出诉前检察建议52份。倾情倾力化解矛盾纠纷。坚持和发展新时代“枫桥经验”，建好“民意窗”，架好“连心桥”。善作善成引领法治意识。依托检察履职润物无声传播社会主义法治文化，让法治观念深入人心。</w:t>
      </w:r>
    </w:p>
    <w:p w14:paraId="6B02E31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四是锤炼自身强建设，忠诚干净能担当。牢牢把握检察队伍现代化建设目标要求，锤炼为大局服务、为人民司法、为法治担当的检察队伍。紧盯“三个层面”，把好政治建检思想之舵。巩固拓展主题教育成果，筑牢鲜明政治底色。紧扣“三项重点”，答好人才强检时代之问。牢固树立人才第一资源理念，以首善标准打造高素质专业化人才队伍。紧抓“三个体系”，谋好管理兴检发展之策。深刻把握司法权运行规律，在自身制约监督上持续探索、创新机制</w:t>
      </w:r>
      <w:r>
        <w:rPr>
          <w:rFonts w:hint="eastAsia" w:ascii="仿宋_GB2312" w:hAnsi="仿宋_GB2312" w:eastAsia="仿宋_GB2312" w:cs="仿宋_GB2312"/>
          <w:b w:val="0"/>
          <w:bCs w:val="0"/>
          <w:sz w:val="32"/>
          <w:szCs w:val="32"/>
          <w:highlight w:val="none"/>
        </w:rPr>
        <w:t>。</w:t>
      </w:r>
    </w:p>
    <w:p w14:paraId="3A6E77B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在全国检察机关大数据法律监督模型推广应用活动中，我院模型推广院次和模型应用数量均位居全国第一，获评模型推广优胜院和模型应用优胜院，系全国唯一双优胜检察院。我院累计获国家级荣誉28项、市级荣誉45项、区级荣誉37项</w:t>
      </w:r>
      <w:r>
        <w:rPr>
          <w:rFonts w:hint="eastAsia" w:ascii="仿宋_GB2312" w:hAnsi="仿宋_GB2312" w:eastAsia="仿宋_GB2312" w:cs="仿宋_GB2312"/>
          <w:b w:val="0"/>
          <w:bCs w:val="0"/>
          <w:sz w:val="32"/>
          <w:szCs w:val="32"/>
          <w:highlight w:val="none"/>
          <w:lang w:eastAsia="zh-CN"/>
        </w:rPr>
        <w:t>。</w:t>
      </w:r>
    </w:p>
    <w:p w14:paraId="34F3887D">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2"/>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3.产出时效</w:t>
      </w:r>
    </w:p>
    <w:p w14:paraId="52B22D2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default" w:ascii="仿宋_GB2312" w:hAnsi="仿宋_GB2312" w:eastAsia="仿宋_GB2312" w:cs="仿宋_GB2312"/>
          <w:b w:val="0"/>
          <w:bCs w:val="0"/>
          <w:sz w:val="32"/>
          <w:szCs w:val="32"/>
          <w:highlight w:val="none"/>
          <w:lang w:val="en-US" w:eastAsia="zh-CN"/>
        </w:rPr>
        <w:t>202</w:t>
      </w:r>
      <w:r>
        <w:rPr>
          <w:rFonts w:hint="eastAsia" w:ascii="仿宋_GB2312" w:hAnsi="仿宋_GB2312" w:eastAsia="仿宋_GB2312" w:cs="仿宋_GB2312"/>
          <w:b w:val="0"/>
          <w:bCs w:val="0"/>
          <w:sz w:val="32"/>
          <w:szCs w:val="32"/>
          <w:highlight w:val="none"/>
          <w:lang w:val="en-US" w:eastAsia="zh-CN"/>
        </w:rPr>
        <w:t>4</w:t>
      </w:r>
      <w:r>
        <w:rPr>
          <w:rFonts w:hint="default" w:ascii="仿宋_GB2312" w:hAnsi="仿宋_GB2312" w:eastAsia="仿宋_GB2312" w:cs="仿宋_GB2312"/>
          <w:b w:val="0"/>
          <w:bCs w:val="0"/>
          <w:sz w:val="32"/>
          <w:szCs w:val="32"/>
          <w:highlight w:val="none"/>
          <w:lang w:val="en-US" w:eastAsia="zh-CN"/>
        </w:rPr>
        <w:t>年12月底</w:t>
      </w:r>
      <w:r>
        <w:rPr>
          <w:rFonts w:hint="eastAsia" w:ascii="仿宋_GB2312" w:hAnsi="仿宋_GB2312" w:eastAsia="仿宋_GB2312" w:cs="仿宋_GB2312"/>
          <w:b w:val="0"/>
          <w:bCs w:val="0"/>
          <w:sz w:val="32"/>
          <w:szCs w:val="32"/>
          <w:highlight w:val="none"/>
          <w:lang w:val="en-US" w:eastAsia="zh-CN"/>
        </w:rPr>
        <w:t>资金全年预算数19651.45万元，决算数19561.76万元，</w:t>
      </w:r>
      <w:r>
        <w:rPr>
          <w:rFonts w:hint="default" w:ascii="仿宋_GB2312" w:hAnsi="仿宋_GB2312" w:eastAsia="仿宋_GB2312" w:cs="仿宋_GB2312"/>
          <w:b w:val="0"/>
          <w:bCs w:val="0"/>
          <w:sz w:val="32"/>
          <w:szCs w:val="32"/>
          <w:highlight w:val="none"/>
          <w:lang w:val="en-US" w:eastAsia="zh-CN"/>
        </w:rPr>
        <w:t>预算执行进度</w:t>
      </w:r>
      <w:r>
        <w:rPr>
          <w:rFonts w:hint="eastAsia" w:ascii="仿宋_GB2312" w:hAnsi="仿宋_GB2312" w:eastAsia="仿宋_GB2312" w:cs="仿宋_GB2312"/>
          <w:b w:val="0"/>
          <w:bCs w:val="0"/>
          <w:sz w:val="32"/>
          <w:szCs w:val="32"/>
          <w:highlight w:val="none"/>
          <w:lang w:val="en-US" w:eastAsia="zh-CN"/>
        </w:rPr>
        <w:t>99.54</w:t>
      </w:r>
      <w:r>
        <w:rPr>
          <w:rFonts w:hint="default"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lang w:val="en-US" w:eastAsia="zh-CN"/>
        </w:rPr>
        <w:t>。其中，一般公共预算财政拨款全年预算数18675.</w:t>
      </w:r>
      <w:bookmarkStart w:id="0" w:name="_GoBack"/>
      <w:bookmarkEnd w:id="0"/>
      <w:r>
        <w:rPr>
          <w:rFonts w:hint="eastAsia" w:ascii="仿宋_GB2312" w:hAnsi="仿宋_GB2312" w:eastAsia="仿宋_GB2312" w:cs="仿宋_GB2312"/>
          <w:b w:val="0"/>
          <w:bCs w:val="0"/>
          <w:sz w:val="32"/>
          <w:szCs w:val="32"/>
          <w:highlight w:val="none"/>
          <w:lang w:val="en-US" w:eastAsia="zh-CN"/>
        </w:rPr>
        <w:t>29万元，决算数</w:t>
      </w:r>
      <w:r>
        <w:rPr>
          <w:rFonts w:hint="eastAsia" w:ascii="仿宋_GB2312" w:hAnsi="宋体" w:eastAsia="仿宋_GB2312" w:cs="宋体"/>
          <w:color w:val="000000"/>
          <w:kern w:val="0"/>
          <w:sz w:val="32"/>
          <w:szCs w:val="32"/>
          <w:highlight w:val="none"/>
          <w:lang w:val="en-US" w:eastAsia="zh-CN"/>
        </w:rPr>
        <w:t>18601.85</w:t>
      </w:r>
      <w:r>
        <w:rPr>
          <w:rFonts w:hint="eastAsia" w:ascii="仿宋_GB2312" w:hAnsi="仿宋_GB2312" w:eastAsia="仿宋_GB2312" w:cs="仿宋_GB2312"/>
          <w:b w:val="0"/>
          <w:bCs w:val="0"/>
          <w:sz w:val="32"/>
          <w:szCs w:val="32"/>
          <w:highlight w:val="none"/>
          <w:lang w:val="en-US" w:eastAsia="zh-CN"/>
        </w:rPr>
        <w:t>万元，</w:t>
      </w:r>
      <w:r>
        <w:rPr>
          <w:rFonts w:hint="default" w:ascii="仿宋_GB2312" w:hAnsi="仿宋_GB2312" w:eastAsia="仿宋_GB2312" w:cs="仿宋_GB2312"/>
          <w:b w:val="0"/>
          <w:bCs w:val="0"/>
          <w:sz w:val="32"/>
          <w:szCs w:val="32"/>
          <w:highlight w:val="none"/>
          <w:lang w:val="en-US" w:eastAsia="zh-CN"/>
        </w:rPr>
        <w:t>预算执行进度</w:t>
      </w:r>
      <w:r>
        <w:rPr>
          <w:rFonts w:hint="eastAsia" w:ascii="仿宋_GB2312" w:hAnsi="仿宋_GB2312" w:eastAsia="仿宋_GB2312" w:cs="仿宋_GB2312"/>
          <w:b w:val="0"/>
          <w:bCs w:val="0"/>
          <w:sz w:val="32"/>
          <w:szCs w:val="32"/>
          <w:highlight w:val="none"/>
          <w:lang w:val="en-US" w:eastAsia="zh-CN"/>
        </w:rPr>
        <w:t>99.61%。</w:t>
      </w:r>
    </w:p>
    <w:p w14:paraId="160BC538">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2"/>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4.产出成本</w:t>
      </w:r>
    </w:p>
    <w:p w14:paraId="55CDC1D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2024年度实际支出19561.76万元，其中，</w:t>
      </w:r>
      <w:r>
        <w:rPr>
          <w:rFonts w:hint="eastAsia" w:ascii="仿宋_GB2312" w:hAnsi="仿宋_GB2312" w:eastAsia="仿宋_GB2312" w:cs="仿宋_GB2312"/>
          <w:b w:val="0"/>
          <w:bCs w:val="0"/>
          <w:sz w:val="32"/>
          <w:szCs w:val="32"/>
          <w:highlight w:val="none"/>
          <w:lang w:val="en-US" w:eastAsia="zh-CN"/>
        </w:rPr>
        <w:t>一般公共预算财政拨款</w:t>
      </w:r>
      <w:r>
        <w:rPr>
          <w:rFonts w:hint="eastAsia" w:ascii="仿宋_GB2312" w:hAnsi="宋体" w:eastAsia="仿宋_GB2312" w:cs="宋体"/>
          <w:color w:val="000000"/>
          <w:kern w:val="0"/>
          <w:sz w:val="32"/>
          <w:szCs w:val="32"/>
          <w:highlight w:val="none"/>
          <w:lang w:val="en-US" w:eastAsia="zh-CN"/>
        </w:rPr>
        <w:t>实际支出18601.85万元,非财政拨款实际支出959.91元。</w:t>
      </w:r>
      <w:r>
        <w:rPr>
          <w:rFonts w:hint="eastAsia" w:ascii="仿宋_GB2312" w:hAnsi="宋体" w:eastAsia="仿宋_GB2312" w:cs="宋体"/>
          <w:color w:val="000000"/>
          <w:kern w:val="0"/>
          <w:sz w:val="32"/>
          <w:szCs w:val="32"/>
          <w:highlight w:val="none"/>
        </w:rPr>
        <w:t xml:space="preserve">                                 </w:t>
      </w:r>
    </w:p>
    <w:p w14:paraId="08269C4A">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1"/>
        <w:rPr>
          <w:rFonts w:ascii="楷体_GB2312" w:eastAsia="楷体_GB2312"/>
          <w:sz w:val="32"/>
          <w:szCs w:val="32"/>
          <w:highlight w:val="none"/>
        </w:rPr>
      </w:pPr>
      <w:r>
        <w:rPr>
          <w:rFonts w:hint="eastAsia" w:ascii="楷体_GB2312" w:eastAsia="楷体_GB2312"/>
          <w:sz w:val="32"/>
          <w:szCs w:val="32"/>
          <w:highlight w:val="none"/>
        </w:rPr>
        <w:t>（二）效果</w:t>
      </w:r>
      <w:r>
        <w:rPr>
          <w:rFonts w:ascii="楷体_GB2312" w:eastAsia="楷体_GB2312"/>
          <w:sz w:val="32"/>
          <w:szCs w:val="32"/>
          <w:highlight w:val="none"/>
        </w:rPr>
        <w:t>实现情况分析</w:t>
      </w:r>
    </w:p>
    <w:p w14:paraId="2CE3C7BA">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2"/>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1.经济</w:t>
      </w:r>
      <w:r>
        <w:rPr>
          <w:rFonts w:ascii="仿宋_GB2312" w:hAnsi="宋体" w:eastAsia="仿宋_GB2312" w:cs="宋体"/>
          <w:color w:val="000000"/>
          <w:kern w:val="0"/>
          <w:sz w:val="32"/>
          <w:szCs w:val="32"/>
          <w:highlight w:val="none"/>
        </w:rPr>
        <w:t>效益</w:t>
      </w:r>
    </w:p>
    <w:p w14:paraId="7BB5460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紧紧围绕海淀中心任务，公正高效司法，综合履职尽责，更好落实统筹发展和安全的要求。</w:t>
      </w:r>
    </w:p>
    <w:p w14:paraId="16C7EE1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以履职之本守海淀之稳。严格依法办案，全年批准逮捕2202人，提起公诉2170人。严厉打击危害群众安全感犯罪。起诉故意杀人、抢劫、强奸、以危险方法危害公共安全等恶性犯罪25人，贩卖毒品、组织卖淫等妨害社会管理秩序犯罪196人，盗窃、诈骗等多发性侵财犯罪704人。深入推进常态化扫黑除恶斗争，办理上级交办的“6.20”“12.05”等重大涉黑涉恶案件。坚决维护经济金融安全。起诉金融诈骗、破坏金融管理秩序犯罪116人，追赃挽损3亿余元。起诉虚开增值税专用发票等危害税收征管犯罪36人，推行“全税种补税办法”，协同税务机关追缴税款3亿余元。依法办理一批骗领失业保险金犯罪案件，挽回国家损失900余万元。依法惩治网络科技犯罪。有力打击新型技术犯罪，办理“利用AI去衣制作、贩卖淫秽物品牟利”“黑客团伙非法获取知名高校参观号源数据”等案件。严惩网络暴力“按键伤人”，起诉利用网络实施侮辱、诽谤、寻衅滋事等犯罪14人。从严惩治电信网络诈骗及其关联犯罪，起诉168人，杨某等2人帮助信息网络犯罪活动案获评市院典型案例。</w:t>
      </w:r>
    </w:p>
    <w:p w14:paraId="0161CA1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以专业之力护创新之智。深入开展“检察护企”专项行动，依法平等保护各类经营主体。扎实办好涉企案件。起诉民营企业工作人员受贿、职务侵占等内部腐败犯罪133人，累计为54家企业挽回经济损失8631万元，郭某某非国家工作人员受贿案获评市院典型案例。严格区分经济纠纷与经济犯罪的界限，持续清理涉企“挂案”，监督撤案5件。深入开展侵害企业合法权益犯罪的刑事裁判涉财产部分执行法律监督，核查线索393条，督促执行到位2500余万元。积极守护企业创新成果。构建知识产权“刑事打击+行政处罚+民事赔偿”全方位治理格局，办理案件55件，张某某销售假冒注册商标的商品案等3件案件获评市院典型案例。护航人工智能产业高地建设，办理非法控制计算机信息系统等案件4件，对通过安装挖矿程序占用算力资源、非法获取虚拟币的企业“内鬼”安某依法起诉，该案获评市院典型案例。精准对接企业法治需求。设置专门“护企接待室”，打造企业服务“绿色通道”。构建“请进来+走出去+云见面”的检企联络新格局，有效回应头部、大型企业、中小微企业、新质生产力等各类企业法律诉求。研发“检启智远”小程序，推出“智远微课堂”普法课，发布“知识产权检察综合履职”十大案事例，“微微计划”融入国家知识产权保护示范区建设。</w:t>
      </w:r>
    </w:p>
    <w:p w14:paraId="21C7470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以检察之为促区域之治。坚持治罪与治理并重，努力增进社会和谐。“轻枫数治”轻罪检察品牌及5项治理成效获评市院优秀成果。坚持宽严相济。对轻微犯罪依法从宽处理，不批捕574人、不起诉1028人。全面准确规范落实认罪认罚从宽制度，共计适用2717人。准确适用“两高两部”醉驾治理新规，以危险驾驶罪起诉217人，同比下降45%，受案量占比从最高点24.69%下降至5.80%；对醉酒后载客发生交通事故的网约车司机王某某依法从重处罚，获评最高检典型案例。坚持以案促治。围绕新业态新行业、新型毒品管控等问题制发检察建议，持续跟踪督促落实。在市、区两级政法委统筹推进下，搭建精神障碍患者肇事肇祸法律监督模型，协同有关部门从涉案行为人管控、被害人权利保护和救济、监护人职责落实等环节进行全链条治理，模型由最高检在全国推广。</w:t>
      </w:r>
    </w:p>
    <w:p w14:paraId="1451530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highlight w:val="none"/>
        </w:rPr>
      </w:pPr>
      <w:r>
        <w:rPr>
          <w:rFonts w:hint="eastAsia" w:ascii="仿宋_GB2312" w:hAnsi="仿宋_GB2312" w:eastAsia="仿宋_GB2312" w:cs="仿宋_GB2312"/>
          <w:b w:val="0"/>
          <w:bCs w:val="0"/>
          <w:sz w:val="32"/>
          <w:szCs w:val="32"/>
          <w:highlight w:val="none"/>
          <w:lang w:val="en-US" w:eastAsia="zh-CN"/>
        </w:rPr>
        <w:t>以尽责之实助反腐之效。发挥职务犯罪检察职能，全面融入一体推进“三不腐”建设。保持高压态势。依法办理监委移送职务犯罪80人，批捕44人，起诉65人。办理区属国有企业系列案件，起诉4件4人。推进受贿行贿一起查，办理行贿案件16件。深化机制建设。优化监检衔接机制，对重点疑难复杂案件提前介入7件，共同会商研判22件。贯彻一案双查、全面审查机制，深挖贪污贿赂案件中的洗钱犯罪事实，起诉4件4人。筑牢思想堤坝。开展“庭审观摩+警示教育”21件次，剖析身边案，打好“预防针”。依托“海检廉声”普法品牌，受邀为税务、核工业等数十家单位定制廉政课堂，营造崇廉拒腐良好风尚。</w:t>
      </w:r>
    </w:p>
    <w:p w14:paraId="1EEB9862">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2"/>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2.社会效益</w:t>
      </w:r>
    </w:p>
    <w:p w14:paraId="47DD8C1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
        </w:rPr>
      </w:pPr>
      <w:r>
        <w:rPr>
          <w:rFonts w:hint="eastAsia" w:ascii="仿宋_GB2312" w:hAnsi="仿宋_GB2312" w:eastAsia="仿宋_GB2312" w:cs="仿宋_GB2312"/>
          <w:b w:val="0"/>
          <w:bCs w:val="0"/>
          <w:sz w:val="32"/>
          <w:szCs w:val="32"/>
          <w:highlight w:val="none"/>
          <w:lang w:val="en"/>
        </w:rPr>
        <w:t>紧紧围绕以人民为中心的发展思想，切实践行为民服务宗旨，在检察履职中保障和改善民生。</w:t>
      </w:r>
    </w:p>
    <w:p w14:paraId="42FA4D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
        </w:rPr>
      </w:pPr>
      <w:r>
        <w:rPr>
          <w:rFonts w:hint="eastAsia" w:ascii="仿宋_GB2312" w:hAnsi="仿宋_GB2312" w:eastAsia="仿宋_GB2312" w:cs="仿宋_GB2312"/>
          <w:b w:val="0"/>
          <w:bCs w:val="0"/>
          <w:sz w:val="32"/>
          <w:szCs w:val="32"/>
          <w:highlight w:val="none"/>
          <w:lang w:val="en"/>
        </w:rPr>
        <w:t>用爱用心托起明天的太阳。依托“四叶草”品牌，持续做优未成年人检察各项工作，全年办理各类案件510件。深化综合履职。从严惩治侵害未成年人犯罪，起诉59人，对一起在公共场合持刀伤害多名未成年人案件及时提前介入、有效引导侦查。强化侵害未成年人诉讼监督，在舒某隔空猥亵案中追加认定20名未成年被害人，获评市院典型案例。对涉罪未成年人“宽容不纵容”，对犯罪情节轻微、有悔罪表现的，附条件不起诉11人，对犯罪情节严重的起诉6人。加强未成年人关爱救助，对6件性侵害案件的未成年被害人民事支持起诉。办理行政公益诉讼案件25件，针对向未成年人售酒等问题,督促有关部门整改落实。促推一体保护。融合家庭、学校、社会、网络、政府、司法六大保护力量，凝聚未成年人犯罪预防和治理最大合力。制发督促监护令29件，家庭教育指导令4件，督促、引导监护人履行监护职责。深化“检教共建”，检察官首次为全区中小学德育干部专题授课。市院朱雅频检察长续聘海淀寄读学校法治副校长，走进校园讲授专题法治课。启动“光合计划”，织密未成年人网络保护综合防线。</w:t>
      </w:r>
    </w:p>
    <w:p w14:paraId="092D615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
        </w:rPr>
      </w:pPr>
      <w:r>
        <w:rPr>
          <w:rFonts w:hint="eastAsia" w:ascii="仿宋_GB2312" w:hAnsi="仿宋_GB2312" w:eastAsia="仿宋_GB2312" w:cs="仿宋_GB2312"/>
          <w:b w:val="0"/>
          <w:bCs w:val="0"/>
          <w:sz w:val="32"/>
          <w:szCs w:val="32"/>
          <w:highlight w:val="none"/>
          <w:lang w:val="en"/>
        </w:rPr>
        <w:t>全心全意守护民生福祉。全年办理公益诉讼案件505件，发出诉前检察建议52份。守好人民群众“钱袋子”。排查企业预付式消费违规经营线索200余条，督促行政机关对体育、托育行业256家企业备案登记、存管预售资金。办理全国首批打击“职业闭店人”参与预付式经营企业闭店逃债案件，推动行政机关对涉案企业作出行政处罚。拧紧生产生活“安全阀”。排查易燃易爆场所防雷安全隐患，督促行政机关对100余家加油站、加气站开展防雷装置检测闭环监督。督促行政机关对79家餐饮单位开展违规使用气体卡式炉专项检查，对部分存在安全隐患的公共健身器材完善日常管理。织密环境资源“保护网”。主动融入区域水资源治理，办理的督促整治洗车行业违法用水行政公益诉讼案，获评最高检典型案例。针对雨水井堵塞、异味问题，督促20个街镇开展专项整治，打通城市排水“毛细血管”。打好净空安全“保卫战”。依托军地协作优势，推动军用机场净空区域累计伐移超高树木140余棵，为230余处超高建筑物安装障碍灯，切实维护机场及周边群众安全。</w:t>
      </w:r>
    </w:p>
    <w:p w14:paraId="0716E7A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
        </w:rPr>
        <w:t>善作善成引领法治意识。依托检察履职润物无声传播社会主义法治文化，让法治观念深入人心。打造全方位普法宣传矩阵。深耕微信、抖音、快手等10个平台官方账户，推出“公益一分钟”等多个普法品牌，编发各类普法宣传稿件511篇，被上级媒体平台转发230篇，我院获评全国检察机关全媒体生产传播工作成绩突出集体。创新助力普法破层出圈。联合国家图书馆推出“宪法人生与检同行”主题展览，普及宪法知识、弘扬宪法精神。拍摄公益诉讼检察主题宣传片《画卷》，获评全国检察机关十佳新媒体作品。推出首个未成年人保护AI智能体“智航”，及时准确回答未成年人保护相关问题。携手高校开展国家安全、禁毒等主题宣传活动，增强学生安全防范意识。在部分高铁、全市地铁线路、辖区各银行网点轮动播放反诈宣传动画《守好银行卡，莫让帮忙变“帮信”》，助力提升全民反诈意识</w:t>
      </w:r>
      <w:r>
        <w:rPr>
          <w:rFonts w:hint="eastAsia" w:ascii="仿宋_GB2312" w:hAnsi="仿宋_GB2312" w:eastAsia="仿宋_GB2312" w:cs="仿宋_GB2312"/>
          <w:b w:val="0"/>
          <w:bCs w:val="0"/>
          <w:sz w:val="32"/>
          <w:szCs w:val="32"/>
          <w:highlight w:val="none"/>
        </w:rPr>
        <w:t>。</w:t>
      </w:r>
    </w:p>
    <w:p w14:paraId="451CB8DF">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2"/>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环境效益</w:t>
      </w:r>
    </w:p>
    <w:p w14:paraId="454CD16E">
      <w:pPr>
        <w:pStyle w:val="9"/>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依法履行各类诉讼监督职能，确保法律统一正确实施，维护执法司法公平公正。</w:t>
      </w:r>
    </w:p>
    <w:p w14:paraId="62D51699">
      <w:pPr>
        <w:pStyle w:val="9"/>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强化数字赋能，履职更具智慧。积极运用法律监督模型发现线索4480条，办理各类监督案件3609件，有效扩大监督规模。自主研发民间借贷纠纷利息审判监督“小切口”模型，智能分析裁判文书数据，批量发现利息判项错误、裁判尺度不一等问题，进行类案监督纠正。模型由最高检在全国推广，31个省（自治区、直辖市）及新疆生产建设兵团1000余家检察院应用成案。创新构建刑事案件诉前侦查监督“大矩阵”模型，精准定位5个诉讼节点，设计7条碰撞比对规则，有效激活执法司法沉淀数据，实现对侦查环节的全流程监督，获评市院十佳大数据法律监督模型。</w:t>
      </w:r>
    </w:p>
    <w:p w14:paraId="42610549">
      <w:pPr>
        <w:pStyle w:val="9"/>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强化靶向发力，履职更加精准。突出重点诉讼领域，做实有效监督。聚焦漏罪漏犯，对依法当捕、应诉而未移送的，纠正漏捕64人，追诉漏犯107人，追加漏罪23起。聚焦大标的额民商事审判，就信用卡转贷资金占用费计算标准、起算点认定等问题，制发类案检察建议，推动法院进一步统一相关领域裁判标准。聚焦行政生效裁判，在办理某养殖场诉镇政府强制拆除监督案中，依法查明原审无误，有效维护正确裁判权威，同步开展行政争议实质性化解，当事人主动撤回监督申请。针对行政违法行为，采取类案检察建议、情况通报等方式监督，并依托府检联动机制督促落实，助推依法行政。</w:t>
      </w:r>
    </w:p>
    <w:p w14:paraId="0C35EAE9">
      <w:pPr>
        <w:pStyle w:val="9"/>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强化办案思维，履职更为有力。全面准确查明案件事实，及时依法监督。切实纠正错误刑事裁判，针对累犯认定等问题提起二审抗诉10件，改判7件，办理的2件案件抗诉书获评市院优秀法律文书。针对罚金刑判项等问题提请审判监督程序抗诉2件，均获采纳。切实解决“判实未执”问题，与区公安分局、法院、司法局协作配合，全面清理判实未执人员。在办理甲某交付执行监督案中，系统谋划收押和羁押管理工作，依法监督送监服刑，获评市院参考性案例。切实开展检察侦查，深挖虚假立功背后职务犯罪，立案3人。依法行使机动侦查权，立案一起国家工作人员涉嫌诈骗犯罪，有力捍卫司法公信。</w:t>
      </w:r>
    </w:p>
    <w:p w14:paraId="26FFB48E">
      <w:pPr>
        <w:pStyle w:val="9"/>
        <w:keepNext w:val="0"/>
        <w:keepLines w:val="0"/>
        <w:pageBreakBefore w:val="0"/>
        <w:widowControl w:val="0"/>
        <w:kinsoku/>
        <w:wordWrap/>
        <w:overflowPunct/>
        <w:topLinePunct w:val="0"/>
        <w:autoSpaceDE/>
        <w:autoSpaceDN/>
        <w:bidi w:val="0"/>
        <w:adjustRightInd/>
        <w:snapToGrid/>
        <w:spacing w:after="0" w:line="600" w:lineRule="exact"/>
        <w:textAlignment w:val="auto"/>
        <w:rPr>
          <w:highlight w:val="none"/>
        </w:rPr>
      </w:pPr>
      <w:r>
        <w:rPr>
          <w:rFonts w:hint="eastAsia" w:ascii="仿宋_GB2312" w:hAnsi="仿宋_GB2312" w:eastAsia="仿宋_GB2312" w:cs="仿宋_GB2312"/>
          <w:sz w:val="32"/>
          <w:szCs w:val="32"/>
          <w:highlight w:val="none"/>
          <w:lang w:eastAsia="zh-Hans"/>
        </w:rPr>
        <w:t>强化部门协同，履职更趋融合。牢固树立检察一盘棋意识，汇聚监督合力。推进刑民双向联动，在办理铁某诈骗刑事案件中同步开展民事虚假诉讼监督，发出再审检察建议，法院及时启动审判监督程序予以改判。推进行刑双向衔接，对危害食品药品安全等领域犯罪，督促行政机关向公安移送线索9件，均已刑事立案。对被不起诉人应受行政处罚的，提出检察意见494件，实现行政处罚和刑事处罚无缝衔接</w:t>
      </w:r>
      <w:r>
        <w:rPr>
          <w:rFonts w:hint="eastAsia" w:ascii="仿宋_GB2312" w:hAnsi="仿宋_GB2312" w:eastAsia="仿宋_GB2312" w:cs="仿宋_GB2312"/>
          <w:sz w:val="32"/>
          <w:szCs w:val="32"/>
          <w:highlight w:val="none"/>
        </w:rPr>
        <w:t>。</w:t>
      </w:r>
    </w:p>
    <w:p w14:paraId="4A0DF08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4.可持续性影响</w:t>
      </w:r>
    </w:p>
    <w:p w14:paraId="67E9CA0D">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textAlignment w:val="auto"/>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牢牢把握检察队伍现代化建设目标要求，锤炼为大局服务、为人民司法、为法治担当的检察队伍。</w:t>
      </w:r>
    </w:p>
    <w:p w14:paraId="332BBFAA">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textAlignment w:val="auto"/>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紧盯“三个层面”，把好政治建检思想之舵。巩固拓展主题教育成果，筑牢鲜明政治底色。突出政治统领。严格执行重大事项请示报告制度，全年向区委、市院请示报告重大事项77项。常态化学思践悟习近平法治思想和党的二十届三中全会精神，开展政治轮训、集中研讨、专题读书班、实地调研33次。领导干部带头办理疑难复杂案件319件，列席法院审委会15次，牵头调研课题28项。突出党建引领。落实党组抓党建主体责任，听取机关党建专题报告，定方案、抓部署、督落实。优化党建考核测评体系，带动提升支部党建规范化、牵引力。“‘微微计划’守护创新微光”入选全国基层院建设品牌，“益声君”公益诉讼品牌入选市院党建与业务深度融合典型事例。</w:t>
      </w:r>
    </w:p>
    <w:p w14:paraId="2AE1423A">
      <w:pPr>
        <w:pStyle w:val="9"/>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紧扣“三项重点”，答好人才强检时代之问。牢固树立人才第一资源理念，以首善标准打造高素质专业化人才队伍。抓实专业素能培养。落实人才建设五年规划，制定各条线人才培养方案，打造公诉进阶班、政工讲堂等特色培训品牌，开展精准化培训211次，4人入选全国检察业务人才库。升级“育才班”项目，面向在校大学生招募实习检察官助理17名，实现法治人才培养与检察工作“双向赋能”。抓实岗位实践锻炼。搭建专案攻坚、专项调研、急难险重任务揭榜挂帅等平台，广泛开展技能比武、辩论赛等实战化练兵，2人分获全国检察业务竞赛标兵、能手。抓实正向激励引导。探索建立涵盖业务、综合等9大维度的检察人员考核体系，强化考核结果运用。融合“一馆二展三廊一中心”及多媒体平台打造文化阵地，切实以文润检、培根铸魂。</w:t>
      </w:r>
    </w:p>
    <w:p w14:paraId="5544D19B">
      <w:pPr>
        <w:pStyle w:val="9"/>
        <w:keepNext w:val="0"/>
        <w:keepLines w:val="0"/>
        <w:pageBreakBefore w:val="0"/>
        <w:widowControl w:val="0"/>
        <w:kinsoku/>
        <w:wordWrap/>
        <w:overflowPunct/>
        <w:topLinePunct w:val="0"/>
        <w:autoSpaceDE/>
        <w:autoSpaceDN/>
        <w:bidi w:val="0"/>
        <w:adjustRightInd/>
        <w:snapToGrid/>
        <w:spacing w:line="600" w:lineRule="exact"/>
        <w:textAlignment w:val="auto"/>
        <w:rPr>
          <w:highlight w:val="none"/>
        </w:rPr>
      </w:pPr>
      <w:r>
        <w:rPr>
          <w:rFonts w:hint="eastAsia" w:ascii="仿宋_GB2312" w:hAnsi="仿宋_GB2312" w:eastAsia="仿宋_GB2312" w:cs="仿宋_GB2312"/>
          <w:b w:val="0"/>
          <w:bCs w:val="0"/>
          <w:highlight w:val="none"/>
        </w:rPr>
        <w:t>紧抓“三个体系”，谋好管理兴检发展之策。深刻把握司法权运行规律，在自身制约监督上持续探索、创新机制。健全业务管理体系。推进检委会业务分析研判实质化，审查重大案事项17项；推进流程监控实质化，制发监控通报及工作提示95份；推进案件质量评查实质化，评查捕后不诉、撤回起诉等重点案件222件。健全监督执纪体系。深入开展党纪学习教育，结合巡视督察反馈问题全面检视整改，以严的基调强化正风肃纪。深抓检务接待、庭审规范等专项检查，严格落实防止干预司法“三个规定”，全年填报有关事项265条。</w:t>
      </w:r>
    </w:p>
    <w:p w14:paraId="4AD04447">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2"/>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5.服务对象满意度</w:t>
      </w:r>
    </w:p>
    <w:p w14:paraId="06F24A0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
        </w:rPr>
      </w:pPr>
      <w:r>
        <w:rPr>
          <w:rFonts w:hint="eastAsia" w:ascii="仿宋_GB2312" w:hAnsi="仿宋_GB2312" w:eastAsia="仿宋_GB2312" w:cs="仿宋_GB2312"/>
          <w:b w:val="0"/>
          <w:bCs w:val="0"/>
          <w:sz w:val="32"/>
          <w:szCs w:val="32"/>
          <w:highlight w:val="none"/>
          <w:lang w:val="en"/>
        </w:rPr>
        <w:t>倾情倾力化解矛盾纠纷。坚持和发展新时代“枫桥经验”，建好“民意窗”，架好“连心桥”。重“排查”。开展各类涉检矛盾纠纷排查15次，对重点案、重点人严格落实“一案一策、一人一策”，做到台账清、底数明。重“接访”。全年办理群众来信1591件、网络信访1237件，全部做到7日内程序性回复或结果性答复。接待来访群众6947人次，妥善处置各类集体访57批次。落实领导干部接访工作要求，院中层以上干部接访185件198人。深化“第三方参与机制”，邀请代表委员、人民监督员、人民调解员等参与听证、联合接访21件次。重“帮扶”。深化“支持起诉+N”工作模式，对权益受损群体支持起诉342件，其中会同区人力资源与社会保障等部门为农民工追回薪资950余万元；救助因案致困80人，切实加强矛盾纠纷源头防控。</w:t>
      </w:r>
    </w:p>
    <w:p w14:paraId="172C4E9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
        </w:rPr>
        <w:t>主动接受人大监督，向区人大常委会专题报告经济犯罪检察工作，认真办理代表建议、委员提案3件；开展登门走访、当面报告20余次，确保代表全景式、深层次监督检察工作；邀请代表委员参与“走进检察院，监督促发展”等系列检务公开活动19次130人次，实现精准联络、双向奔赴。广泛接受社会监督，全年提供案件查询服务1.5万余次，通过12309中国检察网推送程序性信息6524条。保障律师执业权利，全方位优化“现场+异地+互联网”律师阅卷体系。全年接待律师8668人次，提供电话答复咨询5210次、阅卷39814卷。</w:t>
      </w:r>
    </w:p>
    <w:p w14:paraId="45B688B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kern w:val="2"/>
          <w:sz w:val="32"/>
          <w:szCs w:val="32"/>
          <w:highlight w:val="none"/>
          <w:shd w:val="clear" w:color="auto" w:fill="FFFFFF"/>
          <w:lang w:val="en-US" w:eastAsia="zh-CN" w:bidi="ar-SA"/>
        </w:rPr>
      </w:pPr>
      <w:r>
        <w:rPr>
          <w:rFonts w:hint="eastAsia" w:ascii="仿宋_GB2312" w:hAnsi="仿宋_GB2312" w:eastAsia="仿宋_GB2312" w:cs="仿宋_GB2312"/>
          <w:b w:val="0"/>
          <w:bCs w:val="0"/>
          <w:kern w:val="2"/>
          <w:sz w:val="32"/>
          <w:szCs w:val="32"/>
          <w:highlight w:val="none"/>
          <w:shd w:val="clear" w:color="auto" w:fill="FFFFFF"/>
          <w:lang w:val="en-US" w:eastAsia="zh-CN" w:bidi="ar-SA"/>
        </w:rPr>
        <w:t>2025年1月8日上午，北京市海淀区第十七届人民代表大会第五次会议举行第四次全体会议，进行多项议题表决。经全体到会代表表决，海淀区检察院2024年工作报告以98.95%的通过率高票通过。</w:t>
      </w:r>
    </w:p>
    <w:p w14:paraId="092A8152">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0"/>
        <w:rPr>
          <w:rFonts w:hint="eastAsia"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p>
    <w:p w14:paraId="4F87F0C9">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1"/>
        <w:rPr>
          <w:rFonts w:ascii="楷体_GB2312" w:eastAsia="楷体_GB2312"/>
          <w:sz w:val="32"/>
          <w:szCs w:val="32"/>
          <w:highlight w:val="none"/>
        </w:rPr>
      </w:pPr>
      <w:r>
        <w:rPr>
          <w:rFonts w:hint="eastAsia" w:ascii="楷体_GB2312" w:eastAsia="楷体_GB2312"/>
          <w:sz w:val="32"/>
          <w:szCs w:val="32"/>
          <w:highlight w:val="none"/>
        </w:rPr>
        <w:t>（一）财务管理</w:t>
      </w:r>
    </w:p>
    <w:p w14:paraId="1A74AAB3">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2"/>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1.财务</w:t>
      </w:r>
      <w:r>
        <w:rPr>
          <w:rFonts w:ascii="仿宋_GB2312" w:hAnsi="宋体" w:eastAsia="仿宋_GB2312" w:cs="宋体"/>
          <w:color w:val="000000"/>
          <w:kern w:val="0"/>
          <w:sz w:val="32"/>
          <w:szCs w:val="32"/>
          <w:highlight w:val="none"/>
        </w:rPr>
        <w:t>管理制度健全性</w:t>
      </w:r>
    </w:p>
    <w:p w14:paraId="774DFE1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为进一步提升管理水平、规范权力运行、推进廉政建设，根据院党组关于党风廉政建设的部署要求，结合市级有关部门出台的一系列财经法规和制度，本院以经济业务活动为切入点，对检务保障工作进行了全面梳理，制定了《北京市海淀区人民检察院财务管理暂行办法》、《北京市海淀区人民检察院预算管理办法》等 17个内部控制制度，形成了涵盖财务管理、资产管理、采购管理、基建管理、车辆管理、后勤保障、风险防控等八个模块的内部控制制度体系。具体情况如下：</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0"/>
        <w:gridCol w:w="4452"/>
      </w:tblGrid>
      <w:tr w14:paraId="78CA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4070" w:type="dxa"/>
            <w:vAlign w:val="center"/>
          </w:tcPr>
          <w:p w14:paraId="572BA7A3">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color w:val="000000"/>
                <w:kern w:val="0"/>
                <w:sz w:val="32"/>
                <w:szCs w:val="32"/>
                <w:highlight w:val="none"/>
                <w:vertAlign w:val="baseline"/>
                <w:lang w:val="en-US" w:eastAsia="zh-CN" w:bidi="ar-SA"/>
              </w:rPr>
            </w:pPr>
            <w:r>
              <w:rPr>
                <w:rFonts w:hint="eastAsia" w:ascii="黑体" w:hAnsi="黑体" w:eastAsia="黑体" w:cs="黑体"/>
                <w:color w:val="000000"/>
                <w:kern w:val="0"/>
                <w:sz w:val="32"/>
                <w:szCs w:val="32"/>
                <w:highlight w:val="none"/>
                <w:vertAlign w:val="baseline"/>
                <w:lang w:val="en-US" w:eastAsia="zh-CN" w:bidi="ar-SA"/>
              </w:rPr>
              <w:t>制度名称</w:t>
            </w:r>
          </w:p>
        </w:tc>
        <w:tc>
          <w:tcPr>
            <w:tcW w:w="4452" w:type="dxa"/>
            <w:vAlign w:val="center"/>
          </w:tcPr>
          <w:p w14:paraId="7F64288F">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color w:val="000000"/>
                <w:kern w:val="0"/>
                <w:sz w:val="32"/>
                <w:szCs w:val="32"/>
                <w:highlight w:val="none"/>
                <w:vertAlign w:val="baseline"/>
                <w:lang w:val="en-US" w:eastAsia="zh-CN" w:bidi="ar-SA"/>
              </w:rPr>
            </w:pPr>
            <w:r>
              <w:rPr>
                <w:rFonts w:hint="eastAsia" w:ascii="黑体" w:hAnsi="黑体" w:eastAsia="黑体" w:cs="黑体"/>
                <w:color w:val="000000"/>
                <w:kern w:val="0"/>
                <w:sz w:val="32"/>
                <w:szCs w:val="32"/>
                <w:highlight w:val="none"/>
                <w:vertAlign w:val="baseline"/>
                <w:lang w:val="en-US" w:eastAsia="zh-CN" w:bidi="ar-SA"/>
              </w:rPr>
              <w:t>制度说明</w:t>
            </w:r>
          </w:p>
        </w:tc>
      </w:tr>
      <w:tr w14:paraId="44AC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5E48C758">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财务管理暂行办法</w:t>
            </w:r>
          </w:p>
        </w:tc>
        <w:tc>
          <w:tcPr>
            <w:tcW w:w="4452" w:type="dxa"/>
            <w:vAlign w:val="center"/>
          </w:tcPr>
          <w:p w14:paraId="43C633C1">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概括性规定财务管理各项工作，内容涵盖预决算、收入、支出、资产、负债等方面，是统领整体财务管理工作的纲领性文件</w:t>
            </w:r>
          </w:p>
        </w:tc>
      </w:tr>
      <w:tr w14:paraId="45AC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1E709232">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“三重一大”决策制度实施办法</w:t>
            </w:r>
          </w:p>
        </w:tc>
        <w:tc>
          <w:tcPr>
            <w:tcW w:w="4452" w:type="dxa"/>
            <w:vAlign w:val="center"/>
          </w:tcPr>
          <w:p w14:paraId="63E4F535">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严格落实民主集中制，明确“三重一大”决策原则、决策事项范围和决策程序</w:t>
            </w:r>
          </w:p>
        </w:tc>
      </w:tr>
      <w:tr w14:paraId="62024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352E5FEF">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预算管理办法</w:t>
            </w:r>
          </w:p>
        </w:tc>
        <w:tc>
          <w:tcPr>
            <w:tcW w:w="4452" w:type="dxa"/>
            <w:vAlign w:val="center"/>
          </w:tcPr>
          <w:p w14:paraId="0A390CBE">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明确全院预算编制的职责、程序和方法，以规范预算编制管理，提高预算编制质量和效率</w:t>
            </w:r>
          </w:p>
        </w:tc>
      </w:tr>
      <w:tr w14:paraId="2C60D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6D5BBB9D">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经费支出管理办法</w:t>
            </w:r>
          </w:p>
        </w:tc>
        <w:tc>
          <w:tcPr>
            <w:tcW w:w="4452" w:type="dxa"/>
            <w:vAlign w:val="center"/>
          </w:tcPr>
          <w:p w14:paraId="7049775B">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按照经费性质分类，规定审批支出程序、审批权限、限额标准等，是经费支出的操作指南</w:t>
            </w:r>
          </w:p>
        </w:tc>
      </w:tr>
      <w:tr w14:paraId="5A47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15FC6E5D">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货币资金管理办法</w:t>
            </w:r>
          </w:p>
        </w:tc>
        <w:tc>
          <w:tcPr>
            <w:tcW w:w="4452" w:type="dxa"/>
            <w:vAlign w:val="center"/>
          </w:tcPr>
          <w:p w14:paraId="68ADDB9A">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从现金管理和银行存款管理入手，对使用范围、管理要求、人员职责进行了限定，以确保资金财产安全</w:t>
            </w:r>
          </w:p>
        </w:tc>
      </w:tr>
      <w:tr w14:paraId="5DA9D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2839F1B9">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公务卡管理办法</w:t>
            </w:r>
          </w:p>
        </w:tc>
        <w:tc>
          <w:tcPr>
            <w:tcW w:w="4452" w:type="dxa"/>
            <w:vAlign w:val="center"/>
          </w:tcPr>
          <w:p w14:paraId="5918EF74">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规范公务卡申领流程、支付要求、报销程序及管理职责，以提高公务支出透明度，强化公务卡使用管理</w:t>
            </w:r>
          </w:p>
        </w:tc>
      </w:tr>
      <w:tr w14:paraId="0B373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126112D7">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固定资产管理实施细则</w:t>
            </w:r>
          </w:p>
        </w:tc>
        <w:tc>
          <w:tcPr>
            <w:tcW w:w="4452" w:type="dxa"/>
            <w:vAlign w:val="center"/>
          </w:tcPr>
          <w:p w14:paraId="31642BCF">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根据实际工作需要，规定了资产管理、验收登记、领用出库、盘库等环节的职责分工和工作流程，提升资产管理科学性、规范性</w:t>
            </w:r>
          </w:p>
        </w:tc>
      </w:tr>
      <w:tr w14:paraId="61E0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7E73055F">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采购管理办法</w:t>
            </w:r>
          </w:p>
        </w:tc>
        <w:tc>
          <w:tcPr>
            <w:tcW w:w="4452" w:type="dxa"/>
            <w:vAlign w:val="center"/>
          </w:tcPr>
          <w:p w14:paraId="31F7EE07">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全面涵盖货物、工程和服务类采购项目，规定了采购工作范围、采购管理部门和合同采购小组职责及采购程序，规范了整体采购活动</w:t>
            </w:r>
          </w:p>
        </w:tc>
      </w:tr>
      <w:tr w14:paraId="0C6C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539BCBF9">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合同管理办法</w:t>
            </w:r>
          </w:p>
        </w:tc>
        <w:tc>
          <w:tcPr>
            <w:tcW w:w="4452" w:type="dxa"/>
            <w:vAlign w:val="center"/>
          </w:tcPr>
          <w:p w14:paraId="38B7FDE0">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结合工作实际，对应签订合同事项范围、合同管理部门及职责、合同签订程序及后续资料管理进行了规范</w:t>
            </w:r>
          </w:p>
        </w:tc>
      </w:tr>
      <w:tr w14:paraId="1DF61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228D80C7">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公务车辆管理规定</w:t>
            </w:r>
          </w:p>
        </w:tc>
        <w:tc>
          <w:tcPr>
            <w:tcW w:w="4452" w:type="dxa"/>
            <w:vAlign w:val="center"/>
          </w:tcPr>
          <w:p w14:paraId="086546BF">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根据市级公务车辆管理要求，对公务车辆管理职责、日常管理要求、用车保障范围、车辆运行维护方式等进行了规定，严格管控公务车辆使用和维护</w:t>
            </w:r>
          </w:p>
        </w:tc>
      </w:tr>
      <w:tr w14:paraId="1EBF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03B0C7C6">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物业安保服务人员管理规定</w:t>
            </w:r>
          </w:p>
        </w:tc>
        <w:tc>
          <w:tcPr>
            <w:tcW w:w="4452" w:type="dxa"/>
            <w:vAlign w:val="center"/>
          </w:tcPr>
          <w:p w14:paraId="7D0CE154">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对物业安保服务人员的招录标准、日常培训和离职交接要求等进行了规定，并对会服、保洁、工程、安保等岗位的职责进行了细化要求，确保相关人员各司其职，便于监督管理</w:t>
            </w:r>
          </w:p>
        </w:tc>
      </w:tr>
      <w:tr w14:paraId="3032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77E357BE">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餐厅管理制度</w:t>
            </w:r>
          </w:p>
        </w:tc>
        <w:tc>
          <w:tcPr>
            <w:tcW w:w="4452" w:type="dxa"/>
            <w:vAlign w:val="center"/>
          </w:tcPr>
          <w:p w14:paraId="29380451">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对餐饮服务保障方式、监督管理职责、巡查流程等进行了规范性要求，并从食品安全、从业人员管理、消防应急预案和安全用气管理等方面明确了工作标准，确保餐饮服务保障工作安全有序</w:t>
            </w:r>
          </w:p>
        </w:tc>
      </w:tr>
      <w:tr w14:paraId="2B17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579A39DA">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外包服务人员管理规定</w:t>
            </w:r>
          </w:p>
        </w:tc>
        <w:tc>
          <w:tcPr>
            <w:tcW w:w="4452" w:type="dxa"/>
            <w:vAlign w:val="center"/>
          </w:tcPr>
          <w:p w14:paraId="68158C2E">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对外包服务人员的招录标准、工作行为规范、考勤管理及保密要求进行了规定，并对信息化运维、新媒体服务、保密检查、电子卷宗扫描等外包服务岗位职责进行了细化要求，从而提升监督检查力度和外包服务工作水平</w:t>
            </w:r>
          </w:p>
        </w:tc>
      </w:tr>
      <w:tr w14:paraId="2543E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2FCA76FB">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内部审计管理办法（试行）</w:t>
            </w:r>
          </w:p>
        </w:tc>
        <w:tc>
          <w:tcPr>
            <w:tcW w:w="4452" w:type="dxa"/>
            <w:vAlign w:val="center"/>
          </w:tcPr>
          <w:p w14:paraId="07FB07DB">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结合市检院内部审计管理要求，对内部审计部门职责、工作权限和业务流程等进行了规定，进一步规范内部审计工作</w:t>
            </w:r>
          </w:p>
        </w:tc>
      </w:tr>
      <w:tr w14:paraId="6730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4EDCCAF0">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差旅费管理实施细则</w:t>
            </w:r>
          </w:p>
        </w:tc>
        <w:tc>
          <w:tcPr>
            <w:tcW w:w="4452" w:type="dxa"/>
            <w:vAlign w:val="center"/>
          </w:tcPr>
          <w:p w14:paraId="6DDE35EB">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根据市级差旅费管理规定，结合工作实际，明确了差旅费的适用人员范围、费用标准、审批权限和特殊情形处理方式</w:t>
            </w:r>
          </w:p>
        </w:tc>
      </w:tr>
      <w:tr w14:paraId="6740A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629B8DAF">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会议费管理实施细则</w:t>
            </w:r>
          </w:p>
        </w:tc>
        <w:tc>
          <w:tcPr>
            <w:tcW w:w="4452" w:type="dxa"/>
            <w:vAlign w:val="center"/>
          </w:tcPr>
          <w:p w14:paraId="3B2EDEFF">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根据市级会议费管理规定，结合工作实际，明确了会议归口管理部门、会议计划编报审批流程、开支范围和标准以及报销结算程序等</w:t>
            </w:r>
          </w:p>
        </w:tc>
      </w:tr>
      <w:tr w14:paraId="17DC0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0" w:type="dxa"/>
            <w:vAlign w:val="center"/>
          </w:tcPr>
          <w:p w14:paraId="1072DEC7">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培训费管理实施细则</w:t>
            </w:r>
          </w:p>
        </w:tc>
        <w:tc>
          <w:tcPr>
            <w:tcW w:w="4452" w:type="dxa"/>
            <w:vAlign w:val="center"/>
          </w:tcPr>
          <w:p w14:paraId="78E370EA">
            <w:pPr>
              <w:pStyle w:val="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宋体" w:eastAsia="仿宋_GB2312" w:cs="宋体"/>
                <w:color w:val="000000"/>
                <w:kern w:val="0"/>
                <w:sz w:val="28"/>
                <w:szCs w:val="28"/>
                <w:highlight w:val="none"/>
                <w:vertAlign w:val="baseline"/>
                <w:lang w:val="en-US" w:eastAsia="zh-CN" w:bidi="ar-SA"/>
              </w:rPr>
            </w:pPr>
            <w:r>
              <w:rPr>
                <w:rFonts w:hint="eastAsia" w:ascii="仿宋_GB2312" w:hAnsi="宋体" w:eastAsia="仿宋_GB2312" w:cs="宋体"/>
                <w:color w:val="000000"/>
                <w:kern w:val="0"/>
                <w:sz w:val="28"/>
                <w:szCs w:val="28"/>
                <w:highlight w:val="none"/>
                <w:vertAlign w:val="baseline"/>
                <w:lang w:val="en-US" w:eastAsia="zh-CN" w:bidi="ar-SA"/>
              </w:rPr>
              <w:t>根据市级培训费管理规定，结合工作实际，明确了培训归口管理部门、培训计划编报审批流程、开支范围和标准以及报销结算程序等</w:t>
            </w:r>
          </w:p>
        </w:tc>
      </w:tr>
    </w:tbl>
    <w:p w14:paraId="7BAD3ECA">
      <w:pPr>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outlineLvl w:val="2"/>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资金使用合规性</w:t>
      </w:r>
      <w:r>
        <w:rPr>
          <w:rFonts w:ascii="仿宋_GB2312" w:hAnsi="宋体" w:eastAsia="仿宋_GB2312" w:cs="宋体"/>
          <w:color w:val="000000"/>
          <w:kern w:val="0"/>
          <w:sz w:val="32"/>
          <w:szCs w:val="32"/>
          <w:highlight w:val="none"/>
        </w:rPr>
        <w:t>和安全性</w:t>
      </w:r>
    </w:p>
    <w:p w14:paraId="053E9CA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本院一直以来高度重视资金使用的合规性和安全性，不仅通过制定《经费支出管理办法》等内控制度规范资金申请和使用，同时严格按照内控制度全流程审查资金使用用途、支出标准等，确保资金使用合规合法、安全高效。具体资金使用流程如下：</w:t>
      </w:r>
    </w:p>
    <w:p w14:paraId="7E48609F">
      <w:pPr>
        <w:pStyle w:val="4"/>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1）资金使用事项审批。在资金使用事项启动前，需求部门应撰写《工作请示报告》，写明资金使用原由、政策依据、开展工作具体内容、预计效果等，经需求部门负责人及其主管院领导审批同意开展该项工作后，方可开展资金申请工作。</w:t>
      </w:r>
    </w:p>
    <w:p w14:paraId="615C8429">
      <w:pPr>
        <w:pStyle w:val="4"/>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由于本院采购工作原则上由办公室（行政事务管理部）采购部门归口管理，因此按照《采购管理办法》规定，如涉及采购事项，需求部门撰写的《工作请示报告》审批通过后，应报采购部门审核事项可行性并确定采购方式。后续采购部门将根据需求部门申请事项，撰写《工作请示报告》，经办公室（行政事务管理部）负责人及行政事务管理工作主管院领导审批同意后开展采购工作。</w:t>
      </w:r>
    </w:p>
    <w:p w14:paraId="5417F9FF">
      <w:pPr>
        <w:pStyle w:val="4"/>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资金申请审批。《工作请示报告》审批通过后，需求部门（或采购部门）应撰写《请款报告》，写明资金使用原由、政策依据、开展工作具体内容、预计效果和资金申请数额等，提交主管会计审批经费支出合规性及资金保障来源，然后根据经费支出审批权限提请领导审批后，交财务部门履行支出手续。</w:t>
      </w:r>
    </w:p>
    <w:p w14:paraId="20CB2C8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3）资金报销审批。需求部门（或采购部门）完成资金支出后，应按《经费支出管理办法》要求整理有效发票、验收单、政府采购结算单等相关单据，经财务部门核验发票真实性、有效性后，提请需求部门负责人、主管会计、办公室（行政事务管理部）负责人和行政事务管理工作主管院领导审批报销。</w:t>
      </w:r>
    </w:p>
    <w:p w14:paraId="26485EC2">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textAlignment w:val="auto"/>
        <w:rPr>
          <w:rFonts w:hint="eastAsia" w:ascii="仿宋_GB2312" w:hAnsi="仿宋_GB2312" w:eastAsia="仿宋_GB2312" w:cs="仿宋_GB2312"/>
          <w:highlight w:val="none"/>
        </w:rPr>
      </w:pPr>
      <w:r>
        <w:rPr>
          <w:rFonts w:hint="eastAsia" w:ascii="仿宋_GB2312" w:hAnsi="仿宋_GB2312" w:eastAsia="仿宋_GB2312" w:cs="仿宋_GB2312"/>
          <w:sz w:val="32"/>
          <w:szCs w:val="32"/>
          <w:highlight w:val="none"/>
          <w:lang w:val="en-US" w:eastAsia="zh-CN"/>
        </w:rPr>
        <w:t>为进一步提升资金使用安全性，本院专门制定《货币资金管理办法》，严格限定现金支出范围。在实际工作中，凡可使用银行转账结算的事项均不得使用现金结算。</w:t>
      </w:r>
    </w:p>
    <w:p w14:paraId="721E7D10">
      <w:pPr>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会计</w:t>
      </w:r>
      <w:r>
        <w:rPr>
          <w:rFonts w:ascii="仿宋_GB2312" w:hAnsi="宋体" w:eastAsia="仿宋_GB2312" w:cs="宋体"/>
          <w:color w:val="000000"/>
          <w:kern w:val="0"/>
          <w:sz w:val="32"/>
          <w:szCs w:val="32"/>
          <w:highlight w:val="none"/>
        </w:rPr>
        <w:t>基础信息完善性</w:t>
      </w:r>
    </w:p>
    <w:p w14:paraId="7B07DBF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本院在建立内控制度提高会计基础信息完善性的基础上，通过财务全环节审查的方式进一步确保会计基础信息完整性。</w:t>
      </w:r>
    </w:p>
    <w:p w14:paraId="7CF9EF3C">
      <w:pPr>
        <w:pStyle w:val="4"/>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一是资金申请审批环节，由主管会计根据支出事项审查工作请示报告、合同审批表、授权委托书、合同、验收单等材料是否齐全，签字盖章是否完整，全部齐全后方可签批请款报告。</w:t>
      </w:r>
    </w:p>
    <w:p w14:paraId="16BE111E">
      <w:pPr>
        <w:pStyle w:val="4"/>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二是资金支付环节，由出纳审查请款报告及上述资金申请材料，齐全后方可填录支付令。随后出纳将材料交主管会计再次审查后，主管会计方可审核支付令，完成支付程序。</w:t>
      </w:r>
    </w:p>
    <w:p w14:paraId="6E0142F9">
      <w:pPr>
        <w:pStyle w:val="4"/>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三是资金报销环节，由出纳核验发票并审查政府采购结算单等材料是否齐全后，交主管会计再次审查后履行报销审批流程。</w:t>
      </w:r>
    </w:p>
    <w:p w14:paraId="2162DDEF">
      <w:pPr>
        <w:pStyle w:val="4"/>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四是财务记账环节，由出纳将支付完毕的财务资料及银行回单整理完整后，交会计进行记账凭证编制。编制过程中，会计将对财务资料完整性进一步核查，如资料不全，将退回出纳重新补全材料。</w:t>
      </w:r>
    </w:p>
    <w:p w14:paraId="10E8C346">
      <w:pPr>
        <w:pStyle w:val="4"/>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五是账务审查环节，会计完成记账凭证编制后，主管会计将对记账凭证及对应财务资料进行复核。同时，本院每年聘请第三方会计师事务所，按季度对账务进行合规性、完整性审查，确保会计基础信息完整有效。</w:t>
      </w:r>
    </w:p>
    <w:p w14:paraId="06A997CF">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0" w:firstLineChars="200"/>
        <w:textAlignment w:val="auto"/>
        <w:rPr>
          <w:highlight w:val="none"/>
        </w:rPr>
      </w:pPr>
      <w:r>
        <w:rPr>
          <w:rFonts w:hint="eastAsia" w:ascii="仿宋_GB2312" w:hAnsi="宋体" w:eastAsia="仿宋_GB2312" w:cs="宋体"/>
          <w:color w:val="000000"/>
          <w:kern w:val="0"/>
          <w:sz w:val="32"/>
          <w:szCs w:val="32"/>
          <w:highlight w:val="none"/>
          <w:lang w:val="en-US" w:eastAsia="zh-CN"/>
        </w:rPr>
        <w:t>六是财务档案装订环节，出纳将对财务资料再次进行整理核对，在最后环节核查会计资料完善性，确保会计信息完整可靠、真实准确。</w:t>
      </w:r>
    </w:p>
    <w:p w14:paraId="69CDAE1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楷体_GB2312" w:hAnsi="Times New Roman" w:eastAsia="楷体_GB2312" w:cs="Times New Roman"/>
          <w:sz w:val="32"/>
          <w:szCs w:val="32"/>
          <w:highlight w:val="none"/>
        </w:rPr>
      </w:pPr>
      <w:r>
        <w:rPr>
          <w:rFonts w:hint="eastAsia" w:ascii="楷体_GB2312" w:eastAsia="楷体_GB2312"/>
          <w:sz w:val="32"/>
          <w:szCs w:val="32"/>
          <w:highlight w:val="none"/>
        </w:rPr>
        <w:t>（</w:t>
      </w:r>
      <w:r>
        <w:rPr>
          <w:rFonts w:hint="eastAsia" w:ascii="楷体_GB2312" w:eastAsia="楷体_GB2312"/>
          <w:sz w:val="32"/>
          <w:szCs w:val="32"/>
          <w:highlight w:val="none"/>
          <w:lang w:val="en-US" w:eastAsia="zh-CN"/>
        </w:rPr>
        <w:t>二</w:t>
      </w:r>
      <w:r>
        <w:rPr>
          <w:rFonts w:hint="eastAsia" w:ascii="楷体_GB2312" w:eastAsia="楷体_GB2312"/>
          <w:sz w:val="32"/>
          <w:szCs w:val="32"/>
          <w:highlight w:val="none"/>
        </w:rPr>
        <w:t>）</w:t>
      </w:r>
      <w:r>
        <w:rPr>
          <w:rFonts w:hint="eastAsia" w:ascii="楷体_GB2312" w:hAnsi="Times New Roman" w:eastAsia="楷体_GB2312" w:cs="Times New Roman"/>
          <w:sz w:val="32"/>
          <w:szCs w:val="32"/>
          <w:highlight w:val="none"/>
        </w:rPr>
        <w:t>资产管理</w:t>
      </w:r>
    </w:p>
    <w:p w14:paraId="5B0F8168">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0" w:firstLineChars="200"/>
        <w:textAlignment w:val="auto"/>
        <w:rPr>
          <w:rFonts w:hint="eastAsia" w:cs="Times New Roman"/>
          <w:highlight w:val="none"/>
        </w:rPr>
      </w:pPr>
      <w:r>
        <w:rPr>
          <w:rFonts w:hint="eastAsia" w:cs="Times New Roman"/>
          <w:highlight w:val="none"/>
        </w:rPr>
        <w:t>为确保国有资产合理配置和高效利用，同时防止资产流失和浪费，支持检察业务工作高效开展，本院制定了《固定资产管理实施细则》，在实际工作中严格执行实施细则中包括配置申请、验收登记、领用出库等各项工作程序的同时，着重从以下</w:t>
      </w:r>
      <w:r>
        <w:rPr>
          <w:rFonts w:hint="eastAsia" w:cs="Times New Roman"/>
          <w:highlight w:val="none"/>
          <w:lang w:val="en-US" w:eastAsia="zh-CN"/>
        </w:rPr>
        <w:t>三</w:t>
      </w:r>
      <w:r>
        <w:rPr>
          <w:rFonts w:hint="eastAsia" w:cs="Times New Roman"/>
          <w:highlight w:val="none"/>
        </w:rPr>
        <w:t>方面抓实资产管理。</w:t>
      </w:r>
    </w:p>
    <w:p w14:paraId="4E1A2448">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cs="Times New Roman"/>
          <w:highlight w:val="none"/>
        </w:rPr>
      </w:pPr>
      <w:r>
        <w:rPr>
          <w:rFonts w:hint="eastAsia" w:cs="Times New Roman"/>
          <w:highlight w:val="none"/>
        </w:rPr>
        <w:t>一是资产管理、采购管理与预算管理深度融合。作为确保固定资产合理配置和使用效率的关键措施，每年预算编制期间，采购部门将会同资产管理部门，结合现有资产情况、办公设备及业务装备配备标准，编制下一年度资产购置计划。后经财务部门审查资产购置计划合规性可行性后，方可编制下一年度资产购置预算。资产管理、采购管理与预算管理相结合，可以更科学地进行资源配置，有助于盘活存量资产，有效利用新增资产，提高资产使用效率。</w:t>
      </w:r>
    </w:p>
    <w:p w14:paraId="2BCA3334">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cs="Times New Roman"/>
          <w:highlight w:val="none"/>
        </w:rPr>
      </w:pPr>
      <w:r>
        <w:rPr>
          <w:rFonts w:hint="eastAsia" w:cs="Times New Roman"/>
          <w:highlight w:val="none"/>
        </w:rPr>
        <w:t>二是注重固定资产验收和库房管理。为确保固定资产质量、规格和数量符合采购及需求部门要求，本院专门制作了《海淀检察院资产验收单》，明确规定了资产情况、验收标准、验收成员范围等，确保资产验收程序合规有效。结合资产使用分类，本院独立设置了设备库房、家具库房、办公用品库房和待报废资产库房，并分别配置专人管理，编制独立台账，确保存量资产底数清账务明，以便于资产统筹配置。</w:t>
      </w:r>
    </w:p>
    <w:p w14:paraId="48F9A9F1">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highlight w:val="none"/>
        </w:rPr>
      </w:pPr>
      <w:r>
        <w:rPr>
          <w:rFonts w:hint="eastAsia" w:cs="Times New Roman"/>
          <w:highlight w:val="none"/>
        </w:rPr>
        <w:t>三是持续关注固定资产动态管理。除了加强验收登记、领用出库等日常管理外，本院建立了固定资产动态管理工作机制，聘请第三方机构协助资产管理部门每三年开展一次全院资产盘点，不仅确保账实相符、账物相符，还让每位干警充分了解个人名下资产情况，提高个人资产管理意识。经资产管理部门与政工部门协商，建立离职退休人员强制交接资产工作机制，即离职退休人员在离院前，应对个人名下资产清点明晰并按程序将名下资产交接给其他干警或交回库房，待资产管理部门签批确认其资产已全部交接完毕后，政工部门方可为其办理离院手续，从而有效减少</w:t>
      </w:r>
      <w:r>
        <w:rPr>
          <w:rFonts w:hint="eastAsia"/>
          <w:highlight w:val="none"/>
        </w:rPr>
        <w:t>无主资产、盘亏资产的产生。</w:t>
      </w:r>
    </w:p>
    <w:p w14:paraId="2ECBC4D7">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outlineLvl w:val="1"/>
        <w:rPr>
          <w:rFonts w:ascii="楷体_GB2312" w:eastAsia="楷体_GB2312"/>
          <w:sz w:val="32"/>
          <w:szCs w:val="32"/>
          <w:highlight w:val="none"/>
        </w:rPr>
      </w:pPr>
      <w:r>
        <w:rPr>
          <w:rFonts w:hint="eastAsia" w:ascii="楷体_GB2312" w:eastAsia="楷体_GB2312"/>
          <w:sz w:val="32"/>
          <w:szCs w:val="32"/>
          <w:highlight w:val="none"/>
        </w:rPr>
        <w:t>绩效</w:t>
      </w:r>
      <w:r>
        <w:rPr>
          <w:rFonts w:ascii="楷体_GB2312" w:eastAsia="楷体_GB2312"/>
          <w:sz w:val="32"/>
          <w:szCs w:val="32"/>
          <w:highlight w:val="none"/>
        </w:rPr>
        <w:t>管理</w:t>
      </w:r>
    </w:p>
    <w:p w14:paraId="765155E0">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highlight w:val="none"/>
          <w:lang w:val="en-US" w:eastAsia="zh-CN"/>
        </w:rPr>
      </w:pPr>
      <w:r>
        <w:rPr>
          <w:rFonts w:hint="eastAsia"/>
          <w:highlight w:val="none"/>
        </w:rPr>
        <w:t>部门整体绩效管理是一个系统性的过程，旨在确保部门的目标与组织的整体战略相一致，并通过持续的监控和评估来提高部门的工作效率和效果。</w:t>
      </w:r>
      <w:r>
        <w:rPr>
          <w:rFonts w:hint="eastAsia"/>
          <w:highlight w:val="none"/>
          <w:lang w:val="en-US" w:eastAsia="zh-CN"/>
        </w:rPr>
        <w:t>为提高绩效管理水平，在《北京市预算绩效管理办法》的指导下，本院在实际工作中严格执行绩效目标管理、绩效运行跟踪监控管理、绩效评价实施管理、绩效评价结果反馈和应用管理等绩效管理措施。</w:t>
      </w:r>
    </w:p>
    <w:p w14:paraId="1A4A50CD">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highlight w:val="none"/>
          <w:lang w:val="en-US" w:eastAsia="zh-CN"/>
        </w:rPr>
      </w:pPr>
      <w:r>
        <w:rPr>
          <w:rFonts w:hint="eastAsia"/>
          <w:highlight w:val="none"/>
          <w:lang w:val="en-US" w:eastAsia="zh-CN"/>
        </w:rPr>
        <w:t>一是重视绩效目标管理。绩效目标是预算绩效管理的基础，包括绩效内容、绩效指标。2024年度本院在编制年度预算时同时制定了绩效目标，并编制清晰、量化、便于考核的绩效指标。</w:t>
      </w:r>
    </w:p>
    <w:p w14:paraId="094E0A83">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cs="Times New Roman"/>
          <w:highlight w:val="none"/>
          <w:lang w:val="en-US" w:eastAsia="zh-CN"/>
        </w:rPr>
      </w:pPr>
      <w:r>
        <w:rPr>
          <w:rFonts w:hint="eastAsia" w:cs="Times New Roman"/>
          <w:highlight w:val="none"/>
          <w:lang w:val="en-US" w:eastAsia="zh-CN"/>
        </w:rPr>
        <w:t>二是注重绩效运行跟踪监控管理。本院建立健全预算执行管理制度，完善预算支出责任制度，提高预算支出执行的及时性、均衡性和有效性。预算执行过程中同时建立绩效跟踪机制，加强对绩效目标完成情况的跟踪管理、督促检查。当预算执行绩效与绩效目标发生偏离时，财务部门及时向领导及业务部门反馈，并采取矫正措施。</w:t>
      </w:r>
    </w:p>
    <w:p w14:paraId="721199B5">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cs="Times New Roman"/>
          <w:highlight w:val="none"/>
          <w:lang w:val="en-US" w:eastAsia="zh-CN"/>
        </w:rPr>
      </w:pPr>
      <w:r>
        <w:rPr>
          <w:rFonts w:hint="eastAsia" w:cs="Times New Roman"/>
          <w:highlight w:val="none"/>
          <w:lang w:val="en-US" w:eastAsia="zh-CN"/>
        </w:rPr>
        <w:t>三是严格绩效评价管理。预算执行结束后，本院及时组织各项目负责人进行绩效自评工作，并将自评结果报院领导。每年本院选取具有代表性的项目委托中介机构进行绩效评价，并出具《绩效评价报告》报财政局备案。通过实施绩效评价和绩效自评，本院主动查找资金使用和管理中的薄弱环节，制定改进和提高工作的措施。</w:t>
      </w:r>
    </w:p>
    <w:p w14:paraId="6F79E562">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cs="Times New Roman"/>
          <w:highlight w:val="none"/>
        </w:rPr>
      </w:pPr>
      <w:r>
        <w:rPr>
          <w:rFonts w:hint="eastAsia" w:cs="Times New Roman"/>
          <w:highlight w:val="none"/>
          <w:lang w:val="en-US" w:eastAsia="zh-CN"/>
        </w:rPr>
        <w:t>四是重视绩效评价结果反馈和应用管理。本院绩效评价结果要作为下一年度编制和安排部门预算的重要依据，绩效评价结果较好的部门项目优先考虑或重点支持，绩效评价结果较差的部门项目相应减少预算乃至取消预算安排。本院每年向人民代表大会做工作报告，报告中详细阐述了当年工作成果及下一年度计划，预算绩效管理工作自觉接受人大监督。</w:t>
      </w:r>
    </w:p>
    <w:p w14:paraId="3DA208FA">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outlineLvl w:val="1"/>
        <w:rPr>
          <w:rFonts w:hint="eastAsia" w:ascii="楷体_GB2312" w:eastAsia="楷体_GB2312"/>
          <w:sz w:val="32"/>
          <w:szCs w:val="32"/>
          <w:highlight w:val="none"/>
        </w:rPr>
      </w:pPr>
      <w:r>
        <w:rPr>
          <w:rFonts w:hint="eastAsia" w:ascii="楷体_GB2312" w:eastAsia="楷体_GB2312"/>
          <w:sz w:val="32"/>
          <w:szCs w:val="32"/>
          <w:highlight w:val="none"/>
        </w:rPr>
        <w:t>结转结余率</w:t>
      </w:r>
    </w:p>
    <w:p w14:paraId="4EF2A2BE">
      <w:pPr>
        <w:pStyle w:val="9"/>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default" w:cs="Times New Roman"/>
          <w:highlight w:val="none"/>
          <w:lang w:val="en-US" w:eastAsia="zh-CN"/>
        </w:rPr>
      </w:pPr>
      <w:r>
        <w:rPr>
          <w:rFonts w:hint="eastAsia" w:cs="Times New Roman"/>
          <w:highlight w:val="none"/>
          <w:lang w:val="en-US" w:eastAsia="zh-CN"/>
        </w:rPr>
        <w:t>结转结余率为0.46%。</w:t>
      </w:r>
    </w:p>
    <w:p w14:paraId="509B4F78">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1"/>
        <w:rPr>
          <w:rFonts w:ascii="楷体_GB2312" w:eastAsia="楷体_GB2312"/>
          <w:sz w:val="32"/>
          <w:szCs w:val="32"/>
          <w:highlight w:val="none"/>
        </w:rPr>
      </w:pPr>
      <w:r>
        <w:rPr>
          <w:rFonts w:hint="eastAsia" w:ascii="楷体_GB2312" w:eastAsia="楷体_GB2312"/>
          <w:sz w:val="32"/>
          <w:szCs w:val="32"/>
          <w:highlight w:val="none"/>
        </w:rPr>
        <w:t>（五）部门</w:t>
      </w:r>
      <w:r>
        <w:rPr>
          <w:rFonts w:ascii="楷体_GB2312" w:eastAsia="楷体_GB2312"/>
          <w:sz w:val="32"/>
          <w:szCs w:val="32"/>
          <w:highlight w:val="none"/>
        </w:rPr>
        <w:t>预决算差异率</w:t>
      </w:r>
    </w:p>
    <w:p w14:paraId="67132F5E">
      <w:pPr>
        <w:pStyle w:val="9"/>
        <w:keepNext w:val="0"/>
        <w:keepLines w:val="0"/>
        <w:pageBreakBefore w:val="0"/>
        <w:kinsoku/>
        <w:wordWrap/>
        <w:overflowPunct/>
        <w:topLinePunct w:val="0"/>
        <w:autoSpaceDE/>
        <w:autoSpaceDN/>
        <w:bidi w:val="0"/>
        <w:adjustRightInd/>
        <w:snapToGrid/>
        <w:spacing w:line="600" w:lineRule="exact"/>
        <w:rPr>
          <w:highlight w:val="none"/>
        </w:rPr>
      </w:pPr>
      <w:r>
        <w:rPr>
          <w:rFonts w:hint="eastAsia" w:ascii="仿宋_GB2312" w:hAnsi="宋体" w:eastAsia="仿宋_GB2312" w:cs="宋体"/>
          <w:color w:val="000000"/>
          <w:kern w:val="0"/>
          <w:sz w:val="32"/>
          <w:szCs w:val="32"/>
          <w:highlight w:val="none"/>
        </w:rPr>
        <w:t>部门预决算差异率为</w:t>
      </w:r>
      <w:r>
        <w:rPr>
          <w:rFonts w:hint="eastAsia" w:hAnsi="宋体" w:cs="宋体"/>
          <w:color w:val="000000"/>
          <w:kern w:val="0"/>
          <w:sz w:val="32"/>
          <w:szCs w:val="32"/>
          <w:highlight w:val="none"/>
          <w:lang w:val="en-US" w:eastAsia="zh-CN"/>
        </w:rPr>
        <w:t>1.53</w:t>
      </w:r>
      <w:r>
        <w:rPr>
          <w:rFonts w:hint="eastAsia" w:ascii="仿宋_GB2312" w:hAnsi="宋体" w:eastAsia="仿宋_GB2312" w:cs="宋体"/>
          <w:color w:val="000000"/>
          <w:kern w:val="0"/>
          <w:sz w:val="32"/>
          <w:szCs w:val="32"/>
          <w:highlight w:val="none"/>
          <w:lang w:val="en-US" w:eastAsia="zh-CN"/>
        </w:rPr>
        <w:t>%</w:t>
      </w:r>
      <w:r>
        <w:rPr>
          <w:rFonts w:hint="eastAsia" w:hAnsi="宋体" w:cs="宋体"/>
          <w:color w:val="000000"/>
          <w:kern w:val="0"/>
          <w:sz w:val="32"/>
          <w:szCs w:val="32"/>
          <w:highlight w:val="none"/>
          <w:lang w:val="en-US" w:eastAsia="zh-CN"/>
        </w:rPr>
        <w:t>。</w:t>
      </w:r>
    </w:p>
    <w:p w14:paraId="654DC776">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0"/>
        <w:rPr>
          <w:rFonts w:ascii="黑体" w:hAnsi="黑体" w:eastAsia="黑体"/>
          <w:sz w:val="32"/>
          <w:szCs w:val="32"/>
          <w:highlight w:val="none"/>
        </w:rPr>
      </w:pPr>
      <w:r>
        <w:rPr>
          <w:rFonts w:hint="eastAsia" w:ascii="黑体" w:hAnsi="黑体" w:eastAsia="黑体"/>
          <w:sz w:val="32"/>
          <w:szCs w:val="32"/>
          <w:highlight w:val="none"/>
        </w:rPr>
        <w:t>五、总体</w:t>
      </w:r>
      <w:r>
        <w:rPr>
          <w:rFonts w:ascii="黑体" w:hAnsi="黑体" w:eastAsia="黑体"/>
          <w:sz w:val="32"/>
          <w:szCs w:val="32"/>
          <w:highlight w:val="none"/>
        </w:rPr>
        <w:t>评价结论</w:t>
      </w:r>
    </w:p>
    <w:p w14:paraId="25CFB9F6">
      <w:pPr>
        <w:keepNext w:val="0"/>
        <w:keepLines w:val="0"/>
        <w:pageBreakBefore w:val="0"/>
        <w:kinsoku/>
        <w:wordWrap/>
        <w:overflowPunct/>
        <w:topLinePunct w:val="0"/>
        <w:autoSpaceDE/>
        <w:autoSpaceDN/>
        <w:bidi w:val="0"/>
        <w:adjustRightInd/>
        <w:snapToGrid/>
        <w:spacing w:line="600" w:lineRule="exact"/>
        <w:ind w:left="105" w:leftChars="50" w:firstLine="480" w:firstLineChars="150"/>
        <w:outlineLvl w:val="1"/>
        <w:rPr>
          <w:rFonts w:hint="eastAsia" w:ascii="楷体_GB2312" w:eastAsia="楷体_GB2312"/>
          <w:sz w:val="32"/>
          <w:szCs w:val="32"/>
          <w:highlight w:val="none"/>
        </w:rPr>
      </w:pPr>
      <w:r>
        <w:rPr>
          <w:rFonts w:hint="eastAsia" w:ascii="楷体_GB2312" w:eastAsia="楷体_GB2312"/>
          <w:sz w:val="32"/>
          <w:szCs w:val="32"/>
          <w:highlight w:val="none"/>
        </w:rPr>
        <w:t>（一）评价</w:t>
      </w:r>
      <w:r>
        <w:rPr>
          <w:rFonts w:ascii="楷体_GB2312" w:eastAsia="楷体_GB2312"/>
          <w:sz w:val="32"/>
          <w:szCs w:val="32"/>
          <w:highlight w:val="none"/>
        </w:rPr>
        <w:t>得分</w:t>
      </w:r>
      <w:r>
        <w:rPr>
          <w:rFonts w:hint="eastAsia" w:ascii="楷体_GB2312" w:eastAsia="楷体_GB2312"/>
          <w:sz w:val="32"/>
          <w:szCs w:val="32"/>
          <w:highlight w:val="none"/>
        </w:rPr>
        <w:t>情况</w:t>
      </w:r>
    </w:p>
    <w:p w14:paraId="0F30E346">
      <w:pPr>
        <w:keepNext w:val="0"/>
        <w:keepLines w:val="0"/>
        <w:pageBreakBefore w:val="0"/>
        <w:widowControl w:val="0"/>
        <w:kinsoku/>
        <w:wordWrap/>
        <w:overflowPunct/>
        <w:topLinePunct w:val="0"/>
        <w:autoSpaceDE/>
        <w:autoSpaceDN/>
        <w:bidi w:val="0"/>
        <w:adjustRightInd/>
        <w:snapToGrid/>
        <w:spacing w:line="600" w:lineRule="exact"/>
        <w:ind w:left="105" w:leftChars="50" w:firstLine="640" w:firstLineChars="200"/>
        <w:textAlignment w:val="auto"/>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本次部门整体绩效评价，本院自评得分为95.18分。具体如下：</w:t>
      </w:r>
    </w:p>
    <w:tbl>
      <w:tblPr>
        <w:tblStyle w:val="10"/>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57" w:type="dxa"/>
          <w:bottom w:w="0" w:type="dxa"/>
          <w:right w:w="57" w:type="dxa"/>
        </w:tblCellMar>
      </w:tblPr>
      <w:tblGrid>
        <w:gridCol w:w="3593"/>
        <w:gridCol w:w="2511"/>
        <w:gridCol w:w="2316"/>
      </w:tblGrid>
      <w:tr w14:paraId="766E064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421" w:hRule="atLeast"/>
          <w:jc w:val="center"/>
        </w:trPr>
        <w:tc>
          <w:tcPr>
            <w:tcW w:w="3593"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0DAB5E53">
            <w:pPr>
              <w:keepNext w:val="0"/>
              <w:keepLines w:val="0"/>
              <w:pageBreakBefore w:val="0"/>
              <w:kinsoku/>
              <w:wordWrap/>
              <w:overflowPunct/>
              <w:topLinePunct w:val="0"/>
              <w:autoSpaceDE/>
              <w:autoSpaceDN/>
              <w:bidi w:val="0"/>
              <w:adjustRightInd/>
              <w:snapToGrid/>
              <w:spacing w:line="600" w:lineRule="exact"/>
              <w:jc w:val="center"/>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评价内容</w:t>
            </w:r>
          </w:p>
        </w:tc>
        <w:tc>
          <w:tcPr>
            <w:tcW w:w="2511"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27A93D58">
            <w:pPr>
              <w:keepNext w:val="0"/>
              <w:keepLines w:val="0"/>
              <w:pageBreakBefore w:val="0"/>
              <w:kinsoku/>
              <w:wordWrap/>
              <w:overflowPunct/>
              <w:topLinePunct w:val="0"/>
              <w:autoSpaceDE/>
              <w:autoSpaceDN/>
              <w:bidi w:val="0"/>
              <w:adjustRightInd/>
              <w:snapToGrid/>
              <w:spacing w:line="600" w:lineRule="exact"/>
              <w:jc w:val="center"/>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分值</w:t>
            </w:r>
          </w:p>
        </w:tc>
        <w:tc>
          <w:tcPr>
            <w:tcW w:w="2316"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D57EAB0">
            <w:pPr>
              <w:keepNext w:val="0"/>
              <w:keepLines w:val="0"/>
              <w:pageBreakBefore w:val="0"/>
              <w:kinsoku/>
              <w:wordWrap/>
              <w:overflowPunct/>
              <w:topLinePunct w:val="0"/>
              <w:autoSpaceDE/>
              <w:autoSpaceDN/>
              <w:bidi w:val="0"/>
              <w:adjustRightInd/>
              <w:snapToGrid/>
              <w:spacing w:line="600" w:lineRule="exact"/>
              <w:jc w:val="center"/>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评价得分</w:t>
            </w:r>
          </w:p>
        </w:tc>
      </w:tr>
      <w:tr w14:paraId="5AC08F8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414" w:hRule="atLeast"/>
          <w:jc w:val="center"/>
        </w:trPr>
        <w:tc>
          <w:tcPr>
            <w:tcW w:w="3593" w:type="dxa"/>
            <w:tcBorders>
              <w:top w:val="single" w:color="auto" w:sz="4" w:space="0"/>
              <w:left w:val="single" w:color="auto" w:sz="4" w:space="0"/>
              <w:bottom w:val="single" w:color="auto" w:sz="4" w:space="0"/>
              <w:right w:val="single" w:color="auto" w:sz="4" w:space="0"/>
            </w:tcBorders>
            <w:noWrap w:val="0"/>
            <w:vAlign w:val="center"/>
          </w:tcPr>
          <w:p w14:paraId="445A0951">
            <w:pPr>
              <w:keepNext w:val="0"/>
              <w:keepLines w:val="0"/>
              <w:pageBreakBefore w:val="0"/>
              <w:kinsoku/>
              <w:wordWrap/>
              <w:overflowPunct/>
              <w:topLinePunct w:val="0"/>
              <w:autoSpaceDE/>
              <w:autoSpaceDN/>
              <w:bidi w:val="0"/>
              <w:adjustRightInd/>
              <w:snapToGrid/>
              <w:spacing w:line="600" w:lineRule="exact"/>
              <w:jc w:val="center"/>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当年预算执行情况</w:t>
            </w:r>
          </w:p>
        </w:tc>
        <w:tc>
          <w:tcPr>
            <w:tcW w:w="2511" w:type="dxa"/>
            <w:tcBorders>
              <w:top w:val="single" w:color="auto" w:sz="4" w:space="0"/>
              <w:left w:val="single" w:color="auto" w:sz="4" w:space="0"/>
              <w:bottom w:val="single" w:color="auto" w:sz="4" w:space="0"/>
              <w:right w:val="single" w:color="auto" w:sz="4" w:space="0"/>
            </w:tcBorders>
            <w:noWrap w:val="0"/>
            <w:vAlign w:val="center"/>
          </w:tcPr>
          <w:p w14:paraId="679FA955">
            <w:pPr>
              <w:keepNext w:val="0"/>
              <w:keepLines w:val="0"/>
              <w:pageBreakBefore w:val="0"/>
              <w:kinsoku/>
              <w:wordWrap/>
              <w:overflowPunct/>
              <w:topLinePunct w:val="0"/>
              <w:autoSpaceDE/>
              <w:autoSpaceDN/>
              <w:bidi w:val="0"/>
              <w:adjustRightInd/>
              <w:snapToGrid/>
              <w:spacing w:line="600" w:lineRule="exact"/>
              <w:jc w:val="center"/>
              <w:outlineLvl w:val="9"/>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w:t>
            </w:r>
          </w:p>
        </w:tc>
        <w:tc>
          <w:tcPr>
            <w:tcW w:w="2316" w:type="dxa"/>
            <w:tcBorders>
              <w:top w:val="single" w:color="auto" w:sz="4" w:space="0"/>
              <w:left w:val="single" w:color="auto" w:sz="4" w:space="0"/>
              <w:bottom w:val="single" w:color="auto" w:sz="4" w:space="0"/>
              <w:right w:val="single" w:color="auto" w:sz="4" w:space="0"/>
            </w:tcBorders>
            <w:noWrap w:val="0"/>
            <w:vAlign w:val="center"/>
          </w:tcPr>
          <w:p w14:paraId="39BB591F">
            <w:pPr>
              <w:keepNext w:val="0"/>
              <w:keepLines w:val="0"/>
              <w:pageBreakBefore w:val="0"/>
              <w:kinsoku/>
              <w:wordWrap/>
              <w:overflowPunct/>
              <w:topLinePunct w:val="0"/>
              <w:autoSpaceDE/>
              <w:autoSpaceDN/>
              <w:bidi w:val="0"/>
              <w:adjustRightInd/>
              <w:snapToGrid/>
              <w:spacing w:line="600" w:lineRule="exact"/>
              <w:jc w:val="center"/>
              <w:outlineLvl w:val="9"/>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19.91</w:t>
            </w:r>
          </w:p>
        </w:tc>
      </w:tr>
      <w:tr w14:paraId="60295F7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365" w:hRule="atLeast"/>
          <w:jc w:val="center"/>
        </w:trPr>
        <w:tc>
          <w:tcPr>
            <w:tcW w:w="3593" w:type="dxa"/>
            <w:tcBorders>
              <w:top w:val="single" w:color="auto" w:sz="4" w:space="0"/>
              <w:left w:val="single" w:color="auto" w:sz="4" w:space="0"/>
              <w:bottom w:val="single" w:color="auto" w:sz="4" w:space="0"/>
              <w:right w:val="single" w:color="auto" w:sz="4" w:space="0"/>
            </w:tcBorders>
            <w:noWrap w:val="0"/>
            <w:vAlign w:val="center"/>
          </w:tcPr>
          <w:p w14:paraId="2B228685">
            <w:pPr>
              <w:keepNext w:val="0"/>
              <w:keepLines w:val="0"/>
              <w:pageBreakBefore w:val="0"/>
              <w:kinsoku/>
              <w:wordWrap/>
              <w:overflowPunct/>
              <w:topLinePunct w:val="0"/>
              <w:autoSpaceDE/>
              <w:autoSpaceDN/>
              <w:bidi w:val="0"/>
              <w:adjustRightInd/>
              <w:snapToGrid/>
              <w:spacing w:line="600" w:lineRule="exact"/>
              <w:jc w:val="center"/>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整体绩效目标实现情况</w:t>
            </w:r>
          </w:p>
        </w:tc>
        <w:tc>
          <w:tcPr>
            <w:tcW w:w="2511" w:type="dxa"/>
            <w:tcBorders>
              <w:top w:val="single" w:color="auto" w:sz="4" w:space="0"/>
              <w:left w:val="single" w:color="auto" w:sz="4" w:space="0"/>
              <w:bottom w:val="single" w:color="auto" w:sz="4" w:space="0"/>
              <w:right w:val="single" w:color="auto" w:sz="4" w:space="0"/>
            </w:tcBorders>
            <w:noWrap w:val="0"/>
            <w:vAlign w:val="center"/>
          </w:tcPr>
          <w:p w14:paraId="4B7D78CA">
            <w:pPr>
              <w:keepNext w:val="0"/>
              <w:keepLines w:val="0"/>
              <w:pageBreakBefore w:val="0"/>
              <w:kinsoku/>
              <w:wordWrap/>
              <w:overflowPunct/>
              <w:topLinePunct w:val="0"/>
              <w:autoSpaceDE/>
              <w:autoSpaceDN/>
              <w:bidi w:val="0"/>
              <w:adjustRightInd/>
              <w:snapToGrid/>
              <w:spacing w:line="600" w:lineRule="exact"/>
              <w:jc w:val="center"/>
              <w:outlineLvl w:val="9"/>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60</w:t>
            </w:r>
          </w:p>
        </w:tc>
        <w:tc>
          <w:tcPr>
            <w:tcW w:w="2316" w:type="dxa"/>
            <w:tcBorders>
              <w:top w:val="single" w:color="auto" w:sz="4" w:space="0"/>
              <w:left w:val="single" w:color="auto" w:sz="4" w:space="0"/>
              <w:bottom w:val="single" w:color="auto" w:sz="4" w:space="0"/>
              <w:right w:val="single" w:color="auto" w:sz="4" w:space="0"/>
            </w:tcBorders>
            <w:noWrap w:val="0"/>
            <w:vAlign w:val="center"/>
          </w:tcPr>
          <w:p w14:paraId="04240410">
            <w:pPr>
              <w:keepNext w:val="0"/>
              <w:keepLines w:val="0"/>
              <w:pageBreakBefore w:val="0"/>
              <w:kinsoku/>
              <w:wordWrap/>
              <w:overflowPunct/>
              <w:topLinePunct w:val="0"/>
              <w:autoSpaceDE/>
              <w:autoSpaceDN/>
              <w:bidi w:val="0"/>
              <w:adjustRightInd/>
              <w:snapToGrid/>
              <w:spacing w:line="600" w:lineRule="exact"/>
              <w:jc w:val="center"/>
              <w:outlineLvl w:val="9"/>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55.93</w:t>
            </w:r>
          </w:p>
        </w:tc>
      </w:tr>
      <w:tr w14:paraId="5B64EF4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286" w:hRule="atLeast"/>
          <w:jc w:val="center"/>
        </w:trPr>
        <w:tc>
          <w:tcPr>
            <w:tcW w:w="3593" w:type="dxa"/>
            <w:tcBorders>
              <w:top w:val="single" w:color="auto" w:sz="4" w:space="0"/>
              <w:left w:val="single" w:color="auto" w:sz="4" w:space="0"/>
              <w:bottom w:val="single" w:color="auto" w:sz="4" w:space="0"/>
              <w:right w:val="single" w:color="auto" w:sz="4" w:space="0"/>
            </w:tcBorders>
            <w:noWrap w:val="0"/>
            <w:vAlign w:val="center"/>
          </w:tcPr>
          <w:p w14:paraId="48DFE2E8">
            <w:pPr>
              <w:keepNext w:val="0"/>
              <w:keepLines w:val="0"/>
              <w:pageBreakBefore w:val="0"/>
              <w:kinsoku/>
              <w:wordWrap/>
              <w:overflowPunct/>
              <w:topLinePunct w:val="0"/>
              <w:autoSpaceDE/>
              <w:autoSpaceDN/>
              <w:bidi w:val="0"/>
              <w:adjustRightInd/>
              <w:snapToGrid/>
              <w:spacing w:line="600" w:lineRule="exact"/>
              <w:jc w:val="center"/>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预算管理情况</w:t>
            </w:r>
          </w:p>
        </w:tc>
        <w:tc>
          <w:tcPr>
            <w:tcW w:w="2511" w:type="dxa"/>
            <w:tcBorders>
              <w:top w:val="single" w:color="auto" w:sz="4" w:space="0"/>
              <w:left w:val="single" w:color="auto" w:sz="4" w:space="0"/>
              <w:bottom w:val="single" w:color="auto" w:sz="4" w:space="0"/>
              <w:right w:val="single" w:color="auto" w:sz="4" w:space="0"/>
            </w:tcBorders>
            <w:noWrap w:val="0"/>
            <w:vAlign w:val="center"/>
          </w:tcPr>
          <w:p w14:paraId="778DAD24">
            <w:pPr>
              <w:keepNext w:val="0"/>
              <w:keepLines w:val="0"/>
              <w:pageBreakBefore w:val="0"/>
              <w:kinsoku/>
              <w:wordWrap/>
              <w:overflowPunct/>
              <w:topLinePunct w:val="0"/>
              <w:autoSpaceDE/>
              <w:autoSpaceDN/>
              <w:bidi w:val="0"/>
              <w:adjustRightInd/>
              <w:snapToGrid/>
              <w:spacing w:line="600" w:lineRule="exact"/>
              <w:jc w:val="center"/>
              <w:outlineLvl w:val="9"/>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w:t>
            </w:r>
          </w:p>
        </w:tc>
        <w:tc>
          <w:tcPr>
            <w:tcW w:w="2316" w:type="dxa"/>
            <w:tcBorders>
              <w:top w:val="single" w:color="auto" w:sz="4" w:space="0"/>
              <w:left w:val="single" w:color="auto" w:sz="4" w:space="0"/>
              <w:bottom w:val="single" w:color="auto" w:sz="4" w:space="0"/>
              <w:right w:val="single" w:color="auto" w:sz="4" w:space="0"/>
            </w:tcBorders>
            <w:noWrap w:val="0"/>
            <w:vAlign w:val="center"/>
          </w:tcPr>
          <w:p w14:paraId="7F934A36">
            <w:pPr>
              <w:keepNext w:val="0"/>
              <w:keepLines w:val="0"/>
              <w:pageBreakBefore w:val="0"/>
              <w:kinsoku/>
              <w:wordWrap/>
              <w:overflowPunct/>
              <w:topLinePunct w:val="0"/>
              <w:autoSpaceDE/>
              <w:autoSpaceDN/>
              <w:bidi w:val="0"/>
              <w:adjustRightInd/>
              <w:snapToGrid/>
              <w:spacing w:line="600" w:lineRule="exact"/>
              <w:jc w:val="center"/>
              <w:outlineLvl w:val="9"/>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19.34</w:t>
            </w:r>
          </w:p>
        </w:tc>
      </w:tr>
      <w:tr w14:paraId="7876BC3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351" w:hRule="atLeast"/>
          <w:jc w:val="center"/>
        </w:trPr>
        <w:tc>
          <w:tcPr>
            <w:tcW w:w="3593" w:type="dxa"/>
            <w:tcBorders>
              <w:top w:val="single" w:color="auto" w:sz="4" w:space="0"/>
              <w:left w:val="single" w:color="auto" w:sz="4" w:space="0"/>
              <w:bottom w:val="single" w:color="auto" w:sz="4" w:space="0"/>
              <w:right w:val="single" w:color="auto" w:sz="4" w:space="0"/>
            </w:tcBorders>
            <w:noWrap w:val="0"/>
            <w:vAlign w:val="center"/>
          </w:tcPr>
          <w:p w14:paraId="4B0ACDDB">
            <w:pPr>
              <w:keepNext w:val="0"/>
              <w:keepLines w:val="0"/>
              <w:pageBreakBefore w:val="0"/>
              <w:kinsoku/>
              <w:wordWrap/>
              <w:overflowPunct/>
              <w:topLinePunct w:val="0"/>
              <w:autoSpaceDE/>
              <w:autoSpaceDN/>
              <w:bidi w:val="0"/>
              <w:adjustRightInd/>
              <w:snapToGrid/>
              <w:spacing w:line="600" w:lineRule="exact"/>
              <w:jc w:val="center"/>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合计</w:t>
            </w:r>
          </w:p>
        </w:tc>
        <w:tc>
          <w:tcPr>
            <w:tcW w:w="2511" w:type="dxa"/>
            <w:tcBorders>
              <w:top w:val="single" w:color="auto" w:sz="4" w:space="0"/>
              <w:left w:val="single" w:color="auto" w:sz="4" w:space="0"/>
              <w:bottom w:val="single" w:color="auto" w:sz="4" w:space="0"/>
              <w:right w:val="single" w:color="auto" w:sz="4" w:space="0"/>
            </w:tcBorders>
            <w:noWrap w:val="0"/>
            <w:vAlign w:val="center"/>
          </w:tcPr>
          <w:p w14:paraId="1AA13802">
            <w:pPr>
              <w:keepNext w:val="0"/>
              <w:keepLines w:val="0"/>
              <w:pageBreakBefore w:val="0"/>
              <w:kinsoku/>
              <w:wordWrap/>
              <w:overflowPunct/>
              <w:topLinePunct w:val="0"/>
              <w:autoSpaceDE/>
              <w:autoSpaceDN/>
              <w:bidi w:val="0"/>
              <w:adjustRightInd/>
              <w:snapToGrid/>
              <w:spacing w:line="600" w:lineRule="exact"/>
              <w:jc w:val="center"/>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100</w:t>
            </w:r>
          </w:p>
        </w:tc>
        <w:tc>
          <w:tcPr>
            <w:tcW w:w="2316" w:type="dxa"/>
            <w:tcBorders>
              <w:top w:val="single" w:color="auto" w:sz="4" w:space="0"/>
              <w:left w:val="single" w:color="auto" w:sz="4" w:space="0"/>
              <w:bottom w:val="single" w:color="auto" w:sz="4" w:space="0"/>
              <w:right w:val="single" w:color="auto" w:sz="4" w:space="0"/>
            </w:tcBorders>
            <w:noWrap w:val="0"/>
            <w:vAlign w:val="center"/>
          </w:tcPr>
          <w:p w14:paraId="0FB81898">
            <w:pPr>
              <w:keepNext w:val="0"/>
              <w:keepLines w:val="0"/>
              <w:pageBreakBefore w:val="0"/>
              <w:kinsoku/>
              <w:wordWrap/>
              <w:overflowPunct/>
              <w:topLinePunct w:val="0"/>
              <w:autoSpaceDE/>
              <w:autoSpaceDN/>
              <w:bidi w:val="0"/>
              <w:adjustRightInd/>
              <w:snapToGrid/>
              <w:spacing w:line="600" w:lineRule="exact"/>
              <w:jc w:val="center"/>
              <w:outlineLvl w:val="9"/>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95.18</w:t>
            </w:r>
          </w:p>
        </w:tc>
      </w:tr>
      <w:tr w14:paraId="420CB01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351" w:hRule="atLeast"/>
          <w:jc w:val="center"/>
        </w:trPr>
        <w:tc>
          <w:tcPr>
            <w:tcW w:w="3593" w:type="dxa"/>
            <w:tcBorders>
              <w:top w:val="single" w:color="auto" w:sz="4" w:space="0"/>
              <w:left w:val="single" w:color="auto" w:sz="4" w:space="0"/>
              <w:bottom w:val="single" w:color="auto" w:sz="4" w:space="0"/>
              <w:right w:val="single" w:color="auto" w:sz="4" w:space="0"/>
            </w:tcBorders>
            <w:noWrap w:val="0"/>
            <w:vAlign w:val="center"/>
          </w:tcPr>
          <w:p w14:paraId="1A74DF9C">
            <w:pPr>
              <w:keepNext w:val="0"/>
              <w:keepLines w:val="0"/>
              <w:pageBreakBefore w:val="0"/>
              <w:kinsoku/>
              <w:wordWrap/>
              <w:overflowPunct/>
              <w:topLinePunct w:val="0"/>
              <w:autoSpaceDE/>
              <w:autoSpaceDN/>
              <w:bidi w:val="0"/>
              <w:adjustRightInd/>
              <w:snapToGrid/>
              <w:spacing w:line="600" w:lineRule="exact"/>
              <w:jc w:val="center"/>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绩效评定级别</w:t>
            </w:r>
          </w:p>
        </w:tc>
        <w:tc>
          <w:tcPr>
            <w:tcW w:w="4827" w:type="dxa"/>
            <w:gridSpan w:val="2"/>
            <w:tcBorders>
              <w:top w:val="single" w:color="auto" w:sz="4" w:space="0"/>
              <w:left w:val="single" w:color="auto" w:sz="4" w:space="0"/>
              <w:bottom w:val="single" w:color="auto" w:sz="4" w:space="0"/>
              <w:right w:val="single" w:color="auto" w:sz="4" w:space="0"/>
            </w:tcBorders>
            <w:noWrap w:val="0"/>
            <w:vAlign w:val="center"/>
          </w:tcPr>
          <w:p w14:paraId="55BF3BC3">
            <w:pPr>
              <w:keepNext w:val="0"/>
              <w:keepLines w:val="0"/>
              <w:pageBreakBefore w:val="0"/>
              <w:kinsoku/>
              <w:wordWrap/>
              <w:overflowPunct/>
              <w:topLinePunct w:val="0"/>
              <w:autoSpaceDE/>
              <w:autoSpaceDN/>
              <w:bidi w:val="0"/>
              <w:adjustRightInd/>
              <w:snapToGrid/>
              <w:spacing w:line="600" w:lineRule="exact"/>
              <w:jc w:val="center"/>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优</w:t>
            </w:r>
          </w:p>
        </w:tc>
      </w:tr>
    </w:tbl>
    <w:p w14:paraId="12E88CDF">
      <w:pPr>
        <w:keepNext w:val="0"/>
        <w:keepLines w:val="0"/>
        <w:pageBreakBefore w:val="0"/>
        <w:numPr>
          <w:ilvl w:val="0"/>
          <w:numId w:val="2"/>
        </w:numPr>
        <w:kinsoku/>
        <w:wordWrap/>
        <w:overflowPunct/>
        <w:topLinePunct w:val="0"/>
        <w:autoSpaceDE/>
        <w:autoSpaceDN/>
        <w:bidi w:val="0"/>
        <w:adjustRightInd/>
        <w:snapToGrid/>
        <w:spacing w:line="600" w:lineRule="exact"/>
        <w:ind w:left="105" w:leftChars="50" w:firstLine="480" w:firstLineChars="150"/>
        <w:outlineLvl w:val="1"/>
        <w:rPr>
          <w:rFonts w:hint="eastAsia" w:ascii="楷体_GB2312" w:eastAsia="楷体_GB2312"/>
          <w:sz w:val="32"/>
          <w:szCs w:val="32"/>
          <w:highlight w:val="none"/>
        </w:rPr>
      </w:pPr>
      <w:r>
        <w:rPr>
          <w:rFonts w:hint="eastAsia" w:ascii="楷体_GB2312" w:eastAsia="楷体_GB2312"/>
          <w:sz w:val="32"/>
          <w:szCs w:val="32"/>
          <w:highlight w:val="none"/>
        </w:rPr>
        <w:t>存在的问题及原因分析</w:t>
      </w:r>
    </w:p>
    <w:p w14:paraId="422F7E3D">
      <w:pPr>
        <w:keepNext w:val="0"/>
        <w:keepLines w:val="0"/>
        <w:pageBreakBefore w:val="0"/>
        <w:widowControl w:val="0"/>
        <w:kinsoku/>
        <w:wordWrap/>
        <w:overflowPunct/>
        <w:topLinePunct w:val="0"/>
        <w:autoSpaceDE/>
        <w:autoSpaceDN/>
        <w:bidi w:val="0"/>
        <w:adjustRightInd/>
        <w:snapToGrid/>
        <w:spacing w:line="600" w:lineRule="exact"/>
        <w:ind w:left="105" w:leftChars="50" w:firstLine="640" w:firstLineChars="200"/>
        <w:textAlignment w:val="auto"/>
        <w:outlineLvl w:val="9"/>
        <w:rPr>
          <w:rFonts w:hint="default" w:ascii="Arial Narrow" w:hAnsi="Arial Narrow" w:eastAsia="仿宋_GB2312" w:cs="Arial Narrow"/>
          <w:sz w:val="32"/>
          <w:szCs w:val="32"/>
          <w:highlight w:val="none"/>
          <w:lang w:val="en-US" w:eastAsia="zh-CN"/>
        </w:rPr>
      </w:pPr>
      <w:r>
        <w:rPr>
          <w:rFonts w:hint="eastAsia" w:ascii="Arial Narrow" w:hAnsi="Arial Narrow" w:eastAsia="仿宋_GB2312" w:cs="Arial Narrow"/>
          <w:sz w:val="32"/>
          <w:szCs w:val="32"/>
          <w:highlight w:val="none"/>
          <w:lang w:val="en-US" w:eastAsia="zh-CN"/>
        </w:rPr>
        <w:t>年初设定的部门整体绩效目标与部门重点工作任务存在一定程度的脱节，年初部门整体绩效目标未能充分反应本院年度重点工作任务的目标设立情况。</w:t>
      </w:r>
    </w:p>
    <w:p w14:paraId="3988753B">
      <w:pPr>
        <w:keepNext w:val="0"/>
        <w:keepLines w:val="0"/>
        <w:pageBreakBefore w:val="0"/>
        <w:widowControl w:val="0"/>
        <w:kinsoku/>
        <w:wordWrap/>
        <w:overflowPunct/>
        <w:topLinePunct w:val="0"/>
        <w:autoSpaceDE/>
        <w:autoSpaceDN/>
        <w:bidi w:val="0"/>
        <w:adjustRightInd/>
        <w:snapToGrid/>
        <w:spacing w:line="600" w:lineRule="exact"/>
        <w:ind w:left="105" w:leftChars="50" w:firstLine="640" w:firstLineChars="200"/>
        <w:textAlignment w:val="auto"/>
        <w:outlineLvl w:val="9"/>
        <w:rPr>
          <w:rFonts w:hint="eastAsia" w:ascii="Arial Narrow" w:hAnsi="Arial Narrow" w:eastAsia="仿宋_GB2312" w:cs="Arial Narrow"/>
          <w:sz w:val="32"/>
          <w:szCs w:val="32"/>
          <w:highlight w:val="none"/>
          <w:lang w:val="en-US" w:eastAsia="zh-CN"/>
        </w:rPr>
      </w:pPr>
      <w:r>
        <w:rPr>
          <w:rFonts w:hint="default" w:ascii="Arial Narrow" w:hAnsi="Arial Narrow" w:eastAsia="仿宋_GB2312" w:cs="Arial Narrow"/>
          <w:sz w:val="32"/>
          <w:szCs w:val="32"/>
          <w:highlight w:val="none"/>
        </w:rPr>
        <w:t>项目</w:t>
      </w:r>
      <w:r>
        <w:rPr>
          <w:rFonts w:hint="default" w:ascii="Arial Narrow" w:hAnsi="Arial Narrow" w:eastAsia="仿宋_GB2312" w:cs="Arial Narrow"/>
          <w:color w:val="000000"/>
          <w:kern w:val="0"/>
          <w:sz w:val="32"/>
          <w:szCs w:val="32"/>
          <w:highlight w:val="none"/>
          <w:lang w:val="en-US" w:eastAsia="zh-CN"/>
        </w:rPr>
        <w:t>绩效</w:t>
      </w:r>
      <w:r>
        <w:rPr>
          <w:rFonts w:hint="default" w:ascii="Arial Narrow" w:hAnsi="Arial Narrow" w:eastAsia="仿宋_GB2312" w:cs="Arial Narrow"/>
          <w:sz w:val="32"/>
          <w:szCs w:val="32"/>
          <w:highlight w:val="none"/>
        </w:rPr>
        <w:t>目标设置不</w:t>
      </w:r>
      <w:r>
        <w:rPr>
          <w:rFonts w:hint="eastAsia" w:ascii="Arial Narrow" w:hAnsi="Arial Narrow" w:eastAsia="仿宋_GB2312" w:cs="Arial Narrow"/>
          <w:sz w:val="32"/>
          <w:szCs w:val="32"/>
          <w:highlight w:val="none"/>
          <w:lang w:val="en-US" w:eastAsia="zh-CN"/>
        </w:rPr>
        <w:t>够</w:t>
      </w:r>
      <w:r>
        <w:rPr>
          <w:rFonts w:hint="default" w:ascii="Arial Narrow" w:hAnsi="Arial Narrow" w:eastAsia="仿宋_GB2312" w:cs="Arial Narrow"/>
          <w:sz w:val="32"/>
          <w:szCs w:val="32"/>
          <w:highlight w:val="none"/>
        </w:rPr>
        <w:t>明确、不</w:t>
      </w:r>
      <w:r>
        <w:rPr>
          <w:rFonts w:hint="eastAsia" w:ascii="Arial Narrow" w:hAnsi="Arial Narrow" w:eastAsia="仿宋_GB2312" w:cs="Arial Narrow"/>
          <w:sz w:val="32"/>
          <w:szCs w:val="32"/>
          <w:highlight w:val="none"/>
          <w:lang w:val="en-US" w:eastAsia="zh-CN"/>
        </w:rPr>
        <w:t>够</w:t>
      </w:r>
      <w:r>
        <w:rPr>
          <w:rFonts w:hint="default" w:ascii="Arial Narrow" w:hAnsi="Arial Narrow" w:eastAsia="仿宋_GB2312" w:cs="Arial Narrow"/>
          <w:sz w:val="32"/>
          <w:szCs w:val="32"/>
          <w:highlight w:val="none"/>
        </w:rPr>
        <w:t>细化，尚不能充分反应年度项目绩效目标设定。项目预算不够细化，</w:t>
      </w:r>
      <w:r>
        <w:rPr>
          <w:rFonts w:hint="eastAsia" w:ascii="Arial Narrow" w:hAnsi="Arial Narrow" w:eastAsia="仿宋_GB2312" w:cs="Arial Narrow"/>
          <w:sz w:val="32"/>
          <w:szCs w:val="32"/>
          <w:highlight w:val="none"/>
          <w:lang w:val="en-US" w:eastAsia="zh-CN"/>
        </w:rPr>
        <w:t>经常性项目</w:t>
      </w:r>
      <w:r>
        <w:rPr>
          <w:rFonts w:hint="default" w:ascii="Arial Narrow" w:hAnsi="Arial Narrow" w:eastAsia="仿宋_GB2312" w:cs="Arial Narrow"/>
          <w:sz w:val="32"/>
          <w:szCs w:val="32"/>
          <w:highlight w:val="none"/>
        </w:rPr>
        <w:t>根据以往年度项目情况估算</w:t>
      </w:r>
      <w:r>
        <w:rPr>
          <w:rFonts w:hint="eastAsia" w:ascii="Arial Narrow" w:hAnsi="Arial Narrow" w:eastAsia="仿宋_GB2312" w:cs="Arial Narrow"/>
          <w:sz w:val="32"/>
          <w:szCs w:val="32"/>
          <w:highlight w:val="none"/>
          <w:lang w:val="en-US" w:eastAsia="zh-CN"/>
        </w:rPr>
        <w:t>本年度</w:t>
      </w:r>
      <w:r>
        <w:rPr>
          <w:rFonts w:hint="default" w:ascii="Arial Narrow" w:hAnsi="Arial Narrow" w:eastAsia="仿宋_GB2312" w:cs="Arial Narrow"/>
          <w:sz w:val="32"/>
          <w:szCs w:val="32"/>
          <w:highlight w:val="none"/>
        </w:rPr>
        <w:t>项目经费，未结合年度具体业务内容提供预算编制的依据，造成年初预算与实际执行结果差距较大</w:t>
      </w:r>
      <w:r>
        <w:rPr>
          <w:rFonts w:hint="eastAsia" w:ascii="Arial Narrow" w:hAnsi="Arial Narrow" w:eastAsia="仿宋_GB2312" w:cs="Arial Narrow"/>
          <w:sz w:val="32"/>
          <w:szCs w:val="32"/>
          <w:highlight w:val="none"/>
          <w:lang w:eastAsia="zh-CN"/>
        </w:rPr>
        <w:t>；</w:t>
      </w:r>
      <w:r>
        <w:rPr>
          <w:rFonts w:hint="eastAsia" w:ascii="Arial Narrow" w:hAnsi="Arial Narrow" w:eastAsia="仿宋_GB2312" w:cs="Arial Narrow"/>
          <w:sz w:val="32"/>
          <w:szCs w:val="32"/>
          <w:highlight w:val="none"/>
          <w:lang w:val="en-US" w:eastAsia="zh-CN"/>
        </w:rPr>
        <w:t>一次性项目年度实际执行情况较年初预算亦有较大差异。</w:t>
      </w:r>
    </w:p>
    <w:p w14:paraId="09EA0EFE">
      <w:pPr>
        <w:keepNext w:val="0"/>
        <w:keepLines w:val="0"/>
        <w:pageBreakBefore w:val="0"/>
        <w:widowControl w:val="0"/>
        <w:kinsoku/>
        <w:wordWrap/>
        <w:overflowPunct/>
        <w:topLinePunct w:val="0"/>
        <w:autoSpaceDE/>
        <w:autoSpaceDN/>
        <w:bidi w:val="0"/>
        <w:adjustRightInd/>
        <w:snapToGrid/>
        <w:spacing w:line="600" w:lineRule="exact"/>
        <w:ind w:left="105" w:leftChars="50" w:firstLine="640" w:firstLineChars="200"/>
        <w:textAlignment w:val="auto"/>
        <w:outlineLvl w:val="9"/>
        <w:rPr>
          <w:rFonts w:hint="default" w:ascii="Arial Narrow" w:hAnsi="Arial Narrow" w:eastAsia="仿宋_GB2312" w:cs="Arial Narrow"/>
          <w:sz w:val="32"/>
          <w:szCs w:val="32"/>
          <w:highlight w:val="none"/>
          <w:lang w:val="en-US" w:eastAsia="zh-CN"/>
        </w:rPr>
      </w:pPr>
      <w:r>
        <w:rPr>
          <w:rFonts w:hint="eastAsia" w:ascii="Arial Narrow" w:hAnsi="Arial Narrow" w:eastAsia="仿宋_GB2312" w:cs="Arial Narrow"/>
          <w:sz w:val="32"/>
          <w:szCs w:val="32"/>
          <w:highlight w:val="none"/>
          <w:lang w:val="en-US" w:eastAsia="zh-CN"/>
        </w:rPr>
        <w:t>绩效评价结果尚未得到充分应用，绩效评价结果的应用机制并不健全，缺乏有效的配套机制来支持绩效评价结果的应用。</w:t>
      </w:r>
    </w:p>
    <w:p w14:paraId="242EE0EB">
      <w:pPr>
        <w:keepNext w:val="0"/>
        <w:keepLines w:val="0"/>
        <w:pageBreakBefore w:val="0"/>
        <w:kinsoku/>
        <w:wordWrap/>
        <w:overflowPunct/>
        <w:topLinePunct w:val="0"/>
        <w:autoSpaceDE/>
        <w:autoSpaceDN/>
        <w:bidi w:val="0"/>
        <w:adjustRightInd/>
        <w:snapToGrid/>
        <w:spacing w:line="600" w:lineRule="exact"/>
        <w:ind w:firstLine="640" w:firstLineChars="200"/>
        <w:outlineLvl w:val="0"/>
        <w:rPr>
          <w:rFonts w:hint="eastAsia" w:ascii="仿宋_GB2312" w:hAnsi="宋体" w:eastAsia="仿宋_GB2312" w:cs="宋体"/>
          <w:color w:val="000000"/>
          <w:kern w:val="0"/>
          <w:sz w:val="32"/>
          <w:szCs w:val="32"/>
          <w:highlight w:val="none"/>
        </w:rPr>
      </w:pPr>
      <w:r>
        <w:rPr>
          <w:rFonts w:hint="eastAsia" w:ascii="黑体" w:hAnsi="黑体" w:eastAsia="黑体" w:cs="宋体"/>
          <w:color w:val="000000"/>
          <w:kern w:val="0"/>
          <w:sz w:val="32"/>
          <w:szCs w:val="32"/>
          <w:highlight w:val="none"/>
        </w:rPr>
        <w:t>六、措施建议</w:t>
      </w:r>
    </w:p>
    <w:p w14:paraId="61BC3CC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Arial Narrow" w:hAnsi="Arial Narrow" w:eastAsia="仿宋_GB2312" w:cs="Arial Narrow"/>
          <w:sz w:val="32"/>
          <w:szCs w:val="32"/>
          <w:highlight w:val="none"/>
          <w:lang w:val="en-US" w:eastAsia="zh-CN"/>
        </w:rPr>
      </w:pPr>
      <w:r>
        <w:rPr>
          <w:rFonts w:hint="eastAsia" w:ascii="Arial Narrow" w:hAnsi="Arial Narrow" w:eastAsia="仿宋_GB2312" w:cs="Arial Narrow"/>
          <w:sz w:val="32"/>
          <w:szCs w:val="32"/>
          <w:highlight w:val="none"/>
          <w:lang w:val="en-US" w:eastAsia="zh-CN"/>
        </w:rPr>
        <w:t>申报年初预算时，提高对部门整体绩效目标的重视，将</w:t>
      </w:r>
      <w:r>
        <w:rPr>
          <w:rFonts w:hint="eastAsia" w:ascii="仿宋_GB2312" w:hAnsi="仿宋_GB2312" w:eastAsia="仿宋_GB2312" w:cs="仿宋_GB2312"/>
          <w:sz w:val="32"/>
          <w:szCs w:val="32"/>
          <w:highlight w:val="none"/>
          <w:lang w:val="en-US" w:eastAsia="zh-CN"/>
        </w:rPr>
        <w:t>整体绩效目标与部门的职能定位、相关中长期发展规划以及年度重点工作任务紧密结合。使得部门整体绩效目标与部门的战略规划紧密相连，确保每一项工作都能推进部门向既定的长期目标前进。</w:t>
      </w:r>
    </w:p>
    <w:p w14:paraId="549788DE">
      <w:pPr>
        <w:keepNext w:val="0"/>
        <w:keepLines w:val="0"/>
        <w:pageBreakBefore w:val="0"/>
        <w:widowControl w:val="0"/>
        <w:kinsoku/>
        <w:wordWrap/>
        <w:overflowPunct/>
        <w:topLinePunct w:val="0"/>
        <w:autoSpaceDE/>
        <w:autoSpaceDN/>
        <w:bidi w:val="0"/>
        <w:adjustRightInd/>
        <w:snapToGrid/>
        <w:spacing w:line="600" w:lineRule="exact"/>
        <w:ind w:left="105" w:leftChars="50" w:firstLine="640" w:firstLineChars="200"/>
        <w:textAlignment w:val="auto"/>
        <w:outlineLvl w:val="9"/>
        <w:rPr>
          <w:rFonts w:hint="default" w:ascii="Arial Narrow" w:hAnsi="Arial Narrow" w:eastAsia="仿宋_GB2312" w:cs="Arial Narrow"/>
          <w:sz w:val="32"/>
          <w:szCs w:val="32"/>
          <w:highlight w:val="none"/>
        </w:rPr>
      </w:pPr>
      <w:r>
        <w:rPr>
          <w:rFonts w:hint="default" w:ascii="Arial Narrow" w:hAnsi="Arial Narrow" w:eastAsia="仿宋_GB2312" w:cs="Arial Narrow"/>
          <w:sz w:val="32"/>
          <w:szCs w:val="32"/>
          <w:highlight w:val="none"/>
        </w:rPr>
        <w:t>通过加强</w:t>
      </w:r>
      <w:r>
        <w:rPr>
          <w:rFonts w:hint="eastAsia" w:ascii="Arial Narrow" w:hAnsi="Arial Narrow" w:eastAsia="仿宋_GB2312" w:cs="Arial Narrow"/>
          <w:sz w:val="32"/>
          <w:szCs w:val="32"/>
          <w:highlight w:val="none"/>
          <w:lang w:val="en-US" w:eastAsia="zh-CN"/>
        </w:rPr>
        <w:t>财务部门与业务部门</w:t>
      </w:r>
      <w:r>
        <w:rPr>
          <w:rFonts w:hint="default" w:ascii="Arial Narrow" w:hAnsi="Arial Narrow" w:eastAsia="仿宋_GB2312" w:cs="Arial Narrow"/>
          <w:sz w:val="32"/>
          <w:szCs w:val="32"/>
          <w:highlight w:val="none"/>
        </w:rPr>
        <w:t>的联动，从而提高项目绩效目标设置的科学性，按照数量、质量、成本等几方面科学合理设定项目绩效目标，进一步细化量化绩效目标，提高项目绩效目标与项目实际效果的一致性，同时参照设定的绩效目标提高预算编制的准确性。</w:t>
      </w:r>
    </w:p>
    <w:p w14:paraId="60EA50BE">
      <w:pPr>
        <w:pStyle w:val="9"/>
        <w:keepNext w:val="0"/>
        <w:keepLines w:val="0"/>
        <w:pageBreakBefore w:val="0"/>
        <w:kinsoku/>
        <w:wordWrap/>
        <w:overflowPunct/>
        <w:topLinePunct w:val="0"/>
        <w:autoSpaceDE/>
        <w:autoSpaceDN/>
        <w:bidi w:val="0"/>
        <w:adjustRightInd/>
        <w:snapToGrid/>
        <w:spacing w:line="600" w:lineRule="exact"/>
        <w:rPr>
          <w:rFonts w:hint="eastAsia"/>
          <w:highlight w:val="none"/>
        </w:rPr>
      </w:pPr>
      <w:r>
        <w:rPr>
          <w:rFonts w:hint="eastAsia" w:ascii="Arial Narrow" w:hAnsi="Arial Narrow" w:eastAsia="仿宋_GB2312" w:cs="Arial Narrow"/>
          <w:sz w:val="32"/>
          <w:szCs w:val="32"/>
          <w:highlight w:val="none"/>
          <w:lang w:val="en-US" w:eastAsia="zh-CN"/>
        </w:rPr>
        <w:t>本院将继续</w:t>
      </w:r>
      <w:r>
        <w:rPr>
          <w:rFonts w:hint="default" w:ascii="Arial Narrow" w:hAnsi="Arial Narrow" w:eastAsia="仿宋_GB2312" w:cs="Arial Narrow"/>
          <w:sz w:val="32"/>
          <w:szCs w:val="32"/>
          <w:highlight w:val="none"/>
          <w:lang w:val="en-US" w:eastAsia="zh-CN"/>
        </w:rPr>
        <w:t>加大对绩效理念的宣传力度，将绩效理念贯穿到预算编制、执行和结果的全过程。</w:t>
      </w:r>
      <w:r>
        <w:rPr>
          <w:rFonts w:hint="eastAsia" w:ascii="Arial Narrow" w:hAnsi="Arial Narrow" w:eastAsia="仿宋_GB2312" w:cs="Arial Narrow"/>
          <w:sz w:val="32"/>
          <w:szCs w:val="32"/>
          <w:highlight w:val="none"/>
          <w:lang w:val="en-US" w:eastAsia="zh-CN"/>
        </w:rPr>
        <w:t>同时</w:t>
      </w:r>
      <w:r>
        <w:rPr>
          <w:rFonts w:hint="default" w:ascii="Arial Narrow" w:hAnsi="Arial Narrow" w:eastAsia="仿宋_GB2312" w:cs="Arial Narrow"/>
          <w:sz w:val="32"/>
          <w:szCs w:val="32"/>
          <w:highlight w:val="none"/>
          <w:lang w:val="en-US" w:eastAsia="zh-CN"/>
        </w:rPr>
        <w:t>重视指标设置的科学性，尽量做到指标体系的全面和统一</w:t>
      </w:r>
      <w:r>
        <w:rPr>
          <w:rFonts w:hint="eastAsia" w:ascii="Arial Narrow" w:hAnsi="Arial Narrow" w:eastAsia="仿宋_GB2312" w:cs="Arial Narrow"/>
          <w:sz w:val="32"/>
          <w:szCs w:val="32"/>
          <w:highlight w:val="none"/>
          <w:lang w:val="en-US" w:eastAsia="zh-CN"/>
        </w:rPr>
        <w:t>。绩效评价结果分析诊断财政支出的管理问题，及时补充完善预算资金分配、拨付、使用等环节的管理控制措施，进一步改进预算决策与管理。</w:t>
      </w:r>
    </w:p>
    <w:p w14:paraId="00FB46A6">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_GB2312" w:hAnsi="仿宋_GB2312" w:eastAsia="仿宋_GB2312" w:cs="仿宋_GB2312"/>
          <w:sz w:val="32"/>
          <w:szCs w:val="32"/>
          <w:highlight w:val="none"/>
          <w:lang w:eastAsia="zh-CN"/>
        </w:rPr>
        <w:sectPr>
          <w:footerReference r:id="rId3" w:type="default"/>
          <w:pgSz w:w="11906" w:h="16838"/>
          <w:pgMar w:top="1440" w:right="1800" w:bottom="1440" w:left="1800" w:header="851" w:footer="964" w:gutter="0"/>
          <w:pgNumType w:fmt="decimal" w:start="1"/>
          <w:cols w:space="425" w:num="1"/>
          <w:docGrid w:type="lines" w:linePitch="435" w:charSpace="0"/>
        </w:sectPr>
      </w:pPr>
    </w:p>
    <w:p w14:paraId="3DAC0F6C">
      <w:pPr>
        <w:keepNext w:val="0"/>
        <w:keepLines w:val="0"/>
        <w:pageBreakBefore w:val="0"/>
        <w:kinsoku/>
        <w:wordWrap/>
        <w:overflowPunct/>
        <w:topLinePunct w:val="0"/>
        <w:autoSpaceDE/>
        <w:autoSpaceDN/>
        <w:bidi w:val="0"/>
        <w:adjustRightInd/>
        <w:snapToGrid/>
        <w:spacing w:line="360" w:lineRule="auto"/>
        <w:jc w:val="left"/>
        <w:rPr>
          <w:rFonts w:hint="default" w:ascii="方正黑体_GBK" w:hAnsi="方正黑体_GBK" w:eastAsia="方正黑体_GBK" w:cs="方正黑体_GBK"/>
          <w:sz w:val="32"/>
          <w:highlight w:val="none"/>
          <w:lang w:val="en-US" w:eastAsia="zh-CN"/>
        </w:rPr>
      </w:pPr>
      <w:r>
        <w:rPr>
          <w:rFonts w:hint="eastAsia" w:ascii="方正黑体_GBK" w:hAnsi="方正黑体_GBK" w:eastAsia="方正黑体_GBK" w:cs="方正黑体_GBK"/>
          <w:sz w:val="32"/>
          <w:highlight w:val="none"/>
          <w:lang w:eastAsia="zh-CN"/>
        </w:rPr>
        <w:t>附件</w:t>
      </w:r>
      <w:r>
        <w:rPr>
          <w:rFonts w:hint="eastAsia" w:ascii="方正黑体_GBK" w:hAnsi="方正黑体_GBK" w:eastAsia="方正黑体_GBK" w:cs="方正黑体_GBK"/>
          <w:sz w:val="32"/>
          <w:highlight w:val="none"/>
          <w:lang w:val="en-US" w:eastAsia="zh-CN"/>
        </w:rPr>
        <w:t>4-1</w:t>
      </w:r>
    </w:p>
    <w:tbl>
      <w:tblPr>
        <w:tblStyle w:val="10"/>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0"/>
        <w:gridCol w:w="957"/>
        <w:gridCol w:w="1150"/>
        <w:gridCol w:w="1413"/>
        <w:gridCol w:w="860"/>
        <w:gridCol w:w="616"/>
        <w:gridCol w:w="716"/>
        <w:gridCol w:w="3643"/>
        <w:gridCol w:w="3728"/>
      </w:tblGrid>
      <w:tr w14:paraId="14BC9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2" w:hRule="atLeast"/>
          <w:tblHeader/>
        </w:trPr>
        <w:tc>
          <w:tcPr>
            <w:tcW w:w="0" w:type="auto"/>
            <w:gridSpan w:val="9"/>
            <w:tcBorders>
              <w:top w:val="nil"/>
              <w:left w:val="nil"/>
              <w:bottom w:val="single" w:color="000000" w:sz="8" w:space="0"/>
              <w:right w:val="nil"/>
            </w:tcBorders>
            <w:shd w:val="clear" w:color="auto" w:fill="auto"/>
            <w:noWrap/>
            <w:vAlign w:val="center"/>
          </w:tcPr>
          <w:p w14:paraId="535CE2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2024年部门整体绩效评价指标体系评分表</w:t>
            </w:r>
          </w:p>
        </w:tc>
      </w:tr>
      <w:tr w14:paraId="700AD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blHeader/>
        </w:trPr>
        <w:tc>
          <w:tcPr>
            <w:tcW w:w="0" w:type="auto"/>
            <w:gridSpan w:val="9"/>
            <w:tcBorders>
              <w:top w:val="nil"/>
              <w:left w:val="single" w:color="000000" w:sz="8" w:space="0"/>
              <w:bottom w:val="single" w:color="000000" w:sz="8" w:space="0"/>
              <w:right w:val="single" w:color="000000" w:sz="8" w:space="0"/>
            </w:tcBorders>
            <w:shd w:val="clear" w:color="auto" w:fill="auto"/>
            <w:vAlign w:val="center"/>
          </w:tcPr>
          <w:p w14:paraId="2F74D0C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w:t>
            </w:r>
            <w:r>
              <w:rPr>
                <w:rFonts w:hint="eastAsia" w:ascii="宋体" w:hAnsi="宋体" w:eastAsia="宋体" w:cs="宋体"/>
                <w:i w:val="0"/>
                <w:iCs w:val="0"/>
                <w:color w:val="000000"/>
                <w:kern w:val="0"/>
                <w:sz w:val="20"/>
                <w:szCs w:val="20"/>
                <w:u w:val="none"/>
                <w:lang w:val="en-US" w:eastAsia="zh-CN" w:bidi="ar"/>
              </w:rPr>
              <w:t>当年预算执行情况（20分）</w:t>
            </w:r>
          </w:p>
        </w:tc>
      </w:tr>
      <w:tr w14:paraId="02C19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blHeader/>
        </w:trPr>
        <w:tc>
          <w:tcPr>
            <w:tcW w:w="0" w:type="auto"/>
            <w:tcBorders>
              <w:top w:val="nil"/>
              <w:left w:val="single" w:color="000000" w:sz="8" w:space="0"/>
              <w:bottom w:val="single" w:color="000000" w:sz="8" w:space="0"/>
              <w:right w:val="single" w:color="000000" w:sz="8" w:space="0"/>
            </w:tcBorders>
            <w:shd w:val="clear" w:color="auto" w:fill="auto"/>
            <w:vAlign w:val="center"/>
          </w:tcPr>
          <w:p w14:paraId="713D1BE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　</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31841B4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　</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264F032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预算数（万元）</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2C2533A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执行数（万元）</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163F9CE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3B596F9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474FC48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418BE8E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指标解释</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6F04B8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评分标准</w:t>
            </w:r>
          </w:p>
        </w:tc>
      </w:tr>
      <w:tr w14:paraId="6FFD5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vMerge w:val="restart"/>
            <w:tcBorders>
              <w:top w:val="nil"/>
              <w:left w:val="single" w:color="000000" w:sz="8" w:space="0"/>
              <w:bottom w:val="single" w:color="000000" w:sz="8" w:space="0"/>
              <w:right w:val="single" w:color="000000" w:sz="8" w:space="0"/>
            </w:tcBorders>
            <w:shd w:val="clear" w:color="auto" w:fill="auto"/>
            <w:vAlign w:val="center"/>
          </w:tcPr>
          <w:p w14:paraId="0FBF4A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当年预算执行情况（20）</w:t>
            </w:r>
          </w:p>
        </w:tc>
        <w:tc>
          <w:tcPr>
            <w:tcW w:w="0" w:type="auto"/>
            <w:tcBorders>
              <w:top w:val="nil"/>
              <w:left w:val="nil"/>
              <w:bottom w:val="single" w:color="000000" w:sz="8" w:space="0"/>
              <w:right w:val="single" w:color="000000" w:sz="8" w:space="0"/>
            </w:tcBorders>
            <w:shd w:val="clear" w:color="auto" w:fill="auto"/>
            <w:vAlign w:val="center"/>
          </w:tcPr>
          <w:p w14:paraId="7D9E2E5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资金总体</w:t>
            </w:r>
          </w:p>
        </w:tc>
        <w:tc>
          <w:tcPr>
            <w:tcW w:w="0" w:type="auto"/>
            <w:tcBorders>
              <w:top w:val="nil"/>
              <w:left w:val="nil"/>
              <w:bottom w:val="single" w:color="000000" w:sz="8" w:space="0"/>
              <w:right w:val="single" w:color="000000" w:sz="8" w:space="0"/>
            </w:tcBorders>
            <w:shd w:val="clear" w:color="auto" w:fill="auto"/>
            <w:vAlign w:val="center"/>
          </w:tcPr>
          <w:p w14:paraId="4C8A0D1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19651.45</w:t>
            </w:r>
          </w:p>
        </w:tc>
        <w:tc>
          <w:tcPr>
            <w:tcW w:w="0" w:type="auto"/>
            <w:tcBorders>
              <w:top w:val="nil"/>
              <w:left w:val="nil"/>
              <w:bottom w:val="single" w:color="000000" w:sz="8" w:space="0"/>
              <w:right w:val="single" w:color="000000" w:sz="8" w:space="0"/>
            </w:tcBorders>
            <w:shd w:val="clear" w:color="auto" w:fill="auto"/>
            <w:vAlign w:val="center"/>
          </w:tcPr>
          <w:p w14:paraId="7B61204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19561.76</w:t>
            </w:r>
          </w:p>
        </w:tc>
        <w:tc>
          <w:tcPr>
            <w:tcW w:w="0" w:type="auto"/>
            <w:tcBorders>
              <w:top w:val="nil"/>
              <w:left w:val="nil"/>
              <w:bottom w:val="single" w:color="000000" w:sz="8" w:space="0"/>
              <w:right w:val="single" w:color="000000" w:sz="8" w:space="0"/>
            </w:tcBorders>
            <w:shd w:val="clear" w:color="auto" w:fill="auto"/>
            <w:vAlign w:val="center"/>
          </w:tcPr>
          <w:p w14:paraId="5F2F0B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99.54%</w:t>
            </w:r>
          </w:p>
        </w:tc>
        <w:tc>
          <w:tcPr>
            <w:tcW w:w="0" w:type="auto"/>
            <w:vMerge w:val="restart"/>
            <w:tcBorders>
              <w:top w:val="nil"/>
              <w:left w:val="nil"/>
              <w:bottom w:val="single" w:color="000000" w:sz="8" w:space="0"/>
              <w:right w:val="single" w:color="000000" w:sz="8" w:space="0"/>
            </w:tcBorders>
            <w:shd w:val="clear" w:color="auto" w:fill="auto"/>
            <w:noWrap/>
            <w:vAlign w:val="center"/>
          </w:tcPr>
          <w:p w14:paraId="4D24F2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vMerge w:val="restart"/>
            <w:tcBorders>
              <w:top w:val="nil"/>
              <w:left w:val="nil"/>
              <w:bottom w:val="single" w:color="000000" w:sz="8" w:space="0"/>
              <w:right w:val="single" w:color="000000" w:sz="8" w:space="0"/>
            </w:tcBorders>
            <w:shd w:val="clear" w:color="auto" w:fill="auto"/>
            <w:noWrap/>
            <w:vAlign w:val="center"/>
          </w:tcPr>
          <w:p w14:paraId="023C93C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19.91 </w:t>
            </w:r>
          </w:p>
        </w:tc>
        <w:tc>
          <w:tcPr>
            <w:tcW w:w="0" w:type="auto"/>
            <w:vMerge w:val="restart"/>
            <w:tcBorders>
              <w:top w:val="nil"/>
              <w:left w:val="nil"/>
              <w:bottom w:val="single" w:color="000000" w:sz="8" w:space="0"/>
              <w:right w:val="single" w:color="000000" w:sz="8" w:space="0"/>
            </w:tcBorders>
            <w:shd w:val="clear" w:color="auto" w:fill="auto"/>
            <w:vAlign w:val="center"/>
          </w:tcPr>
          <w:p w14:paraId="4CDFD60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部门全年执行数与全年预算数的比率。资金总体=基本支出+项目支出+其他</w:t>
            </w:r>
          </w:p>
        </w:tc>
        <w:tc>
          <w:tcPr>
            <w:tcW w:w="0" w:type="auto"/>
            <w:vMerge w:val="restart"/>
            <w:tcBorders>
              <w:top w:val="nil"/>
              <w:left w:val="nil"/>
              <w:bottom w:val="single" w:color="000000" w:sz="8" w:space="0"/>
              <w:right w:val="single" w:color="000000" w:sz="8" w:space="0"/>
            </w:tcBorders>
            <w:shd w:val="clear" w:color="auto" w:fill="auto"/>
            <w:vAlign w:val="center"/>
          </w:tcPr>
          <w:p w14:paraId="07F68C4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①得分一档最高不能超过该指标分值上限（20分）。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14:paraId="76F91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09E752BC">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vAlign w:val="center"/>
          </w:tcPr>
          <w:p w14:paraId="3A1CE3A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7BBD375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16960.71</w:t>
            </w:r>
          </w:p>
        </w:tc>
        <w:tc>
          <w:tcPr>
            <w:tcW w:w="0" w:type="auto"/>
            <w:tcBorders>
              <w:top w:val="nil"/>
              <w:left w:val="nil"/>
              <w:bottom w:val="single" w:color="000000" w:sz="8" w:space="0"/>
              <w:right w:val="single" w:color="000000" w:sz="8" w:space="0"/>
            </w:tcBorders>
            <w:shd w:val="clear" w:color="auto" w:fill="auto"/>
            <w:vAlign w:val="center"/>
          </w:tcPr>
          <w:p w14:paraId="43C9841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16892.83</w:t>
            </w:r>
          </w:p>
        </w:tc>
        <w:tc>
          <w:tcPr>
            <w:tcW w:w="0" w:type="auto"/>
            <w:tcBorders>
              <w:top w:val="nil"/>
              <w:left w:val="nil"/>
              <w:bottom w:val="single" w:color="000000" w:sz="8" w:space="0"/>
              <w:right w:val="single" w:color="000000" w:sz="8" w:space="0"/>
            </w:tcBorders>
            <w:shd w:val="clear" w:color="auto" w:fill="auto"/>
            <w:vAlign w:val="center"/>
          </w:tcPr>
          <w:p w14:paraId="2D7D9D1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99.60%</w:t>
            </w:r>
          </w:p>
        </w:tc>
        <w:tc>
          <w:tcPr>
            <w:tcW w:w="0" w:type="auto"/>
            <w:vMerge w:val="continue"/>
            <w:tcBorders>
              <w:top w:val="nil"/>
              <w:left w:val="nil"/>
              <w:bottom w:val="single" w:color="000000" w:sz="8" w:space="0"/>
              <w:right w:val="single" w:color="000000" w:sz="8" w:space="0"/>
            </w:tcBorders>
            <w:shd w:val="clear" w:color="auto" w:fill="auto"/>
            <w:noWrap/>
            <w:vAlign w:val="center"/>
          </w:tcPr>
          <w:p w14:paraId="6D9CDEEB">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noWrap/>
            <w:vAlign w:val="center"/>
          </w:tcPr>
          <w:p w14:paraId="06B33A4A">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6BF9DA6A">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2A3BC81A">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25F22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0CB82EB7">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vAlign w:val="center"/>
          </w:tcPr>
          <w:p w14:paraId="53AA0C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3791042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2690.74</w:t>
            </w:r>
          </w:p>
        </w:tc>
        <w:tc>
          <w:tcPr>
            <w:tcW w:w="0" w:type="auto"/>
            <w:tcBorders>
              <w:top w:val="nil"/>
              <w:left w:val="nil"/>
              <w:bottom w:val="single" w:color="000000" w:sz="8" w:space="0"/>
              <w:right w:val="single" w:color="000000" w:sz="8" w:space="0"/>
            </w:tcBorders>
            <w:shd w:val="clear" w:color="auto" w:fill="auto"/>
            <w:vAlign w:val="center"/>
          </w:tcPr>
          <w:p w14:paraId="09B9037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2668.93</w:t>
            </w:r>
          </w:p>
        </w:tc>
        <w:tc>
          <w:tcPr>
            <w:tcW w:w="0" w:type="auto"/>
            <w:tcBorders>
              <w:top w:val="nil"/>
              <w:left w:val="nil"/>
              <w:bottom w:val="single" w:color="000000" w:sz="8" w:space="0"/>
              <w:right w:val="single" w:color="000000" w:sz="8" w:space="0"/>
            </w:tcBorders>
            <w:shd w:val="clear" w:color="auto" w:fill="auto"/>
            <w:vAlign w:val="center"/>
          </w:tcPr>
          <w:p w14:paraId="59B79C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99.19%</w:t>
            </w:r>
          </w:p>
        </w:tc>
        <w:tc>
          <w:tcPr>
            <w:tcW w:w="0" w:type="auto"/>
            <w:vMerge w:val="continue"/>
            <w:tcBorders>
              <w:top w:val="nil"/>
              <w:left w:val="nil"/>
              <w:bottom w:val="single" w:color="000000" w:sz="8" w:space="0"/>
              <w:right w:val="single" w:color="000000" w:sz="8" w:space="0"/>
            </w:tcBorders>
            <w:shd w:val="clear" w:color="auto" w:fill="auto"/>
            <w:noWrap/>
            <w:vAlign w:val="center"/>
          </w:tcPr>
          <w:p w14:paraId="3E14FCC5">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noWrap/>
            <w:vAlign w:val="center"/>
          </w:tcPr>
          <w:p w14:paraId="014B42F3">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2C1F6F56">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12169B00">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7EAEF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3954DA0F">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22AC67A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0" w:type="auto"/>
            <w:tcBorders>
              <w:top w:val="nil"/>
              <w:left w:val="nil"/>
              <w:bottom w:val="single" w:color="000000" w:sz="8" w:space="0"/>
              <w:right w:val="single" w:color="000000" w:sz="8" w:space="0"/>
            </w:tcBorders>
            <w:shd w:val="clear" w:color="auto" w:fill="auto"/>
            <w:vAlign w:val="center"/>
          </w:tcPr>
          <w:p w14:paraId="7C082B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14:paraId="093C9A9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14:paraId="29BB5701">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noWrap/>
            <w:vAlign w:val="center"/>
          </w:tcPr>
          <w:p w14:paraId="1A1E6A33">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noWrap/>
            <w:vAlign w:val="center"/>
          </w:tcPr>
          <w:p w14:paraId="4583FC46">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6B849054">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2DEF455F">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69816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gridSpan w:val="9"/>
            <w:tcBorders>
              <w:top w:val="nil"/>
              <w:left w:val="single" w:color="000000" w:sz="8" w:space="0"/>
              <w:bottom w:val="single" w:color="000000" w:sz="8" w:space="0"/>
              <w:right w:val="single" w:color="000000" w:sz="8" w:space="0"/>
            </w:tcBorders>
            <w:shd w:val="clear" w:color="auto" w:fill="auto"/>
            <w:vAlign w:val="center"/>
          </w:tcPr>
          <w:p w14:paraId="475D7FB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w:t>
            </w:r>
            <w:r>
              <w:rPr>
                <w:rFonts w:hint="eastAsia" w:ascii="宋体" w:hAnsi="宋体" w:eastAsia="宋体" w:cs="宋体"/>
                <w:i w:val="0"/>
                <w:iCs w:val="0"/>
                <w:color w:val="000000"/>
                <w:kern w:val="0"/>
                <w:sz w:val="20"/>
                <w:szCs w:val="20"/>
                <w:u w:val="none"/>
                <w:lang w:val="en-US" w:eastAsia="zh-CN" w:bidi="ar"/>
              </w:rPr>
              <w:t>整体绩效目标实现情况（60分）</w:t>
            </w:r>
          </w:p>
        </w:tc>
      </w:tr>
      <w:tr w14:paraId="3E425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543815F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3DE28AA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　</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5C29FEB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　</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7E5AD3B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0C0BF8D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完成值</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62C5A1C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0" w:type="auto"/>
            <w:tcBorders>
              <w:top w:val="single" w:color="000000" w:sz="8" w:space="0"/>
              <w:left w:val="nil"/>
              <w:bottom w:val="single" w:color="000000" w:sz="8" w:space="0"/>
              <w:right w:val="nil"/>
            </w:tcBorders>
            <w:shd w:val="clear" w:color="auto" w:fill="auto"/>
            <w:vAlign w:val="center"/>
          </w:tcPr>
          <w:p w14:paraId="54501D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C362F5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指标解释</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70A9DA1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评分标准</w:t>
            </w:r>
          </w:p>
        </w:tc>
      </w:tr>
      <w:tr w14:paraId="3F479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vMerge w:val="restart"/>
            <w:tcBorders>
              <w:top w:val="nil"/>
              <w:left w:val="single" w:color="000000" w:sz="8" w:space="0"/>
              <w:bottom w:val="single" w:color="000000" w:sz="8" w:space="0"/>
              <w:right w:val="single" w:color="000000" w:sz="8" w:space="0"/>
            </w:tcBorders>
            <w:shd w:val="clear" w:color="auto" w:fill="auto"/>
            <w:vAlign w:val="center"/>
          </w:tcPr>
          <w:p w14:paraId="0F9D4C1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整体绩效目标实现情况（60）</w:t>
            </w:r>
          </w:p>
        </w:tc>
        <w:tc>
          <w:tcPr>
            <w:tcW w:w="0" w:type="auto"/>
            <w:vMerge w:val="restart"/>
            <w:tcBorders>
              <w:top w:val="nil"/>
              <w:left w:val="nil"/>
              <w:bottom w:val="nil"/>
              <w:right w:val="single" w:color="000000" w:sz="8" w:space="0"/>
            </w:tcBorders>
            <w:shd w:val="clear" w:color="auto" w:fill="auto"/>
            <w:vAlign w:val="center"/>
          </w:tcPr>
          <w:p w14:paraId="17EE1A4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产出（30）</w:t>
            </w:r>
          </w:p>
        </w:tc>
        <w:tc>
          <w:tcPr>
            <w:tcW w:w="0" w:type="auto"/>
            <w:vMerge w:val="restart"/>
            <w:tcBorders>
              <w:top w:val="nil"/>
              <w:left w:val="nil"/>
              <w:bottom w:val="single" w:color="000000" w:sz="8" w:space="0"/>
              <w:right w:val="single" w:color="000000" w:sz="8" w:space="0"/>
            </w:tcBorders>
            <w:shd w:val="clear" w:color="auto" w:fill="auto"/>
            <w:vAlign w:val="center"/>
          </w:tcPr>
          <w:p w14:paraId="2EC57F7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0" w:type="auto"/>
            <w:vMerge w:val="restart"/>
            <w:tcBorders>
              <w:top w:val="nil"/>
              <w:left w:val="nil"/>
              <w:bottom w:val="single" w:color="000000" w:sz="8" w:space="0"/>
              <w:right w:val="single" w:color="000000" w:sz="8" w:space="0"/>
            </w:tcBorders>
            <w:shd w:val="clear" w:color="auto" w:fill="auto"/>
            <w:vAlign w:val="center"/>
          </w:tcPr>
          <w:p w14:paraId="0718890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有效提升司法办案质效</w:t>
            </w:r>
          </w:p>
        </w:tc>
        <w:tc>
          <w:tcPr>
            <w:tcW w:w="0" w:type="auto"/>
            <w:vMerge w:val="restart"/>
            <w:tcBorders>
              <w:top w:val="nil"/>
              <w:left w:val="nil"/>
              <w:bottom w:val="single" w:color="000000" w:sz="8" w:space="0"/>
              <w:right w:val="single" w:color="000000" w:sz="8" w:space="0"/>
            </w:tcBorders>
            <w:shd w:val="clear" w:color="auto" w:fill="auto"/>
            <w:vAlign w:val="center"/>
          </w:tcPr>
          <w:p w14:paraId="57376D6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0" w:type="auto"/>
            <w:vMerge w:val="restart"/>
            <w:tcBorders>
              <w:top w:val="nil"/>
              <w:left w:val="nil"/>
              <w:bottom w:val="single" w:color="000000" w:sz="8" w:space="0"/>
              <w:right w:val="single" w:color="000000" w:sz="8" w:space="0"/>
            </w:tcBorders>
            <w:shd w:val="clear" w:color="auto" w:fill="auto"/>
            <w:vAlign w:val="center"/>
          </w:tcPr>
          <w:p w14:paraId="33A11DC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vMerge w:val="restart"/>
            <w:tcBorders>
              <w:top w:val="nil"/>
              <w:left w:val="nil"/>
              <w:bottom w:val="single" w:color="000000" w:sz="8" w:space="0"/>
              <w:right w:val="nil"/>
            </w:tcBorders>
            <w:shd w:val="clear" w:color="auto" w:fill="auto"/>
            <w:vAlign w:val="center"/>
          </w:tcPr>
          <w:p w14:paraId="4A13D49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vMerge w:val="restart"/>
            <w:tcBorders>
              <w:top w:val="nil"/>
              <w:left w:val="single" w:color="000000" w:sz="8" w:space="0"/>
              <w:bottom w:val="single" w:color="000000" w:sz="8" w:space="0"/>
              <w:right w:val="single" w:color="000000" w:sz="8" w:space="0"/>
            </w:tcBorders>
            <w:shd w:val="clear" w:color="auto" w:fill="auto"/>
            <w:vAlign w:val="center"/>
          </w:tcPr>
          <w:p w14:paraId="0B60FD5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产出数量</w:t>
            </w:r>
            <w:r>
              <w:rPr>
                <w:rFonts w:hint="eastAsia" w:ascii="宋体" w:hAnsi="宋体" w:eastAsia="宋体" w:cs="宋体"/>
                <w:i w:val="0"/>
                <w:iCs w:val="0"/>
                <w:color w:val="000000"/>
                <w:kern w:val="0"/>
                <w:sz w:val="18"/>
                <w:szCs w:val="18"/>
                <w:u w:val="none"/>
                <w:lang w:val="en-US" w:eastAsia="zh-CN" w:bidi="ar"/>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eastAsia="宋体" w:cs="宋体"/>
                <w:b/>
                <w:bCs/>
                <w:i w:val="0"/>
                <w:iCs w:val="0"/>
                <w:color w:val="000000"/>
                <w:kern w:val="0"/>
                <w:sz w:val="18"/>
                <w:szCs w:val="18"/>
                <w:u w:val="none"/>
                <w:lang w:val="en-US" w:eastAsia="zh-CN" w:bidi="ar"/>
              </w:rPr>
              <w:t>产出质量</w:t>
            </w:r>
            <w:r>
              <w:rPr>
                <w:rFonts w:hint="eastAsia" w:ascii="宋体" w:hAnsi="宋体" w:eastAsia="宋体" w:cs="宋体"/>
                <w:i w:val="0"/>
                <w:iCs w:val="0"/>
                <w:color w:val="000000"/>
                <w:kern w:val="0"/>
                <w:sz w:val="18"/>
                <w:szCs w:val="18"/>
                <w:u w:val="none"/>
                <w:lang w:val="en-US" w:eastAsia="zh-CN" w:bidi="ar"/>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eastAsia="宋体" w:cs="宋体"/>
                <w:b/>
                <w:bCs/>
                <w:i w:val="0"/>
                <w:iCs w:val="0"/>
                <w:color w:val="000000"/>
                <w:kern w:val="0"/>
                <w:sz w:val="18"/>
                <w:szCs w:val="18"/>
                <w:u w:val="none"/>
                <w:lang w:val="en-US" w:eastAsia="zh-CN" w:bidi="ar"/>
              </w:rPr>
              <w:t>产出进度：</w:t>
            </w:r>
            <w:r>
              <w:rPr>
                <w:rFonts w:hint="eastAsia" w:ascii="宋体" w:hAnsi="宋体" w:eastAsia="宋体" w:cs="宋体"/>
                <w:i w:val="0"/>
                <w:iCs w:val="0"/>
                <w:color w:val="000000"/>
                <w:kern w:val="0"/>
                <w:sz w:val="18"/>
                <w:szCs w:val="18"/>
                <w:u w:val="none"/>
                <w:lang w:val="en-US" w:eastAsia="zh-CN" w:bidi="ar"/>
              </w:rPr>
              <w:t>按时完成率=（按时完成工作数/实际完成工作数）×100%。按时完成工作数：部门（单位）按照整体绩效目标确定的时限实际完成的工作任务数量。</w:t>
            </w:r>
            <w:r>
              <w:rPr>
                <w:rFonts w:hint="eastAsia" w:ascii="宋体" w:hAnsi="宋体" w:eastAsia="宋体" w:cs="宋体"/>
                <w:b/>
                <w:bCs/>
                <w:i w:val="0"/>
                <w:iCs w:val="0"/>
                <w:color w:val="000000"/>
                <w:kern w:val="0"/>
                <w:sz w:val="18"/>
                <w:szCs w:val="18"/>
                <w:u w:val="none"/>
                <w:lang w:val="en-US" w:eastAsia="zh-CN" w:bidi="ar"/>
              </w:rPr>
              <w:t>产出成本</w:t>
            </w:r>
            <w:r>
              <w:rPr>
                <w:rFonts w:hint="eastAsia" w:ascii="宋体" w:hAnsi="宋体" w:eastAsia="宋体" w:cs="宋体"/>
                <w:i w:val="0"/>
                <w:iCs w:val="0"/>
                <w:color w:val="000000"/>
                <w:kern w:val="0"/>
                <w:sz w:val="18"/>
                <w:szCs w:val="18"/>
                <w:u w:val="none"/>
                <w:lang w:val="en-US" w:eastAsia="zh-CN" w:bidi="ar"/>
              </w:rPr>
              <w:t>：单位产出相对于上一年度的节约额；②单位产出相对于市场同类产出的节约额；③部门公用经费的控制情况。</w:t>
            </w:r>
          </w:p>
        </w:tc>
        <w:tc>
          <w:tcPr>
            <w:tcW w:w="0" w:type="auto"/>
            <w:vMerge w:val="restart"/>
            <w:tcBorders>
              <w:top w:val="nil"/>
              <w:left w:val="nil"/>
              <w:bottom w:val="single" w:color="000000" w:sz="8" w:space="0"/>
              <w:right w:val="single" w:color="000000" w:sz="8" w:space="0"/>
            </w:tcBorders>
            <w:shd w:val="clear" w:color="auto" w:fill="auto"/>
            <w:vAlign w:val="center"/>
          </w:tcPr>
          <w:p w14:paraId="04D9AFB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部门根据本单位情况自行确定并选择产出指标，合理确定各项指标权重。可量化的指标按照比率*单项指标分值即为该指标得分。如果不能定量评价，则以定性的方式进行自评。</w:t>
            </w:r>
          </w:p>
        </w:tc>
      </w:tr>
      <w:tr w14:paraId="03A50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52E6A2BF">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nil"/>
              <w:right w:val="single" w:color="000000" w:sz="8" w:space="0"/>
            </w:tcBorders>
            <w:shd w:val="clear" w:color="auto" w:fill="auto"/>
            <w:vAlign w:val="center"/>
          </w:tcPr>
          <w:p w14:paraId="78B5C369">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569F51E7">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63C0AFF9">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46514DD4">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72EB4720">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nil"/>
            </w:tcBorders>
            <w:shd w:val="clear" w:color="auto" w:fill="auto"/>
            <w:vAlign w:val="center"/>
          </w:tcPr>
          <w:p w14:paraId="76B11F1C">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0D4E876E">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bCs/>
                <w:i w:val="0"/>
                <w:iCs w:val="0"/>
                <w:color w:val="000000"/>
                <w:sz w:val="18"/>
                <w:szCs w:val="18"/>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4FDDE082">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46F5A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7967878A">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nil"/>
              <w:right w:val="single" w:color="000000" w:sz="8" w:space="0"/>
            </w:tcBorders>
            <w:shd w:val="clear" w:color="auto" w:fill="auto"/>
            <w:vAlign w:val="center"/>
          </w:tcPr>
          <w:p w14:paraId="1DE0EF15">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279DF0F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0" w:type="auto"/>
            <w:tcBorders>
              <w:top w:val="nil"/>
              <w:left w:val="nil"/>
              <w:bottom w:val="single" w:color="000000" w:sz="8" w:space="0"/>
              <w:right w:val="single" w:color="000000" w:sz="8" w:space="0"/>
            </w:tcBorders>
            <w:shd w:val="clear" w:color="auto" w:fill="auto"/>
            <w:vAlign w:val="center"/>
          </w:tcPr>
          <w:p w14:paraId="0D8B316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2024年12月底前预算执行进度</w:t>
            </w:r>
          </w:p>
        </w:tc>
        <w:tc>
          <w:tcPr>
            <w:tcW w:w="0" w:type="auto"/>
            <w:tcBorders>
              <w:top w:val="nil"/>
              <w:left w:val="nil"/>
              <w:bottom w:val="single" w:color="000000" w:sz="8" w:space="0"/>
              <w:right w:val="single" w:color="000000" w:sz="8" w:space="0"/>
            </w:tcBorders>
            <w:shd w:val="clear" w:color="auto" w:fill="auto"/>
            <w:vAlign w:val="center"/>
          </w:tcPr>
          <w:p w14:paraId="6027F6C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99.54%</w:t>
            </w:r>
          </w:p>
        </w:tc>
        <w:tc>
          <w:tcPr>
            <w:tcW w:w="0" w:type="auto"/>
            <w:vMerge w:val="continue"/>
            <w:tcBorders>
              <w:top w:val="nil"/>
              <w:left w:val="nil"/>
              <w:bottom w:val="single" w:color="000000" w:sz="8" w:space="0"/>
              <w:right w:val="single" w:color="000000" w:sz="8" w:space="0"/>
            </w:tcBorders>
            <w:shd w:val="clear" w:color="auto" w:fill="auto"/>
            <w:vAlign w:val="center"/>
          </w:tcPr>
          <w:p w14:paraId="2DE15F0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noWrap/>
            <w:vAlign w:val="center"/>
          </w:tcPr>
          <w:p w14:paraId="4BCB364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14.93 </w:t>
            </w:r>
          </w:p>
        </w:tc>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79312BAC">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bCs/>
                <w:i w:val="0"/>
                <w:iCs w:val="0"/>
                <w:color w:val="000000"/>
                <w:sz w:val="18"/>
                <w:szCs w:val="18"/>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7C51FA96">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65D39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0FE3C6D9">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nil"/>
              <w:right w:val="single" w:color="000000" w:sz="8" w:space="0"/>
            </w:tcBorders>
            <w:shd w:val="clear" w:color="auto" w:fill="auto"/>
            <w:vAlign w:val="center"/>
          </w:tcPr>
          <w:p w14:paraId="6729A8DB">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28B58A2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w:t>
            </w:r>
          </w:p>
        </w:tc>
        <w:tc>
          <w:tcPr>
            <w:tcW w:w="0" w:type="auto"/>
            <w:tcBorders>
              <w:top w:val="nil"/>
              <w:left w:val="nil"/>
              <w:bottom w:val="single" w:color="000000" w:sz="8" w:space="0"/>
              <w:right w:val="single" w:color="000000" w:sz="8" w:space="0"/>
            </w:tcBorders>
            <w:shd w:val="clear" w:color="auto" w:fill="auto"/>
            <w:vAlign w:val="center"/>
          </w:tcPr>
          <w:p w14:paraId="7768FCD4">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58796E53">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7228642F">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noWrap/>
            <w:vAlign w:val="center"/>
          </w:tcPr>
          <w:p w14:paraId="11719C47">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2689BC7A">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bCs/>
                <w:i w:val="0"/>
                <w:iCs w:val="0"/>
                <w:color w:val="000000"/>
                <w:sz w:val="18"/>
                <w:szCs w:val="18"/>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4C59F95A">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2BEF6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1E76E43A">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nil"/>
              <w:right w:val="single" w:color="000000" w:sz="8" w:space="0"/>
            </w:tcBorders>
            <w:shd w:val="clear" w:color="auto" w:fill="auto"/>
            <w:vAlign w:val="center"/>
          </w:tcPr>
          <w:p w14:paraId="73E830D2">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427E0CEC">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0" w:type="auto"/>
            <w:tcBorders>
              <w:top w:val="nil"/>
              <w:left w:val="nil"/>
              <w:bottom w:val="single" w:color="000000" w:sz="8" w:space="0"/>
              <w:right w:val="single" w:color="000000" w:sz="8" w:space="0"/>
            </w:tcBorders>
            <w:shd w:val="clear" w:color="auto" w:fill="auto"/>
            <w:vAlign w:val="center"/>
          </w:tcPr>
          <w:p w14:paraId="1513CE06">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5C46234C">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6DA41F93">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noWrap/>
            <w:vAlign w:val="center"/>
          </w:tcPr>
          <w:p w14:paraId="33465C5B">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0BAB7FED">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bCs/>
                <w:i w:val="0"/>
                <w:iCs w:val="0"/>
                <w:color w:val="000000"/>
                <w:sz w:val="18"/>
                <w:szCs w:val="18"/>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161ED279">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4EE2C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31CD8580">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restart"/>
            <w:tcBorders>
              <w:top w:val="nil"/>
              <w:left w:val="nil"/>
              <w:bottom w:val="single" w:color="000000" w:sz="8" w:space="0"/>
              <w:right w:val="single" w:color="000000" w:sz="8" w:space="0"/>
            </w:tcBorders>
            <w:shd w:val="clear" w:color="auto" w:fill="auto"/>
            <w:vAlign w:val="center"/>
          </w:tcPr>
          <w:p w14:paraId="2F0A7A7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效果（30）</w:t>
            </w:r>
          </w:p>
        </w:tc>
        <w:tc>
          <w:tcPr>
            <w:tcW w:w="0" w:type="auto"/>
            <w:tcBorders>
              <w:top w:val="nil"/>
              <w:left w:val="nil"/>
              <w:bottom w:val="single" w:color="000000" w:sz="8" w:space="0"/>
              <w:right w:val="single" w:color="000000" w:sz="8" w:space="0"/>
            </w:tcBorders>
            <w:shd w:val="clear" w:color="auto" w:fill="auto"/>
            <w:vAlign w:val="center"/>
          </w:tcPr>
          <w:p w14:paraId="5783A65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0" w:type="auto"/>
            <w:tcBorders>
              <w:top w:val="nil"/>
              <w:left w:val="nil"/>
              <w:bottom w:val="single" w:color="000000" w:sz="8" w:space="0"/>
              <w:right w:val="single" w:color="000000" w:sz="8" w:space="0"/>
            </w:tcBorders>
            <w:shd w:val="clear" w:color="auto" w:fill="auto"/>
            <w:vAlign w:val="center"/>
          </w:tcPr>
          <w:p w14:paraId="3EEDD41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社会和谐安定程度</w:t>
            </w:r>
          </w:p>
        </w:tc>
        <w:tc>
          <w:tcPr>
            <w:tcW w:w="0" w:type="auto"/>
            <w:tcBorders>
              <w:top w:val="nil"/>
              <w:left w:val="nil"/>
              <w:bottom w:val="single" w:color="000000" w:sz="8" w:space="0"/>
              <w:right w:val="single" w:color="000000" w:sz="8" w:space="0"/>
            </w:tcBorders>
            <w:shd w:val="clear" w:color="auto" w:fill="auto"/>
            <w:vAlign w:val="center"/>
          </w:tcPr>
          <w:p w14:paraId="043A169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0" w:type="auto"/>
            <w:vMerge w:val="restart"/>
            <w:tcBorders>
              <w:top w:val="nil"/>
              <w:left w:val="nil"/>
              <w:bottom w:val="single" w:color="000000" w:sz="8" w:space="0"/>
              <w:right w:val="single" w:color="000000" w:sz="8" w:space="0"/>
            </w:tcBorders>
            <w:shd w:val="clear" w:color="auto" w:fill="auto"/>
            <w:noWrap/>
            <w:vAlign w:val="center"/>
          </w:tcPr>
          <w:p w14:paraId="6FF83DE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nil"/>
              <w:left w:val="nil"/>
              <w:bottom w:val="single" w:color="000000" w:sz="8" w:space="0"/>
              <w:right w:val="nil"/>
            </w:tcBorders>
            <w:shd w:val="clear" w:color="auto" w:fill="auto"/>
            <w:noWrap/>
            <w:vAlign w:val="center"/>
          </w:tcPr>
          <w:p w14:paraId="6FC6A79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vMerge w:val="restart"/>
            <w:tcBorders>
              <w:top w:val="nil"/>
              <w:left w:val="single" w:color="000000" w:sz="8" w:space="0"/>
              <w:bottom w:val="single" w:color="000000" w:sz="8" w:space="0"/>
              <w:right w:val="single" w:color="000000" w:sz="8" w:space="0"/>
            </w:tcBorders>
            <w:shd w:val="clear" w:color="auto" w:fill="auto"/>
            <w:vAlign w:val="center"/>
          </w:tcPr>
          <w:p w14:paraId="02CFED1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经济效益</w:t>
            </w:r>
            <w:r>
              <w:rPr>
                <w:rFonts w:hint="eastAsia" w:ascii="宋体" w:hAnsi="宋体" w:eastAsia="宋体" w:cs="宋体"/>
                <w:i w:val="0"/>
                <w:iCs w:val="0"/>
                <w:color w:val="000000"/>
                <w:kern w:val="0"/>
                <w:sz w:val="18"/>
                <w:szCs w:val="18"/>
                <w:u w:val="none"/>
                <w:lang w:val="en-US" w:eastAsia="zh-CN" w:bidi="ar"/>
              </w:rPr>
              <w:t>：部门（单位）履行职责对经济发展所带来的直接或间接影响。</w:t>
            </w:r>
            <w:r>
              <w:rPr>
                <w:rFonts w:hint="eastAsia" w:ascii="宋体" w:hAnsi="宋体" w:eastAsia="宋体" w:cs="宋体"/>
                <w:b/>
                <w:bCs/>
                <w:i w:val="0"/>
                <w:iCs w:val="0"/>
                <w:color w:val="000000"/>
                <w:kern w:val="0"/>
                <w:sz w:val="18"/>
                <w:szCs w:val="18"/>
                <w:u w:val="none"/>
                <w:lang w:val="en-US" w:eastAsia="zh-CN" w:bidi="ar"/>
              </w:rPr>
              <w:t>社会效益</w:t>
            </w:r>
            <w:r>
              <w:rPr>
                <w:rFonts w:hint="eastAsia" w:ascii="宋体" w:hAnsi="宋体" w:eastAsia="宋体" w:cs="宋体"/>
                <w:i w:val="0"/>
                <w:iCs w:val="0"/>
                <w:color w:val="000000"/>
                <w:kern w:val="0"/>
                <w:sz w:val="18"/>
                <w:szCs w:val="18"/>
                <w:u w:val="none"/>
                <w:lang w:val="en-US" w:eastAsia="zh-CN" w:bidi="ar"/>
              </w:rPr>
              <w:t>：部门（单位）履行职责对社会发展所带来的直接或间接影响。</w:t>
            </w:r>
            <w:r>
              <w:rPr>
                <w:rFonts w:hint="eastAsia" w:ascii="宋体" w:hAnsi="宋体" w:eastAsia="宋体" w:cs="宋体"/>
                <w:b/>
                <w:bCs/>
                <w:i w:val="0"/>
                <w:iCs w:val="0"/>
                <w:color w:val="000000"/>
                <w:kern w:val="0"/>
                <w:sz w:val="18"/>
                <w:szCs w:val="18"/>
                <w:u w:val="none"/>
                <w:lang w:val="en-US" w:eastAsia="zh-CN" w:bidi="ar"/>
              </w:rPr>
              <w:t>环境效益</w:t>
            </w:r>
            <w:r>
              <w:rPr>
                <w:rFonts w:hint="eastAsia" w:ascii="宋体" w:hAnsi="宋体" w:eastAsia="宋体" w:cs="宋体"/>
                <w:i w:val="0"/>
                <w:iCs w:val="0"/>
                <w:color w:val="000000"/>
                <w:kern w:val="0"/>
                <w:sz w:val="18"/>
                <w:szCs w:val="18"/>
                <w:u w:val="none"/>
                <w:lang w:val="en-US" w:eastAsia="zh-CN" w:bidi="ar"/>
              </w:rPr>
              <w:t>：部门（单位）履行职责对环境所带来的直接或间接影响。</w:t>
            </w:r>
            <w:r>
              <w:rPr>
                <w:rFonts w:hint="eastAsia" w:ascii="宋体" w:hAnsi="宋体" w:eastAsia="宋体" w:cs="宋体"/>
                <w:b/>
                <w:bCs/>
                <w:i w:val="0"/>
                <w:iCs w:val="0"/>
                <w:color w:val="000000"/>
                <w:kern w:val="0"/>
                <w:sz w:val="18"/>
                <w:szCs w:val="18"/>
                <w:u w:val="none"/>
                <w:lang w:val="en-US" w:eastAsia="zh-CN" w:bidi="ar"/>
              </w:rPr>
              <w:t>可持续性影响：</w:t>
            </w:r>
            <w:r>
              <w:rPr>
                <w:rFonts w:hint="eastAsia" w:ascii="宋体" w:hAnsi="宋体" w:eastAsia="宋体" w:cs="宋体"/>
                <w:i w:val="0"/>
                <w:iCs w:val="0"/>
                <w:color w:val="000000"/>
                <w:kern w:val="0"/>
                <w:sz w:val="18"/>
                <w:szCs w:val="18"/>
                <w:u w:val="none"/>
                <w:lang w:val="en-US" w:eastAsia="zh-CN" w:bidi="ar"/>
              </w:rPr>
              <w:t>部门绩效目标实现的长效机制建设情况，部门工作效率提升措施的创新。</w:t>
            </w:r>
            <w:r>
              <w:rPr>
                <w:rFonts w:hint="eastAsia" w:ascii="宋体" w:hAnsi="宋体" w:eastAsia="宋体" w:cs="宋体"/>
                <w:b/>
                <w:bCs/>
                <w:i w:val="0"/>
                <w:iCs w:val="0"/>
                <w:color w:val="000000"/>
                <w:kern w:val="0"/>
                <w:sz w:val="18"/>
                <w:szCs w:val="18"/>
                <w:u w:val="none"/>
                <w:lang w:val="en-US" w:eastAsia="zh-CN" w:bidi="ar"/>
              </w:rPr>
              <w:t>服务对象满意度</w:t>
            </w:r>
            <w:r>
              <w:rPr>
                <w:rFonts w:hint="eastAsia" w:ascii="宋体" w:hAnsi="宋体" w:eastAsia="宋体" w:cs="宋体"/>
                <w:i w:val="0"/>
                <w:iCs w:val="0"/>
                <w:color w:val="000000"/>
                <w:kern w:val="0"/>
                <w:sz w:val="18"/>
                <w:szCs w:val="18"/>
                <w:u w:val="none"/>
                <w:lang w:val="en-US" w:eastAsia="zh-CN" w:bidi="ar"/>
              </w:rPr>
              <w:t>：部门（单位）的服务对象对部门履职效果的满意程度。</w:t>
            </w:r>
          </w:p>
        </w:tc>
        <w:tc>
          <w:tcPr>
            <w:tcW w:w="0" w:type="auto"/>
            <w:vMerge w:val="restart"/>
            <w:tcBorders>
              <w:top w:val="nil"/>
              <w:left w:val="nil"/>
              <w:bottom w:val="single" w:color="000000" w:sz="8" w:space="0"/>
              <w:right w:val="single" w:color="000000" w:sz="8" w:space="0"/>
            </w:tcBorders>
            <w:shd w:val="clear" w:color="auto" w:fill="auto"/>
            <w:vAlign w:val="center"/>
          </w:tcPr>
          <w:p w14:paraId="55C9CF9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部门根据实际情况选择指标进行填写，并将其细化为相应的个性化指标。对于效益类指标可从受益对象瞄准度、受益广度和受益深度上进行设计分析。</w:t>
            </w:r>
          </w:p>
        </w:tc>
      </w:tr>
      <w:tr w14:paraId="003A7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7917817D">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50143E49">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5B0D996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0" w:type="auto"/>
            <w:tcBorders>
              <w:top w:val="nil"/>
              <w:left w:val="nil"/>
              <w:bottom w:val="single" w:color="000000" w:sz="8" w:space="0"/>
              <w:right w:val="single" w:color="000000" w:sz="8" w:space="0"/>
            </w:tcBorders>
            <w:shd w:val="clear" w:color="auto" w:fill="auto"/>
            <w:vAlign w:val="center"/>
          </w:tcPr>
          <w:p w14:paraId="57055C2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党组领导作用发挥情况</w:t>
            </w:r>
          </w:p>
        </w:tc>
        <w:tc>
          <w:tcPr>
            <w:tcW w:w="0" w:type="auto"/>
            <w:tcBorders>
              <w:top w:val="nil"/>
              <w:left w:val="nil"/>
              <w:bottom w:val="single" w:color="000000" w:sz="8" w:space="0"/>
              <w:right w:val="single" w:color="000000" w:sz="8" w:space="0"/>
            </w:tcBorders>
            <w:shd w:val="clear" w:color="auto" w:fill="auto"/>
            <w:vAlign w:val="center"/>
          </w:tcPr>
          <w:p w14:paraId="1A3CB42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0" w:type="auto"/>
            <w:vMerge w:val="continue"/>
            <w:tcBorders>
              <w:top w:val="nil"/>
              <w:left w:val="nil"/>
              <w:bottom w:val="single" w:color="000000" w:sz="8" w:space="0"/>
              <w:right w:val="single" w:color="000000" w:sz="8" w:space="0"/>
            </w:tcBorders>
            <w:shd w:val="clear" w:color="auto" w:fill="auto"/>
            <w:noWrap/>
            <w:vAlign w:val="center"/>
          </w:tcPr>
          <w:p w14:paraId="51490784">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noWrap/>
            <w:vAlign w:val="center"/>
          </w:tcPr>
          <w:p w14:paraId="7AD72EC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53AFEC28">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bCs/>
                <w:i w:val="0"/>
                <w:iCs w:val="0"/>
                <w:color w:val="000000"/>
                <w:sz w:val="18"/>
                <w:szCs w:val="18"/>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778CA1E5">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119DE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1AF238D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2D69F69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7191CFF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w:t>
            </w:r>
          </w:p>
        </w:tc>
        <w:tc>
          <w:tcPr>
            <w:tcW w:w="0" w:type="auto"/>
            <w:tcBorders>
              <w:top w:val="nil"/>
              <w:left w:val="nil"/>
              <w:bottom w:val="single" w:color="000000" w:sz="8" w:space="0"/>
              <w:right w:val="single" w:color="000000" w:sz="8" w:space="0"/>
            </w:tcBorders>
            <w:shd w:val="clear" w:color="auto" w:fill="auto"/>
            <w:vAlign w:val="center"/>
          </w:tcPr>
          <w:p w14:paraId="69B11F5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为检察工作科学发展提供科技保障，有效提升检察工作质效</w:t>
            </w:r>
          </w:p>
        </w:tc>
        <w:tc>
          <w:tcPr>
            <w:tcW w:w="0" w:type="auto"/>
            <w:tcBorders>
              <w:top w:val="nil"/>
              <w:left w:val="nil"/>
              <w:bottom w:val="single" w:color="000000" w:sz="8" w:space="0"/>
              <w:right w:val="single" w:color="000000" w:sz="8" w:space="0"/>
            </w:tcBorders>
            <w:shd w:val="clear" w:color="auto" w:fill="auto"/>
            <w:vAlign w:val="center"/>
          </w:tcPr>
          <w:p w14:paraId="56483A9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0" w:type="auto"/>
            <w:vMerge w:val="continue"/>
            <w:tcBorders>
              <w:top w:val="nil"/>
              <w:left w:val="nil"/>
              <w:bottom w:val="single" w:color="000000" w:sz="8" w:space="0"/>
              <w:right w:val="single" w:color="000000" w:sz="8" w:space="0"/>
            </w:tcBorders>
            <w:shd w:val="clear" w:color="auto" w:fill="auto"/>
            <w:noWrap/>
            <w:vAlign w:val="center"/>
          </w:tcPr>
          <w:p w14:paraId="42F44AAF">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noWrap/>
            <w:vAlign w:val="center"/>
          </w:tcPr>
          <w:p w14:paraId="036C27E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620A4032">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bCs/>
                <w:i w:val="0"/>
                <w:iCs w:val="0"/>
                <w:color w:val="000000"/>
                <w:sz w:val="18"/>
                <w:szCs w:val="18"/>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610450BF">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13F5A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323449B7">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708B8222">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20D1CBAE">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0" w:type="auto"/>
            <w:tcBorders>
              <w:top w:val="nil"/>
              <w:left w:val="nil"/>
              <w:bottom w:val="single" w:color="000000" w:sz="8" w:space="0"/>
              <w:right w:val="single" w:color="000000" w:sz="8" w:space="0"/>
            </w:tcBorders>
            <w:shd w:val="clear" w:color="auto" w:fill="auto"/>
            <w:vAlign w:val="center"/>
          </w:tcPr>
          <w:p w14:paraId="4F3BDFB2">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69D8B7CF">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noWrap/>
            <w:vAlign w:val="center"/>
          </w:tcPr>
          <w:p w14:paraId="4505728C">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noWrap/>
            <w:vAlign w:val="center"/>
          </w:tcPr>
          <w:p w14:paraId="70E20B37">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570F145E">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bCs/>
                <w:i w:val="0"/>
                <w:iCs w:val="0"/>
                <w:color w:val="000000"/>
                <w:sz w:val="18"/>
                <w:szCs w:val="18"/>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441DF07E">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3E11C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gridSpan w:val="9"/>
            <w:tcBorders>
              <w:top w:val="nil"/>
              <w:left w:val="single" w:color="000000" w:sz="8" w:space="0"/>
              <w:bottom w:val="single" w:color="000000" w:sz="8" w:space="0"/>
              <w:right w:val="single" w:color="000000" w:sz="8" w:space="0"/>
            </w:tcBorders>
            <w:shd w:val="clear" w:color="auto" w:fill="auto"/>
            <w:vAlign w:val="center"/>
          </w:tcPr>
          <w:p w14:paraId="5F94AA6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w:t>
            </w:r>
            <w:r>
              <w:rPr>
                <w:rFonts w:hint="eastAsia" w:ascii="宋体" w:hAnsi="宋体" w:eastAsia="宋体" w:cs="宋体"/>
                <w:i w:val="0"/>
                <w:iCs w:val="0"/>
                <w:color w:val="000000"/>
                <w:kern w:val="0"/>
                <w:sz w:val="20"/>
                <w:szCs w:val="20"/>
                <w:u w:val="none"/>
                <w:lang w:val="en-US" w:eastAsia="zh-CN" w:bidi="ar"/>
              </w:rPr>
              <w:t>预算管理情况（20分）</w:t>
            </w:r>
          </w:p>
        </w:tc>
      </w:tr>
      <w:tr w14:paraId="1F6B3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3D06A13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6D47F40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5A99287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6C5508F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2A7527E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完成值</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14:paraId="160E336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0" w:type="auto"/>
            <w:tcBorders>
              <w:top w:val="single" w:color="000000" w:sz="8" w:space="0"/>
              <w:left w:val="nil"/>
              <w:bottom w:val="single" w:color="000000" w:sz="8" w:space="0"/>
              <w:right w:val="nil"/>
            </w:tcBorders>
            <w:shd w:val="clear" w:color="auto" w:fill="auto"/>
            <w:noWrap/>
            <w:vAlign w:val="center"/>
          </w:tcPr>
          <w:p w14:paraId="45FD8AA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04ABCC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指标解释</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7BC9307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评分标准</w:t>
            </w:r>
          </w:p>
        </w:tc>
      </w:tr>
      <w:tr w14:paraId="3FD3C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0" w:type="auto"/>
            <w:vMerge w:val="restart"/>
            <w:tcBorders>
              <w:top w:val="nil"/>
              <w:left w:val="single" w:color="000000" w:sz="8" w:space="0"/>
              <w:bottom w:val="single" w:color="000000" w:sz="8" w:space="0"/>
              <w:right w:val="single" w:color="000000" w:sz="8" w:space="0"/>
            </w:tcBorders>
            <w:shd w:val="clear" w:color="auto" w:fill="auto"/>
            <w:vAlign w:val="center"/>
          </w:tcPr>
          <w:p w14:paraId="0DDFA37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预算管理情况（20）</w:t>
            </w:r>
          </w:p>
        </w:tc>
        <w:tc>
          <w:tcPr>
            <w:tcW w:w="0" w:type="auto"/>
            <w:vMerge w:val="restart"/>
            <w:tcBorders>
              <w:top w:val="nil"/>
              <w:left w:val="nil"/>
              <w:bottom w:val="single" w:color="000000" w:sz="8" w:space="0"/>
              <w:right w:val="single" w:color="000000" w:sz="8" w:space="0"/>
            </w:tcBorders>
            <w:shd w:val="clear" w:color="auto" w:fill="auto"/>
            <w:vAlign w:val="center"/>
          </w:tcPr>
          <w:p w14:paraId="5009D4F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财务管理（4）</w:t>
            </w:r>
          </w:p>
        </w:tc>
        <w:tc>
          <w:tcPr>
            <w:tcW w:w="0" w:type="auto"/>
            <w:tcBorders>
              <w:top w:val="nil"/>
              <w:left w:val="nil"/>
              <w:bottom w:val="single" w:color="000000" w:sz="8" w:space="0"/>
              <w:right w:val="single" w:color="000000" w:sz="8" w:space="0"/>
            </w:tcBorders>
            <w:shd w:val="clear" w:color="auto" w:fill="auto"/>
            <w:vAlign w:val="center"/>
          </w:tcPr>
          <w:p w14:paraId="155FE1B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财务管理制度健全性</w:t>
            </w:r>
          </w:p>
        </w:tc>
        <w:tc>
          <w:tcPr>
            <w:tcW w:w="0" w:type="auto"/>
            <w:tcBorders>
              <w:top w:val="nil"/>
              <w:left w:val="nil"/>
              <w:bottom w:val="single" w:color="000000" w:sz="8" w:space="0"/>
              <w:right w:val="single" w:color="000000" w:sz="8" w:space="0"/>
            </w:tcBorders>
            <w:shd w:val="clear" w:color="auto" w:fill="auto"/>
            <w:vAlign w:val="center"/>
          </w:tcPr>
          <w:p w14:paraId="7CC7CF4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优良中低差</w:t>
            </w:r>
          </w:p>
        </w:tc>
        <w:tc>
          <w:tcPr>
            <w:tcW w:w="0" w:type="auto"/>
            <w:tcBorders>
              <w:top w:val="nil"/>
              <w:left w:val="nil"/>
              <w:bottom w:val="single" w:color="000000" w:sz="8" w:space="0"/>
              <w:right w:val="single" w:color="000000" w:sz="8" w:space="0"/>
            </w:tcBorders>
            <w:shd w:val="clear" w:color="auto" w:fill="auto"/>
            <w:vAlign w:val="center"/>
          </w:tcPr>
          <w:p w14:paraId="15574B6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0" w:type="auto"/>
            <w:tcBorders>
              <w:top w:val="nil"/>
              <w:left w:val="nil"/>
              <w:bottom w:val="single" w:color="000000" w:sz="8" w:space="0"/>
              <w:right w:val="single" w:color="000000" w:sz="8" w:space="0"/>
            </w:tcBorders>
            <w:shd w:val="clear" w:color="auto" w:fill="auto"/>
            <w:noWrap/>
            <w:vAlign w:val="center"/>
          </w:tcPr>
          <w:p w14:paraId="7B16284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nil"/>
            </w:tcBorders>
            <w:shd w:val="clear" w:color="auto" w:fill="auto"/>
            <w:noWrap/>
            <w:vAlign w:val="center"/>
          </w:tcPr>
          <w:p w14:paraId="20B6E8F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114B577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财务管理制度健全性:</w:t>
            </w:r>
            <w:r>
              <w:rPr>
                <w:rFonts w:hint="eastAsia" w:ascii="宋体" w:hAnsi="宋体" w:eastAsia="宋体" w:cs="宋体"/>
                <w:i w:val="0"/>
                <w:iCs w:val="0"/>
                <w:color w:val="000000"/>
                <w:kern w:val="0"/>
                <w:sz w:val="18"/>
                <w:szCs w:val="18"/>
                <w:u w:val="none"/>
                <w:lang w:val="en-US" w:eastAsia="zh-CN" w:bidi="ar"/>
              </w:rPr>
              <w:t>部门（单位）为加强财务管理、规范财务行为而制定的管理制度。</w:t>
            </w:r>
          </w:p>
        </w:tc>
        <w:tc>
          <w:tcPr>
            <w:tcW w:w="0" w:type="auto"/>
            <w:tcBorders>
              <w:top w:val="nil"/>
              <w:left w:val="nil"/>
              <w:bottom w:val="single" w:color="000000" w:sz="8" w:space="0"/>
              <w:right w:val="single" w:color="000000" w:sz="8" w:space="0"/>
            </w:tcBorders>
            <w:shd w:val="clear" w:color="auto" w:fill="auto"/>
            <w:vAlign w:val="center"/>
          </w:tcPr>
          <w:p w14:paraId="50ED443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①预算资金管理办法、绩效跟踪管理办法、资产管理办法等各项制度是否健全；②部门内部财务管理制度是否完整、合规；③会计核算制度是否完整、合规。每有一项不合格扣0.5分，扣完为止。</w:t>
            </w:r>
          </w:p>
        </w:tc>
      </w:tr>
      <w:tr w14:paraId="5C1A0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49498725">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339186B9">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68F65D3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资金使用合规性和安全性</w:t>
            </w:r>
          </w:p>
        </w:tc>
        <w:tc>
          <w:tcPr>
            <w:tcW w:w="0" w:type="auto"/>
            <w:tcBorders>
              <w:top w:val="nil"/>
              <w:left w:val="nil"/>
              <w:bottom w:val="single" w:color="000000" w:sz="8" w:space="0"/>
              <w:right w:val="single" w:color="000000" w:sz="8" w:space="0"/>
            </w:tcBorders>
            <w:shd w:val="clear" w:color="auto" w:fill="auto"/>
            <w:vAlign w:val="center"/>
          </w:tcPr>
          <w:p w14:paraId="5EEA8A4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优良中低差</w:t>
            </w:r>
          </w:p>
        </w:tc>
        <w:tc>
          <w:tcPr>
            <w:tcW w:w="0" w:type="auto"/>
            <w:tcBorders>
              <w:top w:val="nil"/>
              <w:left w:val="nil"/>
              <w:bottom w:val="single" w:color="000000" w:sz="8" w:space="0"/>
              <w:right w:val="single" w:color="000000" w:sz="8" w:space="0"/>
            </w:tcBorders>
            <w:shd w:val="clear" w:color="auto" w:fill="auto"/>
            <w:vAlign w:val="center"/>
          </w:tcPr>
          <w:p w14:paraId="68A9AD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0" w:type="auto"/>
            <w:tcBorders>
              <w:top w:val="nil"/>
              <w:left w:val="nil"/>
              <w:bottom w:val="single" w:color="000000" w:sz="8" w:space="0"/>
              <w:right w:val="single" w:color="000000" w:sz="8" w:space="0"/>
            </w:tcBorders>
            <w:shd w:val="clear" w:color="auto" w:fill="auto"/>
            <w:noWrap/>
            <w:vAlign w:val="center"/>
          </w:tcPr>
          <w:p w14:paraId="7670356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nil"/>
            </w:tcBorders>
            <w:shd w:val="clear" w:color="auto" w:fill="auto"/>
            <w:noWrap/>
            <w:vAlign w:val="center"/>
          </w:tcPr>
          <w:p w14:paraId="39E1816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60E7A35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资金使用合规性和安全性:</w:t>
            </w:r>
            <w:r>
              <w:rPr>
                <w:rFonts w:hint="eastAsia" w:ascii="宋体" w:hAnsi="宋体" w:eastAsia="宋体" w:cs="宋体"/>
                <w:i w:val="0"/>
                <w:iCs w:val="0"/>
                <w:color w:val="000000"/>
                <w:kern w:val="0"/>
                <w:sz w:val="18"/>
                <w:szCs w:val="18"/>
                <w:u w:val="none"/>
                <w:lang w:val="en-US" w:eastAsia="zh-CN" w:bidi="ar"/>
              </w:rPr>
              <w:t>部门（单位）使用预算资金是否符合相关的预算财务管理制度的规定，是否符合相关规定的开支范围，用以反映考核部门（单位）预算资金的规范运行和安全运行情况。</w:t>
            </w:r>
          </w:p>
        </w:tc>
        <w:tc>
          <w:tcPr>
            <w:tcW w:w="0" w:type="auto"/>
            <w:tcBorders>
              <w:top w:val="nil"/>
              <w:left w:val="nil"/>
              <w:bottom w:val="single" w:color="000000" w:sz="8" w:space="0"/>
              <w:right w:val="single" w:color="000000" w:sz="8" w:space="0"/>
            </w:tcBorders>
            <w:shd w:val="clear" w:color="auto" w:fill="auto"/>
            <w:vAlign w:val="center"/>
          </w:tcPr>
          <w:p w14:paraId="50FD58E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14:paraId="405F4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1444CE97">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30E413C1">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1CE1592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会计基础信息完善性</w:t>
            </w:r>
          </w:p>
        </w:tc>
        <w:tc>
          <w:tcPr>
            <w:tcW w:w="0" w:type="auto"/>
            <w:tcBorders>
              <w:top w:val="nil"/>
              <w:left w:val="nil"/>
              <w:bottom w:val="single" w:color="000000" w:sz="8" w:space="0"/>
              <w:right w:val="single" w:color="000000" w:sz="8" w:space="0"/>
            </w:tcBorders>
            <w:shd w:val="clear" w:color="auto" w:fill="auto"/>
            <w:vAlign w:val="center"/>
          </w:tcPr>
          <w:p w14:paraId="4FD192C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优良中低差</w:t>
            </w:r>
          </w:p>
        </w:tc>
        <w:tc>
          <w:tcPr>
            <w:tcW w:w="0" w:type="auto"/>
            <w:tcBorders>
              <w:top w:val="nil"/>
              <w:left w:val="nil"/>
              <w:bottom w:val="single" w:color="000000" w:sz="8" w:space="0"/>
              <w:right w:val="single" w:color="000000" w:sz="8" w:space="0"/>
            </w:tcBorders>
            <w:shd w:val="clear" w:color="auto" w:fill="auto"/>
            <w:vAlign w:val="center"/>
          </w:tcPr>
          <w:p w14:paraId="2FF64F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0" w:type="auto"/>
            <w:tcBorders>
              <w:top w:val="nil"/>
              <w:left w:val="nil"/>
              <w:bottom w:val="single" w:color="000000" w:sz="8" w:space="0"/>
              <w:right w:val="single" w:color="000000" w:sz="8" w:space="0"/>
            </w:tcBorders>
            <w:shd w:val="clear" w:color="auto" w:fill="auto"/>
            <w:noWrap/>
            <w:vAlign w:val="center"/>
          </w:tcPr>
          <w:p w14:paraId="737689C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nil"/>
            </w:tcBorders>
            <w:shd w:val="clear" w:color="auto" w:fill="auto"/>
            <w:noWrap/>
            <w:vAlign w:val="center"/>
          </w:tcPr>
          <w:p w14:paraId="392DA9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574952C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会计基础信息完善性:</w:t>
            </w:r>
            <w:r>
              <w:rPr>
                <w:rFonts w:hint="eastAsia" w:ascii="宋体" w:hAnsi="宋体" w:eastAsia="宋体" w:cs="宋体"/>
                <w:i w:val="0"/>
                <w:iCs w:val="0"/>
                <w:color w:val="000000"/>
                <w:kern w:val="0"/>
                <w:sz w:val="18"/>
                <w:szCs w:val="18"/>
                <w:u w:val="none"/>
                <w:lang w:val="en-US" w:eastAsia="zh-CN" w:bidi="ar"/>
              </w:rPr>
              <w:t>部门（单位）会计基础信息情况。</w:t>
            </w:r>
          </w:p>
        </w:tc>
        <w:tc>
          <w:tcPr>
            <w:tcW w:w="0" w:type="auto"/>
            <w:tcBorders>
              <w:top w:val="nil"/>
              <w:left w:val="nil"/>
              <w:bottom w:val="single" w:color="000000" w:sz="8" w:space="0"/>
              <w:right w:val="single" w:color="000000" w:sz="8" w:space="0"/>
            </w:tcBorders>
            <w:shd w:val="clear" w:color="auto" w:fill="auto"/>
            <w:vAlign w:val="center"/>
          </w:tcPr>
          <w:p w14:paraId="56CBDB3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①基础数据信息和会计信息资料是否真实；②基础数据信息和会计信息资料是否完整；③基础数据信息和会计信息资料是否准确。每有一项不合格扣0.5分，扣完为止。</w:t>
            </w:r>
          </w:p>
        </w:tc>
      </w:tr>
      <w:tr w14:paraId="33F50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46DCA70F">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4B16C3C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资产管理（4）</w:t>
            </w:r>
          </w:p>
        </w:tc>
        <w:tc>
          <w:tcPr>
            <w:tcW w:w="0" w:type="auto"/>
            <w:tcBorders>
              <w:top w:val="nil"/>
              <w:left w:val="nil"/>
              <w:bottom w:val="single" w:color="000000" w:sz="8" w:space="0"/>
              <w:right w:val="single" w:color="000000" w:sz="8" w:space="0"/>
            </w:tcBorders>
            <w:shd w:val="clear" w:color="auto" w:fill="auto"/>
            <w:vAlign w:val="center"/>
          </w:tcPr>
          <w:p w14:paraId="5384EE6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资产管理规范性</w:t>
            </w:r>
          </w:p>
        </w:tc>
        <w:tc>
          <w:tcPr>
            <w:tcW w:w="0" w:type="auto"/>
            <w:tcBorders>
              <w:top w:val="nil"/>
              <w:left w:val="nil"/>
              <w:bottom w:val="single" w:color="000000" w:sz="8" w:space="0"/>
              <w:right w:val="single" w:color="000000" w:sz="8" w:space="0"/>
            </w:tcBorders>
            <w:shd w:val="clear" w:color="auto" w:fill="auto"/>
            <w:vAlign w:val="center"/>
          </w:tcPr>
          <w:p w14:paraId="6D2D1CF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优良中低差</w:t>
            </w:r>
          </w:p>
        </w:tc>
        <w:tc>
          <w:tcPr>
            <w:tcW w:w="0" w:type="auto"/>
            <w:tcBorders>
              <w:top w:val="nil"/>
              <w:left w:val="nil"/>
              <w:bottom w:val="single" w:color="000000" w:sz="8" w:space="0"/>
              <w:right w:val="single" w:color="000000" w:sz="8" w:space="0"/>
            </w:tcBorders>
            <w:shd w:val="clear" w:color="auto" w:fill="auto"/>
            <w:vAlign w:val="center"/>
          </w:tcPr>
          <w:p w14:paraId="0C7932F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0" w:type="auto"/>
            <w:tcBorders>
              <w:top w:val="nil"/>
              <w:left w:val="nil"/>
              <w:bottom w:val="single" w:color="000000" w:sz="8" w:space="0"/>
              <w:right w:val="single" w:color="000000" w:sz="8" w:space="0"/>
            </w:tcBorders>
            <w:shd w:val="clear" w:color="auto" w:fill="auto"/>
            <w:vAlign w:val="center"/>
          </w:tcPr>
          <w:p w14:paraId="1C461B6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14:paraId="5E9EDD4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14:paraId="6FBBE70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资产管理规范性:</w:t>
            </w:r>
            <w:r>
              <w:rPr>
                <w:rFonts w:hint="eastAsia" w:ascii="宋体" w:hAnsi="宋体" w:eastAsia="宋体" w:cs="宋体"/>
                <w:i w:val="0"/>
                <w:iCs w:val="0"/>
                <w:color w:val="000000"/>
                <w:kern w:val="0"/>
                <w:sz w:val="18"/>
                <w:szCs w:val="18"/>
                <w:u w:val="none"/>
                <w:lang w:val="en-US" w:eastAsia="zh-CN" w:bidi="ar"/>
              </w:rPr>
              <w:t>部门（单位）的资产是否保持安全完整，资产配置是否合理，资产使用和资产处理是否规范，用以反映和考核部门（单位）资产管理的整体水平。</w:t>
            </w:r>
          </w:p>
        </w:tc>
        <w:tc>
          <w:tcPr>
            <w:tcW w:w="0" w:type="auto"/>
            <w:tcBorders>
              <w:top w:val="nil"/>
              <w:left w:val="nil"/>
              <w:bottom w:val="single" w:color="000000" w:sz="8" w:space="0"/>
              <w:right w:val="single" w:color="000000" w:sz="8" w:space="0"/>
            </w:tcBorders>
            <w:shd w:val="clear" w:color="auto" w:fill="auto"/>
            <w:vAlign w:val="center"/>
          </w:tcPr>
          <w:p w14:paraId="74C9B2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14:paraId="64159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47872959">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150EFCA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绩效管理（4）</w:t>
            </w:r>
          </w:p>
        </w:tc>
        <w:tc>
          <w:tcPr>
            <w:tcW w:w="0" w:type="auto"/>
            <w:tcBorders>
              <w:top w:val="nil"/>
              <w:left w:val="nil"/>
              <w:bottom w:val="single" w:color="000000" w:sz="8" w:space="0"/>
              <w:right w:val="single" w:color="000000" w:sz="8" w:space="0"/>
            </w:tcBorders>
            <w:shd w:val="clear" w:color="auto" w:fill="auto"/>
            <w:vAlign w:val="center"/>
          </w:tcPr>
          <w:p w14:paraId="6688D6B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绩效管理情况</w:t>
            </w:r>
          </w:p>
        </w:tc>
        <w:tc>
          <w:tcPr>
            <w:tcW w:w="0" w:type="auto"/>
            <w:tcBorders>
              <w:top w:val="nil"/>
              <w:left w:val="nil"/>
              <w:bottom w:val="single" w:color="000000" w:sz="8" w:space="0"/>
              <w:right w:val="single" w:color="000000" w:sz="8" w:space="0"/>
            </w:tcBorders>
            <w:shd w:val="clear" w:color="auto" w:fill="auto"/>
            <w:vAlign w:val="center"/>
          </w:tcPr>
          <w:p w14:paraId="71B83B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优良中低差</w:t>
            </w:r>
          </w:p>
        </w:tc>
        <w:tc>
          <w:tcPr>
            <w:tcW w:w="0" w:type="auto"/>
            <w:tcBorders>
              <w:top w:val="nil"/>
              <w:left w:val="nil"/>
              <w:bottom w:val="single" w:color="000000" w:sz="8" w:space="0"/>
              <w:right w:val="single" w:color="000000" w:sz="8" w:space="0"/>
            </w:tcBorders>
            <w:shd w:val="clear" w:color="auto" w:fill="auto"/>
            <w:vAlign w:val="center"/>
          </w:tcPr>
          <w:p w14:paraId="61DC06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0" w:type="auto"/>
            <w:tcBorders>
              <w:top w:val="nil"/>
              <w:left w:val="nil"/>
              <w:bottom w:val="single" w:color="000000" w:sz="8" w:space="0"/>
              <w:right w:val="single" w:color="000000" w:sz="8" w:space="0"/>
            </w:tcBorders>
            <w:shd w:val="clear" w:color="auto" w:fill="auto"/>
            <w:vAlign w:val="center"/>
          </w:tcPr>
          <w:p w14:paraId="698052D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nil"/>
            </w:tcBorders>
            <w:shd w:val="clear" w:color="auto" w:fill="auto"/>
            <w:vAlign w:val="center"/>
          </w:tcPr>
          <w:p w14:paraId="7AA178B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501AC95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绩效管理情况:</w:t>
            </w:r>
            <w:r>
              <w:rPr>
                <w:rFonts w:hint="eastAsia" w:ascii="宋体" w:hAnsi="宋体" w:eastAsia="宋体" w:cs="宋体"/>
                <w:i w:val="0"/>
                <w:iCs w:val="0"/>
                <w:color w:val="000000"/>
                <w:kern w:val="0"/>
                <w:sz w:val="18"/>
                <w:szCs w:val="18"/>
                <w:u w:val="none"/>
                <w:lang w:val="en-US" w:eastAsia="zh-CN" w:bidi="ar"/>
              </w:rPr>
              <w:t>考核部门（单位）在绩效管理信息的汇总和应用情况。</w:t>
            </w:r>
          </w:p>
        </w:tc>
        <w:tc>
          <w:tcPr>
            <w:tcW w:w="0" w:type="auto"/>
            <w:tcBorders>
              <w:top w:val="nil"/>
              <w:left w:val="nil"/>
              <w:bottom w:val="single" w:color="000000" w:sz="8" w:space="0"/>
              <w:right w:val="single" w:color="000000" w:sz="8" w:space="0"/>
            </w:tcBorders>
            <w:shd w:val="clear" w:color="auto" w:fill="auto"/>
            <w:vAlign w:val="center"/>
          </w:tcPr>
          <w:p w14:paraId="651E594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①部门（单位）是否及时对绩效信息进行汇总分析整理；②部门（单位）是否对绩效目标偏离情况及时进行矫正。每有一项不合格扣2分。</w:t>
            </w:r>
          </w:p>
        </w:tc>
      </w:tr>
      <w:tr w14:paraId="49C57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2FE923E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60EAAD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　</w:t>
            </w:r>
          </w:p>
        </w:tc>
        <w:tc>
          <w:tcPr>
            <w:tcW w:w="0" w:type="auto"/>
            <w:gridSpan w:val="2"/>
            <w:tcBorders>
              <w:top w:val="nil"/>
              <w:left w:val="nil"/>
              <w:bottom w:val="single" w:color="000000" w:sz="8" w:space="0"/>
              <w:right w:val="single" w:color="000000" w:sz="8" w:space="0"/>
            </w:tcBorders>
            <w:shd w:val="clear" w:color="auto" w:fill="auto"/>
            <w:vAlign w:val="center"/>
          </w:tcPr>
          <w:p w14:paraId="0F60631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w:t>
            </w:r>
          </w:p>
        </w:tc>
        <w:tc>
          <w:tcPr>
            <w:tcW w:w="0" w:type="auto"/>
            <w:tcBorders>
              <w:top w:val="nil"/>
              <w:left w:val="nil"/>
              <w:bottom w:val="single" w:color="000000" w:sz="8" w:space="0"/>
              <w:right w:val="single" w:color="000000" w:sz="8" w:space="0"/>
            </w:tcBorders>
            <w:shd w:val="clear" w:color="auto" w:fill="auto"/>
            <w:vAlign w:val="center"/>
          </w:tcPr>
          <w:p w14:paraId="511E28E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w:t>
            </w:r>
          </w:p>
        </w:tc>
        <w:tc>
          <w:tcPr>
            <w:tcW w:w="0" w:type="auto"/>
            <w:tcBorders>
              <w:top w:val="nil"/>
              <w:left w:val="nil"/>
              <w:bottom w:val="single" w:color="000000" w:sz="8" w:space="0"/>
              <w:right w:val="single" w:color="000000" w:sz="8" w:space="0"/>
            </w:tcBorders>
            <w:shd w:val="clear" w:color="auto" w:fill="auto"/>
            <w:vAlign w:val="center"/>
          </w:tcPr>
          <w:p w14:paraId="4A041CF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0" w:type="auto"/>
            <w:tcBorders>
              <w:top w:val="nil"/>
              <w:left w:val="nil"/>
              <w:bottom w:val="single" w:color="000000" w:sz="8" w:space="0"/>
              <w:right w:val="single" w:color="000000" w:sz="8" w:space="0"/>
            </w:tcBorders>
            <w:shd w:val="clear" w:color="auto" w:fill="auto"/>
            <w:vAlign w:val="center"/>
          </w:tcPr>
          <w:p w14:paraId="68F485A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0" w:type="auto"/>
            <w:tcBorders>
              <w:top w:val="nil"/>
              <w:left w:val="nil"/>
              <w:bottom w:val="single" w:color="000000" w:sz="8" w:space="0"/>
              <w:right w:val="single" w:color="000000" w:sz="8" w:space="0"/>
            </w:tcBorders>
            <w:shd w:val="clear" w:color="auto" w:fill="auto"/>
            <w:vAlign w:val="center"/>
          </w:tcPr>
          <w:p w14:paraId="39E035A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指标解释</w:t>
            </w:r>
          </w:p>
        </w:tc>
        <w:tc>
          <w:tcPr>
            <w:tcW w:w="0" w:type="auto"/>
            <w:tcBorders>
              <w:top w:val="nil"/>
              <w:left w:val="nil"/>
              <w:bottom w:val="single" w:color="000000" w:sz="8" w:space="0"/>
              <w:right w:val="single" w:color="000000" w:sz="8" w:space="0"/>
            </w:tcBorders>
            <w:shd w:val="clear" w:color="auto" w:fill="auto"/>
            <w:vAlign w:val="center"/>
          </w:tcPr>
          <w:p w14:paraId="77F6DCB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评分标准</w:t>
            </w:r>
          </w:p>
        </w:tc>
      </w:tr>
      <w:tr w14:paraId="7CE8A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640C3945">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restart"/>
            <w:tcBorders>
              <w:top w:val="nil"/>
              <w:left w:val="nil"/>
              <w:bottom w:val="single" w:color="000000" w:sz="8" w:space="0"/>
              <w:right w:val="single" w:color="000000" w:sz="8" w:space="0"/>
            </w:tcBorders>
            <w:shd w:val="clear" w:color="auto" w:fill="auto"/>
            <w:vAlign w:val="center"/>
          </w:tcPr>
          <w:p w14:paraId="73595CD6">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结转结余率（4）</w:t>
            </w:r>
          </w:p>
        </w:tc>
        <w:tc>
          <w:tcPr>
            <w:tcW w:w="0" w:type="auto"/>
            <w:gridSpan w:val="2"/>
            <w:vMerge w:val="restart"/>
            <w:tcBorders>
              <w:top w:val="nil"/>
              <w:left w:val="nil"/>
              <w:bottom w:val="single" w:color="000000" w:sz="8" w:space="0"/>
              <w:right w:val="single" w:color="000000" w:sz="8" w:space="0"/>
            </w:tcBorders>
            <w:shd w:val="clear" w:color="auto" w:fill="auto"/>
            <w:vAlign w:val="center"/>
          </w:tcPr>
          <w:p w14:paraId="7D4C91B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0.05%</w:t>
            </w:r>
          </w:p>
        </w:tc>
        <w:tc>
          <w:tcPr>
            <w:tcW w:w="0" w:type="auto"/>
            <w:vMerge w:val="restart"/>
            <w:tcBorders>
              <w:top w:val="nil"/>
              <w:left w:val="nil"/>
              <w:bottom w:val="single" w:color="000000" w:sz="8" w:space="0"/>
              <w:right w:val="single" w:color="000000" w:sz="8" w:space="0"/>
            </w:tcBorders>
            <w:shd w:val="clear" w:color="auto" w:fill="auto"/>
            <w:vAlign w:val="center"/>
          </w:tcPr>
          <w:p w14:paraId="206CDA2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0.46%</w:t>
            </w:r>
          </w:p>
        </w:tc>
        <w:tc>
          <w:tcPr>
            <w:tcW w:w="0" w:type="auto"/>
            <w:vMerge w:val="restart"/>
            <w:tcBorders>
              <w:top w:val="nil"/>
              <w:left w:val="nil"/>
              <w:bottom w:val="single" w:color="000000" w:sz="8" w:space="0"/>
              <w:right w:val="single" w:color="000000" w:sz="8" w:space="0"/>
            </w:tcBorders>
            <w:shd w:val="clear" w:color="auto" w:fill="auto"/>
            <w:vAlign w:val="center"/>
          </w:tcPr>
          <w:p w14:paraId="178199F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vMerge w:val="restart"/>
            <w:tcBorders>
              <w:top w:val="nil"/>
              <w:left w:val="nil"/>
              <w:bottom w:val="single" w:color="000000" w:sz="8" w:space="0"/>
              <w:right w:val="nil"/>
            </w:tcBorders>
            <w:shd w:val="clear" w:color="auto" w:fill="auto"/>
            <w:vAlign w:val="center"/>
          </w:tcPr>
          <w:p w14:paraId="3FF5029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3.836</w:t>
            </w:r>
          </w:p>
        </w:tc>
        <w:tc>
          <w:tcPr>
            <w:tcW w:w="0" w:type="auto"/>
            <w:tcBorders>
              <w:top w:val="nil"/>
              <w:left w:val="single" w:color="000000" w:sz="8" w:space="0"/>
              <w:bottom w:val="nil"/>
              <w:right w:val="single" w:color="000000" w:sz="8" w:space="0"/>
            </w:tcBorders>
            <w:shd w:val="clear" w:color="auto" w:fill="auto"/>
            <w:vAlign w:val="center"/>
          </w:tcPr>
          <w:p w14:paraId="183A158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结转结余率=结转结余总额/支出预算数×100%。</w:t>
            </w:r>
          </w:p>
        </w:tc>
        <w:tc>
          <w:tcPr>
            <w:tcW w:w="0" w:type="auto"/>
            <w:vMerge w:val="restart"/>
            <w:tcBorders>
              <w:top w:val="nil"/>
              <w:left w:val="nil"/>
              <w:bottom w:val="single" w:color="000000" w:sz="8" w:space="0"/>
              <w:right w:val="single" w:color="000000" w:sz="8" w:space="0"/>
            </w:tcBorders>
            <w:shd w:val="clear" w:color="auto" w:fill="auto"/>
            <w:vAlign w:val="center"/>
          </w:tcPr>
          <w:p w14:paraId="5924A32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14:paraId="715D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3D944D6F">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671E98DF">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宋体"/>
                <w:i w:val="0"/>
                <w:iCs w:val="0"/>
                <w:color w:val="000000"/>
                <w:sz w:val="20"/>
                <w:szCs w:val="20"/>
                <w:u w:val="none"/>
              </w:rPr>
            </w:pPr>
          </w:p>
        </w:tc>
        <w:tc>
          <w:tcPr>
            <w:tcW w:w="0" w:type="auto"/>
            <w:gridSpan w:val="2"/>
            <w:vMerge w:val="continue"/>
            <w:tcBorders>
              <w:top w:val="nil"/>
              <w:left w:val="nil"/>
              <w:bottom w:val="single" w:color="000000" w:sz="8" w:space="0"/>
              <w:right w:val="single" w:color="000000" w:sz="8" w:space="0"/>
            </w:tcBorders>
            <w:shd w:val="clear" w:color="auto" w:fill="auto"/>
            <w:vAlign w:val="center"/>
          </w:tcPr>
          <w:p w14:paraId="023EA1A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4ABBAB11">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14:paraId="5C74C26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nil"/>
            </w:tcBorders>
            <w:shd w:val="clear" w:color="auto" w:fill="auto"/>
            <w:vAlign w:val="center"/>
          </w:tcPr>
          <w:p w14:paraId="0CE5013C">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single" w:color="000000" w:sz="8" w:space="0"/>
              <w:bottom w:val="single" w:color="000000" w:sz="8" w:space="0"/>
              <w:right w:val="single" w:color="000000" w:sz="8" w:space="0"/>
            </w:tcBorders>
            <w:shd w:val="clear" w:color="auto" w:fill="auto"/>
            <w:vAlign w:val="center"/>
          </w:tcPr>
          <w:p w14:paraId="3A147B5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结转结余总额：部门（单位）本年度的结转资金与结余资金之和。</w:t>
            </w:r>
          </w:p>
        </w:tc>
        <w:tc>
          <w:tcPr>
            <w:tcW w:w="0" w:type="auto"/>
            <w:vMerge w:val="continue"/>
            <w:tcBorders>
              <w:top w:val="nil"/>
              <w:left w:val="nil"/>
              <w:bottom w:val="single" w:color="000000" w:sz="8" w:space="0"/>
              <w:right w:val="single" w:color="000000" w:sz="8" w:space="0"/>
            </w:tcBorders>
            <w:shd w:val="clear" w:color="auto" w:fill="auto"/>
            <w:vAlign w:val="center"/>
          </w:tcPr>
          <w:p w14:paraId="720B9BE6">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color w:val="000000"/>
                <w:sz w:val="18"/>
                <w:szCs w:val="18"/>
                <w:u w:val="none"/>
              </w:rPr>
            </w:pPr>
          </w:p>
        </w:tc>
      </w:tr>
      <w:tr w14:paraId="0D3F4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14:paraId="0BA1F3B1">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14:paraId="6D13F826">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部门预决算差异率（4）</w:t>
            </w:r>
          </w:p>
        </w:tc>
        <w:tc>
          <w:tcPr>
            <w:tcW w:w="0" w:type="auto"/>
            <w:gridSpan w:val="2"/>
            <w:tcBorders>
              <w:top w:val="nil"/>
              <w:left w:val="nil"/>
              <w:bottom w:val="single" w:color="000000" w:sz="8" w:space="0"/>
              <w:right w:val="nil"/>
            </w:tcBorders>
            <w:shd w:val="clear" w:color="auto" w:fill="auto"/>
            <w:vAlign w:val="center"/>
          </w:tcPr>
          <w:p w14:paraId="719AEC5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A9ED5A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1.53</w:t>
            </w:r>
            <w:r>
              <w:rPr>
                <w:rFonts w:hint="eastAsia" w:ascii="宋体" w:hAnsi="宋体" w:eastAsia="宋体" w:cs="宋体"/>
                <w:i w:val="0"/>
                <w:iCs w:val="0"/>
                <w:color w:val="000000"/>
                <w:kern w:val="0"/>
                <w:sz w:val="20"/>
                <w:szCs w:val="20"/>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center"/>
          </w:tcPr>
          <w:p w14:paraId="27EF7A0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nil"/>
            </w:tcBorders>
            <w:shd w:val="clear" w:color="auto" w:fill="auto"/>
            <w:vAlign w:val="center"/>
          </w:tcPr>
          <w:p w14:paraId="27756EF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7658A1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通过年度部门决算与年初部门预算对比，对部门的年度支出情况进行考核，衡量部门预算的约束力。</w:t>
            </w:r>
          </w:p>
        </w:tc>
        <w:tc>
          <w:tcPr>
            <w:tcW w:w="0" w:type="auto"/>
            <w:tcBorders>
              <w:top w:val="nil"/>
              <w:left w:val="nil"/>
              <w:bottom w:val="single" w:color="000000" w:sz="8" w:space="0"/>
              <w:right w:val="single" w:color="000000" w:sz="8" w:space="0"/>
            </w:tcBorders>
            <w:shd w:val="clear" w:color="auto" w:fill="auto"/>
            <w:vAlign w:val="center"/>
          </w:tcPr>
          <w:p w14:paraId="440A1BF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部门预决算差异率高于市级平均差异率（28.3%）的，每高出10%（含），扣0.4分，扣完为止。</w:t>
            </w:r>
          </w:p>
        </w:tc>
      </w:tr>
      <w:tr w14:paraId="5DDE6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gridSpan w:val="5"/>
            <w:tcBorders>
              <w:top w:val="nil"/>
              <w:left w:val="single" w:color="000000" w:sz="8" w:space="0"/>
              <w:bottom w:val="single" w:color="000000" w:sz="8" w:space="0"/>
              <w:right w:val="single" w:color="000000" w:sz="8" w:space="0"/>
            </w:tcBorders>
            <w:shd w:val="clear" w:color="auto" w:fill="auto"/>
            <w:vAlign w:val="center"/>
          </w:tcPr>
          <w:p w14:paraId="1022F86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nil"/>
              <w:left w:val="nil"/>
              <w:bottom w:val="single" w:color="000000" w:sz="8" w:space="0"/>
              <w:right w:val="single" w:color="000000" w:sz="8" w:space="0"/>
            </w:tcBorders>
            <w:shd w:val="clear" w:color="auto" w:fill="auto"/>
            <w:vAlign w:val="center"/>
          </w:tcPr>
          <w:p w14:paraId="61AE376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0" w:type="auto"/>
            <w:tcBorders>
              <w:top w:val="nil"/>
              <w:left w:val="nil"/>
              <w:bottom w:val="single" w:color="000000" w:sz="8" w:space="0"/>
              <w:right w:val="nil"/>
            </w:tcBorders>
            <w:shd w:val="clear" w:color="auto" w:fill="auto"/>
            <w:vAlign w:val="center"/>
          </w:tcPr>
          <w:p w14:paraId="58DE993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95.18 </w:t>
            </w:r>
          </w:p>
        </w:tc>
        <w:tc>
          <w:tcPr>
            <w:tcW w:w="0" w:type="auto"/>
            <w:gridSpan w:val="2"/>
            <w:tcBorders>
              <w:top w:val="nil"/>
              <w:left w:val="single" w:color="000000" w:sz="8" w:space="0"/>
              <w:bottom w:val="single" w:color="000000" w:sz="8" w:space="0"/>
              <w:right w:val="single" w:color="000000" w:sz="8" w:space="0"/>
            </w:tcBorders>
            <w:shd w:val="clear" w:color="auto" w:fill="auto"/>
            <w:vAlign w:val="center"/>
          </w:tcPr>
          <w:p w14:paraId="75557341">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iCs w:val="0"/>
                <w:color w:val="000000"/>
                <w:sz w:val="18"/>
                <w:szCs w:val="18"/>
                <w:u w:val="none"/>
              </w:rPr>
            </w:pPr>
          </w:p>
        </w:tc>
      </w:tr>
    </w:tbl>
    <w:p w14:paraId="31037A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小标宋简体" w:eastAsia="方正小标宋简体"/>
          <w:sz w:val="36"/>
          <w:szCs w:val="36"/>
          <w:highlight w:val="none"/>
        </w:rPr>
      </w:pPr>
    </w:p>
    <w:sectPr>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Narrow">
    <w:panose1 w:val="020B0606020202030204"/>
    <w:charset w:val="00"/>
    <w:family w:val="auto"/>
    <w:pitch w:val="default"/>
    <w:sig w:usb0="00000287" w:usb1="00000800" w:usb2="00000000" w:usb3="00000000" w:csb0="2000009F" w:csb1="DFD70000"/>
  </w:font>
  <w:font w:name="方正黑体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55B7D">
    <w:pPr>
      <w:pStyle w:val="7"/>
      <w:ind w:firstLine="360"/>
      <w:jc w:val="center"/>
      <w:rPr>
        <w:sz w:val="21"/>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299216">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299216">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A0216">
    <w:pPr>
      <w:pStyle w:val="7"/>
      <w:jc w:val="right"/>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2BAC76">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82BAC76">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CC5106"/>
    <w:multiLevelType w:val="singleLevel"/>
    <w:tmpl w:val="A5CC5106"/>
    <w:lvl w:ilvl="0" w:tentative="0">
      <w:start w:val="2"/>
      <w:numFmt w:val="chineseCounting"/>
      <w:suff w:val="nothing"/>
      <w:lvlText w:val="（%1）"/>
      <w:lvlJc w:val="left"/>
      <w:rPr>
        <w:rFonts w:hint="eastAsia"/>
      </w:rPr>
    </w:lvl>
  </w:abstractNum>
  <w:abstractNum w:abstractNumId="1">
    <w:nsid w:val="F121040F"/>
    <w:multiLevelType w:val="singleLevel"/>
    <w:tmpl w:val="F121040F"/>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5NzhkMjI1ZTlmYzFlNTg5ZWNmMzBmYmU4MDA4OTgifQ=="/>
  </w:docVars>
  <w:rsids>
    <w:rsidRoot w:val="F77F09F4"/>
    <w:rsid w:val="00D31459"/>
    <w:rsid w:val="010E3B8A"/>
    <w:rsid w:val="014001AC"/>
    <w:rsid w:val="02315AA6"/>
    <w:rsid w:val="039E740C"/>
    <w:rsid w:val="04185410"/>
    <w:rsid w:val="045D2E23"/>
    <w:rsid w:val="048D2EE9"/>
    <w:rsid w:val="056A1C9B"/>
    <w:rsid w:val="058E7053"/>
    <w:rsid w:val="05F257ED"/>
    <w:rsid w:val="064918B1"/>
    <w:rsid w:val="066E7921"/>
    <w:rsid w:val="06B70F10"/>
    <w:rsid w:val="06E8731C"/>
    <w:rsid w:val="0753050D"/>
    <w:rsid w:val="07AC659B"/>
    <w:rsid w:val="07C17B6D"/>
    <w:rsid w:val="082A7F38"/>
    <w:rsid w:val="091E5277"/>
    <w:rsid w:val="0A636CB9"/>
    <w:rsid w:val="0AAF7136"/>
    <w:rsid w:val="0B291CB1"/>
    <w:rsid w:val="0B3061AD"/>
    <w:rsid w:val="0B6B051B"/>
    <w:rsid w:val="0C272694"/>
    <w:rsid w:val="0E0A7B9A"/>
    <w:rsid w:val="0EBC6E34"/>
    <w:rsid w:val="0EF23FDA"/>
    <w:rsid w:val="0F257B32"/>
    <w:rsid w:val="0FFD39DF"/>
    <w:rsid w:val="114A128D"/>
    <w:rsid w:val="11665A0D"/>
    <w:rsid w:val="118916FB"/>
    <w:rsid w:val="11BF6ECB"/>
    <w:rsid w:val="12492C39"/>
    <w:rsid w:val="12865C3B"/>
    <w:rsid w:val="1292638E"/>
    <w:rsid w:val="12E3308D"/>
    <w:rsid w:val="13166FBF"/>
    <w:rsid w:val="133E2072"/>
    <w:rsid w:val="134F427F"/>
    <w:rsid w:val="13655850"/>
    <w:rsid w:val="13F95CA7"/>
    <w:rsid w:val="145A737F"/>
    <w:rsid w:val="154D2A40"/>
    <w:rsid w:val="15747FCD"/>
    <w:rsid w:val="15B42ABF"/>
    <w:rsid w:val="15F03903"/>
    <w:rsid w:val="16B218F1"/>
    <w:rsid w:val="16BA2357"/>
    <w:rsid w:val="16E66CA8"/>
    <w:rsid w:val="172F4B2E"/>
    <w:rsid w:val="175F53D8"/>
    <w:rsid w:val="17AD77C6"/>
    <w:rsid w:val="181F726F"/>
    <w:rsid w:val="185D2F9A"/>
    <w:rsid w:val="188D7D23"/>
    <w:rsid w:val="18E67433"/>
    <w:rsid w:val="19BE3676"/>
    <w:rsid w:val="19F8741E"/>
    <w:rsid w:val="1A4C59BC"/>
    <w:rsid w:val="1A9831FC"/>
    <w:rsid w:val="1A98475D"/>
    <w:rsid w:val="1B5C1C2F"/>
    <w:rsid w:val="1BB750B7"/>
    <w:rsid w:val="1C177904"/>
    <w:rsid w:val="1C6E5776"/>
    <w:rsid w:val="1CAC629E"/>
    <w:rsid w:val="1CCC6940"/>
    <w:rsid w:val="1D903E12"/>
    <w:rsid w:val="1DA022A7"/>
    <w:rsid w:val="1DAB47A7"/>
    <w:rsid w:val="1DDF4451"/>
    <w:rsid w:val="1E3E561C"/>
    <w:rsid w:val="1ECC0E79"/>
    <w:rsid w:val="1F130856"/>
    <w:rsid w:val="1F176598"/>
    <w:rsid w:val="1F985146"/>
    <w:rsid w:val="1FD53D5E"/>
    <w:rsid w:val="216929AF"/>
    <w:rsid w:val="2208041A"/>
    <w:rsid w:val="22D402FC"/>
    <w:rsid w:val="22D40DFD"/>
    <w:rsid w:val="22F64717"/>
    <w:rsid w:val="231D7EF5"/>
    <w:rsid w:val="239857CE"/>
    <w:rsid w:val="23B048C6"/>
    <w:rsid w:val="23DC56BB"/>
    <w:rsid w:val="242F6132"/>
    <w:rsid w:val="24BE74B6"/>
    <w:rsid w:val="25EE5B79"/>
    <w:rsid w:val="269F0C21"/>
    <w:rsid w:val="26BD5C77"/>
    <w:rsid w:val="270311B0"/>
    <w:rsid w:val="270D202F"/>
    <w:rsid w:val="27654B97"/>
    <w:rsid w:val="27C154A3"/>
    <w:rsid w:val="288E0F4E"/>
    <w:rsid w:val="2A0B6CFA"/>
    <w:rsid w:val="2A383867"/>
    <w:rsid w:val="2A481CFC"/>
    <w:rsid w:val="2A7224F7"/>
    <w:rsid w:val="2A9C3DF6"/>
    <w:rsid w:val="2AC33130"/>
    <w:rsid w:val="2AF843F6"/>
    <w:rsid w:val="2B4A1AA4"/>
    <w:rsid w:val="2B8F395A"/>
    <w:rsid w:val="2BA2121F"/>
    <w:rsid w:val="2BE123B4"/>
    <w:rsid w:val="2BF33EE9"/>
    <w:rsid w:val="2C73502A"/>
    <w:rsid w:val="2C7E5091"/>
    <w:rsid w:val="2E2A0858"/>
    <w:rsid w:val="2EC27BA3"/>
    <w:rsid w:val="2F132664"/>
    <w:rsid w:val="2F5876BD"/>
    <w:rsid w:val="2F882B9B"/>
    <w:rsid w:val="2FA572A9"/>
    <w:rsid w:val="2FD45DE0"/>
    <w:rsid w:val="3058165E"/>
    <w:rsid w:val="3062163D"/>
    <w:rsid w:val="30AB0EC1"/>
    <w:rsid w:val="318A2BFA"/>
    <w:rsid w:val="31FD7870"/>
    <w:rsid w:val="33B977C6"/>
    <w:rsid w:val="33CF6FEA"/>
    <w:rsid w:val="33F151B2"/>
    <w:rsid w:val="35377B8C"/>
    <w:rsid w:val="35BF6BEA"/>
    <w:rsid w:val="36394BEF"/>
    <w:rsid w:val="366D6646"/>
    <w:rsid w:val="36876686"/>
    <w:rsid w:val="36FA25D0"/>
    <w:rsid w:val="37173543"/>
    <w:rsid w:val="374E0226"/>
    <w:rsid w:val="374E46CA"/>
    <w:rsid w:val="37977E1F"/>
    <w:rsid w:val="37EF103B"/>
    <w:rsid w:val="38A81BB8"/>
    <w:rsid w:val="38BC7962"/>
    <w:rsid w:val="38D17360"/>
    <w:rsid w:val="3A192D6D"/>
    <w:rsid w:val="3A296D28"/>
    <w:rsid w:val="3B286C5A"/>
    <w:rsid w:val="3B984165"/>
    <w:rsid w:val="3CE37662"/>
    <w:rsid w:val="3CEF368A"/>
    <w:rsid w:val="3D3E57D5"/>
    <w:rsid w:val="3D606F05"/>
    <w:rsid w:val="3D766728"/>
    <w:rsid w:val="3DBA03C3"/>
    <w:rsid w:val="3E522CF1"/>
    <w:rsid w:val="3F177A97"/>
    <w:rsid w:val="3F406FEE"/>
    <w:rsid w:val="3F4C39A3"/>
    <w:rsid w:val="3FB84DD6"/>
    <w:rsid w:val="3FDBA076"/>
    <w:rsid w:val="3FDFB3F0"/>
    <w:rsid w:val="3FDFC9A6"/>
    <w:rsid w:val="3FF76880"/>
    <w:rsid w:val="40512B35"/>
    <w:rsid w:val="416B7C26"/>
    <w:rsid w:val="417D2420"/>
    <w:rsid w:val="419D4283"/>
    <w:rsid w:val="436821E9"/>
    <w:rsid w:val="436B197B"/>
    <w:rsid w:val="449A2CFC"/>
    <w:rsid w:val="44D42D7D"/>
    <w:rsid w:val="455511B0"/>
    <w:rsid w:val="45967968"/>
    <w:rsid w:val="45FE550D"/>
    <w:rsid w:val="46603AD2"/>
    <w:rsid w:val="46800065"/>
    <w:rsid w:val="47D93B3C"/>
    <w:rsid w:val="47E50732"/>
    <w:rsid w:val="48664063"/>
    <w:rsid w:val="48D507A7"/>
    <w:rsid w:val="49223ECE"/>
    <w:rsid w:val="493F0316"/>
    <w:rsid w:val="4AE051E1"/>
    <w:rsid w:val="4B9745A8"/>
    <w:rsid w:val="4BCF3BD3"/>
    <w:rsid w:val="4CC90623"/>
    <w:rsid w:val="4D153868"/>
    <w:rsid w:val="4D267823"/>
    <w:rsid w:val="4D3D4B6D"/>
    <w:rsid w:val="4D5B4FF3"/>
    <w:rsid w:val="4DC71AF2"/>
    <w:rsid w:val="4DDB0115"/>
    <w:rsid w:val="4EC44F04"/>
    <w:rsid w:val="4EE71234"/>
    <w:rsid w:val="4F6208BA"/>
    <w:rsid w:val="4F83534C"/>
    <w:rsid w:val="50405124"/>
    <w:rsid w:val="50F9524E"/>
    <w:rsid w:val="51D27F79"/>
    <w:rsid w:val="51E701C7"/>
    <w:rsid w:val="52865DD9"/>
    <w:rsid w:val="541C372E"/>
    <w:rsid w:val="5479292E"/>
    <w:rsid w:val="54E370DF"/>
    <w:rsid w:val="56155027"/>
    <w:rsid w:val="56170651"/>
    <w:rsid w:val="56CA3AA1"/>
    <w:rsid w:val="56EB388B"/>
    <w:rsid w:val="571D65DC"/>
    <w:rsid w:val="57525C4F"/>
    <w:rsid w:val="575431DF"/>
    <w:rsid w:val="57587810"/>
    <w:rsid w:val="57833AC4"/>
    <w:rsid w:val="57EA3B43"/>
    <w:rsid w:val="58823C01"/>
    <w:rsid w:val="589E0EC5"/>
    <w:rsid w:val="58F533E1"/>
    <w:rsid w:val="59AD6F2B"/>
    <w:rsid w:val="59F12D91"/>
    <w:rsid w:val="5A02755C"/>
    <w:rsid w:val="5A783CE1"/>
    <w:rsid w:val="5AB67AAE"/>
    <w:rsid w:val="5B280C0A"/>
    <w:rsid w:val="5BFD4AC2"/>
    <w:rsid w:val="5C090A3C"/>
    <w:rsid w:val="5C0C22DA"/>
    <w:rsid w:val="5C4C0928"/>
    <w:rsid w:val="5DA87DE0"/>
    <w:rsid w:val="5E9D36BD"/>
    <w:rsid w:val="5EA52572"/>
    <w:rsid w:val="5EFD42DE"/>
    <w:rsid w:val="5F202580"/>
    <w:rsid w:val="5F5E14D3"/>
    <w:rsid w:val="5F85487D"/>
    <w:rsid w:val="60340051"/>
    <w:rsid w:val="60C24C13"/>
    <w:rsid w:val="60E43825"/>
    <w:rsid w:val="622540F5"/>
    <w:rsid w:val="626B762E"/>
    <w:rsid w:val="62B611F1"/>
    <w:rsid w:val="62C12F37"/>
    <w:rsid w:val="62C31218"/>
    <w:rsid w:val="62D63EE8"/>
    <w:rsid w:val="632C14B3"/>
    <w:rsid w:val="639826A5"/>
    <w:rsid w:val="63D913EB"/>
    <w:rsid w:val="63DC64F9"/>
    <w:rsid w:val="644C45CD"/>
    <w:rsid w:val="648D138E"/>
    <w:rsid w:val="64CC2606"/>
    <w:rsid w:val="64D453EC"/>
    <w:rsid w:val="655C6080"/>
    <w:rsid w:val="65733F81"/>
    <w:rsid w:val="65877D17"/>
    <w:rsid w:val="65D85E53"/>
    <w:rsid w:val="66325478"/>
    <w:rsid w:val="66E63727"/>
    <w:rsid w:val="670F747B"/>
    <w:rsid w:val="67759716"/>
    <w:rsid w:val="690C1B6B"/>
    <w:rsid w:val="699833FF"/>
    <w:rsid w:val="69DD3507"/>
    <w:rsid w:val="69EE1271"/>
    <w:rsid w:val="69F1073A"/>
    <w:rsid w:val="6A8F2938"/>
    <w:rsid w:val="6B0A20DA"/>
    <w:rsid w:val="6C423B0E"/>
    <w:rsid w:val="6C9C1458"/>
    <w:rsid w:val="6CD209D6"/>
    <w:rsid w:val="6DDB467E"/>
    <w:rsid w:val="6E3B07FD"/>
    <w:rsid w:val="6EB04D47"/>
    <w:rsid w:val="6ED21161"/>
    <w:rsid w:val="6F1B0C65"/>
    <w:rsid w:val="6F7ED27B"/>
    <w:rsid w:val="6FE56C72"/>
    <w:rsid w:val="702A2886"/>
    <w:rsid w:val="71186BD3"/>
    <w:rsid w:val="718D136F"/>
    <w:rsid w:val="72015AB3"/>
    <w:rsid w:val="726C5429"/>
    <w:rsid w:val="72A2709C"/>
    <w:rsid w:val="734D1F79"/>
    <w:rsid w:val="740D2766"/>
    <w:rsid w:val="74B135C7"/>
    <w:rsid w:val="74BD01BD"/>
    <w:rsid w:val="75841450"/>
    <w:rsid w:val="75B17A7C"/>
    <w:rsid w:val="76977170"/>
    <w:rsid w:val="76C025DC"/>
    <w:rsid w:val="77A613DD"/>
    <w:rsid w:val="79A13508"/>
    <w:rsid w:val="79A66679"/>
    <w:rsid w:val="79EB30D7"/>
    <w:rsid w:val="7A010B4C"/>
    <w:rsid w:val="7AB71B55"/>
    <w:rsid w:val="7AB7FF50"/>
    <w:rsid w:val="7AC322A6"/>
    <w:rsid w:val="7AEAF641"/>
    <w:rsid w:val="7B0C59FB"/>
    <w:rsid w:val="7BAD2729"/>
    <w:rsid w:val="7BFEB0DB"/>
    <w:rsid w:val="7C1D1542"/>
    <w:rsid w:val="7C66113B"/>
    <w:rsid w:val="7C713D85"/>
    <w:rsid w:val="7C887303"/>
    <w:rsid w:val="7CE81B50"/>
    <w:rsid w:val="7D015DA1"/>
    <w:rsid w:val="7D511DEB"/>
    <w:rsid w:val="7D7D2BE0"/>
    <w:rsid w:val="7DC91981"/>
    <w:rsid w:val="7E1E4721"/>
    <w:rsid w:val="7E3F66E5"/>
    <w:rsid w:val="7E61605D"/>
    <w:rsid w:val="7E9006F1"/>
    <w:rsid w:val="7FB126CD"/>
    <w:rsid w:val="7FFD5912"/>
    <w:rsid w:val="7FFF4E81"/>
    <w:rsid w:val="7FFFD0D3"/>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unhideWhenUsed/>
    <w:qFormat/>
    <w:uiPriority w:val="99"/>
    <w:pPr>
      <w:widowControl/>
      <w:spacing w:line="360" w:lineRule="auto"/>
      <w:jc w:val="right"/>
    </w:pPr>
    <w:rPr>
      <w:rFonts w:hint="eastAsia" w:ascii="Arial" w:hAnsi="Arial" w:eastAsia="仿宋" w:cs="Times New Roman"/>
      <w:kern w:val="0"/>
      <w:sz w:val="28"/>
      <w:szCs w:val="20"/>
    </w:rPr>
  </w:style>
  <w:style w:type="paragraph" w:styleId="5">
    <w:name w:val="Body Text Indent"/>
    <w:basedOn w:val="1"/>
    <w:next w:val="1"/>
    <w:qFormat/>
    <w:uiPriority w:val="0"/>
    <w:pPr>
      <w:spacing w:after="120"/>
      <w:ind w:left="420" w:leftChars="200"/>
    </w:pPr>
  </w:style>
  <w:style w:type="paragraph" w:styleId="6">
    <w:name w:val="Plain Text"/>
    <w:basedOn w:val="1"/>
    <w:next w:val="1"/>
    <w:qFormat/>
    <w:uiPriority w:val="0"/>
    <w:rPr>
      <w:rFonts w:ascii="宋体" w:hAnsi="宋体" w:cs="Courier New"/>
      <w:color w:val="000000"/>
      <w:szCs w:val="21"/>
    </w:rPr>
  </w:style>
  <w:style w:type="paragraph" w:styleId="7">
    <w:name w:val="footer"/>
    <w:basedOn w:val="1"/>
    <w:qFormat/>
    <w:uiPriority w:val="99"/>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next w:val="1"/>
    <w:qFormat/>
    <w:uiPriority w:val="0"/>
    <w:pPr>
      <w:spacing w:line="560" w:lineRule="exact"/>
      <w:ind w:left="0" w:leftChars="0" w:firstLine="420" w:firstLineChars="200"/>
    </w:pPr>
    <w:rPr>
      <w:rFonts w:ascii="仿宋_GB2312" w:hAnsi="仿宋_GB2312" w:eastAsia="仿宋_GB2312"/>
      <w:sz w:val="32"/>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paragraph" w:customStyle="1" w:styleId="14">
    <w:name w:val="列出段落1"/>
    <w:basedOn w:val="1"/>
    <w:qFormat/>
    <w:uiPriority w:val="34"/>
    <w:pPr>
      <w:ind w:firstLine="420" w:firstLineChars="200"/>
    </w:pPr>
    <w:rPr>
      <w:rFonts w:ascii="Calibri" w:hAnsi="Calibri" w:cs="黑体"/>
      <w:szCs w:val="22"/>
    </w:rPr>
  </w:style>
  <w:style w:type="character" w:customStyle="1" w:styleId="15">
    <w:name w:val="font31"/>
    <w:basedOn w:val="12"/>
    <w:qFormat/>
    <w:uiPriority w:val="0"/>
    <w:rPr>
      <w:rFonts w:hint="eastAsia" w:ascii="宋体" w:hAnsi="宋体" w:eastAsia="宋体" w:cs="宋体"/>
      <w:color w:val="000000"/>
      <w:sz w:val="20"/>
      <w:szCs w:val="20"/>
      <w:u w:val="none"/>
    </w:rPr>
  </w:style>
  <w:style w:type="character" w:customStyle="1" w:styleId="16">
    <w:name w:val="font21"/>
    <w:basedOn w:val="12"/>
    <w:qFormat/>
    <w:uiPriority w:val="0"/>
    <w:rPr>
      <w:rFonts w:hint="eastAsia" w:ascii="宋体" w:hAnsi="宋体" w:eastAsia="宋体" w:cs="宋体"/>
      <w:color w:val="000000"/>
      <w:sz w:val="18"/>
      <w:szCs w:val="18"/>
      <w:u w:val="none"/>
    </w:rPr>
  </w:style>
  <w:style w:type="character" w:customStyle="1" w:styleId="17">
    <w:name w:val="font41"/>
    <w:basedOn w:val="12"/>
    <w:qFormat/>
    <w:uiPriority w:val="0"/>
    <w:rPr>
      <w:rFonts w:hint="eastAsia" w:ascii="宋体" w:hAnsi="宋体" w:eastAsia="宋体" w:cs="宋体"/>
      <w:b/>
      <w:bCs/>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1915</Words>
  <Characters>1963</Characters>
  <Lines>0</Lines>
  <Paragraphs>0</Paragraphs>
  <TotalTime>4</TotalTime>
  <ScaleCrop>false</ScaleCrop>
  <LinksUpToDate>false</LinksUpToDate>
  <CharactersWithSpaces>1964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2022-03-14T19:16:00Z</dcterms:created>
  <dc:creator>user</dc:creator>
  <cp:lastModifiedBy>李晶</cp:lastModifiedBy>
  <cp:lastPrinted>2023-03-06T01:31:00Z</cp:lastPrinted>
  <dcterms:modified xsi:type="dcterms:W3CDTF">2025-08-27T01:26:03Z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3BD8E1B9ADB44F5C9F116C23E4C081CD_13</vt:lpwstr>
  </property>
  <property fmtid="{D5CDD505-2E9C-101B-9397-08002B2CF9AE}" pid="4" name="KSOTemplateDocerSaveRecord">
    <vt:lpwstr>eyJoZGlkIjoiMjA5NzhkMjI1ZTlmYzFlNTg5ZWNmMzBmYmU4MDA4OTgiLCJ1c2VySWQiOiI3OTAxMjUyMzcifQ==</vt:lpwstr>
  </property>
</Properties>
</file>