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B94C4">
      <w:pPr>
        <w:spacing w:before="120" w:after="120"/>
        <w:jc w:val="center"/>
        <w:rPr>
          <w:rFonts w:ascii="Times New Roman" w:hAnsi="Times New Roman"/>
          <w:b/>
          <w:bCs/>
          <w:sz w:val="36"/>
          <w:szCs w:val="36"/>
        </w:rPr>
      </w:pPr>
      <w:r>
        <w:rPr>
          <w:rFonts w:hint="eastAsia" w:ascii="Times New Roman" w:hAnsi="Times New Roman"/>
          <w:b/>
          <w:bCs/>
          <w:sz w:val="36"/>
          <w:szCs w:val="36"/>
        </w:rPr>
        <w:t>北京市密云区人民检察院</w:t>
      </w:r>
    </w:p>
    <w:p w14:paraId="11E44CAC">
      <w:pPr>
        <w:spacing w:before="120" w:after="120"/>
        <w:jc w:val="center"/>
        <w:rPr>
          <w:rFonts w:ascii="宋体" w:hAnsi="宋体" w:cs="仿宋_GB2312"/>
          <w:b/>
          <w:sz w:val="44"/>
          <w:szCs w:val="44"/>
        </w:rPr>
      </w:pPr>
      <w:r>
        <w:rPr>
          <w:rFonts w:hint="eastAsia" w:ascii="Times New Roman" w:hAnsi="Times New Roman"/>
          <w:b/>
          <w:bCs/>
          <w:sz w:val="36"/>
          <w:szCs w:val="36"/>
          <w:lang w:val="en-US" w:eastAsia="zh-CN"/>
        </w:rPr>
        <w:t>2024年度</w:t>
      </w:r>
      <w:r>
        <w:rPr>
          <w:rFonts w:hint="eastAsia" w:ascii="Times New Roman" w:hAnsi="Times New Roman"/>
          <w:b/>
          <w:bCs/>
          <w:sz w:val="36"/>
          <w:szCs w:val="36"/>
        </w:rPr>
        <w:t>信息化运维费项目绩效评价报告</w:t>
      </w:r>
    </w:p>
    <w:p w14:paraId="4D4AE731">
      <w:pPr>
        <w:spacing w:line="360" w:lineRule="auto"/>
        <w:ind w:firstLine="640" w:firstLineChars="200"/>
        <w:rPr>
          <w:rFonts w:ascii="仿宋_GB2312" w:eastAsia="仿宋_GB2312" w:cs="仿宋_GB2312"/>
          <w:sz w:val="32"/>
          <w:szCs w:val="32"/>
        </w:rPr>
      </w:pPr>
      <w:bookmarkStart w:id="0" w:name="_Toc375717368"/>
    </w:p>
    <w:p w14:paraId="5E303E7A">
      <w:pPr>
        <w:pStyle w:val="2"/>
        <w:spacing w:line="360" w:lineRule="auto"/>
        <w:ind w:left="0" w:leftChars="0" w:firstLine="640" w:firstLineChars="200"/>
        <w:rPr>
          <w:rFonts w:ascii="黑体" w:hAnsi="黑体" w:eastAsia="黑体"/>
          <w:b w:val="0"/>
          <w:szCs w:val="32"/>
        </w:rPr>
      </w:pPr>
      <w:bookmarkStart w:id="1" w:name="_Toc424911755"/>
      <w:bookmarkStart w:id="2" w:name="_Toc19512"/>
      <w:r>
        <w:rPr>
          <w:rFonts w:hint="eastAsia" w:ascii="黑体" w:hAnsi="黑体" w:eastAsia="黑体"/>
          <w:b w:val="0"/>
          <w:szCs w:val="32"/>
        </w:rPr>
        <w:t>一、</w:t>
      </w:r>
      <w:bookmarkEnd w:id="0"/>
      <w:bookmarkEnd w:id="1"/>
      <w:bookmarkStart w:id="3" w:name="_Toc375717369"/>
      <w:r>
        <w:rPr>
          <w:rFonts w:hint="eastAsia" w:ascii="黑体" w:hAnsi="黑体" w:eastAsia="黑体"/>
          <w:b w:val="0"/>
          <w:szCs w:val="32"/>
        </w:rPr>
        <w:t>基本情况</w:t>
      </w:r>
      <w:bookmarkEnd w:id="2"/>
    </w:p>
    <w:p w14:paraId="305348B8">
      <w:pPr>
        <w:pStyle w:val="3"/>
        <w:keepNext w:val="0"/>
        <w:keepLines w:val="0"/>
        <w:spacing w:before="0" w:after="0" w:line="360" w:lineRule="auto"/>
        <w:ind w:firstLine="640" w:firstLineChars="200"/>
        <w:rPr>
          <w:rFonts w:ascii="楷体" w:hAnsi="楷体" w:eastAsia="楷体"/>
          <w:b w:val="0"/>
        </w:rPr>
      </w:pPr>
      <w:bookmarkStart w:id="4" w:name="_Toc424911756"/>
      <w:bookmarkStart w:id="5" w:name="_Toc10466"/>
      <w:r>
        <w:rPr>
          <w:rFonts w:hint="eastAsia" w:ascii="仿宋_GB2312" w:hAnsi="仿宋_GB2312" w:eastAsia="仿宋_GB2312" w:cs="仿宋_GB2312"/>
          <w:b w:val="0"/>
        </w:rPr>
        <w:t>（一）项目概况</w:t>
      </w:r>
      <w:bookmarkEnd w:id="3"/>
      <w:bookmarkEnd w:id="4"/>
      <w:bookmarkEnd w:id="5"/>
      <w:bookmarkStart w:id="6" w:name="_Toc375717370"/>
    </w:p>
    <w:p w14:paraId="13B4B808">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密云区人民检察院信息化已经完全融入了检察业务和办公工作，检察业务信息化多元化发展和信息技术的快速更新，检察机关统一业务应用系统运行维护次数明显增加，难度有所增强，为了进一步管理和完善运维服务体系，聘请专业技术人员提供科学、规范、高质量的信息化运维管理服务。具体运维内容包括现有机房所有主机系统、网络系统、安防系统，检察机关统一业务应用系统和网站应用系统。</w:t>
      </w:r>
    </w:p>
    <w:p w14:paraId="66205E70">
      <w:pPr>
        <w:pStyle w:val="3"/>
        <w:spacing w:before="0" w:after="0" w:line="360" w:lineRule="auto"/>
        <w:ind w:firstLine="640" w:firstLineChars="200"/>
        <w:rPr>
          <w:rFonts w:ascii="仿宋_GB2312" w:hAnsi="仿宋_GB2312" w:eastAsia="仿宋_GB2312" w:cs="仿宋_GB2312"/>
          <w:b w:val="0"/>
        </w:rPr>
      </w:pPr>
      <w:bookmarkStart w:id="7" w:name="_Toc11746"/>
      <w:bookmarkStart w:id="8" w:name="_Toc424911757"/>
      <w:r>
        <w:rPr>
          <w:rFonts w:hint="eastAsia" w:ascii="仿宋_GB2312" w:hAnsi="仿宋_GB2312" w:eastAsia="仿宋_GB2312" w:cs="仿宋_GB2312"/>
          <w:b w:val="0"/>
        </w:rPr>
        <w:t>（二）</w:t>
      </w:r>
      <w:bookmarkEnd w:id="6"/>
      <w:bookmarkEnd w:id="7"/>
      <w:bookmarkEnd w:id="8"/>
      <w:r>
        <w:rPr>
          <w:rFonts w:hint="eastAsia" w:ascii="仿宋_GB2312" w:hAnsi="仿宋_GB2312" w:eastAsia="仿宋_GB2312" w:cs="仿宋_GB2312"/>
          <w:b w:val="0"/>
        </w:rPr>
        <w:t>项目资金投入和使用情况</w:t>
      </w:r>
    </w:p>
    <w:p w14:paraId="2F0D023F">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02</w:t>
      </w:r>
      <w:r>
        <w:rPr>
          <w:rFonts w:hint="eastAsia" w:ascii="仿宋_GB2312" w:eastAsia="仿宋_GB2312" w:cs="仿宋_GB2312"/>
          <w:sz w:val="32"/>
          <w:szCs w:val="32"/>
        </w:rPr>
        <w:t>4年度，信息化运维费项目</w:t>
      </w:r>
      <w:r>
        <w:rPr>
          <w:rFonts w:ascii="仿宋_GB2312" w:eastAsia="仿宋_GB2312" w:cs="仿宋_GB2312"/>
          <w:sz w:val="32"/>
          <w:szCs w:val="32"/>
        </w:rPr>
        <w:t>申请</w:t>
      </w:r>
      <w:r>
        <w:rPr>
          <w:rFonts w:hint="eastAsia" w:ascii="仿宋_GB2312" w:eastAsia="仿宋_GB2312" w:cs="仿宋_GB2312"/>
          <w:sz w:val="32"/>
          <w:szCs w:val="32"/>
        </w:rPr>
        <w:t>财政预算资金</w:t>
      </w:r>
      <w:r>
        <w:rPr>
          <w:rFonts w:ascii="仿宋_GB2312" w:eastAsia="仿宋_GB2312" w:cs="仿宋_GB2312"/>
          <w:sz w:val="32"/>
          <w:szCs w:val="32"/>
        </w:rPr>
        <w:t>5</w:t>
      </w:r>
      <w:r>
        <w:rPr>
          <w:rFonts w:hint="eastAsia" w:ascii="仿宋_GB2312" w:eastAsia="仿宋_GB2312" w:cs="仿宋_GB2312"/>
          <w:sz w:val="32"/>
          <w:szCs w:val="32"/>
        </w:rPr>
        <w:t>3.00万元，实际批复预算资金</w:t>
      </w:r>
      <w:r>
        <w:rPr>
          <w:rFonts w:ascii="仿宋_GB2312" w:eastAsia="仿宋_GB2312" w:cs="仿宋_GB2312"/>
          <w:sz w:val="32"/>
          <w:szCs w:val="32"/>
        </w:rPr>
        <w:t>5</w:t>
      </w:r>
      <w:r>
        <w:rPr>
          <w:rFonts w:hint="eastAsia" w:ascii="仿宋_GB2312" w:eastAsia="仿宋_GB2312" w:cs="仿宋_GB2312"/>
          <w:sz w:val="32"/>
          <w:szCs w:val="32"/>
        </w:rPr>
        <w:t>2.80万元。截至2024年12月31日，项目资金支出金额</w:t>
      </w:r>
      <w:r>
        <w:rPr>
          <w:rFonts w:ascii="仿宋_GB2312" w:eastAsia="仿宋_GB2312" w:cs="仿宋_GB2312"/>
          <w:sz w:val="32"/>
          <w:szCs w:val="32"/>
        </w:rPr>
        <w:t>52.80</w:t>
      </w:r>
      <w:r>
        <w:rPr>
          <w:rFonts w:hint="eastAsia" w:ascii="仿宋_GB2312" w:eastAsia="仿宋_GB2312" w:cs="仿宋_GB2312"/>
          <w:sz w:val="32"/>
          <w:szCs w:val="32"/>
        </w:rPr>
        <w:t>万元，预算执行率99.62</w:t>
      </w:r>
      <w:r>
        <w:rPr>
          <w:rFonts w:ascii="仿宋_GB2312" w:eastAsia="仿宋_GB2312" w:cs="仿宋_GB2312"/>
          <w:sz w:val="32"/>
          <w:szCs w:val="32"/>
        </w:rPr>
        <w:t>%</w:t>
      </w:r>
      <w:r>
        <w:rPr>
          <w:rFonts w:hint="eastAsia" w:ascii="仿宋_GB2312" w:eastAsia="仿宋_GB2312" w:cs="仿宋_GB2312"/>
          <w:sz w:val="32"/>
          <w:szCs w:val="32"/>
        </w:rPr>
        <w:t>。</w:t>
      </w:r>
      <w:bookmarkStart w:id="9" w:name="_Toc424911758"/>
      <w:bookmarkStart w:id="10" w:name="_Toc375717371"/>
    </w:p>
    <w:p w14:paraId="5AB4DC28">
      <w:pPr>
        <w:pStyle w:val="3"/>
        <w:spacing w:before="0" w:after="0" w:line="360" w:lineRule="auto"/>
        <w:ind w:firstLine="640" w:firstLineChars="200"/>
        <w:rPr>
          <w:rFonts w:ascii="楷体" w:hAnsi="楷体" w:eastAsia="楷体"/>
          <w:b w:val="0"/>
        </w:rPr>
      </w:pPr>
      <w:bookmarkStart w:id="11" w:name="_Toc28571"/>
      <w:r>
        <w:rPr>
          <w:rFonts w:hint="eastAsia" w:ascii="仿宋_GB2312" w:hAnsi="仿宋_GB2312" w:eastAsia="仿宋_GB2312" w:cs="仿宋_GB2312"/>
          <w:b w:val="0"/>
        </w:rPr>
        <w:t>（三）项目绩效目标</w:t>
      </w:r>
      <w:bookmarkEnd w:id="9"/>
      <w:bookmarkEnd w:id="10"/>
      <w:bookmarkEnd w:id="11"/>
    </w:p>
    <w:p w14:paraId="3C95623B">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密云区人民检察院信息化已经完全融入了检察业务和办公工作，检察业务信息化多元化发展和信息技术的快速更新，检察机关统一业务应用系统运行维护次数明显增加，难度有所增强，为了进一步管理和完善运维服务体系，聘请专业技术人员提供科学、规范、高质量的信息化运维管理服务。</w:t>
      </w:r>
    </w:p>
    <w:p w14:paraId="76500E14">
      <w:pPr>
        <w:pStyle w:val="2"/>
        <w:spacing w:line="360" w:lineRule="auto"/>
        <w:ind w:left="0" w:leftChars="0" w:firstLine="640" w:firstLineChars="200"/>
        <w:rPr>
          <w:rFonts w:ascii="黑体" w:hAnsi="黑体" w:eastAsia="黑体"/>
          <w:b w:val="0"/>
          <w:szCs w:val="32"/>
        </w:rPr>
      </w:pPr>
      <w:bookmarkStart w:id="12" w:name="_Toc424911759"/>
      <w:bookmarkStart w:id="13" w:name="_Toc375717372"/>
      <w:bookmarkStart w:id="14" w:name="_Toc4916"/>
      <w:r>
        <w:rPr>
          <w:rFonts w:hint="eastAsia" w:ascii="黑体" w:hAnsi="黑体" w:eastAsia="黑体"/>
          <w:b w:val="0"/>
          <w:szCs w:val="32"/>
        </w:rPr>
        <w:t>二、绩效评价工作</w:t>
      </w:r>
      <w:bookmarkEnd w:id="12"/>
      <w:bookmarkEnd w:id="13"/>
      <w:r>
        <w:rPr>
          <w:rFonts w:hint="eastAsia" w:ascii="黑体" w:hAnsi="黑体" w:eastAsia="黑体"/>
          <w:b w:val="0"/>
          <w:szCs w:val="32"/>
        </w:rPr>
        <w:t>开展情况</w:t>
      </w:r>
      <w:bookmarkEnd w:id="14"/>
      <w:r>
        <w:rPr>
          <w:rFonts w:ascii="黑体" w:hAnsi="黑体" w:eastAsia="黑体"/>
          <w:b w:val="0"/>
          <w:szCs w:val="32"/>
        </w:rPr>
        <w:tab/>
      </w:r>
    </w:p>
    <w:p w14:paraId="4120B499">
      <w:pPr>
        <w:pStyle w:val="3"/>
        <w:keepNext w:val="0"/>
        <w:keepLines w:val="0"/>
        <w:spacing w:before="0" w:after="0" w:line="360" w:lineRule="auto"/>
        <w:ind w:firstLine="640" w:firstLineChars="200"/>
        <w:rPr>
          <w:rFonts w:ascii="仿宋_GB2312" w:hAnsi="仿宋_GB2312" w:eastAsia="仿宋_GB2312" w:cs="仿宋_GB2312"/>
          <w:b w:val="0"/>
        </w:rPr>
      </w:pPr>
      <w:bookmarkStart w:id="15" w:name="_Toc375717373"/>
      <w:bookmarkStart w:id="16" w:name="_Toc424911760"/>
      <w:bookmarkStart w:id="17" w:name="_Toc7506"/>
      <w:r>
        <w:rPr>
          <w:rFonts w:hint="eastAsia" w:ascii="仿宋_GB2312" w:hAnsi="仿宋_GB2312" w:eastAsia="仿宋_GB2312" w:cs="仿宋_GB2312"/>
          <w:b w:val="0"/>
        </w:rPr>
        <w:t>（一）</w:t>
      </w:r>
      <w:bookmarkEnd w:id="15"/>
      <w:bookmarkEnd w:id="16"/>
      <w:r>
        <w:rPr>
          <w:rFonts w:hint="eastAsia" w:ascii="仿宋_GB2312" w:hAnsi="仿宋_GB2312" w:eastAsia="仿宋_GB2312" w:cs="仿宋_GB2312"/>
          <w:b w:val="0"/>
        </w:rPr>
        <w:t>绩效评价目的、对象和范围</w:t>
      </w:r>
      <w:bookmarkEnd w:id="17"/>
    </w:p>
    <w:p w14:paraId="65FE0C7D">
      <w:pPr>
        <w:spacing w:line="360" w:lineRule="auto"/>
        <w:ind w:firstLine="640" w:firstLineChars="200"/>
        <w:rPr>
          <w:rFonts w:ascii="楷体" w:hAnsi="楷体" w:eastAsia="楷体"/>
          <w:sz w:val="32"/>
          <w:szCs w:val="32"/>
        </w:rPr>
      </w:pPr>
      <w:bookmarkStart w:id="18" w:name="_Toc16735"/>
      <w:r>
        <w:rPr>
          <w:rFonts w:ascii="仿宋_GB2312" w:hAnsi="仿宋_GB2312" w:eastAsia="仿宋_GB2312" w:cs="仿宋_GB2312"/>
          <w:sz w:val="32"/>
          <w:szCs w:val="32"/>
        </w:rPr>
        <w:t>1.评价目的</w:t>
      </w:r>
      <w:bookmarkEnd w:id="18"/>
      <w:r>
        <w:rPr>
          <w:rFonts w:ascii="楷体" w:hAnsi="楷体" w:eastAsia="楷体"/>
          <w:sz w:val="32"/>
          <w:szCs w:val="32"/>
        </w:rPr>
        <w:tab/>
      </w:r>
    </w:p>
    <w:p w14:paraId="120A4DCB">
      <w:pPr>
        <w:spacing w:line="360" w:lineRule="auto"/>
        <w:ind w:firstLine="640" w:firstLineChars="200"/>
      </w:pPr>
      <w:r>
        <w:rPr>
          <w:rFonts w:hint="eastAsia" w:ascii="仿宋_GB2312" w:eastAsia="仿宋_GB2312" w:cs="仿宋_GB2312"/>
          <w:sz w:val="32"/>
          <w:szCs w:val="32"/>
        </w:rPr>
        <w:t>本次绩效评价是为了全面分析和综合评价区检察院信息化运维费投入的效果，重点评价项目决策程序的规范性；绩效目标的有效性；预算执行和项目实施的规范性;财政资金使用的合规性、经济性和效率性；预算支出的效果性。为进一步规范内部管理、提高财政资金使用效益，强化预算支出的责任和效率提供参考依据。</w:t>
      </w:r>
    </w:p>
    <w:p w14:paraId="24DA8AE4">
      <w:pPr>
        <w:spacing w:line="360" w:lineRule="auto"/>
        <w:ind w:firstLine="640" w:firstLineChars="200"/>
        <w:rPr>
          <w:rFonts w:ascii="楷体" w:hAnsi="楷体" w:eastAsia="仿宋_GB2312"/>
          <w:sz w:val="32"/>
          <w:szCs w:val="32"/>
        </w:rPr>
      </w:pPr>
      <w:bookmarkStart w:id="19" w:name="_Toc21636"/>
      <w:r>
        <w:rPr>
          <w:rFonts w:hint="eastAsia" w:ascii="仿宋_GB2312" w:hAnsi="仿宋_GB2312" w:eastAsia="仿宋_GB2312" w:cs="仿宋_GB2312"/>
          <w:sz w:val="32"/>
          <w:szCs w:val="32"/>
        </w:rPr>
        <w:t>2.</w:t>
      </w:r>
      <w:bookmarkEnd w:id="19"/>
      <w:r>
        <w:rPr>
          <w:rFonts w:hint="eastAsia" w:ascii="仿宋_GB2312" w:hAnsi="仿宋_GB2312" w:eastAsia="仿宋_GB2312" w:cs="仿宋_GB2312"/>
          <w:sz w:val="32"/>
          <w:szCs w:val="32"/>
        </w:rPr>
        <w:t>评价对象</w:t>
      </w:r>
    </w:p>
    <w:p w14:paraId="6088C2E8">
      <w:pPr>
        <w:spacing w:line="360" w:lineRule="auto"/>
        <w:ind w:firstLine="640" w:firstLineChars="200"/>
        <w:rPr>
          <w:rFonts w:ascii="仿宋_GB2312" w:eastAsia="仿宋_GB2312" w:cs="仿宋_GB2312"/>
          <w:sz w:val="32"/>
          <w:szCs w:val="32"/>
        </w:rPr>
      </w:pPr>
      <w:bookmarkStart w:id="20" w:name="_Toc9726"/>
      <w:r>
        <w:rPr>
          <w:rFonts w:hint="eastAsia" w:ascii="仿宋_GB2312" w:eastAsia="仿宋_GB2312" w:cs="仿宋_GB2312"/>
          <w:sz w:val="32"/>
          <w:szCs w:val="32"/>
        </w:rPr>
        <w:t>密云区人民检察院2</w:t>
      </w:r>
      <w:r>
        <w:rPr>
          <w:rFonts w:ascii="仿宋_GB2312" w:eastAsia="仿宋_GB2312" w:cs="仿宋_GB2312"/>
          <w:sz w:val="32"/>
          <w:szCs w:val="32"/>
        </w:rPr>
        <w:t>02</w:t>
      </w:r>
      <w:r>
        <w:rPr>
          <w:rFonts w:hint="eastAsia" w:ascii="仿宋_GB2312" w:eastAsia="仿宋_GB2312" w:cs="仿宋_GB2312"/>
          <w:sz w:val="32"/>
          <w:szCs w:val="32"/>
        </w:rPr>
        <w:t>4年信息化运维费项目，涉及评价金额</w:t>
      </w:r>
      <w:r>
        <w:rPr>
          <w:rFonts w:ascii="仿宋_GB2312" w:eastAsia="仿宋_GB2312" w:cs="仿宋_GB2312"/>
          <w:sz w:val="32"/>
          <w:szCs w:val="32"/>
        </w:rPr>
        <w:t>5</w:t>
      </w:r>
      <w:r>
        <w:rPr>
          <w:rFonts w:hint="eastAsia" w:ascii="仿宋_GB2312" w:eastAsia="仿宋_GB2312" w:cs="仿宋_GB2312"/>
          <w:sz w:val="32"/>
          <w:szCs w:val="32"/>
        </w:rPr>
        <w:t>2.80万元。</w:t>
      </w:r>
    </w:p>
    <w:bookmarkEnd w:id="20"/>
    <w:p w14:paraId="71B54AC3">
      <w:pPr>
        <w:spacing w:line="360" w:lineRule="auto"/>
        <w:ind w:firstLine="640" w:firstLineChars="200"/>
        <w:rPr>
          <w:rFonts w:ascii="楷体" w:hAnsi="楷体" w:eastAsia="楷体"/>
          <w:sz w:val="32"/>
          <w:szCs w:val="32"/>
        </w:rPr>
      </w:pPr>
      <w:bookmarkStart w:id="21" w:name="_Toc27284"/>
      <w:r>
        <w:rPr>
          <w:rFonts w:ascii="仿宋_GB2312" w:hAnsi="仿宋_GB2312" w:eastAsia="仿宋_GB2312" w:cs="仿宋_GB2312"/>
          <w:sz w:val="32"/>
          <w:szCs w:val="32"/>
        </w:rPr>
        <w:t>3.评价对象和范围</w:t>
      </w:r>
      <w:bookmarkEnd w:id="21"/>
      <w:r>
        <w:rPr>
          <w:rFonts w:ascii="楷体" w:hAnsi="楷体" w:eastAsia="楷体"/>
          <w:sz w:val="32"/>
          <w:szCs w:val="32"/>
        </w:rPr>
        <w:tab/>
      </w:r>
    </w:p>
    <w:p w14:paraId="6E9B652B">
      <w:pPr>
        <w:spacing w:line="360" w:lineRule="auto"/>
        <w:ind w:firstLine="640" w:firstLineChars="200"/>
        <w:rPr>
          <w:rFonts w:ascii="仿宋_GB2312" w:eastAsia="仿宋_GB2312"/>
          <w:sz w:val="32"/>
          <w:szCs w:val="32"/>
        </w:rPr>
      </w:pPr>
      <w:r>
        <w:rPr>
          <w:rFonts w:hint="eastAsia" w:ascii="仿宋_GB2312" w:eastAsia="仿宋_GB2312"/>
          <w:sz w:val="32"/>
          <w:szCs w:val="32"/>
        </w:rPr>
        <w:t>从项目决策、项目过程、项目产出、项目效益四个方面进行综合评价。</w:t>
      </w:r>
    </w:p>
    <w:p w14:paraId="62FAA1E7">
      <w:pPr>
        <w:spacing w:line="360" w:lineRule="auto"/>
        <w:ind w:firstLine="640" w:firstLineChars="200"/>
        <w:rPr>
          <w:rFonts w:ascii="仿宋_GB2312" w:eastAsia="仿宋_GB2312"/>
          <w:sz w:val="32"/>
          <w:szCs w:val="32"/>
        </w:rPr>
      </w:pPr>
      <w:r>
        <w:rPr>
          <w:rFonts w:hint="eastAsia" w:ascii="仿宋_GB2312" w:eastAsia="仿宋_GB2312"/>
          <w:sz w:val="32"/>
          <w:szCs w:val="32"/>
        </w:rPr>
        <w:t>项目决策方面。重点关注项目立项依据是否充分、立项程序是否规范，绩效目标设置是否合理、绩效指标是否明确，预算编制是否科学、资金分配是否合理。</w:t>
      </w:r>
    </w:p>
    <w:p w14:paraId="5BAB31EA">
      <w:pPr>
        <w:spacing w:line="360" w:lineRule="auto"/>
        <w:ind w:firstLine="640" w:firstLineChars="200"/>
        <w:rPr>
          <w:rFonts w:ascii="仿宋_GB2312" w:eastAsia="仿宋_GB2312"/>
          <w:sz w:val="32"/>
          <w:szCs w:val="32"/>
        </w:rPr>
      </w:pPr>
      <w:r>
        <w:rPr>
          <w:rFonts w:hint="eastAsia" w:ascii="仿宋_GB2312" w:eastAsia="仿宋_GB2312"/>
          <w:sz w:val="32"/>
          <w:szCs w:val="32"/>
        </w:rPr>
        <w:t>项目过程方面。重点关注资金管理情况、预算执行情况、资金规范运行情况，政府采购执行情况，对承接主体的管理情况，项目管理制度建设情况。</w:t>
      </w:r>
    </w:p>
    <w:p w14:paraId="662ED910">
      <w:pPr>
        <w:spacing w:line="360" w:lineRule="auto"/>
        <w:ind w:firstLine="640" w:firstLineChars="200"/>
        <w:rPr>
          <w:rFonts w:ascii="仿宋_GB2312" w:eastAsia="仿宋_GB2312"/>
          <w:sz w:val="32"/>
          <w:szCs w:val="32"/>
        </w:rPr>
      </w:pPr>
      <w:r>
        <w:rPr>
          <w:rFonts w:hint="eastAsia" w:ascii="仿宋_GB2312" w:eastAsia="仿宋_GB2312"/>
          <w:sz w:val="32"/>
          <w:szCs w:val="32"/>
        </w:rPr>
        <w:t>项目产出方面。重点关注项目实际完成情况、质量达标情况、产出时效情况以及成本控制与节约情况。</w:t>
      </w:r>
    </w:p>
    <w:p w14:paraId="450680E8">
      <w:pPr>
        <w:spacing w:line="360" w:lineRule="auto"/>
        <w:ind w:firstLine="640" w:firstLineChars="200"/>
        <w:rPr>
          <w:rFonts w:ascii="仿宋_GB2312" w:eastAsia="仿宋_GB2312"/>
          <w:sz w:val="32"/>
          <w:szCs w:val="32"/>
        </w:rPr>
      </w:pPr>
      <w:r>
        <w:rPr>
          <w:rFonts w:hint="eastAsia" w:ascii="仿宋_GB2312" w:eastAsia="仿宋_GB2312"/>
          <w:sz w:val="32"/>
          <w:szCs w:val="32"/>
        </w:rPr>
        <w:t>项目效益方面。重点关注项目实施所产生的效益以及社会公众或服务对象对项目实施效果的满意程度等情况。</w:t>
      </w:r>
    </w:p>
    <w:p w14:paraId="4016CFF2">
      <w:pPr>
        <w:pStyle w:val="3"/>
        <w:spacing w:before="0" w:after="0" w:line="360" w:lineRule="auto"/>
        <w:ind w:firstLine="640" w:firstLineChars="200"/>
        <w:rPr>
          <w:rFonts w:ascii="仿宋_GB2312" w:hAnsi="仿宋_GB2312" w:eastAsia="仿宋_GB2312" w:cs="仿宋_GB2312"/>
          <w:b w:val="0"/>
        </w:rPr>
      </w:pPr>
      <w:r>
        <w:rPr>
          <w:rFonts w:hint="eastAsia" w:ascii="仿宋_GB2312" w:hAnsi="仿宋_GB2312" w:eastAsia="仿宋_GB2312" w:cs="仿宋_GB2312"/>
          <w:b w:val="0"/>
        </w:rPr>
        <w:t>（二）绩效评价原则、评价指标体系、评价方法、评价标准</w:t>
      </w:r>
    </w:p>
    <w:p w14:paraId="251ECBEE">
      <w:pPr>
        <w:spacing w:line="360" w:lineRule="auto"/>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绩效评价原则及方法</w:t>
      </w:r>
    </w:p>
    <w:p w14:paraId="47932832">
      <w:pPr>
        <w:spacing w:line="360" w:lineRule="auto"/>
        <w:ind w:firstLine="640" w:firstLineChars="200"/>
        <w:rPr>
          <w:rFonts w:ascii="仿宋_GB2312" w:eastAsia="仿宋_GB2312"/>
          <w:sz w:val="32"/>
          <w:szCs w:val="32"/>
        </w:rPr>
      </w:pPr>
      <w:r>
        <w:rPr>
          <w:rFonts w:hint="eastAsia" w:ascii="仿宋_GB2312" w:eastAsia="仿宋_GB2312"/>
          <w:sz w:val="32"/>
          <w:szCs w:val="32"/>
        </w:rPr>
        <w:t>本次评价工作遵循“客观、公正、科学、规范”的原则，重点围绕项目使用公共财政资金的经济性、效率性、效果性进行分析与评价。结合本项目特点，主要采用的方法是预期目标实现程度的比对法、因素分析法、成本分析法以及定性分析和定量评价相结合的方法。</w:t>
      </w:r>
    </w:p>
    <w:p w14:paraId="35EDA661">
      <w:pPr>
        <w:spacing w:line="360" w:lineRule="auto"/>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指标体系与评分标准</w:t>
      </w:r>
    </w:p>
    <w:p w14:paraId="78C6E983">
      <w:pPr>
        <w:spacing w:line="360" w:lineRule="auto"/>
        <w:ind w:firstLine="640" w:firstLineChars="200"/>
        <w:rPr>
          <w:rFonts w:ascii="仿宋_GB2312" w:eastAsia="仿宋_GB2312"/>
          <w:sz w:val="32"/>
          <w:szCs w:val="32"/>
        </w:rPr>
      </w:pPr>
      <w:r>
        <w:rPr>
          <w:rFonts w:hint="eastAsia" w:ascii="仿宋_GB2312" w:eastAsia="仿宋_GB2312"/>
          <w:sz w:val="32"/>
          <w:szCs w:val="32"/>
        </w:rPr>
        <w:t>本次绩效评价指标体系的设置以资金使用结果为导向，依据绩效评价指标体系的三级指标，结合该项目的特点及资金使用的具体情况进行指标分解，设定了本次评价指标值和权重，重点对项目决策、项目过程、项目产出、项目效益进行综合评价。</w:t>
      </w:r>
    </w:p>
    <w:p w14:paraId="4795F95C">
      <w:pPr>
        <w:pStyle w:val="3"/>
        <w:spacing w:before="0" w:after="0" w:line="360" w:lineRule="auto"/>
        <w:ind w:firstLine="640" w:firstLineChars="200"/>
        <w:rPr>
          <w:rFonts w:ascii="仿宋_GB2312" w:hAnsi="仿宋_GB2312" w:eastAsia="仿宋_GB2312" w:cs="仿宋_GB2312"/>
          <w:b w:val="0"/>
        </w:rPr>
      </w:pPr>
      <w:r>
        <w:rPr>
          <w:rFonts w:hint="eastAsia" w:ascii="仿宋_GB2312" w:hAnsi="仿宋_GB2312" w:eastAsia="仿宋_GB2312" w:cs="仿宋_GB2312"/>
          <w:b w:val="0"/>
        </w:rPr>
        <w:t>（三）绩效评价工作过程</w:t>
      </w:r>
    </w:p>
    <w:p w14:paraId="0A97A9D7">
      <w:pPr>
        <w:spacing w:line="360" w:lineRule="auto"/>
        <w:ind w:firstLine="640" w:firstLineChars="200"/>
        <w:rPr>
          <w:rFonts w:ascii="仿宋_GB2312" w:eastAsia="仿宋_GB2312"/>
          <w:sz w:val="32"/>
          <w:szCs w:val="32"/>
        </w:rPr>
      </w:pPr>
      <w:r>
        <w:rPr>
          <w:rFonts w:hint="eastAsia" w:ascii="仿宋_GB2312" w:eastAsia="仿宋_GB2312"/>
          <w:sz w:val="32"/>
          <w:szCs w:val="32"/>
        </w:rPr>
        <w:t>本次绩效评价工作，严格按照下列程序组织。</w:t>
      </w:r>
    </w:p>
    <w:p w14:paraId="2DFCF799">
      <w:pPr>
        <w:spacing w:line="360" w:lineRule="auto"/>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前期准备阶段</w:t>
      </w:r>
    </w:p>
    <w:p w14:paraId="466204FA">
      <w:pPr>
        <w:spacing w:line="360" w:lineRule="auto"/>
        <w:ind w:firstLine="640" w:firstLineChars="200"/>
        <w:rPr>
          <w:rFonts w:ascii="仿宋_GB2312" w:eastAsia="仿宋_GB2312"/>
          <w:sz w:val="32"/>
          <w:szCs w:val="32"/>
        </w:rPr>
      </w:pPr>
      <w:r>
        <w:rPr>
          <w:rFonts w:hint="eastAsia" w:ascii="仿宋_GB2312" w:eastAsia="仿宋_GB2312"/>
          <w:sz w:val="32"/>
          <w:szCs w:val="32"/>
        </w:rPr>
        <w:t>（1）成立绩效评价工作组。为保证绩效评价的规范性及绩效评价工作质量，委托中介机构和专家共同组建绩效评价工作组，全程参与和指导开展绩效评价工作。</w:t>
      </w:r>
    </w:p>
    <w:p w14:paraId="1A607112">
      <w:pPr>
        <w:spacing w:line="360" w:lineRule="auto"/>
        <w:ind w:firstLine="640" w:firstLineChars="200"/>
        <w:rPr>
          <w:rFonts w:ascii="仿宋_GB2312" w:eastAsia="仿宋_GB2312"/>
          <w:sz w:val="32"/>
          <w:szCs w:val="32"/>
        </w:rPr>
      </w:pPr>
      <w:r>
        <w:rPr>
          <w:rFonts w:hint="eastAsia" w:ascii="仿宋_GB2312" w:eastAsia="仿宋_GB2312"/>
          <w:sz w:val="32"/>
          <w:szCs w:val="32"/>
        </w:rPr>
        <w:t>绩效评价工作组负责指导项目实施部门开展财政支出预算绩效评价工作；负责整理分析项目资金绩效评价有关资料；负责协助专家组编写绩效评价指标体系；负责聘请专家，组织绩效评价专家进行数据调研及函评工作；负责整理专家意见，编写绩效评价报告；整理绩效评价资料归档。</w:t>
      </w:r>
    </w:p>
    <w:p w14:paraId="26F5F270">
      <w:pPr>
        <w:spacing w:line="360" w:lineRule="auto"/>
        <w:ind w:firstLine="640" w:firstLineChars="200"/>
        <w:rPr>
          <w:rFonts w:ascii="仿宋_GB2312" w:eastAsia="仿宋_GB2312"/>
          <w:sz w:val="32"/>
          <w:szCs w:val="32"/>
        </w:rPr>
      </w:pPr>
      <w:r>
        <w:rPr>
          <w:rFonts w:hint="eastAsia" w:ascii="仿宋_GB2312" w:eastAsia="仿宋_GB2312"/>
          <w:sz w:val="32"/>
          <w:szCs w:val="32"/>
        </w:rPr>
        <w:t>（2）编制绩效评价工作方案。绩效评价工作组在初步了解项目的基本情况后，有针对性地研究有关本项目涉及的相关政策及有关资金的使用要求，在此基础上，编制了项目实施方案。</w:t>
      </w:r>
    </w:p>
    <w:p w14:paraId="24676CE3">
      <w:pPr>
        <w:spacing w:line="360" w:lineRule="auto"/>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评价实施阶段</w:t>
      </w:r>
    </w:p>
    <w:p w14:paraId="2528EEDD">
      <w:pPr>
        <w:spacing w:line="360" w:lineRule="auto"/>
        <w:ind w:firstLine="640" w:firstLineChars="200"/>
        <w:rPr>
          <w:rFonts w:ascii="仿宋_GB2312" w:eastAsia="仿宋_GB2312"/>
          <w:sz w:val="32"/>
          <w:szCs w:val="32"/>
        </w:rPr>
      </w:pPr>
      <w:r>
        <w:rPr>
          <w:rFonts w:hint="eastAsia" w:ascii="仿宋_GB2312" w:eastAsia="仿宋_GB2312"/>
          <w:sz w:val="32"/>
          <w:szCs w:val="32"/>
        </w:rPr>
        <w:t>本阶段的主要工作是收集整理分析项目资料；遴选专家组成专家组；编制绩效评价工作手册；组织召开专家进行资料审核分析，采取函评方式获取专家意见。</w:t>
      </w:r>
    </w:p>
    <w:p w14:paraId="45A51425">
      <w:pPr>
        <w:spacing w:line="360" w:lineRule="auto"/>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）资料收集整理与分析。绩效评价工作组对项目资料的真实性、完整性和有效性进行确认，并围绕项目决策、项目过程、项目产出、项目效益四个方面对项目情况进行分析，形成工作底稿。</w:t>
      </w:r>
    </w:p>
    <w:p w14:paraId="0B986FF0">
      <w:pPr>
        <w:spacing w:line="360" w:lineRule="auto"/>
        <w:ind w:firstLine="640" w:firstLineChars="200"/>
        <w:rPr>
          <w:rFonts w:ascii="仿宋_GB2312" w:eastAsia="仿宋_GB2312"/>
          <w:sz w:val="32"/>
          <w:szCs w:val="32"/>
        </w:rPr>
      </w:pPr>
      <w:r>
        <w:rPr>
          <w:rFonts w:hint="eastAsia" w:ascii="仿宋_GB2312" w:eastAsia="仿宋_GB2312"/>
          <w:sz w:val="32"/>
          <w:szCs w:val="32"/>
        </w:rPr>
        <w:t>（2）编制指标体系。在绩效管理专家的指导下，结合项目自身特点，细化本项目绩效评价指标体系。其中三级指标没有修改，主要是增加和分解了四级指标。</w:t>
      </w:r>
    </w:p>
    <w:p w14:paraId="73E87755">
      <w:pPr>
        <w:spacing w:line="360" w:lineRule="auto"/>
        <w:ind w:firstLine="640" w:firstLineChars="200"/>
        <w:rPr>
          <w:rFonts w:ascii="仿宋_GB2312" w:eastAsia="仿宋_GB2312"/>
          <w:sz w:val="32"/>
          <w:szCs w:val="32"/>
        </w:rPr>
      </w:pPr>
      <w:r>
        <w:rPr>
          <w:rFonts w:hint="eastAsia" w:ascii="仿宋_GB2312" w:eastAsia="仿宋_GB2312"/>
          <w:sz w:val="32"/>
          <w:szCs w:val="32"/>
        </w:rPr>
        <w:t>（3）编制《专家预备会资料手册》。该手册是专家对本项目进行评价的基础性资料，绩效评价工作组按照资料清单收集项目资料后，将资料按照项目前期资料、项目过程资料顺序整理汇编成册。</w:t>
      </w:r>
    </w:p>
    <w:p w14:paraId="015F1854">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eastAsia="仿宋_GB2312"/>
          <w:sz w:val="32"/>
          <w:szCs w:val="32"/>
        </w:rPr>
        <w:t>（4）组织专家召开线上评价会。评价工作组组织召开绩效评价专家会，由绩效评价工作组向专家介绍了《财政支出绩效评价专家工作规则》，各位专家介绍了各自梳理出的问题</w:t>
      </w:r>
      <w:r>
        <w:rPr>
          <w:rFonts w:hint="eastAsia" w:ascii="仿宋_GB2312" w:hAnsi="仿宋_GB2312" w:eastAsia="仿宋_GB2312" w:cs="仿宋_GB2312"/>
          <w:sz w:val="32"/>
          <w:szCs w:val="32"/>
        </w:rPr>
        <w:t>，在此基础上，分别出具了专家意见与评价打分表</w:t>
      </w:r>
      <w:r>
        <w:rPr>
          <w:rFonts w:hint="eastAsia" w:ascii="仿宋_GB2312" w:hAnsi="仿宋_GB2312" w:eastAsia="仿宋_GB2312" w:cs="仿宋_GB2312"/>
          <w:sz w:val="32"/>
          <w:szCs w:val="32"/>
          <w:lang w:eastAsia="zh-CN"/>
        </w:rPr>
        <w:t>。</w:t>
      </w:r>
    </w:p>
    <w:p w14:paraId="4EA9264F">
      <w:pPr>
        <w:spacing w:line="360" w:lineRule="auto"/>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项目总结阶段</w:t>
      </w:r>
    </w:p>
    <w:p w14:paraId="641D4D04">
      <w:pPr>
        <w:spacing w:line="360" w:lineRule="auto"/>
        <w:ind w:firstLine="640" w:firstLineChars="200"/>
        <w:rPr>
          <w:rFonts w:ascii="仿宋_GB2312" w:eastAsia="仿宋_GB2312"/>
          <w:sz w:val="32"/>
          <w:szCs w:val="32"/>
        </w:rPr>
      </w:pPr>
      <w:r>
        <w:rPr>
          <w:rFonts w:hint="eastAsia" w:ascii="仿宋_GB2312" w:eastAsia="仿宋_GB2312"/>
          <w:sz w:val="32"/>
          <w:szCs w:val="32"/>
        </w:rPr>
        <w:t>（1）组织编写绩效评价报告。经过专家的充分沟通，确认了项目实施中存在的问题，形成了专家组意见。根据专家组意见编制本绩效评价报告。</w:t>
      </w:r>
    </w:p>
    <w:p w14:paraId="4E33EF93">
      <w:pPr>
        <w:spacing w:line="360" w:lineRule="auto"/>
        <w:ind w:firstLine="640" w:firstLineChars="200"/>
        <w:rPr>
          <w:rFonts w:ascii="仿宋_GB2312" w:eastAsia="仿宋_GB2312"/>
          <w:sz w:val="32"/>
          <w:szCs w:val="32"/>
        </w:rPr>
      </w:pPr>
      <w:r>
        <w:rPr>
          <w:rFonts w:hint="eastAsia" w:ascii="仿宋_GB2312" w:eastAsia="仿宋_GB2312"/>
          <w:sz w:val="32"/>
          <w:szCs w:val="32"/>
        </w:rPr>
        <w:t>（2）对绩效评价报告有关事项进行沟通。</w:t>
      </w:r>
    </w:p>
    <w:p w14:paraId="72BA9DEB">
      <w:pPr>
        <w:spacing w:line="360" w:lineRule="auto"/>
        <w:ind w:firstLine="640" w:firstLineChars="200"/>
        <w:rPr>
          <w:rFonts w:ascii="仿宋_GB2312" w:eastAsia="仿宋_GB2312"/>
          <w:sz w:val="32"/>
          <w:szCs w:val="32"/>
        </w:rPr>
      </w:pPr>
      <w:r>
        <w:rPr>
          <w:rFonts w:hint="eastAsia" w:ascii="仿宋_GB2312" w:eastAsia="仿宋_GB2312"/>
          <w:sz w:val="32"/>
          <w:szCs w:val="32"/>
        </w:rPr>
        <w:t>（3）整理绩效评价工作底稿，存档备查。</w:t>
      </w:r>
    </w:p>
    <w:p w14:paraId="51F392DD">
      <w:pPr>
        <w:pStyle w:val="2"/>
        <w:spacing w:line="360" w:lineRule="auto"/>
        <w:ind w:left="0" w:leftChars="0" w:firstLine="640" w:firstLineChars="200"/>
        <w:rPr>
          <w:rFonts w:ascii="黑体" w:hAnsi="黑体" w:eastAsia="黑体"/>
          <w:b w:val="0"/>
          <w:szCs w:val="32"/>
        </w:rPr>
      </w:pPr>
      <w:bookmarkStart w:id="22" w:name="_Toc375717375"/>
      <w:bookmarkStart w:id="23" w:name="_Toc424911762"/>
      <w:bookmarkStart w:id="24" w:name="_Toc29862"/>
      <w:r>
        <w:rPr>
          <w:rFonts w:hint="eastAsia" w:ascii="黑体" w:hAnsi="黑体" w:eastAsia="黑体"/>
          <w:b w:val="0"/>
          <w:szCs w:val="32"/>
        </w:rPr>
        <w:t>三、</w:t>
      </w:r>
      <w:bookmarkEnd w:id="22"/>
      <w:bookmarkEnd w:id="23"/>
      <w:r>
        <w:rPr>
          <w:rFonts w:hint="eastAsia" w:ascii="黑体" w:hAnsi="黑体" w:eastAsia="黑体"/>
          <w:b w:val="0"/>
          <w:szCs w:val="32"/>
        </w:rPr>
        <w:t>综合评价情况及评价结论</w:t>
      </w:r>
      <w:bookmarkEnd w:id="24"/>
    </w:p>
    <w:p w14:paraId="0A8F5284">
      <w:pPr>
        <w:spacing w:line="360" w:lineRule="auto"/>
        <w:ind w:firstLine="640"/>
        <w:rPr>
          <w:rFonts w:ascii="仿宋_GB2312" w:eastAsia="仿宋_GB2312"/>
          <w:sz w:val="32"/>
          <w:szCs w:val="32"/>
        </w:rPr>
      </w:pPr>
      <w:r>
        <w:rPr>
          <w:rFonts w:hint="eastAsia" w:ascii="仿宋_GB2312" w:eastAsia="仿宋_GB2312"/>
          <w:sz w:val="32"/>
          <w:szCs w:val="32"/>
        </w:rPr>
        <w:t>经综合评议，2</w:t>
      </w:r>
      <w:r>
        <w:rPr>
          <w:rFonts w:ascii="仿宋_GB2312" w:eastAsia="仿宋_GB2312"/>
          <w:sz w:val="32"/>
          <w:szCs w:val="32"/>
        </w:rPr>
        <w:t>02</w:t>
      </w:r>
      <w:r>
        <w:rPr>
          <w:rFonts w:hint="eastAsia" w:ascii="仿宋_GB2312" w:eastAsia="仿宋_GB2312"/>
          <w:sz w:val="32"/>
          <w:szCs w:val="32"/>
        </w:rPr>
        <w:t>4年密云区人民检察院信息化运维费项目</w:t>
      </w:r>
      <w:r>
        <w:rPr>
          <w:rFonts w:ascii="仿宋_GB2312" w:eastAsia="仿宋_GB2312"/>
          <w:sz w:val="32"/>
          <w:szCs w:val="32"/>
        </w:rPr>
        <w:t>综合评</w:t>
      </w:r>
      <w:r>
        <w:rPr>
          <w:rFonts w:hint="eastAsia" w:ascii="仿宋_GB2312" w:eastAsia="仿宋_GB2312"/>
          <w:sz w:val="32"/>
          <w:szCs w:val="32"/>
        </w:rPr>
        <w:t>价得分</w:t>
      </w:r>
      <w:r>
        <w:rPr>
          <w:rFonts w:ascii="仿宋_GB2312" w:eastAsia="仿宋_GB2312"/>
          <w:sz w:val="32"/>
          <w:szCs w:val="32"/>
        </w:rPr>
        <w:t>9</w:t>
      </w:r>
      <w:r>
        <w:rPr>
          <w:rFonts w:hint="eastAsia" w:ascii="仿宋_GB2312" w:eastAsia="仿宋_GB2312"/>
          <w:sz w:val="32"/>
          <w:szCs w:val="32"/>
        </w:rPr>
        <w:t>7分，</w:t>
      </w:r>
      <w:bookmarkStart w:id="25" w:name="_Toc14524"/>
      <w:bookmarkStart w:id="26" w:name="_Toc28921"/>
      <w:r>
        <w:rPr>
          <w:rFonts w:hint="eastAsia" w:ascii="仿宋_GB2312" w:eastAsia="仿宋_GB2312"/>
          <w:sz w:val="32"/>
          <w:szCs w:val="32"/>
        </w:rPr>
        <w:t>绩效评定级别为“优秀”。</w:t>
      </w:r>
    </w:p>
    <w:p w14:paraId="6B22D5D1">
      <w:pPr>
        <w:spacing w:line="360" w:lineRule="auto"/>
        <w:ind w:firstLine="640"/>
        <w:rPr>
          <w:rFonts w:ascii="黑体" w:hAnsi="黑体" w:eastAsia="黑体"/>
          <w:szCs w:val="32"/>
        </w:rPr>
      </w:pPr>
      <w:r>
        <w:rPr>
          <w:rFonts w:hint="eastAsia" w:ascii="仿宋_GB2312" w:hAnsi="仿宋_GB2312" w:eastAsia="仿宋_GB2312" w:cs="仿宋_GB2312"/>
          <w:sz w:val="32"/>
          <w:szCs w:val="32"/>
        </w:rPr>
        <w:t>评价结论：该项目组织实施及完成情况良好，项目涉及的各项绩效成果展现较为完整与清晰。结合本次绩效评价指标体系评分结果，该项目在预期绩效目标申报表填报、预算编制与执行、过程管理及效益呈现等环节尚存在一定的不足，项目过程管理的精细化水平仍有进一步提升的空间。</w:t>
      </w:r>
      <w:bookmarkEnd w:id="25"/>
      <w:bookmarkEnd w:id="26"/>
    </w:p>
    <w:p w14:paraId="218A796B">
      <w:pPr>
        <w:pStyle w:val="2"/>
        <w:spacing w:line="360" w:lineRule="auto"/>
        <w:ind w:left="0" w:leftChars="0" w:firstLine="640" w:firstLineChars="200"/>
        <w:rPr>
          <w:rFonts w:ascii="黑体" w:hAnsi="黑体" w:eastAsia="黑体"/>
          <w:b w:val="0"/>
          <w:bCs w:val="0"/>
          <w:kern w:val="2"/>
          <w:szCs w:val="32"/>
        </w:rPr>
      </w:pPr>
      <w:bookmarkStart w:id="27" w:name="_Toc28204"/>
      <w:r>
        <w:rPr>
          <w:rFonts w:hint="eastAsia" w:ascii="黑体" w:hAnsi="黑体" w:eastAsia="黑体"/>
          <w:b w:val="0"/>
          <w:bCs w:val="0"/>
          <w:kern w:val="2"/>
          <w:szCs w:val="32"/>
        </w:rPr>
        <w:t>四、绩效评价指标分析</w:t>
      </w:r>
      <w:bookmarkEnd w:id="27"/>
    </w:p>
    <w:p w14:paraId="7C0D0355">
      <w:pPr>
        <w:pStyle w:val="3"/>
        <w:keepNext w:val="0"/>
        <w:keepLines w:val="0"/>
        <w:spacing w:before="0" w:after="0" w:line="360" w:lineRule="auto"/>
        <w:ind w:firstLine="640" w:firstLineChars="200"/>
        <w:rPr>
          <w:rFonts w:ascii="仿宋_GB2312" w:hAnsi="仿宋_GB2312" w:eastAsia="仿宋_GB2312" w:cs="仿宋_GB2312"/>
          <w:b w:val="0"/>
        </w:rPr>
      </w:pPr>
      <w:bookmarkStart w:id="28" w:name="_Toc375717376"/>
      <w:bookmarkStart w:id="29" w:name="_Toc424911763"/>
      <w:bookmarkStart w:id="30" w:name="_Toc21197"/>
      <w:r>
        <w:rPr>
          <w:rFonts w:hint="eastAsia" w:ascii="仿宋_GB2312" w:hAnsi="仿宋_GB2312" w:eastAsia="仿宋_GB2312" w:cs="仿宋_GB2312"/>
          <w:b w:val="0"/>
        </w:rPr>
        <w:t>（一）项目</w:t>
      </w:r>
      <w:bookmarkEnd w:id="28"/>
      <w:bookmarkEnd w:id="29"/>
      <w:r>
        <w:rPr>
          <w:rFonts w:hint="eastAsia" w:ascii="仿宋_GB2312" w:hAnsi="仿宋_GB2312" w:eastAsia="仿宋_GB2312" w:cs="仿宋_GB2312"/>
          <w:b w:val="0"/>
        </w:rPr>
        <w:t>决策情况</w:t>
      </w:r>
      <w:bookmarkEnd w:id="30"/>
    </w:p>
    <w:p w14:paraId="359F7EC3">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1</w:t>
      </w:r>
      <w:r>
        <w:rPr>
          <w:rFonts w:ascii="仿宋_GB2312" w:eastAsia="仿宋_GB2312" w:cs="仿宋_GB2312"/>
          <w:sz w:val="32"/>
          <w:szCs w:val="32"/>
        </w:rPr>
        <w:t>.项目立项情况分析</w:t>
      </w:r>
    </w:p>
    <w:p w14:paraId="4DA04ED0">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区检察院在立项前期制定了全年信息化运维项目的工作计划和实施方案，项目实施内容与区检察院信息化正常运转和保障检察各项工作顺利推进的职责相关，项目立项依据充分。</w:t>
      </w:r>
    </w:p>
    <w:p w14:paraId="7B0F685F">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区检察院结合项目实施内容制定了《2</w:t>
      </w:r>
      <w:r>
        <w:rPr>
          <w:rFonts w:ascii="仿宋_GB2312" w:eastAsia="仿宋_GB2312" w:cs="仿宋_GB2312"/>
          <w:sz w:val="32"/>
          <w:szCs w:val="32"/>
        </w:rPr>
        <w:t>02</w:t>
      </w:r>
      <w:r>
        <w:rPr>
          <w:rFonts w:hint="eastAsia" w:ascii="仿宋_GB2312" w:eastAsia="仿宋_GB2312" w:cs="仿宋_GB2312"/>
          <w:sz w:val="32"/>
          <w:szCs w:val="32"/>
        </w:rPr>
        <w:t>4年度信息化运维项目实施方案》，项目立项申请及设立过程符合区检察院“三重一大”议事规则及程序，属于公共财政保障的范围，项目实施的必要性充分。作为延续性项目，区检察院收集总结了以往年度的工作成果，梳理了现阶段检察政务内网、检察工作网、外网的网络环境和机房现状，为2</w:t>
      </w:r>
      <w:r>
        <w:rPr>
          <w:rFonts w:ascii="仿宋_GB2312" w:eastAsia="仿宋_GB2312" w:cs="仿宋_GB2312"/>
          <w:sz w:val="32"/>
          <w:szCs w:val="32"/>
        </w:rPr>
        <w:t>0</w:t>
      </w:r>
      <w:r>
        <w:rPr>
          <w:rFonts w:hint="eastAsia" w:ascii="仿宋_GB2312" w:eastAsia="仿宋_GB2312" w:cs="仿宋_GB2312"/>
          <w:sz w:val="32"/>
          <w:szCs w:val="32"/>
        </w:rPr>
        <w:t>24年度项目决策提供了有效的前期数据，项目决策具备较强的科学性与准确性。</w:t>
      </w:r>
    </w:p>
    <w:p w14:paraId="62BA94E8">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2.项目绩效目标分析</w:t>
      </w:r>
    </w:p>
    <w:p w14:paraId="632C1CAC">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区检察院根据市财政局的统一要求编制了项目绩效目标申报表，项目总体目标中阐述了项目的立项背景和现实需求，年度实施内容符合区检察院的职能定位与工作实际，具有明确的需求相关性。但项目具体的组织方式以及对实施内容的分解细化内容在总体目标中的描述还较为笼统，总体目标的细化程度仍有进一步完善的空间。</w:t>
      </w:r>
    </w:p>
    <w:p w14:paraId="12BDD34C">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项目绩效指标的设定内容基本清晰，例如数量指标设定了全年维护系统的具体次数；质量指标设定了故障排除率；时效指标明确了项目属于全年工作范畴等，均体现了较为明确的定量数值和定性描述。但指标设定内容的完整性有所不足，如数量指标中除体现全年维护次数外还应包含日常维护和定期工作的数量产出。同时，效益指标的内容在完整性与细化程度方面也还有待进一步加强，如社会效益指标仅设定为“网路安全”，指标内容过于笼统，未能体现出项目实施对检察业务和日常办公的支撑作用；未设定可持续影响指标内容，满意度指标中的服务对象群体也不够明确，部分绩效指标的填报内容还需进一步完善。</w:t>
      </w:r>
    </w:p>
    <w:p w14:paraId="50C91C56">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3</w:t>
      </w:r>
      <w:r>
        <w:rPr>
          <w:rFonts w:ascii="仿宋_GB2312" w:eastAsia="仿宋_GB2312" w:cs="仿宋_GB2312"/>
          <w:sz w:val="32"/>
          <w:szCs w:val="32"/>
        </w:rPr>
        <w:t>.项目资金投入情况分析</w:t>
      </w:r>
    </w:p>
    <w:p w14:paraId="40B33C92">
      <w:pPr>
        <w:pStyle w:val="8"/>
        <w:spacing w:line="328" w:lineRule="auto"/>
        <w:ind w:left="166" w:right="446" w:firstLine="640"/>
        <w:rPr>
          <w:rFonts w:ascii="仿宋_GB2312" w:eastAsia="仿宋_GB2312" w:cs="仿宋_GB2312"/>
        </w:rPr>
      </w:pPr>
      <w:r>
        <w:rPr>
          <w:rFonts w:ascii="仿宋_GB2312" w:eastAsia="仿宋_GB2312" w:cs="仿宋_GB2312"/>
        </w:rPr>
        <w:t>该项目申报预算</w:t>
      </w:r>
      <w:r>
        <w:rPr>
          <w:rFonts w:hint="eastAsia" w:ascii="仿宋_GB2312" w:eastAsia="仿宋_GB2312" w:cs="仿宋_GB2312"/>
        </w:rPr>
        <w:t>资金</w:t>
      </w:r>
      <w:r>
        <w:rPr>
          <w:rFonts w:ascii="仿宋_GB2312" w:eastAsia="仿宋_GB2312" w:cs="仿宋_GB2312"/>
          <w:lang w:val="en-US"/>
        </w:rPr>
        <w:t>5</w:t>
      </w:r>
      <w:r>
        <w:rPr>
          <w:rFonts w:hint="eastAsia" w:ascii="仿宋_GB2312" w:eastAsia="仿宋_GB2312" w:cs="仿宋_GB2312"/>
          <w:lang w:val="en-US"/>
        </w:rPr>
        <w:t>3</w:t>
      </w:r>
      <w:r>
        <w:rPr>
          <w:rFonts w:ascii="仿宋_GB2312" w:eastAsia="仿宋_GB2312" w:cs="仿宋_GB2312"/>
        </w:rPr>
        <w:t>.</w:t>
      </w:r>
      <w:r>
        <w:rPr>
          <w:rFonts w:hint="eastAsia" w:ascii="仿宋_GB2312" w:eastAsia="仿宋_GB2312" w:cs="仿宋_GB2312"/>
          <w:lang w:val="en-US"/>
        </w:rPr>
        <w:t>0</w:t>
      </w:r>
      <w:r>
        <w:rPr>
          <w:rFonts w:ascii="仿宋_GB2312" w:eastAsia="仿宋_GB2312" w:cs="仿宋_GB2312"/>
        </w:rPr>
        <w:t>0万元</w:t>
      </w:r>
      <w:r>
        <w:rPr>
          <w:rFonts w:hint="eastAsia" w:ascii="仿宋_GB2312" w:eastAsia="仿宋_GB2312" w:cs="仿宋_GB2312"/>
        </w:rPr>
        <w:t>，</w:t>
      </w:r>
      <w:r>
        <w:rPr>
          <w:rFonts w:hint="eastAsia" w:ascii="仿宋_GB2312" w:eastAsia="仿宋_GB2312"/>
        </w:rPr>
        <w:t>项目</w:t>
      </w:r>
      <w:r>
        <w:rPr>
          <w:rFonts w:hint="eastAsia" w:ascii="仿宋_GB2312" w:eastAsia="仿宋_GB2312" w:cs="仿宋_GB2312"/>
        </w:rPr>
        <w:t>预算编制主要依据各项工作需投入的人力成本进行测算，并充分参考了上年度预算执行情况</w:t>
      </w:r>
      <w:r>
        <w:rPr>
          <w:rFonts w:hint="eastAsia" w:ascii="仿宋_GB2312" w:eastAsia="仿宋_GB2312" w:cs="仿宋_GB2312"/>
          <w:lang w:val="en-US"/>
        </w:rPr>
        <w:t>。具体执行过程中，由</w:t>
      </w:r>
      <w:r>
        <w:rPr>
          <w:rFonts w:hint="eastAsia" w:ascii="仿宋_GB2312" w:eastAsia="仿宋_GB2312" w:cs="仿宋_GB2312"/>
        </w:rPr>
        <w:t>区检察院</w:t>
      </w:r>
      <w:r>
        <w:rPr>
          <w:rFonts w:hint="eastAsia" w:ascii="仿宋_GB2312" w:eastAsia="仿宋_GB2312"/>
        </w:rPr>
        <w:t>通过政府购买服务的方式，委托专业机构提供相关服务，并依据采购金额与合同约定的拨付时间支付项目资金。截至202</w:t>
      </w:r>
      <w:r>
        <w:rPr>
          <w:rFonts w:hint="eastAsia" w:ascii="仿宋_GB2312" w:eastAsia="仿宋_GB2312"/>
          <w:lang w:val="en-US"/>
        </w:rPr>
        <w:t>4</w:t>
      </w:r>
      <w:r>
        <w:rPr>
          <w:rFonts w:hint="eastAsia" w:ascii="仿宋_GB2312" w:eastAsia="仿宋_GB2312"/>
        </w:rPr>
        <w:t>年12月31日，资金支出金额</w:t>
      </w:r>
      <w:r>
        <w:rPr>
          <w:rFonts w:ascii="仿宋_GB2312" w:eastAsia="仿宋_GB2312"/>
        </w:rPr>
        <w:t>52</w:t>
      </w:r>
      <w:r>
        <w:rPr>
          <w:rFonts w:hint="eastAsia" w:ascii="仿宋_GB2312" w:eastAsia="仿宋_GB2312"/>
        </w:rPr>
        <w:t>.</w:t>
      </w:r>
      <w:r>
        <w:rPr>
          <w:rFonts w:ascii="仿宋_GB2312" w:eastAsia="仿宋_GB2312"/>
        </w:rPr>
        <w:t>80</w:t>
      </w:r>
      <w:r>
        <w:rPr>
          <w:rFonts w:hint="eastAsia" w:ascii="仿宋_GB2312" w:eastAsia="仿宋_GB2312"/>
        </w:rPr>
        <w:t>万元，预算执行率</w:t>
      </w:r>
      <w:r>
        <w:rPr>
          <w:rFonts w:hint="eastAsia" w:ascii="仿宋_GB2312" w:eastAsia="仿宋_GB2312"/>
          <w:lang w:val="en-US"/>
        </w:rPr>
        <w:t>99.62</w:t>
      </w:r>
      <w:r>
        <w:rPr>
          <w:rFonts w:hint="eastAsia" w:ascii="仿宋_GB2312" w:eastAsia="仿宋_GB2312"/>
        </w:rPr>
        <w:t>%。资金整体执行情况良好。</w:t>
      </w:r>
    </w:p>
    <w:p w14:paraId="648E947D">
      <w:pPr>
        <w:pStyle w:val="3"/>
        <w:keepNext w:val="0"/>
        <w:keepLines w:val="0"/>
        <w:spacing w:before="0" w:after="0" w:line="360" w:lineRule="auto"/>
        <w:ind w:firstLine="640" w:firstLineChars="200"/>
        <w:rPr>
          <w:rFonts w:ascii="仿宋_GB2312" w:hAnsi="Times New Roman" w:eastAsia="仿宋_GB2312" w:cs="仿宋_GB2312"/>
          <w:b w:val="0"/>
          <w:bCs w:val="0"/>
        </w:rPr>
      </w:pPr>
      <w:bookmarkStart w:id="31" w:name="_Toc375717377"/>
      <w:bookmarkStart w:id="32" w:name="_Toc4350"/>
      <w:bookmarkStart w:id="33" w:name="_Toc424911764"/>
      <w:r>
        <w:rPr>
          <w:rFonts w:hint="eastAsia" w:ascii="仿宋_GB2312" w:hAnsi="仿宋_GB2312" w:eastAsia="仿宋_GB2312" w:cs="仿宋_GB2312"/>
          <w:b w:val="0"/>
        </w:rPr>
        <w:t>（二）项目过程情况</w:t>
      </w:r>
      <w:bookmarkEnd w:id="31"/>
      <w:bookmarkEnd w:id="32"/>
      <w:bookmarkEnd w:id="33"/>
    </w:p>
    <w:p w14:paraId="73153ED3">
      <w:pPr>
        <w:spacing w:line="360" w:lineRule="auto"/>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资金使用及管理情况</w:t>
      </w:r>
    </w:p>
    <w:p w14:paraId="6632875A">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为规范和加强财政资金的管理，提高财政资金的使用效益。区检察院制定了</w:t>
      </w:r>
      <w:bookmarkStart w:id="34" w:name="_Toc481050479"/>
      <w:r>
        <w:rPr>
          <w:rFonts w:hint="eastAsia" w:ascii="仿宋_GB2312" w:eastAsia="仿宋_GB2312" w:cs="仿宋_GB2312"/>
          <w:sz w:val="32"/>
          <w:szCs w:val="32"/>
        </w:rPr>
        <w:t>《北京市密云区人民检察院内部控制手册》、《北京市密云区人民检察院预算管理办法》及《北京市密云区人民检察院经费支出管理办法</w:t>
      </w:r>
      <w:bookmarkEnd w:id="34"/>
      <w:r>
        <w:rPr>
          <w:rFonts w:hint="eastAsia" w:ascii="仿宋_GB2312" w:eastAsia="仿宋_GB2312" w:cs="仿宋_GB2312"/>
          <w:sz w:val="32"/>
          <w:szCs w:val="32"/>
        </w:rPr>
        <w:t>》等相关财务管理文件，并严格按文件要求执行，对项目经费从编制预算开始到预算支出实行全过程管理，项目资金实行单独核算，专款专用，逐笔审核签报。</w:t>
      </w:r>
    </w:p>
    <w:p w14:paraId="7086388A">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密云区检察院财务管理制度和内部控制机制健全，在实际管理过程中能够做到严格执行，保证项目资金的高效、规范管理和使用。项目经费支出按照制度进行严格的审核与审批，做到了专户管理、专款专用、独立账目核算。</w:t>
      </w:r>
    </w:p>
    <w:p w14:paraId="0A4AFFFE">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2.项目组织实施情况</w:t>
      </w:r>
    </w:p>
    <w:p w14:paraId="0683AADB">
      <w:pPr>
        <w:spacing w:line="360" w:lineRule="auto"/>
        <w:ind w:firstLine="640" w:firstLineChars="200"/>
        <w:rPr>
          <w:rFonts w:ascii="仿宋_GB2312" w:eastAsia="仿宋_GB2312" w:cs="仿宋_GB2312"/>
          <w:bCs/>
          <w:sz w:val="32"/>
          <w:szCs w:val="32"/>
        </w:rPr>
      </w:pPr>
      <w:r>
        <w:rPr>
          <w:rFonts w:hint="eastAsia" w:ascii="仿宋_GB2312" w:eastAsia="仿宋_GB2312" w:cs="仿宋_GB2312"/>
          <w:sz w:val="32"/>
          <w:szCs w:val="32"/>
        </w:rPr>
        <w:t>该项目由区检察院组织具体实施，区检察院内部控制管理制度较为健全，能够有效确保资金使用、过程监管、跟踪问效等各方面的绩效管理要求。在项目实施的过程中，依据双方合同约定的服务条款对第三方的日常工作进行监督检查，有</w:t>
      </w:r>
      <w:r>
        <w:rPr>
          <w:rFonts w:hint="eastAsia" w:ascii="仿宋_GB2312" w:eastAsia="仿宋_GB2312" w:cs="仿宋_GB2312"/>
          <w:bCs/>
          <w:sz w:val="32"/>
          <w:szCs w:val="32"/>
        </w:rPr>
        <w:t>较为明确的工作管理目标及管理模式。</w:t>
      </w:r>
    </w:p>
    <w:p w14:paraId="5D7543CC">
      <w:pPr>
        <w:spacing w:line="360" w:lineRule="auto"/>
        <w:ind w:firstLine="640" w:firstLineChars="200"/>
        <w:rPr>
          <w:rFonts w:ascii="仿宋_GB2312" w:eastAsia="仿宋_GB2312" w:cs="仿宋_GB2312"/>
          <w:bCs/>
          <w:sz w:val="32"/>
          <w:szCs w:val="32"/>
        </w:rPr>
      </w:pPr>
      <w:r>
        <w:rPr>
          <w:rFonts w:hint="eastAsia" w:ascii="仿宋_GB2312" w:eastAsia="仿宋_GB2312" w:cs="仿宋_GB2312"/>
          <w:sz w:val="32"/>
          <w:szCs w:val="32"/>
        </w:rPr>
        <w:t>密云区检察院组织机制健全，在项目组织实施环节过程中由区检察院第七检察部负责实施，项目的责任分工明确，措施比较到位。项目采购程序清晰完整，组织实施情况良好。但</w:t>
      </w:r>
      <w:r>
        <w:rPr>
          <w:rFonts w:hint="eastAsia" w:ascii="仿宋_GB2312" w:eastAsia="仿宋_GB2312" w:cs="仿宋_GB2312"/>
          <w:bCs/>
          <w:sz w:val="32"/>
          <w:szCs w:val="32"/>
        </w:rPr>
        <w:t>在项目实施方案中尚缺少有关对第三方工作服务过程、质量记录、监督检查等环节的计划安排，对项目完成质量的过程管控指导性不足，在项目精细化管理方面仍需进一步提升。</w:t>
      </w:r>
    </w:p>
    <w:p w14:paraId="1F2C1657">
      <w:pPr>
        <w:pStyle w:val="3"/>
        <w:keepNext w:val="0"/>
        <w:keepLines w:val="0"/>
        <w:spacing w:before="0" w:after="0" w:line="360" w:lineRule="auto"/>
        <w:ind w:firstLine="640" w:firstLineChars="200"/>
        <w:rPr>
          <w:rFonts w:ascii="仿宋_GB2312" w:hAnsi="仿宋_GB2312" w:eastAsia="仿宋_GB2312" w:cs="仿宋_GB2312"/>
          <w:b w:val="0"/>
        </w:rPr>
      </w:pPr>
      <w:bookmarkStart w:id="35" w:name="_Toc424911765"/>
      <w:bookmarkStart w:id="36" w:name="_Toc375717378"/>
      <w:bookmarkStart w:id="37" w:name="_Toc13087"/>
      <w:r>
        <w:rPr>
          <w:rFonts w:hint="eastAsia" w:ascii="仿宋_GB2312" w:hAnsi="仿宋_GB2312" w:eastAsia="仿宋_GB2312" w:cs="仿宋_GB2312"/>
          <w:b w:val="0"/>
        </w:rPr>
        <w:t>（三）项目产出情况</w:t>
      </w:r>
      <w:bookmarkEnd w:id="35"/>
      <w:bookmarkEnd w:id="36"/>
      <w:bookmarkEnd w:id="37"/>
    </w:p>
    <w:p w14:paraId="453950C7">
      <w:pPr>
        <w:spacing w:line="360" w:lineRule="auto"/>
        <w:ind w:firstLine="640" w:firstLineChars="200"/>
        <w:rPr>
          <w:rFonts w:hint="eastAsia" w:ascii="仿宋_GB2312" w:eastAsia="仿宋_GB2312" w:cs="仿宋_GB2312"/>
          <w:bCs/>
          <w:sz w:val="32"/>
          <w:szCs w:val="32"/>
        </w:rPr>
      </w:pPr>
      <w:r>
        <w:rPr>
          <w:rFonts w:hint="eastAsia" w:ascii="仿宋_GB2312" w:eastAsia="仿宋_GB2312" w:cs="仿宋_GB2312"/>
          <w:bCs/>
          <w:sz w:val="32"/>
          <w:szCs w:val="32"/>
          <w:lang w:eastAsia="zh-CN"/>
        </w:rPr>
        <w:t>2024</w:t>
      </w:r>
      <w:r>
        <w:rPr>
          <w:rFonts w:hint="eastAsia" w:ascii="仿宋_GB2312" w:eastAsia="仿宋_GB2312" w:cs="仿宋_GB2312"/>
          <w:bCs/>
          <w:sz w:val="32"/>
          <w:szCs w:val="32"/>
        </w:rPr>
        <w:t>年运维概况：全年共接到各类维护事件2</w:t>
      </w:r>
      <w:r>
        <w:rPr>
          <w:rFonts w:hint="eastAsia" w:ascii="仿宋_GB2312" w:eastAsia="仿宋_GB2312" w:cs="仿宋_GB2312"/>
          <w:bCs/>
          <w:sz w:val="32"/>
          <w:szCs w:val="32"/>
          <w:lang w:val="en-US" w:eastAsia="zh-CN"/>
        </w:rPr>
        <w:t>038</w:t>
      </w:r>
      <w:r>
        <w:rPr>
          <w:rFonts w:hint="eastAsia" w:ascii="仿宋_GB2312" w:eastAsia="仿宋_GB2312" w:cs="仿宋_GB2312"/>
          <w:bCs/>
          <w:sz w:val="32"/>
          <w:szCs w:val="32"/>
        </w:rPr>
        <w:t>件，其中应用类事件</w:t>
      </w:r>
      <w:r>
        <w:rPr>
          <w:rFonts w:hint="eastAsia" w:ascii="仿宋_GB2312" w:eastAsia="仿宋_GB2312" w:cs="仿宋_GB2312"/>
          <w:bCs/>
          <w:sz w:val="32"/>
          <w:szCs w:val="32"/>
          <w:lang w:val="en-US" w:eastAsia="zh-CN"/>
        </w:rPr>
        <w:t>411</w:t>
      </w:r>
      <w:r>
        <w:rPr>
          <w:rFonts w:hint="eastAsia" w:ascii="仿宋_GB2312" w:eastAsia="仿宋_GB2312" w:cs="仿宋_GB2312"/>
          <w:bCs/>
          <w:sz w:val="32"/>
          <w:szCs w:val="32"/>
        </w:rPr>
        <w:t>件；系统类运维1</w:t>
      </w:r>
      <w:r>
        <w:rPr>
          <w:rFonts w:hint="eastAsia" w:ascii="仿宋_GB2312" w:eastAsia="仿宋_GB2312" w:cs="仿宋_GB2312"/>
          <w:bCs/>
          <w:sz w:val="32"/>
          <w:szCs w:val="32"/>
          <w:lang w:val="en-US" w:eastAsia="zh-CN"/>
        </w:rPr>
        <w:t>627</w:t>
      </w:r>
      <w:r>
        <w:rPr>
          <w:rFonts w:hint="eastAsia" w:ascii="仿宋_GB2312" w:eastAsia="仿宋_GB2312" w:cs="仿宋_GB2312"/>
          <w:bCs/>
          <w:sz w:val="32"/>
          <w:szCs w:val="32"/>
        </w:rPr>
        <w:t>件件，包括机房环境、网络、终端等事件；其中系统类事件占比</w:t>
      </w:r>
      <w:r>
        <w:rPr>
          <w:rFonts w:hint="eastAsia" w:ascii="仿宋_GB2312" w:eastAsia="仿宋_GB2312" w:cs="仿宋_GB2312"/>
          <w:bCs/>
          <w:sz w:val="32"/>
          <w:szCs w:val="32"/>
          <w:lang w:val="en-US" w:eastAsia="zh-CN"/>
        </w:rPr>
        <w:t>82</w:t>
      </w:r>
      <w:r>
        <w:rPr>
          <w:rFonts w:hint="eastAsia" w:ascii="仿宋_GB2312" w:eastAsia="仿宋_GB2312" w:cs="仿宋_GB2312"/>
          <w:bCs/>
          <w:sz w:val="32"/>
          <w:szCs w:val="32"/>
        </w:rPr>
        <w:t>%。应用类维护事件占比1</w:t>
      </w:r>
      <w:r>
        <w:rPr>
          <w:rFonts w:hint="eastAsia" w:ascii="仿宋_GB2312" w:eastAsia="仿宋_GB2312" w:cs="仿宋_GB2312"/>
          <w:bCs/>
          <w:sz w:val="32"/>
          <w:szCs w:val="32"/>
          <w:lang w:val="en-US" w:eastAsia="zh-CN"/>
        </w:rPr>
        <w:t>8</w:t>
      </w:r>
      <w:r>
        <w:rPr>
          <w:rFonts w:hint="eastAsia" w:ascii="仿宋_GB2312" w:eastAsia="仿宋_GB2312" w:cs="仿宋_GB2312"/>
          <w:bCs/>
          <w:sz w:val="32"/>
          <w:szCs w:val="32"/>
        </w:rPr>
        <w:t>%，系统运维事件占比较</w:t>
      </w:r>
      <w:r>
        <w:rPr>
          <w:rFonts w:hint="eastAsia" w:ascii="仿宋_GB2312" w:eastAsia="仿宋_GB2312" w:cs="仿宋_GB2312"/>
          <w:bCs/>
          <w:sz w:val="32"/>
          <w:szCs w:val="32"/>
          <w:lang w:val="en-US" w:eastAsia="zh-CN"/>
        </w:rPr>
        <w:t>多</w:t>
      </w:r>
      <w:r>
        <w:rPr>
          <w:rFonts w:hint="eastAsia" w:ascii="仿宋_GB2312" w:eastAsia="仿宋_GB2312" w:cs="仿宋_GB2312"/>
          <w:bCs/>
          <w:sz w:val="32"/>
          <w:szCs w:val="32"/>
        </w:rPr>
        <w:t>。</w:t>
      </w:r>
      <w:r>
        <w:rPr>
          <w:rFonts w:hint="eastAsia" w:ascii="仿宋_GB2312" w:eastAsia="仿宋_GB2312" w:cs="仿宋_GB2312"/>
          <w:bCs/>
          <w:sz w:val="32"/>
          <w:szCs w:val="32"/>
          <w:lang w:val="zh-CN"/>
        </w:rPr>
        <w:t>密云</w:t>
      </w:r>
      <w:r>
        <w:rPr>
          <w:rFonts w:hint="eastAsia" w:ascii="仿宋_GB2312" w:eastAsia="仿宋_GB2312" w:cs="仿宋_GB2312"/>
          <w:bCs/>
          <w:sz w:val="32"/>
          <w:szCs w:val="32"/>
        </w:rPr>
        <w:t>院运维范围主要包括</w:t>
      </w:r>
      <w:r>
        <w:rPr>
          <w:rFonts w:hint="eastAsia" w:ascii="仿宋_GB2312" w:eastAsia="仿宋_GB2312" w:cs="仿宋_GB2312"/>
          <w:bCs/>
          <w:sz w:val="32"/>
          <w:szCs w:val="32"/>
          <w:lang w:val="zh-CN"/>
        </w:rPr>
        <w:t>密云</w:t>
      </w:r>
      <w:r>
        <w:rPr>
          <w:rFonts w:hint="eastAsia" w:ascii="仿宋_GB2312" w:eastAsia="仿宋_GB2312" w:cs="仿宋_GB2312"/>
          <w:bCs/>
          <w:sz w:val="32"/>
          <w:szCs w:val="32"/>
        </w:rPr>
        <w:t>院现有机房所有主机系统、网络系统、安防系统，</w:t>
      </w:r>
      <w:r>
        <w:rPr>
          <w:rFonts w:hint="eastAsia" w:ascii="仿宋_GB2312" w:eastAsia="仿宋_GB2312" w:cs="仿宋_GB2312"/>
          <w:bCs/>
          <w:sz w:val="32"/>
          <w:szCs w:val="32"/>
          <w:lang w:val="en-US" w:eastAsia="zh-CN"/>
        </w:rPr>
        <w:t>全国检察</w:t>
      </w:r>
      <w:r>
        <w:rPr>
          <w:rFonts w:hint="eastAsia" w:ascii="仿宋_GB2312" w:eastAsia="仿宋_GB2312" w:cs="仿宋_GB2312"/>
          <w:bCs/>
          <w:sz w:val="32"/>
          <w:szCs w:val="32"/>
        </w:rPr>
        <w:t xml:space="preserve">业务应用系统和网站应用系统。信息化运维内容包括两部分： </w:t>
      </w:r>
    </w:p>
    <w:p w14:paraId="64121DD7">
      <w:pPr>
        <w:spacing w:line="360" w:lineRule="auto"/>
        <w:ind w:firstLine="640" w:firstLineChars="200"/>
        <w:rPr>
          <w:rFonts w:hint="eastAsia" w:ascii="仿宋_GB2312" w:eastAsia="仿宋_GB2312" w:cs="仿宋_GB2312"/>
          <w:bCs/>
          <w:sz w:val="32"/>
          <w:szCs w:val="32"/>
        </w:rPr>
      </w:pPr>
      <w:r>
        <w:rPr>
          <w:rFonts w:hint="eastAsia" w:ascii="仿宋_GB2312" w:eastAsia="仿宋_GB2312" w:cs="仿宋_GB2312"/>
          <w:bCs/>
          <w:sz w:val="32"/>
          <w:szCs w:val="32"/>
        </w:rPr>
        <w:t>应用系统运维：以系统整体可用和为业务提供可靠服务为目的，包括</w:t>
      </w:r>
      <w:r>
        <w:rPr>
          <w:rFonts w:hint="eastAsia" w:ascii="仿宋_GB2312" w:eastAsia="仿宋_GB2312" w:cs="仿宋_GB2312"/>
          <w:bCs/>
          <w:sz w:val="32"/>
          <w:szCs w:val="32"/>
          <w:lang w:val="en-US" w:eastAsia="zh-CN"/>
        </w:rPr>
        <w:t>全国检察</w:t>
      </w:r>
      <w:r>
        <w:rPr>
          <w:rFonts w:hint="eastAsia" w:ascii="仿宋_GB2312" w:eastAsia="仿宋_GB2312" w:cs="仿宋_GB2312"/>
          <w:bCs/>
          <w:sz w:val="32"/>
          <w:szCs w:val="32"/>
        </w:rPr>
        <w:t>业务应用系统和本院</w:t>
      </w:r>
      <w:r>
        <w:rPr>
          <w:rFonts w:hint="eastAsia" w:ascii="仿宋_GB2312" w:eastAsia="仿宋_GB2312" w:cs="仿宋_GB2312"/>
          <w:bCs/>
          <w:sz w:val="32"/>
          <w:szCs w:val="32"/>
          <w:lang w:val="en-US" w:eastAsia="zh-CN"/>
        </w:rPr>
        <w:t>门户</w:t>
      </w:r>
      <w:r>
        <w:rPr>
          <w:rFonts w:hint="eastAsia" w:ascii="仿宋_GB2312" w:eastAsia="仿宋_GB2312" w:cs="仿宋_GB2312"/>
          <w:bCs/>
          <w:sz w:val="32"/>
          <w:szCs w:val="32"/>
        </w:rPr>
        <w:t>网站的技术运维，以及信息内容服务运维等；</w:t>
      </w:r>
    </w:p>
    <w:p w14:paraId="6B4E9F21">
      <w:pPr>
        <w:spacing w:line="360" w:lineRule="auto"/>
        <w:ind w:firstLine="640" w:firstLineChars="200"/>
        <w:rPr>
          <w:rFonts w:hint="eastAsia" w:ascii="仿宋_GB2312" w:eastAsia="仿宋_GB2312" w:cs="仿宋_GB2312"/>
          <w:bCs/>
          <w:sz w:val="32"/>
          <w:szCs w:val="32"/>
        </w:rPr>
      </w:pPr>
      <w:r>
        <w:rPr>
          <w:rFonts w:hint="eastAsia" w:ascii="仿宋_GB2312" w:eastAsia="仿宋_GB2312" w:cs="仿宋_GB2312"/>
          <w:bCs/>
          <w:sz w:val="32"/>
          <w:szCs w:val="32"/>
        </w:rPr>
        <w:t>信息化基础设施运维：以硬件资产和软件资产可用为目的，包括支撑系统正常运行的网络系统、主机系统、安全系统、存储系统和机房专用设施等的运维服务；</w:t>
      </w:r>
    </w:p>
    <w:p w14:paraId="605B9D2F">
      <w:pPr>
        <w:spacing w:line="360" w:lineRule="auto"/>
        <w:ind w:firstLine="640" w:firstLineChars="200"/>
        <w:rPr>
          <w:rFonts w:hint="eastAsia" w:ascii="仿宋_GB2312" w:eastAsia="仿宋_GB2312" w:cs="仿宋_GB2312"/>
          <w:bCs/>
          <w:sz w:val="32"/>
          <w:szCs w:val="32"/>
        </w:rPr>
      </w:pPr>
    </w:p>
    <w:p w14:paraId="7F285BEC">
      <w:pPr>
        <w:spacing w:line="360" w:lineRule="auto"/>
        <w:ind w:firstLine="640" w:firstLineChars="200"/>
        <w:rPr>
          <w:rFonts w:hint="eastAsia" w:ascii="仿宋_GB2312" w:hAnsi="宋体" w:eastAsia="仿宋_GB2312" w:cs="仿宋_GB2312"/>
          <w:kern w:val="2"/>
          <w:sz w:val="32"/>
          <w:szCs w:val="32"/>
          <w:highlight w:val="none"/>
          <w:lang w:val="en-US" w:eastAsia="zh-CN" w:bidi="zh-CN"/>
        </w:rPr>
      </w:pPr>
      <w:r>
        <w:rPr>
          <w:rFonts w:hint="eastAsia" w:ascii="仿宋_GB2312" w:hAnsi="宋体" w:eastAsia="仿宋_GB2312" w:cs="仿宋_GB2312"/>
          <w:kern w:val="2"/>
          <w:sz w:val="32"/>
          <w:szCs w:val="32"/>
          <w:highlight w:val="none"/>
          <w:lang w:val="en-US" w:eastAsia="zh-CN" w:bidi="zh-CN"/>
        </w:rPr>
        <w:drawing>
          <wp:anchor distT="0" distB="0" distL="114300" distR="114300" simplePos="0" relativeHeight="251659264" behindDoc="0" locked="0" layoutInCell="1" allowOverlap="1">
            <wp:simplePos x="0" y="0"/>
            <wp:positionH relativeFrom="column">
              <wp:posOffset>-36195</wp:posOffset>
            </wp:positionH>
            <wp:positionV relativeFrom="paragraph">
              <wp:posOffset>134620</wp:posOffset>
            </wp:positionV>
            <wp:extent cx="5549265" cy="4164965"/>
            <wp:effectExtent l="4445" t="4445" r="8890" b="21590"/>
            <wp:wrapSquare wrapText="bothSides"/>
            <wp:docPr id="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eastAsia" w:ascii="仿宋_GB2312" w:hAnsi="宋体" w:eastAsia="仿宋_GB2312" w:cs="仿宋_GB2312"/>
          <w:kern w:val="2"/>
          <w:sz w:val="32"/>
          <w:szCs w:val="32"/>
          <w:highlight w:val="none"/>
          <w:lang w:val="en-US" w:eastAsia="zh-CN" w:bidi="zh-CN"/>
        </w:rPr>
        <w:t>2.网站应用系统。本年度处理的会议保障219次，区委，市院及最高检视频会议联调298次，音视频其它问题19次。处理首检网事件21件，包括使用咨询、权限与人员调整、信息修改与文章发布及其他配合工作。密云院网站使用问题较少。每周五对中间件及数据库自动备份文件进行手动异地备份检查操作。</w:t>
      </w:r>
    </w:p>
    <w:p w14:paraId="7B22F596">
      <w:pPr>
        <w:spacing w:line="360" w:lineRule="auto"/>
        <w:ind w:firstLine="640" w:firstLineChars="200"/>
        <w:rPr>
          <w:rFonts w:hint="eastAsia" w:ascii="仿宋_GB2312" w:hAnsi="宋体" w:eastAsia="仿宋_GB2312" w:cs="仿宋_GB2312"/>
          <w:kern w:val="2"/>
          <w:sz w:val="32"/>
          <w:szCs w:val="32"/>
          <w:highlight w:val="none"/>
          <w:lang w:val="en-US" w:eastAsia="zh-CN" w:bidi="zh-CN"/>
        </w:rPr>
      </w:pPr>
      <w:r>
        <w:rPr>
          <w:rFonts w:hint="eastAsia" w:ascii="仿宋_GB2312" w:hAnsi="宋体" w:eastAsia="仿宋_GB2312" w:cs="仿宋_GB2312"/>
          <w:kern w:val="2"/>
          <w:sz w:val="32"/>
          <w:szCs w:val="32"/>
          <w:highlight w:val="none"/>
          <w:lang w:val="en-US" w:eastAsia="zh-CN" w:bidi="zh-CN"/>
        </w:rPr>
        <w:t>3.机房环境。2024年机房基础环境运维比较稳定，运维工程师每工作日早晚对机房基础运行环境进行检查，专业人员巡检12次，为空调和运营商设备巡检。对主楼6层屏蔽机房与维修通道、5层配线机房、东配楼大要案指挥中心机房、西配楼机房等设备设施进行巡检与维护。本年度机房中央空调由物业和维护商巡检6次，包括室外机清理、室内机滤网清洗1次。本院主楼UPS电池于2020年11月安装，目前主机和电池运行良好。</w:t>
      </w:r>
    </w:p>
    <w:p w14:paraId="386E10D5">
      <w:pPr>
        <w:pStyle w:val="8"/>
        <w:spacing w:line="360" w:lineRule="auto"/>
        <w:ind w:firstLine="640" w:firstLineChars="200"/>
        <w:rPr>
          <w:rFonts w:ascii="仿宋_GB2312" w:hAnsi="宋体" w:eastAsia="仿宋_GB2312" w:cs="仿宋_GB2312"/>
          <w:lang w:val="en-US"/>
        </w:rPr>
      </w:pPr>
      <w:r>
        <w:rPr>
          <w:rFonts w:hint="eastAsia" w:ascii="仿宋_GB2312" w:hAnsi="宋体" w:eastAsia="仿宋_GB2312" w:cs="仿宋_GB2312"/>
          <w:lang w:val="en-US"/>
        </w:rPr>
        <w:t>4</w:t>
      </w:r>
      <w:r>
        <w:rPr>
          <w:rFonts w:ascii="仿宋_GB2312" w:hAnsi="宋体" w:eastAsia="仿宋_GB2312" w:cs="仿宋_GB2312"/>
          <w:lang w:val="en-US"/>
        </w:rPr>
        <w:t>.</w:t>
      </w:r>
      <w:r>
        <w:rPr>
          <w:rFonts w:hint="eastAsia" w:ascii="仿宋_GB2312" w:hAnsi="宋体" w:eastAsia="仿宋_GB2312" w:cs="仿宋_GB2312"/>
          <w:lang w:val="en-US"/>
        </w:rPr>
        <w:t>网络系统。对检察政务内网、检察工作网、政务外网、互联网进行管理与维护，终端设备的连接与维护，区检察院到市检察院的检察政务内网，检察工作网管理与故障处理。互联网日常维护工作为：日常检查、新入网终端mac地址绑定，退网终端mac地址解绑，ip与mac地址台账更新维护；政务外网日常工作为：检查区政务平台能否登录，通过邮箱与区信息中心沟通政务外网开通与注销。</w:t>
      </w:r>
    </w:p>
    <w:p w14:paraId="300DE136">
      <w:pPr>
        <w:pStyle w:val="8"/>
        <w:spacing w:line="360" w:lineRule="auto"/>
        <w:ind w:firstLine="640" w:firstLineChars="200"/>
        <w:rPr>
          <w:rFonts w:ascii="仿宋_GB2312" w:hAnsi="宋体" w:eastAsia="仿宋_GB2312" w:cs="仿宋_GB2312"/>
          <w:lang w:val="en-US"/>
        </w:rPr>
      </w:pPr>
      <w:r>
        <w:rPr>
          <w:rFonts w:hint="eastAsia" w:ascii="仿宋_GB2312" w:hAnsi="宋体" w:eastAsia="仿宋_GB2312" w:cs="仿宋_GB2312"/>
          <w:lang w:val="en-US"/>
        </w:rPr>
        <w:t>5</w:t>
      </w:r>
      <w:r>
        <w:rPr>
          <w:rFonts w:ascii="仿宋_GB2312" w:hAnsi="宋体" w:eastAsia="仿宋_GB2312" w:cs="仿宋_GB2312"/>
          <w:lang w:val="en-US"/>
        </w:rPr>
        <w:t>.</w:t>
      </w:r>
      <w:r>
        <w:rPr>
          <w:rFonts w:hint="eastAsia" w:ascii="仿宋_GB2312" w:hAnsi="宋体" w:eastAsia="仿宋_GB2312" w:cs="仿宋_GB2312"/>
          <w:lang w:val="en-US"/>
        </w:rPr>
        <w:t>服务器系统。对政务内网8台服务器进行日常维护，包括每日系统状态监控和预警、系统日志检查；每月系统性能分析；每季度整理和分析日志等。</w:t>
      </w:r>
    </w:p>
    <w:p w14:paraId="6E92E065">
      <w:pPr>
        <w:spacing w:line="360" w:lineRule="auto"/>
        <w:ind w:firstLine="640" w:firstLineChars="200"/>
        <w:rPr>
          <w:rFonts w:hint="eastAsia" w:ascii="仿宋_GB2312" w:hAnsi="宋体" w:eastAsia="仿宋_GB2312" w:cs="仿宋_GB2312"/>
          <w:kern w:val="2"/>
          <w:sz w:val="32"/>
          <w:szCs w:val="32"/>
          <w:lang w:val="en-US" w:eastAsia="zh-CN" w:bidi="zh-CN"/>
        </w:rPr>
      </w:pPr>
      <w:r>
        <w:rPr>
          <w:rFonts w:hint="eastAsia" w:ascii="仿宋_GB2312" w:hAnsi="宋体" w:eastAsia="仿宋_GB2312" w:cs="仿宋_GB2312"/>
          <w:kern w:val="2"/>
          <w:sz w:val="32"/>
          <w:szCs w:val="32"/>
          <w:lang w:val="en-US" w:eastAsia="zh-CN" w:bidi="zh-CN"/>
        </w:rPr>
        <w:t>6.终端维护。2024年共接到各类系统事件1627件。其中包括UPS 3件，空调5件，网络8件，系统其它15件，音视频其它19件，编写文档31件，终端其它57件，领导交办及其它82件，打印机153件，会议保障219件，系统巡检260件，会议联调298件，相关终端电脑477件。具体维护数据详见下表：</w:t>
      </w:r>
      <w:r>
        <w:drawing>
          <wp:inline distT="0" distB="0" distL="114300" distR="114300">
            <wp:extent cx="5539105" cy="2446020"/>
            <wp:effectExtent l="4445" t="4445" r="19050" b="6985"/>
            <wp:docPr id="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41CD673">
      <w:pPr>
        <w:pStyle w:val="8"/>
        <w:spacing w:line="360" w:lineRule="auto"/>
        <w:ind w:firstLine="640" w:firstLineChars="200"/>
        <w:rPr>
          <w:rFonts w:ascii="仿宋_GB2312" w:hAnsi="宋体" w:eastAsia="仿宋_GB2312" w:cs="仿宋_GB2312"/>
          <w:lang w:val="en-US"/>
        </w:rPr>
      </w:pPr>
      <w:r>
        <w:rPr>
          <w:rFonts w:hint="eastAsia" w:ascii="仿宋_GB2312" w:hAnsi="宋体" w:eastAsia="仿宋_GB2312" w:cs="仿宋_GB2312"/>
          <w:lang w:val="en-US"/>
        </w:rPr>
        <w:t>7</w:t>
      </w:r>
      <w:r>
        <w:rPr>
          <w:rFonts w:ascii="仿宋_GB2312" w:hAnsi="宋体" w:eastAsia="仿宋_GB2312" w:cs="仿宋_GB2312"/>
          <w:lang w:val="en-US"/>
        </w:rPr>
        <w:t>.</w:t>
      </w:r>
      <w:r>
        <w:rPr>
          <w:rFonts w:hint="eastAsia" w:ascii="仿宋_GB2312" w:hAnsi="宋体" w:eastAsia="仿宋_GB2312" w:cs="仿宋_GB2312"/>
          <w:lang w:val="en-US"/>
        </w:rPr>
        <w:t>音视频会议系统。对包括七层东会议室、七层西会议室、西配楼会议室、党组会议室、512会议室、6层案件研讨会议室的视频会议系统进行维护，</w:t>
      </w:r>
      <w:r>
        <w:rPr>
          <w:rFonts w:hint="eastAsia" w:ascii="仿宋_GB2312" w:hAnsi="宋体" w:eastAsia="仿宋_GB2312" w:cs="仿宋_GB2312"/>
          <w:highlight w:val="none"/>
          <w:lang w:val="en-US"/>
        </w:rPr>
        <w:t>完成会议保障</w:t>
      </w:r>
      <w:r>
        <w:rPr>
          <w:rFonts w:hint="eastAsia" w:ascii="仿宋_GB2312" w:hAnsi="宋体" w:eastAsia="仿宋_GB2312" w:cs="仿宋_GB2312"/>
          <w:highlight w:val="none"/>
          <w:lang w:val="en-US" w:eastAsia="zh-CN"/>
        </w:rPr>
        <w:t>219</w:t>
      </w:r>
      <w:r>
        <w:rPr>
          <w:rFonts w:hint="eastAsia" w:ascii="仿宋_GB2312" w:hAnsi="宋体" w:eastAsia="仿宋_GB2312" w:cs="仿宋_GB2312"/>
          <w:highlight w:val="none"/>
          <w:lang w:val="en-US"/>
        </w:rPr>
        <w:t>次，区委和市院高检院视频会议联调</w:t>
      </w:r>
      <w:r>
        <w:rPr>
          <w:rFonts w:hint="eastAsia" w:ascii="仿宋_GB2312" w:hAnsi="宋体" w:eastAsia="仿宋_GB2312" w:cs="仿宋_GB2312"/>
          <w:highlight w:val="none"/>
          <w:lang w:val="en-US" w:eastAsia="zh-CN"/>
        </w:rPr>
        <w:t>298</w:t>
      </w:r>
      <w:r>
        <w:rPr>
          <w:rFonts w:hint="eastAsia" w:ascii="仿宋_GB2312" w:hAnsi="宋体" w:eastAsia="仿宋_GB2312" w:cs="仿宋_GB2312"/>
          <w:highlight w:val="none"/>
          <w:lang w:val="en-US"/>
        </w:rPr>
        <w:t>次，音视频其它问题19次。</w:t>
      </w:r>
    </w:p>
    <w:p w14:paraId="7CE2D8A1">
      <w:pPr>
        <w:pStyle w:val="8"/>
        <w:spacing w:line="360" w:lineRule="auto"/>
        <w:ind w:firstLine="640" w:firstLineChars="200"/>
        <w:rPr>
          <w:rFonts w:hint="eastAsia" w:ascii="仿宋_GB2312" w:hAnsi="宋体" w:eastAsia="仿宋_GB2312" w:cs="仿宋_GB2312"/>
          <w:highlight w:val="yellow"/>
          <w:lang w:val="en-US"/>
        </w:rPr>
      </w:pPr>
      <w:r>
        <w:rPr>
          <w:rFonts w:hint="eastAsia" w:ascii="仿宋_GB2312" w:hAnsi="宋体" w:eastAsia="仿宋_GB2312" w:cs="仿宋_GB2312"/>
          <w:highlight w:val="none"/>
          <w:lang w:val="en-US"/>
        </w:rPr>
        <w:t>8</w:t>
      </w:r>
      <w:r>
        <w:rPr>
          <w:rFonts w:ascii="仿宋_GB2312" w:hAnsi="宋体" w:eastAsia="仿宋_GB2312" w:cs="仿宋_GB2312"/>
          <w:highlight w:val="none"/>
          <w:lang w:val="en-US"/>
        </w:rPr>
        <w:t>.</w:t>
      </w:r>
      <w:r>
        <w:rPr>
          <w:rFonts w:hint="eastAsia" w:ascii="仿宋_GB2312" w:hAnsi="宋体" w:eastAsia="仿宋_GB2312" w:cs="仿宋_GB2312"/>
          <w:highlight w:val="none"/>
          <w:lang w:val="en-US"/>
        </w:rPr>
        <w:t>2024年工作集中梳理更新了各网设备台账，表格。全年输出运维工作报告</w:t>
      </w:r>
      <w:r>
        <w:rPr>
          <w:rFonts w:ascii="仿宋_GB2312" w:hAnsi="宋体" w:eastAsia="仿宋_GB2312" w:cs="仿宋_GB2312"/>
          <w:highlight w:val="none"/>
          <w:lang w:val="en-US"/>
        </w:rPr>
        <w:t>66</w:t>
      </w:r>
      <w:r>
        <w:rPr>
          <w:rFonts w:hint="eastAsia" w:ascii="仿宋_GB2312" w:hAnsi="宋体" w:eastAsia="仿宋_GB2312" w:cs="仿宋_GB2312"/>
          <w:highlight w:val="none"/>
          <w:lang w:val="en-US"/>
        </w:rPr>
        <w:t>份，其中《服务周报》5</w:t>
      </w:r>
      <w:r>
        <w:rPr>
          <w:rFonts w:hint="eastAsia" w:ascii="仿宋_GB2312" w:hAnsi="宋体" w:eastAsia="仿宋_GB2312" w:cs="仿宋_GB2312"/>
          <w:highlight w:val="none"/>
          <w:lang w:val="en-US" w:eastAsia="zh-CN"/>
        </w:rPr>
        <w:t>0</w:t>
      </w:r>
      <w:r>
        <w:rPr>
          <w:rFonts w:hint="eastAsia" w:ascii="仿宋_GB2312" w:hAnsi="宋体" w:eastAsia="仿宋_GB2312" w:cs="仿宋_GB2312"/>
          <w:highlight w:val="none"/>
          <w:lang w:val="en-US"/>
        </w:rPr>
        <w:t>份，《运维月报》</w:t>
      </w:r>
      <w:r>
        <w:rPr>
          <w:rFonts w:hint="eastAsia" w:ascii="仿宋_GB2312" w:hAnsi="宋体" w:eastAsia="仿宋_GB2312" w:cs="仿宋_GB2312"/>
          <w:highlight w:val="none"/>
          <w:lang w:val="en-US" w:eastAsia="zh-CN"/>
        </w:rPr>
        <w:t>8</w:t>
      </w:r>
      <w:r>
        <w:rPr>
          <w:rFonts w:hint="eastAsia" w:ascii="仿宋_GB2312" w:hAnsi="宋体" w:eastAsia="仿宋_GB2312" w:cs="仿宋_GB2312"/>
          <w:highlight w:val="none"/>
          <w:lang w:val="en-US"/>
        </w:rPr>
        <w:t>份，《运维季报》</w:t>
      </w:r>
      <w:r>
        <w:rPr>
          <w:rFonts w:hint="default" w:ascii="仿宋_GB2312" w:hAnsi="宋体" w:eastAsia="仿宋_GB2312" w:cs="仿宋_GB2312"/>
          <w:highlight w:val="none"/>
          <w:lang w:val="en-US"/>
        </w:rPr>
        <w:t>2</w:t>
      </w:r>
      <w:r>
        <w:rPr>
          <w:rFonts w:hint="eastAsia" w:ascii="仿宋_GB2312" w:hAnsi="宋体" w:eastAsia="仿宋_GB2312" w:cs="仿宋_GB2312"/>
          <w:highlight w:val="none"/>
          <w:lang w:val="en-US"/>
        </w:rPr>
        <w:t>份，《半年报》1份，《年报》1份。日常巡检记录2</w:t>
      </w:r>
      <w:r>
        <w:rPr>
          <w:rFonts w:hint="eastAsia" w:ascii="仿宋_GB2312" w:hAnsi="宋体" w:eastAsia="仿宋_GB2312" w:cs="仿宋_GB2312"/>
          <w:highlight w:val="none"/>
          <w:lang w:val="en-US" w:eastAsia="zh-CN"/>
        </w:rPr>
        <w:t>5</w:t>
      </w:r>
      <w:r>
        <w:rPr>
          <w:rFonts w:ascii="仿宋_GB2312" w:hAnsi="宋体" w:eastAsia="仿宋_GB2312" w:cs="仿宋_GB2312"/>
          <w:highlight w:val="none"/>
          <w:lang w:val="en-US"/>
        </w:rPr>
        <w:t>9</w:t>
      </w:r>
      <w:r>
        <w:rPr>
          <w:rFonts w:hint="eastAsia" w:ascii="仿宋_GB2312" w:hAnsi="宋体" w:eastAsia="仿宋_GB2312" w:cs="仿宋_GB2312"/>
          <w:highlight w:val="none"/>
          <w:lang w:val="en-US"/>
        </w:rPr>
        <w:t>份，全年工作量工单1份。</w:t>
      </w:r>
      <w:r>
        <w:rPr>
          <w:rFonts w:hint="eastAsia" w:ascii="仿宋_GB2312" w:hAnsi="宋体" w:eastAsia="仿宋_GB2312" w:cs="仿宋_GB2312"/>
          <w:highlight w:val="none"/>
          <w:lang w:val="en-US" w:eastAsia="zh-CN"/>
        </w:rPr>
        <w:t>2024</w:t>
      </w:r>
      <w:r>
        <w:rPr>
          <w:rFonts w:hint="eastAsia" w:ascii="仿宋_GB2312" w:hAnsi="宋体" w:eastAsia="仿宋_GB2312" w:cs="仿宋_GB2312"/>
          <w:highlight w:val="none"/>
          <w:lang w:val="en-US"/>
        </w:rPr>
        <w:t>年工作中，占比最</w:t>
      </w:r>
      <w:r>
        <w:rPr>
          <w:rFonts w:hint="eastAsia" w:ascii="仿宋_GB2312" w:hAnsi="宋体" w:eastAsia="仿宋_GB2312" w:cs="仿宋_GB2312"/>
          <w:highlight w:val="none"/>
          <w:lang w:val="en-US" w:eastAsia="zh-CN"/>
        </w:rPr>
        <w:t>多三项</w:t>
      </w:r>
      <w:r>
        <w:rPr>
          <w:rFonts w:hint="eastAsia" w:ascii="仿宋_GB2312" w:hAnsi="宋体" w:eastAsia="仿宋_GB2312" w:cs="仿宋_GB2312"/>
          <w:highlight w:val="none"/>
          <w:lang w:val="en-US"/>
        </w:rPr>
        <w:t>工作为终端</w:t>
      </w:r>
      <w:r>
        <w:rPr>
          <w:rFonts w:hint="eastAsia" w:ascii="仿宋_GB2312" w:hAnsi="宋体" w:eastAsia="仿宋_GB2312" w:cs="仿宋_GB2312"/>
          <w:highlight w:val="none"/>
          <w:lang w:val="en-US" w:eastAsia="zh-CN"/>
        </w:rPr>
        <w:t>电脑</w:t>
      </w:r>
      <w:r>
        <w:rPr>
          <w:rFonts w:hint="eastAsia" w:ascii="仿宋_GB2312" w:hAnsi="宋体" w:eastAsia="仿宋_GB2312" w:cs="仿宋_GB2312"/>
          <w:highlight w:val="none"/>
          <w:lang w:val="en-US"/>
        </w:rPr>
        <w:t>，</w:t>
      </w:r>
      <w:r>
        <w:rPr>
          <w:rFonts w:hint="eastAsia" w:ascii="仿宋_GB2312" w:hAnsi="宋体" w:eastAsia="仿宋_GB2312" w:cs="仿宋_GB2312"/>
          <w:highlight w:val="none"/>
          <w:lang w:val="en-US" w:eastAsia="zh-CN"/>
        </w:rPr>
        <w:t>全国检察业务应用系统</w:t>
      </w:r>
      <w:r>
        <w:rPr>
          <w:rFonts w:hint="eastAsia" w:ascii="仿宋_GB2312" w:hAnsi="宋体" w:eastAsia="仿宋_GB2312" w:cs="仿宋_GB2312"/>
          <w:highlight w:val="none"/>
          <w:lang w:val="en-US"/>
        </w:rPr>
        <w:t>及会议</w:t>
      </w:r>
      <w:r>
        <w:rPr>
          <w:rFonts w:hint="eastAsia" w:ascii="仿宋_GB2312" w:hAnsi="宋体" w:eastAsia="仿宋_GB2312" w:cs="仿宋_GB2312"/>
          <w:highlight w:val="none"/>
          <w:lang w:val="en-US" w:eastAsia="zh-CN"/>
        </w:rPr>
        <w:t>联调</w:t>
      </w:r>
      <w:r>
        <w:rPr>
          <w:rFonts w:hint="eastAsia" w:ascii="仿宋_GB2312" w:hAnsi="宋体" w:eastAsia="仿宋_GB2312" w:cs="仿宋_GB2312"/>
          <w:highlight w:val="none"/>
          <w:lang w:val="en-US"/>
        </w:rPr>
        <w:t>。其中终端和打印机工单</w:t>
      </w:r>
      <w:r>
        <w:rPr>
          <w:rFonts w:hint="eastAsia" w:ascii="仿宋_GB2312" w:hAnsi="宋体" w:eastAsia="仿宋_GB2312" w:cs="仿宋_GB2312"/>
          <w:highlight w:val="none"/>
          <w:lang w:val="en-US" w:eastAsia="zh-CN"/>
        </w:rPr>
        <w:t>687</w:t>
      </w:r>
      <w:r>
        <w:rPr>
          <w:rFonts w:hint="eastAsia" w:ascii="仿宋_GB2312" w:hAnsi="宋体" w:eastAsia="仿宋_GB2312" w:cs="仿宋_GB2312"/>
          <w:highlight w:val="none"/>
          <w:lang w:val="en-US"/>
        </w:rPr>
        <w:t>件，占比最高，为总体工作的</w:t>
      </w:r>
      <w:r>
        <w:rPr>
          <w:rFonts w:hint="eastAsia" w:ascii="仿宋_GB2312" w:hAnsi="宋体" w:eastAsia="仿宋_GB2312" w:cs="仿宋_GB2312"/>
          <w:highlight w:val="none"/>
          <w:lang w:val="en-US" w:eastAsia="zh-CN"/>
        </w:rPr>
        <w:t>34</w:t>
      </w:r>
      <w:r>
        <w:rPr>
          <w:rFonts w:ascii="仿宋_GB2312" w:hAnsi="宋体" w:eastAsia="仿宋_GB2312" w:cs="仿宋_GB2312"/>
          <w:highlight w:val="none"/>
          <w:lang w:val="en-US"/>
        </w:rPr>
        <w:t>%</w:t>
      </w:r>
      <w:r>
        <w:rPr>
          <w:rFonts w:hint="eastAsia" w:ascii="仿宋_GB2312" w:hAnsi="宋体" w:eastAsia="仿宋_GB2312" w:cs="仿宋_GB2312"/>
          <w:highlight w:val="none"/>
          <w:lang w:val="en-US"/>
        </w:rPr>
        <w:t>。会议联调及会议保障共</w:t>
      </w:r>
      <w:r>
        <w:rPr>
          <w:rFonts w:hint="eastAsia" w:ascii="仿宋_GB2312" w:hAnsi="宋体" w:eastAsia="仿宋_GB2312" w:cs="仿宋_GB2312"/>
          <w:highlight w:val="none"/>
          <w:lang w:val="en-US" w:eastAsia="zh-CN"/>
        </w:rPr>
        <w:t>517</w:t>
      </w:r>
      <w:r>
        <w:rPr>
          <w:rFonts w:hint="eastAsia" w:ascii="仿宋_GB2312" w:hAnsi="宋体" w:eastAsia="仿宋_GB2312" w:cs="仿宋_GB2312"/>
          <w:highlight w:val="none"/>
          <w:lang w:val="en-US"/>
        </w:rPr>
        <w:t>件，占全年工作量2</w:t>
      </w:r>
      <w:r>
        <w:rPr>
          <w:rFonts w:hint="eastAsia" w:ascii="仿宋_GB2312" w:hAnsi="宋体" w:eastAsia="仿宋_GB2312" w:cs="仿宋_GB2312"/>
          <w:highlight w:val="none"/>
          <w:lang w:val="en-US" w:eastAsia="zh-CN"/>
        </w:rPr>
        <w:t>5</w:t>
      </w:r>
      <w:r>
        <w:rPr>
          <w:rFonts w:ascii="仿宋_GB2312" w:hAnsi="宋体" w:eastAsia="仿宋_GB2312" w:cs="仿宋_GB2312"/>
          <w:highlight w:val="none"/>
          <w:lang w:val="en-US"/>
        </w:rPr>
        <w:t>%</w:t>
      </w:r>
      <w:r>
        <w:rPr>
          <w:rFonts w:hint="eastAsia" w:ascii="仿宋_GB2312" w:hAnsi="宋体" w:eastAsia="仿宋_GB2312" w:cs="仿宋_GB2312"/>
          <w:highlight w:val="none"/>
          <w:lang w:val="en-US"/>
        </w:rPr>
        <w:t>。</w:t>
      </w:r>
      <w:r>
        <w:rPr>
          <w:rFonts w:hint="eastAsia" w:ascii="仿宋_GB2312" w:hAnsi="宋体" w:eastAsia="仿宋_GB2312" w:cs="仿宋_GB2312"/>
          <w:highlight w:val="none"/>
          <w:lang w:val="en-US" w:eastAsia="zh-CN"/>
        </w:rPr>
        <w:t>全国检察业务应用系统</w:t>
      </w:r>
      <w:r>
        <w:rPr>
          <w:rFonts w:hint="eastAsia" w:ascii="仿宋_GB2312" w:hAnsi="宋体" w:eastAsia="仿宋_GB2312" w:cs="仿宋_GB2312"/>
          <w:highlight w:val="none"/>
          <w:lang w:val="en-US"/>
        </w:rPr>
        <w:t>共3</w:t>
      </w:r>
      <w:r>
        <w:rPr>
          <w:rFonts w:hint="eastAsia" w:ascii="仿宋_GB2312" w:hAnsi="宋体" w:eastAsia="仿宋_GB2312" w:cs="仿宋_GB2312"/>
          <w:highlight w:val="none"/>
          <w:lang w:val="en-US" w:eastAsia="zh-CN"/>
        </w:rPr>
        <w:t>64</w:t>
      </w:r>
      <w:r>
        <w:rPr>
          <w:rFonts w:hint="eastAsia" w:ascii="仿宋_GB2312" w:hAnsi="宋体" w:eastAsia="仿宋_GB2312" w:cs="仿宋_GB2312"/>
          <w:highlight w:val="none"/>
          <w:lang w:val="en-US"/>
        </w:rPr>
        <w:t>件。占全年工作量1</w:t>
      </w:r>
      <w:r>
        <w:rPr>
          <w:rFonts w:hint="eastAsia" w:ascii="仿宋_GB2312" w:hAnsi="宋体" w:eastAsia="仿宋_GB2312" w:cs="仿宋_GB2312"/>
          <w:highlight w:val="none"/>
          <w:lang w:val="en-US" w:eastAsia="zh-CN"/>
        </w:rPr>
        <w:t>8</w:t>
      </w:r>
      <w:r>
        <w:rPr>
          <w:rFonts w:ascii="仿宋_GB2312" w:hAnsi="宋体" w:eastAsia="仿宋_GB2312" w:cs="仿宋_GB2312"/>
          <w:highlight w:val="none"/>
          <w:lang w:val="en-US"/>
        </w:rPr>
        <w:t>%</w:t>
      </w:r>
      <w:r>
        <w:rPr>
          <w:rFonts w:hint="eastAsia" w:ascii="仿宋_GB2312" w:hAnsi="宋体" w:eastAsia="仿宋_GB2312" w:cs="仿宋_GB2312"/>
          <w:highlight w:val="none"/>
          <w:lang w:val="en-US" w:eastAsia="zh-CN"/>
        </w:rPr>
        <w:t xml:space="preserve"> </w:t>
      </w:r>
      <w:r>
        <w:rPr>
          <w:rFonts w:ascii="仿宋_GB2312" w:hAnsi="宋体" w:eastAsia="仿宋_GB2312" w:cs="仿宋_GB2312"/>
          <w:highlight w:val="none"/>
          <w:lang w:val="en-US"/>
        </w:rPr>
        <w:t>。</w:t>
      </w:r>
      <w:r>
        <w:rPr>
          <w:rFonts w:hint="eastAsia" w:ascii="仿宋_GB2312" w:hAnsi="宋体" w:eastAsia="仿宋_GB2312" w:cs="仿宋_GB2312"/>
          <w:highlight w:val="none"/>
          <w:lang w:val="en-US"/>
        </w:rPr>
        <w:t>终端电脑和打印机问题中，</w:t>
      </w:r>
      <w:r>
        <w:rPr>
          <w:rFonts w:hint="eastAsia" w:ascii="仿宋_GB2312" w:hAnsi="宋体" w:eastAsia="仿宋_GB2312" w:cs="仿宋_GB2312"/>
          <w:highlight w:val="none"/>
          <w:lang w:val="en-US" w:eastAsia="zh-CN"/>
        </w:rPr>
        <w:t>部分</w:t>
      </w:r>
      <w:r>
        <w:rPr>
          <w:rFonts w:hint="eastAsia" w:ascii="仿宋_GB2312" w:hAnsi="宋体" w:eastAsia="仿宋_GB2312" w:cs="仿宋_GB2312"/>
          <w:highlight w:val="none"/>
          <w:lang w:val="en-US"/>
        </w:rPr>
        <w:t>工作网</w:t>
      </w:r>
      <w:r>
        <w:rPr>
          <w:rFonts w:hint="eastAsia" w:ascii="仿宋_GB2312" w:hAnsi="宋体" w:eastAsia="仿宋_GB2312" w:cs="仿宋_GB2312"/>
          <w:highlight w:val="none"/>
          <w:lang w:val="en-US" w:eastAsia="zh-CN"/>
        </w:rPr>
        <w:t>台式机因显卡风险缺陷及内存颗粒缺陷，导致终端电脑操作系统崩溃，显示器黑屏，应用软件异常，通过更换故障硬件</w:t>
      </w:r>
      <w:r>
        <w:rPr>
          <w:rFonts w:hint="eastAsia" w:ascii="仿宋_GB2312" w:hAnsi="宋体" w:eastAsia="仿宋_GB2312" w:cs="仿宋_GB2312"/>
          <w:highlight w:val="none"/>
          <w:lang w:val="en-US"/>
        </w:rPr>
        <w:t>，</w:t>
      </w:r>
      <w:r>
        <w:rPr>
          <w:rFonts w:hint="eastAsia" w:ascii="仿宋_GB2312" w:hAnsi="宋体" w:eastAsia="仿宋_GB2312" w:cs="仿宋_GB2312"/>
          <w:highlight w:val="none"/>
          <w:lang w:val="en-US" w:eastAsia="zh-CN"/>
        </w:rPr>
        <w:t>基本能够</w:t>
      </w:r>
      <w:r>
        <w:rPr>
          <w:rFonts w:hint="eastAsia" w:ascii="仿宋_GB2312" w:hAnsi="宋体" w:eastAsia="仿宋_GB2312" w:cs="仿宋_GB2312"/>
          <w:highlight w:val="none"/>
          <w:lang w:val="en-US"/>
        </w:rPr>
        <w:t>解决问题。</w:t>
      </w:r>
      <w:r>
        <w:rPr>
          <w:rFonts w:hint="eastAsia" w:ascii="仿宋_GB2312" w:hAnsi="宋体" w:eastAsia="仿宋_GB2312" w:cs="仿宋_GB2312"/>
          <w:highlight w:val="none"/>
          <w:lang w:val="en-US" w:eastAsia="zh-CN"/>
        </w:rPr>
        <w:t>全国检察业务应用系统</w:t>
      </w:r>
      <w:r>
        <w:rPr>
          <w:rFonts w:hint="eastAsia" w:ascii="仿宋_GB2312" w:hAnsi="宋体" w:eastAsia="仿宋_GB2312" w:cs="仿宋_GB2312"/>
          <w:highlight w:val="none"/>
          <w:lang w:val="en-US"/>
        </w:rPr>
        <w:t>占总体工作量1</w:t>
      </w:r>
      <w:r>
        <w:rPr>
          <w:rFonts w:hint="eastAsia" w:ascii="仿宋_GB2312" w:hAnsi="宋体" w:eastAsia="仿宋_GB2312" w:cs="仿宋_GB2312"/>
          <w:highlight w:val="none"/>
          <w:lang w:val="en-US" w:eastAsia="zh-CN"/>
        </w:rPr>
        <w:t>8</w:t>
      </w:r>
      <w:r>
        <w:rPr>
          <w:rFonts w:hint="eastAsia" w:ascii="仿宋_GB2312" w:hAnsi="宋体" w:eastAsia="仿宋_GB2312" w:cs="仿宋_GB2312"/>
          <w:highlight w:val="none"/>
          <w:lang w:val="en-US"/>
        </w:rPr>
        <w:t>%，现阶段配置基本完善，工作量较多部分为权限变更，案件修改及业务咨询。权限变更主要集中在业务部门干警经调整后，添加办案团，轮案组，调整轮案规则等。案件修改问题主要是</w:t>
      </w:r>
      <w:r>
        <w:rPr>
          <w:rFonts w:hint="eastAsia" w:ascii="仿宋_GB2312" w:hAnsi="宋体" w:eastAsia="仿宋_GB2312" w:cs="仿宋_GB2312"/>
          <w:highlight w:val="none"/>
          <w:lang w:val="en-US" w:eastAsia="zh-CN"/>
        </w:rPr>
        <w:t>2024年二季度，上级院民事部门要求本年度开始，特定类型案件名要有“检护民生”标签，配合第四检察部民事及行政检察大量修改1至3月案件名</w:t>
      </w:r>
      <w:r>
        <w:rPr>
          <w:rFonts w:hint="eastAsia" w:ascii="仿宋_GB2312" w:hAnsi="宋体" w:eastAsia="仿宋_GB2312" w:cs="仿宋_GB2312"/>
          <w:highlight w:val="none"/>
          <w:lang w:val="en-US"/>
        </w:rPr>
        <w:t>。运维过程中发现较大问题基本为信访2.0，BJCM等第三方系统与统一系统的对接问题。</w:t>
      </w:r>
    </w:p>
    <w:p w14:paraId="1DB55D49">
      <w:pPr>
        <w:pStyle w:val="3"/>
        <w:keepNext w:val="0"/>
        <w:keepLines w:val="0"/>
        <w:spacing w:before="0" w:after="0" w:line="360" w:lineRule="auto"/>
        <w:ind w:firstLine="640" w:firstLineChars="200"/>
        <w:rPr>
          <w:rFonts w:ascii="仿宋_GB2312" w:eastAsia="仿宋_GB2312" w:cs="仿宋_GB2312"/>
        </w:rPr>
      </w:pPr>
      <w:bookmarkStart w:id="38" w:name="_Toc5069"/>
      <w:r>
        <w:rPr>
          <w:rFonts w:hint="eastAsia" w:ascii="仿宋_GB2312" w:hAnsi="仿宋_GB2312" w:eastAsia="仿宋_GB2312" w:cs="仿宋_GB2312"/>
          <w:b w:val="0"/>
        </w:rPr>
        <w:t>（四）项目效益情况</w:t>
      </w:r>
      <w:bookmarkEnd w:id="38"/>
    </w:p>
    <w:p w14:paraId="080172E7">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02</w:t>
      </w:r>
      <w:r>
        <w:rPr>
          <w:rFonts w:hint="eastAsia" w:ascii="仿宋_GB2312" w:eastAsia="仿宋_GB2312" w:cs="仿宋_GB2312"/>
          <w:sz w:val="32"/>
          <w:szCs w:val="32"/>
        </w:rPr>
        <w:t>4年度区检察院通过信息化运维费项目的实施，保障了区检察院信息化系统的稳定运行，满足了检察业务信息化多元化发展和信息技术的快速更新，进一步完善了区检察院信息化服务体系，为检察工作的顺利开展提供了有效信息化保障。</w:t>
      </w:r>
    </w:p>
    <w:p w14:paraId="064BE16D">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区检察院在项目决策、组织实施环节采取了较为有效的管理控制措施，项目实际完成内容与项目设立初衷及预期目标保持了一致，项目绩效的整体达成情况良好。</w:t>
      </w:r>
    </w:p>
    <w:p w14:paraId="7777FF9F">
      <w:pPr>
        <w:pStyle w:val="2"/>
        <w:spacing w:line="360" w:lineRule="auto"/>
        <w:ind w:left="0" w:leftChars="0" w:firstLine="640" w:firstLineChars="200"/>
        <w:rPr>
          <w:rFonts w:ascii="黑体" w:hAnsi="黑体" w:eastAsia="黑体"/>
          <w:b w:val="0"/>
          <w:bCs w:val="0"/>
          <w:kern w:val="2"/>
          <w:szCs w:val="32"/>
        </w:rPr>
      </w:pPr>
      <w:bookmarkStart w:id="39" w:name="_Toc424911766"/>
      <w:bookmarkStart w:id="40" w:name="_Toc375717379"/>
      <w:bookmarkStart w:id="41" w:name="_Toc17668"/>
      <w:r>
        <w:rPr>
          <w:rFonts w:hint="eastAsia" w:ascii="黑体" w:hAnsi="黑体" w:eastAsia="黑体"/>
          <w:b w:val="0"/>
          <w:bCs w:val="0"/>
          <w:kern w:val="2"/>
          <w:szCs w:val="32"/>
        </w:rPr>
        <w:t>五、</w:t>
      </w:r>
      <w:bookmarkEnd w:id="39"/>
      <w:bookmarkEnd w:id="40"/>
      <w:r>
        <w:rPr>
          <w:rFonts w:hint="eastAsia" w:ascii="黑体" w:hAnsi="黑体" w:eastAsia="黑体"/>
          <w:b w:val="0"/>
          <w:bCs w:val="0"/>
          <w:kern w:val="2"/>
          <w:szCs w:val="32"/>
        </w:rPr>
        <w:t>主要经验及做法、存在的问题及原因分析</w:t>
      </w:r>
      <w:bookmarkEnd w:id="41"/>
    </w:p>
    <w:p w14:paraId="00CE009D">
      <w:pPr>
        <w:pStyle w:val="3"/>
        <w:keepNext w:val="0"/>
        <w:keepLines w:val="0"/>
        <w:spacing w:before="0" w:after="0" w:line="360" w:lineRule="auto"/>
        <w:ind w:firstLine="640" w:firstLineChars="200"/>
        <w:rPr>
          <w:rFonts w:ascii="楷体" w:hAnsi="楷体" w:eastAsia="楷体"/>
          <w:b w:val="0"/>
        </w:rPr>
      </w:pPr>
      <w:bookmarkStart w:id="42" w:name="_Toc32328"/>
      <w:bookmarkStart w:id="43" w:name="_Toc375717380"/>
      <w:bookmarkStart w:id="44" w:name="_Toc424911767"/>
      <w:r>
        <w:rPr>
          <w:rFonts w:hint="eastAsia" w:ascii="仿宋_GB2312" w:hAnsi="仿宋_GB2312" w:eastAsia="仿宋_GB2312" w:cs="仿宋_GB2312"/>
          <w:b w:val="0"/>
        </w:rPr>
        <w:t>（一）主要经验及做法</w:t>
      </w:r>
      <w:bookmarkEnd w:id="42"/>
    </w:p>
    <w:p w14:paraId="506B7A37">
      <w:pPr>
        <w:spacing w:line="360" w:lineRule="auto"/>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在项目人员管理方面，区检察院要求第三方服务单位注重员工的业务素质培训，通过参加岗位培训等形式来提高服务人员的操作技能，能够确保其对信息化服务工作的充分掌握，来更好的提供服务。</w:t>
      </w:r>
    </w:p>
    <w:p w14:paraId="5E3E6F2C">
      <w:pPr>
        <w:spacing w:line="360" w:lineRule="auto"/>
        <w:ind w:firstLine="640" w:firstLineChars="200"/>
        <w:rPr>
          <w:rFonts w:ascii="仿宋_GB2312" w:eastAsia="仿宋_GB2312" w:cs="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区检察院较为重视日常管理考核工作，并把信息化运维费项目纳入年度关键工作任务进行管理。通过日常的考核监督，能够较为充分的掌握第三方所提供的服务工作状态，较好的确保了各项工作的有效进行。定期备份路由器，交换机和安全设备配置文件，可以防止设备意外掉电或故障导致配置丢失，能够及时恢复网络，备份内容分别保存到运维终端及市院SVN上。定期检查网络设备和安全设备厂商是否发布新版本操作系统及补丁，通过查看厂商安装及回退文档，确定升级时间及影响，与客户汇报后及时进行升级。</w:t>
      </w:r>
    </w:p>
    <w:p w14:paraId="60F79910">
      <w:pPr>
        <w:spacing w:line="360" w:lineRule="auto"/>
        <w:ind w:firstLine="640" w:firstLineChars="200"/>
        <w:rPr>
          <w:rFonts w:ascii="仿宋_GB2312" w:eastAsia="仿宋_GB2312" w:cs="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区检察院要求第三方服务单位认真做好项目的计划与总结工作，注重服务质量，制定必要的服务质量考核管理制度及措施，确保服务质量的提升。</w:t>
      </w:r>
    </w:p>
    <w:p w14:paraId="2097C03C">
      <w:pPr>
        <w:pStyle w:val="3"/>
        <w:keepNext w:val="0"/>
        <w:keepLines w:val="0"/>
        <w:spacing w:before="0" w:after="0" w:line="360" w:lineRule="auto"/>
        <w:ind w:firstLine="640" w:firstLineChars="200"/>
        <w:rPr>
          <w:rFonts w:ascii="仿宋_GB2312" w:hAnsi="仿宋_GB2312" w:eastAsia="仿宋_GB2312" w:cs="仿宋_GB2312"/>
          <w:b w:val="0"/>
        </w:rPr>
      </w:pPr>
      <w:bookmarkStart w:id="45" w:name="_Toc22445"/>
      <w:r>
        <w:rPr>
          <w:rFonts w:hint="eastAsia" w:ascii="仿宋_GB2312" w:hAnsi="仿宋_GB2312" w:eastAsia="仿宋_GB2312" w:cs="仿宋_GB2312"/>
          <w:b w:val="0"/>
        </w:rPr>
        <w:t>（二）存在的问题及原因分析</w:t>
      </w:r>
      <w:bookmarkEnd w:id="45"/>
    </w:p>
    <w:p w14:paraId="637D0685">
      <w:pPr>
        <w:spacing w:line="360" w:lineRule="auto"/>
        <w:ind w:firstLine="640" w:firstLineChars="200"/>
        <w:rPr>
          <w:rFonts w:ascii="仿宋_GB2312" w:eastAsia="仿宋_GB2312" w:cs="仿宋_GB2312"/>
          <w:b/>
          <w:sz w:val="32"/>
          <w:szCs w:val="32"/>
        </w:rPr>
      </w:pPr>
      <w:r>
        <w:rPr>
          <w:rFonts w:hint="eastAsia" w:ascii="仿宋_GB2312" w:eastAsia="仿宋_GB2312" w:cs="仿宋_GB2312"/>
          <w:sz w:val="32"/>
          <w:szCs w:val="32"/>
        </w:rPr>
        <w:t>1</w:t>
      </w:r>
      <w:r>
        <w:rPr>
          <w:rFonts w:ascii="仿宋_GB2312" w:eastAsia="仿宋_GB2312" w:cs="仿宋_GB2312"/>
          <w:sz w:val="32"/>
          <w:szCs w:val="32"/>
        </w:rPr>
        <w:t>.</w:t>
      </w:r>
      <w:r>
        <w:rPr>
          <w:rFonts w:hint="eastAsia" w:ascii="仿宋_GB2312" w:eastAsia="仿宋_GB2312" w:cs="仿宋_GB2312"/>
          <w:sz w:val="32"/>
          <w:szCs w:val="32"/>
        </w:rPr>
        <w:t>项目绩效目标申报表在绩效目标的设定上存在一定的问题，部分绩效目标设置不够精细，效益量化不完整。</w:t>
      </w:r>
    </w:p>
    <w:p w14:paraId="7EB701AA">
      <w:pPr>
        <w:spacing w:line="360" w:lineRule="auto"/>
        <w:ind w:firstLine="640" w:firstLineChars="200"/>
        <w:rPr>
          <w:rFonts w:ascii="仿宋_GB2312" w:eastAsia="仿宋_GB2312" w:cs="仿宋_GB2312"/>
          <w:bCs/>
          <w:sz w:val="32"/>
          <w:szCs w:val="32"/>
        </w:rPr>
      </w:pPr>
      <w:r>
        <w:rPr>
          <w:rFonts w:hint="eastAsia" w:ascii="仿宋_GB2312" w:eastAsia="仿宋_GB2312" w:cs="仿宋_GB2312"/>
          <w:sz w:val="32"/>
          <w:szCs w:val="32"/>
        </w:rPr>
        <w:t>2</w:t>
      </w:r>
      <w:r>
        <w:rPr>
          <w:rFonts w:ascii="仿宋_GB2312" w:eastAsia="仿宋_GB2312" w:cs="仿宋_GB2312"/>
          <w:sz w:val="32"/>
          <w:szCs w:val="32"/>
        </w:rPr>
        <w:t>.</w:t>
      </w:r>
      <w:r>
        <w:rPr>
          <w:rFonts w:hint="eastAsia" w:ascii="仿宋_GB2312" w:eastAsia="仿宋_GB2312" w:cs="仿宋_GB2312"/>
          <w:sz w:val="32"/>
          <w:szCs w:val="32"/>
        </w:rPr>
        <w:t>由于项目实施内容为机构运维的常规延续性项目，绩效成果主要体现在对稳定信息化运维提供的支持与保障，服务对象是区检察院的工作人员，但未能组织开展满意度调查工作。</w:t>
      </w:r>
    </w:p>
    <w:bookmarkEnd w:id="43"/>
    <w:bookmarkEnd w:id="44"/>
    <w:p w14:paraId="3BABCA06">
      <w:pPr>
        <w:pStyle w:val="2"/>
        <w:spacing w:line="360" w:lineRule="auto"/>
        <w:ind w:left="0" w:leftChars="0" w:firstLine="640" w:firstLineChars="200"/>
        <w:rPr>
          <w:rFonts w:ascii="黑体" w:hAnsi="黑体" w:eastAsia="黑体"/>
          <w:b w:val="0"/>
          <w:bCs w:val="0"/>
          <w:kern w:val="2"/>
          <w:szCs w:val="32"/>
        </w:rPr>
      </w:pPr>
      <w:bookmarkStart w:id="46" w:name="_Toc424911768"/>
      <w:bookmarkStart w:id="47" w:name="_Toc14363"/>
      <w:bookmarkStart w:id="48" w:name="_Toc375717381"/>
      <w:r>
        <w:rPr>
          <w:rFonts w:hint="eastAsia" w:ascii="黑体" w:hAnsi="黑体" w:eastAsia="黑体"/>
          <w:b w:val="0"/>
          <w:bCs w:val="0"/>
          <w:kern w:val="2"/>
          <w:szCs w:val="32"/>
        </w:rPr>
        <w:t>六、有关建议</w:t>
      </w:r>
      <w:bookmarkEnd w:id="46"/>
      <w:bookmarkEnd w:id="47"/>
      <w:bookmarkEnd w:id="48"/>
    </w:p>
    <w:p w14:paraId="367F0CE3">
      <w:pPr>
        <w:spacing w:line="360" w:lineRule="auto"/>
        <w:ind w:firstLine="640" w:firstLineChars="200"/>
        <w:rPr>
          <w:rFonts w:ascii="仿宋_GB2312" w:hAnsi="仿宋_GB2312" w:eastAsia="仿宋_GB2312" w:cs="仿宋_GB2312"/>
          <w:sz w:val="32"/>
          <w:szCs w:val="32"/>
        </w:rPr>
      </w:pPr>
      <w:bookmarkStart w:id="49" w:name="_Toc375717382"/>
      <w:bookmarkStart w:id="50" w:name="_Toc424911769"/>
      <w:bookmarkStart w:id="51" w:name="_Toc346017221"/>
      <w:r>
        <w:rPr>
          <w:rFonts w:hint="eastAsia" w:ascii="仿宋_GB2312" w:hAnsi="仿宋_GB2312" w:eastAsia="仿宋_GB2312" w:cs="仿宋_GB2312"/>
          <w:sz w:val="32"/>
          <w:szCs w:val="32"/>
        </w:rPr>
        <w:t>（一）</w:t>
      </w:r>
      <w:r>
        <w:rPr>
          <w:rFonts w:hint="eastAsia" w:ascii="仿宋_GB2312" w:eastAsia="仿宋_GB2312" w:cs="仿宋_GB2312"/>
          <w:sz w:val="32"/>
          <w:szCs w:val="32"/>
        </w:rPr>
        <w:t>提高项目的绩效管理水平，学习与掌握规范编制绩效目标申报表的技巧。根据工作内容梳理数量指标和质量指标；根据详细的预算控制成本指标；根据方案计划安排进度指标；根据实施目的和预期效果制定效益指标。各项指标应符合细化、量化、可衡量的基本条件。重视目标填报的时效性，提升绩效目标的指导作用，便于项目实施过程中的监督检查及对项目实施效果的衡量。</w:t>
      </w:r>
      <w:r>
        <w:rPr>
          <w:rFonts w:hint="eastAsia" w:ascii="仿宋_GB2312" w:hAnsi="仿宋_GB2312" w:eastAsia="仿宋_GB2312" w:cs="仿宋_GB2312"/>
          <w:sz w:val="32"/>
          <w:szCs w:val="32"/>
        </w:rPr>
        <w:t>进一步</w:t>
      </w:r>
      <w:r>
        <w:rPr>
          <w:rFonts w:hint="eastAsia" w:ascii="仿宋_GB2312" w:eastAsia="仿宋_GB2312" w:cs="仿宋_GB2312"/>
          <w:sz w:val="32"/>
          <w:szCs w:val="32"/>
        </w:rPr>
        <w:t>将项目预算管理提升至单位层面，坚持以项目预期目标为导向来决策项目内容。作为延续性项目，在决策过程中要对以前年度实施方式相对固化或资金支出占比较大的内容引起格外注意，加强对原有预算执行的成果进行分析，总结以前年度工作的有益经验与存在的不足。结合项目成本投入水平所对应的绩效目标，</w:t>
      </w:r>
      <w:r>
        <w:rPr>
          <w:rFonts w:hint="eastAsia" w:ascii="仿宋_GB2312" w:eastAsia="仿宋_GB2312" w:cs="仿宋_GB2312"/>
          <w:bCs/>
          <w:sz w:val="32"/>
          <w:szCs w:val="32"/>
        </w:rPr>
        <w:t>提出若干实现该目标的替代方案，运用成本效益分析的方法，计算出每种方案的成本投入和效益对比，选择最合理的成本取得最大效益的实施方案，</w:t>
      </w:r>
      <w:r>
        <w:rPr>
          <w:rFonts w:hint="eastAsia" w:ascii="仿宋_GB2312" w:eastAsia="仿宋_GB2312" w:cs="仿宋_GB2312"/>
          <w:sz w:val="32"/>
          <w:szCs w:val="32"/>
        </w:rPr>
        <w:t>进一步提高预算决策的科学性。</w:t>
      </w:r>
    </w:p>
    <w:p w14:paraId="6EE6095F">
      <w:pPr>
        <w:spacing w:line="360" w:lineRule="auto"/>
        <w:ind w:firstLine="640" w:firstLineChars="200"/>
        <w:rPr>
          <w:rFonts w:eastAsia="仿宋_GB2312" w:cs="仿宋_GB2312"/>
          <w:sz w:val="32"/>
          <w:szCs w:val="32"/>
        </w:rPr>
      </w:pPr>
      <w:r>
        <w:rPr>
          <w:rFonts w:hint="eastAsia" w:ascii="仿宋_GB2312" w:eastAsia="仿宋_GB2312" w:cs="仿宋_GB2312"/>
          <w:sz w:val="32"/>
          <w:szCs w:val="32"/>
        </w:rPr>
        <w:t>（二）加强对项目实施过程的精细化管理，强化对项目实施过程的监督管理工作，重视项目实施过程性资料及成果资料的收集与整理，完善项目档案管理工作。全面、深入总结项目实施效果和不足，加强对项目材料的总结提炼，充分体现项目的执行效果，促进财政资金发挥更大的作用。</w:t>
      </w:r>
    </w:p>
    <w:p w14:paraId="74032A33">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eastAsia="仿宋_GB2312"/>
          <w:sz w:val="32"/>
          <w:szCs w:val="32"/>
        </w:rPr>
        <w:t>进一步加强预算管理，细化项目的实施方案，明确资金使用标准和依据，不断完善，能全面反映项目产出、效果及效率的指标。下一步，我们将会提高预算编制的准确性，强化绩效目标管理。根据项目年度工作内容和总体目标，合理编制、细化预算，结合实际情况，科学合理设置绩效目标和绩效指标，确保指标设置能够全面体现工作任务的主要产出和效益。</w:t>
      </w:r>
    </w:p>
    <w:p w14:paraId="6DAC9C4A">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eastAsia="仿宋_GB2312" w:cs="仿宋_GB2312"/>
          <w:bCs/>
          <w:sz w:val="32"/>
          <w:szCs w:val="32"/>
        </w:rPr>
        <w:t>作为延续性项目，应总结分析项目历年</w:t>
      </w:r>
      <w:r>
        <w:rPr>
          <w:rFonts w:ascii="仿宋_GB2312" w:eastAsia="仿宋_GB2312" w:cs="仿宋_GB2312"/>
          <w:bCs/>
          <w:sz w:val="32"/>
          <w:szCs w:val="32"/>
        </w:rPr>
        <w:t>实施的</w:t>
      </w:r>
      <w:r>
        <w:rPr>
          <w:rFonts w:hint="eastAsia" w:ascii="仿宋_GB2312" w:eastAsia="仿宋_GB2312" w:cs="仿宋_GB2312"/>
          <w:bCs/>
          <w:sz w:val="32"/>
          <w:szCs w:val="32"/>
        </w:rPr>
        <w:t>情况</w:t>
      </w:r>
      <w:r>
        <w:rPr>
          <w:rFonts w:ascii="仿宋_GB2312" w:eastAsia="仿宋_GB2312" w:cs="仿宋_GB2312"/>
          <w:bCs/>
          <w:sz w:val="32"/>
          <w:szCs w:val="32"/>
        </w:rPr>
        <w:t>，</w:t>
      </w:r>
      <w:r>
        <w:rPr>
          <w:rFonts w:hint="eastAsia" w:ascii="仿宋_GB2312" w:eastAsia="仿宋_GB2312" w:cs="仿宋_GB2312"/>
          <w:bCs/>
          <w:sz w:val="32"/>
          <w:szCs w:val="32"/>
        </w:rPr>
        <w:t>及时全面归集项目实际效果资料，完善项目实施后对于目标实现的支撑作用。认真做好满意度调查工作，克服项目在满意度调查方面存在的客观困难。认真做好满意度调查分析工作，收集、分析服务目标群体对于项目实施的意见与建议。通过满意度调查工作，起到持续改进和不断完善的目的，促进财政资金发挥更大的作用。</w:t>
      </w:r>
    </w:p>
    <w:p w14:paraId="686D872F">
      <w:pPr>
        <w:pStyle w:val="2"/>
        <w:spacing w:line="360" w:lineRule="auto"/>
        <w:ind w:left="0" w:leftChars="0" w:firstLine="640" w:firstLineChars="200"/>
        <w:rPr>
          <w:rFonts w:ascii="黑体" w:hAnsi="黑体" w:eastAsia="黑体"/>
          <w:b w:val="0"/>
          <w:bCs w:val="0"/>
          <w:kern w:val="2"/>
          <w:szCs w:val="32"/>
        </w:rPr>
      </w:pPr>
      <w:bookmarkStart w:id="52" w:name="_Toc7278"/>
      <w:r>
        <w:rPr>
          <w:rFonts w:hint="eastAsia" w:ascii="黑体" w:hAnsi="黑体" w:eastAsia="黑体"/>
          <w:b w:val="0"/>
          <w:bCs w:val="0"/>
          <w:kern w:val="2"/>
          <w:szCs w:val="32"/>
        </w:rPr>
        <w:t>七、</w:t>
      </w:r>
      <w:bookmarkEnd w:id="49"/>
      <w:bookmarkEnd w:id="50"/>
      <w:bookmarkEnd w:id="51"/>
      <w:r>
        <w:rPr>
          <w:rFonts w:hint="eastAsia" w:ascii="黑体" w:hAnsi="黑体" w:eastAsia="黑体"/>
          <w:b w:val="0"/>
          <w:bCs w:val="0"/>
          <w:kern w:val="2"/>
          <w:szCs w:val="32"/>
        </w:rPr>
        <w:t>其他需要说明的问题</w:t>
      </w:r>
      <w:bookmarkEnd w:id="52"/>
    </w:p>
    <w:p w14:paraId="3E264248">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无。 </w:t>
      </w:r>
      <w:r>
        <w:rPr>
          <w:rFonts w:ascii="仿宋_GB2312" w:eastAsia="仿宋_GB2312" w:cs="仿宋_GB2312"/>
          <w:sz w:val="32"/>
          <w:szCs w:val="32"/>
        </w:rPr>
        <w:t xml:space="preserve">       </w:t>
      </w:r>
    </w:p>
    <w:p w14:paraId="3229F487">
      <w:pPr>
        <w:spacing w:line="600" w:lineRule="exact"/>
        <w:ind w:left="105" w:leftChars="50" w:firstLine="480" w:firstLineChars="150"/>
        <w:rPr>
          <w:rFonts w:ascii="仿宋_GB2312" w:eastAsia="仿宋_GB2312"/>
          <w:sz w:val="32"/>
          <w:szCs w:val="32"/>
        </w:rPr>
      </w:pPr>
    </w:p>
    <w:p w14:paraId="400B3246">
      <w:pPr>
        <w:spacing w:line="600" w:lineRule="exact"/>
        <w:ind w:left="105" w:leftChars="50" w:firstLine="480" w:firstLineChars="150"/>
        <w:rPr>
          <w:rFonts w:ascii="仿宋_GB2312" w:eastAsia="仿宋_GB2312"/>
          <w:sz w:val="32"/>
          <w:szCs w:val="32"/>
        </w:rPr>
      </w:pPr>
    </w:p>
    <w:p w14:paraId="42010161">
      <w:pPr>
        <w:spacing w:line="600" w:lineRule="exact"/>
        <w:ind w:left="105" w:leftChars="50" w:firstLine="480" w:firstLineChars="150"/>
        <w:rPr>
          <w:rFonts w:ascii="仿宋_GB2312" w:eastAsia="仿宋_GB2312"/>
          <w:sz w:val="32"/>
          <w:szCs w:val="32"/>
        </w:rPr>
      </w:pPr>
      <w:r>
        <w:rPr>
          <w:rFonts w:hint="eastAsia" w:ascii="仿宋_GB2312" w:eastAsia="仿宋_GB2312"/>
          <w:sz w:val="32"/>
          <w:szCs w:val="32"/>
        </w:rPr>
        <w:t>附件：2024年密云检察院信息化运维费项目指标体系及打分情况表</w:t>
      </w:r>
    </w:p>
    <w:p w14:paraId="2A88552A">
      <w:pPr>
        <w:rPr>
          <w:rFonts w:ascii="Times New Roman" w:hAnsi="Times New Roman" w:eastAsia="仿宋_GB2312"/>
          <w:sz w:val="32"/>
          <w:szCs w:val="32"/>
        </w:rPr>
        <w:sectPr>
          <w:footerReference r:id="rId3" w:type="default"/>
          <w:pgSz w:w="11906" w:h="16838"/>
          <w:pgMar w:top="2098" w:right="1474" w:bottom="1985" w:left="1588" w:header="851" w:footer="992" w:gutter="0"/>
          <w:pgNumType w:start="1"/>
          <w:cols w:space="720" w:num="1"/>
          <w:docGrid w:linePitch="312" w:charSpace="0"/>
        </w:sectPr>
      </w:pPr>
      <w:r>
        <w:rPr>
          <w:rFonts w:ascii="仿宋_GB2312" w:eastAsia="仿宋_GB2312" w:cs="仿宋_GB2312"/>
          <w:sz w:val="32"/>
          <w:szCs w:val="32"/>
        </w:rPr>
        <w:br w:type="page"/>
      </w:r>
    </w:p>
    <w:p w14:paraId="1747F560">
      <w:pPr>
        <w:spacing w:after="140"/>
        <w:jc w:val="center"/>
        <w:rPr>
          <w:rFonts w:ascii="宋体" w:hAnsi="宋体" w:cs="宋体"/>
          <w:color w:val="000000"/>
          <w:kern w:val="0"/>
          <w:sz w:val="22"/>
          <w:lang w:val="zh-TW" w:eastAsia="zh-TW" w:bidi="zh-TW"/>
        </w:rPr>
      </w:pPr>
      <w:r>
        <w:rPr>
          <w:rFonts w:hint="eastAsia" w:ascii="宋体" w:hAnsi="宋体" w:cs="宋体"/>
          <w:color w:val="000000"/>
          <w:kern w:val="0"/>
          <w:sz w:val="22"/>
          <w:lang w:val="zh-TW" w:eastAsia="zh-TW" w:bidi="zh-TW"/>
        </w:rPr>
        <w:t>202</w:t>
      </w:r>
      <w:r>
        <w:rPr>
          <w:rFonts w:hint="eastAsia" w:ascii="宋体" w:hAnsi="宋体" w:cs="宋体"/>
          <w:color w:val="000000"/>
          <w:kern w:val="0"/>
          <w:sz w:val="22"/>
          <w:lang w:val="en-US" w:eastAsia="zh-CN" w:bidi="zh-TW"/>
        </w:rPr>
        <w:t>4</w:t>
      </w:r>
      <w:r>
        <w:rPr>
          <w:rFonts w:hint="eastAsia" w:ascii="宋体" w:hAnsi="宋体" w:cs="宋体"/>
          <w:color w:val="000000"/>
          <w:kern w:val="0"/>
          <w:sz w:val="22"/>
          <w:lang w:val="zh-TW" w:eastAsia="zh-TW" w:bidi="zh-TW"/>
        </w:rPr>
        <w:t>年密云检察院信息化运维费项目</w:t>
      </w:r>
      <w:r>
        <w:rPr>
          <w:rFonts w:ascii="宋体" w:hAnsi="宋体" w:cs="宋体"/>
          <w:color w:val="000000"/>
          <w:kern w:val="0"/>
          <w:sz w:val="22"/>
          <w:lang w:val="zh-TW" w:eastAsia="zh-TW" w:bidi="zh-TW"/>
        </w:rPr>
        <w:t>指标体系及打分情况表</w:t>
      </w:r>
    </w:p>
    <w:tbl>
      <w:tblPr>
        <w:tblStyle w:val="20"/>
        <w:tblW w:w="13601" w:type="dxa"/>
        <w:jc w:val="center"/>
        <w:tblLayout w:type="fixed"/>
        <w:tblCellMar>
          <w:top w:w="0" w:type="dxa"/>
          <w:left w:w="10" w:type="dxa"/>
          <w:bottom w:w="0" w:type="dxa"/>
          <w:right w:w="10" w:type="dxa"/>
        </w:tblCellMar>
      </w:tblPr>
      <w:tblGrid>
        <w:gridCol w:w="762"/>
        <w:gridCol w:w="809"/>
        <w:gridCol w:w="814"/>
        <w:gridCol w:w="874"/>
        <w:gridCol w:w="1094"/>
        <w:gridCol w:w="5386"/>
        <w:gridCol w:w="1127"/>
        <w:gridCol w:w="2735"/>
      </w:tblGrid>
      <w:tr w14:paraId="655DA881">
        <w:tblPrEx>
          <w:tblCellMar>
            <w:top w:w="0" w:type="dxa"/>
            <w:left w:w="10" w:type="dxa"/>
            <w:bottom w:w="0" w:type="dxa"/>
            <w:right w:w="10" w:type="dxa"/>
          </w:tblCellMar>
        </w:tblPrEx>
        <w:trPr>
          <w:trHeight w:val="524" w:hRule="exact"/>
          <w:jc w:val="center"/>
        </w:trPr>
        <w:tc>
          <w:tcPr>
            <w:tcW w:w="762" w:type="dxa"/>
            <w:tcBorders>
              <w:top w:val="single" w:color="auto" w:sz="4" w:space="0"/>
              <w:left w:val="single" w:color="auto" w:sz="4" w:space="0"/>
            </w:tcBorders>
            <w:shd w:val="clear" w:color="auto" w:fill="FFFFFF"/>
            <w:vAlign w:val="center"/>
          </w:tcPr>
          <w:p w14:paraId="0483D272">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一级指标</w:t>
            </w:r>
          </w:p>
        </w:tc>
        <w:tc>
          <w:tcPr>
            <w:tcW w:w="809" w:type="dxa"/>
            <w:tcBorders>
              <w:top w:val="single" w:color="auto" w:sz="4" w:space="0"/>
              <w:left w:val="single" w:color="auto" w:sz="4" w:space="0"/>
            </w:tcBorders>
            <w:shd w:val="clear" w:color="auto" w:fill="FFFFFF"/>
            <w:vAlign w:val="center"/>
          </w:tcPr>
          <w:p w14:paraId="1FCF42C7">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bidi="zh-TW"/>
              </w:rPr>
              <w:t>二</w:t>
            </w:r>
            <w:r>
              <w:rPr>
                <w:rFonts w:ascii="宋体" w:hAnsi="宋体" w:cs="宋体"/>
                <w:color w:val="000000"/>
                <w:kern w:val="0"/>
                <w:sz w:val="14"/>
                <w:szCs w:val="14"/>
                <w:lang w:val="zh-TW" w:eastAsia="zh-TW" w:bidi="zh-TW"/>
              </w:rPr>
              <w:t>级指标</w:t>
            </w:r>
          </w:p>
        </w:tc>
        <w:tc>
          <w:tcPr>
            <w:tcW w:w="814" w:type="dxa"/>
            <w:tcBorders>
              <w:top w:val="single" w:color="auto" w:sz="4" w:space="0"/>
              <w:left w:val="single" w:color="auto" w:sz="4" w:space="0"/>
            </w:tcBorders>
            <w:shd w:val="clear" w:color="auto" w:fill="FFFFFF"/>
            <w:vAlign w:val="center"/>
          </w:tcPr>
          <w:p w14:paraId="0BCB1F70">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三级指标</w:t>
            </w:r>
          </w:p>
        </w:tc>
        <w:tc>
          <w:tcPr>
            <w:tcW w:w="874" w:type="dxa"/>
            <w:tcBorders>
              <w:top w:val="single" w:color="auto" w:sz="4" w:space="0"/>
              <w:left w:val="single" w:color="auto" w:sz="4" w:space="0"/>
            </w:tcBorders>
            <w:shd w:val="clear" w:color="auto" w:fill="FFFFFF"/>
            <w:vAlign w:val="center"/>
          </w:tcPr>
          <w:p w14:paraId="16B6A143">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四级指标</w:t>
            </w:r>
          </w:p>
        </w:tc>
        <w:tc>
          <w:tcPr>
            <w:tcW w:w="1094" w:type="dxa"/>
            <w:tcBorders>
              <w:top w:val="single" w:color="auto" w:sz="4" w:space="0"/>
              <w:left w:val="single" w:color="auto" w:sz="4" w:space="0"/>
            </w:tcBorders>
            <w:shd w:val="clear" w:color="auto" w:fill="FFFFFF"/>
            <w:vAlign w:val="center"/>
          </w:tcPr>
          <w:p w14:paraId="09AC41C4">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评分</w:t>
            </w:r>
          </w:p>
        </w:tc>
        <w:tc>
          <w:tcPr>
            <w:tcW w:w="5386" w:type="dxa"/>
            <w:tcBorders>
              <w:top w:val="single" w:color="auto" w:sz="4" w:space="0"/>
              <w:left w:val="single" w:color="auto" w:sz="4" w:space="0"/>
            </w:tcBorders>
            <w:shd w:val="clear" w:color="auto" w:fill="FFFFFF"/>
            <w:vAlign w:val="center"/>
          </w:tcPr>
          <w:p w14:paraId="638DDC92">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评价内容（标准）</w:t>
            </w:r>
          </w:p>
        </w:tc>
        <w:tc>
          <w:tcPr>
            <w:tcW w:w="1127" w:type="dxa"/>
            <w:tcBorders>
              <w:top w:val="single" w:color="auto" w:sz="4" w:space="0"/>
              <w:left w:val="single" w:color="auto" w:sz="4" w:space="0"/>
            </w:tcBorders>
            <w:shd w:val="clear" w:color="auto" w:fill="FFFFFF"/>
            <w:vAlign w:val="center"/>
          </w:tcPr>
          <w:p w14:paraId="13E81B4D">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评价得分</w:t>
            </w:r>
          </w:p>
        </w:tc>
        <w:tc>
          <w:tcPr>
            <w:tcW w:w="2735" w:type="dxa"/>
            <w:tcBorders>
              <w:top w:val="single" w:color="auto" w:sz="4" w:space="0"/>
              <w:left w:val="single" w:color="auto" w:sz="4" w:space="0"/>
              <w:right w:val="single" w:color="auto" w:sz="4" w:space="0"/>
            </w:tcBorders>
            <w:shd w:val="clear" w:color="auto" w:fill="FFFFFF"/>
            <w:vAlign w:val="center"/>
          </w:tcPr>
          <w:p w14:paraId="1A3420C0">
            <w:pPr>
              <w:ind w:left="1060"/>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扣分原因</w:t>
            </w:r>
          </w:p>
        </w:tc>
      </w:tr>
      <w:tr w14:paraId="68D10813">
        <w:tblPrEx>
          <w:tblCellMar>
            <w:top w:w="0" w:type="dxa"/>
            <w:left w:w="10" w:type="dxa"/>
            <w:bottom w:w="0" w:type="dxa"/>
            <w:right w:w="10" w:type="dxa"/>
          </w:tblCellMar>
        </w:tblPrEx>
        <w:trPr>
          <w:trHeight w:val="1290" w:hRule="exact"/>
          <w:jc w:val="center"/>
        </w:trPr>
        <w:tc>
          <w:tcPr>
            <w:tcW w:w="762" w:type="dxa"/>
            <w:vMerge w:val="restart"/>
            <w:tcBorders>
              <w:top w:val="single" w:color="auto" w:sz="4" w:space="0"/>
              <w:left w:val="single" w:color="auto" w:sz="4" w:space="0"/>
            </w:tcBorders>
            <w:shd w:val="clear" w:color="auto" w:fill="FFFFFF"/>
            <w:vAlign w:val="center"/>
          </w:tcPr>
          <w:p w14:paraId="125C9FC7">
            <w:pPr>
              <w:spacing w:line="18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项目决策 （15 分）</w:t>
            </w:r>
          </w:p>
        </w:tc>
        <w:tc>
          <w:tcPr>
            <w:tcW w:w="809" w:type="dxa"/>
            <w:tcBorders>
              <w:top w:val="single" w:color="auto" w:sz="4" w:space="0"/>
              <w:left w:val="single" w:color="auto" w:sz="4" w:space="0"/>
            </w:tcBorders>
            <w:shd w:val="clear" w:color="auto" w:fill="FFFFFF"/>
            <w:vAlign w:val="center"/>
          </w:tcPr>
          <w:p w14:paraId="47A15441">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绩效</w:t>
            </w: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标</w:t>
            </w:r>
          </w:p>
          <w:p w14:paraId="299ACD64">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14" w:type="dxa"/>
            <w:tcBorders>
              <w:top w:val="single" w:color="auto" w:sz="4" w:space="0"/>
              <w:left w:val="single" w:color="auto" w:sz="4" w:space="0"/>
            </w:tcBorders>
            <w:shd w:val="clear" w:color="auto" w:fill="FFFFFF"/>
            <w:vAlign w:val="center"/>
          </w:tcPr>
          <w:p w14:paraId="6B5B10B0">
            <w:pPr>
              <w:spacing w:line="182" w:lineRule="exact"/>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标内容</w:t>
            </w:r>
          </w:p>
          <w:p w14:paraId="3E115920">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 xml:space="preserve"> （5分）</w:t>
            </w:r>
          </w:p>
        </w:tc>
        <w:tc>
          <w:tcPr>
            <w:tcW w:w="874" w:type="dxa"/>
            <w:tcBorders>
              <w:top w:val="single" w:color="auto" w:sz="4" w:space="0"/>
              <w:left w:val="single" w:color="auto" w:sz="4" w:space="0"/>
            </w:tcBorders>
            <w:shd w:val="clear" w:color="auto" w:fill="FFFFFF"/>
            <w:vAlign w:val="center"/>
          </w:tcPr>
          <w:p w14:paraId="3BEE9A3A">
            <w:pPr>
              <w:spacing w:line="199" w:lineRule="exact"/>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指</w:t>
            </w:r>
            <w:r>
              <w:rPr>
                <w:rFonts w:ascii="宋体" w:hAnsi="宋体" w:cs="宋体"/>
                <w:color w:val="000000"/>
                <w:kern w:val="0"/>
                <w:sz w:val="14"/>
                <w:szCs w:val="14"/>
                <w:lang w:val="zh-TW" w:eastAsia="zh-TW" w:bidi="zh-TW"/>
              </w:rPr>
              <w:t>标设定明确、细化、 量化；</w:t>
            </w:r>
          </w:p>
        </w:tc>
        <w:tc>
          <w:tcPr>
            <w:tcW w:w="1094" w:type="dxa"/>
            <w:tcBorders>
              <w:top w:val="single" w:color="auto" w:sz="4" w:space="0"/>
              <w:left w:val="single" w:color="auto" w:sz="4" w:space="0"/>
            </w:tcBorders>
            <w:shd w:val="clear" w:color="auto" w:fill="FFFFFF"/>
            <w:vAlign w:val="center"/>
          </w:tcPr>
          <w:p w14:paraId="3D11647E">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5386" w:type="dxa"/>
            <w:tcBorders>
              <w:top w:val="single" w:color="auto" w:sz="4" w:space="0"/>
              <w:left w:val="single" w:color="auto" w:sz="4" w:space="0"/>
            </w:tcBorders>
            <w:shd w:val="clear" w:color="auto" w:fill="FFFFFF"/>
            <w:vAlign w:val="center"/>
          </w:tcPr>
          <w:p w14:paraId="653C5821">
            <w:pPr>
              <w:spacing w:line="203" w:lineRule="exac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预定绩效</w:t>
            </w: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标清晰明确，设置明确合理：</w:t>
            </w:r>
            <w:r>
              <w:rPr>
                <w:rFonts w:ascii="宋体" w:hAnsi="宋体" w:cs="宋体"/>
                <w:color w:val="000000"/>
                <w:kern w:val="0"/>
                <w:sz w:val="14"/>
                <w:szCs w:val="14"/>
                <w:lang w:bidi="en-US"/>
              </w:rPr>
              <w:t>3</w:t>
            </w:r>
            <w:r>
              <w:rPr>
                <w:rFonts w:hint="eastAsia" w:ascii="宋体" w:hAnsi="宋体" w:cs="宋体"/>
                <w:color w:val="000000"/>
                <w:kern w:val="0"/>
                <w:sz w:val="14"/>
                <w:szCs w:val="14"/>
                <w:lang w:bidi="en-US"/>
              </w:rPr>
              <w:t>—</w:t>
            </w:r>
            <w:r>
              <w:rPr>
                <w:rFonts w:ascii="宋体" w:hAnsi="宋体" w:cs="宋体"/>
                <w:color w:val="000000"/>
                <w:kern w:val="0"/>
                <w:sz w:val="14"/>
                <w:szCs w:val="14"/>
                <w:lang w:bidi="en-US"/>
              </w:rPr>
              <w:t>2.7</w:t>
            </w:r>
            <w:r>
              <w:rPr>
                <w:rFonts w:ascii="宋体" w:hAnsi="宋体" w:cs="宋体"/>
                <w:color w:val="000000"/>
                <w:kern w:val="0"/>
                <w:sz w:val="14"/>
                <w:szCs w:val="14"/>
                <w:lang w:val="zh-TW" w:eastAsia="zh-TW" w:bidi="zh-TW"/>
              </w:rPr>
              <w:t>分，比较明确、合理</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2分，基本明确：</w:t>
            </w:r>
            <w:r>
              <w:rPr>
                <w:rFonts w:ascii="宋体" w:hAnsi="宋体" w:cs="宋体"/>
                <w:color w:val="000000"/>
                <w:kern w:val="0"/>
                <w:sz w:val="14"/>
                <w:szCs w:val="14"/>
                <w:lang w:bidi="en-US"/>
              </w:rPr>
              <w:t>2.2-1.</w:t>
            </w:r>
            <w:r>
              <w:rPr>
                <w:rFonts w:ascii="宋体" w:hAnsi="宋体" w:cs="宋体"/>
                <w:color w:val="000000"/>
                <w:kern w:val="0"/>
                <w:sz w:val="14"/>
                <w:szCs w:val="14"/>
                <w:lang w:val="zh-TW" w:eastAsia="zh-TW" w:bidi="zh-TW"/>
              </w:rPr>
              <w:t>8分，不明确：</w:t>
            </w:r>
            <w:r>
              <w:rPr>
                <w:rFonts w:ascii="宋体" w:hAnsi="宋体" w:cs="宋体"/>
                <w:color w:val="000000"/>
                <w:kern w:val="0"/>
                <w:sz w:val="14"/>
                <w:szCs w:val="14"/>
                <w:lang w:bidi="en-US"/>
              </w:rPr>
              <w:t>1.8-0</w:t>
            </w:r>
            <w:r>
              <w:rPr>
                <w:rFonts w:ascii="宋体" w:hAnsi="宋体" w:cs="宋体"/>
                <w:color w:val="000000"/>
                <w:kern w:val="0"/>
                <w:sz w:val="14"/>
                <w:szCs w:val="14"/>
                <w:lang w:val="zh-TW" w:eastAsia="zh-TW" w:bidi="zh-TW"/>
              </w:rPr>
              <w:t>分：预定绩效目标</w:t>
            </w:r>
            <w:r>
              <w:rPr>
                <w:rFonts w:hint="eastAsia" w:ascii="宋体" w:hAnsi="宋体" w:cs="宋体"/>
                <w:color w:val="000000"/>
                <w:kern w:val="0"/>
                <w:sz w:val="14"/>
                <w:szCs w:val="14"/>
                <w:lang w:bidi="zh-TW"/>
              </w:rPr>
              <w:t>量</w:t>
            </w:r>
            <w:r>
              <w:rPr>
                <w:rFonts w:ascii="宋体" w:hAnsi="宋体" w:cs="宋体"/>
                <w:color w:val="000000"/>
                <w:kern w:val="0"/>
                <w:sz w:val="14"/>
                <w:szCs w:val="14"/>
                <w:lang w:val="zh-TW" w:eastAsia="zh-TW" w:bidi="zh-TW"/>
              </w:rPr>
              <w:t>化、细化，具有明确的可衡量性：</w:t>
            </w:r>
            <w:r>
              <w:rPr>
                <w:rFonts w:ascii="宋体" w:hAnsi="宋体" w:cs="宋体"/>
                <w:color w:val="000000"/>
                <w:kern w:val="0"/>
                <w:sz w:val="14"/>
                <w:szCs w:val="14"/>
                <w:lang w:bidi="en-US"/>
              </w:rPr>
              <w:t>2</w:t>
            </w:r>
            <w:r>
              <w:rPr>
                <w:rFonts w:hint="eastAsia" w:ascii="宋体" w:hAnsi="宋体" w:cs="宋体"/>
                <w:color w:val="000000"/>
                <w:kern w:val="0"/>
                <w:sz w:val="14"/>
                <w:szCs w:val="14"/>
                <w:lang w:bidi="en-US"/>
              </w:rPr>
              <w:t>—</w:t>
            </w:r>
            <w:r>
              <w:rPr>
                <w:rFonts w:ascii="宋体" w:hAnsi="宋体" w:cs="宋体"/>
                <w:color w:val="000000"/>
                <w:kern w:val="0"/>
                <w:sz w:val="14"/>
                <w:szCs w:val="14"/>
                <w:lang w:bidi="en-US"/>
              </w:rPr>
              <w:t>1.8</w:t>
            </w:r>
            <w:r>
              <w:rPr>
                <w:rFonts w:ascii="宋体" w:hAnsi="宋体" w:cs="宋体"/>
                <w:color w:val="000000"/>
                <w:kern w:val="0"/>
                <w:sz w:val="14"/>
                <w:szCs w:val="14"/>
                <w:lang w:val="zh-TW" w:eastAsia="zh-TW" w:bidi="zh-TW"/>
              </w:rPr>
              <w:t>分，目标较细化并具有较好的可</w:t>
            </w:r>
            <w:r>
              <w:rPr>
                <w:rFonts w:hint="eastAsia" w:ascii="宋体" w:hAnsi="宋体" w:cs="宋体"/>
                <w:color w:val="000000"/>
                <w:kern w:val="0"/>
                <w:sz w:val="14"/>
                <w:szCs w:val="14"/>
                <w:lang w:bidi="zh-TW"/>
              </w:rPr>
              <w:t>衡</w:t>
            </w:r>
            <w:r>
              <w:rPr>
                <w:rFonts w:ascii="宋体" w:hAnsi="宋体" w:cs="宋体"/>
                <w:color w:val="000000"/>
                <w:kern w:val="0"/>
                <w:sz w:val="14"/>
                <w:szCs w:val="14"/>
                <w:lang w:val="zh-TW" w:eastAsia="zh-TW" w:bidi="zh-TW"/>
              </w:rPr>
              <w:t>量性，</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w:t>
            </w:r>
            <w:r>
              <w:rPr>
                <w:rFonts w:hint="eastAsia" w:ascii="宋体" w:hAnsi="宋体" w:cs="宋体"/>
                <w:color w:val="000000"/>
                <w:kern w:val="0"/>
                <w:sz w:val="14"/>
                <w:szCs w:val="14"/>
                <w:lang w:val="zh-TW" w:bidi="zh-TW"/>
              </w:rPr>
              <w:t>，</w:t>
            </w:r>
            <w:r>
              <w:rPr>
                <w:rFonts w:ascii="宋体" w:hAnsi="宋体" w:cs="宋体"/>
                <w:color w:val="000000"/>
                <w:kern w:val="0"/>
                <w:sz w:val="14"/>
                <w:szCs w:val="14"/>
                <w:lang w:val="zh-TW" w:eastAsia="zh-TW" w:bidi="zh-TW"/>
              </w:rPr>
              <w:t>目标基本量化，能够衡量：</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2分；没有量化、无法衡量：1.2-0分。</w:t>
            </w:r>
          </w:p>
        </w:tc>
        <w:tc>
          <w:tcPr>
            <w:tcW w:w="1127" w:type="dxa"/>
            <w:tcBorders>
              <w:top w:val="single" w:color="auto" w:sz="4" w:space="0"/>
              <w:left w:val="single" w:color="auto" w:sz="4" w:space="0"/>
            </w:tcBorders>
            <w:shd w:val="clear" w:color="auto" w:fill="FFFFFF"/>
            <w:vAlign w:val="center"/>
          </w:tcPr>
          <w:p w14:paraId="7E7C6288">
            <w:pPr>
              <w:ind w:firstLine="400"/>
              <w:jc w:val="left"/>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4,5</w:t>
            </w:r>
          </w:p>
        </w:tc>
        <w:tc>
          <w:tcPr>
            <w:tcW w:w="2735" w:type="dxa"/>
            <w:tcBorders>
              <w:top w:val="single" w:color="auto" w:sz="4" w:space="0"/>
              <w:left w:val="single" w:color="auto" w:sz="4" w:space="0"/>
              <w:right w:val="single" w:color="auto" w:sz="4" w:space="0"/>
            </w:tcBorders>
            <w:shd w:val="clear" w:color="auto" w:fill="FFFFFF"/>
          </w:tcPr>
          <w:p w14:paraId="73CEB45F">
            <w:pPr>
              <w:jc w:val="left"/>
              <w:rPr>
                <w:rFonts w:ascii="宋体" w:hAnsi="宋体" w:cs="宋体"/>
                <w:color w:val="000000"/>
                <w:kern w:val="0"/>
                <w:sz w:val="14"/>
                <w:szCs w:val="14"/>
                <w:lang w:val="zh-TW" w:bidi="zh-TW"/>
              </w:rPr>
            </w:pPr>
          </w:p>
          <w:p w14:paraId="2BF810F3">
            <w:pPr>
              <w:jc w:val="left"/>
              <w:rPr>
                <w:rFonts w:ascii="宋体" w:hAnsi="宋体" w:cs="宋体"/>
                <w:color w:val="000000"/>
                <w:kern w:val="0"/>
                <w:sz w:val="14"/>
                <w:szCs w:val="14"/>
                <w:lang w:val="zh-TW" w:bidi="zh-TW"/>
              </w:rPr>
            </w:pPr>
          </w:p>
          <w:p w14:paraId="6272C661">
            <w:pPr>
              <w:jc w:val="left"/>
              <w:rPr>
                <w:rFonts w:eastAsia="Times New Roman"/>
                <w:color w:val="000000"/>
                <w:kern w:val="0"/>
                <w:sz w:val="10"/>
                <w:szCs w:val="10"/>
                <w:lang w:eastAsia="en-US" w:bidi="en-US"/>
              </w:rPr>
            </w:pPr>
            <w:r>
              <w:rPr>
                <w:rFonts w:hint="eastAsia" w:ascii="宋体" w:hAnsi="宋体" w:cs="宋体"/>
                <w:color w:val="000000"/>
                <w:kern w:val="0"/>
                <w:sz w:val="14"/>
                <w:szCs w:val="14"/>
                <w:lang w:val="zh-TW" w:bidi="zh-TW"/>
              </w:rPr>
              <w:t>需进一步完善</w:t>
            </w:r>
          </w:p>
        </w:tc>
      </w:tr>
      <w:tr w14:paraId="4C89A349">
        <w:tblPrEx>
          <w:tblCellMar>
            <w:top w:w="0" w:type="dxa"/>
            <w:left w:w="10" w:type="dxa"/>
            <w:bottom w:w="0" w:type="dxa"/>
            <w:right w:w="10" w:type="dxa"/>
          </w:tblCellMar>
        </w:tblPrEx>
        <w:trPr>
          <w:trHeight w:val="832" w:hRule="exact"/>
          <w:jc w:val="center"/>
        </w:trPr>
        <w:tc>
          <w:tcPr>
            <w:tcW w:w="762" w:type="dxa"/>
            <w:vMerge w:val="continue"/>
            <w:tcBorders>
              <w:left w:val="single" w:color="auto" w:sz="4" w:space="0"/>
            </w:tcBorders>
            <w:shd w:val="clear" w:color="auto" w:fill="FFFFFF"/>
            <w:vAlign w:val="center"/>
          </w:tcPr>
          <w:p w14:paraId="13645BA9">
            <w:pPr>
              <w:jc w:val="left"/>
              <w:rPr>
                <w:rFonts w:eastAsia="Times New Roman"/>
                <w:color w:val="000000"/>
                <w:kern w:val="0"/>
                <w:sz w:val="24"/>
                <w:lang w:eastAsia="en-US" w:bidi="en-US"/>
              </w:rPr>
            </w:pPr>
          </w:p>
        </w:tc>
        <w:tc>
          <w:tcPr>
            <w:tcW w:w="809" w:type="dxa"/>
            <w:vMerge w:val="restart"/>
            <w:tcBorders>
              <w:top w:val="single" w:color="auto" w:sz="4" w:space="0"/>
              <w:left w:val="single" w:color="auto" w:sz="4" w:space="0"/>
            </w:tcBorders>
            <w:shd w:val="clear" w:color="auto" w:fill="FFFFFF"/>
            <w:vAlign w:val="center"/>
          </w:tcPr>
          <w:p w14:paraId="575FA139">
            <w:pPr>
              <w:spacing w:line="18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决策过程（10分）</w:t>
            </w:r>
          </w:p>
        </w:tc>
        <w:tc>
          <w:tcPr>
            <w:tcW w:w="814" w:type="dxa"/>
            <w:vMerge w:val="restart"/>
            <w:tcBorders>
              <w:top w:val="single" w:color="auto" w:sz="4" w:space="0"/>
              <w:left w:val="single" w:color="auto" w:sz="4" w:space="0"/>
            </w:tcBorders>
            <w:shd w:val="clear" w:color="auto" w:fill="FFFFFF"/>
            <w:vAlign w:val="center"/>
          </w:tcPr>
          <w:p w14:paraId="1EFB1203">
            <w:pPr>
              <w:spacing w:line="18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决策依据</w:t>
            </w:r>
          </w:p>
          <w:p w14:paraId="5394D0A0">
            <w:pPr>
              <w:spacing w:line="18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74" w:type="dxa"/>
            <w:tcBorders>
              <w:top w:val="single" w:color="auto" w:sz="4" w:space="0"/>
              <w:left w:val="single" w:color="auto" w:sz="4" w:space="0"/>
            </w:tcBorders>
            <w:shd w:val="clear" w:color="auto" w:fill="FFFFFF"/>
            <w:vAlign w:val="center"/>
          </w:tcPr>
          <w:p w14:paraId="6F619C7B">
            <w:pPr>
              <w:spacing w:line="19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1、项目符合</w:t>
            </w:r>
            <w:r>
              <w:rPr>
                <w:rFonts w:hint="eastAsia" w:ascii="宋体" w:hAnsi="宋体" w:cs="宋体"/>
                <w:color w:val="000000"/>
                <w:kern w:val="0"/>
                <w:sz w:val="14"/>
                <w:szCs w:val="14"/>
                <w:lang w:val="zh-TW" w:bidi="zh-TW"/>
              </w:rPr>
              <w:t>经济社会发展</w:t>
            </w:r>
            <w:r>
              <w:rPr>
                <w:rFonts w:ascii="宋体" w:hAnsi="宋体" w:cs="宋体"/>
                <w:color w:val="000000"/>
                <w:kern w:val="0"/>
                <w:sz w:val="14"/>
                <w:szCs w:val="14"/>
                <w:lang w:val="zh-TW" w:eastAsia="zh-TW" w:bidi="zh-TW"/>
              </w:rPr>
              <w:t>规划；</w:t>
            </w:r>
          </w:p>
        </w:tc>
        <w:tc>
          <w:tcPr>
            <w:tcW w:w="1094" w:type="dxa"/>
            <w:tcBorders>
              <w:top w:val="single" w:color="auto" w:sz="4" w:space="0"/>
              <w:left w:val="single" w:color="auto" w:sz="4" w:space="0"/>
            </w:tcBorders>
            <w:shd w:val="clear" w:color="auto" w:fill="FFFFFF"/>
            <w:vAlign w:val="center"/>
          </w:tcPr>
          <w:p w14:paraId="7157764A">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86" w:type="dxa"/>
            <w:tcBorders>
              <w:top w:val="single" w:color="auto" w:sz="4" w:space="0"/>
              <w:left w:val="single" w:color="auto" w:sz="4" w:space="0"/>
            </w:tcBorders>
            <w:shd w:val="clear" w:color="auto" w:fill="FFFFFF"/>
            <w:vAlign w:val="center"/>
          </w:tcPr>
          <w:p w14:paraId="3BE2BDC6">
            <w:pPr>
              <w:spacing w:line="201" w:lineRule="exac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符合经济社会发展规划</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分；较符合经济社会发展规划</w:t>
            </w:r>
            <w:r>
              <w:rPr>
                <w:rFonts w:ascii="宋体" w:hAnsi="宋体" w:cs="宋体"/>
                <w:color w:val="000000"/>
                <w:kern w:val="0"/>
                <w:sz w:val="14"/>
                <w:szCs w:val="14"/>
                <w:lang w:bidi="en-US"/>
              </w:rPr>
              <w:t>1</w:t>
            </w:r>
            <w:r>
              <w:rPr>
                <w:rFonts w:hint="eastAsia" w:ascii="宋体" w:hAnsi="宋体" w:cs="宋体"/>
                <w:color w:val="000000"/>
                <w:kern w:val="0"/>
                <w:sz w:val="14"/>
                <w:szCs w:val="14"/>
                <w:lang w:bidi="en-US"/>
              </w:rPr>
              <w:t>.</w:t>
            </w:r>
            <w:r>
              <w:rPr>
                <w:rFonts w:ascii="宋体" w:hAnsi="宋体" w:cs="宋体"/>
                <w:color w:val="000000"/>
                <w:kern w:val="0"/>
                <w:sz w:val="14"/>
                <w:szCs w:val="14"/>
                <w:lang w:bidi="en-US"/>
              </w:rPr>
              <w:t>8-1.</w:t>
            </w:r>
            <w:r>
              <w:rPr>
                <w:rFonts w:ascii="宋体" w:hAnsi="宋体" w:cs="宋体"/>
                <w:color w:val="000000"/>
                <w:kern w:val="0"/>
                <w:sz w:val="14"/>
                <w:szCs w:val="14"/>
                <w:lang w:val="zh-TW" w:eastAsia="zh-TW" w:bidi="zh-TW"/>
              </w:rPr>
              <w:t>5分，基本符合经济社会发展规划</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2分，不符合经济社会发展规划</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tcBorders>
            <w:shd w:val="clear" w:color="auto" w:fill="FFFFFF"/>
            <w:vAlign w:val="center"/>
          </w:tcPr>
          <w:p w14:paraId="6A7BF8F1">
            <w:pPr>
              <w:ind w:firstLine="40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2.</w:t>
            </w:r>
            <w:r>
              <w:rPr>
                <w:rFonts w:ascii="宋体" w:hAnsi="宋体" w:cs="宋体"/>
                <w:color w:val="000000"/>
                <w:kern w:val="0"/>
                <w:sz w:val="14"/>
                <w:szCs w:val="14"/>
                <w:lang w:val="zh-TW" w:eastAsia="zh-TW" w:bidi="zh-TW"/>
              </w:rPr>
              <w:t>00</w:t>
            </w:r>
          </w:p>
        </w:tc>
        <w:tc>
          <w:tcPr>
            <w:tcW w:w="2735" w:type="dxa"/>
            <w:tcBorders>
              <w:top w:val="single" w:color="auto" w:sz="4" w:space="0"/>
              <w:left w:val="single" w:color="auto" w:sz="4" w:space="0"/>
              <w:right w:val="single" w:color="auto" w:sz="4" w:space="0"/>
            </w:tcBorders>
            <w:shd w:val="clear" w:color="auto" w:fill="FFFFFF"/>
          </w:tcPr>
          <w:p w14:paraId="555900D4">
            <w:pPr>
              <w:jc w:val="left"/>
              <w:rPr>
                <w:rFonts w:eastAsia="Times New Roman"/>
                <w:color w:val="000000"/>
                <w:kern w:val="0"/>
                <w:sz w:val="10"/>
                <w:szCs w:val="10"/>
                <w:lang w:eastAsia="en-US" w:bidi="en-US"/>
              </w:rPr>
            </w:pPr>
          </w:p>
        </w:tc>
      </w:tr>
      <w:tr w14:paraId="5E53CF98">
        <w:tblPrEx>
          <w:tblCellMar>
            <w:top w:w="0" w:type="dxa"/>
            <w:left w:w="10" w:type="dxa"/>
            <w:bottom w:w="0" w:type="dxa"/>
            <w:right w:w="10" w:type="dxa"/>
          </w:tblCellMar>
        </w:tblPrEx>
        <w:trPr>
          <w:trHeight w:val="809" w:hRule="exact"/>
          <w:jc w:val="center"/>
        </w:trPr>
        <w:tc>
          <w:tcPr>
            <w:tcW w:w="762" w:type="dxa"/>
            <w:vMerge w:val="continue"/>
            <w:tcBorders>
              <w:left w:val="single" w:color="auto" w:sz="4" w:space="0"/>
            </w:tcBorders>
            <w:shd w:val="clear" w:color="auto" w:fill="FFFFFF"/>
            <w:vAlign w:val="center"/>
          </w:tcPr>
          <w:p w14:paraId="0673DC91">
            <w:pPr>
              <w:jc w:val="left"/>
              <w:rPr>
                <w:rFonts w:eastAsia="Times New Roman"/>
                <w:color w:val="000000"/>
                <w:kern w:val="0"/>
                <w:sz w:val="24"/>
                <w:lang w:eastAsia="en-US" w:bidi="en-US"/>
              </w:rPr>
            </w:pPr>
          </w:p>
        </w:tc>
        <w:tc>
          <w:tcPr>
            <w:tcW w:w="809" w:type="dxa"/>
            <w:vMerge w:val="continue"/>
            <w:tcBorders>
              <w:left w:val="single" w:color="auto" w:sz="4" w:space="0"/>
            </w:tcBorders>
            <w:shd w:val="clear" w:color="auto" w:fill="FFFFFF"/>
            <w:vAlign w:val="center"/>
          </w:tcPr>
          <w:p w14:paraId="62DCB34E">
            <w:pPr>
              <w:jc w:val="left"/>
              <w:rPr>
                <w:rFonts w:eastAsia="Times New Roman"/>
                <w:color w:val="000000"/>
                <w:kern w:val="0"/>
                <w:sz w:val="24"/>
                <w:lang w:eastAsia="en-US" w:bidi="en-US"/>
              </w:rPr>
            </w:pPr>
          </w:p>
        </w:tc>
        <w:tc>
          <w:tcPr>
            <w:tcW w:w="814" w:type="dxa"/>
            <w:vMerge w:val="continue"/>
            <w:tcBorders>
              <w:left w:val="single" w:color="auto" w:sz="4" w:space="0"/>
            </w:tcBorders>
            <w:shd w:val="clear" w:color="auto" w:fill="FFFFFF"/>
            <w:vAlign w:val="center"/>
          </w:tcPr>
          <w:p w14:paraId="5FFD1361">
            <w:pPr>
              <w:jc w:val="left"/>
              <w:rPr>
                <w:rFonts w:eastAsia="Times New Roman"/>
                <w:color w:val="000000"/>
                <w:kern w:val="0"/>
                <w:sz w:val="24"/>
                <w:lang w:eastAsia="en-US" w:bidi="en-US"/>
              </w:rPr>
            </w:pPr>
          </w:p>
        </w:tc>
        <w:tc>
          <w:tcPr>
            <w:tcW w:w="874" w:type="dxa"/>
            <w:tcBorders>
              <w:top w:val="single" w:color="auto" w:sz="4" w:space="0"/>
              <w:left w:val="single" w:color="auto" w:sz="4" w:space="0"/>
            </w:tcBorders>
            <w:shd w:val="clear" w:color="auto" w:fill="FFFFFF"/>
            <w:vAlign w:val="center"/>
          </w:tcPr>
          <w:p w14:paraId="692E298B">
            <w:pPr>
              <w:spacing w:line="199"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2、项目与部门职能及年度工作计划相符；</w:t>
            </w:r>
          </w:p>
        </w:tc>
        <w:tc>
          <w:tcPr>
            <w:tcW w:w="1094" w:type="dxa"/>
            <w:tcBorders>
              <w:top w:val="single" w:color="auto" w:sz="4" w:space="0"/>
              <w:left w:val="single" w:color="auto" w:sz="4" w:space="0"/>
            </w:tcBorders>
            <w:shd w:val="clear" w:color="auto" w:fill="FFFFFF"/>
            <w:vAlign w:val="center"/>
          </w:tcPr>
          <w:p w14:paraId="69225E17">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1分</w:t>
            </w:r>
          </w:p>
        </w:tc>
        <w:tc>
          <w:tcPr>
            <w:tcW w:w="5386" w:type="dxa"/>
            <w:tcBorders>
              <w:top w:val="single" w:color="auto" w:sz="4" w:space="0"/>
              <w:left w:val="single" w:color="auto" w:sz="4" w:space="0"/>
            </w:tcBorders>
            <w:shd w:val="clear" w:color="auto" w:fill="FFFFFF"/>
            <w:vAlign w:val="center"/>
          </w:tcPr>
          <w:p w14:paraId="5874A903">
            <w:pP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年度计划符合规划要求，符合：</w:t>
            </w:r>
            <w:r>
              <w:rPr>
                <w:rFonts w:ascii="宋体" w:hAnsi="宋体" w:cs="宋体"/>
                <w:color w:val="000000"/>
                <w:kern w:val="0"/>
                <w:sz w:val="14"/>
                <w:szCs w:val="14"/>
                <w:lang w:bidi="en-US"/>
              </w:rPr>
              <w:t>1-0.9</w:t>
            </w:r>
            <w:r>
              <w:rPr>
                <w:rFonts w:ascii="宋体" w:hAnsi="宋体" w:cs="宋体"/>
                <w:color w:val="000000"/>
                <w:kern w:val="0"/>
                <w:sz w:val="14"/>
                <w:szCs w:val="14"/>
                <w:lang w:val="zh-TW" w:eastAsia="zh-TW" w:bidi="zh-TW"/>
              </w:rPr>
              <w:t>分，较符合：</w:t>
            </w:r>
            <w:r>
              <w:rPr>
                <w:rFonts w:ascii="宋体" w:hAnsi="宋体" w:cs="宋体"/>
                <w:color w:val="000000"/>
                <w:kern w:val="0"/>
                <w:sz w:val="14"/>
                <w:szCs w:val="14"/>
                <w:lang w:bidi="en-US"/>
              </w:rPr>
              <w:t>0.9-0.</w:t>
            </w:r>
            <w:r>
              <w:rPr>
                <w:rFonts w:ascii="宋体" w:hAnsi="宋体" w:cs="宋体"/>
                <w:color w:val="000000"/>
                <w:kern w:val="0"/>
                <w:sz w:val="14"/>
                <w:szCs w:val="14"/>
                <w:lang w:val="zh-TW" w:eastAsia="zh-TW" w:bidi="zh-TW"/>
              </w:rPr>
              <w:t>8分，基本符合：</w:t>
            </w:r>
            <w:r>
              <w:rPr>
                <w:rFonts w:ascii="宋体" w:hAnsi="宋体" w:cs="宋体"/>
                <w:color w:val="000000"/>
                <w:kern w:val="0"/>
                <w:sz w:val="14"/>
                <w:szCs w:val="14"/>
                <w:lang w:bidi="en-US"/>
              </w:rPr>
              <w:t>0.8-0.</w:t>
            </w:r>
            <w:r>
              <w:rPr>
                <w:rFonts w:ascii="宋体" w:hAnsi="宋体" w:cs="宋体"/>
                <w:color w:val="000000"/>
                <w:kern w:val="0"/>
                <w:sz w:val="14"/>
                <w:szCs w:val="14"/>
                <w:lang w:val="zh-TW" w:eastAsia="zh-TW" w:bidi="zh-TW"/>
              </w:rPr>
              <w:t>6分</w:t>
            </w:r>
            <w:r>
              <w:rPr>
                <w:rFonts w:hint="eastAsia" w:ascii="宋体" w:hAnsi="宋体" w:cs="宋体"/>
                <w:color w:val="000000"/>
                <w:kern w:val="0"/>
                <w:sz w:val="14"/>
                <w:szCs w:val="14"/>
                <w:lang w:val="zh-TW" w:bidi="zh-TW"/>
              </w:rPr>
              <w:t>，</w:t>
            </w:r>
            <w:r>
              <w:rPr>
                <w:rFonts w:ascii="宋体" w:hAnsi="宋体" w:cs="宋体"/>
                <w:color w:val="000000"/>
                <w:kern w:val="0"/>
                <w:sz w:val="14"/>
                <w:szCs w:val="14"/>
                <w:lang w:val="zh-TW" w:eastAsia="zh-TW" w:bidi="zh-TW"/>
              </w:rPr>
              <w:t>不符合：</w:t>
            </w:r>
            <w:r>
              <w:rPr>
                <w:rFonts w:ascii="宋体" w:hAnsi="宋体" w:cs="宋体"/>
                <w:color w:val="000000"/>
                <w:kern w:val="0"/>
                <w:sz w:val="14"/>
                <w:szCs w:val="14"/>
                <w:lang w:bidi="en-US"/>
              </w:rPr>
              <w:t>0.6-0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tcBorders>
            <w:shd w:val="clear" w:color="auto" w:fill="FFFFFF"/>
            <w:vAlign w:val="center"/>
          </w:tcPr>
          <w:p w14:paraId="428AF777">
            <w:pPr>
              <w:ind w:firstLine="40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1.00</w:t>
            </w:r>
          </w:p>
        </w:tc>
        <w:tc>
          <w:tcPr>
            <w:tcW w:w="2735" w:type="dxa"/>
            <w:tcBorders>
              <w:top w:val="single" w:color="auto" w:sz="4" w:space="0"/>
              <w:left w:val="single" w:color="auto" w:sz="4" w:space="0"/>
              <w:right w:val="single" w:color="auto" w:sz="4" w:space="0"/>
            </w:tcBorders>
            <w:shd w:val="clear" w:color="auto" w:fill="FFFFFF"/>
          </w:tcPr>
          <w:p w14:paraId="11775A64">
            <w:pPr>
              <w:jc w:val="left"/>
              <w:rPr>
                <w:rFonts w:eastAsia="Times New Roman"/>
                <w:color w:val="000000"/>
                <w:kern w:val="0"/>
                <w:sz w:val="10"/>
                <w:szCs w:val="10"/>
                <w:lang w:eastAsia="en-US" w:bidi="en-US"/>
              </w:rPr>
            </w:pPr>
          </w:p>
        </w:tc>
      </w:tr>
      <w:tr w14:paraId="68C77BE6">
        <w:tblPrEx>
          <w:tblCellMar>
            <w:top w:w="0" w:type="dxa"/>
            <w:left w:w="10" w:type="dxa"/>
            <w:bottom w:w="0" w:type="dxa"/>
            <w:right w:w="10" w:type="dxa"/>
          </w:tblCellMar>
        </w:tblPrEx>
        <w:trPr>
          <w:trHeight w:val="1281" w:hRule="exact"/>
          <w:jc w:val="center"/>
        </w:trPr>
        <w:tc>
          <w:tcPr>
            <w:tcW w:w="762" w:type="dxa"/>
            <w:vMerge w:val="continue"/>
            <w:tcBorders>
              <w:left w:val="single" w:color="auto" w:sz="4" w:space="0"/>
            </w:tcBorders>
            <w:shd w:val="clear" w:color="auto" w:fill="FFFFFF"/>
            <w:vAlign w:val="center"/>
          </w:tcPr>
          <w:p w14:paraId="23FC918E">
            <w:pPr>
              <w:jc w:val="left"/>
              <w:rPr>
                <w:rFonts w:eastAsia="Times New Roman"/>
                <w:color w:val="000000"/>
                <w:kern w:val="0"/>
                <w:sz w:val="24"/>
                <w:lang w:eastAsia="en-US" w:bidi="en-US"/>
              </w:rPr>
            </w:pPr>
          </w:p>
        </w:tc>
        <w:tc>
          <w:tcPr>
            <w:tcW w:w="809" w:type="dxa"/>
            <w:vMerge w:val="continue"/>
            <w:tcBorders>
              <w:left w:val="single" w:color="auto" w:sz="4" w:space="0"/>
            </w:tcBorders>
            <w:shd w:val="clear" w:color="auto" w:fill="FFFFFF"/>
            <w:vAlign w:val="center"/>
          </w:tcPr>
          <w:p w14:paraId="4A370806">
            <w:pPr>
              <w:jc w:val="left"/>
              <w:rPr>
                <w:rFonts w:eastAsia="Times New Roman"/>
                <w:color w:val="000000"/>
                <w:kern w:val="0"/>
                <w:sz w:val="24"/>
                <w:lang w:eastAsia="en-US" w:bidi="en-US"/>
              </w:rPr>
            </w:pPr>
          </w:p>
        </w:tc>
        <w:tc>
          <w:tcPr>
            <w:tcW w:w="814" w:type="dxa"/>
            <w:vMerge w:val="continue"/>
            <w:tcBorders>
              <w:left w:val="single" w:color="auto" w:sz="4" w:space="0"/>
            </w:tcBorders>
            <w:shd w:val="clear" w:color="auto" w:fill="FFFFFF"/>
            <w:vAlign w:val="center"/>
          </w:tcPr>
          <w:p w14:paraId="5C446857">
            <w:pPr>
              <w:jc w:val="left"/>
              <w:rPr>
                <w:rFonts w:eastAsia="Times New Roman"/>
                <w:color w:val="000000"/>
                <w:kern w:val="0"/>
                <w:sz w:val="24"/>
                <w:lang w:eastAsia="en-US" w:bidi="en-US"/>
              </w:rPr>
            </w:pPr>
          </w:p>
        </w:tc>
        <w:tc>
          <w:tcPr>
            <w:tcW w:w="874" w:type="dxa"/>
            <w:tcBorders>
              <w:top w:val="single" w:color="auto" w:sz="4" w:space="0"/>
              <w:left w:val="single" w:color="auto" w:sz="4" w:space="0"/>
            </w:tcBorders>
            <w:shd w:val="clear" w:color="auto" w:fill="FFFFFF"/>
            <w:vAlign w:val="center"/>
          </w:tcPr>
          <w:p w14:paraId="63C40E95">
            <w:pPr>
              <w:spacing w:line="20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3、项目具备可实现和可操作性，有详细的可行性研究报告：</w:t>
            </w:r>
          </w:p>
        </w:tc>
        <w:tc>
          <w:tcPr>
            <w:tcW w:w="1094" w:type="dxa"/>
            <w:tcBorders>
              <w:top w:val="single" w:color="auto" w:sz="4" w:space="0"/>
              <w:left w:val="single" w:color="auto" w:sz="4" w:space="0"/>
            </w:tcBorders>
            <w:shd w:val="clear" w:color="auto" w:fill="FFFFFF"/>
            <w:vAlign w:val="center"/>
          </w:tcPr>
          <w:p w14:paraId="1E93528F">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86" w:type="dxa"/>
            <w:tcBorders>
              <w:top w:val="single" w:color="auto" w:sz="4" w:space="0"/>
              <w:left w:val="single" w:color="auto" w:sz="4" w:space="0"/>
            </w:tcBorders>
            <w:shd w:val="clear" w:color="auto" w:fill="FFFFFF"/>
            <w:vAlign w:val="center"/>
          </w:tcPr>
          <w:p w14:paraId="3E762A69">
            <w:pPr>
              <w:spacing w:line="196" w:lineRule="exac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项目具备可实现和可操作性，有详细的</w:t>
            </w:r>
            <w:r>
              <w:rPr>
                <w:rFonts w:hint="eastAsia" w:ascii="宋体" w:hAnsi="宋体" w:cs="宋体"/>
                <w:color w:val="000000"/>
                <w:kern w:val="0"/>
                <w:sz w:val="14"/>
                <w:szCs w:val="14"/>
                <w:lang w:val="zh-TW" w:bidi="zh-TW"/>
              </w:rPr>
              <w:t>可行性研究报告</w:t>
            </w:r>
            <w:r>
              <w:rPr>
                <w:rFonts w:ascii="宋体" w:hAnsi="宋体" w:cs="宋体"/>
                <w:color w:val="000000"/>
                <w:kern w:val="0"/>
                <w:sz w:val="14"/>
                <w:szCs w:val="14"/>
                <w:lang w:bidi="en-US"/>
              </w:rPr>
              <w:t>2-1.</w:t>
            </w:r>
            <w:r>
              <w:rPr>
                <w:rFonts w:ascii="宋体" w:hAnsi="宋体" w:cs="宋体"/>
                <w:color w:val="000000"/>
                <w:kern w:val="0"/>
                <w:sz w:val="14"/>
                <w:szCs w:val="14"/>
                <w:lang w:val="zh-TW" w:eastAsia="zh-TW" w:bidi="zh-TW"/>
              </w:rPr>
              <w:t>8</w:t>
            </w:r>
            <w:r>
              <w:rPr>
                <w:rFonts w:hint="eastAsia" w:ascii="宋体" w:hAnsi="宋体" w:cs="宋体"/>
                <w:color w:val="000000"/>
                <w:kern w:val="0"/>
                <w:sz w:val="14"/>
                <w:szCs w:val="14"/>
                <w:lang w:val="zh-TW" w:bidi="zh-TW"/>
              </w:rPr>
              <w:t>，</w:t>
            </w:r>
            <w:r>
              <w:rPr>
                <w:rFonts w:ascii="宋体" w:hAnsi="宋体" w:cs="宋体"/>
                <w:color w:val="000000"/>
                <w:kern w:val="0"/>
                <w:sz w:val="14"/>
                <w:szCs w:val="14"/>
                <w:lang w:val="zh-TW" w:eastAsia="zh-TW" w:bidi="zh-TW"/>
              </w:rPr>
              <w:t>较具备可实现和可操作性，有详细的可行性研究报告</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w:t>
            </w:r>
            <w:r>
              <w:rPr>
                <w:rFonts w:hint="eastAsia" w:ascii="宋体" w:hAnsi="宋体" w:cs="宋体"/>
                <w:color w:val="000000"/>
                <w:kern w:val="0"/>
                <w:sz w:val="14"/>
                <w:szCs w:val="14"/>
                <w:lang w:val="zh-TW" w:bidi="zh-TW"/>
              </w:rPr>
              <w:t>分，</w:t>
            </w:r>
            <w:r>
              <w:rPr>
                <w:rFonts w:ascii="宋体" w:hAnsi="宋体" w:cs="宋体"/>
                <w:color w:val="000000"/>
                <w:kern w:val="0"/>
                <w:sz w:val="14"/>
                <w:szCs w:val="14"/>
                <w:lang w:val="zh-TW" w:eastAsia="zh-TW" w:bidi="zh-TW"/>
              </w:rPr>
              <w:t>基本具备可实现和可操作性，有较详细的可行性研究报告</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w:t>
            </w:r>
            <w:r>
              <w:rPr>
                <w:rFonts w:hint="eastAsia" w:ascii="宋体" w:hAnsi="宋体" w:cs="宋体"/>
                <w:color w:val="000000"/>
                <w:kern w:val="0"/>
                <w:sz w:val="14"/>
                <w:szCs w:val="14"/>
                <w:lang w:val="zh-TW" w:bidi="zh-TW"/>
              </w:rPr>
              <w:t>分，</w:t>
            </w:r>
            <w:r>
              <w:rPr>
                <w:rFonts w:ascii="宋体" w:hAnsi="宋体" w:cs="宋体"/>
                <w:color w:val="000000"/>
                <w:kern w:val="0"/>
                <w:sz w:val="14"/>
                <w:szCs w:val="14"/>
                <w:lang w:val="zh-TW" w:eastAsia="zh-TW" w:bidi="zh-TW"/>
              </w:rPr>
              <w:t>不具备可实现和可操作性，无详细的</w:t>
            </w:r>
            <w:r>
              <w:rPr>
                <w:rFonts w:hint="eastAsia" w:ascii="宋体" w:hAnsi="宋体" w:cs="宋体"/>
                <w:color w:val="000000"/>
                <w:kern w:val="0"/>
                <w:sz w:val="14"/>
                <w:szCs w:val="14"/>
                <w:lang w:bidi="zh-TW"/>
              </w:rPr>
              <w:t>可</w:t>
            </w:r>
            <w:r>
              <w:rPr>
                <w:rFonts w:ascii="宋体" w:hAnsi="宋体" w:cs="宋体"/>
                <w:color w:val="000000"/>
                <w:kern w:val="0"/>
                <w:sz w:val="14"/>
                <w:szCs w:val="14"/>
                <w:lang w:val="zh-TW" w:eastAsia="zh-TW" w:bidi="zh-TW"/>
              </w:rPr>
              <w:t>行性研究报告</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tcBorders>
            <w:shd w:val="clear" w:color="auto" w:fill="FFFFFF"/>
            <w:vAlign w:val="center"/>
          </w:tcPr>
          <w:p w14:paraId="2ED15FF7">
            <w:pPr>
              <w:ind w:firstLine="400"/>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en-US" w:eastAsia="zh-CN" w:bidi="en-US"/>
              </w:rPr>
              <w:t>2</w:t>
            </w:r>
            <w:r>
              <w:rPr>
                <w:rFonts w:ascii="宋体" w:hAnsi="宋体" w:cs="宋体"/>
                <w:color w:val="000000"/>
                <w:kern w:val="0"/>
                <w:sz w:val="14"/>
                <w:szCs w:val="14"/>
                <w:lang w:eastAsia="en-US" w:bidi="en-US"/>
              </w:rPr>
              <w:t>.00</w:t>
            </w:r>
          </w:p>
        </w:tc>
        <w:tc>
          <w:tcPr>
            <w:tcW w:w="2735" w:type="dxa"/>
            <w:tcBorders>
              <w:top w:val="single" w:color="auto" w:sz="4" w:space="0"/>
              <w:left w:val="single" w:color="auto" w:sz="4" w:space="0"/>
              <w:right w:val="single" w:color="auto" w:sz="4" w:space="0"/>
            </w:tcBorders>
            <w:shd w:val="clear" w:color="auto" w:fill="FFFFFF"/>
            <w:vAlign w:val="center"/>
          </w:tcPr>
          <w:p w14:paraId="45F94422">
            <w:pPr>
              <w:jc w:val="left"/>
              <w:rPr>
                <w:rFonts w:ascii="宋体" w:hAnsi="宋体" w:cs="宋体"/>
                <w:color w:val="000000"/>
                <w:kern w:val="0"/>
                <w:sz w:val="14"/>
                <w:szCs w:val="14"/>
                <w:lang w:val="zh-TW" w:eastAsia="zh-TW" w:bidi="zh-TW"/>
              </w:rPr>
            </w:pPr>
          </w:p>
        </w:tc>
      </w:tr>
      <w:tr w14:paraId="470BD429">
        <w:tblPrEx>
          <w:tblCellMar>
            <w:top w:w="0" w:type="dxa"/>
            <w:left w:w="10" w:type="dxa"/>
            <w:bottom w:w="0" w:type="dxa"/>
            <w:right w:w="10" w:type="dxa"/>
          </w:tblCellMar>
        </w:tblPrEx>
        <w:trPr>
          <w:trHeight w:val="1001" w:hRule="exact"/>
          <w:jc w:val="center"/>
        </w:trPr>
        <w:tc>
          <w:tcPr>
            <w:tcW w:w="762" w:type="dxa"/>
            <w:vMerge w:val="continue"/>
            <w:tcBorders>
              <w:left w:val="single" w:color="auto" w:sz="4" w:space="0"/>
            </w:tcBorders>
            <w:shd w:val="clear" w:color="auto" w:fill="FFFFFF"/>
            <w:vAlign w:val="center"/>
          </w:tcPr>
          <w:p w14:paraId="5E50C32C">
            <w:pPr>
              <w:jc w:val="left"/>
              <w:rPr>
                <w:rFonts w:eastAsia="Times New Roman"/>
                <w:color w:val="000000"/>
                <w:kern w:val="0"/>
                <w:sz w:val="24"/>
                <w:lang w:eastAsia="en-US" w:bidi="en-US"/>
              </w:rPr>
            </w:pPr>
          </w:p>
        </w:tc>
        <w:tc>
          <w:tcPr>
            <w:tcW w:w="809" w:type="dxa"/>
            <w:vMerge w:val="continue"/>
            <w:tcBorders>
              <w:left w:val="single" w:color="auto" w:sz="4" w:space="0"/>
            </w:tcBorders>
            <w:shd w:val="clear" w:color="auto" w:fill="FFFFFF"/>
            <w:vAlign w:val="center"/>
          </w:tcPr>
          <w:p w14:paraId="5ECE6F6B">
            <w:pPr>
              <w:jc w:val="left"/>
              <w:rPr>
                <w:rFonts w:eastAsia="Times New Roman"/>
                <w:color w:val="000000"/>
                <w:kern w:val="0"/>
                <w:sz w:val="24"/>
                <w:lang w:eastAsia="en-US" w:bidi="en-US"/>
              </w:rPr>
            </w:pPr>
          </w:p>
        </w:tc>
        <w:tc>
          <w:tcPr>
            <w:tcW w:w="814" w:type="dxa"/>
            <w:vMerge w:val="restart"/>
            <w:tcBorders>
              <w:top w:val="single" w:color="auto" w:sz="4" w:space="0"/>
              <w:left w:val="single" w:color="auto" w:sz="4" w:space="0"/>
            </w:tcBorders>
            <w:shd w:val="clear" w:color="auto" w:fill="FFFFFF"/>
            <w:vAlign w:val="center"/>
          </w:tcPr>
          <w:p w14:paraId="1436EA3F">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决策程序</w:t>
            </w:r>
          </w:p>
          <w:p w14:paraId="0D6A2680">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74" w:type="dxa"/>
            <w:tcBorders>
              <w:top w:val="single" w:color="auto" w:sz="4" w:space="0"/>
              <w:left w:val="single" w:color="auto" w:sz="4" w:space="0"/>
            </w:tcBorders>
            <w:shd w:val="clear" w:color="auto" w:fill="FFFFFF"/>
            <w:vAlign w:val="center"/>
          </w:tcPr>
          <w:p w14:paraId="3DE80465">
            <w:pPr>
              <w:spacing w:line="19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1、项目单位项目申报、批复程序是否符合相关管理办法；</w:t>
            </w:r>
          </w:p>
        </w:tc>
        <w:tc>
          <w:tcPr>
            <w:tcW w:w="1094" w:type="dxa"/>
            <w:tcBorders>
              <w:top w:val="single" w:color="auto" w:sz="4" w:space="0"/>
              <w:left w:val="single" w:color="auto" w:sz="4" w:space="0"/>
            </w:tcBorders>
            <w:shd w:val="clear" w:color="auto" w:fill="FFFFFF"/>
            <w:vAlign w:val="center"/>
          </w:tcPr>
          <w:p w14:paraId="23242262">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86" w:type="dxa"/>
            <w:tcBorders>
              <w:top w:val="single" w:color="auto" w:sz="4" w:space="0"/>
              <w:left w:val="single" w:color="auto" w:sz="4" w:space="0"/>
            </w:tcBorders>
            <w:shd w:val="clear" w:color="auto" w:fill="FFFFFF"/>
            <w:vAlign w:val="center"/>
          </w:tcPr>
          <w:p w14:paraId="10012A4A">
            <w:pPr>
              <w:spacing w:line="201" w:lineRule="exac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申报、批复程序符合相关管理办法</w:t>
            </w:r>
            <w:r>
              <w:rPr>
                <w:rFonts w:ascii="宋体" w:hAnsi="宋体" w:cs="宋体"/>
                <w:color w:val="000000"/>
                <w:kern w:val="0"/>
                <w:sz w:val="14"/>
                <w:szCs w:val="14"/>
                <w:lang w:bidi="en-US"/>
              </w:rPr>
              <w:t>3-2.7</w:t>
            </w:r>
            <w:r>
              <w:rPr>
                <w:rFonts w:ascii="宋体" w:hAnsi="宋体" w:cs="宋体"/>
                <w:color w:val="000000"/>
                <w:kern w:val="0"/>
                <w:sz w:val="14"/>
                <w:szCs w:val="14"/>
                <w:lang w:val="zh-TW" w:eastAsia="zh-TW" w:bidi="zh-TW"/>
              </w:rPr>
              <w:t>分</w:t>
            </w:r>
            <w:r>
              <w:rPr>
                <w:rFonts w:ascii="宋体" w:hAnsi="宋体" w:cs="宋体"/>
                <w:color w:val="000000"/>
                <w:kern w:val="0"/>
                <w:sz w:val="14"/>
                <w:szCs w:val="14"/>
                <w:lang w:bidi="en-US"/>
              </w:rPr>
              <w:t>；</w:t>
            </w:r>
            <w:r>
              <w:rPr>
                <w:rFonts w:ascii="宋体" w:hAnsi="宋体" w:cs="宋体"/>
                <w:color w:val="000000"/>
                <w:kern w:val="0"/>
                <w:sz w:val="14"/>
                <w:szCs w:val="14"/>
                <w:lang w:val="zh-TW" w:eastAsia="zh-TW" w:bidi="zh-TW"/>
              </w:rPr>
              <w:t>较符合相关管理办法</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2分；基本符合相关管理办法</w:t>
            </w:r>
            <w:r>
              <w:rPr>
                <w:rFonts w:ascii="宋体" w:hAnsi="宋体" w:cs="宋体"/>
                <w:color w:val="000000"/>
                <w:kern w:val="0"/>
                <w:sz w:val="14"/>
                <w:szCs w:val="14"/>
                <w:lang w:bidi="en-US"/>
              </w:rPr>
              <w:t>2.2-1.</w:t>
            </w:r>
            <w:r>
              <w:rPr>
                <w:rFonts w:ascii="宋体" w:hAnsi="宋体" w:cs="宋体"/>
                <w:color w:val="000000"/>
                <w:kern w:val="0"/>
                <w:sz w:val="14"/>
                <w:szCs w:val="14"/>
                <w:lang w:val="zh-TW" w:eastAsia="zh-TW" w:bidi="zh-TW"/>
              </w:rPr>
              <w:t>8分：不符合相关管理办法</w:t>
            </w:r>
            <w:r>
              <w:rPr>
                <w:rFonts w:ascii="宋体" w:hAnsi="宋体" w:cs="宋体"/>
                <w:color w:val="000000"/>
                <w:kern w:val="0"/>
                <w:sz w:val="14"/>
                <w:szCs w:val="14"/>
                <w:lang w:bidi="en-US"/>
              </w:rPr>
              <w:t>1.8-0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tcBorders>
            <w:shd w:val="clear" w:color="auto" w:fill="FFFFFF"/>
            <w:vAlign w:val="center"/>
          </w:tcPr>
          <w:p w14:paraId="396771E3">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3.</w:t>
            </w:r>
            <w:r>
              <w:rPr>
                <w:rFonts w:ascii="宋体" w:hAnsi="宋体" w:cs="宋体"/>
                <w:color w:val="000000"/>
                <w:kern w:val="0"/>
                <w:sz w:val="14"/>
                <w:szCs w:val="14"/>
                <w:lang w:val="zh-TW" w:eastAsia="zh-TW" w:bidi="zh-TW"/>
              </w:rPr>
              <w:t>00</w:t>
            </w:r>
          </w:p>
        </w:tc>
        <w:tc>
          <w:tcPr>
            <w:tcW w:w="2735" w:type="dxa"/>
            <w:tcBorders>
              <w:top w:val="single" w:color="auto" w:sz="4" w:space="0"/>
              <w:left w:val="single" w:color="auto" w:sz="4" w:space="0"/>
              <w:right w:val="single" w:color="auto" w:sz="4" w:space="0"/>
            </w:tcBorders>
            <w:shd w:val="clear" w:color="auto" w:fill="FFFFFF"/>
          </w:tcPr>
          <w:p w14:paraId="66918740">
            <w:pPr>
              <w:jc w:val="left"/>
              <w:rPr>
                <w:rFonts w:eastAsia="Times New Roman"/>
                <w:color w:val="000000"/>
                <w:kern w:val="0"/>
                <w:sz w:val="10"/>
                <w:szCs w:val="10"/>
                <w:lang w:eastAsia="en-US" w:bidi="en-US"/>
              </w:rPr>
            </w:pPr>
          </w:p>
        </w:tc>
      </w:tr>
      <w:tr w14:paraId="163FDA7F">
        <w:tblPrEx>
          <w:tblCellMar>
            <w:top w:w="0" w:type="dxa"/>
            <w:left w:w="10" w:type="dxa"/>
            <w:bottom w:w="0" w:type="dxa"/>
            <w:right w:w="10" w:type="dxa"/>
          </w:tblCellMar>
        </w:tblPrEx>
        <w:trPr>
          <w:trHeight w:val="963" w:hRule="exact"/>
          <w:jc w:val="center"/>
        </w:trPr>
        <w:tc>
          <w:tcPr>
            <w:tcW w:w="762" w:type="dxa"/>
            <w:vMerge w:val="continue"/>
            <w:tcBorders>
              <w:left w:val="single" w:color="auto" w:sz="4" w:space="0"/>
              <w:bottom w:val="single" w:color="auto" w:sz="4" w:space="0"/>
            </w:tcBorders>
            <w:shd w:val="clear" w:color="auto" w:fill="FFFFFF"/>
            <w:vAlign w:val="center"/>
          </w:tcPr>
          <w:p w14:paraId="0A2F8FEE">
            <w:pPr>
              <w:jc w:val="left"/>
              <w:rPr>
                <w:rFonts w:eastAsia="Times New Roman"/>
                <w:color w:val="000000"/>
                <w:kern w:val="0"/>
                <w:sz w:val="24"/>
                <w:lang w:eastAsia="en-US" w:bidi="en-US"/>
              </w:rPr>
            </w:pPr>
          </w:p>
        </w:tc>
        <w:tc>
          <w:tcPr>
            <w:tcW w:w="809" w:type="dxa"/>
            <w:vMerge w:val="continue"/>
            <w:tcBorders>
              <w:left w:val="single" w:color="auto" w:sz="4" w:space="0"/>
              <w:bottom w:val="single" w:color="auto" w:sz="4" w:space="0"/>
            </w:tcBorders>
            <w:shd w:val="clear" w:color="auto" w:fill="FFFFFF"/>
            <w:vAlign w:val="center"/>
          </w:tcPr>
          <w:p w14:paraId="79F276C1">
            <w:pPr>
              <w:jc w:val="left"/>
              <w:rPr>
                <w:rFonts w:eastAsia="Times New Roman"/>
                <w:color w:val="000000"/>
                <w:kern w:val="0"/>
                <w:sz w:val="24"/>
                <w:lang w:eastAsia="en-US" w:bidi="en-US"/>
              </w:rPr>
            </w:pPr>
          </w:p>
        </w:tc>
        <w:tc>
          <w:tcPr>
            <w:tcW w:w="814" w:type="dxa"/>
            <w:vMerge w:val="continue"/>
            <w:tcBorders>
              <w:left w:val="single" w:color="auto" w:sz="4" w:space="0"/>
              <w:bottom w:val="single" w:color="auto" w:sz="4" w:space="0"/>
            </w:tcBorders>
            <w:shd w:val="clear" w:color="auto" w:fill="FFFFFF"/>
            <w:vAlign w:val="center"/>
          </w:tcPr>
          <w:p w14:paraId="6B4130F9">
            <w:pPr>
              <w:jc w:val="left"/>
              <w:rPr>
                <w:rFonts w:eastAsia="Times New Roman"/>
                <w:color w:val="000000"/>
                <w:kern w:val="0"/>
                <w:sz w:val="24"/>
                <w:lang w:eastAsia="en-US" w:bidi="en-US"/>
              </w:rPr>
            </w:pPr>
          </w:p>
        </w:tc>
        <w:tc>
          <w:tcPr>
            <w:tcW w:w="874" w:type="dxa"/>
            <w:tcBorders>
              <w:top w:val="single" w:color="auto" w:sz="4" w:space="0"/>
              <w:left w:val="single" w:color="auto" w:sz="4" w:space="0"/>
              <w:bottom w:val="single" w:color="auto" w:sz="4" w:space="0"/>
            </w:tcBorders>
            <w:shd w:val="clear" w:color="auto" w:fill="FFFFFF"/>
            <w:vAlign w:val="center"/>
          </w:tcPr>
          <w:p w14:paraId="349A73C4">
            <w:pPr>
              <w:spacing w:line="199"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2、项目单位项目申报、批复程序科学合理；</w:t>
            </w:r>
          </w:p>
        </w:tc>
        <w:tc>
          <w:tcPr>
            <w:tcW w:w="1094" w:type="dxa"/>
            <w:tcBorders>
              <w:top w:val="single" w:color="auto" w:sz="4" w:space="0"/>
              <w:left w:val="single" w:color="auto" w:sz="4" w:space="0"/>
              <w:bottom w:val="single" w:color="auto" w:sz="4" w:space="0"/>
            </w:tcBorders>
            <w:shd w:val="clear" w:color="auto" w:fill="FFFFFF"/>
            <w:vAlign w:val="center"/>
          </w:tcPr>
          <w:p w14:paraId="4F734969">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86" w:type="dxa"/>
            <w:tcBorders>
              <w:top w:val="single" w:color="auto" w:sz="4" w:space="0"/>
              <w:left w:val="single" w:color="auto" w:sz="4" w:space="0"/>
              <w:bottom w:val="single" w:color="auto" w:sz="4" w:space="0"/>
            </w:tcBorders>
            <w:shd w:val="clear" w:color="auto" w:fill="FFFFFF"/>
            <w:vAlign w:val="center"/>
          </w:tcPr>
          <w:p w14:paraId="17E63241">
            <w:pPr>
              <w:spacing w:line="208"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项目申报、批复程序科学合理</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w:t>
            </w:r>
            <w:r>
              <w:rPr>
                <w:rFonts w:ascii="宋体" w:hAnsi="宋体" w:cs="宋体"/>
                <w:color w:val="000000"/>
                <w:kern w:val="0"/>
                <w:sz w:val="14"/>
                <w:szCs w:val="14"/>
                <w:lang w:bidi="en-US"/>
              </w:rPr>
              <w:t>；</w:t>
            </w:r>
            <w:r>
              <w:rPr>
                <w:rFonts w:hint="eastAsia" w:ascii="宋体" w:hAnsi="宋体" w:cs="宋体"/>
                <w:color w:val="000000"/>
                <w:kern w:val="0"/>
                <w:sz w:val="14"/>
                <w:szCs w:val="14"/>
                <w:lang w:bidi="en-US"/>
              </w:rPr>
              <w:t>申报</w:t>
            </w:r>
            <w:r>
              <w:rPr>
                <w:rFonts w:ascii="宋体" w:hAnsi="宋体" w:cs="宋体"/>
                <w:color w:val="000000"/>
                <w:kern w:val="0"/>
                <w:sz w:val="14"/>
                <w:szCs w:val="14"/>
                <w:lang w:val="zh-TW" w:eastAsia="zh-TW" w:bidi="zh-TW"/>
              </w:rPr>
              <w:t>、批复程序较科学合理</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5分：申报、批复程序基本科学合理</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2分；申报、批</w:t>
            </w:r>
            <w:r>
              <w:rPr>
                <w:rFonts w:hint="eastAsia" w:ascii="宋体" w:hAnsi="宋体" w:cs="宋体"/>
                <w:color w:val="000000"/>
                <w:kern w:val="0"/>
                <w:sz w:val="14"/>
                <w:szCs w:val="14"/>
                <w:lang w:val="zh-TW" w:bidi="zh-TW"/>
              </w:rPr>
              <w:t>复</w:t>
            </w:r>
            <w:r>
              <w:rPr>
                <w:rFonts w:ascii="宋体" w:hAnsi="宋体" w:cs="宋体"/>
                <w:color w:val="000000"/>
                <w:kern w:val="0"/>
                <w:sz w:val="14"/>
                <w:szCs w:val="14"/>
                <w:lang w:val="zh-TW" w:eastAsia="zh-TW" w:bidi="zh-TW"/>
              </w:rPr>
              <w:t>程序不科学合理</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bottom w:val="single" w:color="auto" w:sz="4" w:space="0"/>
            </w:tcBorders>
            <w:shd w:val="clear" w:color="auto" w:fill="FFFFFF"/>
            <w:vAlign w:val="center"/>
          </w:tcPr>
          <w:p w14:paraId="35D4437B">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2.00</w:t>
            </w:r>
          </w:p>
        </w:tc>
        <w:tc>
          <w:tcPr>
            <w:tcW w:w="2735" w:type="dxa"/>
            <w:tcBorders>
              <w:top w:val="single" w:color="auto" w:sz="4" w:space="0"/>
              <w:left w:val="single" w:color="auto" w:sz="4" w:space="0"/>
              <w:bottom w:val="single" w:color="auto" w:sz="4" w:space="0"/>
              <w:right w:val="single" w:color="auto" w:sz="4" w:space="0"/>
            </w:tcBorders>
            <w:shd w:val="clear" w:color="auto" w:fill="FFFFFF"/>
          </w:tcPr>
          <w:p w14:paraId="48BFC941">
            <w:pPr>
              <w:jc w:val="left"/>
              <w:rPr>
                <w:rFonts w:eastAsia="Times New Roman"/>
                <w:color w:val="000000"/>
                <w:kern w:val="0"/>
                <w:sz w:val="10"/>
                <w:szCs w:val="10"/>
                <w:lang w:eastAsia="en-US" w:bidi="en-US"/>
              </w:rPr>
            </w:pPr>
          </w:p>
        </w:tc>
      </w:tr>
    </w:tbl>
    <w:p w14:paraId="33E61052">
      <w:pPr>
        <w:spacing w:line="1" w:lineRule="exact"/>
        <w:jc w:val="left"/>
        <w:rPr>
          <w:rFonts w:eastAsia="Times New Roman"/>
          <w:color w:val="000000"/>
          <w:kern w:val="0"/>
          <w:sz w:val="2"/>
          <w:szCs w:val="2"/>
          <w:lang w:eastAsia="en-US" w:bidi="en-US"/>
        </w:rPr>
      </w:pPr>
      <w:r>
        <w:rPr>
          <w:rFonts w:eastAsia="Times New Roman"/>
          <w:color w:val="000000"/>
          <w:kern w:val="0"/>
          <w:sz w:val="24"/>
          <w:lang w:eastAsia="en-US" w:bidi="en-US"/>
        </w:rPr>
        <w:br w:type="page"/>
      </w:r>
    </w:p>
    <w:p w14:paraId="476099E5">
      <w:pPr>
        <w:jc w:val="center"/>
        <w:rPr>
          <w:rFonts w:ascii="宋体" w:hAnsi="宋体" w:cs="宋体"/>
          <w:color w:val="000000"/>
          <w:kern w:val="0"/>
          <w:sz w:val="22"/>
          <w:lang w:val="zh-TW" w:eastAsia="zh-TW" w:bidi="zh-TW"/>
        </w:rPr>
      </w:pPr>
      <w:r>
        <w:rPr>
          <w:rFonts w:hint="eastAsia" w:ascii="宋体" w:hAnsi="宋体" w:cs="宋体"/>
          <w:color w:val="000000"/>
          <w:kern w:val="0"/>
          <w:sz w:val="22"/>
          <w:lang w:val="zh-TW" w:eastAsia="zh-TW" w:bidi="zh-TW"/>
        </w:rPr>
        <w:t>202</w:t>
      </w:r>
      <w:r>
        <w:rPr>
          <w:rFonts w:hint="eastAsia" w:ascii="宋体" w:hAnsi="宋体" w:cs="宋体"/>
          <w:color w:val="000000"/>
          <w:kern w:val="0"/>
          <w:sz w:val="22"/>
          <w:lang w:val="en-US" w:eastAsia="zh-CN" w:bidi="zh-TW"/>
        </w:rPr>
        <w:t>4</w:t>
      </w:r>
      <w:bookmarkStart w:id="53" w:name="_GoBack"/>
      <w:bookmarkEnd w:id="53"/>
      <w:r>
        <w:rPr>
          <w:rFonts w:hint="eastAsia" w:ascii="宋体" w:hAnsi="宋体" w:cs="宋体"/>
          <w:color w:val="000000"/>
          <w:kern w:val="0"/>
          <w:sz w:val="22"/>
          <w:lang w:val="zh-TW" w:eastAsia="zh-TW" w:bidi="zh-TW"/>
        </w:rPr>
        <w:t>年密云检察院信息化运维费项目</w:t>
      </w:r>
      <w:r>
        <w:rPr>
          <w:rFonts w:ascii="宋体" w:hAnsi="宋体" w:cs="宋体"/>
          <w:color w:val="000000"/>
          <w:kern w:val="0"/>
          <w:sz w:val="22"/>
          <w:lang w:val="zh-TW" w:eastAsia="zh-TW" w:bidi="zh-TW"/>
        </w:rPr>
        <w:t>保障指标体系及打分情况表</w:t>
      </w:r>
    </w:p>
    <w:tbl>
      <w:tblPr>
        <w:tblStyle w:val="20"/>
        <w:tblW w:w="14024" w:type="dxa"/>
        <w:jc w:val="center"/>
        <w:tblLayout w:type="fixed"/>
        <w:tblCellMar>
          <w:top w:w="0" w:type="dxa"/>
          <w:left w:w="10" w:type="dxa"/>
          <w:bottom w:w="0" w:type="dxa"/>
          <w:right w:w="10" w:type="dxa"/>
        </w:tblCellMar>
      </w:tblPr>
      <w:tblGrid>
        <w:gridCol w:w="825"/>
        <w:gridCol w:w="830"/>
        <w:gridCol w:w="811"/>
        <w:gridCol w:w="1073"/>
        <w:gridCol w:w="1104"/>
        <w:gridCol w:w="5392"/>
        <w:gridCol w:w="1165"/>
        <w:gridCol w:w="2824"/>
      </w:tblGrid>
      <w:tr w14:paraId="22854605">
        <w:tblPrEx>
          <w:tblCellMar>
            <w:top w:w="0" w:type="dxa"/>
            <w:left w:w="10" w:type="dxa"/>
            <w:bottom w:w="0" w:type="dxa"/>
            <w:right w:w="10" w:type="dxa"/>
          </w:tblCellMar>
        </w:tblPrEx>
        <w:trPr>
          <w:trHeight w:val="452" w:hRule="exact"/>
          <w:jc w:val="center"/>
        </w:trPr>
        <w:tc>
          <w:tcPr>
            <w:tcW w:w="825" w:type="dxa"/>
            <w:tcBorders>
              <w:top w:val="single" w:color="auto" w:sz="4" w:space="0"/>
              <w:left w:val="single" w:color="auto" w:sz="4" w:space="0"/>
            </w:tcBorders>
            <w:shd w:val="clear" w:color="auto" w:fill="FFFFFF"/>
            <w:vAlign w:val="center"/>
          </w:tcPr>
          <w:p w14:paraId="5794EEA1">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一级指标</w:t>
            </w:r>
          </w:p>
        </w:tc>
        <w:tc>
          <w:tcPr>
            <w:tcW w:w="830" w:type="dxa"/>
            <w:tcBorders>
              <w:top w:val="single" w:color="auto" w:sz="4" w:space="0"/>
              <w:left w:val="single" w:color="auto" w:sz="4" w:space="0"/>
            </w:tcBorders>
            <w:shd w:val="clear" w:color="auto" w:fill="FFFFFF"/>
            <w:vAlign w:val="center"/>
          </w:tcPr>
          <w:p w14:paraId="25FDB2A8">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bidi="zh-TW"/>
              </w:rPr>
              <w:t>二</w:t>
            </w:r>
            <w:r>
              <w:rPr>
                <w:rFonts w:ascii="宋体" w:hAnsi="宋体" w:cs="宋体"/>
                <w:color w:val="000000"/>
                <w:kern w:val="0"/>
                <w:sz w:val="14"/>
                <w:szCs w:val="14"/>
                <w:lang w:val="zh-TW" w:eastAsia="zh-TW" w:bidi="zh-TW"/>
              </w:rPr>
              <w:t>级指标</w:t>
            </w:r>
          </w:p>
        </w:tc>
        <w:tc>
          <w:tcPr>
            <w:tcW w:w="811" w:type="dxa"/>
            <w:tcBorders>
              <w:top w:val="single" w:color="auto" w:sz="4" w:space="0"/>
              <w:left w:val="single" w:color="auto" w:sz="4" w:space="0"/>
            </w:tcBorders>
            <w:shd w:val="clear" w:color="auto" w:fill="FFFFFF"/>
            <w:vAlign w:val="center"/>
          </w:tcPr>
          <w:p w14:paraId="27269D45">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三级指标</w:t>
            </w:r>
          </w:p>
        </w:tc>
        <w:tc>
          <w:tcPr>
            <w:tcW w:w="1073" w:type="dxa"/>
            <w:tcBorders>
              <w:top w:val="single" w:color="auto" w:sz="4" w:space="0"/>
              <w:left w:val="single" w:color="auto" w:sz="4" w:space="0"/>
            </w:tcBorders>
            <w:shd w:val="clear" w:color="auto" w:fill="FFFFFF"/>
            <w:vAlign w:val="center"/>
          </w:tcPr>
          <w:p w14:paraId="09CC91F6">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四级指标</w:t>
            </w:r>
          </w:p>
        </w:tc>
        <w:tc>
          <w:tcPr>
            <w:tcW w:w="1104" w:type="dxa"/>
            <w:tcBorders>
              <w:top w:val="single" w:color="auto" w:sz="4" w:space="0"/>
              <w:left w:val="single" w:color="auto" w:sz="4" w:space="0"/>
            </w:tcBorders>
            <w:shd w:val="clear" w:color="auto" w:fill="FFFFFF"/>
            <w:vAlign w:val="center"/>
          </w:tcPr>
          <w:p w14:paraId="779FEEF3">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评分</w:t>
            </w:r>
          </w:p>
        </w:tc>
        <w:tc>
          <w:tcPr>
            <w:tcW w:w="5392" w:type="dxa"/>
            <w:tcBorders>
              <w:top w:val="single" w:color="auto" w:sz="4" w:space="0"/>
              <w:left w:val="single" w:color="auto" w:sz="4" w:space="0"/>
            </w:tcBorders>
            <w:shd w:val="clear" w:color="auto" w:fill="FFFFFF"/>
            <w:vAlign w:val="center"/>
          </w:tcPr>
          <w:p w14:paraId="2DAD4889">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评价内容（标准）</w:t>
            </w:r>
          </w:p>
        </w:tc>
        <w:tc>
          <w:tcPr>
            <w:tcW w:w="1165" w:type="dxa"/>
            <w:tcBorders>
              <w:top w:val="single" w:color="auto" w:sz="4" w:space="0"/>
              <w:left w:val="single" w:color="auto" w:sz="4" w:space="0"/>
            </w:tcBorders>
            <w:shd w:val="clear" w:color="auto" w:fill="FFFFFF"/>
            <w:vAlign w:val="center"/>
          </w:tcPr>
          <w:p w14:paraId="71CD6585">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评价得分</w:t>
            </w:r>
          </w:p>
        </w:tc>
        <w:tc>
          <w:tcPr>
            <w:tcW w:w="2824" w:type="dxa"/>
            <w:tcBorders>
              <w:top w:val="single" w:color="auto" w:sz="4" w:space="0"/>
              <w:left w:val="single" w:color="auto" w:sz="4" w:space="0"/>
              <w:right w:val="single" w:color="auto" w:sz="4" w:space="0"/>
            </w:tcBorders>
            <w:shd w:val="clear" w:color="auto" w:fill="FFFFFF"/>
            <w:vAlign w:val="center"/>
          </w:tcPr>
          <w:p w14:paraId="39ABD328">
            <w:pPr>
              <w:ind w:left="1060"/>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扣分原因</w:t>
            </w:r>
          </w:p>
        </w:tc>
      </w:tr>
      <w:tr w14:paraId="5AA02159">
        <w:tblPrEx>
          <w:tblCellMar>
            <w:top w:w="0" w:type="dxa"/>
            <w:left w:w="10" w:type="dxa"/>
            <w:bottom w:w="0" w:type="dxa"/>
            <w:right w:w="10" w:type="dxa"/>
          </w:tblCellMar>
        </w:tblPrEx>
        <w:trPr>
          <w:trHeight w:val="524" w:hRule="exact"/>
          <w:jc w:val="center"/>
        </w:trPr>
        <w:tc>
          <w:tcPr>
            <w:tcW w:w="825" w:type="dxa"/>
            <w:vMerge w:val="restart"/>
            <w:tcBorders>
              <w:top w:val="single" w:color="auto" w:sz="4" w:space="0"/>
              <w:left w:val="single" w:color="auto" w:sz="4" w:space="0"/>
            </w:tcBorders>
            <w:shd w:val="clear" w:color="auto" w:fill="FFFFFF"/>
            <w:vAlign w:val="center"/>
          </w:tcPr>
          <w:p w14:paraId="1BF1AED3">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项目管理 （30 分）</w:t>
            </w:r>
          </w:p>
        </w:tc>
        <w:tc>
          <w:tcPr>
            <w:tcW w:w="830" w:type="dxa"/>
            <w:vMerge w:val="restart"/>
            <w:tcBorders>
              <w:top w:val="single" w:color="auto" w:sz="4" w:space="0"/>
              <w:left w:val="single" w:color="auto" w:sz="4" w:space="0"/>
            </w:tcBorders>
            <w:shd w:val="clear" w:color="auto" w:fill="FFFFFF"/>
            <w:vAlign w:val="center"/>
          </w:tcPr>
          <w:p w14:paraId="20ADD129">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w:t>
            </w: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资金</w:t>
            </w:r>
          </w:p>
          <w:p w14:paraId="2004D428">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（15 分）</w:t>
            </w:r>
          </w:p>
        </w:tc>
        <w:tc>
          <w:tcPr>
            <w:tcW w:w="811" w:type="dxa"/>
            <w:vMerge w:val="restart"/>
            <w:tcBorders>
              <w:top w:val="single" w:color="auto" w:sz="4" w:space="0"/>
              <w:left w:val="single" w:color="auto" w:sz="4" w:space="0"/>
            </w:tcBorders>
            <w:shd w:val="clear" w:color="auto" w:fill="FFFFFF"/>
            <w:vAlign w:val="center"/>
          </w:tcPr>
          <w:p w14:paraId="3EF9A9FE">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预算管理</w:t>
            </w:r>
          </w:p>
          <w:p w14:paraId="239F0E63">
            <w:pPr>
              <w:ind w:firstLine="16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1073" w:type="dxa"/>
            <w:tcBorders>
              <w:top w:val="single" w:color="auto" w:sz="4" w:space="0"/>
              <w:left w:val="single" w:color="auto" w:sz="4" w:space="0"/>
            </w:tcBorders>
            <w:shd w:val="clear" w:color="auto" w:fill="FFFFFF"/>
            <w:vAlign w:val="center"/>
          </w:tcPr>
          <w:p w14:paraId="70B64ADE">
            <w:pPr>
              <w:spacing w:line="20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w:t>
            </w:r>
            <w:r>
              <w:rPr>
                <w:rFonts w:hint="eastAsia" w:ascii="宋体" w:hAnsi="宋体" w:cs="宋体"/>
                <w:color w:val="000000"/>
                <w:kern w:val="0"/>
                <w:sz w:val="14"/>
                <w:szCs w:val="14"/>
                <w:lang w:val="zh-TW" w:bidi="zh-TW"/>
              </w:rPr>
              <w:t>项目预算</w:t>
            </w:r>
            <w:r>
              <w:rPr>
                <w:rFonts w:ascii="宋体" w:hAnsi="宋体" w:cs="宋体"/>
                <w:color w:val="000000"/>
                <w:kern w:val="0"/>
                <w:sz w:val="14"/>
                <w:szCs w:val="14"/>
                <w:lang w:val="zh-TW" w:eastAsia="zh-TW" w:bidi="zh-TW"/>
              </w:rPr>
              <w:t>编制细化、准确；</w:t>
            </w:r>
          </w:p>
        </w:tc>
        <w:tc>
          <w:tcPr>
            <w:tcW w:w="1104" w:type="dxa"/>
            <w:tcBorders>
              <w:top w:val="single" w:color="auto" w:sz="4" w:space="0"/>
              <w:left w:val="single" w:color="auto" w:sz="4" w:space="0"/>
            </w:tcBorders>
            <w:shd w:val="clear" w:color="auto" w:fill="FFFFFF"/>
            <w:vAlign w:val="center"/>
          </w:tcPr>
          <w:p w14:paraId="402A281A">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92" w:type="dxa"/>
            <w:tcBorders>
              <w:top w:val="single" w:color="auto" w:sz="4" w:space="0"/>
              <w:left w:val="single" w:color="auto" w:sz="4" w:space="0"/>
            </w:tcBorders>
            <w:shd w:val="clear" w:color="auto" w:fill="FFFFFF"/>
            <w:vAlign w:val="center"/>
          </w:tcPr>
          <w:p w14:paraId="31EA54D9">
            <w:pPr>
              <w:spacing w:line="20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项目预算编制细化、</w:t>
            </w:r>
            <w:r>
              <w:rPr>
                <w:rFonts w:hint="eastAsia" w:ascii="宋体" w:hAnsi="宋体" w:cs="宋体"/>
                <w:color w:val="000000"/>
                <w:kern w:val="0"/>
                <w:sz w:val="14"/>
                <w:szCs w:val="14"/>
                <w:lang w:val="zh-TW" w:bidi="zh-TW"/>
              </w:rPr>
              <w:t>准确</w:t>
            </w:r>
            <w:r>
              <w:rPr>
                <w:rFonts w:ascii="宋体" w:hAnsi="宋体" w:cs="宋体"/>
                <w:color w:val="000000"/>
                <w:kern w:val="0"/>
                <w:sz w:val="14"/>
                <w:szCs w:val="14"/>
                <w:lang w:bidi="en-US"/>
              </w:rPr>
              <w:t>2</w:t>
            </w:r>
            <w:r>
              <w:rPr>
                <w:rFonts w:hint="eastAsia" w:ascii="宋体" w:hAnsi="宋体" w:cs="宋体"/>
                <w:color w:val="000000"/>
                <w:kern w:val="0"/>
                <w:sz w:val="14"/>
                <w:szCs w:val="14"/>
                <w:lang w:bidi="en-US"/>
              </w:rPr>
              <w:t>-1</w:t>
            </w:r>
            <w:r>
              <w:rPr>
                <w:rFonts w:ascii="宋体" w:hAnsi="宋体" w:cs="宋体"/>
                <w:color w:val="000000"/>
                <w:kern w:val="0"/>
                <w:sz w:val="14"/>
                <w:szCs w:val="14"/>
                <w:lang w:bidi="en-US"/>
              </w:rPr>
              <w:t>.</w:t>
            </w:r>
            <w:r>
              <w:rPr>
                <w:rFonts w:ascii="宋体" w:hAnsi="宋体" w:cs="宋体"/>
                <w:color w:val="000000"/>
                <w:kern w:val="0"/>
                <w:sz w:val="14"/>
                <w:szCs w:val="14"/>
                <w:lang w:val="zh-TW" w:eastAsia="zh-TW" w:bidi="zh-TW"/>
              </w:rPr>
              <w:t>8分；较细化、准确</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5分，基本细化、准确</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w:t>
            </w:r>
            <w:r>
              <w:rPr>
                <w:rFonts w:hint="eastAsia" w:ascii="宋体" w:hAnsi="宋体" w:cs="宋体"/>
                <w:color w:val="000000"/>
                <w:kern w:val="0"/>
                <w:sz w:val="14"/>
                <w:szCs w:val="14"/>
                <w:lang w:val="zh-TW" w:bidi="zh-TW"/>
              </w:rPr>
              <w:t>，</w:t>
            </w:r>
            <w:r>
              <w:rPr>
                <w:rFonts w:ascii="宋体" w:hAnsi="宋体" w:cs="宋体"/>
                <w:color w:val="000000"/>
                <w:kern w:val="0"/>
                <w:sz w:val="14"/>
                <w:szCs w:val="14"/>
                <w:lang w:val="zh-TW" w:eastAsia="zh-TW" w:bidi="zh-TW"/>
              </w:rPr>
              <w:t>不细化</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14:paraId="4BD3463E">
            <w:pPr>
              <w:ind w:firstLine="420"/>
              <w:jc w:val="left"/>
              <w:rPr>
                <w:rFonts w:ascii="宋体" w:hAnsi="宋体" w:cs="宋体"/>
                <w:color w:val="000000"/>
                <w:kern w:val="0"/>
                <w:sz w:val="14"/>
                <w:szCs w:val="14"/>
                <w:lang w:eastAsia="en-US" w:bidi="en-US"/>
              </w:rPr>
            </w:pPr>
            <w:r>
              <w:rPr>
                <w:rFonts w:ascii="宋体" w:hAnsi="宋体" w:cs="宋体"/>
                <w:color w:val="000000"/>
                <w:kern w:val="0"/>
                <w:sz w:val="14"/>
                <w:szCs w:val="14"/>
                <w:lang w:eastAsia="en-US" w:bidi="en-US"/>
              </w:rPr>
              <w:t>1.50</w:t>
            </w:r>
          </w:p>
        </w:tc>
        <w:tc>
          <w:tcPr>
            <w:tcW w:w="2824" w:type="dxa"/>
            <w:tcBorders>
              <w:top w:val="single" w:color="auto" w:sz="4" w:space="0"/>
              <w:left w:val="single" w:color="auto" w:sz="4" w:space="0"/>
              <w:right w:val="single" w:color="auto" w:sz="4" w:space="0"/>
            </w:tcBorders>
            <w:shd w:val="clear" w:color="auto" w:fill="FFFFFF"/>
          </w:tcPr>
          <w:p w14:paraId="3C6E7CA4">
            <w:pPr>
              <w:jc w:val="left"/>
              <w:rPr>
                <w:rFonts w:ascii="宋体" w:hAnsi="宋体" w:cs="宋体"/>
                <w:color w:val="000000"/>
                <w:kern w:val="0"/>
                <w:sz w:val="14"/>
                <w:szCs w:val="14"/>
                <w:lang w:val="zh-TW" w:bidi="zh-TW"/>
              </w:rPr>
            </w:pPr>
            <w:r>
              <w:rPr>
                <w:rFonts w:hint="eastAsia" w:ascii="宋体" w:hAnsi="宋体" w:cs="宋体"/>
                <w:color w:val="000000"/>
                <w:kern w:val="0"/>
                <w:sz w:val="14"/>
                <w:szCs w:val="14"/>
                <w:lang w:val="zh-TW" w:bidi="zh-TW"/>
              </w:rPr>
              <w:t>细化程度不足</w:t>
            </w:r>
          </w:p>
        </w:tc>
      </w:tr>
      <w:tr w14:paraId="6C86DAF5">
        <w:tblPrEx>
          <w:tblCellMar>
            <w:top w:w="0" w:type="dxa"/>
            <w:left w:w="10" w:type="dxa"/>
            <w:bottom w:w="0" w:type="dxa"/>
            <w:right w:w="10" w:type="dxa"/>
          </w:tblCellMar>
        </w:tblPrEx>
        <w:trPr>
          <w:trHeight w:val="638" w:hRule="exact"/>
          <w:jc w:val="center"/>
        </w:trPr>
        <w:tc>
          <w:tcPr>
            <w:tcW w:w="825" w:type="dxa"/>
            <w:vMerge w:val="continue"/>
            <w:tcBorders>
              <w:left w:val="single" w:color="auto" w:sz="4" w:space="0"/>
            </w:tcBorders>
            <w:shd w:val="clear" w:color="auto" w:fill="FFFFFF"/>
            <w:vAlign w:val="center"/>
          </w:tcPr>
          <w:p w14:paraId="05E80F7A">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14:paraId="57B95422">
            <w:pPr>
              <w:jc w:val="left"/>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14:paraId="2CCF6BD2">
            <w:pPr>
              <w:jc w:val="left"/>
              <w:rPr>
                <w:rFonts w:eastAsia="Times New Roman"/>
                <w:color w:val="000000"/>
                <w:kern w:val="0"/>
                <w:sz w:val="24"/>
                <w:lang w:eastAsia="en-US" w:bidi="en-US"/>
              </w:rPr>
            </w:pPr>
          </w:p>
        </w:tc>
        <w:tc>
          <w:tcPr>
            <w:tcW w:w="1073" w:type="dxa"/>
            <w:tcBorders>
              <w:top w:val="single" w:color="auto" w:sz="4" w:space="0"/>
              <w:left w:val="single" w:color="auto" w:sz="4" w:space="0"/>
            </w:tcBorders>
            <w:shd w:val="clear" w:color="auto" w:fill="FFFFFF"/>
            <w:vAlign w:val="center"/>
          </w:tcPr>
          <w:p w14:paraId="20631299">
            <w:pPr>
              <w:spacing w:line="20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2、项目预算执行与预算编制一致。</w:t>
            </w:r>
          </w:p>
        </w:tc>
        <w:tc>
          <w:tcPr>
            <w:tcW w:w="1104" w:type="dxa"/>
            <w:tcBorders>
              <w:top w:val="single" w:color="auto" w:sz="4" w:space="0"/>
              <w:left w:val="single" w:color="auto" w:sz="4" w:space="0"/>
            </w:tcBorders>
            <w:shd w:val="clear" w:color="auto" w:fill="FFFFFF"/>
            <w:vAlign w:val="center"/>
          </w:tcPr>
          <w:p w14:paraId="2364AFF5">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92" w:type="dxa"/>
            <w:tcBorders>
              <w:top w:val="single" w:color="auto" w:sz="4" w:space="0"/>
              <w:left w:val="single" w:color="auto" w:sz="4" w:space="0"/>
            </w:tcBorders>
            <w:shd w:val="clear" w:color="auto" w:fill="FFFFFF"/>
            <w:vAlign w:val="center"/>
          </w:tcPr>
          <w:p w14:paraId="35F4FD24">
            <w:pPr>
              <w:spacing w:line="20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项目预算执行与预算编制一致</w:t>
            </w:r>
            <w:r>
              <w:rPr>
                <w:rFonts w:ascii="宋体" w:hAnsi="宋体" w:cs="宋体"/>
                <w:color w:val="000000"/>
                <w:kern w:val="0"/>
                <w:sz w:val="14"/>
                <w:szCs w:val="14"/>
                <w:lang w:bidi="en-US"/>
              </w:rPr>
              <w:t>3-2.7</w:t>
            </w:r>
            <w:r>
              <w:rPr>
                <w:rFonts w:ascii="宋体" w:hAnsi="宋体" w:cs="宋体"/>
                <w:color w:val="000000"/>
                <w:kern w:val="0"/>
                <w:sz w:val="14"/>
                <w:szCs w:val="14"/>
                <w:lang w:val="zh-TW" w:eastAsia="zh-TW" w:bidi="zh-TW"/>
              </w:rPr>
              <w:t>分</w:t>
            </w:r>
            <w:r>
              <w:rPr>
                <w:rFonts w:ascii="宋体" w:hAnsi="宋体" w:cs="宋体"/>
                <w:color w:val="000000"/>
                <w:kern w:val="0"/>
                <w:sz w:val="14"/>
                <w:szCs w:val="14"/>
                <w:lang w:bidi="en-US"/>
              </w:rPr>
              <w:t>；</w:t>
            </w:r>
            <w:r>
              <w:rPr>
                <w:rFonts w:ascii="宋体" w:hAnsi="宋体" w:cs="宋体"/>
                <w:color w:val="000000"/>
                <w:kern w:val="0"/>
                <w:sz w:val="14"/>
                <w:szCs w:val="14"/>
                <w:lang w:val="zh-TW" w:eastAsia="zh-TW" w:bidi="zh-TW"/>
              </w:rPr>
              <w:t>较一致</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2分；基本一致</w:t>
            </w:r>
            <w:r>
              <w:rPr>
                <w:rFonts w:hint="eastAsia" w:ascii="宋体" w:hAnsi="宋体" w:cs="宋体"/>
                <w:color w:val="000000"/>
                <w:kern w:val="0"/>
                <w:sz w:val="14"/>
                <w:szCs w:val="14"/>
                <w:lang w:bidi="zh-TW"/>
              </w:rPr>
              <w:t>2.2</w:t>
            </w:r>
            <w:r>
              <w:rPr>
                <w:rFonts w:ascii="宋体" w:hAnsi="宋体" w:cs="宋体"/>
                <w:color w:val="000000"/>
                <w:kern w:val="0"/>
                <w:sz w:val="14"/>
                <w:szCs w:val="14"/>
                <w:lang w:val="zh-TW" w:bidi="zh-TW"/>
              </w:rPr>
              <w:t>-1.8</w:t>
            </w:r>
            <w:r>
              <w:rPr>
                <w:rFonts w:ascii="宋体" w:hAnsi="宋体" w:cs="宋体"/>
                <w:color w:val="000000"/>
                <w:kern w:val="0"/>
                <w:sz w:val="14"/>
                <w:szCs w:val="14"/>
                <w:lang w:val="zh-TW" w:eastAsia="zh-TW" w:bidi="zh-TW"/>
              </w:rPr>
              <w:t>分</w:t>
            </w:r>
            <w:r>
              <w:rPr>
                <w:rFonts w:ascii="宋体" w:hAnsi="宋体" w:cs="宋体"/>
                <w:color w:val="000000"/>
                <w:kern w:val="0"/>
                <w:sz w:val="14"/>
                <w:szCs w:val="14"/>
                <w:lang w:val="zh-TW" w:bidi="zh-TW"/>
              </w:rPr>
              <w:t>；</w:t>
            </w:r>
            <w:r>
              <w:rPr>
                <w:rFonts w:ascii="宋体" w:hAnsi="宋体" w:cs="宋体"/>
                <w:color w:val="000000"/>
                <w:kern w:val="0"/>
                <w:sz w:val="14"/>
                <w:szCs w:val="14"/>
                <w:lang w:val="zh-TW" w:eastAsia="zh-TW" w:bidi="zh-TW"/>
              </w:rPr>
              <w:t>不一致</w:t>
            </w:r>
            <w:r>
              <w:rPr>
                <w:rFonts w:ascii="宋体" w:hAnsi="宋体" w:cs="宋体"/>
                <w:color w:val="000000"/>
                <w:kern w:val="0"/>
                <w:sz w:val="14"/>
                <w:szCs w:val="14"/>
                <w:lang w:bidi="en-US"/>
              </w:rPr>
              <w:t>1.8-0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14:paraId="728EEEB1">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3.</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14:paraId="51796C1B">
            <w:pPr>
              <w:jc w:val="left"/>
              <w:rPr>
                <w:rFonts w:eastAsia="Times New Roman"/>
                <w:color w:val="000000"/>
                <w:kern w:val="0"/>
                <w:sz w:val="10"/>
                <w:szCs w:val="10"/>
                <w:lang w:eastAsia="en-US" w:bidi="en-US"/>
              </w:rPr>
            </w:pPr>
          </w:p>
        </w:tc>
      </w:tr>
      <w:tr w14:paraId="703E57AE">
        <w:tblPrEx>
          <w:tblCellMar>
            <w:top w:w="0" w:type="dxa"/>
            <w:left w:w="10" w:type="dxa"/>
            <w:bottom w:w="0" w:type="dxa"/>
            <w:right w:w="10" w:type="dxa"/>
          </w:tblCellMar>
        </w:tblPrEx>
        <w:trPr>
          <w:trHeight w:val="638" w:hRule="exact"/>
          <w:jc w:val="center"/>
        </w:trPr>
        <w:tc>
          <w:tcPr>
            <w:tcW w:w="825" w:type="dxa"/>
            <w:vMerge w:val="continue"/>
            <w:tcBorders>
              <w:left w:val="single" w:color="auto" w:sz="4" w:space="0"/>
            </w:tcBorders>
            <w:shd w:val="clear" w:color="auto" w:fill="FFFFFF"/>
            <w:vAlign w:val="center"/>
          </w:tcPr>
          <w:p w14:paraId="7CB9A4EE">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14:paraId="6F2B5CFE">
            <w:pPr>
              <w:jc w:val="left"/>
              <w:rPr>
                <w:rFonts w:eastAsia="Times New Roman"/>
                <w:color w:val="000000"/>
                <w:kern w:val="0"/>
                <w:sz w:val="24"/>
                <w:lang w:eastAsia="en-US" w:bidi="en-US"/>
              </w:rPr>
            </w:pPr>
          </w:p>
        </w:tc>
        <w:tc>
          <w:tcPr>
            <w:tcW w:w="811" w:type="dxa"/>
            <w:tcBorders>
              <w:top w:val="single" w:color="auto" w:sz="4" w:space="0"/>
              <w:left w:val="single" w:color="auto" w:sz="4" w:space="0"/>
            </w:tcBorders>
            <w:shd w:val="clear" w:color="auto" w:fill="FFFFFF"/>
            <w:vAlign w:val="center"/>
          </w:tcPr>
          <w:p w14:paraId="04BF7D87">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资金到位</w:t>
            </w:r>
          </w:p>
          <w:p w14:paraId="5EFD8C8A">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（4分）</w:t>
            </w:r>
          </w:p>
        </w:tc>
        <w:tc>
          <w:tcPr>
            <w:tcW w:w="1073" w:type="dxa"/>
            <w:tcBorders>
              <w:top w:val="single" w:color="auto" w:sz="4" w:space="0"/>
              <w:left w:val="single" w:color="auto" w:sz="4" w:space="0"/>
            </w:tcBorders>
            <w:shd w:val="clear" w:color="auto" w:fill="FFFFFF"/>
            <w:vAlign w:val="center"/>
          </w:tcPr>
          <w:p w14:paraId="3B7D697B">
            <w:pPr>
              <w:spacing w:line="203"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项目资金及时、足额到</w:t>
            </w:r>
            <w:r>
              <w:rPr>
                <w:rFonts w:ascii="宋体" w:hAnsi="宋体" w:cs="宋体"/>
                <w:color w:val="000000"/>
                <w:kern w:val="0"/>
                <w:sz w:val="14"/>
                <w:szCs w:val="14"/>
                <w:lang w:val="zh-CN" w:bidi="zh-CN"/>
              </w:rPr>
              <w:t>位.</w:t>
            </w:r>
          </w:p>
        </w:tc>
        <w:tc>
          <w:tcPr>
            <w:tcW w:w="1104" w:type="dxa"/>
            <w:tcBorders>
              <w:top w:val="single" w:color="auto" w:sz="4" w:space="0"/>
              <w:left w:val="single" w:color="auto" w:sz="4" w:space="0"/>
            </w:tcBorders>
            <w:shd w:val="clear" w:color="auto" w:fill="FFFFFF"/>
            <w:vAlign w:val="center"/>
          </w:tcPr>
          <w:p w14:paraId="031103EC">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4分</w:t>
            </w:r>
          </w:p>
        </w:tc>
        <w:tc>
          <w:tcPr>
            <w:tcW w:w="5392" w:type="dxa"/>
            <w:tcBorders>
              <w:top w:val="single" w:color="auto" w:sz="4" w:space="0"/>
              <w:left w:val="single" w:color="auto" w:sz="4" w:space="0"/>
            </w:tcBorders>
            <w:shd w:val="clear" w:color="auto" w:fill="FFFFFF"/>
            <w:vAlign w:val="center"/>
          </w:tcPr>
          <w:p w14:paraId="31EB817D">
            <w:pPr>
              <w:spacing w:line="20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资金到位及时足额，资金使用规范</w:t>
            </w:r>
            <w:r>
              <w:rPr>
                <w:rFonts w:ascii="宋体" w:hAnsi="宋体" w:cs="宋体"/>
                <w:color w:val="000000"/>
                <w:kern w:val="0"/>
                <w:sz w:val="14"/>
                <w:szCs w:val="14"/>
                <w:lang w:bidi="en-US"/>
              </w:rPr>
              <w:t>4-3.</w:t>
            </w:r>
            <w:r>
              <w:rPr>
                <w:rFonts w:ascii="宋体" w:hAnsi="宋体" w:cs="宋体"/>
                <w:color w:val="000000"/>
                <w:kern w:val="0"/>
                <w:sz w:val="14"/>
                <w:szCs w:val="14"/>
                <w:lang w:val="zh-TW" w:eastAsia="zh-TW" w:bidi="zh-TW"/>
              </w:rPr>
              <w:t>6分，比较及时，规范</w:t>
            </w:r>
            <w:r>
              <w:rPr>
                <w:rFonts w:ascii="宋体" w:hAnsi="宋体" w:cs="宋体"/>
                <w:color w:val="000000"/>
                <w:kern w:val="0"/>
                <w:sz w:val="14"/>
                <w:szCs w:val="14"/>
                <w:lang w:bidi="en-US"/>
              </w:rPr>
              <w:t>3.6-2.</w:t>
            </w:r>
            <w:r>
              <w:rPr>
                <w:rFonts w:ascii="宋体" w:hAnsi="宋体" w:cs="宋体"/>
                <w:color w:val="000000"/>
                <w:kern w:val="0"/>
                <w:sz w:val="14"/>
                <w:szCs w:val="14"/>
                <w:lang w:val="zh-TW" w:eastAsia="zh-TW" w:bidi="zh-TW"/>
              </w:rPr>
              <w:t>7分；基本到位，基本规范</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4分，不及时且没全部到位</w:t>
            </w:r>
            <w:r>
              <w:rPr>
                <w:rFonts w:ascii="宋体" w:hAnsi="宋体" w:cs="宋体"/>
                <w:color w:val="000000"/>
                <w:kern w:val="0"/>
                <w:sz w:val="14"/>
                <w:szCs w:val="14"/>
                <w:lang w:bidi="en-US"/>
              </w:rPr>
              <w:t>2.4-0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14:paraId="70C56046">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4.</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14:paraId="6CF3878F">
            <w:pPr>
              <w:jc w:val="left"/>
              <w:rPr>
                <w:rFonts w:eastAsia="Times New Roman"/>
                <w:color w:val="000000"/>
                <w:kern w:val="0"/>
                <w:sz w:val="10"/>
                <w:szCs w:val="10"/>
                <w:lang w:eastAsia="en-US" w:bidi="en-US"/>
              </w:rPr>
            </w:pPr>
          </w:p>
        </w:tc>
      </w:tr>
      <w:tr w14:paraId="513A117B">
        <w:tblPrEx>
          <w:tblCellMar>
            <w:top w:w="0" w:type="dxa"/>
            <w:left w:w="10" w:type="dxa"/>
            <w:bottom w:w="0" w:type="dxa"/>
            <w:right w:w="10" w:type="dxa"/>
          </w:tblCellMar>
        </w:tblPrEx>
        <w:trPr>
          <w:trHeight w:val="634" w:hRule="exact"/>
          <w:jc w:val="center"/>
        </w:trPr>
        <w:tc>
          <w:tcPr>
            <w:tcW w:w="825" w:type="dxa"/>
            <w:vMerge w:val="continue"/>
            <w:tcBorders>
              <w:left w:val="single" w:color="auto" w:sz="4" w:space="0"/>
            </w:tcBorders>
            <w:shd w:val="clear" w:color="auto" w:fill="FFFFFF"/>
            <w:vAlign w:val="center"/>
          </w:tcPr>
          <w:p w14:paraId="2F542D7A">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14:paraId="5596868B">
            <w:pPr>
              <w:jc w:val="left"/>
              <w:rPr>
                <w:rFonts w:eastAsia="Times New Roman"/>
                <w:color w:val="000000"/>
                <w:kern w:val="0"/>
                <w:sz w:val="24"/>
                <w:lang w:eastAsia="en-US" w:bidi="en-US"/>
              </w:rPr>
            </w:pPr>
          </w:p>
        </w:tc>
        <w:tc>
          <w:tcPr>
            <w:tcW w:w="811" w:type="dxa"/>
            <w:vMerge w:val="restart"/>
            <w:tcBorders>
              <w:top w:val="single" w:color="auto" w:sz="4" w:space="0"/>
              <w:left w:val="single" w:color="auto" w:sz="4" w:space="0"/>
            </w:tcBorders>
            <w:shd w:val="clear" w:color="auto" w:fill="FFFFFF"/>
            <w:vAlign w:val="center"/>
          </w:tcPr>
          <w:p w14:paraId="3360C229">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财务管理</w:t>
            </w:r>
          </w:p>
          <w:p w14:paraId="4FC0FE33">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（6分）</w:t>
            </w:r>
          </w:p>
        </w:tc>
        <w:tc>
          <w:tcPr>
            <w:tcW w:w="1073" w:type="dxa"/>
            <w:tcBorders>
              <w:top w:val="single" w:color="auto" w:sz="4" w:space="0"/>
              <w:left w:val="single" w:color="auto" w:sz="4" w:space="0"/>
            </w:tcBorders>
            <w:shd w:val="clear" w:color="auto" w:fill="FFFFFF"/>
            <w:vAlign w:val="center"/>
          </w:tcPr>
          <w:p w14:paraId="4A7C60F8">
            <w:pPr>
              <w:spacing w:line="198"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1、财务制度健全、执行严格；</w:t>
            </w:r>
          </w:p>
        </w:tc>
        <w:tc>
          <w:tcPr>
            <w:tcW w:w="1104" w:type="dxa"/>
            <w:tcBorders>
              <w:top w:val="single" w:color="auto" w:sz="4" w:space="0"/>
              <w:left w:val="single" w:color="auto" w:sz="4" w:space="0"/>
            </w:tcBorders>
            <w:shd w:val="clear" w:color="auto" w:fill="FFFFFF"/>
            <w:vAlign w:val="center"/>
          </w:tcPr>
          <w:p w14:paraId="0D4EA983">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92" w:type="dxa"/>
            <w:tcBorders>
              <w:top w:val="single" w:color="auto" w:sz="4" w:space="0"/>
              <w:left w:val="single" w:color="auto" w:sz="4" w:space="0"/>
            </w:tcBorders>
            <w:shd w:val="clear" w:color="auto" w:fill="FFFFFF"/>
            <w:vAlign w:val="center"/>
          </w:tcPr>
          <w:p w14:paraId="03285196">
            <w:pPr>
              <w:spacing w:line="196"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财务制度健全、执行</w:t>
            </w:r>
            <w:r>
              <w:rPr>
                <w:rFonts w:hint="eastAsia" w:ascii="宋体" w:hAnsi="宋体" w:cs="宋体"/>
                <w:color w:val="000000"/>
                <w:kern w:val="0"/>
                <w:sz w:val="14"/>
                <w:szCs w:val="14"/>
                <w:lang w:val="zh-TW" w:bidi="zh-TW"/>
              </w:rPr>
              <w:t>严格</w:t>
            </w:r>
            <w:r>
              <w:rPr>
                <w:rFonts w:ascii="宋体" w:hAnsi="宋体" w:cs="宋体"/>
                <w:color w:val="000000"/>
                <w:kern w:val="0"/>
                <w:sz w:val="14"/>
                <w:szCs w:val="14"/>
                <w:lang w:bidi="en-US"/>
              </w:rPr>
              <w:t>3-2.</w:t>
            </w:r>
            <w:r>
              <w:rPr>
                <w:rFonts w:ascii="宋体" w:hAnsi="宋体" w:cs="宋体"/>
                <w:color w:val="000000"/>
                <w:kern w:val="0"/>
                <w:sz w:val="14"/>
                <w:szCs w:val="14"/>
                <w:lang w:val="zh-TW" w:eastAsia="zh-TW" w:bidi="zh-TW"/>
              </w:rPr>
              <w:t>7分：财务制度较健全、执行较严格</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w:t>
            </w:r>
            <w:r>
              <w:rPr>
                <w:rFonts w:hint="eastAsia" w:ascii="宋体" w:hAnsi="宋体" w:cs="宋体"/>
                <w:color w:val="000000"/>
                <w:kern w:val="0"/>
                <w:sz w:val="14"/>
                <w:szCs w:val="14"/>
                <w:lang w:bidi="zh-TW"/>
              </w:rPr>
              <w:t>财</w:t>
            </w:r>
            <w:r>
              <w:rPr>
                <w:rFonts w:ascii="宋体" w:hAnsi="宋体" w:cs="宋体"/>
                <w:color w:val="000000"/>
                <w:kern w:val="0"/>
                <w:sz w:val="14"/>
                <w:szCs w:val="14"/>
                <w:lang w:val="zh-TW" w:eastAsia="zh-TW" w:bidi="zh-TW"/>
              </w:rPr>
              <w:t>务制度基本健全、执行基本严格</w:t>
            </w:r>
            <w:r>
              <w:rPr>
                <w:rFonts w:ascii="宋体" w:hAnsi="宋体" w:cs="宋体"/>
                <w:color w:val="000000"/>
                <w:kern w:val="0"/>
                <w:sz w:val="14"/>
                <w:szCs w:val="14"/>
                <w:lang w:bidi="en-US"/>
              </w:rPr>
              <w:t>2.2</w:t>
            </w:r>
            <w:r>
              <w:rPr>
                <w:rFonts w:hint="eastAsia" w:ascii="宋体" w:hAnsi="宋体" w:cs="宋体"/>
                <w:color w:val="000000"/>
                <w:kern w:val="0"/>
                <w:sz w:val="14"/>
                <w:szCs w:val="14"/>
                <w:lang w:bidi="en-US"/>
              </w:rPr>
              <w:t>-1</w:t>
            </w:r>
            <w:r>
              <w:rPr>
                <w:rFonts w:ascii="宋体" w:hAnsi="宋体" w:cs="宋体"/>
                <w:color w:val="000000"/>
                <w:kern w:val="0"/>
                <w:sz w:val="14"/>
                <w:szCs w:val="14"/>
                <w:lang w:bidi="en-US"/>
              </w:rPr>
              <w:t>.</w:t>
            </w:r>
            <w:r>
              <w:rPr>
                <w:rFonts w:ascii="宋体" w:hAnsi="宋体" w:cs="宋体"/>
                <w:color w:val="000000"/>
                <w:kern w:val="0"/>
                <w:sz w:val="14"/>
                <w:szCs w:val="14"/>
                <w:lang w:val="zh-TW" w:eastAsia="zh-TW" w:bidi="zh-TW"/>
              </w:rPr>
              <w:t>8：财务制度不健全、执行不严格</w:t>
            </w:r>
            <w:r>
              <w:rPr>
                <w:rFonts w:ascii="宋体" w:hAnsi="宋体" w:cs="宋体"/>
                <w:color w:val="000000"/>
                <w:kern w:val="0"/>
                <w:sz w:val="14"/>
                <w:szCs w:val="14"/>
                <w:lang w:bidi="en-US"/>
              </w:rPr>
              <w:t>1.8-0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14:paraId="11035A75">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3.</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14:paraId="1E4029F7">
            <w:pPr>
              <w:jc w:val="left"/>
              <w:rPr>
                <w:rFonts w:eastAsia="Times New Roman"/>
                <w:color w:val="000000"/>
                <w:kern w:val="0"/>
                <w:sz w:val="10"/>
                <w:szCs w:val="10"/>
                <w:lang w:eastAsia="en-US" w:bidi="en-US"/>
              </w:rPr>
            </w:pPr>
          </w:p>
        </w:tc>
      </w:tr>
      <w:tr w14:paraId="508A4B57">
        <w:tblPrEx>
          <w:tblCellMar>
            <w:top w:w="0" w:type="dxa"/>
            <w:left w:w="10" w:type="dxa"/>
            <w:bottom w:w="0" w:type="dxa"/>
            <w:right w:w="10" w:type="dxa"/>
          </w:tblCellMar>
        </w:tblPrEx>
        <w:trPr>
          <w:trHeight w:val="457" w:hRule="exact"/>
          <w:jc w:val="center"/>
        </w:trPr>
        <w:tc>
          <w:tcPr>
            <w:tcW w:w="825" w:type="dxa"/>
            <w:vMerge w:val="continue"/>
            <w:tcBorders>
              <w:left w:val="single" w:color="auto" w:sz="4" w:space="0"/>
            </w:tcBorders>
            <w:shd w:val="clear" w:color="auto" w:fill="FFFFFF"/>
            <w:vAlign w:val="center"/>
          </w:tcPr>
          <w:p w14:paraId="3C47B1EB">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14:paraId="54CCFC84">
            <w:pPr>
              <w:jc w:val="left"/>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14:paraId="27E31F12">
            <w:pPr>
              <w:jc w:val="left"/>
              <w:rPr>
                <w:rFonts w:eastAsia="Times New Roman"/>
                <w:color w:val="000000"/>
                <w:kern w:val="0"/>
                <w:sz w:val="24"/>
                <w:lang w:eastAsia="en-US" w:bidi="en-US"/>
              </w:rPr>
            </w:pPr>
          </w:p>
        </w:tc>
        <w:tc>
          <w:tcPr>
            <w:tcW w:w="1073" w:type="dxa"/>
            <w:tcBorders>
              <w:top w:val="single" w:color="auto" w:sz="4" w:space="0"/>
              <w:left w:val="single" w:color="auto" w:sz="4" w:space="0"/>
            </w:tcBorders>
            <w:shd w:val="clear" w:color="auto" w:fill="FFFFFF"/>
            <w:vAlign w:val="center"/>
          </w:tcPr>
          <w:p w14:paraId="56AAA30B">
            <w:pPr>
              <w:spacing w:line="21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2、会计核算规范。</w:t>
            </w:r>
          </w:p>
        </w:tc>
        <w:tc>
          <w:tcPr>
            <w:tcW w:w="1104" w:type="dxa"/>
            <w:tcBorders>
              <w:top w:val="single" w:color="auto" w:sz="4" w:space="0"/>
              <w:left w:val="single" w:color="auto" w:sz="4" w:space="0"/>
            </w:tcBorders>
            <w:shd w:val="clear" w:color="auto" w:fill="FFFFFF"/>
            <w:vAlign w:val="center"/>
          </w:tcPr>
          <w:p w14:paraId="7DEE5F5B">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92" w:type="dxa"/>
            <w:tcBorders>
              <w:top w:val="single" w:color="auto" w:sz="4" w:space="0"/>
              <w:left w:val="single" w:color="auto" w:sz="4" w:space="0"/>
            </w:tcBorders>
            <w:shd w:val="clear" w:color="auto" w:fill="FFFFFF"/>
          </w:tcPr>
          <w:p w14:paraId="2DC6E823">
            <w:pPr>
              <w:spacing w:line="21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会计核算规范</w:t>
            </w:r>
            <w:r>
              <w:rPr>
                <w:rFonts w:ascii="宋体" w:hAnsi="宋体" w:cs="宋体"/>
                <w:color w:val="000000"/>
                <w:kern w:val="0"/>
                <w:sz w:val="14"/>
                <w:szCs w:val="14"/>
                <w:lang w:bidi="en-US"/>
              </w:rPr>
              <w:t>3-2.</w:t>
            </w:r>
            <w:r>
              <w:rPr>
                <w:rFonts w:ascii="宋体" w:hAnsi="宋体" w:cs="宋体"/>
                <w:color w:val="000000"/>
                <w:kern w:val="0"/>
                <w:sz w:val="14"/>
                <w:szCs w:val="14"/>
                <w:lang w:val="zh-TW" w:eastAsia="zh-TW" w:bidi="zh-TW"/>
              </w:rPr>
              <w:t>7分：会计核算较规范</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2分；会计核算基本规范</w:t>
            </w:r>
            <w:r>
              <w:rPr>
                <w:rFonts w:ascii="宋体" w:hAnsi="宋体" w:cs="宋体"/>
                <w:color w:val="000000"/>
                <w:kern w:val="0"/>
                <w:sz w:val="14"/>
                <w:szCs w:val="14"/>
                <w:lang w:bidi="en-US"/>
              </w:rPr>
              <w:t>2.2-1.</w:t>
            </w:r>
            <w:r>
              <w:rPr>
                <w:rFonts w:ascii="宋体" w:hAnsi="宋体" w:cs="宋体"/>
                <w:color w:val="000000"/>
                <w:kern w:val="0"/>
                <w:sz w:val="14"/>
                <w:szCs w:val="14"/>
                <w:lang w:val="zh-TW" w:eastAsia="zh-TW" w:bidi="zh-TW"/>
              </w:rPr>
              <w:t>8分；会计核算不规范</w:t>
            </w:r>
            <w:r>
              <w:rPr>
                <w:rFonts w:ascii="宋体" w:hAnsi="宋体" w:cs="宋体"/>
                <w:color w:val="000000"/>
                <w:kern w:val="0"/>
                <w:sz w:val="14"/>
                <w:szCs w:val="14"/>
                <w:lang w:bidi="en-US"/>
              </w:rPr>
              <w:t>1.8-0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14:paraId="369D83B6">
            <w:pPr>
              <w:ind w:firstLine="420"/>
              <w:jc w:val="left"/>
              <w:rPr>
                <w:rFonts w:ascii="宋体" w:hAnsi="宋体" w:eastAsia="PMingLiU" w:cs="宋体"/>
                <w:color w:val="000000"/>
                <w:kern w:val="0"/>
                <w:sz w:val="14"/>
                <w:szCs w:val="14"/>
                <w:lang w:val="zh-TW" w:bidi="zh-TW"/>
              </w:rPr>
            </w:pPr>
            <w:r>
              <w:rPr>
                <w:rFonts w:ascii="宋体" w:hAnsi="宋体" w:cs="宋体"/>
                <w:color w:val="000000"/>
                <w:kern w:val="0"/>
                <w:sz w:val="14"/>
                <w:szCs w:val="14"/>
                <w:lang w:eastAsia="en-US" w:bidi="en-US"/>
              </w:rPr>
              <w:t>3</w:t>
            </w:r>
            <w:r>
              <w:rPr>
                <w:rFonts w:ascii="宋体" w:hAnsi="宋体" w:cs="宋体"/>
                <w:color w:val="000000"/>
                <w:kern w:val="0"/>
                <w:sz w:val="14"/>
                <w:szCs w:val="14"/>
                <w:lang w:bidi="en-US"/>
              </w:rPr>
              <w:t>.00</w:t>
            </w:r>
          </w:p>
        </w:tc>
        <w:tc>
          <w:tcPr>
            <w:tcW w:w="2824" w:type="dxa"/>
            <w:tcBorders>
              <w:top w:val="single" w:color="auto" w:sz="4" w:space="0"/>
              <w:left w:val="single" w:color="auto" w:sz="4" w:space="0"/>
              <w:right w:val="single" w:color="auto" w:sz="4" w:space="0"/>
            </w:tcBorders>
            <w:shd w:val="clear" w:color="auto" w:fill="FFFFFF"/>
          </w:tcPr>
          <w:p w14:paraId="155E3C80">
            <w:pPr>
              <w:jc w:val="left"/>
              <w:rPr>
                <w:rFonts w:eastAsia="Times New Roman"/>
                <w:color w:val="000000"/>
                <w:kern w:val="0"/>
                <w:sz w:val="10"/>
                <w:szCs w:val="10"/>
                <w:lang w:eastAsia="en-US" w:bidi="en-US"/>
              </w:rPr>
            </w:pPr>
          </w:p>
        </w:tc>
      </w:tr>
      <w:tr w14:paraId="3933B043">
        <w:tblPrEx>
          <w:tblCellMar>
            <w:top w:w="0" w:type="dxa"/>
            <w:left w:w="10" w:type="dxa"/>
            <w:bottom w:w="0" w:type="dxa"/>
            <w:right w:w="10" w:type="dxa"/>
          </w:tblCellMar>
        </w:tblPrEx>
        <w:trPr>
          <w:trHeight w:val="607" w:hRule="exact"/>
          <w:jc w:val="center"/>
        </w:trPr>
        <w:tc>
          <w:tcPr>
            <w:tcW w:w="825" w:type="dxa"/>
            <w:vMerge w:val="continue"/>
            <w:tcBorders>
              <w:left w:val="single" w:color="auto" w:sz="4" w:space="0"/>
            </w:tcBorders>
            <w:shd w:val="clear" w:color="auto" w:fill="FFFFFF"/>
            <w:vAlign w:val="center"/>
          </w:tcPr>
          <w:p w14:paraId="558B3BCD">
            <w:pPr>
              <w:jc w:val="left"/>
              <w:rPr>
                <w:rFonts w:eastAsia="Times New Roman"/>
                <w:color w:val="000000"/>
                <w:kern w:val="0"/>
                <w:sz w:val="24"/>
                <w:lang w:eastAsia="en-US" w:bidi="en-US"/>
              </w:rPr>
            </w:pPr>
          </w:p>
        </w:tc>
        <w:tc>
          <w:tcPr>
            <w:tcW w:w="830" w:type="dxa"/>
            <w:vMerge w:val="restart"/>
            <w:tcBorders>
              <w:top w:val="single" w:color="auto" w:sz="4" w:space="0"/>
              <w:left w:val="single" w:color="auto" w:sz="4" w:space="0"/>
            </w:tcBorders>
            <w:shd w:val="clear" w:color="auto" w:fill="FFFFFF"/>
            <w:vAlign w:val="center"/>
          </w:tcPr>
          <w:p w14:paraId="311625E3">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项目实施（15分）</w:t>
            </w:r>
          </w:p>
        </w:tc>
        <w:tc>
          <w:tcPr>
            <w:tcW w:w="811" w:type="dxa"/>
            <w:tcBorders>
              <w:top w:val="single" w:color="auto" w:sz="4" w:space="0"/>
              <w:left w:val="single" w:color="auto" w:sz="4" w:space="0"/>
            </w:tcBorders>
            <w:shd w:val="clear" w:color="auto" w:fill="FFFFFF"/>
            <w:vAlign w:val="center"/>
          </w:tcPr>
          <w:p w14:paraId="45D11FE1">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组织机构</w:t>
            </w:r>
          </w:p>
          <w:p w14:paraId="35A762E6">
            <w:pPr>
              <w:ind w:firstLine="16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（4分）</w:t>
            </w:r>
          </w:p>
        </w:tc>
        <w:tc>
          <w:tcPr>
            <w:tcW w:w="1073" w:type="dxa"/>
            <w:tcBorders>
              <w:top w:val="single" w:color="auto" w:sz="4" w:space="0"/>
              <w:left w:val="single" w:color="auto" w:sz="4" w:space="0"/>
            </w:tcBorders>
            <w:shd w:val="clear" w:color="auto" w:fill="FFFFFF"/>
            <w:vAlign w:val="center"/>
          </w:tcPr>
          <w:p w14:paraId="4F6961CC">
            <w:pPr>
              <w:spacing w:line="20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执行机构健全、人员分工明确。</w:t>
            </w:r>
          </w:p>
        </w:tc>
        <w:tc>
          <w:tcPr>
            <w:tcW w:w="1104" w:type="dxa"/>
            <w:tcBorders>
              <w:top w:val="single" w:color="auto" w:sz="4" w:space="0"/>
              <w:left w:val="single" w:color="auto" w:sz="4" w:space="0"/>
            </w:tcBorders>
            <w:shd w:val="clear" w:color="auto" w:fill="FFFFFF"/>
            <w:vAlign w:val="center"/>
          </w:tcPr>
          <w:p w14:paraId="785BCFCC">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4分</w:t>
            </w:r>
          </w:p>
        </w:tc>
        <w:tc>
          <w:tcPr>
            <w:tcW w:w="5392" w:type="dxa"/>
            <w:tcBorders>
              <w:top w:val="single" w:color="auto" w:sz="4" w:space="0"/>
              <w:left w:val="single" w:color="auto" w:sz="4" w:space="0"/>
            </w:tcBorders>
            <w:shd w:val="clear" w:color="auto" w:fill="FFFFFF"/>
            <w:vAlign w:val="center"/>
          </w:tcPr>
          <w:p w14:paraId="3834E1C8">
            <w:pPr>
              <w:spacing w:line="196"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项目管理、执行机构健全、人员分工明确4-3.6分，较健全、分工较明确3.6-2.7分；基本健全、分工基本明确2.7-2.4分，不健全、分工不明确2.4-0分</w:t>
            </w:r>
          </w:p>
        </w:tc>
        <w:tc>
          <w:tcPr>
            <w:tcW w:w="1165" w:type="dxa"/>
            <w:tcBorders>
              <w:top w:val="single" w:color="auto" w:sz="4" w:space="0"/>
              <w:left w:val="single" w:color="auto" w:sz="4" w:space="0"/>
            </w:tcBorders>
            <w:shd w:val="clear" w:color="auto" w:fill="FFFFFF"/>
            <w:vAlign w:val="center"/>
          </w:tcPr>
          <w:p w14:paraId="161B2253">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4.</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14:paraId="08CF1E7F">
            <w:pPr>
              <w:jc w:val="left"/>
              <w:rPr>
                <w:rFonts w:eastAsia="Times New Roman"/>
                <w:color w:val="000000"/>
                <w:kern w:val="0"/>
                <w:sz w:val="10"/>
                <w:szCs w:val="10"/>
                <w:lang w:eastAsia="en-US" w:bidi="en-US"/>
              </w:rPr>
            </w:pPr>
          </w:p>
        </w:tc>
      </w:tr>
      <w:tr w14:paraId="2038C3CE">
        <w:tblPrEx>
          <w:tblCellMar>
            <w:top w:w="0" w:type="dxa"/>
            <w:left w:w="10" w:type="dxa"/>
            <w:bottom w:w="0" w:type="dxa"/>
            <w:right w:w="10" w:type="dxa"/>
          </w:tblCellMar>
        </w:tblPrEx>
        <w:trPr>
          <w:trHeight w:val="438" w:hRule="exact"/>
          <w:jc w:val="center"/>
        </w:trPr>
        <w:tc>
          <w:tcPr>
            <w:tcW w:w="825" w:type="dxa"/>
            <w:vMerge w:val="continue"/>
            <w:tcBorders>
              <w:left w:val="single" w:color="auto" w:sz="4" w:space="0"/>
            </w:tcBorders>
            <w:shd w:val="clear" w:color="auto" w:fill="FFFFFF"/>
            <w:vAlign w:val="center"/>
          </w:tcPr>
          <w:p w14:paraId="0B3D8884">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14:paraId="5619F5F2">
            <w:pPr>
              <w:jc w:val="left"/>
              <w:rPr>
                <w:rFonts w:eastAsia="Times New Roman"/>
                <w:color w:val="000000"/>
                <w:kern w:val="0"/>
                <w:sz w:val="24"/>
                <w:lang w:eastAsia="en-US" w:bidi="en-US"/>
              </w:rPr>
            </w:pPr>
          </w:p>
        </w:tc>
        <w:tc>
          <w:tcPr>
            <w:tcW w:w="811" w:type="dxa"/>
            <w:vMerge w:val="restart"/>
            <w:tcBorders>
              <w:top w:val="single" w:color="auto" w:sz="4" w:space="0"/>
              <w:left w:val="single" w:color="auto" w:sz="4" w:space="0"/>
            </w:tcBorders>
            <w:shd w:val="clear" w:color="auto" w:fill="FFFFFF"/>
            <w:vAlign w:val="center"/>
          </w:tcPr>
          <w:p w14:paraId="45A09035">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制度建设</w:t>
            </w:r>
          </w:p>
          <w:p w14:paraId="032FB341">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1073" w:type="dxa"/>
            <w:tcBorders>
              <w:top w:val="single" w:color="auto" w:sz="4" w:space="0"/>
              <w:left w:val="single" w:color="auto" w:sz="4" w:space="0"/>
            </w:tcBorders>
            <w:shd w:val="clear" w:color="auto" w:fill="FFFFFF"/>
            <w:vAlign w:val="center"/>
          </w:tcPr>
          <w:p w14:paraId="5425F911">
            <w:pPr>
              <w:spacing w:line="205"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项目管理制度健全；</w:t>
            </w:r>
          </w:p>
        </w:tc>
        <w:tc>
          <w:tcPr>
            <w:tcW w:w="1104" w:type="dxa"/>
            <w:tcBorders>
              <w:top w:val="single" w:color="auto" w:sz="4" w:space="0"/>
              <w:left w:val="single" w:color="auto" w:sz="4" w:space="0"/>
            </w:tcBorders>
            <w:shd w:val="clear" w:color="auto" w:fill="FFFFFF"/>
            <w:vAlign w:val="center"/>
          </w:tcPr>
          <w:p w14:paraId="6E4F94F5">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92" w:type="dxa"/>
            <w:tcBorders>
              <w:top w:val="single" w:color="auto" w:sz="4" w:space="0"/>
              <w:left w:val="single" w:color="auto" w:sz="4" w:space="0"/>
            </w:tcBorders>
            <w:shd w:val="clear" w:color="auto" w:fill="FFFFFF"/>
          </w:tcPr>
          <w:p w14:paraId="2C48BFBE">
            <w:pPr>
              <w:spacing w:line="210" w:lineRule="exact"/>
              <w:jc w:val="left"/>
              <w:rPr>
                <w:rFonts w:ascii="宋体" w:hAnsi="宋体" w:cs="宋体"/>
                <w:color w:val="000000"/>
                <w:kern w:val="0"/>
                <w:sz w:val="14"/>
                <w:szCs w:val="14"/>
                <w:lang w:bidi="zh-TW"/>
              </w:rPr>
            </w:pPr>
            <w:r>
              <w:rPr>
                <w:rFonts w:ascii="宋体" w:hAnsi="宋体" w:cs="宋体"/>
                <w:color w:val="000000"/>
                <w:kern w:val="0"/>
                <w:sz w:val="14"/>
                <w:szCs w:val="14"/>
                <w:lang w:val="zh-TW" w:eastAsia="zh-TW" w:bidi="zh-TW"/>
              </w:rPr>
              <w:t>项目管理制度健全</w:t>
            </w:r>
            <w:r>
              <w:rPr>
                <w:rFonts w:ascii="宋体" w:hAnsi="宋体" w:cs="宋体"/>
                <w:color w:val="000000"/>
                <w:kern w:val="0"/>
                <w:sz w:val="14"/>
                <w:szCs w:val="14"/>
                <w:lang w:bidi="en-US"/>
              </w:rPr>
              <w:t>3-2.</w:t>
            </w:r>
            <w:r>
              <w:rPr>
                <w:rFonts w:ascii="宋体" w:hAnsi="宋体" w:cs="宋体"/>
                <w:color w:val="000000"/>
                <w:kern w:val="0"/>
                <w:sz w:val="14"/>
                <w:szCs w:val="14"/>
                <w:lang w:val="zh-TW" w:eastAsia="zh-TW" w:bidi="zh-TW"/>
              </w:rPr>
              <w:t>7分：</w:t>
            </w:r>
            <w:r>
              <w:rPr>
                <w:rFonts w:hint="eastAsia" w:ascii="宋体" w:hAnsi="宋体" w:cs="宋体"/>
                <w:color w:val="000000"/>
                <w:kern w:val="0"/>
                <w:sz w:val="14"/>
                <w:szCs w:val="14"/>
                <w:lang w:val="zh-TW" w:bidi="zh-TW"/>
              </w:rPr>
              <w:t>项目</w:t>
            </w:r>
            <w:r>
              <w:rPr>
                <w:rFonts w:ascii="宋体" w:hAnsi="宋体" w:cs="宋体"/>
                <w:color w:val="000000"/>
                <w:kern w:val="0"/>
                <w:sz w:val="14"/>
                <w:szCs w:val="14"/>
                <w:lang w:val="zh-CN" w:bidi="zh-CN"/>
              </w:rPr>
              <w:t>管</w:t>
            </w:r>
            <w:r>
              <w:rPr>
                <w:rFonts w:ascii="宋体" w:hAnsi="宋体" w:cs="宋体"/>
                <w:color w:val="000000"/>
                <w:kern w:val="0"/>
                <w:sz w:val="14"/>
                <w:szCs w:val="14"/>
                <w:lang w:val="zh-TW" w:eastAsia="zh-TW" w:bidi="zh-TW"/>
              </w:rPr>
              <w:t>理制度较健全</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2分；项目管理制度基本健全</w:t>
            </w:r>
            <w:r>
              <w:rPr>
                <w:rFonts w:hint="eastAsia" w:ascii="宋体" w:hAnsi="宋体" w:cs="宋体"/>
                <w:color w:val="000000"/>
                <w:kern w:val="0"/>
                <w:sz w:val="14"/>
                <w:szCs w:val="14"/>
                <w:lang w:bidi="zh-TW"/>
              </w:rPr>
              <w:t>2.7-2.4分，项目管理制度不健全2.4-0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14:paraId="74E423A0">
            <w:pPr>
              <w:ind w:firstLine="420"/>
              <w:jc w:val="left"/>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2.</w:t>
            </w:r>
            <w:r>
              <w:rPr>
                <w:rFonts w:ascii="宋体" w:hAnsi="宋体" w:eastAsia="PMingLiU" w:cs="宋体"/>
                <w:color w:val="000000"/>
                <w:kern w:val="0"/>
                <w:sz w:val="14"/>
                <w:szCs w:val="14"/>
                <w:lang w:val="zh-TW" w:eastAsia="zh-TW" w:bidi="zh-TW"/>
              </w:rPr>
              <w:t>50</w:t>
            </w:r>
          </w:p>
        </w:tc>
        <w:tc>
          <w:tcPr>
            <w:tcW w:w="2824" w:type="dxa"/>
            <w:tcBorders>
              <w:top w:val="single" w:color="auto" w:sz="4" w:space="0"/>
              <w:left w:val="single" w:color="auto" w:sz="4" w:space="0"/>
              <w:right w:val="single" w:color="auto" w:sz="4" w:space="0"/>
            </w:tcBorders>
            <w:shd w:val="clear" w:color="auto" w:fill="FFFFFF"/>
            <w:vAlign w:val="center"/>
          </w:tcPr>
          <w:p w14:paraId="07A3A374">
            <w:pPr>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项目层面的</w:t>
            </w:r>
            <w:r>
              <w:rPr>
                <w:rFonts w:ascii="宋体" w:hAnsi="宋体" w:cs="宋体"/>
                <w:color w:val="000000"/>
                <w:kern w:val="0"/>
                <w:sz w:val="14"/>
                <w:szCs w:val="14"/>
                <w:lang w:val="zh-TW" w:eastAsia="zh-TW" w:bidi="zh-TW"/>
              </w:rPr>
              <w:t>管理制度可进一步完善</w:t>
            </w:r>
          </w:p>
        </w:tc>
      </w:tr>
      <w:tr w14:paraId="5EB589BC">
        <w:tblPrEx>
          <w:tblCellMar>
            <w:top w:w="0" w:type="dxa"/>
            <w:left w:w="10" w:type="dxa"/>
            <w:bottom w:w="0" w:type="dxa"/>
            <w:right w:w="10" w:type="dxa"/>
          </w:tblCellMar>
        </w:tblPrEx>
        <w:trPr>
          <w:trHeight w:val="553" w:hRule="exact"/>
          <w:jc w:val="center"/>
        </w:trPr>
        <w:tc>
          <w:tcPr>
            <w:tcW w:w="825" w:type="dxa"/>
            <w:vMerge w:val="continue"/>
            <w:tcBorders>
              <w:left w:val="single" w:color="auto" w:sz="4" w:space="0"/>
            </w:tcBorders>
            <w:shd w:val="clear" w:color="auto" w:fill="FFFFFF"/>
            <w:vAlign w:val="center"/>
          </w:tcPr>
          <w:p w14:paraId="52062931">
            <w:pPr>
              <w:jc w:val="left"/>
              <w:rPr>
                <w:rFonts w:eastAsia="Times New Roman"/>
                <w:color w:val="000000"/>
                <w:kern w:val="0"/>
                <w:sz w:val="24"/>
                <w:lang w:bidi="en-US"/>
              </w:rPr>
            </w:pPr>
          </w:p>
        </w:tc>
        <w:tc>
          <w:tcPr>
            <w:tcW w:w="830" w:type="dxa"/>
            <w:vMerge w:val="continue"/>
            <w:tcBorders>
              <w:left w:val="single" w:color="auto" w:sz="4" w:space="0"/>
            </w:tcBorders>
            <w:shd w:val="clear" w:color="auto" w:fill="FFFFFF"/>
            <w:vAlign w:val="center"/>
          </w:tcPr>
          <w:p w14:paraId="4BA013E7">
            <w:pPr>
              <w:jc w:val="left"/>
              <w:rPr>
                <w:rFonts w:eastAsia="Times New Roman"/>
                <w:color w:val="000000"/>
                <w:kern w:val="0"/>
                <w:sz w:val="24"/>
                <w:lang w:bidi="en-US"/>
              </w:rPr>
            </w:pPr>
          </w:p>
        </w:tc>
        <w:tc>
          <w:tcPr>
            <w:tcW w:w="811" w:type="dxa"/>
            <w:vMerge w:val="continue"/>
            <w:tcBorders>
              <w:left w:val="single" w:color="auto" w:sz="4" w:space="0"/>
            </w:tcBorders>
            <w:shd w:val="clear" w:color="auto" w:fill="FFFFFF"/>
            <w:vAlign w:val="center"/>
          </w:tcPr>
          <w:p w14:paraId="58540371">
            <w:pPr>
              <w:jc w:val="left"/>
              <w:rPr>
                <w:rFonts w:eastAsia="Times New Roman"/>
                <w:color w:val="000000"/>
                <w:kern w:val="0"/>
                <w:sz w:val="24"/>
                <w:lang w:bidi="en-US"/>
              </w:rPr>
            </w:pPr>
          </w:p>
        </w:tc>
        <w:tc>
          <w:tcPr>
            <w:tcW w:w="1073" w:type="dxa"/>
            <w:tcBorders>
              <w:top w:val="single" w:color="auto" w:sz="4" w:space="0"/>
              <w:left w:val="single" w:color="auto" w:sz="4" w:space="0"/>
            </w:tcBorders>
            <w:shd w:val="clear" w:color="auto" w:fill="FFFFFF"/>
            <w:vAlign w:val="center"/>
          </w:tcPr>
          <w:p w14:paraId="4BC929DB">
            <w:pPr>
              <w:spacing w:line="199" w:lineRule="exact"/>
              <w:ind w:right="-187" w:rightChars="-89"/>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制定了科学的实施方案或实施计划。</w:t>
            </w:r>
          </w:p>
        </w:tc>
        <w:tc>
          <w:tcPr>
            <w:tcW w:w="1104" w:type="dxa"/>
            <w:tcBorders>
              <w:top w:val="single" w:color="auto" w:sz="4" w:space="0"/>
              <w:left w:val="single" w:color="auto" w:sz="4" w:space="0"/>
            </w:tcBorders>
            <w:shd w:val="clear" w:color="auto" w:fill="FFFFFF"/>
            <w:vAlign w:val="center"/>
          </w:tcPr>
          <w:p w14:paraId="71CB23ED">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92" w:type="dxa"/>
            <w:tcBorders>
              <w:top w:val="single" w:color="auto" w:sz="4" w:space="0"/>
              <w:left w:val="single" w:color="auto" w:sz="4" w:space="0"/>
            </w:tcBorders>
            <w:shd w:val="clear" w:color="auto" w:fill="FFFFFF"/>
            <w:vAlign w:val="center"/>
          </w:tcPr>
          <w:p w14:paraId="12503269">
            <w:pPr>
              <w:spacing w:line="205"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实施方案科学合理</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分：实施方案较科学合理</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5分，实施方案基本科学合理</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2分，实施方案不科学不合理</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14:paraId="4B46E794">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2.00</w:t>
            </w:r>
          </w:p>
        </w:tc>
        <w:tc>
          <w:tcPr>
            <w:tcW w:w="2824" w:type="dxa"/>
            <w:tcBorders>
              <w:top w:val="single" w:color="auto" w:sz="4" w:space="0"/>
              <w:left w:val="single" w:color="auto" w:sz="4" w:space="0"/>
              <w:right w:val="single" w:color="auto" w:sz="4" w:space="0"/>
            </w:tcBorders>
            <w:shd w:val="clear" w:color="auto" w:fill="FFFFFF"/>
            <w:vAlign w:val="center"/>
          </w:tcPr>
          <w:p w14:paraId="422F874E">
            <w:pPr>
              <w:jc w:val="left"/>
              <w:rPr>
                <w:rFonts w:ascii="宋体" w:hAnsi="宋体" w:cs="宋体"/>
                <w:color w:val="000000"/>
                <w:kern w:val="0"/>
                <w:sz w:val="14"/>
                <w:szCs w:val="14"/>
                <w:lang w:val="zh-TW" w:eastAsia="zh-TW" w:bidi="zh-TW"/>
              </w:rPr>
            </w:pPr>
          </w:p>
        </w:tc>
      </w:tr>
      <w:tr w14:paraId="616F8BD9">
        <w:tblPrEx>
          <w:tblCellMar>
            <w:top w:w="0" w:type="dxa"/>
            <w:left w:w="10" w:type="dxa"/>
            <w:bottom w:w="0" w:type="dxa"/>
            <w:right w:w="10" w:type="dxa"/>
          </w:tblCellMar>
        </w:tblPrEx>
        <w:trPr>
          <w:trHeight w:val="573" w:hRule="exact"/>
          <w:jc w:val="center"/>
        </w:trPr>
        <w:tc>
          <w:tcPr>
            <w:tcW w:w="825" w:type="dxa"/>
            <w:vMerge w:val="continue"/>
            <w:tcBorders>
              <w:left w:val="single" w:color="auto" w:sz="4" w:space="0"/>
            </w:tcBorders>
            <w:shd w:val="clear" w:color="auto" w:fill="FFFFFF"/>
            <w:vAlign w:val="center"/>
          </w:tcPr>
          <w:p w14:paraId="19802748">
            <w:pPr>
              <w:jc w:val="left"/>
              <w:rPr>
                <w:rFonts w:eastAsia="Times New Roman"/>
                <w:color w:val="000000"/>
                <w:kern w:val="0"/>
                <w:sz w:val="24"/>
                <w:lang w:bidi="en-US"/>
              </w:rPr>
            </w:pPr>
          </w:p>
        </w:tc>
        <w:tc>
          <w:tcPr>
            <w:tcW w:w="830" w:type="dxa"/>
            <w:vMerge w:val="continue"/>
            <w:tcBorders>
              <w:left w:val="single" w:color="auto" w:sz="4" w:space="0"/>
            </w:tcBorders>
            <w:shd w:val="clear" w:color="auto" w:fill="FFFFFF"/>
            <w:vAlign w:val="center"/>
          </w:tcPr>
          <w:p w14:paraId="691DDACF">
            <w:pPr>
              <w:jc w:val="left"/>
              <w:rPr>
                <w:rFonts w:eastAsia="Times New Roman"/>
                <w:color w:val="000000"/>
                <w:kern w:val="0"/>
                <w:sz w:val="24"/>
                <w:lang w:bidi="en-US"/>
              </w:rPr>
            </w:pPr>
          </w:p>
        </w:tc>
        <w:tc>
          <w:tcPr>
            <w:tcW w:w="811" w:type="dxa"/>
            <w:vMerge w:val="restart"/>
            <w:tcBorders>
              <w:top w:val="single" w:color="auto" w:sz="4" w:space="0"/>
              <w:left w:val="single" w:color="auto" w:sz="4" w:space="0"/>
            </w:tcBorders>
            <w:shd w:val="clear" w:color="auto" w:fill="FFFFFF"/>
            <w:vAlign w:val="center"/>
          </w:tcPr>
          <w:p w14:paraId="2CD24826">
            <w:pPr>
              <w:spacing w:line="191"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过程控制</w:t>
            </w:r>
          </w:p>
          <w:p w14:paraId="3C847D20">
            <w:pPr>
              <w:spacing w:line="191"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（6分）</w:t>
            </w:r>
          </w:p>
        </w:tc>
        <w:tc>
          <w:tcPr>
            <w:tcW w:w="1073" w:type="dxa"/>
            <w:tcBorders>
              <w:top w:val="single" w:color="auto" w:sz="4" w:space="0"/>
              <w:left w:val="single" w:color="auto" w:sz="4" w:space="0"/>
            </w:tcBorders>
            <w:shd w:val="clear" w:color="auto" w:fill="FFFFFF"/>
            <w:vAlign w:val="center"/>
          </w:tcPr>
          <w:p w14:paraId="201D2E39">
            <w:pPr>
              <w:spacing w:line="200" w:lineRule="exact"/>
              <w:jc w:val="center"/>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val="zh-TW" w:eastAsia="zh-TW" w:bidi="zh-TW"/>
              </w:rPr>
              <w:t>严格执行与</w:t>
            </w:r>
            <w:r>
              <w:rPr>
                <w:rFonts w:hint="eastAsia" w:ascii="宋体" w:hAnsi="宋体" w:cs="宋体"/>
                <w:color w:val="000000"/>
                <w:kern w:val="0"/>
                <w:sz w:val="14"/>
                <w:szCs w:val="14"/>
                <w:lang w:val="zh-TW" w:bidi="zh-TW"/>
              </w:rPr>
              <w:t>项目</w:t>
            </w:r>
            <w:r>
              <w:rPr>
                <w:rFonts w:ascii="宋体" w:hAnsi="宋体" w:cs="宋体"/>
                <w:color w:val="000000"/>
                <w:kern w:val="0"/>
                <w:sz w:val="14"/>
                <w:szCs w:val="14"/>
                <w:lang w:val="zh-TW" w:eastAsia="zh-TW" w:bidi="zh-TW"/>
              </w:rPr>
              <w:t>相关的各种法</w:t>
            </w:r>
            <w:r>
              <w:rPr>
                <w:rFonts w:hint="eastAsia" w:ascii="宋体" w:hAnsi="宋体" w:cs="宋体"/>
                <w:color w:val="000000"/>
                <w:kern w:val="0"/>
                <w:sz w:val="14"/>
                <w:szCs w:val="14"/>
                <w:lang w:val="zh-TW" w:bidi="zh-TW"/>
              </w:rPr>
              <w:t>律</w:t>
            </w:r>
            <w:r>
              <w:rPr>
                <w:rFonts w:ascii="宋体" w:hAnsi="宋体" w:cs="宋体"/>
                <w:color w:val="000000"/>
                <w:kern w:val="0"/>
                <w:sz w:val="14"/>
                <w:szCs w:val="14"/>
                <w:lang w:val="zh-TW" w:eastAsia="zh-TW" w:bidi="zh-TW"/>
              </w:rPr>
              <w:t>、法规、</w:t>
            </w:r>
          </w:p>
        </w:tc>
        <w:tc>
          <w:tcPr>
            <w:tcW w:w="1104" w:type="dxa"/>
            <w:tcBorders>
              <w:top w:val="single" w:color="auto" w:sz="4" w:space="0"/>
              <w:left w:val="single" w:color="auto" w:sz="4" w:space="0"/>
            </w:tcBorders>
            <w:shd w:val="clear" w:color="auto" w:fill="FFFFFF"/>
            <w:vAlign w:val="center"/>
          </w:tcPr>
          <w:p w14:paraId="37EB9B1D">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1分</w:t>
            </w:r>
          </w:p>
        </w:tc>
        <w:tc>
          <w:tcPr>
            <w:tcW w:w="5392" w:type="dxa"/>
            <w:tcBorders>
              <w:top w:val="single" w:color="auto" w:sz="4" w:space="0"/>
              <w:left w:val="single" w:color="auto" w:sz="4" w:space="0"/>
            </w:tcBorders>
            <w:shd w:val="clear" w:color="auto" w:fill="FFFFFF"/>
            <w:vAlign w:val="center"/>
          </w:tcPr>
          <w:p w14:paraId="18E2D848">
            <w:pPr>
              <w:spacing w:line="191"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严格执行与项目相关的各种法律、法规、制度</w:t>
            </w:r>
            <w:r>
              <w:rPr>
                <w:rFonts w:ascii="宋体" w:hAnsi="宋体" w:cs="宋体"/>
                <w:color w:val="000000"/>
                <w:kern w:val="0"/>
                <w:sz w:val="14"/>
                <w:szCs w:val="14"/>
                <w:lang w:bidi="en-US"/>
              </w:rPr>
              <w:t>1-0.9</w:t>
            </w:r>
            <w:r>
              <w:rPr>
                <w:rFonts w:ascii="宋体" w:hAnsi="宋体" w:cs="宋体"/>
                <w:color w:val="000000"/>
                <w:kern w:val="0"/>
                <w:sz w:val="14"/>
                <w:szCs w:val="14"/>
                <w:lang w:val="zh-TW" w:eastAsia="zh-TW" w:bidi="zh-TW"/>
              </w:rPr>
              <w:t>分，较严格执行</w:t>
            </w:r>
            <w:r>
              <w:rPr>
                <w:rFonts w:ascii="宋体" w:hAnsi="宋体" w:cs="宋体"/>
                <w:color w:val="000000"/>
                <w:kern w:val="0"/>
                <w:sz w:val="14"/>
                <w:szCs w:val="14"/>
                <w:lang w:bidi="en-US"/>
              </w:rPr>
              <w:t>0.9-0.8</w:t>
            </w:r>
            <w:r>
              <w:rPr>
                <w:rFonts w:ascii="宋体" w:hAnsi="宋体" w:cs="宋体"/>
                <w:color w:val="000000"/>
                <w:kern w:val="0"/>
                <w:sz w:val="14"/>
                <w:szCs w:val="14"/>
                <w:lang w:val="zh-TW" w:eastAsia="zh-TW" w:bidi="zh-TW"/>
              </w:rPr>
              <w:t>分，基本执行</w:t>
            </w:r>
            <w:r>
              <w:rPr>
                <w:rFonts w:ascii="宋体" w:hAnsi="宋体" w:cs="宋体"/>
                <w:color w:val="000000"/>
                <w:kern w:val="0"/>
                <w:sz w:val="14"/>
                <w:szCs w:val="14"/>
                <w:lang w:bidi="en-US"/>
              </w:rPr>
              <w:t>0.8-0.6</w:t>
            </w:r>
            <w:r>
              <w:rPr>
                <w:rFonts w:ascii="宋体" w:hAnsi="宋体" w:cs="宋体"/>
                <w:color w:val="000000"/>
                <w:kern w:val="0"/>
                <w:sz w:val="14"/>
                <w:szCs w:val="14"/>
                <w:lang w:val="zh-TW" w:eastAsia="zh-TW" w:bidi="zh-TW"/>
              </w:rPr>
              <w:t>分，未执行0.6-0分</w:t>
            </w:r>
          </w:p>
        </w:tc>
        <w:tc>
          <w:tcPr>
            <w:tcW w:w="1165" w:type="dxa"/>
            <w:tcBorders>
              <w:top w:val="single" w:color="auto" w:sz="4" w:space="0"/>
              <w:left w:val="single" w:color="auto" w:sz="4" w:space="0"/>
            </w:tcBorders>
            <w:shd w:val="clear" w:color="auto" w:fill="FFFFFF"/>
            <w:vAlign w:val="center"/>
          </w:tcPr>
          <w:p w14:paraId="3BE8AC0D">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14:paraId="163953A8">
            <w:pPr>
              <w:jc w:val="left"/>
              <w:rPr>
                <w:rFonts w:eastAsia="Times New Roman"/>
                <w:color w:val="000000"/>
                <w:kern w:val="0"/>
                <w:sz w:val="10"/>
                <w:szCs w:val="10"/>
                <w:lang w:eastAsia="en-US" w:bidi="en-US"/>
              </w:rPr>
            </w:pPr>
          </w:p>
        </w:tc>
      </w:tr>
      <w:tr w14:paraId="1959858E">
        <w:tblPrEx>
          <w:tblCellMar>
            <w:top w:w="0" w:type="dxa"/>
            <w:left w:w="10" w:type="dxa"/>
            <w:bottom w:w="0" w:type="dxa"/>
            <w:right w:w="10" w:type="dxa"/>
          </w:tblCellMar>
        </w:tblPrEx>
        <w:trPr>
          <w:trHeight w:val="629" w:hRule="exact"/>
          <w:jc w:val="center"/>
        </w:trPr>
        <w:tc>
          <w:tcPr>
            <w:tcW w:w="825" w:type="dxa"/>
            <w:vMerge w:val="continue"/>
            <w:tcBorders>
              <w:left w:val="single" w:color="auto" w:sz="4" w:space="0"/>
            </w:tcBorders>
            <w:shd w:val="clear" w:color="auto" w:fill="FFFFFF"/>
            <w:vAlign w:val="center"/>
          </w:tcPr>
          <w:p w14:paraId="1E78DF45">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14:paraId="1A26577A">
            <w:pPr>
              <w:jc w:val="left"/>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14:paraId="32FCC8CE">
            <w:pPr>
              <w:jc w:val="left"/>
              <w:rPr>
                <w:rFonts w:eastAsia="Times New Roman"/>
                <w:color w:val="000000"/>
                <w:kern w:val="0"/>
                <w:sz w:val="24"/>
                <w:lang w:eastAsia="en-US" w:bidi="en-US"/>
              </w:rPr>
            </w:pPr>
          </w:p>
        </w:tc>
        <w:tc>
          <w:tcPr>
            <w:tcW w:w="1073" w:type="dxa"/>
            <w:tcBorders>
              <w:top w:val="single" w:color="auto" w:sz="4" w:space="0"/>
              <w:left w:val="single" w:color="auto" w:sz="4" w:space="0"/>
            </w:tcBorders>
            <w:shd w:val="clear" w:color="auto" w:fill="FFFFFF"/>
            <w:vAlign w:val="center"/>
          </w:tcPr>
          <w:p w14:paraId="16C0BCF7">
            <w:pPr>
              <w:spacing w:line="203"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2、严格执行实施方案或实施</w:t>
            </w:r>
            <w:r>
              <w:rPr>
                <w:rFonts w:hint="eastAsia" w:ascii="宋体" w:hAnsi="宋体" w:cs="宋体"/>
                <w:color w:val="000000"/>
                <w:kern w:val="0"/>
                <w:sz w:val="14"/>
                <w:szCs w:val="14"/>
                <w:lang w:val="zh-TW" w:bidi="zh-TW"/>
              </w:rPr>
              <w:t>计划</w:t>
            </w:r>
            <w:r>
              <w:rPr>
                <w:rFonts w:ascii="宋体" w:hAnsi="宋体" w:cs="宋体"/>
                <w:color w:val="000000"/>
                <w:kern w:val="0"/>
                <w:sz w:val="14"/>
                <w:szCs w:val="14"/>
                <w:lang w:val="zh-TW" w:eastAsia="zh-TW" w:bidi="zh-TW"/>
              </w:rPr>
              <w:t>；</w:t>
            </w:r>
          </w:p>
        </w:tc>
        <w:tc>
          <w:tcPr>
            <w:tcW w:w="1104" w:type="dxa"/>
            <w:tcBorders>
              <w:top w:val="single" w:color="auto" w:sz="4" w:space="0"/>
              <w:left w:val="single" w:color="auto" w:sz="4" w:space="0"/>
            </w:tcBorders>
            <w:shd w:val="clear" w:color="auto" w:fill="FFFFFF"/>
            <w:vAlign w:val="center"/>
          </w:tcPr>
          <w:p w14:paraId="4F43C877">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1分</w:t>
            </w:r>
          </w:p>
        </w:tc>
        <w:tc>
          <w:tcPr>
            <w:tcW w:w="5392" w:type="dxa"/>
            <w:tcBorders>
              <w:top w:val="single" w:color="auto" w:sz="4" w:space="0"/>
              <w:left w:val="single" w:color="auto" w:sz="4" w:space="0"/>
            </w:tcBorders>
            <w:shd w:val="clear" w:color="auto" w:fill="FFFFFF"/>
            <w:vAlign w:val="center"/>
          </w:tcPr>
          <w:p w14:paraId="63A8A59E">
            <w:pPr>
              <w:spacing w:after="40"/>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严格执行</w:t>
            </w:r>
            <w:r>
              <w:rPr>
                <w:rFonts w:ascii="宋体" w:hAnsi="宋体" w:cs="宋体"/>
                <w:color w:val="000000"/>
                <w:kern w:val="0"/>
                <w:sz w:val="14"/>
                <w:szCs w:val="14"/>
                <w:lang w:val="zh-TW" w:eastAsia="zh-TW" w:bidi="zh-TW"/>
              </w:rPr>
              <w:t>实施方案或实施计划</w:t>
            </w:r>
            <w:r>
              <w:rPr>
                <w:rFonts w:ascii="宋体" w:hAnsi="宋体" w:cs="宋体"/>
                <w:color w:val="000000"/>
                <w:kern w:val="0"/>
                <w:sz w:val="14"/>
                <w:szCs w:val="14"/>
                <w:lang w:bidi="en-US"/>
              </w:rPr>
              <w:t>1-0.</w:t>
            </w:r>
            <w:r>
              <w:rPr>
                <w:rFonts w:ascii="宋体" w:hAnsi="宋体" w:cs="宋体"/>
                <w:color w:val="000000"/>
                <w:kern w:val="0"/>
                <w:sz w:val="14"/>
                <w:szCs w:val="14"/>
                <w:lang w:val="zh-TW" w:eastAsia="zh-TW" w:bidi="zh-TW"/>
              </w:rPr>
              <w:t>9分，较严格执行</w:t>
            </w:r>
            <w:r>
              <w:rPr>
                <w:rFonts w:ascii="宋体" w:hAnsi="宋体" w:cs="宋体"/>
                <w:color w:val="000000"/>
                <w:kern w:val="0"/>
                <w:sz w:val="14"/>
                <w:szCs w:val="14"/>
                <w:lang w:bidi="en-US"/>
              </w:rPr>
              <w:t>0.9-0.</w:t>
            </w:r>
            <w:r>
              <w:rPr>
                <w:rFonts w:ascii="宋体" w:hAnsi="宋体" w:cs="宋体"/>
                <w:color w:val="000000"/>
                <w:kern w:val="0"/>
                <w:sz w:val="14"/>
                <w:szCs w:val="14"/>
                <w:lang w:val="zh-TW" w:eastAsia="zh-TW" w:bidi="zh-TW"/>
              </w:rPr>
              <w:t>8分.基本执行</w:t>
            </w:r>
            <w:r>
              <w:rPr>
                <w:rFonts w:ascii="宋体" w:hAnsi="宋体" w:cs="宋体"/>
                <w:color w:val="000000"/>
                <w:kern w:val="0"/>
                <w:sz w:val="14"/>
                <w:szCs w:val="14"/>
                <w:lang w:bidi="en-US"/>
              </w:rPr>
              <w:t>0.8-0.</w:t>
            </w:r>
            <w:r>
              <w:rPr>
                <w:rFonts w:ascii="宋体" w:hAnsi="宋体" w:cs="宋体"/>
                <w:color w:val="000000"/>
                <w:kern w:val="0"/>
                <w:sz w:val="14"/>
                <w:szCs w:val="14"/>
                <w:lang w:val="zh-TW" w:eastAsia="zh-TW" w:bidi="zh-TW"/>
              </w:rPr>
              <w:t>6分，未执行0.6-0分</w:t>
            </w:r>
          </w:p>
        </w:tc>
        <w:tc>
          <w:tcPr>
            <w:tcW w:w="1165" w:type="dxa"/>
            <w:tcBorders>
              <w:top w:val="single" w:color="auto" w:sz="4" w:space="0"/>
              <w:left w:val="single" w:color="auto" w:sz="4" w:space="0"/>
            </w:tcBorders>
            <w:shd w:val="clear" w:color="auto" w:fill="FFFFFF"/>
            <w:vAlign w:val="center"/>
          </w:tcPr>
          <w:p w14:paraId="72389DDF">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1.00</w:t>
            </w:r>
          </w:p>
        </w:tc>
        <w:tc>
          <w:tcPr>
            <w:tcW w:w="2824" w:type="dxa"/>
            <w:tcBorders>
              <w:top w:val="single" w:color="auto" w:sz="4" w:space="0"/>
              <w:left w:val="single" w:color="auto" w:sz="4" w:space="0"/>
              <w:right w:val="single" w:color="auto" w:sz="4" w:space="0"/>
            </w:tcBorders>
            <w:shd w:val="clear" w:color="auto" w:fill="FFFFFF"/>
          </w:tcPr>
          <w:p w14:paraId="741F6E21">
            <w:pPr>
              <w:jc w:val="left"/>
              <w:rPr>
                <w:rFonts w:eastAsia="Times New Roman"/>
                <w:color w:val="000000"/>
                <w:kern w:val="0"/>
                <w:sz w:val="10"/>
                <w:szCs w:val="10"/>
                <w:lang w:eastAsia="en-US" w:bidi="en-US"/>
              </w:rPr>
            </w:pPr>
          </w:p>
        </w:tc>
      </w:tr>
      <w:tr w14:paraId="06A908F4">
        <w:tblPrEx>
          <w:tblCellMar>
            <w:top w:w="0" w:type="dxa"/>
            <w:left w:w="10" w:type="dxa"/>
            <w:bottom w:w="0" w:type="dxa"/>
            <w:right w:w="10" w:type="dxa"/>
          </w:tblCellMar>
        </w:tblPrEx>
        <w:trPr>
          <w:trHeight w:val="634" w:hRule="exact"/>
          <w:jc w:val="center"/>
        </w:trPr>
        <w:tc>
          <w:tcPr>
            <w:tcW w:w="825" w:type="dxa"/>
            <w:vMerge w:val="continue"/>
            <w:tcBorders>
              <w:left w:val="single" w:color="auto" w:sz="4" w:space="0"/>
            </w:tcBorders>
            <w:shd w:val="clear" w:color="auto" w:fill="FFFFFF"/>
            <w:vAlign w:val="center"/>
          </w:tcPr>
          <w:p w14:paraId="0B278057">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14:paraId="27035527">
            <w:pPr>
              <w:jc w:val="left"/>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14:paraId="0D96C8E1">
            <w:pPr>
              <w:jc w:val="left"/>
              <w:rPr>
                <w:rFonts w:eastAsia="Times New Roman"/>
                <w:color w:val="000000"/>
                <w:kern w:val="0"/>
                <w:sz w:val="24"/>
                <w:lang w:eastAsia="en-US" w:bidi="en-US"/>
              </w:rPr>
            </w:pPr>
          </w:p>
        </w:tc>
        <w:tc>
          <w:tcPr>
            <w:tcW w:w="1073" w:type="dxa"/>
            <w:tcBorders>
              <w:top w:val="single" w:color="auto" w:sz="4" w:space="0"/>
              <w:left w:val="single" w:color="auto" w:sz="4" w:space="0"/>
            </w:tcBorders>
            <w:shd w:val="clear" w:color="auto" w:fill="FFFFFF"/>
            <w:vAlign w:val="center"/>
          </w:tcPr>
          <w:p w14:paraId="4B079A3E">
            <w:pPr>
              <w:spacing w:line="20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项目管理方法科学、合理；</w:t>
            </w:r>
          </w:p>
        </w:tc>
        <w:tc>
          <w:tcPr>
            <w:tcW w:w="1104" w:type="dxa"/>
            <w:tcBorders>
              <w:top w:val="single" w:color="auto" w:sz="4" w:space="0"/>
              <w:left w:val="single" w:color="auto" w:sz="4" w:space="0"/>
            </w:tcBorders>
            <w:shd w:val="clear" w:color="auto" w:fill="FFFFFF"/>
            <w:vAlign w:val="center"/>
          </w:tcPr>
          <w:p w14:paraId="3E54AF1E">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92" w:type="dxa"/>
            <w:tcBorders>
              <w:top w:val="single" w:color="auto" w:sz="4" w:space="0"/>
              <w:left w:val="single" w:color="auto" w:sz="4" w:space="0"/>
            </w:tcBorders>
            <w:shd w:val="clear" w:color="auto" w:fill="FFFFFF"/>
            <w:vAlign w:val="center"/>
          </w:tcPr>
          <w:p w14:paraId="32152877">
            <w:pPr>
              <w:spacing w:line="200" w:lineRule="exact"/>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项目管理</w:t>
            </w:r>
            <w:r>
              <w:rPr>
                <w:rFonts w:ascii="宋体" w:hAnsi="宋体" w:cs="宋体"/>
                <w:color w:val="000000"/>
                <w:kern w:val="0"/>
                <w:sz w:val="14"/>
                <w:szCs w:val="14"/>
                <w:lang w:val="zh-TW" w:eastAsia="zh-TW" w:bidi="zh-TW"/>
              </w:rPr>
              <w:t>方法科学合理</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分；项目管理方法较科学合理</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w:t>
            </w:r>
            <w:r>
              <w:rPr>
                <w:rFonts w:hint="eastAsia" w:ascii="宋体" w:hAnsi="宋体" w:cs="宋体"/>
                <w:color w:val="000000"/>
                <w:kern w:val="0"/>
                <w:sz w:val="14"/>
                <w:szCs w:val="14"/>
                <w:lang w:val="zh-TW" w:bidi="zh-TW"/>
              </w:rPr>
              <w:t>，</w:t>
            </w:r>
            <w:r>
              <w:rPr>
                <w:rFonts w:ascii="宋体" w:hAnsi="宋体" w:cs="宋体"/>
                <w:color w:val="000000"/>
                <w:kern w:val="0"/>
                <w:sz w:val="14"/>
                <w:szCs w:val="14"/>
                <w:lang w:val="zh-TW" w:eastAsia="zh-TW" w:bidi="zh-TW"/>
              </w:rPr>
              <w:t>项目管理方法基本科学合理</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2分，项目管理方法不科学不合理</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14:paraId="36E74A2A">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2.00</w:t>
            </w:r>
          </w:p>
        </w:tc>
        <w:tc>
          <w:tcPr>
            <w:tcW w:w="2824" w:type="dxa"/>
            <w:tcBorders>
              <w:top w:val="single" w:color="auto" w:sz="4" w:space="0"/>
              <w:left w:val="single" w:color="auto" w:sz="4" w:space="0"/>
              <w:right w:val="single" w:color="auto" w:sz="4" w:space="0"/>
            </w:tcBorders>
            <w:shd w:val="clear" w:color="auto" w:fill="FFFFFF"/>
          </w:tcPr>
          <w:p w14:paraId="79D06361">
            <w:pPr>
              <w:jc w:val="left"/>
              <w:rPr>
                <w:rFonts w:eastAsia="Times New Roman"/>
                <w:color w:val="000000"/>
                <w:kern w:val="0"/>
                <w:sz w:val="10"/>
                <w:szCs w:val="10"/>
                <w:lang w:eastAsia="en-US" w:bidi="en-US"/>
              </w:rPr>
            </w:pPr>
          </w:p>
        </w:tc>
      </w:tr>
      <w:tr w14:paraId="2F47C252">
        <w:tblPrEx>
          <w:tblCellMar>
            <w:top w:w="0" w:type="dxa"/>
            <w:left w:w="10" w:type="dxa"/>
            <w:bottom w:w="0" w:type="dxa"/>
            <w:right w:w="10" w:type="dxa"/>
          </w:tblCellMar>
        </w:tblPrEx>
        <w:trPr>
          <w:trHeight w:val="1072" w:hRule="exact"/>
          <w:jc w:val="center"/>
        </w:trPr>
        <w:tc>
          <w:tcPr>
            <w:tcW w:w="825" w:type="dxa"/>
            <w:vMerge w:val="continue"/>
            <w:tcBorders>
              <w:left w:val="single" w:color="auto" w:sz="4" w:space="0"/>
              <w:bottom w:val="single" w:color="auto" w:sz="4" w:space="0"/>
            </w:tcBorders>
            <w:shd w:val="clear" w:color="auto" w:fill="FFFFFF"/>
            <w:vAlign w:val="center"/>
          </w:tcPr>
          <w:p w14:paraId="46D7357F">
            <w:pPr>
              <w:jc w:val="left"/>
              <w:rPr>
                <w:rFonts w:eastAsia="Times New Roman"/>
                <w:color w:val="000000"/>
                <w:kern w:val="0"/>
                <w:sz w:val="24"/>
                <w:lang w:eastAsia="en-US" w:bidi="en-US"/>
              </w:rPr>
            </w:pPr>
          </w:p>
        </w:tc>
        <w:tc>
          <w:tcPr>
            <w:tcW w:w="830" w:type="dxa"/>
            <w:vMerge w:val="continue"/>
            <w:tcBorders>
              <w:left w:val="single" w:color="auto" w:sz="4" w:space="0"/>
              <w:bottom w:val="single" w:color="auto" w:sz="4" w:space="0"/>
            </w:tcBorders>
            <w:shd w:val="clear" w:color="auto" w:fill="FFFFFF"/>
            <w:vAlign w:val="center"/>
          </w:tcPr>
          <w:p w14:paraId="63552BB3">
            <w:pPr>
              <w:jc w:val="left"/>
              <w:rPr>
                <w:rFonts w:eastAsia="Times New Roman"/>
                <w:color w:val="000000"/>
                <w:kern w:val="0"/>
                <w:sz w:val="24"/>
                <w:lang w:eastAsia="en-US" w:bidi="en-US"/>
              </w:rPr>
            </w:pPr>
          </w:p>
        </w:tc>
        <w:tc>
          <w:tcPr>
            <w:tcW w:w="811" w:type="dxa"/>
            <w:vMerge w:val="continue"/>
            <w:tcBorders>
              <w:left w:val="single" w:color="auto" w:sz="4" w:space="0"/>
              <w:bottom w:val="single" w:color="auto" w:sz="4" w:space="0"/>
            </w:tcBorders>
            <w:shd w:val="clear" w:color="auto" w:fill="FFFFFF"/>
            <w:vAlign w:val="center"/>
          </w:tcPr>
          <w:p w14:paraId="16351EA9">
            <w:pPr>
              <w:jc w:val="left"/>
              <w:rPr>
                <w:rFonts w:eastAsia="Times New Roman"/>
                <w:color w:val="000000"/>
                <w:kern w:val="0"/>
                <w:sz w:val="24"/>
                <w:lang w:eastAsia="en-US" w:bidi="en-US"/>
              </w:rPr>
            </w:pPr>
          </w:p>
        </w:tc>
        <w:tc>
          <w:tcPr>
            <w:tcW w:w="1073" w:type="dxa"/>
            <w:tcBorders>
              <w:top w:val="single" w:color="auto" w:sz="4" w:space="0"/>
              <w:left w:val="single" w:color="auto" w:sz="4" w:space="0"/>
              <w:bottom w:val="single" w:color="auto" w:sz="4" w:space="0"/>
            </w:tcBorders>
            <w:shd w:val="clear" w:color="auto" w:fill="FFFFFF"/>
            <w:vAlign w:val="center"/>
          </w:tcPr>
          <w:p w14:paraId="5D054126">
            <w:pPr>
              <w:spacing w:line="199"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4、项目管理过程中进行了指导监督并留相关</w:t>
            </w:r>
            <w:r>
              <w:rPr>
                <w:rFonts w:hint="eastAsia" w:ascii="宋体" w:hAnsi="宋体" w:cs="宋体"/>
                <w:color w:val="000000"/>
                <w:kern w:val="0"/>
                <w:sz w:val="14"/>
                <w:szCs w:val="14"/>
                <w:lang w:val="zh-TW" w:bidi="zh-TW"/>
              </w:rPr>
              <w:t>记录</w:t>
            </w:r>
            <w:r>
              <w:rPr>
                <w:rFonts w:ascii="宋体" w:hAnsi="宋体" w:cs="宋体"/>
                <w:color w:val="000000"/>
                <w:kern w:val="0"/>
                <w:sz w:val="14"/>
                <w:szCs w:val="14"/>
                <w:lang w:val="zh-TW" w:eastAsia="zh-TW" w:bidi="zh-TW"/>
              </w:rPr>
              <w:t>。</w:t>
            </w:r>
          </w:p>
        </w:tc>
        <w:tc>
          <w:tcPr>
            <w:tcW w:w="1104" w:type="dxa"/>
            <w:tcBorders>
              <w:top w:val="single" w:color="auto" w:sz="4" w:space="0"/>
              <w:left w:val="single" w:color="auto" w:sz="4" w:space="0"/>
              <w:bottom w:val="single" w:color="auto" w:sz="4" w:space="0"/>
            </w:tcBorders>
            <w:shd w:val="clear" w:color="auto" w:fill="FFFFFF"/>
            <w:vAlign w:val="center"/>
          </w:tcPr>
          <w:p w14:paraId="5D483DB2">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92" w:type="dxa"/>
            <w:tcBorders>
              <w:top w:val="single" w:color="auto" w:sz="4" w:space="0"/>
              <w:left w:val="single" w:color="auto" w:sz="4" w:space="0"/>
              <w:bottom w:val="single" w:color="auto" w:sz="4" w:space="0"/>
            </w:tcBorders>
            <w:shd w:val="clear" w:color="auto" w:fill="FFFFFF"/>
            <w:vAlign w:val="center"/>
          </w:tcPr>
          <w:p w14:paraId="5D5D0420">
            <w:pPr>
              <w:spacing w:line="198" w:lineRule="exact"/>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项目</w:t>
            </w:r>
            <w:r>
              <w:rPr>
                <w:rFonts w:ascii="宋体" w:hAnsi="宋体" w:cs="宋体"/>
                <w:color w:val="000000"/>
                <w:kern w:val="0"/>
                <w:sz w:val="14"/>
                <w:szCs w:val="14"/>
                <w:lang w:val="zh-TW" w:eastAsia="zh-TW" w:bidi="zh-TW"/>
              </w:rPr>
              <w:t>管理过程中做了详细指导、监督并留存相关记录</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分：做较详细</w:t>
            </w:r>
            <w:r>
              <w:rPr>
                <w:rFonts w:hint="eastAsia" w:ascii="宋体" w:hAnsi="宋体" w:cs="宋体"/>
                <w:color w:val="000000"/>
                <w:kern w:val="0"/>
                <w:sz w:val="14"/>
                <w:szCs w:val="14"/>
                <w:lang w:val="zh-TW" w:bidi="zh-TW"/>
              </w:rPr>
              <w:t>指导</w:t>
            </w:r>
            <w:r>
              <w:rPr>
                <w:rFonts w:ascii="宋体" w:hAnsi="宋体" w:cs="宋体"/>
                <w:color w:val="000000"/>
                <w:kern w:val="0"/>
                <w:sz w:val="14"/>
                <w:szCs w:val="14"/>
                <w:lang w:val="zh-TW" w:eastAsia="zh-TW" w:bidi="zh-TW"/>
              </w:rPr>
              <w:t>监督并留存相关</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5分，做了基本指导、监督并留存相关记录</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2分，未执行指导、监督，未留存相关记录</w:t>
            </w:r>
            <w:r>
              <w:rPr>
                <w:rFonts w:hint="eastAsia"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bottom w:val="single" w:color="auto" w:sz="4" w:space="0"/>
            </w:tcBorders>
            <w:shd w:val="clear" w:color="auto" w:fill="FFFFFF"/>
            <w:vAlign w:val="center"/>
          </w:tcPr>
          <w:p w14:paraId="35FDD5E9">
            <w:pPr>
              <w:tabs>
                <w:tab w:val="left" w:pos="1081"/>
              </w:tabs>
              <w:ind w:firstLine="340"/>
              <w:jc w:val="left"/>
              <w:rPr>
                <w:rFonts w:ascii="宋体" w:hAnsi="宋体" w:cs="宋体"/>
                <w:color w:val="000000"/>
                <w:kern w:val="0"/>
                <w:sz w:val="14"/>
                <w:szCs w:val="14"/>
                <w:lang w:bidi="en-US"/>
              </w:rPr>
            </w:pPr>
          </w:p>
          <w:p w14:paraId="7799B118">
            <w:pPr>
              <w:tabs>
                <w:tab w:val="left" w:pos="1081"/>
              </w:tabs>
              <w:ind w:firstLine="34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1.50</w:t>
            </w:r>
            <w:r>
              <w:rPr>
                <w:rFonts w:ascii="宋体" w:hAnsi="宋体" w:cs="宋体"/>
                <w:color w:val="000000"/>
                <w:kern w:val="0"/>
                <w:sz w:val="14"/>
                <w:szCs w:val="14"/>
                <w:lang w:val="zh-TW" w:eastAsia="zh-TW" w:bidi="zh-TW"/>
              </w:rPr>
              <w:tab/>
            </w:r>
          </w:p>
        </w:tc>
        <w:tc>
          <w:tcPr>
            <w:tcW w:w="2824" w:type="dxa"/>
            <w:tcBorders>
              <w:top w:val="single" w:color="auto" w:sz="4" w:space="0"/>
              <w:left w:val="single" w:color="auto" w:sz="4" w:space="0"/>
              <w:bottom w:val="single" w:color="auto" w:sz="4" w:space="0"/>
              <w:right w:val="single" w:color="auto" w:sz="4" w:space="0"/>
            </w:tcBorders>
            <w:shd w:val="clear" w:color="auto" w:fill="FFFFFF"/>
            <w:vAlign w:val="center"/>
          </w:tcPr>
          <w:p w14:paraId="425206B2">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过程资料</w:t>
            </w:r>
            <w:r>
              <w:rPr>
                <w:rFonts w:hint="eastAsia" w:ascii="宋体" w:hAnsi="宋体" w:cs="宋体"/>
                <w:color w:val="000000"/>
                <w:kern w:val="0"/>
                <w:sz w:val="14"/>
                <w:szCs w:val="14"/>
                <w:lang w:val="zh-TW" w:bidi="zh-TW"/>
              </w:rPr>
              <w:t>的完整性有所不足</w:t>
            </w:r>
          </w:p>
        </w:tc>
      </w:tr>
    </w:tbl>
    <w:p w14:paraId="623134A1">
      <w:pPr>
        <w:spacing w:line="1" w:lineRule="exact"/>
        <w:jc w:val="left"/>
        <w:rPr>
          <w:rFonts w:eastAsia="Times New Roman"/>
          <w:color w:val="000000"/>
          <w:kern w:val="0"/>
          <w:sz w:val="2"/>
          <w:szCs w:val="2"/>
          <w:lang w:bidi="en-US"/>
        </w:rPr>
      </w:pPr>
      <w:r>
        <w:rPr>
          <w:rFonts w:eastAsia="Times New Roman"/>
          <w:color w:val="000000"/>
          <w:kern w:val="0"/>
          <w:sz w:val="24"/>
          <w:lang w:bidi="en-US"/>
        </w:rPr>
        <w:br w:type="page"/>
      </w:r>
    </w:p>
    <w:p w14:paraId="5F945164">
      <w:pPr>
        <w:ind w:left="4440"/>
        <w:jc w:val="left"/>
        <w:rPr>
          <w:rFonts w:ascii="宋体" w:hAnsi="宋体" w:cs="宋体"/>
          <w:color w:val="000000"/>
          <w:kern w:val="0"/>
          <w:sz w:val="22"/>
          <w:lang w:val="zh-TW" w:eastAsia="zh-TW" w:bidi="zh-TW"/>
        </w:rPr>
      </w:pPr>
      <w:r>
        <w:rPr>
          <w:rFonts w:hint="eastAsia" w:ascii="宋体" w:hAnsi="宋体" w:cs="宋体"/>
          <w:color w:val="000000"/>
          <w:kern w:val="0"/>
          <w:sz w:val="22"/>
          <w:lang w:val="zh-TW" w:eastAsia="zh-TW" w:bidi="zh-TW"/>
        </w:rPr>
        <w:t>202</w:t>
      </w:r>
      <w:r>
        <w:rPr>
          <w:rFonts w:hint="eastAsia" w:ascii="宋体" w:hAnsi="宋体" w:cs="宋体"/>
          <w:color w:val="000000"/>
          <w:kern w:val="0"/>
          <w:sz w:val="22"/>
          <w:lang w:val="en-US" w:eastAsia="zh-CN" w:bidi="zh-TW"/>
        </w:rPr>
        <w:t>4</w:t>
      </w:r>
      <w:r>
        <w:rPr>
          <w:rFonts w:hint="eastAsia" w:ascii="宋体" w:hAnsi="宋体" w:cs="宋体"/>
          <w:color w:val="000000"/>
          <w:kern w:val="0"/>
          <w:sz w:val="22"/>
          <w:lang w:val="zh-TW" w:eastAsia="zh-TW" w:bidi="zh-TW"/>
        </w:rPr>
        <w:t>年密云检察院信息化运维费项目</w:t>
      </w:r>
      <w:r>
        <w:rPr>
          <w:rFonts w:ascii="宋体" w:hAnsi="宋体" w:cs="宋体"/>
          <w:color w:val="000000"/>
          <w:kern w:val="0"/>
          <w:sz w:val="22"/>
          <w:lang w:val="zh-TW" w:eastAsia="zh-TW" w:bidi="zh-TW"/>
        </w:rPr>
        <w:t>指标体系及打分情况表</w:t>
      </w:r>
    </w:p>
    <w:tbl>
      <w:tblPr>
        <w:tblStyle w:val="20"/>
        <w:tblW w:w="13767" w:type="dxa"/>
        <w:jc w:val="center"/>
        <w:tblLayout w:type="fixed"/>
        <w:tblCellMar>
          <w:top w:w="0" w:type="dxa"/>
          <w:left w:w="10" w:type="dxa"/>
          <w:bottom w:w="0" w:type="dxa"/>
          <w:right w:w="10" w:type="dxa"/>
        </w:tblCellMar>
      </w:tblPr>
      <w:tblGrid>
        <w:gridCol w:w="933"/>
        <w:gridCol w:w="811"/>
        <w:gridCol w:w="802"/>
        <w:gridCol w:w="883"/>
        <w:gridCol w:w="1091"/>
        <w:gridCol w:w="5375"/>
        <w:gridCol w:w="1164"/>
        <w:gridCol w:w="2708"/>
      </w:tblGrid>
      <w:tr w14:paraId="71F45738">
        <w:tblPrEx>
          <w:tblCellMar>
            <w:top w:w="0" w:type="dxa"/>
            <w:left w:w="10" w:type="dxa"/>
            <w:bottom w:w="0" w:type="dxa"/>
            <w:right w:w="10" w:type="dxa"/>
          </w:tblCellMar>
        </w:tblPrEx>
        <w:trPr>
          <w:trHeight w:val="421" w:hRule="exact"/>
          <w:jc w:val="center"/>
        </w:trPr>
        <w:tc>
          <w:tcPr>
            <w:tcW w:w="933" w:type="dxa"/>
            <w:tcBorders>
              <w:top w:val="single" w:color="auto" w:sz="4" w:space="0"/>
              <w:left w:val="single" w:color="auto" w:sz="4" w:space="0"/>
            </w:tcBorders>
            <w:shd w:val="clear" w:color="auto" w:fill="FFFFFF"/>
            <w:vAlign w:val="center"/>
          </w:tcPr>
          <w:p w14:paraId="29D47380">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一级指标</w:t>
            </w:r>
          </w:p>
        </w:tc>
        <w:tc>
          <w:tcPr>
            <w:tcW w:w="811" w:type="dxa"/>
            <w:tcBorders>
              <w:top w:val="single" w:color="auto" w:sz="4" w:space="0"/>
              <w:left w:val="single" w:color="auto" w:sz="4" w:space="0"/>
            </w:tcBorders>
            <w:shd w:val="clear" w:color="auto" w:fill="FFFFFF"/>
            <w:vAlign w:val="center"/>
          </w:tcPr>
          <w:p w14:paraId="6AE209EF">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bidi="zh-TW"/>
              </w:rPr>
              <w:t>二</w:t>
            </w:r>
            <w:r>
              <w:rPr>
                <w:rFonts w:ascii="宋体" w:hAnsi="宋体" w:cs="宋体"/>
                <w:color w:val="000000"/>
                <w:kern w:val="0"/>
                <w:sz w:val="14"/>
                <w:szCs w:val="14"/>
                <w:lang w:val="zh-TW" w:eastAsia="zh-TW" w:bidi="zh-TW"/>
              </w:rPr>
              <w:t>级指标</w:t>
            </w:r>
          </w:p>
        </w:tc>
        <w:tc>
          <w:tcPr>
            <w:tcW w:w="802" w:type="dxa"/>
            <w:tcBorders>
              <w:top w:val="single" w:color="auto" w:sz="4" w:space="0"/>
              <w:left w:val="single" w:color="auto" w:sz="4" w:space="0"/>
            </w:tcBorders>
            <w:shd w:val="clear" w:color="auto" w:fill="FFFFFF"/>
            <w:vAlign w:val="center"/>
          </w:tcPr>
          <w:p w14:paraId="2CC771FA">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三级指标</w:t>
            </w:r>
          </w:p>
        </w:tc>
        <w:tc>
          <w:tcPr>
            <w:tcW w:w="883" w:type="dxa"/>
            <w:tcBorders>
              <w:top w:val="single" w:color="auto" w:sz="4" w:space="0"/>
              <w:left w:val="single" w:color="auto" w:sz="4" w:space="0"/>
            </w:tcBorders>
            <w:shd w:val="clear" w:color="auto" w:fill="FFFFFF"/>
            <w:vAlign w:val="center"/>
          </w:tcPr>
          <w:p w14:paraId="4B6B9BB1">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四级指标</w:t>
            </w:r>
          </w:p>
        </w:tc>
        <w:tc>
          <w:tcPr>
            <w:tcW w:w="1091" w:type="dxa"/>
            <w:tcBorders>
              <w:top w:val="single" w:color="auto" w:sz="4" w:space="0"/>
              <w:left w:val="single" w:color="auto" w:sz="4" w:space="0"/>
            </w:tcBorders>
            <w:shd w:val="clear" w:color="auto" w:fill="FFFFFF"/>
            <w:vAlign w:val="center"/>
          </w:tcPr>
          <w:p w14:paraId="6127717D">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评分</w:t>
            </w:r>
          </w:p>
        </w:tc>
        <w:tc>
          <w:tcPr>
            <w:tcW w:w="5375" w:type="dxa"/>
            <w:tcBorders>
              <w:top w:val="single" w:color="auto" w:sz="4" w:space="0"/>
              <w:left w:val="single" w:color="auto" w:sz="4" w:space="0"/>
            </w:tcBorders>
            <w:shd w:val="clear" w:color="auto" w:fill="FFFFFF"/>
            <w:vAlign w:val="center"/>
          </w:tcPr>
          <w:p w14:paraId="64156DD5">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评价内容（标准）</w:t>
            </w:r>
          </w:p>
        </w:tc>
        <w:tc>
          <w:tcPr>
            <w:tcW w:w="1164" w:type="dxa"/>
            <w:tcBorders>
              <w:top w:val="single" w:color="auto" w:sz="4" w:space="0"/>
              <w:left w:val="single" w:color="auto" w:sz="4" w:space="0"/>
            </w:tcBorders>
            <w:shd w:val="clear" w:color="auto" w:fill="FFFFFF"/>
            <w:vAlign w:val="center"/>
          </w:tcPr>
          <w:p w14:paraId="48DB8FDF">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评价得分</w:t>
            </w:r>
          </w:p>
        </w:tc>
        <w:tc>
          <w:tcPr>
            <w:tcW w:w="2708" w:type="dxa"/>
            <w:tcBorders>
              <w:top w:val="single" w:color="auto" w:sz="4" w:space="0"/>
              <w:left w:val="single" w:color="auto" w:sz="4" w:space="0"/>
              <w:right w:val="single" w:color="auto" w:sz="4" w:space="0"/>
            </w:tcBorders>
            <w:shd w:val="clear" w:color="auto" w:fill="FFFFFF"/>
            <w:vAlign w:val="center"/>
          </w:tcPr>
          <w:p w14:paraId="377B8E95">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扣分原因</w:t>
            </w:r>
          </w:p>
        </w:tc>
      </w:tr>
      <w:tr w14:paraId="2325CBE0">
        <w:tblPrEx>
          <w:tblCellMar>
            <w:top w:w="0" w:type="dxa"/>
            <w:left w:w="10" w:type="dxa"/>
            <w:bottom w:w="0" w:type="dxa"/>
            <w:right w:w="10" w:type="dxa"/>
          </w:tblCellMar>
        </w:tblPrEx>
        <w:trPr>
          <w:trHeight w:val="675" w:hRule="exact"/>
          <w:jc w:val="center"/>
        </w:trPr>
        <w:tc>
          <w:tcPr>
            <w:tcW w:w="933" w:type="dxa"/>
            <w:vMerge w:val="restart"/>
            <w:tcBorders>
              <w:top w:val="single" w:color="auto" w:sz="4" w:space="0"/>
              <w:left w:val="single" w:color="auto" w:sz="4" w:space="0"/>
            </w:tcBorders>
            <w:shd w:val="clear" w:color="auto" w:fill="FFFFFF"/>
            <w:vAlign w:val="center"/>
          </w:tcPr>
          <w:p w14:paraId="07E0BF2A">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项目绩效</w:t>
            </w:r>
          </w:p>
          <w:p w14:paraId="50C0661B">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（55 分）</w:t>
            </w:r>
          </w:p>
        </w:tc>
        <w:tc>
          <w:tcPr>
            <w:tcW w:w="811" w:type="dxa"/>
            <w:vMerge w:val="restart"/>
            <w:tcBorders>
              <w:top w:val="single" w:color="auto" w:sz="4" w:space="0"/>
              <w:left w:val="single" w:color="auto" w:sz="4" w:space="0"/>
            </w:tcBorders>
            <w:shd w:val="clear" w:color="auto" w:fill="FFFFFF"/>
            <w:vAlign w:val="center"/>
          </w:tcPr>
          <w:p w14:paraId="4D739E30">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项目产出</w:t>
            </w:r>
          </w:p>
          <w:p w14:paraId="03DE6BA0">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（30 分）</w:t>
            </w:r>
          </w:p>
        </w:tc>
        <w:tc>
          <w:tcPr>
            <w:tcW w:w="802" w:type="dxa"/>
            <w:tcBorders>
              <w:top w:val="single" w:color="auto" w:sz="4" w:space="0"/>
              <w:left w:val="single" w:color="auto" w:sz="4" w:space="0"/>
            </w:tcBorders>
            <w:shd w:val="clear" w:color="auto" w:fill="FFFFFF"/>
            <w:vAlign w:val="center"/>
          </w:tcPr>
          <w:p w14:paraId="47ED8FEA">
            <w:pPr>
              <w:jc w:val="center"/>
              <w:rPr>
                <w:rFonts w:ascii="宋体" w:hAnsi="宋体" w:cs="宋体"/>
                <w:color w:val="000000"/>
                <w:kern w:val="0"/>
                <w:sz w:val="14"/>
                <w:szCs w:val="14"/>
                <w:lang w:val="zh-TW" w:bidi="zh-TW"/>
              </w:rPr>
            </w:pPr>
            <w:r>
              <w:rPr>
                <w:rFonts w:ascii="宋体" w:hAnsi="宋体" w:cs="宋体"/>
                <w:color w:val="000000"/>
                <w:kern w:val="0"/>
                <w:sz w:val="14"/>
                <w:szCs w:val="14"/>
                <w:lang w:val="zh-TW" w:eastAsia="zh-TW" w:bidi="zh-TW"/>
              </w:rPr>
              <w:t>产出数</w:t>
            </w:r>
            <w:r>
              <w:rPr>
                <w:rFonts w:hint="eastAsia" w:ascii="宋体" w:hAnsi="宋体" w:cs="宋体"/>
                <w:color w:val="000000"/>
                <w:kern w:val="0"/>
                <w:sz w:val="14"/>
                <w:szCs w:val="14"/>
                <w:lang w:val="zh-TW" w:bidi="zh-TW"/>
              </w:rPr>
              <w:t>量</w:t>
            </w:r>
          </w:p>
          <w:p w14:paraId="0F0DB077">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（10 分）</w:t>
            </w:r>
          </w:p>
        </w:tc>
        <w:tc>
          <w:tcPr>
            <w:tcW w:w="883" w:type="dxa"/>
            <w:tcBorders>
              <w:top w:val="single" w:color="auto" w:sz="4" w:space="0"/>
              <w:left w:val="single" w:color="auto" w:sz="4" w:space="0"/>
            </w:tcBorders>
            <w:shd w:val="clear" w:color="auto" w:fill="FFFFFF"/>
            <w:vAlign w:val="center"/>
          </w:tcPr>
          <w:p w14:paraId="736E1AF9">
            <w:pPr>
              <w:spacing w:line="167" w:lineRule="exact"/>
              <w:jc w:val="center"/>
              <w:rPr>
                <w:rFonts w:ascii="宋体" w:hAnsi="宋体" w:cs="宋体"/>
                <w:color w:val="000000"/>
                <w:kern w:val="0"/>
                <w:sz w:val="12"/>
                <w:szCs w:val="12"/>
                <w:lang w:val="zh-TW" w:eastAsia="zh-TW" w:bidi="zh-TW"/>
              </w:rPr>
            </w:pPr>
            <w:r>
              <w:rPr>
                <w:rFonts w:ascii="宋体" w:hAnsi="宋体" w:cs="宋体"/>
                <w:color w:val="000000"/>
                <w:kern w:val="0"/>
                <w:sz w:val="14"/>
                <w:szCs w:val="14"/>
                <w:lang w:val="zh-TW" w:eastAsia="zh-TW" w:bidi="zh-TW"/>
              </w:rPr>
              <w:t xml:space="preserve">项目产出数 </w:t>
            </w:r>
            <w:r>
              <w:rPr>
                <w:rFonts w:hint="eastAsia" w:ascii="宋体" w:hAnsi="宋体" w:cs="宋体"/>
                <w:color w:val="000000"/>
                <w:kern w:val="0"/>
                <w:sz w:val="14"/>
                <w:szCs w:val="14"/>
                <w:lang w:val="zh-TW" w:bidi="zh-TW"/>
              </w:rPr>
              <w:t>量</w:t>
            </w:r>
            <w:r>
              <w:rPr>
                <w:rFonts w:ascii="宋体" w:hAnsi="宋体" w:cs="宋体"/>
                <w:color w:val="000000"/>
                <w:kern w:val="0"/>
                <w:sz w:val="14"/>
                <w:szCs w:val="14"/>
                <w:lang w:val="zh-TW" w:eastAsia="zh-TW" w:bidi="zh-TW"/>
              </w:rPr>
              <w:t>达到项</w:t>
            </w: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申报时的</w:t>
            </w:r>
            <w:r>
              <w:rPr>
                <w:rFonts w:hint="eastAsia" w:ascii="宋体" w:hAnsi="宋体" w:cs="宋体"/>
                <w:color w:val="000000"/>
                <w:kern w:val="0"/>
                <w:sz w:val="14"/>
                <w:szCs w:val="14"/>
                <w:lang w:val="zh-TW" w:bidi="zh-TW"/>
              </w:rPr>
              <w:t>工程</w:t>
            </w:r>
          </w:p>
        </w:tc>
        <w:tc>
          <w:tcPr>
            <w:tcW w:w="1091" w:type="dxa"/>
            <w:tcBorders>
              <w:top w:val="single" w:color="auto" w:sz="4" w:space="0"/>
              <w:left w:val="single" w:color="auto" w:sz="4" w:space="0"/>
            </w:tcBorders>
            <w:shd w:val="clear" w:color="auto" w:fill="FFFFFF"/>
            <w:vAlign w:val="center"/>
          </w:tcPr>
          <w:p w14:paraId="43CB2195">
            <w:pPr>
              <w:ind w:firstLine="280" w:firstLineChars="200"/>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10分</w:t>
            </w:r>
          </w:p>
        </w:tc>
        <w:tc>
          <w:tcPr>
            <w:tcW w:w="5375" w:type="dxa"/>
            <w:tcBorders>
              <w:top w:val="single" w:color="auto" w:sz="4" w:space="0"/>
              <w:left w:val="single" w:color="auto" w:sz="4" w:space="0"/>
            </w:tcBorders>
            <w:shd w:val="clear" w:color="auto" w:fill="FFFFFF"/>
            <w:vAlign w:val="bottom"/>
          </w:tcPr>
          <w:p w14:paraId="0B29166D">
            <w:pPr>
              <w:spacing w:line="195"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该指标总共10分，完成计划率100%-90%：</w:t>
            </w:r>
            <w:r>
              <w:rPr>
                <w:rFonts w:ascii="宋体" w:hAnsi="宋体" w:cs="宋体"/>
                <w:color w:val="000000"/>
                <w:kern w:val="0"/>
                <w:sz w:val="14"/>
                <w:szCs w:val="14"/>
                <w:lang w:bidi="en-US"/>
              </w:rPr>
              <w:t>10-9</w:t>
            </w:r>
            <w:r>
              <w:rPr>
                <w:rFonts w:ascii="宋体" w:hAnsi="宋体" w:cs="宋体"/>
                <w:color w:val="000000"/>
                <w:kern w:val="0"/>
                <w:sz w:val="14"/>
                <w:szCs w:val="14"/>
                <w:lang w:val="zh-TW" w:eastAsia="zh-TW" w:bidi="zh-TW"/>
              </w:rPr>
              <w:t>分；完成计划率90%-75%：9-</w:t>
            </w:r>
            <w:r>
              <w:rPr>
                <w:rFonts w:ascii="宋体" w:hAnsi="宋体" w:cs="宋体"/>
                <w:color w:val="000000"/>
                <w:kern w:val="0"/>
                <w:sz w:val="14"/>
                <w:szCs w:val="14"/>
                <w:lang w:bidi="en-US"/>
              </w:rPr>
              <w:t>7.</w:t>
            </w:r>
            <w:r>
              <w:rPr>
                <w:rFonts w:ascii="宋体" w:hAnsi="宋体" w:cs="宋体"/>
                <w:color w:val="000000"/>
                <w:kern w:val="0"/>
                <w:sz w:val="14"/>
                <w:szCs w:val="14"/>
                <w:lang w:val="zh-TW" w:eastAsia="zh-TW" w:bidi="zh-TW"/>
              </w:rPr>
              <w:t>5分：</w:t>
            </w:r>
          </w:p>
          <w:p w14:paraId="6D021DE5">
            <w:pPr>
              <w:spacing w:line="195"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完成计划率75%-60%：</w:t>
            </w:r>
            <w:r>
              <w:rPr>
                <w:rFonts w:ascii="宋体" w:hAnsi="宋体" w:cs="宋体"/>
                <w:color w:val="000000"/>
                <w:kern w:val="0"/>
                <w:sz w:val="14"/>
                <w:szCs w:val="14"/>
                <w:lang w:bidi="en-US"/>
              </w:rPr>
              <w:t>7.5-6</w:t>
            </w:r>
            <w:r>
              <w:rPr>
                <w:rFonts w:ascii="宋体" w:hAnsi="宋体" w:cs="宋体"/>
                <w:color w:val="000000"/>
                <w:kern w:val="0"/>
                <w:sz w:val="14"/>
                <w:szCs w:val="14"/>
                <w:lang w:val="zh-TW" w:eastAsia="zh-TW" w:bidi="zh-TW"/>
              </w:rPr>
              <w:t>分；完成计划率60%以下；</w:t>
            </w:r>
            <w:r>
              <w:rPr>
                <w:rFonts w:ascii="宋体" w:hAnsi="宋体" w:cs="宋体"/>
                <w:color w:val="000000"/>
                <w:kern w:val="0"/>
                <w:sz w:val="14"/>
                <w:szCs w:val="14"/>
                <w:lang w:bidi="en-US"/>
              </w:rPr>
              <w:t>6-0</w:t>
            </w:r>
            <w:r>
              <w:rPr>
                <w:rFonts w:ascii="宋体" w:hAnsi="宋体" w:cs="宋体"/>
                <w:color w:val="000000"/>
                <w:kern w:val="0"/>
                <w:sz w:val="14"/>
                <w:szCs w:val="14"/>
                <w:lang w:val="zh-TW" w:eastAsia="zh-TW" w:bidi="zh-TW"/>
              </w:rPr>
              <w:t>分</w:t>
            </w:r>
          </w:p>
        </w:tc>
        <w:tc>
          <w:tcPr>
            <w:tcW w:w="1164" w:type="dxa"/>
            <w:tcBorders>
              <w:top w:val="single" w:color="auto" w:sz="4" w:space="0"/>
              <w:left w:val="single" w:color="auto" w:sz="4" w:space="0"/>
            </w:tcBorders>
            <w:shd w:val="clear" w:color="auto" w:fill="FFFFFF"/>
            <w:vAlign w:val="center"/>
          </w:tcPr>
          <w:p w14:paraId="4AE05C01">
            <w:pPr>
              <w:ind w:firstLine="420"/>
              <w:jc w:val="left"/>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10.00</w:t>
            </w:r>
          </w:p>
        </w:tc>
        <w:tc>
          <w:tcPr>
            <w:tcW w:w="2708" w:type="dxa"/>
            <w:tcBorders>
              <w:top w:val="single" w:color="auto" w:sz="4" w:space="0"/>
              <w:left w:val="single" w:color="auto" w:sz="4" w:space="0"/>
              <w:right w:val="single" w:color="auto" w:sz="4" w:space="0"/>
            </w:tcBorders>
            <w:shd w:val="clear" w:color="auto" w:fill="FFFFFF"/>
            <w:vAlign w:val="center"/>
          </w:tcPr>
          <w:p w14:paraId="516EFCB6">
            <w:pPr>
              <w:jc w:val="left"/>
              <w:rPr>
                <w:rFonts w:ascii="宋体" w:hAnsi="宋体" w:eastAsia="PMingLiU" w:cs="宋体"/>
                <w:color w:val="000000"/>
                <w:kern w:val="0"/>
                <w:sz w:val="14"/>
                <w:szCs w:val="14"/>
                <w:lang w:val="zh-TW" w:eastAsia="zh-TW" w:bidi="zh-TW"/>
              </w:rPr>
            </w:pPr>
          </w:p>
        </w:tc>
      </w:tr>
      <w:tr w14:paraId="76195CA6">
        <w:tblPrEx>
          <w:tblCellMar>
            <w:top w:w="0" w:type="dxa"/>
            <w:left w:w="10" w:type="dxa"/>
            <w:bottom w:w="0" w:type="dxa"/>
            <w:right w:w="10" w:type="dxa"/>
          </w:tblCellMar>
        </w:tblPrEx>
        <w:trPr>
          <w:trHeight w:val="625" w:hRule="exact"/>
          <w:jc w:val="center"/>
        </w:trPr>
        <w:tc>
          <w:tcPr>
            <w:tcW w:w="933" w:type="dxa"/>
            <w:vMerge w:val="continue"/>
            <w:tcBorders>
              <w:left w:val="single" w:color="auto" w:sz="4" w:space="0"/>
            </w:tcBorders>
            <w:shd w:val="clear" w:color="auto" w:fill="FFFFFF"/>
            <w:vAlign w:val="center"/>
          </w:tcPr>
          <w:p w14:paraId="70312354">
            <w:pPr>
              <w:jc w:val="center"/>
              <w:rPr>
                <w:rFonts w:eastAsia="Times New Roman"/>
                <w:color w:val="000000"/>
                <w:kern w:val="0"/>
                <w:sz w:val="24"/>
                <w:lang w:bidi="en-US"/>
              </w:rPr>
            </w:pPr>
          </w:p>
        </w:tc>
        <w:tc>
          <w:tcPr>
            <w:tcW w:w="811" w:type="dxa"/>
            <w:vMerge w:val="continue"/>
            <w:tcBorders>
              <w:left w:val="single" w:color="auto" w:sz="4" w:space="0"/>
            </w:tcBorders>
            <w:shd w:val="clear" w:color="auto" w:fill="FFFFFF"/>
            <w:vAlign w:val="center"/>
          </w:tcPr>
          <w:p w14:paraId="5F8370F5">
            <w:pPr>
              <w:jc w:val="center"/>
              <w:rPr>
                <w:rFonts w:eastAsia="Times New Roman"/>
                <w:color w:val="000000"/>
                <w:kern w:val="0"/>
                <w:sz w:val="24"/>
                <w:lang w:bidi="en-US"/>
              </w:rPr>
            </w:pPr>
          </w:p>
        </w:tc>
        <w:tc>
          <w:tcPr>
            <w:tcW w:w="802" w:type="dxa"/>
            <w:tcBorders>
              <w:top w:val="single" w:color="auto" w:sz="4" w:space="0"/>
              <w:left w:val="single" w:color="auto" w:sz="4" w:space="0"/>
            </w:tcBorders>
            <w:shd w:val="clear" w:color="auto" w:fill="FFFFFF"/>
            <w:vAlign w:val="center"/>
          </w:tcPr>
          <w:p w14:paraId="3BEA8EBA">
            <w:pPr>
              <w:spacing w:line="195"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产出质量（10分）</w:t>
            </w:r>
          </w:p>
        </w:tc>
        <w:tc>
          <w:tcPr>
            <w:tcW w:w="883" w:type="dxa"/>
            <w:tcBorders>
              <w:top w:val="single" w:color="auto" w:sz="4" w:space="0"/>
              <w:left w:val="single" w:color="auto" w:sz="4" w:space="0"/>
            </w:tcBorders>
            <w:shd w:val="clear" w:color="auto" w:fill="FFFFFF"/>
            <w:vAlign w:val="center"/>
          </w:tcPr>
          <w:p w14:paraId="6514D05B">
            <w:pPr>
              <w:spacing w:line="188"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项目产出质</w:t>
            </w:r>
            <w:r>
              <w:rPr>
                <w:rFonts w:hint="eastAsia" w:ascii="宋体" w:hAnsi="宋体" w:cs="宋体"/>
                <w:color w:val="000000"/>
                <w:kern w:val="0"/>
                <w:sz w:val="14"/>
                <w:szCs w:val="14"/>
                <w:lang w:val="zh-TW" w:bidi="zh-TW"/>
              </w:rPr>
              <w:t>量</w:t>
            </w:r>
            <w:r>
              <w:rPr>
                <w:rFonts w:ascii="宋体" w:hAnsi="宋体" w:cs="宋体"/>
                <w:color w:val="000000"/>
                <w:kern w:val="0"/>
                <w:sz w:val="14"/>
                <w:szCs w:val="14"/>
                <w:lang w:val="zh-TW" w:eastAsia="zh-TW" w:bidi="zh-TW"/>
              </w:rPr>
              <w:t>通过专业人员的评估</w:t>
            </w:r>
          </w:p>
        </w:tc>
        <w:tc>
          <w:tcPr>
            <w:tcW w:w="1091" w:type="dxa"/>
            <w:tcBorders>
              <w:top w:val="single" w:color="auto" w:sz="4" w:space="0"/>
              <w:left w:val="single" w:color="auto" w:sz="4" w:space="0"/>
            </w:tcBorders>
            <w:shd w:val="clear" w:color="auto" w:fill="FFFFFF"/>
            <w:vAlign w:val="center"/>
          </w:tcPr>
          <w:p w14:paraId="6F0D077E">
            <w:pPr>
              <w:ind w:firstLine="280" w:firstLineChars="200"/>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10分</w:t>
            </w:r>
          </w:p>
        </w:tc>
        <w:tc>
          <w:tcPr>
            <w:tcW w:w="5375" w:type="dxa"/>
            <w:tcBorders>
              <w:top w:val="single" w:color="auto" w:sz="4" w:space="0"/>
              <w:left w:val="single" w:color="auto" w:sz="4" w:space="0"/>
            </w:tcBorders>
            <w:shd w:val="clear" w:color="auto" w:fill="FFFFFF"/>
          </w:tcPr>
          <w:p w14:paraId="7C53873C">
            <w:pPr>
              <w:spacing w:after="4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项目产出质量</w:t>
            </w:r>
            <w:r>
              <w:rPr>
                <w:rFonts w:hint="eastAsia" w:ascii="宋体" w:hAnsi="宋体" w:cs="宋体"/>
                <w:color w:val="000000"/>
                <w:kern w:val="0"/>
                <w:sz w:val="14"/>
                <w:szCs w:val="14"/>
                <w:lang w:val="zh-TW" w:bidi="zh-TW"/>
              </w:rPr>
              <w:t>：</w:t>
            </w:r>
            <w:r>
              <w:rPr>
                <w:rFonts w:ascii="宋体" w:hAnsi="宋体" w:cs="宋体"/>
                <w:color w:val="000000"/>
                <w:kern w:val="0"/>
                <w:sz w:val="14"/>
                <w:szCs w:val="14"/>
                <w:lang w:val="zh-TW" w:eastAsia="zh-TW" w:bidi="zh-TW"/>
              </w:rPr>
              <w:t>达到实现预期目标的质量</w:t>
            </w:r>
            <w:r>
              <w:rPr>
                <w:rFonts w:hint="eastAsia" w:ascii="宋体" w:hAnsi="宋体" w:cs="宋体"/>
                <w:color w:val="000000"/>
                <w:kern w:val="0"/>
                <w:sz w:val="14"/>
                <w:szCs w:val="14"/>
                <w:lang w:val="zh-TW" w:bidi="zh-TW"/>
              </w:rPr>
              <w:t>：</w:t>
            </w:r>
            <w:r>
              <w:rPr>
                <w:rFonts w:ascii="宋体" w:hAnsi="宋体" w:cs="宋体"/>
                <w:color w:val="000000"/>
                <w:kern w:val="0"/>
                <w:sz w:val="14"/>
                <w:szCs w:val="14"/>
                <w:lang w:val="zh-TW" w:eastAsia="zh-TW" w:bidi="zh-TW"/>
              </w:rPr>
              <w:t>要求10-9分；项目实施质</w:t>
            </w:r>
            <w:r>
              <w:rPr>
                <w:rFonts w:hint="eastAsia" w:ascii="宋体" w:hAnsi="宋体" w:cs="宋体"/>
                <w:color w:val="000000"/>
                <w:kern w:val="0"/>
                <w:sz w:val="14"/>
                <w:szCs w:val="14"/>
                <w:lang w:val="zh-TW" w:bidi="zh-TW"/>
              </w:rPr>
              <w:t>量</w:t>
            </w:r>
            <w:r>
              <w:rPr>
                <w:rFonts w:ascii="宋体" w:hAnsi="宋体" w:cs="宋体"/>
                <w:color w:val="000000"/>
                <w:kern w:val="0"/>
                <w:sz w:val="14"/>
                <w:szCs w:val="14"/>
                <w:lang w:val="zh-TW" w:eastAsia="zh-TW" w:bidi="zh-TW"/>
              </w:rPr>
              <w:t>水平较高</w:t>
            </w:r>
            <w:r>
              <w:rPr>
                <w:rFonts w:ascii="宋体" w:hAnsi="宋体" w:cs="宋体"/>
                <w:color w:val="000000"/>
                <w:kern w:val="0"/>
                <w:sz w:val="14"/>
                <w:szCs w:val="14"/>
                <w:lang w:bidi="en-US"/>
              </w:rPr>
              <w:t>9-</w:t>
            </w:r>
          </w:p>
          <w:p w14:paraId="3CB51634">
            <w:pPr>
              <w:spacing w:after="4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bidi="en-US"/>
              </w:rPr>
              <w:t>7.</w:t>
            </w:r>
            <w:r>
              <w:rPr>
                <w:rFonts w:ascii="宋体" w:hAnsi="宋体" w:cs="宋体"/>
                <w:color w:val="000000"/>
                <w:kern w:val="0"/>
                <w:sz w:val="14"/>
                <w:szCs w:val="14"/>
                <w:lang w:val="zh-TW" w:eastAsia="zh-TW" w:bidi="zh-TW"/>
              </w:rPr>
              <w:t>5分；质量水平</w:t>
            </w:r>
            <w:r>
              <w:rPr>
                <w:rFonts w:hint="eastAsia" w:ascii="宋体" w:hAnsi="宋体" w:cs="宋体"/>
                <w:color w:val="000000"/>
                <w:kern w:val="0"/>
                <w:sz w:val="14"/>
                <w:szCs w:val="14"/>
                <w:lang w:val="zh-TW" w:bidi="zh-TW"/>
              </w:rPr>
              <w:t>一般</w:t>
            </w:r>
            <w:r>
              <w:rPr>
                <w:rFonts w:ascii="宋体" w:hAnsi="宋体" w:cs="宋体"/>
                <w:color w:val="000000"/>
                <w:kern w:val="0"/>
                <w:sz w:val="14"/>
                <w:szCs w:val="14"/>
                <w:lang w:bidi="en-US"/>
              </w:rPr>
              <w:t>7.5-6</w:t>
            </w:r>
            <w:r>
              <w:rPr>
                <w:rFonts w:ascii="宋体" w:hAnsi="宋体" w:cs="宋体"/>
                <w:color w:val="000000"/>
                <w:kern w:val="0"/>
                <w:sz w:val="14"/>
                <w:szCs w:val="14"/>
                <w:lang w:val="zh-TW" w:eastAsia="zh-TW" w:bidi="zh-TW"/>
              </w:rPr>
              <w:t>分；质量较差6-0分</w:t>
            </w:r>
          </w:p>
        </w:tc>
        <w:tc>
          <w:tcPr>
            <w:tcW w:w="1164" w:type="dxa"/>
            <w:tcBorders>
              <w:top w:val="single" w:color="auto" w:sz="4" w:space="0"/>
              <w:left w:val="single" w:color="auto" w:sz="4" w:space="0"/>
            </w:tcBorders>
            <w:shd w:val="clear" w:color="auto" w:fill="FFFFFF"/>
            <w:vAlign w:val="center"/>
          </w:tcPr>
          <w:p w14:paraId="244E5CD4">
            <w:pPr>
              <w:ind w:firstLine="420" w:firstLineChars="300"/>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8.00</w:t>
            </w:r>
          </w:p>
        </w:tc>
        <w:tc>
          <w:tcPr>
            <w:tcW w:w="2708" w:type="dxa"/>
            <w:tcBorders>
              <w:top w:val="single" w:color="auto" w:sz="4" w:space="0"/>
              <w:left w:val="single" w:color="auto" w:sz="4" w:space="0"/>
              <w:right w:val="single" w:color="auto" w:sz="4" w:space="0"/>
            </w:tcBorders>
            <w:shd w:val="clear" w:color="auto" w:fill="FFFFFF"/>
            <w:vAlign w:val="center"/>
          </w:tcPr>
          <w:p w14:paraId="7D5A5155">
            <w:pPr>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过程监督管控资料的呈现有所不足</w:t>
            </w:r>
          </w:p>
        </w:tc>
      </w:tr>
      <w:tr w14:paraId="2EA593B9">
        <w:tblPrEx>
          <w:tblCellMar>
            <w:top w:w="0" w:type="dxa"/>
            <w:left w:w="10" w:type="dxa"/>
            <w:bottom w:w="0" w:type="dxa"/>
            <w:right w:w="10" w:type="dxa"/>
          </w:tblCellMar>
        </w:tblPrEx>
        <w:trPr>
          <w:trHeight w:val="770" w:hRule="exact"/>
          <w:jc w:val="center"/>
        </w:trPr>
        <w:tc>
          <w:tcPr>
            <w:tcW w:w="933" w:type="dxa"/>
            <w:vMerge w:val="continue"/>
            <w:tcBorders>
              <w:left w:val="single" w:color="auto" w:sz="4" w:space="0"/>
            </w:tcBorders>
            <w:shd w:val="clear" w:color="auto" w:fill="FFFFFF"/>
            <w:vAlign w:val="center"/>
          </w:tcPr>
          <w:p w14:paraId="290CDEA5">
            <w:pPr>
              <w:jc w:val="center"/>
              <w:rPr>
                <w:rFonts w:eastAsia="Times New Roman"/>
                <w:color w:val="000000"/>
                <w:kern w:val="0"/>
                <w:sz w:val="24"/>
                <w:lang w:bidi="en-US"/>
              </w:rPr>
            </w:pPr>
          </w:p>
        </w:tc>
        <w:tc>
          <w:tcPr>
            <w:tcW w:w="811" w:type="dxa"/>
            <w:vMerge w:val="continue"/>
            <w:tcBorders>
              <w:left w:val="single" w:color="auto" w:sz="4" w:space="0"/>
            </w:tcBorders>
            <w:shd w:val="clear" w:color="auto" w:fill="FFFFFF"/>
            <w:vAlign w:val="center"/>
          </w:tcPr>
          <w:p w14:paraId="50294263">
            <w:pPr>
              <w:jc w:val="center"/>
              <w:rPr>
                <w:rFonts w:eastAsia="Times New Roman"/>
                <w:color w:val="000000"/>
                <w:kern w:val="0"/>
                <w:sz w:val="24"/>
                <w:lang w:bidi="en-US"/>
              </w:rPr>
            </w:pPr>
          </w:p>
        </w:tc>
        <w:tc>
          <w:tcPr>
            <w:tcW w:w="802" w:type="dxa"/>
            <w:tcBorders>
              <w:top w:val="single" w:color="auto" w:sz="4" w:space="0"/>
              <w:left w:val="single" w:color="auto" w:sz="4" w:space="0"/>
            </w:tcBorders>
            <w:shd w:val="clear" w:color="auto" w:fill="FFFFFF"/>
            <w:vAlign w:val="center"/>
          </w:tcPr>
          <w:p w14:paraId="2F2FCBAC">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产</w:t>
            </w:r>
            <w:r>
              <w:rPr>
                <w:rFonts w:hint="eastAsia" w:ascii="宋体" w:hAnsi="宋体" w:cs="宋体"/>
                <w:color w:val="000000"/>
                <w:kern w:val="0"/>
                <w:sz w:val="14"/>
                <w:szCs w:val="14"/>
                <w:lang w:val="zh-TW" w:bidi="zh-TW"/>
              </w:rPr>
              <w:t>出</w:t>
            </w:r>
            <w:r>
              <w:rPr>
                <w:rFonts w:ascii="宋体" w:hAnsi="宋体" w:cs="宋体"/>
                <w:color w:val="000000"/>
                <w:kern w:val="0"/>
                <w:sz w:val="14"/>
                <w:szCs w:val="14"/>
                <w:lang w:val="zh-TW" w:eastAsia="zh-TW" w:bidi="zh-TW"/>
              </w:rPr>
              <w:t>时效</w:t>
            </w:r>
          </w:p>
          <w:p w14:paraId="00D95250">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83" w:type="dxa"/>
            <w:tcBorders>
              <w:top w:val="single" w:color="auto" w:sz="4" w:space="0"/>
              <w:left w:val="single" w:color="auto" w:sz="4" w:space="0"/>
            </w:tcBorders>
            <w:shd w:val="clear" w:color="auto" w:fill="FFFFFF"/>
            <w:vAlign w:val="center"/>
          </w:tcPr>
          <w:p w14:paraId="70D60910">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项目产出时效达到目</w:t>
            </w:r>
            <w:r>
              <w:rPr>
                <w:rFonts w:ascii="宋体" w:hAnsi="宋体" w:cs="宋体"/>
                <w:color w:val="000000"/>
                <w:kern w:val="0"/>
                <w:sz w:val="14"/>
                <w:szCs w:val="14"/>
                <w:lang w:val="zh-CN" w:bidi="zh-CN"/>
              </w:rPr>
              <w:t>标.</w:t>
            </w:r>
          </w:p>
        </w:tc>
        <w:tc>
          <w:tcPr>
            <w:tcW w:w="1091" w:type="dxa"/>
            <w:tcBorders>
              <w:top w:val="single" w:color="auto" w:sz="4" w:space="0"/>
              <w:left w:val="single" w:color="auto" w:sz="4" w:space="0"/>
            </w:tcBorders>
            <w:shd w:val="clear" w:color="auto" w:fill="FFFFFF"/>
            <w:vAlign w:val="center"/>
          </w:tcPr>
          <w:p w14:paraId="2B762072">
            <w:pPr>
              <w:ind w:firstLine="280" w:firstLineChars="200"/>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5375" w:type="dxa"/>
            <w:tcBorders>
              <w:top w:val="single" w:color="auto" w:sz="4" w:space="0"/>
              <w:left w:val="single" w:color="auto" w:sz="4" w:space="0"/>
            </w:tcBorders>
            <w:shd w:val="clear" w:color="auto" w:fill="FFFFFF"/>
            <w:vAlign w:val="center"/>
          </w:tcPr>
          <w:p w14:paraId="1F3123A2">
            <w:pPr>
              <w:spacing w:line="197"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项目组织实施完全按照实施方案、计划或绩效目标设定的进度按期完成</w:t>
            </w:r>
            <w:r>
              <w:rPr>
                <w:rFonts w:ascii="宋体" w:hAnsi="宋体" w:cs="宋体"/>
                <w:color w:val="000000"/>
                <w:kern w:val="0"/>
                <w:sz w:val="14"/>
                <w:szCs w:val="14"/>
                <w:lang w:bidi="en-US"/>
              </w:rPr>
              <w:t>5-4.5</w:t>
            </w:r>
            <w:r>
              <w:rPr>
                <w:rFonts w:ascii="宋体" w:hAnsi="宋体" w:cs="宋体"/>
                <w:color w:val="000000"/>
                <w:kern w:val="0"/>
                <w:sz w:val="14"/>
                <w:szCs w:val="14"/>
                <w:lang w:val="zh-TW" w:eastAsia="zh-TW" w:bidi="zh-TW"/>
              </w:rPr>
              <w:t>分；实施进度计划完成较好</w:t>
            </w:r>
            <w:r>
              <w:rPr>
                <w:rFonts w:ascii="宋体" w:hAnsi="宋体" w:cs="宋体"/>
                <w:color w:val="000000"/>
                <w:kern w:val="0"/>
                <w:sz w:val="14"/>
                <w:szCs w:val="14"/>
                <w:lang w:bidi="en-US"/>
              </w:rPr>
              <w:t>4.5-3.</w:t>
            </w:r>
            <w:r>
              <w:rPr>
                <w:rFonts w:ascii="宋体" w:hAnsi="宋体" w:cs="宋体"/>
                <w:color w:val="000000"/>
                <w:kern w:val="0"/>
                <w:sz w:val="14"/>
                <w:szCs w:val="14"/>
                <w:lang w:val="zh-TW" w:eastAsia="zh-TW" w:bidi="zh-TW"/>
              </w:rPr>
              <w:t>6分；实施进度计划完成较好一般</w:t>
            </w:r>
            <w:r>
              <w:rPr>
                <w:rFonts w:ascii="宋体" w:hAnsi="宋体" w:cs="宋体"/>
                <w:color w:val="000000"/>
                <w:kern w:val="0"/>
                <w:sz w:val="14"/>
                <w:szCs w:val="14"/>
                <w:lang w:bidi="en-US"/>
              </w:rPr>
              <w:t>3.6-3</w:t>
            </w:r>
            <w:r>
              <w:rPr>
                <w:rFonts w:ascii="宋体" w:hAnsi="宋体" w:cs="宋体"/>
                <w:color w:val="000000"/>
                <w:kern w:val="0"/>
                <w:sz w:val="14"/>
                <w:szCs w:val="14"/>
                <w:lang w:val="zh-TW" w:eastAsia="zh-TW" w:bidi="zh-TW"/>
              </w:rPr>
              <w:t>分；没有完成或没有实施</w:t>
            </w:r>
            <w:r>
              <w:rPr>
                <w:rFonts w:ascii="宋体" w:hAnsi="宋体" w:cs="宋体"/>
                <w:color w:val="000000"/>
                <w:kern w:val="0"/>
                <w:sz w:val="14"/>
                <w:szCs w:val="14"/>
                <w:lang w:bidi="en-US"/>
              </w:rPr>
              <w:t>3-0</w:t>
            </w:r>
            <w:r>
              <w:rPr>
                <w:rFonts w:ascii="宋体" w:hAnsi="宋体" w:cs="宋体"/>
                <w:color w:val="000000"/>
                <w:kern w:val="0"/>
                <w:sz w:val="14"/>
                <w:szCs w:val="14"/>
                <w:lang w:val="zh-TW" w:eastAsia="zh-TW" w:bidi="zh-TW"/>
              </w:rPr>
              <w:t>分</w:t>
            </w:r>
          </w:p>
        </w:tc>
        <w:tc>
          <w:tcPr>
            <w:tcW w:w="1164" w:type="dxa"/>
            <w:tcBorders>
              <w:top w:val="single" w:color="auto" w:sz="4" w:space="0"/>
              <w:left w:val="single" w:color="auto" w:sz="4" w:space="0"/>
            </w:tcBorders>
            <w:shd w:val="clear" w:color="auto" w:fill="FFFFFF"/>
            <w:vAlign w:val="center"/>
          </w:tcPr>
          <w:p w14:paraId="4388CE47">
            <w:pPr>
              <w:ind w:firstLine="420" w:firstLineChars="300"/>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5.00</w:t>
            </w:r>
          </w:p>
        </w:tc>
        <w:tc>
          <w:tcPr>
            <w:tcW w:w="2708" w:type="dxa"/>
            <w:tcBorders>
              <w:top w:val="single" w:color="auto" w:sz="4" w:space="0"/>
              <w:left w:val="single" w:color="auto" w:sz="4" w:space="0"/>
              <w:right w:val="single" w:color="auto" w:sz="4" w:space="0"/>
            </w:tcBorders>
            <w:shd w:val="clear" w:color="auto" w:fill="FFFFFF"/>
          </w:tcPr>
          <w:p w14:paraId="17C81134">
            <w:pPr>
              <w:jc w:val="left"/>
              <w:rPr>
                <w:rFonts w:eastAsia="Times New Roman"/>
                <w:color w:val="000000"/>
                <w:kern w:val="0"/>
                <w:sz w:val="10"/>
                <w:szCs w:val="10"/>
                <w:lang w:eastAsia="en-US" w:bidi="en-US"/>
              </w:rPr>
            </w:pPr>
          </w:p>
        </w:tc>
      </w:tr>
      <w:tr w14:paraId="6B394000">
        <w:tblPrEx>
          <w:tblCellMar>
            <w:top w:w="0" w:type="dxa"/>
            <w:left w:w="10" w:type="dxa"/>
            <w:bottom w:w="0" w:type="dxa"/>
            <w:right w:w="10" w:type="dxa"/>
          </w:tblCellMar>
        </w:tblPrEx>
        <w:trPr>
          <w:trHeight w:val="661" w:hRule="exact"/>
          <w:jc w:val="center"/>
        </w:trPr>
        <w:tc>
          <w:tcPr>
            <w:tcW w:w="933" w:type="dxa"/>
            <w:vMerge w:val="continue"/>
            <w:tcBorders>
              <w:left w:val="single" w:color="auto" w:sz="4" w:space="0"/>
            </w:tcBorders>
            <w:shd w:val="clear" w:color="auto" w:fill="FFFFFF"/>
            <w:vAlign w:val="center"/>
          </w:tcPr>
          <w:p w14:paraId="2D4DE8FE">
            <w:pPr>
              <w:jc w:val="center"/>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14:paraId="37C7A45C">
            <w:pPr>
              <w:jc w:val="center"/>
              <w:rPr>
                <w:rFonts w:eastAsia="Times New Roman"/>
                <w:color w:val="000000"/>
                <w:kern w:val="0"/>
                <w:sz w:val="24"/>
                <w:lang w:eastAsia="en-US" w:bidi="en-US"/>
              </w:rPr>
            </w:pPr>
          </w:p>
        </w:tc>
        <w:tc>
          <w:tcPr>
            <w:tcW w:w="802" w:type="dxa"/>
            <w:tcBorders>
              <w:top w:val="single" w:color="auto" w:sz="4" w:space="0"/>
              <w:left w:val="single" w:color="auto" w:sz="4" w:space="0"/>
            </w:tcBorders>
            <w:shd w:val="clear" w:color="auto" w:fill="FFFFFF"/>
            <w:vAlign w:val="center"/>
          </w:tcPr>
          <w:p w14:paraId="474522CA">
            <w:pPr>
              <w:spacing w:line="195"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产出成本</w:t>
            </w:r>
          </w:p>
          <w:p w14:paraId="75151576">
            <w:pPr>
              <w:spacing w:line="195"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83" w:type="dxa"/>
            <w:tcBorders>
              <w:top w:val="single" w:color="auto" w:sz="4" w:space="0"/>
              <w:left w:val="single" w:color="auto" w:sz="4" w:space="0"/>
            </w:tcBorders>
            <w:shd w:val="clear" w:color="auto" w:fill="FFFFFF"/>
            <w:vAlign w:val="center"/>
          </w:tcPr>
          <w:p w14:paraId="41AD2CB9">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项目成本严格按照绩效目标</w:t>
            </w:r>
            <w:r>
              <w:rPr>
                <w:rFonts w:ascii="宋体" w:hAnsi="宋体" w:cs="宋体"/>
                <w:color w:val="000000"/>
                <w:kern w:val="0"/>
                <w:sz w:val="14"/>
                <w:szCs w:val="14"/>
                <w:lang w:val="zh-CN" w:bidi="zh-CN"/>
              </w:rPr>
              <w:t>控制.</w:t>
            </w:r>
          </w:p>
        </w:tc>
        <w:tc>
          <w:tcPr>
            <w:tcW w:w="1091" w:type="dxa"/>
            <w:tcBorders>
              <w:top w:val="single" w:color="auto" w:sz="4" w:space="0"/>
              <w:left w:val="single" w:color="auto" w:sz="4" w:space="0"/>
            </w:tcBorders>
            <w:shd w:val="clear" w:color="auto" w:fill="FFFFFF"/>
            <w:vAlign w:val="center"/>
          </w:tcPr>
          <w:p w14:paraId="7D76BE37">
            <w:pPr>
              <w:ind w:firstLine="280" w:firstLineChars="200"/>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5375" w:type="dxa"/>
            <w:tcBorders>
              <w:top w:val="single" w:color="auto" w:sz="4" w:space="0"/>
              <w:left w:val="single" w:color="auto" w:sz="4" w:space="0"/>
            </w:tcBorders>
            <w:shd w:val="clear" w:color="auto" w:fill="FFFFFF"/>
            <w:vAlign w:val="bottom"/>
          </w:tcPr>
          <w:p w14:paraId="10D78E15">
            <w:pPr>
              <w:spacing w:line="188"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项目组织实施完全按照实施方案、计划或绩效目标设定的进度按期完成</w:t>
            </w:r>
            <w:r>
              <w:rPr>
                <w:rFonts w:ascii="宋体" w:hAnsi="宋体" w:cs="宋体"/>
                <w:color w:val="000000"/>
                <w:kern w:val="0"/>
                <w:sz w:val="14"/>
                <w:szCs w:val="14"/>
                <w:lang w:bidi="en-US"/>
              </w:rPr>
              <w:t>5-4.5</w:t>
            </w:r>
            <w:r>
              <w:rPr>
                <w:rFonts w:ascii="宋体" w:hAnsi="宋体" w:cs="宋体"/>
                <w:color w:val="000000"/>
                <w:kern w:val="0"/>
                <w:sz w:val="14"/>
                <w:szCs w:val="14"/>
                <w:lang w:val="zh-TW" w:eastAsia="zh-TW" w:bidi="zh-TW"/>
              </w:rPr>
              <w:t>分；实施进度计划完成较好</w:t>
            </w:r>
            <w:r>
              <w:rPr>
                <w:rFonts w:ascii="宋体" w:hAnsi="宋体" w:cs="宋体"/>
                <w:color w:val="000000"/>
                <w:kern w:val="0"/>
                <w:sz w:val="14"/>
                <w:szCs w:val="14"/>
                <w:lang w:bidi="en-US"/>
              </w:rPr>
              <w:t>4.5-3.</w:t>
            </w:r>
            <w:r>
              <w:rPr>
                <w:rFonts w:ascii="宋体" w:hAnsi="宋体" w:cs="宋体"/>
                <w:color w:val="000000"/>
                <w:kern w:val="0"/>
                <w:sz w:val="14"/>
                <w:szCs w:val="14"/>
                <w:lang w:val="zh-TW" w:eastAsia="zh-TW" w:bidi="zh-TW"/>
              </w:rPr>
              <w:t>6分；实施进度计划完成较好一般</w:t>
            </w:r>
            <w:r>
              <w:rPr>
                <w:rFonts w:ascii="宋体" w:hAnsi="宋体" w:cs="宋体"/>
                <w:color w:val="000000"/>
                <w:kern w:val="0"/>
                <w:sz w:val="14"/>
                <w:szCs w:val="14"/>
                <w:lang w:bidi="en-US"/>
              </w:rPr>
              <w:t>3.6-3</w:t>
            </w:r>
            <w:r>
              <w:rPr>
                <w:rFonts w:ascii="宋体" w:hAnsi="宋体" w:cs="宋体"/>
                <w:color w:val="000000"/>
                <w:kern w:val="0"/>
                <w:sz w:val="14"/>
                <w:szCs w:val="14"/>
                <w:lang w:val="zh-TW" w:eastAsia="zh-TW" w:bidi="zh-TW"/>
              </w:rPr>
              <w:t>分；没有完成或没有实施</w:t>
            </w:r>
            <w:r>
              <w:rPr>
                <w:rFonts w:ascii="宋体" w:hAnsi="宋体" w:cs="宋体"/>
                <w:color w:val="000000"/>
                <w:kern w:val="0"/>
                <w:sz w:val="14"/>
                <w:szCs w:val="14"/>
                <w:lang w:bidi="en-US"/>
              </w:rPr>
              <w:t>3-0</w:t>
            </w:r>
            <w:r>
              <w:rPr>
                <w:rFonts w:ascii="宋体" w:hAnsi="宋体" w:cs="宋体"/>
                <w:color w:val="000000"/>
                <w:kern w:val="0"/>
                <w:sz w:val="14"/>
                <w:szCs w:val="14"/>
                <w:lang w:val="zh-TW" w:eastAsia="zh-TW" w:bidi="zh-TW"/>
              </w:rPr>
              <w:t>分</w:t>
            </w:r>
          </w:p>
        </w:tc>
        <w:tc>
          <w:tcPr>
            <w:tcW w:w="1164" w:type="dxa"/>
            <w:tcBorders>
              <w:top w:val="single" w:color="auto" w:sz="4" w:space="0"/>
              <w:left w:val="single" w:color="auto" w:sz="4" w:space="0"/>
            </w:tcBorders>
            <w:shd w:val="clear" w:color="auto" w:fill="FFFFFF"/>
            <w:vAlign w:val="center"/>
          </w:tcPr>
          <w:p w14:paraId="729B1D7E">
            <w:pPr>
              <w:ind w:firstLine="420" w:firstLineChars="300"/>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5.00</w:t>
            </w:r>
          </w:p>
        </w:tc>
        <w:tc>
          <w:tcPr>
            <w:tcW w:w="2708" w:type="dxa"/>
            <w:tcBorders>
              <w:top w:val="single" w:color="auto" w:sz="4" w:space="0"/>
              <w:left w:val="single" w:color="auto" w:sz="4" w:space="0"/>
              <w:right w:val="single" w:color="auto" w:sz="4" w:space="0"/>
            </w:tcBorders>
            <w:shd w:val="clear" w:color="auto" w:fill="FFFFFF"/>
          </w:tcPr>
          <w:p w14:paraId="41D2B8C2">
            <w:pPr>
              <w:jc w:val="left"/>
              <w:rPr>
                <w:rFonts w:ascii="宋体" w:hAnsi="宋体" w:cs="宋体"/>
                <w:color w:val="000000"/>
                <w:kern w:val="0"/>
                <w:sz w:val="14"/>
                <w:szCs w:val="14"/>
                <w:lang w:val="zh-TW" w:bidi="zh-TW"/>
              </w:rPr>
            </w:pPr>
          </w:p>
        </w:tc>
      </w:tr>
      <w:tr w14:paraId="16FBE2F3">
        <w:tblPrEx>
          <w:tblCellMar>
            <w:top w:w="0" w:type="dxa"/>
            <w:left w:w="10" w:type="dxa"/>
            <w:bottom w:w="0" w:type="dxa"/>
            <w:right w:w="10" w:type="dxa"/>
          </w:tblCellMar>
        </w:tblPrEx>
        <w:trPr>
          <w:trHeight w:val="589" w:hRule="exact"/>
          <w:jc w:val="center"/>
        </w:trPr>
        <w:tc>
          <w:tcPr>
            <w:tcW w:w="933" w:type="dxa"/>
            <w:vMerge w:val="continue"/>
            <w:tcBorders>
              <w:left w:val="single" w:color="auto" w:sz="4" w:space="0"/>
            </w:tcBorders>
            <w:shd w:val="clear" w:color="auto" w:fill="FFFFFF"/>
            <w:vAlign w:val="center"/>
          </w:tcPr>
          <w:p w14:paraId="50BBEBFD">
            <w:pPr>
              <w:jc w:val="center"/>
              <w:rPr>
                <w:rFonts w:eastAsia="Times New Roman"/>
                <w:color w:val="000000"/>
                <w:kern w:val="0"/>
                <w:sz w:val="24"/>
                <w:lang w:eastAsia="en-US" w:bidi="en-US"/>
              </w:rPr>
            </w:pPr>
          </w:p>
        </w:tc>
        <w:tc>
          <w:tcPr>
            <w:tcW w:w="811" w:type="dxa"/>
            <w:vMerge w:val="restart"/>
            <w:tcBorders>
              <w:top w:val="single" w:color="auto" w:sz="4" w:space="0"/>
              <w:left w:val="single" w:color="auto" w:sz="4" w:space="0"/>
            </w:tcBorders>
            <w:shd w:val="clear" w:color="auto" w:fill="FFFFFF"/>
            <w:vAlign w:val="center"/>
          </w:tcPr>
          <w:p w14:paraId="18684463">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项目效果</w:t>
            </w:r>
          </w:p>
          <w:p w14:paraId="5D9E76E3">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（25分）</w:t>
            </w:r>
          </w:p>
        </w:tc>
        <w:tc>
          <w:tcPr>
            <w:tcW w:w="802" w:type="dxa"/>
            <w:tcBorders>
              <w:top w:val="single" w:color="auto" w:sz="4" w:space="0"/>
              <w:left w:val="single" w:color="auto" w:sz="4" w:space="0"/>
            </w:tcBorders>
            <w:shd w:val="clear" w:color="auto" w:fill="FFFFFF"/>
          </w:tcPr>
          <w:p w14:paraId="1D589AB0">
            <w:pPr>
              <w:spacing w:before="80" w:line="190" w:lineRule="exact"/>
              <w:ind w:firstLine="140" w:firstLineChars="100"/>
              <w:jc w:val="center"/>
              <w:rPr>
                <w:rFonts w:ascii="宋体" w:hAnsi="宋体" w:cs="宋体"/>
                <w:color w:val="000000"/>
                <w:kern w:val="0"/>
                <w:sz w:val="14"/>
                <w:szCs w:val="14"/>
                <w:lang w:val="zh-TW" w:bidi="zh-TW"/>
              </w:rPr>
            </w:pPr>
            <w:r>
              <w:rPr>
                <w:rFonts w:hint="eastAsia" w:ascii="宋体" w:hAnsi="宋体" w:cs="宋体"/>
                <w:color w:val="000000"/>
                <w:kern w:val="0"/>
                <w:sz w:val="14"/>
                <w:szCs w:val="14"/>
                <w:lang w:val="zh-TW" w:bidi="zh-TW"/>
              </w:rPr>
              <w:t>社会效益</w:t>
            </w:r>
          </w:p>
          <w:p w14:paraId="23D5255C">
            <w:pPr>
              <w:spacing w:before="80" w:line="190" w:lineRule="exact"/>
              <w:ind w:firstLine="140" w:firstLineChars="100"/>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w:t>
            </w:r>
            <w:r>
              <w:rPr>
                <w:rFonts w:ascii="宋体" w:hAnsi="宋体" w:eastAsia="PMingLiU" w:cs="宋体"/>
                <w:color w:val="000000"/>
                <w:kern w:val="0"/>
                <w:sz w:val="14"/>
                <w:szCs w:val="14"/>
                <w:lang w:val="zh-TW" w:eastAsia="zh-TW" w:bidi="zh-TW"/>
              </w:rPr>
              <w:t>10</w:t>
            </w:r>
            <w:r>
              <w:rPr>
                <w:rFonts w:ascii="宋体" w:hAnsi="宋体" w:cs="宋体"/>
                <w:color w:val="000000"/>
                <w:kern w:val="0"/>
                <w:sz w:val="14"/>
                <w:szCs w:val="14"/>
                <w:lang w:val="zh-TW" w:eastAsia="zh-TW" w:bidi="zh-TW"/>
              </w:rPr>
              <w:t>分）</w:t>
            </w:r>
          </w:p>
        </w:tc>
        <w:tc>
          <w:tcPr>
            <w:tcW w:w="883" w:type="dxa"/>
            <w:tcBorders>
              <w:top w:val="single" w:color="auto" w:sz="4" w:space="0"/>
              <w:left w:val="single" w:color="auto" w:sz="4" w:space="0"/>
            </w:tcBorders>
            <w:shd w:val="clear" w:color="auto" w:fill="FFFFFF"/>
            <w:vAlign w:val="center"/>
          </w:tcPr>
          <w:p w14:paraId="4256C3BF">
            <w:pPr>
              <w:spacing w:line="179"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w:t>
            </w:r>
            <w:r>
              <w:rPr>
                <w:rFonts w:hint="eastAsia" w:ascii="宋体" w:hAnsi="宋体" w:cs="宋体"/>
                <w:color w:val="000000"/>
                <w:kern w:val="0"/>
                <w:sz w:val="14"/>
                <w:szCs w:val="14"/>
                <w:lang w:val="zh-TW" w:bidi="zh-TW"/>
              </w:rPr>
              <w:t>产生</w:t>
            </w:r>
            <w:r>
              <w:rPr>
                <w:rFonts w:ascii="宋体" w:hAnsi="宋体" w:cs="宋体"/>
                <w:color w:val="000000"/>
                <w:kern w:val="0"/>
                <w:sz w:val="14"/>
                <w:szCs w:val="14"/>
                <w:lang w:val="zh-TW" w:eastAsia="zh-TW" w:bidi="zh-TW"/>
              </w:rPr>
              <w:t>社会综合效益。</w:t>
            </w:r>
          </w:p>
        </w:tc>
        <w:tc>
          <w:tcPr>
            <w:tcW w:w="1091" w:type="dxa"/>
            <w:tcBorders>
              <w:top w:val="single" w:color="auto" w:sz="4" w:space="0"/>
              <w:left w:val="single" w:color="auto" w:sz="4" w:space="0"/>
            </w:tcBorders>
            <w:shd w:val="clear" w:color="auto" w:fill="FFFFFF"/>
            <w:vAlign w:val="center"/>
          </w:tcPr>
          <w:p w14:paraId="0A787D45">
            <w:pPr>
              <w:ind w:firstLine="280" w:firstLineChars="200"/>
              <w:rPr>
                <w:rFonts w:ascii="宋体" w:hAnsi="宋体" w:cs="宋体"/>
                <w:color w:val="000000"/>
                <w:kern w:val="0"/>
                <w:sz w:val="14"/>
                <w:szCs w:val="14"/>
                <w:lang w:val="zh-TW" w:eastAsia="zh-TW" w:bidi="zh-TW"/>
              </w:rPr>
            </w:pPr>
            <w:r>
              <w:rPr>
                <w:rFonts w:ascii="宋体" w:hAnsi="宋体" w:eastAsia="PMingLiU" w:cs="宋体"/>
                <w:color w:val="000000"/>
                <w:kern w:val="0"/>
                <w:sz w:val="14"/>
                <w:szCs w:val="14"/>
                <w:lang w:val="zh-TW" w:eastAsia="zh-TW" w:bidi="zh-TW"/>
              </w:rPr>
              <w:t>10</w:t>
            </w:r>
            <w:r>
              <w:rPr>
                <w:rFonts w:ascii="宋体" w:hAnsi="宋体" w:cs="宋体"/>
                <w:color w:val="000000"/>
                <w:kern w:val="0"/>
                <w:sz w:val="14"/>
                <w:szCs w:val="14"/>
                <w:lang w:val="zh-TW" w:eastAsia="zh-TW" w:bidi="zh-TW"/>
              </w:rPr>
              <w:t>分</w:t>
            </w:r>
          </w:p>
        </w:tc>
        <w:tc>
          <w:tcPr>
            <w:tcW w:w="5375" w:type="dxa"/>
            <w:tcBorders>
              <w:top w:val="single" w:color="auto" w:sz="4" w:space="0"/>
              <w:left w:val="single" w:color="auto" w:sz="4" w:space="0"/>
            </w:tcBorders>
            <w:shd w:val="clear" w:color="auto" w:fill="FFFFFF"/>
            <w:vAlign w:val="bottom"/>
          </w:tcPr>
          <w:p w14:paraId="5E96CA58">
            <w:pPr>
              <w:spacing w:after="4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效益十分明显10-9分</w:t>
            </w:r>
            <w:r>
              <w:rPr>
                <w:rFonts w:hint="eastAsia" w:ascii="宋体" w:hAnsi="宋体" w:cs="宋体"/>
                <w:color w:val="000000"/>
                <w:kern w:val="0"/>
                <w:sz w:val="14"/>
                <w:szCs w:val="14"/>
                <w:lang w:val="zh-TW" w:bidi="zh-TW"/>
              </w:rPr>
              <w:t>；收</w:t>
            </w:r>
            <w:r>
              <w:rPr>
                <w:rFonts w:ascii="宋体" w:hAnsi="宋体" w:cs="宋体"/>
                <w:color w:val="000000"/>
                <w:kern w:val="0"/>
                <w:sz w:val="14"/>
                <w:szCs w:val="14"/>
                <w:lang w:val="zh-TW" w:eastAsia="zh-TW" w:bidi="zh-TW"/>
              </w:rPr>
              <w:t>益较好</w:t>
            </w:r>
            <w:r>
              <w:rPr>
                <w:rFonts w:ascii="宋体" w:hAnsi="宋体" w:cs="宋体"/>
                <w:color w:val="000000"/>
                <w:kern w:val="0"/>
                <w:sz w:val="14"/>
                <w:szCs w:val="14"/>
                <w:lang w:bidi="en-US"/>
              </w:rPr>
              <w:t>9-7.</w:t>
            </w:r>
            <w:r>
              <w:rPr>
                <w:rFonts w:ascii="宋体" w:hAnsi="宋体" w:cs="宋体"/>
                <w:color w:val="000000"/>
                <w:kern w:val="0"/>
                <w:sz w:val="14"/>
                <w:szCs w:val="14"/>
                <w:lang w:val="zh-TW" w:eastAsia="zh-TW" w:bidi="zh-TW"/>
              </w:rPr>
              <w:t>5分；效益一般</w:t>
            </w:r>
            <w:r>
              <w:rPr>
                <w:rFonts w:ascii="宋体" w:hAnsi="宋体" w:cs="宋体"/>
                <w:color w:val="000000"/>
                <w:kern w:val="0"/>
                <w:sz w:val="14"/>
                <w:szCs w:val="14"/>
                <w:lang w:bidi="en-US"/>
              </w:rPr>
              <w:t>7</w:t>
            </w:r>
            <w:r>
              <w:rPr>
                <w:rFonts w:hint="eastAsia" w:ascii="宋体" w:hAnsi="宋体" w:cs="宋体"/>
                <w:color w:val="000000"/>
                <w:kern w:val="0"/>
                <w:sz w:val="14"/>
                <w:szCs w:val="14"/>
                <w:lang w:bidi="en-US"/>
              </w:rPr>
              <w:t>.</w:t>
            </w:r>
            <w:r>
              <w:rPr>
                <w:rFonts w:ascii="宋体" w:hAnsi="宋体" w:cs="宋体"/>
                <w:color w:val="000000"/>
                <w:kern w:val="0"/>
                <w:sz w:val="14"/>
                <w:szCs w:val="14"/>
                <w:lang w:bidi="en-US"/>
              </w:rPr>
              <w:t>5-6</w:t>
            </w:r>
            <w:r>
              <w:rPr>
                <w:rFonts w:hint="eastAsia" w:ascii="宋体" w:hAnsi="宋体" w:cs="宋体"/>
                <w:color w:val="000000"/>
                <w:kern w:val="0"/>
                <w:sz w:val="14"/>
                <w:szCs w:val="14"/>
                <w:lang w:bidi="en-US"/>
              </w:rPr>
              <w:t>分</w:t>
            </w:r>
            <w:r>
              <w:rPr>
                <w:rFonts w:ascii="宋体" w:hAnsi="宋体" w:cs="宋体"/>
                <w:color w:val="000000"/>
                <w:kern w:val="0"/>
                <w:sz w:val="14"/>
                <w:szCs w:val="14"/>
                <w:lang w:val="zh-TW" w:eastAsia="zh-TW" w:bidi="zh-TW"/>
              </w:rPr>
              <w:t>：没有改善或改善较差</w:t>
            </w:r>
          </w:p>
          <w:p w14:paraId="40FDDF24">
            <w:pPr>
              <w:spacing w:line="199" w:lineRule="exact"/>
              <w:jc w:val="left"/>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val="zh-TW" w:eastAsia="zh-TW" w:bidi="zh-TW"/>
              </w:rPr>
              <w:t>6-0分</w:t>
            </w:r>
          </w:p>
        </w:tc>
        <w:tc>
          <w:tcPr>
            <w:tcW w:w="1164" w:type="dxa"/>
            <w:tcBorders>
              <w:top w:val="single" w:color="auto" w:sz="4" w:space="0"/>
              <w:left w:val="single" w:color="auto" w:sz="4" w:space="0"/>
            </w:tcBorders>
            <w:shd w:val="clear" w:color="auto" w:fill="FFFFFF"/>
            <w:vAlign w:val="center"/>
          </w:tcPr>
          <w:p w14:paraId="293456FE">
            <w:pPr>
              <w:ind w:firstLine="420" w:firstLineChars="300"/>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10.00</w:t>
            </w:r>
          </w:p>
        </w:tc>
        <w:tc>
          <w:tcPr>
            <w:tcW w:w="2708" w:type="dxa"/>
            <w:tcBorders>
              <w:top w:val="single" w:color="auto" w:sz="4" w:space="0"/>
              <w:left w:val="single" w:color="auto" w:sz="4" w:space="0"/>
              <w:right w:val="single" w:color="auto" w:sz="4" w:space="0"/>
            </w:tcBorders>
            <w:shd w:val="clear" w:color="auto" w:fill="FFFFFF"/>
            <w:vAlign w:val="center"/>
          </w:tcPr>
          <w:p w14:paraId="68283634">
            <w:pPr>
              <w:jc w:val="left"/>
              <w:rPr>
                <w:rFonts w:ascii="宋体" w:hAnsi="宋体" w:eastAsia="PMingLiU" w:cs="宋体"/>
                <w:color w:val="000000"/>
                <w:kern w:val="0"/>
                <w:sz w:val="14"/>
                <w:szCs w:val="14"/>
                <w:lang w:val="zh-TW" w:eastAsia="zh-TW" w:bidi="zh-TW"/>
              </w:rPr>
            </w:pPr>
          </w:p>
        </w:tc>
      </w:tr>
      <w:tr w14:paraId="15B16BFB">
        <w:tblPrEx>
          <w:tblCellMar>
            <w:top w:w="0" w:type="dxa"/>
            <w:left w:w="10" w:type="dxa"/>
            <w:bottom w:w="0" w:type="dxa"/>
            <w:right w:w="10" w:type="dxa"/>
          </w:tblCellMar>
        </w:tblPrEx>
        <w:trPr>
          <w:trHeight w:val="670" w:hRule="exact"/>
          <w:jc w:val="center"/>
        </w:trPr>
        <w:tc>
          <w:tcPr>
            <w:tcW w:w="933" w:type="dxa"/>
            <w:vMerge w:val="continue"/>
            <w:tcBorders>
              <w:left w:val="single" w:color="auto" w:sz="4" w:space="0"/>
            </w:tcBorders>
            <w:shd w:val="clear" w:color="auto" w:fill="FFFFFF"/>
            <w:vAlign w:val="center"/>
          </w:tcPr>
          <w:p w14:paraId="70029609">
            <w:pPr>
              <w:jc w:val="center"/>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14:paraId="70AA883B">
            <w:pPr>
              <w:jc w:val="center"/>
              <w:rPr>
                <w:rFonts w:eastAsia="Times New Roman"/>
                <w:color w:val="000000"/>
                <w:kern w:val="0"/>
                <w:sz w:val="24"/>
                <w:lang w:eastAsia="en-US" w:bidi="en-US"/>
              </w:rPr>
            </w:pPr>
          </w:p>
        </w:tc>
        <w:tc>
          <w:tcPr>
            <w:tcW w:w="802" w:type="dxa"/>
            <w:tcBorders>
              <w:top w:val="single" w:color="auto" w:sz="4" w:space="0"/>
              <w:left w:val="single" w:color="auto" w:sz="4" w:space="0"/>
            </w:tcBorders>
            <w:shd w:val="clear" w:color="auto" w:fill="FFFFFF"/>
            <w:vAlign w:val="center"/>
          </w:tcPr>
          <w:p w14:paraId="119D5CA2">
            <w:pPr>
              <w:spacing w:line="168"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可持续影响（</w:t>
            </w:r>
            <w:r>
              <w:rPr>
                <w:rFonts w:ascii="宋体" w:hAnsi="宋体" w:eastAsia="PMingLiU" w:cs="宋体"/>
                <w:color w:val="000000"/>
                <w:kern w:val="0"/>
                <w:sz w:val="14"/>
                <w:szCs w:val="14"/>
                <w:lang w:val="zh-TW" w:eastAsia="zh-TW" w:bidi="zh-TW"/>
              </w:rPr>
              <w:t>10</w:t>
            </w:r>
            <w:r>
              <w:rPr>
                <w:rFonts w:ascii="宋体" w:hAnsi="宋体" w:cs="宋体"/>
                <w:color w:val="000000"/>
                <w:kern w:val="0"/>
                <w:sz w:val="14"/>
                <w:szCs w:val="14"/>
                <w:lang w:val="zh-TW" w:eastAsia="zh-TW" w:bidi="zh-TW"/>
              </w:rPr>
              <w:t>分）</w:t>
            </w:r>
          </w:p>
        </w:tc>
        <w:tc>
          <w:tcPr>
            <w:tcW w:w="883" w:type="dxa"/>
            <w:tcBorders>
              <w:top w:val="single" w:color="auto" w:sz="4" w:space="0"/>
              <w:left w:val="single" w:color="auto" w:sz="4" w:space="0"/>
            </w:tcBorders>
            <w:shd w:val="clear" w:color="auto" w:fill="FFFFFF"/>
            <w:vAlign w:val="center"/>
          </w:tcPr>
          <w:p w14:paraId="7F3E399E">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项目实施对节约资源带来可持续</w:t>
            </w:r>
            <w:r>
              <w:rPr>
                <w:rFonts w:hint="eastAsia" w:ascii="宋体" w:hAnsi="宋体" w:cs="宋体"/>
                <w:color w:val="000000"/>
                <w:kern w:val="0"/>
                <w:sz w:val="14"/>
                <w:szCs w:val="14"/>
                <w:lang w:val="zh-TW" w:bidi="zh-TW"/>
              </w:rPr>
              <w:t>影响</w:t>
            </w:r>
          </w:p>
        </w:tc>
        <w:tc>
          <w:tcPr>
            <w:tcW w:w="1091" w:type="dxa"/>
            <w:tcBorders>
              <w:top w:val="single" w:color="auto" w:sz="4" w:space="0"/>
              <w:left w:val="single" w:color="auto" w:sz="4" w:space="0"/>
            </w:tcBorders>
            <w:shd w:val="clear" w:color="auto" w:fill="FFFFFF"/>
            <w:vAlign w:val="center"/>
          </w:tcPr>
          <w:p w14:paraId="3A0AAD25">
            <w:pPr>
              <w:ind w:firstLine="280" w:firstLineChars="200"/>
              <w:rPr>
                <w:rFonts w:ascii="宋体" w:hAnsi="宋体" w:cs="宋体"/>
                <w:color w:val="000000"/>
                <w:kern w:val="0"/>
                <w:sz w:val="14"/>
                <w:szCs w:val="14"/>
                <w:lang w:val="zh-TW" w:eastAsia="zh-TW" w:bidi="zh-TW"/>
              </w:rPr>
            </w:pPr>
            <w:r>
              <w:rPr>
                <w:rFonts w:ascii="宋体" w:hAnsi="宋体" w:eastAsia="PMingLiU" w:cs="宋体"/>
                <w:color w:val="000000"/>
                <w:kern w:val="0"/>
                <w:sz w:val="14"/>
                <w:szCs w:val="14"/>
                <w:lang w:val="zh-TW" w:eastAsia="zh-TW" w:bidi="zh-TW"/>
              </w:rPr>
              <w:t>10</w:t>
            </w:r>
            <w:r>
              <w:rPr>
                <w:rFonts w:ascii="宋体" w:hAnsi="宋体" w:cs="宋体"/>
                <w:color w:val="000000"/>
                <w:kern w:val="0"/>
                <w:sz w:val="14"/>
                <w:szCs w:val="14"/>
                <w:lang w:val="zh-TW" w:eastAsia="zh-TW" w:bidi="zh-TW"/>
              </w:rPr>
              <w:t>分</w:t>
            </w:r>
          </w:p>
        </w:tc>
        <w:tc>
          <w:tcPr>
            <w:tcW w:w="5375" w:type="dxa"/>
            <w:tcBorders>
              <w:top w:val="single" w:color="auto" w:sz="4" w:space="0"/>
              <w:left w:val="single" w:color="auto" w:sz="4" w:space="0"/>
            </w:tcBorders>
            <w:shd w:val="clear" w:color="auto" w:fill="FFFFFF"/>
            <w:vAlign w:val="center"/>
          </w:tcPr>
          <w:p w14:paraId="04441B06">
            <w:pPr>
              <w:spacing w:line="19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可持续影响十分明显10-9分：影响程度较好</w:t>
            </w:r>
            <w:r>
              <w:rPr>
                <w:rFonts w:ascii="宋体" w:hAnsi="宋体" w:cs="宋体"/>
                <w:color w:val="000000"/>
                <w:kern w:val="0"/>
                <w:sz w:val="14"/>
                <w:szCs w:val="14"/>
                <w:lang w:bidi="en-US"/>
              </w:rPr>
              <w:t>9-7.</w:t>
            </w:r>
            <w:r>
              <w:rPr>
                <w:rFonts w:ascii="宋体" w:hAnsi="宋体" w:cs="宋体"/>
                <w:color w:val="000000"/>
                <w:kern w:val="0"/>
                <w:sz w:val="14"/>
                <w:szCs w:val="14"/>
                <w:lang w:val="zh-TW" w:eastAsia="zh-TW" w:bidi="zh-TW"/>
              </w:rPr>
              <w:t>5分：影响程度一般</w:t>
            </w:r>
            <w:r>
              <w:rPr>
                <w:rFonts w:ascii="宋体" w:hAnsi="宋体" w:cs="宋体"/>
                <w:color w:val="000000"/>
                <w:kern w:val="0"/>
                <w:sz w:val="14"/>
                <w:szCs w:val="14"/>
                <w:lang w:bidi="en-US"/>
              </w:rPr>
              <w:t>7</w:t>
            </w:r>
            <w:r>
              <w:rPr>
                <w:rFonts w:hint="eastAsia" w:ascii="宋体" w:hAnsi="宋体" w:cs="宋体"/>
                <w:color w:val="000000"/>
                <w:kern w:val="0"/>
                <w:sz w:val="14"/>
                <w:szCs w:val="14"/>
                <w:lang w:bidi="en-US"/>
              </w:rPr>
              <w:t>.</w:t>
            </w:r>
            <w:r>
              <w:rPr>
                <w:rFonts w:ascii="宋体" w:hAnsi="宋体" w:cs="宋体"/>
                <w:color w:val="000000"/>
                <w:kern w:val="0"/>
                <w:sz w:val="14"/>
                <w:szCs w:val="14"/>
                <w:lang w:bidi="en-US"/>
              </w:rPr>
              <w:t>5-6</w:t>
            </w:r>
            <w:r>
              <w:rPr>
                <w:rFonts w:ascii="宋体" w:hAnsi="宋体" w:cs="宋体"/>
                <w:color w:val="000000"/>
                <w:kern w:val="0"/>
                <w:sz w:val="14"/>
                <w:szCs w:val="14"/>
                <w:lang w:val="zh-TW" w:eastAsia="zh-TW" w:bidi="zh-TW"/>
              </w:rPr>
              <w:t>分：影响较差</w:t>
            </w:r>
            <w:r>
              <w:rPr>
                <w:rFonts w:ascii="宋体" w:hAnsi="宋体" w:cs="宋体"/>
                <w:color w:val="000000"/>
                <w:kern w:val="0"/>
                <w:sz w:val="14"/>
                <w:szCs w:val="14"/>
                <w:lang w:bidi="en-US"/>
              </w:rPr>
              <w:t>6-0</w:t>
            </w:r>
            <w:r>
              <w:rPr>
                <w:rFonts w:ascii="宋体" w:hAnsi="宋体" w:cs="宋体"/>
                <w:color w:val="000000"/>
                <w:kern w:val="0"/>
                <w:sz w:val="14"/>
                <w:szCs w:val="14"/>
                <w:lang w:val="zh-TW" w:eastAsia="zh-TW" w:bidi="zh-TW"/>
              </w:rPr>
              <w:t>分</w:t>
            </w:r>
          </w:p>
        </w:tc>
        <w:tc>
          <w:tcPr>
            <w:tcW w:w="1164" w:type="dxa"/>
            <w:tcBorders>
              <w:top w:val="single" w:color="auto" w:sz="4" w:space="0"/>
              <w:left w:val="single" w:color="auto" w:sz="4" w:space="0"/>
            </w:tcBorders>
            <w:shd w:val="clear" w:color="auto" w:fill="FFFFFF"/>
            <w:vAlign w:val="center"/>
          </w:tcPr>
          <w:p w14:paraId="50DD5156">
            <w:pPr>
              <w:ind w:firstLine="420" w:firstLineChars="300"/>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10.00</w:t>
            </w:r>
          </w:p>
        </w:tc>
        <w:tc>
          <w:tcPr>
            <w:tcW w:w="2708" w:type="dxa"/>
            <w:tcBorders>
              <w:top w:val="single" w:color="auto" w:sz="4" w:space="0"/>
              <w:left w:val="single" w:color="auto" w:sz="4" w:space="0"/>
              <w:right w:val="single" w:color="auto" w:sz="4" w:space="0"/>
            </w:tcBorders>
            <w:shd w:val="clear" w:color="auto" w:fill="FFFFFF"/>
            <w:vAlign w:val="center"/>
          </w:tcPr>
          <w:p w14:paraId="10DF97F0">
            <w:pPr>
              <w:jc w:val="left"/>
              <w:rPr>
                <w:rFonts w:ascii="宋体" w:hAnsi="宋体" w:eastAsia="PMingLiU" w:cs="宋体"/>
                <w:color w:val="000000"/>
                <w:kern w:val="0"/>
                <w:sz w:val="14"/>
                <w:szCs w:val="14"/>
                <w:lang w:val="zh-TW" w:eastAsia="zh-TW" w:bidi="zh-TW"/>
              </w:rPr>
            </w:pPr>
          </w:p>
        </w:tc>
      </w:tr>
      <w:tr w14:paraId="3A96693C">
        <w:tblPrEx>
          <w:tblCellMar>
            <w:top w:w="0" w:type="dxa"/>
            <w:left w:w="10" w:type="dxa"/>
            <w:bottom w:w="0" w:type="dxa"/>
            <w:right w:w="10" w:type="dxa"/>
          </w:tblCellMar>
        </w:tblPrEx>
        <w:trPr>
          <w:trHeight w:val="611" w:hRule="exact"/>
          <w:jc w:val="center"/>
        </w:trPr>
        <w:tc>
          <w:tcPr>
            <w:tcW w:w="933" w:type="dxa"/>
            <w:vMerge w:val="continue"/>
            <w:tcBorders>
              <w:left w:val="single" w:color="auto" w:sz="4" w:space="0"/>
            </w:tcBorders>
            <w:shd w:val="clear" w:color="auto" w:fill="FFFFFF"/>
            <w:vAlign w:val="center"/>
          </w:tcPr>
          <w:p w14:paraId="122846AA">
            <w:pPr>
              <w:jc w:val="center"/>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14:paraId="7576BF92">
            <w:pPr>
              <w:jc w:val="center"/>
              <w:rPr>
                <w:rFonts w:eastAsia="Times New Roman"/>
                <w:color w:val="000000"/>
                <w:kern w:val="0"/>
                <w:sz w:val="24"/>
                <w:lang w:eastAsia="en-US" w:bidi="en-US"/>
              </w:rPr>
            </w:pPr>
          </w:p>
        </w:tc>
        <w:tc>
          <w:tcPr>
            <w:tcW w:w="802" w:type="dxa"/>
            <w:tcBorders>
              <w:top w:val="single" w:color="auto" w:sz="4" w:space="0"/>
              <w:left w:val="single" w:color="auto" w:sz="4" w:space="0"/>
            </w:tcBorders>
            <w:shd w:val="clear" w:color="auto" w:fill="FFFFFF"/>
            <w:vAlign w:val="bottom"/>
          </w:tcPr>
          <w:p w14:paraId="3481C1FD">
            <w:pPr>
              <w:spacing w:line="190" w:lineRule="exact"/>
              <w:jc w:val="center"/>
              <w:rPr>
                <w:rFonts w:ascii="宋体" w:hAnsi="宋体" w:cs="宋体"/>
                <w:color w:val="000000"/>
                <w:kern w:val="0"/>
                <w:sz w:val="14"/>
                <w:szCs w:val="14"/>
                <w:lang w:val="zh-TW" w:bidi="zh-TW"/>
              </w:rPr>
            </w:pPr>
            <w:r>
              <w:rPr>
                <w:rFonts w:ascii="宋体" w:hAnsi="宋体" w:cs="宋体"/>
                <w:color w:val="000000"/>
                <w:kern w:val="0"/>
                <w:sz w:val="14"/>
                <w:szCs w:val="14"/>
                <w:lang w:val="zh-TW" w:eastAsia="zh-TW" w:bidi="zh-TW"/>
              </w:rPr>
              <w:t>服务对象满意</w:t>
            </w:r>
            <w:r>
              <w:rPr>
                <w:rFonts w:hint="eastAsia" w:ascii="宋体" w:hAnsi="宋体" w:cs="宋体"/>
                <w:color w:val="000000"/>
                <w:kern w:val="0"/>
                <w:sz w:val="14"/>
                <w:szCs w:val="14"/>
                <w:lang w:val="zh-TW" w:bidi="zh-TW"/>
              </w:rPr>
              <w:t>度</w:t>
            </w:r>
          </w:p>
          <w:p w14:paraId="070FB144">
            <w:pPr>
              <w:spacing w:line="19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83" w:type="dxa"/>
            <w:tcBorders>
              <w:top w:val="single" w:color="auto" w:sz="4" w:space="0"/>
              <w:left w:val="single" w:color="auto" w:sz="4" w:space="0"/>
            </w:tcBorders>
            <w:shd w:val="clear" w:color="auto" w:fill="FFFFFF"/>
            <w:vAlign w:val="center"/>
          </w:tcPr>
          <w:p w14:paraId="67D00BB8">
            <w:pPr>
              <w:spacing w:line="183"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服务对象对项目实施满意.</w:t>
            </w:r>
          </w:p>
        </w:tc>
        <w:tc>
          <w:tcPr>
            <w:tcW w:w="1091" w:type="dxa"/>
            <w:tcBorders>
              <w:top w:val="single" w:color="auto" w:sz="4" w:space="0"/>
              <w:left w:val="single" w:color="auto" w:sz="4" w:space="0"/>
            </w:tcBorders>
            <w:shd w:val="clear" w:color="auto" w:fill="FFFFFF"/>
            <w:vAlign w:val="center"/>
          </w:tcPr>
          <w:p w14:paraId="79DF3A62">
            <w:pPr>
              <w:ind w:firstLine="280" w:firstLineChars="200"/>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5375" w:type="dxa"/>
            <w:tcBorders>
              <w:top w:val="single" w:color="auto" w:sz="4" w:space="0"/>
              <w:left w:val="single" w:color="auto" w:sz="4" w:space="0"/>
            </w:tcBorders>
            <w:shd w:val="clear" w:color="auto" w:fill="FFFFFF"/>
            <w:vAlign w:val="bottom"/>
          </w:tcPr>
          <w:p w14:paraId="326F2115">
            <w:pPr>
              <w:spacing w:line="208"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服务对象非常满意5-4.5分；服务对象比较满意</w:t>
            </w:r>
            <w:r>
              <w:rPr>
                <w:rFonts w:ascii="宋体" w:hAnsi="宋体" w:cs="宋体"/>
                <w:color w:val="000000"/>
                <w:kern w:val="0"/>
                <w:sz w:val="14"/>
                <w:szCs w:val="14"/>
                <w:lang w:bidi="en-US"/>
              </w:rPr>
              <w:t>4.</w:t>
            </w:r>
            <w:r>
              <w:rPr>
                <w:rFonts w:ascii="宋体" w:hAnsi="宋体" w:cs="宋体"/>
                <w:color w:val="000000"/>
                <w:kern w:val="0"/>
                <w:sz w:val="14"/>
                <w:szCs w:val="14"/>
                <w:lang w:val="zh-TW" w:eastAsia="zh-TW" w:bidi="zh-TW"/>
              </w:rPr>
              <w:t>5-3.6分；服务对象态度一般3.6-3分；服务对象不满意3-0分</w:t>
            </w:r>
          </w:p>
        </w:tc>
        <w:tc>
          <w:tcPr>
            <w:tcW w:w="1164" w:type="dxa"/>
            <w:tcBorders>
              <w:top w:val="single" w:color="auto" w:sz="4" w:space="0"/>
              <w:left w:val="single" w:color="auto" w:sz="4" w:space="0"/>
            </w:tcBorders>
            <w:shd w:val="clear" w:color="auto" w:fill="FFFFFF"/>
            <w:vAlign w:val="center"/>
          </w:tcPr>
          <w:p w14:paraId="74DABC98">
            <w:pPr>
              <w:ind w:firstLine="420" w:firstLineChars="300"/>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3.50</w:t>
            </w:r>
          </w:p>
        </w:tc>
        <w:tc>
          <w:tcPr>
            <w:tcW w:w="2708" w:type="dxa"/>
            <w:tcBorders>
              <w:top w:val="single" w:color="auto" w:sz="4" w:space="0"/>
              <w:left w:val="single" w:color="auto" w:sz="4" w:space="0"/>
              <w:right w:val="single" w:color="auto" w:sz="4" w:space="0"/>
            </w:tcBorders>
            <w:shd w:val="clear" w:color="auto" w:fill="FFFFFF"/>
            <w:vAlign w:val="center"/>
          </w:tcPr>
          <w:p w14:paraId="3A45053A">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未见</w:t>
            </w:r>
            <w:r>
              <w:rPr>
                <w:rFonts w:hint="eastAsia" w:ascii="宋体" w:hAnsi="宋体" w:cs="宋体"/>
                <w:color w:val="000000"/>
                <w:kern w:val="0"/>
                <w:sz w:val="14"/>
                <w:szCs w:val="14"/>
                <w:lang w:val="zh-TW" w:bidi="zh-TW"/>
              </w:rPr>
              <w:t>满意度调查</w:t>
            </w:r>
          </w:p>
        </w:tc>
      </w:tr>
      <w:tr w14:paraId="0FA57AA9">
        <w:tblPrEx>
          <w:tblCellMar>
            <w:top w:w="0" w:type="dxa"/>
            <w:left w:w="10" w:type="dxa"/>
            <w:bottom w:w="0" w:type="dxa"/>
            <w:right w:w="10" w:type="dxa"/>
          </w:tblCellMar>
        </w:tblPrEx>
        <w:trPr>
          <w:trHeight w:val="543" w:hRule="exact"/>
          <w:jc w:val="center"/>
        </w:trPr>
        <w:tc>
          <w:tcPr>
            <w:tcW w:w="3429" w:type="dxa"/>
            <w:gridSpan w:val="4"/>
            <w:tcBorders>
              <w:top w:val="single" w:color="auto" w:sz="4" w:space="0"/>
              <w:left w:val="single" w:color="auto" w:sz="4" w:space="0"/>
              <w:bottom w:val="single" w:color="auto" w:sz="4" w:space="0"/>
            </w:tcBorders>
            <w:shd w:val="clear" w:color="auto" w:fill="FFFFFF"/>
            <w:vAlign w:val="center"/>
          </w:tcPr>
          <w:p w14:paraId="0CECFDA6">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综合得分</w:t>
            </w:r>
          </w:p>
        </w:tc>
        <w:tc>
          <w:tcPr>
            <w:tcW w:w="1091" w:type="dxa"/>
            <w:tcBorders>
              <w:top w:val="single" w:color="auto" w:sz="4" w:space="0"/>
              <w:left w:val="single" w:color="auto" w:sz="4" w:space="0"/>
              <w:bottom w:val="single" w:color="auto" w:sz="4" w:space="0"/>
            </w:tcBorders>
            <w:shd w:val="clear" w:color="auto" w:fill="FFFFFF"/>
            <w:vAlign w:val="center"/>
          </w:tcPr>
          <w:p w14:paraId="0CC80A2D">
            <w:pPr>
              <w:ind w:firstLine="300"/>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100分</w:t>
            </w:r>
          </w:p>
        </w:tc>
        <w:tc>
          <w:tcPr>
            <w:tcW w:w="5375" w:type="dxa"/>
            <w:tcBorders>
              <w:top w:val="single" w:color="auto" w:sz="4" w:space="0"/>
              <w:left w:val="single" w:color="auto" w:sz="4" w:space="0"/>
              <w:bottom w:val="single" w:color="auto" w:sz="4" w:space="0"/>
            </w:tcBorders>
            <w:shd w:val="clear" w:color="auto" w:fill="FFFFFF"/>
          </w:tcPr>
          <w:p w14:paraId="57CD5CE3">
            <w:pPr>
              <w:jc w:val="left"/>
              <w:rPr>
                <w:rFonts w:eastAsia="Times New Roman"/>
                <w:color w:val="000000"/>
                <w:kern w:val="0"/>
                <w:sz w:val="10"/>
                <w:szCs w:val="10"/>
                <w:lang w:eastAsia="en-US" w:bidi="en-US"/>
              </w:rPr>
            </w:pPr>
          </w:p>
        </w:tc>
        <w:tc>
          <w:tcPr>
            <w:tcW w:w="1164" w:type="dxa"/>
            <w:tcBorders>
              <w:top w:val="single" w:color="auto" w:sz="4" w:space="0"/>
              <w:left w:val="single" w:color="auto" w:sz="4" w:space="0"/>
              <w:bottom w:val="single" w:color="auto" w:sz="4" w:space="0"/>
            </w:tcBorders>
            <w:shd w:val="clear" w:color="auto" w:fill="FFFFFF"/>
            <w:vAlign w:val="center"/>
          </w:tcPr>
          <w:p w14:paraId="4B4BEE24">
            <w:pPr>
              <w:ind w:firstLine="420" w:firstLineChars="300"/>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9</w:t>
            </w:r>
            <w:r>
              <w:rPr>
                <w:rFonts w:hint="eastAsia" w:ascii="宋体" w:hAnsi="宋体" w:cs="宋体"/>
                <w:color w:val="000000"/>
                <w:kern w:val="0"/>
                <w:sz w:val="14"/>
                <w:szCs w:val="14"/>
                <w:lang w:val="en-US" w:eastAsia="zh-CN" w:bidi="en-US"/>
              </w:rPr>
              <w:t>4</w:t>
            </w:r>
            <w:r>
              <w:rPr>
                <w:rFonts w:ascii="宋体" w:hAnsi="宋体" w:cs="宋体"/>
                <w:color w:val="000000"/>
                <w:kern w:val="0"/>
                <w:sz w:val="14"/>
                <w:szCs w:val="14"/>
                <w:lang w:eastAsia="en-US" w:bidi="en-US"/>
              </w:rPr>
              <w:t>.</w:t>
            </w:r>
            <w:r>
              <w:rPr>
                <w:rFonts w:hint="eastAsia" w:ascii="宋体" w:hAnsi="宋体" w:cs="宋体"/>
                <w:color w:val="000000"/>
                <w:kern w:val="0"/>
                <w:sz w:val="14"/>
                <w:szCs w:val="14"/>
                <w:lang w:bidi="en-US"/>
              </w:rPr>
              <w:t>1</w:t>
            </w:r>
            <w:r>
              <w:rPr>
                <w:rFonts w:ascii="宋体" w:hAnsi="宋体" w:cs="宋体"/>
                <w:color w:val="000000"/>
                <w:kern w:val="0"/>
                <w:sz w:val="14"/>
                <w:szCs w:val="14"/>
                <w:lang w:eastAsia="en-US" w:bidi="en-US"/>
              </w:rPr>
              <w:t>0</w:t>
            </w:r>
          </w:p>
        </w:tc>
        <w:tc>
          <w:tcPr>
            <w:tcW w:w="2708" w:type="dxa"/>
            <w:tcBorders>
              <w:top w:val="single" w:color="auto" w:sz="4" w:space="0"/>
              <w:left w:val="single" w:color="auto" w:sz="4" w:space="0"/>
              <w:bottom w:val="single" w:color="auto" w:sz="4" w:space="0"/>
              <w:right w:val="single" w:color="auto" w:sz="4" w:space="0"/>
            </w:tcBorders>
            <w:shd w:val="clear" w:color="auto" w:fill="FFFFFF"/>
          </w:tcPr>
          <w:p w14:paraId="380B44BD">
            <w:pPr>
              <w:jc w:val="left"/>
              <w:rPr>
                <w:rFonts w:eastAsia="Times New Roman"/>
                <w:color w:val="000000"/>
                <w:kern w:val="0"/>
                <w:sz w:val="10"/>
                <w:szCs w:val="10"/>
                <w:lang w:eastAsia="en-US" w:bidi="en-US"/>
              </w:rPr>
            </w:pPr>
          </w:p>
        </w:tc>
      </w:tr>
    </w:tbl>
    <w:p w14:paraId="14D94B9D">
      <w:pPr>
        <w:spacing w:line="600" w:lineRule="exact"/>
        <w:ind w:firstLine="420" w:firstLineChars="200"/>
      </w:pPr>
    </w:p>
    <w:sectPr>
      <w:footerReference r:id="rId4" w:type="default"/>
      <w:pgSz w:w="16838" w:h="11906" w:orient="landscape"/>
      <w:pgMar w:top="1587" w:right="2098" w:bottom="1474" w:left="1984"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1D308">
    <w:pPr>
      <w:pStyle w:val="1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4275A11A">
                          <w:pPr>
                            <w:pStyle w:val="13"/>
                          </w:pPr>
                          <w:r>
                            <w:fldChar w:fldCharType="begin"/>
                          </w:r>
                          <w:r>
                            <w:instrText xml:space="preserve"> PAGE  \* MERGEFORMAT </w:instrText>
                          </w:r>
                          <w:r>
                            <w:fldChar w:fldCharType="separate"/>
                          </w:r>
                          <w:r>
                            <w:t>14</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AfBqN30gEAAKUDAAAOAAAAAAAAAAEAIAAAAB4BAABk&#10;cnMvZTJvRG9jLnhtbFBLBQYAAAAABgAGAFkBAABiBQAAAAA=&#10;">
              <v:fill on="f" focussize="0,0"/>
              <v:stroke on="f"/>
              <v:imagedata o:title=""/>
              <o:lock v:ext="edit" aspectratio="f"/>
              <v:textbox inset="0mm,0mm,0mm,0mm" style="mso-fit-shape-to-text:t;">
                <w:txbxContent>
                  <w:p w14:paraId="4275A11A">
                    <w:pPr>
                      <w:pStyle w:val="13"/>
                    </w:pPr>
                    <w:r>
                      <w:fldChar w:fldCharType="begin"/>
                    </w:r>
                    <w:r>
                      <w:instrText xml:space="preserve"> PAGE  \* MERGEFORMAT </w:instrText>
                    </w:r>
                    <w:r>
                      <w:fldChar w:fldCharType="separate"/>
                    </w:r>
                    <w:r>
                      <w:t>14</w:t>
                    </w:r>
                    <w:r>
                      <w:fldChar w:fldCharType="end"/>
                    </w:r>
                  </w:p>
                </w:txbxContent>
              </v:textbox>
            </v:shape>
          </w:pict>
        </mc:Fallback>
      </mc:AlternateContent>
    </w:r>
    <w:sdt>
      <w:sdtPr>
        <w:id w:val="-797760772"/>
      </w:sdtPr>
      <w:sdtContent/>
    </w:sdt>
  </w:p>
  <w:p w14:paraId="0A38C57E">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CBFFC">
    <w:pPr>
      <w:pStyle w:val="1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2130347818"/>
                          </w:sdtPr>
                          <w:sdtContent>
                            <w:p w14:paraId="585415CE">
                              <w:pPr>
                                <w:pStyle w:val="13"/>
                                <w:jc w:val="center"/>
                              </w:pPr>
                              <w:r>
                                <w:fldChar w:fldCharType="begin"/>
                              </w:r>
                              <w:r>
                                <w:instrText xml:space="preserve">PAGE   \* MERGEFORMAT</w:instrText>
                              </w:r>
                              <w:r>
                                <w:fldChar w:fldCharType="separate"/>
                              </w:r>
                              <w:r>
                                <w:rPr>
                                  <w:lang w:val="zh-CN"/>
                                </w:rPr>
                                <w:t>17</w:t>
                              </w:r>
                              <w:r>
                                <w:fldChar w:fldCharType="end"/>
                              </w:r>
                            </w:p>
                          </w:sdtContent>
                        </w:sdt>
                        <w:p w14:paraId="7AAFFADF"/>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zql5uc8AAAAFAQAADwAAAAAAAAABACAAAAAiAAAAZHJz&#10;L2Rvd25yZXYueG1sUEsBAhQAFAAAAAgAh07iQKXTAhTUAQAApQMAAA4AAAAAAAAAAQAgAAAAHgEA&#10;AGRycy9lMm9Eb2MueG1sUEsFBgAAAAAGAAYAWQEAAGQFAAAAAA==&#10;">
              <v:fill on="f" focussize="0,0"/>
              <v:stroke on="f"/>
              <v:imagedata o:title=""/>
              <o:lock v:ext="edit" aspectratio="f"/>
              <v:textbox inset="0mm,0mm,0mm,0mm" style="mso-fit-shape-to-text:t;">
                <w:txbxContent>
                  <w:sdt>
                    <w:sdtPr>
                      <w:id w:val="2130347818"/>
                    </w:sdtPr>
                    <w:sdtContent>
                      <w:p w14:paraId="585415CE">
                        <w:pPr>
                          <w:pStyle w:val="13"/>
                          <w:jc w:val="center"/>
                        </w:pPr>
                        <w:r>
                          <w:fldChar w:fldCharType="begin"/>
                        </w:r>
                        <w:r>
                          <w:instrText xml:space="preserve">PAGE   \* MERGEFORMAT</w:instrText>
                        </w:r>
                        <w:r>
                          <w:fldChar w:fldCharType="separate"/>
                        </w:r>
                        <w:r>
                          <w:rPr>
                            <w:lang w:val="zh-CN"/>
                          </w:rPr>
                          <w:t>17</w:t>
                        </w:r>
                        <w:r>
                          <w:fldChar w:fldCharType="end"/>
                        </w:r>
                      </w:p>
                    </w:sdtContent>
                  </w:sdt>
                  <w:p w14:paraId="7AAFFADF"/>
                </w:txbxContent>
              </v:textbox>
            </v:shape>
          </w:pict>
        </mc:Fallback>
      </mc:AlternateContent>
    </w:r>
  </w:p>
  <w:p w14:paraId="4B454EC6">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yNzA1ODI0Y2M3MmYyNGE2OGM5MWFiODYxN2JlOGMifQ=="/>
  </w:docVars>
  <w:rsids>
    <w:rsidRoot w:val="00D52695"/>
    <w:rsid w:val="000003AC"/>
    <w:rsid w:val="000007C8"/>
    <w:rsid w:val="00001B06"/>
    <w:rsid w:val="00001B6F"/>
    <w:rsid w:val="00001DC3"/>
    <w:rsid w:val="00001F32"/>
    <w:rsid w:val="00001F5B"/>
    <w:rsid w:val="000020B4"/>
    <w:rsid w:val="00002A9B"/>
    <w:rsid w:val="00002B1C"/>
    <w:rsid w:val="00003E66"/>
    <w:rsid w:val="00004D93"/>
    <w:rsid w:val="00006288"/>
    <w:rsid w:val="0000630F"/>
    <w:rsid w:val="00006AF4"/>
    <w:rsid w:val="0000774A"/>
    <w:rsid w:val="00007D05"/>
    <w:rsid w:val="0001053E"/>
    <w:rsid w:val="000125CA"/>
    <w:rsid w:val="00012EC5"/>
    <w:rsid w:val="00013A2B"/>
    <w:rsid w:val="00013B18"/>
    <w:rsid w:val="00013BA1"/>
    <w:rsid w:val="00013F06"/>
    <w:rsid w:val="000149C4"/>
    <w:rsid w:val="00015881"/>
    <w:rsid w:val="000164FE"/>
    <w:rsid w:val="000165B1"/>
    <w:rsid w:val="0002016D"/>
    <w:rsid w:val="000204AC"/>
    <w:rsid w:val="00020A5E"/>
    <w:rsid w:val="00021B6E"/>
    <w:rsid w:val="00021BA6"/>
    <w:rsid w:val="00021DEF"/>
    <w:rsid w:val="00021E11"/>
    <w:rsid w:val="000222AB"/>
    <w:rsid w:val="00023289"/>
    <w:rsid w:val="000235CA"/>
    <w:rsid w:val="00023E01"/>
    <w:rsid w:val="000248D7"/>
    <w:rsid w:val="000254C1"/>
    <w:rsid w:val="00025684"/>
    <w:rsid w:val="0002629D"/>
    <w:rsid w:val="00027020"/>
    <w:rsid w:val="000273EF"/>
    <w:rsid w:val="00027621"/>
    <w:rsid w:val="000278E3"/>
    <w:rsid w:val="00030E57"/>
    <w:rsid w:val="0003267F"/>
    <w:rsid w:val="0003280E"/>
    <w:rsid w:val="00033400"/>
    <w:rsid w:val="0003389E"/>
    <w:rsid w:val="00033D83"/>
    <w:rsid w:val="00033FB6"/>
    <w:rsid w:val="000344AE"/>
    <w:rsid w:val="00035B0C"/>
    <w:rsid w:val="00041037"/>
    <w:rsid w:val="000410ED"/>
    <w:rsid w:val="0004154A"/>
    <w:rsid w:val="00041CB7"/>
    <w:rsid w:val="00043E20"/>
    <w:rsid w:val="00044B33"/>
    <w:rsid w:val="00044CCD"/>
    <w:rsid w:val="00045394"/>
    <w:rsid w:val="000455AC"/>
    <w:rsid w:val="000461C0"/>
    <w:rsid w:val="00046F04"/>
    <w:rsid w:val="00046FF8"/>
    <w:rsid w:val="00047854"/>
    <w:rsid w:val="0004797E"/>
    <w:rsid w:val="00047C23"/>
    <w:rsid w:val="00052A17"/>
    <w:rsid w:val="000538F9"/>
    <w:rsid w:val="00054276"/>
    <w:rsid w:val="000543D1"/>
    <w:rsid w:val="00056898"/>
    <w:rsid w:val="00061826"/>
    <w:rsid w:val="00061D3E"/>
    <w:rsid w:val="000625EE"/>
    <w:rsid w:val="000627FC"/>
    <w:rsid w:val="0006308E"/>
    <w:rsid w:val="0006353B"/>
    <w:rsid w:val="000637AF"/>
    <w:rsid w:val="00064511"/>
    <w:rsid w:val="00065EBA"/>
    <w:rsid w:val="00066D31"/>
    <w:rsid w:val="000675C2"/>
    <w:rsid w:val="000675F6"/>
    <w:rsid w:val="0006785F"/>
    <w:rsid w:val="000708DC"/>
    <w:rsid w:val="00070907"/>
    <w:rsid w:val="00070AB9"/>
    <w:rsid w:val="00071F80"/>
    <w:rsid w:val="00072082"/>
    <w:rsid w:val="00073D17"/>
    <w:rsid w:val="00073DBC"/>
    <w:rsid w:val="00075E39"/>
    <w:rsid w:val="0008021C"/>
    <w:rsid w:val="00080470"/>
    <w:rsid w:val="00080A11"/>
    <w:rsid w:val="00080B19"/>
    <w:rsid w:val="000810CC"/>
    <w:rsid w:val="0008286D"/>
    <w:rsid w:val="00084D0B"/>
    <w:rsid w:val="00086CA3"/>
    <w:rsid w:val="00090397"/>
    <w:rsid w:val="000903D6"/>
    <w:rsid w:val="0009088C"/>
    <w:rsid w:val="0009209E"/>
    <w:rsid w:val="000921C1"/>
    <w:rsid w:val="000921D4"/>
    <w:rsid w:val="00092822"/>
    <w:rsid w:val="00093ECE"/>
    <w:rsid w:val="000943EE"/>
    <w:rsid w:val="00094ACB"/>
    <w:rsid w:val="00094B1D"/>
    <w:rsid w:val="000953C7"/>
    <w:rsid w:val="0009630A"/>
    <w:rsid w:val="00096636"/>
    <w:rsid w:val="000970D4"/>
    <w:rsid w:val="00097785"/>
    <w:rsid w:val="000A03E1"/>
    <w:rsid w:val="000A17FD"/>
    <w:rsid w:val="000A18B5"/>
    <w:rsid w:val="000A3856"/>
    <w:rsid w:val="000A4786"/>
    <w:rsid w:val="000A50FB"/>
    <w:rsid w:val="000A5CFA"/>
    <w:rsid w:val="000A631A"/>
    <w:rsid w:val="000A68DC"/>
    <w:rsid w:val="000B0A0E"/>
    <w:rsid w:val="000B228B"/>
    <w:rsid w:val="000B2684"/>
    <w:rsid w:val="000B30FC"/>
    <w:rsid w:val="000B3DB3"/>
    <w:rsid w:val="000B3F39"/>
    <w:rsid w:val="000B4263"/>
    <w:rsid w:val="000B427D"/>
    <w:rsid w:val="000B5C15"/>
    <w:rsid w:val="000B5F6A"/>
    <w:rsid w:val="000C036F"/>
    <w:rsid w:val="000C0B3E"/>
    <w:rsid w:val="000C0C78"/>
    <w:rsid w:val="000C2A83"/>
    <w:rsid w:val="000C39D2"/>
    <w:rsid w:val="000C3EA6"/>
    <w:rsid w:val="000C4192"/>
    <w:rsid w:val="000C4ED8"/>
    <w:rsid w:val="000C54D9"/>
    <w:rsid w:val="000C55E5"/>
    <w:rsid w:val="000C57AD"/>
    <w:rsid w:val="000C659C"/>
    <w:rsid w:val="000C7BC2"/>
    <w:rsid w:val="000D02BF"/>
    <w:rsid w:val="000D0C21"/>
    <w:rsid w:val="000D31C7"/>
    <w:rsid w:val="000D49F0"/>
    <w:rsid w:val="000D49F1"/>
    <w:rsid w:val="000D63D0"/>
    <w:rsid w:val="000D79E2"/>
    <w:rsid w:val="000D7CD1"/>
    <w:rsid w:val="000E081E"/>
    <w:rsid w:val="000E1F6E"/>
    <w:rsid w:val="000E20D2"/>
    <w:rsid w:val="000E30A0"/>
    <w:rsid w:val="000E3AA7"/>
    <w:rsid w:val="000E4FF8"/>
    <w:rsid w:val="000E7B3E"/>
    <w:rsid w:val="000F010C"/>
    <w:rsid w:val="000F02D0"/>
    <w:rsid w:val="000F3AE6"/>
    <w:rsid w:val="000F508B"/>
    <w:rsid w:val="000F5331"/>
    <w:rsid w:val="000F6780"/>
    <w:rsid w:val="000F6D3C"/>
    <w:rsid w:val="000F6F1F"/>
    <w:rsid w:val="000F722E"/>
    <w:rsid w:val="000F757E"/>
    <w:rsid w:val="0010001A"/>
    <w:rsid w:val="00101044"/>
    <w:rsid w:val="00101728"/>
    <w:rsid w:val="00101C63"/>
    <w:rsid w:val="00101EE4"/>
    <w:rsid w:val="001020CD"/>
    <w:rsid w:val="00102409"/>
    <w:rsid w:val="001027C0"/>
    <w:rsid w:val="00102FEA"/>
    <w:rsid w:val="00103105"/>
    <w:rsid w:val="001031FD"/>
    <w:rsid w:val="001039DB"/>
    <w:rsid w:val="00105567"/>
    <w:rsid w:val="00105766"/>
    <w:rsid w:val="00105D6D"/>
    <w:rsid w:val="001070BF"/>
    <w:rsid w:val="00107484"/>
    <w:rsid w:val="00107E74"/>
    <w:rsid w:val="0011070C"/>
    <w:rsid w:val="00110740"/>
    <w:rsid w:val="00110AB5"/>
    <w:rsid w:val="00111036"/>
    <w:rsid w:val="00111EF4"/>
    <w:rsid w:val="001120AF"/>
    <w:rsid w:val="00112143"/>
    <w:rsid w:val="0011441B"/>
    <w:rsid w:val="00115806"/>
    <w:rsid w:val="0012189D"/>
    <w:rsid w:val="00122679"/>
    <w:rsid w:val="001227A2"/>
    <w:rsid w:val="00123CAA"/>
    <w:rsid w:val="00124CC6"/>
    <w:rsid w:val="00125D8E"/>
    <w:rsid w:val="00125DF6"/>
    <w:rsid w:val="00127576"/>
    <w:rsid w:val="0013000C"/>
    <w:rsid w:val="0013001B"/>
    <w:rsid w:val="00131B09"/>
    <w:rsid w:val="00131CA3"/>
    <w:rsid w:val="0013238C"/>
    <w:rsid w:val="001348FC"/>
    <w:rsid w:val="00134B50"/>
    <w:rsid w:val="001357A5"/>
    <w:rsid w:val="0013580D"/>
    <w:rsid w:val="00135E18"/>
    <w:rsid w:val="00136292"/>
    <w:rsid w:val="0013718D"/>
    <w:rsid w:val="001411FC"/>
    <w:rsid w:val="00143778"/>
    <w:rsid w:val="00144F98"/>
    <w:rsid w:val="00145B02"/>
    <w:rsid w:val="00145DE1"/>
    <w:rsid w:val="00147053"/>
    <w:rsid w:val="001479B2"/>
    <w:rsid w:val="00147D19"/>
    <w:rsid w:val="00150FAE"/>
    <w:rsid w:val="001510CA"/>
    <w:rsid w:val="001510F2"/>
    <w:rsid w:val="00151D26"/>
    <w:rsid w:val="00152D68"/>
    <w:rsid w:val="00153B2A"/>
    <w:rsid w:val="00154D8A"/>
    <w:rsid w:val="00155929"/>
    <w:rsid w:val="001568FB"/>
    <w:rsid w:val="00157593"/>
    <w:rsid w:val="001579D9"/>
    <w:rsid w:val="00157B4A"/>
    <w:rsid w:val="001610FB"/>
    <w:rsid w:val="00161325"/>
    <w:rsid w:val="00161ABA"/>
    <w:rsid w:val="00161CC1"/>
    <w:rsid w:val="00164F09"/>
    <w:rsid w:val="0016543A"/>
    <w:rsid w:val="00165DA4"/>
    <w:rsid w:val="00165EB3"/>
    <w:rsid w:val="00166542"/>
    <w:rsid w:val="0016654E"/>
    <w:rsid w:val="00166ABD"/>
    <w:rsid w:val="00166BAC"/>
    <w:rsid w:val="00166D1C"/>
    <w:rsid w:val="00167940"/>
    <w:rsid w:val="00167F2B"/>
    <w:rsid w:val="0017053F"/>
    <w:rsid w:val="00171B41"/>
    <w:rsid w:val="00173136"/>
    <w:rsid w:val="00174780"/>
    <w:rsid w:val="00174A21"/>
    <w:rsid w:val="001750B2"/>
    <w:rsid w:val="0018049C"/>
    <w:rsid w:val="001808D3"/>
    <w:rsid w:val="00181EA5"/>
    <w:rsid w:val="0018238C"/>
    <w:rsid w:val="00182996"/>
    <w:rsid w:val="00182BAF"/>
    <w:rsid w:val="00182E16"/>
    <w:rsid w:val="00183E15"/>
    <w:rsid w:val="00183F97"/>
    <w:rsid w:val="00184586"/>
    <w:rsid w:val="00185474"/>
    <w:rsid w:val="00185CA5"/>
    <w:rsid w:val="001863F2"/>
    <w:rsid w:val="00186768"/>
    <w:rsid w:val="00186CEC"/>
    <w:rsid w:val="00186F41"/>
    <w:rsid w:val="00190751"/>
    <w:rsid w:val="00190D3F"/>
    <w:rsid w:val="00190FA4"/>
    <w:rsid w:val="00192AB7"/>
    <w:rsid w:val="00193577"/>
    <w:rsid w:val="00193FF9"/>
    <w:rsid w:val="001944FC"/>
    <w:rsid w:val="00194BF6"/>
    <w:rsid w:val="00195D71"/>
    <w:rsid w:val="001973A0"/>
    <w:rsid w:val="001974B8"/>
    <w:rsid w:val="00197C06"/>
    <w:rsid w:val="001A03DE"/>
    <w:rsid w:val="001A1147"/>
    <w:rsid w:val="001A1F28"/>
    <w:rsid w:val="001A27D6"/>
    <w:rsid w:val="001A34DA"/>
    <w:rsid w:val="001A39EB"/>
    <w:rsid w:val="001A46FC"/>
    <w:rsid w:val="001A4729"/>
    <w:rsid w:val="001A5579"/>
    <w:rsid w:val="001A55A4"/>
    <w:rsid w:val="001A5D0C"/>
    <w:rsid w:val="001A7BD9"/>
    <w:rsid w:val="001A7C0F"/>
    <w:rsid w:val="001B033F"/>
    <w:rsid w:val="001B0F5B"/>
    <w:rsid w:val="001B1D59"/>
    <w:rsid w:val="001B2035"/>
    <w:rsid w:val="001B20BF"/>
    <w:rsid w:val="001B25B5"/>
    <w:rsid w:val="001B2BFA"/>
    <w:rsid w:val="001B3359"/>
    <w:rsid w:val="001B4297"/>
    <w:rsid w:val="001B5BAA"/>
    <w:rsid w:val="001B6509"/>
    <w:rsid w:val="001B6BCF"/>
    <w:rsid w:val="001B6D26"/>
    <w:rsid w:val="001B6E1E"/>
    <w:rsid w:val="001B7BDD"/>
    <w:rsid w:val="001B7CD3"/>
    <w:rsid w:val="001C19C0"/>
    <w:rsid w:val="001C2939"/>
    <w:rsid w:val="001C32F9"/>
    <w:rsid w:val="001C3AFB"/>
    <w:rsid w:val="001C46EF"/>
    <w:rsid w:val="001C543B"/>
    <w:rsid w:val="001C5AD6"/>
    <w:rsid w:val="001C5B9B"/>
    <w:rsid w:val="001C6171"/>
    <w:rsid w:val="001D079F"/>
    <w:rsid w:val="001D0ABA"/>
    <w:rsid w:val="001D0BB9"/>
    <w:rsid w:val="001D11B0"/>
    <w:rsid w:val="001D1CD1"/>
    <w:rsid w:val="001D1D38"/>
    <w:rsid w:val="001D2A90"/>
    <w:rsid w:val="001D32DD"/>
    <w:rsid w:val="001D4312"/>
    <w:rsid w:val="001D6C33"/>
    <w:rsid w:val="001D6F02"/>
    <w:rsid w:val="001D7455"/>
    <w:rsid w:val="001D7D42"/>
    <w:rsid w:val="001E01E8"/>
    <w:rsid w:val="001E0C23"/>
    <w:rsid w:val="001E20FC"/>
    <w:rsid w:val="001E2E61"/>
    <w:rsid w:val="001E44ED"/>
    <w:rsid w:val="001E479D"/>
    <w:rsid w:val="001E4B65"/>
    <w:rsid w:val="001E4EED"/>
    <w:rsid w:val="001E5AA9"/>
    <w:rsid w:val="001E6339"/>
    <w:rsid w:val="001E6CC9"/>
    <w:rsid w:val="001E786E"/>
    <w:rsid w:val="001E7F7A"/>
    <w:rsid w:val="001F08A4"/>
    <w:rsid w:val="001F0D69"/>
    <w:rsid w:val="001F143D"/>
    <w:rsid w:val="001F1497"/>
    <w:rsid w:val="001F169F"/>
    <w:rsid w:val="001F2439"/>
    <w:rsid w:val="001F31F4"/>
    <w:rsid w:val="001F376E"/>
    <w:rsid w:val="001F3E3B"/>
    <w:rsid w:val="001F50A1"/>
    <w:rsid w:val="001F60AF"/>
    <w:rsid w:val="001F6F73"/>
    <w:rsid w:val="001F712E"/>
    <w:rsid w:val="00200287"/>
    <w:rsid w:val="002003C3"/>
    <w:rsid w:val="00202970"/>
    <w:rsid w:val="00202BD0"/>
    <w:rsid w:val="00203262"/>
    <w:rsid w:val="002043BE"/>
    <w:rsid w:val="002043C2"/>
    <w:rsid w:val="00204CFA"/>
    <w:rsid w:val="00205FDC"/>
    <w:rsid w:val="002075A1"/>
    <w:rsid w:val="00207D02"/>
    <w:rsid w:val="00211A94"/>
    <w:rsid w:val="00211E58"/>
    <w:rsid w:val="002125DA"/>
    <w:rsid w:val="002133AD"/>
    <w:rsid w:val="002133D4"/>
    <w:rsid w:val="002141BF"/>
    <w:rsid w:val="00217084"/>
    <w:rsid w:val="00217108"/>
    <w:rsid w:val="00220E80"/>
    <w:rsid w:val="0022374F"/>
    <w:rsid w:val="002242DE"/>
    <w:rsid w:val="002243B1"/>
    <w:rsid w:val="00225641"/>
    <w:rsid w:val="002269F3"/>
    <w:rsid w:val="00226DB5"/>
    <w:rsid w:val="00226EE7"/>
    <w:rsid w:val="00230D7E"/>
    <w:rsid w:val="002315F5"/>
    <w:rsid w:val="00231F08"/>
    <w:rsid w:val="0023289A"/>
    <w:rsid w:val="0023298D"/>
    <w:rsid w:val="00232FC6"/>
    <w:rsid w:val="0023400F"/>
    <w:rsid w:val="002342D3"/>
    <w:rsid w:val="0023434F"/>
    <w:rsid w:val="00235495"/>
    <w:rsid w:val="00235B0F"/>
    <w:rsid w:val="00237CFD"/>
    <w:rsid w:val="00240734"/>
    <w:rsid w:val="00243700"/>
    <w:rsid w:val="00243E94"/>
    <w:rsid w:val="002442B5"/>
    <w:rsid w:val="0024523F"/>
    <w:rsid w:val="00245C7C"/>
    <w:rsid w:val="00247542"/>
    <w:rsid w:val="0025123B"/>
    <w:rsid w:val="002512BF"/>
    <w:rsid w:val="00252E36"/>
    <w:rsid w:val="00253852"/>
    <w:rsid w:val="00253C1A"/>
    <w:rsid w:val="00254775"/>
    <w:rsid w:val="00254D47"/>
    <w:rsid w:val="0025587B"/>
    <w:rsid w:val="0025637D"/>
    <w:rsid w:val="00256827"/>
    <w:rsid w:val="00256BDA"/>
    <w:rsid w:val="00256C4D"/>
    <w:rsid w:val="00256F90"/>
    <w:rsid w:val="002571D8"/>
    <w:rsid w:val="0025779E"/>
    <w:rsid w:val="00257966"/>
    <w:rsid w:val="00257FB7"/>
    <w:rsid w:val="002614F9"/>
    <w:rsid w:val="00261901"/>
    <w:rsid w:val="00262D09"/>
    <w:rsid w:val="00264A72"/>
    <w:rsid w:val="00265049"/>
    <w:rsid w:val="0026570E"/>
    <w:rsid w:val="00265BA6"/>
    <w:rsid w:val="00265F0E"/>
    <w:rsid w:val="0026641D"/>
    <w:rsid w:val="00270AAB"/>
    <w:rsid w:val="00270DD9"/>
    <w:rsid w:val="002715E3"/>
    <w:rsid w:val="002726D3"/>
    <w:rsid w:val="00272C29"/>
    <w:rsid w:val="00273141"/>
    <w:rsid w:val="00274ADD"/>
    <w:rsid w:val="0027530A"/>
    <w:rsid w:val="00276D7C"/>
    <w:rsid w:val="0027742E"/>
    <w:rsid w:val="00277ADB"/>
    <w:rsid w:val="00277FD8"/>
    <w:rsid w:val="00280053"/>
    <w:rsid w:val="002800D6"/>
    <w:rsid w:val="00280222"/>
    <w:rsid w:val="0028132E"/>
    <w:rsid w:val="0028178D"/>
    <w:rsid w:val="00284EA2"/>
    <w:rsid w:val="00286534"/>
    <w:rsid w:val="00287F3C"/>
    <w:rsid w:val="00290277"/>
    <w:rsid w:val="00291EBD"/>
    <w:rsid w:val="0029221A"/>
    <w:rsid w:val="002929FE"/>
    <w:rsid w:val="00292A26"/>
    <w:rsid w:val="002935B2"/>
    <w:rsid w:val="002936DA"/>
    <w:rsid w:val="00294614"/>
    <w:rsid w:val="00297E53"/>
    <w:rsid w:val="002A132F"/>
    <w:rsid w:val="002A14FE"/>
    <w:rsid w:val="002A31EA"/>
    <w:rsid w:val="002A3483"/>
    <w:rsid w:val="002A5020"/>
    <w:rsid w:val="002A5D71"/>
    <w:rsid w:val="002A68B8"/>
    <w:rsid w:val="002A7A59"/>
    <w:rsid w:val="002B0F06"/>
    <w:rsid w:val="002B2142"/>
    <w:rsid w:val="002B2B43"/>
    <w:rsid w:val="002B3D70"/>
    <w:rsid w:val="002B59EF"/>
    <w:rsid w:val="002C0F84"/>
    <w:rsid w:val="002C1AE3"/>
    <w:rsid w:val="002C27E1"/>
    <w:rsid w:val="002C2938"/>
    <w:rsid w:val="002C2F34"/>
    <w:rsid w:val="002C397B"/>
    <w:rsid w:val="002C429E"/>
    <w:rsid w:val="002C4448"/>
    <w:rsid w:val="002C4D70"/>
    <w:rsid w:val="002C63EA"/>
    <w:rsid w:val="002C66FB"/>
    <w:rsid w:val="002C67DF"/>
    <w:rsid w:val="002D074E"/>
    <w:rsid w:val="002D0D30"/>
    <w:rsid w:val="002D3CE9"/>
    <w:rsid w:val="002D3F66"/>
    <w:rsid w:val="002D456B"/>
    <w:rsid w:val="002D4BBF"/>
    <w:rsid w:val="002D6577"/>
    <w:rsid w:val="002D65AD"/>
    <w:rsid w:val="002D678E"/>
    <w:rsid w:val="002D6847"/>
    <w:rsid w:val="002D68EC"/>
    <w:rsid w:val="002D69E0"/>
    <w:rsid w:val="002D78E5"/>
    <w:rsid w:val="002E0844"/>
    <w:rsid w:val="002E1940"/>
    <w:rsid w:val="002E2EE8"/>
    <w:rsid w:val="002E3CFA"/>
    <w:rsid w:val="002E40F1"/>
    <w:rsid w:val="002E50F8"/>
    <w:rsid w:val="002E5B35"/>
    <w:rsid w:val="002E5D32"/>
    <w:rsid w:val="002E5FAF"/>
    <w:rsid w:val="002E66B8"/>
    <w:rsid w:val="002E6B50"/>
    <w:rsid w:val="002E75D4"/>
    <w:rsid w:val="002F02E4"/>
    <w:rsid w:val="002F07C8"/>
    <w:rsid w:val="002F2B85"/>
    <w:rsid w:val="002F5C1E"/>
    <w:rsid w:val="002F6D70"/>
    <w:rsid w:val="002F765E"/>
    <w:rsid w:val="002F777F"/>
    <w:rsid w:val="002F78E5"/>
    <w:rsid w:val="002F7D22"/>
    <w:rsid w:val="003001D2"/>
    <w:rsid w:val="00303406"/>
    <w:rsid w:val="00303891"/>
    <w:rsid w:val="00304229"/>
    <w:rsid w:val="0030458F"/>
    <w:rsid w:val="00304E4A"/>
    <w:rsid w:val="00304FCB"/>
    <w:rsid w:val="003055DC"/>
    <w:rsid w:val="00305848"/>
    <w:rsid w:val="00305E17"/>
    <w:rsid w:val="003063F4"/>
    <w:rsid w:val="003069B5"/>
    <w:rsid w:val="00306C9B"/>
    <w:rsid w:val="003101B7"/>
    <w:rsid w:val="003101BC"/>
    <w:rsid w:val="003103B5"/>
    <w:rsid w:val="003119C4"/>
    <w:rsid w:val="00311E9F"/>
    <w:rsid w:val="00311FDF"/>
    <w:rsid w:val="003142BE"/>
    <w:rsid w:val="00316FED"/>
    <w:rsid w:val="00317449"/>
    <w:rsid w:val="00317BD7"/>
    <w:rsid w:val="0032098F"/>
    <w:rsid w:val="0032101C"/>
    <w:rsid w:val="003214BB"/>
    <w:rsid w:val="003227FB"/>
    <w:rsid w:val="00322F39"/>
    <w:rsid w:val="003231EC"/>
    <w:rsid w:val="00324203"/>
    <w:rsid w:val="00324814"/>
    <w:rsid w:val="0032481F"/>
    <w:rsid w:val="003250F0"/>
    <w:rsid w:val="00326452"/>
    <w:rsid w:val="00326876"/>
    <w:rsid w:val="00326BAB"/>
    <w:rsid w:val="0032788E"/>
    <w:rsid w:val="0033031B"/>
    <w:rsid w:val="003305C0"/>
    <w:rsid w:val="003305E4"/>
    <w:rsid w:val="00330A7F"/>
    <w:rsid w:val="00331A84"/>
    <w:rsid w:val="00331E9B"/>
    <w:rsid w:val="00332519"/>
    <w:rsid w:val="00333026"/>
    <w:rsid w:val="003336AA"/>
    <w:rsid w:val="00333C8D"/>
    <w:rsid w:val="0033443D"/>
    <w:rsid w:val="00334FFD"/>
    <w:rsid w:val="003368C1"/>
    <w:rsid w:val="003379CD"/>
    <w:rsid w:val="003402A7"/>
    <w:rsid w:val="00340A3E"/>
    <w:rsid w:val="00340E9D"/>
    <w:rsid w:val="0034114C"/>
    <w:rsid w:val="00341463"/>
    <w:rsid w:val="003426A4"/>
    <w:rsid w:val="00342EB4"/>
    <w:rsid w:val="00342FB2"/>
    <w:rsid w:val="0034339D"/>
    <w:rsid w:val="00343787"/>
    <w:rsid w:val="0034412C"/>
    <w:rsid w:val="00344511"/>
    <w:rsid w:val="00344622"/>
    <w:rsid w:val="00344BCB"/>
    <w:rsid w:val="00344BF2"/>
    <w:rsid w:val="003461AB"/>
    <w:rsid w:val="003463FE"/>
    <w:rsid w:val="003472F7"/>
    <w:rsid w:val="00347C53"/>
    <w:rsid w:val="00350A87"/>
    <w:rsid w:val="00351943"/>
    <w:rsid w:val="00351DEC"/>
    <w:rsid w:val="00351F43"/>
    <w:rsid w:val="00352366"/>
    <w:rsid w:val="003523D1"/>
    <w:rsid w:val="00353B79"/>
    <w:rsid w:val="00353CA3"/>
    <w:rsid w:val="0035509E"/>
    <w:rsid w:val="0035546B"/>
    <w:rsid w:val="003568A8"/>
    <w:rsid w:val="00356A53"/>
    <w:rsid w:val="0036176F"/>
    <w:rsid w:val="003623B2"/>
    <w:rsid w:val="003627EB"/>
    <w:rsid w:val="00362C88"/>
    <w:rsid w:val="0036513D"/>
    <w:rsid w:val="003658FD"/>
    <w:rsid w:val="00365E21"/>
    <w:rsid w:val="003665A7"/>
    <w:rsid w:val="00366BDD"/>
    <w:rsid w:val="00367F10"/>
    <w:rsid w:val="00371A6D"/>
    <w:rsid w:val="00372EA9"/>
    <w:rsid w:val="00373D0C"/>
    <w:rsid w:val="00374112"/>
    <w:rsid w:val="003751E9"/>
    <w:rsid w:val="00375492"/>
    <w:rsid w:val="003763F0"/>
    <w:rsid w:val="00376863"/>
    <w:rsid w:val="00377800"/>
    <w:rsid w:val="00377A3C"/>
    <w:rsid w:val="003801B7"/>
    <w:rsid w:val="00380754"/>
    <w:rsid w:val="00384E7C"/>
    <w:rsid w:val="0038642E"/>
    <w:rsid w:val="003902CB"/>
    <w:rsid w:val="0039055A"/>
    <w:rsid w:val="003911EE"/>
    <w:rsid w:val="003936D9"/>
    <w:rsid w:val="003941DE"/>
    <w:rsid w:val="003941F3"/>
    <w:rsid w:val="00395A88"/>
    <w:rsid w:val="003A084C"/>
    <w:rsid w:val="003A163B"/>
    <w:rsid w:val="003A1E5C"/>
    <w:rsid w:val="003A286B"/>
    <w:rsid w:val="003A417F"/>
    <w:rsid w:val="003A46D2"/>
    <w:rsid w:val="003A4846"/>
    <w:rsid w:val="003A54A5"/>
    <w:rsid w:val="003A7399"/>
    <w:rsid w:val="003B001B"/>
    <w:rsid w:val="003B0B55"/>
    <w:rsid w:val="003B0BCA"/>
    <w:rsid w:val="003B0F51"/>
    <w:rsid w:val="003B1C60"/>
    <w:rsid w:val="003B29F3"/>
    <w:rsid w:val="003B2A1F"/>
    <w:rsid w:val="003B3C7B"/>
    <w:rsid w:val="003B450F"/>
    <w:rsid w:val="003B461E"/>
    <w:rsid w:val="003B4A17"/>
    <w:rsid w:val="003B5135"/>
    <w:rsid w:val="003B534B"/>
    <w:rsid w:val="003B6832"/>
    <w:rsid w:val="003C03D2"/>
    <w:rsid w:val="003C17BB"/>
    <w:rsid w:val="003C302A"/>
    <w:rsid w:val="003C5517"/>
    <w:rsid w:val="003C5AAA"/>
    <w:rsid w:val="003C6A5F"/>
    <w:rsid w:val="003C7072"/>
    <w:rsid w:val="003D0061"/>
    <w:rsid w:val="003D0340"/>
    <w:rsid w:val="003D1C31"/>
    <w:rsid w:val="003D2277"/>
    <w:rsid w:val="003D2CA7"/>
    <w:rsid w:val="003D6B86"/>
    <w:rsid w:val="003E005A"/>
    <w:rsid w:val="003E0789"/>
    <w:rsid w:val="003E150C"/>
    <w:rsid w:val="003E1BDB"/>
    <w:rsid w:val="003E41AC"/>
    <w:rsid w:val="003E4259"/>
    <w:rsid w:val="003E4E2F"/>
    <w:rsid w:val="003E6425"/>
    <w:rsid w:val="003E71AC"/>
    <w:rsid w:val="003F13FA"/>
    <w:rsid w:val="003F2DEC"/>
    <w:rsid w:val="003F30D7"/>
    <w:rsid w:val="003F4274"/>
    <w:rsid w:val="003F57D3"/>
    <w:rsid w:val="00400D0E"/>
    <w:rsid w:val="00401161"/>
    <w:rsid w:val="00401204"/>
    <w:rsid w:val="0040129E"/>
    <w:rsid w:val="004016BB"/>
    <w:rsid w:val="004025A4"/>
    <w:rsid w:val="00403744"/>
    <w:rsid w:val="00404DDF"/>
    <w:rsid w:val="004065FC"/>
    <w:rsid w:val="00406729"/>
    <w:rsid w:val="00407014"/>
    <w:rsid w:val="0041241F"/>
    <w:rsid w:val="004129F9"/>
    <w:rsid w:val="00412F78"/>
    <w:rsid w:val="00414194"/>
    <w:rsid w:val="0041517D"/>
    <w:rsid w:val="00415232"/>
    <w:rsid w:val="0041537B"/>
    <w:rsid w:val="00416483"/>
    <w:rsid w:val="00417B76"/>
    <w:rsid w:val="00417E14"/>
    <w:rsid w:val="00420FAE"/>
    <w:rsid w:val="004213FD"/>
    <w:rsid w:val="0042151E"/>
    <w:rsid w:val="00421C6E"/>
    <w:rsid w:val="0042345F"/>
    <w:rsid w:val="00424291"/>
    <w:rsid w:val="004244FB"/>
    <w:rsid w:val="00424D3D"/>
    <w:rsid w:val="004258D7"/>
    <w:rsid w:val="00425B70"/>
    <w:rsid w:val="0042727A"/>
    <w:rsid w:val="00427291"/>
    <w:rsid w:val="00431DED"/>
    <w:rsid w:val="00432038"/>
    <w:rsid w:val="0043380D"/>
    <w:rsid w:val="00434379"/>
    <w:rsid w:val="00434AEA"/>
    <w:rsid w:val="004352FD"/>
    <w:rsid w:val="004360CC"/>
    <w:rsid w:val="0043635D"/>
    <w:rsid w:val="00437EBD"/>
    <w:rsid w:val="0044083B"/>
    <w:rsid w:val="004414B5"/>
    <w:rsid w:val="00441671"/>
    <w:rsid w:val="00441981"/>
    <w:rsid w:val="00442EB3"/>
    <w:rsid w:val="00443A52"/>
    <w:rsid w:val="00443FF7"/>
    <w:rsid w:val="004456F3"/>
    <w:rsid w:val="00445C33"/>
    <w:rsid w:val="0044615C"/>
    <w:rsid w:val="00446B18"/>
    <w:rsid w:val="00447C22"/>
    <w:rsid w:val="00450230"/>
    <w:rsid w:val="00450A42"/>
    <w:rsid w:val="004519CA"/>
    <w:rsid w:val="00451D08"/>
    <w:rsid w:val="00451F32"/>
    <w:rsid w:val="00451F52"/>
    <w:rsid w:val="00452338"/>
    <w:rsid w:val="00452428"/>
    <w:rsid w:val="00452ACB"/>
    <w:rsid w:val="004537C9"/>
    <w:rsid w:val="004550F7"/>
    <w:rsid w:val="00457A29"/>
    <w:rsid w:val="00460716"/>
    <w:rsid w:val="00460BCD"/>
    <w:rsid w:val="0046482C"/>
    <w:rsid w:val="00464F3A"/>
    <w:rsid w:val="00465344"/>
    <w:rsid w:val="00465BEA"/>
    <w:rsid w:val="0046619F"/>
    <w:rsid w:val="00467007"/>
    <w:rsid w:val="00467307"/>
    <w:rsid w:val="00467931"/>
    <w:rsid w:val="0047015F"/>
    <w:rsid w:val="00470467"/>
    <w:rsid w:val="004710FF"/>
    <w:rsid w:val="0047221F"/>
    <w:rsid w:val="00472273"/>
    <w:rsid w:val="00472976"/>
    <w:rsid w:val="00474867"/>
    <w:rsid w:val="004754B4"/>
    <w:rsid w:val="00475A6E"/>
    <w:rsid w:val="00476FC5"/>
    <w:rsid w:val="00477258"/>
    <w:rsid w:val="00477369"/>
    <w:rsid w:val="00477493"/>
    <w:rsid w:val="00477C20"/>
    <w:rsid w:val="00477C75"/>
    <w:rsid w:val="0048075F"/>
    <w:rsid w:val="0048137D"/>
    <w:rsid w:val="00482BDD"/>
    <w:rsid w:val="00482CE7"/>
    <w:rsid w:val="00483838"/>
    <w:rsid w:val="004869E2"/>
    <w:rsid w:val="00487B23"/>
    <w:rsid w:val="00487C7D"/>
    <w:rsid w:val="00490F63"/>
    <w:rsid w:val="004912D8"/>
    <w:rsid w:val="004929C1"/>
    <w:rsid w:val="00493015"/>
    <w:rsid w:val="0049320F"/>
    <w:rsid w:val="00494A76"/>
    <w:rsid w:val="004953C3"/>
    <w:rsid w:val="00495B6A"/>
    <w:rsid w:val="00496791"/>
    <w:rsid w:val="004967C2"/>
    <w:rsid w:val="004970F9"/>
    <w:rsid w:val="00497A69"/>
    <w:rsid w:val="004A10F9"/>
    <w:rsid w:val="004A2CC8"/>
    <w:rsid w:val="004A3366"/>
    <w:rsid w:val="004A4656"/>
    <w:rsid w:val="004A479D"/>
    <w:rsid w:val="004A4F03"/>
    <w:rsid w:val="004A5456"/>
    <w:rsid w:val="004A5A04"/>
    <w:rsid w:val="004A5B33"/>
    <w:rsid w:val="004A6050"/>
    <w:rsid w:val="004A6E56"/>
    <w:rsid w:val="004A79D1"/>
    <w:rsid w:val="004B1429"/>
    <w:rsid w:val="004B158E"/>
    <w:rsid w:val="004B20E6"/>
    <w:rsid w:val="004B2D60"/>
    <w:rsid w:val="004B53A5"/>
    <w:rsid w:val="004B53AA"/>
    <w:rsid w:val="004B55EE"/>
    <w:rsid w:val="004B63AD"/>
    <w:rsid w:val="004B738B"/>
    <w:rsid w:val="004C0B17"/>
    <w:rsid w:val="004C17EB"/>
    <w:rsid w:val="004C1CBE"/>
    <w:rsid w:val="004C1F89"/>
    <w:rsid w:val="004C2817"/>
    <w:rsid w:val="004C3697"/>
    <w:rsid w:val="004C3FE6"/>
    <w:rsid w:val="004C483B"/>
    <w:rsid w:val="004C5E73"/>
    <w:rsid w:val="004D0724"/>
    <w:rsid w:val="004D072C"/>
    <w:rsid w:val="004D0BCC"/>
    <w:rsid w:val="004D0C23"/>
    <w:rsid w:val="004D152F"/>
    <w:rsid w:val="004D2E4B"/>
    <w:rsid w:val="004D4205"/>
    <w:rsid w:val="004D456F"/>
    <w:rsid w:val="004D475B"/>
    <w:rsid w:val="004D6297"/>
    <w:rsid w:val="004D7733"/>
    <w:rsid w:val="004E00A1"/>
    <w:rsid w:val="004E03BE"/>
    <w:rsid w:val="004E0A7A"/>
    <w:rsid w:val="004E1085"/>
    <w:rsid w:val="004E2B55"/>
    <w:rsid w:val="004E2F70"/>
    <w:rsid w:val="004E3E5A"/>
    <w:rsid w:val="004E65E8"/>
    <w:rsid w:val="004E7E4B"/>
    <w:rsid w:val="004F09E2"/>
    <w:rsid w:val="004F1238"/>
    <w:rsid w:val="004F14FD"/>
    <w:rsid w:val="004F1905"/>
    <w:rsid w:val="004F2CDE"/>
    <w:rsid w:val="004F3DD3"/>
    <w:rsid w:val="004F41D0"/>
    <w:rsid w:val="004F4A4A"/>
    <w:rsid w:val="004F5390"/>
    <w:rsid w:val="004F5907"/>
    <w:rsid w:val="004F7601"/>
    <w:rsid w:val="00500158"/>
    <w:rsid w:val="0050042B"/>
    <w:rsid w:val="00500B10"/>
    <w:rsid w:val="00500C25"/>
    <w:rsid w:val="00500D47"/>
    <w:rsid w:val="0050182F"/>
    <w:rsid w:val="00501EEC"/>
    <w:rsid w:val="00502ECA"/>
    <w:rsid w:val="00504AC3"/>
    <w:rsid w:val="00504D6D"/>
    <w:rsid w:val="005069CF"/>
    <w:rsid w:val="0050767D"/>
    <w:rsid w:val="00507F44"/>
    <w:rsid w:val="00510D3E"/>
    <w:rsid w:val="00511B35"/>
    <w:rsid w:val="00512C2F"/>
    <w:rsid w:val="0051305C"/>
    <w:rsid w:val="005140E8"/>
    <w:rsid w:val="005168B3"/>
    <w:rsid w:val="00520393"/>
    <w:rsid w:val="00520886"/>
    <w:rsid w:val="00520DA4"/>
    <w:rsid w:val="00521285"/>
    <w:rsid w:val="00522A05"/>
    <w:rsid w:val="005232D1"/>
    <w:rsid w:val="00523EE0"/>
    <w:rsid w:val="00526084"/>
    <w:rsid w:val="005270C3"/>
    <w:rsid w:val="00527E3A"/>
    <w:rsid w:val="0053017D"/>
    <w:rsid w:val="00530ADE"/>
    <w:rsid w:val="005326D0"/>
    <w:rsid w:val="00532E59"/>
    <w:rsid w:val="00532FA8"/>
    <w:rsid w:val="00533123"/>
    <w:rsid w:val="00533B40"/>
    <w:rsid w:val="00534455"/>
    <w:rsid w:val="00537C60"/>
    <w:rsid w:val="005405F3"/>
    <w:rsid w:val="00542D6B"/>
    <w:rsid w:val="005436D7"/>
    <w:rsid w:val="00543745"/>
    <w:rsid w:val="0054393D"/>
    <w:rsid w:val="00544D06"/>
    <w:rsid w:val="0054640E"/>
    <w:rsid w:val="005466AA"/>
    <w:rsid w:val="00546D95"/>
    <w:rsid w:val="005475F9"/>
    <w:rsid w:val="0054765F"/>
    <w:rsid w:val="00547900"/>
    <w:rsid w:val="00550047"/>
    <w:rsid w:val="0055087A"/>
    <w:rsid w:val="00550D29"/>
    <w:rsid w:val="00551DDB"/>
    <w:rsid w:val="005526E8"/>
    <w:rsid w:val="00553738"/>
    <w:rsid w:val="00554268"/>
    <w:rsid w:val="0055441E"/>
    <w:rsid w:val="00554634"/>
    <w:rsid w:val="00554D83"/>
    <w:rsid w:val="00554F28"/>
    <w:rsid w:val="005551B7"/>
    <w:rsid w:val="00555292"/>
    <w:rsid w:val="00556332"/>
    <w:rsid w:val="0055661F"/>
    <w:rsid w:val="005573B0"/>
    <w:rsid w:val="00557645"/>
    <w:rsid w:val="00557C10"/>
    <w:rsid w:val="00557F6A"/>
    <w:rsid w:val="00561BE8"/>
    <w:rsid w:val="00561C17"/>
    <w:rsid w:val="00562689"/>
    <w:rsid w:val="00563FDB"/>
    <w:rsid w:val="00567080"/>
    <w:rsid w:val="00567E1D"/>
    <w:rsid w:val="00570121"/>
    <w:rsid w:val="005706E7"/>
    <w:rsid w:val="0057086B"/>
    <w:rsid w:val="00572458"/>
    <w:rsid w:val="005733AD"/>
    <w:rsid w:val="00574A2A"/>
    <w:rsid w:val="00575AF2"/>
    <w:rsid w:val="005763DC"/>
    <w:rsid w:val="00576C32"/>
    <w:rsid w:val="005773E4"/>
    <w:rsid w:val="00577A2A"/>
    <w:rsid w:val="005809A2"/>
    <w:rsid w:val="00580C3B"/>
    <w:rsid w:val="00581419"/>
    <w:rsid w:val="00581559"/>
    <w:rsid w:val="00582C0A"/>
    <w:rsid w:val="005864E0"/>
    <w:rsid w:val="005866C2"/>
    <w:rsid w:val="005877D2"/>
    <w:rsid w:val="00587B1B"/>
    <w:rsid w:val="00590F9C"/>
    <w:rsid w:val="00591B8B"/>
    <w:rsid w:val="005930F1"/>
    <w:rsid w:val="00593752"/>
    <w:rsid w:val="005943B1"/>
    <w:rsid w:val="00594A1E"/>
    <w:rsid w:val="00594FE1"/>
    <w:rsid w:val="00595B84"/>
    <w:rsid w:val="0059604F"/>
    <w:rsid w:val="005978DD"/>
    <w:rsid w:val="005A05B7"/>
    <w:rsid w:val="005A238F"/>
    <w:rsid w:val="005A31E6"/>
    <w:rsid w:val="005A321E"/>
    <w:rsid w:val="005A5E9C"/>
    <w:rsid w:val="005A7768"/>
    <w:rsid w:val="005A77AB"/>
    <w:rsid w:val="005A7A77"/>
    <w:rsid w:val="005A7B30"/>
    <w:rsid w:val="005A7ED6"/>
    <w:rsid w:val="005B073B"/>
    <w:rsid w:val="005B18B6"/>
    <w:rsid w:val="005B1E50"/>
    <w:rsid w:val="005B2AC7"/>
    <w:rsid w:val="005B3883"/>
    <w:rsid w:val="005B3D88"/>
    <w:rsid w:val="005B43BC"/>
    <w:rsid w:val="005B44EC"/>
    <w:rsid w:val="005B4CE3"/>
    <w:rsid w:val="005B5550"/>
    <w:rsid w:val="005B5FC3"/>
    <w:rsid w:val="005B6272"/>
    <w:rsid w:val="005B68A8"/>
    <w:rsid w:val="005B79D5"/>
    <w:rsid w:val="005C0F01"/>
    <w:rsid w:val="005C2564"/>
    <w:rsid w:val="005C27BA"/>
    <w:rsid w:val="005C2DE0"/>
    <w:rsid w:val="005C34E6"/>
    <w:rsid w:val="005C4A7F"/>
    <w:rsid w:val="005C4FFE"/>
    <w:rsid w:val="005C6ED2"/>
    <w:rsid w:val="005D090B"/>
    <w:rsid w:val="005D271C"/>
    <w:rsid w:val="005D34C5"/>
    <w:rsid w:val="005D3E77"/>
    <w:rsid w:val="005D4E09"/>
    <w:rsid w:val="005D5278"/>
    <w:rsid w:val="005D573F"/>
    <w:rsid w:val="005D7270"/>
    <w:rsid w:val="005D73EF"/>
    <w:rsid w:val="005E021C"/>
    <w:rsid w:val="005E2C57"/>
    <w:rsid w:val="005E686B"/>
    <w:rsid w:val="005E68EA"/>
    <w:rsid w:val="005E6C81"/>
    <w:rsid w:val="005E776B"/>
    <w:rsid w:val="005E7BB7"/>
    <w:rsid w:val="005E7C35"/>
    <w:rsid w:val="005F0B20"/>
    <w:rsid w:val="005F13BD"/>
    <w:rsid w:val="005F1EE6"/>
    <w:rsid w:val="005F21E0"/>
    <w:rsid w:val="005F3620"/>
    <w:rsid w:val="005F4493"/>
    <w:rsid w:val="005F5696"/>
    <w:rsid w:val="005F655B"/>
    <w:rsid w:val="005F6917"/>
    <w:rsid w:val="005F70D2"/>
    <w:rsid w:val="00600B7F"/>
    <w:rsid w:val="0060128D"/>
    <w:rsid w:val="0060131F"/>
    <w:rsid w:val="00602682"/>
    <w:rsid w:val="006028FF"/>
    <w:rsid w:val="00602ABB"/>
    <w:rsid w:val="00602EBD"/>
    <w:rsid w:val="00603616"/>
    <w:rsid w:val="00603E33"/>
    <w:rsid w:val="006042B0"/>
    <w:rsid w:val="006042B1"/>
    <w:rsid w:val="006042BB"/>
    <w:rsid w:val="00605051"/>
    <w:rsid w:val="006053B0"/>
    <w:rsid w:val="006053EE"/>
    <w:rsid w:val="00606288"/>
    <w:rsid w:val="0061282E"/>
    <w:rsid w:val="006132BB"/>
    <w:rsid w:val="0061655B"/>
    <w:rsid w:val="00616632"/>
    <w:rsid w:val="00617ABA"/>
    <w:rsid w:val="00617CA3"/>
    <w:rsid w:val="006214FB"/>
    <w:rsid w:val="006221F0"/>
    <w:rsid w:val="00623069"/>
    <w:rsid w:val="006254B1"/>
    <w:rsid w:val="006277A7"/>
    <w:rsid w:val="00630B6F"/>
    <w:rsid w:val="0063110A"/>
    <w:rsid w:val="0063171F"/>
    <w:rsid w:val="00632B67"/>
    <w:rsid w:val="006333E7"/>
    <w:rsid w:val="00634873"/>
    <w:rsid w:val="0063524F"/>
    <w:rsid w:val="0063697D"/>
    <w:rsid w:val="0063764B"/>
    <w:rsid w:val="0063776C"/>
    <w:rsid w:val="00640F74"/>
    <w:rsid w:val="00641267"/>
    <w:rsid w:val="0064213E"/>
    <w:rsid w:val="00642BE3"/>
    <w:rsid w:val="00643AA6"/>
    <w:rsid w:val="00645038"/>
    <w:rsid w:val="0064508C"/>
    <w:rsid w:val="0064586B"/>
    <w:rsid w:val="00645A18"/>
    <w:rsid w:val="00646295"/>
    <w:rsid w:val="006468A0"/>
    <w:rsid w:val="00646C34"/>
    <w:rsid w:val="006471FB"/>
    <w:rsid w:val="00647BF0"/>
    <w:rsid w:val="00650018"/>
    <w:rsid w:val="006523E0"/>
    <w:rsid w:val="006551AB"/>
    <w:rsid w:val="00655448"/>
    <w:rsid w:val="0065668C"/>
    <w:rsid w:val="00656C19"/>
    <w:rsid w:val="00656E32"/>
    <w:rsid w:val="00656EBA"/>
    <w:rsid w:val="0065701D"/>
    <w:rsid w:val="006575ED"/>
    <w:rsid w:val="0065788E"/>
    <w:rsid w:val="00660040"/>
    <w:rsid w:val="00660BAC"/>
    <w:rsid w:val="00660C3A"/>
    <w:rsid w:val="00660E06"/>
    <w:rsid w:val="00660E51"/>
    <w:rsid w:val="0066193F"/>
    <w:rsid w:val="00661A7C"/>
    <w:rsid w:val="006623BE"/>
    <w:rsid w:val="00664130"/>
    <w:rsid w:val="00665E4A"/>
    <w:rsid w:val="006663D4"/>
    <w:rsid w:val="00666DD3"/>
    <w:rsid w:val="006671FD"/>
    <w:rsid w:val="00667C0D"/>
    <w:rsid w:val="0067065F"/>
    <w:rsid w:val="00672B6B"/>
    <w:rsid w:val="006732A4"/>
    <w:rsid w:val="00673B89"/>
    <w:rsid w:val="00674FAA"/>
    <w:rsid w:val="00675117"/>
    <w:rsid w:val="006755E2"/>
    <w:rsid w:val="0067579A"/>
    <w:rsid w:val="00676750"/>
    <w:rsid w:val="00676FE7"/>
    <w:rsid w:val="00677097"/>
    <w:rsid w:val="00681C27"/>
    <w:rsid w:val="00682224"/>
    <w:rsid w:val="006825D4"/>
    <w:rsid w:val="00683141"/>
    <w:rsid w:val="006836FB"/>
    <w:rsid w:val="00683937"/>
    <w:rsid w:val="00683DED"/>
    <w:rsid w:val="00684146"/>
    <w:rsid w:val="00684334"/>
    <w:rsid w:val="00684C53"/>
    <w:rsid w:val="006855B2"/>
    <w:rsid w:val="00690CCB"/>
    <w:rsid w:val="0069103E"/>
    <w:rsid w:val="006911F2"/>
    <w:rsid w:val="00691F8E"/>
    <w:rsid w:val="006920B1"/>
    <w:rsid w:val="00692FD3"/>
    <w:rsid w:val="006931E2"/>
    <w:rsid w:val="00694273"/>
    <w:rsid w:val="006945F0"/>
    <w:rsid w:val="00695A1B"/>
    <w:rsid w:val="00695FBD"/>
    <w:rsid w:val="006968FB"/>
    <w:rsid w:val="00697351"/>
    <w:rsid w:val="006A08A6"/>
    <w:rsid w:val="006A0A8F"/>
    <w:rsid w:val="006A1277"/>
    <w:rsid w:val="006A159F"/>
    <w:rsid w:val="006A1A55"/>
    <w:rsid w:val="006A28D6"/>
    <w:rsid w:val="006A302B"/>
    <w:rsid w:val="006A4499"/>
    <w:rsid w:val="006A78CD"/>
    <w:rsid w:val="006B0156"/>
    <w:rsid w:val="006B027C"/>
    <w:rsid w:val="006B130E"/>
    <w:rsid w:val="006B1AB4"/>
    <w:rsid w:val="006B20DF"/>
    <w:rsid w:val="006B2915"/>
    <w:rsid w:val="006B2A5F"/>
    <w:rsid w:val="006B4EE8"/>
    <w:rsid w:val="006B5AEC"/>
    <w:rsid w:val="006B62A6"/>
    <w:rsid w:val="006B69E9"/>
    <w:rsid w:val="006C0E22"/>
    <w:rsid w:val="006C453D"/>
    <w:rsid w:val="006C6339"/>
    <w:rsid w:val="006C654A"/>
    <w:rsid w:val="006C6A53"/>
    <w:rsid w:val="006C7B07"/>
    <w:rsid w:val="006C7F34"/>
    <w:rsid w:val="006D000D"/>
    <w:rsid w:val="006D0548"/>
    <w:rsid w:val="006D0554"/>
    <w:rsid w:val="006D08C7"/>
    <w:rsid w:val="006D1553"/>
    <w:rsid w:val="006D3163"/>
    <w:rsid w:val="006D429A"/>
    <w:rsid w:val="006D4729"/>
    <w:rsid w:val="006D4981"/>
    <w:rsid w:val="006D5C01"/>
    <w:rsid w:val="006D5E59"/>
    <w:rsid w:val="006D5E8E"/>
    <w:rsid w:val="006D6243"/>
    <w:rsid w:val="006D6403"/>
    <w:rsid w:val="006D70BC"/>
    <w:rsid w:val="006D74CC"/>
    <w:rsid w:val="006D794C"/>
    <w:rsid w:val="006E04E2"/>
    <w:rsid w:val="006E0CB9"/>
    <w:rsid w:val="006E19F1"/>
    <w:rsid w:val="006E35F2"/>
    <w:rsid w:val="006E41C6"/>
    <w:rsid w:val="006E4541"/>
    <w:rsid w:val="006E6CC5"/>
    <w:rsid w:val="006E722B"/>
    <w:rsid w:val="006E746E"/>
    <w:rsid w:val="006F298E"/>
    <w:rsid w:val="006F2E60"/>
    <w:rsid w:val="006F40B1"/>
    <w:rsid w:val="006F4298"/>
    <w:rsid w:val="006F48B7"/>
    <w:rsid w:val="006F4EC8"/>
    <w:rsid w:val="006F524A"/>
    <w:rsid w:val="00700752"/>
    <w:rsid w:val="00700D77"/>
    <w:rsid w:val="00702ABA"/>
    <w:rsid w:val="00702F1C"/>
    <w:rsid w:val="00703698"/>
    <w:rsid w:val="0070481A"/>
    <w:rsid w:val="007055DE"/>
    <w:rsid w:val="007064AD"/>
    <w:rsid w:val="00711288"/>
    <w:rsid w:val="00711B1E"/>
    <w:rsid w:val="0071265D"/>
    <w:rsid w:val="0071391E"/>
    <w:rsid w:val="007148F5"/>
    <w:rsid w:val="00714B50"/>
    <w:rsid w:val="00715D2A"/>
    <w:rsid w:val="0071648E"/>
    <w:rsid w:val="007165D4"/>
    <w:rsid w:val="00717B9B"/>
    <w:rsid w:val="00717C08"/>
    <w:rsid w:val="00717FA7"/>
    <w:rsid w:val="00720922"/>
    <w:rsid w:val="0072118F"/>
    <w:rsid w:val="007213E6"/>
    <w:rsid w:val="0072140F"/>
    <w:rsid w:val="00721ABB"/>
    <w:rsid w:val="00723754"/>
    <w:rsid w:val="00723924"/>
    <w:rsid w:val="007242A8"/>
    <w:rsid w:val="00724C07"/>
    <w:rsid w:val="00725315"/>
    <w:rsid w:val="00725DCB"/>
    <w:rsid w:val="00725EB0"/>
    <w:rsid w:val="00726E30"/>
    <w:rsid w:val="00727500"/>
    <w:rsid w:val="007304CF"/>
    <w:rsid w:val="00731A3B"/>
    <w:rsid w:val="00733847"/>
    <w:rsid w:val="00733B91"/>
    <w:rsid w:val="00734E8D"/>
    <w:rsid w:val="00735D00"/>
    <w:rsid w:val="00737474"/>
    <w:rsid w:val="007404F4"/>
    <w:rsid w:val="00740BC0"/>
    <w:rsid w:val="00741331"/>
    <w:rsid w:val="00741DE8"/>
    <w:rsid w:val="00743D87"/>
    <w:rsid w:val="00743E81"/>
    <w:rsid w:val="0074485B"/>
    <w:rsid w:val="00746A56"/>
    <w:rsid w:val="00750AA3"/>
    <w:rsid w:val="007530E6"/>
    <w:rsid w:val="0075555D"/>
    <w:rsid w:val="00756B08"/>
    <w:rsid w:val="007614E4"/>
    <w:rsid w:val="00761DD0"/>
    <w:rsid w:val="00762E9E"/>
    <w:rsid w:val="00764F82"/>
    <w:rsid w:val="0076517A"/>
    <w:rsid w:val="007651B5"/>
    <w:rsid w:val="00767088"/>
    <w:rsid w:val="0076755A"/>
    <w:rsid w:val="0077153A"/>
    <w:rsid w:val="0077189D"/>
    <w:rsid w:val="00772159"/>
    <w:rsid w:val="007723BF"/>
    <w:rsid w:val="007749A6"/>
    <w:rsid w:val="00775539"/>
    <w:rsid w:val="00775D47"/>
    <w:rsid w:val="007775BC"/>
    <w:rsid w:val="00780295"/>
    <w:rsid w:val="00780748"/>
    <w:rsid w:val="00781C5D"/>
    <w:rsid w:val="0078280D"/>
    <w:rsid w:val="007835B9"/>
    <w:rsid w:val="0078452A"/>
    <w:rsid w:val="00786BDF"/>
    <w:rsid w:val="00787084"/>
    <w:rsid w:val="007879FF"/>
    <w:rsid w:val="00790A59"/>
    <w:rsid w:val="00792997"/>
    <w:rsid w:val="00793A81"/>
    <w:rsid w:val="00793C68"/>
    <w:rsid w:val="007951E8"/>
    <w:rsid w:val="00795890"/>
    <w:rsid w:val="00796517"/>
    <w:rsid w:val="007974B0"/>
    <w:rsid w:val="007A067A"/>
    <w:rsid w:val="007A226C"/>
    <w:rsid w:val="007A2825"/>
    <w:rsid w:val="007A3663"/>
    <w:rsid w:val="007A5B04"/>
    <w:rsid w:val="007A7926"/>
    <w:rsid w:val="007B174E"/>
    <w:rsid w:val="007B2AC8"/>
    <w:rsid w:val="007B2E80"/>
    <w:rsid w:val="007B2FDF"/>
    <w:rsid w:val="007B3197"/>
    <w:rsid w:val="007B4201"/>
    <w:rsid w:val="007B51AF"/>
    <w:rsid w:val="007B562B"/>
    <w:rsid w:val="007B6124"/>
    <w:rsid w:val="007B6B40"/>
    <w:rsid w:val="007B7B9B"/>
    <w:rsid w:val="007C01FA"/>
    <w:rsid w:val="007C026B"/>
    <w:rsid w:val="007C0FBF"/>
    <w:rsid w:val="007C15D0"/>
    <w:rsid w:val="007C160D"/>
    <w:rsid w:val="007C1768"/>
    <w:rsid w:val="007C25C4"/>
    <w:rsid w:val="007C2968"/>
    <w:rsid w:val="007C2AB7"/>
    <w:rsid w:val="007C5A10"/>
    <w:rsid w:val="007C609E"/>
    <w:rsid w:val="007C6291"/>
    <w:rsid w:val="007C645A"/>
    <w:rsid w:val="007C64C0"/>
    <w:rsid w:val="007C65CD"/>
    <w:rsid w:val="007C6A67"/>
    <w:rsid w:val="007C6BF7"/>
    <w:rsid w:val="007C6ED4"/>
    <w:rsid w:val="007C741A"/>
    <w:rsid w:val="007C7DF4"/>
    <w:rsid w:val="007D0859"/>
    <w:rsid w:val="007D177D"/>
    <w:rsid w:val="007D1A0B"/>
    <w:rsid w:val="007D274C"/>
    <w:rsid w:val="007D2C84"/>
    <w:rsid w:val="007D3965"/>
    <w:rsid w:val="007D53A2"/>
    <w:rsid w:val="007D6731"/>
    <w:rsid w:val="007D6A55"/>
    <w:rsid w:val="007E0324"/>
    <w:rsid w:val="007E068B"/>
    <w:rsid w:val="007E0B9C"/>
    <w:rsid w:val="007E19C5"/>
    <w:rsid w:val="007E1B80"/>
    <w:rsid w:val="007E1D45"/>
    <w:rsid w:val="007E21F1"/>
    <w:rsid w:val="007E374F"/>
    <w:rsid w:val="007E4BE7"/>
    <w:rsid w:val="007E59F3"/>
    <w:rsid w:val="007E5B0B"/>
    <w:rsid w:val="007E6342"/>
    <w:rsid w:val="007E740A"/>
    <w:rsid w:val="007F0151"/>
    <w:rsid w:val="007F066D"/>
    <w:rsid w:val="007F08EE"/>
    <w:rsid w:val="007F0ABA"/>
    <w:rsid w:val="007F0D64"/>
    <w:rsid w:val="007F2236"/>
    <w:rsid w:val="007F237B"/>
    <w:rsid w:val="007F3B15"/>
    <w:rsid w:val="007F3B72"/>
    <w:rsid w:val="007F3BBD"/>
    <w:rsid w:val="007F53B9"/>
    <w:rsid w:val="007F5DD7"/>
    <w:rsid w:val="007F6460"/>
    <w:rsid w:val="007F682F"/>
    <w:rsid w:val="007F6AF3"/>
    <w:rsid w:val="007F73CC"/>
    <w:rsid w:val="007F7CA4"/>
    <w:rsid w:val="00800A8A"/>
    <w:rsid w:val="008016D6"/>
    <w:rsid w:val="00802D25"/>
    <w:rsid w:val="0080344D"/>
    <w:rsid w:val="00804342"/>
    <w:rsid w:val="00804E9F"/>
    <w:rsid w:val="00807B0F"/>
    <w:rsid w:val="00807FA0"/>
    <w:rsid w:val="0081055D"/>
    <w:rsid w:val="00810B29"/>
    <w:rsid w:val="008112C7"/>
    <w:rsid w:val="008116AA"/>
    <w:rsid w:val="00811D9F"/>
    <w:rsid w:val="00812324"/>
    <w:rsid w:val="008123F5"/>
    <w:rsid w:val="008126BC"/>
    <w:rsid w:val="00813213"/>
    <w:rsid w:val="0081387B"/>
    <w:rsid w:val="00813C92"/>
    <w:rsid w:val="00816148"/>
    <w:rsid w:val="00816974"/>
    <w:rsid w:val="0081781D"/>
    <w:rsid w:val="00817F8C"/>
    <w:rsid w:val="00820716"/>
    <w:rsid w:val="00822369"/>
    <w:rsid w:val="008225E8"/>
    <w:rsid w:val="00823351"/>
    <w:rsid w:val="00823C5A"/>
    <w:rsid w:val="00826830"/>
    <w:rsid w:val="008301A2"/>
    <w:rsid w:val="00830609"/>
    <w:rsid w:val="00830D8D"/>
    <w:rsid w:val="00831C3F"/>
    <w:rsid w:val="00832DA8"/>
    <w:rsid w:val="00833D8C"/>
    <w:rsid w:val="0083438D"/>
    <w:rsid w:val="00834686"/>
    <w:rsid w:val="008347D0"/>
    <w:rsid w:val="00834A84"/>
    <w:rsid w:val="00835427"/>
    <w:rsid w:val="00835593"/>
    <w:rsid w:val="00836EBB"/>
    <w:rsid w:val="00840123"/>
    <w:rsid w:val="0084093B"/>
    <w:rsid w:val="008412C4"/>
    <w:rsid w:val="00842203"/>
    <w:rsid w:val="00842862"/>
    <w:rsid w:val="00842D66"/>
    <w:rsid w:val="0084440B"/>
    <w:rsid w:val="0084557E"/>
    <w:rsid w:val="008455B0"/>
    <w:rsid w:val="008464E0"/>
    <w:rsid w:val="00846652"/>
    <w:rsid w:val="00846AE1"/>
    <w:rsid w:val="00846CFF"/>
    <w:rsid w:val="008478FE"/>
    <w:rsid w:val="00851556"/>
    <w:rsid w:val="008535DA"/>
    <w:rsid w:val="008553AF"/>
    <w:rsid w:val="00856140"/>
    <w:rsid w:val="00856330"/>
    <w:rsid w:val="0085707F"/>
    <w:rsid w:val="00857468"/>
    <w:rsid w:val="008574F2"/>
    <w:rsid w:val="00860025"/>
    <w:rsid w:val="00860282"/>
    <w:rsid w:val="00862114"/>
    <w:rsid w:val="0086249D"/>
    <w:rsid w:val="00862E7C"/>
    <w:rsid w:val="00862F98"/>
    <w:rsid w:val="008633FC"/>
    <w:rsid w:val="00863FF2"/>
    <w:rsid w:val="00864B4C"/>
    <w:rsid w:val="00864BFC"/>
    <w:rsid w:val="008651D9"/>
    <w:rsid w:val="00867578"/>
    <w:rsid w:val="0086760A"/>
    <w:rsid w:val="00872A14"/>
    <w:rsid w:val="00873971"/>
    <w:rsid w:val="008745FE"/>
    <w:rsid w:val="008749B0"/>
    <w:rsid w:val="00874EFD"/>
    <w:rsid w:val="008753F7"/>
    <w:rsid w:val="00875603"/>
    <w:rsid w:val="00880E97"/>
    <w:rsid w:val="00882CC3"/>
    <w:rsid w:val="00885221"/>
    <w:rsid w:val="00885A8B"/>
    <w:rsid w:val="0088641E"/>
    <w:rsid w:val="00887341"/>
    <w:rsid w:val="0088778A"/>
    <w:rsid w:val="00887EE6"/>
    <w:rsid w:val="00890CBB"/>
    <w:rsid w:val="008922C8"/>
    <w:rsid w:val="0089274E"/>
    <w:rsid w:val="00892E4B"/>
    <w:rsid w:val="00892FF6"/>
    <w:rsid w:val="00894867"/>
    <w:rsid w:val="00896426"/>
    <w:rsid w:val="00897532"/>
    <w:rsid w:val="00897B18"/>
    <w:rsid w:val="008A1931"/>
    <w:rsid w:val="008A1999"/>
    <w:rsid w:val="008A1F3E"/>
    <w:rsid w:val="008A1FBA"/>
    <w:rsid w:val="008A43A0"/>
    <w:rsid w:val="008A4C7F"/>
    <w:rsid w:val="008A523D"/>
    <w:rsid w:val="008A58DC"/>
    <w:rsid w:val="008A6C58"/>
    <w:rsid w:val="008B13DA"/>
    <w:rsid w:val="008B13E1"/>
    <w:rsid w:val="008B14E6"/>
    <w:rsid w:val="008B33DE"/>
    <w:rsid w:val="008B3741"/>
    <w:rsid w:val="008B4306"/>
    <w:rsid w:val="008B471E"/>
    <w:rsid w:val="008B5B5D"/>
    <w:rsid w:val="008B6653"/>
    <w:rsid w:val="008B733D"/>
    <w:rsid w:val="008B7FE1"/>
    <w:rsid w:val="008C05EC"/>
    <w:rsid w:val="008C0907"/>
    <w:rsid w:val="008C1334"/>
    <w:rsid w:val="008C1F32"/>
    <w:rsid w:val="008C2A29"/>
    <w:rsid w:val="008C2DE9"/>
    <w:rsid w:val="008C3C3A"/>
    <w:rsid w:val="008C4456"/>
    <w:rsid w:val="008C4AEC"/>
    <w:rsid w:val="008C6323"/>
    <w:rsid w:val="008C775F"/>
    <w:rsid w:val="008C7FC4"/>
    <w:rsid w:val="008D01CF"/>
    <w:rsid w:val="008D390C"/>
    <w:rsid w:val="008D405F"/>
    <w:rsid w:val="008D41CB"/>
    <w:rsid w:val="008D5CAA"/>
    <w:rsid w:val="008D6E08"/>
    <w:rsid w:val="008D778E"/>
    <w:rsid w:val="008D7D60"/>
    <w:rsid w:val="008D7EA7"/>
    <w:rsid w:val="008E218A"/>
    <w:rsid w:val="008E21DF"/>
    <w:rsid w:val="008E4208"/>
    <w:rsid w:val="008E4481"/>
    <w:rsid w:val="008E54D6"/>
    <w:rsid w:val="008E5BB5"/>
    <w:rsid w:val="008E6469"/>
    <w:rsid w:val="008E691E"/>
    <w:rsid w:val="008E69A0"/>
    <w:rsid w:val="008F05E0"/>
    <w:rsid w:val="008F0683"/>
    <w:rsid w:val="008F072B"/>
    <w:rsid w:val="008F113C"/>
    <w:rsid w:val="008F12C5"/>
    <w:rsid w:val="008F136C"/>
    <w:rsid w:val="008F1429"/>
    <w:rsid w:val="008F19D5"/>
    <w:rsid w:val="008F1BD0"/>
    <w:rsid w:val="008F2609"/>
    <w:rsid w:val="008F267A"/>
    <w:rsid w:val="008F2C50"/>
    <w:rsid w:val="008F2C76"/>
    <w:rsid w:val="008F321E"/>
    <w:rsid w:val="008F3504"/>
    <w:rsid w:val="008F3FBE"/>
    <w:rsid w:val="008F5794"/>
    <w:rsid w:val="008F5FD4"/>
    <w:rsid w:val="008F6BE3"/>
    <w:rsid w:val="008F6D0C"/>
    <w:rsid w:val="008F7836"/>
    <w:rsid w:val="008F7BB7"/>
    <w:rsid w:val="008F7D23"/>
    <w:rsid w:val="009001BD"/>
    <w:rsid w:val="00903348"/>
    <w:rsid w:val="0090494A"/>
    <w:rsid w:val="0090516B"/>
    <w:rsid w:val="00905CD0"/>
    <w:rsid w:val="009060B8"/>
    <w:rsid w:val="00907C28"/>
    <w:rsid w:val="00910A95"/>
    <w:rsid w:val="00912593"/>
    <w:rsid w:val="00912CFE"/>
    <w:rsid w:val="009134C5"/>
    <w:rsid w:val="00913A20"/>
    <w:rsid w:val="009146AD"/>
    <w:rsid w:val="00914A04"/>
    <w:rsid w:val="00915EB0"/>
    <w:rsid w:val="009173C2"/>
    <w:rsid w:val="00921947"/>
    <w:rsid w:val="0092236C"/>
    <w:rsid w:val="009229BC"/>
    <w:rsid w:val="0092395E"/>
    <w:rsid w:val="00923A62"/>
    <w:rsid w:val="00923E9B"/>
    <w:rsid w:val="009241B4"/>
    <w:rsid w:val="00925E0E"/>
    <w:rsid w:val="009279B3"/>
    <w:rsid w:val="00927B51"/>
    <w:rsid w:val="009306AA"/>
    <w:rsid w:val="00930915"/>
    <w:rsid w:val="009325A6"/>
    <w:rsid w:val="00933610"/>
    <w:rsid w:val="00934A6C"/>
    <w:rsid w:val="0093569E"/>
    <w:rsid w:val="00935A58"/>
    <w:rsid w:val="00936AC4"/>
    <w:rsid w:val="0094033E"/>
    <w:rsid w:val="00940A71"/>
    <w:rsid w:val="0094124F"/>
    <w:rsid w:val="0094150C"/>
    <w:rsid w:val="00944123"/>
    <w:rsid w:val="0094483C"/>
    <w:rsid w:val="00945562"/>
    <w:rsid w:val="00946283"/>
    <w:rsid w:val="00946B29"/>
    <w:rsid w:val="00946E5A"/>
    <w:rsid w:val="009479D8"/>
    <w:rsid w:val="00947C89"/>
    <w:rsid w:val="00950A16"/>
    <w:rsid w:val="009514F6"/>
    <w:rsid w:val="00952A40"/>
    <w:rsid w:val="00952A52"/>
    <w:rsid w:val="0095351A"/>
    <w:rsid w:val="009538C2"/>
    <w:rsid w:val="00953999"/>
    <w:rsid w:val="00955023"/>
    <w:rsid w:val="00956B49"/>
    <w:rsid w:val="00956F27"/>
    <w:rsid w:val="0096111E"/>
    <w:rsid w:val="0096251B"/>
    <w:rsid w:val="009646B6"/>
    <w:rsid w:val="00964E27"/>
    <w:rsid w:val="009654F4"/>
    <w:rsid w:val="009663BE"/>
    <w:rsid w:val="0096716A"/>
    <w:rsid w:val="00971E46"/>
    <w:rsid w:val="00972722"/>
    <w:rsid w:val="00972CF2"/>
    <w:rsid w:val="00972FBA"/>
    <w:rsid w:val="00973EFB"/>
    <w:rsid w:val="00973F71"/>
    <w:rsid w:val="0097583C"/>
    <w:rsid w:val="00976A9F"/>
    <w:rsid w:val="009773EE"/>
    <w:rsid w:val="00977828"/>
    <w:rsid w:val="00977D91"/>
    <w:rsid w:val="00980177"/>
    <w:rsid w:val="00980A3E"/>
    <w:rsid w:val="009820B0"/>
    <w:rsid w:val="00983B15"/>
    <w:rsid w:val="00984E6D"/>
    <w:rsid w:val="00985BAE"/>
    <w:rsid w:val="00985E64"/>
    <w:rsid w:val="0098697A"/>
    <w:rsid w:val="00986B0C"/>
    <w:rsid w:val="00990ACA"/>
    <w:rsid w:val="009919EE"/>
    <w:rsid w:val="009928FE"/>
    <w:rsid w:val="00992D76"/>
    <w:rsid w:val="00993494"/>
    <w:rsid w:val="0099490C"/>
    <w:rsid w:val="0099636A"/>
    <w:rsid w:val="00997803"/>
    <w:rsid w:val="009978D1"/>
    <w:rsid w:val="00997945"/>
    <w:rsid w:val="00997C4A"/>
    <w:rsid w:val="009A0C83"/>
    <w:rsid w:val="009A160A"/>
    <w:rsid w:val="009A2F35"/>
    <w:rsid w:val="009A405B"/>
    <w:rsid w:val="009A4310"/>
    <w:rsid w:val="009A4A30"/>
    <w:rsid w:val="009A4F2D"/>
    <w:rsid w:val="009A5B79"/>
    <w:rsid w:val="009A5E2D"/>
    <w:rsid w:val="009B04A0"/>
    <w:rsid w:val="009B1164"/>
    <w:rsid w:val="009B142B"/>
    <w:rsid w:val="009B14B1"/>
    <w:rsid w:val="009B30CC"/>
    <w:rsid w:val="009B7A03"/>
    <w:rsid w:val="009C06B0"/>
    <w:rsid w:val="009C0923"/>
    <w:rsid w:val="009C3EA7"/>
    <w:rsid w:val="009C45E0"/>
    <w:rsid w:val="009C4C59"/>
    <w:rsid w:val="009C5DB4"/>
    <w:rsid w:val="009C7DF3"/>
    <w:rsid w:val="009D1E27"/>
    <w:rsid w:val="009D2805"/>
    <w:rsid w:val="009D41D6"/>
    <w:rsid w:val="009D4479"/>
    <w:rsid w:val="009D4577"/>
    <w:rsid w:val="009D48B1"/>
    <w:rsid w:val="009D4DC0"/>
    <w:rsid w:val="009D644A"/>
    <w:rsid w:val="009D713E"/>
    <w:rsid w:val="009D73D2"/>
    <w:rsid w:val="009E1C07"/>
    <w:rsid w:val="009E1CFD"/>
    <w:rsid w:val="009E1DAB"/>
    <w:rsid w:val="009E36C4"/>
    <w:rsid w:val="009E3BDF"/>
    <w:rsid w:val="009E3C84"/>
    <w:rsid w:val="009E41F8"/>
    <w:rsid w:val="009E491E"/>
    <w:rsid w:val="009E4B45"/>
    <w:rsid w:val="009E5180"/>
    <w:rsid w:val="009E5499"/>
    <w:rsid w:val="009E5AB1"/>
    <w:rsid w:val="009E5B84"/>
    <w:rsid w:val="009E6BCE"/>
    <w:rsid w:val="009E7D9B"/>
    <w:rsid w:val="009F031B"/>
    <w:rsid w:val="009F0B82"/>
    <w:rsid w:val="009F0E73"/>
    <w:rsid w:val="009F2E26"/>
    <w:rsid w:val="009F454C"/>
    <w:rsid w:val="009F5587"/>
    <w:rsid w:val="009F6030"/>
    <w:rsid w:val="009F6B35"/>
    <w:rsid w:val="009F7AC8"/>
    <w:rsid w:val="00A0072F"/>
    <w:rsid w:val="00A00F62"/>
    <w:rsid w:val="00A023C2"/>
    <w:rsid w:val="00A03B5E"/>
    <w:rsid w:val="00A03F28"/>
    <w:rsid w:val="00A04D79"/>
    <w:rsid w:val="00A07397"/>
    <w:rsid w:val="00A07B3F"/>
    <w:rsid w:val="00A1048F"/>
    <w:rsid w:val="00A11A09"/>
    <w:rsid w:val="00A14C99"/>
    <w:rsid w:val="00A14E88"/>
    <w:rsid w:val="00A156E7"/>
    <w:rsid w:val="00A15CF9"/>
    <w:rsid w:val="00A17403"/>
    <w:rsid w:val="00A17B39"/>
    <w:rsid w:val="00A17F95"/>
    <w:rsid w:val="00A20395"/>
    <w:rsid w:val="00A20997"/>
    <w:rsid w:val="00A20C00"/>
    <w:rsid w:val="00A20E6C"/>
    <w:rsid w:val="00A21078"/>
    <w:rsid w:val="00A21749"/>
    <w:rsid w:val="00A21D56"/>
    <w:rsid w:val="00A21F67"/>
    <w:rsid w:val="00A22226"/>
    <w:rsid w:val="00A2234E"/>
    <w:rsid w:val="00A22632"/>
    <w:rsid w:val="00A22AB1"/>
    <w:rsid w:val="00A22E8B"/>
    <w:rsid w:val="00A26D2C"/>
    <w:rsid w:val="00A271C5"/>
    <w:rsid w:val="00A275F7"/>
    <w:rsid w:val="00A30245"/>
    <w:rsid w:val="00A31880"/>
    <w:rsid w:val="00A318A1"/>
    <w:rsid w:val="00A3201F"/>
    <w:rsid w:val="00A3253C"/>
    <w:rsid w:val="00A35691"/>
    <w:rsid w:val="00A3760C"/>
    <w:rsid w:val="00A37B47"/>
    <w:rsid w:val="00A411E0"/>
    <w:rsid w:val="00A4134E"/>
    <w:rsid w:val="00A41858"/>
    <w:rsid w:val="00A41C97"/>
    <w:rsid w:val="00A42CF4"/>
    <w:rsid w:val="00A43A42"/>
    <w:rsid w:val="00A43AFB"/>
    <w:rsid w:val="00A43EEE"/>
    <w:rsid w:val="00A448DB"/>
    <w:rsid w:val="00A44960"/>
    <w:rsid w:val="00A45CCC"/>
    <w:rsid w:val="00A4706C"/>
    <w:rsid w:val="00A4766F"/>
    <w:rsid w:val="00A47A4C"/>
    <w:rsid w:val="00A50D0B"/>
    <w:rsid w:val="00A50E47"/>
    <w:rsid w:val="00A51B47"/>
    <w:rsid w:val="00A52E56"/>
    <w:rsid w:val="00A53007"/>
    <w:rsid w:val="00A538BC"/>
    <w:rsid w:val="00A53AD2"/>
    <w:rsid w:val="00A5499E"/>
    <w:rsid w:val="00A54C6B"/>
    <w:rsid w:val="00A558EA"/>
    <w:rsid w:val="00A563DA"/>
    <w:rsid w:val="00A566E5"/>
    <w:rsid w:val="00A56A85"/>
    <w:rsid w:val="00A5711B"/>
    <w:rsid w:val="00A574E3"/>
    <w:rsid w:val="00A57E28"/>
    <w:rsid w:val="00A60DEE"/>
    <w:rsid w:val="00A60F8A"/>
    <w:rsid w:val="00A61B90"/>
    <w:rsid w:val="00A61E93"/>
    <w:rsid w:val="00A61FBA"/>
    <w:rsid w:val="00A6264B"/>
    <w:rsid w:val="00A63EEB"/>
    <w:rsid w:val="00A64BC4"/>
    <w:rsid w:val="00A653AE"/>
    <w:rsid w:val="00A6665B"/>
    <w:rsid w:val="00A672DC"/>
    <w:rsid w:val="00A67CA5"/>
    <w:rsid w:val="00A7012F"/>
    <w:rsid w:val="00A71504"/>
    <w:rsid w:val="00A7151E"/>
    <w:rsid w:val="00A71540"/>
    <w:rsid w:val="00A72AC4"/>
    <w:rsid w:val="00A72DFF"/>
    <w:rsid w:val="00A739B5"/>
    <w:rsid w:val="00A75B0B"/>
    <w:rsid w:val="00A75C3A"/>
    <w:rsid w:val="00A76A46"/>
    <w:rsid w:val="00A77711"/>
    <w:rsid w:val="00A777A9"/>
    <w:rsid w:val="00A77B30"/>
    <w:rsid w:val="00A80989"/>
    <w:rsid w:val="00A81A99"/>
    <w:rsid w:val="00A8505B"/>
    <w:rsid w:val="00A8526C"/>
    <w:rsid w:val="00A87015"/>
    <w:rsid w:val="00A87A57"/>
    <w:rsid w:val="00A87B0A"/>
    <w:rsid w:val="00A9003D"/>
    <w:rsid w:val="00A91482"/>
    <w:rsid w:val="00A91D35"/>
    <w:rsid w:val="00A92987"/>
    <w:rsid w:val="00A937C5"/>
    <w:rsid w:val="00A941EA"/>
    <w:rsid w:val="00A95410"/>
    <w:rsid w:val="00A95948"/>
    <w:rsid w:val="00A965B4"/>
    <w:rsid w:val="00AA0708"/>
    <w:rsid w:val="00AA1B9E"/>
    <w:rsid w:val="00AA3CEF"/>
    <w:rsid w:val="00AA4429"/>
    <w:rsid w:val="00AA5165"/>
    <w:rsid w:val="00AB09E4"/>
    <w:rsid w:val="00AB0DF6"/>
    <w:rsid w:val="00AB1ED1"/>
    <w:rsid w:val="00AB231C"/>
    <w:rsid w:val="00AB36C6"/>
    <w:rsid w:val="00AB40DD"/>
    <w:rsid w:val="00AB4BA6"/>
    <w:rsid w:val="00AB4CE3"/>
    <w:rsid w:val="00AB5307"/>
    <w:rsid w:val="00AB5E41"/>
    <w:rsid w:val="00AB6278"/>
    <w:rsid w:val="00AB689F"/>
    <w:rsid w:val="00AB6CDF"/>
    <w:rsid w:val="00AB7AFE"/>
    <w:rsid w:val="00AB7D74"/>
    <w:rsid w:val="00AC20B0"/>
    <w:rsid w:val="00AC46AE"/>
    <w:rsid w:val="00AC47E5"/>
    <w:rsid w:val="00AC5225"/>
    <w:rsid w:val="00AC7DA8"/>
    <w:rsid w:val="00AD023D"/>
    <w:rsid w:val="00AD0619"/>
    <w:rsid w:val="00AD0A73"/>
    <w:rsid w:val="00AD0DC1"/>
    <w:rsid w:val="00AD2D78"/>
    <w:rsid w:val="00AD4F10"/>
    <w:rsid w:val="00AD5D77"/>
    <w:rsid w:val="00AD6175"/>
    <w:rsid w:val="00AD618A"/>
    <w:rsid w:val="00AD6FB7"/>
    <w:rsid w:val="00AE0624"/>
    <w:rsid w:val="00AE0AEF"/>
    <w:rsid w:val="00AE143C"/>
    <w:rsid w:val="00AE373A"/>
    <w:rsid w:val="00AE3BBD"/>
    <w:rsid w:val="00AE56AB"/>
    <w:rsid w:val="00AE5F99"/>
    <w:rsid w:val="00AE62C8"/>
    <w:rsid w:val="00AE6584"/>
    <w:rsid w:val="00AF00CD"/>
    <w:rsid w:val="00AF0D98"/>
    <w:rsid w:val="00AF109F"/>
    <w:rsid w:val="00AF2ADA"/>
    <w:rsid w:val="00AF2C00"/>
    <w:rsid w:val="00AF2FFA"/>
    <w:rsid w:val="00AF5A8F"/>
    <w:rsid w:val="00AF5EE8"/>
    <w:rsid w:val="00AF6A9D"/>
    <w:rsid w:val="00AF6B3F"/>
    <w:rsid w:val="00AF7A42"/>
    <w:rsid w:val="00AF7C43"/>
    <w:rsid w:val="00B02821"/>
    <w:rsid w:val="00B02FD8"/>
    <w:rsid w:val="00B046FB"/>
    <w:rsid w:val="00B048BA"/>
    <w:rsid w:val="00B04BEA"/>
    <w:rsid w:val="00B054DA"/>
    <w:rsid w:val="00B071FC"/>
    <w:rsid w:val="00B07691"/>
    <w:rsid w:val="00B0773E"/>
    <w:rsid w:val="00B10005"/>
    <w:rsid w:val="00B10313"/>
    <w:rsid w:val="00B116F0"/>
    <w:rsid w:val="00B1300A"/>
    <w:rsid w:val="00B13D3D"/>
    <w:rsid w:val="00B14F75"/>
    <w:rsid w:val="00B154D7"/>
    <w:rsid w:val="00B15CF6"/>
    <w:rsid w:val="00B1665C"/>
    <w:rsid w:val="00B17784"/>
    <w:rsid w:val="00B20E1A"/>
    <w:rsid w:val="00B23F7D"/>
    <w:rsid w:val="00B2422F"/>
    <w:rsid w:val="00B24695"/>
    <w:rsid w:val="00B24BEF"/>
    <w:rsid w:val="00B25FCF"/>
    <w:rsid w:val="00B26662"/>
    <w:rsid w:val="00B31302"/>
    <w:rsid w:val="00B31E22"/>
    <w:rsid w:val="00B322A1"/>
    <w:rsid w:val="00B32484"/>
    <w:rsid w:val="00B330EF"/>
    <w:rsid w:val="00B33700"/>
    <w:rsid w:val="00B33DFE"/>
    <w:rsid w:val="00B341AC"/>
    <w:rsid w:val="00B341BF"/>
    <w:rsid w:val="00B34F41"/>
    <w:rsid w:val="00B353A9"/>
    <w:rsid w:val="00B35D16"/>
    <w:rsid w:val="00B360D7"/>
    <w:rsid w:val="00B3617E"/>
    <w:rsid w:val="00B36940"/>
    <w:rsid w:val="00B37E90"/>
    <w:rsid w:val="00B41724"/>
    <w:rsid w:val="00B42CBD"/>
    <w:rsid w:val="00B43256"/>
    <w:rsid w:val="00B43B9B"/>
    <w:rsid w:val="00B43BBA"/>
    <w:rsid w:val="00B43D69"/>
    <w:rsid w:val="00B44107"/>
    <w:rsid w:val="00B44ADE"/>
    <w:rsid w:val="00B45A39"/>
    <w:rsid w:val="00B462D4"/>
    <w:rsid w:val="00B5005C"/>
    <w:rsid w:val="00B5075D"/>
    <w:rsid w:val="00B5185C"/>
    <w:rsid w:val="00B5332A"/>
    <w:rsid w:val="00B53BF1"/>
    <w:rsid w:val="00B544AE"/>
    <w:rsid w:val="00B54901"/>
    <w:rsid w:val="00B5576C"/>
    <w:rsid w:val="00B5594B"/>
    <w:rsid w:val="00B563E2"/>
    <w:rsid w:val="00B57A23"/>
    <w:rsid w:val="00B57D43"/>
    <w:rsid w:val="00B60C6A"/>
    <w:rsid w:val="00B61349"/>
    <w:rsid w:val="00B62F2D"/>
    <w:rsid w:val="00B65F5D"/>
    <w:rsid w:val="00B66CF7"/>
    <w:rsid w:val="00B67036"/>
    <w:rsid w:val="00B672F9"/>
    <w:rsid w:val="00B70618"/>
    <w:rsid w:val="00B70B59"/>
    <w:rsid w:val="00B71B9D"/>
    <w:rsid w:val="00B71D6B"/>
    <w:rsid w:val="00B73978"/>
    <w:rsid w:val="00B774B9"/>
    <w:rsid w:val="00B776BF"/>
    <w:rsid w:val="00B811DD"/>
    <w:rsid w:val="00B8175F"/>
    <w:rsid w:val="00B8199F"/>
    <w:rsid w:val="00B81CF7"/>
    <w:rsid w:val="00B81F33"/>
    <w:rsid w:val="00B84065"/>
    <w:rsid w:val="00B846AE"/>
    <w:rsid w:val="00B84838"/>
    <w:rsid w:val="00B84FAE"/>
    <w:rsid w:val="00B850F6"/>
    <w:rsid w:val="00B870A0"/>
    <w:rsid w:val="00B870BC"/>
    <w:rsid w:val="00B93D5A"/>
    <w:rsid w:val="00B93ED2"/>
    <w:rsid w:val="00B94A9C"/>
    <w:rsid w:val="00B96269"/>
    <w:rsid w:val="00B9648E"/>
    <w:rsid w:val="00B96A42"/>
    <w:rsid w:val="00B96C4C"/>
    <w:rsid w:val="00B97090"/>
    <w:rsid w:val="00B97210"/>
    <w:rsid w:val="00BA02EB"/>
    <w:rsid w:val="00BA04E7"/>
    <w:rsid w:val="00BA05E8"/>
    <w:rsid w:val="00BA0ABA"/>
    <w:rsid w:val="00BA218C"/>
    <w:rsid w:val="00BA323B"/>
    <w:rsid w:val="00BA50E0"/>
    <w:rsid w:val="00BA55B8"/>
    <w:rsid w:val="00BA5DF3"/>
    <w:rsid w:val="00BA6234"/>
    <w:rsid w:val="00BA64AE"/>
    <w:rsid w:val="00BA6804"/>
    <w:rsid w:val="00BB0E8D"/>
    <w:rsid w:val="00BB1019"/>
    <w:rsid w:val="00BB20FA"/>
    <w:rsid w:val="00BB29F0"/>
    <w:rsid w:val="00BB2B73"/>
    <w:rsid w:val="00BB39EC"/>
    <w:rsid w:val="00BB48F1"/>
    <w:rsid w:val="00BB4BCD"/>
    <w:rsid w:val="00BB5D12"/>
    <w:rsid w:val="00BB6677"/>
    <w:rsid w:val="00BB6758"/>
    <w:rsid w:val="00BB6F1A"/>
    <w:rsid w:val="00BB7064"/>
    <w:rsid w:val="00BB73BA"/>
    <w:rsid w:val="00BC09C8"/>
    <w:rsid w:val="00BC14A2"/>
    <w:rsid w:val="00BC1D14"/>
    <w:rsid w:val="00BC2090"/>
    <w:rsid w:val="00BC2422"/>
    <w:rsid w:val="00BC2A5C"/>
    <w:rsid w:val="00BC2E6C"/>
    <w:rsid w:val="00BC4157"/>
    <w:rsid w:val="00BC4410"/>
    <w:rsid w:val="00BC460C"/>
    <w:rsid w:val="00BC4896"/>
    <w:rsid w:val="00BC4D62"/>
    <w:rsid w:val="00BC4F32"/>
    <w:rsid w:val="00BC5192"/>
    <w:rsid w:val="00BC55A3"/>
    <w:rsid w:val="00BC7BBF"/>
    <w:rsid w:val="00BD0852"/>
    <w:rsid w:val="00BD162A"/>
    <w:rsid w:val="00BD194A"/>
    <w:rsid w:val="00BD1EA5"/>
    <w:rsid w:val="00BD1EC0"/>
    <w:rsid w:val="00BD2365"/>
    <w:rsid w:val="00BD2789"/>
    <w:rsid w:val="00BD3258"/>
    <w:rsid w:val="00BD3886"/>
    <w:rsid w:val="00BD40F7"/>
    <w:rsid w:val="00BD4201"/>
    <w:rsid w:val="00BD4E9F"/>
    <w:rsid w:val="00BD5425"/>
    <w:rsid w:val="00BD65FE"/>
    <w:rsid w:val="00BD6E78"/>
    <w:rsid w:val="00BD70C8"/>
    <w:rsid w:val="00BD7D9E"/>
    <w:rsid w:val="00BE0AA9"/>
    <w:rsid w:val="00BE3609"/>
    <w:rsid w:val="00BE4558"/>
    <w:rsid w:val="00BE477C"/>
    <w:rsid w:val="00BE5918"/>
    <w:rsid w:val="00BE5AEC"/>
    <w:rsid w:val="00BE7131"/>
    <w:rsid w:val="00BF0943"/>
    <w:rsid w:val="00BF0C62"/>
    <w:rsid w:val="00BF0D2D"/>
    <w:rsid w:val="00BF170E"/>
    <w:rsid w:val="00BF2095"/>
    <w:rsid w:val="00BF3D39"/>
    <w:rsid w:val="00BF3EED"/>
    <w:rsid w:val="00BF3F51"/>
    <w:rsid w:val="00BF4757"/>
    <w:rsid w:val="00BF77FD"/>
    <w:rsid w:val="00BF7ABC"/>
    <w:rsid w:val="00BF7C01"/>
    <w:rsid w:val="00C00E28"/>
    <w:rsid w:val="00C037CA"/>
    <w:rsid w:val="00C03FFF"/>
    <w:rsid w:val="00C0758F"/>
    <w:rsid w:val="00C07A72"/>
    <w:rsid w:val="00C07B89"/>
    <w:rsid w:val="00C11994"/>
    <w:rsid w:val="00C11C65"/>
    <w:rsid w:val="00C12719"/>
    <w:rsid w:val="00C1293E"/>
    <w:rsid w:val="00C12BDC"/>
    <w:rsid w:val="00C13482"/>
    <w:rsid w:val="00C15B99"/>
    <w:rsid w:val="00C15F03"/>
    <w:rsid w:val="00C163F2"/>
    <w:rsid w:val="00C1794F"/>
    <w:rsid w:val="00C20177"/>
    <w:rsid w:val="00C206D3"/>
    <w:rsid w:val="00C21127"/>
    <w:rsid w:val="00C21760"/>
    <w:rsid w:val="00C2249B"/>
    <w:rsid w:val="00C22625"/>
    <w:rsid w:val="00C22CB9"/>
    <w:rsid w:val="00C23E8E"/>
    <w:rsid w:val="00C2516D"/>
    <w:rsid w:val="00C259E0"/>
    <w:rsid w:val="00C260E6"/>
    <w:rsid w:val="00C26832"/>
    <w:rsid w:val="00C26B4A"/>
    <w:rsid w:val="00C27646"/>
    <w:rsid w:val="00C27B02"/>
    <w:rsid w:val="00C30B61"/>
    <w:rsid w:val="00C31806"/>
    <w:rsid w:val="00C3272C"/>
    <w:rsid w:val="00C3281E"/>
    <w:rsid w:val="00C331AF"/>
    <w:rsid w:val="00C3337C"/>
    <w:rsid w:val="00C34549"/>
    <w:rsid w:val="00C36CF2"/>
    <w:rsid w:val="00C36EF8"/>
    <w:rsid w:val="00C37D2C"/>
    <w:rsid w:val="00C4052A"/>
    <w:rsid w:val="00C41D6B"/>
    <w:rsid w:val="00C42223"/>
    <w:rsid w:val="00C436FB"/>
    <w:rsid w:val="00C43C77"/>
    <w:rsid w:val="00C44F38"/>
    <w:rsid w:val="00C45EF9"/>
    <w:rsid w:val="00C4711F"/>
    <w:rsid w:val="00C471C2"/>
    <w:rsid w:val="00C50726"/>
    <w:rsid w:val="00C515CB"/>
    <w:rsid w:val="00C51625"/>
    <w:rsid w:val="00C51DE5"/>
    <w:rsid w:val="00C52CF1"/>
    <w:rsid w:val="00C52F90"/>
    <w:rsid w:val="00C53AB3"/>
    <w:rsid w:val="00C53BA8"/>
    <w:rsid w:val="00C54760"/>
    <w:rsid w:val="00C54D48"/>
    <w:rsid w:val="00C54FD1"/>
    <w:rsid w:val="00C5619E"/>
    <w:rsid w:val="00C561DA"/>
    <w:rsid w:val="00C576EF"/>
    <w:rsid w:val="00C60A78"/>
    <w:rsid w:val="00C6144F"/>
    <w:rsid w:val="00C61BAD"/>
    <w:rsid w:val="00C622A8"/>
    <w:rsid w:val="00C62574"/>
    <w:rsid w:val="00C63739"/>
    <w:rsid w:val="00C63C75"/>
    <w:rsid w:val="00C63F0E"/>
    <w:rsid w:val="00C641E8"/>
    <w:rsid w:val="00C67873"/>
    <w:rsid w:val="00C70239"/>
    <w:rsid w:val="00C7141C"/>
    <w:rsid w:val="00C721DE"/>
    <w:rsid w:val="00C72706"/>
    <w:rsid w:val="00C72A9D"/>
    <w:rsid w:val="00C76634"/>
    <w:rsid w:val="00C77D18"/>
    <w:rsid w:val="00C800B6"/>
    <w:rsid w:val="00C809AD"/>
    <w:rsid w:val="00C82224"/>
    <w:rsid w:val="00C82341"/>
    <w:rsid w:val="00C8293F"/>
    <w:rsid w:val="00C85345"/>
    <w:rsid w:val="00C8534D"/>
    <w:rsid w:val="00C8665C"/>
    <w:rsid w:val="00C86CD4"/>
    <w:rsid w:val="00C86EF6"/>
    <w:rsid w:val="00C87E4D"/>
    <w:rsid w:val="00C90204"/>
    <w:rsid w:val="00C910E7"/>
    <w:rsid w:val="00C922F0"/>
    <w:rsid w:val="00C929E9"/>
    <w:rsid w:val="00C9430E"/>
    <w:rsid w:val="00C94A13"/>
    <w:rsid w:val="00C94C31"/>
    <w:rsid w:val="00C95D9D"/>
    <w:rsid w:val="00C96218"/>
    <w:rsid w:val="00C965D0"/>
    <w:rsid w:val="00CA0E2D"/>
    <w:rsid w:val="00CA12C4"/>
    <w:rsid w:val="00CA2D1D"/>
    <w:rsid w:val="00CA2EA3"/>
    <w:rsid w:val="00CA3A81"/>
    <w:rsid w:val="00CA5216"/>
    <w:rsid w:val="00CA67CB"/>
    <w:rsid w:val="00CB09B9"/>
    <w:rsid w:val="00CB19BA"/>
    <w:rsid w:val="00CB35E9"/>
    <w:rsid w:val="00CB4A76"/>
    <w:rsid w:val="00CB5019"/>
    <w:rsid w:val="00CB51CF"/>
    <w:rsid w:val="00CB5ADF"/>
    <w:rsid w:val="00CB7DDA"/>
    <w:rsid w:val="00CB7F74"/>
    <w:rsid w:val="00CC096D"/>
    <w:rsid w:val="00CC3511"/>
    <w:rsid w:val="00CC4C6B"/>
    <w:rsid w:val="00CC5E20"/>
    <w:rsid w:val="00CC63F2"/>
    <w:rsid w:val="00CC6DA2"/>
    <w:rsid w:val="00CC7012"/>
    <w:rsid w:val="00CC70FD"/>
    <w:rsid w:val="00CD34DF"/>
    <w:rsid w:val="00CD3C23"/>
    <w:rsid w:val="00CD3DD7"/>
    <w:rsid w:val="00CD4AA7"/>
    <w:rsid w:val="00CD4F0F"/>
    <w:rsid w:val="00CD4FCD"/>
    <w:rsid w:val="00CD717D"/>
    <w:rsid w:val="00CE1650"/>
    <w:rsid w:val="00CE1C3F"/>
    <w:rsid w:val="00CE1CE5"/>
    <w:rsid w:val="00CE2A76"/>
    <w:rsid w:val="00CE3CDE"/>
    <w:rsid w:val="00CE3D55"/>
    <w:rsid w:val="00CE3E7C"/>
    <w:rsid w:val="00CE4B89"/>
    <w:rsid w:val="00CE5238"/>
    <w:rsid w:val="00CE55F8"/>
    <w:rsid w:val="00CE5C44"/>
    <w:rsid w:val="00CE600E"/>
    <w:rsid w:val="00CE61FB"/>
    <w:rsid w:val="00CE64FF"/>
    <w:rsid w:val="00CF073C"/>
    <w:rsid w:val="00CF0958"/>
    <w:rsid w:val="00CF0DDE"/>
    <w:rsid w:val="00CF0F46"/>
    <w:rsid w:val="00CF10A2"/>
    <w:rsid w:val="00CF1846"/>
    <w:rsid w:val="00CF1F72"/>
    <w:rsid w:val="00CF22A5"/>
    <w:rsid w:val="00CF3B80"/>
    <w:rsid w:val="00CF502B"/>
    <w:rsid w:val="00CF5A5C"/>
    <w:rsid w:val="00D00269"/>
    <w:rsid w:val="00D00C8E"/>
    <w:rsid w:val="00D03D63"/>
    <w:rsid w:val="00D03E35"/>
    <w:rsid w:val="00D04214"/>
    <w:rsid w:val="00D045F0"/>
    <w:rsid w:val="00D04F4F"/>
    <w:rsid w:val="00D06487"/>
    <w:rsid w:val="00D0789A"/>
    <w:rsid w:val="00D10F77"/>
    <w:rsid w:val="00D1167E"/>
    <w:rsid w:val="00D11D79"/>
    <w:rsid w:val="00D11DA8"/>
    <w:rsid w:val="00D1325D"/>
    <w:rsid w:val="00D13AEE"/>
    <w:rsid w:val="00D14732"/>
    <w:rsid w:val="00D15379"/>
    <w:rsid w:val="00D15DC1"/>
    <w:rsid w:val="00D16DC8"/>
    <w:rsid w:val="00D17A45"/>
    <w:rsid w:val="00D200AC"/>
    <w:rsid w:val="00D20CAD"/>
    <w:rsid w:val="00D212B7"/>
    <w:rsid w:val="00D22619"/>
    <w:rsid w:val="00D22B36"/>
    <w:rsid w:val="00D23A90"/>
    <w:rsid w:val="00D245E5"/>
    <w:rsid w:val="00D25077"/>
    <w:rsid w:val="00D25BD0"/>
    <w:rsid w:val="00D26428"/>
    <w:rsid w:val="00D26E25"/>
    <w:rsid w:val="00D26EFD"/>
    <w:rsid w:val="00D27668"/>
    <w:rsid w:val="00D278F0"/>
    <w:rsid w:val="00D27B47"/>
    <w:rsid w:val="00D30607"/>
    <w:rsid w:val="00D3109F"/>
    <w:rsid w:val="00D32B0D"/>
    <w:rsid w:val="00D3557F"/>
    <w:rsid w:val="00D35D7E"/>
    <w:rsid w:val="00D36064"/>
    <w:rsid w:val="00D368D6"/>
    <w:rsid w:val="00D36A71"/>
    <w:rsid w:val="00D372C0"/>
    <w:rsid w:val="00D400E7"/>
    <w:rsid w:val="00D4341B"/>
    <w:rsid w:val="00D44A24"/>
    <w:rsid w:val="00D44BBD"/>
    <w:rsid w:val="00D44C08"/>
    <w:rsid w:val="00D45710"/>
    <w:rsid w:val="00D46AAD"/>
    <w:rsid w:val="00D46FA8"/>
    <w:rsid w:val="00D47FC3"/>
    <w:rsid w:val="00D516B4"/>
    <w:rsid w:val="00D52510"/>
    <w:rsid w:val="00D5255B"/>
    <w:rsid w:val="00D52695"/>
    <w:rsid w:val="00D52D0B"/>
    <w:rsid w:val="00D53619"/>
    <w:rsid w:val="00D54305"/>
    <w:rsid w:val="00D5465F"/>
    <w:rsid w:val="00D558B4"/>
    <w:rsid w:val="00D56D4A"/>
    <w:rsid w:val="00D6010D"/>
    <w:rsid w:val="00D6225F"/>
    <w:rsid w:val="00D628F3"/>
    <w:rsid w:val="00D63802"/>
    <w:rsid w:val="00D6544E"/>
    <w:rsid w:val="00D65FAB"/>
    <w:rsid w:val="00D66AFE"/>
    <w:rsid w:val="00D66BC9"/>
    <w:rsid w:val="00D66BDB"/>
    <w:rsid w:val="00D66C67"/>
    <w:rsid w:val="00D712B3"/>
    <w:rsid w:val="00D717F9"/>
    <w:rsid w:val="00D74DA8"/>
    <w:rsid w:val="00D7518E"/>
    <w:rsid w:val="00D75912"/>
    <w:rsid w:val="00D7689A"/>
    <w:rsid w:val="00D76E68"/>
    <w:rsid w:val="00D809E5"/>
    <w:rsid w:val="00D82C8A"/>
    <w:rsid w:val="00D8482E"/>
    <w:rsid w:val="00D8557B"/>
    <w:rsid w:val="00D85759"/>
    <w:rsid w:val="00D8589F"/>
    <w:rsid w:val="00D8596F"/>
    <w:rsid w:val="00D90089"/>
    <w:rsid w:val="00D90C3F"/>
    <w:rsid w:val="00D911ED"/>
    <w:rsid w:val="00D915BE"/>
    <w:rsid w:val="00D92203"/>
    <w:rsid w:val="00D92832"/>
    <w:rsid w:val="00D9452C"/>
    <w:rsid w:val="00D95F71"/>
    <w:rsid w:val="00D966EC"/>
    <w:rsid w:val="00D96C55"/>
    <w:rsid w:val="00D97326"/>
    <w:rsid w:val="00D975B5"/>
    <w:rsid w:val="00D97E2F"/>
    <w:rsid w:val="00DA10D2"/>
    <w:rsid w:val="00DA11E8"/>
    <w:rsid w:val="00DA15C7"/>
    <w:rsid w:val="00DA2AD2"/>
    <w:rsid w:val="00DA2C45"/>
    <w:rsid w:val="00DA2C64"/>
    <w:rsid w:val="00DA4A4B"/>
    <w:rsid w:val="00DA5CA7"/>
    <w:rsid w:val="00DA6274"/>
    <w:rsid w:val="00DA669E"/>
    <w:rsid w:val="00DA6D1A"/>
    <w:rsid w:val="00DA700B"/>
    <w:rsid w:val="00DB092F"/>
    <w:rsid w:val="00DB0C45"/>
    <w:rsid w:val="00DB1946"/>
    <w:rsid w:val="00DB1957"/>
    <w:rsid w:val="00DB1B1B"/>
    <w:rsid w:val="00DB235C"/>
    <w:rsid w:val="00DB4086"/>
    <w:rsid w:val="00DB45F1"/>
    <w:rsid w:val="00DB58AA"/>
    <w:rsid w:val="00DB637F"/>
    <w:rsid w:val="00DB6E84"/>
    <w:rsid w:val="00DB7617"/>
    <w:rsid w:val="00DC0410"/>
    <w:rsid w:val="00DC0ED4"/>
    <w:rsid w:val="00DC141E"/>
    <w:rsid w:val="00DC15FE"/>
    <w:rsid w:val="00DC274D"/>
    <w:rsid w:val="00DC5ED6"/>
    <w:rsid w:val="00DC5F00"/>
    <w:rsid w:val="00DC7CF2"/>
    <w:rsid w:val="00DD018A"/>
    <w:rsid w:val="00DD0E07"/>
    <w:rsid w:val="00DD0F2D"/>
    <w:rsid w:val="00DD1E12"/>
    <w:rsid w:val="00DD22F1"/>
    <w:rsid w:val="00DD25BD"/>
    <w:rsid w:val="00DD3AFA"/>
    <w:rsid w:val="00DD4AD6"/>
    <w:rsid w:val="00DD530F"/>
    <w:rsid w:val="00DD5A53"/>
    <w:rsid w:val="00DE0956"/>
    <w:rsid w:val="00DE1331"/>
    <w:rsid w:val="00DE2579"/>
    <w:rsid w:val="00DE2FED"/>
    <w:rsid w:val="00DE3438"/>
    <w:rsid w:val="00DE3508"/>
    <w:rsid w:val="00DE369F"/>
    <w:rsid w:val="00DE3D7C"/>
    <w:rsid w:val="00DE5D5F"/>
    <w:rsid w:val="00DE762E"/>
    <w:rsid w:val="00DF1257"/>
    <w:rsid w:val="00DF281B"/>
    <w:rsid w:val="00DF353F"/>
    <w:rsid w:val="00DF50A9"/>
    <w:rsid w:val="00DF544A"/>
    <w:rsid w:val="00DF5AC7"/>
    <w:rsid w:val="00DF6176"/>
    <w:rsid w:val="00DF64E2"/>
    <w:rsid w:val="00DF6B2C"/>
    <w:rsid w:val="00E00F19"/>
    <w:rsid w:val="00E01362"/>
    <w:rsid w:val="00E0142C"/>
    <w:rsid w:val="00E03C1A"/>
    <w:rsid w:val="00E06A2E"/>
    <w:rsid w:val="00E06B11"/>
    <w:rsid w:val="00E07272"/>
    <w:rsid w:val="00E07999"/>
    <w:rsid w:val="00E10A19"/>
    <w:rsid w:val="00E1217A"/>
    <w:rsid w:val="00E12E07"/>
    <w:rsid w:val="00E12F34"/>
    <w:rsid w:val="00E1316A"/>
    <w:rsid w:val="00E13315"/>
    <w:rsid w:val="00E145A5"/>
    <w:rsid w:val="00E14D10"/>
    <w:rsid w:val="00E16284"/>
    <w:rsid w:val="00E16569"/>
    <w:rsid w:val="00E20595"/>
    <w:rsid w:val="00E20D24"/>
    <w:rsid w:val="00E21BFD"/>
    <w:rsid w:val="00E223AC"/>
    <w:rsid w:val="00E22C1D"/>
    <w:rsid w:val="00E234E5"/>
    <w:rsid w:val="00E24F24"/>
    <w:rsid w:val="00E25E4D"/>
    <w:rsid w:val="00E273B8"/>
    <w:rsid w:val="00E274F7"/>
    <w:rsid w:val="00E27FEF"/>
    <w:rsid w:val="00E316D2"/>
    <w:rsid w:val="00E31BC7"/>
    <w:rsid w:val="00E31C76"/>
    <w:rsid w:val="00E31F01"/>
    <w:rsid w:val="00E33D6D"/>
    <w:rsid w:val="00E3493D"/>
    <w:rsid w:val="00E3740F"/>
    <w:rsid w:val="00E40674"/>
    <w:rsid w:val="00E43A7A"/>
    <w:rsid w:val="00E4465D"/>
    <w:rsid w:val="00E44D97"/>
    <w:rsid w:val="00E45C1F"/>
    <w:rsid w:val="00E463BC"/>
    <w:rsid w:val="00E46708"/>
    <w:rsid w:val="00E470AF"/>
    <w:rsid w:val="00E47B9A"/>
    <w:rsid w:val="00E51AA9"/>
    <w:rsid w:val="00E51B18"/>
    <w:rsid w:val="00E521B5"/>
    <w:rsid w:val="00E52DCB"/>
    <w:rsid w:val="00E53F2E"/>
    <w:rsid w:val="00E54E84"/>
    <w:rsid w:val="00E55557"/>
    <w:rsid w:val="00E55962"/>
    <w:rsid w:val="00E55B29"/>
    <w:rsid w:val="00E55E13"/>
    <w:rsid w:val="00E55F00"/>
    <w:rsid w:val="00E56230"/>
    <w:rsid w:val="00E577AC"/>
    <w:rsid w:val="00E608BF"/>
    <w:rsid w:val="00E615BB"/>
    <w:rsid w:val="00E617EA"/>
    <w:rsid w:val="00E62215"/>
    <w:rsid w:val="00E6467A"/>
    <w:rsid w:val="00E64827"/>
    <w:rsid w:val="00E64DD5"/>
    <w:rsid w:val="00E64E13"/>
    <w:rsid w:val="00E651C0"/>
    <w:rsid w:val="00E65BA8"/>
    <w:rsid w:val="00E66D6F"/>
    <w:rsid w:val="00E66DF6"/>
    <w:rsid w:val="00E66F0F"/>
    <w:rsid w:val="00E67377"/>
    <w:rsid w:val="00E70867"/>
    <w:rsid w:val="00E71871"/>
    <w:rsid w:val="00E72519"/>
    <w:rsid w:val="00E72C1A"/>
    <w:rsid w:val="00E73A48"/>
    <w:rsid w:val="00E747E9"/>
    <w:rsid w:val="00E77237"/>
    <w:rsid w:val="00E80007"/>
    <w:rsid w:val="00E80B37"/>
    <w:rsid w:val="00E815F2"/>
    <w:rsid w:val="00E847ED"/>
    <w:rsid w:val="00E85507"/>
    <w:rsid w:val="00E8687B"/>
    <w:rsid w:val="00E86A29"/>
    <w:rsid w:val="00E86A31"/>
    <w:rsid w:val="00E86F64"/>
    <w:rsid w:val="00E91859"/>
    <w:rsid w:val="00E926B1"/>
    <w:rsid w:val="00E92937"/>
    <w:rsid w:val="00E9324B"/>
    <w:rsid w:val="00E94493"/>
    <w:rsid w:val="00E95657"/>
    <w:rsid w:val="00E95803"/>
    <w:rsid w:val="00E97655"/>
    <w:rsid w:val="00EA012C"/>
    <w:rsid w:val="00EA18E4"/>
    <w:rsid w:val="00EA1ED9"/>
    <w:rsid w:val="00EA3165"/>
    <w:rsid w:val="00EA3C57"/>
    <w:rsid w:val="00EA4697"/>
    <w:rsid w:val="00EA50B1"/>
    <w:rsid w:val="00EA5D4D"/>
    <w:rsid w:val="00EA5EA9"/>
    <w:rsid w:val="00EA7C83"/>
    <w:rsid w:val="00EA7F5C"/>
    <w:rsid w:val="00EB1007"/>
    <w:rsid w:val="00EB1FB1"/>
    <w:rsid w:val="00EB2148"/>
    <w:rsid w:val="00EB2DCC"/>
    <w:rsid w:val="00EB2E37"/>
    <w:rsid w:val="00EB3700"/>
    <w:rsid w:val="00EB3C8B"/>
    <w:rsid w:val="00EB3E94"/>
    <w:rsid w:val="00EB3EC2"/>
    <w:rsid w:val="00EB459E"/>
    <w:rsid w:val="00EB4EDD"/>
    <w:rsid w:val="00EB5714"/>
    <w:rsid w:val="00EB5BB5"/>
    <w:rsid w:val="00EB6747"/>
    <w:rsid w:val="00EC0305"/>
    <w:rsid w:val="00EC03C0"/>
    <w:rsid w:val="00EC11FB"/>
    <w:rsid w:val="00EC126E"/>
    <w:rsid w:val="00EC20BC"/>
    <w:rsid w:val="00EC2FC5"/>
    <w:rsid w:val="00EC308D"/>
    <w:rsid w:val="00EC578B"/>
    <w:rsid w:val="00EC6BA2"/>
    <w:rsid w:val="00ED0F38"/>
    <w:rsid w:val="00ED13F7"/>
    <w:rsid w:val="00ED2059"/>
    <w:rsid w:val="00ED2ABE"/>
    <w:rsid w:val="00ED3079"/>
    <w:rsid w:val="00ED5556"/>
    <w:rsid w:val="00ED5855"/>
    <w:rsid w:val="00ED59F1"/>
    <w:rsid w:val="00ED5BD4"/>
    <w:rsid w:val="00ED5E24"/>
    <w:rsid w:val="00ED7AC9"/>
    <w:rsid w:val="00EE02B7"/>
    <w:rsid w:val="00EE18AA"/>
    <w:rsid w:val="00EE346C"/>
    <w:rsid w:val="00EE350F"/>
    <w:rsid w:val="00EE3706"/>
    <w:rsid w:val="00EE4053"/>
    <w:rsid w:val="00EE45D8"/>
    <w:rsid w:val="00EE4BC9"/>
    <w:rsid w:val="00EE5D68"/>
    <w:rsid w:val="00EE74B9"/>
    <w:rsid w:val="00EF01C1"/>
    <w:rsid w:val="00EF16AF"/>
    <w:rsid w:val="00EF1958"/>
    <w:rsid w:val="00EF1DAF"/>
    <w:rsid w:val="00EF1DE8"/>
    <w:rsid w:val="00EF21DC"/>
    <w:rsid w:val="00EF245D"/>
    <w:rsid w:val="00EF26EB"/>
    <w:rsid w:val="00EF2892"/>
    <w:rsid w:val="00EF3C8A"/>
    <w:rsid w:val="00EF4FD2"/>
    <w:rsid w:val="00EF515D"/>
    <w:rsid w:val="00EF59D4"/>
    <w:rsid w:val="00EF6D7B"/>
    <w:rsid w:val="00EF7592"/>
    <w:rsid w:val="00EF7C0F"/>
    <w:rsid w:val="00F01DDB"/>
    <w:rsid w:val="00F01E8E"/>
    <w:rsid w:val="00F02F4A"/>
    <w:rsid w:val="00F0598B"/>
    <w:rsid w:val="00F05EF9"/>
    <w:rsid w:val="00F078B8"/>
    <w:rsid w:val="00F07DA0"/>
    <w:rsid w:val="00F1017F"/>
    <w:rsid w:val="00F104A2"/>
    <w:rsid w:val="00F10847"/>
    <w:rsid w:val="00F1118B"/>
    <w:rsid w:val="00F11672"/>
    <w:rsid w:val="00F11941"/>
    <w:rsid w:val="00F120BC"/>
    <w:rsid w:val="00F120C1"/>
    <w:rsid w:val="00F1334F"/>
    <w:rsid w:val="00F142FB"/>
    <w:rsid w:val="00F145B2"/>
    <w:rsid w:val="00F14E64"/>
    <w:rsid w:val="00F1584C"/>
    <w:rsid w:val="00F15A1B"/>
    <w:rsid w:val="00F16A65"/>
    <w:rsid w:val="00F17FC6"/>
    <w:rsid w:val="00F20983"/>
    <w:rsid w:val="00F20F56"/>
    <w:rsid w:val="00F221AA"/>
    <w:rsid w:val="00F2238C"/>
    <w:rsid w:val="00F22F1F"/>
    <w:rsid w:val="00F23828"/>
    <w:rsid w:val="00F23DEF"/>
    <w:rsid w:val="00F23FB9"/>
    <w:rsid w:val="00F24522"/>
    <w:rsid w:val="00F24B09"/>
    <w:rsid w:val="00F250C0"/>
    <w:rsid w:val="00F252E9"/>
    <w:rsid w:val="00F25590"/>
    <w:rsid w:val="00F25A5A"/>
    <w:rsid w:val="00F26F82"/>
    <w:rsid w:val="00F27F9C"/>
    <w:rsid w:val="00F307A0"/>
    <w:rsid w:val="00F31613"/>
    <w:rsid w:val="00F31852"/>
    <w:rsid w:val="00F31AF5"/>
    <w:rsid w:val="00F33529"/>
    <w:rsid w:val="00F34230"/>
    <w:rsid w:val="00F36041"/>
    <w:rsid w:val="00F36EC4"/>
    <w:rsid w:val="00F3747C"/>
    <w:rsid w:val="00F40062"/>
    <w:rsid w:val="00F41A76"/>
    <w:rsid w:val="00F424FE"/>
    <w:rsid w:val="00F42A6B"/>
    <w:rsid w:val="00F4544B"/>
    <w:rsid w:val="00F4576B"/>
    <w:rsid w:val="00F47C22"/>
    <w:rsid w:val="00F504E2"/>
    <w:rsid w:val="00F506CA"/>
    <w:rsid w:val="00F5169F"/>
    <w:rsid w:val="00F52400"/>
    <w:rsid w:val="00F528A7"/>
    <w:rsid w:val="00F529B5"/>
    <w:rsid w:val="00F53622"/>
    <w:rsid w:val="00F53651"/>
    <w:rsid w:val="00F53BDC"/>
    <w:rsid w:val="00F541D5"/>
    <w:rsid w:val="00F55394"/>
    <w:rsid w:val="00F55DB9"/>
    <w:rsid w:val="00F56A2A"/>
    <w:rsid w:val="00F61319"/>
    <w:rsid w:val="00F6176A"/>
    <w:rsid w:val="00F61A1A"/>
    <w:rsid w:val="00F626B8"/>
    <w:rsid w:val="00F641A9"/>
    <w:rsid w:val="00F64567"/>
    <w:rsid w:val="00F66066"/>
    <w:rsid w:val="00F7020B"/>
    <w:rsid w:val="00F70CA1"/>
    <w:rsid w:val="00F72A22"/>
    <w:rsid w:val="00F73483"/>
    <w:rsid w:val="00F736A3"/>
    <w:rsid w:val="00F73A8E"/>
    <w:rsid w:val="00F73AEE"/>
    <w:rsid w:val="00F746A3"/>
    <w:rsid w:val="00F749DA"/>
    <w:rsid w:val="00F75CE1"/>
    <w:rsid w:val="00F75EF5"/>
    <w:rsid w:val="00F75FEC"/>
    <w:rsid w:val="00F76251"/>
    <w:rsid w:val="00F80507"/>
    <w:rsid w:val="00F805AF"/>
    <w:rsid w:val="00F80A34"/>
    <w:rsid w:val="00F81C24"/>
    <w:rsid w:val="00F81C79"/>
    <w:rsid w:val="00F82A98"/>
    <w:rsid w:val="00F84A54"/>
    <w:rsid w:val="00F85C8F"/>
    <w:rsid w:val="00F86840"/>
    <w:rsid w:val="00F87708"/>
    <w:rsid w:val="00F877A6"/>
    <w:rsid w:val="00F87D17"/>
    <w:rsid w:val="00F91CE2"/>
    <w:rsid w:val="00F91E2A"/>
    <w:rsid w:val="00F928EC"/>
    <w:rsid w:val="00F93A02"/>
    <w:rsid w:val="00F95C86"/>
    <w:rsid w:val="00F96180"/>
    <w:rsid w:val="00F96244"/>
    <w:rsid w:val="00F9690D"/>
    <w:rsid w:val="00F97BF2"/>
    <w:rsid w:val="00FA00B9"/>
    <w:rsid w:val="00FA0466"/>
    <w:rsid w:val="00FA048E"/>
    <w:rsid w:val="00FA0F32"/>
    <w:rsid w:val="00FA1B60"/>
    <w:rsid w:val="00FA1FC7"/>
    <w:rsid w:val="00FA22A0"/>
    <w:rsid w:val="00FA2FC4"/>
    <w:rsid w:val="00FA36A6"/>
    <w:rsid w:val="00FA3941"/>
    <w:rsid w:val="00FA3F0E"/>
    <w:rsid w:val="00FA42B6"/>
    <w:rsid w:val="00FA43F6"/>
    <w:rsid w:val="00FA605B"/>
    <w:rsid w:val="00FA6EA7"/>
    <w:rsid w:val="00FA6FCD"/>
    <w:rsid w:val="00FA753E"/>
    <w:rsid w:val="00FB0807"/>
    <w:rsid w:val="00FB300F"/>
    <w:rsid w:val="00FB4EFC"/>
    <w:rsid w:val="00FB66D5"/>
    <w:rsid w:val="00FC24F1"/>
    <w:rsid w:val="00FC2A34"/>
    <w:rsid w:val="00FC2D2C"/>
    <w:rsid w:val="00FC2D8F"/>
    <w:rsid w:val="00FC378C"/>
    <w:rsid w:val="00FC4732"/>
    <w:rsid w:val="00FC489A"/>
    <w:rsid w:val="00FC5011"/>
    <w:rsid w:val="00FC5527"/>
    <w:rsid w:val="00FC62C4"/>
    <w:rsid w:val="00FC6D46"/>
    <w:rsid w:val="00FC6D68"/>
    <w:rsid w:val="00FD1BEB"/>
    <w:rsid w:val="00FD3CF1"/>
    <w:rsid w:val="00FD4297"/>
    <w:rsid w:val="00FD4AB3"/>
    <w:rsid w:val="00FD4FE0"/>
    <w:rsid w:val="00FD6621"/>
    <w:rsid w:val="00FD6718"/>
    <w:rsid w:val="00FD7C8B"/>
    <w:rsid w:val="00FD7E4A"/>
    <w:rsid w:val="00FE08A8"/>
    <w:rsid w:val="00FE2A3C"/>
    <w:rsid w:val="00FE2CB4"/>
    <w:rsid w:val="00FE34D9"/>
    <w:rsid w:val="00FE36F6"/>
    <w:rsid w:val="00FE3C09"/>
    <w:rsid w:val="00FE3D17"/>
    <w:rsid w:val="00FE4360"/>
    <w:rsid w:val="00FE4A78"/>
    <w:rsid w:val="00FE54EE"/>
    <w:rsid w:val="00FE5C66"/>
    <w:rsid w:val="00FE73FB"/>
    <w:rsid w:val="00FF00EE"/>
    <w:rsid w:val="00FF0D6F"/>
    <w:rsid w:val="00FF1D28"/>
    <w:rsid w:val="00FF23FC"/>
    <w:rsid w:val="00FF49F7"/>
    <w:rsid w:val="00FF4FCC"/>
    <w:rsid w:val="00FF59FB"/>
    <w:rsid w:val="00FF6632"/>
    <w:rsid w:val="00FF75C3"/>
    <w:rsid w:val="017127B4"/>
    <w:rsid w:val="025F4662"/>
    <w:rsid w:val="028B18FB"/>
    <w:rsid w:val="033E071B"/>
    <w:rsid w:val="0382305E"/>
    <w:rsid w:val="03D42E21"/>
    <w:rsid w:val="03DD6186"/>
    <w:rsid w:val="042D41B7"/>
    <w:rsid w:val="04637FAC"/>
    <w:rsid w:val="04B67D5F"/>
    <w:rsid w:val="05685F23"/>
    <w:rsid w:val="05961213"/>
    <w:rsid w:val="05A61A15"/>
    <w:rsid w:val="05BE78F1"/>
    <w:rsid w:val="06180938"/>
    <w:rsid w:val="06544052"/>
    <w:rsid w:val="06936CFB"/>
    <w:rsid w:val="06994FED"/>
    <w:rsid w:val="084A7B62"/>
    <w:rsid w:val="085140B5"/>
    <w:rsid w:val="0A392C9C"/>
    <w:rsid w:val="0D401E07"/>
    <w:rsid w:val="0DF7722E"/>
    <w:rsid w:val="10760E11"/>
    <w:rsid w:val="11037D69"/>
    <w:rsid w:val="112847B9"/>
    <w:rsid w:val="1133021E"/>
    <w:rsid w:val="12144199"/>
    <w:rsid w:val="128948D0"/>
    <w:rsid w:val="146E12D1"/>
    <w:rsid w:val="15485AA9"/>
    <w:rsid w:val="15C7174A"/>
    <w:rsid w:val="1714006B"/>
    <w:rsid w:val="178526BC"/>
    <w:rsid w:val="196D04EC"/>
    <w:rsid w:val="19CE05A7"/>
    <w:rsid w:val="1A1F2F5C"/>
    <w:rsid w:val="1B495A57"/>
    <w:rsid w:val="1B785C04"/>
    <w:rsid w:val="1C3F462E"/>
    <w:rsid w:val="1C4C05F9"/>
    <w:rsid w:val="1C7062FE"/>
    <w:rsid w:val="1C76432C"/>
    <w:rsid w:val="1CFC449F"/>
    <w:rsid w:val="1D266050"/>
    <w:rsid w:val="1EAF32E5"/>
    <w:rsid w:val="1ECA4CCF"/>
    <w:rsid w:val="1F2E38E2"/>
    <w:rsid w:val="1F5834F5"/>
    <w:rsid w:val="20631BE8"/>
    <w:rsid w:val="209D686E"/>
    <w:rsid w:val="21AB2F31"/>
    <w:rsid w:val="22440677"/>
    <w:rsid w:val="2307527C"/>
    <w:rsid w:val="25071615"/>
    <w:rsid w:val="252E63EA"/>
    <w:rsid w:val="25496D80"/>
    <w:rsid w:val="25F36015"/>
    <w:rsid w:val="26415DF7"/>
    <w:rsid w:val="27EA26EE"/>
    <w:rsid w:val="28383B5E"/>
    <w:rsid w:val="28AE3498"/>
    <w:rsid w:val="28C3292C"/>
    <w:rsid w:val="2B47497F"/>
    <w:rsid w:val="2CCB6C14"/>
    <w:rsid w:val="2D1A07A5"/>
    <w:rsid w:val="2D4A18E7"/>
    <w:rsid w:val="2D6F488C"/>
    <w:rsid w:val="2DC27B09"/>
    <w:rsid w:val="301210A7"/>
    <w:rsid w:val="307876FC"/>
    <w:rsid w:val="3197679E"/>
    <w:rsid w:val="34E15E4E"/>
    <w:rsid w:val="35B36EA6"/>
    <w:rsid w:val="3713066A"/>
    <w:rsid w:val="38B347B3"/>
    <w:rsid w:val="392C0A3B"/>
    <w:rsid w:val="3A4D3B1A"/>
    <w:rsid w:val="3F5A7273"/>
    <w:rsid w:val="3F787D0E"/>
    <w:rsid w:val="3F79486F"/>
    <w:rsid w:val="4096427B"/>
    <w:rsid w:val="40CD4ACF"/>
    <w:rsid w:val="40E5258D"/>
    <w:rsid w:val="41111912"/>
    <w:rsid w:val="41490D2C"/>
    <w:rsid w:val="420A4172"/>
    <w:rsid w:val="42D000A5"/>
    <w:rsid w:val="44817E8C"/>
    <w:rsid w:val="45B64407"/>
    <w:rsid w:val="46685E10"/>
    <w:rsid w:val="46954138"/>
    <w:rsid w:val="47424128"/>
    <w:rsid w:val="47E52E2E"/>
    <w:rsid w:val="489F2FD7"/>
    <w:rsid w:val="490C3441"/>
    <w:rsid w:val="493A2D00"/>
    <w:rsid w:val="49C96FC6"/>
    <w:rsid w:val="4A19766C"/>
    <w:rsid w:val="4A842484"/>
    <w:rsid w:val="4AA9755E"/>
    <w:rsid w:val="4AB92C9A"/>
    <w:rsid w:val="4E0D2526"/>
    <w:rsid w:val="4E986A0F"/>
    <w:rsid w:val="4F3C2DEE"/>
    <w:rsid w:val="514819C1"/>
    <w:rsid w:val="51640797"/>
    <w:rsid w:val="51B1103D"/>
    <w:rsid w:val="53052C1D"/>
    <w:rsid w:val="533C0B4E"/>
    <w:rsid w:val="53790B62"/>
    <w:rsid w:val="54AA5C7B"/>
    <w:rsid w:val="54C45057"/>
    <w:rsid w:val="556C6C20"/>
    <w:rsid w:val="55955857"/>
    <w:rsid w:val="56151E85"/>
    <w:rsid w:val="56197654"/>
    <w:rsid w:val="56CD075B"/>
    <w:rsid w:val="591A7FB0"/>
    <w:rsid w:val="59F93C29"/>
    <w:rsid w:val="5B4B256B"/>
    <w:rsid w:val="5E3F1567"/>
    <w:rsid w:val="5E4C4C8C"/>
    <w:rsid w:val="5EC851CC"/>
    <w:rsid w:val="60275347"/>
    <w:rsid w:val="613747A0"/>
    <w:rsid w:val="62986BCB"/>
    <w:rsid w:val="62F861EB"/>
    <w:rsid w:val="631F442B"/>
    <w:rsid w:val="644F24F3"/>
    <w:rsid w:val="645411CC"/>
    <w:rsid w:val="645D6510"/>
    <w:rsid w:val="64B30F99"/>
    <w:rsid w:val="655B7E2E"/>
    <w:rsid w:val="65C900C9"/>
    <w:rsid w:val="669C71EE"/>
    <w:rsid w:val="672524A2"/>
    <w:rsid w:val="67596760"/>
    <w:rsid w:val="678076FD"/>
    <w:rsid w:val="68B630D0"/>
    <w:rsid w:val="68C4239F"/>
    <w:rsid w:val="695E0F21"/>
    <w:rsid w:val="69E14DA6"/>
    <w:rsid w:val="6B5F753B"/>
    <w:rsid w:val="6BA434C6"/>
    <w:rsid w:val="6BF36345"/>
    <w:rsid w:val="6C024B1C"/>
    <w:rsid w:val="6C0C1AC9"/>
    <w:rsid w:val="6D52459B"/>
    <w:rsid w:val="6D726375"/>
    <w:rsid w:val="6D8D2B4F"/>
    <w:rsid w:val="6DB47582"/>
    <w:rsid w:val="6E0E7956"/>
    <w:rsid w:val="6F1D293C"/>
    <w:rsid w:val="6F4251F9"/>
    <w:rsid w:val="6F5E6145"/>
    <w:rsid w:val="711A4722"/>
    <w:rsid w:val="735A0990"/>
    <w:rsid w:val="7394715C"/>
    <w:rsid w:val="74CE55B2"/>
    <w:rsid w:val="756473AA"/>
    <w:rsid w:val="771A6BB9"/>
    <w:rsid w:val="779975A3"/>
    <w:rsid w:val="77AE5CCF"/>
    <w:rsid w:val="786D6018"/>
    <w:rsid w:val="796959D7"/>
    <w:rsid w:val="7DB841B7"/>
    <w:rsid w:val="7F7E54EF"/>
    <w:rsid w:val="7FD80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qFormat="1" w:unhideWhenUsed="0" w:uiPriority="0" w:semiHidden="0" w:name="Normal Indent"/>
    <w:lsdException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sdException w:qFormat="1" w:unhideWhenUsed="0" w:uiPriority="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8"/>
    <w:qFormat/>
    <w:uiPriority w:val="0"/>
    <w:pPr>
      <w:spacing w:line="540" w:lineRule="exact"/>
      <w:ind w:left="424" w:leftChars="202" w:firstLine="704" w:firstLineChars="220"/>
      <w:outlineLvl w:val="0"/>
    </w:pPr>
    <w:rPr>
      <w:rFonts w:ascii="仿宋_GB2312" w:hAnsi="Times New Roman" w:eastAsia="仿宋_GB2312"/>
      <w:b/>
      <w:bCs/>
      <w:kern w:val="44"/>
      <w:sz w:val="32"/>
      <w:szCs w:val="44"/>
    </w:rPr>
  </w:style>
  <w:style w:type="paragraph" w:styleId="3">
    <w:name w:val="heading 2"/>
    <w:basedOn w:val="1"/>
    <w:next w:val="1"/>
    <w:link w:val="34"/>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31"/>
    <w:qFormat/>
    <w:uiPriority w:val="0"/>
    <w:pPr>
      <w:keepNext/>
      <w:keepLines/>
      <w:spacing w:before="260" w:after="260" w:line="416" w:lineRule="auto"/>
      <w:outlineLvl w:val="2"/>
    </w:pPr>
    <w:rPr>
      <w:b/>
      <w:bCs/>
      <w:sz w:val="32"/>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rFonts w:ascii="Times New Roman" w:hAnsi="Times New Roman"/>
      <w:szCs w:val="20"/>
    </w:rPr>
  </w:style>
  <w:style w:type="paragraph" w:styleId="6">
    <w:name w:val="Document Map"/>
    <w:basedOn w:val="1"/>
    <w:link w:val="32"/>
    <w:semiHidden/>
    <w:qFormat/>
    <w:uiPriority w:val="0"/>
    <w:rPr>
      <w:rFonts w:ascii="宋体"/>
      <w:sz w:val="18"/>
      <w:szCs w:val="18"/>
    </w:rPr>
  </w:style>
  <w:style w:type="paragraph" w:styleId="7">
    <w:name w:val="annotation text"/>
    <w:basedOn w:val="1"/>
    <w:link w:val="29"/>
    <w:semiHidden/>
    <w:qFormat/>
    <w:uiPriority w:val="0"/>
    <w:pPr>
      <w:jc w:val="left"/>
    </w:pPr>
    <w:rPr>
      <w:rFonts w:ascii="Times New Roman" w:hAnsi="Times New Roman"/>
      <w:szCs w:val="24"/>
    </w:rPr>
  </w:style>
  <w:style w:type="paragraph" w:styleId="8">
    <w:name w:val="Body Text"/>
    <w:basedOn w:val="1"/>
    <w:qFormat/>
    <w:uiPriority w:val="1"/>
    <w:rPr>
      <w:rFonts w:ascii="仿宋" w:hAnsi="仿宋" w:eastAsia="仿宋" w:cs="仿宋"/>
      <w:sz w:val="32"/>
      <w:szCs w:val="32"/>
      <w:lang w:val="zh-CN" w:bidi="zh-CN"/>
    </w:rPr>
  </w:style>
  <w:style w:type="paragraph" w:styleId="9">
    <w:name w:val="toc 3"/>
    <w:basedOn w:val="1"/>
    <w:next w:val="1"/>
    <w:qFormat/>
    <w:locked/>
    <w:uiPriority w:val="39"/>
    <w:pPr>
      <w:ind w:left="840" w:leftChars="400"/>
    </w:pPr>
  </w:style>
  <w:style w:type="paragraph" w:styleId="10">
    <w:name w:val="Date"/>
    <w:basedOn w:val="1"/>
    <w:next w:val="1"/>
    <w:link w:val="33"/>
    <w:semiHidden/>
    <w:qFormat/>
    <w:uiPriority w:val="0"/>
    <w:pPr>
      <w:ind w:left="100" w:leftChars="2500"/>
    </w:pPr>
  </w:style>
  <w:style w:type="paragraph" w:styleId="11">
    <w:name w:val="Body Text Indent 2"/>
    <w:basedOn w:val="1"/>
    <w:qFormat/>
    <w:uiPriority w:val="0"/>
    <w:pPr>
      <w:spacing w:after="120" w:line="480" w:lineRule="auto"/>
      <w:ind w:left="420" w:leftChars="200"/>
    </w:pPr>
  </w:style>
  <w:style w:type="paragraph" w:styleId="12">
    <w:name w:val="Balloon Text"/>
    <w:basedOn w:val="1"/>
    <w:link w:val="30"/>
    <w:semiHidden/>
    <w:qFormat/>
    <w:uiPriority w:val="99"/>
    <w:rPr>
      <w:sz w:val="18"/>
      <w:szCs w:val="18"/>
    </w:rPr>
  </w:style>
  <w:style w:type="paragraph" w:styleId="13">
    <w:name w:val="footer"/>
    <w:basedOn w:val="1"/>
    <w:link w:val="35"/>
    <w:qFormat/>
    <w:uiPriority w:val="99"/>
    <w:pPr>
      <w:tabs>
        <w:tab w:val="center" w:pos="4153"/>
        <w:tab w:val="right" w:pos="8306"/>
      </w:tabs>
      <w:snapToGrid w:val="0"/>
      <w:jc w:val="left"/>
    </w:pPr>
    <w:rPr>
      <w:sz w:val="18"/>
      <w:szCs w:val="18"/>
    </w:rPr>
  </w:style>
  <w:style w:type="paragraph" w:styleId="14">
    <w:name w:val="header"/>
    <w:basedOn w:val="1"/>
    <w:link w:val="36"/>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rPr>
      <w:rFonts w:ascii="Times New Roman" w:hAnsi="Times New Roman"/>
      <w:szCs w:val="24"/>
    </w:rPr>
  </w:style>
  <w:style w:type="paragraph" w:styleId="16">
    <w:name w:val="Subtitle"/>
    <w:basedOn w:val="1"/>
    <w:next w:val="1"/>
    <w:link w:val="45"/>
    <w:qFormat/>
    <w:locked/>
    <w:uiPriority w:val="0"/>
    <w:pPr>
      <w:ind w:firstLine="200" w:firstLineChars="200"/>
      <w:jc w:val="left"/>
      <w:outlineLvl w:val="2"/>
    </w:pPr>
    <w:rPr>
      <w:rFonts w:ascii="Cambria" w:hAnsi="Cambria" w:eastAsia="黑体"/>
      <w:bCs/>
      <w:kern w:val="28"/>
      <w:sz w:val="28"/>
      <w:szCs w:val="32"/>
    </w:rPr>
  </w:style>
  <w:style w:type="paragraph" w:styleId="17">
    <w:name w:val="toc 2"/>
    <w:basedOn w:val="1"/>
    <w:next w:val="1"/>
    <w:qFormat/>
    <w:uiPriority w:val="39"/>
    <w:pPr>
      <w:ind w:left="420" w:leftChars="200"/>
    </w:pPr>
    <w:rPr>
      <w:rFonts w:ascii="Times New Roman" w:hAnsi="Times New Roman"/>
      <w:szCs w:val="24"/>
    </w:rPr>
  </w:style>
  <w:style w:type="paragraph" w:styleId="1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9">
    <w:name w:val="annotation subject"/>
    <w:basedOn w:val="7"/>
    <w:next w:val="7"/>
    <w:link w:val="37"/>
    <w:semiHidden/>
    <w:qFormat/>
    <w:uiPriority w:val="0"/>
    <w:rPr>
      <w:rFonts w:ascii="Calibri" w:hAnsi="Calibri"/>
      <w:b/>
      <w:bCs/>
      <w:szCs w:val="22"/>
    </w:rPr>
  </w:style>
  <w:style w:type="table" w:styleId="21">
    <w:name w:val="Table Grid"/>
    <w:basedOn w:val="2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Strong"/>
    <w:basedOn w:val="22"/>
    <w:qFormat/>
    <w:locked/>
    <w:uiPriority w:val="22"/>
    <w:rPr>
      <w:b/>
      <w:bCs/>
    </w:rPr>
  </w:style>
  <w:style w:type="character" w:styleId="24">
    <w:name w:val="page number"/>
    <w:basedOn w:val="22"/>
    <w:qFormat/>
    <w:uiPriority w:val="0"/>
    <w:rPr>
      <w:rFonts w:cs="Times New Roman"/>
    </w:rPr>
  </w:style>
  <w:style w:type="character" w:styleId="25">
    <w:name w:val="Emphasis"/>
    <w:basedOn w:val="22"/>
    <w:qFormat/>
    <w:locked/>
    <w:uiPriority w:val="0"/>
    <w:rPr>
      <w:rFonts w:cs="Times New Roman"/>
      <w:i/>
      <w:iCs/>
    </w:rPr>
  </w:style>
  <w:style w:type="character" w:styleId="26">
    <w:name w:val="Hyperlink"/>
    <w:basedOn w:val="22"/>
    <w:qFormat/>
    <w:uiPriority w:val="99"/>
    <w:rPr>
      <w:rFonts w:cs="Times New Roman"/>
      <w:color w:val="0000FF"/>
      <w:u w:val="single"/>
    </w:rPr>
  </w:style>
  <w:style w:type="character" w:styleId="27">
    <w:name w:val="annotation reference"/>
    <w:basedOn w:val="22"/>
    <w:semiHidden/>
    <w:qFormat/>
    <w:uiPriority w:val="0"/>
    <w:rPr>
      <w:rFonts w:cs="Times New Roman"/>
      <w:sz w:val="21"/>
      <w:szCs w:val="21"/>
    </w:rPr>
  </w:style>
  <w:style w:type="character" w:customStyle="1" w:styleId="28">
    <w:name w:val="标题 1 Char"/>
    <w:basedOn w:val="22"/>
    <w:link w:val="2"/>
    <w:qFormat/>
    <w:locked/>
    <w:uiPriority w:val="0"/>
    <w:rPr>
      <w:rFonts w:ascii="仿宋_GB2312" w:hAnsi="Times New Roman" w:eastAsia="仿宋_GB2312" w:cs="Times New Roman"/>
      <w:b/>
      <w:bCs/>
      <w:kern w:val="44"/>
      <w:sz w:val="44"/>
      <w:szCs w:val="44"/>
    </w:rPr>
  </w:style>
  <w:style w:type="character" w:customStyle="1" w:styleId="29">
    <w:name w:val="批注文字 Char"/>
    <w:basedOn w:val="22"/>
    <w:link w:val="7"/>
    <w:qFormat/>
    <w:locked/>
    <w:uiPriority w:val="0"/>
    <w:rPr>
      <w:rFonts w:ascii="Times New Roman" w:hAnsi="Times New Roman" w:cs="Times New Roman"/>
      <w:sz w:val="24"/>
      <w:szCs w:val="24"/>
    </w:rPr>
  </w:style>
  <w:style w:type="character" w:customStyle="1" w:styleId="30">
    <w:name w:val="批注框文本 Char"/>
    <w:basedOn w:val="22"/>
    <w:link w:val="12"/>
    <w:semiHidden/>
    <w:qFormat/>
    <w:locked/>
    <w:uiPriority w:val="99"/>
    <w:rPr>
      <w:rFonts w:cs="Times New Roman"/>
      <w:sz w:val="18"/>
      <w:szCs w:val="18"/>
    </w:rPr>
  </w:style>
  <w:style w:type="character" w:customStyle="1" w:styleId="31">
    <w:name w:val="标题 3 Char"/>
    <w:basedOn w:val="22"/>
    <w:link w:val="4"/>
    <w:semiHidden/>
    <w:qFormat/>
    <w:locked/>
    <w:uiPriority w:val="0"/>
    <w:rPr>
      <w:rFonts w:cs="Times New Roman"/>
      <w:b/>
      <w:bCs/>
      <w:sz w:val="32"/>
      <w:szCs w:val="32"/>
    </w:rPr>
  </w:style>
  <w:style w:type="character" w:customStyle="1" w:styleId="32">
    <w:name w:val="文档结构图 Char"/>
    <w:basedOn w:val="22"/>
    <w:link w:val="6"/>
    <w:semiHidden/>
    <w:qFormat/>
    <w:locked/>
    <w:uiPriority w:val="0"/>
    <w:rPr>
      <w:rFonts w:ascii="宋体" w:eastAsia="Times New Roman" w:cs="Times New Roman"/>
      <w:sz w:val="18"/>
      <w:szCs w:val="18"/>
    </w:rPr>
  </w:style>
  <w:style w:type="character" w:customStyle="1" w:styleId="33">
    <w:name w:val="日期 Char"/>
    <w:basedOn w:val="22"/>
    <w:link w:val="10"/>
    <w:semiHidden/>
    <w:qFormat/>
    <w:locked/>
    <w:uiPriority w:val="0"/>
    <w:rPr>
      <w:rFonts w:cs="Times New Roman"/>
      <w:kern w:val="2"/>
      <w:sz w:val="22"/>
      <w:szCs w:val="22"/>
    </w:rPr>
  </w:style>
  <w:style w:type="character" w:customStyle="1" w:styleId="34">
    <w:name w:val="标题 2 Char"/>
    <w:basedOn w:val="22"/>
    <w:link w:val="3"/>
    <w:semiHidden/>
    <w:qFormat/>
    <w:locked/>
    <w:uiPriority w:val="0"/>
    <w:rPr>
      <w:rFonts w:ascii="Cambria" w:hAnsi="Cambria" w:cs="Times New Roman"/>
      <w:b/>
      <w:bCs/>
      <w:sz w:val="32"/>
      <w:szCs w:val="32"/>
    </w:rPr>
  </w:style>
  <w:style w:type="character" w:customStyle="1" w:styleId="35">
    <w:name w:val="页脚 Char"/>
    <w:basedOn w:val="22"/>
    <w:link w:val="13"/>
    <w:qFormat/>
    <w:locked/>
    <w:uiPriority w:val="99"/>
    <w:rPr>
      <w:rFonts w:cs="Times New Roman"/>
      <w:sz w:val="18"/>
      <w:szCs w:val="18"/>
    </w:rPr>
  </w:style>
  <w:style w:type="character" w:customStyle="1" w:styleId="36">
    <w:name w:val="页眉 Char"/>
    <w:basedOn w:val="22"/>
    <w:link w:val="14"/>
    <w:qFormat/>
    <w:locked/>
    <w:uiPriority w:val="99"/>
    <w:rPr>
      <w:rFonts w:cs="Times New Roman"/>
      <w:sz w:val="18"/>
      <w:szCs w:val="18"/>
    </w:rPr>
  </w:style>
  <w:style w:type="character" w:customStyle="1" w:styleId="37">
    <w:name w:val="批注主题 Char"/>
    <w:basedOn w:val="29"/>
    <w:link w:val="19"/>
    <w:semiHidden/>
    <w:qFormat/>
    <w:locked/>
    <w:uiPriority w:val="0"/>
    <w:rPr>
      <w:rFonts w:ascii="Times New Roman" w:hAnsi="Times New Roman" w:cs="Times New Roman"/>
      <w:b/>
      <w:bCs/>
      <w:sz w:val="24"/>
      <w:szCs w:val="24"/>
    </w:rPr>
  </w:style>
  <w:style w:type="paragraph" w:customStyle="1" w:styleId="38">
    <w:name w:val="修订1"/>
    <w:semiHidden/>
    <w:qFormat/>
    <w:uiPriority w:val="0"/>
    <w:rPr>
      <w:rFonts w:ascii="Calibri" w:hAnsi="Calibri" w:eastAsia="宋体" w:cs="Times New Roman"/>
      <w:kern w:val="2"/>
      <w:sz w:val="21"/>
      <w:szCs w:val="22"/>
      <w:lang w:val="en-US" w:eastAsia="zh-CN" w:bidi="ar-SA"/>
    </w:rPr>
  </w:style>
  <w:style w:type="paragraph" w:customStyle="1" w:styleId="39">
    <w:name w:val="Char1"/>
    <w:basedOn w:val="6"/>
    <w:qFormat/>
    <w:uiPriority w:val="0"/>
    <w:pPr>
      <w:shd w:val="clear" w:color="auto" w:fill="000080"/>
      <w:adjustRightInd w:val="0"/>
      <w:spacing w:line="436" w:lineRule="exact"/>
      <w:ind w:left="357"/>
      <w:jc w:val="left"/>
      <w:outlineLvl w:val="3"/>
    </w:pPr>
    <w:rPr>
      <w:rFonts w:ascii="Tahoma" w:hAnsi="Tahoma"/>
      <w:b/>
      <w:sz w:val="24"/>
      <w:szCs w:val="24"/>
    </w:rPr>
  </w:style>
  <w:style w:type="paragraph" w:customStyle="1" w:styleId="4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1">
    <w:name w:val="TOC 标题1"/>
    <w:basedOn w:val="2"/>
    <w:next w:val="1"/>
    <w:qFormat/>
    <w:uiPriority w:val="0"/>
    <w:pPr>
      <w:keepNext/>
      <w:keepLines/>
      <w:widowControl/>
      <w:spacing w:before="480" w:line="276" w:lineRule="auto"/>
      <w:ind w:left="0" w:leftChars="0" w:firstLine="0" w:firstLineChars="0"/>
      <w:jc w:val="left"/>
      <w:outlineLvl w:val="9"/>
    </w:pPr>
    <w:rPr>
      <w:rFonts w:ascii="Cambria" w:hAnsi="Cambria" w:eastAsia="宋体"/>
      <w:color w:val="365F91"/>
      <w:kern w:val="0"/>
      <w:sz w:val="28"/>
      <w:szCs w:val="28"/>
    </w:rPr>
  </w:style>
  <w:style w:type="paragraph" w:customStyle="1" w:styleId="42">
    <w:name w:val="列出段落1"/>
    <w:basedOn w:val="1"/>
    <w:qFormat/>
    <w:uiPriority w:val="0"/>
    <w:pPr>
      <w:ind w:firstLine="420" w:firstLineChars="200"/>
    </w:pPr>
    <w:rPr>
      <w:rFonts w:ascii="Times New Roman" w:hAnsi="Times New Roman"/>
    </w:rPr>
  </w:style>
  <w:style w:type="paragraph" w:customStyle="1" w:styleId="43">
    <w:name w:val="Char"/>
    <w:basedOn w:val="6"/>
    <w:qFormat/>
    <w:uiPriority w:val="0"/>
    <w:pPr>
      <w:shd w:val="clear" w:color="auto" w:fill="000080"/>
      <w:adjustRightInd w:val="0"/>
      <w:spacing w:line="436" w:lineRule="exact"/>
      <w:ind w:left="357"/>
      <w:jc w:val="left"/>
      <w:outlineLvl w:val="3"/>
    </w:pPr>
    <w:rPr>
      <w:rFonts w:ascii="Tahoma" w:hAnsi="Tahoma"/>
      <w:b/>
      <w:sz w:val="24"/>
      <w:szCs w:val="24"/>
    </w:rPr>
  </w:style>
  <w:style w:type="paragraph" w:customStyle="1" w:styleId="44">
    <w:name w:val="Char Char Char Char Char Char"/>
    <w:basedOn w:val="1"/>
    <w:qFormat/>
    <w:uiPriority w:val="0"/>
    <w:pPr>
      <w:widowControl/>
      <w:spacing w:after="160" w:line="240" w:lineRule="exact"/>
      <w:jc w:val="left"/>
    </w:pPr>
    <w:rPr>
      <w:rFonts w:ascii="Times New Roman" w:hAnsi="Times New Roman"/>
      <w:szCs w:val="24"/>
    </w:rPr>
  </w:style>
  <w:style w:type="character" w:customStyle="1" w:styleId="45">
    <w:name w:val="副标题 Char"/>
    <w:basedOn w:val="22"/>
    <w:link w:val="16"/>
    <w:qFormat/>
    <w:locked/>
    <w:uiPriority w:val="0"/>
    <w:rPr>
      <w:rFonts w:ascii="Cambria" w:hAnsi="Cambria" w:eastAsia="黑体" w:cs="Times New Roman"/>
      <w:bCs/>
      <w:kern w:val="28"/>
      <w:sz w:val="32"/>
      <w:szCs w:val="32"/>
    </w:rPr>
  </w:style>
  <w:style w:type="paragraph" w:customStyle="1" w:styleId="46">
    <w:name w:val="修订2"/>
    <w:hidden/>
    <w:qFormat/>
    <w:uiPriority w:val="0"/>
    <w:rPr>
      <w:rFonts w:ascii="Calibri" w:hAnsi="Calibri" w:eastAsia="宋体" w:cs="Times New Roman"/>
      <w:kern w:val="2"/>
      <w:sz w:val="21"/>
      <w:szCs w:val="22"/>
      <w:lang w:val="en-US" w:eastAsia="zh-CN" w:bidi="ar-SA"/>
    </w:rPr>
  </w:style>
  <w:style w:type="paragraph" w:customStyle="1" w:styleId="47">
    <w:name w:val="修订3"/>
    <w:hidden/>
    <w:semiHidden/>
    <w:qFormat/>
    <w:uiPriority w:val="99"/>
    <w:rPr>
      <w:rFonts w:ascii="Calibri" w:hAnsi="Calibri" w:eastAsia="宋体" w:cs="Times New Roman"/>
      <w:kern w:val="2"/>
      <w:sz w:val="21"/>
      <w:szCs w:val="22"/>
      <w:lang w:val="en-US" w:eastAsia="zh-CN" w:bidi="ar-SA"/>
    </w:rPr>
  </w:style>
  <w:style w:type="paragraph" w:customStyle="1" w:styleId="48">
    <w:name w:val="修订4"/>
    <w:hidden/>
    <w:semiHidden/>
    <w:qFormat/>
    <w:uiPriority w:val="99"/>
    <w:rPr>
      <w:rFonts w:ascii="Calibri" w:hAnsi="Calibri" w:eastAsia="宋体" w:cs="Times New Roman"/>
      <w:kern w:val="2"/>
      <w:sz w:val="21"/>
      <w:szCs w:val="22"/>
      <w:lang w:val="en-US" w:eastAsia="zh-CN" w:bidi="ar-SA"/>
    </w:rPr>
  </w:style>
  <w:style w:type="character" w:customStyle="1" w:styleId="49">
    <w:name w:val="font61"/>
    <w:basedOn w:val="22"/>
    <w:qFormat/>
    <w:uiPriority w:val="0"/>
    <w:rPr>
      <w:rFonts w:hint="eastAsia" w:ascii="宋体" w:hAnsi="宋体" w:eastAsia="宋体" w:cs="宋体"/>
      <w:color w:val="000000"/>
      <w:sz w:val="20"/>
      <w:szCs w:val="20"/>
      <w:u w:val="none"/>
    </w:rPr>
  </w:style>
  <w:style w:type="character" w:customStyle="1" w:styleId="50">
    <w:name w:val="font41"/>
    <w:basedOn w:val="22"/>
    <w:qFormat/>
    <w:uiPriority w:val="0"/>
    <w:rPr>
      <w:rFonts w:hint="eastAsia" w:ascii="宋体" w:hAnsi="宋体" w:eastAsia="宋体" w:cs="宋体"/>
      <w:color w:val="000000"/>
      <w:sz w:val="20"/>
      <w:szCs w:val="20"/>
      <w:u w:val="none"/>
    </w:rPr>
  </w:style>
  <w:style w:type="paragraph" w:customStyle="1" w:styleId="51">
    <w:name w:val="修订5"/>
    <w:hidden/>
    <w:semiHidden/>
    <w:qFormat/>
    <w:uiPriority w:val="99"/>
    <w:rPr>
      <w:rFonts w:ascii="Calibri" w:hAnsi="Calibri" w:eastAsia="宋体" w:cs="Times New Roman"/>
      <w:kern w:val="2"/>
      <w:sz w:val="21"/>
      <w:szCs w:val="22"/>
      <w:lang w:val="en-US" w:eastAsia="zh-CN" w:bidi="ar-SA"/>
    </w:rPr>
  </w:style>
  <w:style w:type="paragraph" w:styleId="52">
    <w:name w:val="List Paragraph"/>
    <w:basedOn w:val="1"/>
    <w:qFormat/>
    <w:uiPriority w:val="34"/>
    <w:pPr>
      <w:spacing w:line="240" w:lineRule="auto"/>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Users/wangqiushuo/Desktop/&#24635;&#32467;/&#19981;&#20877;&#32534;&#36753;-&#20107;&#20214;&#31649;&#29702;-2024&#24180;-&#23494;&#20113;&#26816;&#23519;&#38498;.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Users/wangqiushuo/Desktop/&#24635;&#32467;/2024&#20107;&#20214;&#31649;&#297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[不再编辑-事件管理-2024年-密云检察院.xlsx]月-运维数据分布图!数据透视表4</c:name>
    <c:fmtId val="-1"/>
  </c:pivotSource>
  <c:chart>
    <c:title>
      <c:tx>
        <c:rich>
          <a:bodyPr rot="0" spcFirstLastPara="1" vertOverflow="ellipsis" vert="horz" wrap="square" anchor="ctr" anchorCtr="1"/>
          <a:lstStyle/>
          <a:p>
            <a:pPr>
              <a:defRPr lang="zh-CN" sz="1600" b="1" i="0" u="none" strike="noStrike" kern="1200" baseline="0">
                <a:solidFill>
                  <a:schemeClr val="tx1">
                    <a:lumMod val="65000"/>
                    <a:lumOff val="35000"/>
                  </a:schemeClr>
                </a:solidFill>
                <a:latin typeface="+mn-lt"/>
                <a:ea typeface="+mn-ea"/>
                <a:cs typeface="+mn-cs"/>
              </a:defRPr>
            </a:pPr>
            <a:r>
              <a:rPr lang="zh-CN" altLang="en-US"/>
              <a:t>运维数据分布图</a:t>
            </a:r>
            <a:endParaRPr lang="zh-CN" altLang="en-US"/>
          </a:p>
        </c:rich>
      </c:tx>
      <c:layout/>
      <c:overlay val="0"/>
      <c:spPr>
        <a:noFill/>
        <a:ln>
          <a:noFill/>
        </a:ln>
        <a:effectLst/>
      </c:spPr>
    </c:title>
    <c:autoTitleDeleted val="0"/>
    <c:plotArea>
      <c:layout/>
      <c:ofPieChart>
        <c:ofPieType val="pie"/>
        <c:varyColors val="1"/>
        <c:ser>
          <c:idx val="0"/>
          <c:order val="0"/>
          <c:tx>
            <c:strRef>
              <c:f>'[不再编辑-事件管理-2024年-密云检察院.xlsx]月-运维数据分布图'!$B$4</c:f>
              <c:strCache>
                <c:ptCount val="1"/>
                <c:pt idx="0">
                  <c:v>汇总</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c:spPr>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c:spPr>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c:spPr>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c:spPr>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c:spPr>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c:spPr>
          </c:dPt>
          <c:dPt>
            <c:idx val="10"/>
            <c:bubble3D val="0"/>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a:noFill/>
              </a:ln>
              <a:effectLst>
                <a:outerShdw blurRad="40000" dist="23000" dir="5400000" rotWithShape="0">
                  <a:srgbClr val="000000">
                    <a:alpha val="35000"/>
                  </a:srgbClr>
                </a:outerShdw>
              </a:effectLst>
            </c:spPr>
          </c:dPt>
          <c:dPt>
            <c:idx val="11"/>
            <c:bubble3D val="0"/>
            <c:spPr>
              <a:gradFill rotWithShape="1">
                <a:gsLst>
                  <a:gs pos="0">
                    <a:schemeClr val="accent6">
                      <a:lumMod val="60000"/>
                      <a:shade val="51000"/>
                      <a:satMod val="130000"/>
                    </a:schemeClr>
                  </a:gs>
                  <a:gs pos="80000">
                    <a:schemeClr val="accent6">
                      <a:lumMod val="60000"/>
                      <a:shade val="93000"/>
                      <a:satMod val="130000"/>
                    </a:schemeClr>
                  </a:gs>
                  <a:gs pos="100000">
                    <a:schemeClr val="accent6">
                      <a:lumMod val="60000"/>
                      <a:shade val="94000"/>
                      <a:satMod val="135000"/>
                    </a:schemeClr>
                  </a:gs>
                </a:gsLst>
                <a:lin ang="16200000" scaled="0"/>
              </a:gradFill>
              <a:ln>
                <a:noFill/>
              </a:ln>
              <a:effectLst>
                <a:outerShdw blurRad="40000" dist="23000" dir="5400000" rotWithShape="0">
                  <a:srgbClr val="000000">
                    <a:alpha val="35000"/>
                  </a:srgbClr>
                </a:outerShdw>
              </a:effectLst>
            </c:spPr>
          </c:dPt>
          <c:dPt>
            <c:idx val="12"/>
            <c:bubble3D val="0"/>
            <c:spPr>
              <a:gradFill rotWithShape="1">
                <a:gsLst>
                  <a:gs pos="0">
                    <a:schemeClr val="accent1">
                      <a:lumMod val="80000"/>
                      <a:lumOff val="20000"/>
                      <a:shade val="51000"/>
                      <a:satMod val="130000"/>
                    </a:schemeClr>
                  </a:gs>
                  <a:gs pos="80000">
                    <a:schemeClr val="accent1">
                      <a:lumMod val="80000"/>
                      <a:lumOff val="20000"/>
                      <a:shade val="93000"/>
                      <a:satMod val="130000"/>
                    </a:schemeClr>
                  </a:gs>
                  <a:gs pos="100000">
                    <a:schemeClr val="accent1">
                      <a:lumMod val="80000"/>
                      <a:lumOff val="20000"/>
                      <a:shade val="94000"/>
                      <a:satMod val="135000"/>
                    </a:schemeClr>
                  </a:gs>
                </a:gsLst>
                <a:lin ang="16200000" scaled="0"/>
              </a:gradFill>
              <a:ln>
                <a:noFill/>
              </a:ln>
              <a:effectLst>
                <a:outerShdw blurRad="40000" dist="23000" dir="5400000" rotWithShape="0">
                  <a:srgbClr val="000000">
                    <a:alpha val="35000"/>
                  </a:srgbClr>
                </a:outerShdw>
              </a:effectLst>
            </c:spPr>
          </c:dPt>
          <c:dPt>
            <c:idx val="13"/>
            <c:bubble3D val="0"/>
            <c:spPr>
              <a:gradFill rotWithShape="1">
                <a:gsLst>
                  <a:gs pos="0">
                    <a:schemeClr val="accent2">
                      <a:lumMod val="80000"/>
                      <a:lumOff val="20000"/>
                      <a:shade val="51000"/>
                      <a:satMod val="130000"/>
                    </a:schemeClr>
                  </a:gs>
                  <a:gs pos="80000">
                    <a:schemeClr val="accent2">
                      <a:lumMod val="80000"/>
                      <a:lumOff val="20000"/>
                      <a:shade val="93000"/>
                      <a:satMod val="130000"/>
                    </a:schemeClr>
                  </a:gs>
                  <a:gs pos="100000">
                    <a:schemeClr val="accent2">
                      <a:lumMod val="80000"/>
                      <a:lumOff val="20000"/>
                      <a:shade val="94000"/>
                      <a:satMod val="135000"/>
                    </a:schemeClr>
                  </a:gs>
                </a:gsLst>
                <a:lin ang="16200000" scaled="0"/>
              </a:gradFill>
              <a:ln>
                <a:noFill/>
              </a:ln>
              <a:effectLst>
                <a:outerShdw blurRad="40000" dist="23000" dir="5400000" rotWithShape="0">
                  <a:srgbClr val="000000">
                    <a:alpha val="35000"/>
                  </a:srgbClr>
                </a:outerShdw>
              </a:effectLst>
            </c:spPr>
          </c:dPt>
          <c:dPt>
            <c:idx val="14"/>
            <c:bubble3D val="0"/>
            <c:spPr>
              <a:gradFill rotWithShape="1">
                <a:gsLst>
                  <a:gs pos="0">
                    <a:schemeClr val="accent3">
                      <a:lumMod val="80000"/>
                      <a:lumOff val="20000"/>
                      <a:shade val="51000"/>
                      <a:satMod val="130000"/>
                    </a:schemeClr>
                  </a:gs>
                  <a:gs pos="80000">
                    <a:schemeClr val="accent3">
                      <a:lumMod val="80000"/>
                      <a:lumOff val="20000"/>
                      <a:shade val="93000"/>
                      <a:satMod val="130000"/>
                    </a:schemeClr>
                  </a:gs>
                  <a:gs pos="100000">
                    <a:schemeClr val="accent3">
                      <a:lumMod val="80000"/>
                      <a:lumOff val="20000"/>
                      <a:shade val="94000"/>
                      <a:satMod val="135000"/>
                    </a:schemeClr>
                  </a:gs>
                </a:gsLst>
                <a:lin ang="16200000" scaled="0"/>
              </a:gradFill>
              <a:ln>
                <a:noFill/>
              </a:ln>
              <a:effectLst>
                <a:outerShdw blurRad="40000" dist="23000" dir="5400000" rotWithShape="0">
                  <a:srgbClr val="000000">
                    <a:alpha val="35000"/>
                  </a:srgbClr>
                </a:outerShdw>
              </a:effectLst>
            </c:spPr>
          </c:dPt>
          <c:dPt>
            <c:idx val="15"/>
            <c:bubble3D val="0"/>
            <c:spPr>
              <a:gradFill rotWithShape="1">
                <a:gsLst>
                  <a:gs pos="0">
                    <a:schemeClr val="accent4">
                      <a:lumMod val="80000"/>
                      <a:lumOff val="20000"/>
                      <a:shade val="51000"/>
                      <a:satMod val="130000"/>
                    </a:schemeClr>
                  </a:gs>
                  <a:gs pos="80000">
                    <a:schemeClr val="accent4">
                      <a:lumMod val="80000"/>
                      <a:lumOff val="20000"/>
                      <a:shade val="93000"/>
                      <a:satMod val="130000"/>
                    </a:schemeClr>
                  </a:gs>
                  <a:gs pos="100000">
                    <a:schemeClr val="accent4">
                      <a:lumMod val="80000"/>
                      <a:lumOff val="20000"/>
                      <a:shade val="94000"/>
                      <a:satMod val="135000"/>
                    </a:schemeClr>
                  </a:gs>
                </a:gsLst>
                <a:lin ang="16200000" scaled="0"/>
              </a:gradFill>
              <a:ln>
                <a:noFill/>
              </a:ln>
              <a:effectLst>
                <a:outerShdw blurRad="40000" dist="23000" dir="5400000" rotWithShape="0">
                  <a:srgbClr val="000000">
                    <a:alpha val="35000"/>
                  </a:srgbClr>
                </a:outerShdw>
              </a:effectLst>
            </c:spPr>
          </c:dPt>
          <c:dPt>
            <c:idx val="16"/>
            <c:bubble3D val="0"/>
            <c:spPr>
              <a:gradFill rotWithShape="1">
                <a:gsLst>
                  <a:gs pos="0">
                    <a:schemeClr val="accent5">
                      <a:lumMod val="80000"/>
                      <a:lumOff val="20000"/>
                      <a:shade val="51000"/>
                      <a:satMod val="130000"/>
                    </a:schemeClr>
                  </a:gs>
                  <a:gs pos="80000">
                    <a:schemeClr val="accent5">
                      <a:lumMod val="80000"/>
                      <a:lumOff val="20000"/>
                      <a:shade val="93000"/>
                      <a:satMod val="130000"/>
                    </a:schemeClr>
                  </a:gs>
                  <a:gs pos="100000">
                    <a:schemeClr val="accent5">
                      <a:lumMod val="80000"/>
                      <a:lumOff val="20000"/>
                      <a:shade val="94000"/>
                      <a:satMod val="135000"/>
                    </a:schemeClr>
                  </a:gs>
                </a:gsLst>
                <a:lin ang="16200000" scaled="0"/>
              </a:gradFill>
              <a:ln>
                <a:noFill/>
              </a:ln>
              <a:effectLst>
                <a:outerShdw blurRad="40000" dist="23000" dir="5400000" rotWithShape="0">
                  <a:srgbClr val="000000">
                    <a:alpha val="35000"/>
                  </a:srgbClr>
                </a:outerShdw>
              </a:effectLst>
            </c:spPr>
          </c:dPt>
          <c:dPt>
            <c:idx val="17"/>
            <c:bubble3D val="0"/>
            <c:spPr>
              <a:gradFill rotWithShape="1">
                <a:gsLst>
                  <a:gs pos="0">
                    <a:schemeClr val="accent6">
                      <a:lumMod val="80000"/>
                      <a:lumOff val="20000"/>
                      <a:shade val="51000"/>
                      <a:satMod val="130000"/>
                    </a:schemeClr>
                  </a:gs>
                  <a:gs pos="80000">
                    <a:schemeClr val="accent6">
                      <a:lumMod val="80000"/>
                      <a:lumOff val="20000"/>
                      <a:shade val="93000"/>
                      <a:satMod val="130000"/>
                    </a:schemeClr>
                  </a:gs>
                  <a:gs pos="100000">
                    <a:schemeClr val="accent6">
                      <a:lumMod val="80000"/>
                      <a:lumOff val="20000"/>
                      <a:shade val="94000"/>
                      <a:satMod val="135000"/>
                    </a:schemeClr>
                  </a:gs>
                </a:gsLst>
                <a:lin ang="16200000" scaled="0"/>
              </a:gradFill>
              <a:ln>
                <a:noFill/>
              </a:ln>
              <a:effectLst>
                <a:outerShdw blurRad="40000" dist="23000" dir="5400000" rotWithShape="0">
                  <a:srgbClr val="000000">
                    <a:alpha val="35000"/>
                  </a:srgbClr>
                </a:outerShdw>
              </a:effectLst>
            </c:spPr>
          </c:dPt>
          <c:dPt>
            <c:idx val="18"/>
            <c:bubble3D val="0"/>
            <c:spPr>
              <a:gradFill rotWithShape="1">
                <a:gsLst>
                  <a:gs pos="0">
                    <a:schemeClr val="accent1">
                      <a:lumMod val="80000"/>
                      <a:shade val="51000"/>
                      <a:satMod val="130000"/>
                    </a:schemeClr>
                  </a:gs>
                  <a:gs pos="80000">
                    <a:schemeClr val="accent1">
                      <a:lumMod val="80000"/>
                      <a:shade val="93000"/>
                      <a:satMod val="130000"/>
                    </a:schemeClr>
                  </a:gs>
                  <a:gs pos="100000">
                    <a:schemeClr val="accent1">
                      <a:lumMod val="80000"/>
                      <a:shade val="94000"/>
                      <a:satMod val="135000"/>
                    </a:schemeClr>
                  </a:gs>
                </a:gsLst>
                <a:lin ang="16200000" scaled="0"/>
              </a:gradFill>
              <a:ln>
                <a:noFill/>
              </a:ln>
              <a:effectLst>
                <a:outerShdw blurRad="40000" dist="23000" dir="5400000" rotWithShape="0">
                  <a:srgbClr val="000000">
                    <a:alpha val="35000"/>
                  </a:srgbClr>
                </a:outerShdw>
              </a:effectLst>
            </c:spPr>
          </c:dPt>
          <c:dLbls>
            <c:dLbl>
              <c:idx val="0"/>
              <c:layout>
                <c:manualLayout>
                  <c:x val="0.0816391658827052"/>
                  <c:y val="-0.0455573497393352"/>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0.0188754069172861"/>
                  <c:y val="-0.31074224437216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0571160724522685"/>
                  <c:y val="0.0239718371084682"/>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0652418703938196"/>
                  <c:y val="0.090149050907070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5"/>
              <c:layout>
                <c:manualLayout>
                  <c:x val="-0.172269561622046"/>
                  <c:y val="0.174847354172703"/>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6"/>
              <c:layout>
                <c:manualLayout>
                  <c:x val="-0.00198613600790951"/>
                  <c:y val="0.164179333424759"/>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7"/>
              <c:layout>
                <c:manualLayout>
                  <c:x val="0.0455036430689551"/>
                  <c:y val="0.091581785410214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8"/>
              <c:layout>
                <c:manualLayout>
                  <c:x val="-0.0505167291404664"/>
                  <c:y val="0.0916671034158145"/>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9"/>
              <c:layout>
                <c:manualLayout>
                  <c:x val="-0.0666922387868121"/>
                  <c:y val="0.024906637339328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'[不再编辑-事件管理-2024年-密云检察院.xlsx]月-运维数据分布图'!$A$5:$A$23</c:f>
              <c:strCache>
                <c:ptCount val="18"/>
                <c:pt idx="0">
                  <c:v>邮件系统</c:v>
                </c:pt>
                <c:pt idx="1">
                  <c:v>应用其它</c:v>
                </c:pt>
                <c:pt idx="2">
                  <c:v>UPS</c:v>
                </c:pt>
                <c:pt idx="3">
                  <c:v>空调</c:v>
                </c:pt>
                <c:pt idx="4">
                  <c:v>网络</c:v>
                </c:pt>
                <c:pt idx="5">
                  <c:v>系统其它</c:v>
                </c:pt>
                <c:pt idx="6">
                  <c:v>音视频其它</c:v>
                </c:pt>
                <c:pt idx="7">
                  <c:v>首检网</c:v>
                </c:pt>
                <c:pt idx="8">
                  <c:v>Cocall</c:v>
                </c:pt>
                <c:pt idx="9">
                  <c:v>编写文档</c:v>
                </c:pt>
                <c:pt idx="10">
                  <c:v>终端其它</c:v>
                </c:pt>
                <c:pt idx="11">
                  <c:v>领导交办其它</c:v>
                </c:pt>
                <c:pt idx="12">
                  <c:v>打印机</c:v>
                </c:pt>
                <c:pt idx="13">
                  <c:v>会议保障</c:v>
                </c:pt>
                <c:pt idx="14">
                  <c:v>系统巡检</c:v>
                </c:pt>
                <c:pt idx="15">
                  <c:v>会议联调</c:v>
                </c:pt>
                <c:pt idx="16">
                  <c:v>统一软件</c:v>
                </c:pt>
                <c:pt idx="17">
                  <c:v>终端电脑</c:v>
                </c:pt>
              </c:strCache>
            </c:strRef>
          </c:cat>
          <c:val>
            <c:numRef>
              <c:f>'[不再编辑-事件管理-2024年-密云检察院.xlsx]月-运维数据分布图'!$B$5:$B$23</c:f>
              <c:numCache>
                <c:formatCode>General</c:formatCode>
                <c:ptCount val="18"/>
                <c:pt idx="0">
                  <c:v>2</c:v>
                </c:pt>
                <c:pt idx="1">
                  <c:v>3</c:v>
                </c:pt>
                <c:pt idx="2">
                  <c:v>3</c:v>
                </c:pt>
                <c:pt idx="3">
                  <c:v>5</c:v>
                </c:pt>
                <c:pt idx="4">
                  <c:v>8</c:v>
                </c:pt>
                <c:pt idx="5">
                  <c:v>15</c:v>
                </c:pt>
                <c:pt idx="6">
                  <c:v>19</c:v>
                </c:pt>
                <c:pt idx="7">
                  <c:v>21</c:v>
                </c:pt>
                <c:pt idx="8">
                  <c:v>21</c:v>
                </c:pt>
                <c:pt idx="9">
                  <c:v>31</c:v>
                </c:pt>
                <c:pt idx="10">
                  <c:v>57</c:v>
                </c:pt>
                <c:pt idx="11">
                  <c:v>82</c:v>
                </c:pt>
                <c:pt idx="12">
                  <c:v>153</c:v>
                </c:pt>
                <c:pt idx="13">
                  <c:v>219</c:v>
                </c:pt>
                <c:pt idx="14">
                  <c:v>260</c:v>
                </c:pt>
                <c:pt idx="15">
                  <c:v>298</c:v>
                </c:pt>
                <c:pt idx="16">
                  <c:v>364</c:v>
                </c:pt>
                <c:pt idx="17">
                  <c:v>477</c:v>
                </c:pt>
              </c:numCache>
            </c:numRef>
          </c:val>
        </c:ser>
        <c:dLbls>
          <c:showLegendKey val="0"/>
          <c:showVal val="0"/>
          <c:showCatName val="0"/>
          <c:showSerName val="0"/>
          <c:showPercent val="0"/>
          <c:showBubbleSize val="0"/>
          <c:showLeaderLines val="1"/>
        </c:dLbls>
        <c:gapWidth val="100"/>
        <c:splitType val="percent"/>
        <c:splitPos val="12"/>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r"/>
      <c:layout>
        <c:manualLayout>
          <c:xMode val="edge"/>
          <c:yMode val="edge"/>
          <c:x val="0.876871065341176"/>
          <c:y val="0.0346456692913386"/>
          <c:w val="0.113582395279349"/>
          <c:h val="0.948221656116515"/>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8026270b-0dbc-4ad3-903f-ebed8e81a43f}"/>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[2024事件管理.xlsx]月-系统维护数据分布!数据透视表4</c:name>
    <c:fmtId val="-1"/>
  </c:pivotSource>
  <c:chart>
    <c:title>
      <c:tx>
        <c:rich>
          <a:bodyPr rot="0" spcFirstLastPara="1" vertOverflow="ellipsis" vert="horz" wrap="square" anchor="ctr" anchorCtr="1"/>
          <a:lstStyle/>
          <a:p>
            <a:pPr>
              <a:defRPr lang="zh-CN" sz="1600" b="1" i="0" u="none" strike="noStrike" kern="1200" baseline="0">
                <a:solidFill>
                  <a:schemeClr val="tx1">
                    <a:lumMod val="65000"/>
                    <a:lumOff val="35000"/>
                  </a:schemeClr>
                </a:solidFill>
                <a:latin typeface="+mn-lt"/>
                <a:ea typeface="+mn-ea"/>
                <a:cs typeface="+mn-cs"/>
              </a:defRPr>
            </a:pPr>
            <a:r>
              <a:rPr lang="zh-CN" altLang="en-US"/>
              <a:t>系统维护数据分布</a:t>
            </a:r>
            <a:endParaRPr lang="zh-CN" altLang="en-US"/>
          </a:p>
        </c:rich>
      </c:tx>
      <c:layout/>
      <c:overlay val="0"/>
      <c:spPr>
        <a:noFill/>
        <a:ln>
          <a:noFill/>
        </a:ln>
        <a:effectLst/>
      </c:spPr>
    </c:title>
    <c:autoTitleDeleted val="0"/>
    <c:plotArea>
      <c:layout/>
      <c:barChart>
        <c:barDir val="col"/>
        <c:grouping val="clustered"/>
        <c:varyColors val="0"/>
        <c:ser>
          <c:idx val="0"/>
          <c:order val="0"/>
          <c:tx>
            <c:strRef>
              <c:f>'[2024事件管理.xlsx]月-系统维护数据分布'!$B$4</c:f>
              <c:strCache>
                <c:ptCount val="1"/>
                <c:pt idx="0">
                  <c:v>汇总</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'[2024事件管理.xlsx]月-系统维护数据分布'!$A$5:$A$18</c:f>
              <c:strCache>
                <c:ptCount val="13"/>
                <c:pt idx="0">
                  <c:v>UPS</c:v>
                </c:pt>
                <c:pt idx="1">
                  <c:v>空调</c:v>
                </c:pt>
                <c:pt idx="2">
                  <c:v>网络</c:v>
                </c:pt>
                <c:pt idx="3">
                  <c:v>系统其它</c:v>
                </c:pt>
                <c:pt idx="4">
                  <c:v>音视频其它</c:v>
                </c:pt>
                <c:pt idx="5">
                  <c:v>编写文档</c:v>
                </c:pt>
                <c:pt idx="6">
                  <c:v>终端其它</c:v>
                </c:pt>
                <c:pt idx="7">
                  <c:v>领导交办其它</c:v>
                </c:pt>
                <c:pt idx="8">
                  <c:v>打印机</c:v>
                </c:pt>
                <c:pt idx="9">
                  <c:v>会议保障</c:v>
                </c:pt>
                <c:pt idx="10">
                  <c:v>系统巡检</c:v>
                </c:pt>
                <c:pt idx="11">
                  <c:v>会议联调</c:v>
                </c:pt>
                <c:pt idx="12">
                  <c:v>终端电脑</c:v>
                </c:pt>
              </c:strCache>
            </c:strRef>
          </c:cat>
          <c:val>
            <c:numRef>
              <c:f>'[2024事件管理.xlsx]月-系统维护数据分布'!$B$5:$B$18</c:f>
              <c:numCache>
                <c:formatCode>General</c:formatCode>
                <c:ptCount val="13"/>
                <c:pt idx="0">
                  <c:v>3</c:v>
                </c:pt>
                <c:pt idx="1">
                  <c:v>5</c:v>
                </c:pt>
                <c:pt idx="2">
                  <c:v>8</c:v>
                </c:pt>
                <c:pt idx="3">
                  <c:v>15</c:v>
                </c:pt>
                <c:pt idx="4">
                  <c:v>19</c:v>
                </c:pt>
                <c:pt idx="5">
                  <c:v>31</c:v>
                </c:pt>
                <c:pt idx="6">
                  <c:v>57</c:v>
                </c:pt>
                <c:pt idx="7">
                  <c:v>82</c:v>
                </c:pt>
                <c:pt idx="8">
                  <c:v>153</c:v>
                </c:pt>
                <c:pt idx="9">
                  <c:v>219</c:v>
                </c:pt>
                <c:pt idx="10">
                  <c:v>260</c:v>
                </c:pt>
                <c:pt idx="11">
                  <c:v>298</c:v>
                </c:pt>
                <c:pt idx="12">
                  <c:v>477</c:v>
                </c:pt>
              </c:numCache>
            </c:numRef>
          </c:val>
        </c:ser>
        <c:dLbls>
          <c:showLegendKey val="0"/>
          <c:showVal val="0"/>
          <c:showCatName val="0"/>
          <c:showSerName val="0"/>
          <c:showPercent val="0"/>
          <c:showBubbleSize val="0"/>
        </c:dLbls>
        <c:gapWidth val="100"/>
        <c:overlap val="-24"/>
        <c:axId val="1665704175"/>
        <c:axId val="1665704591"/>
      </c:barChart>
      <c:catAx>
        <c:axId val="1665704175"/>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65704591"/>
        <c:crosses val="autoZero"/>
        <c:auto val="1"/>
        <c:lblAlgn val="ctr"/>
        <c:lblOffset val="100"/>
        <c:noMultiLvlLbl val="0"/>
      </c:catAx>
      <c:valAx>
        <c:axId val="16657045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65704175"/>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f15e1adb-be20-47da-9fe2-6923e3887e92}"/>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AA5081-3252-4A80-AFB2-45D681D1EA15}">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19</Pages>
  <Words>9141</Words>
  <Characters>9943</Characters>
  <Lines>66</Lines>
  <Paragraphs>18</Paragraphs>
  <TotalTime>1</TotalTime>
  <ScaleCrop>false</ScaleCrop>
  <LinksUpToDate>false</LinksUpToDate>
  <CharactersWithSpaces>9969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2017-06-02T12:45:00Z</dcterms:created>
  <dc:creator>Sky123.Org</dc:creator>
  <cp:lastModifiedBy>哈哈</cp:lastModifiedBy>
  <cp:lastPrinted>2017-06-20T10:21:00Z</cp:lastPrinted>
  <dcterms:modified xsi:type="dcterms:W3CDTF">2025-05-13T06:40:54Z</dcterms:modified>
  <dc:title>北京市顺义区财政项目支出</dc:title>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EB5F88386F5349CFB7BA7F5496582418</vt:lpwstr>
  </property>
  <property fmtid="{D5CDD505-2E9C-101B-9397-08002B2CF9AE}" pid="4" name="KSOTemplateDocerSaveRecord">
    <vt:lpwstr>eyJoZGlkIjoiYWE0MzVlNjVjNjZhNWU0MjFhYWY0MGI3NDVhNzNjMWMiLCJ1c2VySWQiOiIzOTI0OTI4NjIifQ==</vt:lpwstr>
  </property>
</Properties>
</file>