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DC1A97">
      <w:pPr>
        <w:spacing w:line="560" w:lineRule="exact"/>
        <w:jc w:val="center"/>
        <w:rPr>
          <w:rFonts w:ascii="方正小标宋简体" w:eastAsia="方正小标宋简体"/>
          <w:sz w:val="36"/>
          <w:szCs w:val="36"/>
        </w:rPr>
      </w:pPr>
      <w:r>
        <w:rPr>
          <w:rFonts w:hint="eastAsia" w:ascii="方正小标宋简体" w:eastAsia="方正小标宋简体"/>
          <w:sz w:val="36"/>
          <w:szCs w:val="36"/>
        </w:rPr>
        <w:t>中国民主促进会北京市委员会</w:t>
      </w:r>
    </w:p>
    <w:p w14:paraId="7AF4F096">
      <w:pPr>
        <w:spacing w:line="560" w:lineRule="exact"/>
        <w:jc w:val="center"/>
        <w:rPr>
          <w:rFonts w:ascii="方正小标宋简体" w:eastAsia="方正小标宋简体"/>
          <w:sz w:val="36"/>
          <w:szCs w:val="36"/>
        </w:rPr>
      </w:pPr>
      <w:r>
        <w:rPr>
          <w:rFonts w:hint="eastAsia" w:ascii="方正小标宋简体" w:eastAsia="方正小标宋简体"/>
          <w:sz w:val="36"/>
          <w:szCs w:val="36"/>
        </w:rPr>
        <w:t>部门整体绩效评价报告</w:t>
      </w:r>
    </w:p>
    <w:p w14:paraId="21BEB39D">
      <w:pPr>
        <w:jc w:val="center"/>
        <w:rPr>
          <w:rFonts w:ascii="仿宋_GB2312"/>
          <w:szCs w:val="30"/>
        </w:rPr>
      </w:pPr>
    </w:p>
    <w:p w14:paraId="2BFD5119">
      <w:pPr>
        <w:spacing w:line="60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一、部门概况</w:t>
      </w:r>
    </w:p>
    <w:p w14:paraId="301CF55D">
      <w:pPr>
        <w:spacing w:line="600" w:lineRule="exact"/>
        <w:ind w:firstLine="640" w:firstLineChars="200"/>
        <w:rPr>
          <w:rFonts w:ascii="楷体_GB2312" w:eastAsia="楷体_GB2312"/>
          <w:sz w:val="32"/>
          <w:szCs w:val="32"/>
        </w:rPr>
      </w:pPr>
      <w:r>
        <w:rPr>
          <w:rFonts w:hint="eastAsia" w:ascii="楷体_GB2312" w:eastAsia="楷体_GB2312"/>
          <w:sz w:val="32"/>
          <w:szCs w:val="32"/>
        </w:rPr>
        <w:t>（一）机构设置及职责工作任务情况</w:t>
      </w:r>
    </w:p>
    <w:p w14:paraId="7C9BF709">
      <w:pPr>
        <w:spacing w:line="600" w:lineRule="exact"/>
        <w:ind w:firstLine="640" w:firstLineChars="200"/>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中国民主促进会北京市委员会机关（以下简称“民进北京市委”）性质为行政部门，坚持中国共产党领导的多党合作和政治协商制度，贯彻“长期共存、互相监督、肝胆相照、荣辱与共”的方针，积极参加国家政权，参与重要方针政策、重要领导人选的协商，参与国家事务的管理，参与国家方针政策、法律法规的制定和执行。在国家政治生活中认真履行参政议政、民主监督、参加中国共产党领导的政治协商。</w:t>
      </w:r>
    </w:p>
    <w:p w14:paraId="5E480555">
      <w:pPr>
        <w:spacing w:line="600" w:lineRule="exact"/>
        <w:ind w:firstLine="640" w:firstLineChars="200"/>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民进北京市委下设办公室、议政调研处、宣传处、组织处、社会服务处5个处（室）。</w:t>
      </w:r>
    </w:p>
    <w:p w14:paraId="0C017C67">
      <w:pPr>
        <w:spacing w:line="600" w:lineRule="exact"/>
        <w:ind w:firstLine="640" w:firstLineChars="200"/>
        <w:rPr>
          <w:rFonts w:ascii="楷体_GB2312" w:eastAsia="楷体_GB2312"/>
          <w:sz w:val="32"/>
          <w:szCs w:val="32"/>
        </w:rPr>
      </w:pPr>
      <w:r>
        <w:rPr>
          <w:rFonts w:hint="eastAsia" w:ascii="楷体_GB2312" w:eastAsia="楷体_GB2312"/>
          <w:sz w:val="32"/>
          <w:szCs w:val="32"/>
        </w:rPr>
        <w:t>（二）部门整体绩效目标设立情况。</w:t>
      </w:r>
    </w:p>
    <w:p w14:paraId="1E3875A0">
      <w:pPr>
        <w:spacing w:line="600" w:lineRule="exact"/>
        <w:ind w:firstLine="640" w:firstLineChars="200"/>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2024年，是新中国成立75周年，是中国共产党领导的多党合作和政治协商制度确立75周年，是实施“十四五”规划的关键一年，也是京津冀协同发展战略实施10周年。民进北京市委坚持以习近平新时代中国特色社会主义思想为指导，认真贯彻中共二十大和二十届二中三中全会精神、民进中央和中共北京市委的决策部署，以北京民进五年发展规划为牵引，深入开展纪律学习教育和内部监督主题年建设，坚持首善标准，以推进民进事业高质量发展为目标，全面加强自身建设，积极履职尽责，圆满完成了各项任务，为促进国家和首都高质量发展做出了新贡献。</w:t>
      </w:r>
    </w:p>
    <w:p w14:paraId="2AB3FE2B">
      <w:pPr>
        <w:spacing w:line="600" w:lineRule="exact"/>
        <w:ind w:firstLine="640" w:firstLineChars="200"/>
        <w:rPr>
          <w:rFonts w:ascii="仿宋" w:hAnsi="仿宋" w:eastAsia="仿宋"/>
          <w:sz w:val="32"/>
          <w:szCs w:val="32"/>
          <w:shd w:val="clear" w:color="auto" w:fill="FFFFFF"/>
        </w:rPr>
      </w:pPr>
      <w:r>
        <w:rPr>
          <w:rFonts w:hint="eastAsia" w:ascii="仿宋_GB2312" w:hAnsi="仿宋_GB2312" w:eastAsia="仿宋_GB2312" w:cs="仿宋_GB2312"/>
          <w:color w:val="auto"/>
          <w:sz w:val="32"/>
          <w:szCs w:val="32"/>
          <w:shd w:val="clear" w:color="auto" w:fill="FFFFFF"/>
        </w:rPr>
        <w:t>民进北京市委结合部门职责、2024年重点工作任务及财政资金分配使用计划，研究制定了年度绩效目标：在民进中央和中共北京市委的领导下，以高质量发展，全面提升自身建设水平，切实履行参政党职能，紧扣国家和北京市“十四五”规划和二〇三五年远景目标，牢记“首都工作关乎国之大者”要求，坚持首善标准，主动融入和服务新发展格局，以思想政治共识的新提高、履职尽责的新作为，助力国家和首都谱写新时代高质量发展新篇章。进一步完善参政议政工作机制，加强在文化、教育、出版领域的深入调查研究，着力提高议政建言质量，巩固北京民进参政议政品牌，力争在老阵地有新作为。开展社会服务活动助力区域发展；利用“一刊一网一微”宣传平台，引导基层组织和广大会员切实把思想认识统一到</w:t>
      </w:r>
      <w:r>
        <w:rPr>
          <w:rFonts w:hint="eastAsia" w:ascii="仿宋_GB2312" w:hAnsi="仿宋_GB2312" w:eastAsia="仿宋_GB2312" w:cs="仿宋_GB2312"/>
          <w:color w:val="auto"/>
          <w:sz w:val="32"/>
          <w:szCs w:val="32"/>
          <w:shd w:val="clear" w:color="auto" w:fill="FFFFFF"/>
          <w:lang w:eastAsia="zh-CN"/>
        </w:rPr>
        <w:t>党中央决策部署</w:t>
      </w:r>
      <w:r>
        <w:rPr>
          <w:rFonts w:hint="eastAsia" w:ascii="仿宋_GB2312" w:hAnsi="仿宋_GB2312" w:eastAsia="仿宋_GB2312" w:cs="仿宋_GB2312"/>
          <w:color w:val="auto"/>
          <w:sz w:val="32"/>
          <w:szCs w:val="32"/>
          <w:shd w:val="clear" w:color="auto" w:fill="FFFFFF"/>
        </w:rPr>
        <w:t xml:space="preserve">上来，增强“四个意识”、坚定“四个自信”、巩固“三个认同”，夯实共同思想政治基础。进一步加强民进组织建设与会员发展培训工作，提高基层组织的协调能力，提高会员履职尽责和参政议政能力。 </w:t>
      </w:r>
      <w:r>
        <w:rPr>
          <w:rFonts w:ascii="仿宋" w:hAnsi="仿宋" w:eastAsia="仿宋"/>
          <w:sz w:val="32"/>
          <w:szCs w:val="32"/>
          <w:shd w:val="clear" w:color="auto" w:fill="FFFFFF"/>
        </w:rPr>
        <w:t xml:space="preserve"> </w:t>
      </w:r>
    </w:p>
    <w:p w14:paraId="562A7A28">
      <w:pPr>
        <w:spacing w:line="60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二</w:t>
      </w:r>
      <w:r>
        <w:rPr>
          <w:rFonts w:ascii="黑体" w:hAnsi="黑体" w:eastAsia="黑体" w:cs="宋体"/>
          <w:color w:val="000000"/>
          <w:kern w:val="0"/>
          <w:sz w:val="32"/>
          <w:szCs w:val="32"/>
        </w:rPr>
        <w:t>、</w:t>
      </w:r>
      <w:r>
        <w:rPr>
          <w:rFonts w:hint="eastAsia" w:ascii="黑体" w:hAnsi="黑体" w:eastAsia="黑体" w:cs="宋体"/>
          <w:color w:val="000000"/>
          <w:kern w:val="0"/>
          <w:sz w:val="32"/>
          <w:szCs w:val="32"/>
        </w:rPr>
        <w:t>当年</w:t>
      </w:r>
      <w:r>
        <w:rPr>
          <w:rFonts w:ascii="黑体" w:hAnsi="黑体" w:eastAsia="黑体" w:cs="宋体"/>
          <w:color w:val="000000"/>
          <w:kern w:val="0"/>
          <w:sz w:val="32"/>
          <w:szCs w:val="32"/>
        </w:rPr>
        <w:t>预算执行情况</w:t>
      </w:r>
    </w:p>
    <w:p w14:paraId="369D35C3">
      <w:pPr>
        <w:spacing w:line="600" w:lineRule="exact"/>
        <w:ind w:firstLine="640" w:firstLineChars="200"/>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2024年全年预算数1543.89万元，其中基本经费1348.04万元，项目经费195.85万元。资金总体支出1525.13万元，其中，基本支出1330.13万元，项目支出195万元。预算执行率为98.78%。</w:t>
      </w:r>
    </w:p>
    <w:p w14:paraId="48243C87">
      <w:pPr>
        <w:spacing w:line="600" w:lineRule="exact"/>
        <w:ind w:left="105" w:leftChars="50" w:firstLine="480" w:firstLineChars="150"/>
        <w:rPr>
          <w:rFonts w:ascii="黑体" w:hAnsi="黑体" w:eastAsia="黑体" w:cs="宋体"/>
          <w:color w:val="000000"/>
          <w:kern w:val="0"/>
          <w:sz w:val="32"/>
          <w:szCs w:val="32"/>
        </w:rPr>
      </w:pPr>
      <w:r>
        <w:rPr>
          <w:rFonts w:hint="eastAsia" w:ascii="黑体" w:hAnsi="黑体" w:eastAsia="黑体" w:cs="宋体"/>
          <w:color w:val="000000"/>
          <w:kern w:val="0"/>
          <w:sz w:val="32"/>
          <w:szCs w:val="32"/>
        </w:rPr>
        <w:t>三</w:t>
      </w:r>
      <w:r>
        <w:rPr>
          <w:rFonts w:ascii="黑体" w:hAnsi="黑体" w:eastAsia="黑体" w:cs="宋体"/>
          <w:color w:val="000000"/>
          <w:kern w:val="0"/>
          <w:sz w:val="32"/>
          <w:szCs w:val="32"/>
        </w:rPr>
        <w:t>、整体绩效目标实现情况</w:t>
      </w:r>
    </w:p>
    <w:p w14:paraId="05F5E648">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（一）产出完成情况分析</w:t>
      </w:r>
    </w:p>
    <w:p w14:paraId="458FFF58">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1.产出数量</w:t>
      </w:r>
    </w:p>
    <w:p w14:paraId="63F7FDB5">
      <w:pPr>
        <w:spacing w:line="600" w:lineRule="exact"/>
        <w:ind w:firstLine="640" w:firstLineChars="200"/>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统筹谋划部署，融合推进。将内部监督主题年工作与纪律学习教育有机结合，高标准组建监督专责机构，实现两个全覆盖：10个区（工）委建立内部监督委员会、全市317个基层组织全部设立监督委员。全年开展纪律警示廉洁教育、谈心谈话、专题培训交流等各类活动50余项，覆盖会员千余人。着力提升监督实效，推动建章立制，全年完善各类风险防控、监督工作机制10余项，持续巩固深化纪律学习教育成果。</w:t>
      </w:r>
    </w:p>
    <w:p w14:paraId="66534B08">
      <w:pPr>
        <w:spacing w:line="600" w:lineRule="exact"/>
        <w:ind w:firstLine="640" w:firstLineChars="200"/>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制度化学习贯彻习近平新时代中国特色社会主义思想，坚持“第一议题”制度。把深入学习贯彻中共二十届三中全会精神作为首要政治任务，通过“五学联动”机制带领各级组织和广大会员深入学习领会，切实统一思想、统一意志、统一行动。以“关键少数”带好“绝大多数”，推动全市各级组织理论学习中心组引领学，全年组织开展理论学习中心组（扩大）学习8次。围绕主题主线，领导班子、常委、专家、先进组织和骨干会员代表等宣讲学，常委开展“送统战理论下基层”宣讲活动，全市各级组织开展宣讲活动438场次，参加会员2万余人次。</w:t>
      </w:r>
    </w:p>
    <w:p w14:paraId="5B662EC0">
      <w:pPr>
        <w:spacing w:line="600" w:lineRule="exact"/>
        <w:ind w:firstLine="640" w:firstLineChars="200"/>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深化与民进中央和主流媒体的合作，主动挖掘、讲好新时代北京民进故事，全年向主流媒体与民进中央投稿2000余次，中央媒体刊发410余篇，中央新闻网站刊发370余篇，地方媒体刊发380余篇。</w:t>
      </w:r>
    </w:p>
    <w:p w14:paraId="34DAD553">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2.产出</w:t>
      </w:r>
      <w:r>
        <w:rPr>
          <w:rFonts w:ascii="仿宋_GB2312" w:hAnsi="宋体" w:eastAsia="仿宋_GB2312" w:cs="宋体"/>
          <w:color w:val="000000"/>
          <w:kern w:val="0"/>
          <w:sz w:val="32"/>
          <w:szCs w:val="32"/>
        </w:rPr>
        <w:t>质量</w:t>
      </w:r>
    </w:p>
    <w:p w14:paraId="73175522">
      <w:pPr>
        <w:spacing w:line="600" w:lineRule="exact"/>
        <w:ind w:firstLine="640" w:firstLineChars="200"/>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思想政治共识不断凝聚。坚持以思想政治建设为核心，扎实推进理论武装提升工程，把主题教育与北京民进各项建设深度融合，深化“五学联动”机制，构建多层次、全覆盖的思想政治建设大格局。获民进中央全国新闻宣传工作先进单位。</w:t>
      </w:r>
    </w:p>
    <w:p w14:paraId="2CE2A459">
      <w:pPr>
        <w:spacing w:line="600" w:lineRule="exact"/>
        <w:ind w:firstLine="640" w:firstLineChars="200"/>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不断加强领导班子与领导集体建设领导班子成员牵头策划教育、文化、出版、经济等领域重要论坛8个，领衔市委会重点立项课题12项，带头议政建言、提交高质量履职成果61篇。市委常委积极参加市委会立项课题14项，提交建言成果116篇，多人代表民进在市政协专题协商会、议政性常委会发言，发出好声音。</w:t>
      </w:r>
    </w:p>
    <w:p w14:paraId="7A9103DF">
      <w:pPr>
        <w:spacing w:line="600" w:lineRule="exact"/>
        <w:ind w:firstLine="640" w:firstLineChars="200"/>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召开全市组织工作会议暨基层组织工作培训会，组织基层组织三年行动计划总结表彰大会，表彰并宣传22个先进集体与先进个人，打造“强化组织建设+深化履职实践”新发展格局。大兴区工委获民进全国优秀先进集体称号，21位会员获民进全国先进个人称号。</w:t>
      </w:r>
    </w:p>
    <w:p w14:paraId="3A29CFDB">
      <w:pPr>
        <w:spacing w:line="600" w:lineRule="exact"/>
        <w:ind w:firstLine="640" w:firstLineChars="200"/>
        <w:rPr>
          <w:rFonts w:ascii="仿宋" w:hAnsi="仿宋" w:eastAsia="仿宋"/>
          <w:color w:val="404040"/>
          <w:sz w:val="32"/>
          <w:szCs w:val="32"/>
          <w:shd w:val="clear" w:color="auto" w:fill="FFFFFF"/>
        </w:rPr>
      </w:pPr>
      <w:r>
        <w:rPr>
          <w:rFonts w:hint="eastAsia" w:ascii="仿宋_GB2312" w:hAnsi="仿宋_GB2312" w:eastAsia="仿宋_GB2312" w:cs="仿宋_GB2312"/>
          <w:color w:val="auto"/>
          <w:sz w:val="32"/>
          <w:szCs w:val="32"/>
          <w:shd w:val="clear" w:color="auto" w:fill="FFFFFF"/>
        </w:rPr>
        <w:t>参加政党协商、政协协商会议并作主题发言12次；报送各类建言成果700余篇，被采用410篇次，其中国家层面采用142篇次，北京市层面采用268篇次；获中共中央和国家领导批示10篇，市委主要领导等批示16篇，提交数、采用数均创新高。北京民进会员参与完成的成果，获民进中央2024年度参政议政成果一等奖16件。为党和政府科学决策、民主决策提供重要依据，获民进中央参政议政工作先进单位。</w:t>
      </w:r>
    </w:p>
    <w:p w14:paraId="390DD146">
      <w:pPr>
        <w:spacing w:line="600" w:lineRule="exact"/>
        <w:ind w:firstLine="640" w:firstLineChars="200"/>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3.产出进度</w:t>
      </w:r>
    </w:p>
    <w:p w14:paraId="62224FCE">
      <w:pPr>
        <w:spacing w:line="600" w:lineRule="exact"/>
        <w:ind w:firstLine="640" w:firstLineChars="200"/>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2024年民进北京市委根据部门整体产出目标完成情况分析，按照党中央及北京市政府重点工作，部门预算内的工作任务全部按照计划要求完成，年度各项工作有序推进落实，有效保障了项目实施进度及产出时效性。</w:t>
      </w:r>
    </w:p>
    <w:p w14:paraId="595C88D2">
      <w:pPr>
        <w:spacing w:line="600" w:lineRule="exact"/>
        <w:ind w:firstLine="640" w:firstLineChars="200"/>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4.产出成本</w:t>
      </w:r>
    </w:p>
    <w:p w14:paraId="4DF9CB36">
      <w:pPr>
        <w:spacing w:line="600" w:lineRule="exact"/>
        <w:ind w:left="105" w:leftChars="50" w:firstLine="480" w:firstLineChars="150"/>
        <w:rPr>
          <w:rFonts w:ascii="楷体_GB2312" w:eastAsia="仿宋"/>
          <w:color w:val="FF0000"/>
          <w:sz w:val="32"/>
          <w:szCs w:val="32"/>
        </w:rPr>
      </w:pPr>
      <w:r>
        <w:rPr>
          <w:rFonts w:hint="eastAsia" w:ascii="仿宋_GB2312" w:hAnsi="仿宋_GB2312" w:eastAsia="仿宋_GB2312" w:cs="仿宋_GB2312"/>
          <w:color w:val="auto"/>
          <w:sz w:val="32"/>
          <w:szCs w:val="32"/>
          <w:shd w:val="clear" w:color="auto" w:fill="FFFFFF"/>
        </w:rPr>
        <w:t>资金总体在预算范围内，预算执行率为98.78%。基本支出成本和项目支出成本控制率均保持在高位水平，总体决预算差异较小，资金预算科学、合理，预算落实严谨、到位</w:t>
      </w:r>
      <w:r>
        <w:rPr>
          <w:rFonts w:hint="eastAsia" w:ascii="仿宋" w:hAnsi="仿宋" w:eastAsia="仿宋"/>
          <w:color w:val="auto"/>
          <w:sz w:val="32"/>
          <w:szCs w:val="32"/>
          <w:shd w:val="clear" w:color="auto" w:fill="FFFFFF"/>
        </w:rPr>
        <w:t>。</w:t>
      </w:r>
    </w:p>
    <w:p w14:paraId="02F5B82E">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（二）效果</w:t>
      </w:r>
      <w:r>
        <w:rPr>
          <w:rFonts w:ascii="楷体_GB2312" w:eastAsia="楷体_GB2312"/>
          <w:sz w:val="32"/>
          <w:szCs w:val="32"/>
        </w:rPr>
        <w:t>实现情况分析</w:t>
      </w:r>
    </w:p>
    <w:p w14:paraId="27A75CDB">
      <w:pPr>
        <w:spacing w:line="600" w:lineRule="exact"/>
        <w:ind w:firstLine="640" w:firstLineChars="200"/>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1.经济效益</w:t>
      </w:r>
    </w:p>
    <w:p w14:paraId="66E9EF61">
      <w:pPr>
        <w:spacing w:line="600" w:lineRule="exact"/>
        <w:ind w:firstLine="640" w:firstLineChars="200"/>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多措并举服务区域发展。协调新发地市场指挥部与安龙政府合作，助销安龙农产品。实施科技小院项目，助力通州、平谷、房山和怀柔等发展智慧农业和创意农业。一体化推进“8＋1”行动和驻村帮扶工作，帮助门头沟灾后恢复重建。各级组织和会员积极参与，助力门头沟高质量发展和灾后重建，捐赠物资折合60余万元。实施“副中心产业高质量发展行动”，助推张家湾设计小镇产业集聚和升级。</w:t>
      </w:r>
    </w:p>
    <w:p w14:paraId="64222F43">
      <w:pPr>
        <w:spacing w:line="600" w:lineRule="exact"/>
        <w:ind w:firstLine="640" w:firstLineChars="200"/>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2.社会效益</w:t>
      </w:r>
    </w:p>
    <w:p w14:paraId="19280ABF">
      <w:pPr>
        <w:spacing w:line="600" w:lineRule="exact"/>
        <w:ind w:firstLine="640" w:firstLineChars="200"/>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民进北京市委通过议政建言、课题研究、党史宣教、社情民意反映、民主监督等多种形式不断提高党员统战理论水平、参政议政能力，充分发挥党员在不同行业、领域的先锋模范作用，积极促进社会、文化、经济多领域高质量发展。</w:t>
      </w:r>
    </w:p>
    <w:p w14:paraId="77D6D1D4">
      <w:pPr>
        <w:spacing w:line="600" w:lineRule="exact"/>
        <w:ind w:firstLine="640" w:firstLineChars="200"/>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3.环境效益</w:t>
      </w:r>
    </w:p>
    <w:p w14:paraId="073C9B5E">
      <w:pPr>
        <w:spacing w:line="600" w:lineRule="exact"/>
        <w:ind w:firstLine="640" w:firstLineChars="200"/>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lang w:val="zh-TW"/>
        </w:rPr>
        <w:t>未涉及。</w:t>
      </w:r>
    </w:p>
    <w:p w14:paraId="3B21279C">
      <w:pPr>
        <w:spacing w:line="600" w:lineRule="exact"/>
        <w:ind w:firstLine="640" w:firstLineChars="200"/>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4.可持续性影响</w:t>
      </w:r>
    </w:p>
    <w:p w14:paraId="11502209">
      <w:pPr>
        <w:spacing w:line="600" w:lineRule="exact"/>
        <w:ind w:firstLine="640" w:firstLineChars="200"/>
        <w:rPr>
          <w:rFonts w:ascii="仿宋" w:hAnsi="仿宋" w:eastAsia="仿宋"/>
          <w:color w:val="404040"/>
          <w:sz w:val="32"/>
          <w:szCs w:val="32"/>
          <w:shd w:val="clear" w:color="auto" w:fill="FFFFFF"/>
        </w:rPr>
      </w:pPr>
      <w:r>
        <w:rPr>
          <w:rFonts w:hint="eastAsia" w:ascii="仿宋_GB2312" w:hAnsi="仿宋_GB2312" w:eastAsia="仿宋_GB2312" w:cs="仿宋_GB2312"/>
          <w:color w:val="auto"/>
          <w:sz w:val="32"/>
          <w:szCs w:val="32"/>
          <w:shd w:val="clear" w:color="auto" w:fill="FFFFFF"/>
        </w:rPr>
        <w:t>通过开展主题教育活动，创新党史宣传、党史研究形式、举办多样化的文化实践活动，不断加强思想政治引领，推动建立各类项目长效机制，持续不断提升和扩大民进专业性和影响力，并结合自身专业领域研究，为首都文化教育发展、产业发展等方面提供创新性强、建设性高的专业意见，不断开拓创新、打造更加全面、专业的交流合作平台，推动履职尽责提质增效，围绕首都教育高质量发展、全国科技创新中心建设等主题，持续不断助力提升首都城市治理水平。</w:t>
      </w:r>
    </w:p>
    <w:p w14:paraId="48EA2220">
      <w:pPr>
        <w:spacing w:line="600" w:lineRule="exact"/>
        <w:ind w:left="105" w:leftChars="50" w:firstLine="480" w:firstLineChars="150"/>
        <w:rPr>
          <w:rFonts w:ascii="黑体" w:hAnsi="黑体" w:eastAsia="黑体" w:cs="宋体"/>
          <w:color w:val="000000"/>
          <w:kern w:val="0"/>
          <w:sz w:val="32"/>
          <w:szCs w:val="32"/>
        </w:rPr>
      </w:pPr>
      <w:r>
        <w:rPr>
          <w:rFonts w:hint="eastAsia" w:ascii="黑体" w:hAnsi="黑体" w:eastAsia="黑体" w:cs="宋体"/>
          <w:color w:val="000000"/>
          <w:kern w:val="0"/>
          <w:sz w:val="32"/>
          <w:szCs w:val="32"/>
        </w:rPr>
        <w:t>四</w:t>
      </w:r>
      <w:r>
        <w:rPr>
          <w:rFonts w:ascii="黑体" w:hAnsi="黑体" w:eastAsia="黑体" w:cs="宋体"/>
          <w:color w:val="000000"/>
          <w:kern w:val="0"/>
          <w:sz w:val="32"/>
          <w:szCs w:val="32"/>
        </w:rPr>
        <w:t>、预算管理</w:t>
      </w:r>
      <w:r>
        <w:rPr>
          <w:rFonts w:hint="eastAsia" w:ascii="黑体" w:hAnsi="黑体" w:eastAsia="黑体" w:cs="宋体"/>
          <w:color w:val="000000"/>
          <w:kern w:val="0"/>
          <w:sz w:val="32"/>
          <w:szCs w:val="32"/>
        </w:rPr>
        <w:t>情况分</w:t>
      </w:r>
      <w:r>
        <w:rPr>
          <w:rFonts w:ascii="黑体" w:hAnsi="黑体" w:eastAsia="黑体" w:cs="宋体"/>
          <w:color w:val="000000"/>
          <w:kern w:val="0"/>
          <w:sz w:val="32"/>
          <w:szCs w:val="32"/>
        </w:rPr>
        <w:t>析</w:t>
      </w:r>
    </w:p>
    <w:p w14:paraId="592BFEB7">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（一）财务管理</w:t>
      </w:r>
    </w:p>
    <w:p w14:paraId="07D78B33">
      <w:pPr>
        <w:spacing w:line="600" w:lineRule="exact"/>
        <w:ind w:firstLine="640" w:firstLineChars="200"/>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1.财务管理制度健全性</w:t>
      </w:r>
    </w:p>
    <w:p w14:paraId="7303D966">
      <w:pPr>
        <w:spacing w:line="600" w:lineRule="exact"/>
        <w:ind w:firstLine="640" w:firstLineChars="200"/>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民进北京市委注重自身建设，制定了财务管理制度，编制了内控管理手册，通过内控管理，在资金审批、预算管理、经费支出、会计核算、资产管理、政府采购等方面对单位经济业务活动和财务管理进行指导、规范、控制和监督，保障日常工作有章可循、稳步推进。</w:t>
      </w:r>
    </w:p>
    <w:p w14:paraId="75B80EE5">
      <w:pPr>
        <w:spacing w:line="600" w:lineRule="exact"/>
        <w:ind w:firstLine="640" w:firstLineChars="200"/>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2.资金使用合规性和安全性</w:t>
      </w:r>
    </w:p>
    <w:p w14:paraId="630C0936">
      <w:pPr>
        <w:spacing w:line="600" w:lineRule="exact"/>
        <w:ind w:firstLine="640" w:firstLineChars="200"/>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民进北京市委严格遵守财经纪律和各项财务管理制度规定，坚持收支平衡原则，量入为出，坚决杜绝无预算、超预算支出行为。资金拨付审批程序完整规范，资金使用安全合规。项目资金严格实行专款专用、单独核算，严禁截留、挪用和超批复内容使用资金，确保项目经费支出合规。</w:t>
      </w:r>
    </w:p>
    <w:p w14:paraId="409BFCED">
      <w:pPr>
        <w:spacing w:line="600" w:lineRule="exact"/>
        <w:ind w:firstLine="640" w:firstLineChars="200"/>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3.会计基础信息完善性</w:t>
      </w:r>
    </w:p>
    <w:p w14:paraId="3B42DCFA">
      <w:pPr>
        <w:spacing w:line="600" w:lineRule="exact"/>
        <w:ind w:firstLine="640" w:firstLineChars="200"/>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民进北京市委严格执行政府会计准则和政府会计制度规定。按照政府会计准则及制度设置会计科目，进行日常会计核算，编制财务会计报表和部门决算报表，会计基础信息完善程度较高。</w:t>
      </w:r>
    </w:p>
    <w:p w14:paraId="0F24243C">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（二）资产管理</w:t>
      </w:r>
    </w:p>
    <w:p w14:paraId="788EDB39">
      <w:pPr>
        <w:spacing w:line="600" w:lineRule="exact"/>
        <w:ind w:firstLine="640" w:firstLineChars="200"/>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根据《行政事业性国有资产管理条例》《行政单位国有资产管理暂行办法》以及北京市财政</w:t>
      </w:r>
      <w:r>
        <w:rPr>
          <w:rFonts w:hint="eastAsia" w:ascii="仿宋_GB2312" w:hAnsi="仿宋_GB2312" w:eastAsia="仿宋_GB2312" w:cs="仿宋_GB2312"/>
          <w:color w:val="auto"/>
          <w:sz w:val="32"/>
          <w:szCs w:val="32"/>
          <w:shd w:val="clear" w:color="auto" w:fill="FFFFFF"/>
          <w:lang w:eastAsia="zh-CN"/>
        </w:rPr>
        <w:t>局的</w:t>
      </w:r>
      <w:r>
        <w:rPr>
          <w:rFonts w:hint="eastAsia" w:ascii="仿宋_GB2312" w:hAnsi="仿宋_GB2312" w:eastAsia="仿宋_GB2312" w:cs="仿宋_GB2312"/>
          <w:color w:val="auto"/>
          <w:sz w:val="32"/>
          <w:szCs w:val="32"/>
          <w:shd w:val="clear" w:color="auto" w:fill="FFFFFF"/>
        </w:rPr>
        <w:t>相关规定，制定了固定资产管理办法，规范和加强各处室资产管理工作，定期维护行政事业资产管理信息系统中的资产基础信息，每年进行资产盘点，摸清固定资产底数，做到账实相符，维护了国有资产的安全完整、合理配置和有效利用。</w:t>
      </w:r>
    </w:p>
    <w:p w14:paraId="1B7D1A36">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（三）绩效管理</w:t>
      </w:r>
    </w:p>
    <w:p w14:paraId="296350E0">
      <w:pPr>
        <w:spacing w:line="600" w:lineRule="exact"/>
        <w:ind w:firstLine="640" w:firstLineChars="200"/>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根据北京市财政局的要求，2025年度对纳入2024年部门预算管理的所有填报绩效目标的项目开展绩效自评工作；对项目的绩效目标实现程度、项目预算资金拨款到位情况及预算执行情况，进行绩效监控，提高预算执行效力和项目资金使用效率。对偏离绩效目标项目和预期无效项目及时采取措施予以纠正。开展成本预算绩效分析，充分利用成本绩效分析形成的成果，强化支出标准对预算核定的约束作用。真正实现预算编制有目标、执行过程有监控、预算完成有评价，不断强化绩效理念并逐步融入预算编制、执行、公开全过程，将降成本、提效益的理念贯穿于各项工作当中。</w:t>
      </w:r>
    </w:p>
    <w:p w14:paraId="6222713F">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（四）结转结余率</w:t>
      </w:r>
    </w:p>
    <w:p w14:paraId="5E5F6FDA">
      <w:pPr>
        <w:spacing w:line="600" w:lineRule="exact"/>
        <w:ind w:firstLine="640" w:firstLineChars="200"/>
        <w:rPr>
          <w:rFonts w:ascii="仿宋" w:hAnsi="仿宋" w:eastAsia="仿宋"/>
          <w:sz w:val="32"/>
          <w:szCs w:val="32"/>
          <w:shd w:val="clear" w:color="auto" w:fill="FFFFFF"/>
        </w:rPr>
      </w:pPr>
      <w:r>
        <w:rPr>
          <w:rFonts w:hint="eastAsia" w:ascii="仿宋_GB2312" w:hAnsi="仿宋_GB2312" w:eastAsia="仿宋_GB2312" w:cs="仿宋_GB2312"/>
          <w:color w:val="auto"/>
          <w:sz w:val="32"/>
          <w:szCs w:val="32"/>
          <w:shd w:val="clear" w:color="auto" w:fill="FFFFFF"/>
        </w:rPr>
        <w:t>2024年民进北京市委全年预算数为1543.89元，年末结余结转金额为18.77万元，结余结转率1.22%。</w:t>
      </w:r>
    </w:p>
    <w:p w14:paraId="0E52E29A">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（五）部门</w:t>
      </w:r>
      <w:r>
        <w:rPr>
          <w:rFonts w:ascii="楷体_GB2312" w:eastAsia="楷体_GB2312"/>
          <w:sz w:val="32"/>
          <w:szCs w:val="32"/>
        </w:rPr>
        <w:t>预决算差异率</w:t>
      </w:r>
    </w:p>
    <w:p w14:paraId="1CCBF0B5">
      <w:pPr>
        <w:spacing w:line="600" w:lineRule="exact"/>
        <w:ind w:firstLine="640" w:firstLineChars="200"/>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2024年年初预算数为1518.13万元，决算数为1525.13万元，差额为7万元，部门预决算差异率0.46%，低于市平均差异率，说明部门预决算差异率控制情况较好，预算管理水平不断提升。</w:t>
      </w:r>
    </w:p>
    <w:p w14:paraId="56DE2386">
      <w:pPr>
        <w:spacing w:line="600" w:lineRule="exact"/>
        <w:ind w:left="105" w:leftChars="50" w:firstLine="480" w:firstLineChars="150"/>
        <w:rPr>
          <w:rFonts w:ascii="黑体" w:hAnsi="黑体" w:eastAsia="黑体"/>
          <w:sz w:val="32"/>
          <w:szCs w:val="32"/>
        </w:rPr>
      </w:pPr>
      <w:r>
        <w:rPr>
          <w:rFonts w:hint="eastAsia" w:ascii="黑体" w:hAnsi="黑体" w:eastAsia="黑体"/>
          <w:sz w:val="32"/>
          <w:szCs w:val="32"/>
        </w:rPr>
        <w:t>五、总体</w:t>
      </w:r>
      <w:r>
        <w:rPr>
          <w:rFonts w:ascii="黑体" w:hAnsi="黑体" w:eastAsia="黑体"/>
          <w:sz w:val="32"/>
          <w:szCs w:val="32"/>
        </w:rPr>
        <w:t>评价结论</w:t>
      </w:r>
    </w:p>
    <w:p w14:paraId="2305A85E">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（一）评价</w:t>
      </w:r>
      <w:r>
        <w:rPr>
          <w:rFonts w:ascii="楷体_GB2312" w:eastAsia="楷体_GB2312"/>
          <w:sz w:val="32"/>
          <w:szCs w:val="32"/>
        </w:rPr>
        <w:t>得分</w:t>
      </w:r>
      <w:r>
        <w:rPr>
          <w:rFonts w:hint="eastAsia" w:ascii="楷体_GB2312" w:eastAsia="楷体_GB2312"/>
          <w:sz w:val="32"/>
          <w:szCs w:val="32"/>
        </w:rPr>
        <w:t>情况</w:t>
      </w:r>
    </w:p>
    <w:p w14:paraId="148C46E8">
      <w:pPr>
        <w:spacing w:line="600" w:lineRule="exact"/>
        <w:ind w:firstLine="640" w:firstLineChars="200"/>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2024年整体绩效评价指标体系评分96.75分，其中当年预算执行情况19.75分，整体绩效目标实现情况57分，预算管理情况20分。</w:t>
      </w:r>
    </w:p>
    <w:p w14:paraId="6488EB73">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（二）存在的问题及原因分析</w:t>
      </w:r>
    </w:p>
    <w:p w14:paraId="4D36315A">
      <w:pPr>
        <w:spacing w:line="600" w:lineRule="exact"/>
        <w:ind w:firstLine="640" w:firstLineChars="200"/>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1.项目绩效评价指标体系有待进一步优化。项目绩效评价涉及基层活动、党派履职建设、宣传工作等多个领域，各项目之间任务、功能、特点、周期均存在一定差异，其评价指标体系也需要对应进行合理化设置和调整，确保评价指标体系科学、合理、可落地。</w:t>
      </w:r>
    </w:p>
    <w:p w14:paraId="3310208A">
      <w:pPr>
        <w:spacing w:line="600" w:lineRule="exact"/>
        <w:ind w:firstLine="640" w:firstLineChars="200"/>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2.服务对象满意度资料有待进一步完善。服务对象满意度评价是衡量各个项目绩效目标达成情况的一个关键指标，应予以重视，设置科学、合理的满意度评价指标体系，量化服务对象对项目运作过程中不同阶段、版块的评价，为后续持续提升项目质量提供数据支撑和改进方向。</w:t>
      </w:r>
    </w:p>
    <w:p w14:paraId="73BD8B51">
      <w:pPr>
        <w:spacing w:line="600" w:lineRule="exact"/>
        <w:ind w:firstLine="640" w:firstLineChars="200"/>
        <w:rPr>
          <w:rFonts w:ascii="仿宋" w:eastAsia="仿宋" w:cs="仿宋_GB2312"/>
          <w:sz w:val="32"/>
          <w:szCs w:val="32"/>
        </w:rPr>
      </w:pPr>
      <w:r>
        <w:rPr>
          <w:rFonts w:hint="eastAsia" w:ascii="仿宋_GB2312" w:hAnsi="仿宋_GB2312" w:eastAsia="仿宋_GB2312" w:cs="仿宋_GB2312"/>
          <w:color w:val="auto"/>
          <w:sz w:val="32"/>
          <w:szCs w:val="32"/>
          <w:shd w:val="clear" w:color="auto" w:fill="FFFFFF"/>
        </w:rPr>
        <w:t>3.项目绩效评价管理有待进一步加强。项目绩效评价管理包括计划管理、过程管理、考核管理几大关键管理阶段。目前各项目绩效评价管理仍有待规范，加强前期绩效计划目标的制定与评估，严格规范要求落实绩效目标管理，并加强项目绩效考核结果运用，提高项目绩效评价工作质效。</w:t>
      </w:r>
    </w:p>
    <w:p w14:paraId="49969BE2">
      <w:pPr>
        <w:spacing w:line="600" w:lineRule="exact"/>
        <w:ind w:firstLine="640" w:firstLineChars="200"/>
        <w:rPr>
          <w:rFonts w:ascii="仿宋_GB2312" w:hAnsi="宋体" w:eastAsia="仿宋_GB2312" w:cs="宋体"/>
          <w:color w:val="000000"/>
          <w:kern w:val="0"/>
          <w:sz w:val="32"/>
          <w:szCs w:val="32"/>
        </w:rPr>
      </w:pPr>
      <w:r>
        <w:rPr>
          <w:rFonts w:hint="eastAsia" w:ascii="黑体" w:hAnsi="黑体" w:eastAsia="黑体" w:cs="宋体"/>
          <w:color w:val="000000"/>
          <w:kern w:val="0"/>
          <w:sz w:val="32"/>
          <w:szCs w:val="32"/>
        </w:rPr>
        <w:t>六、措施建议</w:t>
      </w:r>
    </w:p>
    <w:p w14:paraId="27B7C021">
      <w:pPr>
        <w:pStyle w:val="3"/>
        <w:rPr>
          <w:rFonts w:hint="eastAsia" w:ascii="仿宋_GB2312" w:hAnsi="仿宋_GB2312" w:eastAsia="仿宋_GB2312" w:cs="仿宋_GB2312"/>
          <w:color w:val="auto"/>
          <w:kern w:val="2"/>
          <w:sz w:val="32"/>
          <w:szCs w:val="32"/>
          <w:shd w:val="clear" w:color="auto" w:fill="FFFFFF"/>
          <w:lang w:val="en-US" w:eastAsia="zh-CN" w:bidi="ar-SA"/>
        </w:rPr>
      </w:pPr>
      <w:bookmarkStart w:id="0" w:name="_Toc103006301"/>
      <w:r>
        <w:rPr>
          <w:rFonts w:hint="eastAsia" w:ascii="仿宋_GB2312" w:hAnsi="仿宋_GB2312" w:eastAsia="仿宋_GB2312" w:cs="仿宋_GB2312"/>
          <w:color w:val="auto"/>
          <w:kern w:val="2"/>
          <w:sz w:val="32"/>
          <w:szCs w:val="32"/>
          <w:shd w:val="clear" w:color="auto" w:fill="FFFFFF"/>
          <w:lang w:val="en-US" w:eastAsia="zh-CN" w:bidi="ar-SA"/>
        </w:rPr>
        <w:t>1.进一步优化项目绩效评价指标体系。一是根据项目类别和项目预算资金使用实际情况进行科学评估，明确不同类别项目绩效考核的重点方向。二是结合各项目过往运作经验，合理制定绩效评价考核目标，确保绩效目标的科学性、合理性、可落地性和可持续性。三是加强项目绩效评价指标体系培训，明确各项目负责人、责任部门的工作职责，确保项目绩效评价工作有序开展。</w:t>
      </w:r>
    </w:p>
    <w:p w14:paraId="4F528994">
      <w:pPr>
        <w:pStyle w:val="3"/>
        <w:rPr>
          <w:rFonts w:hint="eastAsia" w:ascii="仿宋_GB2312" w:hAnsi="仿宋_GB2312" w:eastAsia="仿宋_GB2312" w:cs="仿宋_GB2312"/>
          <w:color w:val="auto"/>
          <w:kern w:val="2"/>
          <w:sz w:val="32"/>
          <w:szCs w:val="32"/>
          <w:shd w:val="clear" w:color="auto" w:fill="FFFFFF"/>
          <w:lang w:val="en-US" w:eastAsia="zh-CN" w:bidi="ar-SA"/>
        </w:rPr>
      </w:pPr>
      <w:r>
        <w:rPr>
          <w:rFonts w:hint="eastAsia" w:ascii="仿宋_GB2312" w:hAnsi="仿宋_GB2312" w:eastAsia="仿宋_GB2312" w:cs="仿宋_GB2312"/>
          <w:color w:val="auto"/>
          <w:kern w:val="2"/>
          <w:sz w:val="32"/>
          <w:szCs w:val="32"/>
          <w:shd w:val="clear" w:color="auto" w:fill="FFFFFF"/>
          <w:lang w:val="en-US" w:eastAsia="zh-CN" w:bidi="ar-SA"/>
        </w:rPr>
        <w:t>2.持续完善服务对象满意度评价工作。一是建立健全各项目服务对象满意度评价指标体系，搭建适用于各项目的服务对象满意度评价指标体系框架，并根据不同项目实际情况设计细项指标，确保评价指标可量化、有针对性。二是做好满意度评价工作过程管理，各项目开展过程中，应提前规划满意度评价工作开展时间、频次、对象、内容等，并按照计划有序推进，同时做好满意度数据回收留痕管理，提高评价数据采集的规范化程度。</w:t>
      </w:r>
    </w:p>
    <w:p w14:paraId="25346B51">
      <w:pPr>
        <w:pStyle w:val="3"/>
        <w:rPr>
          <w:rFonts w:hint="eastAsia" w:ascii="仿宋_GB2312" w:hAnsi="仿宋_GB2312" w:eastAsia="仿宋_GB2312" w:cs="仿宋_GB2312"/>
          <w:color w:val="auto"/>
          <w:kern w:val="2"/>
          <w:sz w:val="32"/>
          <w:szCs w:val="32"/>
          <w:shd w:val="clear" w:color="auto" w:fill="FFFFFF"/>
          <w:lang w:val="en-US" w:eastAsia="zh-CN" w:bidi="ar-SA"/>
        </w:rPr>
      </w:pPr>
      <w:r>
        <w:rPr>
          <w:rFonts w:hint="eastAsia" w:ascii="仿宋_GB2312" w:hAnsi="仿宋_GB2312" w:eastAsia="仿宋_GB2312" w:cs="仿宋_GB2312"/>
          <w:color w:val="auto"/>
          <w:kern w:val="2"/>
          <w:sz w:val="32"/>
          <w:szCs w:val="32"/>
          <w:shd w:val="clear" w:color="auto" w:fill="FFFFFF"/>
          <w:lang w:val="en-US" w:eastAsia="zh-CN" w:bidi="ar-SA"/>
        </w:rPr>
        <w:t>3.深化项目绩效评价管理工作。一是加强项目绩效目标针对性管理，应秉承严谨、科学、合理的原则对不同类型项目设置合理的项目绩效目标，确保绩效目标有利于推进、优化项目工作。二是严格落实项目绩效评价过程管理，明确项目运作过程中应予以归档、整理、留存的资料，相关部门、负责人按照要求进行过程管理，便于后续项目绩效考核工作的开展。三是强化项目绩效考核结果运用，以考促改、以考促优，推动形成项目间比学赶超氛围，持续提升各项目运作质效和项目资金使用的科学与规范化程度。</w:t>
      </w:r>
    </w:p>
    <w:p w14:paraId="098BC000">
      <w:pPr>
        <w:pStyle w:val="3"/>
        <w:rPr>
          <w:sz w:val="32"/>
          <w:szCs w:val="32"/>
        </w:rPr>
      </w:pPr>
      <w:r>
        <w:rPr>
          <w:rFonts w:hint="eastAsia"/>
          <w:sz w:val="32"/>
          <w:szCs w:val="32"/>
        </w:rPr>
        <w:t>七、附件</w:t>
      </w:r>
      <w:bookmarkEnd w:id="0"/>
    </w:p>
    <w:p w14:paraId="51516863">
      <w:pPr>
        <w:spacing w:line="600" w:lineRule="exact"/>
        <w:ind w:firstLine="641"/>
        <w:rPr>
          <w:rFonts w:ascii="仿宋_GB2312" w:hAnsi="仿宋_GB2312" w:eastAsia="仿宋_GB2312" w:cs="仿宋_GB2312"/>
          <w:sz w:val="32"/>
          <w:szCs w:val="32"/>
        </w:rPr>
        <w:sectPr>
          <w:headerReference r:id="rId3" w:type="default"/>
          <w:footerReference r:id="rId4" w:type="default"/>
          <w:pgSz w:w="11906" w:h="16838"/>
          <w:pgMar w:top="1440" w:right="1800" w:bottom="1440" w:left="1800" w:header="851" w:footer="964" w:gutter="0"/>
          <w:pgNumType w:start="1"/>
          <w:cols w:space="425" w:num="1"/>
          <w:docGrid w:type="lines" w:linePitch="435" w:charSpace="0"/>
        </w:sectPr>
      </w:pPr>
      <w:r>
        <w:rPr>
          <w:rFonts w:hint="eastAsia" w:ascii="仿宋_GB2312" w:hAnsi="仿宋_GB2312" w:eastAsia="仿宋_GB2312" w:cs="仿宋_GB2312"/>
          <w:sz w:val="32"/>
          <w:szCs w:val="32"/>
        </w:rPr>
        <w:t>202</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年部门整体绩效评价指标体系评分表</w:t>
      </w:r>
    </w:p>
    <w:p w14:paraId="3B1E7422">
      <w:pPr>
        <w:spacing w:line="560" w:lineRule="exact"/>
        <w:jc w:val="left"/>
        <w:rPr>
          <w:rFonts w:ascii="方正黑体_GBK" w:hAnsi="方正黑体_GBK" w:eastAsia="方正黑体_GBK" w:cs="方正黑体_GBK"/>
          <w:sz w:val="32"/>
        </w:rPr>
      </w:pPr>
      <w:r>
        <w:rPr>
          <w:rFonts w:hint="eastAsia" w:ascii="方正黑体_GBK" w:hAnsi="方正黑体_GBK" w:eastAsia="方正黑体_GBK" w:cs="方正黑体_GBK"/>
          <w:sz w:val="32"/>
        </w:rPr>
        <w:t>附件4-1</w:t>
      </w:r>
    </w:p>
    <w:p w14:paraId="380196BC">
      <w:pPr>
        <w:spacing w:line="20" w:lineRule="exact"/>
        <w:rPr>
          <w:rFonts w:ascii="方正小标宋简体" w:eastAsia="方正小标宋简体"/>
          <w:sz w:val="36"/>
          <w:szCs w:val="36"/>
        </w:rPr>
      </w:pPr>
    </w:p>
    <w:tbl>
      <w:tblPr>
        <w:tblStyle w:val="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28"/>
        <w:gridCol w:w="1350"/>
        <w:gridCol w:w="1521"/>
        <w:gridCol w:w="2019"/>
        <w:gridCol w:w="3948"/>
        <w:gridCol w:w="1965"/>
        <w:gridCol w:w="1843"/>
      </w:tblGrid>
      <w:tr w14:paraId="45C977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14174" w:type="dxa"/>
            <w:gridSpan w:val="7"/>
            <w:tcBorders>
              <w:top w:val="nil"/>
              <w:left w:val="nil"/>
              <w:bottom w:val="nil"/>
              <w:right w:val="nil"/>
            </w:tcBorders>
            <w:shd w:val="clear" w:color="auto" w:fill="auto"/>
            <w:noWrap/>
            <w:vAlign w:val="bottom"/>
          </w:tcPr>
          <w:p w14:paraId="153E75F1">
            <w:pPr>
              <w:keepNext w:val="0"/>
              <w:keepLines w:val="0"/>
              <w:widowControl/>
              <w:suppressLineNumbers w:val="0"/>
              <w:jc w:val="center"/>
              <w:textAlignment w:val="bottom"/>
              <w:rPr>
                <w:rFonts w:ascii="方正小标宋简体" w:hAnsi="方正小标宋简体" w:eastAsia="方正小标宋简体" w:cs="方正小标宋简体"/>
                <w:i w:val="0"/>
                <w:iCs w:val="0"/>
                <w:color w:val="000000"/>
                <w:sz w:val="44"/>
                <w:szCs w:val="44"/>
                <w:u w:val="none"/>
              </w:rPr>
            </w:pPr>
            <w:r>
              <w:rPr>
                <w:rFonts w:hint="eastAsia" w:ascii="方正小标宋简体" w:hAnsi="方正小标宋简体" w:eastAsia="方正小标宋简体" w:cs="方正小标宋简体"/>
                <w:i w:val="0"/>
                <w:iCs w:val="0"/>
                <w:color w:val="000000"/>
                <w:kern w:val="0"/>
                <w:sz w:val="44"/>
                <w:szCs w:val="44"/>
                <w:u w:val="none"/>
                <w:lang w:val="en-US" w:eastAsia="zh-CN" w:bidi="ar"/>
              </w:rPr>
              <w:t>2024年部门整体绩效评价指标体系评分表</w:t>
            </w:r>
          </w:p>
        </w:tc>
      </w:tr>
      <w:tr w14:paraId="3518DC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1417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4AF184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w:t>
            </w:r>
            <w:r>
              <w:rPr>
                <w:rStyle w:val="14"/>
                <w:lang w:val="en-US" w:eastAsia="zh-CN" w:bidi="ar"/>
              </w:rPr>
              <w:t>当年预算执行情况（20分）</w:t>
            </w:r>
          </w:p>
        </w:tc>
      </w:tr>
      <w:tr w14:paraId="41BD9F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1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416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　</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AD1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　</w:t>
            </w:r>
          </w:p>
        </w:tc>
        <w:tc>
          <w:tcPr>
            <w:tcW w:w="1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144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预算数（万元）</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E19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执行数（万元）</w:t>
            </w:r>
          </w:p>
        </w:tc>
        <w:tc>
          <w:tcPr>
            <w:tcW w:w="3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1C3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CB5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18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CEF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14:paraId="488A4E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1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EFEA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当年预算执行情况（20）</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434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资金总体</w:t>
            </w:r>
          </w:p>
        </w:tc>
        <w:tc>
          <w:tcPr>
            <w:tcW w:w="1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ED3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1543.89</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4A9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1525.13</w:t>
            </w:r>
          </w:p>
        </w:tc>
        <w:tc>
          <w:tcPr>
            <w:tcW w:w="3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68AB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98.78%</w:t>
            </w:r>
          </w:p>
        </w:tc>
        <w:tc>
          <w:tcPr>
            <w:tcW w:w="196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F9F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84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689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19.75</w:t>
            </w:r>
          </w:p>
        </w:tc>
      </w:tr>
      <w:tr w14:paraId="06550F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1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DE67C5">
            <w:pPr>
              <w:jc w:val="center"/>
              <w:rPr>
                <w:rFonts w:hint="eastAsia" w:ascii="宋体" w:hAnsi="宋体" w:eastAsia="宋体" w:cs="宋体"/>
                <w:i w:val="0"/>
                <w:iCs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701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基本支出</w:t>
            </w:r>
          </w:p>
        </w:tc>
        <w:tc>
          <w:tcPr>
            <w:tcW w:w="1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784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1348.04</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96E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1330.13</w:t>
            </w:r>
          </w:p>
        </w:tc>
        <w:tc>
          <w:tcPr>
            <w:tcW w:w="3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E24FCE">
            <w:pPr>
              <w:jc w:val="center"/>
              <w:rPr>
                <w:rFonts w:hint="eastAsia" w:ascii="宋体" w:hAnsi="宋体" w:eastAsia="宋体" w:cs="宋体"/>
                <w:i w:val="0"/>
                <w:iCs w:val="0"/>
                <w:color w:val="000000"/>
                <w:sz w:val="20"/>
                <w:szCs w:val="20"/>
                <w:u w:val="none"/>
              </w:rPr>
            </w:pPr>
          </w:p>
        </w:tc>
        <w:tc>
          <w:tcPr>
            <w:tcW w:w="196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55194">
            <w:pPr>
              <w:jc w:val="center"/>
              <w:rPr>
                <w:rFonts w:hint="eastAsia" w:ascii="宋体" w:hAnsi="宋体" w:eastAsia="宋体" w:cs="宋体"/>
                <w:i w:val="0"/>
                <w:iCs w:val="0"/>
                <w:color w:val="000000"/>
                <w:sz w:val="20"/>
                <w:szCs w:val="20"/>
                <w:u w:val="none"/>
              </w:rPr>
            </w:pPr>
          </w:p>
        </w:tc>
        <w:tc>
          <w:tcPr>
            <w:tcW w:w="18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D2125">
            <w:pPr>
              <w:jc w:val="center"/>
              <w:rPr>
                <w:rFonts w:hint="eastAsia" w:ascii="宋体" w:hAnsi="宋体" w:eastAsia="宋体" w:cs="宋体"/>
                <w:i w:val="0"/>
                <w:iCs w:val="0"/>
                <w:color w:val="000000"/>
                <w:sz w:val="20"/>
                <w:szCs w:val="20"/>
                <w:u w:val="none"/>
              </w:rPr>
            </w:pPr>
          </w:p>
        </w:tc>
      </w:tr>
      <w:tr w14:paraId="489230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1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1FA70B">
            <w:pPr>
              <w:jc w:val="center"/>
              <w:rPr>
                <w:rFonts w:hint="eastAsia" w:ascii="宋体" w:hAnsi="宋体" w:eastAsia="宋体" w:cs="宋体"/>
                <w:i w:val="0"/>
                <w:iCs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609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项目支出</w:t>
            </w:r>
          </w:p>
        </w:tc>
        <w:tc>
          <w:tcPr>
            <w:tcW w:w="1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86E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195.85</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E08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195</w:t>
            </w:r>
          </w:p>
        </w:tc>
        <w:tc>
          <w:tcPr>
            <w:tcW w:w="3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109153">
            <w:pPr>
              <w:jc w:val="center"/>
              <w:rPr>
                <w:rFonts w:hint="eastAsia" w:ascii="宋体" w:hAnsi="宋体" w:eastAsia="宋体" w:cs="宋体"/>
                <w:i w:val="0"/>
                <w:iCs w:val="0"/>
                <w:color w:val="000000"/>
                <w:sz w:val="20"/>
                <w:szCs w:val="20"/>
                <w:u w:val="none"/>
              </w:rPr>
            </w:pPr>
          </w:p>
        </w:tc>
        <w:tc>
          <w:tcPr>
            <w:tcW w:w="196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BFF1C">
            <w:pPr>
              <w:jc w:val="center"/>
              <w:rPr>
                <w:rFonts w:hint="eastAsia" w:ascii="宋体" w:hAnsi="宋体" w:eastAsia="宋体" w:cs="宋体"/>
                <w:i w:val="0"/>
                <w:iCs w:val="0"/>
                <w:color w:val="000000"/>
                <w:sz w:val="20"/>
                <w:szCs w:val="20"/>
                <w:u w:val="none"/>
              </w:rPr>
            </w:pPr>
          </w:p>
        </w:tc>
        <w:tc>
          <w:tcPr>
            <w:tcW w:w="18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63349">
            <w:pPr>
              <w:jc w:val="center"/>
              <w:rPr>
                <w:rFonts w:hint="eastAsia" w:ascii="宋体" w:hAnsi="宋体" w:eastAsia="宋体" w:cs="宋体"/>
                <w:i w:val="0"/>
                <w:iCs w:val="0"/>
                <w:color w:val="000000"/>
                <w:sz w:val="20"/>
                <w:szCs w:val="20"/>
                <w:u w:val="none"/>
              </w:rPr>
            </w:pPr>
          </w:p>
        </w:tc>
      </w:tr>
      <w:tr w14:paraId="2A9BF5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1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8C7A86">
            <w:pPr>
              <w:jc w:val="center"/>
              <w:rPr>
                <w:rFonts w:hint="eastAsia" w:ascii="宋体" w:hAnsi="宋体" w:eastAsia="宋体" w:cs="宋体"/>
                <w:i w:val="0"/>
                <w:iCs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E9C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1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5EA70">
            <w:pPr>
              <w:jc w:val="center"/>
              <w:rPr>
                <w:rFonts w:hint="eastAsia" w:ascii="宋体" w:hAnsi="宋体" w:eastAsia="宋体" w:cs="宋体"/>
                <w:i w:val="0"/>
                <w:iCs w:val="0"/>
                <w:color w:val="000000"/>
                <w:sz w:val="20"/>
                <w:szCs w:val="20"/>
                <w:u w:val="none"/>
              </w:rPr>
            </w:pP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800D9">
            <w:pPr>
              <w:jc w:val="center"/>
              <w:rPr>
                <w:rFonts w:hint="eastAsia" w:ascii="宋体" w:hAnsi="宋体" w:eastAsia="宋体" w:cs="宋体"/>
                <w:i w:val="0"/>
                <w:iCs w:val="0"/>
                <w:color w:val="000000"/>
                <w:sz w:val="20"/>
                <w:szCs w:val="20"/>
                <w:u w:val="none"/>
              </w:rPr>
            </w:pPr>
          </w:p>
        </w:tc>
        <w:tc>
          <w:tcPr>
            <w:tcW w:w="3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A3857">
            <w:pPr>
              <w:jc w:val="left"/>
              <w:rPr>
                <w:rFonts w:hint="eastAsia" w:ascii="宋体" w:hAnsi="宋体" w:eastAsia="宋体" w:cs="宋体"/>
                <w:i w:val="0"/>
                <w:iCs w:val="0"/>
                <w:color w:val="000000"/>
                <w:sz w:val="20"/>
                <w:szCs w:val="20"/>
                <w:u w:val="none"/>
              </w:rPr>
            </w:pPr>
          </w:p>
        </w:tc>
        <w:tc>
          <w:tcPr>
            <w:tcW w:w="196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34CD0">
            <w:pPr>
              <w:jc w:val="center"/>
              <w:rPr>
                <w:rFonts w:hint="eastAsia" w:ascii="宋体" w:hAnsi="宋体" w:eastAsia="宋体" w:cs="宋体"/>
                <w:i w:val="0"/>
                <w:iCs w:val="0"/>
                <w:color w:val="000000"/>
                <w:sz w:val="20"/>
                <w:szCs w:val="20"/>
                <w:u w:val="none"/>
              </w:rPr>
            </w:pPr>
          </w:p>
        </w:tc>
        <w:tc>
          <w:tcPr>
            <w:tcW w:w="18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96D69">
            <w:pPr>
              <w:jc w:val="center"/>
              <w:rPr>
                <w:rFonts w:hint="eastAsia" w:ascii="宋体" w:hAnsi="宋体" w:eastAsia="宋体" w:cs="宋体"/>
                <w:i w:val="0"/>
                <w:iCs w:val="0"/>
                <w:color w:val="000000"/>
                <w:sz w:val="20"/>
                <w:szCs w:val="20"/>
                <w:u w:val="none"/>
              </w:rPr>
            </w:pPr>
          </w:p>
        </w:tc>
      </w:tr>
      <w:tr w14:paraId="2922AE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1417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E44F27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w:t>
            </w:r>
            <w:r>
              <w:rPr>
                <w:rStyle w:val="14"/>
                <w:lang w:val="en-US" w:eastAsia="zh-CN" w:bidi="ar"/>
              </w:rPr>
              <w:t>整体绩效目标实现情况（60分）</w:t>
            </w:r>
          </w:p>
        </w:tc>
      </w:tr>
      <w:tr w14:paraId="7DAC2C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1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838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BB3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　</w:t>
            </w:r>
          </w:p>
        </w:tc>
        <w:tc>
          <w:tcPr>
            <w:tcW w:w="1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79D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　</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9C6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3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FE1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完成值</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8C9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18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5C7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14:paraId="404742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1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65D1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整体绩效目标实现情况（60）</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985FA">
            <w:pPr>
              <w:jc w:val="center"/>
              <w:rPr>
                <w:rFonts w:hint="eastAsia" w:ascii="宋体" w:hAnsi="宋体" w:eastAsia="宋体" w:cs="宋体"/>
                <w:i w:val="0"/>
                <w:iCs w:val="0"/>
                <w:color w:val="000000"/>
                <w:sz w:val="20"/>
                <w:szCs w:val="20"/>
                <w:u w:val="none"/>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7505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全年各项会议参与人数</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B97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≥90人</w:t>
            </w:r>
          </w:p>
        </w:tc>
        <w:tc>
          <w:tcPr>
            <w:tcW w:w="3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E74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w:t>
            </w:r>
          </w:p>
        </w:tc>
        <w:tc>
          <w:tcPr>
            <w:tcW w:w="19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51DB12">
            <w:pPr>
              <w:keepNext w:val="0"/>
              <w:keepLines w:val="0"/>
              <w:widowControl/>
              <w:suppressLineNumbers w:val="0"/>
              <w:ind w:firstLineChars="10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18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C76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r>
      <w:tr w14:paraId="3AFE5D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1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152FF6">
            <w:pPr>
              <w:jc w:val="center"/>
              <w:rPr>
                <w:rFonts w:hint="eastAsia" w:ascii="宋体" w:hAnsi="宋体" w:eastAsia="宋体" w:cs="宋体"/>
                <w:i w:val="0"/>
                <w:iCs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E67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产出（30）</w:t>
            </w:r>
          </w:p>
        </w:tc>
        <w:tc>
          <w:tcPr>
            <w:tcW w:w="1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3A6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开展基层会员活动次数</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6C6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≥10次</w:t>
            </w:r>
          </w:p>
        </w:tc>
        <w:tc>
          <w:tcPr>
            <w:tcW w:w="3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49D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19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F860C5">
            <w:pPr>
              <w:jc w:val="center"/>
              <w:rPr>
                <w:rFonts w:hint="eastAsia" w:ascii="宋体" w:hAnsi="宋体" w:eastAsia="宋体" w:cs="宋体"/>
                <w:i w:val="0"/>
                <w:iCs w:val="0"/>
                <w:color w:val="000000"/>
                <w:sz w:val="21"/>
                <w:szCs w:val="21"/>
                <w:u w:val="none"/>
              </w:rPr>
            </w:pP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CE7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r>
      <w:tr w14:paraId="2BBE8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1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A27141">
            <w:pPr>
              <w:jc w:val="center"/>
              <w:rPr>
                <w:rFonts w:hint="eastAsia" w:ascii="宋体" w:hAnsi="宋体" w:eastAsia="宋体" w:cs="宋体"/>
                <w:i w:val="0"/>
                <w:iCs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06DB4">
            <w:pPr>
              <w:rPr>
                <w:rFonts w:hint="eastAsia" w:ascii="宋体" w:hAnsi="宋体" w:eastAsia="宋体" w:cs="宋体"/>
                <w:i w:val="0"/>
                <w:iCs w:val="0"/>
                <w:color w:val="000000"/>
                <w:sz w:val="22"/>
                <w:szCs w:val="22"/>
                <w:u w:val="none"/>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E1A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舆情监测、微信推送期数</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420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≥150篇</w:t>
            </w:r>
          </w:p>
        </w:tc>
        <w:tc>
          <w:tcPr>
            <w:tcW w:w="3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31E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417</w:t>
            </w:r>
          </w:p>
        </w:tc>
        <w:tc>
          <w:tcPr>
            <w:tcW w:w="19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A8161A">
            <w:pPr>
              <w:jc w:val="center"/>
              <w:rPr>
                <w:rFonts w:hint="eastAsia" w:ascii="宋体" w:hAnsi="宋体" w:eastAsia="宋体" w:cs="宋体"/>
                <w:i w:val="0"/>
                <w:iCs w:val="0"/>
                <w:color w:val="000000"/>
                <w:sz w:val="21"/>
                <w:szCs w:val="21"/>
                <w:u w:val="none"/>
              </w:rPr>
            </w:pP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B69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r>
      <w:tr w14:paraId="338EE7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1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3B2363">
            <w:pPr>
              <w:jc w:val="center"/>
              <w:rPr>
                <w:rFonts w:hint="eastAsia" w:ascii="宋体" w:hAnsi="宋体" w:eastAsia="宋体" w:cs="宋体"/>
                <w:i w:val="0"/>
                <w:iCs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458D2">
            <w:pPr>
              <w:rPr>
                <w:rFonts w:hint="eastAsia" w:ascii="宋体" w:hAnsi="宋体" w:eastAsia="宋体" w:cs="宋体"/>
                <w:i w:val="0"/>
                <w:iCs w:val="0"/>
                <w:color w:val="000000"/>
                <w:sz w:val="22"/>
                <w:szCs w:val="22"/>
                <w:u w:val="none"/>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D10D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提交政协发言稿、提案数量</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BD4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≥6篇</w:t>
            </w:r>
          </w:p>
        </w:tc>
        <w:tc>
          <w:tcPr>
            <w:tcW w:w="3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F9C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w:t>
            </w:r>
          </w:p>
        </w:tc>
        <w:tc>
          <w:tcPr>
            <w:tcW w:w="19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0B50D2">
            <w:pPr>
              <w:jc w:val="center"/>
              <w:rPr>
                <w:rFonts w:hint="eastAsia" w:ascii="宋体" w:hAnsi="宋体" w:eastAsia="宋体" w:cs="宋体"/>
                <w:i w:val="0"/>
                <w:iCs w:val="0"/>
                <w:color w:val="000000"/>
                <w:sz w:val="21"/>
                <w:szCs w:val="21"/>
                <w:u w:val="none"/>
              </w:rPr>
            </w:pP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514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r>
      <w:tr w14:paraId="14C7C6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1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7D8E44">
            <w:pPr>
              <w:jc w:val="center"/>
              <w:rPr>
                <w:rFonts w:hint="eastAsia" w:ascii="宋体" w:hAnsi="宋体" w:eastAsia="宋体" w:cs="宋体"/>
                <w:i w:val="0"/>
                <w:iCs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40069">
            <w:pPr>
              <w:rPr>
                <w:rFonts w:hint="eastAsia" w:ascii="宋体" w:hAnsi="宋体" w:eastAsia="宋体" w:cs="宋体"/>
                <w:i w:val="0"/>
                <w:iCs w:val="0"/>
                <w:color w:val="000000"/>
                <w:sz w:val="22"/>
                <w:szCs w:val="22"/>
                <w:u w:val="none"/>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F6B1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代训委员、骨干、新会员数量</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A86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≥200人次</w:t>
            </w:r>
          </w:p>
        </w:tc>
        <w:tc>
          <w:tcPr>
            <w:tcW w:w="3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9FD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9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6E4A35">
            <w:pPr>
              <w:jc w:val="center"/>
              <w:rPr>
                <w:rFonts w:hint="eastAsia" w:ascii="宋体" w:hAnsi="宋体" w:eastAsia="宋体" w:cs="宋体"/>
                <w:i w:val="0"/>
                <w:iCs w:val="0"/>
                <w:color w:val="000000"/>
                <w:sz w:val="21"/>
                <w:szCs w:val="21"/>
                <w:u w:val="none"/>
              </w:rPr>
            </w:pP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713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r>
      <w:tr w14:paraId="595C9E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1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334556">
            <w:pPr>
              <w:jc w:val="center"/>
              <w:rPr>
                <w:rFonts w:hint="eastAsia" w:ascii="宋体" w:hAnsi="宋体" w:eastAsia="宋体" w:cs="宋体"/>
                <w:i w:val="0"/>
                <w:iCs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FE33A">
            <w:pPr>
              <w:rPr>
                <w:rFonts w:hint="eastAsia" w:ascii="宋体" w:hAnsi="宋体" w:eastAsia="宋体" w:cs="宋体"/>
                <w:i w:val="0"/>
                <w:iCs w:val="0"/>
                <w:color w:val="000000"/>
                <w:sz w:val="22"/>
                <w:szCs w:val="22"/>
                <w:u w:val="none"/>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B24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完成社情民意信息数量</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AE3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≥200篇</w:t>
            </w:r>
          </w:p>
        </w:tc>
        <w:tc>
          <w:tcPr>
            <w:tcW w:w="3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F76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586</w:t>
            </w:r>
          </w:p>
        </w:tc>
        <w:tc>
          <w:tcPr>
            <w:tcW w:w="19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F402F4">
            <w:pPr>
              <w:jc w:val="center"/>
              <w:rPr>
                <w:rFonts w:hint="eastAsia" w:ascii="宋体" w:hAnsi="宋体" w:eastAsia="宋体" w:cs="宋体"/>
                <w:i w:val="0"/>
                <w:iCs w:val="0"/>
                <w:color w:val="000000"/>
                <w:sz w:val="21"/>
                <w:szCs w:val="21"/>
                <w:u w:val="none"/>
              </w:rPr>
            </w:pP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D60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r>
      <w:tr w14:paraId="5273A9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1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69E636">
            <w:pPr>
              <w:jc w:val="center"/>
              <w:rPr>
                <w:rFonts w:hint="eastAsia" w:ascii="宋体" w:hAnsi="宋体" w:eastAsia="宋体" w:cs="宋体"/>
                <w:i w:val="0"/>
                <w:iCs w:val="0"/>
                <w:color w:val="000000"/>
                <w:sz w:val="20"/>
                <w:szCs w:val="20"/>
                <w:u w:val="none"/>
              </w:rPr>
            </w:pPr>
          </w:p>
        </w:tc>
        <w:tc>
          <w:tcPr>
            <w:tcW w:w="13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3F89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效果（30）</w:t>
            </w:r>
          </w:p>
        </w:tc>
        <w:tc>
          <w:tcPr>
            <w:tcW w:w="1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34D5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A50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3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943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w:t>
            </w:r>
          </w:p>
        </w:tc>
        <w:tc>
          <w:tcPr>
            <w:tcW w:w="196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9E3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EBA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r>
      <w:tr w14:paraId="25133A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1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EFE39A">
            <w:pPr>
              <w:jc w:val="center"/>
              <w:rPr>
                <w:rFonts w:hint="eastAsia" w:ascii="宋体" w:hAnsi="宋体" w:eastAsia="宋体" w:cs="宋体"/>
                <w:i w:val="0"/>
                <w:iCs w:val="0"/>
                <w:color w:val="000000"/>
                <w:sz w:val="20"/>
                <w:szCs w:val="20"/>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70F7B2">
            <w:pPr>
              <w:jc w:val="center"/>
              <w:rPr>
                <w:rFonts w:hint="eastAsia" w:ascii="宋体" w:hAnsi="宋体" w:eastAsia="宋体" w:cs="宋体"/>
                <w:i w:val="0"/>
                <w:iCs w:val="0"/>
                <w:color w:val="000000"/>
                <w:sz w:val="20"/>
                <w:szCs w:val="20"/>
                <w:u w:val="none"/>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BCD2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党派履职建设质量</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A70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3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243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w:t>
            </w:r>
          </w:p>
        </w:tc>
        <w:tc>
          <w:tcPr>
            <w:tcW w:w="196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7BBFE">
            <w:pPr>
              <w:jc w:val="center"/>
              <w:rPr>
                <w:rFonts w:hint="eastAsia" w:ascii="宋体" w:hAnsi="宋体" w:eastAsia="宋体" w:cs="宋体"/>
                <w:i w:val="0"/>
                <w:iCs w:val="0"/>
                <w:color w:val="000000"/>
                <w:sz w:val="20"/>
                <w:szCs w:val="20"/>
                <w:u w:val="none"/>
              </w:rPr>
            </w:pP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0B4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r>
      <w:tr w14:paraId="4860A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1417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9C2C81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w:t>
            </w:r>
            <w:r>
              <w:rPr>
                <w:rStyle w:val="14"/>
                <w:lang w:val="en-US" w:eastAsia="zh-CN" w:bidi="ar"/>
              </w:rPr>
              <w:t>预算管理情况（20分）</w:t>
            </w:r>
          </w:p>
        </w:tc>
      </w:tr>
      <w:tr w14:paraId="2C6A10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1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532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A06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A5D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2C4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3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D63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完成值</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0D3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F94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14:paraId="7ACEC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1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1245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预算管理情况（20）</w:t>
            </w:r>
          </w:p>
        </w:tc>
        <w:tc>
          <w:tcPr>
            <w:tcW w:w="13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F245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财务管理（4）</w:t>
            </w:r>
          </w:p>
        </w:tc>
        <w:tc>
          <w:tcPr>
            <w:tcW w:w="1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AA8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财务管理制度健全性</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193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财务制度是否健全</w:t>
            </w:r>
          </w:p>
        </w:tc>
        <w:tc>
          <w:tcPr>
            <w:tcW w:w="3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670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财务制度齐全　</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978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76D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6BEE1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1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1BF3A6">
            <w:pPr>
              <w:jc w:val="center"/>
              <w:rPr>
                <w:rFonts w:hint="eastAsia" w:ascii="宋体" w:hAnsi="宋体" w:eastAsia="宋体" w:cs="宋体"/>
                <w:i w:val="0"/>
                <w:iCs w:val="0"/>
                <w:color w:val="000000"/>
                <w:sz w:val="20"/>
                <w:szCs w:val="20"/>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0D60E5">
            <w:pPr>
              <w:jc w:val="center"/>
              <w:rPr>
                <w:rFonts w:hint="eastAsia" w:ascii="宋体" w:hAnsi="宋体" w:eastAsia="宋体" w:cs="宋体"/>
                <w:i w:val="0"/>
                <w:iCs w:val="0"/>
                <w:color w:val="000000"/>
                <w:sz w:val="20"/>
                <w:szCs w:val="20"/>
                <w:u w:val="none"/>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035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资金使用合规性和安全性</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575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资金使用合规、安全　</w:t>
            </w:r>
          </w:p>
        </w:tc>
        <w:tc>
          <w:tcPr>
            <w:tcW w:w="3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B60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资金的使用按照国家财经法规和财务管理制度的规定，金额较大开支执行“三重一大”制度，不存在截留、挤占、挪用情况，公务卡使用有相关的制度规定约束，预算资金整体规范运行。</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6E1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46D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r>
      <w:tr w14:paraId="3360F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1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B2ADD2">
            <w:pPr>
              <w:jc w:val="center"/>
              <w:rPr>
                <w:rFonts w:hint="eastAsia" w:ascii="宋体" w:hAnsi="宋体" w:eastAsia="宋体" w:cs="宋体"/>
                <w:i w:val="0"/>
                <w:iCs w:val="0"/>
                <w:color w:val="000000"/>
                <w:sz w:val="20"/>
                <w:szCs w:val="20"/>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492217">
            <w:pPr>
              <w:jc w:val="center"/>
              <w:rPr>
                <w:rFonts w:hint="eastAsia" w:ascii="宋体" w:hAnsi="宋体" w:eastAsia="宋体" w:cs="宋体"/>
                <w:i w:val="0"/>
                <w:iCs w:val="0"/>
                <w:color w:val="000000"/>
                <w:sz w:val="20"/>
                <w:szCs w:val="20"/>
                <w:u w:val="none"/>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B58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会计基础信息完善性</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E62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w:t>
            </w:r>
            <w:r>
              <w:rPr>
                <w:rStyle w:val="15"/>
                <w:lang w:val="en-US" w:eastAsia="zh-CN" w:bidi="ar"/>
              </w:rPr>
              <w:t>会计基础信息是否完整　</w:t>
            </w:r>
          </w:p>
        </w:tc>
        <w:tc>
          <w:tcPr>
            <w:tcW w:w="3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C05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严格执行政府会计制度，对真实的会计信息进行核算，及时提供合法、真实、准确和完整的会计信息</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8B2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2D3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457740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1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842F4A">
            <w:pPr>
              <w:jc w:val="center"/>
              <w:rPr>
                <w:rFonts w:hint="eastAsia" w:ascii="宋体" w:hAnsi="宋体" w:eastAsia="宋体" w:cs="宋体"/>
                <w:i w:val="0"/>
                <w:iCs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680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资产管理（4）</w:t>
            </w:r>
          </w:p>
        </w:tc>
        <w:tc>
          <w:tcPr>
            <w:tcW w:w="1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38A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资产管理规范性</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E3A9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资产购置、处置、配置是否合理、规范</w:t>
            </w:r>
          </w:p>
        </w:tc>
        <w:tc>
          <w:tcPr>
            <w:tcW w:w="3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E0B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制定了资产管理办法，资产购置有计划，有预算，且在预算指标内进行采购，资产按照规定标准配置，按时盘点资产，保证资产的安全完整，报废资产按照规定流程执行报废手续，不存在出租出借资产行为。</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E66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8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C2F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r>
      <w:tr w14:paraId="1C63BF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1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CA2781">
            <w:pPr>
              <w:jc w:val="center"/>
              <w:rPr>
                <w:rFonts w:hint="eastAsia" w:ascii="宋体" w:hAnsi="宋体" w:eastAsia="宋体" w:cs="宋体"/>
                <w:i w:val="0"/>
                <w:iCs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5FD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绩效管理（4）</w:t>
            </w:r>
          </w:p>
        </w:tc>
        <w:tc>
          <w:tcPr>
            <w:tcW w:w="1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77B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绩效管理情况</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733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绩效信息是否经过整理汇总，并加以运用</w:t>
            </w:r>
          </w:p>
        </w:tc>
        <w:tc>
          <w:tcPr>
            <w:tcW w:w="3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8F6F5">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能够按照预算绩效目标开展各项工作，绩效信息比较丰富，但分析运用尚需加强</w:t>
            </w:r>
            <w:r>
              <w:rPr>
                <w:rFonts w:hint="eastAsia" w:ascii="宋体" w:hAnsi="宋体" w:cs="宋体"/>
                <w:i w:val="0"/>
                <w:iCs w:val="0"/>
                <w:color w:val="000000"/>
                <w:kern w:val="0"/>
                <w:sz w:val="20"/>
                <w:szCs w:val="20"/>
                <w:u w:val="none"/>
                <w:lang w:val="en-US" w:eastAsia="zh-CN" w:bidi="ar"/>
              </w:rPr>
              <w:t>。</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363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8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50C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r>
      <w:tr w14:paraId="7883F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1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53A071">
            <w:pPr>
              <w:jc w:val="center"/>
              <w:rPr>
                <w:rFonts w:hint="eastAsia" w:ascii="宋体" w:hAnsi="宋体" w:eastAsia="宋体" w:cs="宋体"/>
                <w:i w:val="0"/>
                <w:iCs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B9E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　</w:t>
            </w:r>
          </w:p>
        </w:tc>
        <w:tc>
          <w:tcPr>
            <w:tcW w:w="35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5B0B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2023年</w:t>
            </w:r>
          </w:p>
        </w:tc>
        <w:tc>
          <w:tcPr>
            <w:tcW w:w="3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BAB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4D2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18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8C4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14:paraId="5EA048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1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F4C306">
            <w:pPr>
              <w:jc w:val="center"/>
              <w:rPr>
                <w:rFonts w:hint="eastAsia" w:ascii="宋体" w:hAnsi="宋体" w:eastAsia="宋体" w:cs="宋体"/>
                <w:i w:val="0"/>
                <w:iCs w:val="0"/>
                <w:color w:val="000000"/>
                <w:sz w:val="20"/>
                <w:szCs w:val="20"/>
                <w:u w:val="none"/>
              </w:rPr>
            </w:pPr>
          </w:p>
        </w:tc>
        <w:tc>
          <w:tcPr>
            <w:tcW w:w="13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69471D">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结转结余率（4）</w:t>
            </w:r>
          </w:p>
        </w:tc>
        <w:tc>
          <w:tcPr>
            <w:tcW w:w="354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DC3E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3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AE25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1.22%</w:t>
            </w:r>
          </w:p>
        </w:tc>
        <w:tc>
          <w:tcPr>
            <w:tcW w:w="19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0DC8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8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E33A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r>
      <w:tr w14:paraId="78BC9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1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1B8895">
            <w:pPr>
              <w:jc w:val="center"/>
              <w:rPr>
                <w:rFonts w:hint="eastAsia" w:ascii="宋体" w:hAnsi="宋体" w:eastAsia="宋体" w:cs="宋体"/>
                <w:i w:val="0"/>
                <w:iCs w:val="0"/>
                <w:color w:val="000000"/>
                <w:sz w:val="20"/>
                <w:szCs w:val="20"/>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70338A">
            <w:pPr>
              <w:jc w:val="both"/>
              <w:rPr>
                <w:rFonts w:hint="eastAsia" w:ascii="宋体" w:hAnsi="宋体" w:eastAsia="宋体" w:cs="宋体"/>
                <w:i w:val="0"/>
                <w:iCs w:val="0"/>
                <w:color w:val="000000"/>
                <w:sz w:val="20"/>
                <w:szCs w:val="20"/>
                <w:u w:val="none"/>
              </w:rPr>
            </w:pPr>
          </w:p>
        </w:tc>
        <w:tc>
          <w:tcPr>
            <w:tcW w:w="35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4733B8">
            <w:pPr>
              <w:jc w:val="center"/>
              <w:rPr>
                <w:rFonts w:hint="eastAsia" w:ascii="宋体" w:hAnsi="宋体" w:eastAsia="宋体" w:cs="宋体"/>
                <w:i w:val="0"/>
                <w:iCs w:val="0"/>
                <w:color w:val="000000"/>
                <w:sz w:val="20"/>
                <w:szCs w:val="20"/>
                <w:u w:val="none"/>
              </w:rPr>
            </w:pPr>
          </w:p>
        </w:tc>
        <w:tc>
          <w:tcPr>
            <w:tcW w:w="3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8EA590">
            <w:pPr>
              <w:jc w:val="center"/>
              <w:rPr>
                <w:rFonts w:hint="eastAsia" w:ascii="宋体" w:hAnsi="宋体" w:eastAsia="宋体" w:cs="宋体"/>
                <w:i w:val="0"/>
                <w:iCs w:val="0"/>
                <w:color w:val="000000"/>
                <w:sz w:val="20"/>
                <w:szCs w:val="20"/>
                <w:u w:val="none"/>
              </w:rPr>
            </w:pPr>
          </w:p>
        </w:tc>
        <w:tc>
          <w:tcPr>
            <w:tcW w:w="19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41540A">
            <w:pPr>
              <w:jc w:val="center"/>
              <w:rPr>
                <w:rFonts w:hint="eastAsia" w:ascii="宋体" w:hAnsi="宋体" w:eastAsia="宋体" w:cs="宋体"/>
                <w:i w:val="0"/>
                <w:iCs w:val="0"/>
                <w:color w:val="000000"/>
                <w:sz w:val="20"/>
                <w:szCs w:val="20"/>
                <w:u w:val="none"/>
              </w:rPr>
            </w:pPr>
          </w:p>
        </w:tc>
        <w:tc>
          <w:tcPr>
            <w:tcW w:w="1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E1F897">
            <w:pPr>
              <w:jc w:val="center"/>
              <w:rPr>
                <w:rFonts w:hint="eastAsia" w:ascii="宋体" w:hAnsi="宋体" w:eastAsia="宋体" w:cs="宋体"/>
                <w:i w:val="0"/>
                <w:iCs w:val="0"/>
                <w:color w:val="000000"/>
                <w:sz w:val="20"/>
                <w:szCs w:val="20"/>
                <w:u w:val="none"/>
              </w:rPr>
            </w:pPr>
          </w:p>
        </w:tc>
      </w:tr>
      <w:tr w14:paraId="712449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1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3261C5">
            <w:pPr>
              <w:jc w:val="center"/>
              <w:rPr>
                <w:rFonts w:hint="eastAsia" w:ascii="宋体" w:hAnsi="宋体" w:eastAsia="宋体" w:cs="宋体"/>
                <w:i w:val="0"/>
                <w:iCs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42265">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部门预决算差异率（4）</w:t>
            </w:r>
          </w:p>
        </w:tc>
        <w:tc>
          <w:tcPr>
            <w:tcW w:w="35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5BAF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3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F1256">
            <w:pPr>
              <w:keepNext w:val="0"/>
              <w:keepLines w:val="0"/>
              <w:widowControl/>
              <w:suppressLineNumbers w:val="0"/>
              <w:jc w:val="center"/>
              <w:textAlignment w:val="center"/>
              <w:rPr>
                <w:rFonts w:hint="eastAsia" w:ascii="宋体" w:hAnsi="宋体" w:eastAsia="宋体" w:cs="宋体"/>
                <w:i w:val="0"/>
                <w:iCs w:val="0"/>
                <w:color w:val="FF0000"/>
                <w:sz w:val="20"/>
                <w:szCs w:val="20"/>
                <w:u w:val="none"/>
              </w:rPr>
            </w:pPr>
            <w:bookmarkStart w:id="1" w:name="_GoBack"/>
            <w:r>
              <w:rPr>
                <w:rFonts w:hint="eastAsia" w:ascii="宋体" w:hAnsi="宋体" w:eastAsia="宋体" w:cs="宋体"/>
                <w:i w:val="0"/>
                <w:iCs w:val="0"/>
                <w:color w:val="auto"/>
                <w:kern w:val="0"/>
                <w:sz w:val="20"/>
                <w:szCs w:val="20"/>
                <w:u w:val="none"/>
                <w:lang w:val="en-US" w:eastAsia="zh-CN" w:bidi="ar"/>
              </w:rPr>
              <w:t>0.46%</w:t>
            </w:r>
            <w:bookmarkEnd w:id="1"/>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A43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8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395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r>
      <w:tr w14:paraId="46ED8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1036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67757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CA8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8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F6B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96.75</w:t>
            </w:r>
          </w:p>
        </w:tc>
      </w:tr>
    </w:tbl>
    <w:p w14:paraId="30008CD4"/>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黑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90286009"/>
    </w:sdtPr>
    <w:sdtContent>
      <w:p w14:paraId="4EB7B5D8">
        <w:pPr>
          <w:pStyle w:val="6"/>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530AE8">
    <w:pPr>
      <w:pStyle w:val="7"/>
    </w:pPr>
    <w:r>
      <w:rPr>
        <w:rFonts w:hint="eastAsia"/>
      </w:rPr>
      <w:t>中国民主促进会北京市委员会</w:t>
    </w: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5YzQ3YTk2OWE3NmU4ZTNmNTQwMjRlMTFlNDIzMzIifQ=="/>
  </w:docVars>
  <w:rsids>
    <w:rsidRoot w:val="006C115D"/>
    <w:rsid w:val="000043EA"/>
    <w:rsid w:val="00005EE8"/>
    <w:rsid w:val="000742DB"/>
    <w:rsid w:val="0009590E"/>
    <w:rsid w:val="00103195"/>
    <w:rsid w:val="0011167E"/>
    <w:rsid w:val="00151CD6"/>
    <w:rsid w:val="00155958"/>
    <w:rsid w:val="00192FE2"/>
    <w:rsid w:val="001C22EE"/>
    <w:rsid w:val="001E1C17"/>
    <w:rsid w:val="00212C84"/>
    <w:rsid w:val="002532A4"/>
    <w:rsid w:val="00293E31"/>
    <w:rsid w:val="002A2F7D"/>
    <w:rsid w:val="00321FF5"/>
    <w:rsid w:val="00322215"/>
    <w:rsid w:val="0033085A"/>
    <w:rsid w:val="00385B36"/>
    <w:rsid w:val="003A59BD"/>
    <w:rsid w:val="003C26CB"/>
    <w:rsid w:val="003E085C"/>
    <w:rsid w:val="003E25A3"/>
    <w:rsid w:val="004E5BBE"/>
    <w:rsid w:val="00500CF8"/>
    <w:rsid w:val="00506A68"/>
    <w:rsid w:val="005578D0"/>
    <w:rsid w:val="00560901"/>
    <w:rsid w:val="00564557"/>
    <w:rsid w:val="005C7DF5"/>
    <w:rsid w:val="005E0ACF"/>
    <w:rsid w:val="005F0280"/>
    <w:rsid w:val="00612364"/>
    <w:rsid w:val="00691D00"/>
    <w:rsid w:val="006A4C7E"/>
    <w:rsid w:val="006C115D"/>
    <w:rsid w:val="006D07BA"/>
    <w:rsid w:val="006D2A07"/>
    <w:rsid w:val="006D3D77"/>
    <w:rsid w:val="006D5CA5"/>
    <w:rsid w:val="006F4FE9"/>
    <w:rsid w:val="007034C0"/>
    <w:rsid w:val="007118E4"/>
    <w:rsid w:val="00785C43"/>
    <w:rsid w:val="007E505D"/>
    <w:rsid w:val="007F6B17"/>
    <w:rsid w:val="0084361C"/>
    <w:rsid w:val="00852B3B"/>
    <w:rsid w:val="00853018"/>
    <w:rsid w:val="00882B5D"/>
    <w:rsid w:val="008D404D"/>
    <w:rsid w:val="008D5052"/>
    <w:rsid w:val="008F6B95"/>
    <w:rsid w:val="00945881"/>
    <w:rsid w:val="009478AA"/>
    <w:rsid w:val="00961782"/>
    <w:rsid w:val="009B19E4"/>
    <w:rsid w:val="009B7E38"/>
    <w:rsid w:val="00A2584C"/>
    <w:rsid w:val="00A6427E"/>
    <w:rsid w:val="00A800B1"/>
    <w:rsid w:val="00A84CD7"/>
    <w:rsid w:val="00AC4D5E"/>
    <w:rsid w:val="00B07026"/>
    <w:rsid w:val="00B35D8A"/>
    <w:rsid w:val="00B36B57"/>
    <w:rsid w:val="00B66022"/>
    <w:rsid w:val="00B90A47"/>
    <w:rsid w:val="00BF435B"/>
    <w:rsid w:val="00C0602C"/>
    <w:rsid w:val="00C36AD7"/>
    <w:rsid w:val="00CA69E5"/>
    <w:rsid w:val="00CF2F00"/>
    <w:rsid w:val="00CF3651"/>
    <w:rsid w:val="00D03731"/>
    <w:rsid w:val="00D2301B"/>
    <w:rsid w:val="00D24205"/>
    <w:rsid w:val="00D31C89"/>
    <w:rsid w:val="00D6715C"/>
    <w:rsid w:val="00DB13AB"/>
    <w:rsid w:val="00DB5AA6"/>
    <w:rsid w:val="00DC24AB"/>
    <w:rsid w:val="00DC37BB"/>
    <w:rsid w:val="00DD524B"/>
    <w:rsid w:val="00E02444"/>
    <w:rsid w:val="00E04BD9"/>
    <w:rsid w:val="00E16258"/>
    <w:rsid w:val="00E17F86"/>
    <w:rsid w:val="00E94A6E"/>
    <w:rsid w:val="00F11CDF"/>
    <w:rsid w:val="00F47311"/>
    <w:rsid w:val="00FE1DD1"/>
    <w:rsid w:val="01EC5C3E"/>
    <w:rsid w:val="01ED415F"/>
    <w:rsid w:val="04754611"/>
    <w:rsid w:val="05DB2A34"/>
    <w:rsid w:val="0B5D1371"/>
    <w:rsid w:val="132C0590"/>
    <w:rsid w:val="16610551"/>
    <w:rsid w:val="16704C38"/>
    <w:rsid w:val="17B80644"/>
    <w:rsid w:val="1BED298F"/>
    <w:rsid w:val="1CF66653"/>
    <w:rsid w:val="1D145871"/>
    <w:rsid w:val="1DB36E82"/>
    <w:rsid w:val="23132D66"/>
    <w:rsid w:val="243377FD"/>
    <w:rsid w:val="29E06A72"/>
    <w:rsid w:val="2A2B4895"/>
    <w:rsid w:val="2D046FB0"/>
    <w:rsid w:val="2DD73206"/>
    <w:rsid w:val="2DDF30B9"/>
    <w:rsid w:val="311A3B4C"/>
    <w:rsid w:val="32504871"/>
    <w:rsid w:val="331A4488"/>
    <w:rsid w:val="333746BC"/>
    <w:rsid w:val="36B90204"/>
    <w:rsid w:val="3728046D"/>
    <w:rsid w:val="373D6985"/>
    <w:rsid w:val="37991011"/>
    <w:rsid w:val="39D8484C"/>
    <w:rsid w:val="3A065152"/>
    <w:rsid w:val="3A5852CF"/>
    <w:rsid w:val="3B4A0741"/>
    <w:rsid w:val="3BA112FC"/>
    <w:rsid w:val="414B3095"/>
    <w:rsid w:val="43741014"/>
    <w:rsid w:val="49F4316D"/>
    <w:rsid w:val="4FBA3C98"/>
    <w:rsid w:val="55B7228C"/>
    <w:rsid w:val="588673C8"/>
    <w:rsid w:val="59513E7A"/>
    <w:rsid w:val="5B7325F9"/>
    <w:rsid w:val="62943029"/>
    <w:rsid w:val="67F44ACD"/>
    <w:rsid w:val="6A1137F3"/>
    <w:rsid w:val="6AB8109C"/>
    <w:rsid w:val="6AF05C13"/>
    <w:rsid w:val="6FA770D0"/>
    <w:rsid w:val="709025ED"/>
    <w:rsid w:val="74842EFD"/>
    <w:rsid w:val="765A4AF7"/>
    <w:rsid w:val="76EC563D"/>
    <w:rsid w:val="782902B3"/>
    <w:rsid w:val="79C630A1"/>
    <w:rsid w:val="7CDA34E6"/>
    <w:rsid w:val="7E553E73"/>
    <w:rsid w:val="7F4F040F"/>
    <w:rsid w:val="7F651B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spacing w:line="600" w:lineRule="exact"/>
      <w:ind w:firstLine="640"/>
      <w:outlineLvl w:val="0"/>
    </w:pPr>
    <w:rPr>
      <w:rFonts w:ascii="黑体" w:hAnsi="黑体" w:eastAsia="黑体" w:cs="宋体"/>
      <w:color w:val="000000"/>
      <w:kern w:val="0"/>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lock Text"/>
    <w:basedOn w:val="1"/>
    <w:qFormat/>
    <w:uiPriority w:val="0"/>
    <w:pPr>
      <w:spacing w:after="120"/>
      <w:ind w:left="700" w:leftChars="700" w:right="700" w:rightChars="700"/>
    </w:pPr>
  </w:style>
  <w:style w:type="paragraph" w:styleId="4">
    <w:name w:val="Normal Indent"/>
    <w:basedOn w:val="1"/>
    <w:qFormat/>
    <w:uiPriority w:val="0"/>
    <w:pPr>
      <w:ind w:firstLine="420" w:firstLineChars="200"/>
    </w:pPr>
    <w:rPr>
      <w:rFonts w:asciiTheme="minorHAnsi" w:hAnsiTheme="minorHAnsi" w:eastAsiaTheme="minorEastAsia" w:cstheme="minorBidi"/>
    </w:rPr>
  </w:style>
  <w:style w:type="paragraph" w:styleId="5">
    <w:name w:val="Body Text"/>
    <w:basedOn w:val="1"/>
    <w:link w:val="13"/>
    <w:qFormat/>
    <w:uiPriority w:val="1"/>
    <w:pPr>
      <w:ind w:left="109"/>
    </w:pPr>
    <w:rPr>
      <w:rFonts w:ascii="Arial Unicode MS" w:hAnsi="Arial Unicode MS" w:eastAsia="Arial Unicode MS" w:cs="Arial Unicode MS"/>
      <w:sz w:val="32"/>
      <w:szCs w:val="32"/>
    </w:rPr>
  </w:style>
  <w:style w:type="paragraph" w:styleId="6">
    <w:name w:val="footer"/>
    <w:basedOn w:val="1"/>
    <w:next w:val="1"/>
    <w:link w:val="11"/>
    <w:qFormat/>
    <w:uiPriority w:val="99"/>
    <w:pPr>
      <w:tabs>
        <w:tab w:val="center" w:pos="4153"/>
        <w:tab w:val="right" w:pos="8306"/>
      </w:tabs>
      <w:snapToGrid w:val="0"/>
      <w:jc w:val="left"/>
    </w:pPr>
    <w:rPr>
      <w:sz w:val="18"/>
      <w:szCs w:val="20"/>
    </w:rPr>
  </w:style>
  <w:style w:type="paragraph" w:styleId="7">
    <w:name w:val="header"/>
    <w:basedOn w:val="1"/>
    <w:link w:val="10"/>
    <w:qFormat/>
    <w:uiPriority w:val="99"/>
    <w:pPr>
      <w:pBdr>
        <w:bottom w:val="single" w:color="auto" w:sz="4" w:space="1"/>
      </w:pBdr>
      <w:tabs>
        <w:tab w:val="center" w:pos="4153"/>
        <w:tab w:val="right" w:pos="8306"/>
      </w:tabs>
      <w:snapToGrid w:val="0"/>
      <w:jc w:val="center"/>
    </w:pPr>
    <w:rPr>
      <w:sz w:val="18"/>
      <w:szCs w:val="18"/>
    </w:rPr>
  </w:style>
  <w:style w:type="character" w:customStyle="1" w:styleId="10">
    <w:name w:val="页眉 字符"/>
    <w:basedOn w:val="9"/>
    <w:link w:val="7"/>
    <w:qFormat/>
    <w:uiPriority w:val="99"/>
    <w:rPr>
      <w:kern w:val="2"/>
      <w:sz w:val="18"/>
      <w:szCs w:val="18"/>
    </w:rPr>
  </w:style>
  <w:style w:type="character" w:customStyle="1" w:styleId="11">
    <w:name w:val="页脚 字符"/>
    <w:basedOn w:val="9"/>
    <w:link w:val="6"/>
    <w:qFormat/>
    <w:uiPriority w:val="99"/>
    <w:rPr>
      <w:kern w:val="2"/>
      <w:sz w:val="18"/>
    </w:rPr>
  </w:style>
  <w:style w:type="character" w:customStyle="1" w:styleId="12">
    <w:name w:val="font11"/>
    <w:basedOn w:val="9"/>
    <w:qFormat/>
    <w:uiPriority w:val="0"/>
    <w:rPr>
      <w:rFonts w:hint="eastAsia" w:ascii="宋体" w:hAnsi="宋体" w:eastAsia="宋体" w:cs="宋体"/>
      <w:color w:val="000000"/>
      <w:sz w:val="18"/>
      <w:szCs w:val="18"/>
      <w:u w:val="none"/>
    </w:rPr>
  </w:style>
  <w:style w:type="character" w:customStyle="1" w:styleId="13">
    <w:name w:val="正文文本 字符"/>
    <w:basedOn w:val="9"/>
    <w:link w:val="5"/>
    <w:qFormat/>
    <w:uiPriority w:val="1"/>
    <w:rPr>
      <w:rFonts w:ascii="Arial Unicode MS" w:hAnsi="Arial Unicode MS" w:eastAsia="Arial Unicode MS" w:cs="Arial Unicode MS"/>
      <w:kern w:val="2"/>
      <w:sz w:val="32"/>
      <w:szCs w:val="32"/>
    </w:rPr>
  </w:style>
  <w:style w:type="character" w:customStyle="1" w:styleId="14">
    <w:name w:val="font31"/>
    <w:basedOn w:val="9"/>
    <w:qFormat/>
    <w:uiPriority w:val="0"/>
    <w:rPr>
      <w:rFonts w:hint="eastAsia" w:ascii="宋体" w:hAnsi="宋体" w:eastAsia="宋体" w:cs="宋体"/>
      <w:color w:val="000000"/>
      <w:sz w:val="20"/>
      <w:szCs w:val="20"/>
      <w:u w:val="none"/>
    </w:rPr>
  </w:style>
  <w:style w:type="character" w:customStyle="1" w:styleId="15">
    <w:name w:val="font21"/>
    <w:basedOn w:val="9"/>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5516</Words>
  <Characters>5780</Characters>
  <Lines>57</Lines>
  <Paragraphs>16</Paragraphs>
  <TotalTime>716</TotalTime>
  <ScaleCrop>false</ScaleCrop>
  <LinksUpToDate>false</LinksUpToDate>
  <CharactersWithSpaces>5794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2023-05-07T04:49:00Z</dcterms:created>
  <dc:creator>jscxw</dc:creator>
  <cp:lastModifiedBy>毛雅新</cp:lastModifiedBy>
  <cp:lastPrinted>2025-08-25T07:43:00Z</cp:lastPrinted>
  <dcterms:modified xsi:type="dcterms:W3CDTF">2025-08-25T07:53:31Z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CB880C7629894C57986C623B075C9A8B_13</vt:lpwstr>
  </property>
  <property fmtid="{D5CDD505-2E9C-101B-9397-08002B2CF9AE}" pid="4" name="KSOTemplateDocerSaveRecord">
    <vt:lpwstr>eyJoZGlkIjoiZTc4MTQxYzU5YjQwMTdmNWQxNmMzYzFkZDBlYjUwMmYiLCJ1c2VySWQiOiIyNDA5NTgyODQifQ==</vt:lpwstr>
  </property>
</Properties>
</file>