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6E989F">
      <w:pPr>
        <w:keepNext w:val="0"/>
        <w:keepLines w:val="0"/>
        <w:pageBreakBefore w:val="0"/>
        <w:widowControl/>
        <w:suppressLineNumbers w:val="0"/>
        <w:kinsoku/>
        <w:wordWrap/>
        <w:overflowPunct/>
        <w:topLinePunct w:val="0"/>
        <w:autoSpaceDE/>
        <w:autoSpaceDN/>
        <w:bidi w:val="0"/>
        <w:adjustRightInd/>
        <w:spacing w:line="560" w:lineRule="exact"/>
        <w:ind w:left="0" w:leftChars="0" w:firstLine="880" w:firstLineChars="200"/>
        <w:jc w:val="center"/>
        <w:textAlignment w:val="auto"/>
        <w:rPr>
          <w:rFonts w:ascii="方正小标宋简体" w:hAnsi="方正小标宋简体" w:eastAsia="方正小标宋简体" w:cs="方正小标宋简体"/>
          <w:color w:val="000000"/>
          <w:kern w:val="0"/>
          <w:sz w:val="44"/>
          <w:szCs w:val="44"/>
          <w:lang w:val="en-US" w:eastAsia="zh-CN" w:bidi="ar"/>
        </w:rPr>
      </w:pPr>
      <w:r>
        <w:rPr>
          <w:rFonts w:ascii="方正小标宋简体" w:hAnsi="方正小标宋简体" w:eastAsia="方正小标宋简体" w:cs="方正小标宋简体"/>
          <w:color w:val="000000"/>
          <w:kern w:val="0"/>
          <w:sz w:val="44"/>
          <w:szCs w:val="44"/>
          <w:lang w:val="en-US" w:eastAsia="zh-CN" w:bidi="ar"/>
        </w:rPr>
        <w:t>部门整体绩效报告</w:t>
      </w:r>
    </w:p>
    <w:p w14:paraId="50FCEDB0">
      <w:pPr>
        <w:pStyle w:val="2"/>
        <w:keepNext w:val="0"/>
        <w:keepLines w:val="0"/>
        <w:pageBreakBefore w:val="0"/>
        <w:kinsoku/>
        <w:wordWrap/>
        <w:overflowPunct/>
        <w:topLinePunct w:val="0"/>
        <w:autoSpaceDE/>
        <w:autoSpaceDN/>
        <w:bidi w:val="0"/>
        <w:adjustRightInd/>
        <w:spacing w:line="560" w:lineRule="exact"/>
        <w:ind w:left="0" w:leftChars="0" w:firstLine="420" w:firstLineChars="200"/>
        <w:textAlignment w:val="auto"/>
      </w:pPr>
    </w:p>
    <w:p w14:paraId="094ACEDD">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20" w:firstLineChars="200"/>
        <w:textAlignment w:val="auto"/>
      </w:pPr>
      <w:r>
        <w:rPr>
          <w:rFonts w:ascii="CESI黑体-GB2312" w:hAnsi="CESI黑体-GB2312" w:eastAsia="CESI黑体-GB2312" w:cs="CESI黑体-GB2312"/>
          <w:color w:val="000000"/>
          <w:sz w:val="31"/>
          <w:szCs w:val="31"/>
        </w:rPr>
        <w:t>一、部门概况</w:t>
      </w:r>
    </w:p>
    <w:p w14:paraId="6045EBAC">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40" w:firstLineChars="200"/>
        <w:textAlignment w:val="auto"/>
        <w:rPr>
          <w:rFonts w:hint="eastAsia" w:ascii="楷体_GB2312" w:eastAsia="楷体_GB2312" w:cs="楷体_GB2312"/>
          <w:color w:val="000000"/>
          <w:sz w:val="32"/>
          <w:szCs w:val="32"/>
        </w:rPr>
      </w:pPr>
      <w:r>
        <w:rPr>
          <w:rFonts w:hint="eastAsia" w:ascii="楷体_GB2312" w:eastAsia="楷体_GB2312" w:cs="楷体_GB2312"/>
          <w:color w:val="000000"/>
          <w:sz w:val="32"/>
          <w:szCs w:val="32"/>
        </w:rPr>
        <w:t>（一）机构设置及职责工作任务情况</w:t>
      </w:r>
    </w:p>
    <w:p w14:paraId="0DF3CB58">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北京大兴国际机场临空经济区联合管理委员会（本级）是北京市政府、河北省政府共同派出机构，是大兴机场临空经济区京冀联合工作领导小组的办事机构，为正局级单位。</w:t>
      </w:r>
    </w:p>
    <w:p w14:paraId="68B1776A">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主要职责为：</w:t>
      </w:r>
    </w:p>
    <w:p w14:paraId="0795EFC8">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（1）负责统筹北京大兴国际机场临空经济区（以下简称临空经济区）发展战略和年度计划，协调临空经济区总体规划和相关专项规划编制、总体管控区管控方案制定以及跨区域基础设施建设。</w:t>
      </w:r>
    </w:p>
    <w:p w14:paraId="74D7D087">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（2）负责统筹临空经济区的产业准入标准及相关政策，协调推动临空经济区规划确定的重点产业和产业空间布局、临空经济区财税等利益共享分配机制的落实。</w:t>
      </w:r>
    </w:p>
    <w:p w14:paraId="4238C4BE">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（3）负责指导、协调临空经济区大兴、廊坊片区的建设管理工作。</w:t>
      </w:r>
    </w:p>
    <w:p w14:paraId="7553951C">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（4）负责与国家有关部委的对接、联络，为临空经济区争取政策、资金、项目等方面的支持。</w:t>
      </w:r>
    </w:p>
    <w:p w14:paraId="7AB6FA8E">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（5）承担北京大兴国际机场临空经济区京冀联合工作领导小组的日常工作，督促落实北京大兴国际机场临空经济区京冀联合工作领导小组议定事项，协调解决工作中遇到的重大问题。</w:t>
      </w:r>
    </w:p>
    <w:p w14:paraId="75CC9FE5">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（6）负责组织推进北京大兴国际机场综合保税区规划建设、产业发展和运行管理等工作，拟订有关规划、计划并组织实施，协调解决工作中遇到的有关问题。</w:t>
      </w:r>
    </w:p>
    <w:p w14:paraId="77F90A24">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（7）完成北京市委、市政府以及河北省委、省政府交办的其他任务。</w:t>
      </w:r>
    </w:p>
    <w:p w14:paraId="42334196">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40" w:firstLineChars="200"/>
        <w:textAlignment w:val="auto"/>
        <w:rPr>
          <w:rFonts w:hint="eastAsia" w:ascii="楷体_GB2312" w:eastAsia="楷体_GB2312" w:cs="楷体_GB2312"/>
          <w:color w:val="000000"/>
          <w:sz w:val="32"/>
          <w:szCs w:val="32"/>
        </w:rPr>
      </w:pPr>
      <w:r>
        <w:rPr>
          <w:rFonts w:hint="eastAsia" w:ascii="楷体_GB2312" w:eastAsia="楷体_GB2312" w:cs="楷体_GB2312"/>
          <w:color w:val="000000"/>
          <w:sz w:val="32"/>
          <w:szCs w:val="32"/>
        </w:rPr>
        <w:t>（二）部门整体绩效目标设立情况</w:t>
      </w:r>
    </w:p>
    <w:p w14:paraId="7E1B5A86">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联合管委会的绩效目标严格</w:t>
      </w:r>
      <w:r>
        <w:rPr>
          <w:rFonts w:hint="eastAsia" w:ascii="仿宋_GB2312" w:hAnsi="仿宋_GB2312" w:eastAsia="仿宋_GB2312" w:cs="仿宋_GB2312"/>
          <w:sz w:val="32"/>
          <w:szCs w:val="32"/>
          <w:lang w:val="en-US" w:eastAsia="zh-CN"/>
        </w:rPr>
        <w:t>按照三定方案规定的</w:t>
      </w:r>
      <w:r>
        <w:rPr>
          <w:rFonts w:hint="eastAsia" w:ascii="仿宋_GB2312" w:hAnsi="仿宋_GB2312" w:eastAsia="仿宋_GB2312" w:cs="仿宋_GB2312"/>
          <w:sz w:val="32"/>
          <w:szCs w:val="32"/>
        </w:rPr>
        <w:t>职责、区域发展战略要求及年度重点任务设立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作为北京市政府与河北省政府共同派出机构、京冀联合工作领导小组办事机构，</w:t>
      </w:r>
      <w:r>
        <w:rPr>
          <w:rFonts w:hint="eastAsia" w:ascii="仿宋_GB2312" w:hAnsi="仿宋_GB2312" w:eastAsia="仿宋_GB2312" w:cs="仿宋_GB2312"/>
          <w:sz w:val="32"/>
          <w:szCs w:val="32"/>
          <w:lang w:val="en-US" w:eastAsia="zh-CN"/>
        </w:rPr>
        <w:t>联合管委会</w:t>
      </w:r>
      <w:r>
        <w:rPr>
          <w:rFonts w:hint="eastAsia" w:ascii="仿宋_GB2312" w:hAnsi="仿宋_GB2312" w:eastAsia="仿宋_GB2312" w:cs="仿宋_GB2312"/>
          <w:sz w:val="32"/>
          <w:szCs w:val="32"/>
        </w:rPr>
        <w:t>承担包括统筹临空经济区发展战略与规划编制、协调产业准入与财税利益共享机制、指导片区建设管理、对接国家部委争取支持、落实领导小组议定事项、推进综合保税区建设运行等</w:t>
      </w:r>
      <w:r>
        <w:rPr>
          <w:rFonts w:hint="eastAsia" w:ascii="仿宋_GB2312" w:hAnsi="仿宋_GB2312" w:eastAsia="仿宋_GB2312" w:cs="仿宋_GB2312"/>
          <w:sz w:val="32"/>
          <w:szCs w:val="32"/>
          <w:lang w:val="en-US" w:eastAsia="zh-CN"/>
        </w:rPr>
        <w:t>职责</w:t>
      </w:r>
      <w:r>
        <w:rPr>
          <w:rFonts w:hint="eastAsia" w:ascii="仿宋_GB2312" w:hAnsi="仿宋_GB2312" w:eastAsia="仿宋_GB2312" w:cs="仿宋_GB2312"/>
          <w:sz w:val="32"/>
          <w:szCs w:val="32"/>
        </w:rPr>
        <w:t>。这些职责构成了绩效目标的核心框架，确保目标紧密围绕机构职能展开。2024年绩效目标以京冀两省市党委、政府工作部署及京津冀党政主要领导座谈会精神为指引，聚焦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大兴机场临空经济区一体化高质量发展”核心目标，重点推动规划建设统筹、政策协同创新、产业协同发展、体制机制完善等任务</w:t>
      </w:r>
      <w:r>
        <w:rPr>
          <w:rFonts w:hint="eastAsia" w:ascii="仿宋_GB2312" w:hAnsi="仿宋_GB2312" w:eastAsia="仿宋_GB2312" w:cs="仿宋_GB2312"/>
          <w:sz w:val="32"/>
          <w:szCs w:val="32"/>
          <w:lang w:eastAsia="zh-CN"/>
        </w:rPr>
        <w:t>。</w:t>
      </w:r>
    </w:p>
    <w:p w14:paraId="0C645E7C">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仿宋_GB2312" w:eastAsia="仿宋_GB2312" w:cs="仿宋_GB2312"/>
          <w:kern w:val="0"/>
          <w:sz w:val="32"/>
          <w:szCs w:val="32"/>
          <w:lang w:val="en-US" w:eastAsia="zh-CN" w:bidi="ar"/>
        </w:rPr>
      </w:pPr>
      <w:r>
        <w:rPr>
          <w:rFonts w:ascii="仿宋_GB2312" w:hAnsi="仿宋_GB2312" w:eastAsia="仿宋_GB2312" w:cs="仿宋_GB2312"/>
          <w:kern w:val="0"/>
          <w:sz w:val="32"/>
          <w:szCs w:val="32"/>
          <w:lang w:bidi="ar"/>
        </w:rPr>
        <w:t>整体绩效目标与联合管委会的职责紧密相连，各项具体任务均与</w:t>
      </w:r>
      <w:r>
        <w:rPr>
          <w:rFonts w:hint="eastAsia" w:ascii="仿宋_GB2312" w:hAnsi="仿宋_GB2312" w:eastAsia="仿宋_GB2312" w:cs="仿宋_GB2312"/>
          <w:kern w:val="0"/>
          <w:sz w:val="32"/>
          <w:szCs w:val="32"/>
          <w:lang w:val="en-US" w:eastAsia="zh-CN" w:bidi="ar"/>
        </w:rPr>
        <w:t>职责任务相匹配</w:t>
      </w:r>
      <w:r>
        <w:rPr>
          <w:rFonts w:ascii="仿宋_GB2312" w:hAnsi="仿宋_GB2312" w:eastAsia="仿宋_GB2312" w:cs="仿宋_GB2312"/>
          <w:kern w:val="0"/>
          <w:sz w:val="32"/>
          <w:szCs w:val="32"/>
          <w:lang w:bidi="ar"/>
        </w:rPr>
        <w:t>。</w:t>
      </w:r>
    </w:p>
    <w:p w14:paraId="632DD034">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20" w:firstLineChars="200"/>
        <w:textAlignment w:val="auto"/>
      </w:pPr>
      <w:r>
        <w:rPr>
          <w:rFonts w:hint="default" w:ascii="CESI黑体-GB2312" w:hAnsi="CESI黑体-GB2312" w:eastAsia="CESI黑体-GB2312" w:cs="CESI黑体-GB2312"/>
          <w:color w:val="000000"/>
          <w:sz w:val="31"/>
          <w:szCs w:val="31"/>
        </w:rPr>
        <w:t>二、当年预算执行情况</w:t>
      </w:r>
    </w:p>
    <w:p w14:paraId="406A6F24">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20" w:firstLineChars="200"/>
        <w:jc w:val="both"/>
        <w:textAlignment w:val="auto"/>
      </w:pPr>
      <w:r>
        <w:rPr>
          <w:rFonts w:ascii="仿宋_GB2312" w:eastAsia="仿宋_GB2312" w:cs="仿宋_GB2312"/>
          <w:color w:val="000000"/>
          <w:sz w:val="31"/>
          <w:szCs w:val="31"/>
        </w:rPr>
        <w:t>2024年全年预算数</w:t>
      </w:r>
      <w:r>
        <w:rPr>
          <w:rFonts w:hint="eastAsia" w:ascii="仿宋_GB2312" w:eastAsia="仿宋_GB2312" w:cs="仿宋_GB2312"/>
          <w:color w:val="000000"/>
          <w:sz w:val="31"/>
          <w:szCs w:val="31"/>
        </w:rPr>
        <w:t>3465.0</w:t>
      </w:r>
      <w:r>
        <w:rPr>
          <w:rFonts w:hint="eastAsia" w:ascii="仿宋_GB2312" w:eastAsia="仿宋_GB2312" w:cs="仿宋_GB2312"/>
          <w:color w:val="000000"/>
          <w:sz w:val="31"/>
          <w:szCs w:val="31"/>
          <w:lang w:val="en-US" w:eastAsia="zh-CN"/>
        </w:rPr>
        <w:t>4</w:t>
      </w:r>
      <w:r>
        <w:rPr>
          <w:rFonts w:ascii="仿宋_GB2312" w:eastAsia="仿宋_GB2312" w:cs="仿宋_GB2312"/>
          <w:color w:val="000000"/>
          <w:sz w:val="31"/>
          <w:szCs w:val="31"/>
        </w:rPr>
        <w:t>万元，其中，基本支出预算数</w:t>
      </w:r>
      <w:r>
        <w:rPr>
          <w:rFonts w:hint="eastAsia" w:ascii="仿宋_GB2312" w:eastAsia="仿宋_GB2312" w:cs="仿宋_GB2312"/>
          <w:color w:val="000000"/>
          <w:sz w:val="31"/>
          <w:szCs w:val="31"/>
        </w:rPr>
        <w:t>2101.36</w:t>
      </w:r>
      <w:r>
        <w:rPr>
          <w:rFonts w:ascii="仿宋_GB2312" w:eastAsia="仿宋_GB2312" w:cs="仿宋_GB2312"/>
          <w:color w:val="000000"/>
          <w:sz w:val="31"/>
          <w:szCs w:val="31"/>
        </w:rPr>
        <w:t>万</w:t>
      </w:r>
      <w:r>
        <w:rPr>
          <w:rFonts w:hint="eastAsia" w:ascii="仿宋_GB2312" w:eastAsia="仿宋_GB2312" w:cs="仿宋_GB2312"/>
          <w:color w:val="000000"/>
          <w:sz w:val="31"/>
          <w:szCs w:val="31"/>
        </w:rPr>
        <w:t>元，项目支出预算数1363.6</w:t>
      </w:r>
      <w:r>
        <w:rPr>
          <w:rFonts w:hint="eastAsia" w:ascii="仿宋_GB2312" w:eastAsia="仿宋_GB2312" w:cs="仿宋_GB2312"/>
          <w:color w:val="000000"/>
          <w:sz w:val="31"/>
          <w:szCs w:val="31"/>
          <w:lang w:val="en-US" w:eastAsia="zh-CN"/>
        </w:rPr>
        <w:t>8</w:t>
      </w:r>
      <w:r>
        <w:rPr>
          <w:rFonts w:hint="eastAsia" w:ascii="仿宋_GB2312" w:eastAsia="仿宋_GB2312" w:cs="仿宋_GB2312"/>
          <w:color w:val="000000"/>
          <w:sz w:val="31"/>
          <w:szCs w:val="31"/>
        </w:rPr>
        <w:t>万元。全年支出2646.55万元，其中，基本支出1622.99万元，项目支出1023.56万元。预算执行率为</w:t>
      </w:r>
      <w:r>
        <w:rPr>
          <w:rFonts w:hint="eastAsia" w:ascii="仿宋_GB2312" w:eastAsia="仿宋_GB2312" w:cs="仿宋_GB2312"/>
          <w:color w:val="000000"/>
          <w:sz w:val="31"/>
          <w:szCs w:val="31"/>
          <w:lang w:val="en-US" w:eastAsia="zh-CN"/>
        </w:rPr>
        <w:t>76.38%</w:t>
      </w:r>
      <w:r>
        <w:rPr>
          <w:rFonts w:hint="eastAsia" w:ascii="仿宋_GB2312" w:eastAsia="仿宋_GB2312" w:cs="仿宋_GB2312"/>
          <w:color w:val="000000"/>
          <w:sz w:val="31"/>
          <w:szCs w:val="31"/>
        </w:rPr>
        <w:t>。</w:t>
      </w:r>
    </w:p>
    <w:p w14:paraId="777886EB">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20" w:firstLineChars="200"/>
        <w:textAlignment w:val="auto"/>
      </w:pPr>
      <w:r>
        <w:rPr>
          <w:rFonts w:hint="default" w:ascii="CESI黑体-GB2312" w:hAnsi="CESI黑体-GB2312" w:eastAsia="CESI黑体-GB2312" w:cs="CESI黑体-GB2312"/>
          <w:color w:val="000000"/>
          <w:sz w:val="31"/>
          <w:szCs w:val="31"/>
        </w:rPr>
        <w:t>三、整体绩效目标实现情况</w:t>
      </w:r>
    </w:p>
    <w:p w14:paraId="1F855BC7">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20" w:firstLineChars="200"/>
        <w:jc w:val="both"/>
        <w:textAlignment w:val="auto"/>
        <w:rPr>
          <w:rFonts w:hint="eastAsia" w:ascii="仿宋_GB2312" w:eastAsia="仿宋_GB2312" w:cs="仿宋_GB2312"/>
          <w:color w:val="000000"/>
          <w:sz w:val="31"/>
          <w:szCs w:val="31"/>
        </w:rPr>
      </w:pPr>
      <w:r>
        <w:rPr>
          <w:rFonts w:hint="eastAsia" w:ascii="仿宋_GB2312" w:eastAsia="仿宋_GB2312" w:cs="仿宋_GB2312"/>
          <w:color w:val="000000"/>
          <w:sz w:val="31"/>
          <w:szCs w:val="31"/>
        </w:rPr>
        <w:t>2024年，联合管委会坚持以习近平新时代中国特色社会主义思想为指导，全面贯彻落实党的二十大和二十届二中、三中全会精神，认真学习领会习近平总书记在深入推进京津冀协同发展座谈会上的重要讲话精神，在京冀两省市党委政府坚强领导下，聚焦临空经济区一体化高质量发展，积极履职，主动作为，团结奋斗，推动区域建设发展取得新进展新成效。</w:t>
      </w:r>
    </w:p>
    <w:p w14:paraId="5640C01B">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20" w:firstLineChars="200"/>
        <w:textAlignment w:val="auto"/>
      </w:pPr>
      <w:r>
        <w:rPr>
          <w:rFonts w:hint="eastAsia" w:ascii="楷体_GB2312" w:eastAsia="楷体_GB2312" w:cs="楷体_GB2312"/>
          <w:color w:val="000000"/>
          <w:sz w:val="31"/>
          <w:szCs w:val="31"/>
        </w:rPr>
        <w:t>（一）产出完成情况分析</w:t>
      </w:r>
    </w:p>
    <w:p w14:paraId="6F643C35">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20" w:firstLineChars="200"/>
        <w:jc w:val="both"/>
        <w:textAlignment w:val="auto"/>
      </w:pPr>
      <w:r>
        <w:rPr>
          <w:rFonts w:hint="eastAsia" w:ascii="仿宋_GB2312" w:eastAsia="仿宋_GB2312" w:cs="仿宋_GB2312"/>
          <w:color w:val="000000"/>
          <w:sz w:val="31"/>
          <w:szCs w:val="31"/>
        </w:rPr>
        <w:t>1.产出数量</w:t>
      </w:r>
    </w:p>
    <w:p w14:paraId="5A535D79">
      <w:pPr>
        <w:keepNext w:val="0"/>
        <w:keepLines w:val="0"/>
        <w:pageBreakBefore w:val="0"/>
        <w:widowControl w:val="0"/>
        <w:kinsoku/>
        <w:wordWrap/>
        <w:overflowPunct/>
        <w:topLinePunct w:val="0"/>
        <w:autoSpaceDE/>
        <w:autoSpaceDN/>
        <w:bidi w:val="0"/>
        <w:adjustRightInd/>
        <w:spacing w:line="560" w:lineRule="exact"/>
        <w:ind w:left="0" w:leftChars="0" w:firstLine="620" w:firstLineChars="200"/>
        <w:jc w:val="both"/>
        <w:textAlignment w:val="auto"/>
        <w:rPr>
          <w:rFonts w:hint="eastAsia"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lang w:val="en-US" w:eastAsia="zh-CN" w:bidi="ar"/>
        </w:rPr>
        <w:t>高标准完成临空经济区总体规划五年评估，全方位、多角度评价临空经济区建设发展实施情况。印发《临空经济区总体管控区高质量协同发展与综合管控规划》以及配套实施方案，初步构建临空经济区与周边区域协同发展格局，为可持续发展预留充分空间。研究制定统一产业规划和准入标准，为构建临空经济区高端高新产业集群明确了方向。印发实施综保区产业项目准入指引，建立项目备案机制，实现综保区产业要素协调发展。编制印发《北京大兴国际机场临空经济区统一考核方案（试行）》，牵头两片区管委会，组建统一考核工作组，统一考核标准，对两片区工作业绩进行考核。出台医药通关便利化举措。积极协调北京海关、北京市药监局，共同签署合作备忘录，建立跨部门合作机制，推出药品口岸检疫、保税监管等15条措施，极大提升医药产品进出口便利化水平。</w:t>
      </w:r>
    </w:p>
    <w:p w14:paraId="58E27421">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20" w:firstLineChars="200"/>
        <w:jc w:val="both"/>
        <w:textAlignment w:val="auto"/>
      </w:pPr>
      <w:r>
        <w:rPr>
          <w:rFonts w:hint="eastAsia" w:ascii="仿宋_GB2312" w:eastAsia="仿宋_GB2312" w:cs="仿宋_GB2312"/>
          <w:color w:val="000000"/>
          <w:sz w:val="31"/>
          <w:szCs w:val="31"/>
        </w:rPr>
        <w:t>2.产出质量</w:t>
      </w:r>
    </w:p>
    <w:p w14:paraId="4FDB67BF">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20" w:firstLineChars="200"/>
        <w:jc w:val="both"/>
        <w:textAlignment w:val="auto"/>
        <w:rPr>
          <w:rFonts w:hint="eastAsia" w:ascii="仿宋_GB2312" w:eastAsia="仿宋_GB2312" w:cs="仿宋_GB2312"/>
          <w:color w:val="000000"/>
          <w:sz w:val="31"/>
          <w:szCs w:val="31"/>
        </w:rPr>
      </w:pPr>
      <w:r>
        <w:rPr>
          <w:rFonts w:hint="eastAsia" w:ascii="仿宋_GB2312" w:eastAsia="仿宋_GB2312" w:cs="仿宋_GB2312"/>
          <w:color w:val="000000"/>
          <w:sz w:val="31"/>
          <w:szCs w:val="31"/>
        </w:rPr>
        <w:t>202</w:t>
      </w:r>
      <w:r>
        <w:rPr>
          <w:rFonts w:hint="eastAsia" w:ascii="仿宋_GB2312" w:eastAsia="仿宋_GB2312" w:cs="仿宋_GB2312"/>
          <w:color w:val="000000"/>
          <w:sz w:val="31"/>
          <w:szCs w:val="31"/>
          <w:lang w:val="en-US" w:eastAsia="zh-CN"/>
        </w:rPr>
        <w:t>4</w:t>
      </w:r>
      <w:r>
        <w:rPr>
          <w:rFonts w:hint="eastAsia" w:ascii="仿宋_GB2312" w:eastAsia="仿宋_GB2312" w:cs="仿宋_GB2312"/>
          <w:color w:val="000000"/>
          <w:sz w:val="31"/>
          <w:szCs w:val="31"/>
        </w:rPr>
        <w:t>年，</w:t>
      </w:r>
      <w:r>
        <w:rPr>
          <w:rFonts w:hint="eastAsia" w:ascii="仿宋_GB2312" w:eastAsia="仿宋_GB2312" w:cs="仿宋_GB2312"/>
          <w:color w:val="000000"/>
          <w:sz w:val="31"/>
          <w:szCs w:val="31"/>
          <w:lang w:val="en-US" w:eastAsia="zh-CN"/>
        </w:rPr>
        <w:t>联合管委会</w:t>
      </w:r>
      <w:r>
        <w:rPr>
          <w:rFonts w:hint="eastAsia" w:ascii="仿宋_GB2312" w:eastAsia="仿宋_GB2312" w:cs="仿宋_GB2312"/>
          <w:color w:val="000000"/>
          <w:sz w:val="31"/>
          <w:szCs w:val="31"/>
        </w:rPr>
        <w:t>围绕临空经济区改革开放重点任务开展各项工作</w:t>
      </w:r>
      <w:r>
        <w:rPr>
          <w:rFonts w:hint="eastAsia" w:ascii="仿宋_GB2312" w:eastAsia="仿宋_GB2312" w:cs="仿宋_GB2312"/>
          <w:color w:val="000000"/>
          <w:sz w:val="31"/>
          <w:szCs w:val="31"/>
          <w:lang w:eastAsia="zh-CN"/>
        </w:rPr>
        <w:t>，</w:t>
      </w:r>
      <w:r>
        <w:rPr>
          <w:rFonts w:hint="eastAsia" w:ascii="仿宋_GB2312" w:eastAsia="仿宋_GB2312" w:cs="仿宋_GB2312"/>
          <w:color w:val="000000"/>
          <w:sz w:val="31"/>
          <w:szCs w:val="31"/>
        </w:rPr>
        <w:t>整体上产出质量较好。具体表现为：</w:t>
      </w:r>
      <w:r>
        <w:rPr>
          <w:rFonts w:hint="eastAsia" w:ascii="仿宋_GB2312" w:eastAsia="仿宋_GB2312" w:cs="仿宋_GB2312"/>
          <w:color w:val="000000"/>
          <w:sz w:val="31"/>
          <w:szCs w:val="31"/>
          <w:lang w:val="en-US" w:eastAsia="zh-CN"/>
        </w:rPr>
        <w:t>一是</w:t>
      </w:r>
      <w:r>
        <w:rPr>
          <w:rFonts w:hint="eastAsia" w:ascii="仿宋_GB2312" w:eastAsia="仿宋_GB2312" w:cs="仿宋_GB2312"/>
          <w:color w:val="000000"/>
          <w:sz w:val="31"/>
          <w:szCs w:val="31"/>
        </w:rPr>
        <w:t>首次参与全国综保区发展绩效评估并进入B类。2024年实现进出口总值98.9亿元，在全国160个有统计数据的综保区中排名第89位，较上年提升50位，排名增幅位居全国首位。实现保税进出口值约84.86亿元，同比增长7倍。</w:t>
      </w:r>
      <w:r>
        <w:rPr>
          <w:rFonts w:hint="eastAsia" w:ascii="仿宋_GB2312" w:eastAsia="仿宋_GB2312" w:cs="仿宋_GB2312"/>
          <w:color w:val="000000"/>
          <w:sz w:val="31"/>
          <w:szCs w:val="31"/>
          <w:lang w:val="en-US" w:eastAsia="zh-CN"/>
        </w:rPr>
        <w:t>二是</w:t>
      </w:r>
      <w:r>
        <w:rPr>
          <w:rFonts w:hint="eastAsia" w:ascii="仿宋_GB2312" w:eastAsia="仿宋_GB2312" w:cs="仿宋_GB2312"/>
          <w:color w:val="000000"/>
          <w:sz w:val="31"/>
          <w:szCs w:val="31"/>
        </w:rPr>
        <w:t>综保区二期于12月顺利通过验收并获海关总署批复，实现全国唯一跨省综保区全域封关运行。连接综保区与机场口岸的区港联络通道全面建成，正式投用后可大幅提高进出机场货物通关效率。</w:t>
      </w:r>
      <w:r>
        <w:rPr>
          <w:rFonts w:hint="eastAsia" w:ascii="仿宋_GB2312" w:eastAsia="仿宋_GB2312" w:cs="仿宋_GB2312"/>
          <w:color w:val="000000"/>
          <w:sz w:val="31"/>
          <w:szCs w:val="31"/>
          <w:lang w:val="en-US" w:eastAsia="zh-CN"/>
        </w:rPr>
        <w:t>三是</w:t>
      </w:r>
      <w:r>
        <w:rPr>
          <w:rFonts w:hint="eastAsia" w:ascii="仿宋_GB2312" w:eastAsia="仿宋_GB2312" w:cs="仿宋_GB2312"/>
          <w:color w:val="000000"/>
          <w:sz w:val="31"/>
          <w:szCs w:val="31"/>
        </w:rPr>
        <w:t>“构建以信用为基础的新型政务服务体系”等4项改革创新实践案例列入北京市复制推广范围，4项制度创新案例列入河北省复制推广范围。</w:t>
      </w:r>
      <w:r>
        <w:rPr>
          <w:rFonts w:hint="eastAsia" w:ascii="仿宋_GB2312" w:eastAsia="仿宋_GB2312" w:cs="仿宋_GB2312"/>
          <w:color w:val="000000"/>
          <w:sz w:val="31"/>
          <w:szCs w:val="31"/>
          <w:lang w:val="en-US" w:eastAsia="zh-CN"/>
        </w:rPr>
        <w:t>四是</w:t>
      </w:r>
      <w:r>
        <w:rPr>
          <w:rFonts w:hint="eastAsia" w:ascii="仿宋_GB2312" w:eastAsia="仿宋_GB2312" w:cs="仿宋_GB2312"/>
          <w:color w:val="000000"/>
          <w:sz w:val="31"/>
          <w:szCs w:val="31"/>
        </w:rPr>
        <w:t>京冀两省市首家利用保税政策开展创新药研发企业入驻综保区，区内首家医疗器械保税加工企业投产、首个仓储式国际工业品展示交易中心投用。开通北京地区首家9610跨境电商直邮出口模式，“保税+培训”“保税+研发”“保税+展览展示”等新业态、新场景陆续落地。</w:t>
      </w:r>
    </w:p>
    <w:p w14:paraId="73BF163E">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20" w:firstLineChars="200"/>
        <w:jc w:val="both"/>
        <w:textAlignment w:val="auto"/>
      </w:pPr>
      <w:r>
        <w:rPr>
          <w:rFonts w:hint="eastAsia" w:ascii="仿宋_GB2312" w:eastAsia="仿宋_GB2312" w:cs="仿宋_GB2312"/>
          <w:color w:val="000000"/>
          <w:sz w:val="31"/>
          <w:szCs w:val="31"/>
        </w:rPr>
        <w:t>3.产出进度</w:t>
      </w:r>
    </w:p>
    <w:p w14:paraId="6707E442">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20" w:firstLineChars="200"/>
        <w:jc w:val="both"/>
        <w:textAlignment w:val="auto"/>
        <w:rPr>
          <w:rFonts w:hint="eastAsia" w:ascii="仿宋_GB2312" w:eastAsia="仿宋_GB2312" w:cs="仿宋_GB2312"/>
          <w:color w:val="000000"/>
          <w:sz w:val="31"/>
          <w:szCs w:val="31"/>
        </w:rPr>
      </w:pPr>
      <w:r>
        <w:rPr>
          <w:rFonts w:hint="eastAsia" w:ascii="仿宋_GB2312" w:eastAsia="仿宋_GB2312" w:cs="仿宋_GB2312"/>
          <w:color w:val="000000"/>
          <w:sz w:val="31"/>
          <w:szCs w:val="31"/>
        </w:rPr>
        <w:t>根据部门整体目标产出完成情况分析，</w:t>
      </w:r>
      <w:r>
        <w:rPr>
          <w:rFonts w:hint="eastAsia" w:ascii="仿宋_GB2312" w:eastAsia="仿宋_GB2312" w:cs="仿宋_GB2312"/>
          <w:color w:val="000000"/>
          <w:sz w:val="31"/>
          <w:szCs w:val="31"/>
          <w:lang w:val="en-US" w:eastAsia="zh-CN"/>
        </w:rPr>
        <w:t>联合管委会</w:t>
      </w:r>
      <w:r>
        <w:rPr>
          <w:rFonts w:hint="eastAsia" w:ascii="仿宋_GB2312" w:eastAsia="仿宋_GB2312" w:cs="仿宋_GB2312"/>
          <w:color w:val="000000"/>
          <w:sz w:val="31"/>
          <w:szCs w:val="31"/>
        </w:rPr>
        <w:t>有序开展</w:t>
      </w:r>
      <w:r>
        <w:rPr>
          <w:rFonts w:hint="eastAsia" w:ascii="仿宋_GB2312" w:eastAsia="仿宋_GB2312" w:cs="仿宋_GB2312"/>
          <w:color w:val="000000"/>
          <w:sz w:val="31"/>
          <w:szCs w:val="31"/>
          <w:lang w:val="en-US" w:eastAsia="zh-CN"/>
        </w:rPr>
        <w:t>对</w:t>
      </w:r>
      <w:r>
        <w:rPr>
          <w:rFonts w:hint="eastAsia" w:ascii="仿宋_GB2312" w:eastAsia="仿宋_GB2312" w:cs="仿宋_GB2312"/>
          <w:color w:val="000000"/>
          <w:sz w:val="31"/>
          <w:szCs w:val="31"/>
        </w:rPr>
        <w:t>临空经济区总体规划</w:t>
      </w:r>
      <w:r>
        <w:rPr>
          <w:rFonts w:hint="eastAsia" w:ascii="仿宋_GB2312" w:eastAsia="仿宋_GB2312" w:cs="仿宋_GB2312"/>
          <w:color w:val="000000"/>
          <w:sz w:val="31"/>
          <w:szCs w:val="31"/>
          <w:lang w:val="en-US" w:eastAsia="zh-CN"/>
        </w:rPr>
        <w:t>的</w:t>
      </w:r>
      <w:r>
        <w:rPr>
          <w:rFonts w:hint="eastAsia" w:ascii="仿宋_GB2312" w:eastAsia="仿宋_GB2312" w:cs="仿宋_GB2312"/>
          <w:color w:val="000000"/>
          <w:sz w:val="31"/>
          <w:szCs w:val="31"/>
        </w:rPr>
        <w:t>五年评估</w:t>
      </w:r>
      <w:r>
        <w:rPr>
          <w:rFonts w:hint="eastAsia" w:ascii="仿宋_GB2312" w:eastAsia="仿宋_GB2312" w:cs="仿宋_GB2312"/>
          <w:color w:val="000000"/>
          <w:sz w:val="31"/>
          <w:szCs w:val="31"/>
          <w:lang w:eastAsia="zh-CN"/>
        </w:rPr>
        <w:t>、研究平台公司组建路径、编制印发《北京大兴国际机场临空经济区统一考核方案（试行）》、出台医药通关便利化举措、综保区落位多项政策试点</w:t>
      </w:r>
      <w:r>
        <w:rPr>
          <w:rFonts w:hint="eastAsia" w:ascii="仿宋_GB2312" w:eastAsia="仿宋_GB2312" w:cs="仿宋_GB2312"/>
          <w:color w:val="000000"/>
          <w:sz w:val="31"/>
          <w:szCs w:val="31"/>
        </w:rPr>
        <w:t>等方面的工作，各项工作基本能够按照计划要求完成，项目实施进度及产出时效性较好。</w:t>
      </w:r>
    </w:p>
    <w:p w14:paraId="2780CB81">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20" w:firstLineChars="200"/>
        <w:jc w:val="both"/>
        <w:textAlignment w:val="auto"/>
        <w:rPr>
          <w:rFonts w:hint="eastAsia" w:ascii="仿宋_GB2312" w:eastAsia="仿宋_GB2312" w:cs="仿宋_GB2312"/>
          <w:color w:val="000000"/>
          <w:sz w:val="31"/>
          <w:szCs w:val="31"/>
        </w:rPr>
      </w:pPr>
      <w:r>
        <w:rPr>
          <w:rFonts w:hint="eastAsia" w:ascii="仿宋_GB2312" w:eastAsia="仿宋_GB2312" w:cs="仿宋_GB2312"/>
          <w:color w:val="000000"/>
          <w:sz w:val="31"/>
          <w:szCs w:val="31"/>
        </w:rPr>
        <w:t>4.产出成本</w:t>
      </w:r>
    </w:p>
    <w:p w14:paraId="619C8236">
      <w:pPr>
        <w:pStyle w:val="8"/>
        <w:keepNext w:val="0"/>
        <w:keepLines w:val="0"/>
        <w:pageBreakBefore w:val="0"/>
        <w:widowControl/>
        <w:kinsoku/>
        <w:wordWrap/>
        <w:overflowPunct/>
        <w:topLinePunct w:val="0"/>
        <w:autoSpaceDE/>
        <w:autoSpaceDN/>
        <w:bidi w:val="0"/>
        <w:adjustRightInd/>
        <w:spacing w:line="560" w:lineRule="exact"/>
        <w:ind w:left="0" w:leftChars="0" w:firstLine="620" w:firstLineChars="200"/>
        <w:jc w:val="both"/>
        <w:textAlignment w:val="auto"/>
        <w:rPr>
          <w:rFonts w:hint="eastAsia" w:ascii="仿宋_GB2312" w:eastAsia="仿宋_GB2312" w:cs="仿宋_GB2312"/>
          <w:color w:val="000000"/>
          <w:sz w:val="31"/>
          <w:szCs w:val="31"/>
        </w:rPr>
      </w:pPr>
      <w:r>
        <w:rPr>
          <w:rFonts w:hint="eastAsia" w:ascii="仿宋_GB2312" w:eastAsia="仿宋_GB2312" w:cs="仿宋_GB2312"/>
          <w:color w:val="000000"/>
          <w:sz w:val="31"/>
          <w:szCs w:val="31"/>
        </w:rPr>
        <w:t>坚决落实过“紧日子”要求，坚持勤俭节约，高效推进各项事业。按照相关管理办法对年度预算进行管理，确保各项支出严格按照预算执行，各项成本控制在预算范围内。</w:t>
      </w:r>
    </w:p>
    <w:p w14:paraId="7A169F4E">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20" w:firstLineChars="200"/>
        <w:jc w:val="both"/>
        <w:textAlignment w:val="auto"/>
      </w:pPr>
      <w:r>
        <w:rPr>
          <w:rFonts w:hint="eastAsia" w:ascii="楷体_GB2312" w:eastAsia="楷体_GB2312" w:cs="楷体_GB2312"/>
          <w:color w:val="000000"/>
          <w:sz w:val="31"/>
          <w:szCs w:val="31"/>
        </w:rPr>
        <w:t>（二）效果实现情况分析</w:t>
      </w:r>
    </w:p>
    <w:p w14:paraId="2106493F">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20" w:firstLineChars="200"/>
        <w:jc w:val="both"/>
        <w:textAlignment w:val="auto"/>
      </w:pPr>
      <w:r>
        <w:rPr>
          <w:rFonts w:hint="eastAsia" w:ascii="仿宋_GB2312" w:eastAsia="仿宋_GB2312" w:cs="仿宋_GB2312"/>
          <w:color w:val="000000"/>
          <w:sz w:val="31"/>
          <w:szCs w:val="31"/>
        </w:rPr>
        <w:t>1.经济效益</w:t>
      </w:r>
    </w:p>
    <w:p w14:paraId="205C0CED">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20" w:firstLineChars="200"/>
        <w:jc w:val="both"/>
        <w:textAlignment w:val="auto"/>
        <w:rPr>
          <w:rFonts w:hint="eastAsia" w:ascii="仿宋_GB2312" w:eastAsia="仿宋_GB2312" w:cs="仿宋_GB2312"/>
          <w:color w:val="000000"/>
          <w:sz w:val="31"/>
          <w:szCs w:val="31"/>
        </w:rPr>
      </w:pPr>
      <w:r>
        <w:rPr>
          <w:rFonts w:hint="eastAsia" w:ascii="仿宋_GB2312" w:eastAsia="仿宋_GB2312" w:cs="仿宋_GB2312"/>
          <w:color w:val="000000"/>
          <w:sz w:val="31"/>
          <w:szCs w:val="31"/>
        </w:rPr>
        <w:t>联合管委会指导推动两片区区域建设进一步提速、发展能级进一步提升</w:t>
      </w:r>
      <w:r>
        <w:rPr>
          <w:rFonts w:hint="eastAsia" w:ascii="仿宋_GB2312" w:eastAsia="仿宋_GB2312" w:cs="仿宋_GB2312"/>
          <w:color w:val="000000"/>
          <w:sz w:val="31"/>
          <w:szCs w:val="31"/>
          <w:lang w:eastAsia="zh-CN"/>
        </w:rPr>
        <w:t>，</w:t>
      </w:r>
      <w:r>
        <w:rPr>
          <w:rFonts w:hint="eastAsia" w:ascii="仿宋_GB2312" w:eastAsia="仿宋_GB2312" w:cs="仿宋_GB2312"/>
          <w:color w:val="000000"/>
          <w:sz w:val="31"/>
          <w:szCs w:val="31"/>
        </w:rPr>
        <w:t>主要经济指标稳中向好。全年完成固定资产投资310.05亿元，完成全年计划进度。招商引资协议金额194.85亿元，实现税收收入22.05亿元；进出口总额完成138.65亿元，同比增长3倍多。截至12月31日，区内注册企业13364家，其中内资企业13056家、外资企业308家。</w:t>
      </w:r>
    </w:p>
    <w:p w14:paraId="70368B27">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20" w:firstLineChars="200"/>
        <w:jc w:val="both"/>
        <w:textAlignment w:val="auto"/>
        <w:rPr>
          <w:rFonts w:ascii="仿宋_GB2312" w:hAnsi="宋体" w:eastAsia="仿宋_GB2312" w:cs="仿宋_GB2312"/>
          <w:color w:val="000000"/>
          <w:kern w:val="0"/>
          <w:sz w:val="31"/>
          <w:szCs w:val="31"/>
          <w:lang w:bidi="ar"/>
        </w:rPr>
      </w:pPr>
      <w:r>
        <w:rPr>
          <w:rFonts w:ascii="仿宋_GB2312" w:hAnsi="宋体" w:eastAsia="仿宋_GB2312" w:cs="仿宋_GB2312"/>
          <w:color w:val="000000"/>
          <w:kern w:val="0"/>
          <w:sz w:val="31"/>
          <w:szCs w:val="31"/>
          <w:lang w:bidi="ar"/>
        </w:rPr>
        <w:t>2.社会效益</w:t>
      </w:r>
    </w:p>
    <w:p w14:paraId="6E8D58A3">
      <w:pPr>
        <w:pStyle w:val="8"/>
        <w:keepNext w:val="0"/>
        <w:keepLines w:val="0"/>
        <w:pageBreakBefore w:val="0"/>
        <w:widowControl/>
        <w:kinsoku/>
        <w:wordWrap/>
        <w:overflowPunct/>
        <w:topLinePunct w:val="0"/>
        <w:autoSpaceDE/>
        <w:autoSpaceDN/>
        <w:bidi w:val="0"/>
        <w:adjustRightInd/>
        <w:spacing w:line="560" w:lineRule="exact"/>
        <w:ind w:left="0" w:leftChars="0" w:firstLine="620" w:firstLineChars="200"/>
        <w:jc w:val="both"/>
        <w:textAlignment w:val="auto"/>
        <w:rPr>
          <w:rFonts w:hint="eastAsia" w:ascii="仿宋_GB2312" w:eastAsia="仿宋_GB2312" w:cs="仿宋_GB2312"/>
          <w:color w:val="000000"/>
          <w:sz w:val="31"/>
          <w:szCs w:val="31"/>
          <w:lang w:eastAsia="zh-CN"/>
        </w:rPr>
      </w:pPr>
      <w:r>
        <w:rPr>
          <w:rFonts w:ascii="仿宋_GB2312" w:hAnsi="宋体" w:eastAsia="仿宋_GB2312" w:cs="仿宋_GB2312"/>
          <w:color w:val="000000"/>
          <w:kern w:val="0"/>
          <w:sz w:val="31"/>
          <w:szCs w:val="31"/>
          <w:lang w:bidi="ar"/>
        </w:rPr>
        <w:t>通过举办临空经济区新质生产力发展大会、生物医药产业发展临空大会等多场宣传推介活动，成功吸引了约600家国内外企业的1500余名代表参与，为临空经济区的招商引资和产业发展注入了活力。同时，成立临空经济区专家智库，广泛吸纳专家智慧，推动了一体化高质量发展，有效促进了区内企业的快速成长，进一步带动了临空经济区的经济发展。</w:t>
      </w:r>
    </w:p>
    <w:p w14:paraId="447C016F">
      <w:pPr>
        <w:pStyle w:val="8"/>
        <w:keepNext w:val="0"/>
        <w:keepLines w:val="0"/>
        <w:pageBreakBefore w:val="0"/>
        <w:widowControl/>
        <w:numPr>
          <w:ilvl w:val="0"/>
          <w:numId w:val="0"/>
        </w:numPr>
        <w:suppressLineNumbers w:val="0"/>
        <w:kinsoku/>
        <w:wordWrap/>
        <w:overflowPunct/>
        <w:topLinePunct w:val="0"/>
        <w:autoSpaceDE/>
        <w:autoSpaceDN/>
        <w:bidi w:val="0"/>
        <w:adjustRightInd/>
        <w:spacing w:line="560" w:lineRule="exact"/>
        <w:ind w:left="0" w:leftChars="0" w:firstLine="620" w:firstLineChars="200"/>
        <w:jc w:val="both"/>
        <w:textAlignment w:val="auto"/>
        <w:rPr>
          <w:rFonts w:hint="eastAsia" w:ascii="仿宋_GB2312" w:eastAsia="仿宋_GB2312" w:cs="仿宋_GB2312"/>
          <w:color w:val="000000"/>
          <w:sz w:val="31"/>
          <w:szCs w:val="31"/>
        </w:rPr>
      </w:pPr>
      <w:r>
        <w:rPr>
          <w:rFonts w:hint="eastAsia" w:ascii="仿宋_GB2312" w:eastAsia="仿宋_GB2312" w:cs="仿宋_GB2312"/>
          <w:color w:val="000000"/>
          <w:sz w:val="31"/>
          <w:szCs w:val="31"/>
          <w:lang w:val="en-US" w:eastAsia="zh-CN"/>
        </w:rPr>
        <w:t>3.</w:t>
      </w:r>
      <w:r>
        <w:rPr>
          <w:rFonts w:hint="eastAsia" w:ascii="仿宋_GB2312" w:eastAsia="仿宋_GB2312" w:cs="仿宋_GB2312"/>
          <w:color w:val="000000"/>
          <w:sz w:val="31"/>
          <w:szCs w:val="31"/>
        </w:rPr>
        <w:t>可持续性影响</w:t>
      </w:r>
    </w:p>
    <w:p w14:paraId="2632D7B7">
      <w:pPr>
        <w:pStyle w:val="8"/>
        <w:keepNext w:val="0"/>
        <w:keepLines w:val="0"/>
        <w:pageBreakBefore w:val="0"/>
        <w:widowControl/>
        <w:numPr>
          <w:ilvl w:val="0"/>
          <w:numId w:val="0"/>
        </w:numPr>
        <w:suppressLineNumbers w:val="0"/>
        <w:kinsoku/>
        <w:wordWrap/>
        <w:overflowPunct/>
        <w:topLinePunct w:val="0"/>
        <w:autoSpaceDE/>
        <w:autoSpaceDN/>
        <w:bidi w:val="0"/>
        <w:adjustRightInd/>
        <w:spacing w:line="560" w:lineRule="exact"/>
        <w:ind w:left="0" w:leftChars="0" w:firstLine="620" w:firstLineChars="200"/>
        <w:jc w:val="both"/>
        <w:textAlignment w:val="auto"/>
        <w:rPr>
          <w:rFonts w:hint="default" w:ascii="仿宋_GB2312" w:eastAsia="仿宋_GB2312" w:cs="仿宋_GB2312"/>
          <w:color w:val="000000"/>
          <w:sz w:val="31"/>
          <w:szCs w:val="31"/>
          <w:lang w:val="en-US" w:eastAsia="zh-CN"/>
        </w:rPr>
      </w:pPr>
      <w:r>
        <w:rPr>
          <w:rFonts w:hint="eastAsia" w:ascii="仿宋_GB2312" w:eastAsia="仿宋_GB2312" w:cs="仿宋_GB2312"/>
          <w:color w:val="000000"/>
          <w:sz w:val="31"/>
          <w:szCs w:val="31"/>
          <w:lang w:val="en-US" w:eastAsia="zh-CN"/>
        </w:rPr>
        <w:t>临空经济区建设发展成就获央视专题纪录片《瓣瓣同心——京津冀协同发展十年》重点报道，联合管委会主要领导接受采访并推介临空经济区。在2024年服贸会、中关村论坛、第七届进博会等重要平台对临空经济区投资环境进行宣传推介。举办联合管委会首场新闻发布会，发布临空经济区一体化发展白皮书，全面总结协同发展十年取得成效。这些活动和宣传不仅提升了临空经济区的知名度和影响力，还增强了公众和投资者对临空经济区未来发展的信心。通过持续的推广和宣传，临空经济区成功吸引了更多的企业和人才入驻，为区域的长期可持续发展奠定了坚实基础。此外，联合管委会还积极推动临空经济区与周边地区的协同发展，促进了区域经济的整体提升，形成了良性互动的发展格局。</w:t>
      </w:r>
    </w:p>
    <w:p w14:paraId="2973433F">
      <w:pPr>
        <w:pStyle w:val="8"/>
        <w:keepNext w:val="0"/>
        <w:keepLines w:val="0"/>
        <w:pageBreakBefore w:val="0"/>
        <w:widowControl/>
        <w:numPr>
          <w:ilvl w:val="0"/>
          <w:numId w:val="0"/>
        </w:numPr>
        <w:suppressLineNumbers w:val="0"/>
        <w:kinsoku/>
        <w:wordWrap/>
        <w:overflowPunct/>
        <w:topLinePunct w:val="0"/>
        <w:autoSpaceDE/>
        <w:autoSpaceDN/>
        <w:bidi w:val="0"/>
        <w:adjustRightInd/>
        <w:spacing w:line="560" w:lineRule="exact"/>
        <w:ind w:left="0" w:leftChars="0" w:firstLine="620" w:firstLineChars="200"/>
        <w:jc w:val="both"/>
        <w:textAlignment w:val="auto"/>
        <w:rPr>
          <w:rFonts w:hint="eastAsia" w:ascii="仿宋_GB2312" w:eastAsia="仿宋_GB2312" w:cs="仿宋_GB2312"/>
          <w:color w:val="000000"/>
          <w:sz w:val="31"/>
          <w:szCs w:val="31"/>
        </w:rPr>
      </w:pPr>
      <w:r>
        <w:rPr>
          <w:rFonts w:hint="eastAsia" w:ascii="仿宋_GB2312" w:eastAsia="仿宋_GB2312" w:cs="仿宋_GB2312"/>
          <w:color w:val="000000"/>
          <w:kern w:val="0"/>
          <w:sz w:val="31"/>
          <w:szCs w:val="31"/>
          <w:lang w:val="en-US" w:eastAsia="zh-CN" w:bidi="ar"/>
        </w:rPr>
        <w:t>4</w:t>
      </w:r>
      <w:r>
        <w:rPr>
          <w:rFonts w:hint="eastAsia" w:ascii="仿宋_GB2312" w:hAnsi="宋体" w:eastAsia="仿宋_GB2312" w:cs="仿宋_GB2312"/>
          <w:color w:val="000000"/>
          <w:kern w:val="0"/>
          <w:sz w:val="31"/>
          <w:szCs w:val="31"/>
          <w:lang w:val="en-US" w:eastAsia="zh-CN" w:bidi="ar"/>
        </w:rPr>
        <w:t>.</w:t>
      </w:r>
      <w:r>
        <w:rPr>
          <w:rFonts w:hint="eastAsia" w:ascii="仿宋_GB2312" w:eastAsia="仿宋_GB2312" w:cs="仿宋_GB2312"/>
          <w:color w:val="000000"/>
          <w:sz w:val="31"/>
          <w:szCs w:val="31"/>
        </w:rPr>
        <w:t>服务对象满意度</w:t>
      </w:r>
    </w:p>
    <w:p w14:paraId="1F71ADFD">
      <w:pPr>
        <w:pStyle w:val="8"/>
        <w:keepNext w:val="0"/>
        <w:keepLines w:val="0"/>
        <w:pageBreakBefore w:val="0"/>
        <w:widowControl/>
        <w:numPr>
          <w:ilvl w:val="0"/>
          <w:numId w:val="0"/>
        </w:numPr>
        <w:suppressLineNumbers w:val="0"/>
        <w:kinsoku/>
        <w:wordWrap/>
        <w:overflowPunct/>
        <w:topLinePunct w:val="0"/>
        <w:autoSpaceDE/>
        <w:autoSpaceDN/>
        <w:bidi w:val="0"/>
        <w:adjustRightInd/>
        <w:spacing w:line="560" w:lineRule="exact"/>
        <w:ind w:left="0" w:leftChars="0" w:firstLine="620" w:firstLineChars="200"/>
        <w:jc w:val="both"/>
        <w:textAlignment w:val="auto"/>
        <w:rPr>
          <w:rFonts w:hint="eastAsia" w:ascii="仿宋_GB2312" w:eastAsia="仿宋_GB2312" w:cs="仿宋_GB2312"/>
          <w:color w:val="000000"/>
          <w:sz w:val="31"/>
          <w:szCs w:val="31"/>
          <w:lang w:val="en-US" w:eastAsia="zh-CN"/>
        </w:rPr>
      </w:pPr>
      <w:r>
        <w:rPr>
          <w:rFonts w:hint="eastAsia" w:ascii="仿宋_GB2312" w:eastAsia="仿宋_GB2312" w:cs="仿宋_GB2312"/>
          <w:color w:val="000000"/>
          <w:sz w:val="31"/>
          <w:szCs w:val="31"/>
          <w:lang w:val="en-US" w:eastAsia="zh-CN"/>
        </w:rPr>
        <w:t>联合管委会干部职工对单位管理及办公环境满意，满意度90%以上。</w:t>
      </w:r>
    </w:p>
    <w:p w14:paraId="26CA89B4">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20" w:firstLineChars="200"/>
        <w:jc w:val="both"/>
        <w:textAlignment w:val="auto"/>
      </w:pPr>
      <w:r>
        <w:rPr>
          <w:rFonts w:hint="default" w:ascii="CESI黑体-GB2312" w:hAnsi="CESI黑体-GB2312" w:eastAsia="CESI黑体-GB2312" w:cs="CESI黑体-GB2312"/>
          <w:color w:val="000000"/>
          <w:sz w:val="31"/>
          <w:szCs w:val="31"/>
        </w:rPr>
        <w:t>四、预算管理情况分析</w:t>
      </w:r>
    </w:p>
    <w:p w14:paraId="156D0D5F">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20" w:firstLineChars="200"/>
        <w:jc w:val="both"/>
        <w:textAlignment w:val="auto"/>
      </w:pPr>
      <w:r>
        <w:rPr>
          <w:rFonts w:hint="eastAsia" w:ascii="楷体_GB2312" w:eastAsia="楷体_GB2312" w:cs="楷体_GB2312"/>
          <w:color w:val="000000"/>
          <w:sz w:val="31"/>
          <w:szCs w:val="31"/>
        </w:rPr>
        <w:t>（一）财务管理</w:t>
      </w:r>
    </w:p>
    <w:p w14:paraId="755B1199">
      <w:pPr>
        <w:keepNext w:val="0"/>
        <w:keepLines w:val="0"/>
        <w:pageBreakBefore w:val="0"/>
        <w:kinsoku/>
        <w:wordWrap/>
        <w:overflowPunct/>
        <w:topLinePunct w:val="0"/>
        <w:autoSpaceDE/>
        <w:autoSpaceDN/>
        <w:bidi w:val="0"/>
        <w:adjustRightInd/>
        <w:spacing w:line="560" w:lineRule="exact"/>
        <w:ind w:left="0" w:leftChars="0" w:firstLine="640" w:firstLineChars="200"/>
        <w:jc w:val="both"/>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1.财务</w:t>
      </w:r>
      <w:r>
        <w:rPr>
          <w:rFonts w:ascii="仿宋_GB2312" w:hAnsi="宋体" w:eastAsia="仿宋_GB2312" w:cs="宋体"/>
          <w:color w:val="000000"/>
          <w:kern w:val="0"/>
          <w:sz w:val="32"/>
          <w:szCs w:val="32"/>
        </w:rPr>
        <w:t>管理制度健全性</w:t>
      </w:r>
    </w:p>
    <w:p w14:paraId="48C3AC47">
      <w:pPr>
        <w:keepNext w:val="0"/>
        <w:keepLines w:val="0"/>
        <w:pageBreakBefore w:val="0"/>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为进一步提高全委财务管理能力和水平，</w:t>
      </w:r>
      <w:r>
        <w:rPr>
          <w:rFonts w:hint="eastAsia" w:ascii="仿宋_GB2312" w:hAnsi="宋体" w:eastAsia="仿宋_GB2312" w:cs="宋体"/>
          <w:color w:val="000000"/>
          <w:kern w:val="0"/>
          <w:sz w:val="32"/>
          <w:szCs w:val="32"/>
          <w:lang w:val="en-US" w:eastAsia="zh-CN"/>
        </w:rPr>
        <w:t>联合管委会</w:t>
      </w:r>
      <w:r>
        <w:rPr>
          <w:rFonts w:hint="eastAsia" w:ascii="仿宋_GB2312" w:hAnsi="宋体" w:eastAsia="仿宋_GB2312" w:cs="宋体"/>
          <w:color w:val="000000"/>
          <w:kern w:val="0"/>
          <w:sz w:val="32"/>
          <w:szCs w:val="32"/>
        </w:rPr>
        <w:t>建立了完善的财务管理制度体系，从资金审批、预算管理、经费支出、资产管理、政府采购等方面对财务工作进行了规范监督，保障日常工作有章可循、稳步推进。</w:t>
      </w:r>
    </w:p>
    <w:p w14:paraId="1FCBD91E">
      <w:pPr>
        <w:keepNext w:val="0"/>
        <w:keepLines w:val="0"/>
        <w:pageBreakBefore w:val="0"/>
        <w:kinsoku/>
        <w:wordWrap/>
        <w:overflowPunct/>
        <w:topLinePunct w:val="0"/>
        <w:autoSpaceDE/>
        <w:autoSpaceDN/>
        <w:bidi w:val="0"/>
        <w:adjustRightInd/>
        <w:spacing w:line="560" w:lineRule="exact"/>
        <w:ind w:left="0" w:leftChars="0" w:firstLine="640" w:firstLineChars="200"/>
        <w:jc w:val="both"/>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2.资金使用合规性</w:t>
      </w:r>
      <w:r>
        <w:rPr>
          <w:rFonts w:ascii="仿宋_GB2312" w:hAnsi="宋体" w:eastAsia="仿宋_GB2312" w:cs="宋体"/>
          <w:color w:val="000000"/>
          <w:kern w:val="0"/>
          <w:sz w:val="32"/>
          <w:szCs w:val="32"/>
        </w:rPr>
        <w:t>和安全性</w:t>
      </w:r>
    </w:p>
    <w:p w14:paraId="2DF37F79">
      <w:pPr>
        <w:keepNext w:val="0"/>
        <w:keepLines w:val="0"/>
        <w:pageBreakBefore w:val="0"/>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rPr>
        <w:t>联合管委会对预算资金进行实时监控，控制资金用途，切实加强对资金的使用管理，整体资金支出手续较为完备，过程性材料均留档备案。项目资金拨付具有较为完整的审批程序和手续，未发现虚列、超标准开支的情况。项目支出明细与合同支付条款、付款票据相符</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rPr>
        <w:t>保证项目执行过程安全</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rPr>
        <w:t>合规</w:t>
      </w:r>
      <w:r>
        <w:rPr>
          <w:rFonts w:hint="eastAsia" w:ascii="仿宋_GB2312" w:hAnsi="宋体" w:eastAsia="仿宋_GB2312" w:cs="宋体"/>
          <w:color w:val="000000"/>
          <w:kern w:val="0"/>
          <w:sz w:val="32"/>
          <w:szCs w:val="32"/>
          <w:lang w:eastAsia="zh-CN"/>
        </w:rPr>
        <w:t>。</w:t>
      </w:r>
    </w:p>
    <w:p w14:paraId="48026FBB">
      <w:pPr>
        <w:keepNext w:val="0"/>
        <w:keepLines w:val="0"/>
        <w:pageBreakBefore w:val="0"/>
        <w:kinsoku/>
        <w:wordWrap/>
        <w:overflowPunct/>
        <w:topLinePunct w:val="0"/>
        <w:autoSpaceDE/>
        <w:autoSpaceDN/>
        <w:bidi w:val="0"/>
        <w:adjustRightInd/>
        <w:spacing w:line="560" w:lineRule="exact"/>
        <w:ind w:left="0" w:leftChars="0" w:firstLine="640" w:firstLineChars="200"/>
        <w:jc w:val="both"/>
        <w:textAlignment w:val="auto"/>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rPr>
        <w:t>会计</w:t>
      </w:r>
      <w:r>
        <w:rPr>
          <w:rFonts w:ascii="仿宋_GB2312" w:hAnsi="宋体" w:eastAsia="仿宋_GB2312" w:cs="宋体"/>
          <w:color w:val="000000"/>
          <w:kern w:val="0"/>
          <w:sz w:val="32"/>
          <w:szCs w:val="32"/>
        </w:rPr>
        <w:t>基础信息完善性</w:t>
      </w:r>
    </w:p>
    <w:p w14:paraId="0ED4A8C3">
      <w:pPr>
        <w:pStyle w:val="8"/>
        <w:keepNext w:val="0"/>
        <w:keepLines w:val="0"/>
        <w:pageBreakBefore w:val="0"/>
        <w:widowControl/>
        <w:numPr>
          <w:ilvl w:val="0"/>
          <w:numId w:val="0"/>
        </w:numPr>
        <w:suppressLineNumbers w:val="0"/>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会计核算方面会计基础信息较为完善，相关会计凭证、会计账簿、财务报表、重要经济合同及财务管理有关的各种文件由会计专人管理，财务报表编报及时，数据真实可靠、全面完整。</w:t>
      </w:r>
    </w:p>
    <w:p w14:paraId="230AD5C7">
      <w:pPr>
        <w:pStyle w:val="8"/>
        <w:keepNext w:val="0"/>
        <w:keepLines w:val="0"/>
        <w:pageBreakBefore w:val="0"/>
        <w:widowControl/>
        <w:numPr>
          <w:ilvl w:val="0"/>
          <w:numId w:val="0"/>
        </w:numPr>
        <w:suppressLineNumbers w:val="0"/>
        <w:kinsoku/>
        <w:wordWrap/>
        <w:overflowPunct/>
        <w:topLinePunct w:val="0"/>
        <w:autoSpaceDE/>
        <w:autoSpaceDN/>
        <w:bidi w:val="0"/>
        <w:adjustRightInd/>
        <w:spacing w:line="560" w:lineRule="exact"/>
        <w:ind w:left="0" w:leftChars="0" w:firstLine="620" w:firstLineChars="200"/>
        <w:jc w:val="both"/>
        <w:textAlignment w:val="auto"/>
        <w:rPr>
          <w:rFonts w:hint="eastAsia" w:ascii="楷体_GB2312" w:eastAsia="楷体_GB2312" w:cs="楷体_GB2312"/>
          <w:color w:val="000000"/>
          <w:sz w:val="31"/>
          <w:szCs w:val="31"/>
        </w:rPr>
      </w:pPr>
      <w:r>
        <w:rPr>
          <w:rFonts w:hint="eastAsia" w:ascii="楷体_GB2312" w:hAnsi="宋体" w:eastAsia="楷体_GB2312" w:cs="楷体_GB2312"/>
          <w:color w:val="000000"/>
          <w:kern w:val="0"/>
          <w:sz w:val="31"/>
          <w:szCs w:val="31"/>
          <w:lang w:val="en-US" w:eastAsia="zh-CN" w:bidi="ar"/>
        </w:rPr>
        <w:t>（二）</w:t>
      </w:r>
      <w:r>
        <w:rPr>
          <w:rFonts w:hint="eastAsia" w:ascii="楷体_GB2312" w:eastAsia="楷体_GB2312" w:cs="楷体_GB2312"/>
          <w:color w:val="000000"/>
          <w:sz w:val="31"/>
          <w:szCs w:val="31"/>
        </w:rPr>
        <w:t>资产管理</w:t>
      </w:r>
    </w:p>
    <w:p w14:paraId="4892D54E">
      <w:pPr>
        <w:keepNext w:val="0"/>
        <w:keepLines w:val="0"/>
        <w:pageBreakBefore w:val="0"/>
        <w:kinsoku/>
        <w:wordWrap/>
        <w:overflowPunct/>
        <w:topLinePunct w:val="0"/>
        <w:autoSpaceDE/>
        <w:autoSpaceDN/>
        <w:bidi w:val="0"/>
        <w:adjustRightInd/>
        <w:spacing w:line="560" w:lineRule="exact"/>
        <w:ind w:left="0" w:leftChars="0" w:firstLine="640" w:firstLineChars="200"/>
        <w:jc w:val="both"/>
        <w:textAlignment w:val="auto"/>
        <w:rPr>
          <w:rFonts w:hint="default" w:ascii="楷体_GB2312" w:eastAsia="楷体_GB2312" w:cs="楷体_GB2312"/>
          <w:color w:val="000000"/>
          <w:sz w:val="31"/>
          <w:szCs w:val="31"/>
          <w:lang w:val="en-US" w:eastAsia="zh-CN"/>
        </w:rPr>
      </w:pPr>
      <w:r>
        <w:rPr>
          <w:rFonts w:hint="eastAsia" w:ascii="仿宋_GB2312" w:hAnsi="宋体" w:eastAsia="仿宋_GB2312" w:cs="宋体"/>
          <w:color w:val="000000"/>
          <w:kern w:val="0"/>
          <w:sz w:val="32"/>
          <w:szCs w:val="32"/>
          <w:lang w:val="en-US" w:eastAsia="zh-CN"/>
        </w:rPr>
        <w:t>资</w:t>
      </w:r>
      <w:r>
        <w:rPr>
          <w:rFonts w:hint="eastAsia" w:ascii="仿宋_GB2312" w:hAnsi="宋体" w:eastAsia="仿宋_GB2312" w:cs="宋体"/>
          <w:color w:val="000000"/>
          <w:kern w:val="0"/>
          <w:sz w:val="32"/>
          <w:szCs w:val="32"/>
        </w:rPr>
        <w:t>产管理工作坚持“统一领导、规范制度、分级管理、责任到人、合理调配、物尽其用”的原则。</w:t>
      </w:r>
      <w:r>
        <w:rPr>
          <w:rFonts w:hint="default" w:ascii="仿宋_GB2312" w:hAnsi="宋体" w:eastAsia="仿宋_GB2312" w:cs="宋体"/>
          <w:color w:val="000000"/>
          <w:kern w:val="0"/>
          <w:sz w:val="32"/>
          <w:szCs w:val="32"/>
        </w:rPr>
        <w:t>联合管委会</w:t>
      </w:r>
      <w:r>
        <w:rPr>
          <w:rFonts w:hint="eastAsia" w:ascii="仿宋_GB2312" w:hAnsi="宋体" w:eastAsia="仿宋_GB2312" w:cs="宋体"/>
          <w:color w:val="000000"/>
          <w:kern w:val="0"/>
          <w:sz w:val="32"/>
          <w:szCs w:val="32"/>
        </w:rPr>
        <w:t>部门202</w:t>
      </w:r>
      <w:r>
        <w:rPr>
          <w:rFonts w:hint="eastAsia" w:ascii="仿宋_GB2312" w:hAnsi="宋体" w:eastAsia="仿宋_GB2312" w:cs="宋体"/>
          <w:color w:val="000000"/>
          <w:kern w:val="0"/>
          <w:sz w:val="32"/>
          <w:szCs w:val="32"/>
          <w:lang w:val="en-US" w:eastAsia="zh-CN"/>
        </w:rPr>
        <w:t>4</w:t>
      </w:r>
      <w:r>
        <w:rPr>
          <w:rFonts w:hint="eastAsia" w:ascii="仿宋_GB2312" w:hAnsi="宋体" w:eastAsia="仿宋_GB2312" w:cs="宋体"/>
          <w:color w:val="000000"/>
          <w:kern w:val="0"/>
          <w:sz w:val="32"/>
          <w:szCs w:val="32"/>
        </w:rPr>
        <w:t>年年初固定资产总额为</w:t>
      </w:r>
      <w:r>
        <w:rPr>
          <w:rFonts w:hint="default" w:ascii="仿宋_GB2312" w:hAnsi="宋体" w:eastAsia="仿宋_GB2312" w:cs="宋体"/>
          <w:color w:val="000000"/>
          <w:kern w:val="0"/>
          <w:sz w:val="32"/>
          <w:szCs w:val="32"/>
        </w:rPr>
        <w:t>21</w:t>
      </w:r>
      <w:r>
        <w:rPr>
          <w:rFonts w:hint="eastAsia" w:ascii="仿宋_GB2312" w:hAnsi="宋体" w:eastAsia="仿宋_GB2312" w:cs="宋体"/>
          <w:color w:val="000000"/>
          <w:kern w:val="0"/>
          <w:sz w:val="32"/>
          <w:szCs w:val="32"/>
          <w:lang w:val="en-US" w:eastAsia="zh-CN"/>
        </w:rPr>
        <w:t>.</w:t>
      </w:r>
      <w:r>
        <w:rPr>
          <w:rFonts w:hint="default" w:ascii="仿宋_GB2312" w:hAnsi="宋体" w:eastAsia="仿宋_GB2312" w:cs="宋体"/>
          <w:color w:val="000000"/>
          <w:kern w:val="0"/>
          <w:sz w:val="32"/>
          <w:szCs w:val="32"/>
        </w:rPr>
        <w:t>1</w:t>
      </w:r>
      <w:r>
        <w:rPr>
          <w:rFonts w:hint="eastAsia" w:ascii="仿宋_GB2312" w:hAnsi="宋体" w:eastAsia="仿宋_GB2312" w:cs="宋体"/>
          <w:color w:val="000000"/>
          <w:kern w:val="0"/>
          <w:sz w:val="32"/>
          <w:szCs w:val="32"/>
        </w:rPr>
        <w:t>万元，年内实际增加</w:t>
      </w:r>
      <w:r>
        <w:rPr>
          <w:rFonts w:hint="default" w:ascii="仿宋_GB2312" w:hAnsi="宋体" w:eastAsia="仿宋_GB2312" w:cs="宋体"/>
          <w:color w:val="000000"/>
          <w:kern w:val="0"/>
          <w:sz w:val="32"/>
          <w:szCs w:val="32"/>
        </w:rPr>
        <w:t>101</w:t>
      </w:r>
      <w:r>
        <w:rPr>
          <w:rFonts w:hint="eastAsia" w:ascii="仿宋_GB2312" w:hAnsi="宋体" w:eastAsia="仿宋_GB2312" w:cs="宋体"/>
          <w:color w:val="000000"/>
          <w:kern w:val="0"/>
          <w:sz w:val="32"/>
          <w:szCs w:val="32"/>
          <w:lang w:val="en-US" w:eastAsia="zh-CN"/>
        </w:rPr>
        <w:t>.</w:t>
      </w:r>
      <w:r>
        <w:rPr>
          <w:rFonts w:hint="default" w:ascii="仿宋_GB2312" w:hAnsi="宋体" w:eastAsia="仿宋_GB2312" w:cs="宋体"/>
          <w:color w:val="000000"/>
          <w:kern w:val="0"/>
          <w:sz w:val="32"/>
          <w:szCs w:val="32"/>
        </w:rPr>
        <w:t>53</w:t>
      </w:r>
      <w:r>
        <w:rPr>
          <w:rFonts w:hint="eastAsia" w:ascii="仿宋_GB2312" w:hAnsi="宋体" w:eastAsia="仿宋_GB2312" w:cs="宋体"/>
          <w:color w:val="000000"/>
          <w:kern w:val="0"/>
          <w:sz w:val="32"/>
          <w:szCs w:val="32"/>
        </w:rPr>
        <w:t>万元（主要为采购</w:t>
      </w:r>
      <w:r>
        <w:rPr>
          <w:rFonts w:hint="default" w:ascii="仿宋_GB2312" w:hAnsi="宋体" w:eastAsia="仿宋_GB2312" w:cs="宋体"/>
          <w:color w:val="000000"/>
          <w:kern w:val="0"/>
          <w:sz w:val="32"/>
          <w:szCs w:val="32"/>
        </w:rPr>
        <w:t>公务用车</w:t>
      </w:r>
      <w:r>
        <w:rPr>
          <w:rFonts w:hint="eastAsia"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lang w:val="en-US" w:eastAsia="zh-CN"/>
        </w:rPr>
        <w:t>视频会议室设备</w:t>
      </w:r>
      <w:r>
        <w:rPr>
          <w:rFonts w:hint="eastAsia" w:ascii="仿宋_GB2312" w:hAnsi="宋体" w:eastAsia="仿宋_GB2312" w:cs="宋体"/>
          <w:color w:val="000000"/>
          <w:kern w:val="0"/>
          <w:sz w:val="32"/>
          <w:szCs w:val="32"/>
        </w:rPr>
        <w:t>），年末资产净值为</w:t>
      </w:r>
      <w:r>
        <w:rPr>
          <w:rFonts w:hint="default" w:ascii="仿宋_GB2312" w:hAnsi="宋体" w:eastAsia="仿宋_GB2312" w:cs="宋体"/>
          <w:color w:val="000000"/>
          <w:kern w:val="0"/>
          <w:sz w:val="32"/>
          <w:szCs w:val="32"/>
        </w:rPr>
        <w:t>105</w:t>
      </w:r>
      <w:r>
        <w:rPr>
          <w:rFonts w:hint="eastAsia" w:ascii="仿宋_GB2312" w:hAnsi="宋体" w:eastAsia="仿宋_GB2312" w:cs="宋体"/>
          <w:color w:val="000000"/>
          <w:kern w:val="0"/>
          <w:sz w:val="32"/>
          <w:szCs w:val="32"/>
          <w:lang w:val="en-US" w:eastAsia="zh-CN"/>
        </w:rPr>
        <w:t>.</w:t>
      </w:r>
      <w:r>
        <w:rPr>
          <w:rFonts w:hint="default" w:ascii="仿宋_GB2312" w:hAnsi="宋体" w:eastAsia="仿宋_GB2312" w:cs="宋体"/>
          <w:color w:val="000000"/>
          <w:kern w:val="0"/>
          <w:sz w:val="32"/>
          <w:szCs w:val="32"/>
        </w:rPr>
        <w:t>8</w:t>
      </w:r>
      <w:r>
        <w:rPr>
          <w:rFonts w:hint="eastAsia" w:ascii="仿宋_GB2312" w:hAnsi="宋体" w:eastAsia="仿宋_GB2312" w:cs="宋体"/>
          <w:color w:val="000000"/>
          <w:kern w:val="0"/>
          <w:sz w:val="32"/>
          <w:szCs w:val="32"/>
          <w:lang w:val="en-US" w:eastAsia="zh-CN"/>
        </w:rPr>
        <w:t>6</w:t>
      </w:r>
      <w:r>
        <w:rPr>
          <w:rFonts w:hint="eastAsia" w:ascii="仿宋_GB2312" w:hAnsi="宋体" w:eastAsia="仿宋_GB2312" w:cs="宋体"/>
          <w:color w:val="000000"/>
          <w:kern w:val="0"/>
          <w:sz w:val="32"/>
          <w:szCs w:val="32"/>
        </w:rPr>
        <w:t>万元。</w:t>
      </w:r>
    </w:p>
    <w:p w14:paraId="15FDD2B0">
      <w:pPr>
        <w:pStyle w:val="8"/>
        <w:keepNext w:val="0"/>
        <w:keepLines w:val="0"/>
        <w:pageBreakBefore w:val="0"/>
        <w:widowControl/>
        <w:numPr>
          <w:ilvl w:val="0"/>
          <w:numId w:val="0"/>
        </w:numPr>
        <w:suppressLineNumbers w:val="0"/>
        <w:kinsoku/>
        <w:wordWrap/>
        <w:overflowPunct/>
        <w:topLinePunct w:val="0"/>
        <w:autoSpaceDE/>
        <w:autoSpaceDN/>
        <w:bidi w:val="0"/>
        <w:adjustRightInd/>
        <w:spacing w:line="560" w:lineRule="exact"/>
        <w:ind w:left="0" w:leftChars="0" w:firstLine="620" w:firstLineChars="200"/>
        <w:jc w:val="both"/>
        <w:textAlignment w:val="auto"/>
        <w:rPr>
          <w:rFonts w:hint="eastAsia" w:ascii="楷体_GB2312" w:eastAsia="楷体_GB2312" w:cs="楷体_GB2312"/>
          <w:color w:val="000000"/>
          <w:sz w:val="31"/>
          <w:szCs w:val="31"/>
        </w:rPr>
      </w:pPr>
      <w:r>
        <w:rPr>
          <w:rFonts w:hint="eastAsia" w:ascii="楷体_GB2312" w:hAnsi="宋体" w:eastAsia="楷体_GB2312" w:cs="楷体_GB2312"/>
          <w:color w:val="000000"/>
          <w:kern w:val="0"/>
          <w:sz w:val="31"/>
          <w:szCs w:val="31"/>
          <w:lang w:val="en-US" w:eastAsia="zh-CN" w:bidi="ar"/>
        </w:rPr>
        <w:t>（三）</w:t>
      </w:r>
      <w:r>
        <w:rPr>
          <w:rFonts w:hint="eastAsia" w:ascii="楷体_GB2312" w:eastAsia="楷体_GB2312" w:cs="楷体_GB2312"/>
          <w:color w:val="000000"/>
          <w:sz w:val="31"/>
          <w:szCs w:val="31"/>
        </w:rPr>
        <w:t>绩效管理</w:t>
      </w:r>
    </w:p>
    <w:p w14:paraId="1294C53B">
      <w:pPr>
        <w:pStyle w:val="8"/>
        <w:keepNext w:val="0"/>
        <w:keepLines w:val="0"/>
        <w:pageBreakBefore w:val="0"/>
        <w:widowControl/>
        <w:numPr>
          <w:ilvl w:val="0"/>
          <w:numId w:val="0"/>
        </w:numPr>
        <w:suppressLineNumbers w:val="0"/>
        <w:kinsoku/>
        <w:wordWrap/>
        <w:overflowPunct/>
        <w:topLinePunct w:val="0"/>
        <w:autoSpaceDE/>
        <w:autoSpaceDN/>
        <w:bidi w:val="0"/>
        <w:adjustRightInd/>
        <w:spacing w:line="560" w:lineRule="exact"/>
        <w:ind w:left="0" w:leftChars="0" w:firstLine="640" w:firstLineChars="200"/>
        <w:jc w:val="both"/>
        <w:textAlignment w:val="auto"/>
        <w:rPr>
          <w:rFonts w:hint="default" w:ascii="楷体_GB2312" w:eastAsia="楷体_GB2312" w:cs="楷体_GB2312"/>
          <w:color w:val="000000"/>
          <w:sz w:val="31"/>
          <w:szCs w:val="31"/>
          <w:lang w:val="en-US" w:eastAsia="zh-CN"/>
        </w:rPr>
      </w:pPr>
      <w:r>
        <w:rPr>
          <w:rFonts w:hint="eastAsia" w:ascii="仿宋_GB2312" w:hAnsi="宋体" w:eastAsia="仿宋_GB2312" w:cs="宋体"/>
          <w:color w:val="000000"/>
          <w:kern w:val="0"/>
          <w:sz w:val="32"/>
          <w:szCs w:val="32"/>
          <w:lang w:val="en-US" w:eastAsia="zh-CN" w:bidi="ar-SA"/>
        </w:rPr>
        <w:t>联合管委会高度重视绩效管理工作，将绩效理念深度融入预算编制、执行和监督全过程，构建事前、事中、事后绩效管理闭环系统，扎实做好各项绩效管理工作。及时对绩效信息进行汇总分析整理，第一时间对绩效目标偏离情况进行矫正。</w:t>
      </w:r>
    </w:p>
    <w:p w14:paraId="0DEC8717">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20" w:firstLineChars="200"/>
        <w:jc w:val="both"/>
        <w:textAlignment w:val="auto"/>
      </w:pPr>
      <w:r>
        <w:rPr>
          <w:rFonts w:hint="eastAsia" w:ascii="楷体_GB2312" w:eastAsia="楷体_GB2312" w:cs="楷体_GB2312"/>
          <w:color w:val="000000"/>
          <w:sz w:val="31"/>
          <w:szCs w:val="31"/>
        </w:rPr>
        <w:t>（四）结转结余率</w:t>
      </w:r>
    </w:p>
    <w:p w14:paraId="085BECF5">
      <w:pPr>
        <w:pStyle w:val="8"/>
        <w:keepNext w:val="0"/>
        <w:keepLines w:val="0"/>
        <w:pageBreakBefore w:val="0"/>
        <w:widowControl/>
        <w:numPr>
          <w:ilvl w:val="0"/>
          <w:numId w:val="0"/>
        </w:numPr>
        <w:suppressLineNumbers w:val="0"/>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2024年度，联合管委会年末结转结余总额为847</w:t>
      </w:r>
      <w:r>
        <w:rPr>
          <w:rFonts w:hint="eastAsia" w:ascii="仿宋_GB2312" w:eastAsia="仿宋_GB2312" w:cs="宋体"/>
          <w:color w:val="000000"/>
          <w:kern w:val="0"/>
          <w:sz w:val="32"/>
          <w:szCs w:val="32"/>
          <w:lang w:val="en-US" w:eastAsia="zh-CN" w:bidi="ar-SA"/>
        </w:rPr>
        <w:t>.</w:t>
      </w:r>
      <w:r>
        <w:rPr>
          <w:rFonts w:hint="eastAsia" w:ascii="仿宋_GB2312" w:hAnsi="宋体" w:eastAsia="仿宋_GB2312" w:cs="宋体"/>
          <w:color w:val="000000"/>
          <w:kern w:val="0"/>
          <w:sz w:val="32"/>
          <w:szCs w:val="32"/>
          <w:lang w:val="en-US" w:eastAsia="zh-CN" w:bidi="ar-SA"/>
        </w:rPr>
        <w:t>3</w:t>
      </w:r>
      <w:r>
        <w:rPr>
          <w:rFonts w:hint="eastAsia" w:ascii="仿宋_GB2312" w:eastAsia="仿宋_GB2312" w:cs="宋体"/>
          <w:color w:val="000000"/>
          <w:kern w:val="0"/>
          <w:sz w:val="32"/>
          <w:szCs w:val="32"/>
          <w:lang w:val="en-US" w:eastAsia="zh-CN" w:bidi="ar-SA"/>
        </w:rPr>
        <w:t>9</w:t>
      </w:r>
      <w:r>
        <w:rPr>
          <w:rFonts w:hint="eastAsia" w:ascii="仿宋_GB2312" w:hAnsi="宋体" w:eastAsia="仿宋_GB2312" w:cs="宋体"/>
          <w:color w:val="000000"/>
          <w:kern w:val="0"/>
          <w:sz w:val="32"/>
          <w:szCs w:val="32"/>
          <w:lang w:val="en-US" w:eastAsia="zh-CN" w:bidi="ar-SA"/>
        </w:rPr>
        <w:t>万元，支出全年预算数为2646.55万元。2024年度部门结转结余率</w:t>
      </w:r>
      <w:r>
        <w:rPr>
          <w:rFonts w:hint="eastAsia" w:ascii="仿宋_GB2312" w:eastAsia="仿宋_GB2312" w:cs="宋体"/>
          <w:color w:val="000000"/>
          <w:kern w:val="0"/>
          <w:sz w:val="32"/>
          <w:szCs w:val="32"/>
          <w:lang w:val="en-US" w:eastAsia="zh-CN" w:bidi="ar-SA"/>
        </w:rPr>
        <w:t>32</w:t>
      </w:r>
      <w:r>
        <w:rPr>
          <w:rFonts w:hint="eastAsia" w:ascii="仿宋_GB2312" w:hAnsi="宋体" w:eastAsia="仿宋_GB2312" w:cs="宋体"/>
          <w:color w:val="000000"/>
          <w:kern w:val="0"/>
          <w:sz w:val="32"/>
          <w:szCs w:val="32"/>
          <w:lang w:val="en-US" w:eastAsia="zh-CN" w:bidi="ar-SA"/>
        </w:rPr>
        <w:t>%（=结转结余总额/支出预算数*100%）。</w:t>
      </w:r>
    </w:p>
    <w:p w14:paraId="312672E8">
      <w:pPr>
        <w:pStyle w:val="8"/>
        <w:keepNext w:val="0"/>
        <w:keepLines w:val="0"/>
        <w:pageBreakBefore w:val="0"/>
        <w:widowControl/>
        <w:numPr>
          <w:ilvl w:val="0"/>
          <w:numId w:val="0"/>
        </w:numPr>
        <w:suppressLineNumbers w:val="0"/>
        <w:kinsoku/>
        <w:wordWrap/>
        <w:overflowPunct/>
        <w:topLinePunct w:val="0"/>
        <w:autoSpaceDE/>
        <w:autoSpaceDN/>
        <w:bidi w:val="0"/>
        <w:adjustRightInd/>
        <w:spacing w:line="560" w:lineRule="exact"/>
        <w:ind w:left="0" w:leftChars="0" w:firstLine="640" w:firstLineChars="200"/>
        <w:jc w:val="both"/>
        <w:textAlignment w:val="auto"/>
        <w:rPr>
          <w:rFonts w:hint="default"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2023年度，联合管委会年末结转结余总额为1000.26万元，支出全年预算数2366.96万元，2023年度部门结转结余率</w:t>
      </w:r>
      <w:r>
        <w:rPr>
          <w:rFonts w:hint="eastAsia" w:ascii="仿宋_GB2312" w:eastAsia="仿宋_GB2312" w:cs="宋体"/>
          <w:color w:val="000000"/>
          <w:kern w:val="0"/>
          <w:sz w:val="32"/>
          <w:szCs w:val="32"/>
          <w:lang w:val="en-US" w:eastAsia="zh-CN" w:bidi="ar-SA"/>
        </w:rPr>
        <w:t>42</w:t>
      </w:r>
      <w:r>
        <w:rPr>
          <w:rFonts w:hint="eastAsia" w:ascii="仿宋_GB2312" w:hAnsi="宋体" w:eastAsia="仿宋_GB2312" w:cs="宋体"/>
          <w:color w:val="000000"/>
          <w:kern w:val="0"/>
          <w:sz w:val="32"/>
          <w:szCs w:val="32"/>
          <w:lang w:val="en-US" w:eastAsia="zh-CN" w:bidi="ar-SA"/>
        </w:rPr>
        <w:t>%（=结转结余总额/支出全年预算数*100%）。相较于上一年度，2024年的结转结余率有所下降</w:t>
      </w:r>
      <w:r>
        <w:rPr>
          <w:rFonts w:hint="eastAsia" w:ascii="仿宋_GB2312" w:eastAsia="仿宋_GB2312" w:cs="宋体"/>
          <w:color w:val="000000"/>
          <w:kern w:val="0"/>
          <w:sz w:val="32"/>
          <w:szCs w:val="32"/>
          <w:lang w:val="en-US" w:eastAsia="zh-CN" w:bidi="ar-SA"/>
        </w:rPr>
        <w:t>。</w:t>
      </w:r>
      <w:r>
        <w:rPr>
          <w:rFonts w:hint="eastAsia" w:ascii="仿宋_GB2312" w:hAnsi="宋体" w:eastAsia="仿宋_GB2312" w:cs="宋体"/>
          <w:color w:val="000000"/>
          <w:kern w:val="0"/>
          <w:sz w:val="32"/>
          <w:szCs w:val="32"/>
          <w:lang w:val="en-US" w:eastAsia="zh-CN" w:bidi="ar-SA"/>
        </w:rPr>
        <w:t>202</w:t>
      </w:r>
      <w:r>
        <w:rPr>
          <w:rFonts w:hint="eastAsia" w:ascii="仿宋_GB2312" w:eastAsia="仿宋_GB2312" w:cs="宋体"/>
          <w:color w:val="000000"/>
          <w:kern w:val="0"/>
          <w:sz w:val="32"/>
          <w:szCs w:val="32"/>
          <w:lang w:val="en-US" w:eastAsia="zh-CN" w:bidi="ar-SA"/>
        </w:rPr>
        <w:t>5</w:t>
      </w:r>
      <w:r>
        <w:rPr>
          <w:rFonts w:hint="eastAsia" w:ascii="仿宋_GB2312" w:hAnsi="宋体" w:eastAsia="仿宋_GB2312" w:cs="宋体"/>
          <w:color w:val="000000"/>
          <w:kern w:val="0"/>
          <w:sz w:val="32"/>
          <w:szCs w:val="32"/>
          <w:lang w:val="en-US" w:eastAsia="zh-CN" w:bidi="ar-SA"/>
        </w:rPr>
        <w:t>年，联合管委会将进一步强化资金统筹能力，加大预算执行力度，降低资金结转结余比率。</w:t>
      </w:r>
    </w:p>
    <w:p w14:paraId="3096C2B5">
      <w:pPr>
        <w:pStyle w:val="8"/>
        <w:keepNext w:val="0"/>
        <w:keepLines w:val="0"/>
        <w:pageBreakBefore w:val="0"/>
        <w:widowControl/>
        <w:numPr>
          <w:ilvl w:val="0"/>
          <w:numId w:val="0"/>
        </w:numPr>
        <w:suppressLineNumbers w:val="0"/>
        <w:kinsoku/>
        <w:wordWrap/>
        <w:overflowPunct/>
        <w:topLinePunct w:val="0"/>
        <w:autoSpaceDE/>
        <w:autoSpaceDN/>
        <w:bidi w:val="0"/>
        <w:adjustRightInd/>
        <w:spacing w:line="560" w:lineRule="exact"/>
        <w:ind w:left="0" w:leftChars="0" w:firstLine="620" w:firstLineChars="200"/>
        <w:jc w:val="both"/>
        <w:textAlignment w:val="auto"/>
        <w:rPr>
          <w:rFonts w:hint="eastAsia" w:ascii="楷体_GB2312" w:eastAsia="楷体_GB2312" w:cs="楷体_GB2312"/>
          <w:color w:val="000000"/>
          <w:sz w:val="31"/>
          <w:szCs w:val="31"/>
        </w:rPr>
      </w:pPr>
      <w:r>
        <w:rPr>
          <w:rFonts w:hint="eastAsia" w:ascii="楷体_GB2312" w:hAnsi="宋体" w:eastAsia="楷体_GB2312" w:cs="楷体_GB2312"/>
          <w:color w:val="000000"/>
          <w:kern w:val="0"/>
          <w:sz w:val="31"/>
          <w:szCs w:val="31"/>
          <w:lang w:val="en-US" w:eastAsia="zh-CN" w:bidi="ar"/>
        </w:rPr>
        <w:t>（</w:t>
      </w:r>
      <w:r>
        <w:rPr>
          <w:rFonts w:hint="eastAsia" w:ascii="楷体_GB2312" w:eastAsia="楷体_GB2312" w:cs="楷体_GB2312"/>
          <w:color w:val="000000"/>
          <w:kern w:val="0"/>
          <w:sz w:val="31"/>
          <w:szCs w:val="31"/>
          <w:lang w:val="en-US" w:eastAsia="zh-CN" w:bidi="ar"/>
        </w:rPr>
        <w:t>五</w:t>
      </w:r>
      <w:r>
        <w:rPr>
          <w:rFonts w:hint="eastAsia" w:ascii="楷体_GB2312" w:hAnsi="宋体" w:eastAsia="楷体_GB2312" w:cs="楷体_GB2312"/>
          <w:color w:val="000000"/>
          <w:kern w:val="0"/>
          <w:sz w:val="31"/>
          <w:szCs w:val="31"/>
          <w:lang w:val="en-US" w:eastAsia="zh-CN" w:bidi="ar"/>
        </w:rPr>
        <w:t>）</w:t>
      </w:r>
      <w:r>
        <w:rPr>
          <w:rFonts w:hint="eastAsia" w:ascii="楷体_GB2312" w:eastAsia="楷体_GB2312" w:cs="楷体_GB2312"/>
          <w:color w:val="000000"/>
          <w:sz w:val="31"/>
          <w:szCs w:val="31"/>
        </w:rPr>
        <w:t>部门预决算差异率</w:t>
      </w:r>
    </w:p>
    <w:p w14:paraId="4678FDE5">
      <w:pPr>
        <w:pStyle w:val="8"/>
        <w:keepNext w:val="0"/>
        <w:keepLines w:val="0"/>
        <w:pageBreakBefore w:val="0"/>
        <w:widowControl/>
        <w:numPr>
          <w:ilvl w:val="0"/>
          <w:numId w:val="0"/>
        </w:numPr>
        <w:suppressLineNumbers w:val="0"/>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2024年度，联合管委会年初预算数为3465.04万元，年末部门决算数为2646</w:t>
      </w:r>
      <w:r>
        <w:rPr>
          <w:rFonts w:hint="eastAsia" w:ascii="仿宋_GB2312" w:eastAsia="仿宋_GB2312" w:cs="宋体"/>
          <w:color w:val="000000"/>
          <w:kern w:val="0"/>
          <w:sz w:val="32"/>
          <w:szCs w:val="32"/>
          <w:lang w:val="en-US" w:eastAsia="zh-CN" w:bidi="ar-SA"/>
        </w:rPr>
        <w:t>.</w:t>
      </w:r>
      <w:r>
        <w:rPr>
          <w:rFonts w:hint="eastAsia" w:ascii="仿宋_GB2312" w:hAnsi="宋体" w:eastAsia="仿宋_GB2312" w:cs="宋体"/>
          <w:color w:val="000000"/>
          <w:kern w:val="0"/>
          <w:sz w:val="32"/>
          <w:szCs w:val="32"/>
          <w:lang w:val="en-US" w:eastAsia="zh-CN" w:bidi="ar-SA"/>
        </w:rPr>
        <w:t>55万元，部门预决算差异率为</w:t>
      </w:r>
      <w:r>
        <w:rPr>
          <w:rFonts w:hint="eastAsia" w:ascii="仿宋_GB2312" w:eastAsia="仿宋_GB2312" w:cs="宋体"/>
          <w:color w:val="000000"/>
          <w:kern w:val="0"/>
          <w:sz w:val="32"/>
          <w:szCs w:val="32"/>
          <w:lang w:val="en-US" w:eastAsia="zh-CN" w:bidi="ar-SA"/>
        </w:rPr>
        <w:t>23.62</w:t>
      </w:r>
      <w:r>
        <w:rPr>
          <w:rFonts w:hint="eastAsia" w:ascii="仿宋_GB2312" w:hAnsi="宋体" w:eastAsia="仿宋_GB2312" w:cs="宋体"/>
          <w:color w:val="000000"/>
          <w:kern w:val="0"/>
          <w:sz w:val="32"/>
          <w:szCs w:val="32"/>
          <w:lang w:val="en-US" w:eastAsia="zh-CN" w:bidi="ar-SA"/>
        </w:rPr>
        <w:t>%[=（部门年初预算数-部门决算数）/部门年初预算数*100%]</w:t>
      </w:r>
      <w:r>
        <w:rPr>
          <w:rFonts w:hint="eastAsia" w:ascii="仿宋_GB2312" w:eastAsia="仿宋_GB2312" w:cs="宋体"/>
          <w:color w:val="000000"/>
          <w:kern w:val="0"/>
          <w:sz w:val="32"/>
          <w:szCs w:val="32"/>
          <w:lang w:val="en-US" w:eastAsia="zh-CN" w:bidi="ar-SA"/>
        </w:rPr>
        <w:t>。本年度年内追加核减项目相对减少，年初预算编制较为合理有效。</w:t>
      </w:r>
    </w:p>
    <w:p w14:paraId="492AE16B">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20" w:firstLineChars="200"/>
        <w:jc w:val="both"/>
        <w:textAlignment w:val="auto"/>
      </w:pPr>
      <w:r>
        <w:rPr>
          <w:rFonts w:hint="default" w:ascii="CESI黑体-GB2312" w:hAnsi="CESI黑体-GB2312" w:eastAsia="CESI黑体-GB2312" w:cs="CESI黑体-GB2312"/>
          <w:color w:val="000000"/>
          <w:sz w:val="31"/>
          <w:szCs w:val="31"/>
        </w:rPr>
        <w:t>五、总体评价结论</w:t>
      </w:r>
    </w:p>
    <w:p w14:paraId="0AF0E961">
      <w:pPr>
        <w:pStyle w:val="8"/>
        <w:keepNext w:val="0"/>
        <w:keepLines w:val="0"/>
        <w:pageBreakBefore w:val="0"/>
        <w:widowControl/>
        <w:suppressLineNumbers w:val="0"/>
        <w:kinsoku/>
        <w:wordWrap/>
        <w:overflowPunct/>
        <w:topLinePunct w:val="0"/>
        <w:autoSpaceDE/>
        <w:autoSpaceDN/>
        <w:bidi w:val="0"/>
        <w:adjustRightInd/>
        <w:spacing w:line="560" w:lineRule="exact"/>
        <w:ind w:left="0" w:leftChars="0" w:firstLine="620" w:firstLineChars="200"/>
        <w:jc w:val="both"/>
        <w:textAlignment w:val="auto"/>
        <w:rPr>
          <w:rFonts w:hint="eastAsia" w:ascii="楷体_GB2312" w:eastAsia="楷体_GB2312" w:cs="楷体_GB2312"/>
          <w:color w:val="000000"/>
          <w:sz w:val="31"/>
          <w:szCs w:val="31"/>
        </w:rPr>
      </w:pPr>
      <w:r>
        <w:rPr>
          <w:rFonts w:hint="eastAsia" w:ascii="楷体_GB2312" w:eastAsia="楷体_GB2312" w:cs="楷体_GB2312"/>
          <w:color w:val="000000"/>
          <w:sz w:val="31"/>
          <w:szCs w:val="31"/>
        </w:rPr>
        <w:t>（一）评价得分情况</w:t>
      </w:r>
    </w:p>
    <w:p w14:paraId="1C4E9273">
      <w:pPr>
        <w:pStyle w:val="2"/>
        <w:keepNext w:val="0"/>
        <w:keepLines w:val="0"/>
        <w:pageBreakBefore w:val="0"/>
        <w:numPr>
          <w:ilvl w:val="0"/>
          <w:numId w:val="0"/>
        </w:numPr>
        <w:kinsoku/>
        <w:wordWrap/>
        <w:overflowPunct/>
        <w:topLinePunct w:val="0"/>
        <w:autoSpaceDE/>
        <w:autoSpaceDN/>
        <w:bidi w:val="0"/>
        <w:adjustRightInd/>
        <w:spacing w:line="560" w:lineRule="exact"/>
        <w:ind w:left="0" w:leftChars="0" w:firstLine="640" w:firstLineChars="200"/>
        <w:jc w:val="both"/>
        <w:textAlignment w:val="auto"/>
        <w:rPr>
          <w:rFonts w:hint="default" w:eastAsia="宋体"/>
          <w:lang w:val="en-US" w:eastAsia="zh-CN"/>
        </w:rPr>
      </w:pPr>
      <w:r>
        <w:rPr>
          <w:rFonts w:hint="eastAsia" w:ascii="仿宋_GB2312" w:hAnsi="宋体" w:eastAsia="仿宋_GB2312" w:cs="宋体"/>
          <w:color w:val="000000"/>
          <w:kern w:val="0"/>
          <w:sz w:val="32"/>
          <w:szCs w:val="32"/>
          <w:lang w:val="en-US" w:eastAsia="zh-CN" w:bidi="ar-SA"/>
        </w:rPr>
        <w:t>2024年，联合管委会着重强化工作定位，优化管理效能，较好地完成了全年各项工作目标任务。根据市财政局制定的部门整体支出绩效评价指标体系框架及评分标准，同时结合联合管委会的实际情况，经综合评价后，联合管委会的部门整体绩效评价综合得分95.28分，具体评分见《北京大兴国际机场临空经济区联合管理委员会2024年度部门整体绩效评价指标体系评分表》。</w:t>
      </w:r>
    </w:p>
    <w:p w14:paraId="10B4EDA3">
      <w:pPr>
        <w:pStyle w:val="8"/>
        <w:keepNext w:val="0"/>
        <w:keepLines w:val="0"/>
        <w:pageBreakBefore w:val="0"/>
        <w:widowControl/>
        <w:numPr>
          <w:ilvl w:val="0"/>
          <w:numId w:val="0"/>
        </w:numPr>
        <w:kinsoku/>
        <w:wordWrap/>
        <w:overflowPunct/>
        <w:topLinePunct w:val="0"/>
        <w:autoSpaceDE/>
        <w:autoSpaceDN/>
        <w:bidi w:val="0"/>
        <w:adjustRightInd/>
        <w:spacing w:line="560" w:lineRule="exact"/>
        <w:ind w:left="0" w:leftChars="0" w:firstLine="620" w:firstLineChars="200"/>
        <w:jc w:val="both"/>
        <w:textAlignment w:val="auto"/>
        <w:rPr>
          <w:rFonts w:ascii="楷体_GB2312" w:hAnsi="宋体" w:eastAsia="楷体_GB2312" w:cs="楷体_GB2312"/>
          <w:color w:val="000000"/>
          <w:kern w:val="0"/>
          <w:sz w:val="31"/>
          <w:szCs w:val="31"/>
          <w:lang w:bidi="ar"/>
        </w:rPr>
      </w:pPr>
      <w:r>
        <w:rPr>
          <w:rFonts w:ascii="楷体_GB2312" w:hAnsi="宋体" w:eastAsia="楷体_GB2312" w:cs="楷体_GB2312"/>
          <w:color w:val="000000"/>
          <w:kern w:val="0"/>
          <w:sz w:val="31"/>
          <w:szCs w:val="31"/>
          <w:lang w:bidi="ar"/>
        </w:rPr>
        <w:t>（二）存在的问题及原因分析</w:t>
      </w:r>
    </w:p>
    <w:p w14:paraId="685EED60">
      <w:pPr>
        <w:pStyle w:val="8"/>
        <w:keepNext w:val="0"/>
        <w:keepLines w:val="0"/>
        <w:pageBreakBefore w:val="0"/>
        <w:widowControl/>
        <w:numPr>
          <w:ilvl w:val="0"/>
          <w:numId w:val="0"/>
        </w:numPr>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一是</w:t>
      </w:r>
      <w:r>
        <w:rPr>
          <w:rFonts w:ascii="仿宋_GB2312" w:hAnsi="宋体" w:eastAsia="仿宋_GB2312" w:cs="宋体"/>
          <w:color w:val="000000"/>
          <w:kern w:val="0"/>
          <w:sz w:val="32"/>
          <w:szCs w:val="32"/>
          <w:lang w:bidi="ar-SA"/>
        </w:rPr>
        <w:t>年末结转结余率较高。这一现象的主要原因在于部门尚处于建设与成立的初期阶段，对各项财政资金的需求评估不够细致，导致年末结转结余率偏高。</w:t>
      </w:r>
      <w:r>
        <w:rPr>
          <w:rFonts w:hint="eastAsia" w:ascii="仿宋_GB2312" w:hAnsi="宋体" w:eastAsia="仿宋_GB2312" w:cs="宋体"/>
          <w:color w:val="000000"/>
          <w:kern w:val="0"/>
          <w:sz w:val="32"/>
          <w:szCs w:val="32"/>
          <w:lang w:val="en-US" w:eastAsia="zh-CN" w:bidi="ar-SA"/>
        </w:rPr>
        <w:t>二是</w:t>
      </w:r>
      <w:r>
        <w:rPr>
          <w:rFonts w:ascii="仿宋_GB2312" w:hAnsi="宋体" w:eastAsia="仿宋_GB2312" w:cs="宋体"/>
          <w:color w:val="000000"/>
          <w:kern w:val="0"/>
          <w:sz w:val="32"/>
          <w:szCs w:val="32"/>
          <w:lang w:bidi="ar-SA"/>
        </w:rPr>
        <w:t>项目相关的管理方法需要进一步更新和完善，特别要关注项目实施方案，明确实施部门在项目过程管理、监督检查以及验收流程等方面的具体要求，以增强项目实施方案的规范性和有效性。</w:t>
      </w:r>
    </w:p>
    <w:p w14:paraId="1C57DBEC">
      <w:pPr>
        <w:keepNext w:val="0"/>
        <w:keepLines w:val="0"/>
        <w:pageBreakBefore w:val="0"/>
        <w:widowControl/>
        <w:suppressLineNumbers w:val="0"/>
        <w:kinsoku/>
        <w:wordWrap/>
        <w:overflowPunct/>
        <w:topLinePunct w:val="0"/>
        <w:autoSpaceDE/>
        <w:autoSpaceDN/>
        <w:bidi w:val="0"/>
        <w:adjustRightInd/>
        <w:spacing w:line="560" w:lineRule="exact"/>
        <w:ind w:left="0" w:leftChars="0" w:firstLine="620" w:firstLineChars="200"/>
        <w:jc w:val="both"/>
        <w:textAlignment w:val="auto"/>
      </w:pPr>
      <w:r>
        <w:rPr>
          <w:rFonts w:hint="default" w:ascii="CESI黑体-GB2312" w:hAnsi="CESI黑体-GB2312" w:eastAsia="CESI黑体-GB2312" w:cs="CESI黑体-GB2312"/>
          <w:color w:val="000000"/>
          <w:kern w:val="0"/>
          <w:sz w:val="31"/>
          <w:szCs w:val="31"/>
          <w:lang w:val="en-US" w:eastAsia="zh-CN" w:bidi="ar"/>
        </w:rPr>
        <w:t>六、措施建议</w:t>
      </w:r>
    </w:p>
    <w:p w14:paraId="03E02109">
      <w:pPr>
        <w:keepNext w:val="0"/>
        <w:keepLines w:val="0"/>
        <w:pageBreakBefore w:val="0"/>
        <w:widowControl w:val="0"/>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宋体"/>
          <w:color w:val="000000"/>
          <w:kern w:val="0"/>
          <w:sz w:val="32"/>
          <w:szCs w:val="32"/>
          <w:lang w:val="en-US" w:eastAsia="zh-CN" w:bidi="ar-SA"/>
        </w:rPr>
      </w:pPr>
      <w:r>
        <w:rPr>
          <w:rFonts w:ascii="仿宋_GB2312" w:hAnsi="宋体" w:eastAsia="仿宋_GB2312" w:cs="宋体"/>
          <w:color w:val="000000"/>
          <w:kern w:val="0"/>
          <w:sz w:val="32"/>
          <w:szCs w:val="32"/>
          <w:lang w:bidi="ar-SA"/>
        </w:rPr>
        <w:t>首先，需制定详尽的项目实施计划，涵盖每个阶段的明确任务、时间安排、负责人选以及资源需求等要素，以确保项目团队对实施计划有明确的理解。其次，进行风险评估并拟定应对措施，进一步加强进度监控，对于进度出现延迟的项目任务，及时采取措施加速流程，保证项目能够依照既定计划顺利</w:t>
      </w:r>
      <w:r>
        <w:rPr>
          <w:rFonts w:hint="eastAsia" w:ascii="仿宋_GB2312" w:hAnsi="宋体" w:eastAsia="仿宋_GB2312" w:cs="宋体"/>
          <w:color w:val="000000"/>
          <w:kern w:val="0"/>
          <w:sz w:val="32"/>
          <w:szCs w:val="32"/>
          <w:lang w:val="en-US" w:eastAsia="zh-CN" w:bidi="ar-SA"/>
        </w:rPr>
        <w:t>推进。</w:t>
      </w:r>
    </w:p>
    <w:p w14:paraId="1D303807">
      <w:pPr>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br w:type="page"/>
      </w:r>
    </w:p>
    <w:p w14:paraId="7A29B237">
      <w:pPr>
        <w:pStyle w:val="2"/>
        <w:rPr>
          <w:rFonts w:hint="eastAsia"/>
          <w:lang w:val="en-US" w:eastAsia="zh-CN"/>
        </w:rPr>
        <w:sectPr>
          <w:footerReference r:id="rId3" w:type="default"/>
          <w:pgSz w:w="11906" w:h="16838"/>
          <w:pgMar w:top="2098" w:right="1474" w:bottom="1984" w:left="1587" w:header="851" w:footer="992" w:gutter="0"/>
          <w:pgNumType w:fmt="numberInDash"/>
          <w:cols w:space="425" w:num="1"/>
          <w:docGrid w:type="lines" w:linePitch="312" w:charSpace="0"/>
        </w:sectPr>
      </w:pPr>
    </w:p>
    <w:p w14:paraId="1C43E252">
      <w:pPr>
        <w:pStyle w:val="2"/>
        <w:ind w:left="0" w:leftChars="0" w:firstLine="0" w:firstLineChars="0"/>
        <w:rPr>
          <w:rFonts w:hint="eastAsia"/>
          <w:lang w:val="en-US" w:eastAsia="zh-CN"/>
        </w:rPr>
      </w:pPr>
    </w:p>
    <w:tbl>
      <w:tblPr>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32" w:type="dxa"/>
          <w:left w:w="64" w:type="dxa"/>
          <w:bottom w:w="32" w:type="dxa"/>
          <w:right w:w="64" w:type="dxa"/>
        </w:tblCellMar>
      </w:tblPr>
      <w:tblGrid>
        <w:gridCol w:w="893"/>
        <w:gridCol w:w="868"/>
        <w:gridCol w:w="1086"/>
        <w:gridCol w:w="2423"/>
        <w:gridCol w:w="2543"/>
        <w:gridCol w:w="528"/>
        <w:gridCol w:w="632"/>
      </w:tblGrid>
      <w:tr w14:paraId="00731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32" w:type="dxa"/>
            <w:left w:w="64" w:type="dxa"/>
            <w:bottom w:w="32" w:type="dxa"/>
            <w:right w:w="64" w:type="dxa"/>
          </w:tblCellMar>
        </w:tblPrEx>
        <w:trPr>
          <w:trHeight w:val="0" w:hRule="atLeast"/>
          <w:jc w:val="center"/>
        </w:trPr>
        <w:tc>
          <w:tcPr>
            <w:tcW w:w="5000" w:type="pct"/>
            <w:gridSpan w:val="7"/>
            <w:tcBorders>
              <w:top w:val="nil"/>
              <w:left w:val="nil"/>
              <w:bottom w:val="nil"/>
              <w:right w:val="nil"/>
            </w:tcBorders>
            <w:shd w:val="clear"/>
            <w:noWrap/>
            <w:vAlign w:val="center"/>
          </w:tcPr>
          <w:p w14:paraId="33776E9B">
            <w:pPr>
              <w:keepNext w:val="0"/>
              <w:keepLines w:val="0"/>
              <w:widowControl/>
              <w:suppressLineNumbers w:val="0"/>
              <w:snapToGrid w:val="0"/>
              <w:jc w:val="center"/>
              <w:textAlignment w:val="center"/>
              <w:rPr>
                <w:rFonts w:ascii="方正小标宋简体" w:hAnsi="方正小标宋简体" w:eastAsia="方正小标宋简体" w:cs="方正小标宋简体"/>
                <w:i w:val="0"/>
                <w:iCs w:val="0"/>
                <w:color w:val="000000"/>
                <w:sz w:val="52"/>
                <w:szCs w:val="52"/>
                <w:u w:val="none"/>
              </w:rPr>
            </w:pPr>
            <w:r>
              <w:rPr>
                <w:rFonts w:hint="eastAsia" w:ascii="方正小标宋简体" w:hAnsi="方正小标宋简体" w:eastAsia="方正小标宋简体" w:cs="方正小标宋简体"/>
                <w:i w:val="0"/>
                <w:iCs w:val="0"/>
                <w:color w:val="000000"/>
                <w:kern w:val="0"/>
                <w:sz w:val="48"/>
                <w:szCs w:val="48"/>
                <w:u w:val="none"/>
                <w:bdr w:val="none" w:color="auto" w:sz="0" w:space="0"/>
                <w:lang w:val="en-US" w:eastAsia="zh-CN" w:bidi="ar"/>
              </w:rPr>
              <w:t>2024年部门整体绩效评价指标体系评分表</w:t>
            </w:r>
          </w:p>
        </w:tc>
      </w:tr>
      <w:tr w14:paraId="53304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32" w:type="dxa"/>
            <w:left w:w="64" w:type="dxa"/>
            <w:bottom w:w="32" w:type="dxa"/>
            <w:right w:w="64" w:type="dxa"/>
          </w:tblCellMar>
        </w:tblPrEx>
        <w:trPr>
          <w:trHeight w:val="553" w:hRule="atLeast"/>
          <w:jc w:val="center"/>
        </w:trPr>
        <w:tc>
          <w:tcPr>
            <w:tcW w:w="5000" w:type="pct"/>
            <w:gridSpan w:val="7"/>
            <w:tcBorders>
              <w:top w:val="single" w:color="000000" w:sz="4" w:space="0"/>
              <w:left w:val="single" w:color="000000" w:sz="4" w:space="0"/>
              <w:bottom w:val="single" w:color="000000" w:sz="4" w:space="0"/>
              <w:right w:val="single" w:color="000000" w:sz="4" w:space="0"/>
            </w:tcBorders>
            <w:shd w:val="clear"/>
            <w:vAlign w:val="center"/>
          </w:tcPr>
          <w:p w14:paraId="63ABC240">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Style w:val="12"/>
                <w:bdr w:val="none" w:color="auto" w:sz="0" w:space="0"/>
                <w:lang w:val="en-US" w:eastAsia="zh-CN" w:bidi="ar"/>
              </w:rPr>
              <w:t>一、</w:t>
            </w:r>
            <w:r>
              <w:rPr>
                <w:rStyle w:val="13"/>
                <w:bdr w:val="none" w:color="auto" w:sz="0" w:space="0"/>
                <w:lang w:val="en-US" w:eastAsia="zh-CN" w:bidi="ar"/>
              </w:rPr>
              <w:t>当年预算执行情况（20分）</w:t>
            </w:r>
          </w:p>
        </w:tc>
      </w:tr>
      <w:tr w14:paraId="65802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32" w:type="dxa"/>
            <w:left w:w="64" w:type="dxa"/>
            <w:bottom w:w="32" w:type="dxa"/>
            <w:right w:w="64" w:type="dxa"/>
          </w:tblCellMar>
        </w:tblPrEx>
        <w:trPr>
          <w:trHeight w:val="0" w:hRule="atLeast"/>
          <w:jc w:val="center"/>
        </w:trPr>
        <w:tc>
          <w:tcPr>
            <w:tcW w:w="498" w:type="pct"/>
            <w:tcBorders>
              <w:top w:val="single" w:color="000000" w:sz="4" w:space="0"/>
              <w:left w:val="single" w:color="000000" w:sz="4" w:space="0"/>
              <w:bottom w:val="single" w:color="000000" w:sz="4" w:space="0"/>
              <w:right w:val="single" w:color="000000" w:sz="4" w:space="0"/>
            </w:tcBorders>
            <w:shd w:val="clear"/>
            <w:vAlign w:val="center"/>
          </w:tcPr>
          <w:p w14:paraId="314EDE90">
            <w:pPr>
              <w:keepNext w:val="0"/>
              <w:keepLines w:val="0"/>
              <w:widowControl/>
              <w:suppressLineNumbers w:val="0"/>
              <w:snapToGrid w:val="0"/>
              <w:jc w:val="center"/>
              <w:textAlignment w:val="center"/>
              <w:rPr>
                <w:rFonts w:hint="eastAsia" w:ascii="宋体" w:hAnsi="宋体" w:eastAsia="宋体" w:cs="宋体"/>
                <w:i w:val="0"/>
                <w:iCs w:val="0"/>
                <w:color w:val="000000"/>
                <w:kern w:val="0"/>
                <w:sz w:val="20"/>
                <w:szCs w:val="20"/>
                <w:u w:val="none"/>
                <w:bdr w:val="none" w:color="auto" w:sz="0" w:space="0"/>
                <w:lang w:val="en-US" w:eastAsia="zh-CN" w:bidi="ar"/>
              </w:rPr>
            </w:pPr>
            <w:r>
              <w:rPr>
                <w:rFonts w:hint="eastAsia" w:ascii="宋体" w:hAnsi="宋体" w:eastAsia="宋体" w:cs="宋体"/>
                <w:i w:val="0"/>
                <w:iCs w:val="0"/>
                <w:color w:val="000000"/>
                <w:kern w:val="0"/>
                <w:sz w:val="20"/>
                <w:szCs w:val="20"/>
                <w:u w:val="none"/>
                <w:bdr w:val="none" w:color="auto" w:sz="0" w:space="0"/>
                <w:lang w:val="en-US" w:eastAsia="zh-CN" w:bidi="ar"/>
              </w:rPr>
              <w:t>一级</w:t>
            </w:r>
          </w:p>
          <w:p w14:paraId="1EA70194">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指标　</w:t>
            </w:r>
          </w:p>
        </w:tc>
        <w:tc>
          <w:tcPr>
            <w:tcW w:w="484" w:type="pct"/>
            <w:tcBorders>
              <w:top w:val="single" w:color="000000" w:sz="4" w:space="0"/>
              <w:left w:val="single" w:color="000000" w:sz="4" w:space="0"/>
              <w:bottom w:val="single" w:color="000000" w:sz="4" w:space="0"/>
              <w:right w:val="single" w:color="000000" w:sz="4" w:space="0"/>
            </w:tcBorders>
            <w:shd w:val="clear"/>
            <w:vAlign w:val="center"/>
          </w:tcPr>
          <w:p w14:paraId="40AD848B">
            <w:pPr>
              <w:keepNext w:val="0"/>
              <w:keepLines w:val="0"/>
              <w:widowControl/>
              <w:suppressLineNumbers w:val="0"/>
              <w:snapToGrid w:val="0"/>
              <w:jc w:val="center"/>
              <w:textAlignment w:val="center"/>
              <w:rPr>
                <w:rFonts w:hint="eastAsia" w:ascii="宋体" w:hAnsi="宋体" w:eastAsia="宋体" w:cs="宋体"/>
                <w:i w:val="0"/>
                <w:iCs w:val="0"/>
                <w:color w:val="000000"/>
                <w:kern w:val="0"/>
                <w:sz w:val="20"/>
                <w:szCs w:val="20"/>
                <w:u w:val="none"/>
                <w:bdr w:val="none" w:color="auto" w:sz="0" w:space="0"/>
                <w:lang w:val="en-US" w:eastAsia="zh-CN" w:bidi="ar"/>
              </w:rPr>
            </w:pPr>
            <w:r>
              <w:rPr>
                <w:rFonts w:hint="eastAsia" w:ascii="宋体" w:hAnsi="宋体" w:eastAsia="宋体" w:cs="宋体"/>
                <w:i w:val="0"/>
                <w:iCs w:val="0"/>
                <w:color w:val="000000"/>
                <w:kern w:val="0"/>
                <w:sz w:val="20"/>
                <w:szCs w:val="20"/>
                <w:u w:val="none"/>
                <w:bdr w:val="none" w:color="auto" w:sz="0" w:space="0"/>
                <w:lang w:val="en-US" w:eastAsia="zh-CN" w:bidi="ar"/>
              </w:rPr>
              <w:t>二级</w:t>
            </w:r>
          </w:p>
          <w:p w14:paraId="730471B4">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指标　</w:t>
            </w:r>
          </w:p>
        </w:tc>
        <w:tc>
          <w:tcPr>
            <w:tcW w:w="605" w:type="pct"/>
            <w:tcBorders>
              <w:top w:val="single" w:color="000000" w:sz="4" w:space="0"/>
              <w:left w:val="single" w:color="000000" w:sz="4" w:space="0"/>
              <w:bottom w:val="single" w:color="000000" w:sz="4" w:space="0"/>
              <w:right w:val="single" w:color="000000" w:sz="4" w:space="0"/>
            </w:tcBorders>
            <w:shd w:val="clear"/>
            <w:vAlign w:val="center"/>
          </w:tcPr>
          <w:p w14:paraId="76659EC0">
            <w:pPr>
              <w:keepNext w:val="0"/>
              <w:keepLines w:val="0"/>
              <w:widowControl/>
              <w:suppressLineNumbers w:val="0"/>
              <w:snapToGrid w:val="0"/>
              <w:jc w:val="center"/>
              <w:textAlignment w:val="center"/>
              <w:rPr>
                <w:rFonts w:hint="eastAsia" w:ascii="宋体" w:hAnsi="宋体" w:eastAsia="宋体" w:cs="宋体"/>
                <w:i w:val="0"/>
                <w:iCs w:val="0"/>
                <w:color w:val="000000"/>
                <w:kern w:val="0"/>
                <w:sz w:val="20"/>
                <w:szCs w:val="20"/>
                <w:u w:val="none"/>
                <w:bdr w:val="none" w:color="auto" w:sz="0" w:space="0"/>
                <w:lang w:val="en-US" w:eastAsia="zh-CN" w:bidi="ar"/>
              </w:rPr>
            </w:pPr>
            <w:r>
              <w:rPr>
                <w:rFonts w:hint="eastAsia" w:ascii="宋体" w:hAnsi="宋体" w:eastAsia="宋体" w:cs="宋体"/>
                <w:i w:val="0"/>
                <w:iCs w:val="0"/>
                <w:color w:val="000000"/>
                <w:kern w:val="0"/>
                <w:sz w:val="20"/>
                <w:szCs w:val="20"/>
                <w:u w:val="none"/>
                <w:bdr w:val="none" w:color="auto" w:sz="0" w:space="0"/>
                <w:lang w:val="en-US" w:eastAsia="zh-CN" w:bidi="ar"/>
              </w:rPr>
              <w:t>预算数</w:t>
            </w:r>
          </w:p>
          <w:p w14:paraId="38BB58E4">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（万元）</w:t>
            </w:r>
          </w:p>
        </w:tc>
        <w:tc>
          <w:tcPr>
            <w:tcW w:w="1350" w:type="pct"/>
            <w:tcBorders>
              <w:top w:val="single" w:color="000000" w:sz="4" w:space="0"/>
              <w:left w:val="single" w:color="000000" w:sz="4" w:space="0"/>
              <w:bottom w:val="single" w:color="000000" w:sz="4" w:space="0"/>
              <w:right w:val="single" w:color="000000" w:sz="4" w:space="0"/>
            </w:tcBorders>
            <w:shd w:val="clear"/>
            <w:vAlign w:val="center"/>
          </w:tcPr>
          <w:p w14:paraId="6DE67229">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执行数（万元）</w:t>
            </w:r>
          </w:p>
        </w:tc>
        <w:tc>
          <w:tcPr>
            <w:tcW w:w="1415" w:type="pct"/>
            <w:tcBorders>
              <w:top w:val="single" w:color="000000" w:sz="4" w:space="0"/>
              <w:left w:val="single" w:color="000000" w:sz="4" w:space="0"/>
              <w:bottom w:val="single" w:color="000000" w:sz="4" w:space="0"/>
              <w:right w:val="single" w:color="000000" w:sz="4" w:space="0"/>
            </w:tcBorders>
            <w:shd w:val="clear"/>
            <w:vAlign w:val="center"/>
          </w:tcPr>
          <w:p w14:paraId="51913A0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预算执行率</w:t>
            </w:r>
          </w:p>
        </w:tc>
        <w:tc>
          <w:tcPr>
            <w:tcW w:w="294" w:type="pct"/>
            <w:tcBorders>
              <w:top w:val="single" w:color="000000" w:sz="4" w:space="0"/>
              <w:left w:val="single" w:color="000000" w:sz="4" w:space="0"/>
              <w:bottom w:val="single" w:color="000000" w:sz="4" w:space="0"/>
              <w:right w:val="single" w:color="000000" w:sz="4" w:space="0"/>
            </w:tcBorders>
            <w:shd w:val="clear"/>
            <w:vAlign w:val="center"/>
          </w:tcPr>
          <w:p w14:paraId="07FE783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分值</w:t>
            </w:r>
          </w:p>
        </w:tc>
        <w:tc>
          <w:tcPr>
            <w:tcW w:w="351" w:type="pct"/>
            <w:tcBorders>
              <w:top w:val="single" w:color="000000" w:sz="4" w:space="0"/>
              <w:left w:val="single" w:color="000000" w:sz="4" w:space="0"/>
              <w:bottom w:val="single" w:color="000000" w:sz="4" w:space="0"/>
              <w:right w:val="single" w:color="000000" w:sz="4" w:space="0"/>
            </w:tcBorders>
            <w:shd w:val="clear"/>
            <w:vAlign w:val="center"/>
          </w:tcPr>
          <w:p w14:paraId="7A085BB0">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得分</w:t>
            </w:r>
          </w:p>
        </w:tc>
      </w:tr>
      <w:tr w14:paraId="6999E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32" w:type="dxa"/>
            <w:left w:w="64" w:type="dxa"/>
            <w:bottom w:w="32" w:type="dxa"/>
            <w:right w:w="64" w:type="dxa"/>
          </w:tblCellMar>
        </w:tblPrEx>
        <w:trPr>
          <w:trHeight w:val="0" w:hRule="atLeast"/>
          <w:jc w:val="center"/>
        </w:trPr>
        <w:tc>
          <w:tcPr>
            <w:tcW w:w="498" w:type="pct"/>
            <w:vMerge w:val="restart"/>
            <w:tcBorders>
              <w:top w:val="single" w:color="000000" w:sz="4" w:space="0"/>
              <w:left w:val="single" w:color="000000" w:sz="4" w:space="0"/>
              <w:bottom w:val="single" w:color="000000" w:sz="4" w:space="0"/>
              <w:right w:val="single" w:color="000000" w:sz="4" w:space="0"/>
            </w:tcBorders>
            <w:shd w:val="clear"/>
            <w:vAlign w:val="center"/>
          </w:tcPr>
          <w:p w14:paraId="4B6723AC">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当年预算执行情况（20）</w:t>
            </w:r>
          </w:p>
        </w:tc>
        <w:tc>
          <w:tcPr>
            <w:tcW w:w="484" w:type="pct"/>
            <w:tcBorders>
              <w:top w:val="single" w:color="000000" w:sz="4" w:space="0"/>
              <w:left w:val="single" w:color="000000" w:sz="4" w:space="0"/>
              <w:bottom w:val="single" w:color="000000" w:sz="4" w:space="0"/>
              <w:right w:val="single" w:color="000000" w:sz="4" w:space="0"/>
            </w:tcBorders>
            <w:shd w:val="clear"/>
            <w:vAlign w:val="center"/>
          </w:tcPr>
          <w:p w14:paraId="17B3E45C">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资金总体</w:t>
            </w:r>
          </w:p>
        </w:tc>
        <w:tc>
          <w:tcPr>
            <w:tcW w:w="605" w:type="pct"/>
            <w:tcBorders>
              <w:top w:val="single" w:color="000000" w:sz="4" w:space="0"/>
              <w:left w:val="single" w:color="000000" w:sz="4" w:space="0"/>
              <w:bottom w:val="single" w:color="000000" w:sz="4" w:space="0"/>
              <w:right w:val="single" w:color="000000" w:sz="4" w:space="0"/>
            </w:tcBorders>
            <w:shd w:val="clear"/>
            <w:vAlign w:val="center"/>
          </w:tcPr>
          <w:p w14:paraId="16B9D05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3,465.04 </w:t>
            </w:r>
          </w:p>
        </w:tc>
        <w:tc>
          <w:tcPr>
            <w:tcW w:w="1350" w:type="pct"/>
            <w:tcBorders>
              <w:top w:val="single" w:color="000000" w:sz="4" w:space="0"/>
              <w:left w:val="single" w:color="000000" w:sz="4" w:space="0"/>
              <w:bottom w:val="single" w:color="000000" w:sz="4" w:space="0"/>
              <w:right w:val="single" w:color="000000" w:sz="4" w:space="0"/>
            </w:tcBorders>
            <w:shd w:val="clear"/>
            <w:vAlign w:val="center"/>
          </w:tcPr>
          <w:p w14:paraId="4ADD9B5B">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2,646.55 </w:t>
            </w:r>
          </w:p>
        </w:tc>
        <w:tc>
          <w:tcPr>
            <w:tcW w:w="1415" w:type="pct"/>
            <w:tcBorders>
              <w:top w:val="single" w:color="000000" w:sz="4" w:space="0"/>
              <w:left w:val="single" w:color="000000" w:sz="4" w:space="0"/>
              <w:bottom w:val="single" w:color="000000" w:sz="4" w:space="0"/>
              <w:right w:val="single" w:color="000000" w:sz="4" w:space="0"/>
            </w:tcBorders>
            <w:shd w:val="clear"/>
            <w:vAlign w:val="center"/>
          </w:tcPr>
          <w:p w14:paraId="277B1A9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76.38%</w:t>
            </w:r>
          </w:p>
        </w:tc>
        <w:tc>
          <w:tcPr>
            <w:tcW w:w="294" w:type="pct"/>
            <w:vMerge w:val="restart"/>
            <w:tcBorders>
              <w:top w:val="single" w:color="000000" w:sz="4" w:space="0"/>
              <w:left w:val="single" w:color="000000" w:sz="4" w:space="0"/>
              <w:bottom w:val="single" w:color="000000" w:sz="4" w:space="0"/>
              <w:right w:val="single" w:color="000000" w:sz="4" w:space="0"/>
            </w:tcBorders>
            <w:shd w:val="clear"/>
            <w:noWrap/>
            <w:vAlign w:val="center"/>
          </w:tcPr>
          <w:p w14:paraId="5670BBC1">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351" w:type="pct"/>
            <w:vMerge w:val="restart"/>
            <w:tcBorders>
              <w:top w:val="single" w:color="000000" w:sz="4" w:space="0"/>
              <w:left w:val="single" w:color="000000" w:sz="4" w:space="0"/>
              <w:bottom w:val="single" w:color="000000" w:sz="4" w:space="0"/>
              <w:right w:val="single" w:color="000000" w:sz="4" w:space="0"/>
            </w:tcBorders>
            <w:shd w:val="clear"/>
            <w:noWrap/>
            <w:vAlign w:val="center"/>
          </w:tcPr>
          <w:p w14:paraId="1E7B6580">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15.28 </w:t>
            </w:r>
          </w:p>
        </w:tc>
      </w:tr>
      <w:tr w14:paraId="08B97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49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8AADA36">
            <w:pPr>
              <w:snapToGrid w:val="0"/>
              <w:jc w:val="center"/>
              <w:rPr>
                <w:rFonts w:hint="eastAsia" w:ascii="宋体" w:hAnsi="宋体" w:eastAsia="宋体" w:cs="宋体"/>
                <w:i w:val="0"/>
                <w:iCs w:val="0"/>
                <w:color w:val="000000"/>
                <w:sz w:val="20"/>
                <w:szCs w:val="20"/>
                <w:u w:val="none"/>
              </w:rPr>
            </w:pPr>
          </w:p>
        </w:tc>
        <w:tc>
          <w:tcPr>
            <w:tcW w:w="484" w:type="pct"/>
            <w:tcBorders>
              <w:top w:val="single" w:color="000000" w:sz="4" w:space="0"/>
              <w:left w:val="single" w:color="000000" w:sz="4" w:space="0"/>
              <w:bottom w:val="single" w:color="000000" w:sz="4" w:space="0"/>
              <w:right w:val="single" w:color="000000" w:sz="4" w:space="0"/>
            </w:tcBorders>
            <w:shd w:val="clear"/>
            <w:vAlign w:val="center"/>
          </w:tcPr>
          <w:p w14:paraId="147D7025">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基本支出</w:t>
            </w:r>
          </w:p>
        </w:tc>
        <w:tc>
          <w:tcPr>
            <w:tcW w:w="605" w:type="pct"/>
            <w:tcBorders>
              <w:top w:val="single" w:color="000000" w:sz="4" w:space="0"/>
              <w:left w:val="single" w:color="000000" w:sz="4" w:space="0"/>
              <w:bottom w:val="single" w:color="000000" w:sz="4" w:space="0"/>
              <w:right w:val="single" w:color="000000" w:sz="4" w:space="0"/>
            </w:tcBorders>
            <w:shd w:val="clear"/>
            <w:vAlign w:val="center"/>
          </w:tcPr>
          <w:p w14:paraId="6C419BF8">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2,101.36 </w:t>
            </w:r>
          </w:p>
        </w:tc>
        <w:tc>
          <w:tcPr>
            <w:tcW w:w="1350" w:type="pct"/>
            <w:tcBorders>
              <w:top w:val="single" w:color="000000" w:sz="4" w:space="0"/>
              <w:left w:val="single" w:color="000000" w:sz="4" w:space="0"/>
              <w:bottom w:val="single" w:color="000000" w:sz="4" w:space="0"/>
              <w:right w:val="single" w:color="000000" w:sz="4" w:space="0"/>
            </w:tcBorders>
            <w:shd w:val="clear"/>
            <w:vAlign w:val="center"/>
          </w:tcPr>
          <w:p w14:paraId="4DBB6753">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1,622.99 </w:t>
            </w:r>
          </w:p>
        </w:tc>
        <w:tc>
          <w:tcPr>
            <w:tcW w:w="1415" w:type="pct"/>
            <w:vMerge w:val="restart"/>
            <w:tcBorders>
              <w:top w:val="single" w:color="000000" w:sz="4" w:space="0"/>
              <w:left w:val="single" w:color="000000" w:sz="4" w:space="0"/>
              <w:bottom w:val="single" w:color="000000" w:sz="4" w:space="0"/>
              <w:right w:val="single" w:color="000000" w:sz="4" w:space="0"/>
            </w:tcBorders>
            <w:shd w:val="clear"/>
            <w:vAlign w:val="center"/>
          </w:tcPr>
          <w:p w14:paraId="43DCC841">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c>
          <w:tcPr>
            <w:tcW w:w="294"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5CEAF1BA">
            <w:pPr>
              <w:snapToGrid w:val="0"/>
              <w:jc w:val="center"/>
              <w:rPr>
                <w:rFonts w:hint="eastAsia" w:ascii="宋体" w:hAnsi="宋体" w:eastAsia="宋体" w:cs="宋体"/>
                <w:i w:val="0"/>
                <w:iCs w:val="0"/>
                <w:color w:val="000000"/>
                <w:sz w:val="20"/>
                <w:szCs w:val="20"/>
                <w:u w:val="none"/>
              </w:rPr>
            </w:pPr>
          </w:p>
        </w:tc>
        <w:tc>
          <w:tcPr>
            <w:tcW w:w="351"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0C3919C5">
            <w:pPr>
              <w:snapToGrid w:val="0"/>
              <w:jc w:val="center"/>
              <w:rPr>
                <w:rFonts w:hint="eastAsia" w:ascii="宋体" w:hAnsi="宋体" w:eastAsia="宋体" w:cs="宋体"/>
                <w:i w:val="0"/>
                <w:iCs w:val="0"/>
                <w:color w:val="000000"/>
                <w:sz w:val="20"/>
                <w:szCs w:val="20"/>
                <w:u w:val="none"/>
              </w:rPr>
            </w:pPr>
          </w:p>
        </w:tc>
      </w:tr>
      <w:tr w14:paraId="38CC9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32" w:type="dxa"/>
            <w:left w:w="64" w:type="dxa"/>
            <w:bottom w:w="32" w:type="dxa"/>
            <w:right w:w="64" w:type="dxa"/>
          </w:tblCellMar>
        </w:tblPrEx>
        <w:trPr>
          <w:trHeight w:val="0" w:hRule="atLeast"/>
          <w:jc w:val="center"/>
        </w:trPr>
        <w:tc>
          <w:tcPr>
            <w:tcW w:w="49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6DFF634">
            <w:pPr>
              <w:snapToGrid w:val="0"/>
              <w:jc w:val="center"/>
              <w:rPr>
                <w:rFonts w:hint="eastAsia" w:ascii="宋体" w:hAnsi="宋体" w:eastAsia="宋体" w:cs="宋体"/>
                <w:i w:val="0"/>
                <w:iCs w:val="0"/>
                <w:color w:val="000000"/>
                <w:sz w:val="20"/>
                <w:szCs w:val="20"/>
                <w:u w:val="none"/>
              </w:rPr>
            </w:pPr>
          </w:p>
        </w:tc>
        <w:tc>
          <w:tcPr>
            <w:tcW w:w="484" w:type="pct"/>
            <w:tcBorders>
              <w:top w:val="single" w:color="000000" w:sz="4" w:space="0"/>
              <w:left w:val="single" w:color="000000" w:sz="4" w:space="0"/>
              <w:bottom w:val="single" w:color="000000" w:sz="4" w:space="0"/>
              <w:right w:val="single" w:color="000000" w:sz="4" w:space="0"/>
            </w:tcBorders>
            <w:shd w:val="clear"/>
            <w:vAlign w:val="center"/>
          </w:tcPr>
          <w:p w14:paraId="723CF847">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项目支出</w:t>
            </w:r>
          </w:p>
        </w:tc>
        <w:tc>
          <w:tcPr>
            <w:tcW w:w="605" w:type="pct"/>
            <w:tcBorders>
              <w:top w:val="single" w:color="000000" w:sz="4" w:space="0"/>
              <w:left w:val="single" w:color="000000" w:sz="4" w:space="0"/>
              <w:bottom w:val="single" w:color="000000" w:sz="4" w:space="0"/>
              <w:right w:val="single" w:color="000000" w:sz="4" w:space="0"/>
            </w:tcBorders>
            <w:shd w:val="clear"/>
            <w:vAlign w:val="center"/>
          </w:tcPr>
          <w:p w14:paraId="65FEAE05">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1,363.68 </w:t>
            </w:r>
          </w:p>
        </w:tc>
        <w:tc>
          <w:tcPr>
            <w:tcW w:w="1350" w:type="pct"/>
            <w:tcBorders>
              <w:top w:val="single" w:color="000000" w:sz="4" w:space="0"/>
              <w:left w:val="single" w:color="000000" w:sz="4" w:space="0"/>
              <w:bottom w:val="single" w:color="000000" w:sz="4" w:space="0"/>
              <w:right w:val="single" w:color="000000" w:sz="4" w:space="0"/>
            </w:tcBorders>
            <w:shd w:val="clear"/>
            <w:vAlign w:val="center"/>
          </w:tcPr>
          <w:p w14:paraId="773CF887">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1,023.56 </w:t>
            </w:r>
          </w:p>
        </w:tc>
        <w:tc>
          <w:tcPr>
            <w:tcW w:w="141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347614A">
            <w:pPr>
              <w:snapToGrid w:val="0"/>
              <w:jc w:val="center"/>
              <w:rPr>
                <w:rFonts w:hint="eastAsia" w:ascii="宋体" w:hAnsi="宋体" w:eastAsia="宋体" w:cs="宋体"/>
                <w:i w:val="0"/>
                <w:iCs w:val="0"/>
                <w:color w:val="000000"/>
                <w:sz w:val="20"/>
                <w:szCs w:val="20"/>
                <w:u w:val="none"/>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7167FF2E">
            <w:pPr>
              <w:snapToGrid w:val="0"/>
              <w:jc w:val="center"/>
              <w:rPr>
                <w:rFonts w:hint="eastAsia" w:ascii="宋体" w:hAnsi="宋体" w:eastAsia="宋体" w:cs="宋体"/>
                <w:i w:val="0"/>
                <w:iCs w:val="0"/>
                <w:color w:val="000000"/>
                <w:sz w:val="20"/>
                <w:szCs w:val="20"/>
                <w:u w:val="none"/>
              </w:rPr>
            </w:pPr>
          </w:p>
        </w:tc>
        <w:tc>
          <w:tcPr>
            <w:tcW w:w="351"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53CA4078">
            <w:pPr>
              <w:snapToGrid w:val="0"/>
              <w:jc w:val="center"/>
              <w:rPr>
                <w:rFonts w:hint="eastAsia" w:ascii="宋体" w:hAnsi="宋体" w:eastAsia="宋体" w:cs="宋体"/>
                <w:i w:val="0"/>
                <w:iCs w:val="0"/>
                <w:color w:val="000000"/>
                <w:sz w:val="20"/>
                <w:szCs w:val="20"/>
                <w:u w:val="none"/>
              </w:rPr>
            </w:pPr>
          </w:p>
        </w:tc>
      </w:tr>
      <w:tr w14:paraId="36346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32" w:type="dxa"/>
            <w:left w:w="64" w:type="dxa"/>
            <w:bottom w:w="32" w:type="dxa"/>
            <w:right w:w="64" w:type="dxa"/>
          </w:tblCellMar>
        </w:tblPrEx>
        <w:trPr>
          <w:trHeight w:val="0" w:hRule="atLeast"/>
          <w:jc w:val="center"/>
        </w:trPr>
        <w:tc>
          <w:tcPr>
            <w:tcW w:w="49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69952DD">
            <w:pPr>
              <w:snapToGrid w:val="0"/>
              <w:jc w:val="center"/>
              <w:rPr>
                <w:rFonts w:hint="eastAsia" w:ascii="宋体" w:hAnsi="宋体" w:eastAsia="宋体" w:cs="宋体"/>
                <w:i w:val="0"/>
                <w:iCs w:val="0"/>
                <w:color w:val="000000"/>
                <w:sz w:val="20"/>
                <w:szCs w:val="20"/>
                <w:u w:val="none"/>
              </w:rPr>
            </w:pPr>
          </w:p>
        </w:tc>
        <w:tc>
          <w:tcPr>
            <w:tcW w:w="484" w:type="pct"/>
            <w:tcBorders>
              <w:top w:val="single" w:color="000000" w:sz="4" w:space="0"/>
              <w:left w:val="single" w:color="000000" w:sz="4" w:space="0"/>
              <w:bottom w:val="single" w:color="000000" w:sz="4" w:space="0"/>
              <w:right w:val="single" w:color="000000" w:sz="4" w:space="0"/>
            </w:tcBorders>
            <w:shd w:val="clear"/>
            <w:vAlign w:val="center"/>
          </w:tcPr>
          <w:p w14:paraId="190C540B">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其他（结转结余）</w:t>
            </w:r>
          </w:p>
        </w:tc>
        <w:tc>
          <w:tcPr>
            <w:tcW w:w="605" w:type="pct"/>
            <w:tcBorders>
              <w:top w:val="single" w:color="000000" w:sz="4" w:space="0"/>
              <w:left w:val="single" w:color="000000" w:sz="4" w:space="0"/>
              <w:bottom w:val="single" w:color="000000" w:sz="4" w:space="0"/>
              <w:right w:val="single" w:color="000000" w:sz="4" w:space="0"/>
            </w:tcBorders>
            <w:shd w:val="clear"/>
            <w:vAlign w:val="center"/>
          </w:tcPr>
          <w:p w14:paraId="5C5642BD">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0.00 </w:t>
            </w:r>
          </w:p>
        </w:tc>
        <w:tc>
          <w:tcPr>
            <w:tcW w:w="1350" w:type="pct"/>
            <w:tcBorders>
              <w:top w:val="single" w:color="000000" w:sz="4" w:space="0"/>
              <w:left w:val="single" w:color="000000" w:sz="4" w:space="0"/>
              <w:bottom w:val="single" w:color="000000" w:sz="4" w:space="0"/>
              <w:right w:val="single" w:color="000000" w:sz="4" w:space="0"/>
            </w:tcBorders>
            <w:shd w:val="clear"/>
            <w:vAlign w:val="center"/>
          </w:tcPr>
          <w:p w14:paraId="5935A6F1">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0.00 </w:t>
            </w:r>
          </w:p>
        </w:tc>
        <w:tc>
          <w:tcPr>
            <w:tcW w:w="141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B0F4609">
            <w:pPr>
              <w:snapToGrid w:val="0"/>
              <w:jc w:val="center"/>
              <w:rPr>
                <w:rFonts w:hint="eastAsia" w:ascii="宋体" w:hAnsi="宋体" w:eastAsia="宋体" w:cs="宋体"/>
                <w:i w:val="0"/>
                <w:iCs w:val="0"/>
                <w:color w:val="000000"/>
                <w:sz w:val="20"/>
                <w:szCs w:val="20"/>
                <w:u w:val="none"/>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338D5CCF">
            <w:pPr>
              <w:snapToGrid w:val="0"/>
              <w:jc w:val="center"/>
              <w:rPr>
                <w:rFonts w:hint="eastAsia" w:ascii="宋体" w:hAnsi="宋体" w:eastAsia="宋体" w:cs="宋体"/>
                <w:i w:val="0"/>
                <w:iCs w:val="0"/>
                <w:color w:val="000000"/>
                <w:sz w:val="20"/>
                <w:szCs w:val="20"/>
                <w:u w:val="none"/>
              </w:rPr>
            </w:pPr>
          </w:p>
        </w:tc>
        <w:tc>
          <w:tcPr>
            <w:tcW w:w="351"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0B94241A">
            <w:pPr>
              <w:snapToGrid w:val="0"/>
              <w:jc w:val="center"/>
              <w:rPr>
                <w:rFonts w:hint="eastAsia" w:ascii="宋体" w:hAnsi="宋体" w:eastAsia="宋体" w:cs="宋体"/>
                <w:i w:val="0"/>
                <w:iCs w:val="0"/>
                <w:color w:val="000000"/>
                <w:sz w:val="20"/>
                <w:szCs w:val="20"/>
                <w:u w:val="none"/>
              </w:rPr>
            </w:pPr>
          </w:p>
        </w:tc>
      </w:tr>
      <w:tr w14:paraId="732F7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32" w:type="dxa"/>
            <w:left w:w="64" w:type="dxa"/>
            <w:bottom w:w="32" w:type="dxa"/>
            <w:right w:w="64" w:type="dxa"/>
          </w:tblCellMar>
        </w:tblPrEx>
        <w:trPr>
          <w:trHeight w:val="0" w:hRule="atLeast"/>
          <w:jc w:val="center"/>
        </w:trPr>
        <w:tc>
          <w:tcPr>
            <w:tcW w:w="5000" w:type="pct"/>
            <w:gridSpan w:val="7"/>
            <w:tcBorders>
              <w:top w:val="single" w:color="000000" w:sz="4" w:space="0"/>
              <w:left w:val="single" w:color="000000" w:sz="4" w:space="0"/>
              <w:bottom w:val="single" w:color="000000" w:sz="4" w:space="0"/>
              <w:right w:val="single" w:color="000000" w:sz="4" w:space="0"/>
            </w:tcBorders>
            <w:shd w:val="clear"/>
            <w:vAlign w:val="center"/>
          </w:tcPr>
          <w:p w14:paraId="69EA0BEB">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Style w:val="12"/>
                <w:bdr w:val="none" w:color="auto" w:sz="0" w:space="0"/>
                <w:lang w:val="en-US" w:eastAsia="zh-CN" w:bidi="ar"/>
              </w:rPr>
              <w:t>二、</w:t>
            </w:r>
            <w:r>
              <w:rPr>
                <w:rStyle w:val="13"/>
                <w:bdr w:val="none" w:color="auto" w:sz="0" w:space="0"/>
                <w:lang w:val="en-US" w:eastAsia="zh-CN" w:bidi="ar"/>
              </w:rPr>
              <w:t>整体绩效目标实现情况（60分）</w:t>
            </w:r>
          </w:p>
        </w:tc>
      </w:tr>
      <w:tr w14:paraId="00FC6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32" w:type="dxa"/>
            <w:left w:w="64" w:type="dxa"/>
            <w:bottom w:w="32" w:type="dxa"/>
            <w:right w:w="64" w:type="dxa"/>
          </w:tblCellMar>
        </w:tblPrEx>
        <w:trPr>
          <w:trHeight w:val="0" w:hRule="atLeast"/>
          <w:jc w:val="center"/>
        </w:trPr>
        <w:tc>
          <w:tcPr>
            <w:tcW w:w="498" w:type="pct"/>
            <w:tcBorders>
              <w:top w:val="single" w:color="000000" w:sz="4" w:space="0"/>
              <w:left w:val="single" w:color="000000" w:sz="4" w:space="0"/>
              <w:bottom w:val="single" w:color="000000" w:sz="4" w:space="0"/>
              <w:right w:val="single" w:color="000000" w:sz="4" w:space="0"/>
            </w:tcBorders>
            <w:shd w:val="clear"/>
            <w:vAlign w:val="center"/>
          </w:tcPr>
          <w:p w14:paraId="22C383B9">
            <w:pPr>
              <w:keepNext w:val="0"/>
              <w:keepLines w:val="0"/>
              <w:widowControl/>
              <w:suppressLineNumbers w:val="0"/>
              <w:snapToGrid w:val="0"/>
              <w:jc w:val="center"/>
              <w:textAlignment w:val="center"/>
              <w:rPr>
                <w:rFonts w:hint="eastAsia" w:ascii="宋体" w:hAnsi="宋体" w:eastAsia="宋体" w:cs="宋体"/>
                <w:i w:val="0"/>
                <w:iCs w:val="0"/>
                <w:color w:val="000000"/>
                <w:kern w:val="0"/>
                <w:sz w:val="20"/>
                <w:szCs w:val="20"/>
                <w:u w:val="none"/>
                <w:bdr w:val="none" w:color="auto" w:sz="0" w:space="0"/>
                <w:lang w:val="en-US" w:eastAsia="zh-CN" w:bidi="ar"/>
              </w:rPr>
            </w:pPr>
            <w:r>
              <w:rPr>
                <w:rFonts w:hint="eastAsia" w:ascii="宋体" w:hAnsi="宋体" w:eastAsia="宋体" w:cs="宋体"/>
                <w:i w:val="0"/>
                <w:iCs w:val="0"/>
                <w:color w:val="000000"/>
                <w:kern w:val="0"/>
                <w:sz w:val="20"/>
                <w:szCs w:val="20"/>
                <w:u w:val="none"/>
                <w:bdr w:val="none" w:color="auto" w:sz="0" w:space="0"/>
                <w:lang w:val="en-US" w:eastAsia="zh-CN" w:bidi="ar"/>
              </w:rPr>
              <w:t>一级</w:t>
            </w:r>
          </w:p>
          <w:p w14:paraId="3031DD09">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指标</w:t>
            </w:r>
          </w:p>
        </w:tc>
        <w:tc>
          <w:tcPr>
            <w:tcW w:w="484" w:type="pct"/>
            <w:tcBorders>
              <w:top w:val="single" w:color="000000" w:sz="4" w:space="0"/>
              <w:left w:val="single" w:color="000000" w:sz="4" w:space="0"/>
              <w:bottom w:val="single" w:color="000000" w:sz="4" w:space="0"/>
              <w:right w:val="single" w:color="000000" w:sz="4" w:space="0"/>
            </w:tcBorders>
            <w:shd w:val="clear"/>
            <w:vAlign w:val="center"/>
          </w:tcPr>
          <w:p w14:paraId="59D96B08">
            <w:pPr>
              <w:keepNext w:val="0"/>
              <w:keepLines w:val="0"/>
              <w:widowControl/>
              <w:suppressLineNumbers w:val="0"/>
              <w:snapToGrid w:val="0"/>
              <w:jc w:val="center"/>
              <w:textAlignment w:val="center"/>
              <w:rPr>
                <w:rFonts w:hint="eastAsia" w:ascii="宋体" w:hAnsi="宋体" w:eastAsia="宋体" w:cs="宋体"/>
                <w:i w:val="0"/>
                <w:iCs w:val="0"/>
                <w:color w:val="000000"/>
                <w:kern w:val="0"/>
                <w:sz w:val="20"/>
                <w:szCs w:val="20"/>
                <w:u w:val="none"/>
                <w:bdr w:val="none" w:color="auto" w:sz="0" w:space="0"/>
                <w:lang w:val="en-US" w:eastAsia="zh-CN" w:bidi="ar"/>
              </w:rPr>
            </w:pPr>
            <w:r>
              <w:rPr>
                <w:rFonts w:hint="eastAsia" w:ascii="宋体" w:hAnsi="宋体" w:eastAsia="宋体" w:cs="宋体"/>
                <w:i w:val="0"/>
                <w:iCs w:val="0"/>
                <w:color w:val="000000"/>
                <w:kern w:val="0"/>
                <w:sz w:val="20"/>
                <w:szCs w:val="20"/>
                <w:u w:val="none"/>
                <w:bdr w:val="none" w:color="auto" w:sz="0" w:space="0"/>
                <w:lang w:val="en-US" w:eastAsia="zh-CN" w:bidi="ar"/>
              </w:rPr>
              <w:t>二级</w:t>
            </w:r>
          </w:p>
          <w:p w14:paraId="5D615A67">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指标　</w:t>
            </w:r>
          </w:p>
        </w:tc>
        <w:tc>
          <w:tcPr>
            <w:tcW w:w="605" w:type="pct"/>
            <w:tcBorders>
              <w:top w:val="single" w:color="000000" w:sz="4" w:space="0"/>
              <w:left w:val="single" w:color="000000" w:sz="4" w:space="0"/>
              <w:bottom w:val="single" w:color="000000" w:sz="4" w:space="0"/>
              <w:right w:val="single" w:color="000000" w:sz="4" w:space="0"/>
            </w:tcBorders>
            <w:shd w:val="clear"/>
            <w:vAlign w:val="center"/>
          </w:tcPr>
          <w:p w14:paraId="08989D72">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三级指标　</w:t>
            </w:r>
          </w:p>
        </w:tc>
        <w:tc>
          <w:tcPr>
            <w:tcW w:w="1350" w:type="pct"/>
            <w:tcBorders>
              <w:top w:val="single" w:color="000000" w:sz="4" w:space="0"/>
              <w:left w:val="single" w:color="000000" w:sz="4" w:space="0"/>
              <w:bottom w:val="single" w:color="000000" w:sz="4" w:space="0"/>
              <w:right w:val="single" w:color="000000" w:sz="4" w:space="0"/>
            </w:tcBorders>
            <w:shd w:val="clear"/>
            <w:vAlign w:val="center"/>
          </w:tcPr>
          <w:p w14:paraId="17CFE7BC">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指标值</w:t>
            </w:r>
          </w:p>
        </w:tc>
        <w:tc>
          <w:tcPr>
            <w:tcW w:w="1415" w:type="pct"/>
            <w:tcBorders>
              <w:top w:val="single" w:color="000000" w:sz="4" w:space="0"/>
              <w:left w:val="single" w:color="000000" w:sz="4" w:space="0"/>
              <w:bottom w:val="single" w:color="000000" w:sz="4" w:space="0"/>
              <w:right w:val="single" w:color="000000" w:sz="4" w:space="0"/>
            </w:tcBorders>
            <w:shd w:val="clear"/>
            <w:vAlign w:val="center"/>
          </w:tcPr>
          <w:p w14:paraId="271DCBFC">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完成值</w:t>
            </w:r>
          </w:p>
        </w:tc>
        <w:tc>
          <w:tcPr>
            <w:tcW w:w="294" w:type="pct"/>
            <w:tcBorders>
              <w:top w:val="single" w:color="000000" w:sz="4" w:space="0"/>
              <w:left w:val="single" w:color="000000" w:sz="4" w:space="0"/>
              <w:bottom w:val="single" w:color="000000" w:sz="4" w:space="0"/>
              <w:right w:val="single" w:color="000000" w:sz="4" w:space="0"/>
            </w:tcBorders>
            <w:shd w:val="clear"/>
            <w:vAlign w:val="center"/>
          </w:tcPr>
          <w:p w14:paraId="4D89DFFE">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分值</w:t>
            </w:r>
          </w:p>
        </w:tc>
        <w:tc>
          <w:tcPr>
            <w:tcW w:w="351" w:type="pct"/>
            <w:tcBorders>
              <w:top w:val="single" w:color="000000" w:sz="4" w:space="0"/>
              <w:left w:val="single" w:color="000000" w:sz="4" w:space="0"/>
              <w:bottom w:val="single" w:color="000000" w:sz="4" w:space="0"/>
              <w:right w:val="single" w:color="000000" w:sz="4" w:space="0"/>
            </w:tcBorders>
            <w:shd w:val="clear"/>
            <w:vAlign w:val="center"/>
          </w:tcPr>
          <w:p w14:paraId="61A018E3">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得分</w:t>
            </w:r>
          </w:p>
        </w:tc>
      </w:tr>
      <w:tr w14:paraId="0035D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32" w:type="dxa"/>
            <w:left w:w="64" w:type="dxa"/>
            <w:bottom w:w="32" w:type="dxa"/>
            <w:right w:w="64" w:type="dxa"/>
          </w:tblCellMar>
        </w:tblPrEx>
        <w:trPr>
          <w:trHeight w:val="0" w:hRule="atLeast"/>
          <w:jc w:val="center"/>
        </w:trPr>
        <w:tc>
          <w:tcPr>
            <w:tcW w:w="498" w:type="pct"/>
            <w:vMerge w:val="restart"/>
            <w:tcBorders>
              <w:top w:val="single" w:color="000000" w:sz="4" w:space="0"/>
              <w:left w:val="single" w:color="000000" w:sz="4" w:space="0"/>
              <w:bottom w:val="single" w:color="000000" w:sz="4" w:space="0"/>
              <w:right w:val="single" w:color="000000" w:sz="4" w:space="0"/>
            </w:tcBorders>
            <w:shd w:val="clear"/>
            <w:vAlign w:val="center"/>
          </w:tcPr>
          <w:p w14:paraId="6289CC19">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整体绩效目标实现情况（60）</w:t>
            </w:r>
          </w:p>
        </w:tc>
        <w:tc>
          <w:tcPr>
            <w:tcW w:w="484" w:type="pct"/>
            <w:vMerge w:val="restart"/>
            <w:tcBorders>
              <w:top w:val="single" w:color="000000" w:sz="4" w:space="0"/>
              <w:left w:val="single" w:color="000000" w:sz="4" w:space="0"/>
              <w:bottom w:val="nil"/>
              <w:right w:val="single" w:color="000000" w:sz="4" w:space="0"/>
            </w:tcBorders>
            <w:shd w:val="clear"/>
            <w:vAlign w:val="center"/>
          </w:tcPr>
          <w:p w14:paraId="7AC8036C">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产出（30）</w:t>
            </w:r>
          </w:p>
        </w:tc>
        <w:tc>
          <w:tcPr>
            <w:tcW w:w="605" w:type="pct"/>
            <w:tcBorders>
              <w:top w:val="single" w:color="000000" w:sz="4" w:space="0"/>
              <w:left w:val="single" w:color="000000" w:sz="4" w:space="0"/>
              <w:bottom w:val="nil"/>
              <w:right w:val="single" w:color="000000" w:sz="4" w:space="0"/>
            </w:tcBorders>
            <w:shd w:val="clear"/>
            <w:vAlign w:val="center"/>
          </w:tcPr>
          <w:p w14:paraId="5531F33D">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产出数量</w:t>
            </w:r>
          </w:p>
        </w:tc>
        <w:tc>
          <w:tcPr>
            <w:tcW w:w="1350" w:type="pct"/>
            <w:tcBorders>
              <w:top w:val="single" w:color="000000" w:sz="4" w:space="0"/>
              <w:left w:val="single" w:color="000000" w:sz="4" w:space="0"/>
              <w:bottom w:val="single" w:color="000000" w:sz="4" w:space="0"/>
              <w:right w:val="single" w:color="000000" w:sz="4" w:space="0"/>
            </w:tcBorders>
            <w:shd w:val="clear"/>
            <w:vAlign w:val="center"/>
          </w:tcPr>
          <w:p w14:paraId="27DDBC7F">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完成2个以上相关专项规划的编制工作。</w:t>
            </w:r>
          </w:p>
        </w:tc>
        <w:tc>
          <w:tcPr>
            <w:tcW w:w="1415" w:type="pct"/>
            <w:tcBorders>
              <w:top w:val="single" w:color="000000" w:sz="4" w:space="0"/>
              <w:left w:val="single" w:color="000000" w:sz="4" w:space="0"/>
              <w:bottom w:val="single" w:color="000000" w:sz="4" w:space="0"/>
              <w:right w:val="single" w:color="000000" w:sz="4" w:space="0"/>
            </w:tcBorders>
            <w:shd w:val="clear"/>
            <w:vAlign w:val="center"/>
          </w:tcPr>
          <w:p w14:paraId="1F8B2EEE">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1.印发《临空经济区总体管控区高质量协同发展与综合管控规划》以及配套实施方案。</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2.印发实施综保区产业项目准入指引，建立项目备案机制，实现综保区产业要素协调发展。</w:t>
            </w:r>
          </w:p>
        </w:tc>
        <w:tc>
          <w:tcPr>
            <w:tcW w:w="294" w:type="pct"/>
            <w:tcBorders>
              <w:top w:val="single" w:color="000000" w:sz="4" w:space="0"/>
              <w:left w:val="single" w:color="000000" w:sz="4" w:space="0"/>
              <w:bottom w:val="single" w:color="000000" w:sz="4" w:space="0"/>
              <w:right w:val="single" w:color="000000" w:sz="4" w:space="0"/>
            </w:tcBorders>
            <w:shd w:val="clear"/>
            <w:vAlign w:val="center"/>
          </w:tcPr>
          <w:p w14:paraId="001EDF00">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w:t>
            </w:r>
          </w:p>
        </w:tc>
        <w:tc>
          <w:tcPr>
            <w:tcW w:w="351" w:type="pct"/>
            <w:tcBorders>
              <w:top w:val="single" w:color="000000" w:sz="4" w:space="0"/>
              <w:left w:val="single" w:color="000000" w:sz="4" w:space="0"/>
              <w:bottom w:val="single" w:color="000000" w:sz="4" w:space="0"/>
              <w:right w:val="single" w:color="000000" w:sz="4" w:space="0"/>
            </w:tcBorders>
            <w:shd w:val="clear"/>
            <w:vAlign w:val="center"/>
          </w:tcPr>
          <w:p w14:paraId="2C848A7D">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w:t>
            </w:r>
          </w:p>
        </w:tc>
      </w:tr>
      <w:tr w14:paraId="4AD2C2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32" w:type="dxa"/>
            <w:left w:w="64" w:type="dxa"/>
            <w:bottom w:w="32" w:type="dxa"/>
            <w:right w:w="64" w:type="dxa"/>
          </w:tblCellMar>
        </w:tblPrEx>
        <w:trPr>
          <w:trHeight w:val="0" w:hRule="atLeast"/>
          <w:jc w:val="center"/>
        </w:trPr>
        <w:tc>
          <w:tcPr>
            <w:tcW w:w="49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BA3FABF">
            <w:pPr>
              <w:snapToGrid w:val="0"/>
              <w:jc w:val="center"/>
              <w:rPr>
                <w:rFonts w:hint="eastAsia" w:ascii="宋体" w:hAnsi="宋体" w:eastAsia="宋体" w:cs="宋体"/>
                <w:i w:val="0"/>
                <w:iCs w:val="0"/>
                <w:color w:val="000000"/>
                <w:sz w:val="20"/>
                <w:szCs w:val="20"/>
                <w:u w:val="none"/>
              </w:rPr>
            </w:pPr>
          </w:p>
        </w:tc>
        <w:tc>
          <w:tcPr>
            <w:tcW w:w="484" w:type="pct"/>
            <w:vMerge w:val="continue"/>
            <w:tcBorders>
              <w:top w:val="single" w:color="000000" w:sz="4" w:space="0"/>
              <w:left w:val="single" w:color="000000" w:sz="4" w:space="0"/>
              <w:bottom w:val="nil"/>
              <w:right w:val="single" w:color="000000" w:sz="4" w:space="0"/>
            </w:tcBorders>
            <w:shd w:val="clear"/>
            <w:vAlign w:val="center"/>
          </w:tcPr>
          <w:p w14:paraId="7E30EE5C">
            <w:pPr>
              <w:snapToGrid w:val="0"/>
              <w:jc w:val="center"/>
              <w:rPr>
                <w:rFonts w:hint="eastAsia" w:ascii="宋体" w:hAnsi="宋体" w:eastAsia="宋体" w:cs="宋体"/>
                <w:i w:val="0"/>
                <w:iCs w:val="0"/>
                <w:color w:val="000000"/>
                <w:sz w:val="20"/>
                <w:szCs w:val="20"/>
                <w:u w:val="none"/>
              </w:rPr>
            </w:pPr>
          </w:p>
        </w:tc>
        <w:tc>
          <w:tcPr>
            <w:tcW w:w="605" w:type="pct"/>
            <w:tcBorders>
              <w:top w:val="single" w:color="000000" w:sz="4" w:space="0"/>
              <w:left w:val="single" w:color="000000" w:sz="4" w:space="0"/>
              <w:bottom w:val="nil"/>
              <w:right w:val="single" w:color="000000" w:sz="4" w:space="0"/>
            </w:tcBorders>
            <w:shd w:val="clear"/>
            <w:vAlign w:val="center"/>
          </w:tcPr>
          <w:p w14:paraId="12B57CE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产出进度</w:t>
            </w:r>
          </w:p>
        </w:tc>
        <w:tc>
          <w:tcPr>
            <w:tcW w:w="1350" w:type="pct"/>
            <w:tcBorders>
              <w:top w:val="single" w:color="000000" w:sz="4" w:space="0"/>
              <w:left w:val="single" w:color="000000" w:sz="4" w:space="0"/>
              <w:bottom w:val="single" w:color="000000" w:sz="4" w:space="0"/>
              <w:right w:val="single" w:color="000000" w:sz="4" w:space="0"/>
            </w:tcBorders>
            <w:shd w:val="clear"/>
            <w:vAlign w:val="center"/>
          </w:tcPr>
          <w:p w14:paraId="5B784628">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完成新的管理体制组织优化研究和平台公司组建方案。</w:t>
            </w:r>
          </w:p>
        </w:tc>
        <w:tc>
          <w:tcPr>
            <w:tcW w:w="1415" w:type="pct"/>
            <w:tcBorders>
              <w:top w:val="single" w:color="000000" w:sz="4" w:space="0"/>
              <w:left w:val="single" w:color="000000" w:sz="4" w:space="0"/>
              <w:bottom w:val="nil"/>
              <w:right w:val="single" w:color="000000" w:sz="4" w:space="0"/>
            </w:tcBorders>
            <w:shd w:val="clear"/>
            <w:vAlign w:val="center"/>
          </w:tcPr>
          <w:p w14:paraId="56C92822">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联合管委会完成平台公司组建路径研究工作、编制印发《北京大兴国际机场临空经济区统一考核方案（试行）》，各项工作基本能够按照计划要求完成，项目实施进度及产出时效性较好。</w:t>
            </w:r>
          </w:p>
        </w:tc>
        <w:tc>
          <w:tcPr>
            <w:tcW w:w="294" w:type="pct"/>
            <w:tcBorders>
              <w:top w:val="single" w:color="000000" w:sz="4" w:space="0"/>
              <w:left w:val="single" w:color="000000" w:sz="4" w:space="0"/>
              <w:bottom w:val="nil"/>
              <w:right w:val="single" w:color="000000" w:sz="4" w:space="0"/>
            </w:tcBorders>
            <w:shd w:val="clear"/>
            <w:vAlign w:val="center"/>
          </w:tcPr>
          <w:p w14:paraId="505BF1A7">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w:t>
            </w:r>
          </w:p>
        </w:tc>
        <w:tc>
          <w:tcPr>
            <w:tcW w:w="351" w:type="pct"/>
            <w:tcBorders>
              <w:top w:val="single" w:color="000000" w:sz="4" w:space="0"/>
              <w:left w:val="single" w:color="000000" w:sz="4" w:space="0"/>
              <w:bottom w:val="single" w:color="000000" w:sz="4" w:space="0"/>
              <w:right w:val="single" w:color="000000" w:sz="4" w:space="0"/>
            </w:tcBorders>
            <w:shd w:val="clear"/>
            <w:vAlign w:val="center"/>
          </w:tcPr>
          <w:p w14:paraId="023ADB00">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w:t>
            </w:r>
          </w:p>
        </w:tc>
      </w:tr>
      <w:tr w14:paraId="2B832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32" w:type="dxa"/>
            <w:left w:w="64" w:type="dxa"/>
            <w:bottom w:w="32" w:type="dxa"/>
            <w:right w:w="64" w:type="dxa"/>
          </w:tblCellMar>
        </w:tblPrEx>
        <w:trPr>
          <w:trHeight w:val="0" w:hRule="atLeast"/>
          <w:jc w:val="center"/>
        </w:trPr>
        <w:tc>
          <w:tcPr>
            <w:tcW w:w="49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55D22F6">
            <w:pPr>
              <w:snapToGrid w:val="0"/>
              <w:jc w:val="center"/>
              <w:rPr>
                <w:rFonts w:hint="eastAsia" w:ascii="宋体" w:hAnsi="宋体" w:eastAsia="宋体" w:cs="宋体"/>
                <w:i w:val="0"/>
                <w:iCs w:val="0"/>
                <w:color w:val="000000"/>
                <w:sz w:val="20"/>
                <w:szCs w:val="20"/>
                <w:u w:val="none"/>
              </w:rPr>
            </w:pPr>
          </w:p>
        </w:tc>
        <w:tc>
          <w:tcPr>
            <w:tcW w:w="484" w:type="pct"/>
            <w:vMerge w:val="restart"/>
            <w:tcBorders>
              <w:top w:val="single" w:color="000000" w:sz="4" w:space="0"/>
              <w:left w:val="single" w:color="000000" w:sz="4" w:space="0"/>
              <w:bottom w:val="single" w:color="000000" w:sz="4" w:space="0"/>
              <w:right w:val="single" w:color="000000" w:sz="4" w:space="0"/>
            </w:tcBorders>
            <w:shd w:val="clear"/>
            <w:vAlign w:val="center"/>
          </w:tcPr>
          <w:p w14:paraId="5E0DF4CE">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效果（30）</w:t>
            </w:r>
          </w:p>
        </w:tc>
        <w:tc>
          <w:tcPr>
            <w:tcW w:w="605" w:type="pct"/>
            <w:tcBorders>
              <w:top w:val="single" w:color="000000" w:sz="4" w:space="0"/>
              <w:left w:val="single" w:color="000000" w:sz="4" w:space="0"/>
              <w:bottom w:val="single" w:color="000000" w:sz="4" w:space="0"/>
              <w:right w:val="single" w:color="000000" w:sz="4" w:space="0"/>
            </w:tcBorders>
            <w:shd w:val="clear"/>
            <w:vAlign w:val="center"/>
          </w:tcPr>
          <w:p w14:paraId="7EE6AA2D">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可持续影响</w:t>
            </w:r>
          </w:p>
        </w:tc>
        <w:tc>
          <w:tcPr>
            <w:tcW w:w="1350" w:type="pct"/>
            <w:tcBorders>
              <w:top w:val="single" w:color="000000" w:sz="4" w:space="0"/>
              <w:left w:val="single" w:color="000000" w:sz="4" w:space="0"/>
              <w:bottom w:val="single" w:color="000000" w:sz="4" w:space="0"/>
              <w:right w:val="single" w:color="000000" w:sz="4" w:space="0"/>
            </w:tcBorders>
            <w:shd w:val="clear"/>
            <w:vAlign w:val="center"/>
          </w:tcPr>
          <w:p w14:paraId="022F682E">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提高综合保税区的知名度和影响力，加强督查推动工作和考核力度，强化责任落实，充分调动两片区积极性和主动性，确保各项工作的高效开展。</w:t>
            </w:r>
          </w:p>
        </w:tc>
        <w:tc>
          <w:tcPr>
            <w:tcW w:w="1415" w:type="pct"/>
            <w:tcBorders>
              <w:top w:val="single" w:color="000000" w:sz="4" w:space="0"/>
              <w:left w:val="single" w:color="000000" w:sz="4" w:space="0"/>
              <w:bottom w:val="single" w:color="000000" w:sz="4" w:space="0"/>
              <w:right w:val="single" w:color="000000" w:sz="4" w:space="0"/>
            </w:tcBorders>
            <w:shd w:val="clear"/>
            <w:vAlign w:val="center"/>
          </w:tcPr>
          <w:p w14:paraId="54CF327D">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临空经济区建设发展成就获央视专题纪录片《瓣瓣同心——京津冀协同发展十年》重点报道，联合管委会主要领导接受采访并推介临空经济区。在2024年服贸会、中关村论坛、第七届进博会等重要平台对临空经济区投资环境进行宣传推介。举办联合管委会首场新闻发布会，发布临空经济区一体化发展白皮书，全面总结协同发展十年取得成效。这些活动和宣传不仅提升了临空经济区的知名度和影响力，还增强了公众和投资者对临空经济区未来发展的信心。</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牵头两片区管委会，组建统一考核工作组，统一考核标准，对两片区工作业绩进行考核。充分调动两片区积极性和主动性，确保各项工作的高效开展。</w:t>
            </w:r>
          </w:p>
        </w:tc>
        <w:tc>
          <w:tcPr>
            <w:tcW w:w="294" w:type="pct"/>
            <w:tcBorders>
              <w:top w:val="single" w:color="000000" w:sz="4" w:space="0"/>
              <w:left w:val="single" w:color="000000" w:sz="4" w:space="0"/>
              <w:bottom w:val="single" w:color="000000" w:sz="4" w:space="0"/>
              <w:right w:val="single" w:color="000000" w:sz="4" w:space="0"/>
            </w:tcBorders>
            <w:shd w:val="clear"/>
            <w:vAlign w:val="center"/>
          </w:tcPr>
          <w:p w14:paraId="4BDD774E">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w:t>
            </w:r>
          </w:p>
        </w:tc>
        <w:tc>
          <w:tcPr>
            <w:tcW w:w="351" w:type="pct"/>
            <w:tcBorders>
              <w:top w:val="single" w:color="000000" w:sz="4" w:space="0"/>
              <w:left w:val="single" w:color="000000" w:sz="4" w:space="0"/>
              <w:bottom w:val="single" w:color="000000" w:sz="4" w:space="0"/>
              <w:right w:val="single" w:color="000000" w:sz="4" w:space="0"/>
            </w:tcBorders>
            <w:shd w:val="clear"/>
            <w:noWrap/>
            <w:vAlign w:val="center"/>
          </w:tcPr>
          <w:p w14:paraId="4E372C43">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w:t>
            </w:r>
          </w:p>
        </w:tc>
      </w:tr>
      <w:tr w14:paraId="22552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32" w:type="dxa"/>
            <w:left w:w="64" w:type="dxa"/>
            <w:bottom w:w="32" w:type="dxa"/>
            <w:right w:w="64" w:type="dxa"/>
          </w:tblCellMar>
        </w:tblPrEx>
        <w:trPr>
          <w:trHeight w:val="0" w:hRule="atLeast"/>
          <w:jc w:val="center"/>
        </w:trPr>
        <w:tc>
          <w:tcPr>
            <w:tcW w:w="49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52DC53C">
            <w:pPr>
              <w:snapToGrid w:val="0"/>
              <w:jc w:val="center"/>
              <w:rPr>
                <w:rFonts w:hint="eastAsia" w:ascii="宋体" w:hAnsi="宋体" w:eastAsia="宋体" w:cs="宋体"/>
                <w:i w:val="0"/>
                <w:iCs w:val="0"/>
                <w:color w:val="000000"/>
                <w:sz w:val="20"/>
                <w:szCs w:val="20"/>
                <w:u w:val="none"/>
              </w:rPr>
            </w:pPr>
          </w:p>
        </w:tc>
        <w:tc>
          <w:tcPr>
            <w:tcW w:w="48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C857873">
            <w:pPr>
              <w:snapToGrid w:val="0"/>
              <w:jc w:val="center"/>
              <w:rPr>
                <w:rFonts w:hint="eastAsia" w:ascii="宋体" w:hAnsi="宋体" w:eastAsia="宋体" w:cs="宋体"/>
                <w:i w:val="0"/>
                <w:iCs w:val="0"/>
                <w:color w:val="000000"/>
                <w:sz w:val="20"/>
                <w:szCs w:val="20"/>
                <w:u w:val="none"/>
              </w:rPr>
            </w:pPr>
          </w:p>
        </w:tc>
        <w:tc>
          <w:tcPr>
            <w:tcW w:w="605" w:type="pct"/>
            <w:tcBorders>
              <w:top w:val="single" w:color="000000" w:sz="4" w:space="0"/>
              <w:left w:val="single" w:color="000000" w:sz="4" w:space="0"/>
              <w:bottom w:val="single" w:color="000000" w:sz="4" w:space="0"/>
              <w:right w:val="single" w:color="000000" w:sz="4" w:space="0"/>
            </w:tcBorders>
            <w:shd w:val="clear"/>
            <w:vAlign w:val="center"/>
          </w:tcPr>
          <w:p w14:paraId="2654E664">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服务对象满意度</w:t>
            </w:r>
          </w:p>
        </w:tc>
        <w:tc>
          <w:tcPr>
            <w:tcW w:w="1350" w:type="pct"/>
            <w:tcBorders>
              <w:top w:val="single" w:color="000000" w:sz="4" w:space="0"/>
              <w:left w:val="single" w:color="000000" w:sz="4" w:space="0"/>
              <w:bottom w:val="single" w:color="000000" w:sz="4" w:space="0"/>
              <w:right w:val="single" w:color="000000" w:sz="4" w:space="0"/>
            </w:tcBorders>
            <w:shd w:val="clear"/>
            <w:vAlign w:val="center"/>
          </w:tcPr>
          <w:p w14:paraId="616E1EAA">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员工对单位管理及办公环境满意</w:t>
            </w:r>
          </w:p>
        </w:tc>
        <w:tc>
          <w:tcPr>
            <w:tcW w:w="1415" w:type="pct"/>
            <w:tcBorders>
              <w:top w:val="single" w:color="000000" w:sz="4" w:space="0"/>
              <w:left w:val="single" w:color="000000" w:sz="4" w:space="0"/>
              <w:bottom w:val="single" w:color="000000" w:sz="4" w:space="0"/>
              <w:right w:val="single" w:color="000000" w:sz="4" w:space="0"/>
            </w:tcBorders>
            <w:shd w:val="clear"/>
            <w:vAlign w:val="center"/>
          </w:tcPr>
          <w:p w14:paraId="5DAC37F9">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满意度90%以上</w:t>
            </w:r>
          </w:p>
        </w:tc>
        <w:tc>
          <w:tcPr>
            <w:tcW w:w="294" w:type="pct"/>
            <w:tcBorders>
              <w:top w:val="single" w:color="000000" w:sz="4" w:space="0"/>
              <w:left w:val="single" w:color="000000" w:sz="4" w:space="0"/>
              <w:bottom w:val="single" w:color="000000" w:sz="4" w:space="0"/>
              <w:right w:val="single" w:color="000000" w:sz="4" w:space="0"/>
            </w:tcBorders>
            <w:shd w:val="clear"/>
            <w:vAlign w:val="center"/>
          </w:tcPr>
          <w:p w14:paraId="16CFB704">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w:t>
            </w:r>
          </w:p>
        </w:tc>
        <w:tc>
          <w:tcPr>
            <w:tcW w:w="351" w:type="pct"/>
            <w:tcBorders>
              <w:top w:val="single" w:color="000000" w:sz="4" w:space="0"/>
              <w:left w:val="single" w:color="000000" w:sz="4" w:space="0"/>
              <w:bottom w:val="single" w:color="000000" w:sz="4" w:space="0"/>
              <w:right w:val="single" w:color="000000" w:sz="4" w:space="0"/>
            </w:tcBorders>
            <w:shd w:val="clear"/>
            <w:noWrap/>
            <w:vAlign w:val="center"/>
          </w:tcPr>
          <w:p w14:paraId="192B6268">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w:t>
            </w:r>
          </w:p>
        </w:tc>
      </w:tr>
      <w:tr w14:paraId="13D2B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32" w:type="dxa"/>
            <w:left w:w="64" w:type="dxa"/>
            <w:bottom w:w="32" w:type="dxa"/>
            <w:right w:w="64" w:type="dxa"/>
          </w:tblCellMar>
        </w:tblPrEx>
        <w:trPr>
          <w:trHeight w:val="0" w:hRule="atLeast"/>
          <w:jc w:val="center"/>
        </w:trPr>
        <w:tc>
          <w:tcPr>
            <w:tcW w:w="5000" w:type="pct"/>
            <w:gridSpan w:val="7"/>
            <w:tcBorders>
              <w:top w:val="single" w:color="000000" w:sz="4" w:space="0"/>
              <w:left w:val="single" w:color="000000" w:sz="4" w:space="0"/>
              <w:bottom w:val="single" w:color="000000" w:sz="4" w:space="0"/>
              <w:right w:val="single" w:color="000000" w:sz="4" w:space="0"/>
            </w:tcBorders>
            <w:shd w:val="clear"/>
            <w:vAlign w:val="center"/>
          </w:tcPr>
          <w:p w14:paraId="19A14DDC">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Style w:val="12"/>
                <w:bdr w:val="none" w:color="auto" w:sz="0" w:space="0"/>
                <w:lang w:val="en-US" w:eastAsia="zh-CN" w:bidi="ar"/>
              </w:rPr>
              <w:t>三、</w:t>
            </w:r>
            <w:r>
              <w:rPr>
                <w:rStyle w:val="13"/>
                <w:bdr w:val="none" w:color="auto" w:sz="0" w:space="0"/>
                <w:lang w:val="en-US" w:eastAsia="zh-CN" w:bidi="ar"/>
              </w:rPr>
              <w:t>预算管理情况（20分）</w:t>
            </w:r>
          </w:p>
        </w:tc>
      </w:tr>
      <w:tr w14:paraId="6A06E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32" w:type="dxa"/>
            <w:left w:w="64" w:type="dxa"/>
            <w:bottom w:w="32" w:type="dxa"/>
            <w:right w:w="64" w:type="dxa"/>
          </w:tblCellMar>
        </w:tblPrEx>
        <w:trPr>
          <w:trHeight w:val="0" w:hRule="atLeast"/>
          <w:jc w:val="center"/>
        </w:trPr>
        <w:tc>
          <w:tcPr>
            <w:tcW w:w="498" w:type="pct"/>
            <w:tcBorders>
              <w:top w:val="single" w:color="000000" w:sz="4" w:space="0"/>
              <w:left w:val="single" w:color="000000" w:sz="4" w:space="0"/>
              <w:bottom w:val="single" w:color="000000" w:sz="4" w:space="0"/>
              <w:right w:val="single" w:color="000000" w:sz="4" w:space="0"/>
            </w:tcBorders>
            <w:shd w:val="clear"/>
            <w:vAlign w:val="center"/>
          </w:tcPr>
          <w:p w14:paraId="5474D925">
            <w:pPr>
              <w:keepNext w:val="0"/>
              <w:keepLines w:val="0"/>
              <w:widowControl/>
              <w:suppressLineNumbers w:val="0"/>
              <w:snapToGrid w:val="0"/>
              <w:jc w:val="center"/>
              <w:textAlignment w:val="center"/>
              <w:rPr>
                <w:rFonts w:hint="eastAsia" w:ascii="宋体" w:hAnsi="宋体" w:eastAsia="宋体" w:cs="宋体"/>
                <w:i w:val="0"/>
                <w:iCs w:val="0"/>
                <w:color w:val="000000"/>
                <w:kern w:val="0"/>
                <w:sz w:val="20"/>
                <w:szCs w:val="20"/>
                <w:u w:val="none"/>
                <w:bdr w:val="none" w:color="auto" w:sz="0" w:space="0"/>
                <w:lang w:val="en-US" w:eastAsia="zh-CN" w:bidi="ar"/>
              </w:rPr>
            </w:pPr>
            <w:r>
              <w:rPr>
                <w:rFonts w:hint="eastAsia" w:ascii="宋体" w:hAnsi="宋体" w:eastAsia="宋体" w:cs="宋体"/>
                <w:i w:val="0"/>
                <w:iCs w:val="0"/>
                <w:color w:val="000000"/>
                <w:kern w:val="0"/>
                <w:sz w:val="20"/>
                <w:szCs w:val="20"/>
                <w:u w:val="none"/>
                <w:bdr w:val="none" w:color="auto" w:sz="0" w:space="0"/>
                <w:lang w:val="en-US" w:eastAsia="zh-CN" w:bidi="ar"/>
              </w:rPr>
              <w:t>一级</w:t>
            </w:r>
          </w:p>
          <w:p w14:paraId="2DC13198">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指标</w:t>
            </w:r>
          </w:p>
        </w:tc>
        <w:tc>
          <w:tcPr>
            <w:tcW w:w="484" w:type="pct"/>
            <w:tcBorders>
              <w:top w:val="single" w:color="000000" w:sz="4" w:space="0"/>
              <w:left w:val="single" w:color="000000" w:sz="4" w:space="0"/>
              <w:bottom w:val="single" w:color="000000" w:sz="4" w:space="0"/>
              <w:right w:val="single" w:color="000000" w:sz="4" w:space="0"/>
            </w:tcBorders>
            <w:shd w:val="clear"/>
            <w:vAlign w:val="center"/>
          </w:tcPr>
          <w:p w14:paraId="0DF0A0E6">
            <w:pPr>
              <w:keepNext w:val="0"/>
              <w:keepLines w:val="0"/>
              <w:widowControl/>
              <w:suppressLineNumbers w:val="0"/>
              <w:snapToGrid w:val="0"/>
              <w:jc w:val="center"/>
              <w:textAlignment w:val="center"/>
              <w:rPr>
                <w:rFonts w:hint="eastAsia" w:ascii="宋体" w:hAnsi="宋体" w:eastAsia="宋体" w:cs="宋体"/>
                <w:i w:val="0"/>
                <w:iCs w:val="0"/>
                <w:color w:val="000000"/>
                <w:kern w:val="0"/>
                <w:sz w:val="20"/>
                <w:szCs w:val="20"/>
                <w:u w:val="none"/>
                <w:bdr w:val="none" w:color="auto" w:sz="0" w:space="0"/>
                <w:lang w:val="en-US" w:eastAsia="zh-CN" w:bidi="ar"/>
              </w:rPr>
            </w:pPr>
            <w:r>
              <w:rPr>
                <w:rFonts w:hint="eastAsia" w:ascii="宋体" w:hAnsi="宋体" w:eastAsia="宋体" w:cs="宋体"/>
                <w:i w:val="0"/>
                <w:iCs w:val="0"/>
                <w:color w:val="000000"/>
                <w:kern w:val="0"/>
                <w:sz w:val="20"/>
                <w:szCs w:val="20"/>
                <w:u w:val="none"/>
                <w:bdr w:val="none" w:color="auto" w:sz="0" w:space="0"/>
                <w:lang w:val="en-US" w:eastAsia="zh-CN" w:bidi="ar"/>
              </w:rPr>
              <w:t>二级</w:t>
            </w:r>
          </w:p>
          <w:p w14:paraId="3BB1FF51">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指标</w:t>
            </w:r>
          </w:p>
        </w:tc>
        <w:tc>
          <w:tcPr>
            <w:tcW w:w="605" w:type="pct"/>
            <w:tcBorders>
              <w:top w:val="single" w:color="000000" w:sz="4" w:space="0"/>
              <w:left w:val="single" w:color="000000" w:sz="4" w:space="0"/>
              <w:bottom w:val="single" w:color="000000" w:sz="4" w:space="0"/>
              <w:right w:val="single" w:color="000000" w:sz="4" w:space="0"/>
            </w:tcBorders>
            <w:shd w:val="clear"/>
            <w:vAlign w:val="center"/>
          </w:tcPr>
          <w:p w14:paraId="290BE573">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三级指标</w:t>
            </w:r>
          </w:p>
        </w:tc>
        <w:tc>
          <w:tcPr>
            <w:tcW w:w="1350" w:type="pct"/>
            <w:tcBorders>
              <w:top w:val="single" w:color="000000" w:sz="4" w:space="0"/>
              <w:left w:val="single" w:color="000000" w:sz="4" w:space="0"/>
              <w:bottom w:val="single" w:color="000000" w:sz="4" w:space="0"/>
              <w:right w:val="single" w:color="000000" w:sz="4" w:space="0"/>
            </w:tcBorders>
            <w:shd w:val="clear"/>
            <w:vAlign w:val="center"/>
          </w:tcPr>
          <w:p w14:paraId="10B5AD0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指标值</w:t>
            </w:r>
          </w:p>
        </w:tc>
        <w:tc>
          <w:tcPr>
            <w:tcW w:w="1415" w:type="pct"/>
            <w:tcBorders>
              <w:top w:val="single" w:color="000000" w:sz="4" w:space="0"/>
              <w:left w:val="single" w:color="000000" w:sz="4" w:space="0"/>
              <w:bottom w:val="single" w:color="000000" w:sz="4" w:space="0"/>
              <w:right w:val="single" w:color="000000" w:sz="4" w:space="0"/>
            </w:tcBorders>
            <w:shd w:val="clear"/>
            <w:vAlign w:val="center"/>
          </w:tcPr>
          <w:p w14:paraId="2AA3667D">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完成值</w:t>
            </w:r>
          </w:p>
        </w:tc>
        <w:tc>
          <w:tcPr>
            <w:tcW w:w="294" w:type="pct"/>
            <w:tcBorders>
              <w:top w:val="single" w:color="000000" w:sz="4" w:space="0"/>
              <w:left w:val="single" w:color="000000" w:sz="4" w:space="0"/>
              <w:bottom w:val="single" w:color="000000" w:sz="4" w:space="0"/>
              <w:right w:val="single" w:color="000000" w:sz="4" w:space="0"/>
            </w:tcBorders>
            <w:shd w:val="clear"/>
            <w:noWrap/>
            <w:vAlign w:val="center"/>
          </w:tcPr>
          <w:p w14:paraId="0A570B0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分值</w:t>
            </w:r>
          </w:p>
        </w:tc>
        <w:tc>
          <w:tcPr>
            <w:tcW w:w="351" w:type="pct"/>
            <w:tcBorders>
              <w:top w:val="single" w:color="000000" w:sz="4" w:space="0"/>
              <w:left w:val="single" w:color="000000" w:sz="4" w:space="0"/>
              <w:bottom w:val="single" w:color="000000" w:sz="4" w:space="0"/>
              <w:right w:val="single" w:color="000000" w:sz="4" w:space="0"/>
            </w:tcBorders>
            <w:shd w:val="clear"/>
            <w:noWrap/>
            <w:vAlign w:val="center"/>
          </w:tcPr>
          <w:p w14:paraId="19150924">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得分</w:t>
            </w:r>
          </w:p>
        </w:tc>
      </w:tr>
      <w:tr w14:paraId="4940D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32" w:type="dxa"/>
            <w:left w:w="64" w:type="dxa"/>
            <w:bottom w:w="32" w:type="dxa"/>
            <w:right w:w="64" w:type="dxa"/>
          </w:tblCellMar>
        </w:tblPrEx>
        <w:trPr>
          <w:trHeight w:val="0" w:hRule="atLeast"/>
          <w:jc w:val="center"/>
        </w:trPr>
        <w:tc>
          <w:tcPr>
            <w:tcW w:w="498" w:type="pct"/>
            <w:vMerge w:val="restart"/>
            <w:tcBorders>
              <w:top w:val="single" w:color="000000" w:sz="4" w:space="0"/>
              <w:left w:val="single" w:color="000000" w:sz="4" w:space="0"/>
              <w:bottom w:val="single" w:color="000000" w:sz="4" w:space="0"/>
              <w:right w:val="single" w:color="000000" w:sz="4" w:space="0"/>
            </w:tcBorders>
            <w:shd w:val="clear"/>
            <w:vAlign w:val="center"/>
          </w:tcPr>
          <w:p w14:paraId="37826527">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预算管理情况（20）</w:t>
            </w:r>
          </w:p>
        </w:tc>
        <w:tc>
          <w:tcPr>
            <w:tcW w:w="484" w:type="pct"/>
            <w:vMerge w:val="restart"/>
            <w:tcBorders>
              <w:top w:val="single" w:color="000000" w:sz="4" w:space="0"/>
              <w:left w:val="single" w:color="000000" w:sz="4" w:space="0"/>
              <w:bottom w:val="single" w:color="000000" w:sz="4" w:space="0"/>
              <w:right w:val="single" w:color="000000" w:sz="4" w:space="0"/>
            </w:tcBorders>
            <w:shd w:val="clear"/>
            <w:vAlign w:val="center"/>
          </w:tcPr>
          <w:p w14:paraId="5EEA8F94">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财务管理（4）</w:t>
            </w:r>
          </w:p>
        </w:tc>
        <w:tc>
          <w:tcPr>
            <w:tcW w:w="605" w:type="pct"/>
            <w:tcBorders>
              <w:top w:val="single" w:color="000000" w:sz="4" w:space="0"/>
              <w:left w:val="single" w:color="000000" w:sz="4" w:space="0"/>
              <w:bottom w:val="single" w:color="000000" w:sz="4" w:space="0"/>
              <w:right w:val="single" w:color="000000" w:sz="4" w:space="0"/>
            </w:tcBorders>
            <w:shd w:val="clear"/>
            <w:vAlign w:val="center"/>
          </w:tcPr>
          <w:p w14:paraId="0D270B40">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财务管理制度健全性</w:t>
            </w:r>
          </w:p>
        </w:tc>
        <w:tc>
          <w:tcPr>
            <w:tcW w:w="1350" w:type="pct"/>
            <w:tcBorders>
              <w:top w:val="single" w:color="000000" w:sz="4" w:space="0"/>
              <w:left w:val="single" w:color="000000" w:sz="4" w:space="0"/>
              <w:bottom w:val="single" w:color="000000" w:sz="4" w:space="0"/>
              <w:right w:val="single" w:color="000000" w:sz="4" w:space="0"/>
            </w:tcBorders>
            <w:shd w:val="clear"/>
            <w:vAlign w:val="center"/>
          </w:tcPr>
          <w:p w14:paraId="15BCC48C">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①预算资金管理办法、绩效跟踪管理办法、资产管理办法等各项制度是否健全；②部门内部财务管理制度是否完整、合规；③会计核算制度是否完整、合规。</w:t>
            </w:r>
          </w:p>
        </w:tc>
        <w:tc>
          <w:tcPr>
            <w:tcW w:w="1415" w:type="pct"/>
            <w:tcBorders>
              <w:top w:val="single" w:color="000000" w:sz="4" w:space="0"/>
              <w:left w:val="single" w:color="000000" w:sz="4" w:space="0"/>
              <w:bottom w:val="single" w:color="000000" w:sz="4" w:space="0"/>
              <w:right w:val="single" w:color="000000" w:sz="4" w:space="0"/>
            </w:tcBorders>
            <w:shd w:val="clear"/>
            <w:vAlign w:val="center"/>
          </w:tcPr>
          <w:p w14:paraId="256799A6">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建立《北京大兴国际机场临空经济区联合管理委员会财务管理规定（试行）》、《北京大兴国际机场临空经济区联合管理委员会差旅费管理办法》等财务管理制度，计核算制度完整、合规。</w:t>
            </w:r>
          </w:p>
        </w:tc>
        <w:tc>
          <w:tcPr>
            <w:tcW w:w="294" w:type="pct"/>
            <w:tcBorders>
              <w:top w:val="single" w:color="000000" w:sz="4" w:space="0"/>
              <w:left w:val="single" w:color="000000" w:sz="4" w:space="0"/>
              <w:bottom w:val="single" w:color="000000" w:sz="4" w:space="0"/>
              <w:right w:val="single" w:color="000000" w:sz="4" w:space="0"/>
            </w:tcBorders>
            <w:shd w:val="clear"/>
            <w:noWrap/>
            <w:vAlign w:val="center"/>
          </w:tcPr>
          <w:p w14:paraId="3E3E68F3">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351" w:type="pct"/>
            <w:tcBorders>
              <w:top w:val="single" w:color="000000" w:sz="4" w:space="0"/>
              <w:left w:val="single" w:color="000000" w:sz="4" w:space="0"/>
              <w:bottom w:val="single" w:color="000000" w:sz="4" w:space="0"/>
              <w:right w:val="single" w:color="000000" w:sz="4" w:space="0"/>
            </w:tcBorders>
            <w:shd w:val="clear"/>
            <w:noWrap/>
            <w:vAlign w:val="center"/>
          </w:tcPr>
          <w:p w14:paraId="2496331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r>
      <w:tr w14:paraId="1C5C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32" w:type="dxa"/>
            <w:left w:w="64" w:type="dxa"/>
            <w:bottom w:w="32" w:type="dxa"/>
            <w:right w:w="64" w:type="dxa"/>
          </w:tblCellMar>
        </w:tblPrEx>
        <w:trPr>
          <w:trHeight w:val="0" w:hRule="atLeast"/>
          <w:jc w:val="center"/>
        </w:trPr>
        <w:tc>
          <w:tcPr>
            <w:tcW w:w="49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843E942">
            <w:pPr>
              <w:snapToGrid w:val="0"/>
              <w:jc w:val="center"/>
              <w:rPr>
                <w:rFonts w:hint="eastAsia" w:ascii="宋体" w:hAnsi="宋体" w:eastAsia="宋体" w:cs="宋体"/>
                <w:i w:val="0"/>
                <w:iCs w:val="0"/>
                <w:color w:val="000000"/>
                <w:sz w:val="20"/>
                <w:szCs w:val="20"/>
                <w:u w:val="none"/>
              </w:rPr>
            </w:pPr>
          </w:p>
        </w:tc>
        <w:tc>
          <w:tcPr>
            <w:tcW w:w="48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76D61F8">
            <w:pPr>
              <w:snapToGrid w:val="0"/>
              <w:jc w:val="center"/>
              <w:rPr>
                <w:rFonts w:hint="eastAsia" w:ascii="宋体" w:hAnsi="宋体" w:eastAsia="宋体" w:cs="宋体"/>
                <w:i w:val="0"/>
                <w:iCs w:val="0"/>
                <w:color w:val="000000"/>
                <w:sz w:val="20"/>
                <w:szCs w:val="20"/>
                <w:u w:val="none"/>
              </w:rPr>
            </w:pPr>
          </w:p>
        </w:tc>
        <w:tc>
          <w:tcPr>
            <w:tcW w:w="605" w:type="pct"/>
            <w:tcBorders>
              <w:top w:val="single" w:color="000000" w:sz="4" w:space="0"/>
              <w:left w:val="single" w:color="000000" w:sz="4" w:space="0"/>
              <w:bottom w:val="single" w:color="000000" w:sz="4" w:space="0"/>
              <w:right w:val="single" w:color="000000" w:sz="4" w:space="0"/>
            </w:tcBorders>
            <w:shd w:val="clear"/>
            <w:vAlign w:val="center"/>
          </w:tcPr>
          <w:p w14:paraId="5F145C7D">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资金使用合规性和安全性</w:t>
            </w:r>
          </w:p>
        </w:tc>
        <w:tc>
          <w:tcPr>
            <w:tcW w:w="1350" w:type="pct"/>
            <w:tcBorders>
              <w:top w:val="single" w:color="000000" w:sz="4" w:space="0"/>
              <w:left w:val="single" w:color="000000" w:sz="4" w:space="0"/>
              <w:bottom w:val="single" w:color="000000" w:sz="4" w:space="0"/>
              <w:right w:val="single" w:color="000000" w:sz="4" w:space="0"/>
            </w:tcBorders>
            <w:shd w:val="clear"/>
            <w:vAlign w:val="center"/>
          </w:tcPr>
          <w:p w14:paraId="7E8D81FC">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w:t>
            </w:r>
          </w:p>
        </w:tc>
        <w:tc>
          <w:tcPr>
            <w:tcW w:w="1415" w:type="pct"/>
            <w:tcBorders>
              <w:top w:val="single" w:color="000000" w:sz="4" w:space="0"/>
              <w:left w:val="single" w:color="000000" w:sz="4" w:space="0"/>
              <w:bottom w:val="single" w:color="000000" w:sz="4" w:space="0"/>
              <w:right w:val="single" w:color="000000" w:sz="4" w:space="0"/>
            </w:tcBorders>
            <w:shd w:val="clear"/>
            <w:vAlign w:val="center"/>
          </w:tcPr>
          <w:p w14:paraId="5435E305">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符合国家财经法规和财务管理制度规定以及有关专项资金管理办法的规定；资金的拨付有完整的审批程序和手续；项目的重大开支经过评估论证；符合部门预算批复的用途；不存在截留、挤占、挪用情况；资金使用符合政府采购的程序和流程；资金使用符合公务卡结算相关制度和规定。</w:t>
            </w:r>
          </w:p>
        </w:tc>
        <w:tc>
          <w:tcPr>
            <w:tcW w:w="294" w:type="pct"/>
            <w:tcBorders>
              <w:top w:val="single" w:color="000000" w:sz="4" w:space="0"/>
              <w:left w:val="single" w:color="000000" w:sz="4" w:space="0"/>
              <w:bottom w:val="single" w:color="000000" w:sz="4" w:space="0"/>
              <w:right w:val="single" w:color="000000" w:sz="4" w:space="0"/>
            </w:tcBorders>
            <w:shd w:val="clear"/>
            <w:noWrap/>
            <w:vAlign w:val="center"/>
          </w:tcPr>
          <w:p w14:paraId="5A56B3F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351" w:type="pct"/>
            <w:tcBorders>
              <w:top w:val="single" w:color="000000" w:sz="4" w:space="0"/>
              <w:left w:val="single" w:color="000000" w:sz="4" w:space="0"/>
              <w:bottom w:val="single" w:color="000000" w:sz="4" w:space="0"/>
              <w:right w:val="single" w:color="000000" w:sz="4" w:space="0"/>
            </w:tcBorders>
            <w:shd w:val="clear"/>
            <w:noWrap/>
            <w:vAlign w:val="center"/>
          </w:tcPr>
          <w:p w14:paraId="043448B3">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r>
      <w:tr w14:paraId="4FB8F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32" w:type="dxa"/>
            <w:left w:w="64" w:type="dxa"/>
            <w:bottom w:w="32" w:type="dxa"/>
            <w:right w:w="64" w:type="dxa"/>
          </w:tblCellMar>
        </w:tblPrEx>
        <w:trPr>
          <w:trHeight w:val="0" w:hRule="atLeast"/>
          <w:jc w:val="center"/>
        </w:trPr>
        <w:tc>
          <w:tcPr>
            <w:tcW w:w="49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CF0AB24">
            <w:pPr>
              <w:snapToGrid w:val="0"/>
              <w:jc w:val="center"/>
              <w:rPr>
                <w:rFonts w:hint="eastAsia" w:ascii="宋体" w:hAnsi="宋体" w:eastAsia="宋体" w:cs="宋体"/>
                <w:i w:val="0"/>
                <w:iCs w:val="0"/>
                <w:color w:val="000000"/>
                <w:sz w:val="20"/>
                <w:szCs w:val="20"/>
                <w:u w:val="none"/>
              </w:rPr>
            </w:pPr>
          </w:p>
        </w:tc>
        <w:tc>
          <w:tcPr>
            <w:tcW w:w="48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C3BA5C7">
            <w:pPr>
              <w:snapToGrid w:val="0"/>
              <w:jc w:val="center"/>
              <w:rPr>
                <w:rFonts w:hint="eastAsia" w:ascii="宋体" w:hAnsi="宋体" w:eastAsia="宋体" w:cs="宋体"/>
                <w:i w:val="0"/>
                <w:iCs w:val="0"/>
                <w:color w:val="000000"/>
                <w:sz w:val="20"/>
                <w:szCs w:val="20"/>
                <w:u w:val="none"/>
              </w:rPr>
            </w:pPr>
          </w:p>
        </w:tc>
        <w:tc>
          <w:tcPr>
            <w:tcW w:w="605" w:type="pct"/>
            <w:tcBorders>
              <w:top w:val="single" w:color="000000" w:sz="4" w:space="0"/>
              <w:left w:val="single" w:color="000000" w:sz="4" w:space="0"/>
              <w:bottom w:val="single" w:color="000000" w:sz="4" w:space="0"/>
              <w:right w:val="single" w:color="000000" w:sz="4" w:space="0"/>
            </w:tcBorders>
            <w:shd w:val="clear"/>
            <w:vAlign w:val="center"/>
          </w:tcPr>
          <w:p w14:paraId="7E8AEEA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会计基础信息完善性</w:t>
            </w:r>
          </w:p>
        </w:tc>
        <w:tc>
          <w:tcPr>
            <w:tcW w:w="1350" w:type="pct"/>
            <w:tcBorders>
              <w:top w:val="single" w:color="000000" w:sz="4" w:space="0"/>
              <w:left w:val="single" w:color="000000" w:sz="4" w:space="0"/>
              <w:bottom w:val="single" w:color="000000" w:sz="4" w:space="0"/>
              <w:right w:val="single" w:color="000000" w:sz="4" w:space="0"/>
            </w:tcBorders>
            <w:shd w:val="clear"/>
            <w:vAlign w:val="center"/>
          </w:tcPr>
          <w:p w14:paraId="4F9F9061">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①基础数据信息和会计信息资料是否真实；②基础数据信息和会计信息资料是否完整；③基础数据信息和会计信息资料是否准确。</w:t>
            </w:r>
          </w:p>
        </w:tc>
        <w:tc>
          <w:tcPr>
            <w:tcW w:w="1415" w:type="pct"/>
            <w:tcBorders>
              <w:top w:val="single" w:color="000000" w:sz="4" w:space="0"/>
              <w:left w:val="single" w:color="000000" w:sz="4" w:space="0"/>
              <w:bottom w:val="single" w:color="000000" w:sz="4" w:space="0"/>
              <w:right w:val="single" w:color="000000" w:sz="4" w:space="0"/>
            </w:tcBorders>
            <w:shd w:val="clear"/>
            <w:vAlign w:val="center"/>
          </w:tcPr>
          <w:p w14:paraId="14878B6A">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基础数据信息和会计信息资料真实；基础数据信息和会计信息资料完整；基础数据信息和会计信息资料准确。</w:t>
            </w:r>
          </w:p>
        </w:tc>
        <w:tc>
          <w:tcPr>
            <w:tcW w:w="294" w:type="pct"/>
            <w:tcBorders>
              <w:top w:val="single" w:color="000000" w:sz="4" w:space="0"/>
              <w:left w:val="single" w:color="000000" w:sz="4" w:space="0"/>
              <w:bottom w:val="single" w:color="000000" w:sz="4" w:space="0"/>
              <w:right w:val="single" w:color="000000" w:sz="4" w:space="0"/>
            </w:tcBorders>
            <w:shd w:val="clear"/>
            <w:noWrap/>
            <w:vAlign w:val="center"/>
          </w:tcPr>
          <w:p w14:paraId="65646475">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351" w:type="pct"/>
            <w:tcBorders>
              <w:top w:val="single" w:color="000000" w:sz="4" w:space="0"/>
              <w:left w:val="single" w:color="000000" w:sz="4" w:space="0"/>
              <w:bottom w:val="single" w:color="000000" w:sz="4" w:space="0"/>
              <w:right w:val="single" w:color="000000" w:sz="4" w:space="0"/>
            </w:tcBorders>
            <w:shd w:val="clear"/>
            <w:noWrap/>
            <w:vAlign w:val="center"/>
          </w:tcPr>
          <w:p w14:paraId="1CEDE5CB">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r>
      <w:tr w14:paraId="71309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32" w:type="dxa"/>
            <w:left w:w="64" w:type="dxa"/>
            <w:bottom w:w="32" w:type="dxa"/>
            <w:right w:w="64" w:type="dxa"/>
          </w:tblCellMar>
        </w:tblPrEx>
        <w:trPr>
          <w:trHeight w:val="0" w:hRule="atLeast"/>
          <w:jc w:val="center"/>
        </w:trPr>
        <w:tc>
          <w:tcPr>
            <w:tcW w:w="49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78E4874">
            <w:pPr>
              <w:snapToGrid w:val="0"/>
              <w:jc w:val="center"/>
              <w:rPr>
                <w:rFonts w:hint="eastAsia" w:ascii="宋体" w:hAnsi="宋体" w:eastAsia="宋体" w:cs="宋体"/>
                <w:i w:val="0"/>
                <w:iCs w:val="0"/>
                <w:color w:val="000000"/>
                <w:sz w:val="20"/>
                <w:szCs w:val="20"/>
                <w:u w:val="none"/>
              </w:rPr>
            </w:pPr>
          </w:p>
        </w:tc>
        <w:tc>
          <w:tcPr>
            <w:tcW w:w="484" w:type="pct"/>
            <w:tcBorders>
              <w:top w:val="single" w:color="000000" w:sz="4" w:space="0"/>
              <w:left w:val="single" w:color="000000" w:sz="4" w:space="0"/>
              <w:bottom w:val="single" w:color="000000" w:sz="4" w:space="0"/>
              <w:right w:val="single" w:color="000000" w:sz="4" w:space="0"/>
            </w:tcBorders>
            <w:shd w:val="clear"/>
            <w:vAlign w:val="center"/>
          </w:tcPr>
          <w:p w14:paraId="5BC1CF94">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资产管理（4）</w:t>
            </w:r>
          </w:p>
        </w:tc>
        <w:tc>
          <w:tcPr>
            <w:tcW w:w="605" w:type="pct"/>
            <w:tcBorders>
              <w:top w:val="single" w:color="000000" w:sz="4" w:space="0"/>
              <w:left w:val="single" w:color="000000" w:sz="4" w:space="0"/>
              <w:bottom w:val="single" w:color="000000" w:sz="4" w:space="0"/>
              <w:right w:val="single" w:color="000000" w:sz="4" w:space="0"/>
            </w:tcBorders>
            <w:shd w:val="clear"/>
            <w:vAlign w:val="center"/>
          </w:tcPr>
          <w:p w14:paraId="36CCCDA3">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资产管理规范性</w:t>
            </w:r>
          </w:p>
        </w:tc>
        <w:tc>
          <w:tcPr>
            <w:tcW w:w="1350" w:type="pct"/>
            <w:tcBorders>
              <w:top w:val="single" w:color="000000" w:sz="4" w:space="0"/>
              <w:left w:val="single" w:color="000000" w:sz="4" w:space="0"/>
              <w:bottom w:val="single" w:color="000000" w:sz="4" w:space="0"/>
              <w:right w:val="single" w:color="000000" w:sz="4" w:space="0"/>
            </w:tcBorders>
            <w:shd w:val="clear"/>
            <w:vAlign w:val="center"/>
          </w:tcPr>
          <w:p w14:paraId="446D1A31">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w:t>
            </w:r>
          </w:p>
        </w:tc>
        <w:tc>
          <w:tcPr>
            <w:tcW w:w="1415" w:type="pct"/>
            <w:tcBorders>
              <w:top w:val="single" w:color="000000" w:sz="4" w:space="0"/>
              <w:left w:val="single" w:color="000000" w:sz="4" w:space="0"/>
              <w:bottom w:val="single" w:color="000000" w:sz="4" w:space="0"/>
              <w:right w:val="single" w:color="000000" w:sz="4" w:space="0"/>
            </w:tcBorders>
            <w:shd w:val="clear"/>
            <w:vAlign w:val="center"/>
          </w:tcPr>
          <w:p w14:paraId="275A5DFE">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未有因管理不当发生严重资产损失和丢失情况；不存在超标准配置资产；资产使用规范，不存在未经批准擅自出租、出借资产行为；资产处置规范，不存在不按要求进行报批或资产不公开处置行为。</w:t>
            </w:r>
          </w:p>
        </w:tc>
        <w:tc>
          <w:tcPr>
            <w:tcW w:w="294" w:type="pct"/>
            <w:tcBorders>
              <w:top w:val="single" w:color="000000" w:sz="4" w:space="0"/>
              <w:left w:val="single" w:color="000000" w:sz="4" w:space="0"/>
              <w:bottom w:val="single" w:color="000000" w:sz="4" w:space="0"/>
              <w:right w:val="single" w:color="000000" w:sz="4" w:space="0"/>
            </w:tcBorders>
            <w:shd w:val="clear"/>
            <w:vAlign w:val="center"/>
          </w:tcPr>
          <w:p w14:paraId="18525796">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351" w:type="pct"/>
            <w:tcBorders>
              <w:top w:val="single" w:color="000000" w:sz="4" w:space="0"/>
              <w:left w:val="single" w:color="000000" w:sz="4" w:space="0"/>
              <w:bottom w:val="single" w:color="000000" w:sz="4" w:space="0"/>
              <w:right w:val="single" w:color="000000" w:sz="4" w:space="0"/>
            </w:tcBorders>
            <w:shd w:val="clear"/>
            <w:vAlign w:val="center"/>
          </w:tcPr>
          <w:p w14:paraId="1A106578">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r>
      <w:tr w14:paraId="217A3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32" w:type="dxa"/>
            <w:left w:w="64" w:type="dxa"/>
            <w:bottom w:w="32" w:type="dxa"/>
            <w:right w:w="64" w:type="dxa"/>
          </w:tblCellMar>
        </w:tblPrEx>
        <w:trPr>
          <w:trHeight w:val="0" w:hRule="atLeast"/>
          <w:jc w:val="center"/>
        </w:trPr>
        <w:tc>
          <w:tcPr>
            <w:tcW w:w="49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DAF45B7">
            <w:pPr>
              <w:snapToGrid w:val="0"/>
              <w:jc w:val="center"/>
              <w:rPr>
                <w:rFonts w:hint="eastAsia" w:ascii="宋体" w:hAnsi="宋体" w:eastAsia="宋体" w:cs="宋体"/>
                <w:i w:val="0"/>
                <w:iCs w:val="0"/>
                <w:color w:val="000000"/>
                <w:sz w:val="20"/>
                <w:szCs w:val="20"/>
                <w:u w:val="none"/>
              </w:rPr>
            </w:pPr>
          </w:p>
        </w:tc>
        <w:tc>
          <w:tcPr>
            <w:tcW w:w="484" w:type="pct"/>
            <w:tcBorders>
              <w:top w:val="single" w:color="000000" w:sz="4" w:space="0"/>
              <w:left w:val="single" w:color="000000" w:sz="4" w:space="0"/>
              <w:bottom w:val="single" w:color="000000" w:sz="4" w:space="0"/>
              <w:right w:val="single" w:color="000000" w:sz="4" w:space="0"/>
            </w:tcBorders>
            <w:shd w:val="clear"/>
            <w:vAlign w:val="center"/>
          </w:tcPr>
          <w:p w14:paraId="3C3981D2">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绩效管理（4）</w:t>
            </w:r>
          </w:p>
        </w:tc>
        <w:tc>
          <w:tcPr>
            <w:tcW w:w="605" w:type="pct"/>
            <w:tcBorders>
              <w:top w:val="single" w:color="000000" w:sz="4" w:space="0"/>
              <w:left w:val="single" w:color="000000" w:sz="4" w:space="0"/>
              <w:bottom w:val="single" w:color="000000" w:sz="4" w:space="0"/>
              <w:right w:val="single" w:color="000000" w:sz="4" w:space="0"/>
            </w:tcBorders>
            <w:shd w:val="clear"/>
            <w:vAlign w:val="center"/>
          </w:tcPr>
          <w:p w14:paraId="2D262484">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绩效管理情况</w:t>
            </w:r>
          </w:p>
        </w:tc>
        <w:tc>
          <w:tcPr>
            <w:tcW w:w="1350" w:type="pct"/>
            <w:tcBorders>
              <w:top w:val="single" w:color="000000" w:sz="4" w:space="0"/>
              <w:left w:val="single" w:color="000000" w:sz="4" w:space="0"/>
              <w:bottom w:val="single" w:color="000000" w:sz="4" w:space="0"/>
              <w:right w:val="single" w:color="000000" w:sz="4" w:space="0"/>
            </w:tcBorders>
            <w:shd w:val="clear"/>
            <w:vAlign w:val="center"/>
          </w:tcPr>
          <w:p w14:paraId="2F9191D9">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①部门（单位）是否及时对绩效信息进行汇总分析整理；②部门（单位）是否对绩效目标偏离情况及时进行矫正。</w:t>
            </w:r>
          </w:p>
        </w:tc>
        <w:tc>
          <w:tcPr>
            <w:tcW w:w="1415" w:type="pct"/>
            <w:tcBorders>
              <w:top w:val="single" w:color="000000" w:sz="4" w:space="0"/>
              <w:left w:val="single" w:color="000000" w:sz="4" w:space="0"/>
              <w:bottom w:val="single" w:color="000000" w:sz="4" w:space="0"/>
              <w:right w:val="single" w:color="000000" w:sz="4" w:space="0"/>
            </w:tcBorders>
            <w:shd w:val="clear"/>
            <w:vAlign w:val="center"/>
          </w:tcPr>
          <w:p w14:paraId="3A2A0C76">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及时对绩效信息进行汇总分析整理，按时开展了2024年部门预算绩效运行监控工作，对绩效目标偏离情况及时进行矫正。</w:t>
            </w:r>
          </w:p>
        </w:tc>
        <w:tc>
          <w:tcPr>
            <w:tcW w:w="294" w:type="pct"/>
            <w:tcBorders>
              <w:top w:val="single" w:color="000000" w:sz="4" w:space="0"/>
              <w:left w:val="single" w:color="000000" w:sz="4" w:space="0"/>
              <w:bottom w:val="single" w:color="000000" w:sz="4" w:space="0"/>
              <w:right w:val="single" w:color="000000" w:sz="4" w:space="0"/>
            </w:tcBorders>
            <w:shd w:val="clear"/>
            <w:vAlign w:val="center"/>
          </w:tcPr>
          <w:p w14:paraId="50F53CC5">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351" w:type="pct"/>
            <w:tcBorders>
              <w:top w:val="single" w:color="000000" w:sz="4" w:space="0"/>
              <w:left w:val="single" w:color="000000" w:sz="4" w:space="0"/>
              <w:bottom w:val="single" w:color="000000" w:sz="4" w:space="0"/>
              <w:right w:val="single" w:color="000000" w:sz="4" w:space="0"/>
            </w:tcBorders>
            <w:shd w:val="clear"/>
            <w:vAlign w:val="center"/>
          </w:tcPr>
          <w:p w14:paraId="1E9F666C">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r>
      <w:tr w14:paraId="65D81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32" w:type="dxa"/>
            <w:left w:w="64" w:type="dxa"/>
            <w:bottom w:w="32" w:type="dxa"/>
            <w:right w:w="64" w:type="dxa"/>
          </w:tblCellMar>
        </w:tblPrEx>
        <w:trPr>
          <w:trHeight w:val="0" w:hRule="atLeast"/>
          <w:jc w:val="center"/>
        </w:trPr>
        <w:tc>
          <w:tcPr>
            <w:tcW w:w="49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139CE1F">
            <w:pPr>
              <w:snapToGrid w:val="0"/>
              <w:jc w:val="center"/>
              <w:rPr>
                <w:rFonts w:hint="eastAsia" w:ascii="宋体" w:hAnsi="宋体" w:eastAsia="宋体" w:cs="宋体"/>
                <w:i w:val="0"/>
                <w:iCs w:val="0"/>
                <w:color w:val="000000"/>
                <w:sz w:val="20"/>
                <w:szCs w:val="20"/>
                <w:u w:val="none"/>
              </w:rPr>
            </w:pPr>
          </w:p>
        </w:tc>
        <w:tc>
          <w:tcPr>
            <w:tcW w:w="484" w:type="pct"/>
            <w:tcBorders>
              <w:top w:val="single" w:color="000000" w:sz="4" w:space="0"/>
              <w:left w:val="single" w:color="000000" w:sz="4" w:space="0"/>
              <w:bottom w:val="single" w:color="000000" w:sz="4" w:space="0"/>
              <w:right w:val="single" w:color="000000" w:sz="4" w:space="0"/>
            </w:tcBorders>
            <w:shd w:val="clear"/>
            <w:vAlign w:val="center"/>
          </w:tcPr>
          <w:p w14:paraId="15DF313C">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指标　</w:t>
            </w:r>
          </w:p>
        </w:tc>
        <w:tc>
          <w:tcPr>
            <w:tcW w:w="1955" w:type="pct"/>
            <w:gridSpan w:val="2"/>
            <w:tcBorders>
              <w:top w:val="single" w:color="000000" w:sz="4" w:space="0"/>
              <w:left w:val="single" w:color="000000" w:sz="4" w:space="0"/>
              <w:bottom w:val="single" w:color="000000" w:sz="4" w:space="0"/>
              <w:right w:val="single" w:color="000000" w:sz="4" w:space="0"/>
            </w:tcBorders>
            <w:shd w:val="clear"/>
            <w:vAlign w:val="center"/>
          </w:tcPr>
          <w:p w14:paraId="7F8F53D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2023年</w:t>
            </w:r>
          </w:p>
        </w:tc>
        <w:tc>
          <w:tcPr>
            <w:tcW w:w="1415" w:type="pct"/>
            <w:tcBorders>
              <w:top w:val="single" w:color="000000" w:sz="4" w:space="0"/>
              <w:left w:val="single" w:color="000000" w:sz="4" w:space="0"/>
              <w:bottom w:val="single" w:color="000000" w:sz="4" w:space="0"/>
              <w:right w:val="single" w:color="000000" w:sz="4" w:space="0"/>
            </w:tcBorders>
            <w:shd w:val="clear"/>
            <w:vAlign w:val="center"/>
          </w:tcPr>
          <w:p w14:paraId="1C48F09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2024年</w:t>
            </w:r>
          </w:p>
        </w:tc>
        <w:tc>
          <w:tcPr>
            <w:tcW w:w="294" w:type="pct"/>
            <w:tcBorders>
              <w:top w:val="single" w:color="000000" w:sz="4" w:space="0"/>
              <w:left w:val="single" w:color="000000" w:sz="4" w:space="0"/>
              <w:bottom w:val="single" w:color="000000" w:sz="4" w:space="0"/>
              <w:right w:val="single" w:color="000000" w:sz="4" w:space="0"/>
            </w:tcBorders>
            <w:shd w:val="clear"/>
            <w:vAlign w:val="center"/>
          </w:tcPr>
          <w:p w14:paraId="04D74CFE">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分值</w:t>
            </w:r>
          </w:p>
        </w:tc>
        <w:tc>
          <w:tcPr>
            <w:tcW w:w="351" w:type="pct"/>
            <w:tcBorders>
              <w:top w:val="single" w:color="000000" w:sz="4" w:space="0"/>
              <w:left w:val="single" w:color="000000" w:sz="4" w:space="0"/>
              <w:bottom w:val="single" w:color="000000" w:sz="4" w:space="0"/>
              <w:right w:val="single" w:color="000000" w:sz="4" w:space="0"/>
            </w:tcBorders>
            <w:shd w:val="clear"/>
            <w:vAlign w:val="center"/>
          </w:tcPr>
          <w:p w14:paraId="3C8DEF80">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得分</w:t>
            </w:r>
          </w:p>
        </w:tc>
      </w:tr>
      <w:tr w14:paraId="627E4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32" w:type="dxa"/>
            <w:left w:w="64" w:type="dxa"/>
            <w:bottom w:w="32" w:type="dxa"/>
            <w:right w:w="64" w:type="dxa"/>
          </w:tblCellMar>
        </w:tblPrEx>
        <w:trPr>
          <w:trHeight w:val="0" w:hRule="atLeast"/>
          <w:jc w:val="center"/>
        </w:trPr>
        <w:tc>
          <w:tcPr>
            <w:tcW w:w="49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D7A2A00">
            <w:pPr>
              <w:snapToGrid w:val="0"/>
              <w:jc w:val="center"/>
              <w:rPr>
                <w:rFonts w:hint="eastAsia" w:ascii="宋体" w:hAnsi="宋体" w:eastAsia="宋体" w:cs="宋体"/>
                <w:i w:val="0"/>
                <w:iCs w:val="0"/>
                <w:color w:val="000000"/>
                <w:sz w:val="20"/>
                <w:szCs w:val="20"/>
                <w:u w:val="none"/>
              </w:rPr>
            </w:pPr>
          </w:p>
        </w:tc>
        <w:tc>
          <w:tcPr>
            <w:tcW w:w="484" w:type="pct"/>
            <w:tcBorders>
              <w:top w:val="single" w:color="000000" w:sz="4" w:space="0"/>
              <w:left w:val="single" w:color="000000" w:sz="4" w:space="0"/>
              <w:bottom w:val="single" w:color="000000" w:sz="4" w:space="0"/>
              <w:right w:val="single" w:color="000000" w:sz="4" w:space="0"/>
            </w:tcBorders>
            <w:shd w:val="clear"/>
            <w:vAlign w:val="center"/>
          </w:tcPr>
          <w:p w14:paraId="371AB252">
            <w:pPr>
              <w:keepNext w:val="0"/>
              <w:keepLines w:val="0"/>
              <w:widowControl/>
              <w:suppressLineNumbers w:val="0"/>
              <w:snapToGrid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结转结余率（4）</w:t>
            </w:r>
          </w:p>
        </w:tc>
        <w:tc>
          <w:tcPr>
            <w:tcW w:w="1955" w:type="pct"/>
            <w:gridSpan w:val="2"/>
            <w:tcBorders>
              <w:top w:val="single" w:color="000000" w:sz="4" w:space="0"/>
              <w:left w:val="single" w:color="000000" w:sz="4" w:space="0"/>
              <w:bottom w:val="single" w:color="000000" w:sz="4" w:space="0"/>
              <w:right w:val="single" w:color="000000" w:sz="4" w:space="0"/>
            </w:tcBorders>
            <w:shd w:val="clear"/>
            <w:vAlign w:val="center"/>
          </w:tcPr>
          <w:p w14:paraId="4FA78158">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42.26%</w:t>
            </w:r>
          </w:p>
        </w:tc>
        <w:tc>
          <w:tcPr>
            <w:tcW w:w="1415" w:type="pct"/>
            <w:tcBorders>
              <w:top w:val="single" w:color="000000" w:sz="4" w:space="0"/>
              <w:left w:val="single" w:color="000000" w:sz="4" w:space="0"/>
              <w:bottom w:val="single" w:color="000000" w:sz="4" w:space="0"/>
              <w:right w:val="single" w:color="000000" w:sz="4" w:space="0"/>
            </w:tcBorders>
            <w:shd w:val="clear"/>
            <w:vAlign w:val="center"/>
          </w:tcPr>
          <w:p w14:paraId="0DAC2302">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32.02%</w:t>
            </w:r>
          </w:p>
        </w:tc>
        <w:tc>
          <w:tcPr>
            <w:tcW w:w="294" w:type="pct"/>
            <w:tcBorders>
              <w:top w:val="single" w:color="000000" w:sz="4" w:space="0"/>
              <w:left w:val="single" w:color="000000" w:sz="4" w:space="0"/>
              <w:bottom w:val="single" w:color="000000" w:sz="4" w:space="0"/>
              <w:right w:val="single" w:color="000000" w:sz="4" w:space="0"/>
            </w:tcBorders>
            <w:shd w:val="clear"/>
            <w:vAlign w:val="center"/>
          </w:tcPr>
          <w:p w14:paraId="4ECA35D1">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351" w:type="pct"/>
            <w:tcBorders>
              <w:top w:val="single" w:color="000000" w:sz="4" w:space="0"/>
              <w:left w:val="single" w:color="000000" w:sz="4" w:space="0"/>
              <w:bottom w:val="single" w:color="000000" w:sz="4" w:space="0"/>
              <w:right w:val="single" w:color="000000" w:sz="4" w:space="0"/>
            </w:tcBorders>
            <w:shd w:val="clear"/>
            <w:vAlign w:val="center"/>
          </w:tcPr>
          <w:p w14:paraId="3864972E">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r>
      <w:tr w14:paraId="58DDF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32" w:type="dxa"/>
            <w:left w:w="64" w:type="dxa"/>
            <w:bottom w:w="32" w:type="dxa"/>
            <w:right w:w="64" w:type="dxa"/>
          </w:tblCellMar>
        </w:tblPrEx>
        <w:trPr>
          <w:trHeight w:val="0" w:hRule="atLeast"/>
          <w:jc w:val="center"/>
        </w:trPr>
        <w:tc>
          <w:tcPr>
            <w:tcW w:w="49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BE71162">
            <w:pPr>
              <w:snapToGrid w:val="0"/>
              <w:jc w:val="center"/>
              <w:rPr>
                <w:rFonts w:hint="eastAsia" w:ascii="宋体" w:hAnsi="宋体" w:eastAsia="宋体" w:cs="宋体"/>
                <w:i w:val="0"/>
                <w:iCs w:val="0"/>
                <w:color w:val="000000"/>
                <w:sz w:val="20"/>
                <w:szCs w:val="20"/>
                <w:u w:val="none"/>
              </w:rPr>
            </w:pPr>
          </w:p>
        </w:tc>
        <w:tc>
          <w:tcPr>
            <w:tcW w:w="484" w:type="pct"/>
            <w:tcBorders>
              <w:top w:val="single" w:color="000000" w:sz="4" w:space="0"/>
              <w:left w:val="single" w:color="000000" w:sz="4" w:space="0"/>
              <w:bottom w:val="single" w:color="000000" w:sz="4" w:space="0"/>
              <w:right w:val="single" w:color="000000" w:sz="4" w:space="0"/>
            </w:tcBorders>
            <w:shd w:val="clear"/>
            <w:vAlign w:val="center"/>
          </w:tcPr>
          <w:p w14:paraId="5A81A0FC">
            <w:pPr>
              <w:keepNext w:val="0"/>
              <w:keepLines w:val="0"/>
              <w:widowControl/>
              <w:suppressLineNumbers w:val="0"/>
              <w:snapToGrid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部门预决算差异率（4）</w:t>
            </w:r>
          </w:p>
        </w:tc>
        <w:tc>
          <w:tcPr>
            <w:tcW w:w="1955" w:type="pct"/>
            <w:gridSpan w:val="2"/>
            <w:tcBorders>
              <w:top w:val="single" w:color="000000" w:sz="4" w:space="0"/>
              <w:left w:val="single" w:color="000000" w:sz="4" w:space="0"/>
              <w:bottom w:val="single" w:color="000000" w:sz="4" w:space="0"/>
              <w:right w:val="single" w:color="000000" w:sz="4" w:space="0"/>
            </w:tcBorders>
            <w:shd w:val="clear"/>
            <w:vAlign w:val="center"/>
          </w:tcPr>
          <w:p w14:paraId="1A03F7DC">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w:t>
            </w:r>
          </w:p>
        </w:tc>
        <w:tc>
          <w:tcPr>
            <w:tcW w:w="1415" w:type="pct"/>
            <w:tcBorders>
              <w:top w:val="single" w:color="000000" w:sz="4" w:space="0"/>
              <w:left w:val="single" w:color="000000" w:sz="4" w:space="0"/>
              <w:bottom w:val="single" w:color="000000" w:sz="4" w:space="0"/>
              <w:right w:val="single" w:color="000000" w:sz="4" w:space="0"/>
            </w:tcBorders>
            <w:shd w:val="clear"/>
            <w:vAlign w:val="center"/>
          </w:tcPr>
          <w:p w14:paraId="0CBA6767">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23.62</w:t>
            </w:r>
          </w:p>
        </w:tc>
        <w:tc>
          <w:tcPr>
            <w:tcW w:w="294" w:type="pct"/>
            <w:tcBorders>
              <w:top w:val="single" w:color="000000" w:sz="4" w:space="0"/>
              <w:left w:val="single" w:color="000000" w:sz="4" w:space="0"/>
              <w:bottom w:val="single" w:color="000000" w:sz="4" w:space="0"/>
              <w:right w:val="single" w:color="000000" w:sz="4" w:space="0"/>
            </w:tcBorders>
            <w:shd w:val="clear"/>
            <w:vAlign w:val="center"/>
          </w:tcPr>
          <w:p w14:paraId="55D4FD99">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351" w:type="pct"/>
            <w:tcBorders>
              <w:top w:val="single" w:color="000000" w:sz="4" w:space="0"/>
              <w:left w:val="single" w:color="000000" w:sz="4" w:space="0"/>
              <w:bottom w:val="single" w:color="000000" w:sz="4" w:space="0"/>
              <w:right w:val="single" w:color="000000" w:sz="4" w:space="0"/>
            </w:tcBorders>
            <w:shd w:val="clear"/>
            <w:vAlign w:val="center"/>
          </w:tcPr>
          <w:p w14:paraId="45241EF0">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r>
      <w:tr w14:paraId="54F524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32" w:type="dxa"/>
            <w:left w:w="64" w:type="dxa"/>
            <w:bottom w:w="32" w:type="dxa"/>
            <w:right w:w="64" w:type="dxa"/>
          </w:tblCellMar>
        </w:tblPrEx>
        <w:trPr>
          <w:trHeight w:val="0" w:hRule="atLeast"/>
          <w:jc w:val="center"/>
        </w:trPr>
        <w:tc>
          <w:tcPr>
            <w:tcW w:w="4354" w:type="pct"/>
            <w:gridSpan w:val="5"/>
            <w:tcBorders>
              <w:top w:val="single" w:color="000000" w:sz="4" w:space="0"/>
              <w:left w:val="single" w:color="000000" w:sz="4" w:space="0"/>
              <w:bottom w:val="single" w:color="000000" w:sz="4" w:space="0"/>
              <w:right w:val="single" w:color="000000" w:sz="4" w:space="0"/>
            </w:tcBorders>
            <w:shd w:val="clear"/>
            <w:vAlign w:val="center"/>
          </w:tcPr>
          <w:p w14:paraId="47AFE377">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合计</w:t>
            </w:r>
          </w:p>
        </w:tc>
        <w:tc>
          <w:tcPr>
            <w:tcW w:w="294" w:type="pct"/>
            <w:tcBorders>
              <w:top w:val="single" w:color="000000" w:sz="4" w:space="0"/>
              <w:left w:val="single" w:color="000000" w:sz="4" w:space="0"/>
              <w:bottom w:val="single" w:color="000000" w:sz="4" w:space="0"/>
              <w:right w:val="single" w:color="000000" w:sz="4" w:space="0"/>
            </w:tcBorders>
            <w:shd w:val="clear"/>
            <w:vAlign w:val="center"/>
          </w:tcPr>
          <w:p w14:paraId="594D7A60">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351" w:type="pct"/>
            <w:tcBorders>
              <w:top w:val="single" w:color="000000" w:sz="4" w:space="0"/>
              <w:left w:val="single" w:color="000000" w:sz="4" w:space="0"/>
              <w:bottom w:val="single" w:color="000000" w:sz="4" w:space="0"/>
              <w:right w:val="single" w:color="000000" w:sz="4" w:space="0"/>
            </w:tcBorders>
            <w:shd w:val="clear"/>
            <w:vAlign w:val="center"/>
          </w:tcPr>
          <w:p w14:paraId="169F368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95.28 </w:t>
            </w:r>
          </w:p>
        </w:tc>
      </w:tr>
    </w:tbl>
    <w:p w14:paraId="61D32438">
      <w:pPr>
        <w:pStyle w:val="2"/>
        <w:ind w:left="0" w:leftChars="0" w:firstLine="0" w:firstLineChars="0"/>
        <w:rPr>
          <w:rFonts w:hint="eastAsia"/>
          <w:lang w:val="en-US" w:eastAsia="zh-CN"/>
        </w:rPr>
      </w:pPr>
    </w:p>
    <w:p w14:paraId="5965B766">
      <w:pPr>
        <w:pStyle w:val="2"/>
        <w:ind w:left="0" w:leftChars="0" w:firstLine="0" w:firstLineChars="0"/>
        <w:rPr>
          <w:rFonts w:hint="eastAsia"/>
          <w:lang w:val="en-US" w:eastAsia="zh-CN"/>
        </w:rPr>
      </w:pPr>
    </w:p>
    <w:p w14:paraId="5B3FD6A1">
      <w:pPr>
        <w:pStyle w:val="2"/>
        <w:ind w:left="0" w:leftChars="0" w:firstLine="0" w:firstLineChars="0"/>
        <w:rPr>
          <w:rFonts w:hint="eastAsia"/>
          <w:lang w:val="en-US" w:eastAsia="zh-CN"/>
        </w:rPr>
      </w:pPr>
    </w:p>
    <w:p w14:paraId="06BF5D54">
      <w:pPr>
        <w:pStyle w:val="2"/>
        <w:ind w:left="0" w:leftChars="0" w:firstLine="0" w:firstLineChars="0"/>
        <w:rPr>
          <w:rFonts w:hint="eastAsia"/>
          <w:lang w:val="en-US" w:eastAsia="zh-CN"/>
        </w:rPr>
      </w:pPr>
    </w:p>
    <w:p w14:paraId="1F56464E">
      <w:pPr>
        <w:pStyle w:val="2"/>
        <w:ind w:left="0" w:leftChars="0" w:firstLine="0" w:firstLineChars="0"/>
        <w:rPr>
          <w:rFonts w:hint="eastAsia"/>
          <w:lang w:val="en-US" w:eastAsia="zh-CN"/>
        </w:rPr>
      </w:pPr>
      <w:bookmarkStart w:id="0" w:name="_GoBack"/>
      <w:bookmarkEnd w:id="0"/>
    </w:p>
    <w:p w14:paraId="57384324">
      <w:pPr>
        <w:pStyle w:val="2"/>
        <w:ind w:left="0" w:leftChars="0" w:firstLine="0" w:firstLineChars="0"/>
        <w:rPr>
          <w:rFonts w:hint="eastAsia"/>
          <w:lang w:val="en-US" w:eastAsia="zh-CN"/>
        </w:rPr>
      </w:pPr>
    </w:p>
    <w:sectPr>
      <w:type w:val="continuous"/>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CESI黑体-GB2312">
    <w:altName w:val="黑体"/>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41AE2">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FD1AD5">
                          <w:pPr>
                            <w:pStyle w:val="6"/>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0FD1AD5">
                    <w:pPr>
                      <w:pStyle w:val="6"/>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3E72B61"/>
    <w:rsid w:val="1C5E01EB"/>
    <w:rsid w:val="1F9F20EA"/>
    <w:rsid w:val="2254540E"/>
    <w:rsid w:val="34076784"/>
    <w:rsid w:val="35460B49"/>
    <w:rsid w:val="35586B6B"/>
    <w:rsid w:val="35C44201"/>
    <w:rsid w:val="376B0DD8"/>
    <w:rsid w:val="38E5716A"/>
    <w:rsid w:val="3B0C28D2"/>
    <w:rsid w:val="3EFE4C27"/>
    <w:rsid w:val="4EF74586"/>
    <w:rsid w:val="54065201"/>
    <w:rsid w:val="55A77192"/>
    <w:rsid w:val="5932245E"/>
    <w:rsid w:val="65586590"/>
    <w:rsid w:val="66616E3D"/>
    <w:rsid w:val="67903E76"/>
    <w:rsid w:val="68266C15"/>
    <w:rsid w:val="77CE62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3">
    <w:name w:val="Body Text"/>
    <w:basedOn w:val="1"/>
    <w:next w:val="4"/>
    <w:qFormat/>
    <w:uiPriority w:val="0"/>
    <w:rPr>
      <w:rFonts w:eastAsia="黑体"/>
      <w:szCs w:val="24"/>
    </w:rPr>
  </w:style>
  <w:style w:type="paragraph" w:styleId="4">
    <w:name w:val="Title"/>
    <w:basedOn w:val="1"/>
    <w:next w:val="1"/>
    <w:qFormat/>
    <w:uiPriority w:val="99"/>
    <w:pPr>
      <w:spacing w:before="240" w:after="60"/>
      <w:jc w:val="center"/>
      <w:outlineLvl w:val="0"/>
    </w:pPr>
    <w:rPr>
      <w:rFonts w:ascii="Cambria" w:hAnsi="Cambria"/>
      <w:b/>
      <w:bCs/>
      <w:sz w:val="32"/>
      <w:szCs w:val="32"/>
    </w:rPr>
  </w:style>
  <w:style w:type="paragraph" w:styleId="5">
    <w:name w:val="Body Text Indent"/>
    <w:basedOn w:val="1"/>
    <w:qFormat/>
    <w:uiPriority w:val="99"/>
    <w:pPr>
      <w:ind w:left="420" w:leftChars="2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Body Text First Indent 2"/>
    <w:basedOn w:val="5"/>
    <w:next w:val="3"/>
    <w:qFormat/>
    <w:uiPriority w:val="99"/>
    <w:pPr>
      <w:ind w:left="0" w:leftChars="0" w:firstLine="420" w:firstLineChars="200"/>
    </w:pPr>
  </w:style>
  <w:style w:type="character" w:customStyle="1" w:styleId="12">
    <w:name w:val="font21"/>
    <w:basedOn w:val="11"/>
    <w:uiPriority w:val="0"/>
    <w:rPr>
      <w:rFonts w:hint="eastAsia" w:ascii="宋体" w:hAnsi="宋体" w:eastAsia="宋体" w:cs="宋体"/>
      <w:color w:val="000000"/>
      <w:sz w:val="18"/>
      <w:szCs w:val="18"/>
      <w:u w:val="none"/>
    </w:rPr>
  </w:style>
  <w:style w:type="character" w:customStyle="1" w:styleId="13">
    <w:name w:val="font31"/>
    <w:basedOn w:val="11"/>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4158</Words>
  <Characters>4388</Characters>
  <Lines>0</Lines>
  <Paragraphs>0</Paragraphs>
  <TotalTime>37</TotalTime>
  <ScaleCrop>false</ScaleCrop>
  <LinksUpToDate>false</LinksUpToDate>
  <CharactersWithSpaces>4388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2025-05-06T08:14:00Z</dcterms:created>
  <dc:creator>吴丹(˶‾᷄ ⁻̫ ‾᷅˵)</dc:creator>
  <cp:lastModifiedBy>吴丹(˶‾᷄ ⁻̫ ‾᷅˵)</cp:lastModifiedBy>
  <cp:lastPrinted>2025-05-13T02:42:00Z</cp:lastPrinted>
  <dcterms:modified xsi:type="dcterms:W3CDTF">2025-08-26T08:36:11Z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231F402075084178B2C908FFA8BB462A_13</vt:lpwstr>
  </property>
  <property fmtid="{D5CDD505-2E9C-101B-9397-08002B2CF9AE}" pid="4" name="KSOTemplateDocerSaveRecord">
    <vt:lpwstr>eyJoZGlkIjoiM2FiZDIzMjBhYjY3YjcwYmIxYWI1NjM4YzVmYjEyMDMiLCJ1c2VySWQiOiIxOTczOTE5OTcifQ==</vt:lpwstr>
  </property>
</Properties>
</file>