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36"/>
          <w:szCs w:val="36"/>
        </w:rPr>
      </w:pPr>
    </w:p>
    <w:p>
      <w:pPr>
        <w:pStyle w:val="12"/>
        <w:rPr>
          <w:rFonts w:ascii="Times New Roman" w:hAnsi="Times New Roman" w:eastAsia="方正小标宋简体"/>
          <w:sz w:val="36"/>
          <w:szCs w:val="36"/>
        </w:rPr>
      </w:pPr>
    </w:p>
    <w:p/>
    <w:p>
      <w:pPr>
        <w:jc w:val="center"/>
        <w:rPr>
          <w:rFonts w:eastAsiaTheme="majorEastAsia" w:cstheme="majorEastAsia"/>
          <w:b/>
          <w:bCs/>
          <w:sz w:val="52"/>
          <w:szCs w:val="52"/>
        </w:rPr>
      </w:pPr>
      <w:r>
        <w:rPr>
          <w:rFonts w:hint="eastAsia" w:eastAsiaTheme="majorEastAsia" w:cstheme="majorEastAsia"/>
          <w:b/>
          <w:bCs/>
          <w:sz w:val="52"/>
          <w:szCs w:val="52"/>
        </w:rPr>
        <w:t>北京市财政支出项目</w:t>
      </w:r>
    </w:p>
    <w:p>
      <w:pPr>
        <w:jc w:val="center"/>
        <w:rPr>
          <w:rFonts w:eastAsiaTheme="majorEastAsia" w:cstheme="majorEastAsia"/>
          <w:b/>
          <w:bCs/>
          <w:sz w:val="52"/>
          <w:szCs w:val="52"/>
        </w:rPr>
      </w:pPr>
      <w:r>
        <w:rPr>
          <w:rFonts w:hint="eastAsia" w:eastAsiaTheme="majorEastAsia" w:cstheme="majorEastAsia"/>
          <w:b/>
          <w:bCs/>
          <w:sz w:val="52"/>
          <w:szCs w:val="52"/>
        </w:rPr>
        <w:t>绩效评价报告</w:t>
      </w:r>
    </w:p>
    <w:p>
      <w:pPr>
        <w:pStyle w:val="4"/>
        <w:rPr>
          <w:rFonts w:ascii="Times New Roman"/>
        </w:rPr>
      </w:pPr>
    </w:p>
    <w:p>
      <w:pPr>
        <w:pStyle w:val="4"/>
        <w:rPr>
          <w:rFonts w:ascii="Times New Roman"/>
        </w:rPr>
      </w:pPr>
    </w:p>
    <w:p>
      <w:pPr>
        <w:pStyle w:val="4"/>
        <w:rPr>
          <w:rFonts w:ascii="Times New Roman"/>
        </w:rPr>
      </w:pPr>
    </w:p>
    <w:p>
      <w:pPr>
        <w:pStyle w:val="4"/>
        <w:rPr>
          <w:rFonts w:ascii="Times New Roman"/>
        </w:rPr>
      </w:pPr>
    </w:p>
    <w:p>
      <w:pPr>
        <w:jc w:val="center"/>
        <w:rPr>
          <w:rFonts w:eastAsia="黑体"/>
          <w:sz w:val="32"/>
          <w:szCs w:val="32"/>
        </w:rPr>
      </w:pPr>
    </w:p>
    <w:p>
      <w:pPr>
        <w:ind w:firstLine="960" w:firstLineChars="300"/>
        <w:rPr>
          <w:rFonts w:eastAsiaTheme="minorEastAsia" w:cstheme="minorEastAsia"/>
          <w:sz w:val="32"/>
          <w:szCs w:val="32"/>
        </w:rPr>
      </w:pPr>
      <w:r>
        <w:rPr>
          <w:rFonts w:hint="eastAsia" w:eastAsiaTheme="minorEastAsia" w:cstheme="minorEastAsia"/>
          <w:sz w:val="32"/>
          <w:szCs w:val="32"/>
        </w:rPr>
        <mc:AlternateContent>
          <mc:Choice Requires="wps">
            <w:drawing>
              <wp:anchor distT="0" distB="0" distL="114300" distR="114300" simplePos="0" relativeHeight="251662336" behindDoc="0" locked="0" layoutInCell="1" allowOverlap="1">
                <wp:simplePos x="0" y="0"/>
                <wp:positionH relativeFrom="column">
                  <wp:posOffset>1534160</wp:posOffset>
                </wp:positionH>
                <wp:positionV relativeFrom="paragraph">
                  <wp:posOffset>340995</wp:posOffset>
                </wp:positionV>
                <wp:extent cx="3371850" cy="0"/>
                <wp:effectExtent l="0" t="0" r="0" b="0"/>
                <wp:wrapNone/>
                <wp:docPr id="11" name="直接连接符 11"/>
                <wp:cNvGraphicFramePr/>
                <a:graphic xmlns:a="http://schemas.openxmlformats.org/drawingml/2006/main">
                  <a:graphicData uri="http://schemas.microsoft.com/office/word/2010/wordprocessingShape">
                    <wps:wsp>
                      <wps:cNvCnPr/>
                      <wps:spPr>
                        <a:xfrm>
                          <a:off x="0" y="0"/>
                          <a:ext cx="3371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20.8pt;margin-top:26.85pt;height:0pt;width:265.5pt;z-index:251662336;mso-width-relative:page;mso-height-relative:page;" filled="f" stroked="t" coordsize="21600,21600" o:gfxdata="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zXbHd9YAAAAJAQAA&#10;DwAAAAAAAAABACAAAAAiAAAAZHJzL2Rvd25yZXYueG1sUEsBAhQAFAAAAAgAh07iQLNl9u/iAQAA&#10;swMAAA4AAAAAAAAAAQAgAAAAJQEAAGRycy9lMm9Eb2MueG1sUEsFBgAAAAAGAAYAWQEAAHkFAAAA&#10;AA==&#10;">
                <v:fill on="f" focussize="0,0"/>
                <v:stroke weight="0.5pt" color="#000000 [3213]" miterlimit="8" joinstyle="miter"/>
                <v:imagedata o:title=""/>
                <o:lock v:ext="edit" aspectratio="f"/>
              </v:line>
            </w:pict>
          </mc:Fallback>
        </mc:AlternateContent>
      </w:r>
      <w:r>
        <w:rPr>
          <w:rFonts w:hint="eastAsia" w:eastAsiaTheme="minorEastAsia" w:cstheme="minorEastAsia"/>
          <w:sz w:val="32"/>
          <w:szCs w:val="32"/>
        </w:rPr>
        <w:t>主管部门 北京市体育彩票管理中心</w:t>
      </w:r>
    </w:p>
    <w:p>
      <w:pPr>
        <w:ind w:firstLine="960" w:firstLineChars="300"/>
        <w:rPr>
          <w:rFonts w:eastAsiaTheme="minorEastAsia" w:cstheme="minorEastAsia"/>
          <w:sz w:val="32"/>
          <w:szCs w:val="32"/>
        </w:rPr>
      </w:pPr>
      <w:r>
        <w:rPr>
          <w:rFonts w:hint="eastAsia" w:eastAsiaTheme="minorEastAsia" w:cstheme="minorEastAsia"/>
          <w:sz w:val="32"/>
          <w:szCs w:val="32"/>
        </w:rPr>
        <mc:AlternateContent>
          <mc:Choice Requires="wps">
            <w:drawing>
              <wp:anchor distT="0" distB="0" distL="114300" distR="114300" simplePos="0" relativeHeight="251661312" behindDoc="0" locked="0" layoutInCell="1" allowOverlap="1">
                <wp:simplePos x="0" y="0"/>
                <wp:positionH relativeFrom="column">
                  <wp:posOffset>1515110</wp:posOffset>
                </wp:positionH>
                <wp:positionV relativeFrom="paragraph">
                  <wp:posOffset>344805</wp:posOffset>
                </wp:positionV>
                <wp:extent cx="3371850" cy="0"/>
                <wp:effectExtent l="0" t="0" r="0" b="0"/>
                <wp:wrapNone/>
                <wp:docPr id="10" name="直接连接符 10"/>
                <wp:cNvGraphicFramePr/>
                <a:graphic xmlns:a="http://schemas.openxmlformats.org/drawingml/2006/main">
                  <a:graphicData uri="http://schemas.microsoft.com/office/word/2010/wordprocessingShape">
                    <wps:wsp>
                      <wps:cNvCnPr/>
                      <wps:spPr>
                        <a:xfrm>
                          <a:off x="0" y="0"/>
                          <a:ext cx="3371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19.3pt;margin-top:27.15pt;height:0pt;width:265.5pt;z-index:251661312;mso-width-relative:page;mso-height-relative:page;" filled="f" stroked="t" coordsize="21600,21600" o:gfxdata="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TGeCBNYAAAAJAQAA&#10;DwAAAAAAAAABACAAAAAiAAAAZHJzL2Rvd25yZXYueG1sUEsBAhQAFAAAAAgAh07iQDG6rE7iAQAA&#10;swMAAA4AAAAAAAAAAQAgAAAAJQEAAGRycy9lMm9Eb2MueG1sUEsFBgAAAAAGAAYAWQEAAHkFAAAA&#10;AA==&#10;">
                <v:fill on="f" focussize="0,0"/>
                <v:stroke weight="0.5pt" color="#000000 [3213]" miterlimit="8" joinstyle="miter"/>
                <v:imagedata o:title=""/>
                <o:lock v:ext="edit" aspectratio="f"/>
              </v:line>
            </w:pict>
          </mc:Fallback>
        </mc:AlternateContent>
      </w:r>
      <w:r>
        <w:rPr>
          <w:rFonts w:hint="eastAsia" w:eastAsiaTheme="minorEastAsia" w:cstheme="minorEastAsia"/>
          <w:sz w:val="32"/>
          <w:szCs w:val="32"/>
        </w:rPr>
        <w:t>项目单位 北京市体育彩票管理中心</w:t>
      </w:r>
    </w:p>
    <w:p>
      <w:pPr>
        <w:ind w:firstLine="960" w:firstLineChars="300"/>
        <w:rPr>
          <w:rFonts w:eastAsiaTheme="minorEastAsia" w:cstheme="minorEastAsia"/>
          <w:sz w:val="32"/>
          <w:szCs w:val="32"/>
          <w:u w:val="single"/>
        </w:rPr>
      </w:pPr>
      <w:r>
        <w:rPr>
          <w:rFonts w:hint="eastAsia" w:eastAsiaTheme="minorEastAsia" w:cstheme="minorEastAsia"/>
          <w:sz w:val="32"/>
          <w:szCs w:val="32"/>
        </w:rPr>
        <mc:AlternateContent>
          <mc:Choice Requires="wps">
            <w:drawing>
              <wp:anchor distT="0" distB="0" distL="114300" distR="114300" simplePos="0" relativeHeight="251660288" behindDoc="0" locked="0" layoutInCell="1" allowOverlap="1">
                <wp:simplePos x="0" y="0"/>
                <wp:positionH relativeFrom="column">
                  <wp:posOffset>1515110</wp:posOffset>
                </wp:positionH>
                <wp:positionV relativeFrom="paragraph">
                  <wp:posOffset>348615</wp:posOffset>
                </wp:positionV>
                <wp:extent cx="3371850" cy="0"/>
                <wp:effectExtent l="0" t="0" r="0" b="0"/>
                <wp:wrapNone/>
                <wp:docPr id="9" name="直接连接符 9"/>
                <wp:cNvGraphicFramePr/>
                <a:graphic xmlns:a="http://schemas.openxmlformats.org/drawingml/2006/main">
                  <a:graphicData uri="http://schemas.microsoft.com/office/word/2010/wordprocessingShape">
                    <wps:wsp>
                      <wps:cNvCnPr/>
                      <wps:spPr>
                        <a:xfrm>
                          <a:off x="0" y="0"/>
                          <a:ext cx="3371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19.3pt;margin-top:27.45pt;height:0pt;width:265.5pt;z-index:251660288;mso-width-relative:page;mso-height-relative:page;" filled="f" stroked="t" coordsize="21600,21600" o:gfxdata="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9Yqf41gAAAAkBAAAP&#10;AAAAAAAAAAEAIAAAACIAAABkcnMvZG93bnJldi54bWxQSwECFAAUAAAACACHTuJAg2J42+EBAACx&#10;AwAADgAAAAAAAAABACAAAAAlAQAAZHJzL2Uyb0RvYy54bWxQSwUGAAAAAAYABgBZAQAAeAUAAAAA&#10;">
                <v:fill on="f" focussize="0,0"/>
                <v:stroke weight="0.5pt" color="#000000 [3213]" miterlimit="8" joinstyle="miter"/>
                <v:imagedata o:title=""/>
                <o:lock v:ext="edit" aspectratio="f"/>
              </v:line>
            </w:pict>
          </mc:Fallback>
        </mc:AlternateContent>
      </w:r>
      <w:r>
        <w:rPr>
          <w:rFonts w:hint="eastAsia" w:eastAsiaTheme="minorEastAsia" w:cstheme="minorEastAsia"/>
          <w:sz w:val="32"/>
          <w:szCs w:val="32"/>
        </w:rPr>
        <w:t xml:space="preserve">项目名称 彩票市场调控资金类项目    </w:t>
      </w:r>
    </w:p>
    <w:p>
      <w:pPr>
        <w:spacing w:line="340" w:lineRule="exact"/>
        <w:jc w:val="left"/>
        <w:rPr>
          <w:rFonts w:eastAsiaTheme="minorEastAsia" w:cstheme="minorEastAsia"/>
          <w:sz w:val="32"/>
          <w:szCs w:val="32"/>
        </w:rPr>
      </w:pPr>
      <w:r>
        <w:rPr>
          <w:rFonts w:hint="eastAsia" w:eastAsiaTheme="minorEastAsia" w:cstheme="minorEastAsia"/>
          <w:sz w:val="32"/>
          <w:szCs w:val="32"/>
        </w:rPr>
        <w:t xml:space="preserve">     </w:t>
      </w:r>
    </w:p>
    <w:p>
      <w:pPr>
        <w:spacing w:line="340" w:lineRule="exact"/>
        <w:jc w:val="left"/>
        <w:rPr>
          <w:rFonts w:hint="eastAsia" w:eastAsiaTheme="minorEastAsia" w:cstheme="minorEastAsia"/>
          <w:sz w:val="32"/>
          <w:szCs w:val="32"/>
        </w:rPr>
      </w:pPr>
    </w:p>
    <w:p>
      <w:pPr>
        <w:spacing w:line="340" w:lineRule="exact"/>
        <w:ind w:firstLine="937" w:firstLineChars="293"/>
        <w:jc w:val="left"/>
        <w:rPr>
          <w:rFonts w:eastAsiaTheme="minorEastAsia" w:cstheme="minorEastAsia"/>
          <w:sz w:val="32"/>
          <w:szCs w:val="32"/>
        </w:rPr>
      </w:pPr>
    </w:p>
    <w:p>
      <w:pPr>
        <w:pStyle w:val="12"/>
        <w:jc w:val="both"/>
        <w:rPr>
          <w:rFonts w:ascii="Times New Roman" w:hAnsi="Times New Roman" w:eastAsiaTheme="minorEastAsia" w:cstheme="minorEastAsia"/>
          <w:szCs w:val="32"/>
        </w:rPr>
      </w:pPr>
    </w:p>
    <w:p/>
    <w:p/>
    <w:p/>
    <w:p/>
    <w:p>
      <w:pPr>
        <w:rPr>
          <w:rFonts w:hint="eastAsia"/>
        </w:rPr>
      </w:pPr>
    </w:p>
    <w:p>
      <w:pPr>
        <w:rPr>
          <w:rFonts w:hint="eastAsia"/>
        </w:rPr>
      </w:pPr>
    </w:p>
    <w:p/>
    <w:p>
      <w:pPr>
        <w:jc w:val="center"/>
        <w:rPr>
          <w:rFonts w:eastAsia="仿宋_GB2312"/>
          <w:sz w:val="32"/>
          <w:szCs w:val="32"/>
        </w:rPr>
      </w:pPr>
    </w:p>
    <w:p>
      <w:pPr>
        <w:spacing w:line="600" w:lineRule="exact"/>
        <w:ind w:firstLine="640" w:firstLineChars="200"/>
        <w:outlineLvl w:val="0"/>
        <w:rPr>
          <w:rFonts w:eastAsia="黑体" w:cs="黑体"/>
          <w:sz w:val="32"/>
          <w:szCs w:val="32"/>
        </w:rPr>
      </w:pPr>
      <w:bookmarkStart w:id="0" w:name="_Toc103676867"/>
      <w:bookmarkStart w:id="1" w:name="_Toc103617243"/>
      <w:bookmarkStart w:id="2" w:name="_Toc32763"/>
      <w:bookmarkStart w:id="3" w:name="_Toc23769"/>
      <w:bookmarkStart w:id="4" w:name="_Toc103607497"/>
      <w:r>
        <w:rPr>
          <w:rFonts w:hint="eastAsia" w:eastAsia="黑体" w:cs="黑体"/>
          <w:sz w:val="32"/>
          <w:szCs w:val="32"/>
        </w:rPr>
        <w:t>一、基本情况</w:t>
      </w:r>
      <w:bookmarkEnd w:id="0"/>
      <w:bookmarkEnd w:id="1"/>
      <w:bookmarkEnd w:id="2"/>
      <w:bookmarkEnd w:id="3"/>
      <w:bookmarkEnd w:id="4"/>
    </w:p>
    <w:p>
      <w:pPr>
        <w:spacing w:line="600" w:lineRule="exact"/>
        <w:ind w:firstLine="643" w:firstLineChars="200"/>
        <w:outlineLvl w:val="1"/>
        <w:rPr>
          <w:rFonts w:eastAsia="楷体_GB2312" w:cs="楷体_GB2312"/>
          <w:b/>
          <w:bCs/>
          <w:sz w:val="32"/>
          <w:szCs w:val="32"/>
        </w:rPr>
      </w:pPr>
      <w:bookmarkStart w:id="5" w:name="_Toc12588"/>
      <w:bookmarkStart w:id="6" w:name="_Toc103607498"/>
      <w:bookmarkStart w:id="7" w:name="_Toc25086"/>
      <w:bookmarkStart w:id="8" w:name="_Toc103676868"/>
      <w:bookmarkStart w:id="9" w:name="_Toc103617244"/>
      <w:r>
        <w:rPr>
          <w:rFonts w:hint="eastAsia" w:eastAsia="楷体_GB2312" w:cs="楷体_GB2312"/>
          <w:b/>
          <w:bCs/>
          <w:sz w:val="32"/>
          <w:szCs w:val="32"/>
        </w:rPr>
        <w:t>（一）项目概况</w:t>
      </w:r>
      <w:bookmarkEnd w:id="5"/>
      <w:bookmarkEnd w:id="6"/>
      <w:bookmarkEnd w:id="7"/>
      <w:bookmarkEnd w:id="8"/>
      <w:bookmarkEnd w:id="9"/>
    </w:p>
    <w:p>
      <w:pPr>
        <w:spacing w:line="600" w:lineRule="exact"/>
        <w:ind w:firstLine="643" w:firstLineChars="200"/>
        <w:outlineLvl w:val="2"/>
        <w:rPr>
          <w:rFonts w:eastAsia="仿宋_GB2312"/>
          <w:b/>
          <w:bCs/>
          <w:sz w:val="32"/>
          <w:szCs w:val="32"/>
        </w:rPr>
      </w:pPr>
      <w:r>
        <w:rPr>
          <w:rFonts w:hint="eastAsia" w:eastAsia="仿宋_GB2312"/>
          <w:b/>
          <w:bCs/>
          <w:sz w:val="32"/>
          <w:szCs w:val="32"/>
        </w:rPr>
        <w:t>1.项目背景</w:t>
      </w:r>
    </w:p>
    <w:p>
      <w:pPr>
        <w:spacing w:line="600" w:lineRule="exact"/>
        <w:ind w:firstLine="640" w:firstLineChars="200"/>
        <w:rPr>
          <w:rFonts w:eastAsia="仿宋_GB2312" w:cs="仿宋_GB2312"/>
          <w:sz w:val="32"/>
          <w:szCs w:val="32"/>
        </w:rPr>
      </w:pPr>
      <w:r>
        <w:rPr>
          <w:rFonts w:hint="eastAsia" w:eastAsia="仿宋_GB2312" w:cs="仿宋_GB2312"/>
          <w:sz w:val="32"/>
          <w:szCs w:val="32"/>
        </w:rPr>
        <w:t>彩票市场调控资金是指通过上缴中央财政的彩票发行机构业务费安排的，专项用于统筹全国彩票市场省际之间、机构之间、品种之间协调发展，维护发行销售安全和彩票市场秩序，宣传彩票公益属性和社会责任等方面的资金。彩票市场调控资金纳入彩票发行机构业务费支出预算管理，通过中央对地方转移支付方式分配下达。</w:t>
      </w:r>
    </w:p>
    <w:p>
      <w:pPr>
        <w:spacing w:line="600" w:lineRule="exact"/>
        <w:ind w:firstLine="640" w:firstLineChars="200"/>
        <w:rPr>
          <w:rFonts w:eastAsia="仿宋_GB2312" w:cs="仿宋_GB2312"/>
          <w:sz w:val="32"/>
          <w:szCs w:val="32"/>
        </w:rPr>
      </w:pPr>
      <w:r>
        <w:rPr>
          <w:rFonts w:hint="eastAsia" w:eastAsia="仿宋_GB2312" w:cs="仿宋_GB2312"/>
          <w:sz w:val="32"/>
          <w:szCs w:val="32"/>
        </w:rPr>
        <w:t>彩票市场调控资金用于提升彩票销售场所能力、改善彩票业务设施、支持宣传国家彩票公益属性和社会责任、规范彩票市场秩序、支持业务创新、补助因全国性不可抗力事件造成彩票销售场所暂停销售时需维持其基本运转的成本费用以及经财政部核定与彩票市场调控相关的其他支出。</w:t>
      </w:r>
    </w:p>
    <w:p>
      <w:pPr>
        <w:spacing w:line="600" w:lineRule="exact"/>
        <w:ind w:firstLine="640" w:firstLineChars="200"/>
        <w:rPr>
          <w:rFonts w:eastAsia="仿宋_GB2312" w:cs="仿宋_GB2312"/>
          <w:sz w:val="32"/>
          <w:szCs w:val="32"/>
        </w:rPr>
      </w:pPr>
      <w:r>
        <w:rPr>
          <w:rFonts w:hint="eastAsia" w:eastAsia="仿宋_GB2312" w:cs="仿宋_GB2312"/>
          <w:sz w:val="32"/>
          <w:szCs w:val="32"/>
        </w:rPr>
        <w:t>中央分2批下达北京市体育彩票管理中心（以下简称“市体彩中心”）2024年彩票市场调控资金4</w:t>
      </w:r>
      <w:r>
        <w:rPr>
          <w:rFonts w:eastAsia="仿宋_GB2312" w:cs="仿宋_GB2312"/>
          <w:sz w:val="32"/>
          <w:szCs w:val="32"/>
        </w:rPr>
        <w:t>,</w:t>
      </w:r>
      <w:r>
        <w:rPr>
          <w:rFonts w:hint="eastAsia" w:eastAsia="仿宋_GB2312" w:cs="仿宋_GB2312"/>
          <w:sz w:val="32"/>
          <w:szCs w:val="32"/>
        </w:rPr>
        <w:t>332.92万元，资金主要用于采购彩票销售终端机及客显套件、扶持展示体验中心建设、优化升级北单游戏交易系统、宣传国家彩票公益属性和社会责任等方面工作。</w:t>
      </w:r>
    </w:p>
    <w:p>
      <w:pPr>
        <w:spacing w:line="600" w:lineRule="exact"/>
        <w:ind w:firstLine="643" w:firstLineChars="200"/>
        <w:outlineLvl w:val="2"/>
        <w:rPr>
          <w:rFonts w:eastAsia="仿宋_GB2312"/>
          <w:b/>
          <w:bCs/>
          <w:sz w:val="32"/>
          <w:szCs w:val="32"/>
        </w:rPr>
      </w:pPr>
      <w:r>
        <w:rPr>
          <w:rFonts w:hint="eastAsia" w:eastAsia="仿宋_GB2312"/>
          <w:b/>
          <w:bCs/>
          <w:sz w:val="32"/>
          <w:szCs w:val="32"/>
        </w:rPr>
        <w:t>2.主要内容及实施情况</w:t>
      </w:r>
    </w:p>
    <w:p>
      <w:pPr>
        <w:pStyle w:val="4"/>
        <w:ind w:firstLine="640" w:firstLineChars="200"/>
        <w:rPr>
          <w:rFonts w:ascii="Times New Roman" w:cs="仿宋_GB2312"/>
          <w:sz w:val="32"/>
          <w:szCs w:val="32"/>
        </w:rPr>
      </w:pPr>
      <w:r>
        <w:rPr>
          <w:rFonts w:hint="eastAsia" w:ascii="Times New Roman" w:cs="仿宋_GB2312"/>
          <w:sz w:val="32"/>
          <w:szCs w:val="32"/>
        </w:rPr>
        <w:t>2024年</w:t>
      </w:r>
      <w:r>
        <w:rPr>
          <w:rFonts w:hint="eastAsia" w:cs="仿宋_GB2312"/>
          <w:sz w:val="32"/>
          <w:szCs w:val="32"/>
        </w:rPr>
        <w:t>彩票市场调控资金</w:t>
      </w:r>
      <w:r>
        <w:rPr>
          <w:rFonts w:hint="eastAsia" w:ascii="Times New Roman" w:cs="仿宋_GB2312"/>
          <w:sz w:val="32"/>
          <w:szCs w:val="32"/>
        </w:rPr>
        <w:t>共包含三类子项目，子项目具体内容及实施情况如下：</w:t>
      </w:r>
      <w:r>
        <w:rPr>
          <w:rFonts w:hint="eastAsia" w:ascii="Times New Roman" w:cs="仿宋_GB2312"/>
          <w:b/>
          <w:bCs/>
          <w:sz w:val="32"/>
          <w:szCs w:val="32"/>
        </w:rPr>
        <w:t>一是</w:t>
      </w:r>
      <w:r>
        <w:rPr>
          <w:rFonts w:hint="eastAsia" w:ascii="Times New Roman" w:cs="仿宋_GB2312"/>
          <w:sz w:val="32"/>
          <w:szCs w:val="32"/>
        </w:rPr>
        <w:t>展示体验中心建设及扶持；</w:t>
      </w:r>
      <w:r>
        <w:rPr>
          <w:rFonts w:hint="eastAsia" w:ascii="Times New Roman" w:cs="仿宋_GB2312"/>
          <w:b/>
          <w:bCs/>
          <w:sz w:val="32"/>
          <w:szCs w:val="32"/>
        </w:rPr>
        <w:t>二是</w:t>
      </w:r>
      <w:r>
        <w:rPr>
          <w:rFonts w:hint="eastAsia" w:ascii="Times New Roman" w:cs="仿宋_GB2312"/>
          <w:sz w:val="32"/>
          <w:szCs w:val="32"/>
        </w:rPr>
        <w:t>广告投放；</w:t>
      </w:r>
      <w:r>
        <w:rPr>
          <w:rFonts w:hint="eastAsia" w:ascii="Times New Roman" w:cs="仿宋_GB2312"/>
          <w:b/>
          <w:bCs/>
          <w:sz w:val="32"/>
          <w:szCs w:val="32"/>
        </w:rPr>
        <w:t>三是</w:t>
      </w:r>
      <w:r>
        <w:rPr>
          <w:rFonts w:hint="eastAsia" w:ascii="Times New Roman" w:cs="仿宋_GB2312"/>
          <w:sz w:val="32"/>
          <w:szCs w:val="32"/>
        </w:rPr>
        <w:t>专用设备和技术服务购置。</w:t>
      </w:r>
    </w:p>
    <w:p>
      <w:pPr>
        <w:spacing w:line="600" w:lineRule="exact"/>
        <w:ind w:firstLine="643" w:firstLineChars="200"/>
        <w:outlineLvl w:val="2"/>
        <w:rPr>
          <w:rFonts w:eastAsia="仿宋_GB2312"/>
          <w:b/>
          <w:bCs/>
          <w:sz w:val="32"/>
          <w:szCs w:val="32"/>
        </w:rPr>
      </w:pPr>
      <w:r>
        <w:rPr>
          <w:rFonts w:hint="eastAsia" w:eastAsia="仿宋_GB2312"/>
          <w:b/>
          <w:bCs/>
          <w:sz w:val="32"/>
          <w:szCs w:val="32"/>
        </w:rPr>
        <w:t>3.资金投入</w:t>
      </w:r>
    </w:p>
    <w:p>
      <w:pPr>
        <w:pStyle w:val="4"/>
        <w:ind w:firstLine="640" w:firstLineChars="200"/>
        <w:rPr>
          <w:rFonts w:ascii="Times New Roman"/>
          <w:color w:val="0000FF"/>
          <w:sz w:val="32"/>
          <w:szCs w:val="32"/>
        </w:rPr>
      </w:pPr>
      <w:r>
        <w:rPr>
          <w:rFonts w:hint="eastAsia" w:ascii="Times New Roman" w:cs="仿宋_GB2312"/>
          <w:sz w:val="32"/>
          <w:szCs w:val="32"/>
        </w:rPr>
        <w:t>2024年彩票市场调控资金类项目预算4</w:t>
      </w:r>
      <w:r>
        <w:rPr>
          <w:rFonts w:ascii="Times New Roman" w:cs="仿宋_GB2312"/>
          <w:sz w:val="32"/>
          <w:szCs w:val="32"/>
        </w:rPr>
        <w:t>,</w:t>
      </w:r>
      <w:r>
        <w:rPr>
          <w:rFonts w:hint="eastAsia" w:ascii="Times New Roman" w:cs="仿宋_GB2312"/>
          <w:sz w:val="32"/>
          <w:szCs w:val="32"/>
        </w:rPr>
        <w:t>332.92万元，第一批下达2024年度彩票市场调控资金3,783.00万元；</w:t>
      </w:r>
      <w:r>
        <w:rPr>
          <w:rFonts w:hint="eastAsia" w:ascii="Times New Roman"/>
          <w:sz w:val="32"/>
          <w:szCs w:val="32"/>
        </w:rPr>
        <w:t>第二批追加下达2024年度彩票市场调控资金549.92万元。</w:t>
      </w:r>
    </w:p>
    <w:p>
      <w:pPr>
        <w:spacing w:line="600" w:lineRule="exact"/>
        <w:ind w:firstLine="643" w:firstLineChars="200"/>
        <w:outlineLvl w:val="2"/>
        <w:rPr>
          <w:rFonts w:eastAsia="仿宋_GB2312"/>
          <w:b/>
          <w:bCs/>
          <w:sz w:val="32"/>
          <w:szCs w:val="32"/>
        </w:rPr>
      </w:pPr>
      <w:r>
        <w:rPr>
          <w:rFonts w:hint="eastAsia" w:eastAsia="仿宋_GB2312"/>
          <w:b/>
          <w:bCs/>
          <w:sz w:val="32"/>
          <w:szCs w:val="32"/>
        </w:rPr>
        <w:t>4.资金使用情况</w:t>
      </w:r>
    </w:p>
    <w:p>
      <w:pPr>
        <w:pStyle w:val="4"/>
        <w:ind w:firstLine="640" w:firstLineChars="200"/>
        <w:rPr>
          <w:rFonts w:ascii="Times New Roman"/>
          <w:sz w:val="32"/>
          <w:szCs w:val="32"/>
        </w:rPr>
      </w:pPr>
      <w:r>
        <w:rPr>
          <w:rFonts w:hint="eastAsia" w:ascii="Times New Roman"/>
          <w:sz w:val="32"/>
          <w:szCs w:val="32"/>
        </w:rPr>
        <w:t>截至2024年末，彩票市场调控资金类项目实际支出3380.22万元，预算执行率78.01%。</w:t>
      </w:r>
    </w:p>
    <w:p>
      <w:pPr>
        <w:numPr>
          <w:ilvl w:val="0"/>
          <w:numId w:val="1"/>
        </w:numPr>
        <w:spacing w:line="600" w:lineRule="exact"/>
        <w:ind w:firstLine="643" w:firstLineChars="200"/>
        <w:outlineLvl w:val="1"/>
        <w:rPr>
          <w:rFonts w:eastAsia="楷体_GB2312" w:cs="楷体_GB2312"/>
          <w:b/>
          <w:bCs/>
          <w:sz w:val="32"/>
          <w:szCs w:val="32"/>
        </w:rPr>
      </w:pPr>
      <w:bookmarkStart w:id="10" w:name="_Toc103676869"/>
      <w:bookmarkStart w:id="11" w:name="_Toc23244"/>
      <w:bookmarkStart w:id="12" w:name="_Toc103617245"/>
      <w:bookmarkStart w:id="13" w:name="_Toc2722"/>
      <w:bookmarkStart w:id="14" w:name="_Toc103607499"/>
      <w:r>
        <w:rPr>
          <w:rFonts w:hint="eastAsia" w:eastAsia="楷体_GB2312" w:cs="楷体_GB2312"/>
          <w:b/>
          <w:bCs/>
          <w:sz w:val="32"/>
          <w:szCs w:val="32"/>
        </w:rPr>
        <w:t>项目绩效目标</w:t>
      </w:r>
      <w:bookmarkEnd w:id="10"/>
      <w:bookmarkEnd w:id="11"/>
      <w:bookmarkEnd w:id="12"/>
      <w:bookmarkEnd w:id="13"/>
      <w:bookmarkEnd w:id="14"/>
    </w:p>
    <w:p>
      <w:pPr>
        <w:pStyle w:val="4"/>
        <w:ind w:firstLine="643" w:firstLineChars="200"/>
        <w:outlineLvl w:val="2"/>
        <w:rPr>
          <w:rFonts w:ascii="Times New Roman"/>
          <w:b/>
          <w:bCs/>
          <w:sz w:val="32"/>
          <w:szCs w:val="32"/>
        </w:rPr>
      </w:pPr>
      <w:r>
        <w:rPr>
          <w:rFonts w:hint="eastAsia" w:ascii="Times New Roman"/>
          <w:b/>
          <w:bCs/>
          <w:sz w:val="32"/>
          <w:szCs w:val="32"/>
        </w:rPr>
        <w:t>1.总体目标</w:t>
      </w:r>
    </w:p>
    <w:p>
      <w:pPr>
        <w:pStyle w:val="4"/>
        <w:ind w:firstLine="643" w:firstLineChars="200"/>
        <w:rPr>
          <w:rFonts w:ascii="Times New Roman"/>
          <w:sz w:val="32"/>
          <w:szCs w:val="32"/>
        </w:rPr>
      </w:pPr>
      <w:r>
        <w:rPr>
          <w:rFonts w:hint="eastAsia" w:ascii="Times New Roman"/>
          <w:b/>
          <w:bCs/>
          <w:sz w:val="32"/>
          <w:szCs w:val="32"/>
        </w:rPr>
        <w:t>一是</w:t>
      </w:r>
      <w:r>
        <w:rPr>
          <w:rFonts w:hint="eastAsia" w:ascii="Times New Roman"/>
          <w:sz w:val="32"/>
          <w:szCs w:val="32"/>
        </w:rPr>
        <w:t>改善彩票业务设施，用于销售系统等业务设施的升级和改造。更新彩票销售终端机设备及销售系统的升级改造，实现了新旧销售系统之间的切换和数据互通，确保系统平滑切换和稳定运行。</w:t>
      </w:r>
    </w:p>
    <w:p>
      <w:pPr>
        <w:pStyle w:val="4"/>
        <w:ind w:firstLine="643" w:firstLineChars="200"/>
        <w:rPr>
          <w:rFonts w:ascii="Times New Roman"/>
          <w:color w:val="0000FF"/>
          <w:sz w:val="32"/>
          <w:szCs w:val="32"/>
        </w:rPr>
      </w:pPr>
      <w:r>
        <w:rPr>
          <w:rFonts w:hint="eastAsia" w:ascii="Times New Roman"/>
          <w:b/>
          <w:bCs/>
          <w:sz w:val="32"/>
          <w:szCs w:val="32"/>
        </w:rPr>
        <w:t>二是</w:t>
      </w:r>
      <w:r>
        <w:rPr>
          <w:rFonts w:hint="eastAsia" w:ascii="Times New Roman"/>
          <w:sz w:val="32"/>
          <w:szCs w:val="32"/>
        </w:rPr>
        <w:t>支持宣传国家彩票公益属性和社会责任，加大公益宣传力度，树立彩票公益形象，强化提升彩票公益属性和社会责任。</w:t>
      </w:r>
    </w:p>
    <w:p>
      <w:pPr>
        <w:pStyle w:val="4"/>
        <w:ind w:firstLine="643" w:firstLineChars="200"/>
        <w:outlineLvl w:val="2"/>
        <w:rPr>
          <w:rFonts w:ascii="Times New Roman"/>
          <w:b/>
          <w:bCs/>
          <w:sz w:val="32"/>
          <w:szCs w:val="32"/>
        </w:rPr>
      </w:pPr>
      <w:r>
        <w:rPr>
          <w:rFonts w:hint="eastAsia" w:ascii="Times New Roman"/>
          <w:b/>
          <w:bCs/>
          <w:sz w:val="32"/>
          <w:szCs w:val="32"/>
        </w:rPr>
        <w:t>2.阶段性目标</w:t>
      </w:r>
    </w:p>
    <w:p>
      <w:pPr>
        <w:adjustRightInd w:val="0"/>
        <w:snapToGrid w:val="0"/>
        <w:ind w:firstLine="640" w:firstLineChars="200"/>
      </w:pPr>
      <w:r>
        <w:rPr>
          <w:rFonts w:hint="eastAsia" w:eastAsia="仿宋_GB2312" w:cs="仿宋_GB2312"/>
          <w:sz w:val="32"/>
          <w:szCs w:val="32"/>
        </w:rPr>
        <w:t>彩票市场调控资金类项目设置了项目三级绩效指标。</w:t>
      </w:r>
    </w:p>
    <w:p>
      <w:pPr>
        <w:spacing w:line="600" w:lineRule="exact"/>
        <w:ind w:firstLine="640" w:firstLineChars="200"/>
        <w:outlineLvl w:val="0"/>
        <w:rPr>
          <w:rFonts w:eastAsia="黑体" w:cs="黑体"/>
          <w:sz w:val="32"/>
          <w:szCs w:val="32"/>
        </w:rPr>
      </w:pPr>
      <w:bookmarkStart w:id="15" w:name="_Toc103607500"/>
      <w:bookmarkStart w:id="16" w:name="_Toc103676870"/>
      <w:bookmarkStart w:id="17" w:name="_Toc11544"/>
      <w:bookmarkStart w:id="18" w:name="_Toc7155"/>
      <w:bookmarkStart w:id="19" w:name="_Toc103617246"/>
      <w:r>
        <w:rPr>
          <w:rFonts w:hint="eastAsia" w:eastAsia="黑体" w:cs="黑体"/>
          <w:sz w:val="32"/>
          <w:szCs w:val="32"/>
        </w:rPr>
        <w:t>二、绩效评价工作开展情况</w:t>
      </w:r>
      <w:bookmarkEnd w:id="15"/>
      <w:bookmarkEnd w:id="16"/>
      <w:bookmarkEnd w:id="17"/>
      <w:bookmarkEnd w:id="18"/>
      <w:bookmarkEnd w:id="19"/>
    </w:p>
    <w:p>
      <w:pPr>
        <w:spacing w:line="600" w:lineRule="exact"/>
        <w:ind w:firstLine="643" w:firstLineChars="200"/>
        <w:outlineLvl w:val="1"/>
        <w:rPr>
          <w:rFonts w:eastAsia="楷体_GB2312" w:cs="楷体_GB2312"/>
          <w:b/>
          <w:bCs/>
          <w:sz w:val="32"/>
          <w:szCs w:val="32"/>
        </w:rPr>
      </w:pPr>
      <w:bookmarkStart w:id="20" w:name="_Toc103617247"/>
      <w:bookmarkStart w:id="21" w:name="_Toc2821"/>
      <w:bookmarkStart w:id="22" w:name="_Toc103607501"/>
      <w:bookmarkStart w:id="23" w:name="_Toc103676871"/>
      <w:bookmarkStart w:id="24" w:name="_Toc6881"/>
      <w:r>
        <w:rPr>
          <w:rFonts w:hint="eastAsia" w:eastAsia="楷体_GB2312" w:cs="楷体_GB2312"/>
          <w:b/>
          <w:bCs/>
          <w:sz w:val="32"/>
          <w:szCs w:val="32"/>
        </w:rPr>
        <w:t>（一）绩效评价目的、对象和范围</w:t>
      </w:r>
      <w:bookmarkEnd w:id="20"/>
      <w:bookmarkEnd w:id="21"/>
      <w:bookmarkEnd w:id="22"/>
      <w:bookmarkEnd w:id="23"/>
      <w:bookmarkEnd w:id="24"/>
    </w:p>
    <w:p>
      <w:pPr>
        <w:pStyle w:val="4"/>
        <w:ind w:firstLine="643" w:firstLineChars="200"/>
        <w:outlineLvl w:val="2"/>
        <w:rPr>
          <w:rFonts w:ascii="Times New Roman"/>
          <w:b/>
          <w:bCs/>
          <w:sz w:val="32"/>
          <w:szCs w:val="32"/>
        </w:rPr>
      </w:pPr>
      <w:bookmarkStart w:id="25" w:name="_Toc103607502"/>
      <w:r>
        <w:rPr>
          <w:rFonts w:hint="eastAsia" w:ascii="Times New Roman"/>
          <w:b/>
          <w:bCs/>
          <w:sz w:val="32"/>
          <w:szCs w:val="32"/>
        </w:rPr>
        <w:t>1.评价目的</w:t>
      </w:r>
      <w:bookmarkEnd w:id="25"/>
    </w:p>
    <w:p>
      <w:pPr>
        <w:pStyle w:val="12"/>
        <w:spacing w:before="0" w:after="0"/>
        <w:ind w:firstLine="640" w:firstLineChars="200"/>
        <w:jc w:val="both"/>
        <w:outlineLvl w:val="9"/>
        <w:rPr>
          <w:rFonts w:ascii="Times New Roman" w:hAnsi="Times New Roman" w:eastAsia="仿宋_GB2312"/>
          <w:b w:val="0"/>
          <w:szCs w:val="32"/>
        </w:rPr>
      </w:pPr>
      <w:bookmarkStart w:id="26" w:name="_Toc4047"/>
      <w:bookmarkStart w:id="27" w:name="_Toc20680"/>
      <w:r>
        <w:rPr>
          <w:rFonts w:hint="eastAsia" w:ascii="Times New Roman" w:hAnsi="Times New Roman" w:eastAsia="仿宋_GB2312"/>
          <w:b w:val="0"/>
          <w:szCs w:val="32"/>
        </w:rPr>
        <w:t>通过对项目经济性、效率性和效果性的分析，梳理总结项目决策、项目管理和项目绩效中存在的问题，为项目单位改进工作提供建议和依据，提高科学决策水平，促进项目单位树立以结果为导向的绩效管理理念，规范项目管理，保障财政资金使用的规范性、安全性。</w:t>
      </w:r>
      <w:bookmarkEnd w:id="26"/>
      <w:bookmarkEnd w:id="27"/>
    </w:p>
    <w:p>
      <w:pPr>
        <w:pStyle w:val="4"/>
        <w:ind w:firstLine="643" w:firstLineChars="200"/>
        <w:outlineLvl w:val="2"/>
        <w:rPr>
          <w:rFonts w:ascii="Times New Roman"/>
          <w:b/>
          <w:bCs/>
          <w:sz w:val="32"/>
          <w:szCs w:val="32"/>
        </w:rPr>
      </w:pPr>
      <w:bookmarkStart w:id="28" w:name="_Toc103607503"/>
      <w:r>
        <w:rPr>
          <w:rFonts w:hint="eastAsia" w:ascii="Times New Roman"/>
          <w:b/>
          <w:bCs/>
          <w:sz w:val="32"/>
          <w:szCs w:val="32"/>
        </w:rPr>
        <w:t>2.评价对象和范围</w:t>
      </w:r>
      <w:bookmarkEnd w:id="28"/>
    </w:p>
    <w:p>
      <w:pPr>
        <w:pStyle w:val="12"/>
        <w:spacing w:before="0" w:after="0"/>
        <w:ind w:firstLine="640" w:firstLineChars="200"/>
        <w:jc w:val="both"/>
        <w:outlineLvl w:val="9"/>
        <w:rPr>
          <w:rFonts w:ascii="Times New Roman" w:hAnsi="Times New Roman" w:eastAsia="仿宋_GB2312" w:cs="仿宋_GB2312"/>
          <w:b w:val="0"/>
          <w:bCs/>
          <w:szCs w:val="32"/>
        </w:rPr>
      </w:pPr>
      <w:bookmarkStart w:id="29" w:name="_Toc31709"/>
      <w:bookmarkStart w:id="30" w:name="_Toc30719"/>
      <w:r>
        <w:rPr>
          <w:rFonts w:hint="eastAsia" w:ascii="Times New Roman" w:hAnsi="Times New Roman" w:eastAsia="仿宋_GB2312" w:cs="仿宋_GB2312"/>
          <w:b w:val="0"/>
          <w:bCs/>
          <w:szCs w:val="32"/>
        </w:rPr>
        <w:t>评价对象为北京市体育彩票管理中心2024年彩票市场调控资金类项目；评价范围为彩票市场管理类项目决策、过程、产出、效益四个维度相关的项目资料，以纸质资料为主要评价依据。</w:t>
      </w:r>
      <w:bookmarkEnd w:id="29"/>
      <w:bookmarkEnd w:id="30"/>
    </w:p>
    <w:p>
      <w:pPr>
        <w:spacing w:line="600" w:lineRule="exact"/>
        <w:ind w:firstLine="643" w:firstLineChars="200"/>
        <w:outlineLvl w:val="1"/>
        <w:rPr>
          <w:rFonts w:eastAsia="楷体_GB2312" w:cs="楷体_GB2312"/>
          <w:b/>
          <w:bCs/>
          <w:sz w:val="32"/>
          <w:szCs w:val="32"/>
        </w:rPr>
      </w:pPr>
      <w:bookmarkStart w:id="31" w:name="_Toc14111"/>
      <w:bookmarkStart w:id="32" w:name="_Toc5003"/>
      <w:bookmarkStart w:id="33" w:name="_Toc103617248"/>
      <w:bookmarkStart w:id="34" w:name="_Toc103607504"/>
      <w:bookmarkStart w:id="35" w:name="_Toc103676872"/>
      <w:r>
        <w:rPr>
          <w:rFonts w:hint="eastAsia" w:eastAsia="楷体_GB2312" w:cs="楷体_GB2312"/>
          <w:b/>
          <w:bCs/>
          <w:sz w:val="32"/>
          <w:szCs w:val="32"/>
        </w:rPr>
        <w:t>（二）绩效评价原则、评价指标体系、评价方法、评价标准等</w:t>
      </w:r>
      <w:bookmarkEnd w:id="31"/>
      <w:bookmarkEnd w:id="32"/>
      <w:bookmarkEnd w:id="33"/>
      <w:bookmarkEnd w:id="34"/>
      <w:bookmarkEnd w:id="35"/>
    </w:p>
    <w:p>
      <w:pPr>
        <w:pStyle w:val="4"/>
        <w:ind w:firstLine="643" w:firstLineChars="200"/>
        <w:outlineLvl w:val="2"/>
        <w:rPr>
          <w:rFonts w:ascii="Times New Roman"/>
          <w:b/>
          <w:bCs/>
          <w:sz w:val="32"/>
          <w:szCs w:val="32"/>
        </w:rPr>
      </w:pPr>
      <w:bookmarkStart w:id="36" w:name="_Toc103607505"/>
      <w:r>
        <w:rPr>
          <w:rFonts w:hint="eastAsia" w:ascii="Times New Roman"/>
          <w:b/>
          <w:bCs/>
          <w:sz w:val="32"/>
          <w:szCs w:val="32"/>
        </w:rPr>
        <w:t>1.评价原则及方法</w:t>
      </w:r>
      <w:bookmarkEnd w:id="36"/>
    </w:p>
    <w:p>
      <w:pPr>
        <w:spacing w:line="360" w:lineRule="auto"/>
        <w:ind w:firstLine="640" w:firstLineChars="200"/>
        <w:rPr>
          <w:rFonts w:eastAsia="仿宋_GB2312" w:cs="仿宋_GB2312"/>
          <w:bCs/>
          <w:sz w:val="32"/>
          <w:szCs w:val="32"/>
        </w:rPr>
      </w:pPr>
      <w:r>
        <w:rPr>
          <w:rFonts w:hint="eastAsia" w:eastAsia="仿宋_GB2312" w:cs="仿宋_GB2312"/>
          <w:bCs/>
          <w:sz w:val="32"/>
          <w:szCs w:val="32"/>
        </w:rPr>
        <w:t>评价工作遵循“客观、公正、科学、规范”的原则，综合采用统计分析、因素分析、成本效益分析、对比分析等方法，对反映项目决策、管理、绩效等内容的资料和数据进行分析，梳理项目问题并分析成因，根据专家评议结果形成评价结论并提出建设性意见。</w:t>
      </w:r>
    </w:p>
    <w:p>
      <w:pPr>
        <w:pStyle w:val="4"/>
        <w:ind w:firstLine="643" w:firstLineChars="200"/>
        <w:outlineLvl w:val="2"/>
        <w:rPr>
          <w:rFonts w:ascii="Times New Roman"/>
          <w:b/>
          <w:bCs/>
          <w:sz w:val="32"/>
          <w:szCs w:val="32"/>
        </w:rPr>
      </w:pPr>
      <w:bookmarkStart w:id="37" w:name="_Toc103607506"/>
      <w:r>
        <w:rPr>
          <w:rFonts w:hint="eastAsia" w:ascii="Times New Roman"/>
          <w:b/>
          <w:bCs/>
          <w:sz w:val="32"/>
          <w:szCs w:val="32"/>
        </w:rPr>
        <w:t>2.评价指标体系</w:t>
      </w:r>
      <w:bookmarkEnd w:id="37"/>
    </w:p>
    <w:p>
      <w:pPr>
        <w:spacing w:line="360" w:lineRule="auto"/>
        <w:ind w:firstLine="640" w:firstLineChars="200"/>
        <w:rPr>
          <w:rFonts w:eastAsia="仿宋_GB2312" w:cs="仿宋_GB2312"/>
          <w:bCs/>
          <w:color w:val="0000FF"/>
          <w:sz w:val="32"/>
          <w:szCs w:val="32"/>
        </w:rPr>
      </w:pPr>
      <w:r>
        <w:rPr>
          <w:rFonts w:hint="eastAsia" w:eastAsia="仿宋_GB2312" w:cs="仿宋_GB2312"/>
          <w:bCs/>
          <w:sz w:val="32"/>
          <w:szCs w:val="32"/>
        </w:rPr>
        <w:t>评价工作组根据北京市财政支出项目绩效评价体系框架，围绕决策、过程、产出和效益四个维度分解制定“彩票市场调控资金类”项目绩效评价指标体系，并根据指标的重要性与相关性确定权重，参考历史数据及绩效评价等级要求确定评分标准。</w:t>
      </w:r>
    </w:p>
    <w:p>
      <w:pPr>
        <w:spacing w:line="600" w:lineRule="exact"/>
        <w:ind w:firstLine="643" w:firstLineChars="200"/>
        <w:outlineLvl w:val="1"/>
        <w:rPr>
          <w:rFonts w:eastAsia="楷体_GB2312" w:cs="楷体_GB2312"/>
          <w:b/>
          <w:bCs/>
          <w:sz w:val="32"/>
          <w:szCs w:val="32"/>
        </w:rPr>
      </w:pPr>
      <w:bookmarkStart w:id="38" w:name="_Toc103617249"/>
      <w:bookmarkStart w:id="39" w:name="_Toc103607507"/>
      <w:bookmarkStart w:id="40" w:name="_Toc103676873"/>
      <w:bookmarkStart w:id="41" w:name="_Toc31493"/>
      <w:bookmarkStart w:id="42" w:name="_Toc2435"/>
      <w:r>
        <w:rPr>
          <w:rFonts w:hint="eastAsia" w:eastAsia="楷体_GB2312" w:cs="楷体_GB2312"/>
          <w:b/>
          <w:bCs/>
          <w:sz w:val="32"/>
          <w:szCs w:val="32"/>
        </w:rPr>
        <w:t>（三）绩效评价工作过程</w:t>
      </w:r>
      <w:bookmarkEnd w:id="38"/>
      <w:bookmarkEnd w:id="39"/>
      <w:bookmarkEnd w:id="40"/>
      <w:bookmarkEnd w:id="41"/>
      <w:bookmarkEnd w:id="42"/>
    </w:p>
    <w:p>
      <w:pPr>
        <w:pStyle w:val="4"/>
        <w:ind w:firstLine="643" w:firstLineChars="200"/>
        <w:outlineLvl w:val="2"/>
        <w:rPr>
          <w:rFonts w:ascii="Times New Roman"/>
          <w:b/>
          <w:bCs/>
          <w:sz w:val="32"/>
          <w:szCs w:val="32"/>
        </w:rPr>
      </w:pPr>
      <w:bookmarkStart w:id="43" w:name="_Toc103607508"/>
      <w:r>
        <w:rPr>
          <w:rFonts w:hint="eastAsia" w:ascii="Times New Roman"/>
          <w:b/>
          <w:bCs/>
          <w:sz w:val="32"/>
          <w:szCs w:val="32"/>
        </w:rPr>
        <w:t>1.前期准备情况</w:t>
      </w:r>
      <w:bookmarkEnd w:id="43"/>
    </w:p>
    <w:p>
      <w:pPr>
        <w:spacing w:line="360" w:lineRule="auto"/>
        <w:ind w:firstLine="640" w:firstLineChars="200"/>
        <w:rPr>
          <w:rFonts w:eastAsia="仿宋_GB2312" w:cs="仿宋_GB2312"/>
          <w:bCs/>
          <w:sz w:val="32"/>
          <w:szCs w:val="32"/>
        </w:rPr>
      </w:pPr>
      <w:r>
        <w:rPr>
          <w:rFonts w:hint="eastAsia" w:eastAsia="仿宋_GB2312" w:cs="仿宋_GB2312"/>
          <w:bCs/>
          <w:sz w:val="32"/>
          <w:szCs w:val="32"/>
        </w:rPr>
        <w:t>邀请绩效管理专家作为全程专家，对评价工作进行全过程跟踪。</w:t>
      </w:r>
    </w:p>
    <w:p>
      <w:pPr>
        <w:pStyle w:val="4"/>
        <w:ind w:firstLine="643" w:firstLineChars="200"/>
        <w:outlineLvl w:val="2"/>
        <w:rPr>
          <w:rFonts w:ascii="Times New Roman"/>
          <w:b/>
          <w:bCs/>
          <w:sz w:val="32"/>
          <w:szCs w:val="32"/>
        </w:rPr>
      </w:pPr>
      <w:bookmarkStart w:id="44" w:name="_Toc103607509"/>
      <w:r>
        <w:rPr>
          <w:rFonts w:hint="eastAsia" w:ascii="Times New Roman"/>
          <w:b/>
          <w:bCs/>
          <w:sz w:val="32"/>
          <w:szCs w:val="32"/>
        </w:rPr>
        <w:t>2.资料信息汇总</w:t>
      </w:r>
      <w:bookmarkEnd w:id="44"/>
    </w:p>
    <w:p>
      <w:pPr>
        <w:spacing w:line="360" w:lineRule="auto"/>
        <w:ind w:firstLine="640" w:firstLineChars="200"/>
        <w:rPr>
          <w:rFonts w:eastAsia="仿宋_GB2312" w:cs="仿宋_GB2312"/>
          <w:bCs/>
          <w:sz w:val="32"/>
          <w:szCs w:val="32"/>
        </w:rPr>
      </w:pPr>
      <w:r>
        <w:rPr>
          <w:rFonts w:hint="eastAsia" w:eastAsia="仿宋_GB2312" w:cs="仿宋_GB2312"/>
          <w:bCs/>
          <w:sz w:val="32"/>
          <w:szCs w:val="32"/>
        </w:rPr>
        <w:t>根据绩效评价要求收集相应资料，围绕项目决策、项目管理和项目绩效进行资料梳理，通过现场与非现场结合的方式对资料真实性进行审核，对存疑情况与项目单位进行沟通确认。</w:t>
      </w:r>
    </w:p>
    <w:p>
      <w:pPr>
        <w:pStyle w:val="4"/>
        <w:ind w:firstLine="643" w:firstLineChars="200"/>
        <w:outlineLvl w:val="2"/>
        <w:rPr>
          <w:rFonts w:ascii="Times New Roman"/>
          <w:b/>
          <w:bCs/>
          <w:sz w:val="32"/>
          <w:szCs w:val="32"/>
        </w:rPr>
      </w:pPr>
      <w:bookmarkStart w:id="45" w:name="_Toc103607510"/>
      <w:r>
        <w:rPr>
          <w:rFonts w:hint="eastAsia" w:ascii="Times New Roman"/>
          <w:b/>
          <w:bCs/>
          <w:sz w:val="32"/>
          <w:szCs w:val="32"/>
        </w:rPr>
        <w:t>3.评价分析</w:t>
      </w:r>
      <w:bookmarkEnd w:id="45"/>
    </w:p>
    <w:p>
      <w:pPr>
        <w:spacing w:line="360" w:lineRule="auto"/>
        <w:ind w:firstLine="640" w:firstLineChars="200"/>
        <w:rPr>
          <w:rFonts w:eastAsia="仿宋_GB2312" w:cs="仿宋_GB2312"/>
          <w:bCs/>
          <w:sz w:val="32"/>
          <w:szCs w:val="32"/>
        </w:rPr>
      </w:pPr>
      <w:r>
        <w:rPr>
          <w:rFonts w:hint="eastAsia" w:eastAsia="仿宋_GB2312" w:cs="仿宋_GB2312"/>
          <w:bCs/>
          <w:sz w:val="32"/>
          <w:szCs w:val="32"/>
        </w:rPr>
        <w:t>综合采用统计分析、因素分析、成本效益分析、对比分析等方法，围绕项目决策、过程、产出和效益进行初步分析，梳理项目存在问题。</w:t>
      </w:r>
    </w:p>
    <w:p>
      <w:pPr>
        <w:pStyle w:val="4"/>
        <w:ind w:firstLine="643" w:firstLineChars="200"/>
        <w:outlineLvl w:val="2"/>
        <w:rPr>
          <w:rFonts w:ascii="Times New Roman"/>
          <w:b/>
          <w:bCs/>
          <w:sz w:val="32"/>
          <w:szCs w:val="32"/>
        </w:rPr>
      </w:pPr>
      <w:bookmarkStart w:id="46" w:name="_Toc103607511"/>
      <w:r>
        <w:rPr>
          <w:rFonts w:hint="eastAsia" w:ascii="Times New Roman"/>
          <w:b/>
          <w:bCs/>
          <w:sz w:val="32"/>
          <w:szCs w:val="32"/>
        </w:rPr>
        <w:t>4.专家评议</w:t>
      </w:r>
      <w:bookmarkEnd w:id="46"/>
    </w:p>
    <w:p>
      <w:pPr>
        <w:spacing w:line="360" w:lineRule="auto"/>
        <w:ind w:firstLine="640" w:firstLineChars="200"/>
        <w:rPr>
          <w:rFonts w:eastAsia="仿宋_GB2312" w:cs="仿宋_GB2312"/>
          <w:bCs/>
          <w:sz w:val="32"/>
          <w:szCs w:val="32"/>
        </w:rPr>
      </w:pPr>
      <w:r>
        <w:rPr>
          <w:rFonts w:hint="eastAsia" w:eastAsia="仿宋_GB2312" w:cs="仿宋_GB2312"/>
          <w:bCs/>
          <w:sz w:val="32"/>
          <w:szCs w:val="32"/>
        </w:rPr>
        <w:t>召开专家评价会，根据项目实际情况，细化调整评价指标体系，明确指标权重和评分标准，与项目单位进行现场沟通，形成绩效评价结论。</w:t>
      </w:r>
    </w:p>
    <w:p>
      <w:pPr>
        <w:pStyle w:val="4"/>
        <w:ind w:firstLine="643" w:firstLineChars="200"/>
        <w:outlineLvl w:val="2"/>
        <w:rPr>
          <w:rFonts w:ascii="Times New Roman"/>
          <w:b/>
          <w:bCs/>
          <w:sz w:val="32"/>
          <w:szCs w:val="32"/>
        </w:rPr>
      </w:pPr>
      <w:bookmarkStart w:id="47" w:name="_Toc103607512"/>
      <w:r>
        <w:rPr>
          <w:rFonts w:hint="eastAsia" w:ascii="Times New Roman"/>
          <w:b/>
          <w:bCs/>
          <w:sz w:val="32"/>
          <w:szCs w:val="32"/>
        </w:rPr>
        <w:t>5.出具报告</w:t>
      </w:r>
      <w:bookmarkEnd w:id="47"/>
    </w:p>
    <w:p>
      <w:pPr>
        <w:spacing w:line="360" w:lineRule="auto"/>
        <w:ind w:firstLine="640" w:firstLineChars="200"/>
        <w:rPr>
          <w:rFonts w:eastAsia="仿宋_GB2312" w:cs="仿宋_GB2312"/>
          <w:bCs/>
          <w:sz w:val="32"/>
          <w:szCs w:val="32"/>
        </w:rPr>
      </w:pPr>
      <w:r>
        <w:rPr>
          <w:rFonts w:hint="eastAsia" w:eastAsia="仿宋_GB2312" w:cs="仿宋_GB2312"/>
          <w:bCs/>
          <w:sz w:val="32"/>
          <w:szCs w:val="32"/>
        </w:rPr>
        <w:t>结合审核结果和专家评价意见，对项目决策、管理和绩效情况进行综合分析，形成绩效评价报告。</w:t>
      </w:r>
    </w:p>
    <w:p>
      <w:pPr>
        <w:spacing w:line="600" w:lineRule="exact"/>
        <w:ind w:firstLine="640" w:firstLineChars="200"/>
        <w:outlineLvl w:val="0"/>
        <w:rPr>
          <w:rFonts w:eastAsia="黑体" w:cs="黑体"/>
          <w:sz w:val="32"/>
          <w:szCs w:val="32"/>
        </w:rPr>
      </w:pPr>
      <w:bookmarkStart w:id="48" w:name="_Toc6453"/>
      <w:bookmarkStart w:id="49" w:name="_Toc103607513"/>
      <w:bookmarkStart w:id="50" w:name="_Toc103676874"/>
      <w:bookmarkStart w:id="51" w:name="_Toc103617250"/>
      <w:bookmarkStart w:id="52" w:name="_Toc12931"/>
      <w:r>
        <w:rPr>
          <w:rFonts w:hint="eastAsia" w:eastAsia="黑体" w:cs="黑体"/>
          <w:sz w:val="32"/>
          <w:szCs w:val="32"/>
        </w:rPr>
        <w:t>三、综合评价情况及评价结论</w:t>
      </w:r>
      <w:bookmarkEnd w:id="48"/>
      <w:bookmarkEnd w:id="49"/>
      <w:bookmarkEnd w:id="50"/>
      <w:bookmarkEnd w:id="51"/>
      <w:bookmarkEnd w:id="52"/>
    </w:p>
    <w:p>
      <w:pPr>
        <w:spacing w:line="360" w:lineRule="auto"/>
        <w:ind w:firstLine="643" w:firstLineChars="200"/>
        <w:rPr>
          <w:rFonts w:eastAsia="仿宋_GB2312" w:cs="仿宋_GB2312"/>
          <w:bCs/>
          <w:kern w:val="0"/>
          <w:sz w:val="32"/>
          <w:szCs w:val="32"/>
          <w:lang w:bidi="ar"/>
        </w:rPr>
      </w:pPr>
      <w:r>
        <w:rPr>
          <w:rFonts w:hint="eastAsia" w:eastAsia="仿宋_GB2312" w:cs="仿宋_GB2312"/>
          <w:b/>
          <w:sz w:val="32"/>
          <w:szCs w:val="32"/>
          <w:lang w:bidi="ar"/>
        </w:rPr>
        <w:t>绩效评价得分为85.9分，评价等级为“良好”。</w:t>
      </w:r>
      <w:r>
        <w:rPr>
          <w:rFonts w:hint="eastAsia" w:eastAsia="仿宋_GB2312" w:cs="仿宋_GB2312"/>
          <w:bCs/>
          <w:kern w:val="0"/>
          <w:sz w:val="32"/>
          <w:szCs w:val="32"/>
          <w:lang w:bidi="ar"/>
        </w:rPr>
        <w:t>项目立项依据充分、程序规范，资金到位及时，分配合理，使用规范，业务财务管理制度较为完整。2024年体育彩票销售工作平稳有序开展，全年已实现体育彩票销售额116.19亿元。该项目通过对展示体验中心进行建设扶持，更新彩票销售终端机设备，提升彩票销售场所能力，改善彩票业务设施，保障彩票销售系统稳定运行，推动体育彩票健康持续发展。在地铁、视频平台、户外大屏等多种渠道综合展示体育彩票信息，增强市民及彩民对北京体育彩票品牌的认同与亲近，提升彩民对产品的认知度，增进市民对体育彩票事业的情感联系，推动体育彩票公益事业的发展。</w:t>
      </w:r>
      <w:bookmarkStart w:id="53" w:name="_Toc5614"/>
      <w:bookmarkStart w:id="54" w:name="_Toc29436"/>
      <w:bookmarkStart w:id="55" w:name="_Toc103617251"/>
      <w:bookmarkStart w:id="56" w:name="_Toc103607514"/>
      <w:bookmarkStart w:id="57" w:name="_Toc103676875"/>
    </w:p>
    <w:p>
      <w:pPr>
        <w:spacing w:line="360" w:lineRule="auto"/>
        <w:ind w:firstLine="640" w:firstLineChars="200"/>
        <w:rPr>
          <w:rFonts w:eastAsia="黑体" w:cs="黑体"/>
          <w:sz w:val="32"/>
          <w:szCs w:val="32"/>
        </w:rPr>
      </w:pPr>
      <w:r>
        <w:rPr>
          <w:rFonts w:hint="eastAsia" w:eastAsia="黑体" w:cs="黑体"/>
          <w:sz w:val="32"/>
          <w:szCs w:val="32"/>
        </w:rPr>
        <w:t>四、绩效评价指标分析</w:t>
      </w:r>
      <w:bookmarkEnd w:id="53"/>
      <w:bookmarkEnd w:id="54"/>
      <w:bookmarkEnd w:id="55"/>
      <w:bookmarkEnd w:id="56"/>
      <w:bookmarkEnd w:id="57"/>
    </w:p>
    <w:p>
      <w:pPr>
        <w:spacing w:line="600" w:lineRule="exact"/>
        <w:ind w:firstLine="643" w:firstLineChars="200"/>
        <w:outlineLvl w:val="1"/>
        <w:rPr>
          <w:rFonts w:eastAsia="楷体_GB2312" w:cs="楷体_GB2312"/>
          <w:b/>
          <w:bCs/>
          <w:sz w:val="32"/>
          <w:szCs w:val="32"/>
        </w:rPr>
      </w:pPr>
      <w:bookmarkStart w:id="58" w:name="_Toc21418"/>
      <w:bookmarkStart w:id="59" w:name="_Toc103607515"/>
      <w:bookmarkStart w:id="60" w:name="_Toc29186"/>
      <w:bookmarkStart w:id="61" w:name="_Toc103676876"/>
      <w:bookmarkStart w:id="62" w:name="_Toc103617252"/>
      <w:r>
        <w:rPr>
          <w:rFonts w:hint="eastAsia" w:eastAsia="楷体_GB2312" w:cs="楷体_GB2312"/>
          <w:b/>
          <w:bCs/>
          <w:sz w:val="32"/>
          <w:szCs w:val="32"/>
        </w:rPr>
        <w:t>（一）项目决策情况</w:t>
      </w:r>
      <w:bookmarkEnd w:id="58"/>
      <w:bookmarkEnd w:id="59"/>
      <w:bookmarkEnd w:id="60"/>
      <w:bookmarkEnd w:id="61"/>
      <w:bookmarkEnd w:id="62"/>
    </w:p>
    <w:p>
      <w:pPr>
        <w:spacing w:line="360" w:lineRule="auto"/>
        <w:ind w:firstLine="643" w:firstLineChars="200"/>
        <w:outlineLvl w:val="2"/>
        <w:rPr>
          <w:rFonts w:eastAsia="仿宋_GB2312" w:cs="仿宋_GB2312"/>
          <w:b/>
          <w:sz w:val="32"/>
        </w:rPr>
      </w:pPr>
      <w:r>
        <w:rPr>
          <w:rFonts w:hint="eastAsia" w:eastAsia="仿宋_GB2312" w:cs="仿宋_GB2312"/>
          <w:b/>
          <w:sz w:val="32"/>
        </w:rPr>
        <w:t>1.项目立项</w:t>
      </w:r>
    </w:p>
    <w:p>
      <w:pPr>
        <w:pStyle w:val="4"/>
        <w:ind w:firstLine="643" w:firstLineChars="200"/>
        <w:rPr>
          <w:rFonts w:ascii="Times New Roman" w:cs="仿宋_GB2312"/>
          <w:sz w:val="32"/>
          <w:szCs w:val="32"/>
        </w:rPr>
      </w:pPr>
      <w:r>
        <w:rPr>
          <w:rFonts w:hint="eastAsia" w:ascii="Times New Roman" w:cs="仿宋_GB2312"/>
          <w:b/>
          <w:bCs/>
          <w:sz w:val="32"/>
          <w:szCs w:val="32"/>
        </w:rPr>
        <w:t>立项依据充分性方面</w:t>
      </w:r>
      <w:r>
        <w:rPr>
          <w:rFonts w:hint="eastAsia" w:ascii="Times New Roman" w:cs="仿宋_GB2312"/>
          <w:sz w:val="32"/>
          <w:szCs w:val="32"/>
        </w:rPr>
        <w:t>。彩票市场调控资金是中央下达的促进国家彩票事业持续健康发展的资金，使用范围包括提升彩票销售场所能力、改善彩票业务设施、支持宣传国家彩票公益属性和社会责任、规范彩票市场秩序、支持业务创新、补助因全国性不可抗力事件造成彩票销售场所暂停销售需维持其基本运转的成本费用，以及经财政部核定与彩票市场调控相关的其他支出。项目立项依据充分，符合国家法律法规、彩票市场调控资金发展规划及政策要求，与部门职责相符，属于部门履职的重要工作之一，各明细项目均属于公共财政支持范围。</w:t>
      </w:r>
    </w:p>
    <w:p>
      <w:pPr>
        <w:pStyle w:val="4"/>
        <w:ind w:firstLine="643" w:firstLineChars="200"/>
        <w:rPr>
          <w:rFonts w:ascii="Times New Roman" w:cs="仿宋_GB2312"/>
          <w:color w:val="0000FF"/>
          <w:sz w:val="32"/>
          <w:szCs w:val="32"/>
        </w:rPr>
      </w:pPr>
      <w:r>
        <w:rPr>
          <w:rFonts w:hint="eastAsia" w:ascii="Times New Roman" w:cs="仿宋_GB2312"/>
          <w:b/>
          <w:bCs/>
          <w:sz w:val="32"/>
          <w:szCs w:val="32"/>
        </w:rPr>
        <w:t>立项程序规范性</w:t>
      </w:r>
      <w:r>
        <w:rPr>
          <w:rFonts w:hint="eastAsia" w:ascii="Times New Roman" w:cs="仿宋_GB2312"/>
          <w:sz w:val="32"/>
          <w:szCs w:val="32"/>
        </w:rPr>
        <w:t xml:space="preserve">。2024年彩票市场调控资金类项目资金下达后，结合北京市体育彩票工作实际情况，按规定程序申请立项，经部门事前绩效评估、预算评审通过后，报市财政局审批。项目立项程序规范，审批文件、材料符合要求。                                                                                                                                                                                                                                                                                                                                                                                                                                                                                                                                                                                                                                                                                                                                                                                                                                                                                                                                                                                                                                                                                                                                                                                                                                                                                                                                                                                                                                                                                                                                                                                                                                                                                                                                                                                                                                                                                                                                                                                                                                                                                                                                                                                                                                                                                                                                                                                                                                                                                                                                                                                                                                                                                                                                                                                                                                                                                                                                                                                                                                                                                                                                                                                                                                                                                                                                                                                                                                                                                                                                                                                                                                                                                                                                                                                                                                                                                                 </w:t>
      </w:r>
    </w:p>
    <w:p>
      <w:pPr>
        <w:pStyle w:val="4"/>
        <w:ind w:firstLine="643" w:firstLineChars="200"/>
        <w:outlineLvl w:val="2"/>
        <w:rPr>
          <w:rFonts w:ascii="Times New Roman" w:cs="仿宋_GB2312"/>
          <w:b/>
          <w:bCs/>
          <w:sz w:val="32"/>
          <w:szCs w:val="32"/>
        </w:rPr>
      </w:pPr>
      <w:r>
        <w:rPr>
          <w:rFonts w:hint="eastAsia" w:ascii="Times New Roman" w:cs="仿宋_GB2312"/>
          <w:b/>
          <w:bCs/>
          <w:sz w:val="32"/>
          <w:szCs w:val="32"/>
        </w:rPr>
        <w:t>2.绩效目标</w:t>
      </w:r>
    </w:p>
    <w:p>
      <w:pPr>
        <w:pStyle w:val="4"/>
        <w:ind w:firstLine="643" w:firstLineChars="200"/>
        <w:rPr>
          <w:rFonts w:ascii="Times New Roman" w:cs="仿宋_GB2312"/>
          <w:sz w:val="32"/>
          <w:szCs w:val="32"/>
        </w:rPr>
      </w:pPr>
      <w:r>
        <w:rPr>
          <w:rFonts w:hint="eastAsia" w:ascii="Times New Roman" w:cs="仿宋_GB2312"/>
          <w:b/>
          <w:bCs/>
          <w:sz w:val="32"/>
          <w:szCs w:val="32"/>
        </w:rPr>
        <w:t>绩效目标合理性方面</w:t>
      </w:r>
      <w:r>
        <w:rPr>
          <w:rFonts w:hint="eastAsia" w:ascii="Times New Roman" w:cs="仿宋_GB2312"/>
          <w:sz w:val="32"/>
          <w:szCs w:val="32"/>
        </w:rPr>
        <w:t>。市体彩中心根据项目内容制定了年度绩效目标，绩效目标与实际工作内容相关，符合正常的业绩水平，与预算确定的项目投资额或资金量相匹配。</w:t>
      </w:r>
    </w:p>
    <w:p>
      <w:pPr>
        <w:pStyle w:val="4"/>
        <w:ind w:firstLine="643" w:firstLineChars="200"/>
        <w:rPr>
          <w:rFonts w:ascii="Times New Roman" w:cs="仿宋_GB2312"/>
          <w:color w:val="0000FF"/>
          <w:sz w:val="32"/>
          <w:szCs w:val="32"/>
        </w:rPr>
      </w:pPr>
      <w:r>
        <w:rPr>
          <w:rFonts w:hint="eastAsia" w:ascii="Times New Roman" w:cs="仿宋_GB2312"/>
          <w:b/>
          <w:bCs/>
          <w:sz w:val="32"/>
          <w:szCs w:val="32"/>
        </w:rPr>
        <w:t>绩效指标明确性方面</w:t>
      </w:r>
      <w:r>
        <w:rPr>
          <w:rFonts w:hint="eastAsia" w:ascii="Times New Roman" w:cs="仿宋_GB2312"/>
          <w:sz w:val="32"/>
          <w:szCs w:val="32"/>
        </w:rPr>
        <w:t>。市体彩中心根据年度总体目标和项目内容分解了具体的绩效指标，指标清晰、可衡量，与项目目标任务数相对应。</w:t>
      </w:r>
    </w:p>
    <w:p>
      <w:pPr>
        <w:pStyle w:val="4"/>
        <w:ind w:firstLine="643" w:firstLineChars="200"/>
        <w:outlineLvl w:val="2"/>
        <w:rPr>
          <w:rFonts w:ascii="Times New Roman" w:cs="仿宋_GB2312"/>
          <w:b/>
          <w:bCs/>
          <w:sz w:val="32"/>
          <w:szCs w:val="32"/>
        </w:rPr>
      </w:pPr>
      <w:r>
        <w:rPr>
          <w:rFonts w:hint="eastAsia" w:ascii="Times New Roman" w:cs="仿宋_GB2312"/>
          <w:b/>
          <w:bCs/>
          <w:sz w:val="32"/>
          <w:szCs w:val="32"/>
        </w:rPr>
        <w:t>3.资金投入</w:t>
      </w:r>
    </w:p>
    <w:p>
      <w:pPr>
        <w:pStyle w:val="4"/>
        <w:ind w:firstLine="643" w:firstLineChars="200"/>
        <w:rPr>
          <w:rFonts w:ascii="Times New Roman" w:cs="仿宋_GB2312"/>
          <w:sz w:val="32"/>
          <w:szCs w:val="32"/>
        </w:rPr>
      </w:pPr>
      <w:r>
        <w:rPr>
          <w:rFonts w:hint="eastAsia" w:ascii="Times New Roman" w:cs="仿宋_GB2312"/>
          <w:b/>
          <w:bCs/>
          <w:sz w:val="32"/>
          <w:szCs w:val="32"/>
        </w:rPr>
        <w:t>预算编制方面。</w:t>
      </w:r>
      <w:r>
        <w:rPr>
          <w:rFonts w:hint="eastAsia" w:ascii="Times New Roman" w:cs="仿宋_GB2312"/>
          <w:sz w:val="32"/>
          <w:szCs w:val="32"/>
        </w:rPr>
        <w:t>市体彩中心根据中央下达的彩票调控资金额度，结合年度工作计划，编制资金分配方案，明确2024年支持的子项目。各子项目根据政策要求、工作内容、行业标准、历史成本、市场价格等编制预算，并按照市体彩中心预算编审内部控制流程，进行事前绩效评估、预算评审，项目预算编制经过较为科学的论证，依据相关标准进行费用测算。</w:t>
      </w:r>
    </w:p>
    <w:p>
      <w:pPr>
        <w:pStyle w:val="4"/>
        <w:ind w:firstLine="643" w:firstLineChars="200"/>
        <w:rPr>
          <w:rFonts w:ascii="Times New Roman" w:cs="仿宋_GB2312"/>
          <w:color w:val="0000FF"/>
          <w:sz w:val="32"/>
          <w:szCs w:val="32"/>
        </w:rPr>
      </w:pPr>
      <w:r>
        <w:rPr>
          <w:rFonts w:hint="eastAsia" w:ascii="Times New Roman" w:cs="仿宋_GB2312"/>
          <w:b/>
          <w:bCs/>
          <w:sz w:val="32"/>
          <w:szCs w:val="32"/>
        </w:rPr>
        <w:t>资金分配方面。</w:t>
      </w:r>
      <w:r>
        <w:rPr>
          <w:rFonts w:hint="eastAsia" w:ascii="Times New Roman" w:cs="仿宋_GB2312"/>
          <w:sz w:val="32"/>
          <w:szCs w:val="32"/>
        </w:rPr>
        <w:t>中央转移支付资金下达后，市体彩中心</w:t>
      </w:r>
      <w:r>
        <w:rPr>
          <w:rFonts w:hint="eastAsia" w:ascii="Times New Roman" w:cs="仿宋_GB2312"/>
          <w:sz w:val="32"/>
          <w:szCs w:val="32"/>
          <w:highlight w:val="none"/>
        </w:rPr>
        <w:t>根据《财政部关于印发〈彩票市场调控资金管理办法〉的通知》（体彩字〔2021〕212号）要求</w:t>
      </w:r>
      <w:r>
        <w:rPr>
          <w:rFonts w:hint="eastAsia" w:ascii="Times New Roman" w:cs="仿宋_GB2312"/>
          <w:sz w:val="32"/>
          <w:szCs w:val="32"/>
        </w:rPr>
        <w:t>，结合北京市体育彩票工作实际情况，编制资金分配方案，经事前绩效评估、预算评审后，</w:t>
      </w:r>
      <w:r>
        <w:rPr>
          <w:rFonts w:hint="eastAsia" w:ascii="Times New Roman" w:cs="仿宋_GB2312"/>
          <w:sz w:val="32"/>
          <w:szCs w:val="32"/>
          <w:highlight w:val="none"/>
        </w:rPr>
        <w:t>形成2024年彩票市场调控资金需求的报告</w:t>
      </w:r>
      <w:r>
        <w:rPr>
          <w:rFonts w:hint="eastAsia" w:ascii="Times New Roman" w:cs="仿宋_GB2312"/>
          <w:sz w:val="32"/>
          <w:szCs w:val="32"/>
        </w:rPr>
        <w:t>。该项目预算资金分配方案完善，资金分配较为合理，与项目内容及其重要程度相适应。</w:t>
      </w:r>
    </w:p>
    <w:p>
      <w:pPr>
        <w:spacing w:line="600" w:lineRule="exact"/>
        <w:ind w:firstLine="643" w:firstLineChars="200"/>
        <w:outlineLvl w:val="1"/>
        <w:rPr>
          <w:rFonts w:eastAsia="楷体_GB2312" w:cs="楷体_GB2312"/>
          <w:b/>
          <w:bCs/>
          <w:sz w:val="32"/>
          <w:szCs w:val="32"/>
        </w:rPr>
      </w:pPr>
      <w:bookmarkStart w:id="63" w:name="_Toc103617253"/>
      <w:bookmarkStart w:id="64" w:name="_Toc6932"/>
      <w:bookmarkStart w:id="65" w:name="_Toc4457"/>
      <w:bookmarkStart w:id="66" w:name="_Toc103607516"/>
      <w:bookmarkStart w:id="67" w:name="_Toc103676877"/>
      <w:r>
        <w:rPr>
          <w:rFonts w:hint="eastAsia" w:eastAsia="楷体_GB2312" w:cs="楷体_GB2312"/>
          <w:b/>
          <w:bCs/>
          <w:sz w:val="32"/>
          <w:szCs w:val="32"/>
        </w:rPr>
        <w:t>（二）项目过程情况</w:t>
      </w:r>
      <w:bookmarkEnd w:id="63"/>
      <w:bookmarkEnd w:id="64"/>
      <w:bookmarkEnd w:id="65"/>
      <w:bookmarkEnd w:id="66"/>
      <w:bookmarkEnd w:id="67"/>
    </w:p>
    <w:p>
      <w:pPr>
        <w:pStyle w:val="4"/>
        <w:ind w:firstLine="643" w:firstLineChars="200"/>
        <w:outlineLvl w:val="2"/>
        <w:rPr>
          <w:rFonts w:ascii="Times New Roman"/>
          <w:b/>
          <w:bCs/>
          <w:sz w:val="32"/>
          <w:szCs w:val="24"/>
        </w:rPr>
      </w:pPr>
      <w:r>
        <w:rPr>
          <w:rFonts w:hint="eastAsia" w:ascii="Times New Roman"/>
          <w:b/>
          <w:bCs/>
          <w:sz w:val="32"/>
          <w:szCs w:val="24"/>
        </w:rPr>
        <w:t>1.资金管理</w:t>
      </w:r>
    </w:p>
    <w:p>
      <w:pPr>
        <w:pStyle w:val="4"/>
        <w:ind w:firstLine="643" w:firstLineChars="200"/>
        <w:rPr>
          <w:rFonts w:ascii="Times New Roman"/>
          <w:b/>
          <w:bCs/>
          <w:sz w:val="32"/>
          <w:szCs w:val="24"/>
        </w:rPr>
      </w:pPr>
      <w:r>
        <w:rPr>
          <w:rFonts w:hint="eastAsia" w:ascii="Times New Roman"/>
          <w:b/>
          <w:bCs/>
          <w:sz w:val="32"/>
          <w:szCs w:val="24"/>
        </w:rPr>
        <w:t>资金到位方面。</w:t>
      </w:r>
      <w:r>
        <w:rPr>
          <w:rFonts w:hint="eastAsia" w:ascii="Times New Roman"/>
          <w:sz w:val="32"/>
          <w:szCs w:val="24"/>
        </w:rPr>
        <w:t>2024年中央分2批下达市体彩中心彩票市场调控资金4,332.92万元。截至2024年12月31日，实际到位资金4,332.92万元，资金到位100%。</w:t>
      </w:r>
    </w:p>
    <w:p>
      <w:pPr>
        <w:pStyle w:val="4"/>
        <w:ind w:firstLine="643" w:firstLineChars="200"/>
        <w:rPr>
          <w:rFonts w:ascii="Times New Roman"/>
          <w:color w:val="0000FF"/>
          <w:sz w:val="32"/>
          <w:szCs w:val="24"/>
        </w:rPr>
      </w:pPr>
      <w:r>
        <w:rPr>
          <w:rFonts w:hint="eastAsia" w:ascii="Times New Roman"/>
          <w:b/>
          <w:bCs/>
          <w:sz w:val="32"/>
          <w:szCs w:val="24"/>
        </w:rPr>
        <w:t>预算执行方面</w:t>
      </w:r>
      <w:r>
        <w:rPr>
          <w:rFonts w:hint="eastAsia" w:ascii="Times New Roman"/>
          <w:sz w:val="32"/>
          <w:szCs w:val="24"/>
        </w:rPr>
        <w:t>。截至2024年12月31日，2024年彩票市场调控资金实际支出3,380.22万元。预算执行率78.01%，其中第一批资金支出2,833.56万元，执行率74.90%；第二批资金支出546.66万元，执行率99.41%。</w:t>
      </w:r>
    </w:p>
    <w:p>
      <w:pPr>
        <w:pStyle w:val="4"/>
        <w:ind w:firstLine="643" w:firstLineChars="200"/>
        <w:rPr>
          <w:rFonts w:ascii="Times New Roman"/>
          <w:color w:val="0000FF"/>
          <w:sz w:val="32"/>
          <w:szCs w:val="32"/>
        </w:rPr>
      </w:pPr>
      <w:r>
        <w:rPr>
          <w:rFonts w:hint="eastAsia" w:ascii="Times New Roman"/>
          <w:b/>
          <w:bCs/>
          <w:sz w:val="32"/>
          <w:szCs w:val="24"/>
        </w:rPr>
        <w:t>资金使用合规性方面</w:t>
      </w:r>
      <w:r>
        <w:rPr>
          <w:rFonts w:hint="eastAsia" w:ascii="Times New Roman"/>
          <w:sz w:val="32"/>
          <w:szCs w:val="24"/>
        </w:rPr>
        <w:t>。该项目资金使用规范，符合相关的财务管理制度规定，项目资金独立核算，支出符合项目预算批复及合同规定，资金拨付有完整的审批程序和手续，不存在截留、挤占、挪用、虚列支出等情况。2024年彩票市场调控资金未用于彩票机构人员支出、日常公用支出、办公设备购置或改善，以及未经批准的项目或与彩票事业发展无关的其他项目。</w:t>
      </w:r>
    </w:p>
    <w:p>
      <w:pPr>
        <w:pStyle w:val="4"/>
        <w:ind w:firstLine="643" w:firstLineChars="200"/>
        <w:outlineLvl w:val="2"/>
        <w:rPr>
          <w:rFonts w:ascii="Times New Roman"/>
          <w:b/>
          <w:bCs/>
          <w:sz w:val="32"/>
          <w:szCs w:val="32"/>
        </w:rPr>
      </w:pPr>
      <w:r>
        <w:rPr>
          <w:rFonts w:hint="eastAsia" w:ascii="Times New Roman"/>
          <w:b/>
          <w:bCs/>
          <w:sz w:val="32"/>
          <w:szCs w:val="32"/>
        </w:rPr>
        <w:t>2.组织实施</w:t>
      </w:r>
    </w:p>
    <w:p>
      <w:pPr>
        <w:pStyle w:val="4"/>
        <w:ind w:firstLine="643" w:firstLineChars="200"/>
        <w:rPr>
          <w:rFonts w:ascii="Times New Roman"/>
          <w:sz w:val="32"/>
          <w:szCs w:val="32"/>
        </w:rPr>
      </w:pPr>
      <w:r>
        <w:rPr>
          <w:rFonts w:hint="eastAsia" w:ascii="Times New Roman"/>
          <w:b/>
          <w:bCs/>
          <w:sz w:val="32"/>
          <w:szCs w:val="32"/>
        </w:rPr>
        <w:t>制度建设方面。</w:t>
      </w:r>
      <w:r>
        <w:rPr>
          <w:rFonts w:hint="eastAsia" w:ascii="Times New Roman"/>
          <w:sz w:val="32"/>
          <w:szCs w:val="32"/>
        </w:rPr>
        <w:t>市体彩中心根据法律法规及相关政策要求，从单位层面、预算管理、收支管理、采购管理、资产管理、合同管理等方面制定较为完善的管理制度。</w:t>
      </w:r>
    </w:p>
    <w:p>
      <w:pPr>
        <w:pStyle w:val="4"/>
        <w:ind w:firstLine="643" w:firstLineChars="200"/>
        <w:rPr>
          <w:rFonts w:ascii="Times New Roman"/>
          <w:color w:val="0000FF"/>
          <w:sz w:val="32"/>
          <w:szCs w:val="32"/>
        </w:rPr>
      </w:pPr>
      <w:r>
        <w:rPr>
          <w:rFonts w:hint="eastAsia" w:ascii="Times New Roman"/>
          <w:b/>
          <w:bCs/>
          <w:sz w:val="32"/>
          <w:szCs w:val="32"/>
        </w:rPr>
        <w:t>过程管理方面</w:t>
      </w:r>
      <w:r>
        <w:rPr>
          <w:rFonts w:hint="eastAsia" w:ascii="Times New Roman"/>
          <w:sz w:val="32"/>
          <w:szCs w:val="32"/>
        </w:rPr>
        <w:t>。该项目采购、合同签订、结项验收等组织实施符合相关法律法规和管理规定。</w:t>
      </w:r>
    </w:p>
    <w:p>
      <w:pPr>
        <w:spacing w:line="600" w:lineRule="exact"/>
        <w:ind w:firstLine="643" w:firstLineChars="200"/>
        <w:outlineLvl w:val="1"/>
        <w:rPr>
          <w:rFonts w:eastAsia="楷体_GB2312" w:cs="楷体_GB2312"/>
          <w:b/>
          <w:bCs/>
          <w:sz w:val="32"/>
          <w:szCs w:val="32"/>
        </w:rPr>
      </w:pPr>
      <w:bookmarkStart w:id="68" w:name="_Toc9860"/>
      <w:bookmarkStart w:id="69" w:name="_Toc3039"/>
      <w:bookmarkStart w:id="70" w:name="_Toc103676878"/>
      <w:bookmarkStart w:id="71" w:name="_Toc103617254"/>
      <w:bookmarkStart w:id="72" w:name="_Toc103607517"/>
      <w:r>
        <w:rPr>
          <w:rFonts w:hint="eastAsia" w:eastAsia="楷体_GB2312" w:cs="楷体_GB2312"/>
          <w:b/>
          <w:bCs/>
          <w:sz w:val="32"/>
          <w:szCs w:val="32"/>
        </w:rPr>
        <w:t>（三）项目产出情况</w:t>
      </w:r>
      <w:bookmarkEnd w:id="68"/>
      <w:bookmarkEnd w:id="69"/>
      <w:bookmarkEnd w:id="70"/>
      <w:bookmarkEnd w:id="71"/>
      <w:bookmarkEnd w:id="72"/>
    </w:p>
    <w:p>
      <w:pPr>
        <w:pStyle w:val="4"/>
        <w:ind w:firstLine="643" w:firstLineChars="200"/>
        <w:rPr>
          <w:rFonts w:ascii="Times New Roman"/>
          <w:b/>
          <w:bCs/>
          <w:sz w:val="32"/>
          <w:szCs w:val="24"/>
        </w:rPr>
      </w:pPr>
      <w:r>
        <w:rPr>
          <w:rFonts w:hint="eastAsia" w:ascii="Times New Roman"/>
          <w:b/>
          <w:bCs/>
          <w:sz w:val="32"/>
          <w:szCs w:val="24"/>
        </w:rPr>
        <w:t>1.产出数量</w:t>
      </w:r>
    </w:p>
    <w:p>
      <w:pPr>
        <w:pStyle w:val="4"/>
        <w:ind w:firstLine="643" w:firstLineChars="200"/>
        <w:rPr>
          <w:rFonts w:ascii="Times New Roman"/>
          <w:sz w:val="32"/>
          <w:szCs w:val="24"/>
        </w:rPr>
      </w:pPr>
      <w:r>
        <w:rPr>
          <w:rFonts w:hint="eastAsia" w:ascii="Times New Roman"/>
          <w:b/>
          <w:bCs/>
          <w:sz w:val="32"/>
          <w:szCs w:val="24"/>
        </w:rPr>
        <w:t>展示体验中心建设扶持完成情况</w:t>
      </w:r>
      <w:r>
        <w:rPr>
          <w:rFonts w:hint="eastAsia" w:ascii="Times New Roman"/>
          <w:sz w:val="32"/>
          <w:szCs w:val="24"/>
        </w:rPr>
        <w:t>。</w:t>
      </w:r>
      <w:r>
        <w:rPr>
          <w:rFonts w:hint="eastAsia" w:ascii="Times New Roman"/>
          <w:b/>
          <w:bCs/>
          <w:sz w:val="32"/>
          <w:szCs w:val="24"/>
        </w:rPr>
        <w:t>一是</w:t>
      </w:r>
      <w:r>
        <w:rPr>
          <w:rFonts w:hint="eastAsia" w:ascii="Times New Roman"/>
          <w:sz w:val="32"/>
          <w:szCs w:val="24"/>
        </w:rPr>
        <w:t>完成了对2022年布建的商业综合体建设扶持工作。</w:t>
      </w:r>
      <w:r>
        <w:rPr>
          <w:rFonts w:hint="eastAsia" w:ascii="Times New Roman"/>
          <w:b/>
          <w:bCs/>
          <w:sz w:val="32"/>
          <w:szCs w:val="24"/>
        </w:rPr>
        <w:t>二是</w:t>
      </w:r>
      <w:r>
        <w:rPr>
          <w:rFonts w:hint="eastAsia" w:ascii="Times New Roman"/>
          <w:sz w:val="32"/>
          <w:szCs w:val="24"/>
        </w:rPr>
        <w:t>完成了对2023年布建的展示体验中心建设扶持工作。</w:t>
      </w:r>
    </w:p>
    <w:p>
      <w:pPr>
        <w:pStyle w:val="4"/>
        <w:ind w:firstLine="643" w:firstLineChars="200"/>
        <w:rPr>
          <w:rFonts w:ascii="Times New Roman" w:cs="仿宋_GB2312"/>
          <w:sz w:val="32"/>
          <w:szCs w:val="32"/>
        </w:rPr>
      </w:pPr>
      <w:r>
        <w:rPr>
          <w:rFonts w:hint="eastAsia" w:ascii="Times New Roman" w:cs="仿宋_GB2312"/>
          <w:b/>
          <w:bCs/>
          <w:sz w:val="32"/>
          <w:szCs w:val="32"/>
        </w:rPr>
        <w:t>专用设备购置完成情况</w:t>
      </w:r>
      <w:r>
        <w:rPr>
          <w:rFonts w:hint="eastAsia" w:ascii="Times New Roman" w:cs="仿宋_GB2312"/>
          <w:sz w:val="32"/>
          <w:szCs w:val="32"/>
        </w:rPr>
        <w:t>。2024年专用设备购置完成率为100%。</w:t>
      </w:r>
    </w:p>
    <w:p>
      <w:pPr>
        <w:pStyle w:val="4"/>
        <w:ind w:firstLine="643" w:firstLineChars="200"/>
        <w:rPr>
          <w:rFonts w:ascii="Times New Roman" w:cs="仿宋_GB2312"/>
          <w:b/>
          <w:bCs/>
          <w:sz w:val="32"/>
          <w:szCs w:val="32"/>
        </w:rPr>
      </w:pPr>
      <w:r>
        <w:rPr>
          <w:rFonts w:hint="eastAsia" w:ascii="Times New Roman" w:cs="仿宋_GB2312"/>
          <w:b/>
          <w:bCs/>
          <w:sz w:val="32"/>
          <w:szCs w:val="32"/>
        </w:rPr>
        <w:t>2.产出质量</w:t>
      </w:r>
    </w:p>
    <w:p>
      <w:pPr>
        <w:pStyle w:val="4"/>
        <w:ind w:firstLine="640" w:firstLineChars="200"/>
        <w:rPr>
          <w:rFonts w:ascii="Times New Roman"/>
          <w:sz w:val="32"/>
          <w:szCs w:val="24"/>
        </w:rPr>
      </w:pPr>
      <w:r>
        <w:rPr>
          <w:rFonts w:hint="eastAsia" w:ascii="Times New Roman"/>
          <w:sz w:val="32"/>
          <w:szCs w:val="24"/>
        </w:rPr>
        <w:t>2024年彩票市场调控资金类项目工作完成质量较好，市体彩中心在子项目服务完成后，根据采购需求、合同内容等，逐项对服务商工作完成情况进行验收考核，确保项目工作完成质量达到标准要求。</w:t>
      </w:r>
    </w:p>
    <w:p>
      <w:pPr>
        <w:pStyle w:val="4"/>
        <w:ind w:firstLine="643" w:firstLineChars="200"/>
        <w:rPr>
          <w:rFonts w:ascii="Times New Roman" w:cs="仿宋_GB2312"/>
          <w:b/>
          <w:bCs/>
          <w:sz w:val="32"/>
          <w:szCs w:val="32"/>
        </w:rPr>
      </w:pPr>
      <w:r>
        <w:rPr>
          <w:rFonts w:hint="eastAsia" w:ascii="Times New Roman"/>
          <w:b/>
          <w:bCs/>
          <w:sz w:val="32"/>
          <w:szCs w:val="24"/>
        </w:rPr>
        <w:t>3.</w:t>
      </w:r>
      <w:r>
        <w:rPr>
          <w:rFonts w:hint="eastAsia" w:ascii="Times New Roman" w:cs="仿宋_GB2312"/>
          <w:b/>
          <w:bCs/>
          <w:sz w:val="32"/>
          <w:szCs w:val="32"/>
        </w:rPr>
        <w:t>产出成本</w:t>
      </w:r>
    </w:p>
    <w:p>
      <w:pPr>
        <w:pStyle w:val="4"/>
        <w:ind w:firstLine="640" w:firstLineChars="200"/>
        <w:rPr>
          <w:rFonts w:ascii="Times New Roman"/>
          <w:b/>
          <w:bCs/>
          <w:sz w:val="32"/>
          <w:szCs w:val="24"/>
        </w:rPr>
      </w:pPr>
      <w:r>
        <w:rPr>
          <w:rFonts w:hint="eastAsia" w:ascii="Times New Roman"/>
          <w:sz w:val="32"/>
          <w:szCs w:val="24"/>
        </w:rPr>
        <w:t>2024年彩票市场调控资金类项目成本控制措施较为健全合理，</w:t>
      </w:r>
      <w:r>
        <w:rPr>
          <w:rFonts w:hint="eastAsia" w:ascii="Times New Roman"/>
          <w:b/>
          <w:bCs/>
          <w:sz w:val="32"/>
          <w:szCs w:val="24"/>
        </w:rPr>
        <w:t>一是</w:t>
      </w:r>
      <w:r>
        <w:rPr>
          <w:rFonts w:hint="eastAsia" w:ascii="Times New Roman"/>
          <w:sz w:val="32"/>
          <w:szCs w:val="24"/>
        </w:rPr>
        <w:t>通过政府采购公开遴选服务商，节约项目成本；</w:t>
      </w:r>
      <w:r>
        <w:rPr>
          <w:rFonts w:hint="eastAsia" w:ascii="Times New Roman"/>
          <w:b/>
          <w:bCs/>
          <w:sz w:val="32"/>
          <w:szCs w:val="24"/>
        </w:rPr>
        <w:t>二是</w:t>
      </w:r>
      <w:r>
        <w:rPr>
          <w:rFonts w:hint="eastAsia" w:ascii="Times New Roman"/>
          <w:sz w:val="32"/>
          <w:szCs w:val="24"/>
        </w:rPr>
        <w:t>通过履约保函、质保金等，加强对项目工作质量和成本的控制，确保项目完成质量符合标准。</w:t>
      </w:r>
    </w:p>
    <w:p>
      <w:pPr>
        <w:spacing w:line="600" w:lineRule="exact"/>
        <w:ind w:firstLine="643" w:firstLineChars="200"/>
        <w:outlineLvl w:val="1"/>
        <w:rPr>
          <w:rFonts w:eastAsia="楷体_GB2312" w:cs="楷体_GB2312"/>
          <w:b/>
          <w:bCs/>
          <w:sz w:val="32"/>
          <w:szCs w:val="32"/>
        </w:rPr>
      </w:pPr>
      <w:bookmarkStart w:id="73" w:name="_Toc103617255"/>
      <w:bookmarkStart w:id="74" w:name="_Toc6699"/>
      <w:bookmarkStart w:id="75" w:name="_Toc103607518"/>
      <w:bookmarkStart w:id="76" w:name="_Toc103676879"/>
      <w:bookmarkStart w:id="77" w:name="_Toc8862"/>
      <w:r>
        <w:rPr>
          <w:rFonts w:hint="eastAsia" w:eastAsia="楷体_GB2312" w:cs="楷体_GB2312"/>
          <w:b/>
          <w:bCs/>
          <w:sz w:val="32"/>
          <w:szCs w:val="32"/>
        </w:rPr>
        <w:t>（四）项目效益情况</w:t>
      </w:r>
      <w:bookmarkEnd w:id="73"/>
      <w:bookmarkEnd w:id="74"/>
      <w:bookmarkEnd w:id="75"/>
      <w:bookmarkEnd w:id="76"/>
      <w:bookmarkEnd w:id="77"/>
    </w:p>
    <w:p>
      <w:pPr>
        <w:pStyle w:val="4"/>
        <w:ind w:firstLine="643" w:firstLineChars="200"/>
        <w:rPr>
          <w:rFonts w:ascii="Times New Roman"/>
          <w:b/>
          <w:bCs/>
          <w:sz w:val="32"/>
          <w:szCs w:val="24"/>
        </w:rPr>
      </w:pPr>
      <w:r>
        <w:rPr>
          <w:rFonts w:hint="eastAsia" w:ascii="Times New Roman"/>
          <w:b/>
          <w:bCs/>
          <w:sz w:val="32"/>
          <w:szCs w:val="24"/>
        </w:rPr>
        <w:t>1.销售目标达成率</w:t>
      </w:r>
    </w:p>
    <w:p>
      <w:pPr>
        <w:pStyle w:val="4"/>
        <w:ind w:firstLine="640" w:firstLineChars="200"/>
        <w:rPr>
          <w:rFonts w:ascii="Times New Roman"/>
          <w:sz w:val="32"/>
          <w:szCs w:val="24"/>
        </w:rPr>
      </w:pPr>
      <w:r>
        <w:rPr>
          <w:rFonts w:hint="eastAsia" w:ascii="Times New Roman"/>
          <w:sz w:val="32"/>
          <w:szCs w:val="24"/>
        </w:rPr>
        <w:t>2024年体育彩票销售工作平稳有序开展，全年已实现体育彩票销售额116.19亿元，完成预期销售目标，同比增长7.34%，共筹集体育彩票公益金27.81亿元，同比增长6.88%。</w:t>
      </w:r>
    </w:p>
    <w:p>
      <w:pPr>
        <w:pStyle w:val="4"/>
        <w:ind w:firstLine="643" w:firstLineChars="200"/>
        <w:rPr>
          <w:rFonts w:ascii="Times New Roman"/>
          <w:b/>
          <w:bCs/>
          <w:sz w:val="32"/>
          <w:szCs w:val="24"/>
        </w:rPr>
      </w:pPr>
      <w:r>
        <w:rPr>
          <w:rFonts w:hint="eastAsia" w:ascii="Times New Roman"/>
          <w:b/>
          <w:bCs/>
          <w:sz w:val="32"/>
          <w:szCs w:val="24"/>
        </w:rPr>
        <w:t>2.提升中国体育彩票品牌认知度</w:t>
      </w:r>
    </w:p>
    <w:p>
      <w:pPr>
        <w:widowControl/>
        <w:ind w:firstLine="640" w:firstLineChars="200"/>
        <w:jc w:val="left"/>
        <w:rPr>
          <w:sz w:val="32"/>
        </w:rPr>
      </w:pPr>
      <w:r>
        <w:rPr>
          <w:rFonts w:hint="eastAsia" w:eastAsia="仿宋_GB2312"/>
          <w:sz w:val="32"/>
        </w:rPr>
        <w:t>通过在地铁、视频平台、户外大屏等多种渠道综合展示体育彩票信息，能够有效增强市民及彩民对北京体育彩票品牌的认同与亲近，提升彩民对产品的认知度，扩大购彩人群，拓宽购彩选择的视野，增进市民对体育彩票事业的情感联系，推动体育彩票公益事业的发展。</w:t>
      </w:r>
    </w:p>
    <w:p>
      <w:pPr>
        <w:pStyle w:val="4"/>
        <w:ind w:firstLine="643" w:firstLineChars="200"/>
        <w:rPr>
          <w:rFonts w:ascii="Times New Roman"/>
          <w:b/>
          <w:bCs/>
          <w:sz w:val="32"/>
          <w:szCs w:val="24"/>
        </w:rPr>
      </w:pPr>
      <w:r>
        <w:rPr>
          <w:rFonts w:hint="eastAsia" w:ascii="Times New Roman"/>
          <w:b/>
          <w:bCs/>
          <w:sz w:val="32"/>
          <w:szCs w:val="24"/>
        </w:rPr>
        <w:t>3.推动体育彩票健康持续发展</w:t>
      </w:r>
    </w:p>
    <w:p>
      <w:pPr>
        <w:pStyle w:val="4"/>
        <w:ind w:firstLine="640" w:firstLineChars="200"/>
        <w:rPr>
          <w:rFonts w:hAnsi="宋体" w:cs="仿宋_GB2312"/>
          <w:color w:val="000000" w:themeColor="text1"/>
          <w:sz w:val="32"/>
          <w:szCs w:val="32"/>
          <w:shd w:val="clear" w:color="auto" w:fill="FFFFFF"/>
          <w14:textFill>
            <w14:solidFill>
              <w14:schemeClr w14:val="tx1"/>
            </w14:solidFill>
          </w14:textFill>
        </w:rPr>
      </w:pPr>
      <w:r>
        <w:rPr>
          <w:rFonts w:hint="eastAsia" w:ascii="Times New Roman"/>
          <w:sz w:val="32"/>
          <w:szCs w:val="24"/>
        </w:rPr>
        <w:t>通过对展示体验中心进行建设扶持，更新彩票销售终端机设备，提升彩票销售场所能力，改善彩票业务设施，确保彩票销售系统稳定运行，推动体育彩票健康持续发展。</w:t>
      </w:r>
    </w:p>
    <w:p>
      <w:pPr>
        <w:pStyle w:val="4"/>
        <w:ind w:firstLine="643" w:firstLineChars="200"/>
        <w:rPr>
          <w:rFonts w:ascii="Times New Roman"/>
          <w:b/>
          <w:bCs/>
          <w:sz w:val="32"/>
          <w:szCs w:val="24"/>
        </w:rPr>
      </w:pPr>
      <w:r>
        <w:rPr>
          <w:rFonts w:hint="eastAsia" w:ascii="Times New Roman"/>
          <w:b/>
          <w:bCs/>
          <w:sz w:val="32"/>
          <w:szCs w:val="24"/>
        </w:rPr>
        <w:t>4.服务对象满意度</w:t>
      </w:r>
    </w:p>
    <w:p>
      <w:pPr>
        <w:pStyle w:val="4"/>
        <w:ind w:firstLine="640" w:firstLineChars="200"/>
        <w:rPr>
          <w:rFonts w:ascii="Times New Roman"/>
          <w:color w:val="0000FF"/>
          <w:sz w:val="32"/>
          <w:szCs w:val="24"/>
        </w:rPr>
      </w:pPr>
      <w:r>
        <w:rPr>
          <w:rFonts w:hint="eastAsia" w:ascii="Times New Roman"/>
          <w:sz w:val="32"/>
          <w:szCs w:val="24"/>
        </w:rPr>
        <w:t>该项目满意度情况较好，基本达到了预期目标。</w:t>
      </w:r>
    </w:p>
    <w:p>
      <w:pPr>
        <w:spacing w:line="600" w:lineRule="exact"/>
        <w:ind w:firstLine="640" w:firstLineChars="200"/>
        <w:outlineLvl w:val="0"/>
        <w:rPr>
          <w:rFonts w:eastAsia="黑体" w:cs="黑体"/>
          <w:sz w:val="32"/>
          <w:szCs w:val="32"/>
        </w:rPr>
      </w:pPr>
      <w:bookmarkStart w:id="78" w:name="_Toc103607519"/>
      <w:bookmarkStart w:id="79" w:name="_Toc7986"/>
      <w:bookmarkStart w:id="80" w:name="_Toc103617256"/>
      <w:bookmarkStart w:id="81" w:name="_Toc103676880"/>
      <w:bookmarkStart w:id="82" w:name="_Toc18622"/>
      <w:r>
        <w:rPr>
          <w:rFonts w:hint="eastAsia" w:eastAsia="黑体" w:cs="黑体"/>
          <w:sz w:val="32"/>
          <w:szCs w:val="32"/>
        </w:rPr>
        <w:t>五、主要经验及做法、存在的问题及原因分析</w:t>
      </w:r>
      <w:bookmarkEnd w:id="78"/>
      <w:bookmarkEnd w:id="79"/>
      <w:bookmarkEnd w:id="80"/>
      <w:bookmarkEnd w:id="81"/>
      <w:bookmarkEnd w:id="82"/>
    </w:p>
    <w:p>
      <w:pPr>
        <w:spacing w:line="600" w:lineRule="exact"/>
        <w:ind w:firstLine="643" w:firstLineChars="200"/>
        <w:outlineLvl w:val="1"/>
        <w:rPr>
          <w:rFonts w:eastAsia="楷体_GB2312" w:cs="楷体_GB2312"/>
          <w:b/>
          <w:bCs/>
          <w:sz w:val="32"/>
          <w:szCs w:val="32"/>
        </w:rPr>
      </w:pPr>
      <w:bookmarkStart w:id="83" w:name="_Toc19079"/>
      <w:bookmarkStart w:id="84" w:name="_Toc103617257"/>
      <w:bookmarkStart w:id="85" w:name="_Toc24837"/>
      <w:bookmarkStart w:id="86" w:name="_Toc103607520"/>
      <w:bookmarkStart w:id="87" w:name="_Toc103676881"/>
      <w:r>
        <w:rPr>
          <w:rFonts w:hint="eastAsia" w:eastAsia="楷体_GB2312" w:cs="楷体_GB2312"/>
          <w:b/>
          <w:bCs/>
          <w:sz w:val="32"/>
          <w:szCs w:val="32"/>
        </w:rPr>
        <w:t>（一）主要经验及做法</w:t>
      </w:r>
      <w:bookmarkEnd w:id="83"/>
      <w:bookmarkEnd w:id="84"/>
      <w:bookmarkEnd w:id="85"/>
      <w:bookmarkEnd w:id="86"/>
      <w:bookmarkEnd w:id="87"/>
    </w:p>
    <w:p>
      <w:pPr>
        <w:pStyle w:val="4"/>
        <w:ind w:firstLine="640" w:firstLineChars="200"/>
        <w:rPr>
          <w:rFonts w:ascii="Times New Roman" w:cs="仿宋_GB2312"/>
          <w:sz w:val="32"/>
          <w:szCs w:val="32"/>
        </w:rPr>
      </w:pPr>
      <w:r>
        <w:rPr>
          <w:rFonts w:hint="eastAsia" w:ascii="Times New Roman" w:cs="仿宋_GB2312"/>
          <w:sz w:val="32"/>
          <w:szCs w:val="32"/>
        </w:rPr>
        <w:t>为提高彩票市场调控资金使用效益，建立规范、科学、高效的预算绩效管理模式，市体彩中心对彩票市场调控资金开展全过程预算绩效管理，将彩票市场调控资金与部门预算项目一并纳入全过程预算绩效管理范围，立项时对各子项目开展事前绩效评估和预算评审，执行中及时对各子项目目标完成情况和资金执行情况进行绩效运行监控，年度结束后组织开展绩效自评工作，做到“事前严审、事中全控、事后深评”。</w:t>
      </w:r>
    </w:p>
    <w:p>
      <w:pPr>
        <w:spacing w:line="600" w:lineRule="exact"/>
        <w:ind w:firstLine="643" w:firstLineChars="200"/>
        <w:outlineLvl w:val="1"/>
        <w:rPr>
          <w:rFonts w:eastAsia="楷体_GB2312" w:cs="楷体_GB2312"/>
          <w:b/>
          <w:bCs/>
          <w:sz w:val="32"/>
          <w:szCs w:val="32"/>
        </w:rPr>
      </w:pPr>
      <w:bookmarkStart w:id="88" w:name="_Toc103676882"/>
      <w:bookmarkStart w:id="89" w:name="_Toc31420"/>
      <w:bookmarkStart w:id="90" w:name="_Toc103617258"/>
      <w:bookmarkStart w:id="91" w:name="_Toc103607521"/>
      <w:bookmarkStart w:id="92" w:name="_Toc10860"/>
      <w:r>
        <w:rPr>
          <w:rFonts w:hint="eastAsia" w:eastAsia="楷体_GB2312" w:cs="楷体_GB2312"/>
          <w:b/>
          <w:bCs/>
          <w:sz w:val="32"/>
          <w:szCs w:val="32"/>
        </w:rPr>
        <w:t>（二）存在的问题及原因分析</w:t>
      </w:r>
      <w:bookmarkEnd w:id="88"/>
      <w:bookmarkEnd w:id="89"/>
      <w:bookmarkEnd w:id="90"/>
      <w:bookmarkEnd w:id="91"/>
      <w:bookmarkEnd w:id="92"/>
    </w:p>
    <w:p>
      <w:pPr>
        <w:pStyle w:val="4"/>
        <w:ind w:firstLine="640" w:firstLineChars="200"/>
        <w:rPr>
          <w:rFonts w:ascii="Times New Roman" w:cs="仿宋_GB2312"/>
          <w:sz w:val="32"/>
          <w:szCs w:val="32"/>
        </w:rPr>
      </w:pPr>
      <w:r>
        <w:rPr>
          <w:rFonts w:ascii="Times New Roman" w:cs="仿宋_GB2312"/>
          <w:sz w:val="32"/>
          <w:szCs w:val="32"/>
        </w:rPr>
        <w:t>1.</w:t>
      </w:r>
      <w:r>
        <w:rPr>
          <w:rFonts w:hint="eastAsia" w:ascii="Times New Roman" w:cs="仿宋_GB2312"/>
          <w:sz w:val="32"/>
          <w:szCs w:val="32"/>
        </w:rPr>
        <w:t>绩效目标全面性和质量指标准确性有待提升。</w:t>
      </w:r>
    </w:p>
    <w:p>
      <w:pPr>
        <w:pStyle w:val="4"/>
        <w:ind w:firstLine="640" w:firstLineChars="200"/>
        <w:rPr>
          <w:rFonts w:hint="eastAsia" w:ascii="Times New Roman" w:eastAsia="仿宋_GB2312"/>
          <w:color w:val="0000FF"/>
          <w:sz w:val="32"/>
          <w:szCs w:val="32"/>
          <w:lang w:eastAsia="zh-CN"/>
        </w:rPr>
      </w:pPr>
      <w:r>
        <w:rPr>
          <w:rFonts w:hint="eastAsia" w:ascii="Times New Roman"/>
          <w:sz w:val="32"/>
          <w:szCs w:val="32"/>
          <w:lang w:val="en-US" w:eastAsia="zh-CN"/>
        </w:rPr>
        <w:t>2</w:t>
      </w:r>
      <w:r>
        <w:rPr>
          <w:rFonts w:hint="eastAsia" w:ascii="Times New Roman"/>
          <w:sz w:val="32"/>
          <w:szCs w:val="32"/>
        </w:rPr>
        <w:t>.管理制度精细化</w:t>
      </w:r>
      <w:bookmarkStart w:id="103" w:name="_GoBack"/>
      <w:bookmarkEnd w:id="103"/>
      <w:r>
        <w:rPr>
          <w:rFonts w:hint="eastAsia" w:ascii="Times New Roman"/>
          <w:sz w:val="32"/>
          <w:szCs w:val="32"/>
        </w:rPr>
        <w:t>程度有待加强。</w:t>
      </w:r>
    </w:p>
    <w:p>
      <w:pPr>
        <w:spacing w:line="600" w:lineRule="exact"/>
        <w:ind w:firstLine="640" w:firstLineChars="200"/>
        <w:outlineLvl w:val="0"/>
        <w:rPr>
          <w:rFonts w:eastAsia="黑体" w:cs="黑体"/>
          <w:sz w:val="32"/>
          <w:szCs w:val="32"/>
        </w:rPr>
      </w:pPr>
      <w:bookmarkStart w:id="93" w:name="_Toc28467"/>
      <w:bookmarkStart w:id="94" w:name="_Toc103676883"/>
      <w:bookmarkStart w:id="95" w:name="_Toc103607522"/>
      <w:bookmarkStart w:id="96" w:name="_Toc16627"/>
      <w:bookmarkStart w:id="97" w:name="_Toc103617259"/>
      <w:r>
        <w:rPr>
          <w:rFonts w:hint="eastAsia" w:eastAsia="黑体" w:cs="黑体"/>
          <w:sz w:val="32"/>
          <w:szCs w:val="32"/>
        </w:rPr>
        <w:t>六、有关建议</w:t>
      </w:r>
      <w:bookmarkEnd w:id="93"/>
      <w:bookmarkEnd w:id="94"/>
      <w:bookmarkEnd w:id="95"/>
      <w:bookmarkEnd w:id="96"/>
      <w:bookmarkEnd w:id="97"/>
    </w:p>
    <w:p>
      <w:pPr>
        <w:ind w:firstLine="640" w:firstLineChars="200"/>
        <w:rPr>
          <w:rFonts w:eastAsia="仿宋_GB2312"/>
          <w:sz w:val="32"/>
        </w:rPr>
      </w:pPr>
      <w:r>
        <w:rPr>
          <w:rFonts w:hint="eastAsia" w:eastAsia="仿宋_GB2312"/>
          <w:sz w:val="32"/>
        </w:rPr>
        <w:t>1.提高绩效目标完整性，设置与项目相匹配的质量指标。</w:t>
      </w:r>
    </w:p>
    <w:p>
      <w:pPr>
        <w:ind w:firstLine="640" w:firstLineChars="200"/>
        <w:rPr>
          <w:rFonts w:eastAsia="仿宋_GB2312"/>
          <w:bCs/>
          <w:color w:val="0000FF"/>
          <w:sz w:val="32"/>
          <w:szCs w:val="32"/>
        </w:rPr>
      </w:pPr>
      <w:r>
        <w:rPr>
          <w:rFonts w:hint="eastAsia" w:eastAsia="仿宋_GB2312"/>
          <w:sz w:val="32"/>
        </w:rPr>
        <w:t>2.完善管理制度体系，优化业务管理模式</w:t>
      </w:r>
      <w:r>
        <w:rPr>
          <w:rFonts w:hint="eastAsia" w:eastAsia="仿宋_GB2312"/>
          <w:sz w:val="32"/>
          <w:lang w:eastAsia="zh-CN"/>
        </w:rPr>
        <w:t>；</w:t>
      </w:r>
      <w:r>
        <w:rPr>
          <w:rFonts w:hint="eastAsia" w:eastAsia="仿宋_GB2312"/>
          <w:sz w:val="32"/>
        </w:rPr>
        <w:t>加强项目前期规划，加快推动各类项目执行。</w:t>
      </w:r>
    </w:p>
    <w:p>
      <w:pPr>
        <w:spacing w:line="600" w:lineRule="exact"/>
        <w:ind w:firstLine="640" w:firstLineChars="200"/>
        <w:outlineLvl w:val="0"/>
        <w:rPr>
          <w:rFonts w:eastAsia="黑体" w:cs="黑体"/>
          <w:sz w:val="32"/>
          <w:szCs w:val="32"/>
        </w:rPr>
      </w:pPr>
      <w:bookmarkStart w:id="98" w:name="_Toc26838"/>
      <w:bookmarkStart w:id="99" w:name="_Toc103676884"/>
      <w:bookmarkStart w:id="100" w:name="_Toc103617260"/>
      <w:bookmarkStart w:id="101" w:name="_Toc28537"/>
      <w:bookmarkStart w:id="102" w:name="_Toc103607523"/>
      <w:r>
        <w:rPr>
          <w:rFonts w:hint="eastAsia" w:eastAsia="黑体" w:cs="黑体"/>
          <w:sz w:val="32"/>
          <w:szCs w:val="32"/>
        </w:rPr>
        <w:t>七、其他需要说明的问题</w:t>
      </w:r>
      <w:bookmarkEnd w:id="98"/>
      <w:bookmarkEnd w:id="99"/>
      <w:bookmarkEnd w:id="100"/>
      <w:bookmarkEnd w:id="101"/>
      <w:bookmarkEnd w:id="102"/>
    </w:p>
    <w:p>
      <w:pPr>
        <w:spacing w:line="360" w:lineRule="auto"/>
        <w:ind w:firstLine="640" w:firstLineChars="200"/>
        <w:rPr>
          <w:rFonts w:eastAsia="仿宋_GB2312" w:cs="仿宋_GB2312"/>
          <w:sz w:val="32"/>
          <w:szCs w:val="32"/>
        </w:rPr>
      </w:pPr>
      <w:r>
        <w:rPr>
          <w:rFonts w:hint="eastAsia" w:eastAsia="仿宋_GB2312" w:cs="仿宋_GB2312"/>
          <w:sz w:val="32"/>
          <w:szCs w:val="32"/>
        </w:rPr>
        <w:t>无。</w:t>
      </w:r>
    </w:p>
    <w:p>
      <w:pPr>
        <w:spacing w:line="360" w:lineRule="auto"/>
        <w:ind w:firstLine="420" w:firstLineChars="200"/>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MS Gothic">
    <w:panose1 w:val="020B0609070205080204"/>
    <w:charset w:val="80"/>
    <w:family w:val="modern"/>
    <w:pitch w:val="default"/>
    <w:sig w:usb0="E00002FF" w:usb1="6AC7FDFB" w:usb2="00000012" w:usb3="00000000" w:csb0="4002009F" w:csb1="DFD70000"/>
  </w:font>
  <w:font w:name="方正小标宋简体">
    <w:altName w:val="Arial Unicode MS"/>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仿宋_GB2312" w:eastAsia="仿宋_GB2312"/>
        <w:sz w:val="21"/>
        <w:szCs w:val="32"/>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eastAsia" w:ascii="仿宋_GB2312" w:eastAsia="仿宋_GB2312"/>
                              <w:sz w:val="21"/>
                              <w:szCs w:val="32"/>
                            </w:rPr>
                            <w:id w:val="1308279905"/>
                          </w:sdtPr>
                          <w:sdtEndPr>
                            <w:rPr>
                              <w:rFonts w:hint="eastAsia" w:ascii="仿宋_GB2312" w:eastAsia="仿宋_GB2312"/>
                              <w:sz w:val="21"/>
                              <w:szCs w:val="32"/>
                            </w:rPr>
                          </w:sdtEndPr>
                          <w:sdtContent>
                            <w:p>
                              <w:pPr>
                                <w:pStyle w:val="8"/>
                                <w:jc w:val="center"/>
                                <w:rPr>
                                  <w:rFonts w:ascii="仿宋_GB2312" w:eastAsia="仿宋_GB2312"/>
                                  <w:sz w:val="21"/>
                                  <w:szCs w:val="32"/>
                                </w:rPr>
                              </w:pPr>
                              <w:r>
                                <w:rPr>
                                  <w:rFonts w:hint="eastAsia" w:ascii="仿宋_GB2312" w:eastAsia="仿宋_GB2312"/>
                                  <w:sz w:val="21"/>
                                  <w:szCs w:val="32"/>
                                </w:rPr>
                                <w:fldChar w:fldCharType="begin"/>
                              </w:r>
                              <w:r>
                                <w:rPr>
                                  <w:rFonts w:hint="eastAsia" w:ascii="仿宋_GB2312" w:eastAsia="仿宋_GB2312"/>
                                  <w:sz w:val="21"/>
                                  <w:szCs w:val="32"/>
                                </w:rPr>
                                <w:instrText xml:space="preserve">PAGE   \* MERGEFORMAT</w:instrText>
                              </w:r>
                              <w:r>
                                <w:rPr>
                                  <w:rFonts w:hint="eastAsia" w:ascii="仿宋_GB2312" w:eastAsia="仿宋_GB2312"/>
                                  <w:sz w:val="21"/>
                                  <w:szCs w:val="32"/>
                                </w:rPr>
                                <w:fldChar w:fldCharType="separate"/>
                              </w:r>
                              <w:r>
                                <w:rPr>
                                  <w:rFonts w:ascii="仿宋_GB2312" w:eastAsia="仿宋_GB2312"/>
                                  <w:sz w:val="21"/>
                                  <w:szCs w:val="32"/>
                                  <w:lang w:val="zh-CN"/>
                                </w:rPr>
                                <w:t>11</w:t>
                              </w:r>
                              <w:r>
                                <w:rPr>
                                  <w:rFonts w:hint="eastAsia" w:ascii="仿宋_GB2312" w:eastAsia="仿宋_GB2312"/>
                                  <w:sz w:val="21"/>
                                  <w:szCs w:val="32"/>
                                </w:rPr>
                                <w:fldChar w:fldCharType="end"/>
                              </w:r>
                            </w:p>
                          </w:sdtContent>
                        </w:sdt>
                        <w:p>
                          <w:pPr>
                            <w:pStyle w:val="1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rPr>
                        <w:rFonts w:hint="eastAsia" w:ascii="仿宋_GB2312" w:eastAsia="仿宋_GB2312"/>
                        <w:sz w:val="21"/>
                        <w:szCs w:val="32"/>
                      </w:rPr>
                      <w:id w:val="1308279905"/>
                    </w:sdtPr>
                    <w:sdtEndPr>
                      <w:rPr>
                        <w:rFonts w:hint="eastAsia" w:ascii="仿宋_GB2312" w:eastAsia="仿宋_GB2312"/>
                        <w:sz w:val="21"/>
                        <w:szCs w:val="32"/>
                      </w:rPr>
                    </w:sdtEndPr>
                    <w:sdtContent>
                      <w:p>
                        <w:pPr>
                          <w:pStyle w:val="8"/>
                          <w:jc w:val="center"/>
                          <w:rPr>
                            <w:rFonts w:ascii="仿宋_GB2312" w:eastAsia="仿宋_GB2312"/>
                            <w:sz w:val="21"/>
                            <w:szCs w:val="32"/>
                          </w:rPr>
                        </w:pPr>
                        <w:r>
                          <w:rPr>
                            <w:rFonts w:hint="eastAsia" w:ascii="仿宋_GB2312" w:eastAsia="仿宋_GB2312"/>
                            <w:sz w:val="21"/>
                            <w:szCs w:val="32"/>
                          </w:rPr>
                          <w:fldChar w:fldCharType="begin"/>
                        </w:r>
                        <w:r>
                          <w:rPr>
                            <w:rFonts w:hint="eastAsia" w:ascii="仿宋_GB2312" w:eastAsia="仿宋_GB2312"/>
                            <w:sz w:val="21"/>
                            <w:szCs w:val="32"/>
                          </w:rPr>
                          <w:instrText xml:space="preserve">PAGE   \* MERGEFORMAT</w:instrText>
                        </w:r>
                        <w:r>
                          <w:rPr>
                            <w:rFonts w:hint="eastAsia" w:ascii="仿宋_GB2312" w:eastAsia="仿宋_GB2312"/>
                            <w:sz w:val="21"/>
                            <w:szCs w:val="32"/>
                          </w:rPr>
                          <w:fldChar w:fldCharType="separate"/>
                        </w:r>
                        <w:r>
                          <w:rPr>
                            <w:rFonts w:ascii="仿宋_GB2312" w:eastAsia="仿宋_GB2312"/>
                            <w:sz w:val="21"/>
                            <w:szCs w:val="32"/>
                            <w:lang w:val="zh-CN"/>
                          </w:rPr>
                          <w:t>11</w:t>
                        </w:r>
                        <w:r>
                          <w:rPr>
                            <w:rFonts w:hint="eastAsia" w:ascii="仿宋_GB2312" w:eastAsia="仿宋_GB2312"/>
                            <w:sz w:val="21"/>
                            <w:szCs w:val="32"/>
                          </w:rPr>
                          <w:fldChar w:fldCharType="end"/>
                        </w:r>
                      </w:p>
                    </w:sdtContent>
                  </w:sdt>
                  <w:p>
                    <w:pPr>
                      <w:pStyle w:val="12"/>
                    </w:pPr>
                  </w:p>
                </w:txbxContent>
              </v:textbox>
            </v:shape>
          </w:pict>
        </mc:Fallback>
      </mc:AlternateContent>
    </w:r>
  </w:p>
  <w:p>
    <w:pPr>
      <w:pStyle w:val="8"/>
      <w:rPr>
        <w:rFonts w:ascii="仿宋_GB2312" w:eastAsia="仿宋_GB2312"/>
        <w:sz w:val="21"/>
        <w:szCs w:val="3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59902B"/>
    <w:multiLevelType w:val="singleLevel"/>
    <w:tmpl w:val="F159902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2OGQyMTg1YjM1NTdmMjVjZGMwYWVlYWM2ZWI3YzkifQ=="/>
  </w:docVars>
  <w:rsids>
    <w:rsidRoot w:val="4A453A6A"/>
    <w:rsid w:val="000177BE"/>
    <w:rsid w:val="00020660"/>
    <w:rsid w:val="00024297"/>
    <w:rsid w:val="00030E14"/>
    <w:rsid w:val="0003279C"/>
    <w:rsid w:val="000352D2"/>
    <w:rsid w:val="00041E99"/>
    <w:rsid w:val="00044C80"/>
    <w:rsid w:val="0007092E"/>
    <w:rsid w:val="00075028"/>
    <w:rsid w:val="00075466"/>
    <w:rsid w:val="00085524"/>
    <w:rsid w:val="0008566B"/>
    <w:rsid w:val="00085A1E"/>
    <w:rsid w:val="00087D69"/>
    <w:rsid w:val="000D5216"/>
    <w:rsid w:val="000E0186"/>
    <w:rsid w:val="000E2950"/>
    <w:rsid w:val="000E553E"/>
    <w:rsid w:val="000E6C6A"/>
    <w:rsid w:val="0010163C"/>
    <w:rsid w:val="00103635"/>
    <w:rsid w:val="0010488B"/>
    <w:rsid w:val="00105366"/>
    <w:rsid w:val="00110077"/>
    <w:rsid w:val="001107E9"/>
    <w:rsid w:val="00116879"/>
    <w:rsid w:val="0012093A"/>
    <w:rsid w:val="00141D4C"/>
    <w:rsid w:val="00146FC0"/>
    <w:rsid w:val="00151162"/>
    <w:rsid w:val="00151226"/>
    <w:rsid w:val="0015794A"/>
    <w:rsid w:val="001664F8"/>
    <w:rsid w:val="001740F2"/>
    <w:rsid w:val="00176D65"/>
    <w:rsid w:val="001813C0"/>
    <w:rsid w:val="0018198E"/>
    <w:rsid w:val="00184629"/>
    <w:rsid w:val="001A4E0C"/>
    <w:rsid w:val="001A668B"/>
    <w:rsid w:val="001B0FC8"/>
    <w:rsid w:val="001B3D89"/>
    <w:rsid w:val="001C14AC"/>
    <w:rsid w:val="001E2820"/>
    <w:rsid w:val="001E410A"/>
    <w:rsid w:val="0020733D"/>
    <w:rsid w:val="00225378"/>
    <w:rsid w:val="00237AE4"/>
    <w:rsid w:val="00245FE3"/>
    <w:rsid w:val="00257D0B"/>
    <w:rsid w:val="00262E83"/>
    <w:rsid w:val="00263A52"/>
    <w:rsid w:val="00263C82"/>
    <w:rsid w:val="002678ED"/>
    <w:rsid w:val="002766A0"/>
    <w:rsid w:val="0027734B"/>
    <w:rsid w:val="002A3402"/>
    <w:rsid w:val="002B7D4E"/>
    <w:rsid w:val="002C165A"/>
    <w:rsid w:val="002C3FCA"/>
    <w:rsid w:val="002D77F4"/>
    <w:rsid w:val="002E07FD"/>
    <w:rsid w:val="002E2CEE"/>
    <w:rsid w:val="002E474B"/>
    <w:rsid w:val="002E6584"/>
    <w:rsid w:val="002F5C8D"/>
    <w:rsid w:val="00300EAF"/>
    <w:rsid w:val="00303337"/>
    <w:rsid w:val="00317510"/>
    <w:rsid w:val="003176FA"/>
    <w:rsid w:val="00325383"/>
    <w:rsid w:val="00325C29"/>
    <w:rsid w:val="0033636A"/>
    <w:rsid w:val="00340A15"/>
    <w:rsid w:val="00344F28"/>
    <w:rsid w:val="00350796"/>
    <w:rsid w:val="003514BC"/>
    <w:rsid w:val="00360C8D"/>
    <w:rsid w:val="00371957"/>
    <w:rsid w:val="00392E41"/>
    <w:rsid w:val="003A11AA"/>
    <w:rsid w:val="003B28A5"/>
    <w:rsid w:val="003B5D76"/>
    <w:rsid w:val="003C3F0B"/>
    <w:rsid w:val="003C6D18"/>
    <w:rsid w:val="003D09EB"/>
    <w:rsid w:val="003D1456"/>
    <w:rsid w:val="003D154D"/>
    <w:rsid w:val="003E2393"/>
    <w:rsid w:val="003E4431"/>
    <w:rsid w:val="003F35BF"/>
    <w:rsid w:val="0040160D"/>
    <w:rsid w:val="00401869"/>
    <w:rsid w:val="004022C6"/>
    <w:rsid w:val="00412FCE"/>
    <w:rsid w:val="00430C10"/>
    <w:rsid w:val="00431E01"/>
    <w:rsid w:val="004438A1"/>
    <w:rsid w:val="004469AF"/>
    <w:rsid w:val="0046392E"/>
    <w:rsid w:val="0047352C"/>
    <w:rsid w:val="00482BFB"/>
    <w:rsid w:val="00485F7C"/>
    <w:rsid w:val="00487C1B"/>
    <w:rsid w:val="004919C5"/>
    <w:rsid w:val="00494B66"/>
    <w:rsid w:val="004A7C64"/>
    <w:rsid w:val="004B52C2"/>
    <w:rsid w:val="004C04BE"/>
    <w:rsid w:val="004D1018"/>
    <w:rsid w:val="004D5EF0"/>
    <w:rsid w:val="004E21BB"/>
    <w:rsid w:val="00510D34"/>
    <w:rsid w:val="0051542A"/>
    <w:rsid w:val="00516299"/>
    <w:rsid w:val="00517EDB"/>
    <w:rsid w:val="005256BF"/>
    <w:rsid w:val="00530C7C"/>
    <w:rsid w:val="00534AB5"/>
    <w:rsid w:val="00543382"/>
    <w:rsid w:val="00543E17"/>
    <w:rsid w:val="00545636"/>
    <w:rsid w:val="00553F7B"/>
    <w:rsid w:val="005561CE"/>
    <w:rsid w:val="005565DC"/>
    <w:rsid w:val="00556F3B"/>
    <w:rsid w:val="0056609A"/>
    <w:rsid w:val="005768F8"/>
    <w:rsid w:val="00580AE7"/>
    <w:rsid w:val="00585F63"/>
    <w:rsid w:val="00597DB2"/>
    <w:rsid w:val="005B09AD"/>
    <w:rsid w:val="005B2C87"/>
    <w:rsid w:val="005B7974"/>
    <w:rsid w:val="005C1362"/>
    <w:rsid w:val="005C3123"/>
    <w:rsid w:val="005C6B49"/>
    <w:rsid w:val="005C77AB"/>
    <w:rsid w:val="005E0ADF"/>
    <w:rsid w:val="005E496C"/>
    <w:rsid w:val="005F3032"/>
    <w:rsid w:val="005F6D7A"/>
    <w:rsid w:val="0060108E"/>
    <w:rsid w:val="006034E4"/>
    <w:rsid w:val="006044A1"/>
    <w:rsid w:val="00616363"/>
    <w:rsid w:val="00617110"/>
    <w:rsid w:val="006202D9"/>
    <w:rsid w:val="00633898"/>
    <w:rsid w:val="00644159"/>
    <w:rsid w:val="006502F1"/>
    <w:rsid w:val="006531D8"/>
    <w:rsid w:val="0066604F"/>
    <w:rsid w:val="0067208B"/>
    <w:rsid w:val="00676438"/>
    <w:rsid w:val="00682398"/>
    <w:rsid w:val="00683F8B"/>
    <w:rsid w:val="00684506"/>
    <w:rsid w:val="006A40CB"/>
    <w:rsid w:val="006A6A37"/>
    <w:rsid w:val="006B316F"/>
    <w:rsid w:val="006C2DFE"/>
    <w:rsid w:val="006C4BE5"/>
    <w:rsid w:val="006C4CC8"/>
    <w:rsid w:val="006D7B4E"/>
    <w:rsid w:val="006E56B7"/>
    <w:rsid w:val="006E6CF9"/>
    <w:rsid w:val="006F31EF"/>
    <w:rsid w:val="007005BB"/>
    <w:rsid w:val="007011EA"/>
    <w:rsid w:val="00704E5F"/>
    <w:rsid w:val="0073277A"/>
    <w:rsid w:val="007407FD"/>
    <w:rsid w:val="007444CC"/>
    <w:rsid w:val="00755463"/>
    <w:rsid w:val="00755B0D"/>
    <w:rsid w:val="00757CBE"/>
    <w:rsid w:val="00760DF0"/>
    <w:rsid w:val="00777A5B"/>
    <w:rsid w:val="00781BEC"/>
    <w:rsid w:val="00784563"/>
    <w:rsid w:val="007A0B22"/>
    <w:rsid w:val="007A0BA1"/>
    <w:rsid w:val="007A1672"/>
    <w:rsid w:val="007A1F29"/>
    <w:rsid w:val="007A6CB9"/>
    <w:rsid w:val="007A6CCB"/>
    <w:rsid w:val="007B0E82"/>
    <w:rsid w:val="007B208A"/>
    <w:rsid w:val="007B40C2"/>
    <w:rsid w:val="007B7570"/>
    <w:rsid w:val="007C07B9"/>
    <w:rsid w:val="007D0079"/>
    <w:rsid w:val="007D36BC"/>
    <w:rsid w:val="007F3A58"/>
    <w:rsid w:val="00823E75"/>
    <w:rsid w:val="0082582C"/>
    <w:rsid w:val="00827C3D"/>
    <w:rsid w:val="008325A1"/>
    <w:rsid w:val="00841D9F"/>
    <w:rsid w:val="00852F4B"/>
    <w:rsid w:val="0085317E"/>
    <w:rsid w:val="00856442"/>
    <w:rsid w:val="008715F4"/>
    <w:rsid w:val="00874962"/>
    <w:rsid w:val="00876FBD"/>
    <w:rsid w:val="008A5D30"/>
    <w:rsid w:val="008B24C6"/>
    <w:rsid w:val="008B2976"/>
    <w:rsid w:val="008B4819"/>
    <w:rsid w:val="008B55D4"/>
    <w:rsid w:val="008D138C"/>
    <w:rsid w:val="008D173A"/>
    <w:rsid w:val="008D3531"/>
    <w:rsid w:val="008E5A5F"/>
    <w:rsid w:val="008F7C9A"/>
    <w:rsid w:val="00901044"/>
    <w:rsid w:val="00902091"/>
    <w:rsid w:val="00911E56"/>
    <w:rsid w:val="009177A6"/>
    <w:rsid w:val="00917C61"/>
    <w:rsid w:val="009228FA"/>
    <w:rsid w:val="00944F93"/>
    <w:rsid w:val="00951453"/>
    <w:rsid w:val="00994513"/>
    <w:rsid w:val="009B07AC"/>
    <w:rsid w:val="009C6008"/>
    <w:rsid w:val="009D014D"/>
    <w:rsid w:val="009D0BCA"/>
    <w:rsid w:val="009E074F"/>
    <w:rsid w:val="009E2D36"/>
    <w:rsid w:val="009F52EB"/>
    <w:rsid w:val="00A16BC6"/>
    <w:rsid w:val="00A212E8"/>
    <w:rsid w:val="00A449AB"/>
    <w:rsid w:val="00A460FB"/>
    <w:rsid w:val="00A66BC1"/>
    <w:rsid w:val="00A73368"/>
    <w:rsid w:val="00A744B5"/>
    <w:rsid w:val="00A85F87"/>
    <w:rsid w:val="00A91F17"/>
    <w:rsid w:val="00A96437"/>
    <w:rsid w:val="00AC3B23"/>
    <w:rsid w:val="00AC5EE7"/>
    <w:rsid w:val="00AE7B57"/>
    <w:rsid w:val="00AF68FE"/>
    <w:rsid w:val="00B00596"/>
    <w:rsid w:val="00B11808"/>
    <w:rsid w:val="00B270BA"/>
    <w:rsid w:val="00B406DB"/>
    <w:rsid w:val="00B41844"/>
    <w:rsid w:val="00B454C2"/>
    <w:rsid w:val="00B53F7C"/>
    <w:rsid w:val="00B57BAF"/>
    <w:rsid w:val="00B638FD"/>
    <w:rsid w:val="00B72D30"/>
    <w:rsid w:val="00B82415"/>
    <w:rsid w:val="00B83D31"/>
    <w:rsid w:val="00B9687A"/>
    <w:rsid w:val="00BA1EE0"/>
    <w:rsid w:val="00BA7191"/>
    <w:rsid w:val="00BB023F"/>
    <w:rsid w:val="00BB3D4F"/>
    <w:rsid w:val="00BC7B1C"/>
    <w:rsid w:val="00BD13AE"/>
    <w:rsid w:val="00BD6F65"/>
    <w:rsid w:val="00BE023D"/>
    <w:rsid w:val="00BE07B7"/>
    <w:rsid w:val="00BE259A"/>
    <w:rsid w:val="00C05CC9"/>
    <w:rsid w:val="00C05EB7"/>
    <w:rsid w:val="00C07D10"/>
    <w:rsid w:val="00C102A0"/>
    <w:rsid w:val="00C22E54"/>
    <w:rsid w:val="00C23636"/>
    <w:rsid w:val="00C2585E"/>
    <w:rsid w:val="00C34E4D"/>
    <w:rsid w:val="00C40BB5"/>
    <w:rsid w:val="00C418EF"/>
    <w:rsid w:val="00C558E1"/>
    <w:rsid w:val="00C66991"/>
    <w:rsid w:val="00C71092"/>
    <w:rsid w:val="00C714DF"/>
    <w:rsid w:val="00C82708"/>
    <w:rsid w:val="00C82732"/>
    <w:rsid w:val="00C83399"/>
    <w:rsid w:val="00C86052"/>
    <w:rsid w:val="00C90749"/>
    <w:rsid w:val="00C90ABA"/>
    <w:rsid w:val="00C916D4"/>
    <w:rsid w:val="00C93BAB"/>
    <w:rsid w:val="00C944D0"/>
    <w:rsid w:val="00CA0CBD"/>
    <w:rsid w:val="00CA1E9D"/>
    <w:rsid w:val="00CC0C96"/>
    <w:rsid w:val="00CC2B78"/>
    <w:rsid w:val="00CC340A"/>
    <w:rsid w:val="00CD5AF6"/>
    <w:rsid w:val="00CE2E07"/>
    <w:rsid w:val="00CE5B21"/>
    <w:rsid w:val="00CF1A5F"/>
    <w:rsid w:val="00CF72F5"/>
    <w:rsid w:val="00D02ADA"/>
    <w:rsid w:val="00D11543"/>
    <w:rsid w:val="00D1396F"/>
    <w:rsid w:val="00D3636A"/>
    <w:rsid w:val="00D53CCF"/>
    <w:rsid w:val="00D60711"/>
    <w:rsid w:val="00D67D05"/>
    <w:rsid w:val="00D70EAC"/>
    <w:rsid w:val="00D71FBE"/>
    <w:rsid w:val="00D762B0"/>
    <w:rsid w:val="00D77C1C"/>
    <w:rsid w:val="00D83221"/>
    <w:rsid w:val="00D9233B"/>
    <w:rsid w:val="00D94D7F"/>
    <w:rsid w:val="00D95F6A"/>
    <w:rsid w:val="00D964D2"/>
    <w:rsid w:val="00DB183E"/>
    <w:rsid w:val="00DB1E05"/>
    <w:rsid w:val="00DC269A"/>
    <w:rsid w:val="00DE11A1"/>
    <w:rsid w:val="00DE1794"/>
    <w:rsid w:val="00DE2A41"/>
    <w:rsid w:val="00DF0584"/>
    <w:rsid w:val="00DF5264"/>
    <w:rsid w:val="00E06A00"/>
    <w:rsid w:val="00E06B62"/>
    <w:rsid w:val="00E33874"/>
    <w:rsid w:val="00E34854"/>
    <w:rsid w:val="00E35FCF"/>
    <w:rsid w:val="00E41E77"/>
    <w:rsid w:val="00E4439B"/>
    <w:rsid w:val="00E56461"/>
    <w:rsid w:val="00E57E7B"/>
    <w:rsid w:val="00E63A28"/>
    <w:rsid w:val="00E642D7"/>
    <w:rsid w:val="00E65630"/>
    <w:rsid w:val="00E73C24"/>
    <w:rsid w:val="00E82CBF"/>
    <w:rsid w:val="00E83550"/>
    <w:rsid w:val="00E90D9A"/>
    <w:rsid w:val="00E90F78"/>
    <w:rsid w:val="00EA058C"/>
    <w:rsid w:val="00EB0DDD"/>
    <w:rsid w:val="00EB374B"/>
    <w:rsid w:val="00EB540C"/>
    <w:rsid w:val="00ED6C2B"/>
    <w:rsid w:val="00ED7E23"/>
    <w:rsid w:val="00EE0668"/>
    <w:rsid w:val="00EE1831"/>
    <w:rsid w:val="00EF336F"/>
    <w:rsid w:val="00F17DD9"/>
    <w:rsid w:val="00F200D5"/>
    <w:rsid w:val="00F623CB"/>
    <w:rsid w:val="00F74C76"/>
    <w:rsid w:val="00F82FDE"/>
    <w:rsid w:val="00F92385"/>
    <w:rsid w:val="00F94C92"/>
    <w:rsid w:val="00F94F69"/>
    <w:rsid w:val="00FA2A0C"/>
    <w:rsid w:val="00FA645A"/>
    <w:rsid w:val="00FB47F0"/>
    <w:rsid w:val="00FD23DF"/>
    <w:rsid w:val="00FD6330"/>
    <w:rsid w:val="00FD6B89"/>
    <w:rsid w:val="00FE172C"/>
    <w:rsid w:val="00FF1819"/>
    <w:rsid w:val="00FF4D8C"/>
    <w:rsid w:val="014D4677"/>
    <w:rsid w:val="0150037C"/>
    <w:rsid w:val="015974C0"/>
    <w:rsid w:val="015A3F9A"/>
    <w:rsid w:val="0169012A"/>
    <w:rsid w:val="0178479E"/>
    <w:rsid w:val="018B1DB6"/>
    <w:rsid w:val="01E925F2"/>
    <w:rsid w:val="02041E86"/>
    <w:rsid w:val="020B6A0C"/>
    <w:rsid w:val="02124B9D"/>
    <w:rsid w:val="021A27AB"/>
    <w:rsid w:val="022E44A8"/>
    <w:rsid w:val="02661AF4"/>
    <w:rsid w:val="027520D7"/>
    <w:rsid w:val="028B36A9"/>
    <w:rsid w:val="02C941D1"/>
    <w:rsid w:val="02DC5CB3"/>
    <w:rsid w:val="02E40DDC"/>
    <w:rsid w:val="02F56D74"/>
    <w:rsid w:val="02F76877"/>
    <w:rsid w:val="03106D5C"/>
    <w:rsid w:val="032B1BE2"/>
    <w:rsid w:val="034D4115"/>
    <w:rsid w:val="039719B4"/>
    <w:rsid w:val="03A10CAA"/>
    <w:rsid w:val="03C124A1"/>
    <w:rsid w:val="03C7660C"/>
    <w:rsid w:val="03CA1521"/>
    <w:rsid w:val="03CD1A9F"/>
    <w:rsid w:val="03D177E1"/>
    <w:rsid w:val="03FB255B"/>
    <w:rsid w:val="042B667D"/>
    <w:rsid w:val="042E5C2A"/>
    <w:rsid w:val="044C330C"/>
    <w:rsid w:val="0452115D"/>
    <w:rsid w:val="04956A61"/>
    <w:rsid w:val="04AA38DD"/>
    <w:rsid w:val="04B05649"/>
    <w:rsid w:val="04BB5025"/>
    <w:rsid w:val="04E37FCB"/>
    <w:rsid w:val="05673499"/>
    <w:rsid w:val="05687CD1"/>
    <w:rsid w:val="056E762C"/>
    <w:rsid w:val="057E4E04"/>
    <w:rsid w:val="05B253F0"/>
    <w:rsid w:val="05C21607"/>
    <w:rsid w:val="05D64307"/>
    <w:rsid w:val="05DE3D91"/>
    <w:rsid w:val="05ED1BE1"/>
    <w:rsid w:val="05FB28F4"/>
    <w:rsid w:val="060F3C66"/>
    <w:rsid w:val="06323AB9"/>
    <w:rsid w:val="063F6C84"/>
    <w:rsid w:val="06417C35"/>
    <w:rsid w:val="06732DD2"/>
    <w:rsid w:val="06784175"/>
    <w:rsid w:val="06952D48"/>
    <w:rsid w:val="0696261C"/>
    <w:rsid w:val="07344F4E"/>
    <w:rsid w:val="078A519F"/>
    <w:rsid w:val="079C1EB4"/>
    <w:rsid w:val="07B62F76"/>
    <w:rsid w:val="07C558FB"/>
    <w:rsid w:val="07CF31BA"/>
    <w:rsid w:val="08687FE8"/>
    <w:rsid w:val="08AF1853"/>
    <w:rsid w:val="08C416C3"/>
    <w:rsid w:val="08C94F2B"/>
    <w:rsid w:val="08DF426D"/>
    <w:rsid w:val="08F825C1"/>
    <w:rsid w:val="09520F25"/>
    <w:rsid w:val="096B4234"/>
    <w:rsid w:val="097430E9"/>
    <w:rsid w:val="098D487D"/>
    <w:rsid w:val="09C86F91"/>
    <w:rsid w:val="09DE6C5B"/>
    <w:rsid w:val="09E673F1"/>
    <w:rsid w:val="09FC4E8C"/>
    <w:rsid w:val="0A017EE2"/>
    <w:rsid w:val="0A0C2DE3"/>
    <w:rsid w:val="0A112909"/>
    <w:rsid w:val="0A2166A1"/>
    <w:rsid w:val="0A2A41B5"/>
    <w:rsid w:val="0A570314"/>
    <w:rsid w:val="0AE0655C"/>
    <w:rsid w:val="0AE222D4"/>
    <w:rsid w:val="0AEE2A27"/>
    <w:rsid w:val="0B17265F"/>
    <w:rsid w:val="0B1C3A38"/>
    <w:rsid w:val="0B81354D"/>
    <w:rsid w:val="0B941820"/>
    <w:rsid w:val="0B955598"/>
    <w:rsid w:val="0B9D34DE"/>
    <w:rsid w:val="0BA56877"/>
    <w:rsid w:val="0BA80E28"/>
    <w:rsid w:val="0BA852CC"/>
    <w:rsid w:val="0BCF1CCD"/>
    <w:rsid w:val="0BF57DE5"/>
    <w:rsid w:val="0BF7590B"/>
    <w:rsid w:val="0C2230A5"/>
    <w:rsid w:val="0C282741"/>
    <w:rsid w:val="0C3B25B0"/>
    <w:rsid w:val="0C6460E3"/>
    <w:rsid w:val="0C692CAD"/>
    <w:rsid w:val="0C8E3E24"/>
    <w:rsid w:val="0CAA6AC8"/>
    <w:rsid w:val="0CFA3905"/>
    <w:rsid w:val="0D10137A"/>
    <w:rsid w:val="0D35136C"/>
    <w:rsid w:val="0D5F5804"/>
    <w:rsid w:val="0D613984"/>
    <w:rsid w:val="0D7731A8"/>
    <w:rsid w:val="0D8713A0"/>
    <w:rsid w:val="0DA86E7F"/>
    <w:rsid w:val="0DB97A66"/>
    <w:rsid w:val="0DF87286"/>
    <w:rsid w:val="0E06678C"/>
    <w:rsid w:val="0E0D54B2"/>
    <w:rsid w:val="0E6059EA"/>
    <w:rsid w:val="0EAE0E4B"/>
    <w:rsid w:val="0EB6385C"/>
    <w:rsid w:val="0EC35F79"/>
    <w:rsid w:val="0EFF2037"/>
    <w:rsid w:val="0F0C0BB0"/>
    <w:rsid w:val="0F256C33"/>
    <w:rsid w:val="0F7C1964"/>
    <w:rsid w:val="0FCD5369"/>
    <w:rsid w:val="0FE12B5A"/>
    <w:rsid w:val="0FFC7994"/>
    <w:rsid w:val="10067DA9"/>
    <w:rsid w:val="101500B9"/>
    <w:rsid w:val="105E064F"/>
    <w:rsid w:val="108856CC"/>
    <w:rsid w:val="10A976E1"/>
    <w:rsid w:val="10AD5132"/>
    <w:rsid w:val="1122342A"/>
    <w:rsid w:val="112B2627"/>
    <w:rsid w:val="1177228A"/>
    <w:rsid w:val="11901453"/>
    <w:rsid w:val="11AA2EC4"/>
    <w:rsid w:val="11AA463D"/>
    <w:rsid w:val="11CC003C"/>
    <w:rsid w:val="12437AFC"/>
    <w:rsid w:val="128B14A3"/>
    <w:rsid w:val="12966B9C"/>
    <w:rsid w:val="129E4D32"/>
    <w:rsid w:val="12C624DB"/>
    <w:rsid w:val="12E666D9"/>
    <w:rsid w:val="13113756"/>
    <w:rsid w:val="137B7E18"/>
    <w:rsid w:val="138A3509"/>
    <w:rsid w:val="13B50586"/>
    <w:rsid w:val="13BF175D"/>
    <w:rsid w:val="13CF7EF4"/>
    <w:rsid w:val="13EA56DA"/>
    <w:rsid w:val="13FB219E"/>
    <w:rsid w:val="14223741"/>
    <w:rsid w:val="145234F5"/>
    <w:rsid w:val="14755F67"/>
    <w:rsid w:val="14DE6331"/>
    <w:rsid w:val="14EA1CE0"/>
    <w:rsid w:val="15082937"/>
    <w:rsid w:val="150D619F"/>
    <w:rsid w:val="15323E58"/>
    <w:rsid w:val="154716B1"/>
    <w:rsid w:val="156F4282"/>
    <w:rsid w:val="16021A7C"/>
    <w:rsid w:val="16571DC8"/>
    <w:rsid w:val="1686445B"/>
    <w:rsid w:val="16BD380F"/>
    <w:rsid w:val="16DE0A1B"/>
    <w:rsid w:val="172A4DE7"/>
    <w:rsid w:val="17306175"/>
    <w:rsid w:val="175D5FCB"/>
    <w:rsid w:val="175E0F34"/>
    <w:rsid w:val="17A74689"/>
    <w:rsid w:val="17D06B76"/>
    <w:rsid w:val="17E07B9B"/>
    <w:rsid w:val="18075128"/>
    <w:rsid w:val="182201B4"/>
    <w:rsid w:val="18240ACE"/>
    <w:rsid w:val="182F10F1"/>
    <w:rsid w:val="184C3483"/>
    <w:rsid w:val="18622CA6"/>
    <w:rsid w:val="18890233"/>
    <w:rsid w:val="189035C4"/>
    <w:rsid w:val="18A65CAE"/>
    <w:rsid w:val="18A97ABB"/>
    <w:rsid w:val="18C354F3"/>
    <w:rsid w:val="18F35047"/>
    <w:rsid w:val="18FF61CE"/>
    <w:rsid w:val="19140DE8"/>
    <w:rsid w:val="19510942"/>
    <w:rsid w:val="19614D0C"/>
    <w:rsid w:val="19E15BCC"/>
    <w:rsid w:val="1A5D3284"/>
    <w:rsid w:val="1A6C511E"/>
    <w:rsid w:val="1A6E31BC"/>
    <w:rsid w:val="1A79617E"/>
    <w:rsid w:val="1AE804C3"/>
    <w:rsid w:val="1B0B373B"/>
    <w:rsid w:val="1B0D627B"/>
    <w:rsid w:val="1B1026EE"/>
    <w:rsid w:val="1B64092F"/>
    <w:rsid w:val="1BBD3455"/>
    <w:rsid w:val="1BDD1E44"/>
    <w:rsid w:val="1BE3639A"/>
    <w:rsid w:val="1BEB76BF"/>
    <w:rsid w:val="1BEC6B0F"/>
    <w:rsid w:val="1BFA6898"/>
    <w:rsid w:val="1C0D3B4C"/>
    <w:rsid w:val="1C202C5C"/>
    <w:rsid w:val="1C4032FE"/>
    <w:rsid w:val="1C9A0C60"/>
    <w:rsid w:val="1C9F1DD3"/>
    <w:rsid w:val="1CA05B4B"/>
    <w:rsid w:val="1CA643DD"/>
    <w:rsid w:val="1CE400FC"/>
    <w:rsid w:val="1CF77E61"/>
    <w:rsid w:val="1E05210A"/>
    <w:rsid w:val="1E0A3CCF"/>
    <w:rsid w:val="1E2E78B2"/>
    <w:rsid w:val="1E8659A4"/>
    <w:rsid w:val="1E9A6CF6"/>
    <w:rsid w:val="1EA246D6"/>
    <w:rsid w:val="1EE26A73"/>
    <w:rsid w:val="1EE833D9"/>
    <w:rsid w:val="1F01504A"/>
    <w:rsid w:val="1F1D3483"/>
    <w:rsid w:val="1FBFD96B"/>
    <w:rsid w:val="20474C5B"/>
    <w:rsid w:val="2052328B"/>
    <w:rsid w:val="20547378"/>
    <w:rsid w:val="205D0A17"/>
    <w:rsid w:val="206D38D3"/>
    <w:rsid w:val="20C0056A"/>
    <w:rsid w:val="20FB2DA9"/>
    <w:rsid w:val="20FF3852"/>
    <w:rsid w:val="21843C8D"/>
    <w:rsid w:val="21EC1ECE"/>
    <w:rsid w:val="220B567F"/>
    <w:rsid w:val="222712DA"/>
    <w:rsid w:val="22603DF1"/>
    <w:rsid w:val="22981C8A"/>
    <w:rsid w:val="22E37E01"/>
    <w:rsid w:val="237D3DBF"/>
    <w:rsid w:val="23930B42"/>
    <w:rsid w:val="23955CDE"/>
    <w:rsid w:val="239D3092"/>
    <w:rsid w:val="2406098A"/>
    <w:rsid w:val="242A61B2"/>
    <w:rsid w:val="243A0633"/>
    <w:rsid w:val="244563C3"/>
    <w:rsid w:val="244C093B"/>
    <w:rsid w:val="246275DF"/>
    <w:rsid w:val="247D2B40"/>
    <w:rsid w:val="247F2B3F"/>
    <w:rsid w:val="24B92A42"/>
    <w:rsid w:val="24BE1264"/>
    <w:rsid w:val="24D32F62"/>
    <w:rsid w:val="24EE1B49"/>
    <w:rsid w:val="24F813F1"/>
    <w:rsid w:val="25200CDF"/>
    <w:rsid w:val="2527505B"/>
    <w:rsid w:val="254258B0"/>
    <w:rsid w:val="254F1BF2"/>
    <w:rsid w:val="25F3132A"/>
    <w:rsid w:val="26040EF9"/>
    <w:rsid w:val="265B34B9"/>
    <w:rsid w:val="2675601E"/>
    <w:rsid w:val="26C3256A"/>
    <w:rsid w:val="26DE174A"/>
    <w:rsid w:val="27123BEA"/>
    <w:rsid w:val="271B0BF0"/>
    <w:rsid w:val="271F38F2"/>
    <w:rsid w:val="27C22139"/>
    <w:rsid w:val="27CD2E28"/>
    <w:rsid w:val="27CF42F6"/>
    <w:rsid w:val="27FC155E"/>
    <w:rsid w:val="283A107E"/>
    <w:rsid w:val="28423E20"/>
    <w:rsid w:val="284877C3"/>
    <w:rsid w:val="287E41D6"/>
    <w:rsid w:val="28995281"/>
    <w:rsid w:val="28C332ED"/>
    <w:rsid w:val="28FE73D4"/>
    <w:rsid w:val="290C1785"/>
    <w:rsid w:val="29471828"/>
    <w:rsid w:val="29902D19"/>
    <w:rsid w:val="29A44ECD"/>
    <w:rsid w:val="29AE7AF9"/>
    <w:rsid w:val="29AF302F"/>
    <w:rsid w:val="29CA2F80"/>
    <w:rsid w:val="29CF181E"/>
    <w:rsid w:val="2A074EAA"/>
    <w:rsid w:val="2A1F09F7"/>
    <w:rsid w:val="2A4D26D8"/>
    <w:rsid w:val="2A750617"/>
    <w:rsid w:val="2A7F3244"/>
    <w:rsid w:val="2A906CB5"/>
    <w:rsid w:val="2AAA6513"/>
    <w:rsid w:val="2AD92954"/>
    <w:rsid w:val="2AD93717"/>
    <w:rsid w:val="2AEF1115"/>
    <w:rsid w:val="2B9542EA"/>
    <w:rsid w:val="2BB72FFF"/>
    <w:rsid w:val="2BC843CA"/>
    <w:rsid w:val="2C0C4FAB"/>
    <w:rsid w:val="2C3C763E"/>
    <w:rsid w:val="2C5518F5"/>
    <w:rsid w:val="2C714E0E"/>
    <w:rsid w:val="2CC17540"/>
    <w:rsid w:val="2CD20100"/>
    <w:rsid w:val="2CDE06F5"/>
    <w:rsid w:val="2CEA6499"/>
    <w:rsid w:val="2D0634AE"/>
    <w:rsid w:val="2D26209C"/>
    <w:rsid w:val="2D3C541C"/>
    <w:rsid w:val="2D4010AF"/>
    <w:rsid w:val="2D4D7629"/>
    <w:rsid w:val="2D90027A"/>
    <w:rsid w:val="2D9F18F3"/>
    <w:rsid w:val="2DBD3FAC"/>
    <w:rsid w:val="2DFFE28F"/>
    <w:rsid w:val="2E7110F5"/>
    <w:rsid w:val="2EC662EF"/>
    <w:rsid w:val="2ED61362"/>
    <w:rsid w:val="2EEF7756"/>
    <w:rsid w:val="2F535605"/>
    <w:rsid w:val="2F561AA3"/>
    <w:rsid w:val="2F7047E3"/>
    <w:rsid w:val="2FA554FB"/>
    <w:rsid w:val="2FEFC904"/>
    <w:rsid w:val="2FFF8F59"/>
    <w:rsid w:val="301E705B"/>
    <w:rsid w:val="30AA52D6"/>
    <w:rsid w:val="30C43B48"/>
    <w:rsid w:val="31233144"/>
    <w:rsid w:val="31532D34"/>
    <w:rsid w:val="31534F2E"/>
    <w:rsid w:val="31570A76"/>
    <w:rsid w:val="31774A03"/>
    <w:rsid w:val="31C4438F"/>
    <w:rsid w:val="31CD0D39"/>
    <w:rsid w:val="320C346C"/>
    <w:rsid w:val="324447F4"/>
    <w:rsid w:val="32786B1F"/>
    <w:rsid w:val="32EB3B6C"/>
    <w:rsid w:val="3317670F"/>
    <w:rsid w:val="331D7A9E"/>
    <w:rsid w:val="332143CC"/>
    <w:rsid w:val="33A3446E"/>
    <w:rsid w:val="33DD0306"/>
    <w:rsid w:val="33EBE2A6"/>
    <w:rsid w:val="3422353D"/>
    <w:rsid w:val="344460F2"/>
    <w:rsid w:val="345025F1"/>
    <w:rsid w:val="3473547C"/>
    <w:rsid w:val="34DB05E5"/>
    <w:rsid w:val="34E02B31"/>
    <w:rsid w:val="34E31B01"/>
    <w:rsid w:val="350D491F"/>
    <w:rsid w:val="356674DA"/>
    <w:rsid w:val="35EA010B"/>
    <w:rsid w:val="35EA1E4C"/>
    <w:rsid w:val="365607BB"/>
    <w:rsid w:val="36595A3B"/>
    <w:rsid w:val="37136525"/>
    <w:rsid w:val="37680EA8"/>
    <w:rsid w:val="376C4B50"/>
    <w:rsid w:val="378846EB"/>
    <w:rsid w:val="37A10C9D"/>
    <w:rsid w:val="37A246BB"/>
    <w:rsid w:val="37A85AD7"/>
    <w:rsid w:val="37CE54B5"/>
    <w:rsid w:val="37F93369"/>
    <w:rsid w:val="383733B0"/>
    <w:rsid w:val="38402264"/>
    <w:rsid w:val="38593326"/>
    <w:rsid w:val="386808FA"/>
    <w:rsid w:val="386A72B2"/>
    <w:rsid w:val="38934A8A"/>
    <w:rsid w:val="38A41C10"/>
    <w:rsid w:val="38EB61B6"/>
    <w:rsid w:val="38EC419A"/>
    <w:rsid w:val="39363667"/>
    <w:rsid w:val="394A4669"/>
    <w:rsid w:val="39593738"/>
    <w:rsid w:val="396C7089"/>
    <w:rsid w:val="398C6304"/>
    <w:rsid w:val="39913610"/>
    <w:rsid w:val="39BA6046"/>
    <w:rsid w:val="39BBDF0E"/>
    <w:rsid w:val="39EE6537"/>
    <w:rsid w:val="3A064DE8"/>
    <w:rsid w:val="3A10210A"/>
    <w:rsid w:val="3A1F5EA9"/>
    <w:rsid w:val="3A217E73"/>
    <w:rsid w:val="3A323E2F"/>
    <w:rsid w:val="3A4B4EF0"/>
    <w:rsid w:val="3A7D9D1A"/>
    <w:rsid w:val="3A945C2A"/>
    <w:rsid w:val="3B245E6D"/>
    <w:rsid w:val="3B7F12F6"/>
    <w:rsid w:val="3BA50630"/>
    <w:rsid w:val="3C065573"/>
    <w:rsid w:val="3C335C3C"/>
    <w:rsid w:val="3C603B85"/>
    <w:rsid w:val="3C795D45"/>
    <w:rsid w:val="3C8B3CCA"/>
    <w:rsid w:val="3C9E57AB"/>
    <w:rsid w:val="3CB7E7BC"/>
    <w:rsid w:val="3CDD4413"/>
    <w:rsid w:val="3D0C7B05"/>
    <w:rsid w:val="3D193084"/>
    <w:rsid w:val="3D5551B7"/>
    <w:rsid w:val="3D5C6CF7"/>
    <w:rsid w:val="3D7C6E63"/>
    <w:rsid w:val="3D814372"/>
    <w:rsid w:val="3D9B1A2A"/>
    <w:rsid w:val="3DF978F8"/>
    <w:rsid w:val="3E1D4DF6"/>
    <w:rsid w:val="3E464D46"/>
    <w:rsid w:val="3E4F4AA5"/>
    <w:rsid w:val="3E7D4E10"/>
    <w:rsid w:val="3E90381A"/>
    <w:rsid w:val="3E9522AF"/>
    <w:rsid w:val="3EC73D27"/>
    <w:rsid w:val="3ED95D87"/>
    <w:rsid w:val="3EE250BA"/>
    <w:rsid w:val="3F212C06"/>
    <w:rsid w:val="3F4D34B9"/>
    <w:rsid w:val="3FC25C55"/>
    <w:rsid w:val="3FFF4B7A"/>
    <w:rsid w:val="400B75FC"/>
    <w:rsid w:val="402D411D"/>
    <w:rsid w:val="40BC6438"/>
    <w:rsid w:val="40BE641C"/>
    <w:rsid w:val="413D3964"/>
    <w:rsid w:val="414F3518"/>
    <w:rsid w:val="415B3C6B"/>
    <w:rsid w:val="416A65A4"/>
    <w:rsid w:val="419D0727"/>
    <w:rsid w:val="41A7490E"/>
    <w:rsid w:val="41C07DA5"/>
    <w:rsid w:val="41D028AB"/>
    <w:rsid w:val="41E920CD"/>
    <w:rsid w:val="42007D91"/>
    <w:rsid w:val="4274062F"/>
    <w:rsid w:val="42B27A5F"/>
    <w:rsid w:val="42CB3072"/>
    <w:rsid w:val="42D97547"/>
    <w:rsid w:val="42DD141A"/>
    <w:rsid w:val="42F56341"/>
    <w:rsid w:val="433867EA"/>
    <w:rsid w:val="43435AA6"/>
    <w:rsid w:val="436231D7"/>
    <w:rsid w:val="43794E51"/>
    <w:rsid w:val="43811983"/>
    <w:rsid w:val="43BC14A4"/>
    <w:rsid w:val="43C27FD1"/>
    <w:rsid w:val="44562E10"/>
    <w:rsid w:val="44A57553"/>
    <w:rsid w:val="44BD3991"/>
    <w:rsid w:val="44F71EFD"/>
    <w:rsid w:val="45216CF3"/>
    <w:rsid w:val="45320D30"/>
    <w:rsid w:val="456D30D1"/>
    <w:rsid w:val="457E749F"/>
    <w:rsid w:val="45B34E0D"/>
    <w:rsid w:val="45BF7A6B"/>
    <w:rsid w:val="45EE4D2C"/>
    <w:rsid w:val="46170F29"/>
    <w:rsid w:val="462002E9"/>
    <w:rsid w:val="467D4684"/>
    <w:rsid w:val="46DB13AA"/>
    <w:rsid w:val="470C4453"/>
    <w:rsid w:val="470E08E3"/>
    <w:rsid w:val="471A0124"/>
    <w:rsid w:val="47307948"/>
    <w:rsid w:val="47487019"/>
    <w:rsid w:val="4780267D"/>
    <w:rsid w:val="47FF78D1"/>
    <w:rsid w:val="4891085A"/>
    <w:rsid w:val="48A07F15"/>
    <w:rsid w:val="48C4659A"/>
    <w:rsid w:val="48D2515B"/>
    <w:rsid w:val="48DA5DBD"/>
    <w:rsid w:val="48DC5E40"/>
    <w:rsid w:val="49241739"/>
    <w:rsid w:val="492873DA"/>
    <w:rsid w:val="498716DA"/>
    <w:rsid w:val="49DB4B3B"/>
    <w:rsid w:val="49EB5DA8"/>
    <w:rsid w:val="4A184715"/>
    <w:rsid w:val="4A396B13"/>
    <w:rsid w:val="4A453A6A"/>
    <w:rsid w:val="4AC5484B"/>
    <w:rsid w:val="4AD34597"/>
    <w:rsid w:val="4ADD7DE7"/>
    <w:rsid w:val="4AE60C54"/>
    <w:rsid w:val="4B2A405F"/>
    <w:rsid w:val="4B315BD2"/>
    <w:rsid w:val="4B6E13E1"/>
    <w:rsid w:val="4BA02DC1"/>
    <w:rsid w:val="4BA6467C"/>
    <w:rsid w:val="4BB84FDE"/>
    <w:rsid w:val="4BC879CC"/>
    <w:rsid w:val="4C621D61"/>
    <w:rsid w:val="4C820C46"/>
    <w:rsid w:val="4C8B1B78"/>
    <w:rsid w:val="4CC052CA"/>
    <w:rsid w:val="4CE77042"/>
    <w:rsid w:val="4D673A03"/>
    <w:rsid w:val="4D82670F"/>
    <w:rsid w:val="4DD116B5"/>
    <w:rsid w:val="4DD21755"/>
    <w:rsid w:val="4DFF4A01"/>
    <w:rsid w:val="4E231FB4"/>
    <w:rsid w:val="4E9F0C87"/>
    <w:rsid w:val="4EAF3696"/>
    <w:rsid w:val="4EE279E9"/>
    <w:rsid w:val="4F863B61"/>
    <w:rsid w:val="4F9F566B"/>
    <w:rsid w:val="507B3F84"/>
    <w:rsid w:val="50A373DC"/>
    <w:rsid w:val="50E13A61"/>
    <w:rsid w:val="512C73D2"/>
    <w:rsid w:val="51360251"/>
    <w:rsid w:val="514C537E"/>
    <w:rsid w:val="51BC1787"/>
    <w:rsid w:val="51EC090F"/>
    <w:rsid w:val="51F7178E"/>
    <w:rsid w:val="51FA2309"/>
    <w:rsid w:val="52086F43"/>
    <w:rsid w:val="520E066F"/>
    <w:rsid w:val="52173BDE"/>
    <w:rsid w:val="52A511EA"/>
    <w:rsid w:val="52D2344E"/>
    <w:rsid w:val="52DA3410"/>
    <w:rsid w:val="53310CD0"/>
    <w:rsid w:val="534D2F8B"/>
    <w:rsid w:val="535331E2"/>
    <w:rsid w:val="5378552A"/>
    <w:rsid w:val="53792655"/>
    <w:rsid w:val="53DE69B9"/>
    <w:rsid w:val="53FD6E04"/>
    <w:rsid w:val="54197134"/>
    <w:rsid w:val="543303FB"/>
    <w:rsid w:val="548522F0"/>
    <w:rsid w:val="54D307D6"/>
    <w:rsid w:val="54D975B7"/>
    <w:rsid w:val="550377D3"/>
    <w:rsid w:val="55285E53"/>
    <w:rsid w:val="55654C60"/>
    <w:rsid w:val="55992FE9"/>
    <w:rsid w:val="55A42FE1"/>
    <w:rsid w:val="55DC36BF"/>
    <w:rsid w:val="56101070"/>
    <w:rsid w:val="561577C6"/>
    <w:rsid w:val="561B7A15"/>
    <w:rsid w:val="5646122F"/>
    <w:rsid w:val="564E3947"/>
    <w:rsid w:val="56A84E77"/>
    <w:rsid w:val="56E16569"/>
    <w:rsid w:val="56E82436"/>
    <w:rsid w:val="56F02C50"/>
    <w:rsid w:val="57014E5D"/>
    <w:rsid w:val="57131A63"/>
    <w:rsid w:val="576E2B84"/>
    <w:rsid w:val="578A1F16"/>
    <w:rsid w:val="57C43488"/>
    <w:rsid w:val="57D719C0"/>
    <w:rsid w:val="57DB46E7"/>
    <w:rsid w:val="57EFAF3F"/>
    <w:rsid w:val="580A1AEF"/>
    <w:rsid w:val="58694C74"/>
    <w:rsid w:val="58737694"/>
    <w:rsid w:val="587873A1"/>
    <w:rsid w:val="58BB2198"/>
    <w:rsid w:val="58D81BED"/>
    <w:rsid w:val="58DC348C"/>
    <w:rsid w:val="58E26234"/>
    <w:rsid w:val="58F20F01"/>
    <w:rsid w:val="58F92290"/>
    <w:rsid w:val="592B7F6F"/>
    <w:rsid w:val="59472464"/>
    <w:rsid w:val="597A1831"/>
    <w:rsid w:val="598F49A2"/>
    <w:rsid w:val="59CA18E7"/>
    <w:rsid w:val="59FD190B"/>
    <w:rsid w:val="59FD63ED"/>
    <w:rsid w:val="5A4F003A"/>
    <w:rsid w:val="5A5C777D"/>
    <w:rsid w:val="5A635729"/>
    <w:rsid w:val="5A6364FC"/>
    <w:rsid w:val="5A78B9A1"/>
    <w:rsid w:val="5A9A5DE8"/>
    <w:rsid w:val="5A9F29C3"/>
    <w:rsid w:val="5AAE2C06"/>
    <w:rsid w:val="5AD20FEA"/>
    <w:rsid w:val="5AEE78EA"/>
    <w:rsid w:val="5AF50835"/>
    <w:rsid w:val="5AFE6EEB"/>
    <w:rsid w:val="5B6360E6"/>
    <w:rsid w:val="5B6B2C09"/>
    <w:rsid w:val="5B751975"/>
    <w:rsid w:val="5B841BB9"/>
    <w:rsid w:val="5B987BF6"/>
    <w:rsid w:val="5C152227"/>
    <w:rsid w:val="5C334E92"/>
    <w:rsid w:val="5C8D5CA2"/>
    <w:rsid w:val="5CC442A9"/>
    <w:rsid w:val="5CD728E8"/>
    <w:rsid w:val="5CF83777"/>
    <w:rsid w:val="5D355860"/>
    <w:rsid w:val="5D5E0913"/>
    <w:rsid w:val="5D622736"/>
    <w:rsid w:val="5D6E50AF"/>
    <w:rsid w:val="5D7F2AAE"/>
    <w:rsid w:val="5DB16193"/>
    <w:rsid w:val="5DB20F1B"/>
    <w:rsid w:val="5DD638E2"/>
    <w:rsid w:val="5DEA134D"/>
    <w:rsid w:val="5DF40E14"/>
    <w:rsid w:val="5DF4F489"/>
    <w:rsid w:val="5DF55472"/>
    <w:rsid w:val="5DFB2606"/>
    <w:rsid w:val="5E282A6C"/>
    <w:rsid w:val="5E2F29E1"/>
    <w:rsid w:val="5E446EB7"/>
    <w:rsid w:val="5E8F2DB2"/>
    <w:rsid w:val="5EA54320"/>
    <w:rsid w:val="5EB5561C"/>
    <w:rsid w:val="5EC11B09"/>
    <w:rsid w:val="5ECF084E"/>
    <w:rsid w:val="5EDE02A2"/>
    <w:rsid w:val="5F0059FA"/>
    <w:rsid w:val="5F667595"/>
    <w:rsid w:val="5F856C62"/>
    <w:rsid w:val="5F893C41"/>
    <w:rsid w:val="5FB50F2D"/>
    <w:rsid w:val="5FF70527"/>
    <w:rsid w:val="5FFB2595"/>
    <w:rsid w:val="5FFBFD14"/>
    <w:rsid w:val="60432042"/>
    <w:rsid w:val="60731516"/>
    <w:rsid w:val="60C279B1"/>
    <w:rsid w:val="60E24467"/>
    <w:rsid w:val="612043C7"/>
    <w:rsid w:val="612F453E"/>
    <w:rsid w:val="61671270"/>
    <w:rsid w:val="61734BA9"/>
    <w:rsid w:val="61A13872"/>
    <w:rsid w:val="61A574DD"/>
    <w:rsid w:val="61A62889"/>
    <w:rsid w:val="61B96A60"/>
    <w:rsid w:val="61CF5D21"/>
    <w:rsid w:val="61DB4C28"/>
    <w:rsid w:val="62053A53"/>
    <w:rsid w:val="620D6DAC"/>
    <w:rsid w:val="6213286B"/>
    <w:rsid w:val="627B4AE2"/>
    <w:rsid w:val="62A274F4"/>
    <w:rsid w:val="62A80F69"/>
    <w:rsid w:val="62FA7330"/>
    <w:rsid w:val="62FD5F9E"/>
    <w:rsid w:val="63155F18"/>
    <w:rsid w:val="632779F9"/>
    <w:rsid w:val="637F15E3"/>
    <w:rsid w:val="638906B4"/>
    <w:rsid w:val="63934CDB"/>
    <w:rsid w:val="63AE011A"/>
    <w:rsid w:val="63FD5799"/>
    <w:rsid w:val="64121835"/>
    <w:rsid w:val="641D5A4C"/>
    <w:rsid w:val="643C1282"/>
    <w:rsid w:val="64754395"/>
    <w:rsid w:val="647E8B7E"/>
    <w:rsid w:val="648E63CE"/>
    <w:rsid w:val="64AD3F2E"/>
    <w:rsid w:val="64B81251"/>
    <w:rsid w:val="64BE25DF"/>
    <w:rsid w:val="64DD4813"/>
    <w:rsid w:val="64EC2CA8"/>
    <w:rsid w:val="651664A6"/>
    <w:rsid w:val="65357C58"/>
    <w:rsid w:val="65384140"/>
    <w:rsid w:val="655F6CD4"/>
    <w:rsid w:val="65626BE9"/>
    <w:rsid w:val="65AE61B0"/>
    <w:rsid w:val="65FB3538"/>
    <w:rsid w:val="660109D5"/>
    <w:rsid w:val="660E0531"/>
    <w:rsid w:val="66143184"/>
    <w:rsid w:val="66417024"/>
    <w:rsid w:val="66AB26EF"/>
    <w:rsid w:val="66AE0B0F"/>
    <w:rsid w:val="66FFA07F"/>
    <w:rsid w:val="671F1A13"/>
    <w:rsid w:val="675B4115"/>
    <w:rsid w:val="675D8A91"/>
    <w:rsid w:val="67653D7E"/>
    <w:rsid w:val="67904C3A"/>
    <w:rsid w:val="67AB3021"/>
    <w:rsid w:val="67C111F5"/>
    <w:rsid w:val="67C717AB"/>
    <w:rsid w:val="67CEEBEA"/>
    <w:rsid w:val="67E1286C"/>
    <w:rsid w:val="68004453"/>
    <w:rsid w:val="68051E33"/>
    <w:rsid w:val="68776D2D"/>
    <w:rsid w:val="68962E4B"/>
    <w:rsid w:val="68BC32E6"/>
    <w:rsid w:val="68C55DC8"/>
    <w:rsid w:val="69112C50"/>
    <w:rsid w:val="694C01BA"/>
    <w:rsid w:val="69670B4F"/>
    <w:rsid w:val="697414BE"/>
    <w:rsid w:val="69796AD5"/>
    <w:rsid w:val="6A184540"/>
    <w:rsid w:val="6A3053E5"/>
    <w:rsid w:val="6A5FC704"/>
    <w:rsid w:val="6A8B4D12"/>
    <w:rsid w:val="6AB853DB"/>
    <w:rsid w:val="6AC43F0F"/>
    <w:rsid w:val="6B4C65D7"/>
    <w:rsid w:val="6B5748D8"/>
    <w:rsid w:val="6B7F9DAB"/>
    <w:rsid w:val="6BAB20AE"/>
    <w:rsid w:val="6BD25936"/>
    <w:rsid w:val="6BFF672B"/>
    <w:rsid w:val="6C256AA0"/>
    <w:rsid w:val="6C496C32"/>
    <w:rsid w:val="6C7224B4"/>
    <w:rsid w:val="6C7927E3"/>
    <w:rsid w:val="6C7D068A"/>
    <w:rsid w:val="6C81017A"/>
    <w:rsid w:val="6C9A748E"/>
    <w:rsid w:val="6CBC07BF"/>
    <w:rsid w:val="6CE02047"/>
    <w:rsid w:val="6CFE318D"/>
    <w:rsid w:val="6D403D96"/>
    <w:rsid w:val="6D627D27"/>
    <w:rsid w:val="6D6B2090"/>
    <w:rsid w:val="6DD270E5"/>
    <w:rsid w:val="6DD65377"/>
    <w:rsid w:val="6E1B7280"/>
    <w:rsid w:val="6E3A4EF7"/>
    <w:rsid w:val="6EF8049C"/>
    <w:rsid w:val="6F06227F"/>
    <w:rsid w:val="6F126D8E"/>
    <w:rsid w:val="6F1D6583"/>
    <w:rsid w:val="6F2C1224"/>
    <w:rsid w:val="6F57A1B8"/>
    <w:rsid w:val="6F5F0C4A"/>
    <w:rsid w:val="6F651FD5"/>
    <w:rsid w:val="6F8C7562"/>
    <w:rsid w:val="6F964EB4"/>
    <w:rsid w:val="6FBD8F78"/>
    <w:rsid w:val="6FC61E8F"/>
    <w:rsid w:val="6FCD1928"/>
    <w:rsid w:val="6FD1409B"/>
    <w:rsid w:val="6FFFDEF8"/>
    <w:rsid w:val="701D2582"/>
    <w:rsid w:val="702D5AB8"/>
    <w:rsid w:val="70C06871"/>
    <w:rsid w:val="70CB6663"/>
    <w:rsid w:val="70CF7695"/>
    <w:rsid w:val="70D2136A"/>
    <w:rsid w:val="70F54C77"/>
    <w:rsid w:val="71445C1A"/>
    <w:rsid w:val="71500D3F"/>
    <w:rsid w:val="716F6ECE"/>
    <w:rsid w:val="718F25AD"/>
    <w:rsid w:val="71A37E47"/>
    <w:rsid w:val="71F176D9"/>
    <w:rsid w:val="71F92EA9"/>
    <w:rsid w:val="72003A61"/>
    <w:rsid w:val="7214383E"/>
    <w:rsid w:val="722048A0"/>
    <w:rsid w:val="724D1118"/>
    <w:rsid w:val="72596459"/>
    <w:rsid w:val="726B686B"/>
    <w:rsid w:val="72883B4F"/>
    <w:rsid w:val="729D1A86"/>
    <w:rsid w:val="72B017B9"/>
    <w:rsid w:val="72B74068"/>
    <w:rsid w:val="72B8241C"/>
    <w:rsid w:val="72CE2E3F"/>
    <w:rsid w:val="72DD1E82"/>
    <w:rsid w:val="72E6232E"/>
    <w:rsid w:val="72F32A88"/>
    <w:rsid w:val="72FE7901"/>
    <w:rsid w:val="7307025D"/>
    <w:rsid w:val="733166AE"/>
    <w:rsid w:val="733E0A28"/>
    <w:rsid w:val="7365A7CB"/>
    <w:rsid w:val="74103AB8"/>
    <w:rsid w:val="74232BE0"/>
    <w:rsid w:val="742D11E5"/>
    <w:rsid w:val="745D2AE8"/>
    <w:rsid w:val="748C0AD6"/>
    <w:rsid w:val="74A731A8"/>
    <w:rsid w:val="74B714BF"/>
    <w:rsid w:val="74C257D4"/>
    <w:rsid w:val="74C652C4"/>
    <w:rsid w:val="74DE7CB9"/>
    <w:rsid w:val="751A26C3"/>
    <w:rsid w:val="755319E9"/>
    <w:rsid w:val="75630E60"/>
    <w:rsid w:val="75840CDB"/>
    <w:rsid w:val="758F61BC"/>
    <w:rsid w:val="75C32C01"/>
    <w:rsid w:val="75C34332"/>
    <w:rsid w:val="76661B74"/>
    <w:rsid w:val="767E572A"/>
    <w:rsid w:val="76B44827"/>
    <w:rsid w:val="76B75B16"/>
    <w:rsid w:val="76F525BB"/>
    <w:rsid w:val="76FF2D0F"/>
    <w:rsid w:val="77100A78"/>
    <w:rsid w:val="77C81353"/>
    <w:rsid w:val="77CFECC7"/>
    <w:rsid w:val="77DFE548"/>
    <w:rsid w:val="77E912C9"/>
    <w:rsid w:val="77EF8C5E"/>
    <w:rsid w:val="77F04406"/>
    <w:rsid w:val="77F4252E"/>
    <w:rsid w:val="77FB2F70"/>
    <w:rsid w:val="780714FF"/>
    <w:rsid w:val="787768D5"/>
    <w:rsid w:val="787943FB"/>
    <w:rsid w:val="78E71CAD"/>
    <w:rsid w:val="7921588D"/>
    <w:rsid w:val="792A3948"/>
    <w:rsid w:val="792C35A6"/>
    <w:rsid w:val="79456799"/>
    <w:rsid w:val="794A5D98"/>
    <w:rsid w:val="79986A4D"/>
    <w:rsid w:val="79A11E5C"/>
    <w:rsid w:val="79A601B2"/>
    <w:rsid w:val="79B50E56"/>
    <w:rsid w:val="79F24465"/>
    <w:rsid w:val="79F764B3"/>
    <w:rsid w:val="79F8006A"/>
    <w:rsid w:val="7A012BCA"/>
    <w:rsid w:val="7A2C2761"/>
    <w:rsid w:val="7A524B86"/>
    <w:rsid w:val="7A637111"/>
    <w:rsid w:val="7A6D7F90"/>
    <w:rsid w:val="7A8552D9"/>
    <w:rsid w:val="7AAC6189"/>
    <w:rsid w:val="7ACF0C4A"/>
    <w:rsid w:val="7AD26045"/>
    <w:rsid w:val="7AD272CF"/>
    <w:rsid w:val="7AEB2C60"/>
    <w:rsid w:val="7AEC35AA"/>
    <w:rsid w:val="7B2309F5"/>
    <w:rsid w:val="7B2A79F5"/>
    <w:rsid w:val="7B2FBA46"/>
    <w:rsid w:val="7B5C73BA"/>
    <w:rsid w:val="7B687747"/>
    <w:rsid w:val="7BA05373"/>
    <w:rsid w:val="7BB10350"/>
    <w:rsid w:val="7BBA82B8"/>
    <w:rsid w:val="7BC2255D"/>
    <w:rsid w:val="7BD215B2"/>
    <w:rsid w:val="7BEC3136"/>
    <w:rsid w:val="7BFFCA11"/>
    <w:rsid w:val="7C4D0079"/>
    <w:rsid w:val="7C4D62CB"/>
    <w:rsid w:val="7C9C2DAE"/>
    <w:rsid w:val="7CFF0CEE"/>
    <w:rsid w:val="7D0328AD"/>
    <w:rsid w:val="7D074CE5"/>
    <w:rsid w:val="7D0C0A6E"/>
    <w:rsid w:val="7D3FE70A"/>
    <w:rsid w:val="7D731D61"/>
    <w:rsid w:val="7DDC6AC7"/>
    <w:rsid w:val="7DF958C3"/>
    <w:rsid w:val="7DF9CC2E"/>
    <w:rsid w:val="7E214A27"/>
    <w:rsid w:val="7E5D031B"/>
    <w:rsid w:val="7E5E6E19"/>
    <w:rsid w:val="7E722019"/>
    <w:rsid w:val="7E9E7E18"/>
    <w:rsid w:val="7EA877E8"/>
    <w:rsid w:val="7EB643A4"/>
    <w:rsid w:val="7EF97EEA"/>
    <w:rsid w:val="7F192494"/>
    <w:rsid w:val="7F3F0382"/>
    <w:rsid w:val="7F5FE22D"/>
    <w:rsid w:val="7F61505F"/>
    <w:rsid w:val="7F7CFB8F"/>
    <w:rsid w:val="7F843244"/>
    <w:rsid w:val="7F975183"/>
    <w:rsid w:val="7FA65313"/>
    <w:rsid w:val="7FBF0F21"/>
    <w:rsid w:val="7FBFE116"/>
    <w:rsid w:val="7FCE327F"/>
    <w:rsid w:val="7FDD0CE8"/>
    <w:rsid w:val="7FDF417C"/>
    <w:rsid w:val="7FE346EA"/>
    <w:rsid w:val="7FEF28B0"/>
    <w:rsid w:val="7FFC62E7"/>
    <w:rsid w:val="7FFE2568"/>
    <w:rsid w:val="7FFFF636"/>
    <w:rsid w:val="8F7D129F"/>
    <w:rsid w:val="98A3C5EE"/>
    <w:rsid w:val="9A7CC63C"/>
    <w:rsid w:val="9BDF8CC0"/>
    <w:rsid w:val="9E9EEC60"/>
    <w:rsid w:val="9FB77C0A"/>
    <w:rsid w:val="AFEFDABC"/>
    <w:rsid w:val="B37F9932"/>
    <w:rsid w:val="B47EB812"/>
    <w:rsid w:val="B55C8985"/>
    <w:rsid w:val="B7793B75"/>
    <w:rsid w:val="BB374F4A"/>
    <w:rsid w:val="BCFF566F"/>
    <w:rsid w:val="BDBEE4AB"/>
    <w:rsid w:val="BF1724DB"/>
    <w:rsid w:val="BF98A227"/>
    <w:rsid w:val="BFAA446A"/>
    <w:rsid w:val="BFDFD398"/>
    <w:rsid w:val="BFF50A0C"/>
    <w:rsid w:val="BFFF8E23"/>
    <w:rsid w:val="CDD37EBC"/>
    <w:rsid w:val="CDF60E9A"/>
    <w:rsid w:val="CFF226AF"/>
    <w:rsid w:val="D5F73E5F"/>
    <w:rsid w:val="D76F973F"/>
    <w:rsid w:val="DBCF81EC"/>
    <w:rsid w:val="DDF7CBBB"/>
    <w:rsid w:val="DF8CD93A"/>
    <w:rsid w:val="DF9FDE00"/>
    <w:rsid w:val="DFA67DD2"/>
    <w:rsid w:val="DFAFFB71"/>
    <w:rsid w:val="DFDFCE34"/>
    <w:rsid w:val="DFFF4A50"/>
    <w:rsid w:val="E5A93882"/>
    <w:rsid w:val="E7BFDAE8"/>
    <w:rsid w:val="E9FA7660"/>
    <w:rsid w:val="EC747906"/>
    <w:rsid w:val="ECFF439B"/>
    <w:rsid w:val="EDFE512B"/>
    <w:rsid w:val="EE7EAB2F"/>
    <w:rsid w:val="EFD37AE3"/>
    <w:rsid w:val="EFEE5CC5"/>
    <w:rsid w:val="EFF83174"/>
    <w:rsid w:val="F1FF8890"/>
    <w:rsid w:val="F3C6E7B4"/>
    <w:rsid w:val="F5D58699"/>
    <w:rsid w:val="F5F9786B"/>
    <w:rsid w:val="F7DF51D5"/>
    <w:rsid w:val="F7DFA334"/>
    <w:rsid w:val="F8F53A7C"/>
    <w:rsid w:val="F8FBD0B7"/>
    <w:rsid w:val="F9EBA606"/>
    <w:rsid w:val="FA3B5E73"/>
    <w:rsid w:val="FB1F48F5"/>
    <w:rsid w:val="FBCE073A"/>
    <w:rsid w:val="FBD342E0"/>
    <w:rsid w:val="FBD5A3F2"/>
    <w:rsid w:val="FBDFB469"/>
    <w:rsid w:val="FD3D2A57"/>
    <w:rsid w:val="FD9D1C11"/>
    <w:rsid w:val="FDBB474C"/>
    <w:rsid w:val="FDDF6242"/>
    <w:rsid w:val="FDEEF23D"/>
    <w:rsid w:val="FDFB3880"/>
    <w:rsid w:val="FE7FFC34"/>
    <w:rsid w:val="FEBF2061"/>
    <w:rsid w:val="FF5F493A"/>
    <w:rsid w:val="FFAF31F7"/>
    <w:rsid w:val="FFBF409F"/>
    <w:rsid w:val="FFBFE812"/>
    <w:rsid w:val="FFEFB409"/>
    <w:rsid w:val="FFFFB9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link w:val="19"/>
    <w:qFormat/>
    <w:uiPriority w:val="99"/>
    <w:pPr>
      <w:ind w:firstLine="200"/>
    </w:pPr>
    <w:rPr>
      <w:rFonts w:ascii="仿宋_GB2312" w:eastAsia="仿宋_GB2312"/>
      <w:sz w:val="30"/>
      <w:szCs w:val="22"/>
    </w:rPr>
  </w:style>
  <w:style w:type="paragraph" w:styleId="5">
    <w:name w:val="toc 3"/>
    <w:basedOn w:val="1"/>
    <w:next w:val="1"/>
    <w:qFormat/>
    <w:uiPriority w:val="39"/>
    <w:pPr>
      <w:ind w:left="840" w:leftChars="400"/>
    </w:pPr>
  </w:style>
  <w:style w:type="paragraph" w:styleId="6">
    <w:name w:val="Body Text Indent 2"/>
    <w:basedOn w:val="1"/>
    <w:qFormat/>
    <w:uiPriority w:val="0"/>
    <w:pPr>
      <w:spacing w:after="120" w:line="480" w:lineRule="auto"/>
      <w:ind w:left="420" w:leftChars="200"/>
    </w:pPr>
  </w:style>
  <w:style w:type="paragraph" w:styleId="7">
    <w:name w:val="Balloon Text"/>
    <w:basedOn w:val="1"/>
    <w:link w:val="32"/>
    <w:qFormat/>
    <w:uiPriority w:val="0"/>
    <w:rPr>
      <w:sz w:val="18"/>
      <w:szCs w:val="18"/>
    </w:rPr>
  </w:style>
  <w:style w:type="paragraph" w:styleId="8">
    <w:name w:val="footer"/>
    <w:basedOn w:val="1"/>
    <w:link w:val="21"/>
    <w:qFormat/>
    <w:uiPriority w:val="99"/>
    <w:pPr>
      <w:tabs>
        <w:tab w:val="center" w:pos="4153"/>
        <w:tab w:val="right" w:pos="8306"/>
      </w:tabs>
      <w:snapToGrid w:val="0"/>
      <w:jc w:val="left"/>
    </w:pPr>
    <w:rPr>
      <w:sz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tabs>
        <w:tab w:val="right" w:leader="middleDot" w:pos="8296"/>
      </w:tabs>
    </w:pPr>
    <w:rPr>
      <w:rFonts w:ascii="黑体" w:hAnsi="黑体" w:eastAsia="黑体" w:cs="黑体"/>
      <w:sz w:val="28"/>
      <w:szCs w:val="36"/>
    </w:rPr>
  </w:style>
  <w:style w:type="paragraph" w:styleId="11">
    <w:name w:val="toc 2"/>
    <w:basedOn w:val="1"/>
    <w:next w:val="1"/>
    <w:qFormat/>
    <w:uiPriority w:val="39"/>
    <w:pPr>
      <w:ind w:left="420" w:leftChars="200"/>
    </w:pPr>
  </w:style>
  <w:style w:type="paragraph" w:styleId="12">
    <w:name w:val="Title"/>
    <w:basedOn w:val="1"/>
    <w:next w:val="1"/>
    <w:qFormat/>
    <w:uiPriority w:val="10"/>
    <w:pPr>
      <w:spacing w:before="240" w:after="60"/>
      <w:jc w:val="center"/>
      <w:outlineLvl w:val="0"/>
    </w:pPr>
    <w:rPr>
      <w:rFonts w:ascii="Arial" w:hAnsi="Arial"/>
      <w:b/>
      <w:sz w:val="32"/>
    </w:rPr>
  </w:style>
  <w:style w:type="character" w:styleId="15">
    <w:name w:val="page number"/>
    <w:basedOn w:val="14"/>
    <w:qFormat/>
    <w:uiPriority w:val="0"/>
  </w:style>
  <w:style w:type="character" w:styleId="16">
    <w:name w:val="Hyperlink"/>
    <w:basedOn w:val="14"/>
    <w:unhideWhenUsed/>
    <w:qFormat/>
    <w:uiPriority w:val="99"/>
    <w:rPr>
      <w:color w:val="0563C1" w:themeColor="hyperlink"/>
      <w:u w:val="single"/>
      <w14:textFill>
        <w14:solidFill>
          <w14:schemeClr w14:val="hlink"/>
        </w14:solidFill>
      </w14:textFill>
    </w:rPr>
  </w:style>
  <w:style w:type="character" w:customStyle="1" w:styleId="17">
    <w:name w:val="标题 1 Char"/>
    <w:basedOn w:val="14"/>
    <w:link w:val="2"/>
    <w:qFormat/>
    <w:uiPriority w:val="0"/>
    <w:rPr>
      <w:b/>
      <w:bCs/>
      <w:kern w:val="44"/>
      <w:sz w:val="44"/>
      <w:szCs w:val="44"/>
    </w:rPr>
  </w:style>
  <w:style w:type="paragraph" w:customStyle="1" w:styleId="18">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9">
    <w:name w:val="正文文本 Char"/>
    <w:basedOn w:val="14"/>
    <w:link w:val="4"/>
    <w:qFormat/>
    <w:uiPriority w:val="99"/>
    <w:rPr>
      <w:rFonts w:ascii="仿宋_GB2312" w:eastAsia="仿宋_GB2312"/>
      <w:kern w:val="2"/>
      <w:sz w:val="30"/>
      <w:szCs w:val="22"/>
    </w:rPr>
  </w:style>
  <w:style w:type="character" w:customStyle="1" w:styleId="20">
    <w:name w:val="页眉 Char"/>
    <w:basedOn w:val="14"/>
    <w:link w:val="9"/>
    <w:qFormat/>
    <w:uiPriority w:val="0"/>
    <w:rPr>
      <w:kern w:val="2"/>
      <w:sz w:val="18"/>
      <w:szCs w:val="18"/>
    </w:rPr>
  </w:style>
  <w:style w:type="character" w:customStyle="1" w:styleId="21">
    <w:name w:val="页脚 Char"/>
    <w:basedOn w:val="14"/>
    <w:link w:val="8"/>
    <w:qFormat/>
    <w:uiPriority w:val="99"/>
    <w:rPr>
      <w:kern w:val="2"/>
      <w:sz w:val="18"/>
      <w:szCs w:val="24"/>
    </w:rPr>
  </w:style>
  <w:style w:type="paragraph" w:customStyle="1" w:styleId="22">
    <w:name w:val="WPSOffice手动目录 1"/>
    <w:qFormat/>
    <w:uiPriority w:val="0"/>
    <w:rPr>
      <w:rFonts w:ascii="Times New Roman" w:hAnsi="Times New Roman" w:eastAsia="宋体" w:cs="Times New Roman"/>
      <w:lang w:val="en-US" w:eastAsia="zh-CN" w:bidi="ar-SA"/>
    </w:rPr>
  </w:style>
  <w:style w:type="paragraph" w:customStyle="1" w:styleId="2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4">
    <w:name w:val="TOC 标题2"/>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5">
    <w:name w:val="font51"/>
    <w:basedOn w:val="14"/>
    <w:qFormat/>
    <w:uiPriority w:val="0"/>
    <w:rPr>
      <w:rFonts w:hint="eastAsia" w:ascii="宋体" w:hAnsi="宋体" w:eastAsia="宋体" w:cs="宋体"/>
      <w:b/>
      <w:bCs/>
      <w:color w:val="000000"/>
      <w:sz w:val="20"/>
      <w:szCs w:val="20"/>
      <w:u w:val="none"/>
    </w:rPr>
  </w:style>
  <w:style w:type="character" w:customStyle="1" w:styleId="26">
    <w:name w:val="font71"/>
    <w:basedOn w:val="14"/>
    <w:qFormat/>
    <w:uiPriority w:val="0"/>
    <w:rPr>
      <w:rFonts w:hint="eastAsia" w:ascii="宋体" w:hAnsi="宋体" w:eastAsia="宋体" w:cs="宋体"/>
      <w:color w:val="000000"/>
      <w:sz w:val="20"/>
      <w:szCs w:val="20"/>
      <w:u w:val="none"/>
    </w:rPr>
  </w:style>
  <w:style w:type="character" w:customStyle="1" w:styleId="27">
    <w:name w:val="font81"/>
    <w:basedOn w:val="14"/>
    <w:qFormat/>
    <w:uiPriority w:val="0"/>
    <w:rPr>
      <w:rFonts w:hint="eastAsia" w:ascii="宋体" w:hAnsi="宋体" w:eastAsia="宋体" w:cs="宋体"/>
      <w:b/>
      <w:bCs/>
      <w:color w:val="000000"/>
      <w:sz w:val="20"/>
      <w:szCs w:val="20"/>
      <w:u w:val="none"/>
    </w:rPr>
  </w:style>
  <w:style w:type="character" w:customStyle="1" w:styleId="28">
    <w:name w:val="font11"/>
    <w:basedOn w:val="14"/>
    <w:qFormat/>
    <w:uiPriority w:val="0"/>
    <w:rPr>
      <w:rFonts w:hint="eastAsia" w:ascii="宋体" w:hAnsi="宋体" w:eastAsia="宋体" w:cs="宋体"/>
      <w:color w:val="000000"/>
      <w:sz w:val="20"/>
      <w:szCs w:val="20"/>
      <w:u w:val="none"/>
    </w:rPr>
  </w:style>
  <w:style w:type="character" w:customStyle="1" w:styleId="29">
    <w:name w:val="font101"/>
    <w:basedOn w:val="14"/>
    <w:qFormat/>
    <w:uiPriority w:val="0"/>
    <w:rPr>
      <w:rFonts w:ascii="MS Gothic" w:hAnsi="MS Gothic" w:eastAsia="MS Gothic" w:cs="MS Gothic"/>
      <w:color w:val="000000"/>
      <w:sz w:val="20"/>
      <w:szCs w:val="20"/>
      <w:u w:val="none"/>
    </w:rPr>
  </w:style>
  <w:style w:type="character" w:customStyle="1" w:styleId="30">
    <w:name w:val="font61"/>
    <w:basedOn w:val="14"/>
    <w:qFormat/>
    <w:uiPriority w:val="0"/>
    <w:rPr>
      <w:rFonts w:hint="eastAsia" w:ascii="MS Gothic" w:hAnsi="MS Gothic" w:eastAsia="MS Gothic" w:cs="MS Gothic"/>
      <w:b/>
      <w:bCs/>
      <w:color w:val="000000"/>
      <w:sz w:val="20"/>
      <w:szCs w:val="20"/>
      <w:u w:val="none"/>
    </w:rPr>
  </w:style>
  <w:style w:type="character" w:customStyle="1" w:styleId="31">
    <w:name w:val="font21"/>
    <w:basedOn w:val="14"/>
    <w:qFormat/>
    <w:uiPriority w:val="0"/>
    <w:rPr>
      <w:rFonts w:hint="default" w:ascii="Times New Roman" w:hAnsi="Times New Roman" w:cs="Times New Roman"/>
      <w:color w:val="000000"/>
      <w:sz w:val="21"/>
      <w:szCs w:val="21"/>
      <w:u w:val="none"/>
    </w:rPr>
  </w:style>
  <w:style w:type="character" w:customStyle="1" w:styleId="32">
    <w:name w:val="批注框文本 Char"/>
    <w:basedOn w:val="14"/>
    <w:link w:val="7"/>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BB95F1-7448-4ECE-91EE-600F916C8B47}">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1275</Words>
  <Characters>7269</Characters>
  <Lines>60</Lines>
  <Paragraphs>17</Paragraphs>
  <TotalTime>326</TotalTime>
  <ScaleCrop>false</ScaleCrop>
  <LinksUpToDate>false</LinksUpToDate>
  <CharactersWithSpaces>8527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2022-05-12T22:59:00Z</dcterms:created>
  <dc:creator>阳阳</dc:creator>
  <cp:lastModifiedBy>lenovo</cp:lastModifiedBy>
  <dcterms:modified xsi:type="dcterms:W3CDTF">2025-08-26T07:15:06Z</dcterms:modified>
  <cp:revision>348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8DF115D2EBCE4F83A1EEA6CA4EC166DD_13</vt:lpwstr>
  </property>
  <property fmtid="{D5CDD505-2E9C-101B-9397-08002B2CF9AE}" pid="4" name="KSOTemplateDocerSaveRecord">
    <vt:lpwstr>eyJoZGlkIjoiNmQzNDQwMjQ4YzdhYzllOWUwYWFiYWRhNGMwZWIzNGYiLCJ1c2VySWQiOiIyNTYzNDgyMzUifQ==</vt:lpwstr>
  </property>
</Properties>
</file>