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Pr>
        <w:spacing w:line="240" w:lineRule="auto"/>
        <w:ind w:firstLine="0" w:firstLineChars="0"/>
        <w:jc w:val="center"/>
        <w:outlineLvl w:val="0"/>
        <w:rPr>
          <w:rFonts w:asciiTheme="majorEastAsia" w:hAnsiTheme="majorEastAsia" w:eastAsiaTheme="majorEastAsia" w:cstheme="majorEastAsia"/>
          <w:b/>
          <w:sz w:val="52"/>
          <w:szCs w:val="52"/>
        </w:rPr>
      </w:pPr>
      <w:bookmarkStart w:id="0" w:name="_Toc20209"/>
      <w:bookmarkStart w:id="1" w:name="_Toc28596"/>
      <w:bookmarkStart w:id="2" w:name="_Toc1738"/>
      <w:r>
        <w:rPr>
          <w:rFonts w:hint="eastAsia" w:asciiTheme="majorEastAsia" w:hAnsiTheme="majorEastAsia" w:eastAsiaTheme="majorEastAsia" w:cstheme="majorEastAsia"/>
          <w:b/>
          <w:sz w:val="52"/>
          <w:szCs w:val="52"/>
        </w:rPr>
        <w:t>北京市财政支出部门整体支出</w:t>
      </w:r>
      <w:bookmarkEnd w:id="0"/>
      <w:bookmarkEnd w:id="1"/>
      <w:bookmarkEnd w:id="2"/>
    </w:p>
    <w:p>
      <w:pPr>
        <w:spacing w:line="240" w:lineRule="auto"/>
        <w:ind w:firstLine="0" w:firstLineChars="0"/>
        <w:jc w:val="center"/>
        <w:outlineLvl w:val="0"/>
        <w:rPr>
          <w:rFonts w:asciiTheme="majorEastAsia" w:hAnsiTheme="majorEastAsia" w:eastAsiaTheme="majorEastAsia" w:cstheme="majorEastAsia"/>
          <w:b/>
          <w:sz w:val="52"/>
          <w:szCs w:val="52"/>
        </w:rPr>
      </w:pPr>
      <w:r>
        <w:rPr>
          <w:rFonts w:hint="eastAsia" w:asciiTheme="majorEastAsia" w:hAnsiTheme="majorEastAsia" w:eastAsiaTheme="majorEastAsia" w:cstheme="majorEastAsia"/>
          <w:b/>
          <w:sz w:val="52"/>
          <w:szCs w:val="52"/>
        </w:rPr>
        <w:t>绩效评价报告</w:t>
      </w:r>
    </w:p>
    <w:p>
      <w:pPr>
        <w:pStyle w:val="6"/>
        <w:ind w:firstLine="600"/>
      </w:pPr>
    </w:p>
    <w:p>
      <w:pPr>
        <w:pStyle w:val="6"/>
        <w:ind w:firstLine="600"/>
      </w:pPr>
    </w:p>
    <w:p>
      <w:pPr>
        <w:pStyle w:val="6"/>
        <w:ind w:firstLine="600"/>
      </w:pPr>
    </w:p>
    <w:p>
      <w:pPr>
        <w:pStyle w:val="6"/>
        <w:ind w:firstLine="600"/>
      </w:pPr>
    </w:p>
    <w:p/>
    <w:p>
      <w:r>
        <w:rPr>
          <w:rFonts w:hint="eastAsia"/>
        </w:rPr>
        <mc:AlternateContent>
          <mc:Choice Requires="wps">
            <w:drawing>
              <wp:anchor distT="0" distB="0" distL="114300" distR="114300" simplePos="0" relativeHeight="251662336" behindDoc="0" locked="0" layoutInCell="1" allowOverlap="1">
                <wp:simplePos x="0" y="0"/>
                <wp:positionH relativeFrom="column">
                  <wp:posOffset>1534160</wp:posOffset>
                </wp:positionH>
                <wp:positionV relativeFrom="paragraph">
                  <wp:posOffset>340995</wp:posOffset>
                </wp:positionV>
                <wp:extent cx="3371850"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3371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20.8pt;margin-top:26.85pt;height:0pt;width:265.5pt;z-index:251662336;mso-width-relative:page;mso-height-relative:page;" filled="f" stroked="t" coordsize="21600,21600" o:gfxdata="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XbHd9YAAAAJAQAA&#10;DwAAAAAAAAABACAAAAAiAAAAZHJzL2Rvd25yZXYueG1sUEsBAhQAFAAAAAgAh07iQLNl9u/iAQAA&#10;swMAAA4AAAAAAAAAAQAgAAAAJQEAAGRycy9lMm9Eb2MueG1sUEsFBgAAAAAGAAYAWQEAAHkFAAAA&#10;AA==&#10;">
                <v:fill on="f" focussize="0,0"/>
                <v:stroke weight="0.5pt" color="#000000 [3213]" miterlimit="8" joinstyle="miter"/>
                <v:imagedata o:title=""/>
                <o:lock v:ext="edit" aspectratio="f"/>
              </v:line>
            </w:pict>
          </mc:Fallback>
        </mc:AlternateContent>
      </w:r>
      <w:r>
        <w:rPr>
          <w:rFonts w:hint="eastAsia"/>
        </w:rPr>
        <w:t xml:space="preserve">主管部门 </w:t>
      </w:r>
      <w:r>
        <w:rPr>
          <w:rFonts w:hint="eastAsia"/>
          <w:lang w:val="en-US" w:eastAsia="zh-CN"/>
        </w:rPr>
        <w:t xml:space="preserve">   </w:t>
      </w:r>
      <w:r>
        <w:rPr>
          <w:rFonts w:hint="eastAsia"/>
        </w:rPr>
        <w:t>北京市体育彩票管理中心</w:t>
      </w:r>
    </w:p>
    <w:p>
      <w:r>
        <w:rPr>
          <w:rFonts w:hint="eastAsia"/>
        </w:rPr>
        <mc:AlternateContent>
          <mc:Choice Requires="wps">
            <w:drawing>
              <wp:anchor distT="0" distB="0" distL="114300" distR="114300" simplePos="0" relativeHeight="251661312" behindDoc="0" locked="0" layoutInCell="1" allowOverlap="1">
                <wp:simplePos x="0" y="0"/>
                <wp:positionH relativeFrom="column">
                  <wp:posOffset>1515110</wp:posOffset>
                </wp:positionH>
                <wp:positionV relativeFrom="paragraph">
                  <wp:posOffset>344805</wp:posOffset>
                </wp:positionV>
                <wp:extent cx="3371850" cy="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3371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19.3pt;margin-top:27.15pt;height:0pt;width:265.5pt;z-index:251661312;mso-width-relative:page;mso-height-relative:page;" filled="f" stroked="t" coordsize="21600,21600" o:gfxdata="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TGeCBNYAAAAJAQAA&#10;DwAAAAAAAAABACAAAAAiAAAAZHJzL2Rvd25yZXYueG1sUEsBAhQAFAAAAAgAh07iQDG6rE7iAQAA&#10;swMAAA4AAAAAAAAAAQAgAAAAJQEAAGRycy9lMm9Eb2MueG1sUEsFBgAAAAAGAAYAWQEAAHkFAAAA&#10;AA==&#10;">
                <v:fill on="f" focussize="0,0"/>
                <v:stroke weight="0.5pt" color="#000000 [3213]" miterlimit="8" joinstyle="miter"/>
                <v:imagedata o:title=""/>
                <o:lock v:ext="edit" aspectratio="f"/>
              </v:line>
            </w:pict>
          </mc:Fallback>
        </mc:AlternateContent>
      </w:r>
      <w:r>
        <w:rPr>
          <w:rFonts w:hint="eastAsia"/>
        </w:rPr>
        <w:t xml:space="preserve">项目单位 </w:t>
      </w:r>
      <w:r>
        <w:rPr>
          <w:rFonts w:hint="eastAsia"/>
          <w:lang w:val="en-US" w:eastAsia="zh-CN"/>
        </w:rPr>
        <w:t xml:space="preserve">   </w:t>
      </w:r>
      <w:r>
        <w:rPr>
          <w:rFonts w:hint="eastAsia"/>
        </w:rPr>
        <w:t>北京市体育彩票管理中心</w:t>
      </w:r>
    </w:p>
    <w:p>
      <w:pPr>
        <w:rPr>
          <w:u w:val="single"/>
        </w:rPr>
      </w:pPr>
      <w:r>
        <w:rPr>
          <w:rFonts w:hint="eastAsia"/>
        </w:rPr>
        <mc:AlternateContent>
          <mc:Choice Requires="wps">
            <w:drawing>
              <wp:anchor distT="0" distB="0" distL="114300" distR="114300" simplePos="0" relativeHeight="251660288" behindDoc="0" locked="0" layoutInCell="1" allowOverlap="1">
                <wp:simplePos x="0" y="0"/>
                <wp:positionH relativeFrom="column">
                  <wp:posOffset>1515110</wp:posOffset>
                </wp:positionH>
                <wp:positionV relativeFrom="paragraph">
                  <wp:posOffset>348615</wp:posOffset>
                </wp:positionV>
                <wp:extent cx="3371850" cy="0"/>
                <wp:effectExtent l="0" t="0" r="0" b="0"/>
                <wp:wrapNone/>
                <wp:docPr id="9" name="直接连接符 9"/>
                <wp:cNvGraphicFramePr/>
                <a:graphic xmlns:a="http://schemas.openxmlformats.org/drawingml/2006/main">
                  <a:graphicData uri="http://schemas.microsoft.com/office/word/2010/wordprocessingShape">
                    <wps:wsp>
                      <wps:cNvCnPr/>
                      <wps:spPr>
                        <a:xfrm>
                          <a:off x="0" y="0"/>
                          <a:ext cx="3371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19.3pt;margin-top:27.45pt;height:0pt;width:265.5pt;z-index:251660288;mso-width-relative:page;mso-height-relative:page;" filled="f" stroked="t" coordsize="21600,21600" o:gfxdata="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9Yqf41gAAAAkBAAAP&#10;AAAAAAAAAAEAIAAAACIAAABkcnMvZG93bnJldi54bWxQSwECFAAUAAAACACHTuJAg2J42+EBAACx&#10;AwAADgAAAAAAAAABACAAAAAlAQAAZHJzL2Uyb0RvYy54bWxQSwUGAAAAAAYABgBZAQAAeAUAAAAA&#10;">
                <v:fill on="f" focussize="0,0"/>
                <v:stroke weight="0.5pt" color="#000000 [3213]" miterlimit="8" joinstyle="miter"/>
                <v:imagedata o:title=""/>
                <o:lock v:ext="edit" aspectratio="f"/>
              </v:line>
            </w:pict>
          </mc:Fallback>
        </mc:AlternateContent>
      </w:r>
      <w:r>
        <w:rPr>
          <w:rFonts w:hint="eastAsia"/>
        </w:rPr>
        <w:t xml:space="preserve">项目名称 </w:t>
      </w:r>
      <w:r>
        <w:rPr>
          <w:rFonts w:hint="eastAsia"/>
          <w:lang w:val="en-US" w:eastAsia="zh-CN"/>
        </w:rPr>
        <w:t xml:space="preserve">   </w:t>
      </w:r>
      <w:r>
        <w:rPr>
          <w:rFonts w:hint="eastAsia"/>
        </w:rPr>
        <w:t xml:space="preserve">2024年度部门整体绩效评价报告    </w:t>
      </w:r>
    </w:p>
    <w:p/>
    <w:p>
      <w:pPr>
        <w:ind w:firstLine="0" w:firstLineChars="0"/>
        <w:rPr>
          <w:rFonts w:hint="eastAsia"/>
        </w:rPr>
      </w:pPr>
    </w:p>
    <w:p/>
    <w:p/>
    <w:p/>
    <w:p>
      <w:pPr>
        <w:jc w:val="center"/>
      </w:pPr>
      <w:bookmarkStart w:id="3" w:name="_Toc7629"/>
      <w:bookmarkStart w:id="4" w:name="_Toc26891"/>
      <w:r>
        <w:rPr>
          <w:rFonts w:hint="eastAsia"/>
        </w:rPr>
        <w:t>北京市体育彩票管理中心</w:t>
      </w:r>
      <w:bookmarkEnd w:id="3"/>
      <w:bookmarkEnd w:id="4"/>
    </w:p>
    <w:p>
      <w:pPr>
        <w:jc w:val="cente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r>
        <w:rPr>
          <w:rFonts w:hint="eastAsia"/>
        </w:rPr>
        <w:t>二</w:t>
      </w:r>
      <w:r>
        <w:rPr>
          <w:rFonts w:hint="eastAsia" w:ascii="微软雅黑" w:hAnsi="微软雅黑" w:eastAsia="微软雅黑" w:cs="微软雅黑"/>
        </w:rPr>
        <w:t>〇</w:t>
      </w:r>
      <w:r>
        <w:rPr>
          <w:rFonts w:hint="eastAsia"/>
        </w:rPr>
        <w:t>二五年五月</w:t>
      </w:r>
    </w:p>
    <w:p>
      <w:pPr>
        <w:spacing w:line="240" w:lineRule="auto"/>
        <w:ind w:firstLine="0" w:firstLineChars="0"/>
        <w:jc w:val="center"/>
        <w:rPr>
          <w:rFonts w:ascii="黑体" w:hAnsi="黑体" w:eastAsia="黑体" w:cs="黑体"/>
          <w:bCs w:val="0"/>
          <w:sz w:val="36"/>
          <w:szCs w:val="36"/>
        </w:rPr>
      </w:pPr>
      <w:r>
        <w:rPr>
          <w:rFonts w:hint="eastAsia" w:ascii="黑体" w:hAnsi="黑体" w:eastAsia="黑体" w:cs="黑体"/>
          <w:bCs w:val="0"/>
          <w:sz w:val="36"/>
          <w:szCs w:val="36"/>
        </w:rPr>
        <w:t>北京市体育彩票管理中心2024年度</w:t>
      </w:r>
    </w:p>
    <w:p>
      <w:pPr>
        <w:spacing w:line="240" w:lineRule="auto"/>
        <w:ind w:firstLine="0" w:firstLineChars="0"/>
        <w:jc w:val="center"/>
        <w:rPr>
          <w:rFonts w:ascii="黑体" w:hAnsi="黑体" w:eastAsia="黑体" w:cs="黑体"/>
          <w:bCs w:val="0"/>
          <w:sz w:val="36"/>
          <w:szCs w:val="36"/>
        </w:rPr>
      </w:pPr>
      <w:r>
        <w:rPr>
          <w:rFonts w:hint="eastAsia" w:ascii="黑体" w:hAnsi="黑体" w:eastAsia="黑体" w:cs="黑体"/>
          <w:bCs w:val="0"/>
          <w:sz w:val="36"/>
          <w:szCs w:val="36"/>
        </w:rPr>
        <w:t>部门整体绩效评价报告</w:t>
      </w:r>
    </w:p>
    <w:p/>
    <w:p>
      <w:r>
        <w:rPr>
          <w:rFonts w:hint="eastAsia"/>
        </w:rPr>
        <w:t>一、部门概况</w:t>
      </w:r>
    </w:p>
    <w:p>
      <w:r>
        <w:rPr>
          <w:rFonts w:hint="eastAsia"/>
        </w:rPr>
        <w:t>（一）机构设置及职责工作任务情况</w:t>
      </w:r>
    </w:p>
    <w:p>
      <w:r>
        <w:rPr>
          <w:rFonts w:hint="eastAsia"/>
        </w:rPr>
        <w:t>1.机构设置</w:t>
      </w:r>
    </w:p>
    <w:p>
      <w:r>
        <w:rPr>
          <w:rFonts w:hint="eastAsia"/>
        </w:rPr>
        <w:t>北京市体育彩票管理中心（以下简称“市体彩中心”或“中心”）于1995年批准设立，负责北京地区体育彩票的销售管理工作。根据《中共北京市委机构编制委员会关于市体育局所属事业单位改革有关事项的批复》（京编委〔2021〕87号）等文件，市体彩中心为北京市体育局依法设立的财政补助事业单位（公益二类），为一级预算部门，无下属单位，内设8个部门，具体为综合部、财务部、党办、技术运营部、项目管理部、责任彩票部、渠道管理部和品牌建设部。</w:t>
      </w:r>
    </w:p>
    <w:p>
      <w:r>
        <w:rPr>
          <w:rFonts w:hint="eastAsia"/>
        </w:rPr>
        <w:t>2.部门主要职责及工作任务</w:t>
      </w:r>
    </w:p>
    <w:p>
      <w:r>
        <w:rPr>
          <w:rFonts w:hint="eastAsia"/>
        </w:rPr>
        <w:t>根据《中共北京市委机构编制委员会关于市体育局所属事业单位改革有关事项的批复》（京编委</w:t>
      </w:r>
      <w:r>
        <w:rPr>
          <w:rFonts w:hint="eastAsia"/>
          <w:kern w:val="0"/>
        </w:rPr>
        <w:t>〔2021〕87号）</w:t>
      </w:r>
      <w:r>
        <w:rPr>
          <w:rFonts w:hint="eastAsia"/>
        </w:rPr>
        <w:t>等文件，市体彩中心部门职责为：</w:t>
      </w:r>
    </w:p>
    <w:p>
      <w:pPr>
        <w:pStyle w:val="2"/>
        <w:ind w:firstLine="640"/>
      </w:pPr>
      <w:r>
        <w:rPr>
          <w:rFonts w:hint="eastAsia"/>
        </w:rPr>
        <w:t>（1）</w:t>
      </w:r>
      <w:r>
        <w:rPr>
          <w:rFonts w:hint="eastAsia"/>
          <w:lang w:bidi="ar"/>
        </w:rPr>
        <w:t>制定本行政区域体育彩票销售管理办法和工作规范；</w:t>
      </w:r>
    </w:p>
    <w:p>
      <w:pPr>
        <w:pStyle w:val="2"/>
        <w:ind w:firstLine="640"/>
      </w:pPr>
      <w:r>
        <w:rPr>
          <w:rFonts w:hint="eastAsia"/>
        </w:rPr>
        <w:t>（2）</w:t>
      </w:r>
      <w:r>
        <w:rPr>
          <w:rFonts w:hint="eastAsia"/>
          <w:lang w:bidi="ar"/>
        </w:rPr>
        <w:t>向体育彩票发行机构提出申请增加、停止或变更彩票品种审批事项的建议；</w:t>
      </w:r>
    </w:p>
    <w:p>
      <w:pPr>
        <w:pStyle w:val="2"/>
        <w:ind w:firstLine="640"/>
        <w:rPr>
          <w:lang w:bidi="ar"/>
        </w:rPr>
      </w:pPr>
      <w:r>
        <w:rPr>
          <w:rFonts w:hint="eastAsia"/>
        </w:rPr>
        <w:t>（3）</w:t>
      </w:r>
      <w:r>
        <w:rPr>
          <w:rFonts w:hint="eastAsia"/>
          <w:lang w:bidi="ar"/>
        </w:rPr>
        <w:t>向同级财政部门提出本行政区域彩票品种的销售实施方案，经核准后组织实施；</w:t>
      </w:r>
    </w:p>
    <w:p>
      <w:pPr>
        <w:pStyle w:val="2"/>
        <w:ind w:firstLine="640"/>
      </w:pPr>
      <w:r>
        <w:rPr>
          <w:rFonts w:hint="eastAsia"/>
        </w:rPr>
        <w:t>（4）</w:t>
      </w:r>
      <w:r>
        <w:rPr>
          <w:rFonts w:hint="eastAsia"/>
          <w:lang w:bidi="ar"/>
        </w:rPr>
        <w:t>负责本行政区域体育彩票销售系统的建设、运营和维护；</w:t>
      </w:r>
    </w:p>
    <w:p>
      <w:pPr>
        <w:pStyle w:val="2"/>
        <w:ind w:firstLine="640"/>
      </w:pPr>
      <w:r>
        <w:rPr>
          <w:rFonts w:hint="eastAsia"/>
        </w:rPr>
        <w:t>（5）</w:t>
      </w:r>
      <w:r>
        <w:rPr>
          <w:rFonts w:hint="eastAsia"/>
          <w:lang w:bidi="ar"/>
        </w:rPr>
        <w:t>负责实施本行政区域体育彩票的销售系统数据管理、彩票资金结算、彩票销售渠道和场所规划、彩票物流管理、彩票开奖兑奖；</w:t>
      </w:r>
    </w:p>
    <w:p>
      <w:pPr>
        <w:pStyle w:val="2"/>
        <w:ind w:firstLine="640"/>
      </w:pPr>
      <w:r>
        <w:rPr>
          <w:rFonts w:hint="eastAsia"/>
        </w:rPr>
        <w:t>（6）</w:t>
      </w:r>
      <w:r>
        <w:rPr>
          <w:rFonts w:hint="eastAsia"/>
          <w:lang w:bidi="ar"/>
        </w:rPr>
        <w:t>负责组织实施本行政区域体育彩票的形象建设、彩票代销、营销宣传、业务培训与合作、人才队伍建设等工作。</w:t>
      </w:r>
    </w:p>
    <w:p>
      <w:r>
        <w:rPr>
          <w:rFonts w:hint="eastAsia"/>
        </w:rPr>
        <w:t>（二）部门整体绩效目标设立情况</w:t>
      </w:r>
    </w:p>
    <w:p>
      <w:r>
        <w:rPr>
          <w:rFonts w:hint="eastAsia"/>
        </w:rPr>
        <w:t>1.部门整体支出年度目标</w:t>
      </w:r>
    </w:p>
    <w:p>
      <w:r>
        <w:rPr>
          <w:rFonts w:hint="eastAsia"/>
        </w:rPr>
        <w:t>2024年</w:t>
      </w:r>
      <w:r>
        <w:rPr>
          <w:rFonts w:hint="eastAsia" w:cs="宋体"/>
        </w:rPr>
        <w:t>市体彩中心结合工作实际，制定了部门整体支出绩效目标。</w:t>
      </w:r>
      <w:r>
        <w:rPr>
          <w:rFonts w:hint="eastAsia"/>
        </w:rPr>
        <w:t>2024年部门整体支出年度目标分为四个方面，分别为：</w:t>
      </w:r>
      <w:r>
        <w:rPr>
          <w:rFonts w:hint="eastAsia"/>
          <w:b/>
        </w:rPr>
        <w:t>一是</w:t>
      </w:r>
      <w:r>
        <w:rPr>
          <w:rFonts w:hint="eastAsia"/>
        </w:rPr>
        <w:t>年度销售任务80.00亿元，为支持体育及社会公益事业发展筹集更多的体彩公益金，预计筹集地方公益金9.70亿元，本级业务费2.51亿元；</w:t>
      </w:r>
      <w:r>
        <w:rPr>
          <w:rFonts w:hint="eastAsia"/>
          <w:b/>
        </w:rPr>
        <w:t>二是</w:t>
      </w:r>
      <w:r>
        <w:rPr>
          <w:rFonts w:hint="eastAsia"/>
        </w:rPr>
        <w:t>提升体育彩票品牌影响力，持续扩大彩民群体，挖潜购彩群体市场；</w:t>
      </w:r>
      <w:r>
        <w:rPr>
          <w:rFonts w:hint="eastAsia"/>
          <w:b/>
        </w:rPr>
        <w:t>三是</w:t>
      </w:r>
      <w:r>
        <w:rPr>
          <w:rFonts w:hint="eastAsia"/>
        </w:rPr>
        <w:t>为北京体彩市场销售渠道的平稳运行做好管理及保障工作，满足市场相关需要，保证彩票销售业务正常开展；四是保证彩票销售相关的办公和生产系统的稳定、安全运行，保证彩票销售业务的正常运行。</w:t>
      </w:r>
    </w:p>
    <w:p>
      <w:r>
        <w:rPr>
          <w:rFonts w:hint="eastAsia"/>
        </w:rPr>
        <w:t>2.部门整体支出绩效指标</w:t>
      </w:r>
    </w:p>
    <w:p>
      <w:r>
        <w:rPr>
          <w:rFonts w:hint="eastAsia"/>
        </w:rPr>
        <w:t>2024年市体彩中心根据年度总体目标分解设置了三级指标，具体详见表1。</w:t>
      </w:r>
    </w:p>
    <w:p>
      <w:pPr>
        <w:spacing w:line="600" w:lineRule="exact"/>
        <w:ind w:firstLine="480"/>
        <w:jc w:val="center"/>
        <w:rPr>
          <w:rFonts w:hint="eastAsia" w:ascii="黑体" w:hAnsi="黑体" w:eastAsia="黑体"/>
          <w:sz w:val="24"/>
        </w:rPr>
      </w:pPr>
      <w:r>
        <w:rPr>
          <w:rFonts w:hint="eastAsia" w:ascii="黑体" w:hAnsi="黑体" w:eastAsia="黑体"/>
          <w:sz w:val="24"/>
        </w:rPr>
        <w:t>表1 部门整体绩效目标情况表</w:t>
      </w:r>
    </w:p>
    <w:tbl>
      <w:tblPr>
        <w:tblStyle w:val="16"/>
        <w:tblW w:w="8784" w:type="dxa"/>
        <w:tblInd w:w="113" w:type="dxa"/>
        <w:tblLayout w:type="autofit"/>
        <w:tblCellMar>
          <w:top w:w="0" w:type="dxa"/>
          <w:left w:w="108" w:type="dxa"/>
          <w:bottom w:w="0" w:type="dxa"/>
          <w:right w:w="108" w:type="dxa"/>
        </w:tblCellMar>
      </w:tblPr>
      <w:tblGrid>
        <w:gridCol w:w="762"/>
        <w:gridCol w:w="793"/>
        <w:gridCol w:w="4411"/>
        <w:gridCol w:w="2818"/>
      </w:tblGrid>
      <w:tr>
        <w:tblPrEx>
          <w:tblCellMar>
            <w:top w:w="0" w:type="dxa"/>
            <w:left w:w="108" w:type="dxa"/>
            <w:bottom w:w="0" w:type="dxa"/>
            <w:right w:w="108" w:type="dxa"/>
          </w:tblCellMar>
        </w:tblPrEx>
        <w:trPr>
          <w:trHeight w:val="20" w:hRule="atLeast"/>
          <w:tblHeader/>
        </w:trPr>
        <w:tc>
          <w:tcPr>
            <w:tcW w:w="762"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一级指标</w:t>
            </w:r>
          </w:p>
        </w:tc>
        <w:tc>
          <w:tcPr>
            <w:tcW w:w="793"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二级指标</w:t>
            </w:r>
          </w:p>
        </w:tc>
        <w:tc>
          <w:tcPr>
            <w:tcW w:w="4411"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三级指标</w:t>
            </w:r>
          </w:p>
        </w:tc>
        <w:tc>
          <w:tcPr>
            <w:tcW w:w="2818"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指标值</w:t>
            </w:r>
          </w:p>
        </w:tc>
      </w:tr>
      <w:tr>
        <w:tblPrEx>
          <w:tblCellMar>
            <w:top w:w="0" w:type="dxa"/>
            <w:left w:w="108" w:type="dxa"/>
            <w:bottom w:w="0" w:type="dxa"/>
            <w:right w:w="108" w:type="dxa"/>
          </w:tblCellMar>
        </w:tblPrEx>
        <w:trPr>
          <w:trHeight w:val="241" w:hRule="atLeast"/>
        </w:trPr>
        <w:tc>
          <w:tcPr>
            <w:tcW w:w="762" w:type="dxa"/>
            <w:vMerge w:val="restart"/>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产出</w:t>
            </w:r>
          </w:p>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指标</w:t>
            </w:r>
          </w:p>
        </w:tc>
        <w:tc>
          <w:tcPr>
            <w:tcW w:w="793" w:type="dxa"/>
            <w:vMerge w:val="restart"/>
            <w:tcBorders>
              <w:top w:val="single" w:color="auto" w:sz="4" w:space="0"/>
              <w:left w:val="nil"/>
              <w:bottom w:val="single" w:color="auto"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数量指标</w:t>
            </w:r>
          </w:p>
        </w:tc>
        <w:tc>
          <w:tcPr>
            <w:tcW w:w="4411" w:type="dxa"/>
            <w:tcBorders>
              <w:top w:val="single" w:color="auto" w:sz="4" w:space="0"/>
              <w:left w:val="nil"/>
              <w:bottom w:val="single" w:color="auto"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设备购置台套数</w:t>
            </w:r>
          </w:p>
        </w:tc>
        <w:tc>
          <w:tcPr>
            <w:tcW w:w="28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≥800台套</w:t>
            </w:r>
          </w:p>
        </w:tc>
      </w:tr>
      <w:tr>
        <w:tblPrEx>
          <w:tblCellMar>
            <w:top w:w="0" w:type="dxa"/>
            <w:left w:w="108" w:type="dxa"/>
            <w:bottom w:w="0" w:type="dxa"/>
            <w:right w:w="108" w:type="dxa"/>
          </w:tblCellMar>
        </w:tblPrEx>
        <w:trPr>
          <w:trHeight w:val="331" w:hRule="atLeast"/>
        </w:trPr>
        <w:tc>
          <w:tcPr>
            <w:tcW w:w="762" w:type="dxa"/>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vMerge w:val="continue"/>
            <w:tcBorders>
              <w:top w:val="single" w:color="auto" w:sz="4" w:space="0"/>
              <w:left w:val="nil"/>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4411" w:type="dxa"/>
            <w:tcBorders>
              <w:top w:val="single" w:color="auto"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实体店日常维护及管理</w:t>
            </w:r>
          </w:p>
        </w:tc>
        <w:tc>
          <w:tcPr>
            <w:tcW w:w="2818" w:type="dxa"/>
            <w:tcBorders>
              <w:top w:val="single" w:color="auto"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≥3300家</w:t>
            </w:r>
          </w:p>
        </w:tc>
      </w:tr>
      <w:tr>
        <w:tblPrEx>
          <w:tblCellMar>
            <w:top w:w="0" w:type="dxa"/>
            <w:left w:w="108" w:type="dxa"/>
            <w:bottom w:w="0" w:type="dxa"/>
            <w:right w:w="108" w:type="dxa"/>
          </w:tblCellMar>
        </w:tblPrEx>
        <w:trPr>
          <w:trHeight w:val="320" w:hRule="atLeast"/>
        </w:trPr>
        <w:tc>
          <w:tcPr>
            <w:tcW w:w="762" w:type="dxa"/>
            <w:vMerge w:val="continue"/>
            <w:tcBorders>
              <w:top w:val="nil"/>
              <w:left w:val="single" w:color="auto"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vMerge w:val="continue"/>
            <w:tcBorders>
              <w:left w:val="nil"/>
              <w:bottom w:val="single" w:color="auto"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4411"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市场营销活动次数</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≥9次</w:t>
            </w:r>
          </w:p>
        </w:tc>
      </w:tr>
      <w:tr>
        <w:tblPrEx>
          <w:tblCellMar>
            <w:top w:w="0" w:type="dxa"/>
            <w:left w:w="108" w:type="dxa"/>
            <w:bottom w:w="0" w:type="dxa"/>
            <w:right w:w="108" w:type="dxa"/>
          </w:tblCellMar>
        </w:tblPrEx>
        <w:trPr>
          <w:trHeight w:val="354" w:hRule="atLeast"/>
        </w:trPr>
        <w:tc>
          <w:tcPr>
            <w:tcW w:w="762"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质量指标</w:t>
            </w:r>
          </w:p>
        </w:tc>
        <w:tc>
          <w:tcPr>
            <w:tcW w:w="4411"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设备验收合格率</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100%</w:t>
            </w:r>
          </w:p>
        </w:tc>
      </w:tr>
      <w:tr>
        <w:tblPrEx>
          <w:tblCellMar>
            <w:top w:w="0" w:type="dxa"/>
            <w:left w:w="108" w:type="dxa"/>
            <w:bottom w:w="0" w:type="dxa"/>
            <w:right w:w="108" w:type="dxa"/>
          </w:tblCellMar>
        </w:tblPrEx>
        <w:trPr>
          <w:trHeight w:val="401" w:hRule="atLeast"/>
        </w:trPr>
        <w:tc>
          <w:tcPr>
            <w:tcW w:w="762"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4411"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系统运维合格率</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100%</w:t>
            </w:r>
          </w:p>
        </w:tc>
      </w:tr>
      <w:tr>
        <w:tblPrEx>
          <w:tblCellMar>
            <w:top w:w="0" w:type="dxa"/>
            <w:left w:w="108" w:type="dxa"/>
            <w:bottom w:w="0" w:type="dxa"/>
            <w:right w:w="108" w:type="dxa"/>
          </w:tblCellMar>
        </w:tblPrEx>
        <w:trPr>
          <w:trHeight w:val="378" w:hRule="atLeast"/>
        </w:trPr>
        <w:tc>
          <w:tcPr>
            <w:tcW w:w="762" w:type="dxa"/>
            <w:vMerge w:val="continue"/>
            <w:tcBorders>
              <w:top w:val="nil"/>
              <w:left w:val="single" w:color="auto"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vMerge w:val="restart"/>
            <w:tcBorders>
              <w:top w:val="single" w:color="auto" w:sz="4" w:space="0"/>
              <w:left w:val="nil"/>
              <w:bottom w:val="single" w:color="auto"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时效指标</w:t>
            </w:r>
          </w:p>
        </w:tc>
        <w:tc>
          <w:tcPr>
            <w:tcW w:w="4411"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活动举办及时率</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及时</w:t>
            </w:r>
          </w:p>
        </w:tc>
      </w:tr>
      <w:tr>
        <w:tblPrEx>
          <w:tblCellMar>
            <w:top w:w="0" w:type="dxa"/>
            <w:left w:w="108" w:type="dxa"/>
            <w:bottom w:w="0" w:type="dxa"/>
            <w:right w:w="108" w:type="dxa"/>
          </w:tblCellMar>
        </w:tblPrEx>
        <w:trPr>
          <w:trHeight w:val="355" w:hRule="atLeast"/>
        </w:trPr>
        <w:tc>
          <w:tcPr>
            <w:tcW w:w="762" w:type="dxa"/>
            <w:vMerge w:val="continue"/>
            <w:tcBorders>
              <w:top w:val="nil"/>
              <w:left w:val="single" w:color="auto"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vMerge w:val="continue"/>
            <w:tcBorders>
              <w:top w:val="single" w:color="auto" w:sz="4" w:space="0"/>
              <w:left w:val="nil"/>
              <w:bottom w:val="single" w:color="auto"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4411"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系统故障响应及时</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及时</w:t>
            </w:r>
          </w:p>
        </w:tc>
      </w:tr>
      <w:tr>
        <w:tblPrEx>
          <w:tblCellMar>
            <w:top w:w="0" w:type="dxa"/>
            <w:left w:w="108" w:type="dxa"/>
            <w:bottom w:w="0" w:type="dxa"/>
            <w:right w:w="108" w:type="dxa"/>
          </w:tblCellMar>
        </w:tblPrEx>
        <w:trPr>
          <w:trHeight w:val="20" w:hRule="atLeast"/>
        </w:trPr>
        <w:tc>
          <w:tcPr>
            <w:tcW w:w="762" w:type="dxa"/>
            <w:vMerge w:val="continue"/>
            <w:tcBorders>
              <w:top w:val="nil"/>
              <w:left w:val="single" w:color="auto"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tcBorders>
              <w:top w:val="single" w:color="auto"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成本指标</w:t>
            </w:r>
          </w:p>
        </w:tc>
        <w:tc>
          <w:tcPr>
            <w:tcW w:w="4411"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按照预算将各项支出严格控制在预算规定范围之内</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优</w:t>
            </w:r>
          </w:p>
        </w:tc>
      </w:tr>
      <w:tr>
        <w:tblPrEx>
          <w:tblCellMar>
            <w:top w:w="0" w:type="dxa"/>
            <w:left w:w="108" w:type="dxa"/>
            <w:bottom w:w="0" w:type="dxa"/>
            <w:right w:w="108" w:type="dxa"/>
          </w:tblCellMar>
        </w:tblPrEx>
        <w:trPr>
          <w:trHeight w:val="365" w:hRule="atLeast"/>
        </w:trPr>
        <w:tc>
          <w:tcPr>
            <w:tcW w:w="762"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效益</w:t>
            </w:r>
          </w:p>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指标</w:t>
            </w:r>
          </w:p>
        </w:tc>
        <w:tc>
          <w:tcPr>
            <w:tcW w:w="793" w:type="dxa"/>
            <w:vMerge w:val="restart"/>
            <w:tcBorders>
              <w:top w:val="nil"/>
              <w:left w:val="nil"/>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经济效益指标</w:t>
            </w:r>
          </w:p>
        </w:tc>
        <w:tc>
          <w:tcPr>
            <w:tcW w:w="4411"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筹集地方公益金</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840" w:firstLineChars="400"/>
              <w:rPr>
                <w:rFonts w:hint="eastAsia" w:ascii="宋体" w:eastAsia="宋体" w:cs="Times New Roman"/>
                <w:kern w:val="0"/>
                <w:sz w:val="21"/>
                <w:szCs w:val="24"/>
              </w:rPr>
            </w:pPr>
            <w:r>
              <w:rPr>
                <w:rFonts w:hint="eastAsia" w:ascii="宋体" w:eastAsia="宋体" w:cs="Times New Roman"/>
                <w:kern w:val="0"/>
                <w:sz w:val="21"/>
                <w:szCs w:val="24"/>
              </w:rPr>
              <w:t>≥9.7亿元</w:t>
            </w:r>
          </w:p>
        </w:tc>
      </w:tr>
      <w:tr>
        <w:tblPrEx>
          <w:tblCellMar>
            <w:top w:w="0" w:type="dxa"/>
            <w:left w:w="108" w:type="dxa"/>
            <w:bottom w:w="0" w:type="dxa"/>
            <w:right w:w="108" w:type="dxa"/>
          </w:tblCellMar>
        </w:tblPrEx>
        <w:trPr>
          <w:trHeight w:val="340" w:hRule="atLeast"/>
        </w:trPr>
        <w:tc>
          <w:tcPr>
            <w:tcW w:w="762" w:type="dxa"/>
            <w:vMerge w:val="continue"/>
            <w:tcBorders>
              <w:left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vMerge w:val="continue"/>
            <w:tcBorders>
              <w:left w:val="nil"/>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4411"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促进体育彩票销售</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1260" w:firstLineChars="600"/>
              <w:rPr>
                <w:rFonts w:hint="eastAsia" w:ascii="宋体" w:eastAsia="宋体" w:cs="Times New Roman"/>
                <w:kern w:val="0"/>
                <w:sz w:val="21"/>
                <w:szCs w:val="24"/>
              </w:rPr>
            </w:pPr>
            <w:r>
              <w:rPr>
                <w:rFonts w:hint="eastAsia" w:ascii="宋体" w:eastAsia="宋体" w:cs="Times New Roman"/>
                <w:kern w:val="0"/>
                <w:sz w:val="21"/>
                <w:szCs w:val="24"/>
              </w:rPr>
              <w:t>优</w:t>
            </w:r>
          </w:p>
        </w:tc>
      </w:tr>
      <w:tr>
        <w:tblPrEx>
          <w:tblCellMar>
            <w:top w:w="0" w:type="dxa"/>
            <w:left w:w="108" w:type="dxa"/>
            <w:bottom w:w="0" w:type="dxa"/>
            <w:right w:w="108" w:type="dxa"/>
          </w:tblCellMar>
        </w:tblPrEx>
        <w:trPr>
          <w:trHeight w:val="90" w:hRule="atLeast"/>
        </w:trPr>
        <w:tc>
          <w:tcPr>
            <w:tcW w:w="762"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vMerge w:val="continue"/>
            <w:tcBorders>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4411"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销售体育彩票金额</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≥80亿元</w:t>
            </w:r>
          </w:p>
        </w:tc>
      </w:tr>
      <w:tr>
        <w:tblPrEx>
          <w:tblCellMar>
            <w:top w:w="0" w:type="dxa"/>
            <w:left w:w="108" w:type="dxa"/>
            <w:bottom w:w="0" w:type="dxa"/>
            <w:right w:w="108" w:type="dxa"/>
          </w:tblCellMar>
        </w:tblPrEx>
        <w:trPr>
          <w:trHeight w:val="20" w:hRule="atLeast"/>
        </w:trPr>
        <w:tc>
          <w:tcPr>
            <w:tcW w:w="762"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vMerge w:val="restart"/>
            <w:tcBorders>
              <w:top w:val="nil"/>
              <w:left w:val="nil"/>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社会效益指标</w:t>
            </w:r>
          </w:p>
        </w:tc>
        <w:tc>
          <w:tcPr>
            <w:tcW w:w="4411"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提升体育彩票影响力，扩大彩民群体</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完成</w:t>
            </w:r>
          </w:p>
        </w:tc>
      </w:tr>
      <w:tr>
        <w:tblPrEx>
          <w:tblCellMar>
            <w:top w:w="0" w:type="dxa"/>
            <w:left w:w="108" w:type="dxa"/>
            <w:bottom w:w="0" w:type="dxa"/>
            <w:right w:w="108" w:type="dxa"/>
          </w:tblCellMar>
        </w:tblPrEx>
        <w:trPr>
          <w:trHeight w:val="388" w:hRule="atLeast"/>
        </w:trPr>
        <w:tc>
          <w:tcPr>
            <w:tcW w:w="762"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vMerge w:val="continue"/>
            <w:tcBorders>
              <w:left w:val="nil"/>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4411"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保证系统设备稳定运行，不出现重大安全事故</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全年不出现重大安全事故</w:t>
            </w:r>
          </w:p>
        </w:tc>
      </w:tr>
      <w:tr>
        <w:tblPrEx>
          <w:tblCellMar>
            <w:top w:w="0" w:type="dxa"/>
            <w:left w:w="108" w:type="dxa"/>
            <w:bottom w:w="0" w:type="dxa"/>
            <w:right w:w="108" w:type="dxa"/>
          </w:tblCellMar>
        </w:tblPrEx>
        <w:trPr>
          <w:trHeight w:val="20" w:hRule="atLeast"/>
        </w:trPr>
        <w:tc>
          <w:tcPr>
            <w:tcW w:w="762"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vMerge w:val="continue"/>
            <w:tcBorders>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4411"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系统稳定运行保持业务健康发展</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保持彩票业务稳定发展</w:t>
            </w:r>
          </w:p>
        </w:tc>
      </w:tr>
      <w:tr>
        <w:tblPrEx>
          <w:tblCellMar>
            <w:top w:w="0" w:type="dxa"/>
            <w:left w:w="108" w:type="dxa"/>
            <w:bottom w:w="0" w:type="dxa"/>
            <w:right w:w="108" w:type="dxa"/>
          </w:tblCellMar>
        </w:tblPrEx>
        <w:trPr>
          <w:trHeight w:val="397" w:hRule="atLeast"/>
        </w:trPr>
        <w:tc>
          <w:tcPr>
            <w:tcW w:w="762"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vMerge w:val="restart"/>
            <w:tcBorders>
              <w:top w:val="nil"/>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满意度指标</w:t>
            </w:r>
          </w:p>
        </w:tc>
        <w:tc>
          <w:tcPr>
            <w:tcW w:w="4411"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购彩者满意度</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≥80%</w:t>
            </w:r>
          </w:p>
        </w:tc>
      </w:tr>
      <w:tr>
        <w:tblPrEx>
          <w:tblCellMar>
            <w:top w:w="0" w:type="dxa"/>
            <w:left w:w="108" w:type="dxa"/>
            <w:bottom w:w="0" w:type="dxa"/>
            <w:right w:w="108" w:type="dxa"/>
          </w:tblCellMar>
        </w:tblPrEx>
        <w:trPr>
          <w:trHeight w:val="397" w:hRule="atLeast"/>
        </w:trPr>
        <w:tc>
          <w:tcPr>
            <w:tcW w:w="762" w:type="dxa"/>
            <w:vMerge w:val="continue"/>
            <w:tcBorders>
              <w:top w:val="nil"/>
              <w:left w:val="single" w:color="000000" w:sz="4" w:space="0"/>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793" w:type="dxa"/>
            <w:vMerge w:val="continue"/>
            <w:tcBorders>
              <w:top w:val="nil"/>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p>
        </w:tc>
        <w:tc>
          <w:tcPr>
            <w:tcW w:w="4411"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rPr>
                <w:rFonts w:hint="eastAsia" w:ascii="宋体" w:eastAsia="宋体" w:cs="Times New Roman"/>
                <w:kern w:val="0"/>
                <w:sz w:val="21"/>
                <w:szCs w:val="24"/>
              </w:rPr>
            </w:pPr>
            <w:r>
              <w:rPr>
                <w:rFonts w:hint="eastAsia" w:ascii="宋体" w:eastAsia="宋体" w:cs="Times New Roman"/>
                <w:kern w:val="0"/>
                <w:sz w:val="21"/>
                <w:szCs w:val="24"/>
              </w:rPr>
              <w:t>网点满意度</w:t>
            </w:r>
          </w:p>
        </w:tc>
        <w:tc>
          <w:tcPr>
            <w:tcW w:w="2818"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adjustRightInd w:val="0"/>
              <w:snapToGrid w:val="0"/>
              <w:spacing w:before="0" w:beforeAutospacing="0" w:after="0" w:afterAutospacing="0" w:line="240" w:lineRule="auto"/>
              <w:ind w:left="0" w:right="0" w:firstLine="0" w:firstLineChars="0"/>
              <w:jc w:val="center"/>
              <w:rPr>
                <w:rFonts w:hint="eastAsia" w:ascii="宋体" w:eastAsia="宋体" w:cs="Times New Roman"/>
                <w:kern w:val="0"/>
                <w:sz w:val="21"/>
                <w:szCs w:val="24"/>
              </w:rPr>
            </w:pPr>
            <w:r>
              <w:rPr>
                <w:rFonts w:hint="eastAsia" w:ascii="宋体" w:eastAsia="宋体" w:cs="Times New Roman"/>
                <w:kern w:val="0"/>
                <w:sz w:val="21"/>
                <w:szCs w:val="24"/>
              </w:rPr>
              <w:t>≥90%</w:t>
            </w:r>
          </w:p>
        </w:tc>
      </w:tr>
    </w:tbl>
    <w:p>
      <w:r>
        <w:rPr>
          <w:rFonts w:hint="eastAsia"/>
        </w:rPr>
        <w:t>3</w:t>
      </w:r>
      <w:r>
        <w:t>.</w:t>
      </w:r>
      <w:r>
        <w:rPr>
          <w:rFonts w:hint="eastAsia"/>
        </w:rPr>
        <w:t>部门整体支出绩效目标及指标合理性分析</w:t>
      </w:r>
    </w:p>
    <w:p>
      <w:pPr>
        <w:rPr>
          <w:rFonts w:cs="宋体"/>
          <w:color w:val="0000FF"/>
          <w:kern w:val="0"/>
        </w:rPr>
      </w:pPr>
      <w:r>
        <w:rPr>
          <w:rFonts w:hint="eastAsia"/>
          <w:kern w:val="0"/>
        </w:rPr>
        <w:t>2024年</w:t>
      </w:r>
      <w:r>
        <w:rPr>
          <w:rFonts w:hint="eastAsia"/>
        </w:rPr>
        <w:t>市体彩中心立足部门发展实际和体彩行业发展规划，深入分析部门履职方式，从“风险、品牌、渠道”三个维度谋划推进工作，持续推动体彩事业创新突破，聚焦重点任务，提炼总结部门整体绩效目标和衡量部门履行效能的关键核心绩效指标，通过优化渠道、突出品牌、强化宣传等综合施策，深化体育彩票消费人群、游戏品种和销售渠道的结构调整，提升体育彩票销售规模。</w:t>
      </w:r>
      <w:r>
        <w:rPr>
          <w:rFonts w:hint="eastAsia" w:cs="宋体"/>
          <w:kern w:val="0"/>
        </w:rPr>
        <w:t>部门目标与部门职责任务匹配度较高，各项产出及效果指标设定较为合理，与年度重点工作相关联，可衡量性较强，目标及指标设置较为合理。</w:t>
      </w:r>
    </w:p>
    <w:p>
      <w:r>
        <w:rPr>
          <w:rFonts w:hint="eastAsia"/>
        </w:rPr>
        <w:t>二</w:t>
      </w:r>
      <w:r>
        <w:t>、</w:t>
      </w:r>
      <w:r>
        <w:rPr>
          <w:rFonts w:hint="eastAsia"/>
        </w:rPr>
        <w:t>当年</w:t>
      </w:r>
      <w:r>
        <w:t>预算执行情况</w:t>
      </w:r>
    </w:p>
    <w:p>
      <w:r>
        <w:rPr>
          <w:rFonts w:hint="eastAsia"/>
          <w:kern w:val="0"/>
        </w:rPr>
        <w:t>2024</w:t>
      </w:r>
      <w:r>
        <w:rPr>
          <w:rFonts w:hint="eastAsia" w:hAnsi="仿宋_GB2312"/>
        </w:rPr>
        <w:t>年年初支出预算数</w:t>
      </w:r>
      <w:r>
        <w:rPr>
          <w:rFonts w:hint="eastAsia"/>
        </w:rPr>
        <w:t>26,315.39万元，其中，基本支出预算数2,957.34万元，项目支出预算数23,358.05万元。全年支出预算数26,865.31万元，其中，基本支出预算数2,957.34万元，项目支出预算数23,907.96万元。全年支出决算数24,503.79万元，其中，基本支出2,641.87万元，项目支出21,861.93万元。2024年部门预算执行率为91.21%。</w:t>
      </w:r>
    </w:p>
    <w:p>
      <w:r>
        <w:rPr>
          <w:rFonts w:hint="eastAsia"/>
        </w:rPr>
        <w:t>三</w:t>
      </w:r>
      <w:r>
        <w:t>、整体绩效目标实现情况</w:t>
      </w:r>
    </w:p>
    <w:p>
      <w:r>
        <w:rPr>
          <w:rFonts w:hint="eastAsia"/>
        </w:rPr>
        <w:t>（一）产出完成情况分析</w:t>
      </w:r>
    </w:p>
    <w:p>
      <w:r>
        <w:rPr>
          <w:rFonts w:hint="eastAsia"/>
        </w:rPr>
        <w:t>1.产出数量</w:t>
      </w:r>
    </w:p>
    <w:p>
      <w:pPr>
        <w:ind w:firstLine="643"/>
        <w:rPr>
          <w:rFonts w:ascii="Times New Roman" w:hAnsi="Times New Roman" w:cs="Times New Roman"/>
        </w:rPr>
      </w:pPr>
      <w:r>
        <w:rPr>
          <w:rFonts w:hint="eastAsia"/>
          <w:b/>
        </w:rPr>
        <w:t>体育彩票销售方面</w:t>
      </w:r>
      <w:r>
        <w:rPr>
          <w:rFonts w:hint="eastAsia"/>
        </w:rPr>
        <w:t>。2024年北京体彩年度销量116.19亿元，同比增长7.34%，体育彩票销售额指标完成率为145.24%。</w:t>
      </w:r>
      <w:r>
        <w:rPr>
          <w:rFonts w:hint="eastAsia"/>
          <w:b/>
        </w:rPr>
        <w:t>销售渠道管理方面</w:t>
      </w:r>
      <w:r>
        <w:rPr>
          <w:rFonts w:hint="eastAsia"/>
        </w:rPr>
        <w:t>。为促进实体店质量和服务水平提升，市体彩中心对实体店进行日常管理和服务，协助实体店做好销售工作，强化风险意识，狠抓安全生产，排查整治各类隐患，保障全年体育彩票销售工作平稳有序开展。</w:t>
      </w:r>
      <w:r>
        <w:rPr>
          <w:rFonts w:hint="eastAsia"/>
          <w:b/>
        </w:rPr>
        <w:t>渠道建设方面。</w:t>
      </w:r>
      <w:r>
        <w:rPr>
          <w:rFonts w:hint="eastAsia"/>
        </w:rPr>
        <w:t>2024年市体彩中心不断创新发展模式，深耕传统渠道，拓展新型渠道，推动“体彩+”跨界融合，打造展示体验中心，构建多元渠道体系，优化渠道结构和质量。</w:t>
      </w:r>
      <w:r>
        <w:rPr>
          <w:rFonts w:hint="eastAsia"/>
          <w:b/>
        </w:rPr>
        <w:t>品牌建设方面</w:t>
      </w:r>
      <w:r>
        <w:rPr>
          <w:rFonts w:hint="eastAsia"/>
        </w:rPr>
        <w:t>。2024年市体彩中心以服务全年销售工作为导向，持续宣传体育彩票责任、公益公信理念，完成日常品牌宣传推广、创新游戏营销、品牌活动落地、广告投放等工作</w:t>
      </w:r>
      <w:r>
        <w:rPr>
          <w:rFonts w:hint="eastAsia" w:hAnsi="仿宋_GB2312"/>
        </w:rPr>
        <w:t>。</w:t>
      </w:r>
      <w:r>
        <w:rPr>
          <w:rFonts w:hint="eastAsia"/>
          <w:b/>
        </w:rPr>
        <w:t>系统建设运维方面</w:t>
      </w:r>
      <w:r>
        <w:rPr>
          <w:rFonts w:hint="eastAsia"/>
        </w:rPr>
        <w:t>。2024年市体彩中心着眼于高质量发展，强化对系统的风险防控，保障彩票业务的安全、稳定、连续。</w:t>
      </w:r>
    </w:p>
    <w:p>
      <w:r>
        <w:rPr>
          <w:rFonts w:hint="eastAsia"/>
        </w:rPr>
        <w:t>2.产出</w:t>
      </w:r>
      <w:r>
        <w:t>质量</w:t>
      </w:r>
    </w:p>
    <w:p>
      <w:r>
        <w:rPr>
          <w:rFonts w:hint="eastAsia"/>
        </w:rPr>
        <w:t>2024年市体彩中心各项工作质量完成较好，系统运维合格率、设备验收合格率均达到预期目标。</w:t>
      </w:r>
    </w:p>
    <w:p>
      <w:r>
        <w:rPr>
          <w:rFonts w:hint="eastAsia"/>
        </w:rPr>
        <w:t>3.产出进度</w:t>
      </w:r>
    </w:p>
    <w:p>
      <w:pPr>
        <w:rPr>
          <w:color w:val="0000FF"/>
        </w:rPr>
      </w:pPr>
      <w:r>
        <w:t>202</w:t>
      </w:r>
      <w:r>
        <w:rPr>
          <w:rFonts w:hint="eastAsia"/>
        </w:rPr>
        <w:t>4</w:t>
      </w:r>
      <w:r>
        <w:t>年市体彩中心各项工作完成较为及时，及时举办各项营销、推广活动，开展从业者培训，保障各项系统正常运转，促进</w:t>
      </w:r>
      <w:r>
        <w:rPr>
          <w:rFonts w:hint="eastAsia"/>
        </w:rPr>
        <w:t>了</w:t>
      </w:r>
      <w:r>
        <w:t>市场健康发展。</w:t>
      </w:r>
    </w:p>
    <w:p>
      <w:r>
        <w:rPr>
          <w:rFonts w:hint="eastAsia"/>
        </w:rPr>
        <w:t>4.产出成本</w:t>
      </w:r>
    </w:p>
    <w:p>
      <w:pPr>
        <w:ind w:firstLine="643"/>
      </w:pPr>
      <w:r>
        <w:rPr>
          <w:rFonts w:hint="eastAsia"/>
          <w:b/>
        </w:rPr>
        <w:t>一是</w:t>
      </w:r>
      <w:r>
        <w:rPr>
          <w:rFonts w:hint="eastAsia"/>
        </w:rPr>
        <w:t>2024年市体彩中心严格落实政府过“紧日子”要求，厉行勤俭节约，控制成本，按照预算将各项支出严格控制在规定范围之内，各项支出符合国家财经法规和财务管理制度规定以及有关专项资金管理办法的规定，支出前均按照内控流程要求进行审批。</w:t>
      </w:r>
      <w:r>
        <w:rPr>
          <w:rFonts w:hint="eastAsia"/>
          <w:b/>
        </w:rPr>
        <w:t>二是</w:t>
      </w:r>
      <w:r>
        <w:rPr>
          <w:rFonts w:hint="eastAsia"/>
        </w:rPr>
        <w:t>2024年市体彩中心严格落实政府采购法及部门内控管理的相关要求，严格履行政府采购程序，实现财政资金的节约和成本控制。</w:t>
      </w:r>
      <w:r>
        <w:rPr>
          <w:rFonts w:hint="eastAsia"/>
          <w:b/>
        </w:rPr>
        <w:t>三是</w:t>
      </w:r>
      <w:r>
        <w:rPr>
          <w:rFonts w:hint="eastAsia"/>
        </w:rPr>
        <w:t>“三公”经费、培训费等严格按预算执行。</w:t>
      </w:r>
    </w:p>
    <w:p>
      <w:r>
        <w:rPr>
          <w:rFonts w:hint="eastAsia"/>
        </w:rPr>
        <w:t>（二）效果</w:t>
      </w:r>
      <w:r>
        <w:t>实现情况分析</w:t>
      </w:r>
    </w:p>
    <w:p>
      <w:r>
        <w:rPr>
          <w:rFonts w:hint="eastAsia"/>
        </w:rPr>
        <w:t>1.经济</w:t>
      </w:r>
      <w:r>
        <w:t>效益</w:t>
      </w:r>
    </w:p>
    <w:p>
      <w:pPr>
        <w:rPr>
          <w:highlight w:val="yellow"/>
        </w:rPr>
      </w:pPr>
      <w:r>
        <w:rPr>
          <w:rFonts w:hint="eastAsia"/>
        </w:rPr>
        <w:t>截至2024年年底全市体彩网点共计4540家，全市体育彩票销量116.19亿元，同比增长7.34%，筹集公益金27.81亿元。</w:t>
      </w:r>
    </w:p>
    <w:p>
      <w:r>
        <w:rPr>
          <w:rFonts w:hint="eastAsia"/>
        </w:rPr>
        <w:t>2.社会效益</w:t>
      </w:r>
    </w:p>
    <w:p>
      <w:pPr>
        <w:rPr>
          <w:rFonts w:cs="宋体"/>
          <w:color w:val="0000FF"/>
          <w:kern w:val="0"/>
        </w:rPr>
      </w:pPr>
      <w:r>
        <w:rPr>
          <w:rFonts w:hint="eastAsia" w:cs="宋体"/>
          <w:kern w:val="0"/>
        </w:rPr>
        <w:t>经过二十多年的发展，北京市体育彩票已成为助推北京市社会公益事业和体育事业发展的重要支撑。北京市体育彩票近年来</w:t>
      </w:r>
      <w:r>
        <w:rPr>
          <w:rFonts w:hint="eastAsia"/>
        </w:rPr>
        <w:t>年销售规模不断提升，筹集的公益金规模也同步提升，市级方面通过与国际知名体育赛事合作，资助品牌赛事，支持竞技体育后备人才建设和青少年体育工作，丰富体育活动，为体育强国贡献力量。严格落实“责任为先，公益公信双主线”品牌形象建设要求，注重体彩责任公益理念传播，超80%的落地活动现场，开辟了体育彩票责任、公益展区，有效扩大了体彩品牌形象和公益责任理念的传播成效。</w:t>
      </w:r>
    </w:p>
    <w:p>
      <w:r>
        <w:rPr>
          <w:rFonts w:hint="eastAsia"/>
        </w:rPr>
        <w:t>3.可持续性影响</w:t>
      </w:r>
    </w:p>
    <w:p>
      <w:pPr>
        <w:ind w:firstLine="643"/>
        <w:rPr>
          <w:rFonts w:hAnsi="仿宋"/>
        </w:rPr>
      </w:pPr>
      <w:r>
        <w:rPr>
          <w:rFonts w:hint="eastAsia"/>
          <w:b/>
        </w:rPr>
        <w:t>一是</w:t>
      </w:r>
      <w:r>
        <w:rPr>
          <w:rFonts w:hint="eastAsia"/>
        </w:rPr>
        <w:t>持续推进责任彩票管理体系建设。市体彩中心坚持“建设负责任、可信赖、高质量发展的国家公益彩票”总目标，使责任彩票理念内化于心、外化于行，把“理性购彩”的理念与广大购彩者和社会公众分享</w:t>
      </w:r>
      <w:r>
        <w:rPr>
          <w:rFonts w:hint="eastAsia" w:ascii="楷体" w:hAnsi="楷体" w:eastAsia="楷体" w:cs="楷体"/>
          <w:color w:val="000000"/>
          <w:sz w:val="30"/>
          <w:szCs w:val="30"/>
          <w:lang w:bidi="ar"/>
        </w:rPr>
        <w:t>。</w:t>
      </w:r>
      <w:r>
        <w:rPr>
          <w:rFonts w:hint="eastAsia" w:hAnsi="仿宋"/>
        </w:rPr>
        <w:t>推动责任彩票理念与重点业务工作深度渗透融合，引导业务工作发展、提升负责任形象；联动积极开展对外责任传播，提升社会大众对体彩品牌负责任形象的认知。</w:t>
      </w:r>
    </w:p>
    <w:p>
      <w:pPr>
        <w:ind w:firstLine="643"/>
      </w:pPr>
      <w:r>
        <w:rPr>
          <w:rFonts w:hint="eastAsia"/>
          <w:b/>
        </w:rPr>
        <w:t>二是</w:t>
      </w:r>
      <w:r>
        <w:rPr>
          <w:rFonts w:hint="eastAsia"/>
        </w:rPr>
        <w:t>推动安全生产和风险防控机制建设。2024年市体彩中心对照《彩票管理条例》及其《实施细则》逐条进行了全面彻底的检查，不留死角，对重点领域防控措施进行了完善与优化，形成重点领域风险清单及工作报告，进一步夯实风险风控工作基础。对政治风险、廉政风险、业务风险、社会风险，进行全面梳理排查，制定防控措施，在此基础上形成北京中心风险库。同时，对防控措施是否执行进行了抽查检查，进一步强化防控措施落实效果。</w:t>
      </w:r>
    </w:p>
    <w:p>
      <w:pPr>
        <w:ind w:firstLine="643"/>
      </w:pPr>
      <w:r>
        <w:rPr>
          <w:rFonts w:hint="eastAsia"/>
          <w:b/>
        </w:rPr>
        <w:t>三是</w:t>
      </w:r>
      <w:r>
        <w:rPr>
          <w:rFonts w:hint="eastAsia"/>
        </w:rPr>
        <w:t>不断提升体彩品牌认知与认可度。2024年市体彩中心全年多场景、多频次、多种方式的品牌推广活动，具象化诠释了体育彩票“责任、诚信、团结、创新”的品牌形象。</w:t>
      </w:r>
    </w:p>
    <w:p>
      <w:pPr>
        <w:ind w:firstLine="643"/>
        <w:rPr>
          <w:rFonts w:hAnsi="仿宋"/>
        </w:rPr>
      </w:pPr>
      <w:r>
        <w:rPr>
          <w:rFonts w:hint="eastAsia" w:hAnsi="仿宋"/>
          <w:b/>
        </w:rPr>
        <w:t>四是</w:t>
      </w:r>
      <w:r>
        <w:rPr>
          <w:rFonts w:hint="eastAsia" w:hAnsi="仿宋"/>
        </w:rPr>
        <w:t>系统稳定运行，保持业务健康发展。</w:t>
      </w:r>
      <w:r>
        <w:rPr>
          <w:rFonts w:hint="eastAsia"/>
        </w:rPr>
        <w:t>2024年市体彩中心通过对系统进行运维维护，更新配置专用设备，确保了全年服务和业务系统的连续性，生产和办公“零”中断、“零”事故。</w:t>
      </w:r>
    </w:p>
    <w:p>
      <w:r>
        <w:rPr>
          <w:rFonts w:hint="eastAsia"/>
        </w:rPr>
        <w:t>4.服务对象</w:t>
      </w:r>
      <w:r>
        <w:t>满意度</w:t>
      </w:r>
    </w:p>
    <w:p>
      <w:pPr>
        <w:rPr>
          <w:color w:val="FF0000"/>
        </w:rPr>
      </w:pPr>
      <w:r>
        <w:rPr>
          <w:rFonts w:hint="eastAsia"/>
        </w:rPr>
        <w:t>2024年市体彩中心及时回应群众关切，认真办理群众诉求，响应率100%，满意率100%。市体彩中心在工作中对渠道实体店、队伍、购彩者、品牌等方面开展了较为广泛的调研工作，各项目执行中也对受益群体收集了满意度信息，渠道实体店、队伍等对实体店运维的工作满意度较高，及时解决了实体店、代销者日常运营中的各类问题，服务态度得到认可。</w:t>
      </w:r>
    </w:p>
    <w:p>
      <w:r>
        <w:rPr>
          <w:rFonts w:hint="eastAsia"/>
        </w:rPr>
        <w:t>四</w:t>
      </w:r>
      <w:r>
        <w:t>、预算管理</w:t>
      </w:r>
      <w:r>
        <w:rPr>
          <w:rFonts w:hint="eastAsia"/>
        </w:rPr>
        <w:t>情况分</w:t>
      </w:r>
      <w:r>
        <w:t>析</w:t>
      </w:r>
    </w:p>
    <w:p>
      <w:r>
        <w:rPr>
          <w:rFonts w:hint="eastAsia"/>
        </w:rPr>
        <w:t>（一）财务管理</w:t>
      </w:r>
    </w:p>
    <w:p>
      <w:r>
        <w:rPr>
          <w:rFonts w:hint="eastAsia"/>
        </w:rPr>
        <w:t>1.财务</w:t>
      </w:r>
      <w:r>
        <w:t>管理制度健全性</w:t>
      </w:r>
    </w:p>
    <w:p>
      <w:pPr>
        <w:rPr>
          <w:color w:val="0000FF"/>
        </w:rPr>
      </w:pPr>
      <w:r>
        <w:rPr>
          <w:rFonts w:hint="eastAsia"/>
        </w:rPr>
        <w:t>市体彩中心建立了较为完善的财务管理制度体系，每年通过内控评价、风险评估，结合法律法规、政策要求及部门实际工作，更新各项制度，完善制度体系。</w:t>
      </w:r>
    </w:p>
    <w:p>
      <w:r>
        <w:rPr>
          <w:rFonts w:hint="eastAsia"/>
        </w:rPr>
        <w:t>2.资金使用合规性</w:t>
      </w:r>
      <w:r>
        <w:t>和安全性</w:t>
      </w:r>
    </w:p>
    <w:p>
      <w:pPr>
        <w:rPr>
          <w:color w:val="0000FF"/>
        </w:rPr>
      </w:pPr>
      <w:r>
        <w:rPr>
          <w:rFonts w:hint="eastAsia"/>
        </w:rPr>
        <w:t>市体彩中心</w:t>
      </w:r>
      <w:r>
        <w:rPr>
          <w:rFonts w:hint="eastAsia" w:hAnsi="仿宋_GB2312"/>
        </w:rPr>
        <w:t>严格遵守各项规章制度，</w:t>
      </w:r>
      <w:r>
        <w:rPr>
          <w:rFonts w:hint="eastAsia"/>
        </w:rPr>
        <w:t>资金使用符合国家财经法规和财务管理制度规定以及有关资金管理办法的规定，符合预算批复范围及合同约定；资金拨付有完整的审批程序和手续；各项支出均经过中心支委会集体决策通过，并全面、如实记录于会议纪要；无截留、挤占、挪用情况；政府采购事项，根据法律法规要求及部门内控流程，履行公开招投标或市场询价比价程序，资金使用符合政府采购程序和流程。</w:t>
      </w:r>
    </w:p>
    <w:p>
      <w:r>
        <w:t>3.</w:t>
      </w:r>
      <w:r>
        <w:rPr>
          <w:rFonts w:hint="eastAsia"/>
        </w:rPr>
        <w:t>会计</w:t>
      </w:r>
      <w:r>
        <w:t>基础信息完善性</w:t>
      </w:r>
    </w:p>
    <w:p>
      <w:pPr>
        <w:rPr>
          <w:color w:val="0000FF"/>
        </w:rPr>
      </w:pPr>
      <w:r>
        <w:rPr>
          <w:rFonts w:hint="eastAsia"/>
        </w:rPr>
        <w:t>市体彩中心严格遵守《政府</w:t>
      </w:r>
      <w:r>
        <w:t>会计制度</w:t>
      </w:r>
      <w:r>
        <w:rPr>
          <w:rFonts w:hint="eastAsia"/>
        </w:rPr>
        <w:t>》《体育彩票机构执行&lt;政府会计制度——行政事业单位会计科目和报表&gt;实施细则》《北京市体育彩票管理中心体育彩票资金管理办法》等规章制度，规范财务基础，做好会计核算工作，会计基础信息较为完善、准确，如实反映财务状况和部门工作情况，财务信息真实完整，为内外部监管提供信息支持。通过抽查2024年度市体彩中心会计凭证账簿、记账凭证、经济业务原始凭证，数据真实准确，各类票据较为完整，报销审批手续完备，签字审批完整。</w:t>
      </w:r>
    </w:p>
    <w:p>
      <w:r>
        <w:rPr>
          <w:rFonts w:hint="eastAsia"/>
        </w:rPr>
        <w:t>（二）资产管理</w:t>
      </w:r>
    </w:p>
    <w:p>
      <w:r>
        <w:rPr>
          <w:rFonts w:hint="eastAsia"/>
        </w:rPr>
        <w:t>1.制度建设</w:t>
      </w:r>
    </w:p>
    <w:p>
      <w:pPr>
        <w:rPr>
          <w:color w:val="0000FF"/>
        </w:rPr>
      </w:pPr>
      <w:r>
        <w:rPr>
          <w:rFonts w:hint="eastAsia"/>
        </w:rPr>
        <w:t>为规范固定资产管理，维护资产安全完整，市体彩中心根据《北京市行政事业单位固定资产管理暂行办法》（京财绩效〔2007〕1959号）、《北京市市级行政事业单位国有资产配置管理办法》（京财资产〔2015〕129号）等有关要求，从固定资产管理、固定资产处置、固定资产盘点清查、国有资产技术鉴定等方面不断完善相关管理制度，每年对资产管理内控制度和内控管理流程进行完善修订，制度建设较为健全。</w:t>
      </w:r>
    </w:p>
    <w:p>
      <w:r>
        <w:rPr>
          <w:rFonts w:hint="eastAsia"/>
        </w:rPr>
        <w:t>2.管理措施</w:t>
      </w:r>
    </w:p>
    <w:p>
      <w:pPr>
        <w:ind w:firstLine="643"/>
        <w:rPr>
          <w:color w:val="0000FF"/>
          <w:kern w:val="0"/>
          <w:highlight w:val="yellow"/>
        </w:rPr>
      </w:pPr>
      <w:r>
        <w:rPr>
          <w:rFonts w:hint="eastAsia"/>
          <w:b/>
          <w:kern w:val="0"/>
        </w:rPr>
        <w:t>一是</w:t>
      </w:r>
      <w:r>
        <w:rPr>
          <w:rFonts w:hint="eastAsia"/>
          <w:kern w:val="0"/>
        </w:rPr>
        <w:t>完善资产管理制度。市体彩中心</w:t>
      </w:r>
      <w:r>
        <w:rPr>
          <w:rFonts w:hint="eastAsia"/>
        </w:rPr>
        <w:t>持续建立健全固定资产管理制度，每年通过内控评价、风险评估等方式提高管理水平，根据政策要求、管理需求完善固定资产相关管理制度，提升管理的有序性和约束力。</w:t>
      </w:r>
      <w:r>
        <w:rPr>
          <w:rFonts w:hint="eastAsia"/>
          <w:b/>
        </w:rPr>
        <w:t>二是</w:t>
      </w:r>
      <w:r>
        <w:rPr>
          <w:rFonts w:hint="eastAsia"/>
        </w:rPr>
        <w:t>落实“过紧日子”要求，严控资产配置。</w:t>
      </w:r>
      <w:r>
        <w:rPr>
          <w:rFonts w:hint="eastAsia"/>
          <w:kern w:val="0"/>
        </w:rPr>
        <w:t>市体彩中心</w:t>
      </w:r>
      <w:r>
        <w:rPr>
          <w:rFonts w:hint="eastAsia"/>
        </w:rPr>
        <w:t>严格把关资产配置审批程序，将资产配备与部门履职相适应，在有资产配置需求时，优先使用调剂的原则，从单位闲置资产中调剂使用，确需配置资产时，细化资产预算编制，资产管理与预算管理相结合，提高资产使用率。</w:t>
      </w:r>
      <w:r>
        <w:rPr>
          <w:rFonts w:hint="eastAsia"/>
          <w:b/>
        </w:rPr>
        <w:t>三是</w:t>
      </w:r>
      <w:r>
        <w:rPr>
          <w:rFonts w:hint="eastAsia"/>
        </w:rPr>
        <w:t>加强固定资产管理。</w:t>
      </w:r>
      <w:r>
        <w:rPr>
          <w:rFonts w:hint="eastAsia"/>
          <w:kern w:val="0"/>
        </w:rPr>
        <w:t>市体彩中心</w:t>
      </w:r>
      <w:r>
        <w:rPr>
          <w:rFonts w:hint="eastAsia"/>
        </w:rPr>
        <w:t>做好固定资产管理工作，定期清查固定资产，掌握单位固定资产情况，对达到报废标准且无法继续使用的资产及时进行报废处置。</w:t>
      </w:r>
    </w:p>
    <w:p>
      <w:r>
        <w:rPr>
          <w:rFonts w:hint="eastAsia"/>
        </w:rPr>
        <w:t>（三）绩效管理</w:t>
      </w:r>
    </w:p>
    <w:p>
      <w:r>
        <w:rPr>
          <w:rFonts w:hint="eastAsia"/>
        </w:rPr>
        <w:t>1.制度建设</w:t>
      </w:r>
    </w:p>
    <w:p>
      <w:pPr>
        <w:rPr>
          <w:rFonts w:hAnsi="仿宋_GB2312"/>
        </w:rPr>
      </w:pPr>
      <w:r>
        <w:rPr>
          <w:rFonts w:hint="eastAsia" w:hAnsi="仿宋_GB2312"/>
        </w:rPr>
        <w:t>为规范预算绩效管理，建立科学的部门预算绩效管理体系，提高财政资金使用效益，</w:t>
      </w:r>
      <w:r>
        <w:rPr>
          <w:rFonts w:hint="eastAsia" w:cs="宋体"/>
        </w:rPr>
        <w:t>市体彩中心根据《北京市项目支出绩效评价管理办法》（京财绩效〔</w:t>
      </w:r>
      <w:r>
        <w:rPr>
          <w:rFonts w:hint="eastAsia"/>
        </w:rPr>
        <w:t>2020</w:t>
      </w:r>
      <w:r>
        <w:rPr>
          <w:rFonts w:hint="eastAsia" w:cs="宋体"/>
        </w:rPr>
        <w:t>〕</w:t>
      </w:r>
      <w:r>
        <w:rPr>
          <w:rFonts w:hint="eastAsia"/>
        </w:rPr>
        <w:t>2146</w:t>
      </w:r>
      <w:r>
        <w:rPr>
          <w:rFonts w:hint="eastAsia" w:cs="宋体"/>
        </w:rPr>
        <w:t>号）、《北京市预算绩效目标管理办法》（京财绩效〔</w:t>
      </w:r>
      <w:r>
        <w:rPr>
          <w:rFonts w:hint="eastAsia"/>
        </w:rPr>
        <w:t>2020</w:t>
      </w:r>
      <w:r>
        <w:rPr>
          <w:rFonts w:hint="eastAsia" w:cs="宋体"/>
        </w:rPr>
        <w:t>〕</w:t>
      </w:r>
      <w:r>
        <w:rPr>
          <w:rFonts w:hint="eastAsia"/>
        </w:rPr>
        <w:t>2137</w:t>
      </w:r>
      <w:r>
        <w:rPr>
          <w:rFonts w:hint="eastAsia" w:cs="宋体"/>
        </w:rPr>
        <w:t>号）等有关要求，制定出台了《北京市体育彩票管理中心预算绩效管理暂行办法》，从</w:t>
      </w:r>
      <w:r>
        <w:rPr>
          <w:rFonts w:hint="eastAsia" w:hAnsi="仿宋_GB2312"/>
        </w:rPr>
        <w:t>绩效目标管理、事前绩效评估、预算评审、绩效运行跟踪监控、绩效评价、结果应用等方面明确部门预算绩效管理要求，推动预算绩效管理规范化、制度化开展。</w:t>
      </w:r>
    </w:p>
    <w:p>
      <w:r>
        <w:rPr>
          <w:rFonts w:hint="eastAsia"/>
        </w:rPr>
        <w:t>2.管理措施</w:t>
      </w:r>
    </w:p>
    <w:p>
      <w:pPr>
        <w:ind w:firstLine="643"/>
      </w:pPr>
      <w:r>
        <w:rPr>
          <w:rFonts w:hint="eastAsia"/>
          <w:b/>
        </w:rPr>
        <w:t>一是</w:t>
      </w:r>
      <w:r>
        <w:rPr>
          <w:rFonts w:hint="eastAsia"/>
        </w:rPr>
        <w:t>建立完善的预算绩效管理机制，市体彩中心为提高预算绩效管理力度，提升各部门对预算绩效管理工作的认识，成立了预算绩效管理工作领导小组，由市体彩中心领导和财务部相关人员组成，全面负责部门预算绩效管理工作的统筹规划、总体部署，各业务部门按照预算绩效管理工作安排配合完成相关工作任务。</w:t>
      </w:r>
      <w:r>
        <w:rPr>
          <w:rFonts w:hint="eastAsia"/>
          <w:b/>
        </w:rPr>
        <w:t>二是</w:t>
      </w:r>
      <w:r>
        <w:rPr>
          <w:rFonts w:hint="eastAsia"/>
        </w:rPr>
        <w:t>深入开展全过程预算绩效管理工作。2024年市体彩中心强化“统筹推进”，初步形成大绩效管理格局。树牢全中心“一盘棋”思路，统筹资源、系统谋划、整体推进，建成全方位、全过程、全覆盖的预算绩效管理体系，对上一年度项目进行绩效考评，综合评价项目完成情况、预算执行情况，提高项目管理水平；对本年项目及时进行绩效运行监控，对项目执行情况、预算支出进度进行动态监控，对项目执行中发现的问题及时纠偏，根据项目实际情况及时调整预算和绩效目标，提高财政资金使用效率；申报下一年预算时，引入事前绩效评估和预算评审，从项目立项必要性和预算资金申请合理性方面进行双把关，加大项目支出预算管理力度。</w:t>
      </w:r>
    </w:p>
    <w:p>
      <w:r>
        <w:rPr>
          <w:rFonts w:hint="eastAsia"/>
        </w:rPr>
        <w:t>3.中心预算绩效管理情况</w:t>
      </w:r>
    </w:p>
    <w:p>
      <w:pPr>
        <w:ind w:firstLine="643"/>
      </w:pPr>
      <w:r>
        <w:rPr>
          <w:rFonts w:hint="eastAsia"/>
          <w:b/>
        </w:rPr>
        <w:t>一是</w:t>
      </w:r>
      <w:r>
        <w:rPr>
          <w:rFonts w:hint="eastAsia"/>
        </w:rPr>
        <w:t>2024年市体彩中心</w:t>
      </w:r>
      <w:bookmarkStart w:id="6" w:name="_GoBack"/>
      <w:r>
        <w:rPr>
          <w:rFonts w:hint="eastAsia"/>
        </w:rPr>
        <w:t>根据</w:t>
      </w:r>
      <w:bookmarkEnd w:id="6"/>
      <w:r>
        <w:rPr>
          <w:rFonts w:hint="eastAsia"/>
        </w:rPr>
        <w:t>财政部门要求及时完成预、决算及财务报告编制工作，并按要求进行公开，接受社会监督。</w:t>
      </w:r>
      <w:r>
        <w:rPr>
          <w:rFonts w:hint="eastAsia"/>
          <w:b/>
        </w:rPr>
        <w:t>二是</w:t>
      </w:r>
      <w:r>
        <w:rPr>
          <w:rFonts w:hint="eastAsia"/>
        </w:rPr>
        <w:t>全面实施绩效管理，开展绩效考评、绩效运行监控、成本绩效分析工作，做到精准管控、降本增效。</w:t>
      </w:r>
      <w:r>
        <w:rPr>
          <w:rFonts w:hint="eastAsia"/>
          <w:b/>
        </w:rPr>
        <w:t>三是</w:t>
      </w:r>
      <w:r>
        <w:rPr>
          <w:rFonts w:hint="eastAsia"/>
        </w:rPr>
        <w:t>加强事前审核，2024年市体彩中心对申请2025年预算的各项目开展了事前绩效评估和预算评审，事前评估、预算评审覆盖率达到100%，提高了部门预算编制的准确性和财政资金使用效益。</w:t>
      </w:r>
      <w:r>
        <w:rPr>
          <w:rFonts w:hint="eastAsia"/>
          <w:b/>
        </w:rPr>
        <w:t>四是</w:t>
      </w:r>
      <w:r>
        <w:rPr>
          <w:rFonts w:hint="eastAsia"/>
        </w:rPr>
        <w:t>市体彩中心严格落实北京市财政局预算绩效管理要求，深化成本绩效改革要求，认真梳理2021年至2023年部门实施项目成本绩效分析工作，开展工作成果“回头看”，并结合部门实际，分析成果应用的难度和存在问题。</w:t>
      </w:r>
    </w:p>
    <w:p>
      <w:r>
        <w:rPr>
          <w:rFonts w:hint="eastAsia"/>
        </w:rPr>
        <w:t>（四）结转结余率</w:t>
      </w:r>
    </w:p>
    <w:p>
      <w:pPr>
        <w:rPr>
          <w:color w:val="0000FF"/>
        </w:rPr>
      </w:pPr>
      <w:r>
        <w:rPr>
          <w:rFonts w:hint="eastAsia"/>
          <w:kern w:val="0"/>
        </w:rPr>
        <w:t>2023</w:t>
      </w:r>
      <w:r>
        <w:rPr>
          <w:rFonts w:hint="eastAsia"/>
        </w:rPr>
        <w:t>年部门结转结余总额</w:t>
      </w:r>
      <w:r>
        <w:rPr>
          <w:rFonts w:hint="eastAsia"/>
          <w:kern w:val="0"/>
        </w:rPr>
        <w:t>1,798.67</w:t>
      </w:r>
      <w:r>
        <w:rPr>
          <w:rFonts w:hint="eastAsia"/>
        </w:rPr>
        <w:t>万元，全年支出预算数</w:t>
      </w:r>
      <w:r>
        <w:rPr>
          <w:rFonts w:hint="eastAsia"/>
          <w:kern w:val="0"/>
        </w:rPr>
        <w:t>17,633.39</w:t>
      </w:r>
      <w:r>
        <w:rPr>
          <w:rFonts w:hint="eastAsia"/>
        </w:rPr>
        <w:t>万元，结转结余率</w:t>
      </w:r>
      <w:r>
        <w:rPr>
          <w:rFonts w:hint="eastAsia"/>
          <w:kern w:val="0"/>
        </w:rPr>
        <w:t>10.20%</w:t>
      </w:r>
      <w:r>
        <w:rPr>
          <w:rFonts w:hint="eastAsia"/>
        </w:rPr>
        <w:t>。</w:t>
      </w:r>
      <w:r>
        <w:rPr>
          <w:rFonts w:hint="eastAsia"/>
          <w:kern w:val="0"/>
        </w:rPr>
        <w:t>2024</w:t>
      </w:r>
      <w:r>
        <w:rPr>
          <w:rFonts w:hint="eastAsia"/>
        </w:rPr>
        <w:t>年部门结转结余总额</w:t>
      </w:r>
      <w:r>
        <w:rPr>
          <w:rFonts w:hint="eastAsia"/>
          <w:kern w:val="0"/>
        </w:rPr>
        <w:t>2,361.52</w:t>
      </w:r>
      <w:r>
        <w:rPr>
          <w:rFonts w:hint="eastAsia"/>
        </w:rPr>
        <w:t>万元，全年支出预算数</w:t>
      </w:r>
      <w:r>
        <w:rPr>
          <w:rFonts w:hint="eastAsia"/>
          <w:kern w:val="0"/>
        </w:rPr>
        <w:t>26,865.31</w:t>
      </w:r>
      <w:r>
        <w:rPr>
          <w:rFonts w:hint="eastAsia"/>
        </w:rPr>
        <w:t>万元，结转结余率</w:t>
      </w:r>
      <w:r>
        <w:rPr>
          <w:rFonts w:hint="eastAsia"/>
          <w:kern w:val="0"/>
        </w:rPr>
        <w:t>8.79%</w:t>
      </w:r>
      <w:r>
        <w:rPr>
          <w:rFonts w:hint="eastAsia"/>
        </w:rPr>
        <w:t>，较前一年减少</w:t>
      </w:r>
      <w:r>
        <w:rPr>
          <w:rFonts w:hint="eastAsia"/>
          <w:kern w:val="0"/>
        </w:rPr>
        <w:t>1.41%</w:t>
      </w:r>
      <w:r>
        <w:rPr>
          <w:rFonts w:hint="eastAsia"/>
        </w:rPr>
        <w:t>。</w:t>
      </w:r>
    </w:p>
    <w:p>
      <w:r>
        <w:rPr>
          <w:rFonts w:hint="eastAsia"/>
        </w:rPr>
        <w:t>（五）部门预决算差异率</w:t>
      </w:r>
    </w:p>
    <w:p>
      <w:pPr>
        <w:rPr>
          <w:color w:val="0000FF"/>
        </w:rPr>
      </w:pPr>
      <w:r>
        <w:rPr>
          <w:rFonts w:hint="eastAsia"/>
        </w:rPr>
        <w:t>2024年部门决算数</w:t>
      </w:r>
      <w:r>
        <w:rPr>
          <w:rFonts w:hint="eastAsia"/>
          <w:kern w:val="0"/>
        </w:rPr>
        <w:t>24,503.79</w:t>
      </w:r>
      <w:r>
        <w:rPr>
          <w:rFonts w:hint="eastAsia"/>
        </w:rPr>
        <w:t>万元，与年初部门预算数</w:t>
      </w:r>
      <w:r>
        <w:rPr>
          <w:rFonts w:hint="eastAsia"/>
          <w:kern w:val="0"/>
        </w:rPr>
        <w:t>26,315.39</w:t>
      </w:r>
      <w:r>
        <w:rPr>
          <w:rFonts w:hint="eastAsia"/>
        </w:rPr>
        <w:t>万元相比，部门预决算差异率为</w:t>
      </w:r>
      <w:r>
        <w:rPr>
          <w:rFonts w:hint="eastAsia"/>
          <w:kern w:val="0"/>
        </w:rPr>
        <w:t>6.88%</w:t>
      </w:r>
      <w:r>
        <w:rPr>
          <w:rFonts w:hint="eastAsia"/>
        </w:rPr>
        <w:t>，低于市级单位预决算平均差异率。</w:t>
      </w:r>
    </w:p>
    <w:p>
      <w:r>
        <w:rPr>
          <w:rFonts w:hint="eastAsia"/>
        </w:rPr>
        <w:t>五、总体</w:t>
      </w:r>
      <w:r>
        <w:t>评价结论</w:t>
      </w:r>
    </w:p>
    <w:p>
      <w:r>
        <w:rPr>
          <w:rFonts w:hint="eastAsia"/>
        </w:rPr>
        <w:t>（一）评价</w:t>
      </w:r>
      <w:r>
        <w:t>得分</w:t>
      </w:r>
      <w:r>
        <w:rPr>
          <w:rFonts w:hint="eastAsia"/>
        </w:rPr>
        <w:t>情况</w:t>
      </w:r>
    </w:p>
    <w:p>
      <w:pPr>
        <w:ind w:firstLine="643"/>
        <w:rPr>
          <w:rFonts w:hAnsi="仿宋_GB2312"/>
          <w:lang w:bidi="ar"/>
        </w:rPr>
      </w:pPr>
      <w:r>
        <w:rPr>
          <w:rFonts w:hint="eastAsia" w:hAnsi="仿宋_GB2312"/>
          <w:b/>
          <w:lang w:bidi="ar"/>
        </w:rPr>
        <w:t>绩效评价得分为</w:t>
      </w:r>
      <w:r>
        <w:rPr>
          <w:rFonts w:hint="eastAsia"/>
          <w:b/>
        </w:rPr>
        <w:t>95.4</w:t>
      </w:r>
      <w:r>
        <w:rPr>
          <w:rFonts w:hint="eastAsia" w:hAnsi="仿宋_GB2312"/>
          <w:b/>
          <w:lang w:bidi="ar"/>
        </w:rPr>
        <w:t>分，评价等级为“优”。</w:t>
      </w:r>
      <w:r>
        <w:rPr>
          <w:rFonts w:hint="eastAsia" w:hAnsi="仿宋_GB2312"/>
          <w:lang w:bidi="ar"/>
        </w:rPr>
        <w:t>部门当年预算执行情况良好，预算执行率</w:t>
      </w:r>
      <w:r>
        <w:rPr>
          <w:rFonts w:hint="eastAsia"/>
        </w:rPr>
        <w:t>91.21%</w:t>
      </w:r>
      <w:r>
        <w:rPr>
          <w:rFonts w:hint="eastAsia" w:hAnsi="仿宋_GB2312"/>
          <w:lang w:bidi="ar"/>
        </w:rPr>
        <w:t>，整体绩效目标实现情况良好，基本完成了年初制定的各项重点工作任务。</w:t>
      </w:r>
      <w:r>
        <w:rPr>
          <w:rFonts w:hint="eastAsia"/>
        </w:rPr>
        <w:t>2</w:t>
      </w:r>
      <w:r>
        <w:t>02</w:t>
      </w:r>
      <w:r>
        <w:rPr>
          <w:rFonts w:hint="eastAsia"/>
        </w:rPr>
        <w:t>4年共销售体育彩票</w:t>
      </w:r>
      <w:r>
        <w:t>116.19</w:t>
      </w:r>
      <w:r>
        <w:rPr>
          <w:rFonts w:hint="eastAsia"/>
        </w:rPr>
        <w:t>亿元，同比2023年实现增长7.34%，筹集地方公益金14.03亿元。2024年市体彩中心不断提升服务质量和管理精细化程度，对实体店进行日常管理和服务，协助实体店做好销售工作，强化风险意识，狠抓安全生产，排查整治各类隐患；创新发展模式，拓展新型渠道，推动“体彩+”跨界融合，打造展示体验中心，构建多元渠道体系，优化渠道结构和质量，有效提升管理效能；持续宣传体育彩票责任、公益公信理念，完成日常宣传推广、游戏营销、品牌活动落地、业务能力提升培训、广告投放等工作；全年生产、办公系统安全稳定运行，保障了彩票业务的安全、稳定、连续。部门管理方面，市体彩中心持续完善内部各项管理制度，</w:t>
      </w:r>
      <w:r>
        <w:rPr>
          <w:rFonts w:hint="eastAsia" w:hAnsi="仿宋_GB2312"/>
          <w:lang w:bidi="ar"/>
        </w:rPr>
        <w:t>资金使用规范，会计基础信息完善，资产安全完整、资产使用及处置合规。</w:t>
      </w:r>
    </w:p>
    <w:p>
      <w:r>
        <w:rPr>
          <w:rFonts w:hint="eastAsia"/>
        </w:rPr>
        <w:t>（二）存在的问题及原因分析</w:t>
      </w:r>
    </w:p>
    <w:p>
      <w:pPr>
        <w:rPr>
          <w:highlight w:val="yellow"/>
        </w:rPr>
      </w:pPr>
      <w:r>
        <w:rPr>
          <w:rFonts w:hint="eastAsia"/>
        </w:rPr>
        <w:t>1.项目工作计划制定的精准性需进一步提升。</w:t>
      </w:r>
    </w:p>
    <w:p>
      <w:pPr>
        <w:rPr>
          <w:rFonts w:hAnsi="仿宋_GB2312"/>
          <w:color w:val="000000"/>
          <w:highlight w:val="yellow"/>
        </w:rPr>
      </w:pPr>
      <w:r>
        <w:rPr>
          <w:rFonts w:hint="eastAsia"/>
        </w:rPr>
        <w:t>2.部门资产管理精细化程度需要进一步完善。</w:t>
      </w:r>
    </w:p>
    <w:p>
      <w:r>
        <w:rPr>
          <w:rFonts w:hint="eastAsia"/>
        </w:rPr>
        <w:t>3.部门履职满意度调查工作仍有提升空间。</w:t>
      </w:r>
    </w:p>
    <w:p>
      <w:r>
        <w:rPr>
          <w:rFonts w:hint="eastAsia"/>
        </w:rPr>
        <w:t>六、措施建议</w:t>
      </w:r>
    </w:p>
    <w:p>
      <w:bookmarkStart w:id="5" w:name="_Toc44969980"/>
      <w:r>
        <w:rPr>
          <w:rFonts w:hint="eastAsia"/>
        </w:rPr>
        <w:t>1.</w:t>
      </w:r>
      <w:bookmarkEnd w:id="5"/>
      <w:r>
        <w:rPr>
          <w:rFonts w:hint="eastAsia"/>
        </w:rPr>
        <w:t>提高项目实施方案的有效性，提高资金投入效益，提高项目立项环节的科学性，充分考虑项目实施可能出现的各项风险，提高项目计划的精准性。</w:t>
      </w:r>
    </w:p>
    <w:p>
      <w:r>
        <w:rPr>
          <w:rFonts w:hint="eastAsia"/>
        </w:rPr>
        <w:t>2.完善固定资产管理体系，提升资产管理规范性，建立健全资产管理制度，明确职责分工，细化各部门在资产管理中的职责，确保责任到人，形成资产管理网络。</w:t>
      </w:r>
    </w:p>
    <w:p>
      <w:pPr>
        <w:ind w:firstLine="643"/>
      </w:pPr>
      <w:r>
        <w:rPr>
          <w:rFonts w:hint="eastAsia"/>
          <w:b w:val="0"/>
          <w:bCs w:val="0"/>
        </w:rPr>
        <w:t>3.合理设置满意度指标，完善满意度调查机制，</w:t>
      </w:r>
      <w:r>
        <w:rPr>
          <w:rFonts w:hint="eastAsia"/>
        </w:rPr>
        <w:t>定期对代销者和购彩者开展市体彩中心履职的满意度调查，科学设置满意度调查问卷，建立多种方式相结合的问卷调查机制，引入多元调查渠道，扩大调查覆盖范围，同时结合线下活动，提高调查的参与度。</w:t>
      </w:r>
    </w:p>
    <w:p>
      <w:pPr>
        <w:pStyle w:val="2"/>
        <w:ind w:left="0" w:leftChars="0" w:firstLine="0" w:firstLineChars="0"/>
        <w:rPr>
          <w:rFonts w:hint="eastAsia"/>
        </w:rPr>
        <w:sectPr>
          <w:footerReference r:id="rId11" w:type="default"/>
          <w:pgSz w:w="11906" w:h="16838"/>
          <w:pgMar w:top="1440" w:right="1800" w:bottom="1440" w:left="1800" w:header="851" w:footer="964" w:gutter="0"/>
          <w:pgNumType w:start="1"/>
          <w:cols w:space="425" w:num="1"/>
          <w:docGrid w:type="lines" w:linePitch="435" w:charSpace="0"/>
        </w:sectPr>
      </w:pPr>
    </w:p>
    <w:p>
      <w:pPr>
        <w:keepNext w:val="0"/>
        <w:keepLines w:val="0"/>
        <w:widowControl w:val="0"/>
        <w:suppressLineNumbers w:val="0"/>
        <w:spacing w:before="0" w:beforeAutospacing="0" w:after="0" w:afterAutospacing="0" w:line="360" w:lineRule="auto"/>
        <w:ind w:left="0" w:leftChars="0" w:right="0" w:firstLine="0" w:firstLineChars="0"/>
        <w:jc w:val="left"/>
        <w:rPr>
          <w:rFonts w:hint="eastAsia"/>
          <w:lang w:val="en-US" w:eastAsia="zh-CN"/>
        </w:rPr>
      </w:pPr>
      <w:r>
        <w:rPr>
          <w:rFonts w:hint="eastAsia" w:ascii="黑体" w:hAnsi="黑体" w:eastAsia="黑体" w:cs="黑体"/>
          <w:lang w:eastAsia="zh-CN"/>
        </w:rPr>
        <w:t>附件一</w:t>
      </w:r>
      <w:r>
        <w:rPr>
          <w:rFonts w:hint="eastAsia" w:ascii="黑体" w:hAnsi="黑体" w:eastAsia="黑体" w:cs="黑体"/>
          <w:lang w:val="en-US" w:eastAsia="zh-CN"/>
        </w:rPr>
        <w:t xml:space="preserve"> </w:t>
      </w:r>
      <w:r>
        <w:rPr>
          <w:rFonts w:hint="eastAsia"/>
          <w:lang w:val="en-US" w:eastAsia="zh-CN"/>
        </w:rPr>
        <w:t xml:space="preserve">  </w:t>
      </w:r>
    </w:p>
    <w:p>
      <w:pPr>
        <w:keepNext w:val="0"/>
        <w:keepLines w:val="0"/>
        <w:widowControl w:val="0"/>
        <w:suppressLineNumbers w:val="0"/>
        <w:spacing w:before="0" w:beforeAutospacing="0" w:after="0" w:afterAutospacing="0" w:line="360" w:lineRule="auto"/>
        <w:ind w:left="0" w:leftChars="0" w:right="0" w:firstLine="0" w:firstLineChars="0"/>
        <w:jc w:val="center"/>
        <w:rPr>
          <w:lang w:val="en-US"/>
        </w:rPr>
      </w:pPr>
      <w:r>
        <w:rPr>
          <w:rFonts w:hint="default" w:ascii="方正小标宋简体" w:hAnsi="方正小标宋简体" w:eastAsia="方正小标宋简体" w:cs="方正小标宋简体"/>
          <w:bCs/>
          <w:color w:val="000000"/>
          <w:kern w:val="0"/>
          <w:sz w:val="44"/>
          <w:szCs w:val="44"/>
          <w:lang w:val="en-US" w:eastAsia="zh-CN" w:bidi="ar"/>
        </w:rPr>
        <w:t>2024</w:t>
      </w:r>
      <w:r>
        <w:rPr>
          <w:rFonts w:hint="eastAsia" w:ascii="方正小标宋简体" w:hAnsi="方正小标宋简体" w:eastAsia="宋体" w:cs="宋体"/>
          <w:bCs/>
          <w:color w:val="000000"/>
          <w:kern w:val="0"/>
          <w:sz w:val="44"/>
          <w:szCs w:val="44"/>
          <w:lang w:val="en-US" w:eastAsia="zh-CN" w:bidi="ar"/>
        </w:rPr>
        <w:t>年部门整体绩效评价指标体系评分表</w:t>
      </w:r>
    </w:p>
    <w:tbl>
      <w:tblPr>
        <w:tblStyle w:val="16"/>
        <w:tblW w:w="136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8"/>
        <w:gridCol w:w="1651"/>
        <w:gridCol w:w="1974"/>
        <w:gridCol w:w="1764"/>
        <w:gridCol w:w="4695"/>
        <w:gridCol w:w="1258"/>
        <w:gridCol w:w="1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6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预算数</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执行数</w:t>
            </w:r>
          </w:p>
        </w:tc>
        <w:tc>
          <w:tcPr>
            <w:tcW w:w="5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（万元）</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（万元）</w:t>
            </w: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当年预算执行情况（20）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资金总体</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26,865.31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24,503.79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91.21%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20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基本支出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2,957.35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2,641.87</w:t>
            </w:r>
          </w:p>
        </w:tc>
        <w:tc>
          <w:tcPr>
            <w:tcW w:w="5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宋体" w:eastAsia="仿宋_GB2312" w:cs="仿宋_GB2312"/>
                <w:i w:val="0"/>
                <w:iCs w:val="0"/>
                <w:color w:val="000000"/>
                <w:sz w:val="20"/>
                <w:szCs w:val="20"/>
                <w:u w:val="none"/>
              </w:rPr>
            </w:pPr>
            <w:r>
              <w:rPr>
                <w:rFonts w:hint="default" w:ascii="仿宋_GB2312" w:hAnsi="宋体" w:eastAsia="仿宋_GB2312" w:cs="仿宋_GB2312"/>
                <w:bCs/>
                <w:i w:val="0"/>
                <w:iCs w:val="0"/>
                <w:color w:val="000000"/>
                <w:kern w:val="0"/>
                <w:sz w:val="20"/>
                <w:szCs w:val="20"/>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项目支出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23,907.96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21,861.93</w:t>
            </w: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仿宋_GB2312" w:hAnsi="宋体" w:eastAsia="仿宋_GB2312" w:cs="仿宋_GB2312"/>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6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指标值</w:t>
            </w:r>
          </w:p>
        </w:tc>
        <w:tc>
          <w:tcPr>
            <w:tcW w:w="5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完成值</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整体绩效目标实现情况（60）</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产出（30）</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设备购置台套数</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≥800台</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约2300台套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实体店日常维护及管理</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≥3300家</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4540家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市场营销活动次数</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≥9次</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6次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设备验收合格率</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100%</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活动举办及时</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及时</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按工作计划完成，较为及时。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系统运维合格率</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100%</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系统故障响应率</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及时</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及时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按照预算将各项支出严格控制在预算规定的范围内</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优</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各项支出控制在预算范围内</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效果（30）</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筹集地方公益金</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≥9.7亿元</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14.03亿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促进体育彩票销售</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优</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2024年全市体育彩票销量116.19亿元，同比增长7.34%。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促进体育彩票销售</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提高体育彩票销售额</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提高体育彩票销售额,2024年全市体育彩票销量116.19亿元，同比增长7.34%。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提升体彩品牌认知与认可度</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优</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通过支持体育赛事、公益设施建设、公益宣传活动等，提升体彩品牌形象，向大众传递体彩公益理念。落地年轻化的主题活动，制作一系列形式新颖、符合年轻人观看的短视频，拓展年轻人对体彩品牌的认知度。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系统稳定运行，保持业务健康发展</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优</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全年系统连续稳定运行，生产和办公“零”中断、“零”事故。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系统稳定运行保持业务健康发展</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保持彩票业务稳定发展</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保持彩票业务稳定发展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网点满意度</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≥80%</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购彩者较为满意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购彩者满意度</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≥80%</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购彩者较为满意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68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指标值</w:t>
            </w:r>
          </w:p>
        </w:tc>
        <w:tc>
          <w:tcPr>
            <w:tcW w:w="5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完成值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w:t>
            </w: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预算管理情况（20）</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财务管理（4）</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财务管理制度健全性</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财务管理制度健全、合规</w:t>
            </w:r>
          </w:p>
        </w:tc>
        <w:tc>
          <w:tcPr>
            <w:tcW w:w="5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市体彩中心财务管理制度较为健全、合规，且每年通过内控评价和风险评估不断更新完善各项制度。</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资金使用合规性和安全性</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资金使用合规</w:t>
            </w:r>
          </w:p>
        </w:tc>
        <w:tc>
          <w:tcPr>
            <w:tcW w:w="5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资金使用规范、审批程序完整合规、符合预算批复用途，无截留挤占挪用情况，政府采购程序合规。</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会计基础信息完善性</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基础数据信息和会计信息资料真实、完整、准确</w:t>
            </w:r>
          </w:p>
        </w:tc>
        <w:tc>
          <w:tcPr>
            <w:tcW w:w="5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市体彩中心基础数据信息和会计信息资料真实、准确。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资产管理（4）</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资产管理规范性</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资产管理规范、资产安全完整、资产使用及处置合规</w:t>
            </w:r>
          </w:p>
        </w:tc>
        <w:tc>
          <w:tcPr>
            <w:tcW w:w="5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2024年未发生资产对外投资、处置，管理不当造成资产损失的情况，不存在超标配置资产的问题，资产使用较为规范。</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绩效管理（4）</w:t>
            </w:r>
          </w:p>
        </w:tc>
        <w:tc>
          <w:tcPr>
            <w:tcW w:w="1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绩效管理情况</w:t>
            </w: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按照北京市全面贯彻预算绩效管理的要求开展预算绩效管理</w:t>
            </w:r>
          </w:p>
        </w:tc>
        <w:tc>
          <w:tcPr>
            <w:tcW w:w="5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2024年开展了重点项目绩效评价、部门整体支出绩效评价，开展项目成本绩效分析，组织各业务部门对项目进行绩效自评，年中对当年项目开展绩效运行监控，开展2025年部门预算项目开展了事前绩效评估和预算评审，覆盖率100%。</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w:t>
            </w:r>
          </w:p>
        </w:tc>
        <w:tc>
          <w:tcPr>
            <w:tcW w:w="3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2023年</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2024年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结转结余率</w:t>
            </w:r>
            <w:r>
              <w:rPr>
                <w:rFonts w:hint="eastAsia" w:ascii="宋体" w:hAnsi="宋体" w:eastAsia="宋体" w:cs="宋体"/>
                <w:bCs/>
                <w:i w:val="0"/>
                <w:iCs w:val="0"/>
                <w:color w:val="000000"/>
                <w:kern w:val="0"/>
                <w:sz w:val="20"/>
                <w:szCs w:val="20"/>
                <w:u w:val="none"/>
                <w:lang w:val="en-US" w:eastAsia="zh-CN" w:bidi="ar"/>
              </w:rPr>
              <w:br w:type="textWrapping"/>
            </w:r>
            <w:r>
              <w:rPr>
                <w:rFonts w:hint="eastAsia" w:ascii="宋体" w:hAnsi="宋体" w:eastAsia="宋体" w:cs="宋体"/>
                <w:bCs/>
                <w:i w:val="0"/>
                <w:iCs w:val="0"/>
                <w:color w:val="000000"/>
                <w:kern w:val="0"/>
                <w:sz w:val="20"/>
                <w:szCs w:val="20"/>
                <w:u w:val="none"/>
                <w:lang w:val="en-US" w:eastAsia="zh-CN" w:bidi="ar"/>
              </w:rPr>
              <w:t>（4）</w:t>
            </w:r>
          </w:p>
        </w:tc>
        <w:tc>
          <w:tcPr>
            <w:tcW w:w="3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2023年结转结余率10.2%</w:t>
            </w:r>
          </w:p>
        </w:tc>
        <w:tc>
          <w:tcPr>
            <w:tcW w:w="5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eastAsia="宋体" w:cs="宋体"/>
                <w:bCs/>
                <w:i w:val="0"/>
                <w:iCs w:val="0"/>
                <w:color w:val="000000"/>
                <w:kern w:val="0"/>
                <w:sz w:val="20"/>
                <w:szCs w:val="20"/>
                <w:u w:val="none"/>
                <w:lang w:val="en-US" w:eastAsia="zh-CN" w:bidi="ar"/>
              </w:rPr>
              <w:t>8</w:t>
            </w:r>
            <w:r>
              <w:rPr>
                <w:rFonts w:hint="eastAsia" w:ascii="宋体" w:hAnsi="宋体" w:eastAsia="宋体" w:cs="宋体"/>
                <w:bCs/>
                <w:i w:val="0"/>
                <w:iCs w:val="0"/>
                <w:color w:val="000000"/>
                <w:kern w:val="0"/>
                <w:sz w:val="20"/>
                <w:szCs w:val="20"/>
                <w:u w:val="none"/>
                <w:lang w:val="en-US" w:eastAsia="zh-CN" w:bidi="ar"/>
              </w:rPr>
              <w:t>.7</w:t>
            </w:r>
            <w:r>
              <w:rPr>
                <w:rFonts w:hint="eastAsia" w:ascii="宋体" w:eastAsia="宋体" w:cs="宋体"/>
                <w:bCs/>
                <w:i w:val="0"/>
                <w:iCs w:val="0"/>
                <w:color w:val="000000"/>
                <w:kern w:val="0"/>
                <w:sz w:val="20"/>
                <w:szCs w:val="20"/>
                <w:u w:val="none"/>
                <w:lang w:val="en-US" w:eastAsia="zh-CN" w:bidi="ar"/>
              </w:rPr>
              <w:t>9</w:t>
            </w:r>
            <w:r>
              <w:rPr>
                <w:rFonts w:hint="eastAsia" w:ascii="宋体" w:hAnsi="宋体" w:eastAsia="宋体" w:cs="宋体"/>
                <w:bCs/>
                <w:i w:val="0"/>
                <w:iCs w:val="0"/>
                <w:color w:val="000000"/>
                <w:kern w:val="0"/>
                <w:sz w:val="20"/>
                <w:szCs w:val="20"/>
                <w:u w:val="none"/>
                <w:lang w:val="en-US" w:eastAsia="zh-CN" w:bidi="ar"/>
              </w:rPr>
              <w:t>%</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3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5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部门预决算差异率（4）</w:t>
            </w:r>
          </w:p>
        </w:tc>
        <w:tc>
          <w:tcPr>
            <w:tcW w:w="3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w:t>
            </w:r>
          </w:p>
        </w:tc>
        <w:tc>
          <w:tcPr>
            <w:tcW w:w="5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6.88%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bCs/>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15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 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95.4</w:t>
            </w:r>
          </w:p>
        </w:tc>
      </w:tr>
    </w:tbl>
    <w:p>
      <w:pPr>
        <w:ind w:left="0" w:leftChars="0" w:firstLine="0" w:firstLineChars="0"/>
        <w:rPr>
          <w:rFonts w:hint="default"/>
          <w:lang w:val="en-US" w:eastAsia="zh-CN"/>
        </w:rPr>
      </w:pPr>
    </w:p>
    <w:sectPr>
      <w:footerReference r:id="rId12" w:type="default"/>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rPr>
        <w:rStyle w:val="19"/>
      </w:rPr>
    </w:pPr>
    <w:r>
      <w:fldChar w:fldCharType="begin"/>
    </w:r>
    <w:r>
      <w:rPr>
        <w:rStyle w:val="19"/>
      </w:rPr>
      <w:instrText xml:space="preserve">PAGE  </w:instrText>
    </w:r>
    <w:r>
      <w:fldChar w:fldCharType="end"/>
    </w:r>
  </w:p>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w:fldChar w:fldCharType="begin"/>
    </w:r>
    <w:r>
      <w:instrText xml:space="preserve"> PAGE   \* MERGEFORMAT </w:instrText>
    </w:r>
    <w:r>
      <w:fldChar w:fldCharType="separate"/>
    </w:r>
    <w:r>
      <w:rPr>
        <w:lang w:val="zh-CN"/>
      </w:rPr>
      <w:t>1</w:t>
    </w:r>
    <w:r>
      <w:fldChar w:fldCharType="end"/>
    </w:r>
  </w:p>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rPr>
        <w:sz w:val="21"/>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jc w:val="right"/>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9"/>
                      <w:ind w:firstLine="360"/>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zNDQwMjQ4YzdhYzllOWUwYWFiYWRhNGMwZWIzNGYifQ=="/>
  </w:docVars>
  <w:rsids>
    <w:rsidRoot w:val="F77F09F4"/>
    <w:rsid w:val="000273CC"/>
    <w:rsid w:val="00092928"/>
    <w:rsid w:val="00100E4D"/>
    <w:rsid w:val="00107C81"/>
    <w:rsid w:val="00120838"/>
    <w:rsid w:val="001312DA"/>
    <w:rsid w:val="00192C2D"/>
    <w:rsid w:val="001C45D5"/>
    <w:rsid w:val="001E3959"/>
    <w:rsid w:val="001F335E"/>
    <w:rsid w:val="00201D49"/>
    <w:rsid w:val="0022315D"/>
    <w:rsid w:val="002326B2"/>
    <w:rsid w:val="002847DB"/>
    <w:rsid w:val="002A2F31"/>
    <w:rsid w:val="002B0EC3"/>
    <w:rsid w:val="002D3AF4"/>
    <w:rsid w:val="003234EB"/>
    <w:rsid w:val="00360E54"/>
    <w:rsid w:val="00363B8A"/>
    <w:rsid w:val="003752C8"/>
    <w:rsid w:val="00426CCA"/>
    <w:rsid w:val="004502AE"/>
    <w:rsid w:val="00485F2C"/>
    <w:rsid w:val="004B1C4B"/>
    <w:rsid w:val="004F1C2B"/>
    <w:rsid w:val="0057581C"/>
    <w:rsid w:val="005B5FD9"/>
    <w:rsid w:val="005C5EB1"/>
    <w:rsid w:val="00610597"/>
    <w:rsid w:val="006B0D69"/>
    <w:rsid w:val="006C4B65"/>
    <w:rsid w:val="006E5805"/>
    <w:rsid w:val="00733347"/>
    <w:rsid w:val="007B71A7"/>
    <w:rsid w:val="007F0F28"/>
    <w:rsid w:val="008120CC"/>
    <w:rsid w:val="008546F5"/>
    <w:rsid w:val="008D3492"/>
    <w:rsid w:val="008F69C3"/>
    <w:rsid w:val="009260BB"/>
    <w:rsid w:val="0095528C"/>
    <w:rsid w:val="00962E7C"/>
    <w:rsid w:val="009E43CC"/>
    <w:rsid w:val="00A15241"/>
    <w:rsid w:val="00A56F1C"/>
    <w:rsid w:val="00A66AA9"/>
    <w:rsid w:val="00A710AE"/>
    <w:rsid w:val="00AF06BF"/>
    <w:rsid w:val="00B52F78"/>
    <w:rsid w:val="00B80FC0"/>
    <w:rsid w:val="00BB19DC"/>
    <w:rsid w:val="00BB299E"/>
    <w:rsid w:val="00C12057"/>
    <w:rsid w:val="00C345E2"/>
    <w:rsid w:val="00C43835"/>
    <w:rsid w:val="00CB3A26"/>
    <w:rsid w:val="00CD77AE"/>
    <w:rsid w:val="00D22E60"/>
    <w:rsid w:val="00D55444"/>
    <w:rsid w:val="00D62A25"/>
    <w:rsid w:val="00D812AB"/>
    <w:rsid w:val="00DA5C13"/>
    <w:rsid w:val="00E66935"/>
    <w:rsid w:val="00F15EA3"/>
    <w:rsid w:val="00F67C4B"/>
    <w:rsid w:val="00F941EB"/>
    <w:rsid w:val="00FB1459"/>
    <w:rsid w:val="00FD59B8"/>
    <w:rsid w:val="00FE70BA"/>
    <w:rsid w:val="01151775"/>
    <w:rsid w:val="012F5CC1"/>
    <w:rsid w:val="01457570"/>
    <w:rsid w:val="0183453D"/>
    <w:rsid w:val="01875DDB"/>
    <w:rsid w:val="01AE5006"/>
    <w:rsid w:val="01B929EC"/>
    <w:rsid w:val="01BA61B0"/>
    <w:rsid w:val="01BB223B"/>
    <w:rsid w:val="01CA6CD1"/>
    <w:rsid w:val="020E2058"/>
    <w:rsid w:val="02174F58"/>
    <w:rsid w:val="02186A33"/>
    <w:rsid w:val="02224212"/>
    <w:rsid w:val="02367C51"/>
    <w:rsid w:val="025B3B7B"/>
    <w:rsid w:val="027363EC"/>
    <w:rsid w:val="02931780"/>
    <w:rsid w:val="02A85429"/>
    <w:rsid w:val="02DD1A2B"/>
    <w:rsid w:val="03015CC8"/>
    <w:rsid w:val="030C7984"/>
    <w:rsid w:val="03150713"/>
    <w:rsid w:val="03480F3A"/>
    <w:rsid w:val="03600DDC"/>
    <w:rsid w:val="0385634A"/>
    <w:rsid w:val="03BA6DDF"/>
    <w:rsid w:val="03BD5772"/>
    <w:rsid w:val="03CB536D"/>
    <w:rsid w:val="03E83B60"/>
    <w:rsid w:val="03F917D3"/>
    <w:rsid w:val="03FC22CA"/>
    <w:rsid w:val="04096F7B"/>
    <w:rsid w:val="04234BC1"/>
    <w:rsid w:val="04416AD2"/>
    <w:rsid w:val="044C2A2E"/>
    <w:rsid w:val="04681BB3"/>
    <w:rsid w:val="046C6D04"/>
    <w:rsid w:val="04730898"/>
    <w:rsid w:val="04812FB5"/>
    <w:rsid w:val="04874344"/>
    <w:rsid w:val="04963AEA"/>
    <w:rsid w:val="04C609C8"/>
    <w:rsid w:val="04CE6ACA"/>
    <w:rsid w:val="04D37589"/>
    <w:rsid w:val="050A67E1"/>
    <w:rsid w:val="056B75D7"/>
    <w:rsid w:val="05CD3FD8"/>
    <w:rsid w:val="05F51D94"/>
    <w:rsid w:val="062A2B27"/>
    <w:rsid w:val="067508F8"/>
    <w:rsid w:val="068048E3"/>
    <w:rsid w:val="069E4635"/>
    <w:rsid w:val="069F5975"/>
    <w:rsid w:val="06A91D9D"/>
    <w:rsid w:val="06B255BD"/>
    <w:rsid w:val="06B37672"/>
    <w:rsid w:val="06CE625A"/>
    <w:rsid w:val="06E4782C"/>
    <w:rsid w:val="070267EF"/>
    <w:rsid w:val="071F777F"/>
    <w:rsid w:val="073A133A"/>
    <w:rsid w:val="07414C7E"/>
    <w:rsid w:val="078D5579"/>
    <w:rsid w:val="079776D9"/>
    <w:rsid w:val="07CB5ABC"/>
    <w:rsid w:val="07E36B8B"/>
    <w:rsid w:val="07EB045D"/>
    <w:rsid w:val="08060B53"/>
    <w:rsid w:val="080D623E"/>
    <w:rsid w:val="081A255C"/>
    <w:rsid w:val="08D76EEC"/>
    <w:rsid w:val="08FD688B"/>
    <w:rsid w:val="09244EE7"/>
    <w:rsid w:val="093920B1"/>
    <w:rsid w:val="09410F65"/>
    <w:rsid w:val="09512920"/>
    <w:rsid w:val="095318B2"/>
    <w:rsid w:val="096A7831"/>
    <w:rsid w:val="097440D6"/>
    <w:rsid w:val="09774987"/>
    <w:rsid w:val="097906FF"/>
    <w:rsid w:val="0995039F"/>
    <w:rsid w:val="09CF47C3"/>
    <w:rsid w:val="0A2F0DBE"/>
    <w:rsid w:val="0A302251"/>
    <w:rsid w:val="0A453B82"/>
    <w:rsid w:val="0A4D56E8"/>
    <w:rsid w:val="0A677AAB"/>
    <w:rsid w:val="0A79028B"/>
    <w:rsid w:val="0A867D70"/>
    <w:rsid w:val="0A8C4462"/>
    <w:rsid w:val="0AB539B9"/>
    <w:rsid w:val="0AC54FE7"/>
    <w:rsid w:val="0ACE27C9"/>
    <w:rsid w:val="0AE20AFE"/>
    <w:rsid w:val="0AE867E8"/>
    <w:rsid w:val="0AEA1189"/>
    <w:rsid w:val="0AEC4F01"/>
    <w:rsid w:val="0B0E5BB3"/>
    <w:rsid w:val="0B2953B2"/>
    <w:rsid w:val="0B6B7F48"/>
    <w:rsid w:val="0B6D4294"/>
    <w:rsid w:val="0BE82A04"/>
    <w:rsid w:val="0C076060"/>
    <w:rsid w:val="0C0F534B"/>
    <w:rsid w:val="0C2661F0"/>
    <w:rsid w:val="0C5821E5"/>
    <w:rsid w:val="0CA72FB3"/>
    <w:rsid w:val="0CC87020"/>
    <w:rsid w:val="0CD37F4C"/>
    <w:rsid w:val="0D006A41"/>
    <w:rsid w:val="0D2A1476"/>
    <w:rsid w:val="0D367635"/>
    <w:rsid w:val="0D4969FA"/>
    <w:rsid w:val="0D8C35F6"/>
    <w:rsid w:val="0D9A3BE1"/>
    <w:rsid w:val="0D9B1C5B"/>
    <w:rsid w:val="0DAA4B6D"/>
    <w:rsid w:val="0DB13540"/>
    <w:rsid w:val="0DC13976"/>
    <w:rsid w:val="0DE01A63"/>
    <w:rsid w:val="0DFF1DD1"/>
    <w:rsid w:val="0E0A7616"/>
    <w:rsid w:val="0E282056"/>
    <w:rsid w:val="0E3F7DE6"/>
    <w:rsid w:val="0E574D87"/>
    <w:rsid w:val="0E74681A"/>
    <w:rsid w:val="0EB10347"/>
    <w:rsid w:val="0EBE6BB4"/>
    <w:rsid w:val="0EF64702"/>
    <w:rsid w:val="0EFC21E2"/>
    <w:rsid w:val="0F156105"/>
    <w:rsid w:val="0F8E0A11"/>
    <w:rsid w:val="0FA509E7"/>
    <w:rsid w:val="0FCE4303"/>
    <w:rsid w:val="0FDE1CCB"/>
    <w:rsid w:val="0FE9207E"/>
    <w:rsid w:val="10175A19"/>
    <w:rsid w:val="108934B1"/>
    <w:rsid w:val="108B0D18"/>
    <w:rsid w:val="10AA58F8"/>
    <w:rsid w:val="10C90275"/>
    <w:rsid w:val="10D5328F"/>
    <w:rsid w:val="11FC5875"/>
    <w:rsid w:val="120C459D"/>
    <w:rsid w:val="122B4561"/>
    <w:rsid w:val="123C148D"/>
    <w:rsid w:val="123F03DD"/>
    <w:rsid w:val="12744159"/>
    <w:rsid w:val="128A110B"/>
    <w:rsid w:val="129975B0"/>
    <w:rsid w:val="12A22B8B"/>
    <w:rsid w:val="12A30FF9"/>
    <w:rsid w:val="12E9234C"/>
    <w:rsid w:val="12F40DF6"/>
    <w:rsid w:val="12F928B1"/>
    <w:rsid w:val="13226DD8"/>
    <w:rsid w:val="13294C42"/>
    <w:rsid w:val="13F139C7"/>
    <w:rsid w:val="1438200F"/>
    <w:rsid w:val="1487316F"/>
    <w:rsid w:val="14C8078D"/>
    <w:rsid w:val="152E74DC"/>
    <w:rsid w:val="15472F28"/>
    <w:rsid w:val="155B2C6C"/>
    <w:rsid w:val="157B75AD"/>
    <w:rsid w:val="15997A33"/>
    <w:rsid w:val="16C21DF8"/>
    <w:rsid w:val="16E92BBD"/>
    <w:rsid w:val="16F8166A"/>
    <w:rsid w:val="1703343B"/>
    <w:rsid w:val="172872C1"/>
    <w:rsid w:val="174E3C1C"/>
    <w:rsid w:val="175F53D8"/>
    <w:rsid w:val="178C5B9A"/>
    <w:rsid w:val="17C000BE"/>
    <w:rsid w:val="17F45028"/>
    <w:rsid w:val="182255F2"/>
    <w:rsid w:val="182A0E16"/>
    <w:rsid w:val="18961434"/>
    <w:rsid w:val="18C474BD"/>
    <w:rsid w:val="18C63235"/>
    <w:rsid w:val="18DA14F5"/>
    <w:rsid w:val="18FE2BFA"/>
    <w:rsid w:val="18FF15AF"/>
    <w:rsid w:val="193E726F"/>
    <w:rsid w:val="193F6121"/>
    <w:rsid w:val="19483C4A"/>
    <w:rsid w:val="1948574E"/>
    <w:rsid w:val="197C1B46"/>
    <w:rsid w:val="19D3219C"/>
    <w:rsid w:val="1A087ACD"/>
    <w:rsid w:val="1A0E1B7F"/>
    <w:rsid w:val="1A40444E"/>
    <w:rsid w:val="1A556EF5"/>
    <w:rsid w:val="1A640A2C"/>
    <w:rsid w:val="1A7212E2"/>
    <w:rsid w:val="1A74631B"/>
    <w:rsid w:val="1A9F789A"/>
    <w:rsid w:val="1AA71B3A"/>
    <w:rsid w:val="1AA77DE7"/>
    <w:rsid w:val="1B056058"/>
    <w:rsid w:val="1B3B0835"/>
    <w:rsid w:val="1B670CB1"/>
    <w:rsid w:val="1B7234A2"/>
    <w:rsid w:val="1B8C4F54"/>
    <w:rsid w:val="1BC05D1A"/>
    <w:rsid w:val="1BD2737E"/>
    <w:rsid w:val="1BF12377"/>
    <w:rsid w:val="1BF142A3"/>
    <w:rsid w:val="1C03193F"/>
    <w:rsid w:val="1C033E58"/>
    <w:rsid w:val="1C2246E4"/>
    <w:rsid w:val="1C32539C"/>
    <w:rsid w:val="1C34223F"/>
    <w:rsid w:val="1C7918F4"/>
    <w:rsid w:val="1C7F1E1F"/>
    <w:rsid w:val="1D1A71AE"/>
    <w:rsid w:val="1D24052A"/>
    <w:rsid w:val="1D615664"/>
    <w:rsid w:val="1D644DCB"/>
    <w:rsid w:val="1D74691E"/>
    <w:rsid w:val="1DA33B2C"/>
    <w:rsid w:val="1DD261D8"/>
    <w:rsid w:val="1E2A591D"/>
    <w:rsid w:val="1E4A3FC0"/>
    <w:rsid w:val="1E6C2189"/>
    <w:rsid w:val="1EA05751"/>
    <w:rsid w:val="1ED1023E"/>
    <w:rsid w:val="1ED67498"/>
    <w:rsid w:val="1EEC5078"/>
    <w:rsid w:val="1F10520A"/>
    <w:rsid w:val="1F4C2A4E"/>
    <w:rsid w:val="1FA80990"/>
    <w:rsid w:val="1FAF20DB"/>
    <w:rsid w:val="1FC060AC"/>
    <w:rsid w:val="20340D69"/>
    <w:rsid w:val="2036639F"/>
    <w:rsid w:val="20A976C4"/>
    <w:rsid w:val="21115269"/>
    <w:rsid w:val="214F2C62"/>
    <w:rsid w:val="215B7559"/>
    <w:rsid w:val="215D7884"/>
    <w:rsid w:val="21611D4D"/>
    <w:rsid w:val="21621621"/>
    <w:rsid w:val="21787096"/>
    <w:rsid w:val="21A47BC8"/>
    <w:rsid w:val="21A954A2"/>
    <w:rsid w:val="22002596"/>
    <w:rsid w:val="23076924"/>
    <w:rsid w:val="23097EB9"/>
    <w:rsid w:val="233908F7"/>
    <w:rsid w:val="23D8556C"/>
    <w:rsid w:val="23E97DD8"/>
    <w:rsid w:val="23F70746"/>
    <w:rsid w:val="23FA3D93"/>
    <w:rsid w:val="244D3361"/>
    <w:rsid w:val="24CF5F4B"/>
    <w:rsid w:val="24FE1675"/>
    <w:rsid w:val="2529354F"/>
    <w:rsid w:val="255C4350"/>
    <w:rsid w:val="256B13EC"/>
    <w:rsid w:val="257636C9"/>
    <w:rsid w:val="257875CA"/>
    <w:rsid w:val="25C81D2D"/>
    <w:rsid w:val="25CA3382"/>
    <w:rsid w:val="25F977B8"/>
    <w:rsid w:val="2639067E"/>
    <w:rsid w:val="263C0693"/>
    <w:rsid w:val="26485289"/>
    <w:rsid w:val="268F2EB8"/>
    <w:rsid w:val="26EF000B"/>
    <w:rsid w:val="272555CB"/>
    <w:rsid w:val="272A498F"/>
    <w:rsid w:val="272F1FA5"/>
    <w:rsid w:val="27782621"/>
    <w:rsid w:val="2786250D"/>
    <w:rsid w:val="27A46F86"/>
    <w:rsid w:val="27B01338"/>
    <w:rsid w:val="27B32FEC"/>
    <w:rsid w:val="27BF06B3"/>
    <w:rsid w:val="27D019DA"/>
    <w:rsid w:val="27D330A9"/>
    <w:rsid w:val="280A062D"/>
    <w:rsid w:val="28267731"/>
    <w:rsid w:val="282B04D4"/>
    <w:rsid w:val="28966A5E"/>
    <w:rsid w:val="28BC52FE"/>
    <w:rsid w:val="28DA4193"/>
    <w:rsid w:val="28E65499"/>
    <w:rsid w:val="29026287"/>
    <w:rsid w:val="29091BCF"/>
    <w:rsid w:val="2919115F"/>
    <w:rsid w:val="291A2467"/>
    <w:rsid w:val="292C0F27"/>
    <w:rsid w:val="2936586D"/>
    <w:rsid w:val="294F7304"/>
    <w:rsid w:val="29677F56"/>
    <w:rsid w:val="297E7214"/>
    <w:rsid w:val="299D58EC"/>
    <w:rsid w:val="299E1DC2"/>
    <w:rsid w:val="29AC7D37"/>
    <w:rsid w:val="29C64714"/>
    <w:rsid w:val="29D64538"/>
    <w:rsid w:val="29D84B76"/>
    <w:rsid w:val="29E259F5"/>
    <w:rsid w:val="29EB48A9"/>
    <w:rsid w:val="2A3049B2"/>
    <w:rsid w:val="2A7169E6"/>
    <w:rsid w:val="2A810068"/>
    <w:rsid w:val="2B050473"/>
    <w:rsid w:val="2B107F87"/>
    <w:rsid w:val="2B151B38"/>
    <w:rsid w:val="2B4B016A"/>
    <w:rsid w:val="2B6B0C1C"/>
    <w:rsid w:val="2B9A64ED"/>
    <w:rsid w:val="2BA83A48"/>
    <w:rsid w:val="2C0559CB"/>
    <w:rsid w:val="2C2A6E1C"/>
    <w:rsid w:val="2C2E7758"/>
    <w:rsid w:val="2C3F17CB"/>
    <w:rsid w:val="2C55519C"/>
    <w:rsid w:val="2C7D1A05"/>
    <w:rsid w:val="2CB84B3A"/>
    <w:rsid w:val="2CC91530"/>
    <w:rsid w:val="2CD25E4B"/>
    <w:rsid w:val="2CFE1B59"/>
    <w:rsid w:val="2D1265F1"/>
    <w:rsid w:val="2D36240F"/>
    <w:rsid w:val="2DD76B19"/>
    <w:rsid w:val="2DF14458"/>
    <w:rsid w:val="2E0221C2"/>
    <w:rsid w:val="2E0B3E42"/>
    <w:rsid w:val="2E3E7677"/>
    <w:rsid w:val="2E414AD0"/>
    <w:rsid w:val="2E4202DD"/>
    <w:rsid w:val="2E503828"/>
    <w:rsid w:val="2E883816"/>
    <w:rsid w:val="2EAC037F"/>
    <w:rsid w:val="2F30159D"/>
    <w:rsid w:val="2F392057"/>
    <w:rsid w:val="2FEC4ED7"/>
    <w:rsid w:val="302A5A00"/>
    <w:rsid w:val="3037415F"/>
    <w:rsid w:val="307B69B0"/>
    <w:rsid w:val="30864E02"/>
    <w:rsid w:val="308D0BB8"/>
    <w:rsid w:val="3090181F"/>
    <w:rsid w:val="30A26B5F"/>
    <w:rsid w:val="30C95219"/>
    <w:rsid w:val="30CE387C"/>
    <w:rsid w:val="30D10DD3"/>
    <w:rsid w:val="30DF2C8E"/>
    <w:rsid w:val="315A1DFC"/>
    <w:rsid w:val="31600614"/>
    <w:rsid w:val="31815AF3"/>
    <w:rsid w:val="31857041"/>
    <w:rsid w:val="31A5074A"/>
    <w:rsid w:val="31B90C44"/>
    <w:rsid w:val="31BE029A"/>
    <w:rsid w:val="31C55EDA"/>
    <w:rsid w:val="31CF045B"/>
    <w:rsid w:val="31E00A6C"/>
    <w:rsid w:val="31E456F8"/>
    <w:rsid w:val="31E74F8D"/>
    <w:rsid w:val="31F35C1D"/>
    <w:rsid w:val="325B068A"/>
    <w:rsid w:val="32703D8D"/>
    <w:rsid w:val="32944056"/>
    <w:rsid w:val="329C53AD"/>
    <w:rsid w:val="32E66514"/>
    <w:rsid w:val="33062754"/>
    <w:rsid w:val="331533CF"/>
    <w:rsid w:val="339B5919"/>
    <w:rsid w:val="33BD1F5F"/>
    <w:rsid w:val="33E53099"/>
    <w:rsid w:val="34437053"/>
    <w:rsid w:val="34600ABD"/>
    <w:rsid w:val="346D04EA"/>
    <w:rsid w:val="349F1DF8"/>
    <w:rsid w:val="34BA084E"/>
    <w:rsid w:val="350E58DE"/>
    <w:rsid w:val="355157DD"/>
    <w:rsid w:val="35B20143"/>
    <w:rsid w:val="35DF4119"/>
    <w:rsid w:val="35DF5734"/>
    <w:rsid w:val="35E45DF4"/>
    <w:rsid w:val="35EB349C"/>
    <w:rsid w:val="35F20D24"/>
    <w:rsid w:val="364B768A"/>
    <w:rsid w:val="36716136"/>
    <w:rsid w:val="36764A75"/>
    <w:rsid w:val="3685357E"/>
    <w:rsid w:val="36853990"/>
    <w:rsid w:val="36A84DB7"/>
    <w:rsid w:val="36AE1139"/>
    <w:rsid w:val="36F34D9D"/>
    <w:rsid w:val="370A7933"/>
    <w:rsid w:val="37173543"/>
    <w:rsid w:val="375C0B95"/>
    <w:rsid w:val="377B7EDC"/>
    <w:rsid w:val="377D5021"/>
    <w:rsid w:val="378F01FB"/>
    <w:rsid w:val="37A12B68"/>
    <w:rsid w:val="37CB1876"/>
    <w:rsid w:val="38053EB2"/>
    <w:rsid w:val="383B4567"/>
    <w:rsid w:val="38481C89"/>
    <w:rsid w:val="38507482"/>
    <w:rsid w:val="386C12AB"/>
    <w:rsid w:val="38AF3E43"/>
    <w:rsid w:val="38C41C96"/>
    <w:rsid w:val="38C96BED"/>
    <w:rsid w:val="391C1085"/>
    <w:rsid w:val="3940741C"/>
    <w:rsid w:val="396D3985"/>
    <w:rsid w:val="398E6FFF"/>
    <w:rsid w:val="39B53613"/>
    <w:rsid w:val="3A1D346E"/>
    <w:rsid w:val="3A2B6F44"/>
    <w:rsid w:val="3A812D77"/>
    <w:rsid w:val="3A9C0F0D"/>
    <w:rsid w:val="3AD46C94"/>
    <w:rsid w:val="3B1F2605"/>
    <w:rsid w:val="3B21409A"/>
    <w:rsid w:val="3B51698F"/>
    <w:rsid w:val="3B5878C5"/>
    <w:rsid w:val="3B5C35D4"/>
    <w:rsid w:val="3B6817FE"/>
    <w:rsid w:val="3B6C15C2"/>
    <w:rsid w:val="3B7D6D98"/>
    <w:rsid w:val="3B812D57"/>
    <w:rsid w:val="3BDD7DCA"/>
    <w:rsid w:val="3BE96992"/>
    <w:rsid w:val="3C0A1A1E"/>
    <w:rsid w:val="3C62067E"/>
    <w:rsid w:val="3C972E5F"/>
    <w:rsid w:val="3D187D1D"/>
    <w:rsid w:val="3D3703C7"/>
    <w:rsid w:val="3D857A74"/>
    <w:rsid w:val="3DCA00BB"/>
    <w:rsid w:val="3DE90CA8"/>
    <w:rsid w:val="3DEC2546"/>
    <w:rsid w:val="3DF61F0B"/>
    <w:rsid w:val="3E10092B"/>
    <w:rsid w:val="3E197F94"/>
    <w:rsid w:val="3E22483A"/>
    <w:rsid w:val="3EA34825"/>
    <w:rsid w:val="3EE002FD"/>
    <w:rsid w:val="3F7875CC"/>
    <w:rsid w:val="3FAE03FB"/>
    <w:rsid w:val="3FB23F0D"/>
    <w:rsid w:val="3FDBA076"/>
    <w:rsid w:val="3FDFB3F0"/>
    <w:rsid w:val="3FDFC9A6"/>
    <w:rsid w:val="3FF76880"/>
    <w:rsid w:val="40093EB5"/>
    <w:rsid w:val="4024421A"/>
    <w:rsid w:val="403703F1"/>
    <w:rsid w:val="404D19C2"/>
    <w:rsid w:val="406C0E25"/>
    <w:rsid w:val="40714A5F"/>
    <w:rsid w:val="40A7071D"/>
    <w:rsid w:val="40A87699"/>
    <w:rsid w:val="40AB2262"/>
    <w:rsid w:val="40B939DB"/>
    <w:rsid w:val="40BE4852"/>
    <w:rsid w:val="40CC721A"/>
    <w:rsid w:val="40F57562"/>
    <w:rsid w:val="41440C19"/>
    <w:rsid w:val="415B77B2"/>
    <w:rsid w:val="41777332"/>
    <w:rsid w:val="417C1E33"/>
    <w:rsid w:val="41B80A98"/>
    <w:rsid w:val="41C37A62"/>
    <w:rsid w:val="420C31B7"/>
    <w:rsid w:val="422A6FDF"/>
    <w:rsid w:val="422E5823"/>
    <w:rsid w:val="422E7CA9"/>
    <w:rsid w:val="422F1BFA"/>
    <w:rsid w:val="4249440B"/>
    <w:rsid w:val="42E17DEF"/>
    <w:rsid w:val="42ED2FE9"/>
    <w:rsid w:val="43091128"/>
    <w:rsid w:val="433474E3"/>
    <w:rsid w:val="43586066"/>
    <w:rsid w:val="437C6A4A"/>
    <w:rsid w:val="438D20D6"/>
    <w:rsid w:val="43C71A8C"/>
    <w:rsid w:val="44481BBC"/>
    <w:rsid w:val="444E349E"/>
    <w:rsid w:val="44691DF4"/>
    <w:rsid w:val="44774D66"/>
    <w:rsid w:val="44917BC1"/>
    <w:rsid w:val="44932D6E"/>
    <w:rsid w:val="44CE29A6"/>
    <w:rsid w:val="4519716D"/>
    <w:rsid w:val="455F7AA2"/>
    <w:rsid w:val="456454A2"/>
    <w:rsid w:val="45860FE0"/>
    <w:rsid w:val="45A3187C"/>
    <w:rsid w:val="45A455D4"/>
    <w:rsid w:val="45A61598"/>
    <w:rsid w:val="45E81FF5"/>
    <w:rsid w:val="45F34FE3"/>
    <w:rsid w:val="45FA7333"/>
    <w:rsid w:val="45FE3BBD"/>
    <w:rsid w:val="46115240"/>
    <w:rsid w:val="463379B8"/>
    <w:rsid w:val="46913FD1"/>
    <w:rsid w:val="46E93AC7"/>
    <w:rsid w:val="46FE2974"/>
    <w:rsid w:val="47515D8E"/>
    <w:rsid w:val="47621537"/>
    <w:rsid w:val="47FF4206"/>
    <w:rsid w:val="48202EC0"/>
    <w:rsid w:val="482A4397"/>
    <w:rsid w:val="484F02A2"/>
    <w:rsid w:val="486639E7"/>
    <w:rsid w:val="487D4E0F"/>
    <w:rsid w:val="48CA54A3"/>
    <w:rsid w:val="48E704DA"/>
    <w:rsid w:val="48E924A4"/>
    <w:rsid w:val="48EF24C8"/>
    <w:rsid w:val="49163A95"/>
    <w:rsid w:val="49380D36"/>
    <w:rsid w:val="494D6999"/>
    <w:rsid w:val="49642D3B"/>
    <w:rsid w:val="49837D12"/>
    <w:rsid w:val="49A44CD1"/>
    <w:rsid w:val="49AA0B8B"/>
    <w:rsid w:val="4A3E237C"/>
    <w:rsid w:val="4A686E5C"/>
    <w:rsid w:val="4A6A13C3"/>
    <w:rsid w:val="4A801B8B"/>
    <w:rsid w:val="4A987CDE"/>
    <w:rsid w:val="4AC37B41"/>
    <w:rsid w:val="4AE81427"/>
    <w:rsid w:val="4B1A250B"/>
    <w:rsid w:val="4B1E0117"/>
    <w:rsid w:val="4B884AB8"/>
    <w:rsid w:val="4BA803F5"/>
    <w:rsid w:val="4BE31185"/>
    <w:rsid w:val="4BEF1B80"/>
    <w:rsid w:val="4BF6257B"/>
    <w:rsid w:val="4BFD104F"/>
    <w:rsid w:val="4C1D3AC5"/>
    <w:rsid w:val="4C211F55"/>
    <w:rsid w:val="4C237A7B"/>
    <w:rsid w:val="4C5639AD"/>
    <w:rsid w:val="4C646923"/>
    <w:rsid w:val="4C871DB8"/>
    <w:rsid w:val="4D2C2C0F"/>
    <w:rsid w:val="4D663E34"/>
    <w:rsid w:val="4D6B4828"/>
    <w:rsid w:val="4DA36819"/>
    <w:rsid w:val="4DE22404"/>
    <w:rsid w:val="4E041280"/>
    <w:rsid w:val="4E091301"/>
    <w:rsid w:val="4E0A2018"/>
    <w:rsid w:val="4E312787"/>
    <w:rsid w:val="4E876B3C"/>
    <w:rsid w:val="4ECF65DB"/>
    <w:rsid w:val="4EE35F2B"/>
    <w:rsid w:val="4F041DE6"/>
    <w:rsid w:val="4F244236"/>
    <w:rsid w:val="4F5A7C58"/>
    <w:rsid w:val="4F5B6D1C"/>
    <w:rsid w:val="4F7626B4"/>
    <w:rsid w:val="4FB758F2"/>
    <w:rsid w:val="4FC34905"/>
    <w:rsid w:val="4FC82E13"/>
    <w:rsid w:val="50081AB5"/>
    <w:rsid w:val="50226C33"/>
    <w:rsid w:val="50265D8C"/>
    <w:rsid w:val="503B5E38"/>
    <w:rsid w:val="503E22B2"/>
    <w:rsid w:val="505A0389"/>
    <w:rsid w:val="50611571"/>
    <w:rsid w:val="50795623"/>
    <w:rsid w:val="507A1C34"/>
    <w:rsid w:val="5085479A"/>
    <w:rsid w:val="509E3B74"/>
    <w:rsid w:val="50CA6717"/>
    <w:rsid w:val="51356102"/>
    <w:rsid w:val="51FD073E"/>
    <w:rsid w:val="520270E8"/>
    <w:rsid w:val="52BC623B"/>
    <w:rsid w:val="52BF7DD2"/>
    <w:rsid w:val="53023300"/>
    <w:rsid w:val="531B4467"/>
    <w:rsid w:val="53536E98"/>
    <w:rsid w:val="53542C10"/>
    <w:rsid w:val="5386726D"/>
    <w:rsid w:val="538708F0"/>
    <w:rsid w:val="53986DCC"/>
    <w:rsid w:val="53C2131D"/>
    <w:rsid w:val="53C214D3"/>
    <w:rsid w:val="53C4140E"/>
    <w:rsid w:val="53CE7915"/>
    <w:rsid w:val="53DB0C3B"/>
    <w:rsid w:val="543248DB"/>
    <w:rsid w:val="54C36AB1"/>
    <w:rsid w:val="54C6349B"/>
    <w:rsid w:val="54D975B7"/>
    <w:rsid w:val="5560066F"/>
    <w:rsid w:val="55A348BC"/>
    <w:rsid w:val="55BA11B9"/>
    <w:rsid w:val="55DF3BAE"/>
    <w:rsid w:val="55E24503"/>
    <w:rsid w:val="560B4A95"/>
    <w:rsid w:val="56462CE4"/>
    <w:rsid w:val="564927D4"/>
    <w:rsid w:val="566D2A0F"/>
    <w:rsid w:val="56701B0F"/>
    <w:rsid w:val="56A829CE"/>
    <w:rsid w:val="56B55774"/>
    <w:rsid w:val="56C8194B"/>
    <w:rsid w:val="56C9121F"/>
    <w:rsid w:val="573068B1"/>
    <w:rsid w:val="573963A5"/>
    <w:rsid w:val="575612E0"/>
    <w:rsid w:val="575925A3"/>
    <w:rsid w:val="576279D8"/>
    <w:rsid w:val="57B8376D"/>
    <w:rsid w:val="57BD5228"/>
    <w:rsid w:val="5822508B"/>
    <w:rsid w:val="582F3103"/>
    <w:rsid w:val="587C1573"/>
    <w:rsid w:val="58BB7727"/>
    <w:rsid w:val="59011109"/>
    <w:rsid w:val="59052233"/>
    <w:rsid w:val="59266DFD"/>
    <w:rsid w:val="59497165"/>
    <w:rsid w:val="59545718"/>
    <w:rsid w:val="5A123728"/>
    <w:rsid w:val="5A160C1F"/>
    <w:rsid w:val="5A3D7F5A"/>
    <w:rsid w:val="5A401986"/>
    <w:rsid w:val="5A4E6CF1"/>
    <w:rsid w:val="5A836075"/>
    <w:rsid w:val="5A837DE0"/>
    <w:rsid w:val="5A9F6EB2"/>
    <w:rsid w:val="5ABF6B4D"/>
    <w:rsid w:val="5AC266B1"/>
    <w:rsid w:val="5AC8063F"/>
    <w:rsid w:val="5B2C26AD"/>
    <w:rsid w:val="5B461090"/>
    <w:rsid w:val="5B633D65"/>
    <w:rsid w:val="5B727555"/>
    <w:rsid w:val="5B773940"/>
    <w:rsid w:val="5B843774"/>
    <w:rsid w:val="5B867F0C"/>
    <w:rsid w:val="5BA30291"/>
    <w:rsid w:val="5BD2695F"/>
    <w:rsid w:val="5BD94488"/>
    <w:rsid w:val="5BFD4AC2"/>
    <w:rsid w:val="5C164F06"/>
    <w:rsid w:val="5C6520CD"/>
    <w:rsid w:val="5C7B120D"/>
    <w:rsid w:val="5C7D31A2"/>
    <w:rsid w:val="5C9F483D"/>
    <w:rsid w:val="5CD3500A"/>
    <w:rsid w:val="5CD947B2"/>
    <w:rsid w:val="5D233A41"/>
    <w:rsid w:val="5D607927"/>
    <w:rsid w:val="5D84342C"/>
    <w:rsid w:val="5D8D6B67"/>
    <w:rsid w:val="5D9D73E7"/>
    <w:rsid w:val="5DA426E1"/>
    <w:rsid w:val="5DA86032"/>
    <w:rsid w:val="5DB62CF8"/>
    <w:rsid w:val="5DBD2741"/>
    <w:rsid w:val="5DC10EA2"/>
    <w:rsid w:val="5DC80482"/>
    <w:rsid w:val="5DD25119"/>
    <w:rsid w:val="5DFC5C02"/>
    <w:rsid w:val="5E0D0F1A"/>
    <w:rsid w:val="5E1E62F4"/>
    <w:rsid w:val="5E580CDF"/>
    <w:rsid w:val="5E623EA7"/>
    <w:rsid w:val="5E663254"/>
    <w:rsid w:val="5E900467"/>
    <w:rsid w:val="5EA24E14"/>
    <w:rsid w:val="5EAF150A"/>
    <w:rsid w:val="5ED70AA4"/>
    <w:rsid w:val="5EF07C91"/>
    <w:rsid w:val="5EF7621C"/>
    <w:rsid w:val="5EF86B45"/>
    <w:rsid w:val="5F303AA6"/>
    <w:rsid w:val="5F872BAC"/>
    <w:rsid w:val="5FCB6468"/>
    <w:rsid w:val="5FF437B1"/>
    <w:rsid w:val="603E670B"/>
    <w:rsid w:val="60477D84"/>
    <w:rsid w:val="604C124A"/>
    <w:rsid w:val="60607B03"/>
    <w:rsid w:val="6065020A"/>
    <w:rsid w:val="607D7F84"/>
    <w:rsid w:val="608A5EC3"/>
    <w:rsid w:val="60982B71"/>
    <w:rsid w:val="60D03567"/>
    <w:rsid w:val="60F50662"/>
    <w:rsid w:val="612C6842"/>
    <w:rsid w:val="61396151"/>
    <w:rsid w:val="614B1640"/>
    <w:rsid w:val="61614E7D"/>
    <w:rsid w:val="617F354E"/>
    <w:rsid w:val="61A349C9"/>
    <w:rsid w:val="61F01D56"/>
    <w:rsid w:val="627064A9"/>
    <w:rsid w:val="627A1B8B"/>
    <w:rsid w:val="629372B1"/>
    <w:rsid w:val="62A2505D"/>
    <w:rsid w:val="62BE2ED2"/>
    <w:rsid w:val="62D8236F"/>
    <w:rsid w:val="62E0477B"/>
    <w:rsid w:val="62E0626E"/>
    <w:rsid w:val="62E42CDF"/>
    <w:rsid w:val="62F51D1A"/>
    <w:rsid w:val="631A37CF"/>
    <w:rsid w:val="63521A44"/>
    <w:rsid w:val="63752164"/>
    <w:rsid w:val="63DE24DB"/>
    <w:rsid w:val="63F148FF"/>
    <w:rsid w:val="642B2624"/>
    <w:rsid w:val="643B03A5"/>
    <w:rsid w:val="64540CC2"/>
    <w:rsid w:val="6455356A"/>
    <w:rsid w:val="646118D6"/>
    <w:rsid w:val="647D395A"/>
    <w:rsid w:val="64937AF8"/>
    <w:rsid w:val="64A8218D"/>
    <w:rsid w:val="64BB664B"/>
    <w:rsid w:val="64CA0F84"/>
    <w:rsid w:val="64ED50BA"/>
    <w:rsid w:val="65034937"/>
    <w:rsid w:val="655D3BA6"/>
    <w:rsid w:val="65974B98"/>
    <w:rsid w:val="65A74E21"/>
    <w:rsid w:val="66177DB9"/>
    <w:rsid w:val="667927DD"/>
    <w:rsid w:val="669A52F6"/>
    <w:rsid w:val="66E864BA"/>
    <w:rsid w:val="67395F4D"/>
    <w:rsid w:val="673F7A07"/>
    <w:rsid w:val="67445D29"/>
    <w:rsid w:val="67654111"/>
    <w:rsid w:val="67759716"/>
    <w:rsid w:val="67A81F63"/>
    <w:rsid w:val="680D0401"/>
    <w:rsid w:val="681349F0"/>
    <w:rsid w:val="68184196"/>
    <w:rsid w:val="6875280B"/>
    <w:rsid w:val="68D51CA5"/>
    <w:rsid w:val="68DD7CB6"/>
    <w:rsid w:val="68F71C1C"/>
    <w:rsid w:val="68F93BE6"/>
    <w:rsid w:val="68FB170C"/>
    <w:rsid w:val="6922138F"/>
    <w:rsid w:val="69307F7B"/>
    <w:rsid w:val="69490FC4"/>
    <w:rsid w:val="694B30F3"/>
    <w:rsid w:val="694C7647"/>
    <w:rsid w:val="69515672"/>
    <w:rsid w:val="696A18AC"/>
    <w:rsid w:val="697B45FB"/>
    <w:rsid w:val="699456BD"/>
    <w:rsid w:val="699C490E"/>
    <w:rsid w:val="69A43B52"/>
    <w:rsid w:val="69CA4C6F"/>
    <w:rsid w:val="69D313D0"/>
    <w:rsid w:val="6A1B188E"/>
    <w:rsid w:val="6A852A55"/>
    <w:rsid w:val="6A967BF1"/>
    <w:rsid w:val="6AB029CA"/>
    <w:rsid w:val="6AEA5EDC"/>
    <w:rsid w:val="6B297532"/>
    <w:rsid w:val="6B627AD7"/>
    <w:rsid w:val="6B6E174F"/>
    <w:rsid w:val="6BA77929"/>
    <w:rsid w:val="6BAF004B"/>
    <w:rsid w:val="6BB94931"/>
    <w:rsid w:val="6C3379D8"/>
    <w:rsid w:val="6C415DCB"/>
    <w:rsid w:val="6C545849"/>
    <w:rsid w:val="6C5A244F"/>
    <w:rsid w:val="6D2060CC"/>
    <w:rsid w:val="6D527D69"/>
    <w:rsid w:val="6D5E5F79"/>
    <w:rsid w:val="6DA71D47"/>
    <w:rsid w:val="6DBB7473"/>
    <w:rsid w:val="6DD71FDE"/>
    <w:rsid w:val="6E0E3640"/>
    <w:rsid w:val="6E2C0469"/>
    <w:rsid w:val="6ECD2B48"/>
    <w:rsid w:val="6ED7622C"/>
    <w:rsid w:val="6EFF5CCE"/>
    <w:rsid w:val="6F266B6B"/>
    <w:rsid w:val="6F7ED27B"/>
    <w:rsid w:val="707B2347"/>
    <w:rsid w:val="70E61BF2"/>
    <w:rsid w:val="717C3606"/>
    <w:rsid w:val="718E2CB5"/>
    <w:rsid w:val="719360E4"/>
    <w:rsid w:val="71E477C8"/>
    <w:rsid w:val="71F601EF"/>
    <w:rsid w:val="720C6DD1"/>
    <w:rsid w:val="720C748B"/>
    <w:rsid w:val="720E00CA"/>
    <w:rsid w:val="721E646B"/>
    <w:rsid w:val="723F4D5F"/>
    <w:rsid w:val="724D766B"/>
    <w:rsid w:val="72DC4E4C"/>
    <w:rsid w:val="72E954EE"/>
    <w:rsid w:val="73004369"/>
    <w:rsid w:val="73013DC3"/>
    <w:rsid w:val="73320420"/>
    <w:rsid w:val="734D525A"/>
    <w:rsid w:val="73613DC2"/>
    <w:rsid w:val="73D96AEE"/>
    <w:rsid w:val="7402173F"/>
    <w:rsid w:val="74185868"/>
    <w:rsid w:val="741B7106"/>
    <w:rsid w:val="74414AB3"/>
    <w:rsid w:val="74421124"/>
    <w:rsid w:val="744E128A"/>
    <w:rsid w:val="745B7F2B"/>
    <w:rsid w:val="74613CA6"/>
    <w:rsid w:val="746565D3"/>
    <w:rsid w:val="746C7962"/>
    <w:rsid w:val="746D0776"/>
    <w:rsid w:val="746F3754"/>
    <w:rsid w:val="748A74A6"/>
    <w:rsid w:val="74EA221B"/>
    <w:rsid w:val="750C246A"/>
    <w:rsid w:val="75124CD6"/>
    <w:rsid w:val="753948EF"/>
    <w:rsid w:val="75561EA4"/>
    <w:rsid w:val="755F4EA1"/>
    <w:rsid w:val="758B67AA"/>
    <w:rsid w:val="75B17A7C"/>
    <w:rsid w:val="75C770C1"/>
    <w:rsid w:val="75CA64AB"/>
    <w:rsid w:val="75D27C98"/>
    <w:rsid w:val="75E66401"/>
    <w:rsid w:val="75EB6E2D"/>
    <w:rsid w:val="764A49BA"/>
    <w:rsid w:val="76515061"/>
    <w:rsid w:val="765E152C"/>
    <w:rsid w:val="76AD09C3"/>
    <w:rsid w:val="76E732D0"/>
    <w:rsid w:val="77090DA0"/>
    <w:rsid w:val="77410C96"/>
    <w:rsid w:val="77742481"/>
    <w:rsid w:val="7794410A"/>
    <w:rsid w:val="77A70DAE"/>
    <w:rsid w:val="77C35AEB"/>
    <w:rsid w:val="77F017CB"/>
    <w:rsid w:val="780A196C"/>
    <w:rsid w:val="78410634"/>
    <w:rsid w:val="78453B4A"/>
    <w:rsid w:val="785D52C7"/>
    <w:rsid w:val="787F1BD4"/>
    <w:rsid w:val="78B0254F"/>
    <w:rsid w:val="794D48DC"/>
    <w:rsid w:val="7A021779"/>
    <w:rsid w:val="7AB7FF50"/>
    <w:rsid w:val="7AEAF641"/>
    <w:rsid w:val="7AF34BC2"/>
    <w:rsid w:val="7B256ABC"/>
    <w:rsid w:val="7B3520EE"/>
    <w:rsid w:val="7B7D2454"/>
    <w:rsid w:val="7B8C4EE2"/>
    <w:rsid w:val="7BAD2729"/>
    <w:rsid w:val="7BB0282A"/>
    <w:rsid w:val="7BFEB0DB"/>
    <w:rsid w:val="7C0C5586"/>
    <w:rsid w:val="7C234A0D"/>
    <w:rsid w:val="7C393BF4"/>
    <w:rsid w:val="7C5533D1"/>
    <w:rsid w:val="7C7C3819"/>
    <w:rsid w:val="7C8A7838"/>
    <w:rsid w:val="7CC03748"/>
    <w:rsid w:val="7CC40AA1"/>
    <w:rsid w:val="7CCB62E2"/>
    <w:rsid w:val="7CF95B0B"/>
    <w:rsid w:val="7D07647A"/>
    <w:rsid w:val="7D2A660C"/>
    <w:rsid w:val="7D2C7C8E"/>
    <w:rsid w:val="7D2D6BAC"/>
    <w:rsid w:val="7D372AB0"/>
    <w:rsid w:val="7D6029EB"/>
    <w:rsid w:val="7D7D673C"/>
    <w:rsid w:val="7D827F3A"/>
    <w:rsid w:val="7D893333"/>
    <w:rsid w:val="7DA47C45"/>
    <w:rsid w:val="7E365B56"/>
    <w:rsid w:val="7E4961DE"/>
    <w:rsid w:val="7E4C76AB"/>
    <w:rsid w:val="7E981291"/>
    <w:rsid w:val="7E9D4019"/>
    <w:rsid w:val="7EFC7B34"/>
    <w:rsid w:val="7EFE5E07"/>
    <w:rsid w:val="7F0B7D77"/>
    <w:rsid w:val="7F2C357C"/>
    <w:rsid w:val="7F362F61"/>
    <w:rsid w:val="7F442849"/>
    <w:rsid w:val="7F6210BB"/>
    <w:rsid w:val="7F9B7031"/>
    <w:rsid w:val="7FB90956"/>
    <w:rsid w:val="7FC1615D"/>
    <w:rsid w:val="7FE74340"/>
    <w:rsid w:val="7FEE471E"/>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40" w:firstLineChars="200"/>
    </w:pPr>
    <w:rPr>
      <w:rFonts w:ascii="仿宋_GB2312" w:hAnsi="宋体" w:eastAsia="仿宋_GB2312" w:cs="仿宋_GB2312"/>
      <w:bCs/>
      <w:kern w:val="2"/>
      <w:sz w:val="32"/>
      <w:szCs w:val="32"/>
      <w:lang w:val="en-US" w:eastAsia="zh-CN" w:bidi="ar-SA"/>
    </w:rPr>
  </w:style>
  <w:style w:type="paragraph" w:styleId="3">
    <w:name w:val="heading 1"/>
    <w:basedOn w:val="1"/>
    <w:next w:val="1"/>
    <w:qFormat/>
    <w:uiPriority w:val="9"/>
    <w:pPr>
      <w:spacing w:line="600" w:lineRule="exact"/>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rPr>
  </w:style>
  <w:style w:type="character" w:default="1" w:styleId="17">
    <w:name w:val="Default Paragraph Font"/>
    <w:semiHidden/>
    <w:unhideWhenUsed/>
    <w:qFormat/>
    <w:uiPriority w:val="1"/>
  </w:style>
  <w:style w:type="table" w:default="1" w:styleId="16">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5">
    <w:name w:val="annotation text"/>
    <w:basedOn w:val="1"/>
    <w:qFormat/>
    <w:uiPriority w:val="0"/>
  </w:style>
  <w:style w:type="paragraph" w:styleId="6">
    <w:name w:val="Body Text"/>
    <w:basedOn w:val="1"/>
    <w:qFormat/>
    <w:uiPriority w:val="99"/>
    <w:pPr>
      <w:ind w:firstLine="200"/>
    </w:pPr>
    <w:rPr>
      <w:sz w:val="30"/>
      <w:szCs w:val="22"/>
    </w:rPr>
  </w:style>
  <w:style w:type="paragraph" w:styleId="7">
    <w:name w:val="Body Text Indent"/>
    <w:basedOn w:val="1"/>
    <w:qFormat/>
    <w:uiPriority w:val="0"/>
    <w:pPr>
      <w:spacing w:line="460" w:lineRule="exact"/>
    </w:pPr>
  </w:style>
  <w:style w:type="paragraph" w:styleId="8">
    <w:name w:val="Body Text Indent 2"/>
    <w:basedOn w:val="1"/>
    <w:qFormat/>
    <w:uiPriority w:val="0"/>
    <w:pPr>
      <w:spacing w:after="120" w:line="480" w:lineRule="auto"/>
      <w:ind w:left="420" w:leftChars="200"/>
    </w:pPr>
  </w:style>
  <w:style w:type="paragraph" w:styleId="9">
    <w:name w:val="footer"/>
    <w:basedOn w:val="1"/>
    <w:qFormat/>
    <w:uiPriority w:val="99"/>
    <w:pPr>
      <w:tabs>
        <w:tab w:val="center" w:pos="4153"/>
        <w:tab w:val="right" w:pos="8306"/>
      </w:tabs>
      <w:snapToGrid w:val="0"/>
    </w:pPr>
    <w:rPr>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Autospacing="1" w:afterAutospacing="1"/>
    </w:pPr>
    <w:rPr>
      <w:kern w:val="0"/>
      <w:sz w:val="24"/>
    </w:rPr>
  </w:style>
  <w:style w:type="paragraph" w:styleId="14">
    <w:name w:val="Title"/>
    <w:basedOn w:val="1"/>
    <w:next w:val="1"/>
    <w:qFormat/>
    <w:uiPriority w:val="10"/>
    <w:pPr>
      <w:spacing w:before="240" w:after="60"/>
      <w:jc w:val="center"/>
      <w:outlineLvl w:val="0"/>
    </w:pPr>
    <w:rPr>
      <w:rFonts w:ascii="Arial" w:hAnsi="Arial"/>
      <w:b/>
    </w:rPr>
  </w:style>
  <w:style w:type="paragraph" w:styleId="15">
    <w:name w:val="Body Text First Indent 2"/>
    <w:basedOn w:val="7"/>
    <w:qFormat/>
    <w:uiPriority w:val="0"/>
    <w:pPr>
      <w:ind w:firstLine="420"/>
    </w:pPr>
  </w:style>
  <w:style w:type="character" w:styleId="18">
    <w:name w:val="Strong"/>
    <w:basedOn w:val="17"/>
    <w:qFormat/>
    <w:uiPriority w:val="0"/>
    <w:rPr>
      <w:b/>
    </w:rPr>
  </w:style>
  <w:style w:type="character" w:styleId="19">
    <w:name w:val="page number"/>
    <w:basedOn w:val="17"/>
    <w:qFormat/>
    <w:uiPriority w:val="0"/>
  </w:style>
  <w:style w:type="paragraph" w:customStyle="1" w:styleId="20">
    <w:name w:val="列出段落1"/>
    <w:basedOn w:val="1"/>
    <w:qFormat/>
    <w:uiPriority w:val="34"/>
    <w:pPr>
      <w:ind w:firstLine="420"/>
    </w:pPr>
    <w:rPr>
      <w:rFonts w:ascii="Calibri" w:hAnsi="Calibri" w:cs="黑体"/>
      <w:szCs w:val="22"/>
    </w:rPr>
  </w:style>
  <w:style w:type="paragraph" w:customStyle="1" w:styleId="21">
    <w:name w:val="WPSOffice手动目录 1"/>
    <w:qFormat/>
    <w:uiPriority w:val="0"/>
    <w:rPr>
      <w:rFonts w:ascii="Times New Roman" w:hAnsi="Times New Roman" w:eastAsia="宋体" w:cs="Times New Roman"/>
      <w:lang w:val="en-US" w:eastAsia="zh-CN" w:bidi="ar-SA"/>
    </w:rPr>
  </w:style>
  <w:style w:type="paragraph" w:customStyle="1" w:styleId="22">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3">
    <w:name w:val="font51"/>
    <w:basedOn w:val="17"/>
    <w:qFormat/>
    <w:uiPriority w:val="0"/>
    <w:rPr>
      <w:rFonts w:hint="eastAsia" w:ascii="宋体" w:hAnsi="宋体" w:eastAsia="宋体" w:cs="宋体"/>
      <w:b/>
      <w:bCs/>
      <w:color w:val="000000"/>
      <w:sz w:val="18"/>
      <w:szCs w:val="18"/>
      <w:u w:val="none"/>
    </w:rPr>
  </w:style>
  <w:style w:type="character" w:customStyle="1" w:styleId="24">
    <w:name w:val="font21"/>
    <w:basedOn w:val="17"/>
    <w:qFormat/>
    <w:uiPriority w:val="0"/>
    <w:rPr>
      <w:rFonts w:hint="eastAsia" w:ascii="宋体" w:hAnsi="宋体" w:eastAsia="宋体" w:cs="宋体"/>
      <w:b/>
      <w:bCs/>
      <w:color w:val="000000"/>
      <w:sz w:val="20"/>
      <w:szCs w:val="20"/>
      <w:u w:val="none"/>
    </w:rPr>
  </w:style>
  <w:style w:type="character" w:customStyle="1" w:styleId="25">
    <w:name w:val="font71"/>
    <w:basedOn w:val="17"/>
    <w:qFormat/>
    <w:uiPriority w:val="0"/>
    <w:rPr>
      <w:rFonts w:hint="eastAsia" w:ascii="宋体" w:hAnsi="宋体" w:eastAsia="宋体" w:cs="宋体"/>
      <w:color w:val="000000"/>
      <w:sz w:val="18"/>
      <w:szCs w:val="18"/>
      <w:u w:val="none"/>
    </w:rPr>
  </w:style>
  <w:style w:type="character" w:customStyle="1" w:styleId="26">
    <w:name w:val="font91"/>
    <w:basedOn w:val="17"/>
    <w:qFormat/>
    <w:uiPriority w:val="0"/>
    <w:rPr>
      <w:rFonts w:hint="eastAsia" w:ascii="宋体" w:hAnsi="宋体" w:eastAsia="宋体" w:cs="宋体"/>
      <w:color w:val="000000"/>
      <w:sz w:val="21"/>
      <w:szCs w:val="21"/>
      <w:u w:val="none"/>
    </w:rPr>
  </w:style>
  <w:style w:type="character" w:customStyle="1" w:styleId="27">
    <w:name w:val="font101"/>
    <w:basedOn w:val="17"/>
    <w:qFormat/>
    <w:uiPriority w:val="0"/>
    <w:rPr>
      <w:rFonts w:hint="eastAsia" w:ascii="宋体" w:hAnsi="宋体" w:eastAsia="宋体" w:cs="宋体"/>
      <w:color w:val="000000"/>
      <w:sz w:val="21"/>
      <w:szCs w:val="21"/>
      <w:u w:val="none"/>
    </w:rPr>
  </w:style>
  <w:style w:type="character" w:customStyle="1" w:styleId="28">
    <w:name w:val="font61"/>
    <w:basedOn w:val="17"/>
    <w:qFormat/>
    <w:uiPriority w:val="0"/>
    <w:rPr>
      <w:rFonts w:hint="eastAsia" w:ascii="宋体" w:hAnsi="宋体" w:eastAsia="宋体" w:cs="宋体"/>
      <w:color w:val="000000"/>
      <w:sz w:val="20"/>
      <w:szCs w:val="20"/>
      <w:u w:val="none"/>
    </w:rPr>
  </w:style>
  <w:style w:type="character" w:customStyle="1" w:styleId="29">
    <w:name w:val="font31"/>
    <w:basedOn w:val="17"/>
    <w:qFormat/>
    <w:uiPriority w:val="0"/>
    <w:rPr>
      <w:rFonts w:hint="eastAsia" w:ascii="宋体" w:hAnsi="宋体" w:eastAsia="宋体" w:cs="宋体"/>
      <w:b/>
      <w:bCs/>
      <w:color w:val="000000"/>
      <w:sz w:val="20"/>
      <w:szCs w:val="20"/>
      <w:u w:val="none"/>
    </w:rPr>
  </w:style>
  <w:style w:type="character" w:customStyle="1" w:styleId="30">
    <w:name w:val="font81"/>
    <w:basedOn w:val="17"/>
    <w:qFormat/>
    <w:uiPriority w:val="0"/>
    <w:rPr>
      <w:rFonts w:hint="eastAsia" w:ascii="宋体" w:hAnsi="宋体" w:eastAsia="宋体" w:cs="宋体"/>
      <w:color w:val="000000"/>
      <w:sz w:val="18"/>
      <w:szCs w:val="18"/>
      <w:u w:val="none"/>
    </w:rPr>
  </w:style>
  <w:style w:type="character" w:customStyle="1" w:styleId="31">
    <w:name w:val="emailstyle15"/>
    <w:basedOn w:val="17"/>
    <w:qFormat/>
    <w:uiPriority w:val="0"/>
    <w:rPr>
      <w:rFonts w:hint="eastAsia" w:ascii="等线" w:hAnsi="等线" w:eastAsia="等线" w:cs="Times New Roman"/>
      <w:color w:val="auto"/>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6722</Words>
  <Characters>7227</Characters>
  <Lines>76</Lines>
  <Paragraphs>21</Paragraphs>
  <TotalTime>48</TotalTime>
  <ScaleCrop>false</ScaleCrop>
  <LinksUpToDate>false</LinksUpToDate>
  <CharactersWithSpaces>7235</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2025-08-21T03:09:00Z</dcterms:created>
  <dc:creator>user</dc:creator>
  <cp:lastModifiedBy>lenovo</cp:lastModifiedBy>
  <cp:lastPrinted>2023-03-06T01:31:00Z</cp:lastPrinted>
  <dcterms:modified xsi:type="dcterms:W3CDTF">2025-08-26T06:24:40Z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76636055A9FA40E5B99EA0D70EEEE996_13</vt:lpwstr>
  </property>
  <property fmtid="{D5CDD505-2E9C-101B-9397-08002B2CF9AE}" pid="4" name="KSOTemplateDocerSaveRecord">
    <vt:lpwstr>eyJoZGlkIjoiNmQzNDQwMjQ4YzdhYzllOWUwYWFiYWRhNGMwZWIzNGYiLCJ1c2VySWQiOiIyNTYzNDgyMzUifQ==</vt:lpwstr>
  </property>
</Properties>
</file>