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lang w:eastAsia="zh-CN"/>
        </w:rPr>
      </w:pPr>
      <w:bookmarkStart w:id="0" w:name="_Toc18682"/>
      <w:r>
        <w:rPr>
          <w:rFonts w:hint="eastAsia" w:ascii="方正小标宋_GBK" w:hAnsi="方正小标宋_GBK" w:eastAsia="方正小标宋_GBK" w:cs="方正小标宋_GBK"/>
          <w:sz w:val="44"/>
          <w:szCs w:val="44"/>
          <w:lang w:eastAsia="zh-CN"/>
        </w:rPr>
        <w:t>北京怀柔科学城管理委员会</w:t>
      </w:r>
      <w:bookmarkEnd w:id="0"/>
    </w:p>
    <w:p>
      <w:pPr>
        <w:spacing w:line="560" w:lineRule="exact"/>
        <w:jc w:val="center"/>
        <w:rPr>
          <w:rFonts w:hint="eastAsia" w:ascii="方正小标宋_GBK" w:hAnsi="方正小标宋_GBK" w:eastAsia="方正小标宋_GBK" w:cs="方正小标宋_GBK"/>
          <w:sz w:val="44"/>
          <w:szCs w:val="44"/>
        </w:rPr>
      </w:pPr>
      <w:bookmarkStart w:id="1" w:name="_Toc11389"/>
      <w:r>
        <w:rPr>
          <w:rFonts w:hint="eastAsia" w:ascii="方正小标宋_GBK" w:hAnsi="方正小标宋_GBK" w:eastAsia="方正小标宋_GBK" w:cs="方正小标宋_GBK"/>
          <w:sz w:val="44"/>
          <w:szCs w:val="44"/>
          <w:lang w:eastAsia="zh-CN"/>
        </w:rPr>
        <w:t>2024年度部门</w:t>
      </w:r>
      <w:r>
        <w:rPr>
          <w:rFonts w:hint="eastAsia" w:ascii="方正小标宋_GBK" w:hAnsi="方正小标宋_GBK" w:eastAsia="方正小标宋_GBK" w:cs="方正小标宋_GBK"/>
          <w:sz w:val="44"/>
          <w:szCs w:val="44"/>
        </w:rPr>
        <w:t>整体绩效</w:t>
      </w:r>
      <w:r>
        <w:rPr>
          <w:rFonts w:hint="eastAsia" w:ascii="方正小标宋_GBK" w:hAnsi="方正小标宋_GBK" w:eastAsia="方正小标宋_GBK" w:cs="方正小标宋_GBK"/>
          <w:sz w:val="44"/>
          <w:szCs w:val="44"/>
          <w:lang w:eastAsia="zh-CN"/>
        </w:rPr>
        <w:t>评价</w:t>
      </w:r>
      <w:r>
        <w:rPr>
          <w:rFonts w:hint="eastAsia" w:ascii="方正小标宋_GBK" w:hAnsi="方正小标宋_GBK" w:eastAsia="方正小标宋_GBK" w:cs="方正小标宋_GBK"/>
          <w:sz w:val="44"/>
          <w:szCs w:val="44"/>
        </w:rPr>
        <w:t>报告</w:t>
      </w:r>
      <w:bookmarkEnd w:id="1"/>
    </w:p>
    <w:p>
      <w:pPr>
        <w:jc w:val="center"/>
        <w:rPr>
          <w:rFonts w:ascii="仿宋_GB2312"/>
          <w:szCs w:val="30"/>
        </w:rPr>
      </w:pPr>
    </w:p>
    <w:p>
      <w:pPr>
        <w:jc w:val="center"/>
        <w:rPr>
          <w:rFonts w:ascii="仿宋_GB2312"/>
          <w:szCs w:val="30"/>
        </w:rPr>
      </w:pP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按照北京市财政局《关于202</w:t>
      </w: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年预算绩效管理工作的</w:t>
      </w:r>
      <w:r>
        <w:rPr>
          <w:rFonts w:hint="eastAsia" w:ascii="仿宋_GB2312" w:hAnsi="仿宋_GB2312" w:eastAsia="仿宋_GB2312" w:cs="仿宋_GB2312"/>
          <w:color w:val="000000"/>
          <w:kern w:val="0"/>
          <w:sz w:val="32"/>
          <w:szCs w:val="32"/>
          <w:lang w:eastAsia="zh-CN"/>
        </w:rPr>
        <w:t>通知</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（京财绩效〔20</w:t>
      </w:r>
      <w:r>
        <w:rPr>
          <w:rFonts w:hint="eastAsia" w:ascii="仿宋_GB2312" w:hAnsi="仿宋_GB2312" w:eastAsia="仿宋_GB2312" w:cs="仿宋_GB2312"/>
          <w:color w:val="000000"/>
          <w:kern w:val="0"/>
          <w:sz w:val="32"/>
          <w:szCs w:val="32"/>
          <w:lang w:val="en-US" w:eastAsia="zh-CN"/>
        </w:rPr>
        <w:t>25</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245</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的要求，北京怀柔科学城管委会（以下简称“科学城管委会”）认真组织开展预算绩效管理评价工作，深入分析项目绩效的实现情况，查找偏差原因，提高财政资金使用效益，具体报告如下：</w:t>
      </w:r>
    </w:p>
    <w:p>
      <w:pPr>
        <w:spacing w:line="600" w:lineRule="exact"/>
        <w:ind w:firstLine="640" w:firstLineChars="200"/>
        <w:rPr>
          <w:rFonts w:hint="eastAsia" w:ascii="黑体" w:hAnsi="黑体" w:eastAsia="黑体" w:cs="宋体"/>
          <w:color w:val="000000"/>
          <w:kern w:val="0"/>
          <w:sz w:val="32"/>
          <w:szCs w:val="32"/>
        </w:rPr>
      </w:pPr>
      <w:bookmarkStart w:id="2" w:name="_Toc28916"/>
      <w:r>
        <w:rPr>
          <w:rFonts w:hint="eastAsia" w:ascii="黑体" w:hAnsi="黑体" w:eastAsia="黑体" w:cs="宋体"/>
          <w:color w:val="000000"/>
          <w:kern w:val="0"/>
          <w:sz w:val="32"/>
          <w:szCs w:val="32"/>
        </w:rPr>
        <w:t>一、部门概况</w:t>
      </w:r>
      <w:bookmarkEnd w:id="2"/>
    </w:p>
    <w:p>
      <w:pPr>
        <w:spacing w:line="600" w:lineRule="exact"/>
        <w:ind w:firstLine="640" w:firstLineChars="200"/>
        <w:rPr>
          <w:rFonts w:hint="eastAsia" w:ascii="楷体_GB2312" w:eastAsia="楷体_GB2312"/>
          <w:sz w:val="32"/>
          <w:szCs w:val="32"/>
        </w:rPr>
      </w:pPr>
      <w:bookmarkStart w:id="3" w:name="_Toc4949"/>
      <w:r>
        <w:rPr>
          <w:rFonts w:hint="eastAsia" w:ascii="楷体_GB2312" w:eastAsia="楷体_GB2312"/>
          <w:sz w:val="32"/>
          <w:szCs w:val="32"/>
        </w:rPr>
        <w:t>（一）机构设置及职责工作任务情况</w:t>
      </w:r>
      <w:bookmarkEnd w:id="3"/>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根据京编委〔2017〕50号文件、京编办行〔2019〕170号文件规定，设立北京怀柔科学城管理委员会，部门性质为市政府派出机构。主要职责是：</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1.组织编制怀柔科学城建设和发展的各项规划，按程序报批后组织实施。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2.贯彻落实国家及本市有关改革要求，研究提出促进怀柔科学城创新发展的政策措施。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3.根据授权负责怀柔科学城范围内经济发展、项目建设、投融资服务、人才资源等领域的管理工作。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4.培育和发展科技服务业和高精尖产业，服务保障项目落地。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5.推进怀柔科学城管理和服务体制机制创新，优化营商环境，强化服务功能，促进央地合作、军民融合发展。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6.协调解决怀柔科学城规划建设中的重点难点问题。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7.按权限协调开展应急管理、安全生产、综治维稳、环境保护等工作。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8.对所出资企业履行国有资产出资人职责。</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9.根据授权在怀柔科学城规划范围内行使有关市级管理权限。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10.完成市政府交办的其他事项。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京编办复〔2022〕129号文件规定，怀柔科学城党工委、管委会内设8个处室，分别为：办公室、发展改革与政策研究处、规划建设处、设施平台处、成果转化与创新协调处、交流合作与人才工作处、财经管理处、机关党委（组织人事处）。</w:t>
      </w:r>
    </w:p>
    <w:p>
      <w:pPr>
        <w:spacing w:line="600" w:lineRule="exact"/>
        <w:ind w:firstLine="640" w:firstLineChars="200"/>
        <w:rPr>
          <w:rFonts w:hint="eastAsia" w:ascii="楷体_GB2312" w:eastAsia="楷体_GB2312"/>
          <w:sz w:val="32"/>
          <w:szCs w:val="32"/>
        </w:rPr>
      </w:pPr>
      <w:bookmarkStart w:id="4" w:name="_Toc23892"/>
      <w:r>
        <w:rPr>
          <w:rFonts w:hint="eastAsia" w:ascii="楷体_GB2312" w:eastAsia="楷体_GB2312"/>
          <w:sz w:val="32"/>
          <w:szCs w:val="32"/>
        </w:rPr>
        <w:t>（二）部门整体绩效目标设立情况</w:t>
      </w:r>
      <w:bookmarkEnd w:id="4"/>
    </w:p>
    <w:p>
      <w:pPr>
        <w:spacing w:line="600" w:lineRule="exact"/>
        <w:ind w:firstLine="640" w:firstLineChars="200"/>
        <w:rPr>
          <w:rFonts w:hint="eastAsia" w:ascii="楷体_GB2312" w:eastAsia="楷体_GB2312"/>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eastAsia="zh-CN"/>
        </w:rPr>
        <w:t>科学城管委会</w:t>
      </w:r>
      <w:r>
        <w:rPr>
          <w:rFonts w:hint="eastAsia" w:ascii="仿宋_GB2312" w:hAnsi="仿宋_GB2312" w:eastAsia="仿宋_GB2312" w:cs="仿宋_GB2312"/>
          <w:sz w:val="32"/>
          <w:szCs w:val="32"/>
        </w:rPr>
        <w:t>坚定落实党中央关于科技创新的指示要求，发扬科学精神，主动靠前服务，坚持问题导向，聚焦“三个方面”加速突破，打造国家战略科技力量集群、构建科技创新生态体系、创造“科学+城”现代化城市典范。把党中央战略部署落到实处，加速建成世界级原始创新承载区，成为北京建设国际科技创新中心的核心支撑。</w:t>
      </w:r>
      <w:r>
        <w:rPr>
          <w:rFonts w:hint="eastAsia" w:ascii="仿宋_GB2312" w:hAnsi="仿宋_GB2312" w:eastAsia="仿宋_GB2312" w:cs="仿宋_GB2312"/>
          <w:sz w:val="32"/>
          <w:szCs w:val="32"/>
          <w:lang w:eastAsia="zh-CN"/>
        </w:rPr>
        <w:t>年度主要指标涉及</w:t>
      </w:r>
      <w:r>
        <w:rPr>
          <w:rFonts w:hint="eastAsia" w:ascii="仿宋_GB2312" w:hAnsi="仿宋_GB2312" w:eastAsia="仿宋_GB2312" w:cs="仿宋_GB2312"/>
          <w:sz w:val="32"/>
          <w:szCs w:val="32"/>
          <w:lang w:val="en-US" w:eastAsia="zh-CN"/>
        </w:rPr>
        <w:t>10个分项领域：</w:t>
      </w:r>
      <w:r>
        <w:rPr>
          <w:rFonts w:hint="eastAsia" w:ascii="仿宋_GB2312" w:hAnsi="仿宋_GB2312" w:eastAsia="仿宋_GB2312" w:cs="仿宋_GB2312"/>
          <w:sz w:val="32"/>
          <w:szCs w:val="32"/>
        </w:rPr>
        <w:t>1.扎实推进战略科技力量增量布局；2.重点保障设施平台集群高效建设运行；3.有序推动多元创新主体集聚；4.深入落实改革创新政策；5.积极拓展融资渠道；6.持续优化人才发展环境；7.深度优化创新链、产业链；8.坚持扩大国际影响力；9.坚持发挥规划引领作用；10.持续推动城市配套设施完善。</w:t>
      </w:r>
      <w:r>
        <w:rPr>
          <w:rFonts w:hint="eastAsia" w:ascii="仿宋_GB2312" w:hAnsi="仿宋_GB2312" w:eastAsia="仿宋_GB2312" w:cs="仿宋_GB2312"/>
          <w:sz w:val="32"/>
          <w:szCs w:val="32"/>
          <w:lang w:eastAsia="zh-CN"/>
        </w:rPr>
        <w:t>形成</w:t>
      </w:r>
      <w:r>
        <w:rPr>
          <w:rFonts w:hint="eastAsia" w:ascii="仿宋_GB2312" w:hAnsi="仿宋_GB2312" w:eastAsia="仿宋_GB2312" w:cs="仿宋_GB2312"/>
          <w:sz w:val="32"/>
          <w:szCs w:val="32"/>
          <w:lang w:val="en-US" w:eastAsia="zh-CN"/>
        </w:rPr>
        <w:t>16项细分指标，其中产出指标11项、效益指标5项。</w:t>
      </w:r>
    </w:p>
    <w:p>
      <w:pPr>
        <w:spacing w:line="600" w:lineRule="exact"/>
        <w:ind w:firstLine="640" w:firstLineChars="200"/>
        <w:rPr>
          <w:rFonts w:ascii="黑体" w:hAnsi="黑体" w:eastAsia="黑体" w:cs="宋体"/>
          <w:color w:val="000000"/>
          <w:kern w:val="0"/>
          <w:sz w:val="32"/>
          <w:szCs w:val="32"/>
        </w:rPr>
      </w:pPr>
      <w:bookmarkStart w:id="5" w:name="_Toc10917"/>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5"/>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预算数10,103.17万元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2,134.00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项目支出预算数7,969.17</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eastAsia="zh-CN"/>
        </w:rPr>
        <w:t>全年</w:t>
      </w:r>
      <w:r>
        <w:rPr>
          <w:rFonts w:hint="eastAsia" w:ascii="仿宋_GB2312" w:hAnsi="宋体" w:eastAsia="仿宋_GB2312" w:cs="宋体"/>
          <w:color w:val="000000"/>
          <w:kern w:val="0"/>
          <w:sz w:val="32"/>
          <w:szCs w:val="32"/>
          <w:highlight w:val="none"/>
        </w:rPr>
        <w:t>支出7,985.89</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1,454.41</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支出6,531.48</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79.04%</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rPr>
          <w:rFonts w:ascii="黑体" w:hAnsi="黑体" w:eastAsia="黑体" w:cs="宋体"/>
          <w:color w:val="000000"/>
          <w:kern w:val="0"/>
          <w:sz w:val="32"/>
          <w:szCs w:val="32"/>
          <w:highlight w:val="none"/>
        </w:rPr>
      </w:pPr>
      <w:bookmarkStart w:id="6" w:name="_Toc17586"/>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bookmarkEnd w:id="6"/>
    </w:p>
    <w:p>
      <w:pPr>
        <w:spacing w:line="600" w:lineRule="exact"/>
        <w:ind w:left="105" w:leftChars="50" w:firstLine="480" w:firstLineChars="15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怀柔科学城管委会坚持以习近平新时代中国特色社会主义思想为指导，全面贯彻落实党的二十大和二十届二中、三中全会以及中央经济工作会议精神，深入贯彻习近平总书记对北京重要讲话精神，认真落实市委市政府决策部署、市领导调研怀柔指示要求和北京怀柔综合性国家科学中心第二次理事会会议精神，深化部市共建、院市合作，坚持“百年科学城、奋斗每一天”，推动各项工作取得新成效。</w:t>
      </w:r>
    </w:p>
    <w:p>
      <w:pPr>
        <w:spacing w:line="600" w:lineRule="exact"/>
        <w:ind w:left="105" w:leftChars="50" w:firstLine="480" w:firstLineChars="150"/>
        <w:rPr>
          <w:rFonts w:ascii="楷体_GB2312" w:eastAsia="楷体_GB2312"/>
          <w:sz w:val="32"/>
          <w:szCs w:val="32"/>
          <w:highlight w:val="none"/>
        </w:rPr>
      </w:pPr>
      <w:bookmarkStart w:id="7" w:name="_Toc9407"/>
      <w:r>
        <w:rPr>
          <w:rFonts w:hint="eastAsia" w:ascii="楷体_GB2312" w:eastAsia="楷体_GB2312"/>
          <w:sz w:val="32"/>
          <w:szCs w:val="32"/>
          <w:highlight w:val="none"/>
        </w:rPr>
        <w:t>（一）产出完成情况分析</w:t>
      </w:r>
      <w:bookmarkEnd w:id="7"/>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部门</w:t>
      </w:r>
      <w:r>
        <w:rPr>
          <w:rFonts w:hint="eastAsia" w:ascii="仿宋_GB2312" w:hAnsi="宋体" w:eastAsia="仿宋_GB2312" w:cs="宋体"/>
          <w:color w:val="000000"/>
          <w:kern w:val="0"/>
          <w:sz w:val="32"/>
          <w:szCs w:val="32"/>
          <w:highlight w:val="none"/>
        </w:rPr>
        <w:t>产出指标</w:t>
      </w:r>
      <w:r>
        <w:rPr>
          <w:rFonts w:hint="eastAsia" w:ascii="仿宋_GB2312" w:hAnsi="宋体" w:eastAsia="仿宋_GB2312" w:cs="宋体"/>
          <w:color w:val="000000"/>
          <w:kern w:val="0"/>
          <w:sz w:val="32"/>
          <w:szCs w:val="32"/>
          <w:highlight w:val="none"/>
          <w:lang w:eastAsia="zh-CN"/>
        </w:rPr>
        <w:t>设置为</w:t>
      </w:r>
      <w:r>
        <w:rPr>
          <w:rFonts w:hint="eastAsia" w:ascii="仿宋_GB2312" w:hAnsi="宋体" w:eastAsia="仿宋_GB2312" w:cs="宋体"/>
          <w:color w:val="000000"/>
          <w:kern w:val="0"/>
          <w:sz w:val="32"/>
          <w:szCs w:val="32"/>
          <w:highlight w:val="none"/>
        </w:rPr>
        <w:t>11项</w:t>
      </w:r>
      <w:r>
        <w:rPr>
          <w:rFonts w:hint="eastAsia" w:ascii="仿宋_GB2312" w:hAnsi="宋体" w:eastAsia="仿宋_GB2312" w:cs="宋体"/>
          <w:color w:val="000000"/>
          <w:kern w:val="0"/>
          <w:sz w:val="32"/>
          <w:szCs w:val="32"/>
          <w:highlight w:val="none"/>
          <w:lang w:eastAsia="zh-CN"/>
        </w:rPr>
        <w:t>，分别涉及规划评估和改革创新、设施平台保障、成果转化创新生态建设、合作交流与品牌建设等多个领域。主要完成情况为：</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规划开发建设方面：6月份，联合北京怀柔综合性国家科学中心理事会办公室（市发改委）顺利召开2024年第二次会议，会议听取了怀柔科学中心建设进展、规划评估及政策编制等情况汇报，取得多项实质性成果。高效完成年度控规实施运行维护、规划实施情况评估、科学城中心区地下管线综合实施方案区域规划工作等任务。推动人类器官生理病理模拟装置、创新细胞技术研发平台等8个科学设施开工建设。</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设施平台保障方面：顺利召开2024年交叉研究平台运行经费支持评审会，对材料基因组研究平台等7个交叉研究平台年度运行情况进行评价，并提供运行补助支持。涉及材料基因组研究平台、清洁能源材料测试诊断研发平台、先进光源技术研发与测试平台、空间科学卫星及有效载荷研制测试保障平台、先进载运和测量技术实验平台、国际子午圈大科学计划总部、高能同步辐射光源配套综合实验楼和用户服务楼共补助4024万元。</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成果转化创新生态方面：5月份京津冀国家技术创新中心（怀柔科学城）入驻怀柔科学城并正式运营。全年协助新增建设4个公共技术服务平台，引进落地2家国家级科技服务机构、设立1家产业创新研究院。参与引进和转化了中科量仪（北京）科技有限公司等15个重点项目。</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合作交流方面：本年度举办中关村论坛平行论坛——国家重大科技基础设施开放共享论坛、全球知识产权保护与创新论坛等高水平科技交流活动,参展中关村论坛常设展,第二十六届中国北京国际科技产业博览会,HICOOL 2024全球创业者峰会等展会活动。统筹推进综合性国家科学中心建设工作任务</w:t>
      </w:r>
    </w:p>
    <w:p>
      <w:pPr>
        <w:spacing w:line="600" w:lineRule="exact"/>
        <w:ind w:left="105" w:leftChars="50" w:firstLine="480" w:firstLineChars="150"/>
        <w:rPr>
          <w:rFonts w:ascii="楷体_GB2312" w:eastAsia="楷体_GB2312"/>
          <w:sz w:val="32"/>
          <w:szCs w:val="32"/>
          <w:highlight w:val="none"/>
        </w:rPr>
      </w:pPr>
      <w:bookmarkStart w:id="8" w:name="_Toc7537"/>
      <w:r>
        <w:rPr>
          <w:rFonts w:hint="eastAsia" w:ascii="楷体_GB2312" w:eastAsia="楷体_GB2312"/>
          <w:sz w:val="32"/>
          <w:szCs w:val="32"/>
          <w:highlight w:val="none"/>
        </w:rPr>
        <w:t>（二）效果</w:t>
      </w:r>
      <w:r>
        <w:rPr>
          <w:rFonts w:ascii="楷体_GB2312" w:eastAsia="楷体_GB2312"/>
          <w:sz w:val="32"/>
          <w:szCs w:val="32"/>
          <w:highlight w:val="none"/>
        </w:rPr>
        <w:t>实现情况分析</w:t>
      </w:r>
      <w:bookmarkEnd w:id="8"/>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部门</w:t>
      </w:r>
      <w:r>
        <w:rPr>
          <w:rFonts w:hint="eastAsia" w:ascii="仿宋_GB2312" w:hAnsi="宋体" w:eastAsia="仿宋_GB2312" w:cs="宋体"/>
          <w:color w:val="000000"/>
          <w:kern w:val="0"/>
          <w:sz w:val="32"/>
          <w:szCs w:val="32"/>
          <w:highlight w:val="none"/>
          <w:lang w:eastAsia="zh-CN"/>
        </w:rPr>
        <w:t>效果</w:t>
      </w:r>
      <w:r>
        <w:rPr>
          <w:rFonts w:hint="eastAsia" w:ascii="仿宋_GB2312" w:hAnsi="宋体" w:eastAsia="仿宋_GB2312" w:cs="宋体"/>
          <w:color w:val="000000"/>
          <w:kern w:val="0"/>
          <w:sz w:val="32"/>
          <w:szCs w:val="32"/>
          <w:highlight w:val="none"/>
        </w:rPr>
        <w:t>指标设置为</w:t>
      </w:r>
      <w:r>
        <w:rPr>
          <w:rFonts w:hint="eastAsia" w:ascii="仿宋_GB2312" w:hAnsi="宋体" w:eastAsia="仿宋_GB2312" w:cs="宋体"/>
          <w:color w:val="000000"/>
          <w:kern w:val="0"/>
          <w:sz w:val="32"/>
          <w:szCs w:val="32"/>
          <w:highlight w:val="none"/>
          <w:lang w:val="en-US" w:eastAsia="zh-CN"/>
        </w:rPr>
        <w:t>5</w:t>
      </w:r>
      <w:r>
        <w:rPr>
          <w:rFonts w:hint="eastAsia" w:ascii="仿宋_GB2312" w:hAnsi="宋体" w:eastAsia="仿宋_GB2312" w:cs="宋体"/>
          <w:color w:val="000000"/>
          <w:kern w:val="0"/>
          <w:sz w:val="32"/>
          <w:szCs w:val="32"/>
          <w:highlight w:val="none"/>
        </w:rPr>
        <w:t>项，分别涉及</w:t>
      </w:r>
      <w:r>
        <w:rPr>
          <w:rFonts w:hint="eastAsia" w:ascii="仿宋_GB2312" w:hAnsi="宋体" w:eastAsia="仿宋_GB2312" w:cs="宋体"/>
          <w:color w:val="000000"/>
          <w:kern w:val="0"/>
          <w:sz w:val="32"/>
          <w:szCs w:val="32"/>
          <w:highlight w:val="none"/>
          <w:lang w:eastAsia="zh-CN"/>
        </w:rPr>
        <w:t>改善城市基础设施、保障人才队伍需求、维护设施平台运转、开拓平台公司融资渠道、提高科学城品牌影响力等方面</w:t>
      </w:r>
      <w:r>
        <w:rPr>
          <w:rFonts w:hint="eastAsia" w:ascii="仿宋_GB2312" w:hAnsi="宋体" w:eastAsia="仿宋_GB2312" w:cs="宋体"/>
          <w:color w:val="000000"/>
          <w:kern w:val="0"/>
          <w:sz w:val="32"/>
          <w:szCs w:val="32"/>
          <w:highlight w:val="none"/>
        </w:rPr>
        <w:t>。主要完成情况为：</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设施平台运维方面：本年度综合极端条件实验装置等10个设施平台面向全球开放共享，累计开放机时123万小时，新增43万小时、增长53%。累计服务国内外单位622家。部门加强设施平台安全管理研究，结合怀柔科学城实际，研究提出实验室安全管理规范指引，并在区域内的科研设施推广和应用，指导提升设施平台整体安全管理水平。</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城市配套建设方面：结合控规落地实施，公共服务、市政基础、道路交通三大设施同步完善推进，可提供丰富多层次住房供给；“十四五”规划的优质教育、医疗资源布局完成并开发建设；基础设施和交通网络不断完善。</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品牌建设科普宣传方面：本年举办怀柔区全国科普日科普荟（大集），汇集怀柔科学城顶尖科普力量，融合高校院所前沿科技成果，涵盖国科天花板等五大板块60余个展棚，参与人数达万人，活动获评“2024年全国科普日优秀活动”。此外，开展走进怀柔科学城系列科普活动5场次。积极协调配合中国科学院国家天文台等5家科研单位新纳入科技教育体验基地；中国科学院大学等6家单位被北京市科协评为“2024年全国科普日活动暨第十四届北京科学嘉年华优秀组织单位”。</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国资平台管理方面：梳理国资平台公司当前重点项目实施情况和未来经营计划，整理分析现阶段融资工具和市场最新政策，学习各地平台公司发展案例，结合国资公司新阶段转型发展和未来投融资工作，做到提前谋划，前瞻思考，充分发挥平台公司作用，推进科学城重点项目建设发展。组织各金融机构开展对接会，积极推动科学城公司产业基金发展和重点项目投融资等工作，鼓励多元化市场主体参与投资建设运营，有效保障重点项目资金需求，推进科学城重点项目实施。</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科研人员</w:t>
      </w:r>
      <w:r>
        <w:rPr>
          <w:rFonts w:hint="eastAsia" w:ascii="仿宋_GB2312" w:hAnsi="宋体" w:eastAsia="仿宋_GB2312" w:cs="宋体"/>
          <w:color w:val="000000"/>
          <w:kern w:val="0"/>
          <w:sz w:val="32"/>
          <w:szCs w:val="32"/>
          <w:highlight w:val="none"/>
          <w:lang w:eastAsia="zh-CN"/>
        </w:rPr>
        <w:t>服务保障方面：本年度持续优化完善人才政策体系。对标对表市级方案，制定具有吸引力和竞争力的人才发展政策。深化人才服务保障体系，完善人才交通出行、子女教育、医疗体检、配偶就业等“一揽子”服务保障政策，深入研究制定健全配套政策。打造国际化人才发展环境。对接北京市公安局出入境管理总队，深化国际人才一站式服务。高位链接资源，加强对青年人才支持培养力度，积极与厦门航空对接，研究探索博士后联合培养需求和路径。怀柔科学城博士后科研工作站共10家博士后科研工作站分站，在站博士后共49名。截止目前，累计培养博士后科研人才90人，出站后有一半以上的人才留在怀柔继续科研工作。本年度人才工作获得区域内企业、院所、高校科研人员充分的肯定和认可。</w:t>
      </w:r>
    </w:p>
    <w:p>
      <w:pPr>
        <w:spacing w:line="600" w:lineRule="exact"/>
        <w:ind w:left="105" w:leftChars="50" w:firstLine="480" w:firstLineChars="150"/>
        <w:rPr>
          <w:rFonts w:hint="eastAsia" w:ascii="黑体" w:hAnsi="黑体" w:eastAsia="黑体" w:cs="宋体"/>
          <w:color w:val="000000"/>
          <w:kern w:val="0"/>
          <w:sz w:val="32"/>
          <w:szCs w:val="32"/>
          <w:highlight w:val="none"/>
        </w:rPr>
      </w:pPr>
      <w:bookmarkStart w:id="9" w:name="_Toc15998"/>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bookmarkEnd w:id="9"/>
    </w:p>
    <w:p>
      <w:pPr>
        <w:spacing w:line="600" w:lineRule="exact"/>
        <w:ind w:left="105" w:leftChars="50" w:firstLine="480" w:firstLineChars="150"/>
        <w:rPr>
          <w:rFonts w:ascii="楷体_GB2312" w:eastAsia="楷体_GB2312"/>
          <w:sz w:val="32"/>
          <w:szCs w:val="32"/>
          <w:highlight w:val="none"/>
        </w:rPr>
      </w:pPr>
      <w:bookmarkStart w:id="10" w:name="_Toc30942"/>
      <w:r>
        <w:rPr>
          <w:rFonts w:hint="eastAsia" w:ascii="楷体_GB2312" w:eastAsia="楷体_GB2312"/>
          <w:sz w:val="32"/>
          <w:szCs w:val="32"/>
          <w:highlight w:val="none"/>
        </w:rPr>
        <w:t>（一）财务管理</w:t>
      </w:r>
      <w:bookmarkEnd w:id="10"/>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为加强财务管理，进一步完善了部门的财务管理和业务管理制度，202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我部门紧扣市财政局部门预、决算相关规定开展工作，以财政部门要求为底线，结合部门职责、重点事项等要素，严格执行《中共北京市委怀柔科学城工作委员会工作规则》《中共北京市委怀柔科学城工作委员会“三重一大”决策实施办法》，遵守《北京怀柔科学城管委会工作规则》《北京怀柔科学城管委会“三重一大”决策实施办法》；完善《北京怀柔科学城管理委员会内部审计工作规定》《北京怀柔科学城管理委员会内部控制工作规定》等部门内部制度规范，进一步明确了财务管理的基本要求，增加预算编制和预算决策的科学性、规范性和准确性的管理要求。</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我部门预算资金使用以合规、安全、高效为原则，根据市财政局预算批复，及时做好用款计划，狠抓执行进度。部门资金拨付均符合市财政局相关经费支出要求，具有完整的审批程序和相关手续文件。资金调整、调剂规范，严格实行预算调整调剂审批制度；会计核算规范，支出凭证及其他核算均符合规定，按标准支出，无虚列支出、无截留、挤占、挪用资金情况</w:t>
      </w:r>
      <w:r>
        <w:rPr>
          <w:rFonts w:hint="eastAsia" w:ascii="仿宋_GB2312" w:hAnsi="宋体" w:eastAsia="仿宋_GB2312" w:cs="宋体"/>
          <w:color w:val="000000"/>
          <w:kern w:val="0"/>
          <w:sz w:val="32"/>
          <w:szCs w:val="32"/>
          <w:highlight w:val="none"/>
          <w:lang w:eastAsia="zh-CN"/>
        </w:rPr>
        <w:t>。</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我部门按照《北京市市级项目支出预算管理办法》的相关要求，项目在立项</w:t>
      </w:r>
      <w:r>
        <w:rPr>
          <w:rFonts w:hint="eastAsia" w:ascii="仿宋_GB2312" w:hAnsi="宋体" w:eastAsia="仿宋_GB2312" w:cs="宋体"/>
          <w:color w:val="000000"/>
          <w:kern w:val="0"/>
          <w:sz w:val="32"/>
          <w:szCs w:val="32"/>
          <w:highlight w:val="none"/>
          <w:lang w:eastAsia="zh-CN"/>
        </w:rPr>
        <w:t>时提供</w:t>
      </w:r>
      <w:r>
        <w:rPr>
          <w:rFonts w:hint="eastAsia" w:ascii="仿宋_GB2312" w:hAnsi="宋体" w:eastAsia="仿宋_GB2312" w:cs="宋体"/>
          <w:color w:val="000000"/>
          <w:kern w:val="0"/>
          <w:sz w:val="32"/>
          <w:szCs w:val="32"/>
          <w:highlight w:val="none"/>
        </w:rPr>
        <w:t>详细的法规政策规定、政府批准文件、项目绩效目标和可行性报告等材料，作为审核项目预算的依据。预算执行中涉及调整的资金款项均严格执行市财政相关规定。财务核算规范严谨、会计报表真实准确，同时部门按照市级要求积极采用一体化会计核算，与原有财务体系优势互补，规范记账。</w:t>
      </w:r>
    </w:p>
    <w:p>
      <w:pPr>
        <w:spacing w:line="600" w:lineRule="exact"/>
        <w:ind w:left="105" w:leftChars="50" w:firstLine="480" w:firstLineChars="150"/>
        <w:rPr>
          <w:rFonts w:hint="eastAsia" w:ascii="楷体_GB2312" w:eastAsia="楷体_GB2312"/>
          <w:sz w:val="32"/>
          <w:szCs w:val="32"/>
          <w:highlight w:val="none"/>
        </w:rPr>
      </w:pPr>
      <w:bookmarkStart w:id="11" w:name="_Toc29783"/>
      <w:r>
        <w:rPr>
          <w:rFonts w:hint="eastAsia" w:ascii="楷体_GB2312" w:eastAsia="楷体_GB2312"/>
          <w:sz w:val="32"/>
          <w:szCs w:val="32"/>
          <w:highlight w:val="none"/>
        </w:rPr>
        <w:t>（二）资产管理</w:t>
      </w:r>
      <w:bookmarkEnd w:id="11"/>
    </w:p>
    <w:p>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截止2024年12月31日，本部门资产总额2,461.40万元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负债总额35.16万元，净资产2,426.25万元</w:t>
      </w:r>
      <w:r>
        <w:rPr>
          <w:rFonts w:hint="eastAsia" w:ascii="仿宋_GB2312" w:hAnsi="仿宋_GB2312" w:eastAsia="仿宋_GB2312" w:cs="仿宋_GB2312"/>
          <w:sz w:val="32"/>
          <w:szCs w:val="32"/>
          <w:highlight w:val="none"/>
          <w:lang w:eastAsia="zh-CN"/>
        </w:rPr>
        <w:t>，资产负债率为1.43%，偿债能力较强</w:t>
      </w:r>
      <w:r>
        <w:rPr>
          <w:rFonts w:hint="eastAsia" w:ascii="仿宋_GB2312" w:hAnsi="仿宋_GB2312" w:eastAsia="仿宋_GB2312" w:cs="仿宋_GB2312"/>
          <w:sz w:val="32"/>
          <w:szCs w:val="32"/>
          <w:highlight w:val="none"/>
        </w:rPr>
        <w:t>。资产</w:t>
      </w:r>
      <w:r>
        <w:rPr>
          <w:rFonts w:hint="eastAsia" w:ascii="仿宋_GB2312" w:hAnsi="仿宋_GB2312" w:eastAsia="仿宋_GB2312" w:cs="仿宋_GB2312"/>
          <w:sz w:val="32"/>
          <w:szCs w:val="32"/>
          <w:highlight w:val="none"/>
          <w:lang w:eastAsia="zh-CN"/>
        </w:rPr>
        <w:t>方面</w:t>
      </w:r>
      <w:r>
        <w:rPr>
          <w:rFonts w:hint="eastAsia" w:ascii="仿宋_GB2312" w:hAnsi="仿宋_GB2312" w:eastAsia="仿宋_GB2312" w:cs="仿宋_GB2312"/>
          <w:sz w:val="32"/>
          <w:szCs w:val="32"/>
          <w:highlight w:val="none"/>
        </w:rPr>
        <w:t>主要包括流动资产2,117.28万元：货币资金0.27万元、财政应返还额度2,117.01万元，非流动资产344.12万元：固定资产净值233.50万元、无形资产净值110.6</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万元。本部门暂无长期投资、在建工程、公共基础设施、政府储备物资、保障性住房等重要资产。</w:t>
      </w:r>
    </w:p>
    <w:p>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部门按照《北京怀柔科学城管理委员会资产管理制度（试行）》制度对部门资产进行管理，严格执行使用怀柔科学城固定资产、办公用品领用申请单、资产报废审批单等内部审核单据。各处室设立专门的资产管理员，所有固定资产登记、物品领用由资产管理员统一负责。本年度办公室、财经处牵头对现有资产进行全面盘点分类，登记造册；并按市级要求完成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行政事业单位国有资产年报上报。后续我部门将加大资产管理力度，结合内部控制制度、手册，规范资产预算申报-资产采购-资产管理-资产处置等一系列流程，做到合理购置，有效分配，合理使用的资产管理目标。</w:t>
      </w:r>
    </w:p>
    <w:p>
      <w:pPr>
        <w:spacing w:line="600" w:lineRule="exact"/>
        <w:ind w:left="105" w:leftChars="50" w:firstLine="480" w:firstLineChars="150"/>
        <w:rPr>
          <w:rFonts w:ascii="楷体_GB2312" w:eastAsia="楷体_GB2312"/>
          <w:sz w:val="32"/>
          <w:szCs w:val="32"/>
          <w:highlight w:val="none"/>
        </w:rPr>
      </w:pPr>
      <w:bookmarkStart w:id="12" w:name="_Toc14477"/>
      <w:r>
        <w:rPr>
          <w:rFonts w:hint="eastAsia" w:ascii="楷体_GB2312" w:eastAsia="楷体_GB2312"/>
          <w:sz w:val="32"/>
          <w:szCs w:val="32"/>
          <w:highlight w:val="none"/>
        </w:rPr>
        <w:t>（三）绩效</w:t>
      </w:r>
      <w:r>
        <w:rPr>
          <w:rFonts w:ascii="楷体_GB2312" w:eastAsia="楷体_GB2312"/>
          <w:sz w:val="32"/>
          <w:szCs w:val="32"/>
          <w:highlight w:val="none"/>
        </w:rPr>
        <w:t>管理</w:t>
      </w:r>
      <w:bookmarkEnd w:id="12"/>
    </w:p>
    <w:p>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本年度我</w:t>
      </w:r>
      <w:r>
        <w:rPr>
          <w:rFonts w:hint="eastAsia" w:ascii="仿宋_GB2312" w:hAnsi="仿宋_GB2312" w:eastAsia="仿宋_GB2312" w:cs="仿宋_GB2312"/>
          <w:sz w:val="32"/>
          <w:szCs w:val="32"/>
          <w:highlight w:val="none"/>
        </w:rPr>
        <w:t>部门</w:t>
      </w:r>
      <w:r>
        <w:rPr>
          <w:rFonts w:hint="eastAsia" w:ascii="仿宋_GB2312" w:hAnsi="仿宋_GB2312" w:eastAsia="仿宋_GB2312" w:cs="仿宋_GB2312"/>
          <w:sz w:val="32"/>
          <w:szCs w:val="32"/>
          <w:highlight w:val="none"/>
          <w:lang w:eastAsia="zh-CN"/>
        </w:rPr>
        <w:t>继续</w:t>
      </w:r>
      <w:r>
        <w:rPr>
          <w:rFonts w:hint="eastAsia" w:ascii="仿宋_GB2312" w:hAnsi="仿宋_GB2312" w:eastAsia="仿宋_GB2312" w:cs="仿宋_GB2312"/>
          <w:sz w:val="32"/>
          <w:szCs w:val="32"/>
          <w:highlight w:val="none"/>
        </w:rPr>
        <w:t>深入贯彻市委、市政府《关于全面实施预算绩效管理的实施意见》、《北京市预算绩效管理办法》等文件要求，围绕部门职责，以预算资金管理为主线，统筹考虑资金和业务活动，从运行成本、管理效率、履职效能、社会效益、可持续发展能力和服务对象满意度等方面，衡量业务实施效果。</w:t>
      </w:r>
    </w:p>
    <w:p>
      <w:pPr>
        <w:spacing w:line="600" w:lineRule="exact"/>
        <w:ind w:left="105" w:leftChars="50" w:firstLine="480" w:firstLineChars="15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北京市财政局关于推进全面实施预算绩效管理工作的通知》要求，我部门积极落实全过程预算绩效管理工作。一是对纳入部门预算管理的所有填报绩效目标的项目开展绩效自评工作，实现绩效自评“全覆盖”，选定“</w:t>
      </w:r>
      <w:r>
        <w:rPr>
          <w:rFonts w:hint="eastAsia" w:ascii="仿宋_GB2312" w:hAnsi="仿宋_GB2312" w:eastAsia="仿宋_GB2312" w:cs="仿宋_GB2312"/>
          <w:sz w:val="32"/>
          <w:szCs w:val="32"/>
          <w:highlight w:val="none"/>
        </w:rPr>
        <w:t>北京怀柔综合性国家科学中心交叉研究平台运行经费补助</w:t>
      </w:r>
      <w:r>
        <w:rPr>
          <w:rFonts w:hint="eastAsia" w:ascii="仿宋_GB2312" w:hAnsi="仿宋_GB2312" w:eastAsia="仿宋_GB2312" w:cs="仿宋_GB2312"/>
          <w:sz w:val="32"/>
          <w:szCs w:val="32"/>
          <w:highlight w:val="none"/>
          <w:lang w:val="en-US" w:eastAsia="zh-CN"/>
        </w:rPr>
        <w:t>”项目开展重点评价，同步开展部门整体绩效评价工作。二是组织对纳入绩效管理的所有项目上半年执行情况实施绩效监控，并按要求选取重点项目进行全面分析。对项目的绩效目标实现程度、项目预算资金拨款到位情况及预算执行情况开展绩效监控，提高预算执行效力和项目资金使用效率。对偏离绩效目标项目和预期无效项目及时采取措施予以纠正。三是加强绩效目标管理，依据业务实际开展情况，参照《北京市财政科技项目预算绩效指标库（核心推荐）》，对照预算一体化系统中的绩效指标标准，梳理本部门预算支出核心绩效指标及绩效标准，并认真填报项目绩效目标及年度各分项指标。四是严格落实事前绩效评估，事前绩效评估是优化支出结构、做实项目储备的有力举措，本年度两项重点项目参加市级事前绩效评估，有效提升新增项目立项决策的科学化水平。</w:t>
      </w:r>
    </w:p>
    <w:p>
      <w:pPr>
        <w:spacing w:line="600" w:lineRule="exact"/>
        <w:ind w:left="105" w:leftChars="50" w:firstLine="480" w:firstLineChars="150"/>
        <w:rPr>
          <w:rFonts w:hint="eastAsia" w:ascii="楷体_GB2312" w:eastAsia="楷体_GB2312"/>
          <w:sz w:val="32"/>
          <w:szCs w:val="32"/>
          <w:highlight w:val="none"/>
        </w:rPr>
      </w:pPr>
      <w:bookmarkStart w:id="13" w:name="_Toc25788"/>
      <w:r>
        <w:rPr>
          <w:rFonts w:hint="eastAsia" w:ascii="楷体_GB2312" w:eastAsia="楷体_GB2312"/>
          <w:sz w:val="32"/>
          <w:szCs w:val="32"/>
          <w:highlight w:val="none"/>
        </w:rPr>
        <w:t>（四）结转结余率</w:t>
      </w:r>
      <w:bookmarkEnd w:id="13"/>
    </w:p>
    <w:p>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部门2024年全年预算数10,103.17万元，全年支出7,985.89万元，结转结余资金为2,117.28万元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结转结余率为</w:t>
      </w:r>
      <w:r>
        <w:rPr>
          <w:rFonts w:hint="eastAsia" w:ascii="仿宋_GB2312" w:hAnsi="仿宋_GB2312" w:eastAsia="仿宋_GB2312" w:cs="仿宋_GB2312"/>
          <w:sz w:val="32"/>
          <w:szCs w:val="32"/>
          <w:highlight w:val="none"/>
          <w:lang w:val="en-US" w:eastAsia="zh-CN"/>
        </w:rPr>
        <w:t>20.96</w:t>
      </w:r>
      <w:r>
        <w:rPr>
          <w:rFonts w:hint="eastAsia" w:ascii="仿宋_GB2312" w:hAnsi="仿宋_GB2312" w:eastAsia="仿宋_GB2312" w:cs="仿宋_GB2312"/>
          <w:sz w:val="32"/>
          <w:szCs w:val="32"/>
          <w:highlight w:val="none"/>
        </w:rPr>
        <w:t>%。</w:t>
      </w:r>
    </w:p>
    <w:p>
      <w:pPr>
        <w:spacing w:line="600" w:lineRule="exact"/>
        <w:ind w:left="105" w:leftChars="50" w:firstLine="480" w:firstLineChars="150"/>
        <w:rPr>
          <w:rFonts w:ascii="楷体_GB2312" w:eastAsia="楷体_GB2312"/>
          <w:sz w:val="32"/>
          <w:szCs w:val="32"/>
          <w:highlight w:val="none"/>
        </w:rPr>
      </w:pPr>
      <w:bookmarkStart w:id="14" w:name="_Toc24489"/>
      <w:r>
        <w:rPr>
          <w:rFonts w:hint="eastAsia" w:ascii="楷体_GB2312" w:eastAsia="楷体_GB2312"/>
          <w:sz w:val="32"/>
          <w:szCs w:val="32"/>
          <w:highlight w:val="none"/>
        </w:rPr>
        <w:t>（五）部门</w:t>
      </w:r>
      <w:r>
        <w:rPr>
          <w:rFonts w:ascii="楷体_GB2312" w:eastAsia="楷体_GB2312"/>
          <w:sz w:val="32"/>
          <w:szCs w:val="32"/>
          <w:highlight w:val="none"/>
        </w:rPr>
        <w:t>预决算差异率</w:t>
      </w:r>
      <w:bookmarkEnd w:id="14"/>
    </w:p>
    <w:p>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我部门202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年决算数10,103.17万元，比年初预算数10,044.94万元增加58.23万元，差异率</w:t>
      </w:r>
      <w:r>
        <w:rPr>
          <w:rFonts w:hint="eastAsia" w:ascii="仿宋_GB2312" w:hAnsi="仿宋_GB2312" w:eastAsia="仿宋_GB2312" w:cs="仿宋_GB2312"/>
          <w:sz w:val="32"/>
          <w:szCs w:val="32"/>
          <w:highlight w:val="none"/>
          <w:lang w:val="en-US" w:eastAsia="zh-CN"/>
        </w:rPr>
        <w:t>0.58</w:t>
      </w:r>
      <w:r>
        <w:rPr>
          <w:rFonts w:hint="eastAsia" w:ascii="仿宋_GB2312" w:hAnsi="仿宋_GB2312" w:eastAsia="仿宋_GB2312" w:cs="仿宋_GB2312"/>
          <w:sz w:val="32"/>
          <w:szCs w:val="32"/>
          <w:highlight w:val="none"/>
        </w:rPr>
        <w:t>%。</w:t>
      </w:r>
      <w:bookmarkStart w:id="15" w:name="_Toc29345"/>
    </w:p>
    <w:p>
      <w:pPr>
        <w:spacing w:line="600" w:lineRule="exact"/>
        <w:ind w:left="105" w:leftChars="50" w:firstLine="480" w:firstLineChars="150"/>
        <w:rPr>
          <w:rFonts w:ascii="黑体" w:hAnsi="黑体" w:eastAsia="黑体"/>
          <w:sz w:val="32"/>
          <w:szCs w:val="32"/>
          <w:highlight w:val="none"/>
        </w:rPr>
      </w:pPr>
      <w:bookmarkStart w:id="24" w:name="_GoBack"/>
      <w:bookmarkEnd w:id="24"/>
      <w:r>
        <w:rPr>
          <w:rFonts w:hint="eastAsia" w:ascii="黑体" w:hAnsi="黑体" w:eastAsia="黑体"/>
          <w:sz w:val="32"/>
          <w:szCs w:val="32"/>
          <w:highlight w:val="none"/>
        </w:rPr>
        <w:t>五、总体</w:t>
      </w:r>
      <w:r>
        <w:rPr>
          <w:rFonts w:ascii="黑体" w:hAnsi="黑体" w:eastAsia="黑体"/>
          <w:sz w:val="32"/>
          <w:szCs w:val="32"/>
          <w:highlight w:val="none"/>
        </w:rPr>
        <w:t>评价结论</w:t>
      </w:r>
      <w:bookmarkEnd w:id="15"/>
    </w:p>
    <w:p>
      <w:pPr>
        <w:spacing w:line="600" w:lineRule="exact"/>
        <w:ind w:left="105" w:leftChars="50" w:firstLine="480" w:firstLineChars="150"/>
        <w:rPr>
          <w:rFonts w:hint="eastAsia" w:ascii="楷体_GB2312" w:eastAsia="楷体_GB2312"/>
          <w:sz w:val="32"/>
          <w:szCs w:val="32"/>
          <w:highlight w:val="none"/>
        </w:rPr>
      </w:pPr>
      <w:bookmarkStart w:id="16" w:name="_Toc26603"/>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bookmarkEnd w:id="16"/>
    </w:p>
    <w:p>
      <w:pPr>
        <w:spacing w:line="600" w:lineRule="exact"/>
        <w:ind w:left="105" w:leftChars="50" w:firstLine="480" w:firstLineChars="15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4年</w:t>
      </w:r>
      <w:r>
        <w:rPr>
          <w:rFonts w:hint="eastAsia" w:ascii="仿宋_GB2312" w:hAnsi="仿宋_GB2312" w:eastAsia="仿宋_GB2312" w:cs="仿宋_GB2312"/>
          <w:sz w:val="32"/>
          <w:szCs w:val="32"/>
          <w:highlight w:val="none"/>
        </w:rPr>
        <w:t>北京怀柔科学城管理委员会部门部门整体支出绩效评估考核结果</w:t>
      </w:r>
      <w:r>
        <w:rPr>
          <w:rFonts w:hint="eastAsia" w:ascii="仿宋_GB2312" w:hAnsi="仿宋_GB2312" w:eastAsia="仿宋_GB2312" w:cs="仿宋_GB2312"/>
          <w:sz w:val="32"/>
          <w:szCs w:val="32"/>
          <w:highlight w:val="none"/>
          <w:lang w:eastAsia="zh-CN"/>
        </w:rPr>
        <w:t>为“</w:t>
      </w:r>
      <w:r>
        <w:rPr>
          <w:rFonts w:hint="eastAsia" w:ascii="仿宋_GB2312" w:hAnsi="仿宋_GB2312" w:eastAsia="仿宋_GB2312" w:cs="仿宋_GB2312"/>
          <w:sz w:val="32"/>
          <w:szCs w:val="32"/>
          <w:highlight w:val="none"/>
        </w:rPr>
        <w:t>优</w:t>
      </w:r>
      <w:r>
        <w:rPr>
          <w:rFonts w:hint="eastAsia" w:ascii="仿宋_GB2312" w:hAnsi="仿宋_GB2312" w:eastAsia="仿宋_GB2312" w:cs="仿宋_GB2312"/>
          <w:sz w:val="32"/>
          <w:szCs w:val="32"/>
          <w:highlight w:val="none"/>
          <w:lang w:eastAsia="zh-CN"/>
        </w:rPr>
        <w:t>”。</w:t>
      </w:r>
    </w:p>
    <w:p>
      <w:pPr>
        <w:spacing w:line="600" w:lineRule="exact"/>
        <w:ind w:left="105" w:leftChars="50"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部门设定的</w:t>
      </w:r>
      <w:r>
        <w:rPr>
          <w:rFonts w:hint="eastAsia" w:ascii="仿宋_GB2312" w:hAnsi="仿宋_GB2312" w:eastAsia="仿宋_GB2312" w:cs="仿宋_GB2312"/>
          <w:sz w:val="32"/>
          <w:szCs w:val="32"/>
          <w:highlight w:val="none"/>
        </w:rPr>
        <w:t>绩效</w:t>
      </w:r>
      <w:r>
        <w:rPr>
          <w:rFonts w:hint="eastAsia" w:ascii="仿宋_GB2312" w:hAnsi="仿宋_GB2312" w:eastAsia="仿宋_GB2312" w:cs="仿宋_GB2312"/>
          <w:sz w:val="32"/>
          <w:szCs w:val="32"/>
          <w:highlight w:val="none"/>
          <w:lang w:eastAsia="zh-CN"/>
        </w:rPr>
        <w:t>目标、年度重点任务清单等数据，</w:t>
      </w:r>
      <w:r>
        <w:rPr>
          <w:rFonts w:hint="eastAsia" w:ascii="仿宋_GB2312" w:hAnsi="仿宋_GB2312" w:eastAsia="仿宋_GB2312" w:cs="仿宋_GB2312"/>
          <w:sz w:val="32"/>
          <w:szCs w:val="32"/>
          <w:highlight w:val="none"/>
        </w:rPr>
        <w:t>通过资料分析、</w:t>
      </w:r>
      <w:r>
        <w:rPr>
          <w:rFonts w:hint="eastAsia" w:ascii="仿宋_GB2312" w:hAnsi="仿宋_GB2312" w:eastAsia="仿宋_GB2312" w:cs="仿宋_GB2312"/>
          <w:sz w:val="32"/>
          <w:szCs w:val="32"/>
          <w:highlight w:val="none"/>
          <w:lang w:eastAsia="zh-CN"/>
        </w:rPr>
        <w:t>专题研讨</w:t>
      </w:r>
      <w:r>
        <w:rPr>
          <w:rFonts w:hint="eastAsia" w:ascii="仿宋_GB2312" w:hAnsi="仿宋_GB2312" w:eastAsia="仿宋_GB2312" w:cs="仿宋_GB2312"/>
          <w:sz w:val="32"/>
          <w:szCs w:val="32"/>
          <w:highlight w:val="none"/>
        </w:rPr>
        <w:t>等多种方式开展了全面、系统、客观的分析评价，202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年我部门</w:t>
      </w:r>
      <w:r>
        <w:rPr>
          <w:rFonts w:hint="eastAsia" w:ascii="仿宋_GB2312" w:hAnsi="仿宋_GB2312" w:eastAsia="仿宋_GB2312" w:cs="仿宋_GB2312"/>
          <w:sz w:val="32"/>
          <w:szCs w:val="32"/>
          <w:highlight w:val="none"/>
          <w:lang w:eastAsia="zh-CN"/>
        </w:rPr>
        <w:t>能够高效完成年初制定任务，</w:t>
      </w:r>
      <w:r>
        <w:rPr>
          <w:rFonts w:hint="eastAsia" w:ascii="仿宋_GB2312" w:hAnsi="仿宋_GB2312" w:eastAsia="仿宋_GB2312" w:cs="仿宋_GB2312"/>
          <w:sz w:val="32"/>
          <w:szCs w:val="32"/>
          <w:highlight w:val="none"/>
        </w:rPr>
        <w:t>推动各项工作取得新成效。</w:t>
      </w:r>
      <w:r>
        <w:rPr>
          <w:rFonts w:hint="eastAsia" w:ascii="仿宋_GB2312" w:hAnsi="仿宋_GB2312" w:eastAsia="仿宋_GB2312" w:cs="仿宋_GB2312"/>
          <w:sz w:val="32"/>
          <w:szCs w:val="32"/>
          <w:highlight w:val="none"/>
          <w:lang w:eastAsia="zh-CN"/>
        </w:rPr>
        <w:t>部门</w:t>
      </w:r>
      <w:r>
        <w:rPr>
          <w:rFonts w:hint="eastAsia" w:ascii="仿宋_GB2312" w:hAnsi="仿宋_GB2312" w:eastAsia="仿宋_GB2312" w:cs="仿宋_GB2312"/>
          <w:sz w:val="32"/>
          <w:szCs w:val="32"/>
          <w:highlight w:val="none"/>
        </w:rPr>
        <w:t>全年绩效目标</w:t>
      </w:r>
      <w:r>
        <w:rPr>
          <w:rFonts w:hint="eastAsia" w:ascii="仿宋_GB2312" w:hAnsi="仿宋_GB2312" w:eastAsia="仿宋_GB2312" w:cs="仿宋_GB2312"/>
          <w:sz w:val="32"/>
          <w:szCs w:val="32"/>
          <w:highlight w:val="none"/>
          <w:lang w:eastAsia="zh-CN"/>
        </w:rPr>
        <w:t>打分</w:t>
      </w:r>
      <w:r>
        <w:rPr>
          <w:rFonts w:hint="eastAsia" w:ascii="仿宋_GB2312" w:hAnsi="仿宋_GB2312" w:eastAsia="仿宋_GB2312" w:cs="仿宋_GB2312"/>
          <w:sz w:val="32"/>
          <w:szCs w:val="32"/>
          <w:highlight w:val="none"/>
        </w:rPr>
        <w:t>为</w:t>
      </w:r>
      <w:r>
        <w:rPr>
          <w:rFonts w:hint="eastAsia" w:ascii="仿宋_GB2312" w:hAnsi="仿宋_GB2312" w:eastAsia="仿宋_GB2312" w:cs="仿宋_GB2312"/>
          <w:sz w:val="32"/>
          <w:szCs w:val="32"/>
          <w:highlight w:val="none"/>
          <w:lang w:val="en-US" w:eastAsia="zh-CN"/>
        </w:rPr>
        <w:t>90.8</w:t>
      </w:r>
      <w:r>
        <w:rPr>
          <w:rFonts w:hint="eastAsia" w:ascii="仿宋_GB2312" w:hAnsi="仿宋_GB2312" w:eastAsia="仿宋_GB2312" w:cs="仿宋_GB2312"/>
          <w:sz w:val="32"/>
          <w:szCs w:val="32"/>
          <w:highlight w:val="none"/>
        </w:rPr>
        <w:t>分，其中当年预算执行情况15.8分、整体绩效目标实现情况</w:t>
      </w:r>
      <w:r>
        <w:rPr>
          <w:rFonts w:hint="eastAsia" w:ascii="仿宋_GB2312" w:hAnsi="仿宋_GB2312" w:eastAsia="仿宋_GB2312" w:cs="仿宋_GB2312"/>
          <w:sz w:val="32"/>
          <w:szCs w:val="32"/>
          <w:highlight w:val="none"/>
          <w:lang w:val="en-US" w:eastAsia="zh-CN"/>
        </w:rPr>
        <w:t>59.0</w:t>
      </w:r>
      <w:r>
        <w:rPr>
          <w:rFonts w:hint="eastAsia" w:ascii="仿宋_GB2312" w:hAnsi="仿宋_GB2312" w:eastAsia="仿宋_GB2312" w:cs="仿宋_GB2312"/>
          <w:sz w:val="32"/>
          <w:szCs w:val="32"/>
          <w:highlight w:val="none"/>
        </w:rPr>
        <w:t>分、预算管理情况</w:t>
      </w:r>
      <w:r>
        <w:rPr>
          <w:rFonts w:hint="eastAsia" w:ascii="仿宋_GB2312" w:hAnsi="仿宋_GB2312" w:eastAsia="仿宋_GB2312" w:cs="仿宋_GB2312"/>
          <w:sz w:val="32"/>
          <w:szCs w:val="32"/>
          <w:highlight w:val="none"/>
          <w:lang w:val="en-US" w:eastAsia="zh-CN"/>
        </w:rPr>
        <w:t>16.0</w:t>
      </w:r>
      <w:r>
        <w:rPr>
          <w:rFonts w:hint="eastAsia" w:ascii="仿宋_GB2312" w:hAnsi="仿宋_GB2312" w:eastAsia="仿宋_GB2312" w:cs="仿宋_GB2312"/>
          <w:sz w:val="32"/>
          <w:szCs w:val="32"/>
          <w:highlight w:val="none"/>
        </w:rPr>
        <w:t>分，绩效评定结论为“优”。具体评分</w:t>
      </w:r>
      <w:r>
        <w:rPr>
          <w:rFonts w:hint="eastAsia" w:ascii="仿宋_GB2312" w:hAnsi="仿宋_GB2312" w:eastAsia="仿宋_GB2312" w:cs="仿宋_GB2312"/>
          <w:sz w:val="32"/>
          <w:szCs w:val="32"/>
          <w:highlight w:val="none"/>
          <w:lang w:eastAsia="zh-CN"/>
        </w:rPr>
        <w:t>详</w:t>
      </w:r>
      <w:r>
        <w:rPr>
          <w:rFonts w:hint="eastAsia" w:ascii="仿宋_GB2312" w:hAnsi="仿宋_GB2312" w:eastAsia="仿宋_GB2312" w:cs="仿宋_GB2312"/>
          <w:sz w:val="32"/>
          <w:szCs w:val="32"/>
          <w:highlight w:val="none"/>
        </w:rPr>
        <w:t>见《</w:t>
      </w:r>
      <w:r>
        <w:rPr>
          <w:rFonts w:hint="eastAsia" w:ascii="仿宋_GB2312" w:hAnsi="仿宋_GB2312" w:eastAsia="仿宋_GB2312" w:cs="仿宋_GB2312"/>
          <w:sz w:val="32"/>
          <w:szCs w:val="32"/>
          <w:highlight w:val="none"/>
          <w:lang w:eastAsia="zh-CN"/>
        </w:rPr>
        <w:t>北京怀柔科学城管理委员会</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年度部门整体绩效评价指标体系评分表》。</w:t>
      </w:r>
    </w:p>
    <w:p>
      <w:pPr>
        <w:spacing w:line="600" w:lineRule="exact"/>
        <w:ind w:left="105" w:leftChars="50" w:firstLine="480" w:firstLineChars="150"/>
        <w:rPr>
          <w:rFonts w:hint="eastAsia" w:ascii="楷体_GB2312" w:eastAsia="楷体_GB2312"/>
          <w:sz w:val="32"/>
          <w:szCs w:val="32"/>
          <w:highlight w:val="none"/>
        </w:rPr>
      </w:pPr>
      <w:bookmarkStart w:id="17" w:name="_Toc4393"/>
      <w:r>
        <w:rPr>
          <w:rFonts w:hint="eastAsia" w:ascii="楷体_GB2312" w:eastAsia="楷体_GB2312"/>
          <w:sz w:val="32"/>
          <w:szCs w:val="32"/>
          <w:highlight w:val="none"/>
        </w:rPr>
        <w:t>（二）存在的问题及原因分析</w:t>
      </w:r>
      <w:bookmarkEnd w:id="17"/>
    </w:p>
    <w:p>
      <w:pPr>
        <w:spacing w:line="600" w:lineRule="exact"/>
        <w:ind w:left="105" w:leftChars="50" w:firstLine="480" w:firstLineChars="15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梳理全年部门整体工作开展情况发现问题：一是</w:t>
      </w:r>
      <w:r>
        <w:rPr>
          <w:rFonts w:hint="eastAsia" w:ascii="仿宋_GB2312" w:hAnsi="仿宋_GB2312" w:eastAsia="仿宋_GB2312" w:cs="仿宋_GB2312"/>
          <w:sz w:val="32"/>
          <w:szCs w:val="32"/>
          <w:highlight w:val="none"/>
        </w:rPr>
        <w:t>部门</w:t>
      </w:r>
      <w:r>
        <w:rPr>
          <w:rFonts w:hint="eastAsia" w:ascii="仿宋_GB2312" w:hAnsi="仿宋_GB2312" w:eastAsia="仿宋_GB2312" w:cs="仿宋_GB2312"/>
          <w:sz w:val="32"/>
          <w:szCs w:val="32"/>
          <w:highlight w:val="none"/>
          <w:lang w:eastAsia="zh-CN"/>
        </w:rPr>
        <w:t>预算项目成熟度不够高</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部分项目执行中因政策、计划变动导致执行率下降，且未及时申请预算调整上缴调减</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导致部分资金结余。部门将进一步完善提高项目申报要求，按照成熟度排序申报，年中根据项目进度及时申请调整，减少资金结转结余</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二是项目绩效目标设置仍有待优化。个别项目绩效指标的细化程度及量化不足，定性指标较多，可衡量性仍存在不足，关于项目预期达到的效果归纳与阐述有待完善，无法直观体现项目预期效果。</w:t>
      </w:r>
    </w:p>
    <w:p>
      <w:pPr>
        <w:spacing w:line="600" w:lineRule="exact"/>
        <w:ind w:firstLine="640" w:firstLineChars="200"/>
        <w:rPr>
          <w:rFonts w:hint="eastAsia" w:ascii="仿宋_GB2312" w:hAnsi="宋体" w:eastAsia="仿宋_GB2312" w:cs="宋体"/>
          <w:color w:val="000000"/>
          <w:kern w:val="0"/>
          <w:sz w:val="32"/>
          <w:szCs w:val="32"/>
          <w:highlight w:val="none"/>
        </w:rPr>
      </w:pPr>
      <w:bookmarkStart w:id="18" w:name="_Toc32523"/>
      <w:r>
        <w:rPr>
          <w:rFonts w:hint="eastAsia" w:ascii="黑体" w:hAnsi="黑体" w:eastAsia="黑体" w:cs="宋体"/>
          <w:color w:val="000000"/>
          <w:kern w:val="0"/>
          <w:sz w:val="32"/>
          <w:szCs w:val="32"/>
          <w:highlight w:val="none"/>
        </w:rPr>
        <w:t>六、措施建议</w:t>
      </w:r>
      <w:bookmarkEnd w:id="18"/>
    </w:p>
    <w:p>
      <w:pPr>
        <w:spacing w:line="600" w:lineRule="exact"/>
        <w:ind w:firstLine="640" w:firstLineChars="200"/>
        <w:rPr>
          <w:rFonts w:hint="eastAsia" w:ascii="仿宋_GB2312" w:hAnsi="宋体" w:eastAsia="仿宋_GB2312" w:cs="宋体"/>
          <w:color w:val="000000"/>
          <w:kern w:val="0"/>
          <w:sz w:val="32"/>
          <w:szCs w:val="32"/>
          <w:highlight w:val="none"/>
        </w:rPr>
      </w:pPr>
      <w:bookmarkStart w:id="19" w:name="_Toc10694"/>
      <w:r>
        <w:rPr>
          <w:rFonts w:hint="eastAsia" w:ascii="仿宋_GB2312" w:hAnsi="宋体" w:eastAsia="仿宋_GB2312" w:cs="宋体"/>
          <w:color w:val="000000"/>
          <w:kern w:val="0"/>
          <w:sz w:val="32"/>
          <w:szCs w:val="32"/>
          <w:highlight w:val="none"/>
        </w:rPr>
        <w:t>（一）内部加强宣传，深化绩效管理认知</w:t>
      </w:r>
      <w:bookmarkEnd w:id="19"/>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大力宣传绩效理念和成本意识，围绕政策、制度、方法和操作流程等，开展预算绩效管理培训，提高预算绩效管理人员和业务人员的业务素质和能力水平。</w:t>
      </w:r>
    </w:p>
    <w:p>
      <w:pPr>
        <w:spacing w:line="600" w:lineRule="exact"/>
        <w:ind w:firstLine="640" w:firstLineChars="200"/>
        <w:rPr>
          <w:rFonts w:hint="eastAsia" w:ascii="仿宋_GB2312" w:hAnsi="宋体" w:eastAsia="仿宋_GB2312" w:cs="宋体"/>
          <w:color w:val="000000"/>
          <w:kern w:val="0"/>
          <w:sz w:val="32"/>
          <w:szCs w:val="32"/>
          <w:highlight w:val="none"/>
        </w:rPr>
      </w:pPr>
      <w:bookmarkStart w:id="20" w:name="_Toc30946"/>
      <w:r>
        <w:rPr>
          <w:rFonts w:hint="eastAsia" w:ascii="仿宋_GB2312" w:hAnsi="宋体" w:eastAsia="仿宋_GB2312" w:cs="宋体"/>
          <w:color w:val="000000"/>
          <w:kern w:val="0"/>
          <w:sz w:val="32"/>
          <w:szCs w:val="32"/>
          <w:highlight w:val="none"/>
        </w:rPr>
        <w:t>（二）绩效管理相关工作前置化，提高绩效编制质量</w:t>
      </w:r>
      <w:bookmarkEnd w:id="20"/>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将项目定位、功能、实施内容梳理前置化，进一步提高项目成熟度。将绩效理念和方法全面融入事前、事中、事后闭环管理，提升绩效目标编制质量。</w:t>
      </w:r>
    </w:p>
    <w:p>
      <w:pPr>
        <w:spacing w:line="600" w:lineRule="exact"/>
        <w:ind w:firstLine="640" w:firstLineChars="200"/>
        <w:rPr>
          <w:rFonts w:hint="eastAsia" w:ascii="仿宋_GB2312" w:hAnsi="宋体" w:eastAsia="仿宋_GB2312" w:cs="宋体"/>
          <w:color w:val="000000"/>
          <w:kern w:val="0"/>
          <w:sz w:val="32"/>
          <w:szCs w:val="32"/>
          <w:highlight w:val="none"/>
        </w:rPr>
      </w:pPr>
      <w:bookmarkStart w:id="21" w:name="_Toc22611"/>
      <w:r>
        <w:rPr>
          <w:rFonts w:hint="eastAsia" w:ascii="仿宋_GB2312" w:hAnsi="宋体" w:eastAsia="仿宋_GB2312" w:cs="宋体"/>
          <w:color w:val="000000"/>
          <w:kern w:val="0"/>
          <w:sz w:val="32"/>
          <w:szCs w:val="32"/>
          <w:highlight w:val="none"/>
        </w:rPr>
        <w:t>（三）加强绩效结果应用，严格考核监督，强化责任约束</w:t>
      </w:r>
      <w:bookmarkEnd w:id="21"/>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进一步完善绩效评价体系，加强绩效考核结果与管理考核制度相结合，切实做到花钱必问效，无效必问责。</w:t>
      </w:r>
    </w:p>
    <w:p>
      <w:pPr>
        <w:pStyle w:val="4"/>
        <w:rPr>
          <w:sz w:val="32"/>
          <w:szCs w:val="32"/>
          <w:highlight w:val="none"/>
        </w:rPr>
      </w:pPr>
      <w:bookmarkStart w:id="22" w:name="_Toc103006301"/>
      <w:bookmarkStart w:id="23" w:name="_Toc25511"/>
      <w:r>
        <w:rPr>
          <w:rFonts w:hint="eastAsia"/>
          <w:sz w:val="32"/>
          <w:szCs w:val="32"/>
          <w:highlight w:val="none"/>
        </w:rPr>
        <w:t>七、附件</w:t>
      </w:r>
      <w:bookmarkEnd w:id="22"/>
      <w:bookmarkEnd w:id="23"/>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Times New Roman" w:hAnsi="Times New Roman" w:eastAsia="宋体" w:cs="Times New Roman"/>
          <w:kern w:val="2"/>
          <w:sz w:val="21"/>
          <w:szCs w:val="24"/>
          <w:lang w:val="en-US" w:eastAsia="zh-CN" w:bidi="ar-SA"/>
        </w:rPr>
      </w:pPr>
      <w:r>
        <w:rPr>
          <w:rFonts w:hint="eastAsia" w:ascii="仿宋_GB2312" w:hAnsi="仿宋_GB2312" w:eastAsia="仿宋_GB2312" w:cs="仿宋_GB2312"/>
          <w:sz w:val="32"/>
          <w:szCs w:val="32"/>
          <w:highlight w:val="none"/>
          <w:lang w:eastAsia="zh-CN"/>
        </w:rPr>
        <w:t>北京怀柔科学城管理委员</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29672C4"/>
    <w:rsid w:val="058F127C"/>
    <w:rsid w:val="07D44171"/>
    <w:rsid w:val="0BB12459"/>
    <w:rsid w:val="0E1C4385"/>
    <w:rsid w:val="110E00E8"/>
    <w:rsid w:val="175F53D8"/>
    <w:rsid w:val="1C666714"/>
    <w:rsid w:val="1DEF3995"/>
    <w:rsid w:val="20A36E3F"/>
    <w:rsid w:val="20FF3100"/>
    <w:rsid w:val="26325CEE"/>
    <w:rsid w:val="2D9A203E"/>
    <w:rsid w:val="30510EE7"/>
    <w:rsid w:val="32DE2EE5"/>
    <w:rsid w:val="33184278"/>
    <w:rsid w:val="33FD53B0"/>
    <w:rsid w:val="37173543"/>
    <w:rsid w:val="39EF7239"/>
    <w:rsid w:val="3D961B8A"/>
    <w:rsid w:val="3FDBA076"/>
    <w:rsid w:val="3FDFB3F0"/>
    <w:rsid w:val="3FDFC9A6"/>
    <w:rsid w:val="3FF76880"/>
    <w:rsid w:val="41800034"/>
    <w:rsid w:val="467C1D34"/>
    <w:rsid w:val="48040B1E"/>
    <w:rsid w:val="4A767BCA"/>
    <w:rsid w:val="4B1F32E9"/>
    <w:rsid w:val="4BAA4C34"/>
    <w:rsid w:val="51825B5C"/>
    <w:rsid w:val="5270451A"/>
    <w:rsid w:val="5892406F"/>
    <w:rsid w:val="594A4380"/>
    <w:rsid w:val="59E61F49"/>
    <w:rsid w:val="5BFD4AC2"/>
    <w:rsid w:val="67759716"/>
    <w:rsid w:val="680763EF"/>
    <w:rsid w:val="69F40DF6"/>
    <w:rsid w:val="6F7ED27B"/>
    <w:rsid w:val="716F0199"/>
    <w:rsid w:val="71A55E68"/>
    <w:rsid w:val="75B17A7C"/>
    <w:rsid w:val="76656F61"/>
    <w:rsid w:val="789C0BF9"/>
    <w:rsid w:val="79FA5D2B"/>
    <w:rsid w:val="7AB7FF50"/>
    <w:rsid w:val="7AEAF641"/>
    <w:rsid w:val="7BAD2729"/>
    <w:rsid w:val="7BFEB0DB"/>
    <w:rsid w:val="7C6158B0"/>
    <w:rsid w:val="7FBB5199"/>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2"/>
    <w:qFormat/>
    <w:uiPriority w:val="0"/>
    <w:pPr>
      <w:spacing w:line="360" w:lineRule="auto"/>
      <w:ind w:left="210" w:firstLine="630"/>
    </w:pPr>
    <w:rPr>
      <w:rFonts w:eastAsia="楷体_GB2312"/>
      <w:sz w:val="32"/>
      <w:szCs w:val="20"/>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qFormat/>
    <w:uiPriority w:val="99"/>
    <w:rPr>
      <w:rFonts w:cs="Times New Roman"/>
      <w:color w:val="0000FF"/>
      <w:u w:val="single"/>
    </w:rPr>
  </w:style>
  <w:style w:type="paragraph" w:customStyle="1" w:styleId="11">
    <w:name w:val="列出段落1"/>
    <w:basedOn w:val="1"/>
    <w:qFormat/>
    <w:uiPriority w:val="34"/>
    <w:pPr>
      <w:ind w:firstLine="420" w:firstLineChars="200"/>
    </w:pPr>
    <w:rPr>
      <w:rFonts w:ascii="Calibri" w:hAnsi="Calibri" w:cs="黑体"/>
      <w:szCs w:val="22"/>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北京怀柔科学城管理委员会（本级）</cp:lastModifiedBy>
  <cp:lastPrinted>2025-05-14T09:28:00Z</cp:lastPrinted>
  <dcterms:modified xsi:type="dcterms:W3CDTF">2025-08-25T06:40:13Z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