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B5F0F6">
      <w:pPr>
        <w:spacing w:line="360" w:lineRule="auto"/>
        <w:jc w:val="center"/>
        <w:rPr>
          <w:rFonts w:ascii="黑体" w:hAnsi="黑体" w:eastAsia="黑体"/>
          <w:b/>
          <w:sz w:val="24"/>
          <w:szCs w:val="24"/>
          <w:highlight w:val="none"/>
        </w:rPr>
      </w:pPr>
    </w:p>
    <w:p w14:paraId="072BDA6B">
      <w:pPr>
        <w:spacing w:line="360" w:lineRule="auto"/>
        <w:jc w:val="center"/>
        <w:rPr>
          <w:rFonts w:ascii="黑体" w:hAnsi="黑体" w:eastAsia="黑体"/>
          <w:b/>
          <w:sz w:val="24"/>
          <w:szCs w:val="24"/>
          <w:highlight w:val="none"/>
        </w:rPr>
      </w:pPr>
    </w:p>
    <w:p w14:paraId="51A25413">
      <w:pPr>
        <w:spacing w:line="360" w:lineRule="auto"/>
        <w:jc w:val="center"/>
        <w:rPr>
          <w:rFonts w:ascii="黑体" w:hAnsi="黑体" w:eastAsia="黑体"/>
          <w:b/>
          <w:sz w:val="24"/>
          <w:szCs w:val="24"/>
          <w:highlight w:val="none"/>
        </w:rPr>
      </w:pPr>
    </w:p>
    <w:p w14:paraId="3AE52D22">
      <w:pPr>
        <w:adjustRightInd w:val="0"/>
        <w:snapToGrid w:val="0"/>
        <w:jc w:val="center"/>
        <w:rPr>
          <w:rFonts w:ascii="黑体" w:hAnsi="黑体" w:eastAsia="黑体"/>
          <w:sz w:val="44"/>
          <w:szCs w:val="44"/>
          <w:highlight w:val="none"/>
          <w:lang w:val="zh-CN"/>
        </w:rPr>
      </w:pPr>
    </w:p>
    <w:p w14:paraId="21592A16">
      <w:pPr>
        <w:adjustRightInd w:val="0"/>
        <w:snapToGrid w:val="0"/>
        <w:spacing w:line="0" w:lineRule="atLeast"/>
        <w:jc w:val="center"/>
        <w:rPr>
          <w:rFonts w:hint="eastAsia" w:ascii="黑体" w:hAnsi="黑体" w:eastAsia="黑体" w:cs="黑体"/>
          <w:b w:val="0"/>
          <w:bCs/>
          <w:sz w:val="52"/>
          <w:szCs w:val="52"/>
          <w:highlight w:val="none"/>
        </w:rPr>
      </w:pPr>
      <w:r>
        <w:rPr>
          <w:rFonts w:hint="eastAsia" w:ascii="黑体" w:hAnsi="黑体" w:eastAsia="黑体" w:cs="黑体"/>
          <w:b w:val="0"/>
          <w:bCs/>
          <w:sz w:val="52"/>
          <w:szCs w:val="52"/>
          <w:highlight w:val="none"/>
          <w:lang w:val="en-US" w:eastAsia="zh-CN"/>
        </w:rPr>
        <w:t>2024年</w:t>
      </w:r>
      <w:r>
        <w:rPr>
          <w:rFonts w:hint="eastAsia" w:ascii="黑体" w:hAnsi="黑体" w:eastAsia="黑体" w:cs="黑体"/>
          <w:b w:val="0"/>
          <w:bCs/>
          <w:sz w:val="52"/>
          <w:szCs w:val="52"/>
          <w:highlight w:val="none"/>
        </w:rPr>
        <w:t>部门整体绩效</w:t>
      </w:r>
      <w:r>
        <w:rPr>
          <w:rFonts w:hint="eastAsia" w:ascii="黑体" w:hAnsi="黑体" w:eastAsia="黑体" w:cs="黑体"/>
          <w:b w:val="0"/>
          <w:bCs/>
          <w:sz w:val="52"/>
          <w:szCs w:val="52"/>
          <w:highlight w:val="none"/>
          <w:lang w:val="en-US" w:eastAsia="zh-CN"/>
        </w:rPr>
        <w:t>评价</w:t>
      </w:r>
      <w:r>
        <w:rPr>
          <w:rFonts w:hint="eastAsia" w:ascii="黑体" w:hAnsi="黑体" w:eastAsia="黑体" w:cs="黑体"/>
          <w:b w:val="0"/>
          <w:bCs/>
          <w:sz w:val="52"/>
          <w:szCs w:val="52"/>
          <w:highlight w:val="none"/>
        </w:rPr>
        <w:t>报告</w:t>
      </w:r>
    </w:p>
    <w:p w14:paraId="79360642">
      <w:pPr>
        <w:spacing w:line="360" w:lineRule="auto"/>
        <w:jc w:val="center"/>
        <w:rPr>
          <w:rFonts w:ascii="黑体" w:hAnsi="黑体" w:eastAsia="黑体"/>
          <w:b/>
          <w:sz w:val="72"/>
          <w:szCs w:val="72"/>
          <w:highlight w:val="none"/>
          <w:lang w:val="zh-CN"/>
        </w:rPr>
      </w:pPr>
    </w:p>
    <w:p w14:paraId="30838DC9">
      <w:pPr>
        <w:adjustRightInd w:val="0"/>
        <w:snapToGrid w:val="0"/>
        <w:spacing w:line="0" w:lineRule="atLeast"/>
        <w:jc w:val="center"/>
        <w:rPr>
          <w:rFonts w:ascii="黑体" w:hAnsi="黑体" w:eastAsia="黑体"/>
          <w:sz w:val="30"/>
          <w:szCs w:val="30"/>
          <w:highlight w:val="none"/>
          <w:lang w:val="zh-CN"/>
        </w:rPr>
      </w:pPr>
    </w:p>
    <w:p w14:paraId="380FCD3D">
      <w:pPr>
        <w:spacing w:line="600" w:lineRule="exact"/>
        <w:jc w:val="left"/>
        <w:rPr>
          <w:rFonts w:ascii="黑体" w:hAnsi="黑体" w:eastAsia="黑体"/>
          <w:sz w:val="30"/>
          <w:szCs w:val="30"/>
          <w:highlight w:val="none"/>
          <w:lang w:val="zh-CN"/>
        </w:rPr>
      </w:pPr>
    </w:p>
    <w:p w14:paraId="5D914731">
      <w:pPr>
        <w:spacing w:line="600" w:lineRule="exact"/>
        <w:jc w:val="left"/>
        <w:rPr>
          <w:rFonts w:ascii="黑体" w:hAnsi="黑体" w:eastAsia="黑体"/>
          <w:sz w:val="30"/>
          <w:szCs w:val="30"/>
          <w:highlight w:val="none"/>
          <w:lang w:val="zh-CN"/>
        </w:rPr>
      </w:pPr>
    </w:p>
    <w:p w14:paraId="39F31E79">
      <w:pPr>
        <w:spacing w:line="600" w:lineRule="exact"/>
        <w:jc w:val="left"/>
        <w:rPr>
          <w:rFonts w:ascii="黑体" w:hAnsi="黑体" w:eastAsia="黑体"/>
          <w:sz w:val="30"/>
          <w:szCs w:val="30"/>
          <w:highlight w:val="none"/>
          <w:lang w:val="zh-CN"/>
        </w:rPr>
      </w:pPr>
    </w:p>
    <w:p w14:paraId="2B824890">
      <w:pPr>
        <w:spacing w:line="600" w:lineRule="exact"/>
        <w:jc w:val="left"/>
        <w:rPr>
          <w:rFonts w:ascii="黑体" w:hAnsi="黑体" w:eastAsia="黑体"/>
          <w:sz w:val="30"/>
          <w:szCs w:val="30"/>
          <w:highlight w:val="none"/>
          <w:lang w:val="zh-CN"/>
        </w:rPr>
      </w:pPr>
    </w:p>
    <w:p w14:paraId="0C71BCA0">
      <w:pPr>
        <w:spacing w:line="600" w:lineRule="exact"/>
        <w:jc w:val="left"/>
        <w:rPr>
          <w:rFonts w:ascii="黑体" w:hAnsi="黑体" w:eastAsia="黑体"/>
          <w:sz w:val="30"/>
          <w:szCs w:val="30"/>
          <w:highlight w:val="none"/>
          <w:lang w:val="zh-CN"/>
        </w:rPr>
      </w:pPr>
    </w:p>
    <w:p w14:paraId="70AFE34D">
      <w:pPr>
        <w:spacing w:line="600" w:lineRule="exact"/>
        <w:jc w:val="left"/>
        <w:rPr>
          <w:rFonts w:ascii="黑体" w:hAnsi="黑体" w:eastAsia="黑体"/>
          <w:sz w:val="30"/>
          <w:szCs w:val="30"/>
          <w:highlight w:val="none"/>
          <w:lang w:val="zh-CN"/>
        </w:rPr>
      </w:pPr>
    </w:p>
    <w:p w14:paraId="015648FF">
      <w:pPr>
        <w:pStyle w:val="12"/>
        <w:rPr>
          <w:highlight w:val="none"/>
          <w:lang w:val="zh-CN"/>
        </w:rPr>
      </w:pPr>
    </w:p>
    <w:p w14:paraId="6B58112C">
      <w:pPr>
        <w:spacing w:line="600" w:lineRule="exact"/>
        <w:jc w:val="left"/>
        <w:rPr>
          <w:rFonts w:ascii="黑体" w:hAnsi="黑体" w:eastAsia="黑体"/>
          <w:sz w:val="30"/>
          <w:szCs w:val="30"/>
          <w:highlight w:val="none"/>
          <w:lang w:val="zh-CN"/>
        </w:rPr>
      </w:pPr>
    </w:p>
    <w:p w14:paraId="2D922DFA">
      <w:pPr>
        <w:spacing w:line="600" w:lineRule="exact"/>
        <w:jc w:val="left"/>
        <w:rPr>
          <w:rFonts w:ascii="黑体" w:hAnsi="黑体" w:eastAsia="黑体"/>
          <w:sz w:val="30"/>
          <w:szCs w:val="30"/>
          <w:highlight w:val="none"/>
          <w:lang w:val="zh-CN"/>
        </w:rPr>
      </w:pPr>
    </w:p>
    <w:p w14:paraId="1AAADC38">
      <w:pPr>
        <w:spacing w:line="600" w:lineRule="exact"/>
        <w:jc w:val="left"/>
        <w:rPr>
          <w:rFonts w:ascii="黑体" w:hAnsi="黑体" w:eastAsia="黑体"/>
          <w:sz w:val="30"/>
          <w:szCs w:val="30"/>
          <w:highlight w:val="none"/>
          <w:lang w:val="zh-CN"/>
        </w:rPr>
      </w:pPr>
    </w:p>
    <w:p w14:paraId="2431B0EF">
      <w:pPr>
        <w:jc w:val="center"/>
        <w:rPr>
          <w:rFonts w:ascii="楷体" w:hAnsi="楷体" w:eastAsia="楷体" w:cs="楷体"/>
          <w:b/>
          <w:sz w:val="44"/>
          <w:szCs w:val="44"/>
          <w:highlight w:val="none"/>
        </w:rPr>
      </w:pPr>
    </w:p>
    <w:p w14:paraId="0A603D00">
      <w:pPr>
        <w:pStyle w:val="12"/>
        <w:rPr>
          <w:highlight w:val="none"/>
        </w:rPr>
      </w:pPr>
    </w:p>
    <w:p w14:paraId="5ED69308">
      <w:pPr>
        <w:spacing w:line="660" w:lineRule="exact"/>
        <w:jc w:val="center"/>
        <w:rPr>
          <w:rFonts w:hint="eastAsia" w:ascii="楷体_GB2312" w:hAnsi="楷体_GB2312" w:eastAsia="楷体_GB2312" w:cs="楷体_GB2312"/>
          <w:b w:val="0"/>
          <w:bCs w:val="0"/>
          <w:sz w:val="36"/>
          <w:szCs w:val="36"/>
          <w:highlight w:val="none"/>
          <w:lang w:val="zh-CN"/>
        </w:rPr>
      </w:pPr>
      <w:r>
        <w:rPr>
          <w:rFonts w:hint="eastAsia" w:ascii="楷体_GB2312" w:hAnsi="楷体_GB2312" w:eastAsia="楷体_GB2312" w:cs="楷体_GB2312"/>
          <w:b w:val="0"/>
          <w:bCs w:val="0"/>
          <w:sz w:val="36"/>
          <w:szCs w:val="36"/>
          <w:highlight w:val="none"/>
          <w:lang w:val="zh-CN"/>
        </w:rPr>
        <w:t>北京市</w:t>
      </w:r>
      <w:r>
        <w:rPr>
          <w:rFonts w:hint="eastAsia" w:ascii="楷体_GB2312" w:hAnsi="楷体_GB2312" w:eastAsia="楷体_GB2312" w:cs="楷体_GB2312"/>
          <w:b w:val="0"/>
          <w:bCs w:val="0"/>
          <w:sz w:val="36"/>
          <w:szCs w:val="36"/>
          <w:highlight w:val="none"/>
          <w:lang w:val="en-US" w:eastAsia="zh-CN"/>
        </w:rPr>
        <w:t>红十字</w:t>
      </w:r>
      <w:r>
        <w:rPr>
          <w:rFonts w:hint="eastAsia" w:ascii="楷体_GB2312" w:hAnsi="楷体_GB2312" w:eastAsia="楷体_GB2312" w:cs="楷体_GB2312"/>
          <w:b w:val="0"/>
          <w:bCs w:val="0"/>
          <w:sz w:val="36"/>
          <w:szCs w:val="36"/>
          <w:highlight w:val="none"/>
          <w:lang w:val="zh-CN"/>
        </w:rPr>
        <w:t>会</w:t>
      </w:r>
    </w:p>
    <w:p w14:paraId="764CC8C7">
      <w:pPr>
        <w:spacing w:line="660" w:lineRule="exact"/>
        <w:jc w:val="center"/>
        <w:rPr>
          <w:rFonts w:hint="eastAsia" w:ascii="楷体_GB2312" w:hAnsi="楷体_GB2312" w:eastAsia="楷体_GB2312" w:cs="楷体_GB2312"/>
          <w:b w:val="0"/>
          <w:bCs w:val="0"/>
          <w:sz w:val="36"/>
          <w:szCs w:val="36"/>
          <w:highlight w:val="none"/>
        </w:rPr>
      </w:pPr>
      <w:r>
        <w:rPr>
          <w:rFonts w:hint="eastAsia" w:ascii="楷体_GB2312" w:hAnsi="楷体_GB2312" w:eastAsia="楷体_GB2312" w:cs="楷体_GB2312"/>
          <w:b w:val="0"/>
          <w:bCs w:val="0"/>
          <w:sz w:val="36"/>
          <w:szCs w:val="36"/>
          <w:highlight w:val="none"/>
        </w:rPr>
        <w:t>202</w:t>
      </w:r>
      <w:r>
        <w:rPr>
          <w:rFonts w:hint="eastAsia" w:ascii="楷体_GB2312" w:hAnsi="楷体_GB2312" w:eastAsia="楷体_GB2312" w:cs="楷体_GB2312"/>
          <w:b w:val="0"/>
          <w:bCs w:val="0"/>
          <w:sz w:val="36"/>
          <w:szCs w:val="36"/>
          <w:highlight w:val="none"/>
          <w:lang w:val="en-US" w:eastAsia="zh-CN"/>
        </w:rPr>
        <w:t>5</w:t>
      </w:r>
      <w:r>
        <w:rPr>
          <w:rFonts w:hint="eastAsia" w:ascii="楷体_GB2312" w:hAnsi="楷体_GB2312" w:eastAsia="楷体_GB2312" w:cs="楷体_GB2312"/>
          <w:b w:val="0"/>
          <w:bCs w:val="0"/>
          <w:sz w:val="36"/>
          <w:szCs w:val="36"/>
          <w:highlight w:val="none"/>
        </w:rPr>
        <w:t>年</w:t>
      </w:r>
      <w:r>
        <w:rPr>
          <w:rFonts w:hint="eastAsia" w:ascii="楷体_GB2312" w:hAnsi="楷体_GB2312" w:eastAsia="楷体_GB2312" w:cs="楷体_GB2312"/>
          <w:b w:val="0"/>
          <w:bCs w:val="0"/>
          <w:sz w:val="36"/>
          <w:szCs w:val="36"/>
          <w:highlight w:val="none"/>
          <w:lang w:val="en-US" w:eastAsia="zh-CN"/>
        </w:rPr>
        <w:t>4</w:t>
      </w:r>
      <w:r>
        <w:rPr>
          <w:rFonts w:hint="eastAsia" w:ascii="楷体_GB2312" w:hAnsi="楷体_GB2312" w:eastAsia="楷体_GB2312" w:cs="楷体_GB2312"/>
          <w:b w:val="0"/>
          <w:bCs w:val="0"/>
          <w:sz w:val="36"/>
          <w:szCs w:val="36"/>
          <w:highlight w:val="none"/>
        </w:rPr>
        <w:t>月</w:t>
      </w:r>
    </w:p>
    <w:p w14:paraId="20EE0DCB">
      <w:pPr>
        <w:snapToGrid w:val="0"/>
        <w:jc w:val="center"/>
        <w:rPr>
          <w:rFonts w:ascii="宋体" w:hAnsi="宋体" w:cs="宋体"/>
          <w:sz w:val="36"/>
          <w:szCs w:val="36"/>
          <w:highlight w:val="none"/>
        </w:rPr>
      </w:pPr>
    </w:p>
    <w:p w14:paraId="23564BE2">
      <w:pPr>
        <w:adjustRightInd w:val="0"/>
        <w:snapToGrid w:val="0"/>
        <w:rPr>
          <w:rFonts w:ascii="仿宋" w:hAnsi="仿宋" w:eastAsia="仿宋" w:cs="仿宋"/>
          <w:sz w:val="30"/>
          <w:szCs w:val="30"/>
          <w:highlight w:val="none"/>
        </w:rPr>
        <w:sectPr>
          <w:pgSz w:w="11906" w:h="16838"/>
          <w:pgMar w:top="1440" w:right="1800" w:bottom="1440" w:left="1800" w:header="851" w:footer="992" w:gutter="0"/>
          <w:cols w:space="720" w:num="1"/>
          <w:docGrid w:type="lines" w:linePitch="312" w:charSpace="0"/>
        </w:sectPr>
      </w:pPr>
    </w:p>
    <w:p w14:paraId="20E913EC">
      <w:pPr>
        <w:pStyle w:val="16"/>
        <w:rPr>
          <w:sz w:val="36"/>
          <w:szCs w:val="36"/>
          <w:highlight w:val="none"/>
        </w:rPr>
        <w:sectPr>
          <w:footerReference r:id="rId3" w:type="default"/>
          <w:footnotePr>
            <w:numFmt w:val="decimalEnclosedCircleChinese"/>
          </w:footnotePr>
          <w:type w:val="continuous"/>
          <w:pgSz w:w="11906" w:h="16838"/>
          <w:pgMar w:top="1440" w:right="1416" w:bottom="1440" w:left="1800" w:header="851" w:footer="992" w:gutter="0"/>
          <w:cols w:space="720" w:num="1"/>
          <w:docGrid w:type="lines" w:linePitch="312" w:charSpace="0"/>
        </w:sectPr>
      </w:pPr>
    </w:p>
    <w:p w14:paraId="20C9825E">
      <w:pPr>
        <w:pStyle w:val="16"/>
        <w:ind w:left="0" w:leftChars="0"/>
        <w:rPr>
          <w:sz w:val="36"/>
          <w:szCs w:val="36"/>
          <w:highlight w:val="none"/>
        </w:rPr>
      </w:pPr>
      <w:r>
        <w:rPr>
          <w:rFonts w:hint="eastAsia"/>
          <w:sz w:val="36"/>
          <w:szCs w:val="36"/>
          <w:highlight w:val="none"/>
        </w:rPr>
        <w:t>目  录</w:t>
      </w:r>
    </w:p>
    <w:p w14:paraId="541D465D">
      <w:pPr>
        <w:pStyle w:val="16"/>
        <w:rPr>
          <w:rFonts w:hint="eastAsia" w:ascii="仿宋" w:hAnsi="仿宋" w:eastAsia="仿宋" w:cs="仿宋"/>
        </w:rPr>
      </w:pPr>
      <w:r>
        <w:rPr>
          <w:rFonts w:hint="eastAsia" w:ascii="仿宋" w:hAnsi="仿宋" w:eastAsia="仿宋" w:cs="仿宋"/>
          <w:highlight w:val="none"/>
        </w:rPr>
        <w:fldChar w:fldCharType="begin"/>
      </w:r>
      <w:r>
        <w:rPr>
          <w:rFonts w:hint="eastAsia" w:ascii="仿宋" w:hAnsi="仿宋" w:eastAsia="仿宋" w:cs="仿宋"/>
          <w:highlight w:val="none"/>
        </w:rPr>
        <w:instrText xml:space="preserve"> TOC \o "1-2" \h \z \u </w:instrText>
      </w:r>
      <w:r>
        <w:rPr>
          <w:rFonts w:hint="eastAsia" w:ascii="仿宋" w:hAnsi="仿宋" w:eastAsia="仿宋" w:cs="仿宋"/>
          <w:highlight w:val="none"/>
        </w:rPr>
        <w:fldChar w:fldCharType="separate"/>
      </w:r>
      <w:r>
        <w:rPr>
          <w:rFonts w:hint="eastAsia" w:ascii="黑体" w:hAnsi="黑体" w:eastAsia="黑体" w:cs="黑体"/>
        </w:rPr>
        <w:fldChar w:fldCharType="begin"/>
      </w:r>
      <w:r>
        <w:rPr>
          <w:rFonts w:hint="eastAsia" w:ascii="黑体" w:hAnsi="黑体" w:eastAsia="黑体" w:cs="黑体"/>
        </w:rPr>
        <w:instrText xml:space="preserve"> HYPERLINK \l _Toc20789 </w:instrText>
      </w:r>
      <w:r>
        <w:rPr>
          <w:rFonts w:hint="eastAsia" w:ascii="黑体" w:hAnsi="黑体" w:eastAsia="黑体" w:cs="黑体"/>
        </w:rPr>
        <w:fldChar w:fldCharType="separate"/>
      </w:r>
      <w:r>
        <w:rPr>
          <w:rFonts w:hint="eastAsia" w:ascii="黑体" w:hAnsi="黑体" w:eastAsia="黑体" w:cs="黑体"/>
        </w:rPr>
        <w:t>一、部门概况</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_Toc20789 \h </w:instrText>
      </w:r>
      <w:r>
        <w:rPr>
          <w:rFonts w:hint="eastAsia" w:ascii="黑体" w:hAnsi="黑体" w:eastAsia="黑体" w:cs="黑体"/>
        </w:rPr>
        <w:fldChar w:fldCharType="separate"/>
      </w:r>
      <w:r>
        <w:rPr>
          <w:rFonts w:hint="eastAsia" w:ascii="黑体" w:hAnsi="黑体" w:eastAsia="黑体" w:cs="黑体"/>
        </w:rPr>
        <w:t>1</w:t>
      </w:r>
      <w:r>
        <w:rPr>
          <w:rFonts w:hint="eastAsia" w:ascii="黑体" w:hAnsi="黑体" w:eastAsia="黑体" w:cs="黑体"/>
        </w:rPr>
        <w:fldChar w:fldCharType="end"/>
      </w:r>
      <w:r>
        <w:rPr>
          <w:rFonts w:hint="eastAsia" w:ascii="黑体" w:hAnsi="黑体" w:eastAsia="黑体" w:cs="黑体"/>
        </w:rPr>
        <w:fldChar w:fldCharType="end"/>
      </w:r>
    </w:p>
    <w:p w14:paraId="1AC095F5">
      <w:pPr>
        <w:pStyle w:val="16"/>
        <w:rPr>
          <w:rFonts w:hint="eastAsia" w:ascii="仿宋" w:hAnsi="仿宋" w:eastAsia="仿宋" w:cs="仿宋"/>
        </w:rPr>
      </w:pPr>
      <w:r>
        <w:rPr>
          <w:rFonts w:hint="eastAsia" w:ascii="楷体" w:hAnsi="楷体" w:eastAsia="楷体" w:cs="楷体"/>
        </w:rPr>
        <w:fldChar w:fldCharType="begin"/>
      </w:r>
      <w:r>
        <w:rPr>
          <w:rFonts w:hint="eastAsia" w:ascii="楷体" w:hAnsi="楷体" w:eastAsia="楷体" w:cs="楷体"/>
        </w:rPr>
        <w:instrText xml:space="preserve"> HYPERLINK \l _Toc24077 </w:instrText>
      </w:r>
      <w:r>
        <w:rPr>
          <w:rFonts w:hint="eastAsia" w:ascii="楷体" w:hAnsi="楷体" w:eastAsia="楷体" w:cs="楷体"/>
        </w:rPr>
        <w:fldChar w:fldCharType="separate"/>
      </w:r>
      <w:r>
        <w:rPr>
          <w:rFonts w:hint="eastAsia" w:ascii="楷体" w:hAnsi="楷体" w:eastAsia="楷体" w:cs="楷体"/>
        </w:rPr>
        <w:t>（一）机构设置及职责工作任务情况</w:t>
      </w:r>
      <w:r>
        <w:rPr>
          <w:rFonts w:hint="eastAsia" w:ascii="楷体" w:hAnsi="楷体" w:eastAsia="楷体" w:cs="楷体"/>
        </w:rPr>
        <w:tab/>
      </w:r>
      <w:r>
        <w:rPr>
          <w:rFonts w:hint="eastAsia" w:ascii="楷体" w:hAnsi="楷体" w:eastAsia="楷体" w:cs="楷体"/>
        </w:rPr>
        <w:fldChar w:fldCharType="begin"/>
      </w:r>
      <w:r>
        <w:rPr>
          <w:rFonts w:hint="eastAsia" w:ascii="楷体" w:hAnsi="楷体" w:eastAsia="楷体" w:cs="楷体"/>
        </w:rPr>
        <w:instrText xml:space="preserve"> PAGEREF _Toc24077 \h </w:instrText>
      </w:r>
      <w:r>
        <w:rPr>
          <w:rFonts w:hint="eastAsia" w:ascii="楷体" w:hAnsi="楷体" w:eastAsia="楷体" w:cs="楷体"/>
        </w:rPr>
        <w:fldChar w:fldCharType="separate"/>
      </w:r>
      <w:r>
        <w:rPr>
          <w:rFonts w:hint="eastAsia" w:ascii="楷体" w:hAnsi="楷体" w:eastAsia="楷体" w:cs="楷体"/>
        </w:rPr>
        <w:t>1</w:t>
      </w:r>
      <w:r>
        <w:rPr>
          <w:rFonts w:hint="eastAsia" w:ascii="楷体" w:hAnsi="楷体" w:eastAsia="楷体" w:cs="楷体"/>
        </w:rPr>
        <w:fldChar w:fldCharType="end"/>
      </w:r>
      <w:r>
        <w:rPr>
          <w:rFonts w:hint="eastAsia" w:ascii="楷体" w:hAnsi="楷体" w:eastAsia="楷体" w:cs="楷体"/>
        </w:rPr>
        <w:fldChar w:fldCharType="end"/>
      </w:r>
    </w:p>
    <w:p w14:paraId="324C2AE8">
      <w:pPr>
        <w:pStyle w:val="16"/>
        <w:rPr>
          <w:rFonts w:hint="eastAsia" w:ascii="仿宋" w:hAnsi="仿宋" w:eastAsia="仿宋" w:cs="仿宋"/>
        </w:rPr>
      </w:pPr>
      <w:r>
        <w:rPr>
          <w:rFonts w:hint="eastAsia" w:ascii="楷体" w:hAnsi="楷体" w:eastAsia="楷体" w:cs="楷体"/>
        </w:rPr>
        <w:fldChar w:fldCharType="begin"/>
      </w:r>
      <w:r>
        <w:rPr>
          <w:rFonts w:hint="eastAsia" w:ascii="楷体" w:hAnsi="楷体" w:eastAsia="楷体" w:cs="楷体"/>
        </w:rPr>
        <w:instrText xml:space="preserve"> HYPERLINK \l _Toc8894 </w:instrText>
      </w:r>
      <w:r>
        <w:rPr>
          <w:rFonts w:hint="eastAsia" w:ascii="楷体" w:hAnsi="楷体" w:eastAsia="楷体" w:cs="楷体"/>
        </w:rPr>
        <w:fldChar w:fldCharType="separate"/>
      </w:r>
      <w:r>
        <w:rPr>
          <w:rFonts w:hint="eastAsia" w:ascii="楷体" w:hAnsi="楷体" w:eastAsia="楷体" w:cs="楷体"/>
        </w:rPr>
        <w:t>（二）部门整体绩效目标设立情况</w:t>
      </w:r>
      <w:r>
        <w:rPr>
          <w:rFonts w:hint="eastAsia" w:ascii="楷体" w:hAnsi="楷体" w:eastAsia="楷体" w:cs="楷体"/>
        </w:rPr>
        <w:tab/>
      </w:r>
      <w:r>
        <w:rPr>
          <w:rFonts w:hint="eastAsia" w:ascii="楷体" w:hAnsi="楷体" w:eastAsia="楷体" w:cs="楷体"/>
        </w:rPr>
        <w:fldChar w:fldCharType="begin"/>
      </w:r>
      <w:r>
        <w:rPr>
          <w:rFonts w:hint="eastAsia" w:ascii="楷体" w:hAnsi="楷体" w:eastAsia="楷体" w:cs="楷体"/>
        </w:rPr>
        <w:instrText xml:space="preserve"> PAGEREF _Toc8894 \h </w:instrText>
      </w:r>
      <w:r>
        <w:rPr>
          <w:rFonts w:hint="eastAsia" w:ascii="楷体" w:hAnsi="楷体" w:eastAsia="楷体" w:cs="楷体"/>
        </w:rPr>
        <w:fldChar w:fldCharType="separate"/>
      </w:r>
      <w:r>
        <w:rPr>
          <w:rFonts w:hint="eastAsia" w:ascii="楷体" w:hAnsi="楷体" w:eastAsia="楷体" w:cs="楷体"/>
        </w:rPr>
        <w:t>6</w:t>
      </w:r>
      <w:r>
        <w:rPr>
          <w:rFonts w:hint="eastAsia" w:ascii="楷体" w:hAnsi="楷体" w:eastAsia="楷体" w:cs="楷体"/>
        </w:rPr>
        <w:fldChar w:fldCharType="end"/>
      </w:r>
      <w:r>
        <w:rPr>
          <w:rFonts w:hint="eastAsia" w:ascii="楷体" w:hAnsi="楷体" w:eastAsia="楷体" w:cs="楷体"/>
        </w:rPr>
        <w:fldChar w:fldCharType="end"/>
      </w:r>
    </w:p>
    <w:p w14:paraId="029CE490">
      <w:pPr>
        <w:pStyle w:val="16"/>
        <w:rPr>
          <w:rFonts w:hint="eastAsia" w:ascii="仿宋" w:hAnsi="仿宋" w:eastAsia="仿宋" w:cs="仿宋"/>
        </w:rPr>
      </w:pPr>
      <w:r>
        <w:rPr>
          <w:rFonts w:hint="eastAsia" w:ascii="黑体" w:hAnsi="黑体" w:eastAsia="黑体" w:cs="黑体"/>
        </w:rPr>
        <w:fldChar w:fldCharType="begin"/>
      </w:r>
      <w:r>
        <w:rPr>
          <w:rFonts w:hint="eastAsia" w:ascii="黑体" w:hAnsi="黑体" w:eastAsia="黑体" w:cs="黑体"/>
        </w:rPr>
        <w:instrText xml:space="preserve"> HYPERLINK \l _Toc12723 </w:instrText>
      </w:r>
      <w:r>
        <w:rPr>
          <w:rFonts w:hint="eastAsia" w:ascii="黑体" w:hAnsi="黑体" w:eastAsia="黑体" w:cs="黑体"/>
        </w:rPr>
        <w:fldChar w:fldCharType="separate"/>
      </w:r>
      <w:r>
        <w:rPr>
          <w:rFonts w:hint="eastAsia" w:ascii="黑体" w:hAnsi="黑体" w:eastAsia="黑体" w:cs="黑体"/>
        </w:rPr>
        <w:t>二、当年预算执行情况</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_Toc12723 \h </w:instrText>
      </w:r>
      <w:r>
        <w:rPr>
          <w:rFonts w:hint="eastAsia" w:ascii="黑体" w:hAnsi="黑体" w:eastAsia="黑体" w:cs="黑体"/>
        </w:rPr>
        <w:fldChar w:fldCharType="separate"/>
      </w:r>
      <w:r>
        <w:rPr>
          <w:rFonts w:hint="eastAsia" w:ascii="黑体" w:hAnsi="黑体" w:eastAsia="黑体" w:cs="黑体"/>
        </w:rPr>
        <w:t>7</w:t>
      </w:r>
      <w:r>
        <w:rPr>
          <w:rFonts w:hint="eastAsia" w:ascii="黑体" w:hAnsi="黑体" w:eastAsia="黑体" w:cs="黑体"/>
        </w:rPr>
        <w:fldChar w:fldCharType="end"/>
      </w:r>
      <w:r>
        <w:rPr>
          <w:rFonts w:hint="eastAsia" w:ascii="黑体" w:hAnsi="黑体" w:eastAsia="黑体" w:cs="黑体"/>
        </w:rPr>
        <w:fldChar w:fldCharType="end"/>
      </w:r>
    </w:p>
    <w:p w14:paraId="4CC2ADEF">
      <w:pPr>
        <w:pStyle w:val="16"/>
        <w:rPr>
          <w:rFonts w:hint="eastAsia" w:ascii="仿宋" w:hAnsi="仿宋" w:eastAsia="仿宋" w:cs="仿宋"/>
        </w:rPr>
      </w:pPr>
      <w:r>
        <w:rPr>
          <w:rFonts w:hint="eastAsia" w:ascii="黑体" w:hAnsi="黑体" w:eastAsia="黑体" w:cs="黑体"/>
        </w:rPr>
        <w:fldChar w:fldCharType="begin"/>
      </w:r>
      <w:r>
        <w:rPr>
          <w:rFonts w:hint="eastAsia" w:ascii="黑体" w:hAnsi="黑体" w:eastAsia="黑体" w:cs="黑体"/>
        </w:rPr>
        <w:instrText xml:space="preserve"> HYPERLINK \l _Toc20905 </w:instrText>
      </w:r>
      <w:r>
        <w:rPr>
          <w:rFonts w:hint="eastAsia" w:ascii="黑体" w:hAnsi="黑体" w:eastAsia="黑体" w:cs="黑体"/>
        </w:rPr>
        <w:fldChar w:fldCharType="separate"/>
      </w:r>
      <w:r>
        <w:rPr>
          <w:rFonts w:hint="eastAsia" w:ascii="黑体" w:hAnsi="黑体" w:eastAsia="黑体" w:cs="黑体"/>
        </w:rPr>
        <w:t>三、整体绩效目标实现情况</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_Toc20905 \h </w:instrText>
      </w:r>
      <w:r>
        <w:rPr>
          <w:rFonts w:hint="eastAsia" w:ascii="黑体" w:hAnsi="黑体" w:eastAsia="黑体" w:cs="黑体"/>
        </w:rPr>
        <w:fldChar w:fldCharType="separate"/>
      </w:r>
      <w:r>
        <w:rPr>
          <w:rFonts w:hint="eastAsia" w:ascii="黑体" w:hAnsi="黑体" w:eastAsia="黑体" w:cs="黑体"/>
        </w:rPr>
        <w:t>7</w:t>
      </w:r>
      <w:r>
        <w:rPr>
          <w:rFonts w:hint="eastAsia" w:ascii="黑体" w:hAnsi="黑体" w:eastAsia="黑体" w:cs="黑体"/>
        </w:rPr>
        <w:fldChar w:fldCharType="end"/>
      </w:r>
      <w:r>
        <w:rPr>
          <w:rFonts w:hint="eastAsia" w:ascii="黑体" w:hAnsi="黑体" w:eastAsia="黑体" w:cs="黑体"/>
        </w:rPr>
        <w:fldChar w:fldCharType="end"/>
      </w:r>
    </w:p>
    <w:p w14:paraId="13EA4640">
      <w:pPr>
        <w:pStyle w:val="16"/>
        <w:rPr>
          <w:rFonts w:hint="eastAsia" w:ascii="仿宋" w:hAnsi="仿宋" w:eastAsia="仿宋" w:cs="仿宋"/>
        </w:rPr>
      </w:pPr>
      <w:r>
        <w:rPr>
          <w:rFonts w:hint="eastAsia" w:ascii="楷体" w:hAnsi="楷体" w:eastAsia="楷体" w:cs="楷体"/>
        </w:rPr>
        <w:fldChar w:fldCharType="begin"/>
      </w:r>
      <w:r>
        <w:rPr>
          <w:rFonts w:hint="eastAsia" w:ascii="楷体" w:hAnsi="楷体" w:eastAsia="楷体" w:cs="楷体"/>
        </w:rPr>
        <w:instrText xml:space="preserve"> HYPERLINK \l _Toc8050 </w:instrText>
      </w:r>
      <w:r>
        <w:rPr>
          <w:rFonts w:hint="eastAsia" w:ascii="楷体" w:hAnsi="楷体" w:eastAsia="楷体" w:cs="楷体"/>
        </w:rPr>
        <w:fldChar w:fldCharType="separate"/>
      </w:r>
      <w:r>
        <w:rPr>
          <w:rFonts w:hint="eastAsia" w:ascii="楷体" w:hAnsi="楷体" w:eastAsia="楷体" w:cs="楷体"/>
        </w:rPr>
        <w:t>（一）产出完成情况分析</w:t>
      </w:r>
      <w:r>
        <w:rPr>
          <w:rFonts w:hint="eastAsia" w:ascii="楷体" w:hAnsi="楷体" w:eastAsia="楷体" w:cs="楷体"/>
        </w:rPr>
        <w:tab/>
      </w:r>
      <w:r>
        <w:rPr>
          <w:rFonts w:hint="eastAsia" w:ascii="楷体" w:hAnsi="楷体" w:eastAsia="楷体" w:cs="楷体"/>
        </w:rPr>
        <w:fldChar w:fldCharType="begin"/>
      </w:r>
      <w:r>
        <w:rPr>
          <w:rFonts w:hint="eastAsia" w:ascii="楷体" w:hAnsi="楷体" w:eastAsia="楷体" w:cs="楷体"/>
        </w:rPr>
        <w:instrText xml:space="preserve"> PAGEREF _Toc8050 \h </w:instrText>
      </w:r>
      <w:r>
        <w:rPr>
          <w:rFonts w:hint="eastAsia" w:ascii="楷体" w:hAnsi="楷体" w:eastAsia="楷体" w:cs="楷体"/>
        </w:rPr>
        <w:fldChar w:fldCharType="separate"/>
      </w:r>
      <w:r>
        <w:rPr>
          <w:rFonts w:hint="eastAsia" w:ascii="楷体" w:hAnsi="楷体" w:eastAsia="楷体" w:cs="楷体"/>
        </w:rPr>
        <w:t>7</w:t>
      </w:r>
      <w:r>
        <w:rPr>
          <w:rFonts w:hint="eastAsia" w:ascii="楷体" w:hAnsi="楷体" w:eastAsia="楷体" w:cs="楷体"/>
        </w:rPr>
        <w:fldChar w:fldCharType="end"/>
      </w:r>
      <w:r>
        <w:rPr>
          <w:rFonts w:hint="eastAsia" w:ascii="楷体" w:hAnsi="楷体" w:eastAsia="楷体" w:cs="楷体"/>
        </w:rPr>
        <w:fldChar w:fldCharType="end"/>
      </w:r>
    </w:p>
    <w:p w14:paraId="4589A3D6">
      <w:pPr>
        <w:pStyle w:val="16"/>
        <w:rPr>
          <w:rFonts w:hint="eastAsia" w:ascii="仿宋" w:hAnsi="仿宋" w:eastAsia="仿宋" w:cs="仿宋"/>
        </w:rPr>
      </w:pPr>
      <w:r>
        <w:rPr>
          <w:rFonts w:hint="eastAsia" w:ascii="楷体" w:hAnsi="楷体" w:eastAsia="楷体" w:cs="楷体"/>
        </w:rPr>
        <w:fldChar w:fldCharType="begin"/>
      </w:r>
      <w:r>
        <w:rPr>
          <w:rFonts w:hint="eastAsia" w:ascii="楷体" w:hAnsi="楷体" w:eastAsia="楷体" w:cs="楷体"/>
        </w:rPr>
        <w:instrText xml:space="preserve"> HYPERLINK \l _Toc12425 </w:instrText>
      </w:r>
      <w:r>
        <w:rPr>
          <w:rFonts w:hint="eastAsia" w:ascii="楷体" w:hAnsi="楷体" w:eastAsia="楷体" w:cs="楷体"/>
        </w:rPr>
        <w:fldChar w:fldCharType="separate"/>
      </w:r>
      <w:r>
        <w:rPr>
          <w:rFonts w:hint="eastAsia" w:ascii="楷体" w:hAnsi="楷体" w:eastAsia="楷体" w:cs="楷体"/>
        </w:rPr>
        <w:t>（二）效果实现情况分析</w:t>
      </w:r>
      <w:r>
        <w:rPr>
          <w:rFonts w:hint="eastAsia" w:ascii="楷体" w:hAnsi="楷体" w:eastAsia="楷体" w:cs="楷体"/>
        </w:rPr>
        <w:tab/>
      </w:r>
      <w:r>
        <w:rPr>
          <w:rFonts w:hint="eastAsia" w:ascii="楷体" w:hAnsi="楷体" w:eastAsia="楷体" w:cs="楷体"/>
        </w:rPr>
        <w:fldChar w:fldCharType="begin"/>
      </w:r>
      <w:r>
        <w:rPr>
          <w:rFonts w:hint="eastAsia" w:ascii="楷体" w:hAnsi="楷体" w:eastAsia="楷体" w:cs="楷体"/>
        </w:rPr>
        <w:instrText xml:space="preserve"> PAGEREF _Toc12425 \h </w:instrText>
      </w:r>
      <w:r>
        <w:rPr>
          <w:rFonts w:hint="eastAsia" w:ascii="楷体" w:hAnsi="楷体" w:eastAsia="楷体" w:cs="楷体"/>
        </w:rPr>
        <w:fldChar w:fldCharType="separate"/>
      </w:r>
      <w:r>
        <w:rPr>
          <w:rFonts w:hint="eastAsia" w:ascii="楷体" w:hAnsi="楷体" w:eastAsia="楷体" w:cs="楷体"/>
        </w:rPr>
        <w:t>13</w:t>
      </w:r>
      <w:r>
        <w:rPr>
          <w:rFonts w:hint="eastAsia" w:ascii="楷体" w:hAnsi="楷体" w:eastAsia="楷体" w:cs="楷体"/>
        </w:rPr>
        <w:fldChar w:fldCharType="end"/>
      </w:r>
      <w:r>
        <w:rPr>
          <w:rFonts w:hint="eastAsia" w:ascii="楷体" w:hAnsi="楷体" w:eastAsia="楷体" w:cs="楷体"/>
        </w:rPr>
        <w:fldChar w:fldCharType="end"/>
      </w:r>
    </w:p>
    <w:p w14:paraId="5A21A546">
      <w:pPr>
        <w:pStyle w:val="16"/>
        <w:rPr>
          <w:rFonts w:hint="eastAsia" w:ascii="仿宋" w:hAnsi="仿宋" w:eastAsia="仿宋" w:cs="仿宋"/>
        </w:rPr>
      </w:pPr>
      <w:r>
        <w:rPr>
          <w:rFonts w:hint="eastAsia" w:ascii="黑体" w:hAnsi="黑体" w:eastAsia="黑体" w:cs="黑体"/>
        </w:rPr>
        <w:fldChar w:fldCharType="begin"/>
      </w:r>
      <w:r>
        <w:rPr>
          <w:rFonts w:hint="eastAsia" w:ascii="黑体" w:hAnsi="黑体" w:eastAsia="黑体" w:cs="黑体"/>
        </w:rPr>
        <w:instrText xml:space="preserve"> HYPERLINK \l _Toc17310 </w:instrText>
      </w:r>
      <w:r>
        <w:rPr>
          <w:rFonts w:hint="eastAsia" w:ascii="黑体" w:hAnsi="黑体" w:eastAsia="黑体" w:cs="黑体"/>
        </w:rPr>
        <w:fldChar w:fldCharType="separate"/>
      </w:r>
      <w:r>
        <w:rPr>
          <w:rFonts w:hint="eastAsia" w:ascii="黑体" w:hAnsi="黑体" w:eastAsia="黑体" w:cs="黑体"/>
        </w:rPr>
        <w:t>四、预算管理情况分析</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_Toc17310 \h </w:instrText>
      </w:r>
      <w:r>
        <w:rPr>
          <w:rFonts w:hint="eastAsia" w:ascii="黑体" w:hAnsi="黑体" w:eastAsia="黑体" w:cs="黑体"/>
        </w:rPr>
        <w:fldChar w:fldCharType="separate"/>
      </w:r>
      <w:r>
        <w:rPr>
          <w:rFonts w:hint="eastAsia" w:ascii="黑体" w:hAnsi="黑体" w:eastAsia="黑体" w:cs="黑体"/>
        </w:rPr>
        <w:t>14</w:t>
      </w:r>
      <w:r>
        <w:rPr>
          <w:rFonts w:hint="eastAsia" w:ascii="黑体" w:hAnsi="黑体" w:eastAsia="黑体" w:cs="黑体"/>
        </w:rPr>
        <w:fldChar w:fldCharType="end"/>
      </w:r>
      <w:r>
        <w:rPr>
          <w:rFonts w:hint="eastAsia" w:ascii="黑体" w:hAnsi="黑体" w:eastAsia="黑体" w:cs="黑体"/>
        </w:rPr>
        <w:fldChar w:fldCharType="end"/>
      </w:r>
    </w:p>
    <w:p w14:paraId="354FCF6F">
      <w:pPr>
        <w:pStyle w:val="16"/>
        <w:rPr>
          <w:rFonts w:hint="eastAsia" w:ascii="仿宋" w:hAnsi="仿宋" w:eastAsia="仿宋" w:cs="仿宋"/>
        </w:rPr>
      </w:pPr>
      <w:r>
        <w:rPr>
          <w:rFonts w:hint="eastAsia" w:ascii="楷体" w:hAnsi="楷体" w:eastAsia="楷体" w:cs="楷体"/>
        </w:rPr>
        <w:fldChar w:fldCharType="begin"/>
      </w:r>
      <w:r>
        <w:rPr>
          <w:rFonts w:hint="eastAsia" w:ascii="楷体" w:hAnsi="楷体" w:eastAsia="楷体" w:cs="楷体"/>
        </w:rPr>
        <w:instrText xml:space="preserve"> HYPERLINK \l _Toc22080 </w:instrText>
      </w:r>
      <w:r>
        <w:rPr>
          <w:rFonts w:hint="eastAsia" w:ascii="楷体" w:hAnsi="楷体" w:eastAsia="楷体" w:cs="楷体"/>
        </w:rPr>
        <w:fldChar w:fldCharType="separate"/>
      </w:r>
      <w:r>
        <w:rPr>
          <w:rFonts w:hint="eastAsia" w:ascii="楷体" w:hAnsi="楷体" w:eastAsia="楷体" w:cs="楷体"/>
        </w:rPr>
        <w:t>（一）财务管理</w:t>
      </w:r>
      <w:r>
        <w:rPr>
          <w:rFonts w:hint="eastAsia" w:ascii="楷体" w:hAnsi="楷体" w:eastAsia="楷体" w:cs="楷体"/>
        </w:rPr>
        <w:tab/>
      </w:r>
      <w:r>
        <w:rPr>
          <w:rFonts w:hint="eastAsia" w:ascii="楷体" w:hAnsi="楷体" w:eastAsia="楷体" w:cs="楷体"/>
        </w:rPr>
        <w:fldChar w:fldCharType="begin"/>
      </w:r>
      <w:r>
        <w:rPr>
          <w:rFonts w:hint="eastAsia" w:ascii="楷体" w:hAnsi="楷体" w:eastAsia="楷体" w:cs="楷体"/>
        </w:rPr>
        <w:instrText xml:space="preserve"> PAGEREF _Toc22080 \h </w:instrText>
      </w:r>
      <w:r>
        <w:rPr>
          <w:rFonts w:hint="eastAsia" w:ascii="楷体" w:hAnsi="楷体" w:eastAsia="楷体" w:cs="楷体"/>
        </w:rPr>
        <w:fldChar w:fldCharType="separate"/>
      </w:r>
      <w:r>
        <w:rPr>
          <w:rFonts w:hint="eastAsia" w:ascii="楷体" w:hAnsi="楷体" w:eastAsia="楷体" w:cs="楷体"/>
        </w:rPr>
        <w:t>14</w:t>
      </w:r>
      <w:r>
        <w:rPr>
          <w:rFonts w:hint="eastAsia" w:ascii="楷体" w:hAnsi="楷体" w:eastAsia="楷体" w:cs="楷体"/>
        </w:rPr>
        <w:fldChar w:fldCharType="end"/>
      </w:r>
      <w:r>
        <w:rPr>
          <w:rFonts w:hint="eastAsia" w:ascii="楷体" w:hAnsi="楷体" w:eastAsia="楷体" w:cs="楷体"/>
        </w:rPr>
        <w:fldChar w:fldCharType="end"/>
      </w:r>
    </w:p>
    <w:p w14:paraId="6EC42F31">
      <w:pPr>
        <w:pStyle w:val="16"/>
        <w:rPr>
          <w:rFonts w:hint="eastAsia" w:ascii="仿宋" w:hAnsi="仿宋" w:eastAsia="仿宋" w:cs="仿宋"/>
        </w:rPr>
      </w:pPr>
      <w:r>
        <w:rPr>
          <w:rFonts w:hint="eastAsia" w:ascii="楷体" w:hAnsi="楷体" w:eastAsia="楷体" w:cs="楷体"/>
        </w:rPr>
        <w:fldChar w:fldCharType="begin"/>
      </w:r>
      <w:r>
        <w:rPr>
          <w:rFonts w:hint="eastAsia" w:ascii="楷体" w:hAnsi="楷体" w:eastAsia="楷体" w:cs="楷体"/>
        </w:rPr>
        <w:instrText xml:space="preserve"> HYPERLINK \l _Toc7661 </w:instrText>
      </w:r>
      <w:r>
        <w:rPr>
          <w:rFonts w:hint="eastAsia" w:ascii="楷体" w:hAnsi="楷体" w:eastAsia="楷体" w:cs="楷体"/>
        </w:rPr>
        <w:fldChar w:fldCharType="separate"/>
      </w:r>
      <w:r>
        <w:rPr>
          <w:rFonts w:hint="eastAsia" w:ascii="楷体" w:hAnsi="楷体" w:eastAsia="楷体" w:cs="楷体"/>
        </w:rPr>
        <w:t>（二）资产管理</w:t>
      </w:r>
      <w:r>
        <w:rPr>
          <w:rFonts w:hint="eastAsia" w:ascii="楷体" w:hAnsi="楷体" w:eastAsia="楷体" w:cs="楷体"/>
        </w:rPr>
        <w:tab/>
      </w:r>
      <w:r>
        <w:rPr>
          <w:rFonts w:hint="eastAsia" w:ascii="楷体" w:hAnsi="楷体" w:eastAsia="楷体" w:cs="楷体"/>
        </w:rPr>
        <w:fldChar w:fldCharType="begin"/>
      </w:r>
      <w:r>
        <w:rPr>
          <w:rFonts w:hint="eastAsia" w:ascii="楷体" w:hAnsi="楷体" w:eastAsia="楷体" w:cs="楷体"/>
        </w:rPr>
        <w:instrText xml:space="preserve"> PAGEREF _Toc7661 \h </w:instrText>
      </w:r>
      <w:r>
        <w:rPr>
          <w:rFonts w:hint="eastAsia" w:ascii="楷体" w:hAnsi="楷体" w:eastAsia="楷体" w:cs="楷体"/>
        </w:rPr>
        <w:fldChar w:fldCharType="separate"/>
      </w:r>
      <w:r>
        <w:rPr>
          <w:rFonts w:hint="eastAsia" w:ascii="楷体" w:hAnsi="楷体" w:eastAsia="楷体" w:cs="楷体"/>
        </w:rPr>
        <w:t>15</w:t>
      </w:r>
      <w:r>
        <w:rPr>
          <w:rFonts w:hint="eastAsia" w:ascii="楷体" w:hAnsi="楷体" w:eastAsia="楷体" w:cs="楷体"/>
        </w:rPr>
        <w:fldChar w:fldCharType="end"/>
      </w:r>
      <w:r>
        <w:rPr>
          <w:rFonts w:hint="eastAsia" w:ascii="楷体" w:hAnsi="楷体" w:eastAsia="楷体" w:cs="楷体"/>
        </w:rPr>
        <w:fldChar w:fldCharType="end"/>
      </w:r>
    </w:p>
    <w:p w14:paraId="0D3E6F50">
      <w:pPr>
        <w:pStyle w:val="16"/>
        <w:rPr>
          <w:rFonts w:hint="eastAsia" w:ascii="仿宋" w:hAnsi="仿宋" w:eastAsia="仿宋" w:cs="仿宋"/>
        </w:rPr>
      </w:pPr>
      <w:r>
        <w:rPr>
          <w:rFonts w:hint="eastAsia" w:ascii="楷体" w:hAnsi="楷体" w:eastAsia="楷体" w:cs="楷体"/>
        </w:rPr>
        <w:fldChar w:fldCharType="begin"/>
      </w:r>
      <w:r>
        <w:rPr>
          <w:rFonts w:hint="eastAsia" w:ascii="楷体" w:hAnsi="楷体" w:eastAsia="楷体" w:cs="楷体"/>
        </w:rPr>
        <w:instrText xml:space="preserve"> HYPERLINK \l _Toc24219 </w:instrText>
      </w:r>
      <w:r>
        <w:rPr>
          <w:rFonts w:hint="eastAsia" w:ascii="楷体" w:hAnsi="楷体" w:eastAsia="楷体" w:cs="楷体"/>
        </w:rPr>
        <w:fldChar w:fldCharType="separate"/>
      </w:r>
      <w:r>
        <w:rPr>
          <w:rFonts w:hint="eastAsia" w:ascii="楷体" w:hAnsi="楷体" w:eastAsia="楷体" w:cs="楷体"/>
        </w:rPr>
        <w:t>（三）绩效管理</w:t>
      </w:r>
      <w:r>
        <w:rPr>
          <w:rFonts w:hint="eastAsia" w:ascii="楷体" w:hAnsi="楷体" w:eastAsia="楷体" w:cs="楷体"/>
        </w:rPr>
        <w:tab/>
      </w:r>
      <w:r>
        <w:rPr>
          <w:rFonts w:hint="eastAsia" w:ascii="楷体" w:hAnsi="楷体" w:eastAsia="楷体" w:cs="楷体"/>
        </w:rPr>
        <w:fldChar w:fldCharType="begin"/>
      </w:r>
      <w:r>
        <w:rPr>
          <w:rFonts w:hint="eastAsia" w:ascii="楷体" w:hAnsi="楷体" w:eastAsia="楷体" w:cs="楷体"/>
        </w:rPr>
        <w:instrText xml:space="preserve"> PAGEREF _Toc24219 \h </w:instrText>
      </w:r>
      <w:r>
        <w:rPr>
          <w:rFonts w:hint="eastAsia" w:ascii="楷体" w:hAnsi="楷体" w:eastAsia="楷体" w:cs="楷体"/>
        </w:rPr>
        <w:fldChar w:fldCharType="separate"/>
      </w:r>
      <w:r>
        <w:rPr>
          <w:rFonts w:hint="eastAsia" w:ascii="楷体" w:hAnsi="楷体" w:eastAsia="楷体" w:cs="楷体"/>
        </w:rPr>
        <w:t>15</w:t>
      </w:r>
      <w:r>
        <w:rPr>
          <w:rFonts w:hint="eastAsia" w:ascii="楷体" w:hAnsi="楷体" w:eastAsia="楷体" w:cs="楷体"/>
        </w:rPr>
        <w:fldChar w:fldCharType="end"/>
      </w:r>
      <w:r>
        <w:rPr>
          <w:rFonts w:hint="eastAsia" w:ascii="楷体" w:hAnsi="楷体" w:eastAsia="楷体" w:cs="楷体"/>
        </w:rPr>
        <w:fldChar w:fldCharType="end"/>
      </w:r>
    </w:p>
    <w:p w14:paraId="63935642">
      <w:pPr>
        <w:pStyle w:val="16"/>
        <w:rPr>
          <w:rFonts w:hint="eastAsia" w:ascii="仿宋" w:hAnsi="仿宋" w:eastAsia="仿宋" w:cs="仿宋"/>
        </w:rPr>
      </w:pPr>
      <w:r>
        <w:rPr>
          <w:rFonts w:hint="eastAsia" w:ascii="楷体" w:hAnsi="楷体" w:eastAsia="楷体" w:cs="楷体"/>
        </w:rPr>
        <w:fldChar w:fldCharType="begin"/>
      </w:r>
      <w:r>
        <w:rPr>
          <w:rFonts w:hint="eastAsia" w:ascii="楷体" w:hAnsi="楷体" w:eastAsia="楷体" w:cs="楷体"/>
        </w:rPr>
        <w:instrText xml:space="preserve"> HYPERLINK \l _Toc21019 </w:instrText>
      </w:r>
      <w:r>
        <w:rPr>
          <w:rFonts w:hint="eastAsia" w:ascii="楷体" w:hAnsi="楷体" w:eastAsia="楷体" w:cs="楷体"/>
        </w:rPr>
        <w:fldChar w:fldCharType="separate"/>
      </w:r>
      <w:r>
        <w:rPr>
          <w:rFonts w:hint="eastAsia" w:ascii="楷体" w:hAnsi="楷体" w:eastAsia="楷体" w:cs="楷体"/>
        </w:rPr>
        <w:t>（四）结转结余率</w:t>
      </w:r>
      <w:r>
        <w:rPr>
          <w:rFonts w:hint="eastAsia" w:ascii="楷体" w:hAnsi="楷体" w:eastAsia="楷体" w:cs="楷体"/>
        </w:rPr>
        <w:tab/>
      </w:r>
      <w:r>
        <w:rPr>
          <w:rFonts w:hint="eastAsia" w:ascii="楷体" w:hAnsi="楷体" w:eastAsia="楷体" w:cs="楷体"/>
        </w:rPr>
        <w:fldChar w:fldCharType="begin"/>
      </w:r>
      <w:r>
        <w:rPr>
          <w:rFonts w:hint="eastAsia" w:ascii="楷体" w:hAnsi="楷体" w:eastAsia="楷体" w:cs="楷体"/>
        </w:rPr>
        <w:instrText xml:space="preserve"> PAGEREF _Toc21019 \h </w:instrText>
      </w:r>
      <w:r>
        <w:rPr>
          <w:rFonts w:hint="eastAsia" w:ascii="楷体" w:hAnsi="楷体" w:eastAsia="楷体" w:cs="楷体"/>
        </w:rPr>
        <w:fldChar w:fldCharType="separate"/>
      </w:r>
      <w:r>
        <w:rPr>
          <w:rFonts w:hint="eastAsia" w:ascii="楷体" w:hAnsi="楷体" w:eastAsia="楷体" w:cs="楷体"/>
        </w:rPr>
        <w:t>16</w:t>
      </w:r>
      <w:r>
        <w:rPr>
          <w:rFonts w:hint="eastAsia" w:ascii="楷体" w:hAnsi="楷体" w:eastAsia="楷体" w:cs="楷体"/>
        </w:rPr>
        <w:fldChar w:fldCharType="end"/>
      </w:r>
      <w:r>
        <w:rPr>
          <w:rFonts w:hint="eastAsia" w:ascii="楷体" w:hAnsi="楷体" w:eastAsia="楷体" w:cs="楷体"/>
        </w:rPr>
        <w:fldChar w:fldCharType="end"/>
      </w:r>
    </w:p>
    <w:p w14:paraId="79059381">
      <w:pPr>
        <w:pStyle w:val="16"/>
        <w:rPr>
          <w:rFonts w:hint="eastAsia" w:ascii="仿宋" w:hAnsi="仿宋" w:eastAsia="仿宋" w:cs="仿宋"/>
        </w:rPr>
      </w:pPr>
      <w:r>
        <w:rPr>
          <w:rFonts w:hint="eastAsia" w:ascii="楷体" w:hAnsi="楷体" w:eastAsia="楷体" w:cs="楷体"/>
        </w:rPr>
        <w:fldChar w:fldCharType="begin"/>
      </w:r>
      <w:r>
        <w:rPr>
          <w:rFonts w:hint="eastAsia" w:ascii="楷体" w:hAnsi="楷体" w:eastAsia="楷体" w:cs="楷体"/>
        </w:rPr>
        <w:instrText xml:space="preserve"> HYPERLINK \l _Toc8431 </w:instrText>
      </w:r>
      <w:r>
        <w:rPr>
          <w:rFonts w:hint="eastAsia" w:ascii="楷体" w:hAnsi="楷体" w:eastAsia="楷体" w:cs="楷体"/>
        </w:rPr>
        <w:fldChar w:fldCharType="separate"/>
      </w:r>
      <w:r>
        <w:rPr>
          <w:rFonts w:hint="eastAsia" w:ascii="楷体" w:hAnsi="楷体" w:eastAsia="楷体" w:cs="楷体"/>
        </w:rPr>
        <w:t>（五）部门预决算差异</w:t>
      </w:r>
      <w:r>
        <w:rPr>
          <w:rFonts w:hint="eastAsia" w:ascii="楷体" w:hAnsi="楷体" w:eastAsia="楷体" w:cs="楷体"/>
          <w:lang w:val="en-US" w:eastAsia="zh-CN"/>
        </w:rPr>
        <w:t>率</w:t>
      </w:r>
      <w:r>
        <w:rPr>
          <w:rFonts w:hint="eastAsia" w:ascii="楷体" w:hAnsi="楷体" w:eastAsia="楷体" w:cs="楷体"/>
        </w:rPr>
        <w:tab/>
      </w:r>
      <w:r>
        <w:rPr>
          <w:rFonts w:hint="eastAsia" w:ascii="楷体" w:hAnsi="楷体" w:eastAsia="楷体" w:cs="楷体"/>
        </w:rPr>
        <w:fldChar w:fldCharType="begin"/>
      </w:r>
      <w:r>
        <w:rPr>
          <w:rFonts w:hint="eastAsia" w:ascii="楷体" w:hAnsi="楷体" w:eastAsia="楷体" w:cs="楷体"/>
        </w:rPr>
        <w:instrText xml:space="preserve"> PAGEREF _Toc8431 \h </w:instrText>
      </w:r>
      <w:r>
        <w:rPr>
          <w:rFonts w:hint="eastAsia" w:ascii="楷体" w:hAnsi="楷体" w:eastAsia="楷体" w:cs="楷体"/>
        </w:rPr>
        <w:fldChar w:fldCharType="separate"/>
      </w:r>
      <w:r>
        <w:rPr>
          <w:rFonts w:hint="eastAsia" w:ascii="楷体" w:hAnsi="楷体" w:eastAsia="楷体" w:cs="楷体"/>
        </w:rPr>
        <w:t>16</w:t>
      </w:r>
      <w:r>
        <w:rPr>
          <w:rFonts w:hint="eastAsia" w:ascii="楷体" w:hAnsi="楷体" w:eastAsia="楷体" w:cs="楷体"/>
        </w:rPr>
        <w:fldChar w:fldCharType="end"/>
      </w:r>
      <w:r>
        <w:rPr>
          <w:rFonts w:hint="eastAsia" w:ascii="楷体" w:hAnsi="楷体" w:eastAsia="楷体" w:cs="楷体"/>
        </w:rPr>
        <w:fldChar w:fldCharType="end"/>
      </w:r>
    </w:p>
    <w:p w14:paraId="30E92573">
      <w:pPr>
        <w:pStyle w:val="16"/>
        <w:rPr>
          <w:rFonts w:hint="eastAsia" w:ascii="仿宋" w:hAnsi="仿宋" w:eastAsia="仿宋" w:cs="仿宋"/>
        </w:rPr>
      </w:pPr>
      <w:r>
        <w:rPr>
          <w:rFonts w:hint="eastAsia" w:ascii="黑体" w:hAnsi="黑体" w:eastAsia="黑体" w:cs="黑体"/>
        </w:rPr>
        <w:fldChar w:fldCharType="begin"/>
      </w:r>
      <w:r>
        <w:rPr>
          <w:rFonts w:hint="eastAsia" w:ascii="黑体" w:hAnsi="黑体" w:eastAsia="黑体" w:cs="黑体"/>
        </w:rPr>
        <w:instrText xml:space="preserve"> HYPERLINK \l _Toc6828 </w:instrText>
      </w:r>
      <w:r>
        <w:rPr>
          <w:rFonts w:hint="eastAsia" w:ascii="黑体" w:hAnsi="黑体" w:eastAsia="黑体" w:cs="黑体"/>
        </w:rPr>
        <w:fldChar w:fldCharType="separate"/>
      </w:r>
      <w:r>
        <w:rPr>
          <w:rFonts w:hint="eastAsia" w:ascii="黑体" w:hAnsi="黑体" w:eastAsia="黑体" w:cs="黑体"/>
          <w:lang w:val="en-US" w:eastAsia="zh-CN"/>
        </w:rPr>
        <w:t>五、</w:t>
      </w:r>
      <w:r>
        <w:rPr>
          <w:rFonts w:hint="eastAsia" w:ascii="黑体" w:hAnsi="黑体" w:eastAsia="黑体" w:cs="黑体"/>
        </w:rPr>
        <w:t>总体评价结论</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_Toc6828 \h </w:instrText>
      </w:r>
      <w:r>
        <w:rPr>
          <w:rFonts w:hint="eastAsia" w:ascii="黑体" w:hAnsi="黑体" w:eastAsia="黑体" w:cs="黑体"/>
        </w:rPr>
        <w:fldChar w:fldCharType="separate"/>
      </w:r>
      <w:r>
        <w:rPr>
          <w:rFonts w:hint="eastAsia" w:ascii="黑体" w:hAnsi="黑体" w:eastAsia="黑体" w:cs="黑体"/>
        </w:rPr>
        <w:t>17</w:t>
      </w:r>
      <w:r>
        <w:rPr>
          <w:rFonts w:hint="eastAsia" w:ascii="黑体" w:hAnsi="黑体" w:eastAsia="黑体" w:cs="黑体"/>
        </w:rPr>
        <w:fldChar w:fldCharType="end"/>
      </w:r>
      <w:r>
        <w:rPr>
          <w:rFonts w:hint="eastAsia" w:ascii="黑体" w:hAnsi="黑体" w:eastAsia="黑体" w:cs="黑体"/>
        </w:rPr>
        <w:fldChar w:fldCharType="end"/>
      </w:r>
    </w:p>
    <w:p w14:paraId="73F5A18E">
      <w:pPr>
        <w:pStyle w:val="16"/>
        <w:rPr>
          <w:rFonts w:hint="eastAsia" w:ascii="仿宋" w:hAnsi="仿宋" w:eastAsia="仿宋" w:cs="仿宋"/>
        </w:rPr>
      </w:pPr>
      <w:r>
        <w:rPr>
          <w:rFonts w:hint="eastAsia" w:ascii="楷体" w:hAnsi="楷体" w:eastAsia="楷体" w:cs="楷体"/>
        </w:rPr>
        <w:fldChar w:fldCharType="begin"/>
      </w:r>
      <w:r>
        <w:rPr>
          <w:rFonts w:hint="eastAsia" w:ascii="楷体" w:hAnsi="楷体" w:eastAsia="楷体" w:cs="楷体"/>
        </w:rPr>
        <w:instrText xml:space="preserve"> HYPERLINK \l _Toc5182 </w:instrText>
      </w:r>
      <w:r>
        <w:rPr>
          <w:rFonts w:hint="eastAsia" w:ascii="楷体" w:hAnsi="楷体" w:eastAsia="楷体" w:cs="楷体"/>
        </w:rPr>
        <w:fldChar w:fldCharType="separate"/>
      </w:r>
      <w:r>
        <w:rPr>
          <w:rFonts w:hint="eastAsia" w:ascii="楷体" w:hAnsi="楷体" w:eastAsia="楷体" w:cs="楷体"/>
          <w:lang w:eastAsia="zh-CN"/>
        </w:rPr>
        <w:t>（一）评价得分情况</w:t>
      </w:r>
      <w:r>
        <w:rPr>
          <w:rFonts w:hint="eastAsia" w:ascii="楷体" w:hAnsi="楷体" w:eastAsia="楷体" w:cs="楷体"/>
        </w:rPr>
        <w:tab/>
      </w:r>
      <w:r>
        <w:rPr>
          <w:rFonts w:hint="eastAsia" w:ascii="楷体" w:hAnsi="楷体" w:eastAsia="楷体" w:cs="楷体"/>
        </w:rPr>
        <w:fldChar w:fldCharType="begin"/>
      </w:r>
      <w:r>
        <w:rPr>
          <w:rFonts w:hint="eastAsia" w:ascii="楷体" w:hAnsi="楷体" w:eastAsia="楷体" w:cs="楷体"/>
        </w:rPr>
        <w:instrText xml:space="preserve"> PAGEREF _Toc5182 \h </w:instrText>
      </w:r>
      <w:r>
        <w:rPr>
          <w:rFonts w:hint="eastAsia" w:ascii="楷体" w:hAnsi="楷体" w:eastAsia="楷体" w:cs="楷体"/>
        </w:rPr>
        <w:fldChar w:fldCharType="separate"/>
      </w:r>
      <w:r>
        <w:rPr>
          <w:rFonts w:hint="eastAsia" w:ascii="楷体" w:hAnsi="楷体" w:eastAsia="楷体" w:cs="楷体"/>
        </w:rPr>
        <w:t>17</w:t>
      </w:r>
      <w:r>
        <w:rPr>
          <w:rFonts w:hint="eastAsia" w:ascii="楷体" w:hAnsi="楷体" w:eastAsia="楷体" w:cs="楷体"/>
        </w:rPr>
        <w:fldChar w:fldCharType="end"/>
      </w:r>
      <w:r>
        <w:rPr>
          <w:rFonts w:hint="eastAsia" w:ascii="楷体" w:hAnsi="楷体" w:eastAsia="楷体" w:cs="楷体"/>
        </w:rPr>
        <w:fldChar w:fldCharType="end"/>
      </w:r>
    </w:p>
    <w:p w14:paraId="3F367384">
      <w:pPr>
        <w:pStyle w:val="16"/>
        <w:rPr>
          <w:rFonts w:hint="eastAsia" w:ascii="仿宋" w:hAnsi="仿宋" w:eastAsia="仿宋" w:cs="仿宋"/>
        </w:rPr>
      </w:pPr>
      <w:r>
        <w:rPr>
          <w:rFonts w:hint="eastAsia" w:ascii="楷体" w:hAnsi="楷体" w:eastAsia="楷体" w:cs="楷体"/>
        </w:rPr>
        <w:fldChar w:fldCharType="begin"/>
      </w:r>
      <w:r>
        <w:rPr>
          <w:rFonts w:hint="eastAsia" w:ascii="楷体" w:hAnsi="楷体" w:eastAsia="楷体" w:cs="楷体"/>
        </w:rPr>
        <w:instrText xml:space="preserve"> HYPERLINK \l _Toc26331 </w:instrText>
      </w:r>
      <w:r>
        <w:rPr>
          <w:rFonts w:hint="eastAsia" w:ascii="楷体" w:hAnsi="楷体" w:eastAsia="楷体" w:cs="楷体"/>
        </w:rPr>
        <w:fldChar w:fldCharType="separate"/>
      </w:r>
      <w:r>
        <w:rPr>
          <w:rFonts w:hint="eastAsia" w:ascii="楷体" w:hAnsi="楷体" w:eastAsia="楷体" w:cs="楷体"/>
          <w:lang w:val="en-US" w:eastAsia="zh-CN"/>
        </w:rPr>
        <w:t>（二）存在的问题及原因分析</w:t>
      </w:r>
      <w:r>
        <w:rPr>
          <w:rFonts w:hint="eastAsia" w:ascii="楷体" w:hAnsi="楷体" w:eastAsia="楷体" w:cs="楷体"/>
        </w:rPr>
        <w:tab/>
      </w:r>
      <w:r>
        <w:rPr>
          <w:rFonts w:hint="eastAsia" w:ascii="楷体" w:hAnsi="楷体" w:eastAsia="楷体" w:cs="楷体"/>
        </w:rPr>
        <w:fldChar w:fldCharType="begin"/>
      </w:r>
      <w:r>
        <w:rPr>
          <w:rFonts w:hint="eastAsia" w:ascii="楷体" w:hAnsi="楷体" w:eastAsia="楷体" w:cs="楷体"/>
        </w:rPr>
        <w:instrText xml:space="preserve"> PAGEREF _Toc26331 \h </w:instrText>
      </w:r>
      <w:r>
        <w:rPr>
          <w:rFonts w:hint="eastAsia" w:ascii="楷体" w:hAnsi="楷体" w:eastAsia="楷体" w:cs="楷体"/>
        </w:rPr>
        <w:fldChar w:fldCharType="separate"/>
      </w:r>
      <w:r>
        <w:rPr>
          <w:rFonts w:hint="eastAsia" w:ascii="楷体" w:hAnsi="楷体" w:eastAsia="楷体" w:cs="楷体"/>
        </w:rPr>
        <w:t>17</w:t>
      </w:r>
      <w:r>
        <w:rPr>
          <w:rFonts w:hint="eastAsia" w:ascii="楷体" w:hAnsi="楷体" w:eastAsia="楷体" w:cs="楷体"/>
        </w:rPr>
        <w:fldChar w:fldCharType="end"/>
      </w:r>
      <w:r>
        <w:rPr>
          <w:rFonts w:hint="eastAsia" w:ascii="楷体" w:hAnsi="楷体" w:eastAsia="楷体" w:cs="楷体"/>
        </w:rPr>
        <w:fldChar w:fldCharType="end"/>
      </w:r>
    </w:p>
    <w:p w14:paraId="66A6A93B">
      <w:pPr>
        <w:pStyle w:val="16"/>
      </w:pPr>
      <w:r>
        <w:rPr>
          <w:rFonts w:hint="eastAsia" w:ascii="黑体" w:hAnsi="黑体" w:eastAsia="黑体" w:cs="黑体"/>
        </w:rPr>
        <w:fldChar w:fldCharType="begin"/>
      </w:r>
      <w:r>
        <w:rPr>
          <w:rFonts w:hint="eastAsia" w:ascii="黑体" w:hAnsi="黑体" w:eastAsia="黑体" w:cs="黑体"/>
        </w:rPr>
        <w:instrText xml:space="preserve"> HYPERLINK \l _Toc5622 </w:instrText>
      </w:r>
      <w:r>
        <w:rPr>
          <w:rFonts w:hint="eastAsia" w:ascii="黑体" w:hAnsi="黑体" w:eastAsia="黑体" w:cs="黑体"/>
        </w:rPr>
        <w:fldChar w:fldCharType="separate"/>
      </w:r>
      <w:r>
        <w:rPr>
          <w:rFonts w:hint="eastAsia" w:ascii="黑体" w:hAnsi="黑体" w:eastAsia="黑体" w:cs="黑体"/>
        </w:rPr>
        <w:t>六、措施建议</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_Toc5622 \h </w:instrText>
      </w:r>
      <w:r>
        <w:rPr>
          <w:rFonts w:hint="eastAsia" w:ascii="黑体" w:hAnsi="黑体" w:eastAsia="黑体" w:cs="黑体"/>
        </w:rPr>
        <w:fldChar w:fldCharType="separate"/>
      </w:r>
      <w:r>
        <w:rPr>
          <w:rFonts w:hint="eastAsia" w:ascii="黑体" w:hAnsi="黑体" w:eastAsia="黑体" w:cs="黑体"/>
        </w:rPr>
        <w:t>19</w:t>
      </w:r>
      <w:r>
        <w:rPr>
          <w:rFonts w:hint="eastAsia" w:ascii="黑体" w:hAnsi="黑体" w:eastAsia="黑体" w:cs="黑体"/>
        </w:rPr>
        <w:fldChar w:fldCharType="end"/>
      </w:r>
      <w:r>
        <w:rPr>
          <w:rFonts w:hint="eastAsia" w:ascii="黑体" w:hAnsi="黑体" w:eastAsia="黑体" w:cs="黑体"/>
        </w:rPr>
        <w:fldChar w:fldCharType="end"/>
      </w:r>
    </w:p>
    <w:p w14:paraId="14854DFD">
      <w:pPr>
        <w:outlineLvl w:val="0"/>
        <w:rPr>
          <w:rFonts w:ascii="黑体" w:hAnsi="黑体" w:eastAsia="黑体" w:cs="黑体"/>
          <w:sz w:val="44"/>
          <w:szCs w:val="44"/>
          <w:highlight w:val="none"/>
        </w:rPr>
      </w:pPr>
      <w:r>
        <w:rPr>
          <w:rFonts w:hint="eastAsia" w:ascii="仿宋" w:hAnsi="仿宋" w:eastAsia="仿宋" w:cs="仿宋"/>
          <w:szCs w:val="32"/>
          <w:highlight w:val="none"/>
        </w:rPr>
        <w:fldChar w:fldCharType="end"/>
      </w:r>
    </w:p>
    <w:p w14:paraId="081B4A69">
      <w:pPr>
        <w:pStyle w:val="3"/>
        <w:spacing w:before="0" w:after="0" w:line="360" w:lineRule="auto"/>
        <w:ind w:firstLine="643" w:firstLineChars="200"/>
        <w:rPr>
          <w:rFonts w:ascii="黑体" w:hAnsi="黑体" w:eastAsia="黑体"/>
          <w:highlight w:val="none"/>
        </w:rPr>
        <w:sectPr>
          <w:footerReference r:id="rId4" w:type="default"/>
          <w:footnotePr>
            <w:numFmt w:val="decimalEnclosedCircleChinese"/>
          </w:footnotePr>
          <w:pgSz w:w="11906" w:h="16838"/>
          <w:pgMar w:top="1440" w:right="1416" w:bottom="1440" w:left="1800" w:header="851" w:footer="992" w:gutter="0"/>
          <w:pgNumType w:start="1"/>
          <w:cols w:space="720" w:num="1"/>
          <w:docGrid w:type="lines" w:linePitch="312" w:charSpace="0"/>
        </w:sectPr>
      </w:pPr>
    </w:p>
    <w:p w14:paraId="6E38E886">
      <w:pPr>
        <w:keepNext/>
        <w:keepLines/>
        <w:pageBreakBefore w:val="0"/>
        <w:widowControl w:val="0"/>
        <w:kinsoku/>
        <w:wordWrap/>
        <w:overflowPunct/>
        <w:topLinePunct w:val="0"/>
        <w:autoSpaceDE/>
        <w:autoSpaceDN/>
        <w:bidi w:val="0"/>
        <w:adjustRightInd/>
        <w:snapToGrid/>
        <w:spacing w:before="0" w:after="0" w:line="360" w:lineRule="auto"/>
        <w:ind w:firstLine="640" w:firstLineChars="200"/>
        <w:textAlignment w:val="auto"/>
        <w:outlineLvl w:val="1"/>
        <w:rPr>
          <w:rFonts w:ascii="黑体" w:hAnsi="黑体" w:eastAsia="黑体"/>
          <w:b w:val="0"/>
          <w:bCs w:val="0"/>
          <w:sz w:val="32"/>
          <w:szCs w:val="32"/>
          <w:highlight w:val="none"/>
        </w:rPr>
      </w:pPr>
      <w:bookmarkStart w:id="0" w:name="_Toc20789"/>
      <w:r>
        <w:rPr>
          <w:rFonts w:hint="eastAsia" w:ascii="黑体" w:hAnsi="黑体" w:eastAsia="黑体"/>
          <w:b w:val="0"/>
          <w:bCs w:val="0"/>
          <w:sz w:val="32"/>
          <w:szCs w:val="32"/>
          <w:highlight w:val="none"/>
        </w:rPr>
        <w:t>一、部门概况</w:t>
      </w:r>
      <w:bookmarkEnd w:id="0"/>
    </w:p>
    <w:p w14:paraId="3370714D">
      <w:pPr>
        <w:keepNext/>
        <w:keepLines/>
        <w:pageBreakBefore w:val="0"/>
        <w:widowControl w:val="0"/>
        <w:kinsoku/>
        <w:wordWrap/>
        <w:overflowPunct/>
        <w:topLinePunct w:val="0"/>
        <w:autoSpaceDE/>
        <w:autoSpaceDN/>
        <w:bidi w:val="0"/>
        <w:adjustRightInd/>
        <w:snapToGrid/>
        <w:spacing w:before="0" w:after="0" w:line="360" w:lineRule="auto"/>
        <w:ind w:firstLine="640" w:firstLineChars="200"/>
        <w:textAlignment w:val="auto"/>
        <w:outlineLvl w:val="1"/>
        <w:rPr>
          <w:rFonts w:ascii="楷体" w:hAnsi="楷体" w:eastAsia="楷体"/>
          <w:b w:val="0"/>
          <w:bCs w:val="0"/>
          <w:sz w:val="32"/>
          <w:szCs w:val="32"/>
          <w:highlight w:val="none"/>
        </w:rPr>
      </w:pPr>
      <w:bookmarkStart w:id="1" w:name="_Toc24077"/>
      <w:r>
        <w:rPr>
          <w:rFonts w:hint="eastAsia" w:ascii="楷体" w:hAnsi="楷体" w:eastAsia="楷体"/>
          <w:b w:val="0"/>
          <w:bCs w:val="0"/>
          <w:sz w:val="32"/>
          <w:szCs w:val="32"/>
          <w:highlight w:val="none"/>
        </w:rPr>
        <w:t>（一）机构设置及职责工作任务情况</w:t>
      </w:r>
      <w:bookmarkEnd w:id="1"/>
    </w:p>
    <w:p w14:paraId="74FAD933">
      <w:pPr>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default" w:ascii="仿宋_GB2312" w:hAnsi="仿宋" w:eastAsia="仿宋_GB2312" w:cs="仿宋"/>
          <w:sz w:val="32"/>
          <w:szCs w:val="32"/>
          <w:highlight w:val="none"/>
          <w:lang w:val="en-US" w:eastAsia="zh-CN"/>
        </w:rPr>
      </w:pPr>
      <w:r>
        <w:rPr>
          <w:rFonts w:hint="eastAsia" w:ascii="仿宋_GB2312" w:hAnsi="仿宋" w:eastAsia="仿宋_GB2312" w:cs="仿宋"/>
          <w:sz w:val="32"/>
          <w:szCs w:val="32"/>
          <w:highlight w:val="none"/>
          <w:lang w:val="en-US" w:eastAsia="zh-CN"/>
        </w:rPr>
        <w:t>1.机构设置情况</w:t>
      </w:r>
    </w:p>
    <w:p w14:paraId="144862FF">
      <w:pPr>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仿宋_GB2312" w:hAnsi="仿宋" w:eastAsia="仿宋_GB2312" w:cs="仿宋"/>
          <w:sz w:val="32"/>
          <w:szCs w:val="32"/>
          <w:highlight w:val="none"/>
        </w:rPr>
      </w:pPr>
      <w:r>
        <w:rPr>
          <w:rFonts w:hint="eastAsia" w:ascii="仿宋_GB2312" w:hAnsi="仿宋" w:eastAsia="仿宋_GB2312" w:cs="仿宋"/>
          <w:sz w:val="32"/>
          <w:szCs w:val="32"/>
          <w:highlight w:val="none"/>
        </w:rPr>
        <w:t>根据北京市机构编制委员会办公室《关于北京市红十字会所属事业单位改革有关事项的批复》（京编委</w:t>
      </w:r>
      <w:r>
        <w:rPr>
          <w:rFonts w:hint="eastAsia" w:ascii="宋体" w:hAnsi="宋体" w:eastAsia="宋体" w:cs="宋体"/>
          <w:sz w:val="32"/>
          <w:szCs w:val="32"/>
          <w:highlight w:val="none"/>
        </w:rPr>
        <w:t>〔</w:t>
      </w:r>
      <w:r>
        <w:rPr>
          <w:rFonts w:hint="eastAsia" w:ascii="仿宋_GB2312" w:hAnsi="仿宋" w:eastAsia="仿宋_GB2312" w:cs="仿宋"/>
          <w:sz w:val="32"/>
          <w:szCs w:val="32"/>
          <w:highlight w:val="none"/>
        </w:rPr>
        <w:t>2021</w:t>
      </w:r>
      <w:r>
        <w:rPr>
          <w:rFonts w:hint="eastAsia" w:ascii="宋体" w:hAnsi="宋体" w:eastAsia="宋体" w:cs="宋体"/>
          <w:sz w:val="32"/>
          <w:szCs w:val="32"/>
          <w:highlight w:val="none"/>
        </w:rPr>
        <w:t>〕</w:t>
      </w:r>
      <w:r>
        <w:rPr>
          <w:rFonts w:hint="eastAsia" w:ascii="仿宋_GB2312" w:hAnsi="仿宋" w:eastAsia="仿宋_GB2312" w:cs="仿宋"/>
          <w:sz w:val="32"/>
          <w:szCs w:val="32"/>
          <w:highlight w:val="none"/>
        </w:rPr>
        <w:t>85号），北京市红十字会</w:t>
      </w:r>
      <w:r>
        <w:rPr>
          <w:rFonts w:hint="eastAsia" w:ascii="仿宋_GB2312" w:hAnsi="仿宋" w:eastAsia="仿宋_GB2312" w:cs="仿宋"/>
          <w:sz w:val="32"/>
          <w:szCs w:val="32"/>
          <w:highlight w:val="none"/>
          <w:lang w:eastAsia="zh-CN"/>
        </w:rPr>
        <w:t>（</w:t>
      </w:r>
      <w:r>
        <w:rPr>
          <w:rFonts w:hint="eastAsia" w:ascii="仿宋_GB2312" w:hAnsi="仿宋" w:eastAsia="仿宋_GB2312" w:cs="仿宋"/>
          <w:sz w:val="32"/>
          <w:szCs w:val="32"/>
          <w:highlight w:val="none"/>
          <w:lang w:val="en-US" w:eastAsia="zh-CN"/>
        </w:rPr>
        <w:t>以下简称“我会”</w:t>
      </w:r>
      <w:r>
        <w:rPr>
          <w:rFonts w:hint="eastAsia" w:ascii="仿宋_GB2312" w:hAnsi="仿宋" w:eastAsia="仿宋_GB2312" w:cs="仿宋"/>
          <w:sz w:val="32"/>
          <w:szCs w:val="32"/>
          <w:highlight w:val="none"/>
          <w:lang w:eastAsia="zh-CN"/>
        </w:rPr>
        <w:t>）</w:t>
      </w:r>
      <w:r>
        <w:rPr>
          <w:rFonts w:hint="eastAsia" w:ascii="仿宋_GB2312" w:hAnsi="仿宋" w:eastAsia="仿宋_GB2312" w:cs="仿宋"/>
          <w:sz w:val="32"/>
          <w:szCs w:val="32"/>
          <w:highlight w:val="none"/>
        </w:rPr>
        <w:t>下设2个公益一类事业单位，分别为北京市红十字会应急服务中心和北京市红十字会捐献服务中心；下设1个公益二类事业单位，为北京市红十字会救援服务中心。</w:t>
      </w:r>
      <w:bookmarkStart w:id="18" w:name="_GoBack"/>
      <w:bookmarkEnd w:id="18"/>
    </w:p>
    <w:p w14:paraId="7B0D641B">
      <w:pPr>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ascii="仿宋_GB2312" w:hAnsi="仿宋" w:eastAsia="仿宋_GB2312" w:cs="仿宋"/>
          <w:sz w:val="32"/>
          <w:szCs w:val="32"/>
          <w:highlight w:val="none"/>
        </w:rPr>
      </w:pPr>
      <w:r>
        <w:rPr>
          <w:rFonts w:hint="eastAsia" w:ascii="仿宋_GB2312" w:hAnsi="仿宋" w:eastAsia="仿宋_GB2312" w:cs="仿宋"/>
          <w:sz w:val="32"/>
          <w:szCs w:val="32"/>
          <w:highlight w:val="none"/>
          <w:lang w:val="en-US" w:eastAsia="zh-CN"/>
        </w:rPr>
        <w:t>2</w:t>
      </w:r>
      <w:r>
        <w:rPr>
          <w:rFonts w:hint="eastAsia" w:ascii="仿宋_GB2312" w:hAnsi="仿宋" w:eastAsia="仿宋_GB2312" w:cs="仿宋"/>
          <w:sz w:val="32"/>
          <w:szCs w:val="32"/>
          <w:highlight w:val="none"/>
        </w:rPr>
        <w:t>.部门职责</w:t>
      </w:r>
    </w:p>
    <w:p w14:paraId="51F42D20">
      <w:pPr>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ascii="仿宋_GB2312" w:hAnsi="仿宋" w:eastAsia="仿宋_GB2312" w:cs="仿宋"/>
          <w:sz w:val="32"/>
          <w:szCs w:val="32"/>
          <w:highlight w:val="none"/>
        </w:rPr>
      </w:pPr>
      <w:r>
        <w:rPr>
          <w:rFonts w:hint="eastAsia" w:ascii="仿宋_GB2312" w:hAnsi="仿宋" w:eastAsia="仿宋_GB2312" w:cs="仿宋"/>
          <w:sz w:val="32"/>
          <w:szCs w:val="32"/>
          <w:highlight w:val="none"/>
        </w:rPr>
        <w:t>（1）宣传、贯彻、落实《中华人民共和国红十字会法》和其它有关法规以及中国红十字会制定的各项工作方针、政策。</w:t>
      </w:r>
    </w:p>
    <w:p w14:paraId="474225C1">
      <w:pPr>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ascii="仿宋_GB2312" w:hAnsi="仿宋" w:eastAsia="仿宋_GB2312" w:cs="仿宋"/>
          <w:sz w:val="32"/>
          <w:szCs w:val="32"/>
          <w:highlight w:val="none"/>
        </w:rPr>
      </w:pPr>
      <w:r>
        <w:rPr>
          <w:rFonts w:hint="eastAsia" w:ascii="仿宋_GB2312" w:hAnsi="仿宋" w:eastAsia="仿宋_GB2312" w:cs="仿宋"/>
          <w:sz w:val="32"/>
          <w:szCs w:val="32"/>
          <w:highlight w:val="none"/>
        </w:rPr>
        <w:t>（2）宣传国际红十字和红新月运动的七项基本原则以及日内瓦公约及其附加议定书，并依照有关规定开展工作。</w:t>
      </w:r>
    </w:p>
    <w:p w14:paraId="37B6ED87">
      <w:pPr>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ascii="仿宋_GB2312" w:hAnsi="仿宋" w:eastAsia="仿宋_GB2312" w:cs="仿宋"/>
          <w:sz w:val="32"/>
          <w:szCs w:val="32"/>
          <w:highlight w:val="none"/>
        </w:rPr>
      </w:pPr>
      <w:r>
        <w:rPr>
          <w:rFonts w:hint="eastAsia" w:ascii="仿宋_GB2312" w:hAnsi="仿宋" w:eastAsia="仿宋_GB2312" w:cs="仿宋"/>
          <w:sz w:val="32"/>
          <w:szCs w:val="32"/>
          <w:highlight w:val="none"/>
        </w:rPr>
        <w:t>（3）开展救灾的准备工作；在自然灾害和突发事件中，对伤病人员和其他受害者进行救助。</w:t>
      </w:r>
    </w:p>
    <w:p w14:paraId="1A17C888">
      <w:pPr>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ascii="仿宋_GB2312" w:hAnsi="仿宋" w:eastAsia="仿宋_GB2312" w:cs="仿宋"/>
          <w:sz w:val="32"/>
          <w:szCs w:val="32"/>
          <w:highlight w:val="none"/>
        </w:rPr>
      </w:pPr>
      <w:r>
        <w:rPr>
          <w:rFonts w:hint="eastAsia" w:ascii="仿宋_GB2312" w:hAnsi="仿宋" w:eastAsia="仿宋_GB2312" w:cs="仿宋"/>
          <w:sz w:val="32"/>
          <w:szCs w:val="32"/>
          <w:highlight w:val="none"/>
        </w:rPr>
        <w:t>（4）普及卫生救护和防病知识，进行初级卫生救护训练。组织群众参加现场救护；负责开展人道领域内的社区服务和社区公益事业。</w:t>
      </w:r>
    </w:p>
    <w:p w14:paraId="690E7601">
      <w:pPr>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ascii="仿宋_GB2312" w:hAnsi="仿宋" w:eastAsia="仿宋_GB2312" w:cs="仿宋"/>
          <w:sz w:val="32"/>
          <w:szCs w:val="32"/>
          <w:highlight w:val="none"/>
        </w:rPr>
      </w:pPr>
      <w:r>
        <w:rPr>
          <w:rFonts w:hint="eastAsia" w:ascii="仿宋_GB2312" w:hAnsi="仿宋" w:eastAsia="仿宋_GB2312" w:cs="仿宋"/>
          <w:sz w:val="32"/>
          <w:szCs w:val="32"/>
          <w:highlight w:val="none"/>
        </w:rPr>
        <w:t>（5）依据《中华人民共和国红十字会法》和《中华人民共和国献血法》的规定，推动无偿献血工作，建设和管理“北京造血干细胞捐献者资料库”。</w:t>
      </w:r>
    </w:p>
    <w:p w14:paraId="6DF036C4">
      <w:pPr>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ascii="仿宋_GB2312" w:hAnsi="仿宋" w:eastAsia="仿宋_GB2312" w:cs="仿宋"/>
          <w:sz w:val="32"/>
          <w:szCs w:val="32"/>
          <w:highlight w:val="none"/>
        </w:rPr>
      </w:pPr>
      <w:r>
        <w:rPr>
          <w:rFonts w:hint="eastAsia" w:ascii="仿宋_GB2312" w:hAnsi="仿宋" w:eastAsia="仿宋_GB2312" w:cs="仿宋"/>
          <w:sz w:val="32"/>
          <w:szCs w:val="32"/>
          <w:highlight w:val="none"/>
        </w:rPr>
        <w:t>（6）负责接受国内外组织和个人捐赠的救灾款物，保证和监督所接受的救灾款物的发放，负责发动市内募捐并管理有关救助基金。</w:t>
      </w:r>
    </w:p>
    <w:p w14:paraId="6B4F3D80">
      <w:pPr>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ascii="仿宋_GB2312" w:hAnsi="仿宋" w:eastAsia="仿宋_GB2312" w:cs="仿宋"/>
          <w:sz w:val="32"/>
          <w:szCs w:val="32"/>
          <w:highlight w:val="none"/>
        </w:rPr>
      </w:pPr>
      <w:r>
        <w:rPr>
          <w:rFonts w:hint="eastAsia" w:ascii="仿宋_GB2312" w:hAnsi="仿宋" w:eastAsia="仿宋_GB2312" w:cs="仿宋"/>
          <w:sz w:val="32"/>
          <w:szCs w:val="32"/>
          <w:highlight w:val="none"/>
        </w:rPr>
        <w:t>（7）开展有益于青少年身心健康的、弘扬人道主义精神文明的红十字青少年活动。</w:t>
      </w:r>
    </w:p>
    <w:p w14:paraId="67A24A32">
      <w:pPr>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ascii="仿宋_GB2312" w:hAnsi="仿宋" w:eastAsia="仿宋_GB2312" w:cs="仿宋"/>
          <w:sz w:val="32"/>
          <w:szCs w:val="32"/>
          <w:highlight w:val="none"/>
        </w:rPr>
      </w:pPr>
      <w:r>
        <w:rPr>
          <w:rFonts w:hint="eastAsia" w:ascii="仿宋_GB2312" w:hAnsi="仿宋" w:eastAsia="仿宋_GB2312" w:cs="仿宋"/>
          <w:sz w:val="32"/>
          <w:szCs w:val="32"/>
          <w:highlight w:val="none"/>
        </w:rPr>
        <w:t>（8）开展与各国有关国际组织的友好往来，开展人道领域方面的技术交流与合作。</w:t>
      </w:r>
    </w:p>
    <w:p w14:paraId="50827C93">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ascii="仿宋_GB2312" w:hAnsi="仿宋" w:eastAsia="仿宋_GB2312" w:cs="仿宋"/>
          <w:sz w:val="32"/>
          <w:szCs w:val="32"/>
          <w:highlight w:val="none"/>
        </w:rPr>
      </w:pPr>
      <w:r>
        <w:rPr>
          <w:rFonts w:hint="eastAsia" w:ascii="仿宋_GB2312" w:hAnsi="仿宋" w:eastAsia="仿宋_GB2312" w:cs="仿宋"/>
          <w:sz w:val="32"/>
          <w:szCs w:val="32"/>
          <w:highlight w:val="none"/>
        </w:rPr>
        <w:t>（9）负责海峡两岸的查人转信，探亲衍生，有关人员遣返见证工作，开展两岸红十字组织的交往与合作。</w:t>
      </w:r>
    </w:p>
    <w:p w14:paraId="34156AE8">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仿宋_GB2312" w:hAnsi="仿宋" w:eastAsia="仿宋_GB2312" w:cs="仿宋"/>
          <w:sz w:val="32"/>
          <w:szCs w:val="32"/>
          <w:highlight w:val="none"/>
        </w:rPr>
      </w:pPr>
      <w:r>
        <w:rPr>
          <w:rFonts w:hint="eastAsia" w:ascii="仿宋_GB2312" w:hAnsi="仿宋" w:eastAsia="仿宋_GB2312" w:cs="仿宋"/>
          <w:sz w:val="32"/>
          <w:szCs w:val="32"/>
          <w:highlight w:val="none"/>
        </w:rPr>
        <w:t>（10）完成市委、市政府交办的其他工作。</w:t>
      </w:r>
    </w:p>
    <w:p w14:paraId="74BFBC3C">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仿宋_GB2312" w:hAnsi="仿宋" w:eastAsia="仿宋_GB2312" w:cs="仿宋"/>
          <w:kern w:val="2"/>
          <w:sz w:val="32"/>
          <w:szCs w:val="32"/>
          <w:highlight w:val="none"/>
        </w:rPr>
      </w:pPr>
      <w:r>
        <w:rPr>
          <w:rFonts w:hint="eastAsia" w:ascii="仿宋_GB2312" w:hAnsi="仿宋" w:eastAsia="仿宋_GB2312" w:cs="仿宋"/>
          <w:kern w:val="2"/>
          <w:sz w:val="32"/>
          <w:szCs w:val="32"/>
          <w:highlight w:val="none"/>
          <w:lang w:val="en-US" w:eastAsia="zh-CN"/>
        </w:rPr>
        <w:t>3</w:t>
      </w:r>
      <w:r>
        <w:rPr>
          <w:rFonts w:hint="eastAsia" w:ascii="仿宋_GB2312" w:hAnsi="仿宋" w:eastAsia="仿宋_GB2312" w:cs="仿宋"/>
          <w:kern w:val="2"/>
          <w:sz w:val="32"/>
          <w:szCs w:val="32"/>
          <w:highlight w:val="none"/>
        </w:rPr>
        <w:t>.202</w:t>
      </w:r>
      <w:r>
        <w:rPr>
          <w:rFonts w:hint="eastAsia" w:ascii="仿宋_GB2312" w:hAnsi="仿宋" w:eastAsia="仿宋_GB2312" w:cs="仿宋"/>
          <w:kern w:val="2"/>
          <w:sz w:val="32"/>
          <w:szCs w:val="32"/>
          <w:highlight w:val="none"/>
          <w:lang w:val="en-US" w:eastAsia="zh-CN"/>
        </w:rPr>
        <w:t>4</w:t>
      </w:r>
      <w:r>
        <w:rPr>
          <w:rFonts w:hint="eastAsia" w:ascii="仿宋_GB2312" w:hAnsi="仿宋" w:eastAsia="仿宋_GB2312" w:cs="仿宋"/>
          <w:kern w:val="2"/>
          <w:sz w:val="32"/>
          <w:szCs w:val="32"/>
          <w:highlight w:val="none"/>
        </w:rPr>
        <w:t>年</w:t>
      </w:r>
      <w:r>
        <w:rPr>
          <w:rFonts w:hint="eastAsia" w:ascii="仿宋_GB2312" w:hAnsi="仿宋" w:eastAsia="仿宋_GB2312" w:cs="仿宋"/>
          <w:kern w:val="2"/>
          <w:sz w:val="32"/>
          <w:szCs w:val="32"/>
          <w:highlight w:val="none"/>
          <w:lang w:eastAsia="zh-CN"/>
        </w:rPr>
        <w:t>重点</w:t>
      </w:r>
      <w:r>
        <w:rPr>
          <w:rFonts w:hint="eastAsia" w:ascii="仿宋_GB2312" w:hAnsi="仿宋" w:eastAsia="仿宋_GB2312" w:cs="仿宋"/>
          <w:kern w:val="2"/>
          <w:sz w:val="32"/>
          <w:szCs w:val="32"/>
          <w:highlight w:val="none"/>
        </w:rPr>
        <w:t>工作任务</w:t>
      </w:r>
    </w:p>
    <w:p w14:paraId="27C2100C">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color w:val="000000" w:themeColor="text1"/>
          <w:sz w:val="32"/>
          <w:szCs w:val="32"/>
          <w:shd w:val="clear" w:color="auto" w:fill="FFFFFF"/>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1）</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积极推进</w:t>
      </w:r>
      <w:r>
        <w:rPr>
          <w:rFonts w:hint="eastAsia" w:ascii="仿宋_GB2312" w:hAnsi="仿宋_GB2312" w:eastAsia="仿宋_GB2312" w:cs="仿宋_GB2312"/>
          <w:b w:val="0"/>
          <w:bCs w:val="0"/>
          <w:color w:val="000000" w:themeColor="text1"/>
          <w:sz w:val="32"/>
          <w:szCs w:val="32"/>
          <w14:textFill>
            <w14:solidFill>
              <w14:schemeClr w14:val="tx1"/>
            </w14:solidFill>
          </w14:textFill>
        </w:rPr>
        <w:t>健康北京、平安北京建设。一是协助政府做好灾后重建工作。</w:t>
      </w:r>
      <w:r>
        <w:rPr>
          <w:rFonts w:hint="eastAsia" w:ascii="仿宋_GB2312" w:hAnsi="仿宋_GB2312" w:eastAsia="仿宋_GB2312" w:cs="仿宋_GB2312"/>
          <w:b w:val="0"/>
          <w:bCs w:val="0"/>
          <w:sz w:val="32"/>
          <w:szCs w:val="32"/>
        </w:rPr>
        <w:t>拨付防汛救灾资金4100万元，用于房山区、门头沟区、昌平区受灾项目重建。加强与市工作专班、市民政局的沟通协调，用好总会专项资金。二是推进</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博爱家园项目建设。市会计划2024年建成5个“博爱家园”，争取更多的“博爱家园”项目纳入乡村建设项目库。三是努力提升应急救援综合能力。</w:t>
      </w:r>
      <w:r>
        <w:rPr>
          <w:rFonts w:hint="eastAsia" w:ascii="仿宋_GB2312" w:hAnsi="仿宋_GB2312" w:eastAsia="仿宋_GB2312" w:cs="仿宋_GB2312"/>
          <w:b w:val="0"/>
          <w:bCs w:val="0"/>
          <w:sz w:val="32"/>
          <w:szCs w:val="32"/>
        </w:rPr>
        <w:t>修订完善救援队体系建设标准，加强救援队日常培训演练配齐配全救援设备，</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健全完善中部协作区联合协作机制。</w:t>
      </w:r>
      <w:r>
        <w:rPr>
          <w:rFonts w:hint="eastAsia" w:ascii="仿宋_GB2312" w:hAnsi="仿宋_GB2312" w:eastAsia="仿宋_GB2312" w:cs="仿宋_GB2312"/>
          <w:b w:val="0"/>
          <w:bCs w:val="0"/>
          <w:sz w:val="32"/>
          <w:szCs w:val="32"/>
        </w:rPr>
        <w:t>四是大力开展应急救护培训。举办市民应急安全教育大讲堂，应急救护师资初训班、复训班、继续教育班和训练师注册考核。大力推进“训考分离”，通过督导提升区会、基地培训管理质量。对4、8、16学时教学课件进行修订，制作应急救护宣传短片，扩大应急救护知识技能的普及范围。五是</w:t>
      </w:r>
      <w:r>
        <w:rPr>
          <w:rFonts w:hint="eastAsia" w:ascii="仿宋_GB2312" w:hAnsi="仿宋_GB2312" w:eastAsia="仿宋_GB2312" w:cs="仿宋_GB2312"/>
          <w:b w:val="0"/>
          <w:bCs w:val="0"/>
          <w:sz w:val="32"/>
          <w:szCs w:val="32"/>
          <w:lang w:eastAsia="zh-Hans"/>
        </w:rPr>
        <w:t>着力提升“三献”工作发展质量</w:t>
      </w: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val="0"/>
          <w:bCs w:val="0"/>
          <w:kern w:val="0"/>
          <w:sz w:val="32"/>
          <w:szCs w:val="32"/>
        </w:rPr>
        <w:t>围绕生命教育组织开展“三献”主题宣传活动。加快推进长青园纪念缅怀设施提升建设项目，筹备建立遗体捐献和器官捐献数据库。开展协调员年度培训和年度考核。</w:t>
      </w:r>
      <w:r>
        <w:rPr>
          <w:rFonts w:hint="eastAsia" w:ascii="仿宋_GB2312" w:hAnsi="仿宋_GB2312" w:eastAsia="仿宋_GB2312" w:cs="仿宋_GB2312"/>
          <w:b w:val="0"/>
          <w:bCs w:val="0"/>
          <w:sz w:val="32"/>
          <w:szCs w:val="32"/>
        </w:rPr>
        <w:t>继续开展“携手京津冀，共筑彩虹梦”为主题的关爱血液病儿童活动，组织开展三地高校联合海报大赛，同步启动献血捐髓的宣传和培训。六是</w:t>
      </w:r>
      <w:r>
        <w:rPr>
          <w:rFonts w:hint="eastAsia" w:ascii="仿宋_GB2312" w:hAnsi="仿宋_GB2312" w:eastAsia="仿宋_GB2312" w:cs="仿宋_GB2312"/>
          <w:b w:val="0"/>
          <w:bCs w:val="0"/>
          <w:sz w:val="32"/>
          <w:szCs w:val="32"/>
          <w:lang w:eastAsia="zh-Hans"/>
        </w:rPr>
        <w:t>积极推进非急救医疗服务</w:t>
      </w:r>
      <w:r>
        <w:rPr>
          <w:rFonts w:hint="eastAsia" w:ascii="仿宋_GB2312" w:hAnsi="仿宋_GB2312" w:eastAsia="仿宋_GB2312" w:cs="仿宋_GB2312"/>
          <w:b w:val="0"/>
          <w:bCs w:val="0"/>
          <w:sz w:val="32"/>
          <w:szCs w:val="32"/>
        </w:rPr>
        <w:t>规范化。推进非急救服务站规划建设。配合和推进总会完成《红十字照护类操作规范》的制订出台，建立非急救区域联盟，开展上门服务和社区巡诊服务等多元化服务，与医疗机构共同优化非急救服务对接。</w:t>
      </w:r>
    </w:p>
    <w:p w14:paraId="3274A53B">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eastAsia" w:ascii="仿宋_GB2312" w:hAnsi="仿宋_GB2312" w:eastAsia="仿宋_GB2312" w:cs="仿宋_GB2312"/>
          <w:b w:val="0"/>
          <w:bCs w:val="0"/>
          <w:sz w:val="32"/>
          <w:szCs w:val="32"/>
          <w:lang w:val="en"/>
        </w:rPr>
      </w:pPr>
      <w:r>
        <w:rPr>
          <w:rFonts w:hint="eastAsia" w:ascii="仿宋_GB2312" w:hAnsi="仿宋_GB2312" w:eastAsia="仿宋_GB2312" w:cs="仿宋_GB2312"/>
          <w:b w:val="0"/>
          <w:bCs w:val="0"/>
          <w:snapToGrid w:val="0"/>
          <w:kern w:val="0"/>
          <w:sz w:val="32"/>
          <w:szCs w:val="32"/>
        </w:rPr>
        <w:t>（</w:t>
      </w:r>
      <w:r>
        <w:rPr>
          <w:rFonts w:hint="eastAsia" w:ascii="仿宋_GB2312" w:hAnsi="仿宋_GB2312" w:eastAsia="仿宋_GB2312" w:cs="仿宋_GB2312"/>
          <w:b w:val="0"/>
          <w:bCs w:val="0"/>
          <w:snapToGrid w:val="0"/>
          <w:kern w:val="0"/>
          <w:sz w:val="32"/>
          <w:szCs w:val="32"/>
          <w:lang w:val="en-US" w:eastAsia="zh-CN"/>
        </w:rPr>
        <w:t>2</w:t>
      </w:r>
      <w:r>
        <w:rPr>
          <w:rFonts w:hint="eastAsia" w:ascii="仿宋_GB2312" w:hAnsi="仿宋_GB2312" w:eastAsia="仿宋_GB2312" w:cs="仿宋_GB2312"/>
          <w:b w:val="0"/>
          <w:bCs w:val="0"/>
          <w:snapToGrid w:val="0"/>
          <w:kern w:val="0"/>
          <w:sz w:val="32"/>
          <w:szCs w:val="32"/>
        </w:rPr>
        <w:t>）发挥在筹资和救助工作方面的职能作用。一是</w:t>
      </w:r>
      <w:r>
        <w:rPr>
          <w:rFonts w:hint="eastAsia" w:ascii="仿宋_GB2312" w:hAnsi="仿宋_GB2312" w:eastAsia="仿宋_GB2312" w:cs="仿宋_GB2312"/>
          <w:b w:val="0"/>
          <w:bCs w:val="0"/>
          <w:sz w:val="32"/>
          <w:szCs w:val="32"/>
        </w:rPr>
        <w:t>修订完善相关制度规定。拟制定《捐赠平台热线电话沟通规范》《北京市红十字会募捐筹资应急预案》，修订完善《北京市红十字会捐赠工作管理办法》《北京市红十字会采购管理办法》。二是配合做好网站改版工作。通过改版实现网站捐赠平台使用更加便捷，公示内容更加清晰。三是规范信息公开工作。实现公示内容表述、公示形式、公式说明和捐赠信息互动“四个规范”。四是不断提升业务素质本领。通过各种形式的学习培训，提升捐赠队伍项目策划、社会动员、依法公示信息、回应社会关切等基础性业务素质。五是扩大筹资规模。</w:t>
      </w:r>
      <w:r>
        <w:rPr>
          <w:rFonts w:hint="eastAsia" w:ascii="仿宋_GB2312" w:hAnsi="仿宋_GB2312" w:eastAsia="仿宋_GB2312" w:cs="仿宋_GB2312"/>
          <w:b w:val="0"/>
          <w:bCs w:val="0"/>
          <w:sz w:val="32"/>
          <w:szCs w:val="32"/>
          <w:lang w:val="en"/>
        </w:rPr>
        <w:t>拓宽筹资渠道，大力推进网络筹资。运用新媒体开展宣传，增强筹资项目的吸引力和影响力。围绕法定职责和核心业务，持续给“博爱在京城”品牌赋能。六是持续做好社会救助工作。继续开展“红十字天使计划”“博爱助学”“博爱助老”等品牌救助项目以及“红十字博爱送万家”活动，持续做好年度“两节送温暖”工作，组织开展对口支援工作，全年直接受益对象不低于3万户。继续开展预防艾滋病宣传活动。</w:t>
      </w:r>
    </w:p>
    <w:p w14:paraId="1FB51612">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eastAsia" w:ascii="仿宋_GB2312" w:hAnsi="仿宋_GB2312" w:eastAsia="仿宋_GB2312" w:cs="仿宋_GB2312"/>
          <w:b w:val="0"/>
          <w:bCs w:val="0"/>
          <w:kern w:val="2"/>
          <w:sz w:val="32"/>
          <w:szCs w:val="32"/>
        </w:rPr>
      </w:pPr>
      <w:r>
        <w:rPr>
          <w:rFonts w:hint="eastAsia" w:ascii="仿宋_GB2312" w:hAnsi="仿宋_GB2312" w:eastAsia="仿宋_GB2312" w:cs="仿宋_GB2312"/>
          <w:b w:val="0"/>
          <w:bCs w:val="0"/>
          <w:snapToGrid w:val="0"/>
          <w:sz w:val="32"/>
          <w:szCs w:val="32"/>
        </w:rPr>
        <w:t>（</w:t>
      </w:r>
      <w:r>
        <w:rPr>
          <w:rFonts w:hint="eastAsia" w:ascii="仿宋_GB2312" w:hAnsi="仿宋_GB2312" w:eastAsia="仿宋_GB2312" w:cs="仿宋_GB2312"/>
          <w:b w:val="0"/>
          <w:bCs w:val="0"/>
          <w:snapToGrid w:val="0"/>
          <w:sz w:val="32"/>
          <w:szCs w:val="32"/>
          <w:lang w:val="en-US" w:eastAsia="zh-CN"/>
        </w:rPr>
        <w:t>3</w:t>
      </w:r>
      <w:r>
        <w:rPr>
          <w:rFonts w:hint="eastAsia" w:ascii="仿宋_GB2312" w:hAnsi="仿宋_GB2312" w:eastAsia="仿宋_GB2312" w:cs="仿宋_GB2312"/>
          <w:b w:val="0"/>
          <w:bCs w:val="0"/>
          <w:snapToGrid w:val="0"/>
          <w:sz w:val="32"/>
          <w:szCs w:val="32"/>
        </w:rPr>
        <w:t>）推动基层基础建设提质增效。</w:t>
      </w:r>
      <w:r>
        <w:rPr>
          <w:rFonts w:hint="eastAsia" w:ascii="仿宋_GB2312" w:hAnsi="仿宋_GB2312" w:eastAsia="仿宋_GB2312" w:cs="仿宋_GB2312"/>
          <w:b w:val="0"/>
          <w:bCs w:val="0"/>
          <w:kern w:val="2"/>
          <w:sz w:val="32"/>
          <w:szCs w:val="32"/>
        </w:rPr>
        <w:t>一是加大基层组织建设和会员发展力度。明确职责任务，制定年度发展计划。优化会员发展平台，扩大团体会员的发展规模。做好会费缴纳工作，印发《会员发展手册》和会员发展宣传品。二是建立“博爱在京城 健康基层行活动”长效机制。依据《常态化开展“博爱在京城 人道基层行”活动意见》，落实好工作专班、区会、机关各部门（中心）、基金会职能，有针对性的开展服务活动。三是进一步规范志愿服务队伍服务管理。强化对志愿服务团队及志愿者支持保障力度，支持志愿服务品牌项目支持，为市属救援队争取项目资金支持。</w:t>
      </w:r>
    </w:p>
    <w:p w14:paraId="77CC706A">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napToGrid w:val="0"/>
          <w:kern w:val="0"/>
          <w:sz w:val="32"/>
          <w:szCs w:val="32"/>
        </w:rPr>
        <w:t>（</w:t>
      </w:r>
      <w:r>
        <w:rPr>
          <w:rFonts w:hint="eastAsia" w:ascii="仿宋_GB2312" w:hAnsi="仿宋_GB2312" w:eastAsia="仿宋_GB2312" w:cs="仿宋_GB2312"/>
          <w:b w:val="0"/>
          <w:bCs w:val="0"/>
          <w:snapToGrid w:val="0"/>
          <w:kern w:val="0"/>
          <w:sz w:val="32"/>
          <w:szCs w:val="32"/>
          <w:lang w:val="en-US" w:eastAsia="zh-CN"/>
        </w:rPr>
        <w:t>4</w:t>
      </w:r>
      <w:r>
        <w:rPr>
          <w:rFonts w:hint="eastAsia" w:ascii="仿宋_GB2312" w:hAnsi="仿宋_GB2312" w:eastAsia="仿宋_GB2312" w:cs="仿宋_GB2312"/>
          <w:b w:val="0"/>
          <w:bCs w:val="0"/>
          <w:snapToGrid w:val="0"/>
          <w:kern w:val="0"/>
          <w:sz w:val="32"/>
          <w:szCs w:val="32"/>
        </w:rPr>
        <w:t>）大力提升人道传播工作水平。一是</w:t>
      </w:r>
      <w:r>
        <w:rPr>
          <w:rFonts w:hint="eastAsia" w:ascii="仿宋_GB2312" w:hAnsi="仿宋_GB2312" w:eastAsia="仿宋_GB2312" w:cs="仿宋_GB2312"/>
          <w:b w:val="0"/>
          <w:bCs w:val="0"/>
          <w:sz w:val="32"/>
          <w:szCs w:val="32"/>
        </w:rPr>
        <w:t>强化日常宣传工作。加强稿件审核和统筹策划，运用好新媒体平台，加强对市会官网、微信公众号等平台的业务指导。二是做好重要时间节点宣传策划。在形式内容上有所创新，充分调动各区会和志愿服务团队参与重大活动宣传的积极性。三是加强舆情监测和处置。在制定舆情应对处置预案，加强日常监控和与市委网信办、总会组宣部等部门沟通联系，遇有重大舆情及时处置。研究制定救灾捐赠工作预案，切实发挥支持保障作用。</w:t>
      </w:r>
    </w:p>
    <w:p w14:paraId="405D6B9E">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default" w:ascii="仿宋_GB2312" w:hAnsi="仿宋" w:eastAsia="仿宋_GB2312" w:cs="仿宋"/>
          <w:kern w:val="2"/>
          <w:sz w:val="32"/>
          <w:szCs w:val="32"/>
          <w:highlight w:val="none"/>
          <w:lang w:val="en-US" w:eastAsia="zh-CN"/>
        </w:rPr>
      </w:pPr>
      <w:r>
        <w:rPr>
          <w:rFonts w:hint="eastAsia" w:ascii="仿宋_GB2312" w:hAnsi="仿宋_GB2312" w:eastAsia="仿宋_GB2312" w:cs="仿宋_GB2312"/>
          <w:b w:val="0"/>
          <w:bCs w:val="0"/>
          <w:snapToGrid w:val="0"/>
          <w:kern w:val="0"/>
          <w:sz w:val="32"/>
          <w:szCs w:val="32"/>
        </w:rPr>
        <w:t>（</w:t>
      </w:r>
      <w:r>
        <w:rPr>
          <w:rFonts w:hint="eastAsia" w:ascii="仿宋_GB2312" w:hAnsi="仿宋_GB2312" w:eastAsia="仿宋_GB2312" w:cs="仿宋_GB2312"/>
          <w:b w:val="0"/>
          <w:bCs w:val="0"/>
          <w:snapToGrid w:val="0"/>
          <w:kern w:val="0"/>
          <w:sz w:val="32"/>
          <w:szCs w:val="32"/>
          <w:lang w:val="en-US" w:eastAsia="zh-CN"/>
        </w:rPr>
        <w:t>5</w:t>
      </w:r>
      <w:r>
        <w:rPr>
          <w:rFonts w:hint="eastAsia" w:ascii="仿宋_GB2312" w:hAnsi="仿宋_GB2312" w:eastAsia="仿宋_GB2312" w:cs="仿宋_GB2312"/>
          <w:b w:val="0"/>
          <w:bCs w:val="0"/>
          <w:snapToGrid w:val="0"/>
          <w:kern w:val="0"/>
          <w:sz w:val="32"/>
          <w:szCs w:val="32"/>
        </w:rPr>
        <w:t>）为红十字事业发展强基固本。一是</w:t>
      </w:r>
      <w:r>
        <w:rPr>
          <w:rFonts w:hint="eastAsia" w:ascii="仿宋_GB2312" w:hAnsi="仿宋_GB2312" w:eastAsia="仿宋_GB2312" w:cs="仿宋_GB2312"/>
          <w:b w:val="0"/>
          <w:bCs w:val="0"/>
          <w:sz w:val="32"/>
          <w:szCs w:val="32"/>
        </w:rPr>
        <w:t>加强制度建设和落实。制定和补充完善相关制度，认真落实《北京市红十字会关于进一步加强信息公开工作管理的意见》，对部分试行的制度在健全完善的基础上正式确定并抓好落实。二是做好代表大会筹备工作。做好十届五次理事会的组织和服务保障。在中国红十字会总会、市委市政府和有关部门指导下，做好第十一次会员代表大会前期筹备各项工作。三是加快推动信息化建设工作。制定完善信息化建设管理和应用相关制度，完成密码应用安全方案的制定和报审工作。四是开展深入基层和理论研究。制定2024年调研工作方案，做好重点调研课题的确定和开题后的各项工作，发挥专家咨询组织调查研究和理论建设方面的作用。五是加强安全生产管理。加大安全隐患排查力度，根据实际情况对存在隐患的办公区域进行适当调整，消除安全隐患。</w:t>
      </w:r>
    </w:p>
    <w:p w14:paraId="0AFDD40F">
      <w:pPr>
        <w:keepNext w:val="0"/>
        <w:keepLines w:val="0"/>
        <w:pageBreakBefore w:val="0"/>
        <w:widowControl w:val="0"/>
        <w:kinsoku/>
        <w:wordWrap/>
        <w:overflowPunct/>
        <w:topLinePunct w:val="0"/>
        <w:autoSpaceDE/>
        <w:autoSpaceDN/>
        <w:bidi w:val="0"/>
        <w:adjustRightInd/>
        <w:snapToGrid/>
        <w:spacing w:before="0" w:after="0" w:line="360" w:lineRule="auto"/>
        <w:ind w:firstLine="640" w:firstLineChars="200"/>
        <w:textAlignment w:val="auto"/>
        <w:outlineLvl w:val="1"/>
        <w:rPr>
          <w:rFonts w:ascii="楷体" w:hAnsi="楷体" w:eastAsia="楷体"/>
          <w:b w:val="0"/>
          <w:bCs w:val="0"/>
          <w:sz w:val="32"/>
          <w:szCs w:val="32"/>
          <w:highlight w:val="none"/>
        </w:rPr>
      </w:pPr>
      <w:bookmarkStart w:id="2" w:name="_Toc8894"/>
      <w:r>
        <w:rPr>
          <w:rFonts w:hint="eastAsia" w:ascii="楷体" w:hAnsi="楷体" w:eastAsia="楷体"/>
          <w:b w:val="0"/>
          <w:bCs w:val="0"/>
          <w:sz w:val="32"/>
          <w:szCs w:val="32"/>
          <w:highlight w:val="none"/>
        </w:rPr>
        <w:t>（二）部门整体绩效目标设立情况</w:t>
      </w:r>
      <w:bookmarkEnd w:id="2"/>
    </w:p>
    <w:p w14:paraId="738BDA71">
      <w:pPr>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ascii="仿宋_GB2312" w:hAnsi="仿宋" w:eastAsia="仿宋_GB2312"/>
          <w:bCs/>
          <w:sz w:val="32"/>
          <w:szCs w:val="32"/>
          <w:highlight w:val="none"/>
        </w:rPr>
      </w:pPr>
      <w:r>
        <w:rPr>
          <w:rFonts w:ascii="仿宋_GB2312" w:hAnsi="仿宋" w:eastAsia="仿宋_GB2312"/>
          <w:bCs/>
          <w:sz w:val="32"/>
          <w:szCs w:val="32"/>
          <w:highlight w:val="none"/>
        </w:rPr>
        <w:t>我</w:t>
      </w:r>
      <w:r>
        <w:rPr>
          <w:rFonts w:hint="eastAsia" w:ascii="仿宋_GB2312" w:hAnsi="仿宋" w:eastAsia="仿宋_GB2312"/>
          <w:bCs/>
          <w:sz w:val="32"/>
          <w:szCs w:val="32"/>
          <w:highlight w:val="none"/>
          <w:lang w:val="en-US" w:eastAsia="zh-CN"/>
        </w:rPr>
        <w:t>会</w:t>
      </w:r>
      <w:r>
        <w:rPr>
          <w:rFonts w:hint="eastAsia" w:ascii="仿宋_GB2312" w:hAnsi="仿宋" w:eastAsia="仿宋_GB2312"/>
          <w:bCs/>
          <w:sz w:val="32"/>
          <w:szCs w:val="32"/>
          <w:highlight w:val="none"/>
        </w:rPr>
        <w:t>结合部门职责、202</w:t>
      </w:r>
      <w:r>
        <w:rPr>
          <w:rFonts w:hint="eastAsia" w:ascii="仿宋_GB2312" w:hAnsi="仿宋" w:eastAsia="仿宋_GB2312"/>
          <w:bCs/>
          <w:sz w:val="32"/>
          <w:szCs w:val="32"/>
          <w:highlight w:val="none"/>
          <w:lang w:val="en-US" w:eastAsia="zh-CN"/>
        </w:rPr>
        <w:t>4</w:t>
      </w:r>
      <w:r>
        <w:rPr>
          <w:rFonts w:hint="eastAsia" w:ascii="仿宋_GB2312" w:hAnsi="仿宋" w:eastAsia="仿宋_GB2312"/>
          <w:bCs/>
          <w:sz w:val="32"/>
          <w:szCs w:val="32"/>
          <w:highlight w:val="none"/>
        </w:rPr>
        <w:t>年</w:t>
      </w:r>
      <w:r>
        <w:rPr>
          <w:rFonts w:hint="eastAsia" w:ascii="仿宋_GB2312" w:hAnsi="仿宋" w:eastAsia="仿宋_GB2312"/>
          <w:bCs/>
          <w:sz w:val="32"/>
          <w:szCs w:val="32"/>
          <w:highlight w:val="none"/>
          <w:lang w:eastAsia="zh-CN"/>
        </w:rPr>
        <w:t>重点工作任务</w:t>
      </w:r>
      <w:r>
        <w:rPr>
          <w:rFonts w:hint="eastAsia" w:ascii="仿宋_GB2312" w:hAnsi="仿宋" w:eastAsia="仿宋_GB2312"/>
          <w:bCs/>
          <w:sz w:val="32"/>
          <w:szCs w:val="32"/>
          <w:highlight w:val="none"/>
        </w:rPr>
        <w:t>及财政资金分配使用计划，制定了《北京市</w:t>
      </w:r>
      <w:r>
        <w:rPr>
          <w:rFonts w:hint="eastAsia" w:ascii="仿宋_GB2312" w:hAnsi="仿宋" w:eastAsia="仿宋_GB2312"/>
          <w:bCs/>
          <w:sz w:val="32"/>
          <w:szCs w:val="32"/>
          <w:highlight w:val="none"/>
          <w:lang w:val="en-US" w:eastAsia="zh-CN"/>
        </w:rPr>
        <w:t>红十字</w:t>
      </w:r>
      <w:r>
        <w:rPr>
          <w:rFonts w:hint="eastAsia" w:ascii="仿宋_GB2312" w:hAnsi="仿宋" w:eastAsia="仿宋_GB2312"/>
          <w:bCs/>
          <w:sz w:val="32"/>
          <w:szCs w:val="32"/>
          <w:highlight w:val="none"/>
        </w:rPr>
        <w:t>会202</w:t>
      </w:r>
      <w:r>
        <w:rPr>
          <w:rFonts w:hint="eastAsia" w:ascii="仿宋_GB2312" w:hAnsi="仿宋" w:eastAsia="仿宋_GB2312"/>
          <w:bCs/>
          <w:sz w:val="32"/>
          <w:szCs w:val="32"/>
          <w:highlight w:val="none"/>
          <w:lang w:val="en-US" w:eastAsia="zh-CN"/>
        </w:rPr>
        <w:t>4</w:t>
      </w:r>
      <w:r>
        <w:rPr>
          <w:rFonts w:hint="eastAsia" w:ascii="仿宋_GB2312" w:hAnsi="仿宋" w:eastAsia="仿宋_GB2312"/>
          <w:bCs/>
          <w:sz w:val="32"/>
          <w:szCs w:val="32"/>
          <w:highlight w:val="none"/>
        </w:rPr>
        <w:t>年部门整体支出绩效目标申报表》，明确了部门总体绩效目标：按照党中央、国务院和市委、市政府的战略部署，全面贯彻党的二十大会议精神，落实市委全会精神。紧密衔接中国红十字会的目标任务，发挥党和政府在人道领域联系群众的桥梁和纽带作用，保持和增强红十字组织的政治性、先进性和群众性，建成国内领先、国际一流，具有世界影响力的首都红十字组织。具体目标</w:t>
      </w:r>
      <w:r>
        <w:rPr>
          <w:rFonts w:hint="eastAsia" w:ascii="仿宋_GB2312" w:hAnsi="仿宋" w:eastAsia="仿宋_GB2312"/>
          <w:bCs/>
          <w:sz w:val="32"/>
          <w:szCs w:val="32"/>
          <w:highlight w:val="none"/>
          <w:lang w:val="en-US" w:eastAsia="zh-CN"/>
        </w:rPr>
        <w:t>包括</w:t>
      </w:r>
      <w:r>
        <w:rPr>
          <w:rFonts w:hint="eastAsia" w:ascii="仿宋_GB2312" w:hAnsi="仿宋" w:eastAsia="仿宋_GB2312"/>
          <w:bCs/>
          <w:sz w:val="32"/>
          <w:szCs w:val="32"/>
          <w:highlight w:val="none"/>
        </w:rPr>
        <w:t>：1.深入学习二十大会议精神，切实加强红十字组织自身建设。2.着力推进红十字应急救援体系建设。加大社会应急救护培训力度，确保急救知识普及率和救护人员持证率达到标准。3.着力打造“数字红会”。把信息化建设摆在突出位置，着力建设网上红十字会，实现红十字会数字化转型。4.加强人道救助工作，助力精准帮困。5.夯实基层基础，打造群众身边红十字会。6.发挥红十字组织独特优势，助力“平安北京”、“健康北京”建设。7.扎实推进无偿献血、造血干细胞、遗体捐献宣传动员工作。8.深化青少年和志愿服务工作，提高红十字组织影响力。</w:t>
      </w:r>
    </w:p>
    <w:p w14:paraId="6C868336">
      <w:pPr>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hint="default" w:ascii="仿宋_GB2312" w:hAnsi="仿宋" w:eastAsia="仿宋_GB2312"/>
          <w:sz w:val="32"/>
          <w:szCs w:val="32"/>
          <w:highlight w:val="none"/>
          <w:lang w:val="en-US" w:eastAsia="zh-CN"/>
        </w:rPr>
      </w:pPr>
      <w:r>
        <w:rPr>
          <w:rFonts w:hint="eastAsia" w:ascii="仿宋_GB2312" w:hAnsi="仿宋" w:eastAsia="仿宋_GB2312"/>
          <w:sz w:val="32"/>
          <w:szCs w:val="32"/>
          <w:highlight w:val="none"/>
        </w:rPr>
        <w:t>根据总体目标并结合工作重点，</w:t>
      </w:r>
      <w:r>
        <w:rPr>
          <w:rFonts w:hint="eastAsia" w:ascii="仿宋_GB2312" w:hAnsi="仿宋" w:eastAsia="仿宋_GB2312"/>
          <w:sz w:val="32"/>
          <w:szCs w:val="32"/>
          <w:highlight w:val="none"/>
          <w:lang w:eastAsia="zh-CN"/>
        </w:rPr>
        <w:t>我</w:t>
      </w:r>
      <w:r>
        <w:rPr>
          <w:rFonts w:hint="eastAsia" w:ascii="仿宋_GB2312" w:hAnsi="仿宋" w:eastAsia="仿宋_GB2312"/>
          <w:sz w:val="32"/>
          <w:szCs w:val="32"/>
          <w:highlight w:val="none"/>
          <w:lang w:val="en-US" w:eastAsia="zh-CN"/>
        </w:rPr>
        <w:t>会</w:t>
      </w:r>
      <w:r>
        <w:rPr>
          <w:rFonts w:hint="eastAsia" w:ascii="仿宋_GB2312" w:hAnsi="仿宋" w:eastAsia="仿宋_GB2312"/>
          <w:sz w:val="32"/>
          <w:szCs w:val="32"/>
          <w:highlight w:val="none"/>
        </w:rPr>
        <w:t>从</w:t>
      </w:r>
      <w:r>
        <w:rPr>
          <w:rFonts w:hint="eastAsia" w:ascii="仿宋_GB2312" w:hAnsi="宋体" w:eastAsia="仿宋_GB2312" w:cs="仿宋_GB2312"/>
          <w:kern w:val="44"/>
          <w:sz w:val="32"/>
          <w:szCs w:val="32"/>
          <w:highlight w:val="none"/>
        </w:rPr>
        <w:t>加强应急救援能力建设</w:t>
      </w:r>
      <w:r>
        <w:rPr>
          <w:rFonts w:hint="eastAsia" w:ascii="仿宋_GB2312" w:hAnsi="宋体" w:eastAsia="仿宋_GB2312" w:cs="仿宋_GB2312"/>
          <w:kern w:val="44"/>
          <w:sz w:val="32"/>
          <w:szCs w:val="32"/>
          <w:highlight w:val="none"/>
          <w:lang w:eastAsia="zh-CN"/>
        </w:rPr>
        <w:t>、</w:t>
      </w:r>
      <w:r>
        <w:rPr>
          <w:rFonts w:hint="eastAsia" w:ascii="仿宋_GB2312" w:hAnsi="宋体" w:eastAsia="仿宋_GB2312" w:cs="仿宋_GB2312"/>
          <w:kern w:val="44"/>
          <w:sz w:val="32"/>
          <w:szCs w:val="32"/>
          <w:highlight w:val="none"/>
          <w:lang w:val="en-US" w:eastAsia="zh-CN"/>
        </w:rPr>
        <w:t>提高</w:t>
      </w:r>
      <w:r>
        <w:rPr>
          <w:rFonts w:hint="eastAsia" w:ascii="仿宋_GB2312" w:hAnsi="宋体" w:eastAsia="仿宋_GB2312" w:cs="仿宋_GB2312"/>
          <w:kern w:val="44"/>
          <w:sz w:val="32"/>
          <w:szCs w:val="32"/>
          <w:highlight w:val="none"/>
          <w:lang w:eastAsia="zh-CN"/>
        </w:rPr>
        <w:t>北京市常住人口紧急救护知识和技能普及率、</w:t>
      </w:r>
      <w:r>
        <w:rPr>
          <w:rFonts w:hint="eastAsia" w:ascii="仿宋_GB2312" w:hAnsi="宋体" w:eastAsia="仿宋_GB2312" w:cs="仿宋_GB2312"/>
          <w:kern w:val="44"/>
          <w:sz w:val="32"/>
          <w:szCs w:val="32"/>
          <w:highlight w:val="none"/>
          <w:lang w:val="en-US" w:eastAsia="zh-CN"/>
        </w:rPr>
        <w:t>提高</w:t>
      </w:r>
      <w:r>
        <w:rPr>
          <w:rFonts w:hint="eastAsia" w:ascii="仿宋_GB2312" w:hAnsi="宋体" w:eastAsia="仿宋_GB2312" w:cs="仿宋_GB2312"/>
          <w:kern w:val="44"/>
          <w:sz w:val="32"/>
          <w:szCs w:val="32"/>
          <w:highlight w:val="none"/>
          <w:lang w:eastAsia="zh-CN"/>
        </w:rPr>
        <w:t>公共场所红十字急救箱使用率、</w:t>
      </w:r>
      <w:r>
        <w:rPr>
          <w:rFonts w:hint="eastAsia" w:ascii="仿宋_GB2312" w:hAnsi="宋体" w:eastAsia="仿宋_GB2312" w:cs="仿宋_GB2312"/>
          <w:kern w:val="44"/>
          <w:sz w:val="32"/>
          <w:szCs w:val="32"/>
          <w:highlight w:val="none"/>
        </w:rPr>
        <w:t>推动无偿献血工作</w:t>
      </w:r>
      <w:r>
        <w:rPr>
          <w:rFonts w:hint="eastAsia" w:ascii="仿宋_GB2312" w:hAnsi="宋体" w:eastAsia="仿宋_GB2312" w:cs="仿宋_GB2312"/>
          <w:kern w:val="44"/>
          <w:sz w:val="32"/>
          <w:szCs w:val="32"/>
          <w:highlight w:val="none"/>
          <w:lang w:eastAsia="zh-CN"/>
        </w:rPr>
        <w:t>、数字红会建设提供群众办理业务便捷度</w:t>
      </w:r>
      <w:r>
        <w:rPr>
          <w:rFonts w:hint="eastAsia" w:ascii="仿宋_GB2312" w:hAnsi="仿宋" w:eastAsia="仿宋_GB2312"/>
          <w:sz w:val="32"/>
          <w:szCs w:val="32"/>
          <w:highlight w:val="none"/>
        </w:rPr>
        <w:t>等方面设定了</w:t>
      </w:r>
      <w:r>
        <w:rPr>
          <w:rFonts w:hint="eastAsia" w:ascii="仿宋_GB2312" w:hAnsi="仿宋" w:eastAsia="仿宋_GB2312"/>
          <w:sz w:val="32"/>
          <w:szCs w:val="32"/>
          <w:highlight w:val="none"/>
          <w:lang w:val="en-US" w:eastAsia="zh-CN"/>
        </w:rPr>
        <w:t>10</w:t>
      </w:r>
      <w:r>
        <w:rPr>
          <w:rFonts w:hint="eastAsia" w:ascii="仿宋_GB2312" w:hAnsi="仿宋" w:eastAsia="仿宋_GB2312"/>
          <w:sz w:val="32"/>
          <w:szCs w:val="32"/>
          <w:highlight w:val="none"/>
        </w:rPr>
        <w:t>个绩效指标，</w:t>
      </w:r>
      <w:r>
        <w:rPr>
          <w:rFonts w:hint="eastAsia" w:ascii="仿宋_GB2312" w:hAnsi="仿宋" w:eastAsia="仿宋_GB2312"/>
          <w:sz w:val="32"/>
          <w:szCs w:val="32"/>
          <w:highlight w:val="none"/>
          <w:lang w:val="en-US" w:eastAsia="zh-CN"/>
        </w:rPr>
        <w:t>已设定的各项</w:t>
      </w:r>
      <w:r>
        <w:rPr>
          <w:rFonts w:hint="eastAsia" w:ascii="仿宋_GB2312" w:hAnsi="仿宋" w:eastAsia="仿宋_GB2312"/>
          <w:sz w:val="32"/>
          <w:szCs w:val="32"/>
          <w:highlight w:val="none"/>
        </w:rPr>
        <w:t>指标与</w:t>
      </w:r>
      <w:r>
        <w:rPr>
          <w:rFonts w:hint="eastAsia" w:ascii="仿宋_GB2312" w:hAnsi="仿宋" w:eastAsia="仿宋_GB2312"/>
          <w:sz w:val="32"/>
          <w:szCs w:val="32"/>
          <w:highlight w:val="none"/>
          <w:lang w:val="en-US" w:eastAsia="zh-CN"/>
        </w:rPr>
        <w:t>我会</w:t>
      </w:r>
      <w:r>
        <w:rPr>
          <w:rFonts w:hint="eastAsia" w:ascii="仿宋_GB2312" w:hAnsi="仿宋" w:eastAsia="仿宋_GB2312"/>
          <w:sz w:val="32"/>
          <w:szCs w:val="32"/>
          <w:highlight w:val="none"/>
        </w:rPr>
        <w:t>职能任务</w:t>
      </w:r>
      <w:r>
        <w:rPr>
          <w:rFonts w:hint="eastAsia" w:ascii="仿宋_GB2312" w:hAnsi="仿宋" w:eastAsia="仿宋_GB2312"/>
          <w:sz w:val="32"/>
          <w:szCs w:val="32"/>
          <w:highlight w:val="none"/>
          <w:lang w:val="en-US" w:eastAsia="zh-CN"/>
        </w:rPr>
        <w:t>相</w:t>
      </w:r>
      <w:r>
        <w:rPr>
          <w:rFonts w:hint="eastAsia" w:ascii="仿宋_GB2312" w:hAnsi="仿宋" w:eastAsia="仿宋_GB2312"/>
          <w:sz w:val="32"/>
          <w:szCs w:val="32"/>
          <w:highlight w:val="none"/>
        </w:rPr>
        <w:t>匹配，符合相关法律法规的要求及部门整体支出的客观实际</w:t>
      </w:r>
      <w:r>
        <w:rPr>
          <w:rFonts w:hint="eastAsia" w:ascii="仿宋_GB2312" w:hAnsi="仿宋" w:eastAsia="仿宋_GB2312"/>
          <w:sz w:val="32"/>
          <w:szCs w:val="32"/>
          <w:highlight w:val="none"/>
          <w:lang w:eastAsia="zh-CN"/>
        </w:rPr>
        <w:t>。</w:t>
      </w:r>
    </w:p>
    <w:p w14:paraId="0E2EB570">
      <w:pPr>
        <w:keepNext w:val="0"/>
        <w:keepLines w:val="0"/>
        <w:pageBreakBefore w:val="0"/>
        <w:widowControl w:val="0"/>
        <w:kinsoku/>
        <w:wordWrap/>
        <w:overflowPunct/>
        <w:topLinePunct w:val="0"/>
        <w:autoSpaceDE/>
        <w:autoSpaceDN/>
        <w:bidi w:val="0"/>
        <w:adjustRightInd/>
        <w:snapToGrid/>
        <w:spacing w:before="0" w:after="0" w:line="360" w:lineRule="auto"/>
        <w:ind w:firstLine="640" w:firstLineChars="200"/>
        <w:textAlignment w:val="auto"/>
        <w:outlineLvl w:val="0"/>
        <w:rPr>
          <w:rFonts w:ascii="黑体" w:hAnsi="黑体" w:eastAsia="黑体"/>
          <w:b w:val="0"/>
          <w:bCs w:val="0"/>
          <w:sz w:val="32"/>
          <w:szCs w:val="32"/>
          <w:highlight w:val="none"/>
        </w:rPr>
      </w:pPr>
      <w:bookmarkStart w:id="3" w:name="_Toc12723"/>
      <w:r>
        <w:rPr>
          <w:rFonts w:hint="eastAsia" w:ascii="黑体" w:hAnsi="黑体" w:eastAsia="黑体" w:cs="Times New Roman"/>
          <w:b w:val="0"/>
          <w:bCs w:val="0"/>
          <w:sz w:val="32"/>
          <w:szCs w:val="32"/>
          <w:highlight w:val="none"/>
        </w:rPr>
        <w:t>二、当年预算执行情况</w:t>
      </w:r>
      <w:bookmarkEnd w:id="3"/>
    </w:p>
    <w:p w14:paraId="157C7237">
      <w:pPr>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仿宋_GB2312" w:eastAsia="仿宋_GB2312"/>
          <w:sz w:val="32"/>
          <w:szCs w:val="32"/>
          <w:highlight w:val="none"/>
        </w:rPr>
      </w:pP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年全年预算</w:t>
      </w:r>
      <w:r>
        <w:rPr>
          <w:rFonts w:hint="eastAsia" w:ascii="仿宋_GB2312" w:eastAsia="仿宋_GB2312"/>
          <w:sz w:val="32"/>
          <w:szCs w:val="32"/>
          <w:highlight w:val="none"/>
          <w:lang w:val="en-US" w:eastAsia="zh-CN"/>
        </w:rPr>
        <w:t>数</w:t>
      </w:r>
      <w:r>
        <w:rPr>
          <w:rFonts w:hint="eastAsia" w:ascii="仿宋_GB2312" w:hAnsi="仿宋" w:eastAsia="仿宋_GB2312"/>
          <w:sz w:val="32"/>
          <w:szCs w:val="32"/>
          <w:highlight w:val="none"/>
          <w:lang w:val="en-US" w:eastAsia="zh-CN"/>
        </w:rPr>
        <w:t>27,903.22</w:t>
      </w:r>
      <w:r>
        <w:rPr>
          <w:rFonts w:hint="eastAsia" w:ascii="仿宋_GB2312" w:eastAsia="仿宋_GB2312"/>
          <w:sz w:val="32"/>
          <w:szCs w:val="32"/>
          <w:highlight w:val="none"/>
        </w:rPr>
        <w:t>万元，其中，基本</w:t>
      </w:r>
      <w:r>
        <w:rPr>
          <w:rFonts w:hint="eastAsia" w:ascii="仿宋_GB2312" w:eastAsia="仿宋_GB2312"/>
          <w:sz w:val="32"/>
          <w:szCs w:val="32"/>
          <w:highlight w:val="none"/>
          <w:lang w:val="en-US" w:eastAsia="zh-CN"/>
        </w:rPr>
        <w:t>支出预算数4,993.55</w:t>
      </w:r>
      <w:r>
        <w:rPr>
          <w:rFonts w:hint="eastAsia" w:ascii="仿宋_GB2312" w:eastAsia="仿宋_GB2312"/>
          <w:sz w:val="32"/>
          <w:szCs w:val="32"/>
          <w:highlight w:val="none"/>
        </w:rPr>
        <w:t>万元，项目</w:t>
      </w:r>
      <w:r>
        <w:rPr>
          <w:rFonts w:hint="eastAsia" w:ascii="仿宋_GB2312" w:eastAsia="仿宋_GB2312"/>
          <w:sz w:val="32"/>
          <w:szCs w:val="32"/>
          <w:highlight w:val="none"/>
          <w:lang w:val="en-US" w:eastAsia="zh-CN"/>
        </w:rPr>
        <w:t>支出预算数</w:t>
      </w:r>
      <w:r>
        <w:rPr>
          <w:rFonts w:hint="eastAsia" w:ascii="仿宋_GB2312" w:hAnsi="仿宋" w:eastAsia="仿宋_GB2312"/>
          <w:sz w:val="32"/>
          <w:szCs w:val="32"/>
          <w:highlight w:val="none"/>
          <w:lang w:val="en-US" w:eastAsia="zh-CN"/>
        </w:rPr>
        <w:t>22,909.67</w:t>
      </w:r>
      <w:r>
        <w:rPr>
          <w:rFonts w:hint="eastAsia" w:ascii="仿宋_GB2312" w:eastAsia="仿宋_GB2312"/>
          <w:sz w:val="32"/>
          <w:szCs w:val="32"/>
          <w:highlight w:val="none"/>
        </w:rPr>
        <w:t>万元。资金总体支出</w:t>
      </w:r>
      <w:r>
        <w:rPr>
          <w:rFonts w:hint="eastAsia" w:ascii="仿宋_GB2312" w:hAnsi="仿宋" w:eastAsia="仿宋_GB2312"/>
          <w:sz w:val="32"/>
          <w:szCs w:val="32"/>
          <w:highlight w:val="none"/>
        </w:rPr>
        <w:t>26</w:t>
      </w:r>
      <w:r>
        <w:rPr>
          <w:rFonts w:hint="eastAsia" w:ascii="仿宋_GB2312" w:hAnsi="仿宋" w:eastAsia="仿宋_GB2312"/>
          <w:sz w:val="32"/>
          <w:szCs w:val="32"/>
          <w:highlight w:val="none"/>
          <w:lang w:val="en-US" w:eastAsia="zh-CN"/>
        </w:rPr>
        <w:t>,</w:t>
      </w:r>
      <w:r>
        <w:rPr>
          <w:rFonts w:hint="eastAsia" w:ascii="仿宋_GB2312" w:hAnsi="仿宋" w:eastAsia="仿宋_GB2312"/>
          <w:sz w:val="32"/>
          <w:szCs w:val="32"/>
          <w:highlight w:val="none"/>
        </w:rPr>
        <w:t>469.72</w:t>
      </w:r>
      <w:r>
        <w:rPr>
          <w:rFonts w:hint="eastAsia" w:ascii="仿宋_GB2312" w:eastAsia="仿宋_GB2312"/>
          <w:sz w:val="32"/>
          <w:szCs w:val="32"/>
          <w:highlight w:val="none"/>
        </w:rPr>
        <w:t>万元，其中，基本支出</w:t>
      </w:r>
      <w:r>
        <w:rPr>
          <w:rFonts w:hint="eastAsia" w:ascii="仿宋_GB2312" w:hAnsi="仿宋" w:eastAsia="仿宋_GB2312"/>
          <w:sz w:val="32"/>
          <w:szCs w:val="32"/>
          <w:highlight w:val="none"/>
        </w:rPr>
        <w:t>4</w:t>
      </w:r>
      <w:r>
        <w:rPr>
          <w:rFonts w:hint="eastAsia" w:ascii="仿宋_GB2312" w:hAnsi="仿宋" w:eastAsia="仿宋_GB2312"/>
          <w:sz w:val="32"/>
          <w:szCs w:val="32"/>
          <w:highlight w:val="none"/>
          <w:lang w:val="en-US" w:eastAsia="zh-CN"/>
        </w:rPr>
        <w:t>,</w:t>
      </w:r>
      <w:r>
        <w:rPr>
          <w:rFonts w:hint="eastAsia" w:ascii="仿宋_GB2312" w:hAnsi="仿宋" w:eastAsia="仿宋_GB2312"/>
          <w:sz w:val="32"/>
          <w:szCs w:val="32"/>
          <w:highlight w:val="none"/>
        </w:rPr>
        <w:t>855.08</w:t>
      </w:r>
      <w:r>
        <w:rPr>
          <w:rFonts w:hint="eastAsia" w:ascii="仿宋_GB2312" w:eastAsia="仿宋_GB2312"/>
          <w:sz w:val="32"/>
          <w:szCs w:val="32"/>
          <w:highlight w:val="none"/>
          <w:lang w:val="en-US" w:eastAsia="zh-CN"/>
        </w:rPr>
        <w:t>万元</w:t>
      </w:r>
      <w:r>
        <w:rPr>
          <w:rFonts w:hint="eastAsia" w:ascii="仿宋_GB2312" w:eastAsia="仿宋_GB2312"/>
          <w:sz w:val="32"/>
          <w:szCs w:val="32"/>
          <w:highlight w:val="none"/>
        </w:rPr>
        <w:t>，项目支出</w:t>
      </w:r>
      <w:r>
        <w:rPr>
          <w:rFonts w:hint="eastAsia" w:ascii="仿宋_GB2312" w:hAnsi="仿宋" w:eastAsia="仿宋_GB2312"/>
          <w:sz w:val="32"/>
          <w:szCs w:val="32"/>
          <w:highlight w:val="none"/>
        </w:rPr>
        <w:t>21</w:t>
      </w:r>
      <w:r>
        <w:rPr>
          <w:rFonts w:hint="eastAsia" w:ascii="仿宋_GB2312" w:hAnsi="仿宋" w:eastAsia="仿宋_GB2312"/>
          <w:sz w:val="32"/>
          <w:szCs w:val="32"/>
          <w:highlight w:val="none"/>
          <w:lang w:val="en-US" w:eastAsia="zh-CN"/>
        </w:rPr>
        <w:t>,</w:t>
      </w:r>
      <w:r>
        <w:rPr>
          <w:rFonts w:hint="eastAsia" w:ascii="仿宋_GB2312" w:hAnsi="仿宋" w:eastAsia="仿宋_GB2312"/>
          <w:sz w:val="32"/>
          <w:szCs w:val="32"/>
          <w:highlight w:val="none"/>
        </w:rPr>
        <w:t>614.64</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预算执行率为</w:t>
      </w:r>
      <w:r>
        <w:rPr>
          <w:rFonts w:hint="eastAsia" w:ascii="仿宋_GB2312" w:eastAsia="仿宋_GB2312"/>
          <w:sz w:val="32"/>
          <w:szCs w:val="32"/>
          <w:highlight w:val="none"/>
          <w:lang w:val="en-US" w:eastAsia="zh-CN"/>
        </w:rPr>
        <w:t>94.86</w:t>
      </w:r>
      <w:r>
        <w:rPr>
          <w:rFonts w:hint="eastAsia" w:ascii="仿宋_GB2312" w:eastAsia="仿宋_GB2312"/>
          <w:sz w:val="32"/>
          <w:szCs w:val="32"/>
          <w:highlight w:val="none"/>
        </w:rPr>
        <w:t>%。</w:t>
      </w:r>
    </w:p>
    <w:p w14:paraId="5FB2B22E">
      <w:pPr>
        <w:keepNext w:val="0"/>
        <w:keepLines w:val="0"/>
        <w:pageBreakBefore w:val="0"/>
        <w:widowControl w:val="0"/>
        <w:tabs>
          <w:tab w:val="left" w:pos="5746"/>
        </w:tabs>
        <w:kinsoku/>
        <w:wordWrap/>
        <w:overflowPunct/>
        <w:topLinePunct w:val="0"/>
        <w:autoSpaceDE/>
        <w:autoSpaceDN/>
        <w:bidi w:val="0"/>
        <w:adjustRightInd/>
        <w:snapToGrid/>
        <w:spacing w:before="0" w:after="0" w:line="360" w:lineRule="auto"/>
        <w:ind w:firstLine="640" w:firstLineChars="200"/>
        <w:textAlignment w:val="auto"/>
        <w:outlineLvl w:val="0"/>
        <w:rPr>
          <w:rFonts w:ascii="黑体" w:hAnsi="黑体" w:eastAsia="黑体"/>
          <w:b w:val="0"/>
          <w:bCs w:val="0"/>
          <w:sz w:val="32"/>
          <w:szCs w:val="32"/>
          <w:highlight w:val="none"/>
        </w:rPr>
      </w:pPr>
      <w:bookmarkStart w:id="4" w:name="_Toc20905"/>
      <w:r>
        <w:rPr>
          <w:rFonts w:hint="eastAsia" w:ascii="黑体" w:hAnsi="黑体" w:eastAsia="黑体" w:cs="Times New Roman"/>
          <w:b w:val="0"/>
          <w:bCs w:val="0"/>
          <w:sz w:val="32"/>
          <w:szCs w:val="32"/>
          <w:highlight w:val="none"/>
        </w:rPr>
        <w:t>三、整体绩效目标实现情况</w:t>
      </w:r>
      <w:bookmarkEnd w:id="4"/>
      <w:r>
        <w:rPr>
          <w:rFonts w:ascii="黑体" w:hAnsi="黑体" w:eastAsia="黑体"/>
          <w:b w:val="0"/>
          <w:bCs w:val="0"/>
          <w:sz w:val="32"/>
          <w:szCs w:val="32"/>
          <w:highlight w:val="none"/>
        </w:rPr>
        <w:tab/>
      </w:r>
    </w:p>
    <w:p w14:paraId="67FCA2AD">
      <w:pPr>
        <w:keepNext w:val="0"/>
        <w:keepLines w:val="0"/>
        <w:pageBreakBefore w:val="0"/>
        <w:widowControl w:val="0"/>
        <w:kinsoku/>
        <w:wordWrap/>
        <w:overflowPunct/>
        <w:topLinePunct w:val="0"/>
        <w:autoSpaceDE/>
        <w:autoSpaceDN/>
        <w:bidi w:val="0"/>
        <w:adjustRightInd/>
        <w:snapToGrid/>
        <w:spacing w:before="0" w:after="0" w:line="360" w:lineRule="auto"/>
        <w:ind w:firstLine="640" w:firstLineChars="200"/>
        <w:textAlignment w:val="auto"/>
        <w:outlineLvl w:val="1"/>
        <w:rPr>
          <w:rFonts w:hint="eastAsia" w:ascii="楷体" w:hAnsi="楷体" w:eastAsia="楷体"/>
          <w:b w:val="0"/>
          <w:bCs w:val="0"/>
          <w:sz w:val="32"/>
          <w:szCs w:val="32"/>
          <w:highlight w:val="none"/>
        </w:rPr>
      </w:pPr>
      <w:bookmarkStart w:id="5" w:name="_Toc8050"/>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年我</w:t>
      </w:r>
      <w:r>
        <w:rPr>
          <w:rFonts w:hint="eastAsia" w:ascii="仿宋_GB2312" w:eastAsia="仿宋_GB2312"/>
          <w:sz w:val="32"/>
          <w:szCs w:val="32"/>
          <w:highlight w:val="none"/>
          <w:lang w:val="en-US" w:eastAsia="zh-CN"/>
        </w:rPr>
        <w:t>会在市委、市政府的坚强领导和中国红十字会总会的指导下，紧紧围绕市委市政府决策部署，聚焦主责主业，发挥红十字会独特作用，各项工作稳步推进</w:t>
      </w:r>
      <w:r>
        <w:rPr>
          <w:rFonts w:hint="eastAsia" w:ascii="仿宋_GB2312" w:eastAsia="仿宋_GB2312"/>
          <w:sz w:val="32"/>
          <w:szCs w:val="32"/>
          <w:highlight w:val="none"/>
          <w:lang w:eastAsia="zh-CN"/>
        </w:rPr>
        <w:t>，</w:t>
      </w:r>
      <w:r>
        <w:rPr>
          <w:rFonts w:hint="eastAsia" w:ascii="仿宋_GB2312" w:eastAsia="仿宋_GB2312"/>
          <w:sz w:val="32"/>
          <w:szCs w:val="32"/>
          <w:lang w:val="en-US" w:eastAsia="zh-CN"/>
        </w:rPr>
        <w:t>并于2025年4-5月按照《北京市财政局关于开展</w:t>
      </w:r>
      <w:r>
        <w:rPr>
          <w:rFonts w:hint="eastAsia" w:ascii="仿宋_GB2312" w:eastAsia="仿宋_GB2312"/>
          <w:sz w:val="32"/>
          <w:szCs w:val="32"/>
          <w:highlight w:val="none"/>
          <w:lang w:val="en-US" w:eastAsia="zh-CN"/>
        </w:rPr>
        <w:t>2025年</w:t>
      </w:r>
      <w:r>
        <w:rPr>
          <w:rFonts w:hint="eastAsia" w:ascii="仿宋_GB2312" w:eastAsia="仿宋_GB2312"/>
          <w:sz w:val="32"/>
          <w:szCs w:val="32"/>
          <w:lang w:val="en-US" w:eastAsia="zh-CN"/>
        </w:rPr>
        <w:t>预算绩效管理相关工作</w:t>
      </w:r>
      <w:r>
        <w:rPr>
          <w:rFonts w:hint="eastAsia" w:ascii="仿宋_GB2312" w:eastAsia="仿宋_GB2312"/>
          <w:sz w:val="32"/>
          <w:szCs w:val="32"/>
          <w:highlight w:val="none"/>
          <w:lang w:val="en-US" w:eastAsia="zh-CN"/>
        </w:rPr>
        <w:t>的函》要求</w:t>
      </w:r>
      <w:r>
        <w:rPr>
          <w:rFonts w:hint="eastAsia" w:ascii="仿宋_GB2312" w:eastAsia="仿宋_GB2312"/>
          <w:sz w:val="32"/>
          <w:szCs w:val="32"/>
          <w:highlight w:val="none"/>
          <w:lang w:eastAsia="zh-CN"/>
        </w:rPr>
        <w:t>对202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lang w:eastAsia="zh-CN"/>
        </w:rPr>
        <w:t>年度部门项目支出实施绩效</w:t>
      </w:r>
      <w:r>
        <w:rPr>
          <w:rFonts w:hint="eastAsia" w:ascii="仿宋_GB2312" w:eastAsia="仿宋_GB2312"/>
          <w:sz w:val="32"/>
          <w:szCs w:val="32"/>
          <w:highlight w:val="none"/>
          <w:lang w:val="en-US" w:eastAsia="zh-CN"/>
        </w:rPr>
        <w:t>自评，评价项目47个，占部门项目总数的100%，涉及</w:t>
      </w:r>
      <w:r>
        <w:rPr>
          <w:rFonts w:hint="eastAsia" w:ascii="仿宋_GB2312" w:eastAsia="仿宋_GB2312"/>
          <w:color w:val="auto"/>
          <w:sz w:val="32"/>
          <w:szCs w:val="32"/>
          <w:highlight w:val="none"/>
          <w:lang w:val="en-US" w:eastAsia="zh-CN"/>
        </w:rPr>
        <w:t>金额22,909.67万</w:t>
      </w:r>
      <w:r>
        <w:rPr>
          <w:rFonts w:hint="eastAsia" w:ascii="仿宋_GB2312" w:eastAsia="仿宋_GB2312"/>
          <w:sz w:val="32"/>
          <w:szCs w:val="32"/>
          <w:highlight w:val="none"/>
          <w:lang w:val="en-US" w:eastAsia="zh-CN"/>
        </w:rPr>
        <w:t>元。其中，部门评价项目1个，涉及金额37.99万元，评价得分为82.37分。单位自评项目47个，评价得分在90（含）-100分的38个、评价得分在80（含）-90分的4个、评价得分在60（含）-80分的4个、评价得分在60分以下的1个。</w:t>
      </w:r>
    </w:p>
    <w:p w14:paraId="66F00F16">
      <w:pPr>
        <w:keepNext w:val="0"/>
        <w:keepLines w:val="0"/>
        <w:pageBreakBefore w:val="0"/>
        <w:widowControl w:val="0"/>
        <w:kinsoku/>
        <w:wordWrap/>
        <w:overflowPunct/>
        <w:topLinePunct w:val="0"/>
        <w:autoSpaceDE/>
        <w:autoSpaceDN/>
        <w:bidi w:val="0"/>
        <w:adjustRightInd/>
        <w:snapToGrid/>
        <w:spacing w:before="0" w:after="0" w:line="360" w:lineRule="auto"/>
        <w:ind w:firstLine="640" w:firstLineChars="200"/>
        <w:textAlignment w:val="auto"/>
        <w:outlineLvl w:val="1"/>
        <w:rPr>
          <w:rFonts w:ascii="楷体" w:hAnsi="楷体" w:eastAsia="楷体"/>
          <w:b w:val="0"/>
          <w:bCs w:val="0"/>
          <w:sz w:val="32"/>
          <w:szCs w:val="32"/>
          <w:highlight w:val="none"/>
        </w:rPr>
      </w:pPr>
      <w:r>
        <w:rPr>
          <w:rFonts w:hint="eastAsia" w:ascii="楷体" w:hAnsi="楷体" w:eastAsia="楷体"/>
          <w:b w:val="0"/>
          <w:bCs w:val="0"/>
          <w:sz w:val="32"/>
          <w:szCs w:val="32"/>
          <w:highlight w:val="none"/>
        </w:rPr>
        <w:t>（一）产出完成情况分析</w:t>
      </w:r>
      <w:bookmarkEnd w:id="5"/>
    </w:p>
    <w:p w14:paraId="3D612F05">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ascii="仿宋_GB2312" w:eastAsia="仿宋_GB2312"/>
          <w:sz w:val="32"/>
          <w:szCs w:val="32"/>
          <w:highlight w:val="none"/>
        </w:rPr>
      </w:pPr>
      <w:r>
        <w:rPr>
          <w:rFonts w:hint="eastAsia" w:ascii="仿宋_GB2312" w:eastAsia="仿宋_GB2312"/>
          <w:sz w:val="32"/>
          <w:szCs w:val="32"/>
          <w:lang w:val="en-US" w:eastAsia="zh-CN"/>
        </w:rPr>
        <w:t>2024年</w:t>
      </w:r>
      <w:r>
        <w:rPr>
          <w:rFonts w:hint="eastAsia" w:ascii="仿宋_GB2312" w:eastAsia="仿宋_GB2312"/>
          <w:sz w:val="32"/>
          <w:szCs w:val="32"/>
          <w:lang w:eastAsia="zh-CN"/>
        </w:rPr>
        <w:t>，</w:t>
      </w:r>
      <w:r>
        <w:rPr>
          <w:rFonts w:hint="eastAsia" w:ascii="仿宋_GB2312" w:eastAsia="仿宋_GB2312"/>
          <w:sz w:val="32"/>
          <w:szCs w:val="32"/>
          <w:lang w:val="en-US" w:eastAsia="zh-CN"/>
        </w:rPr>
        <w:t>我会</w:t>
      </w:r>
      <w:r>
        <w:rPr>
          <w:rFonts w:hint="eastAsia" w:ascii="仿宋_GB2312" w:eastAsia="仿宋_GB2312"/>
          <w:sz w:val="32"/>
          <w:szCs w:val="32"/>
          <w:highlight w:val="none"/>
          <w:lang w:val="en-US" w:eastAsia="zh-CN"/>
        </w:rPr>
        <w:t>基本</w:t>
      </w:r>
      <w:r>
        <w:rPr>
          <w:rFonts w:hint="eastAsia" w:ascii="仿宋_GB2312" w:eastAsia="仿宋_GB2312"/>
          <w:sz w:val="32"/>
          <w:szCs w:val="32"/>
          <w:highlight w:val="none"/>
        </w:rPr>
        <w:t>按照任务目标</w:t>
      </w:r>
      <w:r>
        <w:rPr>
          <w:rFonts w:hint="eastAsia" w:ascii="仿宋_GB2312" w:eastAsia="仿宋_GB2312"/>
          <w:sz w:val="32"/>
          <w:szCs w:val="32"/>
          <w:highlight w:val="none"/>
          <w:lang w:eastAsia="zh-CN"/>
        </w:rPr>
        <w:t>要求</w:t>
      </w:r>
      <w:r>
        <w:rPr>
          <w:rFonts w:hint="eastAsia" w:ascii="仿宋_GB2312" w:eastAsia="仿宋_GB2312"/>
          <w:sz w:val="32"/>
          <w:szCs w:val="32"/>
          <w:highlight w:val="none"/>
        </w:rPr>
        <w:t>完成了各项工作</w:t>
      </w:r>
      <w:r>
        <w:rPr>
          <w:rFonts w:hint="eastAsia" w:ascii="仿宋_GB2312" w:eastAsia="仿宋_GB2312"/>
          <w:sz w:val="32"/>
          <w:szCs w:val="32"/>
          <w:lang w:eastAsia="zh-CN"/>
        </w:rPr>
        <w:t>，</w:t>
      </w:r>
      <w:r>
        <w:rPr>
          <w:rFonts w:hint="eastAsia" w:ascii="仿宋_GB2312" w:eastAsia="仿宋_GB2312"/>
          <w:sz w:val="32"/>
          <w:szCs w:val="32"/>
          <w:highlight w:val="none"/>
          <w:lang w:eastAsia="zh-CN"/>
        </w:rPr>
        <w:t>具体情况</w:t>
      </w:r>
      <w:r>
        <w:rPr>
          <w:rFonts w:hint="eastAsia" w:ascii="仿宋_GB2312" w:eastAsia="仿宋_GB2312"/>
          <w:sz w:val="32"/>
          <w:szCs w:val="32"/>
          <w:highlight w:val="none"/>
        </w:rPr>
        <w:t>如下：</w:t>
      </w:r>
    </w:p>
    <w:p w14:paraId="2406CD3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_GB2312" w:hAnsi="仿宋" w:eastAsia="仿宋_GB2312"/>
          <w:sz w:val="32"/>
          <w:szCs w:val="32"/>
        </w:rPr>
      </w:pPr>
      <w:r>
        <w:rPr>
          <w:rFonts w:hint="eastAsia" w:ascii="仿宋_GB2312" w:hAnsi="仿宋_GB2312" w:eastAsia="仿宋_GB2312" w:cs="仿宋_GB2312"/>
          <w:kern w:val="2"/>
          <w:sz w:val="32"/>
          <w:szCs w:val="32"/>
          <w:lang w:val="en-US" w:eastAsia="zh-CN" w:bidi="ar-SA"/>
        </w:rPr>
        <w:t>1.</w:t>
      </w:r>
      <w:r>
        <w:rPr>
          <w:rFonts w:hint="eastAsia" w:ascii="仿宋_GB2312" w:hAnsi="仿宋" w:eastAsia="仿宋_GB2312"/>
          <w:sz w:val="32"/>
          <w:szCs w:val="32"/>
        </w:rPr>
        <w:t>坚持聚焦主责主业，努力推动首都红十字事业高质量发展</w:t>
      </w:r>
    </w:p>
    <w:p w14:paraId="3FFCED98">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_GB2312" w:eastAsia="仿宋_GB2312"/>
          <w:sz w:val="32"/>
          <w:szCs w:val="32"/>
          <w:highlight w:val="none"/>
          <w:lang w:val="en-US" w:eastAsia="zh-CN"/>
        </w:rPr>
      </w:pP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1</w:t>
      </w:r>
      <w:r>
        <w:rPr>
          <w:rFonts w:hint="eastAsia" w:ascii="仿宋_GB2312" w:hAnsi="仿宋" w:eastAsia="仿宋_GB2312"/>
          <w:sz w:val="32"/>
          <w:szCs w:val="32"/>
          <w:lang w:eastAsia="zh-CN"/>
        </w:rPr>
        <w:t>）</w:t>
      </w:r>
      <w:r>
        <w:rPr>
          <w:rFonts w:hint="eastAsia" w:ascii="仿宋_GB2312" w:hAnsi="仿宋" w:eastAsia="仿宋_GB2312"/>
          <w:sz w:val="32"/>
          <w:szCs w:val="32"/>
        </w:rPr>
        <w:t>在应急救援方面，</w:t>
      </w:r>
      <w:r>
        <w:rPr>
          <w:rFonts w:hint="eastAsia" w:ascii="仿宋_GB2312" w:eastAsia="仿宋_GB2312" w:cs="Times New Roman"/>
          <w:color w:val="000000"/>
          <w:sz w:val="32"/>
          <w:szCs w:val="32"/>
        </w:rPr>
        <w:t>积极拓展红十字救援队伍，全市红十字救援队伍总数27支，实现了16区全覆盖。扎实推进</w:t>
      </w:r>
      <w:r>
        <w:rPr>
          <w:rFonts w:hint="eastAsia" w:ascii="仿宋_GB2312" w:eastAsia="仿宋_GB2312"/>
          <w:color w:val="000000"/>
          <w:sz w:val="32"/>
          <w:szCs w:val="32"/>
        </w:rPr>
        <w:t>红十</w:t>
      </w:r>
      <w:r>
        <w:rPr>
          <w:rFonts w:hint="eastAsia" w:ascii="仿宋_GB2312" w:eastAsia="仿宋_GB2312" w:cs="Times New Roman"/>
          <w:color w:val="000000"/>
          <w:sz w:val="32"/>
          <w:szCs w:val="32"/>
        </w:rPr>
        <w:t>字救援演练，积极组织和参与中部协作区应急救援演练、京津冀协同救援演练。承办了第一届全国红十字救援队伍大比武救护转运救援分项比武活动，组织举办了2024年京津冀红十字赈济救援培训演练活动。认真落实总会物资储备库建设要求，完善储备库管理工作制度和流程，及时充实救灾物资储备，物资储备库备灾救灾保障能力进一步提升。</w:t>
      </w:r>
    </w:p>
    <w:p w14:paraId="2E5D6069">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eastAsia="仿宋_GB2312"/>
          <w:sz w:val="32"/>
          <w:szCs w:val="32"/>
          <w:highlight w:val="none"/>
          <w:lang w:val="en-US" w:eastAsia="zh-CN"/>
        </w:rPr>
        <w:t>（2）在应急救护方面，</w:t>
      </w:r>
      <w:r>
        <w:rPr>
          <w:rFonts w:hint="eastAsia" w:ascii="仿宋_GB2312" w:eastAsia="仿宋_GB2312"/>
          <w:color w:val="000000"/>
          <w:kern w:val="2"/>
          <w:sz w:val="32"/>
          <w:szCs w:val="32"/>
        </w:rPr>
        <w:t>扎实做好应急救护知识宣传普及，围绕“生命教育、救在身边”主题，面向首都群众开展防灾减灾宣传，普及各类避险逃生和自救互救知识。扎实做好应急救护技能培训，深入开展应急救护培训“七进”，进行心肺复苏和AED使用等急救知识技能培训，不断扩大应急救护培训社会覆盖面。截至11月10日，累计完成取证培训14.5万余人次。进一步加强应急救护基地建设，</w:t>
      </w:r>
      <w:r>
        <w:rPr>
          <w:rFonts w:hint="eastAsia" w:ascii="仿宋_GB2312" w:hAnsi="仿宋_GB2312" w:eastAsia="仿宋_GB2312" w:cs="仿宋_GB2312"/>
          <w:sz w:val="32"/>
          <w:szCs w:val="32"/>
        </w:rPr>
        <w:t>对现有基地进行清理整治，修订完善《基地管理办法》并严格落实，基地效能作用得到更好发挥。扎实推进医疗照护转运服务工作，结合市会救援服务中心搬迁新址实际，对原有指挥调度平台进行升级完善，合理布设站点并新建服务站点2个，不断创新服务方式方法，医疗照护转运服务质量水平不断提升。</w:t>
      </w:r>
    </w:p>
    <w:p w14:paraId="09C6203F">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在人道救助方面，积</w:t>
      </w:r>
      <w:r>
        <w:rPr>
          <w:rFonts w:hint="eastAsia" w:ascii="仿宋_GB2312" w:eastAsia="仿宋_GB2312" w:cs="Times New Roman"/>
          <w:sz w:val="32"/>
          <w:szCs w:val="32"/>
        </w:rPr>
        <w:t>极开展公益筹资，持续开展“博爱在京城”募捐救助系列活动，努力汇聚社会各方人道资源。在今年</w:t>
      </w:r>
      <w:r>
        <w:rPr>
          <w:rFonts w:hint="eastAsia" w:ascii="仿宋_GB2312" w:eastAsia="仿宋_GB2312" w:cs="Times New Roman"/>
          <w:sz w:val="32"/>
          <w:szCs w:val="32"/>
          <w:lang w:val="zh-CN"/>
        </w:rPr>
        <w:t>“</w:t>
      </w:r>
      <w:r>
        <w:rPr>
          <w:rFonts w:hint="eastAsia" w:ascii="仿宋_GB2312" w:eastAsia="仿宋_GB2312" w:cs="Times New Roman"/>
          <w:sz w:val="32"/>
          <w:szCs w:val="32"/>
        </w:rPr>
        <w:t>5·8人道公益日</w:t>
      </w:r>
      <w:r>
        <w:rPr>
          <w:rFonts w:hint="eastAsia" w:ascii="仿宋_GB2312" w:eastAsia="仿宋_GB2312" w:cs="Times New Roman"/>
          <w:sz w:val="32"/>
          <w:szCs w:val="32"/>
          <w:lang w:val="zh-CN"/>
        </w:rPr>
        <w:t>”网络筹资活动中，共募集善款</w:t>
      </w:r>
      <w:r>
        <w:rPr>
          <w:rFonts w:hint="eastAsia" w:ascii="仿宋_GB2312" w:eastAsia="仿宋_GB2312" w:cs="Times New Roman"/>
          <w:sz w:val="32"/>
          <w:szCs w:val="32"/>
        </w:rPr>
        <w:t>687万余元。紧紧聚焦最易受损群体，围绕</w:t>
      </w:r>
      <w:r>
        <w:rPr>
          <w:rFonts w:hint="eastAsia" w:ascii="仿宋_GB2312" w:hAnsi="Calibri" w:eastAsia="仿宋_GB2312" w:cs="Times New Roman"/>
          <w:color w:val="000000"/>
          <w:sz w:val="32"/>
          <w:szCs w:val="32"/>
        </w:rPr>
        <w:t>助老、助残、助幼、助困、助学以及大病救助等，</w:t>
      </w:r>
      <w:r>
        <w:rPr>
          <w:rFonts w:hint="eastAsia" w:ascii="仿宋_GB2312" w:eastAsia="仿宋_GB2312" w:cs="Times New Roman"/>
          <w:sz w:val="32"/>
          <w:szCs w:val="32"/>
        </w:rPr>
        <w:t>持续开展“博爱在京城”系列救助活动，积极为群众办实事办好事。</w:t>
      </w:r>
      <w:r>
        <w:rPr>
          <w:rFonts w:hint="eastAsia" w:ascii="仿宋_GB2312" w:hAnsi="仿宋" w:eastAsia="仿宋_GB2312"/>
          <w:spacing w:val="-2"/>
          <w:sz w:val="32"/>
          <w:szCs w:val="32"/>
        </w:rPr>
        <w:t>全市红十字系统全年支出救助款物1549万余元，惠及1.7万余个家庭。积极参与北京市“</w:t>
      </w:r>
      <w:r>
        <w:rPr>
          <w:rFonts w:ascii="仿宋_GB2312" w:hAnsi="仿宋" w:eastAsia="仿宋_GB2312"/>
          <w:spacing w:val="-2"/>
          <w:sz w:val="32"/>
          <w:szCs w:val="32"/>
        </w:rPr>
        <w:t>23·7”</w:t>
      </w:r>
      <w:r>
        <w:rPr>
          <w:rFonts w:hint="eastAsia" w:ascii="仿宋_GB2312" w:hAnsi="仿宋" w:eastAsia="仿宋_GB2312"/>
          <w:spacing w:val="-2"/>
          <w:sz w:val="32"/>
          <w:szCs w:val="32"/>
        </w:rPr>
        <w:t>特大暴雨洪涝灾害</w:t>
      </w:r>
      <w:r>
        <w:rPr>
          <w:rFonts w:ascii="仿宋_GB2312" w:hAnsi="仿宋" w:eastAsia="仿宋_GB2312"/>
          <w:spacing w:val="-2"/>
          <w:sz w:val="32"/>
          <w:szCs w:val="32"/>
        </w:rPr>
        <w:t>灾后恢复重</w:t>
      </w:r>
      <w:r>
        <w:rPr>
          <w:rFonts w:hint="eastAsia" w:ascii="仿宋_GB2312" w:hAnsi="仿宋" w:eastAsia="仿宋_GB2312"/>
          <w:spacing w:val="-2"/>
          <w:sz w:val="32"/>
          <w:szCs w:val="32"/>
        </w:rPr>
        <w:t>建工作，市红十字会支持资金4411万余元，用于房山、门头沟、昌平区17个灾后恢复重建项目。积极推进透明度建设，帮助区红十字会建立信息公开平台，组织开展捐赠信息公开培训，对捐赠信息公开进行规范，同时积极做好对捐赠人的服务保障和捐赠表彰工作，较好激发社会捐赠积极性。</w:t>
      </w:r>
    </w:p>
    <w:p w14:paraId="498F7B06">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hint="default"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（4）在“三献”方面，</w:t>
      </w:r>
      <w:r>
        <w:rPr>
          <w:rFonts w:hint="eastAsia" w:ascii="仿宋_GB2312" w:hAnsi="Calibri" w:eastAsia="仿宋_GB2312" w:cs="Times New Roman"/>
          <w:color w:val="000000"/>
          <w:sz w:val="32"/>
          <w:szCs w:val="32"/>
          <w:lang w:val="en"/>
        </w:rPr>
        <w:t>积极开展“三献”科普宣传，充分利用“学雷锋日”“</w:t>
      </w:r>
      <w:r>
        <w:rPr>
          <w:rFonts w:hint="eastAsia" w:ascii="仿宋_GB2312" w:hAnsi="Calibri" w:eastAsia="仿宋_GB2312" w:cs="Times New Roman"/>
          <w:color w:val="000000"/>
          <w:sz w:val="32"/>
          <w:szCs w:val="32"/>
        </w:rPr>
        <w:t>世界红十字日</w:t>
      </w:r>
      <w:r>
        <w:rPr>
          <w:rFonts w:hint="eastAsia" w:ascii="仿宋_GB2312" w:hAnsi="Calibri" w:eastAsia="仿宋_GB2312" w:cs="Times New Roman"/>
          <w:color w:val="000000"/>
          <w:sz w:val="32"/>
          <w:szCs w:val="32"/>
          <w:lang w:val="en"/>
        </w:rPr>
        <w:t>”“世界献血日”“世界骨髓捐献者日”等重要时间节点，认真举办“京津冀彩虹计划”“感谢您，捐献者”“第</w:t>
      </w:r>
      <w:r>
        <w:rPr>
          <w:rFonts w:hint="eastAsia" w:ascii="仿宋_GB2312" w:hAnsi="Calibri" w:eastAsia="仿宋_GB2312" w:cs="Times New Roman"/>
          <w:color w:val="000000"/>
          <w:sz w:val="32"/>
          <w:szCs w:val="32"/>
        </w:rPr>
        <w:t>7</w:t>
      </w:r>
      <w:r>
        <w:rPr>
          <w:rFonts w:hint="eastAsia" w:ascii="仿宋_GB2312" w:hAnsi="Calibri" w:eastAsia="仿宋_GB2312" w:cs="Times New Roman"/>
          <w:color w:val="000000"/>
          <w:sz w:val="32"/>
          <w:szCs w:val="32"/>
          <w:lang w:val="en"/>
        </w:rPr>
        <w:t>00例造血干细胞捐献”等主题宣传活动。深入推进造血干细胞捐献工作</w:t>
      </w:r>
      <w:r>
        <w:rPr>
          <w:rFonts w:hint="eastAsia" w:ascii="仿宋_GB2312" w:eastAsia="仿宋_GB2312" w:cs="Times New Roman"/>
          <w:color w:val="000000"/>
          <w:sz w:val="32"/>
          <w:szCs w:val="32"/>
          <w:lang w:val="en"/>
        </w:rPr>
        <w:t>。</w:t>
      </w:r>
      <w:r>
        <w:rPr>
          <w:rFonts w:hint="eastAsia" w:ascii="仿宋_GB2312" w:hAnsi="Calibri" w:eastAsia="仿宋_GB2312" w:cs="Times New Roman"/>
          <w:color w:val="000000"/>
          <w:sz w:val="32"/>
          <w:szCs w:val="32"/>
          <w:lang w:val="en"/>
        </w:rPr>
        <w:t>积极招募造血干细胞捐献志愿者，年度累计招募造血干细胞捐献志愿者 2938 人，较好完成总库下达的年度招募任务。截至</w:t>
      </w:r>
      <w:r>
        <w:rPr>
          <w:rFonts w:hint="eastAsia" w:ascii="仿宋_GB2312" w:hAnsi="Calibri" w:eastAsia="仿宋_GB2312" w:cs="Times New Roman"/>
          <w:color w:val="000000"/>
          <w:sz w:val="32"/>
          <w:szCs w:val="32"/>
        </w:rPr>
        <w:t>11月10日，年度成功捐献造血干细胞69例。</w:t>
      </w:r>
      <w:r>
        <w:rPr>
          <w:rFonts w:hint="eastAsia" w:ascii="仿宋_GB2312" w:hAnsi="Calibri" w:eastAsia="仿宋_GB2312" w:cs="Times New Roman"/>
          <w:color w:val="000000"/>
          <w:sz w:val="32"/>
          <w:szCs w:val="32"/>
          <w:lang w:val="en"/>
        </w:rPr>
        <w:t>依法参与、推动遗体和人体器官捐献工作。</w:t>
      </w:r>
      <w:r>
        <w:rPr>
          <w:rFonts w:hint="eastAsia" w:ascii="仿宋_GB2312" w:eastAsia="仿宋_GB2312" w:cs="Times New Roman"/>
          <w:color w:val="000000"/>
          <w:sz w:val="32"/>
          <w:szCs w:val="32"/>
          <w:lang w:val="en"/>
        </w:rPr>
        <w:t>认真做好遗体和人体器官捐献意愿登记，并做好相关服务保障；</w:t>
      </w:r>
      <w:r>
        <w:rPr>
          <w:rFonts w:hint="eastAsia" w:ascii="仿宋_GB2312" w:hAnsi="Calibri" w:eastAsia="仿宋_GB2312" w:cs="Times New Roman"/>
          <w:color w:val="000000"/>
          <w:sz w:val="32"/>
          <w:szCs w:val="32"/>
          <w:lang w:val="en"/>
        </w:rPr>
        <w:t>加强对协调员捐献见证工作管理，规范捐献见证工作流</w:t>
      </w:r>
      <w:r>
        <w:rPr>
          <w:rFonts w:hint="eastAsia" w:ascii="仿宋_GB2312" w:hAnsi="Calibri" w:eastAsia="仿宋_GB2312" w:cs="Times New Roman"/>
          <w:color w:val="000000"/>
          <w:sz w:val="32"/>
          <w:szCs w:val="32"/>
        </w:rPr>
        <w:t>程，</w:t>
      </w:r>
      <w:r>
        <w:rPr>
          <w:rFonts w:hint="eastAsia" w:ascii="仿宋_GB2312" w:eastAsia="仿宋_GB2312" w:cs="Times New Roman"/>
          <w:color w:val="000000"/>
          <w:sz w:val="32"/>
          <w:szCs w:val="32"/>
        </w:rPr>
        <w:t>建立协调员值班制度；</w:t>
      </w:r>
      <w:r>
        <w:rPr>
          <w:rFonts w:hint="eastAsia" w:ascii="仿宋_GB2312" w:eastAsia="仿宋_GB2312" w:cs="Times New Roman"/>
          <w:color w:val="000000"/>
          <w:sz w:val="32"/>
          <w:szCs w:val="32"/>
          <w:lang w:val="en"/>
        </w:rPr>
        <w:t>着力做好人道缅怀，持续召开</w:t>
      </w:r>
      <w:r>
        <w:rPr>
          <w:rFonts w:hint="eastAsia" w:ascii="仿宋_GB2312" w:hAnsi="Calibri" w:eastAsia="仿宋_GB2312" w:cs="Times New Roman"/>
          <w:color w:val="000000"/>
          <w:sz w:val="32"/>
          <w:szCs w:val="32"/>
          <w:lang w:val="en"/>
        </w:rPr>
        <w:t>生命追思会活动，</w:t>
      </w:r>
      <w:r>
        <w:rPr>
          <w:rFonts w:hint="eastAsia" w:ascii="仿宋_GB2312" w:eastAsia="仿宋_GB2312" w:cs="Times New Roman"/>
          <w:color w:val="000000"/>
          <w:sz w:val="32"/>
          <w:szCs w:val="32"/>
        </w:rPr>
        <w:t>积极推进长青生命纪念园纪念缅怀设施建设项目，</w:t>
      </w:r>
      <w:r>
        <w:rPr>
          <w:rFonts w:hint="eastAsia" w:ascii="仿宋_GB2312" w:eastAsia="仿宋_GB2312" w:cs="Times New Roman"/>
          <w:color w:val="000000"/>
          <w:sz w:val="32"/>
          <w:szCs w:val="32"/>
          <w:lang w:val="en"/>
        </w:rPr>
        <w:t>在做好人道关怀的同时也很好地传播了捐献理念</w:t>
      </w:r>
      <w:r>
        <w:rPr>
          <w:rFonts w:hint="eastAsia" w:ascii="仿宋_GB2312" w:eastAsia="仿宋_GB2312" w:cs="Times New Roman"/>
          <w:color w:val="000000"/>
          <w:sz w:val="32"/>
          <w:szCs w:val="32"/>
        </w:rPr>
        <w:t>。</w:t>
      </w:r>
    </w:p>
    <w:p w14:paraId="7421D9F7">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_GB2312" w:eastAsia="仿宋_GB2312"/>
          <w:sz w:val="32"/>
          <w:szCs w:val="32"/>
          <w:highlight w:val="none"/>
        </w:rPr>
      </w:pP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rPr>
        <w:t>.不断</w:t>
      </w:r>
      <w:r>
        <w:rPr>
          <w:rFonts w:hint="eastAsia" w:ascii="仿宋_GB2312" w:eastAsia="仿宋_GB2312"/>
          <w:sz w:val="32"/>
          <w:szCs w:val="32"/>
          <w:highlight w:val="none"/>
          <w:lang w:val="en"/>
        </w:rPr>
        <w:t>加强基层组织建设，夯实首都红十字事业发展基础</w:t>
      </w:r>
    </w:p>
    <w:p w14:paraId="7C88B1FD">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_GB2312" w:eastAsia="仿宋_GB2312"/>
          <w:sz w:val="32"/>
          <w:szCs w:val="32"/>
          <w:highlight w:val="none"/>
          <w:lang w:eastAsia="zh-CN"/>
        </w:rPr>
      </w:pPr>
      <w:r>
        <w:rPr>
          <w:rFonts w:hint="eastAsia" w:ascii="仿宋_GB2312" w:hAnsi="Calibri" w:eastAsia="仿宋_GB2312" w:cs="Times New Roman"/>
          <w:color w:val="000000"/>
          <w:sz w:val="32"/>
          <w:szCs w:val="32"/>
        </w:rPr>
        <w:t>积极拓展基层组织覆盖面，</w:t>
      </w:r>
      <w:r>
        <w:rPr>
          <w:rStyle w:val="39"/>
          <w:rFonts w:hint="eastAsia" w:ascii="仿宋_GB2312" w:hAnsi="仿宋_GB2312" w:eastAsia="仿宋_GB2312" w:cs="仿宋_GB2312"/>
          <w:spacing w:val="-6"/>
          <w:kern w:val="32"/>
          <w:sz w:val="32"/>
          <w:szCs w:val="32"/>
        </w:rPr>
        <w:t>年度完成</w:t>
      </w:r>
      <w:r>
        <w:rPr>
          <w:rFonts w:hint="eastAsia" w:ascii="仿宋_GB2312" w:hAnsi="Calibri" w:eastAsia="仿宋_GB2312" w:cs="Times New Roman"/>
          <w:color w:val="000000"/>
          <w:sz w:val="32"/>
          <w:szCs w:val="32"/>
        </w:rPr>
        <w:t>通州区朗清园社区“博爱家园”项目验收，按计划顺利推进顺义区2个“博爱校医室”建设。积极开展相关工作，不断激发</w:t>
      </w:r>
      <w:r>
        <w:rPr>
          <w:rFonts w:hint="eastAsia" w:ascii="仿宋_GB2312" w:eastAsia="仿宋_GB2312" w:cs="Times New Roman"/>
          <w:color w:val="000000"/>
          <w:sz w:val="32"/>
          <w:szCs w:val="32"/>
        </w:rPr>
        <w:t>基层组织活力。积极发展红十字会员、志愿者，</w:t>
      </w:r>
      <w:r>
        <w:rPr>
          <w:rFonts w:hint="eastAsia" w:ascii="Times New Roman" w:hAnsi="Times New Roman" w:eastAsia="仿宋_GB2312"/>
          <w:sz w:val="32"/>
          <w:szCs w:val="32"/>
        </w:rPr>
        <w:t>组织召开会员发展专题调度会，研</w:t>
      </w:r>
      <w:r>
        <w:rPr>
          <w:rFonts w:hint="eastAsia" w:ascii="仿宋_GB2312" w:eastAsia="仿宋_GB2312" w:cs="Times New Roman"/>
          <w:color w:val="000000"/>
          <w:sz w:val="32"/>
          <w:szCs w:val="32"/>
        </w:rPr>
        <w:t>究部署会员发展及会费收缴工作，推动会员管理系统正常运行；推动成立应急救援、生命救护、人道关爱、三献宣传等专业志愿服务队伍，并组织开展形式多样的志愿服务活动。今年来，持续开展“博爱在京城 健康基层行”活动，组织红十字医护志愿者深入房山、大兴、延庆、顺义等区开展义诊活动，服务偏远地区群众千余人次；联合市卫健委系统9名医疗专家赴内蒙古乌兰察布市四子王旗、察右中旗开展“博爱在京蒙 健康服务行”活动，为当地千余名群众开展医疗服务，赢得牧区群众高度赞誉。加大对志愿服务项目的孵化、支持力度，实施红十字志愿服务与青少年项目品牌计划，对28个项目进行资金支持，组织推选的京津冀“六一彩虹计划”等3个项目获首届全国红十字志愿服务项目大赛银奖。经统计，全年共组织开展志愿服务活动项目374个，累计上岗志愿者1.2万余名，服务时长6万余小时。充分发挥学校工作委员会作用，扎实开展红十字青少年工作，认真组织开展京津冀红十字青少年交流营、高校红十字会高峰论坛、防艾宣传、探索人道法辩论赛等校园红十字特色活动。今年7月，以东道主身份精心筹备举办了第七届京津冀红十字青少年交流营活动；11月，召开学校红十字工作专题调度会，专题研究高质量推进学校红十字会工作</w:t>
      </w:r>
      <w:r>
        <w:rPr>
          <w:rFonts w:hint="eastAsia" w:ascii="仿宋_GB2312" w:eastAsia="仿宋_GB2312"/>
          <w:sz w:val="32"/>
          <w:szCs w:val="32"/>
          <w:highlight w:val="none"/>
        </w:rPr>
        <w:t>。</w:t>
      </w:r>
    </w:p>
    <w:p w14:paraId="77D8A067">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_GB2312" w:eastAsia="仿宋_GB2312"/>
          <w:sz w:val="32"/>
          <w:szCs w:val="32"/>
          <w:highlight w:val="none"/>
        </w:rPr>
      </w:pP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.加强红十字宣传，不断提升红十字社会影响力和感召力</w:t>
      </w:r>
    </w:p>
    <w:p w14:paraId="70134709">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_GB2312" w:eastAsia="仿宋_GB2312"/>
          <w:sz w:val="32"/>
          <w:szCs w:val="32"/>
          <w:highlight w:val="none"/>
          <w:lang w:eastAsia="zh-CN"/>
        </w:rPr>
      </w:pPr>
      <w:r>
        <w:rPr>
          <w:rFonts w:hint="eastAsia" w:ascii="仿宋_GB2312" w:eastAsia="仿宋_GB2312" w:cs="Times New Roman"/>
          <w:color w:val="000000"/>
          <w:sz w:val="32"/>
          <w:szCs w:val="32"/>
        </w:rPr>
        <w:t>中国红十字会十二代会召开后，第一时间在《中国红十字报》撰写体会文章，在市会官网、微信公众号等平台开辟宣传专栏，并通过“图说”、“数说”、文字报道、短视频等方式，深入学习宣传习近平总书记重要致信精神和中国红十字会十二代会精神，在全市红十字系统营造浓厚学习宣传氛围。市红十字会第十一次会员代表大会召开后，迅速通过市会官网、微信公众号等平台，大力宣传总会领导和北京市委市政府领导重要讲话精神和大会精神，广大红十字工作者、会员和志愿者备受鼓舞。大力传播红十字文化、弘扬红十字精神，广泛宣传基层一线红十字工作者、会员、志愿者、最美救护员先进典型事迹，深入报道首都红十字系统参与抗疫救灾、开展人道救助、助力乡村振兴等方面成效举措。全年</w:t>
      </w:r>
      <w:r>
        <w:rPr>
          <w:rFonts w:ascii="仿宋_GB2312" w:eastAsia="仿宋_GB2312" w:cs="Times New Roman"/>
          <w:color w:val="000000"/>
          <w:sz w:val="32"/>
          <w:szCs w:val="32"/>
        </w:rPr>
        <w:t>在市会官网</w:t>
      </w:r>
      <w:r>
        <w:rPr>
          <w:rFonts w:hint="eastAsia" w:ascii="仿宋_GB2312" w:eastAsia="仿宋_GB2312" w:cs="Times New Roman"/>
          <w:color w:val="000000"/>
          <w:sz w:val="32"/>
          <w:szCs w:val="32"/>
        </w:rPr>
        <w:t>官微</w:t>
      </w:r>
      <w:r>
        <w:rPr>
          <w:rFonts w:ascii="仿宋_GB2312" w:eastAsia="仿宋_GB2312" w:cs="Times New Roman"/>
          <w:color w:val="000000"/>
          <w:sz w:val="32"/>
          <w:szCs w:val="32"/>
        </w:rPr>
        <w:t>及各</w:t>
      </w:r>
      <w:r>
        <w:rPr>
          <w:rFonts w:hint="eastAsia" w:ascii="仿宋_GB2312" w:eastAsia="仿宋_GB2312" w:cs="Times New Roman"/>
          <w:color w:val="000000"/>
          <w:sz w:val="32"/>
          <w:szCs w:val="32"/>
        </w:rPr>
        <w:t>类</w:t>
      </w:r>
      <w:r>
        <w:rPr>
          <w:rFonts w:ascii="仿宋_GB2312" w:eastAsia="仿宋_GB2312" w:cs="Times New Roman"/>
          <w:color w:val="000000"/>
          <w:sz w:val="32"/>
          <w:szCs w:val="32"/>
        </w:rPr>
        <w:t>媒体</w:t>
      </w:r>
      <w:r>
        <w:rPr>
          <w:rFonts w:hint="eastAsia" w:ascii="仿宋_GB2312" w:eastAsia="仿宋_GB2312" w:cs="Times New Roman"/>
          <w:color w:val="000000"/>
          <w:sz w:val="32"/>
          <w:szCs w:val="32"/>
        </w:rPr>
        <w:t>宣传</w:t>
      </w:r>
      <w:r>
        <w:rPr>
          <w:rFonts w:ascii="仿宋_GB2312" w:eastAsia="仿宋_GB2312" w:cs="Times New Roman"/>
          <w:color w:val="000000"/>
          <w:sz w:val="32"/>
          <w:szCs w:val="32"/>
        </w:rPr>
        <w:t>平台</w:t>
      </w:r>
      <w:r>
        <w:rPr>
          <w:rFonts w:hint="eastAsia" w:ascii="仿宋_GB2312" w:eastAsia="仿宋_GB2312" w:cs="Times New Roman"/>
          <w:color w:val="000000"/>
          <w:sz w:val="32"/>
          <w:szCs w:val="32"/>
        </w:rPr>
        <w:t>发布稿件573篇。加强重点时间节点的宣传，精心策划和开展“5∙8红十字博爱周”系列主题宣传活动。在丰台园博园举办“百廿</w:t>
      </w:r>
      <w:r>
        <w:rPr>
          <w:rFonts w:ascii="仿宋_GB2312" w:eastAsia="仿宋_GB2312" w:cs="Times New Roman"/>
          <w:color w:val="000000"/>
          <w:sz w:val="32"/>
          <w:szCs w:val="32"/>
        </w:rPr>
        <w:t>弦歌</w:t>
      </w:r>
      <w:r>
        <w:rPr>
          <w:rFonts w:hint="eastAsia" w:ascii="仿宋_GB2312" w:eastAsia="仿宋_GB2312" w:cs="Times New Roman"/>
          <w:color w:val="000000"/>
          <w:sz w:val="32"/>
          <w:szCs w:val="32"/>
        </w:rPr>
        <w:t xml:space="preserve"> 人道</w:t>
      </w:r>
      <w:r>
        <w:rPr>
          <w:rFonts w:ascii="仿宋_GB2312" w:eastAsia="仿宋_GB2312" w:cs="Times New Roman"/>
          <w:color w:val="000000"/>
          <w:sz w:val="32"/>
          <w:szCs w:val="32"/>
        </w:rPr>
        <w:t>力量</w:t>
      </w:r>
      <w:r>
        <w:rPr>
          <w:rFonts w:hint="eastAsia" w:ascii="仿宋_GB2312" w:eastAsia="仿宋_GB2312" w:cs="Times New Roman"/>
          <w:color w:val="000000"/>
          <w:sz w:val="32"/>
          <w:szCs w:val="32"/>
        </w:rPr>
        <w:t>”—京津冀红十字会纪念</w:t>
      </w:r>
      <w:r>
        <w:rPr>
          <w:rFonts w:ascii="仿宋_GB2312" w:eastAsia="仿宋_GB2312" w:cs="Times New Roman"/>
          <w:color w:val="000000"/>
          <w:sz w:val="32"/>
          <w:szCs w:val="32"/>
        </w:rPr>
        <w:t>第</w:t>
      </w:r>
      <w:r>
        <w:rPr>
          <w:rFonts w:hint="eastAsia" w:ascii="仿宋_GB2312" w:eastAsia="仿宋_GB2312" w:cs="Times New Roman"/>
          <w:color w:val="000000"/>
          <w:sz w:val="32"/>
          <w:szCs w:val="32"/>
        </w:rPr>
        <w:t>77个</w:t>
      </w:r>
      <w:r>
        <w:rPr>
          <w:rFonts w:ascii="仿宋_GB2312" w:eastAsia="仿宋_GB2312" w:cs="Times New Roman"/>
          <w:color w:val="000000"/>
          <w:sz w:val="32"/>
          <w:szCs w:val="32"/>
        </w:rPr>
        <w:t>世界红十字日主题活动，</w:t>
      </w:r>
      <w:r>
        <w:rPr>
          <w:rFonts w:hint="eastAsia" w:ascii="仿宋_GB2312" w:eastAsia="仿宋_GB2312" w:cs="Times New Roman"/>
          <w:color w:val="000000"/>
          <w:sz w:val="32"/>
          <w:szCs w:val="32"/>
        </w:rPr>
        <w:t>共同</w:t>
      </w:r>
      <w:r>
        <w:rPr>
          <w:rFonts w:ascii="仿宋_GB2312" w:eastAsia="仿宋_GB2312" w:cs="Times New Roman"/>
          <w:color w:val="000000"/>
          <w:sz w:val="32"/>
          <w:szCs w:val="32"/>
        </w:rPr>
        <w:t>庆祝京津冀协同发展战略</w:t>
      </w:r>
      <w:r>
        <w:rPr>
          <w:rFonts w:hint="eastAsia" w:ascii="仿宋_GB2312" w:eastAsia="仿宋_GB2312" w:cs="Times New Roman"/>
          <w:color w:val="000000"/>
          <w:sz w:val="32"/>
          <w:szCs w:val="32"/>
        </w:rPr>
        <w:t>实施10周年</w:t>
      </w:r>
      <w:r>
        <w:rPr>
          <w:rFonts w:ascii="仿宋_GB2312" w:eastAsia="仿宋_GB2312" w:cs="Times New Roman"/>
          <w:color w:val="000000"/>
          <w:sz w:val="32"/>
          <w:szCs w:val="32"/>
        </w:rPr>
        <w:t>及总会建会</w:t>
      </w:r>
      <w:r>
        <w:rPr>
          <w:rFonts w:hint="eastAsia" w:ascii="仿宋_GB2312" w:eastAsia="仿宋_GB2312" w:cs="Times New Roman"/>
          <w:color w:val="000000"/>
          <w:sz w:val="32"/>
          <w:szCs w:val="32"/>
        </w:rPr>
        <w:t>120周年，活动</w:t>
      </w:r>
      <w:r>
        <w:rPr>
          <w:rFonts w:ascii="仿宋_GB2312" w:eastAsia="仿宋_GB2312" w:cs="Times New Roman"/>
          <w:color w:val="000000"/>
          <w:sz w:val="32"/>
          <w:szCs w:val="32"/>
        </w:rPr>
        <w:t>现场</w:t>
      </w:r>
      <w:r>
        <w:rPr>
          <w:rFonts w:hint="eastAsia" w:ascii="仿宋_GB2312" w:eastAsia="仿宋_GB2312" w:cs="Times New Roman"/>
          <w:color w:val="000000"/>
          <w:sz w:val="32"/>
          <w:szCs w:val="32"/>
        </w:rPr>
        <w:t>组织进行了</w:t>
      </w:r>
      <w:r>
        <w:rPr>
          <w:rFonts w:ascii="仿宋_GB2312" w:eastAsia="仿宋_GB2312" w:cs="Times New Roman"/>
          <w:color w:val="000000"/>
          <w:sz w:val="32"/>
          <w:szCs w:val="32"/>
        </w:rPr>
        <w:t>救援</w:t>
      </w:r>
      <w:r>
        <w:rPr>
          <w:rFonts w:hint="eastAsia" w:ascii="仿宋_GB2312" w:eastAsia="仿宋_GB2312" w:cs="Times New Roman"/>
          <w:color w:val="000000"/>
          <w:sz w:val="32"/>
          <w:szCs w:val="32"/>
        </w:rPr>
        <w:t>救护技能互动体验、打卡</w:t>
      </w:r>
      <w:r>
        <w:rPr>
          <w:rFonts w:ascii="仿宋_GB2312" w:eastAsia="仿宋_GB2312" w:cs="Times New Roman"/>
          <w:color w:val="000000"/>
          <w:sz w:val="32"/>
          <w:szCs w:val="32"/>
        </w:rPr>
        <w:t>竞赛和</w:t>
      </w:r>
      <w:r>
        <w:rPr>
          <w:rFonts w:hint="eastAsia" w:ascii="仿宋_GB2312" w:eastAsia="仿宋_GB2312" w:cs="Times New Roman"/>
          <w:color w:val="000000"/>
          <w:sz w:val="32"/>
          <w:szCs w:val="32"/>
        </w:rPr>
        <w:t>红十字力量展示等，社会各界代表和群众2000余人参与活动，取得了良好的宣传</w:t>
      </w:r>
      <w:r>
        <w:rPr>
          <w:rFonts w:ascii="仿宋_GB2312" w:eastAsia="仿宋_GB2312" w:cs="Times New Roman"/>
          <w:color w:val="000000"/>
          <w:sz w:val="32"/>
          <w:szCs w:val="32"/>
        </w:rPr>
        <w:t>和社会</w:t>
      </w:r>
      <w:r>
        <w:rPr>
          <w:rFonts w:hint="eastAsia" w:ascii="仿宋_GB2312" w:eastAsia="仿宋_GB2312" w:cs="Times New Roman"/>
          <w:color w:val="000000"/>
          <w:sz w:val="32"/>
          <w:szCs w:val="32"/>
        </w:rPr>
        <w:t>效果</w:t>
      </w:r>
      <w:r>
        <w:rPr>
          <w:rFonts w:hint="eastAsia" w:ascii="仿宋_GB2312" w:eastAsia="仿宋_GB2312"/>
          <w:sz w:val="32"/>
          <w:szCs w:val="32"/>
          <w:highlight w:val="none"/>
          <w:lang w:eastAsia="zh-CN"/>
        </w:rPr>
        <w:t>。</w:t>
      </w:r>
    </w:p>
    <w:p w14:paraId="6FCE0FC8">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4.</w:t>
      </w:r>
      <w:r>
        <w:rPr>
          <w:rFonts w:hint="eastAsia" w:ascii="仿宋_GB2312" w:eastAsia="仿宋_GB2312" w:cs="Times New Roman"/>
          <w:color w:val="000000"/>
          <w:sz w:val="32"/>
          <w:szCs w:val="32"/>
        </w:rPr>
        <w:t>强化自身建设，不断提升履职尽责能力</w:t>
      </w:r>
    </w:p>
    <w:p w14:paraId="4C9B5FBD">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_GB2312" w:eastAsia="仿宋_GB2312"/>
          <w:sz w:val="32"/>
          <w:szCs w:val="32"/>
          <w:highlight w:val="none"/>
          <w:lang w:val="en-US" w:eastAsia="zh-CN"/>
        </w:rPr>
      </w:pPr>
      <w:r>
        <w:rPr>
          <w:rFonts w:hint="eastAsia" w:ascii="仿宋_GB2312" w:hAnsi="仿宋_GB2312" w:eastAsia="仿宋_GB2312" w:cs="仿宋_GB2312"/>
          <w:sz w:val="32"/>
          <w:szCs w:val="32"/>
        </w:rPr>
        <w:t>围绕保持和增强政治性、先进性、群众性，进一步强化自身建设，不断提升首都红十字系统人员履职尽责能力水平。坚持依法治会、从严治会，进一步规范各项工作。严格遵守红十字会法和红十字会章程，自觉运用法治思维和法治方式开展工作，健全理事会决策、执委会执行、监事会监督的新型治理结构，积极推动首都红十字工作立法；进一步建立完善各项制度机制，主动向市相关委办局和群团组织学习借鉴，着力补短板、强弱项；扎实推进信息化建设，对市会网站内容进行丰富完善，对信息公开进行规范，首都红十字工作更加公开透明。坚持创新工作方式方法，进一步提升工作效能。不断改进工作作风，积极运用协作联动方式方法，加强与相关部门、其他群团和社会组织之间的联系协作，坚持“走出去”“沉下去”，紧贴群众人道服务需求，积极为群众办实事办好事。坚持加强干部队伍建设，进一步提升工作能力水平。</w:t>
      </w:r>
    </w:p>
    <w:p w14:paraId="4BF305DC">
      <w:pPr>
        <w:keepNext w:val="0"/>
        <w:keepLines w:val="0"/>
        <w:pageBreakBefore w:val="0"/>
        <w:widowControl w:val="0"/>
        <w:kinsoku/>
        <w:wordWrap/>
        <w:overflowPunct/>
        <w:topLinePunct w:val="0"/>
        <w:autoSpaceDE/>
        <w:autoSpaceDN/>
        <w:bidi w:val="0"/>
        <w:adjustRightInd/>
        <w:snapToGrid/>
        <w:spacing w:before="0" w:after="0" w:line="360" w:lineRule="auto"/>
        <w:ind w:firstLine="640" w:firstLineChars="200"/>
        <w:textAlignment w:val="auto"/>
        <w:outlineLvl w:val="1"/>
        <w:rPr>
          <w:rFonts w:ascii="楷体" w:hAnsi="楷体" w:eastAsia="楷体"/>
          <w:b w:val="0"/>
          <w:bCs w:val="0"/>
          <w:sz w:val="32"/>
          <w:szCs w:val="32"/>
          <w:highlight w:val="none"/>
        </w:rPr>
      </w:pPr>
      <w:bookmarkStart w:id="6" w:name="_Toc12425"/>
      <w:r>
        <w:rPr>
          <w:rFonts w:hint="eastAsia" w:ascii="楷体" w:hAnsi="楷体" w:eastAsia="楷体" w:cs="Times New Roman"/>
          <w:b w:val="0"/>
          <w:bCs w:val="0"/>
          <w:sz w:val="32"/>
          <w:szCs w:val="32"/>
          <w:highlight w:val="none"/>
        </w:rPr>
        <w:t>（二）效果实现情况分析</w:t>
      </w:r>
      <w:bookmarkEnd w:id="6"/>
    </w:p>
    <w:p w14:paraId="1BECED03">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仿宋_GB2312" w:hAnsi="仿宋" w:eastAsia="仿宋_GB2312"/>
          <w:bCs/>
          <w:sz w:val="32"/>
          <w:szCs w:val="32"/>
          <w:highlight w:val="none"/>
          <w:lang w:eastAsia="zh-CN"/>
        </w:rPr>
      </w:pPr>
      <w:r>
        <w:rPr>
          <w:rFonts w:hint="eastAsia" w:ascii="仿宋_GB2312" w:hAnsi="仿宋" w:eastAsia="仿宋_GB2312"/>
          <w:bCs/>
          <w:sz w:val="32"/>
          <w:szCs w:val="32"/>
          <w:highlight w:val="none"/>
          <w:lang w:val="en-US" w:eastAsia="zh-CN"/>
        </w:rPr>
        <w:t>2024年，</w:t>
      </w:r>
      <w:r>
        <w:rPr>
          <w:rFonts w:hint="eastAsia" w:ascii="仿宋_GB2312" w:hAnsi="仿宋" w:eastAsia="仿宋_GB2312"/>
          <w:bCs/>
          <w:sz w:val="32"/>
          <w:szCs w:val="32"/>
          <w:highlight w:val="none"/>
        </w:rPr>
        <w:t>在市委市政府的坚强领导下，在市财政局等部门的支持配合下</w:t>
      </w:r>
      <w:r>
        <w:rPr>
          <w:rFonts w:hint="eastAsia" w:ascii="仿宋_GB2312" w:hAnsi="仿宋" w:eastAsia="仿宋_GB2312"/>
          <w:bCs/>
          <w:sz w:val="32"/>
          <w:szCs w:val="32"/>
          <w:highlight w:val="none"/>
          <w:lang w:eastAsia="zh-CN"/>
        </w:rPr>
        <w:t>，我</w:t>
      </w:r>
      <w:r>
        <w:rPr>
          <w:rFonts w:hint="eastAsia" w:ascii="仿宋_GB2312" w:hAnsi="仿宋" w:eastAsia="仿宋_GB2312"/>
          <w:bCs/>
          <w:sz w:val="32"/>
          <w:szCs w:val="32"/>
          <w:highlight w:val="none"/>
          <w:lang w:val="en-US" w:eastAsia="zh-CN"/>
        </w:rPr>
        <w:t>会</w:t>
      </w:r>
      <w:r>
        <w:rPr>
          <w:rFonts w:hint="eastAsia" w:ascii="仿宋_GB2312" w:hAnsi="仿宋" w:eastAsia="仿宋_GB2312"/>
          <w:bCs/>
          <w:sz w:val="32"/>
          <w:szCs w:val="32"/>
          <w:highlight w:val="none"/>
          <w:lang w:eastAsia="zh-CN"/>
        </w:rPr>
        <w:t>团结一心、迎难而上，各项工作取得明显成效，社会效益显著。</w:t>
      </w:r>
      <w:r>
        <w:rPr>
          <w:rFonts w:hint="eastAsia" w:ascii="仿宋_GB2312" w:hAnsi="仿宋" w:eastAsia="仿宋_GB2312" w:cs="仿宋_GB2312"/>
          <w:sz w:val="32"/>
          <w:szCs w:val="32"/>
          <w:highlight w:val="none"/>
        </w:rPr>
        <w:t>各项工作反馈的满意度较高，得到了</w:t>
      </w:r>
      <w:r>
        <w:rPr>
          <w:rFonts w:hint="eastAsia" w:ascii="仿宋_GB2312" w:eastAsia="仿宋_GB2312"/>
          <w:sz w:val="32"/>
          <w:szCs w:val="32"/>
          <w:highlight w:val="none"/>
        </w:rPr>
        <w:t>社会各界不同形式的高度评价</w:t>
      </w:r>
      <w:r>
        <w:rPr>
          <w:rFonts w:hint="eastAsia" w:ascii="仿宋_GB2312" w:eastAsia="仿宋_GB2312"/>
          <w:sz w:val="32"/>
          <w:szCs w:val="32"/>
          <w:highlight w:val="none"/>
          <w:lang w:eastAsia="zh-CN"/>
        </w:rPr>
        <w:t>。</w:t>
      </w:r>
    </w:p>
    <w:p w14:paraId="6E5FF7C4">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仿宋_GB2312" w:hAnsi="仿宋" w:eastAsia="仿宋_GB2312"/>
          <w:b w:val="0"/>
          <w:bCs w:val="0"/>
          <w:sz w:val="32"/>
          <w:szCs w:val="32"/>
          <w:highlight w:val="none"/>
        </w:rPr>
      </w:pPr>
      <w:r>
        <w:rPr>
          <w:rFonts w:hint="eastAsia" w:ascii="仿宋_GB2312" w:hAnsi="仿宋" w:eastAsia="仿宋_GB2312"/>
          <w:b w:val="0"/>
          <w:bCs w:val="0"/>
          <w:sz w:val="32"/>
          <w:szCs w:val="32"/>
          <w:highlight w:val="none"/>
          <w:lang w:val="en-US" w:eastAsia="zh-CN"/>
        </w:rPr>
        <w:t>1.不断加强党的建设，充分发挥党建引领作用。积极推动党建与业务工作深度融合，通过高质量党建推动红十字事业高质量发展</w:t>
      </w:r>
      <w:r>
        <w:rPr>
          <w:rFonts w:hint="eastAsia" w:ascii="仿宋_GB2312" w:eastAsia="仿宋_GB2312"/>
          <w:sz w:val="32"/>
          <w:szCs w:val="32"/>
          <w:highlight w:val="none"/>
        </w:rPr>
        <w:t>。</w:t>
      </w:r>
      <w:r>
        <w:rPr>
          <w:rFonts w:hint="eastAsia" w:ascii="仿宋_GB2312" w:eastAsia="仿宋_GB2312" w:cs="Times New Roman"/>
          <w:color w:val="000000"/>
          <w:sz w:val="32"/>
          <w:szCs w:val="32"/>
          <w:highlight w:val="none"/>
        </w:rPr>
        <w:t>深入宣传习近平新时代中国特色社会主义思想和党的二十大精神，大力宣传习近平总书记关于红十字事业重要指示批示精神，不断凝聚首都红十字系统人员思想共识。</w:t>
      </w:r>
    </w:p>
    <w:p w14:paraId="319E07B2">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仿宋_GB2312" w:hAnsi="仿宋" w:eastAsia="仿宋_GB2312"/>
          <w:b w:val="0"/>
          <w:bCs w:val="0"/>
          <w:sz w:val="32"/>
          <w:szCs w:val="32"/>
          <w:highlight w:val="none"/>
          <w:lang w:eastAsia="zh-CN"/>
        </w:rPr>
      </w:pPr>
      <w:r>
        <w:rPr>
          <w:rFonts w:hint="eastAsia" w:ascii="仿宋_GB2312" w:hAnsi="仿宋" w:eastAsia="仿宋_GB2312"/>
          <w:b w:val="0"/>
          <w:bCs w:val="0"/>
          <w:sz w:val="32"/>
          <w:szCs w:val="32"/>
          <w:highlight w:val="none"/>
          <w:lang w:val="en-US" w:eastAsia="zh-CN"/>
        </w:rPr>
        <w:t>2.不断加强红十字救援力量建设，着力抓好救援队伍的发展、训练、管理与服务，首都红十字救援能力得到进一步提升</w:t>
      </w:r>
      <w:r>
        <w:rPr>
          <w:rFonts w:hint="eastAsia" w:ascii="仿宋_GB2312" w:hAnsi="仿宋" w:eastAsia="仿宋_GB2312"/>
          <w:b w:val="0"/>
          <w:bCs w:val="0"/>
          <w:sz w:val="32"/>
          <w:szCs w:val="32"/>
          <w:highlight w:val="none"/>
          <w:lang w:eastAsia="zh-CN"/>
        </w:rPr>
        <w:t>。</w:t>
      </w:r>
      <w:r>
        <w:rPr>
          <w:rFonts w:hint="eastAsia" w:ascii="仿宋_GB2312" w:eastAsia="仿宋_GB2312" w:cs="Times New Roman"/>
          <w:color w:val="000000"/>
          <w:sz w:val="32"/>
          <w:szCs w:val="32"/>
        </w:rPr>
        <w:t>通过</w:t>
      </w:r>
      <w:r>
        <w:rPr>
          <w:rFonts w:hint="eastAsia" w:ascii="仿宋_GB2312" w:eastAsia="仿宋_GB2312" w:cs="Times New Roman"/>
          <w:color w:val="000000"/>
          <w:sz w:val="32"/>
          <w:szCs w:val="32"/>
          <w:lang w:val="en-US" w:eastAsia="zh-CN"/>
        </w:rPr>
        <w:t>应急救援</w:t>
      </w:r>
      <w:r>
        <w:rPr>
          <w:rFonts w:hint="eastAsia" w:ascii="仿宋_GB2312" w:eastAsia="仿宋_GB2312" w:cs="Times New Roman"/>
          <w:color w:val="000000"/>
          <w:sz w:val="32"/>
          <w:szCs w:val="32"/>
        </w:rPr>
        <w:t>实战化演练，区域协同救援效能得到进一步强化</w:t>
      </w:r>
      <w:r>
        <w:rPr>
          <w:rFonts w:hint="eastAsia" w:ascii="仿宋_GB2312" w:eastAsia="仿宋_GB2312" w:cs="Times New Roman"/>
          <w:color w:val="000000"/>
          <w:sz w:val="32"/>
          <w:szCs w:val="32"/>
          <w:lang w:eastAsia="zh-CN"/>
        </w:rPr>
        <w:t>。</w:t>
      </w:r>
      <w:r>
        <w:rPr>
          <w:rFonts w:hint="eastAsia" w:ascii="仿宋_GB2312" w:eastAsia="仿宋_GB2312" w:cs="Times New Roman"/>
          <w:color w:val="000000"/>
          <w:sz w:val="32"/>
          <w:szCs w:val="32"/>
        </w:rPr>
        <w:t>进一步规范红十字救援队伍管理，加强对市级救援队伍建设的指</w:t>
      </w:r>
      <w:r>
        <w:rPr>
          <w:rFonts w:hint="eastAsia" w:ascii="仿宋_GB2312" w:eastAsia="仿宋_GB2312" w:cs="Times New Roman"/>
          <w:color w:val="000000"/>
          <w:sz w:val="32"/>
          <w:szCs w:val="32"/>
          <w:highlight w:val="none"/>
        </w:rPr>
        <w:t>导，做好对救援队伍的相关保障与服务，不断提升红十字救援队伍规范化建设水平。</w:t>
      </w:r>
    </w:p>
    <w:p w14:paraId="56EE4608">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仿宋_GB2312" w:hAnsi="仿宋" w:eastAsia="仿宋_GB2312"/>
          <w:b w:val="0"/>
          <w:bCs w:val="0"/>
          <w:sz w:val="32"/>
          <w:szCs w:val="32"/>
          <w:highlight w:val="none"/>
        </w:rPr>
      </w:pPr>
      <w:r>
        <w:rPr>
          <w:rFonts w:hint="eastAsia" w:ascii="仿宋_GB2312" w:hAnsi="仿宋" w:eastAsia="仿宋_GB2312"/>
          <w:b w:val="0"/>
          <w:bCs w:val="0"/>
          <w:sz w:val="32"/>
          <w:szCs w:val="32"/>
          <w:highlight w:val="none"/>
          <w:lang w:val="en-US" w:eastAsia="zh-CN"/>
        </w:rPr>
        <w:t>3.加强应急救护培训师资队伍建设，充分发挥应急救护专家委员会作用，加强对应急救护专业研讨，完善救护员培训课程设置和培训大纲，推动“网上培训”系统建设，应急救护培训专业化水平得到较大提升</w:t>
      </w:r>
      <w:r>
        <w:rPr>
          <w:rFonts w:hint="eastAsia" w:ascii="仿宋_GB2312" w:eastAsia="仿宋_GB2312"/>
          <w:sz w:val="32"/>
          <w:szCs w:val="32"/>
          <w:highlight w:val="none"/>
          <w:lang w:val="en-US" w:eastAsia="zh-CN"/>
        </w:rPr>
        <w:t>。</w:t>
      </w:r>
    </w:p>
    <w:p w14:paraId="50AA363A">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仿宋_GB2312" w:hAnsi="仿宋" w:eastAsia="仿宋_GB2312"/>
          <w:b w:val="0"/>
          <w:bCs w:val="0"/>
          <w:sz w:val="32"/>
          <w:szCs w:val="32"/>
          <w:highlight w:val="none"/>
          <w:lang w:val="en-US" w:eastAsia="zh-CN"/>
        </w:rPr>
      </w:pPr>
      <w:r>
        <w:rPr>
          <w:rFonts w:hint="eastAsia" w:ascii="仿宋_GB2312" w:hAnsi="仿宋" w:eastAsia="仿宋_GB2312"/>
          <w:b w:val="0"/>
          <w:bCs w:val="0"/>
          <w:sz w:val="32"/>
          <w:szCs w:val="32"/>
          <w:highlight w:val="none"/>
          <w:lang w:val="en-US" w:eastAsia="zh-CN"/>
        </w:rPr>
        <w:t>4.加强人道救助工作，助力精准帮困。在做好传统筹资项目的同时，积极与各类公益平台合作，探索实践“互联网＋人道资源动员”筹资模式，“99公益”“5·8众筹”等线上筹资项目取得一定成效。</w:t>
      </w:r>
    </w:p>
    <w:p w14:paraId="42EF90FF">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仿宋_GB2312" w:hAnsi="仿宋" w:eastAsia="仿宋_GB2312"/>
          <w:b w:val="0"/>
          <w:bCs w:val="0"/>
          <w:sz w:val="32"/>
          <w:szCs w:val="32"/>
          <w:highlight w:val="none"/>
          <w:lang w:val="en-US" w:eastAsia="zh-CN"/>
        </w:rPr>
      </w:pPr>
      <w:r>
        <w:rPr>
          <w:rFonts w:hint="eastAsia" w:ascii="仿宋_GB2312" w:hAnsi="仿宋" w:eastAsia="仿宋_GB2312"/>
          <w:b w:val="0"/>
          <w:bCs w:val="0"/>
          <w:sz w:val="32"/>
          <w:szCs w:val="32"/>
          <w:highlight w:val="none"/>
          <w:lang w:val="en-US" w:eastAsia="zh-CN"/>
        </w:rPr>
        <w:t>5.</w:t>
      </w:r>
      <w:r>
        <w:rPr>
          <w:rFonts w:hint="eastAsia" w:ascii="仿宋_GB2312" w:hAnsi="Calibri" w:eastAsia="仿宋_GB2312" w:cs="Times New Roman"/>
          <w:color w:val="000000"/>
          <w:sz w:val="32"/>
          <w:szCs w:val="32"/>
          <w:highlight w:val="none"/>
          <w:lang w:val="en"/>
        </w:rPr>
        <w:t>深入城乡社区</w:t>
      </w:r>
      <w:r>
        <w:rPr>
          <w:rFonts w:hint="eastAsia" w:ascii="仿宋_GB2312" w:eastAsia="仿宋_GB2312" w:cs="Times New Roman"/>
          <w:color w:val="000000"/>
          <w:sz w:val="32"/>
          <w:szCs w:val="32"/>
          <w:highlight w:val="none"/>
          <w:lang w:val="en"/>
        </w:rPr>
        <w:t>开展</w:t>
      </w:r>
      <w:r>
        <w:rPr>
          <w:rFonts w:hint="eastAsia" w:ascii="仿宋_GB2312" w:eastAsia="仿宋_GB2312" w:cs="Times New Roman"/>
          <w:color w:val="000000"/>
          <w:sz w:val="32"/>
          <w:szCs w:val="32"/>
          <w:highlight w:val="none"/>
          <w:lang w:eastAsia="zh-CN"/>
        </w:rPr>
        <w:t>“</w:t>
      </w:r>
      <w:r>
        <w:rPr>
          <w:rFonts w:hint="eastAsia" w:ascii="仿宋_GB2312" w:eastAsia="仿宋_GB2312" w:cs="Times New Roman"/>
          <w:color w:val="000000"/>
          <w:sz w:val="32"/>
          <w:szCs w:val="32"/>
          <w:highlight w:val="none"/>
        </w:rPr>
        <w:t>三献</w:t>
      </w:r>
      <w:r>
        <w:rPr>
          <w:rFonts w:hint="eastAsia" w:ascii="仿宋_GB2312" w:eastAsia="仿宋_GB2312" w:cs="Times New Roman"/>
          <w:color w:val="000000"/>
          <w:sz w:val="32"/>
          <w:szCs w:val="32"/>
          <w:highlight w:val="none"/>
          <w:lang w:eastAsia="zh-CN"/>
        </w:rPr>
        <w:t>”</w:t>
      </w:r>
      <w:r>
        <w:rPr>
          <w:rFonts w:hint="eastAsia" w:ascii="仿宋_GB2312" w:eastAsia="仿宋_GB2312" w:cs="Times New Roman"/>
          <w:color w:val="000000"/>
          <w:sz w:val="32"/>
          <w:szCs w:val="32"/>
          <w:highlight w:val="none"/>
        </w:rPr>
        <w:t>科普讲座,并</w:t>
      </w:r>
      <w:r>
        <w:rPr>
          <w:rFonts w:hint="eastAsia" w:ascii="仿宋_GB2312" w:hAnsi="Calibri" w:eastAsia="仿宋_GB2312" w:cs="Times New Roman"/>
          <w:color w:val="000000"/>
          <w:sz w:val="32"/>
          <w:szCs w:val="32"/>
          <w:highlight w:val="none"/>
          <w:lang w:val="en"/>
        </w:rPr>
        <w:t>邀请中央和北京主流媒体参与宣传，</w:t>
      </w:r>
      <w:r>
        <w:rPr>
          <w:rFonts w:hint="eastAsia" w:ascii="仿宋_GB2312" w:eastAsia="仿宋_GB2312" w:cs="Times New Roman"/>
          <w:color w:val="000000"/>
          <w:sz w:val="32"/>
          <w:szCs w:val="32"/>
          <w:highlight w:val="none"/>
          <w:lang w:val="en" w:eastAsia="zh-CN"/>
        </w:rPr>
        <w:t>“</w:t>
      </w:r>
      <w:r>
        <w:rPr>
          <w:rFonts w:hint="eastAsia" w:ascii="仿宋_GB2312" w:hAnsi="Calibri" w:eastAsia="仿宋_GB2312" w:cs="Times New Roman"/>
          <w:color w:val="000000"/>
          <w:sz w:val="32"/>
          <w:szCs w:val="32"/>
          <w:highlight w:val="none"/>
          <w:lang w:val="en"/>
        </w:rPr>
        <w:t>三献”知识社会知晓率不断提升</w:t>
      </w:r>
      <w:r>
        <w:rPr>
          <w:rFonts w:hint="eastAsia" w:ascii="仿宋_GB2312" w:hAnsi="仿宋" w:eastAsia="仿宋_GB2312"/>
          <w:b w:val="0"/>
          <w:bCs w:val="0"/>
          <w:sz w:val="32"/>
          <w:szCs w:val="32"/>
          <w:highlight w:val="none"/>
          <w:lang w:val="en-US" w:eastAsia="zh-CN"/>
        </w:rPr>
        <w:t>。</w:t>
      </w:r>
      <w:r>
        <w:rPr>
          <w:rFonts w:hint="eastAsia" w:ascii="仿宋_GB2312" w:hAnsi="Calibri" w:eastAsia="仿宋_GB2312" w:cs="Times New Roman"/>
          <w:color w:val="000000"/>
          <w:sz w:val="32"/>
          <w:szCs w:val="32"/>
          <w:highlight w:val="none"/>
          <w:lang w:val="en"/>
        </w:rPr>
        <w:t>严把捐献全流程质控关，积极做好对捐献者及其家庭的服务保障、人道关爱、回访和志愿者保留等工作，不断提高造血干细胞捐献志愿者数量、质量和运行效率</w:t>
      </w:r>
      <w:r>
        <w:rPr>
          <w:rFonts w:hint="eastAsia" w:ascii="仿宋_GB2312" w:eastAsia="仿宋_GB2312" w:cs="Times New Roman"/>
          <w:color w:val="000000"/>
          <w:sz w:val="32"/>
          <w:szCs w:val="32"/>
          <w:highlight w:val="none"/>
          <w:lang w:val="en" w:eastAsia="zh-CN"/>
        </w:rPr>
        <w:t>。</w:t>
      </w:r>
    </w:p>
    <w:p w14:paraId="2258A25E">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Style w:val="39"/>
          <w:rFonts w:hint="eastAsia" w:ascii="仿宋_GB2312" w:hAnsi="仿宋_GB2312" w:eastAsia="仿宋_GB2312" w:cs="仿宋_GB2312"/>
          <w:spacing w:val="-6"/>
          <w:kern w:val="32"/>
          <w:sz w:val="32"/>
          <w:szCs w:val="32"/>
          <w:highlight w:val="none"/>
          <w:lang w:eastAsia="zh-CN"/>
        </w:rPr>
      </w:pPr>
      <w:r>
        <w:rPr>
          <w:rFonts w:hint="eastAsia" w:ascii="仿宋_GB2312" w:hAnsi="仿宋" w:eastAsia="仿宋_GB2312"/>
          <w:b w:val="0"/>
          <w:bCs w:val="0"/>
          <w:sz w:val="32"/>
          <w:szCs w:val="32"/>
          <w:highlight w:val="none"/>
          <w:lang w:val="en-US" w:eastAsia="zh-CN"/>
        </w:rPr>
        <w:t>6.进一步加大基层组织建设力度，</w:t>
      </w:r>
      <w:r>
        <w:rPr>
          <w:rFonts w:hint="eastAsia" w:ascii="仿宋_GB2312" w:hAnsi="Calibri" w:eastAsia="仿宋_GB2312" w:cs="Times New Roman"/>
          <w:color w:val="000000"/>
          <w:sz w:val="32"/>
          <w:szCs w:val="32"/>
          <w:highlight w:val="none"/>
        </w:rPr>
        <w:t>在社区、乡村、学校、企事业单位</w:t>
      </w:r>
      <w:r>
        <w:rPr>
          <w:rFonts w:hint="eastAsia" w:ascii="仿宋_GB2312" w:eastAsia="仿宋_GB2312" w:cs="Times New Roman"/>
          <w:color w:val="000000"/>
          <w:sz w:val="32"/>
          <w:szCs w:val="32"/>
          <w:highlight w:val="none"/>
        </w:rPr>
        <w:t>、医疗机构</w:t>
      </w:r>
      <w:r>
        <w:rPr>
          <w:rFonts w:hint="eastAsia" w:ascii="仿宋_GB2312" w:hAnsi="Calibri" w:eastAsia="仿宋_GB2312" w:cs="Times New Roman"/>
          <w:color w:val="000000"/>
          <w:sz w:val="32"/>
          <w:szCs w:val="32"/>
          <w:highlight w:val="none"/>
        </w:rPr>
        <w:t>等发展红十字会基层组织，</w:t>
      </w:r>
      <w:r>
        <w:rPr>
          <w:rFonts w:hint="eastAsia" w:ascii="Times New Roman" w:hAnsi="Times New Roman" w:eastAsia="仿宋_GB2312"/>
          <w:sz w:val="32"/>
          <w:szCs w:val="32"/>
          <w:highlight w:val="none"/>
        </w:rPr>
        <w:t>推动红十字会基层组织与</w:t>
      </w:r>
      <w:r>
        <w:rPr>
          <w:rStyle w:val="39"/>
          <w:rFonts w:hint="eastAsia" w:ascii="仿宋_GB2312" w:hAnsi="仿宋_GB2312" w:eastAsia="仿宋_GB2312" w:cs="仿宋_GB2312"/>
          <w:spacing w:val="-6"/>
          <w:kern w:val="32"/>
          <w:sz w:val="32"/>
          <w:szCs w:val="32"/>
          <w:highlight w:val="none"/>
        </w:rPr>
        <w:t>党群服务中心、新时代文明实践中心融合发展，促进基层组织、阵地、工作有效覆盖</w:t>
      </w:r>
      <w:r>
        <w:rPr>
          <w:rStyle w:val="39"/>
          <w:rFonts w:hint="eastAsia" w:ascii="仿宋_GB2312" w:hAnsi="仿宋_GB2312" w:eastAsia="仿宋_GB2312" w:cs="仿宋_GB2312"/>
          <w:spacing w:val="-6"/>
          <w:kern w:val="32"/>
          <w:sz w:val="32"/>
          <w:szCs w:val="32"/>
          <w:highlight w:val="none"/>
          <w:lang w:eastAsia="zh-CN"/>
        </w:rPr>
        <w:t>。</w:t>
      </w:r>
    </w:p>
    <w:p w14:paraId="1F5B7CFE">
      <w:pPr>
        <w:keepNext w:val="0"/>
        <w:keepLines w:val="0"/>
        <w:pageBreakBefore w:val="0"/>
        <w:widowControl w:val="0"/>
        <w:kinsoku/>
        <w:wordWrap/>
        <w:overflowPunct/>
        <w:topLinePunct w:val="0"/>
        <w:autoSpaceDE/>
        <w:autoSpaceDN/>
        <w:bidi w:val="0"/>
        <w:adjustRightInd/>
        <w:snapToGrid/>
        <w:spacing w:before="0" w:after="0" w:line="360" w:lineRule="auto"/>
        <w:ind w:firstLine="640" w:firstLineChars="200"/>
        <w:textAlignment w:val="auto"/>
        <w:outlineLvl w:val="0"/>
        <w:rPr>
          <w:rFonts w:ascii="仿宋" w:hAnsi="仿宋" w:eastAsia="仿宋" w:cs="仿宋"/>
          <w:b w:val="0"/>
          <w:bCs w:val="0"/>
          <w:sz w:val="32"/>
          <w:szCs w:val="32"/>
          <w:highlight w:val="none"/>
        </w:rPr>
      </w:pPr>
      <w:bookmarkStart w:id="7" w:name="_Toc17310"/>
      <w:r>
        <w:rPr>
          <w:rFonts w:hint="eastAsia" w:ascii="黑体" w:hAnsi="黑体" w:eastAsia="黑体" w:cs="Times New Roman"/>
          <w:b w:val="0"/>
          <w:bCs w:val="0"/>
          <w:sz w:val="32"/>
          <w:szCs w:val="32"/>
          <w:highlight w:val="none"/>
        </w:rPr>
        <w:t>四、预算管理情况分析</w:t>
      </w:r>
      <w:bookmarkEnd w:id="7"/>
    </w:p>
    <w:p w14:paraId="19EDCC2E">
      <w:pPr>
        <w:keepNext w:val="0"/>
        <w:keepLines w:val="0"/>
        <w:pageBreakBefore w:val="0"/>
        <w:widowControl w:val="0"/>
        <w:kinsoku/>
        <w:wordWrap/>
        <w:overflowPunct/>
        <w:topLinePunct w:val="0"/>
        <w:autoSpaceDE/>
        <w:autoSpaceDN/>
        <w:bidi w:val="0"/>
        <w:adjustRightInd/>
        <w:snapToGrid/>
        <w:spacing w:before="0" w:after="0" w:line="360" w:lineRule="auto"/>
        <w:ind w:firstLine="640" w:firstLineChars="200"/>
        <w:textAlignment w:val="auto"/>
        <w:outlineLvl w:val="1"/>
        <w:rPr>
          <w:rFonts w:ascii="楷体" w:hAnsi="楷体" w:eastAsia="楷体"/>
          <w:b w:val="0"/>
          <w:bCs w:val="0"/>
          <w:sz w:val="32"/>
          <w:szCs w:val="32"/>
          <w:highlight w:val="none"/>
        </w:rPr>
      </w:pPr>
      <w:bookmarkStart w:id="8" w:name="_Toc22080"/>
      <w:r>
        <w:rPr>
          <w:rFonts w:hint="eastAsia" w:ascii="楷体" w:hAnsi="楷体" w:eastAsia="楷体" w:cs="Times New Roman"/>
          <w:b w:val="0"/>
          <w:bCs w:val="0"/>
          <w:sz w:val="32"/>
          <w:szCs w:val="32"/>
          <w:highlight w:val="none"/>
        </w:rPr>
        <w:t>（一）财务管理</w:t>
      </w:r>
      <w:bookmarkEnd w:id="8"/>
    </w:p>
    <w:p w14:paraId="30B7022B">
      <w:pPr>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仿宋_GB2312" w:hAnsi="仿宋" w:eastAsia="仿宋_GB2312" w:cs="仿宋"/>
          <w:bCs/>
          <w:sz w:val="32"/>
          <w:szCs w:val="32"/>
          <w:highlight w:val="none"/>
          <w:lang w:eastAsia="zh-CN"/>
        </w:rPr>
      </w:pPr>
      <w:r>
        <w:rPr>
          <w:rFonts w:hint="eastAsia" w:ascii="仿宋_GB2312" w:hAnsi="仿宋" w:eastAsia="仿宋_GB2312" w:cs="仿宋"/>
          <w:bCs/>
          <w:sz w:val="32"/>
          <w:szCs w:val="32"/>
          <w:highlight w:val="none"/>
          <w:lang w:eastAsia="zh-CN"/>
        </w:rPr>
        <w:t>为进一步</w:t>
      </w:r>
      <w:r>
        <w:rPr>
          <w:rFonts w:hint="eastAsia" w:ascii="仿宋_GB2312" w:hAnsi="仿宋" w:eastAsia="仿宋_GB2312" w:cs="仿宋"/>
          <w:bCs/>
          <w:sz w:val="32"/>
          <w:szCs w:val="32"/>
          <w:highlight w:val="none"/>
          <w:lang w:val="en-US" w:eastAsia="zh-CN"/>
        </w:rPr>
        <w:t>提高</w:t>
      </w:r>
      <w:r>
        <w:rPr>
          <w:rFonts w:hint="eastAsia" w:ascii="仿宋_GB2312" w:hAnsi="仿宋" w:eastAsia="仿宋_GB2312" w:cs="仿宋"/>
          <w:bCs/>
          <w:sz w:val="32"/>
          <w:szCs w:val="32"/>
          <w:highlight w:val="none"/>
          <w:lang w:eastAsia="zh-CN"/>
        </w:rPr>
        <w:t>财务管理能力和水平，</w:t>
      </w:r>
      <w:r>
        <w:rPr>
          <w:rFonts w:hint="eastAsia" w:ascii="仿宋_GB2312" w:hAnsi="仿宋" w:eastAsia="仿宋_GB2312"/>
          <w:sz w:val="32"/>
          <w:szCs w:val="32"/>
        </w:rPr>
        <w:t>2024年</w:t>
      </w:r>
      <w:r>
        <w:rPr>
          <w:rFonts w:hint="eastAsia" w:ascii="仿宋_GB2312" w:hAnsi="仿宋" w:eastAsia="仿宋_GB2312"/>
          <w:sz w:val="32"/>
          <w:szCs w:val="32"/>
          <w:lang w:val="en-US" w:eastAsia="zh-CN"/>
        </w:rPr>
        <w:t>我会</w:t>
      </w:r>
      <w:r>
        <w:rPr>
          <w:rFonts w:hint="eastAsia" w:ascii="仿宋_GB2312" w:hAnsi="仿宋" w:eastAsia="仿宋_GB2312"/>
          <w:sz w:val="32"/>
          <w:szCs w:val="32"/>
        </w:rPr>
        <w:t>结合实际，依据上级标准，及时完善了会议、培训、差旅费开支标准。统一以会代训的方式，对年终决算进行了部署，并集中进行了编制会审。全程指导捐献服务中心、救援服务中心进行决算编报，结合政府会计改革，对应收应付科目逐笔进行了清理</w:t>
      </w:r>
      <w:r>
        <w:rPr>
          <w:rFonts w:hint="eastAsia" w:ascii="仿宋_GB2312" w:hAnsi="仿宋" w:eastAsia="仿宋_GB2312"/>
          <w:sz w:val="32"/>
          <w:szCs w:val="32"/>
          <w:lang w:eastAsia="zh-CN"/>
        </w:rPr>
        <w:t>。</w:t>
      </w:r>
      <w:r>
        <w:rPr>
          <w:rFonts w:hint="eastAsia" w:ascii="仿宋_GB2312" w:hAnsi="仿宋" w:eastAsia="仿宋_GB2312" w:cs="仿宋_GB2312"/>
          <w:sz w:val="32"/>
          <w:szCs w:val="32"/>
        </w:rPr>
        <w:t>《北京市红十字会内部控制手册》《</w:t>
      </w:r>
      <w:bookmarkStart w:id="9" w:name="_Toc153682874"/>
      <w:r>
        <w:rPr>
          <w:rFonts w:hint="eastAsia" w:ascii="仿宋_GB2312" w:eastAsia="仿宋_GB2312"/>
          <w:sz w:val="32"/>
          <w:szCs w:val="32"/>
        </w:rPr>
        <w:t>北京市红十字会财务管理</w:t>
      </w:r>
      <w:bookmarkEnd w:id="9"/>
      <w:r>
        <w:rPr>
          <w:rFonts w:hint="eastAsia" w:ascii="仿宋_GB2312" w:eastAsia="仿宋_GB2312"/>
          <w:sz w:val="32"/>
          <w:szCs w:val="32"/>
        </w:rPr>
        <w:t>办法</w:t>
      </w:r>
      <w:r>
        <w:rPr>
          <w:rFonts w:hint="eastAsia" w:ascii="仿宋_GB2312" w:hAnsi="仿宋" w:eastAsia="仿宋_GB2312" w:cs="仿宋_GB2312"/>
          <w:sz w:val="32"/>
          <w:szCs w:val="32"/>
        </w:rPr>
        <w:t>》《</w:t>
      </w:r>
      <w:r>
        <w:rPr>
          <w:rFonts w:hint="eastAsia" w:ascii="仿宋_GB2312" w:eastAsia="仿宋_GB2312"/>
          <w:sz w:val="32"/>
          <w:szCs w:val="32"/>
        </w:rPr>
        <w:t>北京市红十字会财务审批管理若干规定</w:t>
      </w:r>
      <w:r>
        <w:rPr>
          <w:rFonts w:hint="eastAsia" w:ascii="仿宋_GB2312" w:hAnsi="仿宋" w:eastAsia="仿宋_GB2312" w:cs="仿宋_GB2312"/>
          <w:sz w:val="32"/>
          <w:szCs w:val="32"/>
        </w:rPr>
        <w:t>》等财务管理制度基本健全，能够得到有效执行，并且按照规定及时地公开了预决算信息，较好地做到了预算管理的公开化、透明化</w:t>
      </w:r>
      <w:r>
        <w:rPr>
          <w:rFonts w:hint="eastAsia" w:ascii="仿宋_GB2312" w:hAnsi="仿宋" w:eastAsia="仿宋_GB2312" w:cs="仿宋"/>
          <w:bCs/>
          <w:sz w:val="32"/>
          <w:szCs w:val="32"/>
          <w:highlight w:val="none"/>
        </w:rPr>
        <w:t>。</w:t>
      </w:r>
    </w:p>
    <w:p w14:paraId="5EF477DC">
      <w:pPr>
        <w:keepNext w:val="0"/>
        <w:keepLines w:val="0"/>
        <w:pageBreakBefore w:val="0"/>
        <w:widowControl w:val="0"/>
        <w:kinsoku/>
        <w:wordWrap/>
        <w:overflowPunct/>
        <w:topLinePunct w:val="0"/>
        <w:autoSpaceDE/>
        <w:autoSpaceDN/>
        <w:bidi w:val="0"/>
        <w:adjustRightInd/>
        <w:snapToGrid/>
        <w:spacing w:before="0" w:after="0" w:line="360" w:lineRule="auto"/>
        <w:ind w:firstLine="640" w:firstLineChars="200"/>
        <w:textAlignment w:val="auto"/>
        <w:outlineLvl w:val="1"/>
        <w:rPr>
          <w:rFonts w:ascii="楷体" w:hAnsi="楷体" w:eastAsia="楷体"/>
          <w:b w:val="0"/>
          <w:bCs w:val="0"/>
          <w:sz w:val="32"/>
          <w:szCs w:val="32"/>
          <w:highlight w:val="none"/>
        </w:rPr>
      </w:pPr>
      <w:bookmarkStart w:id="10" w:name="_Toc7661"/>
      <w:r>
        <w:rPr>
          <w:rFonts w:hint="eastAsia" w:ascii="楷体" w:hAnsi="楷体" w:eastAsia="楷体" w:cs="Times New Roman"/>
          <w:b w:val="0"/>
          <w:bCs w:val="0"/>
          <w:sz w:val="32"/>
          <w:szCs w:val="32"/>
          <w:highlight w:val="none"/>
        </w:rPr>
        <w:t>（二）资产管理</w:t>
      </w:r>
      <w:bookmarkEnd w:id="10"/>
    </w:p>
    <w:p w14:paraId="7DA210D1">
      <w:pPr>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lang w:val="en-US" w:eastAsia="zh-CN"/>
        </w:rPr>
        <w:t>为保证国有资产的完整、安全，参照财政部门资产管理条例，我会制定了《北京市红十字会固定资产管理办法》，明确了资产的采购、登记、保管、使用以及检查、报废等方面管理要求。资产管理基本做到了保存完整、配置合理、处置规范，资产管理整体比较严格。</w:t>
      </w:r>
    </w:p>
    <w:p w14:paraId="18C37508">
      <w:pPr>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hint="default"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lang w:eastAsia="zh-CN"/>
        </w:rPr>
        <w:t>截至</w:t>
      </w:r>
      <w:r>
        <w:rPr>
          <w:rFonts w:hint="eastAsia" w:ascii="仿宋_GB2312" w:hAnsi="仿宋_GB2312" w:eastAsia="仿宋_GB2312" w:cs="仿宋_GB2312"/>
          <w:color w:val="000000"/>
          <w:sz w:val="32"/>
          <w:szCs w:val="32"/>
          <w:highlight w:val="none"/>
        </w:rPr>
        <w:t>202</w:t>
      </w:r>
      <w:r>
        <w:rPr>
          <w:rFonts w:hint="eastAsia" w:ascii="仿宋_GB2312" w:hAnsi="仿宋_GB2312" w:eastAsia="仿宋_GB2312" w:cs="仿宋_GB2312"/>
          <w:color w:val="000000"/>
          <w:sz w:val="32"/>
          <w:szCs w:val="32"/>
          <w:highlight w:val="none"/>
          <w:lang w:val="en-US" w:eastAsia="zh-CN"/>
        </w:rPr>
        <w:t>4</w:t>
      </w:r>
      <w:r>
        <w:rPr>
          <w:rFonts w:hint="eastAsia" w:ascii="仿宋_GB2312" w:hAnsi="仿宋_GB2312" w:eastAsia="仿宋_GB2312" w:cs="仿宋_GB2312"/>
          <w:color w:val="000000"/>
          <w:sz w:val="32"/>
          <w:szCs w:val="32"/>
          <w:highlight w:val="none"/>
        </w:rPr>
        <w:t>年12月31日，我</w:t>
      </w:r>
      <w:r>
        <w:rPr>
          <w:rFonts w:hint="eastAsia" w:ascii="仿宋_GB2312" w:hAnsi="仿宋_GB2312" w:eastAsia="仿宋_GB2312" w:cs="仿宋_GB2312"/>
          <w:color w:val="000000"/>
          <w:sz w:val="32"/>
          <w:szCs w:val="32"/>
          <w:highlight w:val="none"/>
          <w:lang w:val="en-US" w:eastAsia="zh-CN"/>
        </w:rPr>
        <w:t>会固定</w:t>
      </w:r>
      <w:r>
        <w:rPr>
          <w:rFonts w:hint="eastAsia" w:ascii="仿宋_GB2312" w:hAnsi="仿宋_GB2312" w:eastAsia="仿宋_GB2312" w:cs="仿宋_GB2312"/>
          <w:color w:val="000000"/>
          <w:sz w:val="32"/>
          <w:szCs w:val="32"/>
          <w:highlight w:val="none"/>
        </w:rPr>
        <w:t>资产总额（账面净值，下同）</w:t>
      </w:r>
      <w:r>
        <w:rPr>
          <w:rFonts w:hint="eastAsia" w:ascii="仿宋_GB2312" w:eastAsia="仿宋_GB2312"/>
          <w:kern w:val="0"/>
          <w:sz w:val="32"/>
          <w:szCs w:val="32"/>
          <w:lang w:val="en-US" w:eastAsia="zh-CN"/>
        </w:rPr>
        <w:t>5,638.91</w:t>
      </w:r>
      <w:r>
        <w:rPr>
          <w:rFonts w:hint="eastAsia" w:ascii="仿宋_GB2312" w:hAnsi="仿宋_GB2312" w:eastAsia="仿宋_GB2312" w:cs="仿宋_GB2312"/>
          <w:color w:val="000000"/>
          <w:sz w:val="32"/>
          <w:szCs w:val="32"/>
          <w:highlight w:val="none"/>
        </w:rPr>
        <w:t>万元，其中：房屋</w:t>
      </w:r>
      <w:r>
        <w:rPr>
          <w:rFonts w:hint="eastAsia" w:ascii="仿宋_GB2312" w:hAnsi="仿宋_GB2312" w:eastAsia="仿宋_GB2312" w:cs="仿宋_GB2312"/>
          <w:color w:val="000000"/>
          <w:sz w:val="32"/>
          <w:szCs w:val="32"/>
          <w:highlight w:val="none"/>
          <w:lang w:val="en-US" w:eastAsia="zh-CN"/>
        </w:rPr>
        <w:t>和</w:t>
      </w:r>
      <w:r>
        <w:rPr>
          <w:rFonts w:hint="eastAsia" w:ascii="仿宋_GB2312" w:hAnsi="仿宋_GB2312" w:eastAsia="仿宋_GB2312" w:cs="仿宋_GB2312"/>
          <w:color w:val="000000"/>
          <w:sz w:val="32"/>
          <w:szCs w:val="32"/>
          <w:highlight w:val="none"/>
        </w:rPr>
        <w:t>构筑物</w:t>
      </w:r>
      <w:r>
        <w:rPr>
          <w:rFonts w:hint="eastAsia" w:ascii="仿宋_GB2312" w:eastAsia="仿宋_GB2312"/>
          <w:kern w:val="0"/>
          <w:sz w:val="32"/>
          <w:szCs w:val="32"/>
        </w:rPr>
        <w:t>2</w:t>
      </w:r>
      <w:r>
        <w:rPr>
          <w:rFonts w:hint="eastAsia" w:ascii="仿宋_GB2312" w:eastAsia="仿宋_GB2312"/>
          <w:kern w:val="0"/>
          <w:sz w:val="32"/>
          <w:szCs w:val="32"/>
          <w:lang w:val="en-US" w:eastAsia="zh-CN"/>
        </w:rPr>
        <w:t>33</w:t>
      </w:r>
      <w:r>
        <w:rPr>
          <w:rFonts w:hint="eastAsia" w:ascii="仿宋_GB2312" w:eastAsia="仿宋_GB2312"/>
          <w:kern w:val="0"/>
          <w:sz w:val="32"/>
          <w:szCs w:val="32"/>
        </w:rPr>
        <w:t>.</w:t>
      </w:r>
      <w:r>
        <w:rPr>
          <w:rFonts w:hint="eastAsia" w:ascii="仿宋_GB2312" w:eastAsia="仿宋_GB2312"/>
          <w:kern w:val="0"/>
          <w:sz w:val="32"/>
          <w:szCs w:val="32"/>
          <w:lang w:val="en-US" w:eastAsia="zh-CN"/>
        </w:rPr>
        <w:t>20</w:t>
      </w:r>
      <w:r>
        <w:rPr>
          <w:rFonts w:hint="eastAsia" w:ascii="仿宋_GB2312" w:hAnsi="仿宋_GB2312" w:eastAsia="仿宋_GB2312" w:cs="仿宋_GB2312"/>
          <w:color w:val="000000"/>
          <w:sz w:val="32"/>
          <w:szCs w:val="32"/>
          <w:highlight w:val="none"/>
        </w:rPr>
        <w:t>万元，</w:t>
      </w:r>
      <w:r>
        <w:rPr>
          <w:rFonts w:hint="eastAsia" w:ascii="仿宋_GB2312" w:hAnsi="仿宋_GB2312" w:eastAsia="仿宋_GB2312" w:cs="仿宋_GB2312"/>
          <w:color w:val="000000"/>
          <w:sz w:val="32"/>
          <w:szCs w:val="32"/>
          <w:highlight w:val="none"/>
          <w:lang w:val="en-US" w:eastAsia="zh-CN"/>
        </w:rPr>
        <w:t>设备5</w:t>
      </w:r>
      <w:r>
        <w:rPr>
          <w:rFonts w:hint="eastAsia" w:ascii="仿宋_GB2312" w:eastAsia="仿宋_GB2312"/>
          <w:kern w:val="0"/>
          <w:sz w:val="32"/>
          <w:szCs w:val="32"/>
        </w:rPr>
        <w:t>,</w:t>
      </w:r>
      <w:r>
        <w:rPr>
          <w:rFonts w:hint="eastAsia" w:ascii="仿宋_GB2312" w:eastAsia="仿宋_GB2312"/>
          <w:kern w:val="0"/>
          <w:sz w:val="32"/>
          <w:szCs w:val="32"/>
          <w:lang w:val="en-US" w:eastAsia="zh-CN"/>
        </w:rPr>
        <w:t>237</w:t>
      </w:r>
      <w:r>
        <w:rPr>
          <w:rFonts w:hint="eastAsia" w:ascii="仿宋_GB2312" w:eastAsia="仿宋_GB2312"/>
          <w:kern w:val="0"/>
          <w:sz w:val="32"/>
          <w:szCs w:val="32"/>
        </w:rPr>
        <w:t>.</w:t>
      </w:r>
      <w:r>
        <w:rPr>
          <w:rFonts w:hint="eastAsia" w:ascii="仿宋_GB2312" w:eastAsia="仿宋_GB2312"/>
          <w:kern w:val="0"/>
          <w:sz w:val="32"/>
          <w:szCs w:val="32"/>
          <w:lang w:val="en-US" w:eastAsia="zh-CN"/>
        </w:rPr>
        <w:t>47</w:t>
      </w:r>
      <w:r>
        <w:rPr>
          <w:rFonts w:hint="eastAsia" w:ascii="仿宋_GB2312" w:hAnsi="仿宋_GB2312" w:eastAsia="仿宋_GB2312" w:cs="仿宋_GB2312"/>
          <w:color w:val="000000"/>
          <w:sz w:val="32"/>
          <w:szCs w:val="32"/>
          <w:highlight w:val="none"/>
          <w:lang w:val="en-US" w:eastAsia="zh-CN"/>
        </w:rPr>
        <w:t>万元，家具和用具</w:t>
      </w:r>
      <w:r>
        <w:rPr>
          <w:rFonts w:hint="eastAsia" w:ascii="仿宋_GB2312" w:eastAsia="仿宋_GB2312"/>
          <w:kern w:val="0"/>
          <w:sz w:val="32"/>
          <w:szCs w:val="32"/>
          <w:lang w:val="en-US" w:eastAsia="zh-CN"/>
        </w:rPr>
        <w:t>168.24</w:t>
      </w:r>
      <w:r>
        <w:rPr>
          <w:rFonts w:hint="eastAsia" w:ascii="仿宋_GB2312" w:hAnsi="仿宋_GB2312" w:eastAsia="仿宋_GB2312" w:cs="仿宋_GB2312"/>
          <w:color w:val="000000"/>
          <w:sz w:val="32"/>
          <w:szCs w:val="32"/>
          <w:highlight w:val="none"/>
          <w:lang w:val="en-US" w:eastAsia="zh-CN"/>
        </w:rPr>
        <w:t>万元</w:t>
      </w:r>
      <w:r>
        <w:rPr>
          <w:rFonts w:hint="eastAsia" w:ascii="仿宋_GB2312" w:hAnsi="仿宋_GB2312" w:eastAsia="仿宋_GB2312" w:cs="仿宋_GB2312"/>
          <w:color w:val="000000"/>
          <w:sz w:val="32"/>
          <w:szCs w:val="32"/>
          <w:highlight w:val="none"/>
        </w:rPr>
        <w:t>。无出租、出借、对外投资的国有资产。</w:t>
      </w:r>
      <w:r>
        <w:rPr>
          <w:rFonts w:hint="eastAsia" w:ascii="仿宋_GB2312" w:hAnsi="仿宋_GB2312" w:eastAsia="仿宋_GB2312" w:cs="仿宋_GB2312"/>
          <w:color w:val="000000"/>
          <w:sz w:val="32"/>
          <w:szCs w:val="32"/>
          <w:highlight w:val="none"/>
          <w:lang w:val="en-US" w:eastAsia="zh-CN"/>
        </w:rPr>
        <w:t>无形资产总额60.03万元。</w:t>
      </w:r>
    </w:p>
    <w:p w14:paraId="4722A53B">
      <w:pPr>
        <w:keepNext w:val="0"/>
        <w:keepLines w:val="0"/>
        <w:pageBreakBefore w:val="0"/>
        <w:widowControl w:val="0"/>
        <w:kinsoku/>
        <w:wordWrap/>
        <w:overflowPunct/>
        <w:topLinePunct w:val="0"/>
        <w:autoSpaceDE/>
        <w:autoSpaceDN/>
        <w:bidi w:val="0"/>
        <w:adjustRightInd/>
        <w:snapToGrid/>
        <w:spacing w:before="0" w:after="0" w:line="360" w:lineRule="auto"/>
        <w:ind w:firstLine="640" w:firstLineChars="200"/>
        <w:textAlignment w:val="auto"/>
        <w:outlineLvl w:val="1"/>
        <w:rPr>
          <w:rFonts w:ascii="楷体" w:hAnsi="楷体" w:eastAsia="楷体"/>
          <w:b w:val="0"/>
          <w:bCs w:val="0"/>
          <w:sz w:val="32"/>
          <w:szCs w:val="32"/>
          <w:highlight w:val="none"/>
        </w:rPr>
      </w:pPr>
      <w:bookmarkStart w:id="11" w:name="_Toc24219"/>
      <w:r>
        <w:rPr>
          <w:rFonts w:hint="eastAsia" w:ascii="楷体" w:hAnsi="楷体" w:eastAsia="楷体" w:cs="Times New Roman"/>
          <w:b w:val="0"/>
          <w:bCs w:val="0"/>
          <w:sz w:val="32"/>
          <w:szCs w:val="32"/>
          <w:highlight w:val="none"/>
        </w:rPr>
        <w:t>（三）绩效管理</w:t>
      </w:r>
      <w:bookmarkEnd w:id="11"/>
    </w:p>
    <w:p w14:paraId="6EA61DFA">
      <w:pPr>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lang w:val="en-US" w:eastAsia="zh-CN"/>
        </w:rPr>
        <w:t>我</w:t>
      </w:r>
      <w:r>
        <w:rPr>
          <w:rFonts w:hint="eastAsia" w:ascii="仿宋_GB2312" w:hAnsi="仿宋_GB2312" w:eastAsia="仿宋_GB2312" w:cs="仿宋_GB2312"/>
          <w:color w:val="000000"/>
          <w:sz w:val="32"/>
          <w:szCs w:val="32"/>
          <w:highlight w:val="none"/>
        </w:rPr>
        <w:t>会成立了绩效评价领导小组，负责绩效评价工作的组织与协调，为部门整体支出绩效评价工作提供了较好的组织机构保障。委托第三方中介机构</w:t>
      </w:r>
      <w:r>
        <w:rPr>
          <w:rFonts w:hint="eastAsia" w:ascii="仿宋_GB2312" w:hAnsi="仿宋_GB2312" w:eastAsia="仿宋_GB2312" w:cs="仿宋_GB2312"/>
          <w:color w:val="000000"/>
          <w:sz w:val="32"/>
          <w:szCs w:val="32"/>
          <w:highlight w:val="none"/>
          <w:lang w:val="en-US" w:eastAsia="zh-CN"/>
        </w:rPr>
        <w:t>协助开展全过程预算绩效管理</w:t>
      </w:r>
      <w:r>
        <w:rPr>
          <w:rFonts w:hint="eastAsia" w:ascii="仿宋_GB2312" w:hAnsi="仿宋_GB2312" w:eastAsia="仿宋_GB2312" w:cs="仿宋_GB2312"/>
          <w:color w:val="000000"/>
          <w:sz w:val="32"/>
          <w:szCs w:val="32"/>
          <w:highlight w:val="none"/>
        </w:rPr>
        <w:t>，对半年和全年的</w:t>
      </w:r>
      <w:r>
        <w:rPr>
          <w:rFonts w:hint="eastAsia" w:ascii="仿宋_GB2312" w:hAnsi="仿宋_GB2312" w:eastAsia="仿宋_GB2312" w:cs="仿宋_GB2312"/>
          <w:color w:val="000000"/>
          <w:sz w:val="32"/>
          <w:szCs w:val="32"/>
          <w:highlight w:val="none"/>
          <w:lang w:val="en-US" w:eastAsia="zh-CN"/>
        </w:rPr>
        <w:t>预算</w:t>
      </w:r>
      <w:r>
        <w:rPr>
          <w:rFonts w:hint="eastAsia" w:ascii="仿宋_GB2312" w:hAnsi="仿宋_GB2312" w:eastAsia="仿宋_GB2312" w:cs="仿宋_GB2312"/>
          <w:color w:val="000000"/>
          <w:sz w:val="32"/>
          <w:szCs w:val="32"/>
          <w:highlight w:val="none"/>
        </w:rPr>
        <w:t>执行情况及</w:t>
      </w:r>
      <w:r>
        <w:rPr>
          <w:rFonts w:hint="eastAsia" w:ascii="仿宋_GB2312" w:hAnsi="仿宋_GB2312" w:eastAsia="仿宋_GB2312" w:cs="仿宋_GB2312"/>
          <w:color w:val="000000"/>
          <w:sz w:val="32"/>
          <w:szCs w:val="32"/>
          <w:highlight w:val="none"/>
          <w:lang w:val="en-US" w:eastAsia="zh-CN"/>
        </w:rPr>
        <w:t>发现</w:t>
      </w:r>
      <w:r>
        <w:rPr>
          <w:rFonts w:hint="eastAsia" w:ascii="仿宋_GB2312" w:hAnsi="仿宋_GB2312" w:eastAsia="仿宋_GB2312" w:cs="仿宋_GB2312"/>
          <w:color w:val="000000"/>
          <w:sz w:val="32"/>
          <w:szCs w:val="32"/>
          <w:highlight w:val="none"/>
        </w:rPr>
        <w:t>的问题进行汇总。筹资与财务</w:t>
      </w:r>
      <w:r>
        <w:rPr>
          <w:rFonts w:hint="eastAsia" w:ascii="仿宋_GB2312" w:hAnsi="仿宋_GB2312" w:eastAsia="仿宋_GB2312" w:cs="仿宋_GB2312"/>
          <w:color w:val="000000"/>
          <w:sz w:val="32"/>
          <w:szCs w:val="32"/>
          <w:highlight w:val="none"/>
          <w:lang w:val="en-US" w:eastAsia="zh-CN"/>
        </w:rPr>
        <w:t>部</w:t>
      </w:r>
      <w:r>
        <w:rPr>
          <w:rFonts w:hint="eastAsia" w:ascii="仿宋_GB2312" w:hAnsi="仿宋_GB2312" w:eastAsia="仿宋_GB2312" w:cs="仿宋_GB2312"/>
          <w:color w:val="000000"/>
          <w:sz w:val="32"/>
          <w:szCs w:val="32"/>
          <w:highlight w:val="none"/>
        </w:rPr>
        <w:t>定期根据项目的进展情况，向主管领导进行工作汇报，督促各部室及单位的预算执行</w:t>
      </w:r>
      <w:r>
        <w:rPr>
          <w:rFonts w:hint="eastAsia" w:ascii="仿宋_GB2312" w:hAnsi="仿宋_GB2312" w:eastAsia="仿宋_GB2312" w:cs="仿宋_GB2312"/>
          <w:color w:val="000000"/>
          <w:sz w:val="32"/>
          <w:szCs w:val="32"/>
          <w:highlight w:val="none"/>
          <w:lang w:val="en-US" w:eastAsia="zh-CN"/>
        </w:rPr>
        <w:t>进度</w:t>
      </w:r>
      <w:r>
        <w:rPr>
          <w:rFonts w:hint="eastAsia" w:ascii="仿宋_GB2312" w:hAnsi="仿宋_GB2312" w:eastAsia="仿宋_GB2312" w:cs="仿宋_GB2312"/>
          <w:color w:val="000000"/>
          <w:sz w:val="32"/>
          <w:szCs w:val="32"/>
          <w:highlight w:val="none"/>
        </w:rPr>
        <w:t>。</w:t>
      </w:r>
    </w:p>
    <w:p w14:paraId="4D741B64">
      <w:pPr>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总体来看，</w:t>
      </w:r>
      <w:r>
        <w:rPr>
          <w:rFonts w:hint="eastAsia" w:ascii="仿宋_GB2312" w:hAnsi="仿宋_GB2312" w:eastAsia="仿宋_GB2312" w:cs="仿宋_GB2312"/>
          <w:color w:val="000000"/>
          <w:sz w:val="32"/>
          <w:szCs w:val="32"/>
          <w:highlight w:val="none"/>
          <w:lang w:val="en-US" w:eastAsia="zh-CN"/>
        </w:rPr>
        <w:t>我</w:t>
      </w:r>
      <w:r>
        <w:rPr>
          <w:rFonts w:hint="eastAsia" w:ascii="仿宋_GB2312" w:hAnsi="仿宋_GB2312" w:eastAsia="仿宋_GB2312" w:cs="仿宋_GB2312"/>
          <w:color w:val="000000"/>
          <w:sz w:val="32"/>
          <w:szCs w:val="32"/>
          <w:highlight w:val="none"/>
        </w:rPr>
        <w:t>会已经建立了</w:t>
      </w:r>
      <w:r>
        <w:rPr>
          <w:rFonts w:hint="eastAsia" w:ascii="仿宋_GB2312" w:hAnsi="仿宋_GB2312" w:eastAsia="仿宋_GB2312" w:cs="仿宋_GB2312"/>
          <w:color w:val="000000"/>
          <w:sz w:val="32"/>
          <w:szCs w:val="32"/>
          <w:highlight w:val="none"/>
          <w:lang w:val="en-US" w:eastAsia="zh-CN"/>
        </w:rPr>
        <w:t>预算</w:t>
      </w:r>
      <w:r>
        <w:rPr>
          <w:rFonts w:hint="eastAsia" w:ascii="仿宋_GB2312" w:hAnsi="仿宋_GB2312" w:eastAsia="仿宋_GB2312" w:cs="仿宋_GB2312"/>
          <w:color w:val="000000"/>
          <w:sz w:val="32"/>
          <w:szCs w:val="32"/>
          <w:highlight w:val="none"/>
        </w:rPr>
        <w:t>绩效管理体系，设置了相关的管控手段，在绩效管理方面做出了一定的</w:t>
      </w:r>
      <w:r>
        <w:rPr>
          <w:rFonts w:hint="eastAsia" w:ascii="仿宋_GB2312" w:hAnsi="仿宋_GB2312" w:eastAsia="仿宋_GB2312" w:cs="仿宋_GB2312"/>
          <w:color w:val="000000"/>
          <w:sz w:val="32"/>
          <w:szCs w:val="32"/>
          <w:highlight w:val="none"/>
          <w:lang w:val="en-US" w:eastAsia="zh-CN"/>
        </w:rPr>
        <w:t>成绩</w:t>
      </w:r>
      <w:r>
        <w:rPr>
          <w:rFonts w:hint="eastAsia" w:ascii="仿宋_GB2312" w:hAnsi="仿宋_GB2312" w:eastAsia="仿宋_GB2312" w:cs="仿宋_GB2312"/>
          <w:color w:val="000000"/>
          <w:sz w:val="32"/>
          <w:szCs w:val="32"/>
          <w:highlight w:val="none"/>
        </w:rPr>
        <w:t>。</w:t>
      </w:r>
    </w:p>
    <w:p w14:paraId="24F2EF09">
      <w:pPr>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一是强化目标管理，根据20</w:t>
      </w:r>
      <w:r>
        <w:rPr>
          <w:rFonts w:hint="eastAsia" w:ascii="仿宋_GB2312" w:hAnsi="仿宋_GB2312" w:eastAsia="仿宋_GB2312" w:cs="仿宋_GB2312"/>
          <w:color w:val="000000"/>
          <w:sz w:val="32"/>
          <w:szCs w:val="32"/>
          <w:highlight w:val="none"/>
          <w:lang w:val="en-US" w:eastAsia="zh-CN"/>
        </w:rPr>
        <w:t>24</w:t>
      </w:r>
      <w:r>
        <w:rPr>
          <w:rFonts w:hint="eastAsia" w:ascii="仿宋_GB2312" w:hAnsi="仿宋_GB2312" w:eastAsia="仿宋_GB2312" w:cs="仿宋_GB2312"/>
          <w:color w:val="000000"/>
          <w:sz w:val="32"/>
          <w:szCs w:val="32"/>
          <w:highlight w:val="none"/>
        </w:rPr>
        <w:t>年度部门工作任务及工作重点，明确本部门财政支出绩效目标，作为本部门绩效管理工作的依据。</w:t>
      </w:r>
    </w:p>
    <w:p w14:paraId="654EBABA">
      <w:pPr>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二是细化分解工作任务，依据单位职责分工，将年度任务分解到相关部门，并明确责任人和任务要求。</w:t>
      </w:r>
    </w:p>
    <w:p w14:paraId="1A5ABC5A">
      <w:pPr>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default"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lang w:val="en-US" w:eastAsia="zh-CN"/>
        </w:rPr>
        <w:t>三是项目绩效自评，</w:t>
      </w:r>
      <w:r>
        <w:rPr>
          <w:rFonts w:hint="eastAsia" w:ascii="仿宋_GB2312" w:hAnsi="Times New Roman" w:eastAsia="仿宋_GB2312" w:cs="Times New Roman"/>
          <w:sz w:val="32"/>
          <w:szCs w:val="32"/>
          <w:highlight w:val="none"/>
        </w:rPr>
        <w:t>对202</w:t>
      </w:r>
      <w:r>
        <w:rPr>
          <w:rFonts w:hint="eastAsia" w:ascii="仿宋_GB2312" w:hAnsi="Times New Roman" w:eastAsia="仿宋_GB2312" w:cs="Times New Roman"/>
          <w:sz w:val="32"/>
          <w:szCs w:val="32"/>
          <w:highlight w:val="none"/>
          <w:lang w:val="en-US" w:eastAsia="zh-CN"/>
        </w:rPr>
        <w:t>4</w:t>
      </w:r>
      <w:r>
        <w:rPr>
          <w:rFonts w:hint="eastAsia" w:ascii="仿宋_GB2312" w:hAnsi="Times New Roman" w:eastAsia="仿宋_GB2312" w:cs="Times New Roman"/>
          <w:sz w:val="32"/>
          <w:szCs w:val="32"/>
          <w:highlight w:val="none"/>
        </w:rPr>
        <w:t>年度部门项目支出实施了绩效评价，评价项目</w:t>
      </w:r>
      <w:r>
        <w:rPr>
          <w:rFonts w:hint="eastAsia" w:ascii="仿宋_GB2312" w:hAnsi="Times New Roman" w:eastAsia="仿宋_GB2312" w:cs="Times New Roman"/>
          <w:sz w:val="32"/>
          <w:szCs w:val="32"/>
          <w:highlight w:val="none"/>
          <w:lang w:val="en-US" w:eastAsia="zh-CN"/>
        </w:rPr>
        <w:t>47</w:t>
      </w:r>
      <w:r>
        <w:rPr>
          <w:rFonts w:hint="eastAsia" w:ascii="仿宋_GB2312" w:hAnsi="Times New Roman" w:eastAsia="仿宋_GB2312" w:cs="Times New Roman"/>
          <w:sz w:val="32"/>
          <w:szCs w:val="32"/>
          <w:highlight w:val="none"/>
        </w:rPr>
        <w:t>个，占部门项目总数的</w:t>
      </w:r>
      <w:r>
        <w:rPr>
          <w:rFonts w:hint="eastAsia" w:ascii="仿宋_GB2312" w:eastAsia="仿宋_GB2312"/>
          <w:sz w:val="32"/>
          <w:szCs w:val="32"/>
          <w:highlight w:val="none"/>
          <w:lang w:val="en-US" w:eastAsia="zh-CN"/>
        </w:rPr>
        <w:t>100</w:t>
      </w:r>
      <w:r>
        <w:rPr>
          <w:rFonts w:hint="eastAsia" w:ascii="仿宋_GB2312" w:hAnsi="Times New Roman" w:eastAsia="仿宋_GB2312" w:cs="Times New Roman"/>
          <w:sz w:val="32"/>
          <w:szCs w:val="32"/>
          <w:highlight w:val="none"/>
        </w:rPr>
        <w:t>%，涉及金额</w:t>
      </w:r>
      <w:r>
        <w:rPr>
          <w:rFonts w:hint="eastAsia" w:ascii="仿宋_GB2312" w:eastAsia="仿宋_GB2312"/>
          <w:sz w:val="32"/>
          <w:szCs w:val="32"/>
          <w:highlight w:val="none"/>
          <w:lang w:val="en-US" w:eastAsia="zh-CN"/>
        </w:rPr>
        <w:t>17,919.88</w:t>
      </w:r>
      <w:r>
        <w:rPr>
          <w:rFonts w:hint="eastAsia" w:ascii="仿宋_GB2312" w:hAnsi="Times New Roman" w:eastAsia="仿宋_GB2312" w:cs="Times New Roman"/>
          <w:sz w:val="32"/>
          <w:szCs w:val="32"/>
          <w:highlight w:val="none"/>
          <w:lang w:val="en-US" w:eastAsia="zh-CN"/>
        </w:rPr>
        <w:t>万</w:t>
      </w:r>
      <w:r>
        <w:rPr>
          <w:rFonts w:hint="eastAsia" w:ascii="仿宋_GB2312" w:hAnsi="Times New Roman" w:eastAsia="仿宋_GB2312" w:cs="Times New Roman"/>
          <w:sz w:val="32"/>
          <w:szCs w:val="32"/>
          <w:highlight w:val="none"/>
        </w:rPr>
        <w:t>元。</w:t>
      </w:r>
    </w:p>
    <w:p w14:paraId="0B70ACE3">
      <w:pPr>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default" w:ascii="仿宋_GB2312" w:hAnsi="仿宋_GB2312" w:eastAsia="仿宋_GB2312" w:cs="仿宋_GB2312"/>
          <w:color w:val="000000"/>
          <w:sz w:val="32"/>
          <w:szCs w:val="32"/>
          <w:highlight w:val="none"/>
          <w:lang w:val="en-US"/>
        </w:rPr>
      </w:pPr>
      <w:r>
        <w:rPr>
          <w:rFonts w:hint="eastAsia" w:ascii="仿宋_GB2312" w:hAnsi="仿宋_GB2312" w:eastAsia="仿宋_GB2312" w:cs="仿宋_GB2312"/>
          <w:color w:val="000000"/>
          <w:sz w:val="32"/>
          <w:szCs w:val="32"/>
          <w:highlight w:val="none"/>
          <w:lang w:val="en-US" w:eastAsia="zh-CN"/>
        </w:rPr>
        <w:t>四</w:t>
      </w:r>
      <w:r>
        <w:rPr>
          <w:rFonts w:hint="eastAsia" w:ascii="仿宋_GB2312" w:hAnsi="仿宋_GB2312" w:eastAsia="仿宋_GB2312" w:cs="仿宋_GB2312"/>
          <w:color w:val="000000"/>
          <w:sz w:val="32"/>
          <w:szCs w:val="32"/>
          <w:highlight w:val="none"/>
        </w:rPr>
        <w:t>是</w:t>
      </w:r>
      <w:r>
        <w:rPr>
          <w:rFonts w:hint="eastAsia" w:ascii="仿宋_GB2312" w:hAnsi="仿宋_GB2312" w:eastAsia="仿宋_GB2312"/>
          <w:sz w:val="32"/>
          <w:szCs w:val="32"/>
          <w:lang w:val="en-US" w:eastAsia="zh-CN"/>
        </w:rPr>
        <w:t>绩效运行监控，根据市财政局要求</w:t>
      </w:r>
      <w:r>
        <w:rPr>
          <w:rFonts w:hint="eastAsia" w:ascii="仿宋_GB2312" w:hAnsi="仿宋_GB2312" w:eastAsia="仿宋_GB2312" w:cs="仿宋_GB2312"/>
          <w:sz w:val="32"/>
          <w:szCs w:val="32"/>
          <w:highlight w:val="none"/>
          <w:lang w:val="en-US" w:eastAsia="zh-CN"/>
        </w:rPr>
        <w:t>，</w:t>
      </w:r>
      <w:r>
        <w:rPr>
          <w:rFonts w:hint="eastAsia" w:ascii="仿宋_GB2312" w:eastAsia="仿宋_GB2312"/>
          <w:sz w:val="32"/>
          <w:szCs w:val="32"/>
          <w:lang w:val="en-US" w:eastAsia="zh-CN"/>
        </w:rPr>
        <w:t>对2024年部门预算1-6月份的预算执行和绩效目标实现程度开展绩效监控分析，填报</w:t>
      </w:r>
      <w:r>
        <w:rPr>
          <w:rFonts w:hint="eastAsia" w:ascii="仿宋_GB2312" w:eastAsia="仿宋_GB2312"/>
          <w:sz w:val="32"/>
          <w:szCs w:val="32"/>
          <w:highlight w:val="none"/>
          <w:lang w:val="en-US" w:eastAsia="zh-CN"/>
        </w:rPr>
        <w:t>《市级项目支出绩效目标执行监控汇总表》，并对监控工作发现的问题、下一步改进措施及时总结，形成《项目支出绩效目标执行监控报告》。</w:t>
      </w:r>
    </w:p>
    <w:p w14:paraId="33CA84B9">
      <w:pPr>
        <w:keepNext w:val="0"/>
        <w:keepLines w:val="0"/>
        <w:pageBreakBefore w:val="0"/>
        <w:widowControl w:val="0"/>
        <w:kinsoku/>
        <w:wordWrap/>
        <w:overflowPunct/>
        <w:topLinePunct w:val="0"/>
        <w:autoSpaceDE/>
        <w:autoSpaceDN/>
        <w:bidi w:val="0"/>
        <w:adjustRightInd/>
        <w:snapToGrid/>
        <w:spacing w:before="0" w:after="0" w:line="360" w:lineRule="auto"/>
        <w:ind w:firstLine="640" w:firstLineChars="200"/>
        <w:textAlignment w:val="auto"/>
        <w:outlineLvl w:val="1"/>
        <w:rPr>
          <w:rFonts w:ascii="楷体" w:hAnsi="楷体" w:eastAsia="楷体"/>
          <w:b w:val="0"/>
          <w:bCs w:val="0"/>
          <w:sz w:val="32"/>
          <w:szCs w:val="32"/>
          <w:highlight w:val="none"/>
        </w:rPr>
      </w:pPr>
      <w:bookmarkStart w:id="12" w:name="_Toc21019"/>
      <w:r>
        <w:rPr>
          <w:rFonts w:hint="eastAsia" w:ascii="楷体" w:hAnsi="楷体" w:eastAsia="楷体" w:cs="Times New Roman"/>
          <w:b w:val="0"/>
          <w:bCs w:val="0"/>
          <w:sz w:val="32"/>
          <w:szCs w:val="32"/>
          <w:highlight w:val="none"/>
        </w:rPr>
        <w:t>（四）结转结余率</w:t>
      </w:r>
      <w:bookmarkEnd w:id="12"/>
    </w:p>
    <w:p w14:paraId="6A5D7F3B">
      <w:pPr>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仿宋_GB2312" w:hAnsi="仿宋_GB2312" w:eastAsia="仿宋_GB2312" w:cs="仿宋_GB2312"/>
          <w:color w:val="000000"/>
          <w:sz w:val="32"/>
          <w:szCs w:val="32"/>
          <w:highlight w:val="none"/>
          <w:lang w:eastAsia="zh-CN"/>
        </w:rPr>
      </w:pPr>
      <w:r>
        <w:rPr>
          <w:rFonts w:hint="eastAsia" w:ascii="仿宋_GB2312" w:hAnsi="仿宋_GB2312" w:eastAsia="仿宋_GB2312" w:cs="仿宋_GB2312"/>
          <w:color w:val="000000"/>
          <w:sz w:val="32"/>
          <w:szCs w:val="32"/>
          <w:highlight w:val="none"/>
        </w:rPr>
        <w:t>202</w:t>
      </w:r>
      <w:r>
        <w:rPr>
          <w:rFonts w:hint="eastAsia" w:ascii="仿宋_GB2312" w:hAnsi="仿宋_GB2312" w:eastAsia="仿宋_GB2312" w:cs="仿宋_GB2312"/>
          <w:color w:val="000000"/>
          <w:sz w:val="32"/>
          <w:szCs w:val="32"/>
          <w:highlight w:val="none"/>
          <w:lang w:val="en-US" w:eastAsia="zh-CN"/>
        </w:rPr>
        <w:t>4</w:t>
      </w:r>
      <w:r>
        <w:rPr>
          <w:rFonts w:hint="eastAsia" w:ascii="仿宋_GB2312" w:hAnsi="仿宋_GB2312" w:eastAsia="仿宋_GB2312" w:cs="仿宋_GB2312"/>
          <w:color w:val="000000"/>
          <w:sz w:val="32"/>
          <w:szCs w:val="32"/>
          <w:highlight w:val="none"/>
        </w:rPr>
        <w:t>年末结转结余</w:t>
      </w:r>
      <w:r>
        <w:rPr>
          <w:rFonts w:ascii="仿宋_GB2312" w:hAnsi="仿宋" w:eastAsia="仿宋_GB2312"/>
          <w:sz w:val="32"/>
          <w:szCs w:val="32"/>
          <w:highlight w:val="none"/>
        </w:rPr>
        <w:t>1</w:t>
      </w:r>
      <w:r>
        <w:rPr>
          <w:rFonts w:hint="eastAsia" w:ascii="仿宋_GB2312" w:hAnsi="仿宋" w:eastAsia="仿宋_GB2312"/>
          <w:sz w:val="32"/>
          <w:szCs w:val="32"/>
          <w:highlight w:val="none"/>
          <w:lang w:val="en-US" w:eastAsia="zh-CN"/>
        </w:rPr>
        <w:t>,</w:t>
      </w:r>
      <w:r>
        <w:rPr>
          <w:rFonts w:ascii="仿宋_GB2312" w:hAnsi="仿宋" w:eastAsia="仿宋_GB2312"/>
          <w:sz w:val="32"/>
          <w:szCs w:val="32"/>
          <w:highlight w:val="none"/>
        </w:rPr>
        <w:t>433.51</w:t>
      </w:r>
      <w:r>
        <w:rPr>
          <w:rFonts w:hint="eastAsia" w:ascii="仿宋_GB2312" w:hAnsi="仿宋_GB2312" w:eastAsia="仿宋_GB2312" w:cs="仿宋_GB2312"/>
          <w:color w:val="000000"/>
          <w:sz w:val="32"/>
          <w:szCs w:val="32"/>
          <w:highlight w:val="none"/>
        </w:rPr>
        <w:t>万元，</w:t>
      </w:r>
      <w:r>
        <w:rPr>
          <w:rFonts w:hint="eastAsia" w:ascii="仿宋_GB2312" w:hAnsi="仿宋_GB2312" w:eastAsia="仿宋_GB2312" w:cs="仿宋_GB2312"/>
          <w:color w:val="000000"/>
          <w:sz w:val="32"/>
          <w:szCs w:val="32"/>
          <w:highlight w:val="none"/>
          <w:lang w:val="en-US" w:eastAsia="zh-CN"/>
        </w:rPr>
        <w:t>结转结余率为5.14%，</w:t>
      </w:r>
      <w:r>
        <w:rPr>
          <w:rFonts w:hint="eastAsia" w:ascii="仿宋_GB2312" w:hAnsi="仿宋_GB2312" w:eastAsia="仿宋_GB2312" w:cs="仿宋_GB2312"/>
          <w:color w:val="000000"/>
          <w:sz w:val="32"/>
          <w:szCs w:val="32"/>
          <w:highlight w:val="none"/>
        </w:rPr>
        <w:t>其中：</w:t>
      </w:r>
      <w:r>
        <w:rPr>
          <w:rFonts w:hint="eastAsia" w:ascii="仿宋_GB2312" w:hAnsi="仿宋" w:eastAsia="仿宋_GB2312"/>
          <w:sz w:val="32"/>
          <w:szCs w:val="32"/>
          <w:highlight w:val="none"/>
        </w:rPr>
        <w:t>财政资金</w:t>
      </w:r>
      <w:r>
        <w:rPr>
          <w:rFonts w:ascii="仿宋_GB2312" w:hAnsi="仿宋" w:eastAsia="仿宋_GB2312"/>
          <w:sz w:val="32"/>
          <w:szCs w:val="32"/>
          <w:highlight w:val="none"/>
        </w:rPr>
        <w:t>575.21</w:t>
      </w:r>
      <w:r>
        <w:rPr>
          <w:rFonts w:hint="eastAsia" w:ascii="仿宋_GB2312" w:hAnsi="仿宋" w:eastAsia="仿宋_GB2312"/>
          <w:sz w:val="32"/>
          <w:szCs w:val="32"/>
          <w:highlight w:val="none"/>
        </w:rPr>
        <w:t>万元，</w:t>
      </w:r>
      <w:r>
        <w:rPr>
          <w:rFonts w:ascii="仿宋_GB2312" w:hAnsi="仿宋" w:eastAsia="仿宋_GB2312"/>
          <w:sz w:val="32"/>
          <w:szCs w:val="32"/>
          <w:highlight w:val="none"/>
        </w:rPr>
        <w:t>非财政资金858.3</w:t>
      </w:r>
      <w:r>
        <w:rPr>
          <w:rFonts w:hint="eastAsia" w:ascii="仿宋_GB2312" w:hAnsi="仿宋" w:eastAsia="仿宋_GB2312"/>
          <w:sz w:val="32"/>
          <w:szCs w:val="32"/>
          <w:highlight w:val="none"/>
          <w:lang w:val="en-US" w:eastAsia="zh-CN"/>
        </w:rPr>
        <w:t>0</w:t>
      </w:r>
      <w:r>
        <w:rPr>
          <w:rFonts w:hint="eastAsia" w:ascii="仿宋_GB2312" w:hAnsi="仿宋" w:eastAsia="仿宋_GB2312"/>
          <w:sz w:val="32"/>
          <w:szCs w:val="32"/>
          <w:highlight w:val="none"/>
        </w:rPr>
        <w:t>万元</w:t>
      </w:r>
      <w:r>
        <w:rPr>
          <w:rFonts w:hint="eastAsia" w:ascii="仿宋_GB2312" w:hAnsi="仿宋_GB2312" w:eastAsia="仿宋_GB2312" w:cs="仿宋_GB2312"/>
          <w:color w:val="000000"/>
          <w:sz w:val="32"/>
          <w:szCs w:val="32"/>
          <w:highlight w:val="none"/>
        </w:rPr>
        <w:t>。</w:t>
      </w:r>
      <w:r>
        <w:rPr>
          <w:rFonts w:hint="eastAsia" w:ascii="仿宋_GB2312" w:eastAsia="仿宋_GB2312"/>
          <w:sz w:val="32"/>
          <w:szCs w:val="32"/>
          <w:highlight w:val="none"/>
        </w:rPr>
        <w:t>分单位结转和结余情况</w:t>
      </w:r>
      <w:r>
        <w:rPr>
          <w:rFonts w:hint="eastAsia" w:ascii="仿宋_GB2312" w:eastAsia="仿宋_GB2312"/>
          <w:sz w:val="32"/>
          <w:szCs w:val="32"/>
          <w:highlight w:val="none"/>
          <w:lang w:eastAsia="zh-CN"/>
        </w:rPr>
        <w:t>：市</w:t>
      </w:r>
      <w:r>
        <w:rPr>
          <w:rFonts w:hint="eastAsia" w:ascii="仿宋_GB2312" w:eastAsia="仿宋_GB2312"/>
          <w:sz w:val="32"/>
          <w:szCs w:val="32"/>
          <w:highlight w:val="none"/>
          <w:lang w:val="en-US" w:eastAsia="zh-CN"/>
        </w:rPr>
        <w:t>红十字会</w:t>
      </w:r>
      <w:r>
        <w:rPr>
          <w:rFonts w:hint="eastAsia" w:ascii="仿宋_GB2312" w:eastAsia="仿宋_GB2312"/>
          <w:sz w:val="32"/>
          <w:szCs w:val="32"/>
          <w:highlight w:val="none"/>
          <w:lang w:eastAsia="zh-CN"/>
        </w:rPr>
        <w:t>行政本级</w:t>
      </w:r>
      <w:r>
        <w:rPr>
          <w:rFonts w:hint="eastAsia" w:ascii="仿宋_GB2312" w:eastAsia="仿宋_GB2312"/>
          <w:sz w:val="32"/>
          <w:szCs w:val="32"/>
          <w:highlight w:val="none"/>
          <w:lang w:val="en-US" w:eastAsia="zh-CN"/>
        </w:rPr>
        <w:t>194.76</w:t>
      </w:r>
      <w:r>
        <w:rPr>
          <w:rFonts w:hint="eastAsia" w:ascii="仿宋_GB2312" w:eastAsia="仿宋_GB2312"/>
          <w:sz w:val="32"/>
          <w:szCs w:val="32"/>
          <w:highlight w:val="none"/>
          <w:lang w:eastAsia="zh-CN"/>
        </w:rPr>
        <w:t>万元，应急服务中心</w:t>
      </w:r>
      <w:r>
        <w:rPr>
          <w:rFonts w:hint="eastAsia" w:ascii="仿宋_GB2312" w:eastAsia="仿宋_GB2312"/>
          <w:sz w:val="32"/>
          <w:szCs w:val="32"/>
          <w:highlight w:val="none"/>
          <w:lang w:val="en-US" w:eastAsia="zh-CN"/>
        </w:rPr>
        <w:t>96.00</w:t>
      </w:r>
      <w:r>
        <w:rPr>
          <w:rFonts w:hint="eastAsia" w:ascii="仿宋_GB2312" w:eastAsia="仿宋_GB2312"/>
          <w:sz w:val="32"/>
          <w:szCs w:val="32"/>
          <w:highlight w:val="none"/>
          <w:lang w:eastAsia="zh-CN"/>
        </w:rPr>
        <w:t>万元，捐献服务中心</w:t>
      </w:r>
      <w:r>
        <w:rPr>
          <w:rFonts w:hint="eastAsia" w:ascii="仿宋_GB2312" w:eastAsia="仿宋_GB2312"/>
          <w:sz w:val="32"/>
          <w:szCs w:val="32"/>
          <w:highlight w:val="none"/>
          <w:lang w:val="en-US" w:eastAsia="zh-CN"/>
        </w:rPr>
        <w:t>424.10</w:t>
      </w:r>
      <w:r>
        <w:rPr>
          <w:rFonts w:hint="eastAsia" w:ascii="仿宋_GB2312" w:eastAsia="仿宋_GB2312"/>
          <w:sz w:val="32"/>
          <w:szCs w:val="32"/>
          <w:highlight w:val="none"/>
          <w:lang w:eastAsia="zh-CN"/>
        </w:rPr>
        <w:t>万元；救援服务中心</w:t>
      </w:r>
      <w:r>
        <w:rPr>
          <w:rFonts w:hint="eastAsia" w:ascii="仿宋_GB2312" w:eastAsia="仿宋_GB2312"/>
          <w:sz w:val="32"/>
          <w:szCs w:val="32"/>
          <w:highlight w:val="none"/>
          <w:lang w:val="en-US" w:eastAsia="zh-CN"/>
        </w:rPr>
        <w:t>718.65</w:t>
      </w:r>
      <w:r>
        <w:rPr>
          <w:rFonts w:hint="eastAsia" w:ascii="仿宋_GB2312" w:eastAsia="仿宋_GB2312"/>
          <w:sz w:val="32"/>
          <w:szCs w:val="32"/>
          <w:highlight w:val="none"/>
          <w:lang w:eastAsia="zh-CN"/>
        </w:rPr>
        <w:t>万元</w:t>
      </w:r>
      <w:r>
        <w:rPr>
          <w:rFonts w:hint="eastAsia" w:ascii="仿宋_GB2312" w:hAnsi="仿宋_GB2312" w:eastAsia="仿宋_GB2312" w:cs="仿宋_GB2312"/>
          <w:color w:val="000000"/>
          <w:sz w:val="32"/>
          <w:szCs w:val="32"/>
          <w:highlight w:val="none"/>
        </w:rPr>
        <w:t>。财政拨款资金结转结余</w:t>
      </w:r>
      <w:r>
        <w:rPr>
          <w:rFonts w:hint="eastAsia" w:ascii="仿宋_GB2312" w:hAnsi="仿宋_GB2312" w:eastAsia="仿宋_GB2312" w:cs="仿宋_GB2312"/>
          <w:color w:val="000000"/>
          <w:sz w:val="32"/>
          <w:szCs w:val="32"/>
          <w:highlight w:val="none"/>
          <w:lang w:val="en-US" w:eastAsia="zh-CN"/>
        </w:rPr>
        <w:t>除追加项目经费340.31万元和本级基本经费中福利费13.83万元继续使用外，</w:t>
      </w:r>
      <w:r>
        <w:rPr>
          <w:rFonts w:hint="eastAsia" w:ascii="仿宋_GB2312" w:hAnsi="仿宋_GB2312" w:eastAsia="仿宋_GB2312" w:cs="仿宋_GB2312"/>
          <w:color w:val="000000"/>
          <w:sz w:val="32"/>
          <w:szCs w:val="32"/>
          <w:highlight w:val="none"/>
        </w:rPr>
        <w:t>全部为项目净结余结转和基本经费净结余，由财政统一收回；非财政结转资金结转为项目结转，</w:t>
      </w:r>
      <w:r>
        <w:rPr>
          <w:rFonts w:ascii="仿宋_GB2312" w:hAnsi="仿宋_GB2312" w:eastAsia="仿宋_GB2312" w:cs="仿宋_GB2312"/>
          <w:sz w:val="32"/>
          <w:szCs w:val="32"/>
          <w:highlight w:val="none"/>
          <w:lang w:bidi="ar"/>
        </w:rPr>
        <w:t>已经全部</w:t>
      </w:r>
      <w:r>
        <w:rPr>
          <w:rFonts w:hint="eastAsia" w:ascii="仿宋_GB2312" w:hAnsi="仿宋_GB2312" w:eastAsia="仿宋_GB2312" w:cs="仿宋_GB2312"/>
          <w:sz w:val="32"/>
          <w:szCs w:val="32"/>
          <w:highlight w:val="none"/>
          <w:lang w:bidi="ar"/>
        </w:rPr>
        <w:t>纳入2025年预算中</w:t>
      </w:r>
      <w:r>
        <w:rPr>
          <w:rFonts w:hint="eastAsia" w:ascii="仿宋_GB2312" w:hAnsi="仿宋_GB2312" w:eastAsia="仿宋_GB2312" w:cs="仿宋_GB2312"/>
          <w:color w:val="000000"/>
          <w:sz w:val="32"/>
          <w:szCs w:val="32"/>
          <w:highlight w:val="none"/>
        </w:rPr>
        <w:t>统筹使用</w:t>
      </w:r>
      <w:r>
        <w:rPr>
          <w:rFonts w:hint="eastAsia" w:ascii="仿宋_GB2312" w:hAnsi="仿宋" w:eastAsia="仿宋_GB2312"/>
          <w:sz w:val="32"/>
          <w:szCs w:val="32"/>
          <w:highlight w:val="none"/>
          <w:lang w:eastAsia="zh-CN"/>
        </w:rPr>
        <w:t>。</w:t>
      </w:r>
    </w:p>
    <w:p w14:paraId="7F3024CC">
      <w:pPr>
        <w:keepNext w:val="0"/>
        <w:keepLines w:val="0"/>
        <w:pageBreakBefore w:val="0"/>
        <w:widowControl w:val="0"/>
        <w:kinsoku/>
        <w:wordWrap/>
        <w:overflowPunct/>
        <w:topLinePunct w:val="0"/>
        <w:autoSpaceDE/>
        <w:autoSpaceDN/>
        <w:bidi w:val="0"/>
        <w:adjustRightInd/>
        <w:snapToGrid/>
        <w:spacing w:before="0" w:after="0" w:line="360" w:lineRule="auto"/>
        <w:ind w:firstLine="640" w:firstLineChars="200"/>
        <w:textAlignment w:val="auto"/>
        <w:outlineLvl w:val="1"/>
        <w:rPr>
          <w:rFonts w:hint="eastAsia" w:ascii="楷体" w:hAnsi="楷体" w:eastAsia="楷体" w:cs="Times New Roman"/>
          <w:b w:val="0"/>
          <w:bCs w:val="0"/>
          <w:sz w:val="32"/>
          <w:szCs w:val="32"/>
          <w:highlight w:val="none"/>
          <w:lang w:val="en-US" w:eastAsia="zh-CN"/>
        </w:rPr>
      </w:pPr>
      <w:bookmarkStart w:id="13" w:name="_Toc8431"/>
      <w:r>
        <w:rPr>
          <w:rFonts w:hint="eastAsia" w:ascii="楷体" w:hAnsi="楷体" w:eastAsia="楷体" w:cs="Times New Roman"/>
          <w:b w:val="0"/>
          <w:bCs w:val="0"/>
          <w:sz w:val="32"/>
          <w:szCs w:val="32"/>
          <w:highlight w:val="none"/>
        </w:rPr>
        <w:t>（五）部门预决算差异</w:t>
      </w:r>
      <w:bookmarkEnd w:id="13"/>
      <w:r>
        <w:rPr>
          <w:rFonts w:hint="eastAsia" w:ascii="楷体" w:hAnsi="楷体" w:eastAsia="楷体" w:cs="Times New Roman"/>
          <w:b w:val="0"/>
          <w:bCs w:val="0"/>
          <w:sz w:val="32"/>
          <w:szCs w:val="32"/>
          <w:highlight w:val="none"/>
          <w:lang w:val="en-US" w:eastAsia="zh-CN"/>
        </w:rPr>
        <w:t>率</w:t>
      </w:r>
    </w:p>
    <w:p w14:paraId="3FFD58A5">
      <w:pPr>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202</w:t>
      </w:r>
      <w:r>
        <w:rPr>
          <w:rFonts w:hint="eastAsia" w:ascii="仿宋_GB2312" w:hAnsi="仿宋_GB2312" w:eastAsia="仿宋_GB2312" w:cs="仿宋_GB2312"/>
          <w:color w:val="000000"/>
          <w:sz w:val="32"/>
          <w:szCs w:val="32"/>
          <w:highlight w:val="none"/>
          <w:lang w:val="en-US" w:eastAsia="zh-CN"/>
        </w:rPr>
        <w:t>4</w:t>
      </w:r>
      <w:r>
        <w:rPr>
          <w:rFonts w:hint="eastAsia" w:ascii="仿宋_GB2312" w:hAnsi="仿宋_GB2312" w:eastAsia="仿宋_GB2312" w:cs="仿宋_GB2312"/>
          <w:color w:val="000000"/>
          <w:sz w:val="32"/>
          <w:szCs w:val="32"/>
          <w:highlight w:val="none"/>
        </w:rPr>
        <w:t>年</w:t>
      </w:r>
      <w:r>
        <w:rPr>
          <w:rFonts w:hint="eastAsia" w:ascii="仿宋_GB2312" w:hAnsi="仿宋_GB2312" w:eastAsia="仿宋_GB2312" w:cs="仿宋_GB2312"/>
          <w:color w:val="000000"/>
          <w:sz w:val="32"/>
          <w:szCs w:val="32"/>
          <w:highlight w:val="none"/>
          <w:lang w:val="en-US" w:eastAsia="zh-CN"/>
        </w:rPr>
        <w:t>支出</w:t>
      </w:r>
      <w:r>
        <w:rPr>
          <w:rFonts w:hint="eastAsia" w:ascii="仿宋_GB2312" w:hAnsi="仿宋_GB2312" w:eastAsia="仿宋_GB2312" w:cs="仿宋_GB2312"/>
          <w:color w:val="000000"/>
          <w:sz w:val="32"/>
          <w:szCs w:val="32"/>
          <w:highlight w:val="none"/>
        </w:rPr>
        <w:t>决算</w:t>
      </w:r>
      <w:r>
        <w:rPr>
          <w:rFonts w:hint="eastAsia" w:ascii="仿宋_GB2312" w:hAnsi="仿宋_GB2312" w:eastAsia="仿宋_GB2312" w:cs="仿宋_GB2312"/>
          <w:color w:val="000000"/>
          <w:sz w:val="32"/>
          <w:szCs w:val="32"/>
          <w:highlight w:val="none"/>
          <w:lang w:val="en-US" w:eastAsia="zh-CN"/>
        </w:rPr>
        <w:t>数26,469.72</w:t>
      </w:r>
      <w:r>
        <w:rPr>
          <w:rFonts w:hint="eastAsia" w:ascii="仿宋_GB2312" w:hAnsi="仿宋_GB2312" w:eastAsia="仿宋_GB2312" w:cs="仿宋_GB2312"/>
          <w:color w:val="000000"/>
          <w:sz w:val="32"/>
          <w:szCs w:val="32"/>
          <w:highlight w:val="none"/>
        </w:rPr>
        <w:t>万元，年初预算</w:t>
      </w:r>
      <w:r>
        <w:rPr>
          <w:rFonts w:hint="eastAsia" w:ascii="仿宋_GB2312" w:hAnsi="仿宋_GB2312" w:eastAsia="仿宋_GB2312" w:cs="仿宋_GB2312"/>
          <w:color w:val="000000"/>
          <w:sz w:val="32"/>
          <w:szCs w:val="32"/>
          <w:highlight w:val="none"/>
          <w:lang w:val="en-US" w:eastAsia="zh-CN"/>
        </w:rPr>
        <w:t>数30,855.21</w:t>
      </w:r>
      <w:r>
        <w:rPr>
          <w:rFonts w:hint="eastAsia" w:ascii="仿宋_GB2312" w:hAnsi="仿宋_GB2312" w:eastAsia="仿宋_GB2312" w:cs="仿宋_GB2312"/>
          <w:color w:val="000000"/>
          <w:sz w:val="32"/>
          <w:szCs w:val="32"/>
          <w:highlight w:val="none"/>
        </w:rPr>
        <w:t>万元，部门预决算差异率为</w:t>
      </w:r>
      <w:r>
        <w:rPr>
          <w:rFonts w:hint="eastAsia" w:ascii="仿宋_GB2312" w:hAnsi="仿宋_GB2312" w:eastAsia="仿宋_GB2312" w:cs="仿宋_GB2312"/>
          <w:color w:val="000000"/>
          <w:sz w:val="32"/>
          <w:szCs w:val="32"/>
          <w:highlight w:val="none"/>
          <w:lang w:val="en-US" w:eastAsia="zh-CN"/>
        </w:rPr>
        <w:t>-14.21</w:t>
      </w:r>
      <w:r>
        <w:rPr>
          <w:rFonts w:hint="eastAsia" w:ascii="仿宋_GB2312" w:hAnsi="仿宋_GB2312" w:eastAsia="仿宋_GB2312" w:cs="仿宋_GB2312"/>
          <w:color w:val="000000"/>
          <w:sz w:val="32"/>
          <w:szCs w:val="32"/>
          <w:highlight w:val="none"/>
        </w:rPr>
        <w:t>%，</w:t>
      </w:r>
      <w:r>
        <w:rPr>
          <w:rFonts w:hint="eastAsia" w:ascii="仿宋_GB2312" w:hAnsi="仿宋_GB2312" w:eastAsia="仿宋_GB2312" w:cs="仿宋_GB2312"/>
          <w:color w:val="000000"/>
          <w:sz w:val="32"/>
          <w:szCs w:val="32"/>
          <w:highlight w:val="none"/>
          <w:lang w:val="en-US" w:eastAsia="zh-CN"/>
        </w:rPr>
        <w:t>差异率较大的原因主要是</w:t>
      </w:r>
      <w:r>
        <w:rPr>
          <w:rFonts w:hint="eastAsia" w:ascii="仿宋_GB2312" w:hAnsi="仿宋" w:eastAsia="仿宋_GB2312"/>
          <w:sz w:val="32"/>
          <w:szCs w:val="32"/>
          <w:highlight w:val="none"/>
        </w:rPr>
        <w:t>救援服务中心业务拓展不及预期</w:t>
      </w:r>
      <w:r>
        <w:rPr>
          <w:rFonts w:hint="eastAsia" w:ascii="仿宋_GB2312" w:hAnsi="仿宋" w:eastAsia="仿宋_GB2312"/>
          <w:sz w:val="32"/>
          <w:szCs w:val="32"/>
          <w:highlight w:val="none"/>
          <w:lang w:eastAsia="zh-CN"/>
        </w:rPr>
        <w:t>，</w:t>
      </w:r>
      <w:r>
        <w:rPr>
          <w:rFonts w:hint="eastAsia" w:ascii="仿宋_GB2312" w:hAnsi="仿宋" w:eastAsia="仿宋_GB2312"/>
          <w:sz w:val="32"/>
          <w:szCs w:val="32"/>
          <w:highlight w:val="none"/>
          <w:lang w:val="en-US" w:eastAsia="zh-CN"/>
        </w:rPr>
        <w:t>项目支出调整幅度较大</w:t>
      </w:r>
      <w:r>
        <w:rPr>
          <w:rFonts w:hint="eastAsia" w:ascii="仿宋_GB2312" w:hAnsi="仿宋_GB2312" w:eastAsia="仿宋_GB2312" w:cs="仿宋_GB2312"/>
          <w:color w:val="000000"/>
          <w:sz w:val="32"/>
          <w:szCs w:val="32"/>
          <w:highlight w:val="none"/>
        </w:rPr>
        <w:t>。</w:t>
      </w:r>
    </w:p>
    <w:p w14:paraId="6720CF75">
      <w:pPr>
        <w:keepNext/>
        <w:keepLines/>
        <w:pageBreakBefore w:val="0"/>
        <w:widowControl w:val="0"/>
        <w:kinsoku/>
        <w:wordWrap/>
        <w:overflowPunct/>
        <w:topLinePunct w:val="0"/>
        <w:autoSpaceDE/>
        <w:autoSpaceDN/>
        <w:bidi w:val="0"/>
        <w:adjustRightInd/>
        <w:snapToGrid/>
        <w:spacing w:before="0" w:after="0" w:line="360" w:lineRule="auto"/>
        <w:ind w:firstLine="640" w:firstLineChars="200"/>
        <w:textAlignment w:val="auto"/>
        <w:outlineLvl w:val="0"/>
        <w:rPr>
          <w:rFonts w:hint="eastAsia" w:ascii="黑体" w:hAnsi="黑体" w:eastAsia="黑体" w:cs="Times New Roman"/>
          <w:b w:val="0"/>
          <w:bCs w:val="0"/>
          <w:sz w:val="32"/>
          <w:szCs w:val="32"/>
          <w:highlight w:val="none"/>
        </w:rPr>
      </w:pPr>
      <w:bookmarkStart w:id="14" w:name="_Toc6828"/>
      <w:r>
        <w:rPr>
          <w:rFonts w:hint="eastAsia" w:ascii="黑体" w:hAnsi="黑体" w:eastAsia="黑体" w:cs="Times New Roman"/>
          <w:b w:val="0"/>
          <w:bCs w:val="0"/>
          <w:sz w:val="32"/>
          <w:szCs w:val="32"/>
          <w:highlight w:val="none"/>
          <w:lang w:val="en-US" w:eastAsia="zh-CN"/>
        </w:rPr>
        <w:t>五、</w:t>
      </w:r>
      <w:r>
        <w:rPr>
          <w:rFonts w:hint="eastAsia" w:ascii="黑体" w:hAnsi="黑体" w:eastAsia="黑体" w:cs="Times New Roman"/>
          <w:b w:val="0"/>
          <w:bCs w:val="0"/>
          <w:sz w:val="32"/>
          <w:szCs w:val="32"/>
          <w:highlight w:val="none"/>
        </w:rPr>
        <w:t>总体评价结论</w:t>
      </w:r>
      <w:bookmarkEnd w:id="14"/>
    </w:p>
    <w:p w14:paraId="6235104E">
      <w:pPr>
        <w:keepNext w:val="0"/>
        <w:keepLines w:val="0"/>
        <w:pageBreakBefore w:val="0"/>
        <w:widowControl w:val="0"/>
        <w:kinsoku/>
        <w:wordWrap/>
        <w:overflowPunct/>
        <w:topLinePunct w:val="0"/>
        <w:autoSpaceDE/>
        <w:autoSpaceDN/>
        <w:bidi w:val="0"/>
        <w:adjustRightInd/>
        <w:snapToGrid/>
        <w:spacing w:before="0" w:after="0" w:line="360" w:lineRule="auto"/>
        <w:ind w:firstLine="640" w:firstLineChars="200"/>
        <w:textAlignment w:val="auto"/>
        <w:outlineLvl w:val="1"/>
        <w:rPr>
          <w:rFonts w:hint="eastAsia" w:ascii="楷体" w:hAnsi="楷体" w:eastAsia="楷体" w:cs="Times New Roman"/>
          <w:b w:val="0"/>
          <w:bCs w:val="0"/>
          <w:sz w:val="32"/>
          <w:szCs w:val="32"/>
          <w:highlight w:val="none"/>
          <w:lang w:eastAsia="zh-CN"/>
        </w:rPr>
      </w:pPr>
      <w:bookmarkStart w:id="15" w:name="_Toc5182"/>
      <w:r>
        <w:rPr>
          <w:rFonts w:hint="eastAsia" w:ascii="楷体" w:hAnsi="楷体" w:eastAsia="楷体" w:cs="Times New Roman"/>
          <w:b w:val="0"/>
          <w:bCs w:val="0"/>
          <w:sz w:val="32"/>
          <w:szCs w:val="32"/>
          <w:highlight w:val="none"/>
          <w:lang w:eastAsia="zh-CN"/>
        </w:rPr>
        <w:t>（一）评价得分情况</w:t>
      </w:r>
      <w:bookmarkEnd w:id="15"/>
    </w:p>
    <w:p w14:paraId="278C81C2">
      <w:pPr>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ascii="仿宋_GB2312" w:eastAsia="仿宋_GB2312"/>
          <w:sz w:val="32"/>
          <w:szCs w:val="32"/>
          <w:highlight w:val="none"/>
        </w:rPr>
      </w:pPr>
      <w:r>
        <w:rPr>
          <w:rFonts w:hint="eastAsia" w:ascii="仿宋_GB2312" w:eastAsia="仿宋_GB2312"/>
          <w:sz w:val="32"/>
          <w:szCs w:val="32"/>
          <w:highlight w:val="none"/>
        </w:rPr>
        <w:t>本次</w:t>
      </w:r>
      <w:r>
        <w:rPr>
          <w:rFonts w:hint="eastAsia" w:ascii="仿宋_GB2312" w:eastAsia="仿宋_GB2312"/>
          <w:sz w:val="32"/>
          <w:szCs w:val="32"/>
          <w:highlight w:val="none"/>
          <w:lang w:eastAsia="zh-CN"/>
        </w:rPr>
        <w:t>部门整体</w:t>
      </w:r>
      <w:r>
        <w:rPr>
          <w:rFonts w:hint="eastAsia" w:ascii="仿宋_GB2312" w:eastAsia="仿宋_GB2312"/>
          <w:sz w:val="32"/>
          <w:szCs w:val="32"/>
          <w:highlight w:val="none"/>
        </w:rPr>
        <w:t>绩效评价通过</w:t>
      </w:r>
      <w:r>
        <w:rPr>
          <w:rFonts w:hint="eastAsia" w:ascii="仿宋_GB2312" w:eastAsia="仿宋_GB2312"/>
          <w:sz w:val="32"/>
          <w:szCs w:val="32"/>
          <w:highlight w:val="none"/>
          <w:lang w:eastAsia="zh-CN"/>
        </w:rPr>
        <w:t>资料</w:t>
      </w:r>
      <w:r>
        <w:rPr>
          <w:rFonts w:hint="eastAsia" w:ascii="仿宋_GB2312" w:eastAsia="仿宋_GB2312"/>
          <w:sz w:val="32"/>
          <w:szCs w:val="32"/>
          <w:highlight w:val="none"/>
        </w:rPr>
        <w:t>分析、专家评议等多种方式开展</w:t>
      </w:r>
      <w:r>
        <w:rPr>
          <w:rFonts w:hint="eastAsia" w:ascii="仿宋_GB2312" w:eastAsia="仿宋_GB2312"/>
          <w:sz w:val="32"/>
          <w:szCs w:val="32"/>
          <w:highlight w:val="none"/>
          <w:lang w:eastAsia="zh-CN"/>
        </w:rPr>
        <w:t>了</w:t>
      </w:r>
      <w:r>
        <w:rPr>
          <w:rFonts w:hint="eastAsia" w:ascii="仿宋_GB2312" w:eastAsia="仿宋_GB2312"/>
          <w:sz w:val="32"/>
          <w:szCs w:val="32"/>
          <w:highlight w:val="none"/>
        </w:rPr>
        <w:t>全面</w:t>
      </w:r>
      <w:r>
        <w:rPr>
          <w:rFonts w:hint="eastAsia" w:ascii="仿宋_GB2312" w:eastAsia="仿宋_GB2312"/>
          <w:sz w:val="32"/>
          <w:szCs w:val="32"/>
          <w:highlight w:val="none"/>
          <w:lang w:eastAsia="zh-CN"/>
        </w:rPr>
        <w:t>、系统、客观</w:t>
      </w:r>
      <w:r>
        <w:rPr>
          <w:rFonts w:hint="eastAsia" w:ascii="仿宋_GB2312" w:eastAsia="仿宋_GB2312"/>
          <w:sz w:val="32"/>
          <w:szCs w:val="32"/>
          <w:highlight w:val="none"/>
        </w:rPr>
        <w:t>的分析评价</w:t>
      </w:r>
      <w:r>
        <w:rPr>
          <w:rFonts w:hint="eastAsia" w:ascii="仿宋_GB2312" w:eastAsia="仿宋_GB2312"/>
          <w:sz w:val="32"/>
          <w:szCs w:val="32"/>
          <w:highlight w:val="none"/>
          <w:lang w:eastAsia="zh-CN"/>
        </w:rPr>
        <w:t>，</w:t>
      </w:r>
      <w:r>
        <w:rPr>
          <w:rFonts w:hint="eastAsia" w:ascii="仿宋_GB2312" w:eastAsia="仿宋_GB2312"/>
          <w:b w:val="0"/>
          <w:bCs w:val="0"/>
          <w:sz w:val="32"/>
          <w:szCs w:val="32"/>
          <w:highlight w:val="none"/>
          <w:lang w:eastAsia="zh-CN"/>
        </w:rPr>
        <w:t>最终</w:t>
      </w:r>
      <w:r>
        <w:rPr>
          <w:rFonts w:hint="eastAsia" w:ascii="仿宋_GB2312" w:eastAsia="仿宋_GB2312"/>
          <w:b w:val="0"/>
          <w:bCs w:val="0"/>
          <w:sz w:val="32"/>
          <w:szCs w:val="32"/>
          <w:highlight w:val="none"/>
        </w:rPr>
        <w:t>得分为</w:t>
      </w:r>
      <w:r>
        <w:rPr>
          <w:rFonts w:hint="eastAsia" w:ascii="仿宋_GB2312" w:eastAsia="仿宋_GB2312"/>
          <w:b w:val="0"/>
          <w:bCs w:val="0"/>
          <w:sz w:val="32"/>
          <w:szCs w:val="32"/>
          <w:highlight w:val="none"/>
          <w:lang w:val="en-US" w:eastAsia="zh-CN"/>
        </w:rPr>
        <w:t>90.5</w:t>
      </w:r>
      <w:r>
        <w:rPr>
          <w:rFonts w:ascii="仿宋_GB2312" w:eastAsia="仿宋_GB2312"/>
          <w:b w:val="0"/>
          <w:bCs w:val="0"/>
          <w:sz w:val="32"/>
          <w:szCs w:val="32"/>
          <w:highlight w:val="none"/>
        </w:rPr>
        <w:t>分</w:t>
      </w:r>
      <w:r>
        <w:rPr>
          <w:rFonts w:hint="eastAsia" w:ascii="仿宋_GB2312" w:eastAsia="仿宋_GB2312"/>
          <w:b w:val="0"/>
          <w:bCs w:val="0"/>
          <w:sz w:val="32"/>
          <w:szCs w:val="32"/>
          <w:highlight w:val="none"/>
        </w:rPr>
        <w:t>，综合评价等级为“</w:t>
      </w:r>
      <w:r>
        <w:rPr>
          <w:rFonts w:hint="eastAsia" w:ascii="仿宋_GB2312" w:eastAsia="仿宋_GB2312"/>
          <w:b w:val="0"/>
          <w:bCs w:val="0"/>
          <w:sz w:val="32"/>
          <w:szCs w:val="32"/>
          <w:highlight w:val="none"/>
          <w:lang w:val="en-US" w:eastAsia="zh-CN"/>
        </w:rPr>
        <w:t>优秀</w:t>
      </w:r>
      <w:r>
        <w:rPr>
          <w:rFonts w:hint="eastAsia" w:ascii="仿宋_GB2312" w:eastAsia="仿宋_GB2312"/>
          <w:b w:val="0"/>
          <w:bCs w:val="0"/>
          <w:sz w:val="32"/>
          <w:szCs w:val="32"/>
          <w:highlight w:val="none"/>
        </w:rPr>
        <w:t>”。</w:t>
      </w:r>
      <w:r>
        <w:rPr>
          <w:rFonts w:hint="eastAsia" w:ascii="仿宋_GB2312" w:eastAsia="仿宋_GB2312"/>
          <w:b w:val="0"/>
          <w:bCs w:val="0"/>
          <w:sz w:val="32"/>
          <w:szCs w:val="32"/>
          <w:highlight w:val="none"/>
          <w:lang w:eastAsia="zh-CN"/>
        </w:rPr>
        <w:t>其中</w:t>
      </w:r>
      <w:r>
        <w:rPr>
          <w:rFonts w:hint="eastAsia" w:ascii="仿宋_GB2312" w:eastAsia="仿宋_GB2312"/>
          <w:b w:val="0"/>
          <w:bCs w:val="0"/>
          <w:sz w:val="32"/>
          <w:szCs w:val="32"/>
          <w:highlight w:val="none"/>
        </w:rPr>
        <w:t>：当年预算执行情况</w:t>
      </w:r>
      <w:r>
        <w:rPr>
          <w:rFonts w:ascii="仿宋_GB2312" w:eastAsia="仿宋_GB2312"/>
          <w:b w:val="0"/>
          <w:bCs w:val="0"/>
          <w:sz w:val="32"/>
          <w:szCs w:val="32"/>
          <w:highlight w:val="none"/>
        </w:rPr>
        <w:t>1</w:t>
      </w:r>
      <w:r>
        <w:rPr>
          <w:rFonts w:hint="eastAsia" w:ascii="仿宋_GB2312" w:eastAsia="仿宋_GB2312"/>
          <w:b w:val="0"/>
          <w:bCs w:val="0"/>
          <w:sz w:val="32"/>
          <w:szCs w:val="32"/>
          <w:highlight w:val="none"/>
          <w:lang w:val="en-US" w:eastAsia="zh-CN"/>
        </w:rPr>
        <w:t>9</w:t>
      </w:r>
      <w:r>
        <w:rPr>
          <w:rFonts w:ascii="仿宋_GB2312" w:eastAsia="仿宋_GB2312"/>
          <w:b w:val="0"/>
          <w:bCs w:val="0"/>
          <w:sz w:val="32"/>
          <w:szCs w:val="32"/>
          <w:highlight w:val="none"/>
        </w:rPr>
        <w:t>分</w:t>
      </w:r>
      <w:r>
        <w:rPr>
          <w:rFonts w:hint="eastAsia" w:ascii="仿宋_GB2312" w:eastAsia="仿宋_GB2312"/>
          <w:b w:val="0"/>
          <w:bCs w:val="0"/>
          <w:sz w:val="32"/>
          <w:szCs w:val="32"/>
          <w:highlight w:val="none"/>
          <w:lang w:eastAsia="zh-CN"/>
        </w:rPr>
        <w:t>，</w:t>
      </w:r>
      <w:r>
        <w:rPr>
          <w:rFonts w:ascii="仿宋_GB2312" w:eastAsia="仿宋_GB2312"/>
          <w:b w:val="0"/>
          <w:bCs w:val="0"/>
          <w:sz w:val="32"/>
          <w:szCs w:val="32"/>
          <w:highlight w:val="none"/>
        </w:rPr>
        <w:t>整体绩效目标实际情况</w:t>
      </w:r>
      <w:r>
        <w:rPr>
          <w:rFonts w:hint="eastAsia" w:ascii="仿宋_GB2312" w:eastAsia="仿宋_GB2312"/>
          <w:b w:val="0"/>
          <w:bCs w:val="0"/>
          <w:sz w:val="32"/>
          <w:szCs w:val="32"/>
          <w:highlight w:val="none"/>
          <w:lang w:val="en-US" w:eastAsia="zh-CN"/>
        </w:rPr>
        <w:t>52.3</w:t>
      </w:r>
      <w:r>
        <w:rPr>
          <w:rFonts w:ascii="仿宋_GB2312" w:eastAsia="仿宋_GB2312"/>
          <w:b w:val="0"/>
          <w:bCs w:val="0"/>
          <w:sz w:val="32"/>
          <w:szCs w:val="32"/>
          <w:highlight w:val="none"/>
        </w:rPr>
        <w:t>分</w:t>
      </w:r>
      <w:r>
        <w:rPr>
          <w:rFonts w:hint="eastAsia" w:ascii="仿宋_GB2312" w:eastAsia="仿宋_GB2312"/>
          <w:b w:val="0"/>
          <w:bCs w:val="0"/>
          <w:sz w:val="32"/>
          <w:szCs w:val="32"/>
          <w:highlight w:val="none"/>
          <w:lang w:eastAsia="zh-CN"/>
        </w:rPr>
        <w:t>，</w:t>
      </w:r>
      <w:r>
        <w:rPr>
          <w:rFonts w:hint="eastAsia" w:ascii="仿宋_GB2312" w:eastAsia="仿宋_GB2312"/>
          <w:b w:val="0"/>
          <w:bCs w:val="0"/>
          <w:sz w:val="32"/>
          <w:szCs w:val="32"/>
          <w:highlight w:val="none"/>
        </w:rPr>
        <w:t>预算管理情况</w:t>
      </w:r>
      <w:r>
        <w:rPr>
          <w:rFonts w:hint="eastAsia" w:ascii="仿宋_GB2312" w:eastAsia="仿宋_GB2312"/>
          <w:b w:val="0"/>
          <w:bCs w:val="0"/>
          <w:sz w:val="32"/>
          <w:szCs w:val="32"/>
          <w:highlight w:val="none"/>
          <w:lang w:val="en-US" w:eastAsia="zh-CN"/>
        </w:rPr>
        <w:t>19.2</w:t>
      </w:r>
      <w:r>
        <w:rPr>
          <w:rFonts w:ascii="仿宋_GB2312" w:eastAsia="仿宋_GB2312"/>
          <w:b w:val="0"/>
          <w:bCs w:val="0"/>
          <w:sz w:val="32"/>
          <w:szCs w:val="32"/>
          <w:highlight w:val="none"/>
        </w:rPr>
        <w:t>分</w:t>
      </w:r>
      <w:r>
        <w:rPr>
          <w:rFonts w:hint="eastAsia" w:ascii="仿宋_GB2312" w:eastAsia="仿宋_GB2312"/>
          <w:b w:val="0"/>
          <w:bCs w:val="0"/>
          <w:sz w:val="32"/>
          <w:szCs w:val="32"/>
          <w:highlight w:val="none"/>
          <w:lang w:eastAsia="zh-CN"/>
        </w:rPr>
        <w:t>，</w:t>
      </w:r>
      <w:r>
        <w:rPr>
          <w:rFonts w:ascii="仿宋_GB2312" w:eastAsia="仿宋_GB2312"/>
          <w:b w:val="0"/>
          <w:bCs w:val="0"/>
          <w:sz w:val="32"/>
          <w:szCs w:val="32"/>
          <w:highlight w:val="none"/>
        </w:rPr>
        <w:t>具体评分</w:t>
      </w:r>
      <w:r>
        <w:rPr>
          <w:rFonts w:hint="eastAsia" w:ascii="仿宋_GB2312" w:eastAsia="仿宋_GB2312"/>
          <w:b w:val="0"/>
          <w:bCs w:val="0"/>
          <w:sz w:val="32"/>
          <w:szCs w:val="32"/>
          <w:highlight w:val="none"/>
          <w:lang w:eastAsia="zh-CN"/>
        </w:rPr>
        <w:t>见《</w:t>
      </w:r>
      <w:r>
        <w:rPr>
          <w:rFonts w:hint="eastAsia" w:ascii="仿宋_GB2312" w:eastAsia="仿宋_GB2312"/>
          <w:b w:val="0"/>
          <w:bCs w:val="0"/>
          <w:sz w:val="32"/>
          <w:szCs w:val="32"/>
          <w:highlight w:val="none"/>
        </w:rPr>
        <w:t>北京市</w:t>
      </w:r>
      <w:r>
        <w:rPr>
          <w:rFonts w:hint="eastAsia" w:ascii="仿宋_GB2312" w:eastAsia="仿宋_GB2312"/>
          <w:b w:val="0"/>
          <w:bCs w:val="0"/>
          <w:sz w:val="32"/>
          <w:szCs w:val="32"/>
          <w:highlight w:val="none"/>
          <w:lang w:val="en-US" w:eastAsia="zh-CN"/>
        </w:rPr>
        <w:t>红十字</w:t>
      </w:r>
      <w:r>
        <w:rPr>
          <w:rFonts w:hint="eastAsia" w:ascii="仿宋_GB2312" w:eastAsia="仿宋_GB2312"/>
          <w:b w:val="0"/>
          <w:bCs w:val="0"/>
          <w:sz w:val="32"/>
          <w:szCs w:val="32"/>
          <w:highlight w:val="none"/>
        </w:rPr>
        <w:t>会202</w:t>
      </w:r>
      <w:r>
        <w:rPr>
          <w:rFonts w:hint="eastAsia" w:ascii="仿宋_GB2312" w:eastAsia="仿宋_GB2312"/>
          <w:b w:val="0"/>
          <w:bCs w:val="0"/>
          <w:sz w:val="32"/>
          <w:szCs w:val="32"/>
          <w:highlight w:val="none"/>
          <w:lang w:val="en-US" w:eastAsia="zh-CN"/>
        </w:rPr>
        <w:t>4</w:t>
      </w:r>
      <w:r>
        <w:rPr>
          <w:rFonts w:hint="eastAsia" w:ascii="仿宋_GB2312" w:eastAsia="仿宋_GB2312"/>
          <w:b w:val="0"/>
          <w:bCs w:val="0"/>
          <w:sz w:val="32"/>
          <w:szCs w:val="32"/>
          <w:highlight w:val="none"/>
        </w:rPr>
        <w:t>年度部门整体绩效评价指标体系评分表</w:t>
      </w:r>
      <w:r>
        <w:rPr>
          <w:rFonts w:hint="eastAsia" w:ascii="仿宋_GB2312" w:eastAsia="仿宋_GB2312"/>
          <w:b w:val="0"/>
          <w:bCs w:val="0"/>
          <w:sz w:val="32"/>
          <w:szCs w:val="32"/>
          <w:highlight w:val="none"/>
          <w:lang w:eastAsia="zh-CN"/>
        </w:rPr>
        <w:t>》</w:t>
      </w:r>
      <w:r>
        <w:rPr>
          <w:rFonts w:ascii="仿宋_GB2312" w:eastAsia="仿宋_GB2312"/>
          <w:sz w:val="32"/>
          <w:szCs w:val="32"/>
          <w:highlight w:val="none"/>
        </w:rPr>
        <w:t>。</w:t>
      </w:r>
    </w:p>
    <w:p w14:paraId="0B6DE2B6">
      <w:pPr>
        <w:keepNext w:val="0"/>
        <w:keepLines w:val="0"/>
        <w:pageBreakBefore w:val="0"/>
        <w:widowControl w:val="0"/>
        <w:kinsoku/>
        <w:wordWrap/>
        <w:overflowPunct/>
        <w:topLinePunct w:val="0"/>
        <w:autoSpaceDE/>
        <w:autoSpaceDN/>
        <w:bidi w:val="0"/>
        <w:adjustRightInd/>
        <w:snapToGrid/>
        <w:spacing w:before="0" w:after="0" w:line="360" w:lineRule="auto"/>
        <w:ind w:firstLine="640" w:firstLineChars="200"/>
        <w:textAlignment w:val="auto"/>
        <w:outlineLvl w:val="1"/>
        <w:rPr>
          <w:rFonts w:hint="eastAsia" w:ascii="楷体" w:hAnsi="楷体" w:eastAsia="楷体" w:cs="Times New Roman"/>
          <w:b w:val="0"/>
          <w:bCs w:val="0"/>
          <w:sz w:val="32"/>
          <w:szCs w:val="32"/>
          <w:highlight w:val="none"/>
          <w:lang w:val="en-US" w:eastAsia="zh-CN"/>
        </w:rPr>
      </w:pPr>
      <w:bookmarkStart w:id="16" w:name="_Toc26331"/>
      <w:r>
        <w:rPr>
          <w:rFonts w:hint="eastAsia" w:ascii="楷体" w:hAnsi="楷体" w:eastAsia="楷体" w:cs="Times New Roman"/>
          <w:b w:val="0"/>
          <w:bCs w:val="0"/>
          <w:sz w:val="32"/>
          <w:szCs w:val="32"/>
          <w:highlight w:val="none"/>
          <w:lang w:val="en-US" w:eastAsia="zh-CN"/>
        </w:rPr>
        <w:t>（二）存在的问题及原因分析</w:t>
      </w:r>
      <w:bookmarkEnd w:id="16"/>
    </w:p>
    <w:p w14:paraId="040AE512">
      <w:pPr>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default"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1.部门整体绩效指标设置不够全面，各项指标未全部涵盖部门职能范围及2024年度重点工作任务。如产出数量指标只涉及救援队合成演练次数、主流媒体报道次数和采血样数量；产出质量指标只涉及师资培训通过率、公共场所红十字急救箱使用率；产出时效指标只涉及系统会议召开时间；经济成本指标只涉及备灾及战备物资库支出控制数；效益指标只涉及数字红会建设的社会效益。从部门整体绩效指标设定情况来看，我会应结合部门主责和年度重点工作任务，全面设置各项绩效指标，提高部门整体绩效指标设定的完整性和可衡量性。</w:t>
      </w:r>
    </w:p>
    <w:p w14:paraId="6EF9F87C">
      <w:pPr>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default"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2.个别项目关于实施内容的前期需求调研不充分，如：红十字人道项目，关于防艾宣传及活动的形式、次数、受众等，关于援助项目追踪的项目数量确定、地点选择等均缺少必要性论证。且由于项目实施的计划组织不到位，导致项目实施内容中的援助项目追踪工作任务未完成。“红十字生命健康与赈济”子项目中，培训名称使用“TOF”“TED”“YPE”等不为大众熟知的英文缩写，可能影响公众对公益培训的参与热情，进而影响培训目的和效果。</w:t>
      </w:r>
    </w:p>
    <w:p w14:paraId="72A712FF">
      <w:pPr>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default" w:ascii="仿宋_GB2312" w:eastAsia="仿宋_GB2312"/>
          <w:sz w:val="32"/>
          <w:szCs w:val="32"/>
          <w:highlight w:val="none"/>
          <w:lang w:val="en-US" w:eastAsia="zh-CN"/>
        </w:rPr>
      </w:pPr>
      <w:r>
        <w:rPr>
          <w:rFonts w:hint="eastAsia" w:ascii="仿宋_GB2312" w:hAnsi="仿宋_GB2312" w:eastAsia="仿宋_GB2312"/>
          <w:sz w:val="32"/>
          <w:highlight w:val="none"/>
          <w:lang w:val="en-US" w:eastAsia="zh-CN"/>
        </w:rPr>
        <w:t>3.个别项目实际支出与预算偏差较大，预算执行率偏低，如：因公出国（境）类项目预算执行率33.75%，应急能力提升项目预算执行率15%，人体器官捐献服务工作项目预算执行率20.17%，救援队应急救援演练项目预算执行率为0</w:t>
      </w:r>
      <w:r>
        <w:rPr>
          <w:rFonts w:hint="eastAsia" w:ascii="仿宋_GB2312" w:hAnsi="仿宋" w:eastAsia="仿宋_GB2312"/>
          <w:sz w:val="32"/>
          <w:szCs w:val="32"/>
          <w:highlight w:val="none"/>
          <w:lang w:val="en-US" w:eastAsia="zh-CN"/>
        </w:rPr>
        <w:t>。</w:t>
      </w:r>
    </w:p>
    <w:p w14:paraId="187E9088">
      <w:pPr>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default"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4.合同管理水平有待提高，合同归口管理部门建立了合同台账，但台账中未详细登记合同的订立、履行和变更、终结等情况，对合同执行和相应的付款情况监督管理不到位。</w:t>
      </w:r>
    </w:p>
    <w:p w14:paraId="0659FFB9">
      <w:pPr>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default"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5.反映部门绩效的支撑材料不够充分，主要反映在部分项目未针对项目绩效实现情况进行相应的数据统计分析，未进行服务对象满意度调查，或相应的数据统计分析和满意度调查不全面，对项目实施效益效果的呈现不充分。如红十字青少年与志愿服务项目、红十字宣传工作项目、社会组织建设项目、应急救护科普宣教及专家委员会建设项目、红十字急救箱和募捐箱建设管理及补充维护等项目，关于项目实施效益实现情况的支撑材料不充分；基层组织建设项目、人体器官捐献服务工作项目、北京市长青园遗体和器官捐献者纪念缅怀设施提升等项目，未开展服务对象满意度调查；应急救护科普宣教及专家委员会建设项目、红十字应急物资储备库及募捐接收站租赁、维护项目开展了服务对象问卷调查，但未对问卷进行统计分析，满意度调查工作开展不到位。</w:t>
      </w:r>
    </w:p>
    <w:p w14:paraId="4084D723">
      <w:pPr>
        <w:keepNext w:val="0"/>
        <w:keepLines w:val="0"/>
        <w:pageBreakBefore w:val="0"/>
        <w:widowControl w:val="0"/>
        <w:kinsoku/>
        <w:wordWrap/>
        <w:overflowPunct/>
        <w:topLinePunct w:val="0"/>
        <w:autoSpaceDE/>
        <w:autoSpaceDN/>
        <w:bidi w:val="0"/>
        <w:adjustRightInd/>
        <w:snapToGrid/>
        <w:spacing w:before="0" w:after="0" w:line="360" w:lineRule="auto"/>
        <w:ind w:firstLine="640" w:firstLineChars="200"/>
        <w:textAlignment w:val="auto"/>
        <w:outlineLvl w:val="0"/>
        <w:rPr>
          <w:rFonts w:ascii="黑体" w:hAnsi="黑体" w:eastAsia="黑体"/>
          <w:b w:val="0"/>
          <w:bCs w:val="0"/>
          <w:sz w:val="32"/>
          <w:szCs w:val="32"/>
          <w:highlight w:val="none"/>
        </w:rPr>
      </w:pPr>
      <w:bookmarkStart w:id="17" w:name="_Toc5622"/>
      <w:r>
        <w:rPr>
          <w:rFonts w:hint="eastAsia" w:ascii="黑体" w:hAnsi="黑体" w:eastAsia="黑体"/>
          <w:b w:val="0"/>
          <w:bCs w:val="0"/>
          <w:sz w:val="32"/>
          <w:szCs w:val="32"/>
          <w:highlight w:val="none"/>
        </w:rPr>
        <w:t>六、措施建议</w:t>
      </w:r>
      <w:bookmarkEnd w:id="17"/>
    </w:p>
    <w:p w14:paraId="320CD60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outlineLvl w:val="9"/>
        <w:rPr>
          <w:rFonts w:ascii="仿宋_GB2312" w:eastAsia="仿宋_GB2312"/>
          <w:sz w:val="32"/>
          <w:szCs w:val="32"/>
          <w:highlight w:val="none"/>
        </w:rPr>
      </w:pPr>
      <w:r>
        <w:rPr>
          <w:rFonts w:ascii="仿宋_GB2312" w:eastAsia="仿宋_GB2312"/>
          <w:sz w:val="32"/>
          <w:szCs w:val="32"/>
          <w:highlight w:val="none"/>
        </w:rPr>
        <w:t>（一）</w:t>
      </w:r>
      <w:r>
        <w:rPr>
          <w:rFonts w:hint="eastAsia" w:ascii="仿宋_GB2312" w:eastAsia="仿宋_GB2312"/>
          <w:sz w:val="32"/>
          <w:szCs w:val="32"/>
          <w:highlight w:val="none"/>
          <w:lang w:val="en-US" w:eastAsia="zh-CN"/>
        </w:rPr>
        <w:t>提高部门整体绩效目标填报水平。建议按照</w:t>
      </w:r>
      <w:r>
        <w:rPr>
          <w:rFonts w:hint="eastAsia" w:ascii="仿宋_GB2312" w:eastAsia="仿宋_GB2312"/>
          <w:sz w:val="32"/>
          <w:szCs w:val="32"/>
          <w:highlight w:val="none"/>
          <w:lang w:eastAsia="zh-CN"/>
        </w:rPr>
        <w:t>绩效管理的要求，</w:t>
      </w:r>
      <w:r>
        <w:rPr>
          <w:rFonts w:hint="eastAsia" w:ascii="仿宋_GB2312" w:eastAsia="仿宋_GB2312"/>
          <w:sz w:val="32"/>
          <w:szCs w:val="32"/>
          <w:highlight w:val="none"/>
          <w:lang w:val="en-US" w:eastAsia="zh-CN"/>
        </w:rPr>
        <w:t>充分梳理部门职责和年度重点</w:t>
      </w:r>
      <w:r>
        <w:rPr>
          <w:rFonts w:hint="eastAsia" w:ascii="仿宋_GB2312" w:eastAsia="仿宋_GB2312"/>
          <w:sz w:val="32"/>
          <w:szCs w:val="32"/>
          <w:highlight w:val="none"/>
          <w:lang w:eastAsia="zh-CN"/>
        </w:rPr>
        <w:t>项目内容、工作成果及</w:t>
      </w:r>
      <w:r>
        <w:rPr>
          <w:rFonts w:hint="eastAsia" w:ascii="仿宋_GB2312" w:eastAsia="仿宋_GB2312"/>
          <w:sz w:val="32"/>
          <w:szCs w:val="32"/>
          <w:highlight w:val="none"/>
          <w:lang w:val="en-US" w:eastAsia="zh-CN"/>
        </w:rPr>
        <w:t>预期</w:t>
      </w:r>
      <w:r>
        <w:rPr>
          <w:rFonts w:hint="eastAsia" w:ascii="仿宋_GB2312" w:eastAsia="仿宋_GB2312"/>
          <w:sz w:val="32"/>
          <w:szCs w:val="32"/>
          <w:highlight w:val="none"/>
          <w:lang w:eastAsia="zh-CN"/>
        </w:rPr>
        <w:t>效果，</w:t>
      </w:r>
      <w:r>
        <w:rPr>
          <w:rFonts w:hint="eastAsia" w:ascii="仿宋_GB2312" w:eastAsia="仿宋_GB2312"/>
          <w:sz w:val="32"/>
          <w:szCs w:val="32"/>
          <w:highlight w:val="none"/>
          <w:lang w:val="en-US" w:eastAsia="zh-CN"/>
        </w:rPr>
        <w:t>合理设定部门整体绩效目标，各项绩效指标应全面、完整涵盖部门职责和年度重点任务内容</w:t>
      </w:r>
      <w:r>
        <w:rPr>
          <w:rFonts w:hint="eastAsia" w:ascii="仿宋_GB2312" w:eastAsia="仿宋_GB2312"/>
          <w:sz w:val="32"/>
          <w:szCs w:val="32"/>
          <w:highlight w:val="none"/>
          <w:lang w:eastAsia="zh-CN"/>
        </w:rPr>
        <w:t>。</w:t>
      </w:r>
    </w:p>
    <w:p w14:paraId="7239A8C6">
      <w:pPr>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仿宋_GB2312" w:eastAsia="仿宋_GB2312"/>
          <w:sz w:val="32"/>
          <w:szCs w:val="32"/>
          <w:highlight w:val="none"/>
          <w:lang w:eastAsia="zh-CN"/>
        </w:rPr>
      </w:pPr>
      <w:r>
        <w:rPr>
          <w:rFonts w:hint="eastAsia" w:ascii="仿宋_GB2312" w:eastAsia="仿宋_GB2312"/>
          <w:sz w:val="32"/>
          <w:szCs w:val="32"/>
          <w:highlight w:val="none"/>
        </w:rPr>
        <w:t>（二）</w:t>
      </w:r>
      <w:r>
        <w:rPr>
          <w:rFonts w:hint="eastAsia" w:ascii="仿宋_GB2312" w:eastAsia="仿宋_GB2312"/>
          <w:sz w:val="32"/>
          <w:szCs w:val="32"/>
          <w:highlight w:val="none"/>
          <w:lang w:val="en-US" w:eastAsia="zh-CN"/>
        </w:rPr>
        <w:t>各项目在立项阶段应做好充分的需求调研工作，根据实际需求情况合理确定各项实施内容，充分论证各项实施内容涉及的服务对象、开展形式、产出数量规模等，使各项预期投入与项目实际需求相匹配。</w:t>
      </w:r>
    </w:p>
    <w:p w14:paraId="06B10A1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outlineLvl w:val="9"/>
        <w:rPr>
          <w:rFonts w:hint="eastAsia" w:ascii="仿宋_GB2312" w:hAnsi="仿宋_GB2312" w:eastAsia="仿宋_GB2312" w:cs="仿宋_GB2312"/>
          <w:b w:val="0"/>
          <w:bCs w:val="0"/>
          <w:sz w:val="32"/>
          <w:szCs w:val="32"/>
          <w:highlight w:val="none"/>
          <w:lang w:val="en-US" w:eastAsia="zh-CN"/>
        </w:rPr>
      </w:pPr>
      <w:r>
        <w:rPr>
          <w:rFonts w:hint="eastAsia" w:ascii="仿宋_GB2312" w:eastAsia="仿宋_GB2312"/>
          <w:sz w:val="32"/>
          <w:szCs w:val="32"/>
          <w:highlight w:val="none"/>
        </w:rPr>
        <w:t>（三）</w:t>
      </w:r>
      <w:r>
        <w:rPr>
          <w:rFonts w:hint="eastAsia" w:ascii="仿宋_GB2312" w:eastAsia="仿宋_GB2312"/>
          <w:sz w:val="32"/>
          <w:szCs w:val="32"/>
          <w:highlight w:val="none"/>
          <w:lang w:val="en-US" w:eastAsia="zh-CN"/>
        </w:rPr>
        <w:t>加强对预算编制的审核，提高预算编制的准确性和科学性；规范预算执行管理，当项目内容或预算发生变化时，及时调整项目预算，保证项目预算执行率和财政资金使用效益的发挥</w:t>
      </w:r>
      <w:r>
        <w:rPr>
          <w:rFonts w:hint="eastAsia" w:ascii="仿宋_GB2312" w:hAnsi="仿宋_GB2312" w:eastAsia="仿宋_GB2312"/>
          <w:sz w:val="32"/>
          <w:highlight w:val="none"/>
          <w:lang w:eastAsia="zh-CN"/>
        </w:rPr>
        <w:t>。</w:t>
      </w:r>
    </w:p>
    <w:p w14:paraId="035D761F">
      <w:pPr>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default" w:ascii="仿宋_GB2312" w:eastAsia="仿宋_GB2312"/>
          <w:sz w:val="32"/>
          <w:szCs w:val="32"/>
          <w:highlight w:val="none"/>
          <w:lang w:val="en-US" w:eastAsia="zh-CN"/>
        </w:rPr>
      </w:pP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四</w:t>
      </w:r>
      <w:r>
        <w:rPr>
          <w:rFonts w:hint="eastAsia" w:ascii="仿宋_GB2312" w:eastAsia="仿宋_GB2312"/>
          <w:sz w:val="32"/>
          <w:szCs w:val="32"/>
          <w:highlight w:val="none"/>
          <w:lang w:eastAsia="zh-CN"/>
        </w:rPr>
        <w:t>）</w:t>
      </w:r>
      <w:r>
        <w:rPr>
          <w:rFonts w:hint="eastAsia" w:ascii="仿宋_GB2312" w:hAnsi="仿宋_GB2312" w:eastAsia="仿宋_GB2312" w:cs="仿宋_GB2312"/>
          <w:b w:val="0"/>
          <w:bCs w:val="0"/>
          <w:sz w:val="32"/>
          <w:szCs w:val="32"/>
          <w:highlight w:val="none"/>
          <w:lang w:val="en-US" w:eastAsia="zh-CN"/>
        </w:rPr>
        <w:t>完善合同台账，充分利用信息化手段，定期对合同进行统计，详细登记合同的订立、履行和变更、终结等情况，加强合同履行监管。</w:t>
      </w:r>
    </w:p>
    <w:p w14:paraId="4F8BCD3C">
      <w:pPr>
        <w:pStyle w:val="12"/>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五</w:t>
      </w:r>
      <w:r>
        <w:rPr>
          <w:rFonts w:hint="eastAsia" w:ascii="仿宋_GB2312" w:eastAsia="仿宋_GB2312"/>
          <w:sz w:val="32"/>
          <w:szCs w:val="32"/>
          <w:highlight w:val="none"/>
          <w:lang w:eastAsia="zh-CN"/>
        </w:rPr>
        <w:t>）</w:t>
      </w:r>
      <w:r>
        <w:rPr>
          <w:rFonts w:hint="eastAsia" w:ascii="仿宋_GB2312" w:hAnsi="仿宋_GB2312" w:eastAsia="仿宋_GB2312" w:cs="仿宋_GB2312"/>
          <w:b w:val="0"/>
          <w:bCs w:val="0"/>
          <w:sz w:val="32"/>
          <w:szCs w:val="32"/>
          <w:highlight w:val="none"/>
          <w:lang w:val="en-US" w:eastAsia="zh-CN"/>
        </w:rPr>
        <w:t>注重部门绩效及项目绩效资料的留痕和归档，加强对有关项目实施效果的支撑数据的统计分析，通过多种形式开展服务对象满意度调查并充分统计调查结果，为以后年度完善项目内容及实施过程管理提供参考。</w:t>
      </w:r>
    </w:p>
    <w:p w14:paraId="38BCA818">
      <w:pPr>
        <w:pStyle w:val="12"/>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仿宋_GB2312" w:eastAsia="仿宋_GB2312"/>
          <w:sz w:val="32"/>
          <w:szCs w:val="32"/>
          <w:highlight w:val="none"/>
        </w:rPr>
      </w:pPr>
    </w:p>
    <w:p w14:paraId="74DD80B2">
      <w:pPr>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sz w:val="32"/>
          <w:szCs w:val="32"/>
          <w:highlight w:val="none"/>
        </w:rPr>
      </w:pPr>
      <w:r>
        <w:rPr>
          <w:rFonts w:hint="eastAsia" w:ascii="仿宋_GB2312" w:eastAsia="仿宋_GB2312"/>
          <w:sz w:val="32"/>
          <w:szCs w:val="32"/>
          <w:highlight w:val="none"/>
          <w:lang w:val="en-US" w:eastAsia="zh-CN"/>
        </w:rPr>
        <w:t>附件：北京市红十字会2024年度部门整体绩效评价指标体系评分表</w:t>
      </w:r>
    </w:p>
    <w:sectPr>
      <w:footerReference r:id="rId5" w:type="default"/>
      <w:footnotePr>
        <w:numFmt w:val="decimalEnclosedCircleChinese"/>
      </w:footnotePr>
      <w:pgSz w:w="11906" w:h="16838"/>
      <w:pgMar w:top="1440" w:right="1416" w:bottom="1440" w:left="1800"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DejaVu Sans">
    <w:altName w:val="Segoe Print"/>
    <w:panose1 w:val="020B0603030804020204"/>
    <w:charset w:val="00"/>
    <w:family w:val="auto"/>
    <w:pitch w:val="default"/>
    <w:sig w:usb0="00000000" w:usb1="00000000" w:usb2="0A246029" w:usb3="0400200C" w:csb0="600001FF" w:csb1="DFFF0000"/>
  </w:font>
  <w:font w:name="Calibri Light">
    <w:panose1 w:val="020F0302020204030204"/>
    <w:charset w:val="00"/>
    <w:family w:val="auto"/>
    <w:pitch w:val="default"/>
    <w:sig w:usb0="A00002EF" w:usb1="4000207B"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Cambria">
    <w:panose1 w:val="02040503050406030204"/>
    <w:charset w:val="00"/>
    <w:family w:val="auto"/>
    <w:pitch w:val="default"/>
    <w:sig w:usb0="E00002FF" w:usb1="400004FF" w:usb2="00000000" w:usb3="00000000" w:csb0="2000019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Rounded MT Bold">
    <w:panose1 w:val="020F0704030504030204"/>
    <w:charset w:val="00"/>
    <w:family w:val="auto"/>
    <w:pitch w:val="default"/>
    <w:sig w:usb0="00000003"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8CC290">
    <w:pPr>
      <w:pStyle w:val="12"/>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14:paraId="7236D63E">
                          <w:pPr>
                            <w:pStyle w:val="12"/>
                            <w:jc w:val="center"/>
                          </w:pPr>
                          <w:r>
                            <w:fldChar w:fldCharType="begin"/>
                          </w:r>
                          <w:r>
                            <w:instrText xml:space="preserve">PAGE   \* MERGEFORMAT</w:instrText>
                          </w:r>
                          <w:r>
                            <w:fldChar w:fldCharType="separate"/>
                          </w:r>
                          <w:r>
                            <w:rPr>
                              <w:lang w:val="zh-CN"/>
                            </w:rPr>
                            <w:t>34</w:t>
                          </w:r>
                          <w:r>
                            <w:rPr>
                              <w:lang w:val="zh-CN"/>
                            </w:rPr>
                            <w:fldChar w:fldCharType="end"/>
                          </w:r>
                        </w:p>
                      </w:txbxContent>
                    </wps:txbx>
                    <wps:bodyPr vert="horz" wrap="none" lIns="0" tIns="0" rIns="0" bIns="0" anchor="t" upright="0">
                      <a:spAutoFit/>
                    </wps:bodyPr>
                  </wps:wsp>
                </a:graphicData>
              </a:graphic>
            </wp:anchor>
          </w:drawing>
        </mc:Choice>
        <mc:Fallback>
          <w:pict>
            <v:shape id="文本框 1027"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zql5uc8AAAAFAQAADwAAAAAA&#10;AAABACAAAAAiAAAAZHJzL2Rvd25yZXYueG1sUEsBAhQAFAAAAAgAh07iQHVFc6vjAQAAvAMAAA4A&#10;AAAAAAAAAQAgAAAAHgEAAGRycy9lMm9Eb2MueG1sUEsFBgAAAAAGAAYAWQEAAHMFAAAAAA==&#10;">
              <v:fill on="f" focussize="0,0"/>
              <v:stroke on="f"/>
              <v:imagedata o:title=""/>
              <o:lock v:ext="edit" aspectratio="f"/>
              <v:textbox inset="0mm,0mm,0mm,0mm" style="mso-fit-shape-to-text:t;">
                <w:txbxContent>
                  <w:p w14:paraId="7236D63E">
                    <w:pPr>
                      <w:pStyle w:val="12"/>
                      <w:jc w:val="center"/>
                    </w:pPr>
                    <w:r>
                      <w:fldChar w:fldCharType="begin"/>
                    </w:r>
                    <w:r>
                      <w:instrText xml:space="preserve">PAGE   \* MERGEFORMAT</w:instrText>
                    </w:r>
                    <w:r>
                      <w:fldChar w:fldCharType="separate"/>
                    </w:r>
                    <w:r>
                      <w:rPr>
                        <w:lang w:val="zh-CN"/>
                      </w:rPr>
                      <w:t>34</w:t>
                    </w:r>
                    <w:r>
                      <w:rPr>
                        <w:lang w:val="zh-CN"/>
                      </w:rPr>
                      <w:fldChar w:fldCharType="end"/>
                    </w:r>
                  </w:p>
                </w:txbxContent>
              </v:textbox>
            </v:shape>
          </w:pict>
        </mc:Fallback>
      </mc:AlternateContent>
    </w:r>
  </w:p>
  <w:p w14:paraId="1CD42C0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C017E8"/>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214569">
    <w:pPr>
      <w:pStyle w:val="12"/>
      <w:jc w:val="center"/>
    </w:pPr>
    <w:r>
      <w:rPr>
        <w:rFonts w:ascii="Calibri" w:hAnsi="Calibri" w:eastAsia="宋体" w:cs="Times New Roman"/>
        <w:kern w:val="2"/>
        <w:sz w:val="1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Quad Arrow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14:paraId="4B6C33F7">
                          <w:pPr>
                            <w:pStyle w:val="12"/>
                            <w:jc w:val="center"/>
                          </w:pPr>
                          <w:r>
                            <w:fldChar w:fldCharType="begin"/>
                          </w:r>
                          <w:r>
                            <w:instrText xml:space="preserve">PAGE   \* MERGEFORMAT</w:instrText>
                          </w:r>
                          <w:r>
                            <w:fldChar w:fldCharType="separate"/>
                          </w:r>
                          <w:r>
                            <w:rPr>
                              <w:lang w:val="zh-CN"/>
                            </w:rPr>
                            <w:t>11</w:t>
                          </w:r>
                          <w:r>
                            <w:rPr>
                              <w:lang w:val="zh-CN"/>
                            </w:rPr>
                            <w:fldChar w:fldCharType="end"/>
                          </w:r>
                        </w:p>
                        <w:p w14:paraId="4501D176"/>
                      </w:txbxContent>
                    </wps:txbx>
                    <wps:bodyPr wrap="none" lIns="0" tIns="0" rIns="0" bIns="0" upright="1">
                      <a:spAutoFit/>
                    </wps:bodyPr>
                  </wps:wsp>
                </a:graphicData>
              </a:graphic>
            </wp:anchor>
          </w:drawing>
        </mc:Choice>
        <mc:Fallback>
          <w:pict>
            <v:shape id="Quad Arrow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DOqXm5zwAAAAUBAAAPAAAAAAAAAAEAIAAAACIAAABkcnMvZG93bnJldi54bWxQSwEC&#10;FAAUAAAACACHTuJAFS3EZMQBAACjAwAADgAAAAAAAAABACAAAAAeAQAAZHJzL2Uyb0RvYy54bWxQ&#10;SwUGAAAAAAYABgBZAQAAVAUAAAAA&#10;">
              <v:fill on="f" focussize="0,0"/>
              <v:stroke on="f"/>
              <v:imagedata o:title=""/>
              <o:lock v:ext="edit" aspectratio="f"/>
              <v:textbox inset="0mm,0mm,0mm,0mm" style="mso-fit-shape-to-text:t;">
                <w:txbxContent>
                  <w:p w14:paraId="4B6C33F7">
                    <w:pPr>
                      <w:pStyle w:val="12"/>
                      <w:jc w:val="center"/>
                    </w:pPr>
                    <w:r>
                      <w:fldChar w:fldCharType="begin"/>
                    </w:r>
                    <w:r>
                      <w:instrText xml:space="preserve">PAGE   \* MERGEFORMAT</w:instrText>
                    </w:r>
                    <w:r>
                      <w:fldChar w:fldCharType="separate"/>
                    </w:r>
                    <w:r>
                      <w:rPr>
                        <w:lang w:val="zh-CN"/>
                      </w:rPr>
                      <w:t>11</w:t>
                    </w:r>
                    <w:r>
                      <w:rPr>
                        <w:lang w:val="zh-CN"/>
                      </w:rPr>
                      <w:fldChar w:fldCharType="end"/>
                    </w:r>
                  </w:p>
                  <w:p w14:paraId="4501D176"/>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U5YTk2NWU3OTRhNTU0YjZlNWE0ODExMjY4YzM0MTgifQ=="/>
  </w:docVars>
  <w:rsids>
    <w:rsidRoot w:val="008F65C7"/>
    <w:rsid w:val="00001B05"/>
    <w:rsid w:val="00004C74"/>
    <w:rsid w:val="00005A47"/>
    <w:rsid w:val="0000744B"/>
    <w:rsid w:val="00007E49"/>
    <w:rsid w:val="00014393"/>
    <w:rsid w:val="000178DB"/>
    <w:rsid w:val="00021247"/>
    <w:rsid w:val="000259C5"/>
    <w:rsid w:val="00026745"/>
    <w:rsid w:val="000277F2"/>
    <w:rsid w:val="000334C0"/>
    <w:rsid w:val="000357A9"/>
    <w:rsid w:val="000359AF"/>
    <w:rsid w:val="00036BFA"/>
    <w:rsid w:val="000379C4"/>
    <w:rsid w:val="0005553D"/>
    <w:rsid w:val="00055E6A"/>
    <w:rsid w:val="00056D2A"/>
    <w:rsid w:val="0005742C"/>
    <w:rsid w:val="00057D1B"/>
    <w:rsid w:val="0006148C"/>
    <w:rsid w:val="000626EB"/>
    <w:rsid w:val="00062839"/>
    <w:rsid w:val="0006286F"/>
    <w:rsid w:val="00062BC6"/>
    <w:rsid w:val="00063A95"/>
    <w:rsid w:val="00063FE1"/>
    <w:rsid w:val="00065636"/>
    <w:rsid w:val="0006595C"/>
    <w:rsid w:val="00065C74"/>
    <w:rsid w:val="000704A9"/>
    <w:rsid w:val="00071BD7"/>
    <w:rsid w:val="000739F2"/>
    <w:rsid w:val="00075439"/>
    <w:rsid w:val="000830C3"/>
    <w:rsid w:val="0008321C"/>
    <w:rsid w:val="000839B8"/>
    <w:rsid w:val="00084CE9"/>
    <w:rsid w:val="00084F29"/>
    <w:rsid w:val="00091C0B"/>
    <w:rsid w:val="00097ACA"/>
    <w:rsid w:val="000A1AE9"/>
    <w:rsid w:val="000A39E6"/>
    <w:rsid w:val="000A5039"/>
    <w:rsid w:val="000A5AFD"/>
    <w:rsid w:val="000A74AC"/>
    <w:rsid w:val="000A7EDF"/>
    <w:rsid w:val="000C6B89"/>
    <w:rsid w:val="000C7684"/>
    <w:rsid w:val="000D2EC2"/>
    <w:rsid w:val="000D5841"/>
    <w:rsid w:val="000E09B2"/>
    <w:rsid w:val="000E2154"/>
    <w:rsid w:val="000F5CCA"/>
    <w:rsid w:val="00101D13"/>
    <w:rsid w:val="0010271A"/>
    <w:rsid w:val="001027AB"/>
    <w:rsid w:val="0010413F"/>
    <w:rsid w:val="00105782"/>
    <w:rsid w:val="00106AD3"/>
    <w:rsid w:val="00115276"/>
    <w:rsid w:val="00123963"/>
    <w:rsid w:val="0012746E"/>
    <w:rsid w:val="00134F8B"/>
    <w:rsid w:val="00135D90"/>
    <w:rsid w:val="00136629"/>
    <w:rsid w:val="00144C17"/>
    <w:rsid w:val="00145C82"/>
    <w:rsid w:val="00160221"/>
    <w:rsid w:val="001630E1"/>
    <w:rsid w:val="00163465"/>
    <w:rsid w:val="001664F0"/>
    <w:rsid w:val="00166862"/>
    <w:rsid w:val="00166DE3"/>
    <w:rsid w:val="001673D2"/>
    <w:rsid w:val="00167F5C"/>
    <w:rsid w:val="00173614"/>
    <w:rsid w:val="001742A7"/>
    <w:rsid w:val="00174A50"/>
    <w:rsid w:val="0017588C"/>
    <w:rsid w:val="001773FE"/>
    <w:rsid w:val="001818A7"/>
    <w:rsid w:val="001829C8"/>
    <w:rsid w:val="001867C6"/>
    <w:rsid w:val="00186C38"/>
    <w:rsid w:val="00186EC6"/>
    <w:rsid w:val="001909EF"/>
    <w:rsid w:val="00191DA2"/>
    <w:rsid w:val="00193788"/>
    <w:rsid w:val="00194469"/>
    <w:rsid w:val="00195E08"/>
    <w:rsid w:val="00197475"/>
    <w:rsid w:val="001974E1"/>
    <w:rsid w:val="001A1360"/>
    <w:rsid w:val="001A3085"/>
    <w:rsid w:val="001A371C"/>
    <w:rsid w:val="001A7857"/>
    <w:rsid w:val="001B030A"/>
    <w:rsid w:val="001B1FD2"/>
    <w:rsid w:val="001B77A4"/>
    <w:rsid w:val="001C4ECE"/>
    <w:rsid w:val="001C7500"/>
    <w:rsid w:val="001D3D44"/>
    <w:rsid w:val="001D6DAC"/>
    <w:rsid w:val="001E1F9F"/>
    <w:rsid w:val="001E61FB"/>
    <w:rsid w:val="001E753D"/>
    <w:rsid w:val="001F089B"/>
    <w:rsid w:val="001F0D1C"/>
    <w:rsid w:val="001F15F3"/>
    <w:rsid w:val="001F364A"/>
    <w:rsid w:val="0020372A"/>
    <w:rsid w:val="002063B0"/>
    <w:rsid w:val="0021202E"/>
    <w:rsid w:val="00217F5D"/>
    <w:rsid w:val="00223ADF"/>
    <w:rsid w:val="0022607D"/>
    <w:rsid w:val="002277D5"/>
    <w:rsid w:val="00232AD8"/>
    <w:rsid w:val="002408C5"/>
    <w:rsid w:val="00242033"/>
    <w:rsid w:val="002422CC"/>
    <w:rsid w:val="0024426E"/>
    <w:rsid w:val="0024602F"/>
    <w:rsid w:val="00250B0E"/>
    <w:rsid w:val="002521AD"/>
    <w:rsid w:val="00252548"/>
    <w:rsid w:val="00256018"/>
    <w:rsid w:val="00262AEF"/>
    <w:rsid w:val="002631A0"/>
    <w:rsid w:val="00263DC9"/>
    <w:rsid w:val="002655B8"/>
    <w:rsid w:val="00270119"/>
    <w:rsid w:val="00273671"/>
    <w:rsid w:val="00282CEB"/>
    <w:rsid w:val="00282D8C"/>
    <w:rsid w:val="00282E74"/>
    <w:rsid w:val="002845FC"/>
    <w:rsid w:val="002A4156"/>
    <w:rsid w:val="002A55A7"/>
    <w:rsid w:val="002A6DFF"/>
    <w:rsid w:val="002A6E10"/>
    <w:rsid w:val="002A7824"/>
    <w:rsid w:val="002B0F61"/>
    <w:rsid w:val="002B6452"/>
    <w:rsid w:val="002B6FF1"/>
    <w:rsid w:val="002C1CC5"/>
    <w:rsid w:val="002C277F"/>
    <w:rsid w:val="002C7047"/>
    <w:rsid w:val="002D3791"/>
    <w:rsid w:val="002E030B"/>
    <w:rsid w:val="002E354C"/>
    <w:rsid w:val="002E3D34"/>
    <w:rsid w:val="002E6D1F"/>
    <w:rsid w:val="002F3D8C"/>
    <w:rsid w:val="002F4D90"/>
    <w:rsid w:val="0030355D"/>
    <w:rsid w:val="00310C24"/>
    <w:rsid w:val="0031251F"/>
    <w:rsid w:val="00312DE7"/>
    <w:rsid w:val="00315AC6"/>
    <w:rsid w:val="00317136"/>
    <w:rsid w:val="00323756"/>
    <w:rsid w:val="00325946"/>
    <w:rsid w:val="00330EDB"/>
    <w:rsid w:val="00331499"/>
    <w:rsid w:val="00335FCB"/>
    <w:rsid w:val="00340601"/>
    <w:rsid w:val="00340C1A"/>
    <w:rsid w:val="00343D71"/>
    <w:rsid w:val="0034725D"/>
    <w:rsid w:val="003475D9"/>
    <w:rsid w:val="00353D19"/>
    <w:rsid w:val="0035769A"/>
    <w:rsid w:val="003613BC"/>
    <w:rsid w:val="003633D7"/>
    <w:rsid w:val="003658DD"/>
    <w:rsid w:val="00365B74"/>
    <w:rsid w:val="003660D4"/>
    <w:rsid w:val="00371172"/>
    <w:rsid w:val="00373CDA"/>
    <w:rsid w:val="003742A8"/>
    <w:rsid w:val="0037594A"/>
    <w:rsid w:val="003839F5"/>
    <w:rsid w:val="00391557"/>
    <w:rsid w:val="00391D7E"/>
    <w:rsid w:val="00395AA3"/>
    <w:rsid w:val="00396B4A"/>
    <w:rsid w:val="00396E7B"/>
    <w:rsid w:val="00396E95"/>
    <w:rsid w:val="003A2161"/>
    <w:rsid w:val="003A363E"/>
    <w:rsid w:val="003A4238"/>
    <w:rsid w:val="003A4D6F"/>
    <w:rsid w:val="003A6D5E"/>
    <w:rsid w:val="003A721A"/>
    <w:rsid w:val="003B0D04"/>
    <w:rsid w:val="003B3685"/>
    <w:rsid w:val="003B3C68"/>
    <w:rsid w:val="003B4353"/>
    <w:rsid w:val="003B43F3"/>
    <w:rsid w:val="003C0693"/>
    <w:rsid w:val="003C08C0"/>
    <w:rsid w:val="003C5F90"/>
    <w:rsid w:val="003D17A3"/>
    <w:rsid w:val="003D21DD"/>
    <w:rsid w:val="003D4456"/>
    <w:rsid w:val="003D52A0"/>
    <w:rsid w:val="003E040B"/>
    <w:rsid w:val="003E2BF4"/>
    <w:rsid w:val="003E397B"/>
    <w:rsid w:val="003E4C1B"/>
    <w:rsid w:val="003E7732"/>
    <w:rsid w:val="003F3FF6"/>
    <w:rsid w:val="003F430F"/>
    <w:rsid w:val="003F5833"/>
    <w:rsid w:val="003F619E"/>
    <w:rsid w:val="003F6B8F"/>
    <w:rsid w:val="003F741C"/>
    <w:rsid w:val="00400B2B"/>
    <w:rsid w:val="00401614"/>
    <w:rsid w:val="00401B02"/>
    <w:rsid w:val="004067F0"/>
    <w:rsid w:val="004072A8"/>
    <w:rsid w:val="00413C0C"/>
    <w:rsid w:val="00413D35"/>
    <w:rsid w:val="00416375"/>
    <w:rsid w:val="0042307D"/>
    <w:rsid w:val="00423D52"/>
    <w:rsid w:val="00425433"/>
    <w:rsid w:val="00445B90"/>
    <w:rsid w:val="004463E0"/>
    <w:rsid w:val="0045206A"/>
    <w:rsid w:val="00462472"/>
    <w:rsid w:val="0046768C"/>
    <w:rsid w:val="004733A9"/>
    <w:rsid w:val="00474699"/>
    <w:rsid w:val="00476E4C"/>
    <w:rsid w:val="0048680F"/>
    <w:rsid w:val="004873D3"/>
    <w:rsid w:val="00494834"/>
    <w:rsid w:val="00497AE0"/>
    <w:rsid w:val="004A2348"/>
    <w:rsid w:val="004A28DB"/>
    <w:rsid w:val="004A6F1F"/>
    <w:rsid w:val="004B13A1"/>
    <w:rsid w:val="004B4687"/>
    <w:rsid w:val="004B7105"/>
    <w:rsid w:val="004B7901"/>
    <w:rsid w:val="004C21FC"/>
    <w:rsid w:val="004C299C"/>
    <w:rsid w:val="004C3184"/>
    <w:rsid w:val="004D13E3"/>
    <w:rsid w:val="004D31B5"/>
    <w:rsid w:val="004D32AA"/>
    <w:rsid w:val="004E0083"/>
    <w:rsid w:val="004E2911"/>
    <w:rsid w:val="004E3D6C"/>
    <w:rsid w:val="004E5C5B"/>
    <w:rsid w:val="004E5D3F"/>
    <w:rsid w:val="004E64C7"/>
    <w:rsid w:val="004F06FD"/>
    <w:rsid w:val="004F1FD5"/>
    <w:rsid w:val="004F3F0F"/>
    <w:rsid w:val="004F4686"/>
    <w:rsid w:val="004F560A"/>
    <w:rsid w:val="004F7CEC"/>
    <w:rsid w:val="00510E51"/>
    <w:rsid w:val="005110EE"/>
    <w:rsid w:val="0051775D"/>
    <w:rsid w:val="00523AF4"/>
    <w:rsid w:val="005271B2"/>
    <w:rsid w:val="0053300C"/>
    <w:rsid w:val="00533707"/>
    <w:rsid w:val="005401A7"/>
    <w:rsid w:val="0054416C"/>
    <w:rsid w:val="005451AC"/>
    <w:rsid w:val="00546B56"/>
    <w:rsid w:val="00550470"/>
    <w:rsid w:val="00551231"/>
    <w:rsid w:val="00554BDE"/>
    <w:rsid w:val="00554E33"/>
    <w:rsid w:val="00561483"/>
    <w:rsid w:val="0056224D"/>
    <w:rsid w:val="005666A9"/>
    <w:rsid w:val="0056768A"/>
    <w:rsid w:val="00570A3A"/>
    <w:rsid w:val="005716A7"/>
    <w:rsid w:val="005751B3"/>
    <w:rsid w:val="00575ABF"/>
    <w:rsid w:val="00577B86"/>
    <w:rsid w:val="00583CB9"/>
    <w:rsid w:val="005A0A27"/>
    <w:rsid w:val="005A1CEB"/>
    <w:rsid w:val="005A3577"/>
    <w:rsid w:val="005A3D65"/>
    <w:rsid w:val="005B1F78"/>
    <w:rsid w:val="005B40A1"/>
    <w:rsid w:val="005B48F6"/>
    <w:rsid w:val="005B55F9"/>
    <w:rsid w:val="005B69DE"/>
    <w:rsid w:val="005C295E"/>
    <w:rsid w:val="005D73E0"/>
    <w:rsid w:val="005E37AD"/>
    <w:rsid w:val="0060142A"/>
    <w:rsid w:val="006014F4"/>
    <w:rsid w:val="00601DE4"/>
    <w:rsid w:val="0060525D"/>
    <w:rsid w:val="00612758"/>
    <w:rsid w:val="006141B9"/>
    <w:rsid w:val="00617108"/>
    <w:rsid w:val="006205B9"/>
    <w:rsid w:val="00620ACB"/>
    <w:rsid w:val="00620EC5"/>
    <w:rsid w:val="00621EA9"/>
    <w:rsid w:val="00622FC9"/>
    <w:rsid w:val="00632225"/>
    <w:rsid w:val="00633A3A"/>
    <w:rsid w:val="0063470B"/>
    <w:rsid w:val="00635CCA"/>
    <w:rsid w:val="00640F00"/>
    <w:rsid w:val="00643EE4"/>
    <w:rsid w:val="00652577"/>
    <w:rsid w:val="006538C2"/>
    <w:rsid w:val="00653D34"/>
    <w:rsid w:val="00653DB7"/>
    <w:rsid w:val="0065589A"/>
    <w:rsid w:val="00655931"/>
    <w:rsid w:val="00656A14"/>
    <w:rsid w:val="0066282A"/>
    <w:rsid w:val="00662E88"/>
    <w:rsid w:val="00664856"/>
    <w:rsid w:val="006660D2"/>
    <w:rsid w:val="00667394"/>
    <w:rsid w:val="00670C84"/>
    <w:rsid w:val="00673854"/>
    <w:rsid w:val="00676984"/>
    <w:rsid w:val="00681EA4"/>
    <w:rsid w:val="00686366"/>
    <w:rsid w:val="0069091A"/>
    <w:rsid w:val="00692465"/>
    <w:rsid w:val="006A1C39"/>
    <w:rsid w:val="006A2C3A"/>
    <w:rsid w:val="006A37B8"/>
    <w:rsid w:val="006A46D3"/>
    <w:rsid w:val="006A5CBA"/>
    <w:rsid w:val="006B2703"/>
    <w:rsid w:val="006C0CC3"/>
    <w:rsid w:val="006C2891"/>
    <w:rsid w:val="006C326D"/>
    <w:rsid w:val="006D0EE0"/>
    <w:rsid w:val="006D7C6E"/>
    <w:rsid w:val="006E1605"/>
    <w:rsid w:val="006E1B08"/>
    <w:rsid w:val="006E2202"/>
    <w:rsid w:val="006E2AA3"/>
    <w:rsid w:val="006E4154"/>
    <w:rsid w:val="006E464D"/>
    <w:rsid w:val="006F57FA"/>
    <w:rsid w:val="006F713E"/>
    <w:rsid w:val="00700719"/>
    <w:rsid w:val="00700871"/>
    <w:rsid w:val="00705BCE"/>
    <w:rsid w:val="00705CDC"/>
    <w:rsid w:val="007064A4"/>
    <w:rsid w:val="00707BB1"/>
    <w:rsid w:val="00711E3E"/>
    <w:rsid w:val="007141FF"/>
    <w:rsid w:val="007164DB"/>
    <w:rsid w:val="007224D6"/>
    <w:rsid w:val="00723049"/>
    <w:rsid w:val="00723753"/>
    <w:rsid w:val="00724001"/>
    <w:rsid w:val="00730D65"/>
    <w:rsid w:val="00733341"/>
    <w:rsid w:val="0073777D"/>
    <w:rsid w:val="00740583"/>
    <w:rsid w:val="0074493F"/>
    <w:rsid w:val="00745E2E"/>
    <w:rsid w:val="00750CE7"/>
    <w:rsid w:val="0075643B"/>
    <w:rsid w:val="007564C7"/>
    <w:rsid w:val="00756629"/>
    <w:rsid w:val="00761CB0"/>
    <w:rsid w:val="00767CDC"/>
    <w:rsid w:val="0077011B"/>
    <w:rsid w:val="00771B04"/>
    <w:rsid w:val="00774D7D"/>
    <w:rsid w:val="00777085"/>
    <w:rsid w:val="007800E4"/>
    <w:rsid w:val="00781D2C"/>
    <w:rsid w:val="00786B97"/>
    <w:rsid w:val="00787617"/>
    <w:rsid w:val="00790841"/>
    <w:rsid w:val="0079313D"/>
    <w:rsid w:val="007958BB"/>
    <w:rsid w:val="00796312"/>
    <w:rsid w:val="0079746A"/>
    <w:rsid w:val="007A3E6F"/>
    <w:rsid w:val="007B2A8F"/>
    <w:rsid w:val="007B44F5"/>
    <w:rsid w:val="007B4581"/>
    <w:rsid w:val="007B5414"/>
    <w:rsid w:val="007C10F0"/>
    <w:rsid w:val="007C2CC6"/>
    <w:rsid w:val="007C78A8"/>
    <w:rsid w:val="007D4084"/>
    <w:rsid w:val="007D5F3A"/>
    <w:rsid w:val="007D6CE9"/>
    <w:rsid w:val="007E0F3C"/>
    <w:rsid w:val="007E2BFF"/>
    <w:rsid w:val="007E6AEE"/>
    <w:rsid w:val="007E72DA"/>
    <w:rsid w:val="007E7B59"/>
    <w:rsid w:val="007F178D"/>
    <w:rsid w:val="007F1B3A"/>
    <w:rsid w:val="0080263D"/>
    <w:rsid w:val="008041F0"/>
    <w:rsid w:val="00804BD9"/>
    <w:rsid w:val="008052A8"/>
    <w:rsid w:val="00805CB8"/>
    <w:rsid w:val="00807E8F"/>
    <w:rsid w:val="00810062"/>
    <w:rsid w:val="00812F06"/>
    <w:rsid w:val="0081481F"/>
    <w:rsid w:val="0081630F"/>
    <w:rsid w:val="0081637F"/>
    <w:rsid w:val="008168C4"/>
    <w:rsid w:val="00824813"/>
    <w:rsid w:val="00825276"/>
    <w:rsid w:val="0082669C"/>
    <w:rsid w:val="00826E2F"/>
    <w:rsid w:val="00830CC6"/>
    <w:rsid w:val="008343E8"/>
    <w:rsid w:val="00845002"/>
    <w:rsid w:val="0085330D"/>
    <w:rsid w:val="0085370A"/>
    <w:rsid w:val="00854F5E"/>
    <w:rsid w:val="00855166"/>
    <w:rsid w:val="00861D9F"/>
    <w:rsid w:val="00862678"/>
    <w:rsid w:val="0086589C"/>
    <w:rsid w:val="0086626D"/>
    <w:rsid w:val="0087392F"/>
    <w:rsid w:val="00873AF4"/>
    <w:rsid w:val="0088457A"/>
    <w:rsid w:val="00891AC2"/>
    <w:rsid w:val="00894046"/>
    <w:rsid w:val="0089580E"/>
    <w:rsid w:val="008A1D45"/>
    <w:rsid w:val="008A296E"/>
    <w:rsid w:val="008A4CB1"/>
    <w:rsid w:val="008A6381"/>
    <w:rsid w:val="008B2ABB"/>
    <w:rsid w:val="008B4CA2"/>
    <w:rsid w:val="008B4FFB"/>
    <w:rsid w:val="008B6EB1"/>
    <w:rsid w:val="008C00E6"/>
    <w:rsid w:val="008C340E"/>
    <w:rsid w:val="008C4D06"/>
    <w:rsid w:val="008D1643"/>
    <w:rsid w:val="008D23FB"/>
    <w:rsid w:val="008D3EF0"/>
    <w:rsid w:val="008E0E2D"/>
    <w:rsid w:val="008E4659"/>
    <w:rsid w:val="008F487D"/>
    <w:rsid w:val="008F65C7"/>
    <w:rsid w:val="008F6A76"/>
    <w:rsid w:val="00900475"/>
    <w:rsid w:val="009044E5"/>
    <w:rsid w:val="009139CD"/>
    <w:rsid w:val="0091555B"/>
    <w:rsid w:val="0092022D"/>
    <w:rsid w:val="00922A68"/>
    <w:rsid w:val="0092617E"/>
    <w:rsid w:val="00930001"/>
    <w:rsid w:val="009306A4"/>
    <w:rsid w:val="00932C19"/>
    <w:rsid w:val="00933F93"/>
    <w:rsid w:val="00946044"/>
    <w:rsid w:val="00947346"/>
    <w:rsid w:val="00950A67"/>
    <w:rsid w:val="009541B5"/>
    <w:rsid w:val="00954591"/>
    <w:rsid w:val="00960423"/>
    <w:rsid w:val="009606C8"/>
    <w:rsid w:val="00961994"/>
    <w:rsid w:val="00961E68"/>
    <w:rsid w:val="0096345F"/>
    <w:rsid w:val="00964944"/>
    <w:rsid w:val="00973D5E"/>
    <w:rsid w:val="00975C73"/>
    <w:rsid w:val="0097643E"/>
    <w:rsid w:val="009777AC"/>
    <w:rsid w:val="00983667"/>
    <w:rsid w:val="00983BCD"/>
    <w:rsid w:val="00983CB7"/>
    <w:rsid w:val="00984091"/>
    <w:rsid w:val="009915D6"/>
    <w:rsid w:val="009A2834"/>
    <w:rsid w:val="009A3FEF"/>
    <w:rsid w:val="009A5C9F"/>
    <w:rsid w:val="009A761D"/>
    <w:rsid w:val="009B0659"/>
    <w:rsid w:val="009B17DD"/>
    <w:rsid w:val="009B3D55"/>
    <w:rsid w:val="009B585C"/>
    <w:rsid w:val="009C08CA"/>
    <w:rsid w:val="009C2DA5"/>
    <w:rsid w:val="009C3F78"/>
    <w:rsid w:val="009C4FC2"/>
    <w:rsid w:val="009C75D8"/>
    <w:rsid w:val="009D37B7"/>
    <w:rsid w:val="009D5306"/>
    <w:rsid w:val="009D64C6"/>
    <w:rsid w:val="009E10C2"/>
    <w:rsid w:val="009E42D9"/>
    <w:rsid w:val="009F022D"/>
    <w:rsid w:val="009F2FF0"/>
    <w:rsid w:val="009F391C"/>
    <w:rsid w:val="009F3CA2"/>
    <w:rsid w:val="009F3FE2"/>
    <w:rsid w:val="009F494A"/>
    <w:rsid w:val="00A01C19"/>
    <w:rsid w:val="00A14E8E"/>
    <w:rsid w:val="00A1504E"/>
    <w:rsid w:val="00A20B44"/>
    <w:rsid w:val="00A24BFA"/>
    <w:rsid w:val="00A24D19"/>
    <w:rsid w:val="00A2551B"/>
    <w:rsid w:val="00A263B9"/>
    <w:rsid w:val="00A274BD"/>
    <w:rsid w:val="00A27C99"/>
    <w:rsid w:val="00A31353"/>
    <w:rsid w:val="00A318CC"/>
    <w:rsid w:val="00A33D4E"/>
    <w:rsid w:val="00A34A87"/>
    <w:rsid w:val="00A34AC7"/>
    <w:rsid w:val="00A3535B"/>
    <w:rsid w:val="00A37723"/>
    <w:rsid w:val="00A40A54"/>
    <w:rsid w:val="00A41D0F"/>
    <w:rsid w:val="00A4234C"/>
    <w:rsid w:val="00A4353B"/>
    <w:rsid w:val="00A43BF8"/>
    <w:rsid w:val="00A45916"/>
    <w:rsid w:val="00A50E4C"/>
    <w:rsid w:val="00A53693"/>
    <w:rsid w:val="00A549DA"/>
    <w:rsid w:val="00A5608C"/>
    <w:rsid w:val="00A571CB"/>
    <w:rsid w:val="00A7112F"/>
    <w:rsid w:val="00A73212"/>
    <w:rsid w:val="00A76731"/>
    <w:rsid w:val="00A7742B"/>
    <w:rsid w:val="00A805AC"/>
    <w:rsid w:val="00A80953"/>
    <w:rsid w:val="00A81A9C"/>
    <w:rsid w:val="00A8254E"/>
    <w:rsid w:val="00A837A1"/>
    <w:rsid w:val="00A87A0A"/>
    <w:rsid w:val="00A91E05"/>
    <w:rsid w:val="00A92D01"/>
    <w:rsid w:val="00A93308"/>
    <w:rsid w:val="00A9722C"/>
    <w:rsid w:val="00A97EA2"/>
    <w:rsid w:val="00AA70CD"/>
    <w:rsid w:val="00AB0B2A"/>
    <w:rsid w:val="00AB1167"/>
    <w:rsid w:val="00AB1CD7"/>
    <w:rsid w:val="00AB1E80"/>
    <w:rsid w:val="00AB2044"/>
    <w:rsid w:val="00AB28BD"/>
    <w:rsid w:val="00AC3572"/>
    <w:rsid w:val="00AC6A2A"/>
    <w:rsid w:val="00AD02BC"/>
    <w:rsid w:val="00AD279C"/>
    <w:rsid w:val="00AD4B6D"/>
    <w:rsid w:val="00AD6A1E"/>
    <w:rsid w:val="00AD6D32"/>
    <w:rsid w:val="00AE710C"/>
    <w:rsid w:val="00AF18EC"/>
    <w:rsid w:val="00AF59D9"/>
    <w:rsid w:val="00AF769D"/>
    <w:rsid w:val="00B07457"/>
    <w:rsid w:val="00B10D0A"/>
    <w:rsid w:val="00B111EA"/>
    <w:rsid w:val="00B11C1F"/>
    <w:rsid w:val="00B12EC8"/>
    <w:rsid w:val="00B15CE5"/>
    <w:rsid w:val="00B23601"/>
    <w:rsid w:val="00B23750"/>
    <w:rsid w:val="00B2497E"/>
    <w:rsid w:val="00B27190"/>
    <w:rsid w:val="00B34521"/>
    <w:rsid w:val="00B36B24"/>
    <w:rsid w:val="00B43537"/>
    <w:rsid w:val="00B45A08"/>
    <w:rsid w:val="00B54387"/>
    <w:rsid w:val="00B55207"/>
    <w:rsid w:val="00B56A8D"/>
    <w:rsid w:val="00B62368"/>
    <w:rsid w:val="00B62B68"/>
    <w:rsid w:val="00B65A54"/>
    <w:rsid w:val="00B65AA7"/>
    <w:rsid w:val="00B7465A"/>
    <w:rsid w:val="00B7512B"/>
    <w:rsid w:val="00B75F2B"/>
    <w:rsid w:val="00B77C63"/>
    <w:rsid w:val="00B80311"/>
    <w:rsid w:val="00B841AC"/>
    <w:rsid w:val="00B84595"/>
    <w:rsid w:val="00B84F75"/>
    <w:rsid w:val="00B86DB3"/>
    <w:rsid w:val="00B872BE"/>
    <w:rsid w:val="00B9168B"/>
    <w:rsid w:val="00B91C04"/>
    <w:rsid w:val="00B955A1"/>
    <w:rsid w:val="00BA282D"/>
    <w:rsid w:val="00BA2975"/>
    <w:rsid w:val="00BB00B2"/>
    <w:rsid w:val="00BB1489"/>
    <w:rsid w:val="00BB1A1D"/>
    <w:rsid w:val="00BB35E7"/>
    <w:rsid w:val="00BB51E2"/>
    <w:rsid w:val="00BC30A1"/>
    <w:rsid w:val="00BC5EBF"/>
    <w:rsid w:val="00BC7ECB"/>
    <w:rsid w:val="00BD094F"/>
    <w:rsid w:val="00BD7E40"/>
    <w:rsid w:val="00BD7EFA"/>
    <w:rsid w:val="00BE3B9D"/>
    <w:rsid w:val="00BE3CA3"/>
    <w:rsid w:val="00BE5E86"/>
    <w:rsid w:val="00BF181E"/>
    <w:rsid w:val="00BF4937"/>
    <w:rsid w:val="00BF5913"/>
    <w:rsid w:val="00BF620C"/>
    <w:rsid w:val="00BF78E2"/>
    <w:rsid w:val="00C00B9C"/>
    <w:rsid w:val="00C03B1D"/>
    <w:rsid w:val="00C03B6E"/>
    <w:rsid w:val="00C05FAE"/>
    <w:rsid w:val="00C07890"/>
    <w:rsid w:val="00C10A45"/>
    <w:rsid w:val="00C13853"/>
    <w:rsid w:val="00C14EB3"/>
    <w:rsid w:val="00C23C00"/>
    <w:rsid w:val="00C25E9D"/>
    <w:rsid w:val="00C2691D"/>
    <w:rsid w:val="00C36E92"/>
    <w:rsid w:val="00C372C0"/>
    <w:rsid w:val="00C37304"/>
    <w:rsid w:val="00C41B74"/>
    <w:rsid w:val="00C4596D"/>
    <w:rsid w:val="00C50D9E"/>
    <w:rsid w:val="00C524F4"/>
    <w:rsid w:val="00C52613"/>
    <w:rsid w:val="00C539F4"/>
    <w:rsid w:val="00C53DAC"/>
    <w:rsid w:val="00C53F79"/>
    <w:rsid w:val="00C5439B"/>
    <w:rsid w:val="00C54A75"/>
    <w:rsid w:val="00C54BC3"/>
    <w:rsid w:val="00C54FF3"/>
    <w:rsid w:val="00C579E1"/>
    <w:rsid w:val="00C61F53"/>
    <w:rsid w:val="00C6773F"/>
    <w:rsid w:val="00C67CE5"/>
    <w:rsid w:val="00C758C0"/>
    <w:rsid w:val="00C77BB7"/>
    <w:rsid w:val="00C80F7D"/>
    <w:rsid w:val="00C855A4"/>
    <w:rsid w:val="00C86865"/>
    <w:rsid w:val="00C8775A"/>
    <w:rsid w:val="00C92603"/>
    <w:rsid w:val="00C95693"/>
    <w:rsid w:val="00C9631C"/>
    <w:rsid w:val="00C963B3"/>
    <w:rsid w:val="00C97408"/>
    <w:rsid w:val="00CA4862"/>
    <w:rsid w:val="00CA5021"/>
    <w:rsid w:val="00CB0E79"/>
    <w:rsid w:val="00CB286A"/>
    <w:rsid w:val="00CB531E"/>
    <w:rsid w:val="00CB63E1"/>
    <w:rsid w:val="00CB7A72"/>
    <w:rsid w:val="00CC2726"/>
    <w:rsid w:val="00CD05A4"/>
    <w:rsid w:val="00CD2F65"/>
    <w:rsid w:val="00CD3477"/>
    <w:rsid w:val="00CE08D0"/>
    <w:rsid w:val="00CE15D8"/>
    <w:rsid w:val="00CE3893"/>
    <w:rsid w:val="00CE645C"/>
    <w:rsid w:val="00CE6FEE"/>
    <w:rsid w:val="00CE76D1"/>
    <w:rsid w:val="00CF1F70"/>
    <w:rsid w:val="00CF335E"/>
    <w:rsid w:val="00CF5F0E"/>
    <w:rsid w:val="00CF6F6C"/>
    <w:rsid w:val="00CF71AD"/>
    <w:rsid w:val="00CF75C6"/>
    <w:rsid w:val="00CF779E"/>
    <w:rsid w:val="00D02D0A"/>
    <w:rsid w:val="00D02E7C"/>
    <w:rsid w:val="00D147ED"/>
    <w:rsid w:val="00D156C4"/>
    <w:rsid w:val="00D22686"/>
    <w:rsid w:val="00D237BC"/>
    <w:rsid w:val="00D24692"/>
    <w:rsid w:val="00D26BCF"/>
    <w:rsid w:val="00D3331D"/>
    <w:rsid w:val="00D343F0"/>
    <w:rsid w:val="00D449AB"/>
    <w:rsid w:val="00D4537C"/>
    <w:rsid w:val="00D47115"/>
    <w:rsid w:val="00D607C2"/>
    <w:rsid w:val="00D60A84"/>
    <w:rsid w:val="00D621C9"/>
    <w:rsid w:val="00D64D92"/>
    <w:rsid w:val="00D67702"/>
    <w:rsid w:val="00D67BE6"/>
    <w:rsid w:val="00D75171"/>
    <w:rsid w:val="00D759CE"/>
    <w:rsid w:val="00D760D4"/>
    <w:rsid w:val="00D7732F"/>
    <w:rsid w:val="00D806D8"/>
    <w:rsid w:val="00D91964"/>
    <w:rsid w:val="00D97A56"/>
    <w:rsid w:val="00DA1CAE"/>
    <w:rsid w:val="00DA2BFA"/>
    <w:rsid w:val="00DA3701"/>
    <w:rsid w:val="00DA4AB1"/>
    <w:rsid w:val="00DA795B"/>
    <w:rsid w:val="00DB079B"/>
    <w:rsid w:val="00DB4DE3"/>
    <w:rsid w:val="00DB7EB0"/>
    <w:rsid w:val="00DC2568"/>
    <w:rsid w:val="00DC3630"/>
    <w:rsid w:val="00DC4906"/>
    <w:rsid w:val="00DC5B60"/>
    <w:rsid w:val="00DD0579"/>
    <w:rsid w:val="00DD0D20"/>
    <w:rsid w:val="00DD3BBD"/>
    <w:rsid w:val="00DD4EA5"/>
    <w:rsid w:val="00DD5061"/>
    <w:rsid w:val="00DD5B05"/>
    <w:rsid w:val="00DD6ABF"/>
    <w:rsid w:val="00DD75CD"/>
    <w:rsid w:val="00DD79B0"/>
    <w:rsid w:val="00DE112E"/>
    <w:rsid w:val="00DE5CE2"/>
    <w:rsid w:val="00DE66A7"/>
    <w:rsid w:val="00DE7F49"/>
    <w:rsid w:val="00DF3421"/>
    <w:rsid w:val="00DF4121"/>
    <w:rsid w:val="00DF5C10"/>
    <w:rsid w:val="00E01E45"/>
    <w:rsid w:val="00E02812"/>
    <w:rsid w:val="00E0696E"/>
    <w:rsid w:val="00E06C04"/>
    <w:rsid w:val="00E11893"/>
    <w:rsid w:val="00E11D62"/>
    <w:rsid w:val="00E1564B"/>
    <w:rsid w:val="00E159BF"/>
    <w:rsid w:val="00E172F7"/>
    <w:rsid w:val="00E1736F"/>
    <w:rsid w:val="00E1757D"/>
    <w:rsid w:val="00E206DD"/>
    <w:rsid w:val="00E2474A"/>
    <w:rsid w:val="00E25610"/>
    <w:rsid w:val="00E26EAB"/>
    <w:rsid w:val="00E30A20"/>
    <w:rsid w:val="00E32DF8"/>
    <w:rsid w:val="00E40B34"/>
    <w:rsid w:val="00E41C73"/>
    <w:rsid w:val="00E5356B"/>
    <w:rsid w:val="00E5445A"/>
    <w:rsid w:val="00E54672"/>
    <w:rsid w:val="00E5508D"/>
    <w:rsid w:val="00E573B1"/>
    <w:rsid w:val="00E616F0"/>
    <w:rsid w:val="00E62739"/>
    <w:rsid w:val="00E62B68"/>
    <w:rsid w:val="00E63B35"/>
    <w:rsid w:val="00E66B5A"/>
    <w:rsid w:val="00E71A87"/>
    <w:rsid w:val="00E727D9"/>
    <w:rsid w:val="00E749E3"/>
    <w:rsid w:val="00E768AD"/>
    <w:rsid w:val="00E81BCA"/>
    <w:rsid w:val="00E82EDA"/>
    <w:rsid w:val="00E8541E"/>
    <w:rsid w:val="00E9343D"/>
    <w:rsid w:val="00EA215D"/>
    <w:rsid w:val="00EB0101"/>
    <w:rsid w:val="00EB2895"/>
    <w:rsid w:val="00EB323A"/>
    <w:rsid w:val="00EB67A7"/>
    <w:rsid w:val="00EB6EB6"/>
    <w:rsid w:val="00EB760E"/>
    <w:rsid w:val="00EC4313"/>
    <w:rsid w:val="00EC6525"/>
    <w:rsid w:val="00ED2B7C"/>
    <w:rsid w:val="00ED4F7F"/>
    <w:rsid w:val="00ED4F8D"/>
    <w:rsid w:val="00EE0494"/>
    <w:rsid w:val="00EE117C"/>
    <w:rsid w:val="00EE16B6"/>
    <w:rsid w:val="00EF0CF2"/>
    <w:rsid w:val="00EF1016"/>
    <w:rsid w:val="00EF6D64"/>
    <w:rsid w:val="00F00391"/>
    <w:rsid w:val="00F021E2"/>
    <w:rsid w:val="00F03BCB"/>
    <w:rsid w:val="00F04CC3"/>
    <w:rsid w:val="00F04D9C"/>
    <w:rsid w:val="00F0641A"/>
    <w:rsid w:val="00F123FB"/>
    <w:rsid w:val="00F20980"/>
    <w:rsid w:val="00F20EFE"/>
    <w:rsid w:val="00F21240"/>
    <w:rsid w:val="00F21381"/>
    <w:rsid w:val="00F24C10"/>
    <w:rsid w:val="00F315F3"/>
    <w:rsid w:val="00F32B82"/>
    <w:rsid w:val="00F35106"/>
    <w:rsid w:val="00F4218D"/>
    <w:rsid w:val="00F435E4"/>
    <w:rsid w:val="00F45D2E"/>
    <w:rsid w:val="00F55172"/>
    <w:rsid w:val="00F6026B"/>
    <w:rsid w:val="00F620F1"/>
    <w:rsid w:val="00F63B8D"/>
    <w:rsid w:val="00F66CD0"/>
    <w:rsid w:val="00F724E5"/>
    <w:rsid w:val="00F74A85"/>
    <w:rsid w:val="00F74F03"/>
    <w:rsid w:val="00F765C5"/>
    <w:rsid w:val="00F81415"/>
    <w:rsid w:val="00F856E9"/>
    <w:rsid w:val="00F873FC"/>
    <w:rsid w:val="00F92352"/>
    <w:rsid w:val="00FA3C24"/>
    <w:rsid w:val="00FA70BF"/>
    <w:rsid w:val="00FB4412"/>
    <w:rsid w:val="00FB46F0"/>
    <w:rsid w:val="00FC0768"/>
    <w:rsid w:val="00FC11B6"/>
    <w:rsid w:val="00FC5848"/>
    <w:rsid w:val="00FD385B"/>
    <w:rsid w:val="00FD7096"/>
    <w:rsid w:val="00FD7DB1"/>
    <w:rsid w:val="00FD7E2E"/>
    <w:rsid w:val="00FE273B"/>
    <w:rsid w:val="00FE29BC"/>
    <w:rsid w:val="00FE3D99"/>
    <w:rsid w:val="00FF1E6B"/>
    <w:rsid w:val="00FF279F"/>
    <w:rsid w:val="00FF51E8"/>
    <w:rsid w:val="00FF6780"/>
    <w:rsid w:val="01066A48"/>
    <w:rsid w:val="010F0552"/>
    <w:rsid w:val="01171186"/>
    <w:rsid w:val="011D0840"/>
    <w:rsid w:val="011D78AE"/>
    <w:rsid w:val="011E00B5"/>
    <w:rsid w:val="011E3AF5"/>
    <w:rsid w:val="012A4928"/>
    <w:rsid w:val="01340AE2"/>
    <w:rsid w:val="01405697"/>
    <w:rsid w:val="01456907"/>
    <w:rsid w:val="014976A0"/>
    <w:rsid w:val="016F346A"/>
    <w:rsid w:val="01702627"/>
    <w:rsid w:val="01783D85"/>
    <w:rsid w:val="01873853"/>
    <w:rsid w:val="018841CA"/>
    <w:rsid w:val="019C597A"/>
    <w:rsid w:val="01A03A4F"/>
    <w:rsid w:val="01A75904"/>
    <w:rsid w:val="01A907B7"/>
    <w:rsid w:val="01A90B8E"/>
    <w:rsid w:val="01C743A2"/>
    <w:rsid w:val="01D00747"/>
    <w:rsid w:val="01D23D77"/>
    <w:rsid w:val="01DB0CC9"/>
    <w:rsid w:val="01DE44F6"/>
    <w:rsid w:val="01E10A6D"/>
    <w:rsid w:val="01E1780B"/>
    <w:rsid w:val="01E41120"/>
    <w:rsid w:val="01E71180"/>
    <w:rsid w:val="01E77BEE"/>
    <w:rsid w:val="01EA4B85"/>
    <w:rsid w:val="01ED6321"/>
    <w:rsid w:val="01F74DB5"/>
    <w:rsid w:val="0202330B"/>
    <w:rsid w:val="0209253A"/>
    <w:rsid w:val="020F790C"/>
    <w:rsid w:val="02150167"/>
    <w:rsid w:val="021C2000"/>
    <w:rsid w:val="022C5A80"/>
    <w:rsid w:val="02436BA8"/>
    <w:rsid w:val="02437B74"/>
    <w:rsid w:val="024B0640"/>
    <w:rsid w:val="024B2998"/>
    <w:rsid w:val="02517C05"/>
    <w:rsid w:val="02706069"/>
    <w:rsid w:val="02787649"/>
    <w:rsid w:val="028A2470"/>
    <w:rsid w:val="029570D5"/>
    <w:rsid w:val="02981110"/>
    <w:rsid w:val="02A164F1"/>
    <w:rsid w:val="02A323B6"/>
    <w:rsid w:val="02A44DE3"/>
    <w:rsid w:val="02AA6CBC"/>
    <w:rsid w:val="02AB48D4"/>
    <w:rsid w:val="02AD74A7"/>
    <w:rsid w:val="02B820A2"/>
    <w:rsid w:val="02C167B1"/>
    <w:rsid w:val="02C64921"/>
    <w:rsid w:val="02C66D77"/>
    <w:rsid w:val="02D0613D"/>
    <w:rsid w:val="02D2627B"/>
    <w:rsid w:val="02D265ED"/>
    <w:rsid w:val="02DA6B1D"/>
    <w:rsid w:val="02DB0BD0"/>
    <w:rsid w:val="02DF5557"/>
    <w:rsid w:val="02EC6598"/>
    <w:rsid w:val="02FF5323"/>
    <w:rsid w:val="03034D08"/>
    <w:rsid w:val="03054189"/>
    <w:rsid w:val="03116497"/>
    <w:rsid w:val="0330015E"/>
    <w:rsid w:val="03304D38"/>
    <w:rsid w:val="0334635D"/>
    <w:rsid w:val="033C7A10"/>
    <w:rsid w:val="0346219A"/>
    <w:rsid w:val="034958B1"/>
    <w:rsid w:val="03574AA3"/>
    <w:rsid w:val="03575611"/>
    <w:rsid w:val="035A5EA0"/>
    <w:rsid w:val="03710A9A"/>
    <w:rsid w:val="03736871"/>
    <w:rsid w:val="03750DAF"/>
    <w:rsid w:val="03790286"/>
    <w:rsid w:val="037A1943"/>
    <w:rsid w:val="037C08E4"/>
    <w:rsid w:val="0381116F"/>
    <w:rsid w:val="03844EF2"/>
    <w:rsid w:val="038A40B4"/>
    <w:rsid w:val="038A5D17"/>
    <w:rsid w:val="03932568"/>
    <w:rsid w:val="039B53AE"/>
    <w:rsid w:val="03A031C4"/>
    <w:rsid w:val="03A15394"/>
    <w:rsid w:val="03B70B13"/>
    <w:rsid w:val="03C031D2"/>
    <w:rsid w:val="03CA6159"/>
    <w:rsid w:val="03CF0143"/>
    <w:rsid w:val="03D940EE"/>
    <w:rsid w:val="03E02175"/>
    <w:rsid w:val="03EB13E4"/>
    <w:rsid w:val="03F741E7"/>
    <w:rsid w:val="03FB29D5"/>
    <w:rsid w:val="04020C75"/>
    <w:rsid w:val="040B40E1"/>
    <w:rsid w:val="040D72D1"/>
    <w:rsid w:val="04106487"/>
    <w:rsid w:val="04132C74"/>
    <w:rsid w:val="041C0F50"/>
    <w:rsid w:val="042010F0"/>
    <w:rsid w:val="04216019"/>
    <w:rsid w:val="04272C7E"/>
    <w:rsid w:val="04297A57"/>
    <w:rsid w:val="042D12B1"/>
    <w:rsid w:val="043819F3"/>
    <w:rsid w:val="043E6D61"/>
    <w:rsid w:val="044040F4"/>
    <w:rsid w:val="044D2740"/>
    <w:rsid w:val="04542A5D"/>
    <w:rsid w:val="04585A8B"/>
    <w:rsid w:val="045A2820"/>
    <w:rsid w:val="046200EF"/>
    <w:rsid w:val="04655950"/>
    <w:rsid w:val="046736EA"/>
    <w:rsid w:val="0467541C"/>
    <w:rsid w:val="046B6145"/>
    <w:rsid w:val="04776C81"/>
    <w:rsid w:val="047A192B"/>
    <w:rsid w:val="047A3324"/>
    <w:rsid w:val="047D0309"/>
    <w:rsid w:val="048707FB"/>
    <w:rsid w:val="049B5A51"/>
    <w:rsid w:val="049F0E2C"/>
    <w:rsid w:val="04A36B65"/>
    <w:rsid w:val="04A918BC"/>
    <w:rsid w:val="04AD4A1F"/>
    <w:rsid w:val="04AE5E3F"/>
    <w:rsid w:val="04B34F96"/>
    <w:rsid w:val="04BC0624"/>
    <w:rsid w:val="04BD5B8F"/>
    <w:rsid w:val="04C0574D"/>
    <w:rsid w:val="04CE5AB2"/>
    <w:rsid w:val="04E36FED"/>
    <w:rsid w:val="04F375BD"/>
    <w:rsid w:val="04F76DEF"/>
    <w:rsid w:val="04F87901"/>
    <w:rsid w:val="04FE52A6"/>
    <w:rsid w:val="05014155"/>
    <w:rsid w:val="05032F9C"/>
    <w:rsid w:val="050372C2"/>
    <w:rsid w:val="050774D4"/>
    <w:rsid w:val="051E2627"/>
    <w:rsid w:val="05372082"/>
    <w:rsid w:val="05452C6A"/>
    <w:rsid w:val="054A1787"/>
    <w:rsid w:val="05556088"/>
    <w:rsid w:val="05591693"/>
    <w:rsid w:val="055F1886"/>
    <w:rsid w:val="056748D2"/>
    <w:rsid w:val="056A77DD"/>
    <w:rsid w:val="056B10F6"/>
    <w:rsid w:val="057023DA"/>
    <w:rsid w:val="05767A5C"/>
    <w:rsid w:val="05782413"/>
    <w:rsid w:val="05791C40"/>
    <w:rsid w:val="058B57D3"/>
    <w:rsid w:val="058D3611"/>
    <w:rsid w:val="05A7707C"/>
    <w:rsid w:val="05B25A51"/>
    <w:rsid w:val="05B34024"/>
    <w:rsid w:val="05BA54C3"/>
    <w:rsid w:val="05BC2B39"/>
    <w:rsid w:val="05C171C2"/>
    <w:rsid w:val="05DA0ADE"/>
    <w:rsid w:val="05DD43A7"/>
    <w:rsid w:val="05E029A5"/>
    <w:rsid w:val="05E20BC3"/>
    <w:rsid w:val="05E537C2"/>
    <w:rsid w:val="05E66CB7"/>
    <w:rsid w:val="05F82144"/>
    <w:rsid w:val="05F928F8"/>
    <w:rsid w:val="060047D8"/>
    <w:rsid w:val="060E7F2A"/>
    <w:rsid w:val="061A0D30"/>
    <w:rsid w:val="06275FBE"/>
    <w:rsid w:val="06292B4D"/>
    <w:rsid w:val="062D3580"/>
    <w:rsid w:val="062E1D6B"/>
    <w:rsid w:val="062F3A10"/>
    <w:rsid w:val="06321CA7"/>
    <w:rsid w:val="0632264C"/>
    <w:rsid w:val="06475461"/>
    <w:rsid w:val="06527E2F"/>
    <w:rsid w:val="06595547"/>
    <w:rsid w:val="066C3EB1"/>
    <w:rsid w:val="066E3B75"/>
    <w:rsid w:val="067B6CBA"/>
    <w:rsid w:val="069822D9"/>
    <w:rsid w:val="069A5C01"/>
    <w:rsid w:val="069E6492"/>
    <w:rsid w:val="06A527F0"/>
    <w:rsid w:val="06AC171C"/>
    <w:rsid w:val="06AE3964"/>
    <w:rsid w:val="06B324FE"/>
    <w:rsid w:val="06B37627"/>
    <w:rsid w:val="06B62719"/>
    <w:rsid w:val="06C504CE"/>
    <w:rsid w:val="06C53D03"/>
    <w:rsid w:val="06C93C5E"/>
    <w:rsid w:val="06CA5C18"/>
    <w:rsid w:val="06CC0BD5"/>
    <w:rsid w:val="06D25D71"/>
    <w:rsid w:val="06D34459"/>
    <w:rsid w:val="06D974E8"/>
    <w:rsid w:val="06ED1021"/>
    <w:rsid w:val="06F657D0"/>
    <w:rsid w:val="06F70BF4"/>
    <w:rsid w:val="071D128A"/>
    <w:rsid w:val="073711F4"/>
    <w:rsid w:val="07376561"/>
    <w:rsid w:val="073830AF"/>
    <w:rsid w:val="07386D26"/>
    <w:rsid w:val="073B4F81"/>
    <w:rsid w:val="073D03C6"/>
    <w:rsid w:val="073F714A"/>
    <w:rsid w:val="074D7D48"/>
    <w:rsid w:val="075563C9"/>
    <w:rsid w:val="07710F49"/>
    <w:rsid w:val="077146A3"/>
    <w:rsid w:val="07793CB7"/>
    <w:rsid w:val="078305C4"/>
    <w:rsid w:val="07894BBF"/>
    <w:rsid w:val="0789741D"/>
    <w:rsid w:val="078C12A5"/>
    <w:rsid w:val="078C35BD"/>
    <w:rsid w:val="0797656A"/>
    <w:rsid w:val="07A1237B"/>
    <w:rsid w:val="07AB31B8"/>
    <w:rsid w:val="07AF5CBD"/>
    <w:rsid w:val="07B36280"/>
    <w:rsid w:val="07BB756C"/>
    <w:rsid w:val="07C67BEF"/>
    <w:rsid w:val="07C74585"/>
    <w:rsid w:val="07CC25FA"/>
    <w:rsid w:val="07CD1F3F"/>
    <w:rsid w:val="07DB6A3D"/>
    <w:rsid w:val="07DF3AF2"/>
    <w:rsid w:val="07E62052"/>
    <w:rsid w:val="07EF6B7D"/>
    <w:rsid w:val="07FB705E"/>
    <w:rsid w:val="08177C1C"/>
    <w:rsid w:val="081866CE"/>
    <w:rsid w:val="082309F3"/>
    <w:rsid w:val="082B0362"/>
    <w:rsid w:val="082B5213"/>
    <w:rsid w:val="082F38AB"/>
    <w:rsid w:val="08324C29"/>
    <w:rsid w:val="08326169"/>
    <w:rsid w:val="083971E1"/>
    <w:rsid w:val="08432B91"/>
    <w:rsid w:val="084714FA"/>
    <w:rsid w:val="085D5A5A"/>
    <w:rsid w:val="086462CD"/>
    <w:rsid w:val="08740339"/>
    <w:rsid w:val="087414B6"/>
    <w:rsid w:val="08761325"/>
    <w:rsid w:val="087613FE"/>
    <w:rsid w:val="08827DF0"/>
    <w:rsid w:val="08974F89"/>
    <w:rsid w:val="08A42035"/>
    <w:rsid w:val="08B920A2"/>
    <w:rsid w:val="08BB321D"/>
    <w:rsid w:val="08C517A0"/>
    <w:rsid w:val="08CC1768"/>
    <w:rsid w:val="08D144DB"/>
    <w:rsid w:val="08D151C5"/>
    <w:rsid w:val="08D37234"/>
    <w:rsid w:val="08D6248A"/>
    <w:rsid w:val="08DD60B9"/>
    <w:rsid w:val="08DE318F"/>
    <w:rsid w:val="08E4633B"/>
    <w:rsid w:val="08F36BAC"/>
    <w:rsid w:val="08F809AA"/>
    <w:rsid w:val="08F92DB8"/>
    <w:rsid w:val="09012991"/>
    <w:rsid w:val="091453FE"/>
    <w:rsid w:val="091974DF"/>
    <w:rsid w:val="09236970"/>
    <w:rsid w:val="092905B8"/>
    <w:rsid w:val="09342126"/>
    <w:rsid w:val="093B5F8B"/>
    <w:rsid w:val="09436560"/>
    <w:rsid w:val="09491D98"/>
    <w:rsid w:val="094F59DA"/>
    <w:rsid w:val="09575089"/>
    <w:rsid w:val="095B255C"/>
    <w:rsid w:val="095C2537"/>
    <w:rsid w:val="095F1305"/>
    <w:rsid w:val="09623EF2"/>
    <w:rsid w:val="097125A0"/>
    <w:rsid w:val="09804807"/>
    <w:rsid w:val="09853C90"/>
    <w:rsid w:val="098C17B9"/>
    <w:rsid w:val="09936FC3"/>
    <w:rsid w:val="09946D5C"/>
    <w:rsid w:val="09A64E42"/>
    <w:rsid w:val="09AD59EE"/>
    <w:rsid w:val="09AE12C5"/>
    <w:rsid w:val="09B12A44"/>
    <w:rsid w:val="09C32654"/>
    <w:rsid w:val="09C702DD"/>
    <w:rsid w:val="09CB0B0D"/>
    <w:rsid w:val="09D3769D"/>
    <w:rsid w:val="09DA1166"/>
    <w:rsid w:val="09E366DE"/>
    <w:rsid w:val="09E5583C"/>
    <w:rsid w:val="09ED02CC"/>
    <w:rsid w:val="09EE3AD3"/>
    <w:rsid w:val="09EE6657"/>
    <w:rsid w:val="09F66D64"/>
    <w:rsid w:val="0A031F61"/>
    <w:rsid w:val="0A0C347C"/>
    <w:rsid w:val="0A127B6F"/>
    <w:rsid w:val="0A222A1C"/>
    <w:rsid w:val="0A29722D"/>
    <w:rsid w:val="0A2C16CF"/>
    <w:rsid w:val="0A362975"/>
    <w:rsid w:val="0A384148"/>
    <w:rsid w:val="0A3A7D09"/>
    <w:rsid w:val="0A437D58"/>
    <w:rsid w:val="0A492346"/>
    <w:rsid w:val="0A4D0BCF"/>
    <w:rsid w:val="0A4F0699"/>
    <w:rsid w:val="0A566443"/>
    <w:rsid w:val="0A634F6F"/>
    <w:rsid w:val="0A6D6118"/>
    <w:rsid w:val="0A707775"/>
    <w:rsid w:val="0A744864"/>
    <w:rsid w:val="0A7B0AEE"/>
    <w:rsid w:val="0A7F0818"/>
    <w:rsid w:val="0A81023E"/>
    <w:rsid w:val="0A840B51"/>
    <w:rsid w:val="0A93351A"/>
    <w:rsid w:val="0A974E90"/>
    <w:rsid w:val="0AA3430A"/>
    <w:rsid w:val="0AB24423"/>
    <w:rsid w:val="0AB90A56"/>
    <w:rsid w:val="0ABC1246"/>
    <w:rsid w:val="0ABD7E7A"/>
    <w:rsid w:val="0AC811C3"/>
    <w:rsid w:val="0AC8329E"/>
    <w:rsid w:val="0ACE2920"/>
    <w:rsid w:val="0ADC5956"/>
    <w:rsid w:val="0ADF714A"/>
    <w:rsid w:val="0AE51545"/>
    <w:rsid w:val="0AEC1707"/>
    <w:rsid w:val="0AEF3257"/>
    <w:rsid w:val="0AF6400E"/>
    <w:rsid w:val="0B0750F0"/>
    <w:rsid w:val="0B181B0D"/>
    <w:rsid w:val="0B185FC3"/>
    <w:rsid w:val="0B1A38DA"/>
    <w:rsid w:val="0B397DE7"/>
    <w:rsid w:val="0B3F6ED7"/>
    <w:rsid w:val="0B4E68F3"/>
    <w:rsid w:val="0B5B7494"/>
    <w:rsid w:val="0B5D2FEC"/>
    <w:rsid w:val="0B752406"/>
    <w:rsid w:val="0B781007"/>
    <w:rsid w:val="0B8B4E56"/>
    <w:rsid w:val="0B974136"/>
    <w:rsid w:val="0B9A53DA"/>
    <w:rsid w:val="0BAA094B"/>
    <w:rsid w:val="0BB95620"/>
    <w:rsid w:val="0BC46F87"/>
    <w:rsid w:val="0BC97E2A"/>
    <w:rsid w:val="0BD453CF"/>
    <w:rsid w:val="0BDB1723"/>
    <w:rsid w:val="0BE46C37"/>
    <w:rsid w:val="0BE47AEA"/>
    <w:rsid w:val="0BF31B2B"/>
    <w:rsid w:val="0BF735AB"/>
    <w:rsid w:val="0BFE6929"/>
    <w:rsid w:val="0C06165F"/>
    <w:rsid w:val="0C1D2405"/>
    <w:rsid w:val="0C3211CF"/>
    <w:rsid w:val="0C3F1F4B"/>
    <w:rsid w:val="0C4E53DC"/>
    <w:rsid w:val="0C520F4C"/>
    <w:rsid w:val="0C5307CD"/>
    <w:rsid w:val="0C547855"/>
    <w:rsid w:val="0C564C94"/>
    <w:rsid w:val="0C623E5B"/>
    <w:rsid w:val="0C640BA5"/>
    <w:rsid w:val="0C83191D"/>
    <w:rsid w:val="0C8B2068"/>
    <w:rsid w:val="0C945B0C"/>
    <w:rsid w:val="0C9F3036"/>
    <w:rsid w:val="0CA1108E"/>
    <w:rsid w:val="0CA627DE"/>
    <w:rsid w:val="0CA92FCB"/>
    <w:rsid w:val="0CAC6A0C"/>
    <w:rsid w:val="0CC9661F"/>
    <w:rsid w:val="0CCB0863"/>
    <w:rsid w:val="0CCB5BE0"/>
    <w:rsid w:val="0CCE325B"/>
    <w:rsid w:val="0CCF611E"/>
    <w:rsid w:val="0CD02B56"/>
    <w:rsid w:val="0CE41805"/>
    <w:rsid w:val="0CE65050"/>
    <w:rsid w:val="0CF01379"/>
    <w:rsid w:val="0CF04C03"/>
    <w:rsid w:val="0D011728"/>
    <w:rsid w:val="0D094F4C"/>
    <w:rsid w:val="0D0A3016"/>
    <w:rsid w:val="0D112C42"/>
    <w:rsid w:val="0D142DA3"/>
    <w:rsid w:val="0D1611BE"/>
    <w:rsid w:val="0D1F7808"/>
    <w:rsid w:val="0D232094"/>
    <w:rsid w:val="0D2B69AC"/>
    <w:rsid w:val="0D3F3238"/>
    <w:rsid w:val="0D403D50"/>
    <w:rsid w:val="0D5930B4"/>
    <w:rsid w:val="0D6C37CA"/>
    <w:rsid w:val="0D6D52FB"/>
    <w:rsid w:val="0D804A00"/>
    <w:rsid w:val="0D804AF7"/>
    <w:rsid w:val="0D8A2318"/>
    <w:rsid w:val="0D8C3B39"/>
    <w:rsid w:val="0D8D2BB1"/>
    <w:rsid w:val="0D947909"/>
    <w:rsid w:val="0D9C1F69"/>
    <w:rsid w:val="0DA51B8A"/>
    <w:rsid w:val="0DA731A8"/>
    <w:rsid w:val="0DA77AA8"/>
    <w:rsid w:val="0DAB5E3E"/>
    <w:rsid w:val="0DB5208C"/>
    <w:rsid w:val="0DC96F2A"/>
    <w:rsid w:val="0DCD21C8"/>
    <w:rsid w:val="0DCF3F5F"/>
    <w:rsid w:val="0DDE1014"/>
    <w:rsid w:val="0DE10940"/>
    <w:rsid w:val="0DE36AA8"/>
    <w:rsid w:val="0DE538B8"/>
    <w:rsid w:val="0DF50F71"/>
    <w:rsid w:val="0DF80FE8"/>
    <w:rsid w:val="0DF8136C"/>
    <w:rsid w:val="0E1D4B14"/>
    <w:rsid w:val="0E297F0A"/>
    <w:rsid w:val="0E351ED5"/>
    <w:rsid w:val="0E494D17"/>
    <w:rsid w:val="0E500971"/>
    <w:rsid w:val="0E5C0B54"/>
    <w:rsid w:val="0E6200BA"/>
    <w:rsid w:val="0E92229F"/>
    <w:rsid w:val="0EB74FB6"/>
    <w:rsid w:val="0EBA3E96"/>
    <w:rsid w:val="0EBD00B9"/>
    <w:rsid w:val="0EBD14BB"/>
    <w:rsid w:val="0EC11770"/>
    <w:rsid w:val="0ECE7C05"/>
    <w:rsid w:val="0EDA4193"/>
    <w:rsid w:val="0EE36FFE"/>
    <w:rsid w:val="0EE471DF"/>
    <w:rsid w:val="0EEF4888"/>
    <w:rsid w:val="0EF86BAF"/>
    <w:rsid w:val="0EFF695E"/>
    <w:rsid w:val="0F0A266B"/>
    <w:rsid w:val="0F0E72E0"/>
    <w:rsid w:val="0F19183D"/>
    <w:rsid w:val="0F2335AB"/>
    <w:rsid w:val="0F250BAF"/>
    <w:rsid w:val="0F262023"/>
    <w:rsid w:val="0F26508B"/>
    <w:rsid w:val="0F2817A1"/>
    <w:rsid w:val="0F2A0028"/>
    <w:rsid w:val="0F303C1E"/>
    <w:rsid w:val="0F362667"/>
    <w:rsid w:val="0F3C7401"/>
    <w:rsid w:val="0F3E3E38"/>
    <w:rsid w:val="0F402224"/>
    <w:rsid w:val="0F451577"/>
    <w:rsid w:val="0F4F4996"/>
    <w:rsid w:val="0F5229B3"/>
    <w:rsid w:val="0F58009F"/>
    <w:rsid w:val="0F612436"/>
    <w:rsid w:val="0F694AA9"/>
    <w:rsid w:val="0F6956E4"/>
    <w:rsid w:val="0F81737E"/>
    <w:rsid w:val="0F872E0F"/>
    <w:rsid w:val="0FA062F3"/>
    <w:rsid w:val="0FA1437A"/>
    <w:rsid w:val="0FAE784A"/>
    <w:rsid w:val="0FB22494"/>
    <w:rsid w:val="0FB41949"/>
    <w:rsid w:val="0FB90369"/>
    <w:rsid w:val="0FBC5D75"/>
    <w:rsid w:val="0FC475B0"/>
    <w:rsid w:val="0FCB4D59"/>
    <w:rsid w:val="0FCD6509"/>
    <w:rsid w:val="0FCE27E7"/>
    <w:rsid w:val="0FD82F98"/>
    <w:rsid w:val="0FE035A6"/>
    <w:rsid w:val="0FE231CA"/>
    <w:rsid w:val="0FE82539"/>
    <w:rsid w:val="0FF45F0D"/>
    <w:rsid w:val="0FFC4CE5"/>
    <w:rsid w:val="0FFD2047"/>
    <w:rsid w:val="101677BE"/>
    <w:rsid w:val="101773DB"/>
    <w:rsid w:val="102612F5"/>
    <w:rsid w:val="102F73C2"/>
    <w:rsid w:val="10374854"/>
    <w:rsid w:val="103B4A6E"/>
    <w:rsid w:val="10500BE0"/>
    <w:rsid w:val="105110FF"/>
    <w:rsid w:val="105F0F86"/>
    <w:rsid w:val="10672A05"/>
    <w:rsid w:val="10785AA8"/>
    <w:rsid w:val="107A607D"/>
    <w:rsid w:val="107D5524"/>
    <w:rsid w:val="108816F7"/>
    <w:rsid w:val="10925381"/>
    <w:rsid w:val="10A16005"/>
    <w:rsid w:val="10A446AE"/>
    <w:rsid w:val="10B5541F"/>
    <w:rsid w:val="10C27421"/>
    <w:rsid w:val="10E155EE"/>
    <w:rsid w:val="10E66CBA"/>
    <w:rsid w:val="10EA6828"/>
    <w:rsid w:val="10EC452A"/>
    <w:rsid w:val="10EF4A7E"/>
    <w:rsid w:val="10F31B4F"/>
    <w:rsid w:val="10F35DD7"/>
    <w:rsid w:val="10F4276D"/>
    <w:rsid w:val="10FA4B0D"/>
    <w:rsid w:val="110E3A82"/>
    <w:rsid w:val="110E5BD1"/>
    <w:rsid w:val="11132A39"/>
    <w:rsid w:val="1117761D"/>
    <w:rsid w:val="11196308"/>
    <w:rsid w:val="111C3718"/>
    <w:rsid w:val="11222B03"/>
    <w:rsid w:val="11297EBD"/>
    <w:rsid w:val="11365503"/>
    <w:rsid w:val="11427DE1"/>
    <w:rsid w:val="1147189A"/>
    <w:rsid w:val="114A7560"/>
    <w:rsid w:val="114B4B74"/>
    <w:rsid w:val="114E04E2"/>
    <w:rsid w:val="11506F7F"/>
    <w:rsid w:val="115D5315"/>
    <w:rsid w:val="11683BE9"/>
    <w:rsid w:val="11765A51"/>
    <w:rsid w:val="11783DD5"/>
    <w:rsid w:val="117D7A64"/>
    <w:rsid w:val="118273A1"/>
    <w:rsid w:val="118B349C"/>
    <w:rsid w:val="11A030D6"/>
    <w:rsid w:val="11B408EE"/>
    <w:rsid w:val="11B45EBA"/>
    <w:rsid w:val="11B54E0F"/>
    <w:rsid w:val="11C8237D"/>
    <w:rsid w:val="11CD1B5E"/>
    <w:rsid w:val="11D41AF6"/>
    <w:rsid w:val="11D55DA8"/>
    <w:rsid w:val="11E331E0"/>
    <w:rsid w:val="11F00300"/>
    <w:rsid w:val="11F934CC"/>
    <w:rsid w:val="11FD0BCA"/>
    <w:rsid w:val="1205755A"/>
    <w:rsid w:val="1214783D"/>
    <w:rsid w:val="12191EC2"/>
    <w:rsid w:val="122901DE"/>
    <w:rsid w:val="1229525E"/>
    <w:rsid w:val="123477BF"/>
    <w:rsid w:val="123B5BA0"/>
    <w:rsid w:val="124720AA"/>
    <w:rsid w:val="124C0A08"/>
    <w:rsid w:val="124D16D2"/>
    <w:rsid w:val="12544FD8"/>
    <w:rsid w:val="125A788A"/>
    <w:rsid w:val="125B0AC3"/>
    <w:rsid w:val="125C2979"/>
    <w:rsid w:val="125D114D"/>
    <w:rsid w:val="1269054F"/>
    <w:rsid w:val="12691ED8"/>
    <w:rsid w:val="126A0311"/>
    <w:rsid w:val="127316B6"/>
    <w:rsid w:val="12784A53"/>
    <w:rsid w:val="1288245E"/>
    <w:rsid w:val="128B3B27"/>
    <w:rsid w:val="128E498E"/>
    <w:rsid w:val="1291433D"/>
    <w:rsid w:val="129220B8"/>
    <w:rsid w:val="12937CB3"/>
    <w:rsid w:val="12952467"/>
    <w:rsid w:val="129A7DC3"/>
    <w:rsid w:val="129D78EB"/>
    <w:rsid w:val="129E39A6"/>
    <w:rsid w:val="12A80A90"/>
    <w:rsid w:val="12AC62D3"/>
    <w:rsid w:val="12B80C15"/>
    <w:rsid w:val="12C43FAF"/>
    <w:rsid w:val="12CE5301"/>
    <w:rsid w:val="12D17696"/>
    <w:rsid w:val="12DE050E"/>
    <w:rsid w:val="12E65846"/>
    <w:rsid w:val="12E73C34"/>
    <w:rsid w:val="12EE7A34"/>
    <w:rsid w:val="12F57336"/>
    <w:rsid w:val="12F65C29"/>
    <w:rsid w:val="12FD3485"/>
    <w:rsid w:val="13022974"/>
    <w:rsid w:val="13033C0C"/>
    <w:rsid w:val="1306576C"/>
    <w:rsid w:val="130E26E1"/>
    <w:rsid w:val="131A31F0"/>
    <w:rsid w:val="131D7B8F"/>
    <w:rsid w:val="131E5414"/>
    <w:rsid w:val="13236E43"/>
    <w:rsid w:val="13283B41"/>
    <w:rsid w:val="132F480C"/>
    <w:rsid w:val="13393182"/>
    <w:rsid w:val="134145B5"/>
    <w:rsid w:val="134625FD"/>
    <w:rsid w:val="134A1A56"/>
    <w:rsid w:val="13526C9F"/>
    <w:rsid w:val="1353235A"/>
    <w:rsid w:val="136B4542"/>
    <w:rsid w:val="137A2A6A"/>
    <w:rsid w:val="13966FD3"/>
    <w:rsid w:val="13A041CC"/>
    <w:rsid w:val="13A15104"/>
    <w:rsid w:val="13A51648"/>
    <w:rsid w:val="13A66E07"/>
    <w:rsid w:val="13B0617B"/>
    <w:rsid w:val="13B32590"/>
    <w:rsid w:val="13C32C46"/>
    <w:rsid w:val="13C72E82"/>
    <w:rsid w:val="13C74753"/>
    <w:rsid w:val="13CF6522"/>
    <w:rsid w:val="13D43765"/>
    <w:rsid w:val="13D521F9"/>
    <w:rsid w:val="13DB6AF6"/>
    <w:rsid w:val="13EB31F1"/>
    <w:rsid w:val="13ED31BA"/>
    <w:rsid w:val="13F4549E"/>
    <w:rsid w:val="140B2C94"/>
    <w:rsid w:val="140D0883"/>
    <w:rsid w:val="140D56A0"/>
    <w:rsid w:val="1410457B"/>
    <w:rsid w:val="141131A0"/>
    <w:rsid w:val="14122E98"/>
    <w:rsid w:val="1414340A"/>
    <w:rsid w:val="14162F2D"/>
    <w:rsid w:val="14176A23"/>
    <w:rsid w:val="141A121C"/>
    <w:rsid w:val="142B5F52"/>
    <w:rsid w:val="143A03C2"/>
    <w:rsid w:val="144168A3"/>
    <w:rsid w:val="144A0B11"/>
    <w:rsid w:val="144B56EF"/>
    <w:rsid w:val="144C008F"/>
    <w:rsid w:val="144C59B5"/>
    <w:rsid w:val="144D46EF"/>
    <w:rsid w:val="144F7241"/>
    <w:rsid w:val="14680762"/>
    <w:rsid w:val="146B69E4"/>
    <w:rsid w:val="146F5296"/>
    <w:rsid w:val="14782755"/>
    <w:rsid w:val="14801919"/>
    <w:rsid w:val="14861714"/>
    <w:rsid w:val="1492637A"/>
    <w:rsid w:val="14983A4A"/>
    <w:rsid w:val="14A94FED"/>
    <w:rsid w:val="14A9504A"/>
    <w:rsid w:val="14AB3FC0"/>
    <w:rsid w:val="14AE4E20"/>
    <w:rsid w:val="14B05AE3"/>
    <w:rsid w:val="14B247CF"/>
    <w:rsid w:val="14B63EC6"/>
    <w:rsid w:val="14BB3D85"/>
    <w:rsid w:val="14C87271"/>
    <w:rsid w:val="14C9149D"/>
    <w:rsid w:val="14C91B58"/>
    <w:rsid w:val="14D62DCD"/>
    <w:rsid w:val="14D6585D"/>
    <w:rsid w:val="14E21AEC"/>
    <w:rsid w:val="14EB5121"/>
    <w:rsid w:val="14ED1AF1"/>
    <w:rsid w:val="14EF4729"/>
    <w:rsid w:val="15050DB6"/>
    <w:rsid w:val="15054273"/>
    <w:rsid w:val="150B7290"/>
    <w:rsid w:val="150D49E0"/>
    <w:rsid w:val="15135019"/>
    <w:rsid w:val="151625F0"/>
    <w:rsid w:val="151725C0"/>
    <w:rsid w:val="15227D0B"/>
    <w:rsid w:val="15256486"/>
    <w:rsid w:val="15277D13"/>
    <w:rsid w:val="15344EF4"/>
    <w:rsid w:val="15374C81"/>
    <w:rsid w:val="154532F3"/>
    <w:rsid w:val="154630B6"/>
    <w:rsid w:val="154A0E69"/>
    <w:rsid w:val="155F0F2F"/>
    <w:rsid w:val="156170C6"/>
    <w:rsid w:val="15643FF0"/>
    <w:rsid w:val="15726376"/>
    <w:rsid w:val="15831973"/>
    <w:rsid w:val="158E0D42"/>
    <w:rsid w:val="158E1DA9"/>
    <w:rsid w:val="1592589C"/>
    <w:rsid w:val="159769BC"/>
    <w:rsid w:val="159A5864"/>
    <w:rsid w:val="159B697B"/>
    <w:rsid w:val="159F5416"/>
    <w:rsid w:val="15A54F38"/>
    <w:rsid w:val="15A602F2"/>
    <w:rsid w:val="15A912C8"/>
    <w:rsid w:val="15A97536"/>
    <w:rsid w:val="15B06493"/>
    <w:rsid w:val="15B32753"/>
    <w:rsid w:val="15B63097"/>
    <w:rsid w:val="15C34D2D"/>
    <w:rsid w:val="15C70747"/>
    <w:rsid w:val="15CF072B"/>
    <w:rsid w:val="15D565F9"/>
    <w:rsid w:val="15D90D6D"/>
    <w:rsid w:val="15DD3E84"/>
    <w:rsid w:val="15E04E1F"/>
    <w:rsid w:val="15E503B5"/>
    <w:rsid w:val="15E77567"/>
    <w:rsid w:val="15E917E8"/>
    <w:rsid w:val="15EA62E9"/>
    <w:rsid w:val="15FC1C8E"/>
    <w:rsid w:val="15FE2D6C"/>
    <w:rsid w:val="16123768"/>
    <w:rsid w:val="1617097C"/>
    <w:rsid w:val="16184C36"/>
    <w:rsid w:val="161C3E21"/>
    <w:rsid w:val="16200801"/>
    <w:rsid w:val="162674E6"/>
    <w:rsid w:val="162D6022"/>
    <w:rsid w:val="16385C65"/>
    <w:rsid w:val="163C02B5"/>
    <w:rsid w:val="163C0349"/>
    <w:rsid w:val="164D199F"/>
    <w:rsid w:val="164D5E99"/>
    <w:rsid w:val="165C683C"/>
    <w:rsid w:val="166164A5"/>
    <w:rsid w:val="16625CB6"/>
    <w:rsid w:val="1676111C"/>
    <w:rsid w:val="167F411B"/>
    <w:rsid w:val="167F4EFC"/>
    <w:rsid w:val="1685774E"/>
    <w:rsid w:val="16875C9E"/>
    <w:rsid w:val="16894593"/>
    <w:rsid w:val="168E1F79"/>
    <w:rsid w:val="169110E8"/>
    <w:rsid w:val="169644A9"/>
    <w:rsid w:val="169A7B3B"/>
    <w:rsid w:val="16AC6366"/>
    <w:rsid w:val="16B107C7"/>
    <w:rsid w:val="16B5338C"/>
    <w:rsid w:val="16B8722B"/>
    <w:rsid w:val="16BF6881"/>
    <w:rsid w:val="16C5250B"/>
    <w:rsid w:val="16C70099"/>
    <w:rsid w:val="16C87A82"/>
    <w:rsid w:val="16CB3BCC"/>
    <w:rsid w:val="16CD6F5D"/>
    <w:rsid w:val="16D9579A"/>
    <w:rsid w:val="16ED61F6"/>
    <w:rsid w:val="16F11E7F"/>
    <w:rsid w:val="16F36502"/>
    <w:rsid w:val="16F8500B"/>
    <w:rsid w:val="16FC56A3"/>
    <w:rsid w:val="171152DE"/>
    <w:rsid w:val="17180376"/>
    <w:rsid w:val="172A45AF"/>
    <w:rsid w:val="172B063D"/>
    <w:rsid w:val="17366025"/>
    <w:rsid w:val="173970B9"/>
    <w:rsid w:val="173C129F"/>
    <w:rsid w:val="173D5C8D"/>
    <w:rsid w:val="17414199"/>
    <w:rsid w:val="174677BB"/>
    <w:rsid w:val="174B21FD"/>
    <w:rsid w:val="174B7873"/>
    <w:rsid w:val="17563CDB"/>
    <w:rsid w:val="17620EEE"/>
    <w:rsid w:val="17641D0C"/>
    <w:rsid w:val="17666B8B"/>
    <w:rsid w:val="17672AE0"/>
    <w:rsid w:val="17673B2D"/>
    <w:rsid w:val="176F7856"/>
    <w:rsid w:val="177E19D4"/>
    <w:rsid w:val="1780159D"/>
    <w:rsid w:val="178907EB"/>
    <w:rsid w:val="1789394D"/>
    <w:rsid w:val="1792438C"/>
    <w:rsid w:val="17950266"/>
    <w:rsid w:val="179B410F"/>
    <w:rsid w:val="17A32EA2"/>
    <w:rsid w:val="17A3464C"/>
    <w:rsid w:val="17A42247"/>
    <w:rsid w:val="17AB0E90"/>
    <w:rsid w:val="17AE3DF9"/>
    <w:rsid w:val="17B17001"/>
    <w:rsid w:val="17B66C8C"/>
    <w:rsid w:val="17B7390A"/>
    <w:rsid w:val="17CE4EE8"/>
    <w:rsid w:val="17D30995"/>
    <w:rsid w:val="17D51474"/>
    <w:rsid w:val="17E14BE0"/>
    <w:rsid w:val="17E9009B"/>
    <w:rsid w:val="17F04B0C"/>
    <w:rsid w:val="17F9514B"/>
    <w:rsid w:val="17FA028A"/>
    <w:rsid w:val="18052C62"/>
    <w:rsid w:val="18222D01"/>
    <w:rsid w:val="18233912"/>
    <w:rsid w:val="182F4000"/>
    <w:rsid w:val="18320EDA"/>
    <w:rsid w:val="1842371C"/>
    <w:rsid w:val="18465356"/>
    <w:rsid w:val="184675AA"/>
    <w:rsid w:val="184D75B5"/>
    <w:rsid w:val="184E57AD"/>
    <w:rsid w:val="18570F48"/>
    <w:rsid w:val="185D7F03"/>
    <w:rsid w:val="18651308"/>
    <w:rsid w:val="18691228"/>
    <w:rsid w:val="18775D27"/>
    <w:rsid w:val="187D68BE"/>
    <w:rsid w:val="187E61D4"/>
    <w:rsid w:val="188405EE"/>
    <w:rsid w:val="18870B3C"/>
    <w:rsid w:val="18887FCB"/>
    <w:rsid w:val="188D113E"/>
    <w:rsid w:val="188D2C31"/>
    <w:rsid w:val="189221DA"/>
    <w:rsid w:val="189B0340"/>
    <w:rsid w:val="18AB5F50"/>
    <w:rsid w:val="18C50DCA"/>
    <w:rsid w:val="18CC5680"/>
    <w:rsid w:val="18D351C1"/>
    <w:rsid w:val="18DA0C0E"/>
    <w:rsid w:val="18DB6804"/>
    <w:rsid w:val="18E273C9"/>
    <w:rsid w:val="18E31592"/>
    <w:rsid w:val="18E46383"/>
    <w:rsid w:val="18E77C11"/>
    <w:rsid w:val="18EA422C"/>
    <w:rsid w:val="18EB4D39"/>
    <w:rsid w:val="18EC1531"/>
    <w:rsid w:val="190C148B"/>
    <w:rsid w:val="1915664F"/>
    <w:rsid w:val="19286A05"/>
    <w:rsid w:val="192D6677"/>
    <w:rsid w:val="193619AF"/>
    <w:rsid w:val="19377763"/>
    <w:rsid w:val="193A1063"/>
    <w:rsid w:val="193D169B"/>
    <w:rsid w:val="19483488"/>
    <w:rsid w:val="19541E21"/>
    <w:rsid w:val="195B2677"/>
    <w:rsid w:val="19615618"/>
    <w:rsid w:val="19726221"/>
    <w:rsid w:val="19774296"/>
    <w:rsid w:val="197A5974"/>
    <w:rsid w:val="19882C6F"/>
    <w:rsid w:val="198C7D58"/>
    <w:rsid w:val="19915327"/>
    <w:rsid w:val="19AD174C"/>
    <w:rsid w:val="19B11F24"/>
    <w:rsid w:val="19BC0BC7"/>
    <w:rsid w:val="19C94B44"/>
    <w:rsid w:val="19CA6F8B"/>
    <w:rsid w:val="19CF0F3E"/>
    <w:rsid w:val="19D72D72"/>
    <w:rsid w:val="19DE2F19"/>
    <w:rsid w:val="19E03225"/>
    <w:rsid w:val="19E172C1"/>
    <w:rsid w:val="19E222FF"/>
    <w:rsid w:val="19F517D2"/>
    <w:rsid w:val="19F6750F"/>
    <w:rsid w:val="1A086052"/>
    <w:rsid w:val="1A0F270F"/>
    <w:rsid w:val="1A1B6926"/>
    <w:rsid w:val="1A1D0E5F"/>
    <w:rsid w:val="1A1E3D8E"/>
    <w:rsid w:val="1A255D45"/>
    <w:rsid w:val="1A2B3E01"/>
    <w:rsid w:val="1A2D042A"/>
    <w:rsid w:val="1A373710"/>
    <w:rsid w:val="1A3E3664"/>
    <w:rsid w:val="1A536F52"/>
    <w:rsid w:val="1A54786E"/>
    <w:rsid w:val="1A5E0937"/>
    <w:rsid w:val="1A647A89"/>
    <w:rsid w:val="1A661089"/>
    <w:rsid w:val="1A6747D5"/>
    <w:rsid w:val="1A6C4EB1"/>
    <w:rsid w:val="1A704D89"/>
    <w:rsid w:val="1A754AB6"/>
    <w:rsid w:val="1A7A3149"/>
    <w:rsid w:val="1A7F4F97"/>
    <w:rsid w:val="1A8E5240"/>
    <w:rsid w:val="1A953D98"/>
    <w:rsid w:val="1A9E55BE"/>
    <w:rsid w:val="1AAA5D29"/>
    <w:rsid w:val="1AAB017A"/>
    <w:rsid w:val="1AAE7847"/>
    <w:rsid w:val="1AB0305E"/>
    <w:rsid w:val="1AB12E86"/>
    <w:rsid w:val="1AB61DCB"/>
    <w:rsid w:val="1AC34736"/>
    <w:rsid w:val="1AC807BD"/>
    <w:rsid w:val="1ACF4628"/>
    <w:rsid w:val="1AD305F7"/>
    <w:rsid w:val="1AD8671D"/>
    <w:rsid w:val="1ADE1CE9"/>
    <w:rsid w:val="1ADF68C2"/>
    <w:rsid w:val="1AE313A7"/>
    <w:rsid w:val="1AE91A4C"/>
    <w:rsid w:val="1AEB2657"/>
    <w:rsid w:val="1AED2AC5"/>
    <w:rsid w:val="1AF21441"/>
    <w:rsid w:val="1AF7720B"/>
    <w:rsid w:val="1AF86173"/>
    <w:rsid w:val="1B043150"/>
    <w:rsid w:val="1B0A0449"/>
    <w:rsid w:val="1B214344"/>
    <w:rsid w:val="1B2618AA"/>
    <w:rsid w:val="1B282A1F"/>
    <w:rsid w:val="1B2C2900"/>
    <w:rsid w:val="1B2E270D"/>
    <w:rsid w:val="1B3A6ABC"/>
    <w:rsid w:val="1B411CAD"/>
    <w:rsid w:val="1B472C60"/>
    <w:rsid w:val="1B481F20"/>
    <w:rsid w:val="1B525520"/>
    <w:rsid w:val="1B527002"/>
    <w:rsid w:val="1B5D658A"/>
    <w:rsid w:val="1B6810CA"/>
    <w:rsid w:val="1B847190"/>
    <w:rsid w:val="1B855D1B"/>
    <w:rsid w:val="1B901D24"/>
    <w:rsid w:val="1B9238C5"/>
    <w:rsid w:val="1BA330E6"/>
    <w:rsid w:val="1BAA12C3"/>
    <w:rsid w:val="1BB11D65"/>
    <w:rsid w:val="1BBB4785"/>
    <w:rsid w:val="1BC842A7"/>
    <w:rsid w:val="1BCE55CD"/>
    <w:rsid w:val="1BD17F27"/>
    <w:rsid w:val="1BD22422"/>
    <w:rsid w:val="1BD758BF"/>
    <w:rsid w:val="1BD85C0F"/>
    <w:rsid w:val="1BE665A9"/>
    <w:rsid w:val="1BEA7134"/>
    <w:rsid w:val="1BEF752C"/>
    <w:rsid w:val="1C094D52"/>
    <w:rsid w:val="1C09660A"/>
    <w:rsid w:val="1C0C12F3"/>
    <w:rsid w:val="1C0C5FC4"/>
    <w:rsid w:val="1C121A2E"/>
    <w:rsid w:val="1C213CA2"/>
    <w:rsid w:val="1C2166E4"/>
    <w:rsid w:val="1C3450D3"/>
    <w:rsid w:val="1C395626"/>
    <w:rsid w:val="1C411BAD"/>
    <w:rsid w:val="1C4214B8"/>
    <w:rsid w:val="1C446FD1"/>
    <w:rsid w:val="1C5E4C20"/>
    <w:rsid w:val="1C627F5F"/>
    <w:rsid w:val="1C694234"/>
    <w:rsid w:val="1C6B0791"/>
    <w:rsid w:val="1C6C0803"/>
    <w:rsid w:val="1C6C2F64"/>
    <w:rsid w:val="1C6C7F45"/>
    <w:rsid w:val="1C75055D"/>
    <w:rsid w:val="1C78079F"/>
    <w:rsid w:val="1C7A5560"/>
    <w:rsid w:val="1C8F5CE6"/>
    <w:rsid w:val="1CA32590"/>
    <w:rsid w:val="1CA33E9F"/>
    <w:rsid w:val="1CA607B5"/>
    <w:rsid w:val="1CA8077E"/>
    <w:rsid w:val="1CAD3C39"/>
    <w:rsid w:val="1CAD3C3E"/>
    <w:rsid w:val="1CC2215E"/>
    <w:rsid w:val="1CC94337"/>
    <w:rsid w:val="1CE449DF"/>
    <w:rsid w:val="1CED2ECD"/>
    <w:rsid w:val="1CF54195"/>
    <w:rsid w:val="1CF93E83"/>
    <w:rsid w:val="1CFA75FA"/>
    <w:rsid w:val="1D0761EB"/>
    <w:rsid w:val="1D0A56B3"/>
    <w:rsid w:val="1D0B255B"/>
    <w:rsid w:val="1D0C052F"/>
    <w:rsid w:val="1D16136B"/>
    <w:rsid w:val="1D1979CC"/>
    <w:rsid w:val="1D200E8A"/>
    <w:rsid w:val="1D24489F"/>
    <w:rsid w:val="1D276E31"/>
    <w:rsid w:val="1D324838"/>
    <w:rsid w:val="1D4A6C0C"/>
    <w:rsid w:val="1D4E0F11"/>
    <w:rsid w:val="1D544CD0"/>
    <w:rsid w:val="1D570664"/>
    <w:rsid w:val="1D5959B8"/>
    <w:rsid w:val="1D662D00"/>
    <w:rsid w:val="1D6715D4"/>
    <w:rsid w:val="1D731564"/>
    <w:rsid w:val="1D7F48D9"/>
    <w:rsid w:val="1D800675"/>
    <w:rsid w:val="1D883C26"/>
    <w:rsid w:val="1D901466"/>
    <w:rsid w:val="1D916CA9"/>
    <w:rsid w:val="1D986D58"/>
    <w:rsid w:val="1DA03981"/>
    <w:rsid w:val="1DA436CC"/>
    <w:rsid w:val="1DAA548B"/>
    <w:rsid w:val="1DAE6C6E"/>
    <w:rsid w:val="1DB03F77"/>
    <w:rsid w:val="1DBB5F1A"/>
    <w:rsid w:val="1DBC6165"/>
    <w:rsid w:val="1DCB6C52"/>
    <w:rsid w:val="1DD332A5"/>
    <w:rsid w:val="1DE75E8F"/>
    <w:rsid w:val="1DE819A8"/>
    <w:rsid w:val="1DEC5DFD"/>
    <w:rsid w:val="1DEE6BE7"/>
    <w:rsid w:val="1DF00C8B"/>
    <w:rsid w:val="1DF57CC0"/>
    <w:rsid w:val="1E0631EA"/>
    <w:rsid w:val="1E07035C"/>
    <w:rsid w:val="1E0A72C5"/>
    <w:rsid w:val="1E0E1D8B"/>
    <w:rsid w:val="1E136084"/>
    <w:rsid w:val="1E152737"/>
    <w:rsid w:val="1E19443F"/>
    <w:rsid w:val="1E1A4A82"/>
    <w:rsid w:val="1E1E7098"/>
    <w:rsid w:val="1E414076"/>
    <w:rsid w:val="1E444ACF"/>
    <w:rsid w:val="1E4809CB"/>
    <w:rsid w:val="1E4D2C6C"/>
    <w:rsid w:val="1E560B35"/>
    <w:rsid w:val="1E583CD3"/>
    <w:rsid w:val="1E5F1645"/>
    <w:rsid w:val="1E5F35E9"/>
    <w:rsid w:val="1E6142BE"/>
    <w:rsid w:val="1E7A5305"/>
    <w:rsid w:val="1E7F64D3"/>
    <w:rsid w:val="1E820C8A"/>
    <w:rsid w:val="1E86624C"/>
    <w:rsid w:val="1E9021F3"/>
    <w:rsid w:val="1EA57CBE"/>
    <w:rsid w:val="1EA920DC"/>
    <w:rsid w:val="1EAA3A02"/>
    <w:rsid w:val="1EAC1876"/>
    <w:rsid w:val="1EB31215"/>
    <w:rsid w:val="1EB41EF0"/>
    <w:rsid w:val="1ED627B8"/>
    <w:rsid w:val="1EDC0CE5"/>
    <w:rsid w:val="1EDC6549"/>
    <w:rsid w:val="1F0513B1"/>
    <w:rsid w:val="1F0C3501"/>
    <w:rsid w:val="1F1375E7"/>
    <w:rsid w:val="1F165715"/>
    <w:rsid w:val="1F1A0957"/>
    <w:rsid w:val="1F1B3A0D"/>
    <w:rsid w:val="1F1F3FCD"/>
    <w:rsid w:val="1F1F4D89"/>
    <w:rsid w:val="1F236E35"/>
    <w:rsid w:val="1F291469"/>
    <w:rsid w:val="1F2C754B"/>
    <w:rsid w:val="1F2F45FF"/>
    <w:rsid w:val="1F2F5EFC"/>
    <w:rsid w:val="1F332C99"/>
    <w:rsid w:val="1F3F43A2"/>
    <w:rsid w:val="1F46517B"/>
    <w:rsid w:val="1F490484"/>
    <w:rsid w:val="1F4E7A1B"/>
    <w:rsid w:val="1F50248D"/>
    <w:rsid w:val="1F57217C"/>
    <w:rsid w:val="1F677E03"/>
    <w:rsid w:val="1F727F37"/>
    <w:rsid w:val="1F8320D0"/>
    <w:rsid w:val="1F9920A5"/>
    <w:rsid w:val="1FA0216D"/>
    <w:rsid w:val="1FAD225B"/>
    <w:rsid w:val="1FB31D0A"/>
    <w:rsid w:val="1FB524DE"/>
    <w:rsid w:val="1FB572A9"/>
    <w:rsid w:val="1FBC7C24"/>
    <w:rsid w:val="1FC4563B"/>
    <w:rsid w:val="1FC76D3D"/>
    <w:rsid w:val="1FC81159"/>
    <w:rsid w:val="1FE34BC6"/>
    <w:rsid w:val="1FE41856"/>
    <w:rsid w:val="1FE83DDC"/>
    <w:rsid w:val="1FEB7446"/>
    <w:rsid w:val="1FFE0A77"/>
    <w:rsid w:val="20055C68"/>
    <w:rsid w:val="2008261D"/>
    <w:rsid w:val="202B2AF4"/>
    <w:rsid w:val="20316D2A"/>
    <w:rsid w:val="203F0F39"/>
    <w:rsid w:val="20461C42"/>
    <w:rsid w:val="204D2584"/>
    <w:rsid w:val="204E57D3"/>
    <w:rsid w:val="20515FBA"/>
    <w:rsid w:val="20517BEC"/>
    <w:rsid w:val="20555725"/>
    <w:rsid w:val="206538A3"/>
    <w:rsid w:val="206755AB"/>
    <w:rsid w:val="20703A0E"/>
    <w:rsid w:val="207B7A31"/>
    <w:rsid w:val="20807B83"/>
    <w:rsid w:val="208A1412"/>
    <w:rsid w:val="20925FB2"/>
    <w:rsid w:val="20B220B5"/>
    <w:rsid w:val="20B517CC"/>
    <w:rsid w:val="20C874CF"/>
    <w:rsid w:val="20D43928"/>
    <w:rsid w:val="20D44D86"/>
    <w:rsid w:val="20DA02A4"/>
    <w:rsid w:val="20DB5196"/>
    <w:rsid w:val="20F1332C"/>
    <w:rsid w:val="20FF2023"/>
    <w:rsid w:val="21012B73"/>
    <w:rsid w:val="21052FDF"/>
    <w:rsid w:val="210543B3"/>
    <w:rsid w:val="210B1F41"/>
    <w:rsid w:val="211A0F79"/>
    <w:rsid w:val="21305EA8"/>
    <w:rsid w:val="21331C19"/>
    <w:rsid w:val="213754B1"/>
    <w:rsid w:val="213C22A1"/>
    <w:rsid w:val="213E37E4"/>
    <w:rsid w:val="213E5369"/>
    <w:rsid w:val="21446326"/>
    <w:rsid w:val="21467F17"/>
    <w:rsid w:val="214833CD"/>
    <w:rsid w:val="214E64EF"/>
    <w:rsid w:val="215163F7"/>
    <w:rsid w:val="21523A44"/>
    <w:rsid w:val="21526A50"/>
    <w:rsid w:val="21590FA5"/>
    <w:rsid w:val="2159361F"/>
    <w:rsid w:val="217043C3"/>
    <w:rsid w:val="217334F8"/>
    <w:rsid w:val="21847EDE"/>
    <w:rsid w:val="21863A96"/>
    <w:rsid w:val="219011FB"/>
    <w:rsid w:val="21A17DBB"/>
    <w:rsid w:val="21AB744A"/>
    <w:rsid w:val="21AC46EE"/>
    <w:rsid w:val="21AD38FB"/>
    <w:rsid w:val="21BA3FD6"/>
    <w:rsid w:val="21BA7D0C"/>
    <w:rsid w:val="21BD0253"/>
    <w:rsid w:val="21CE1B27"/>
    <w:rsid w:val="21CF3FE7"/>
    <w:rsid w:val="21D05CDD"/>
    <w:rsid w:val="21D35012"/>
    <w:rsid w:val="21D604E6"/>
    <w:rsid w:val="21DC43C2"/>
    <w:rsid w:val="21FC6987"/>
    <w:rsid w:val="22054593"/>
    <w:rsid w:val="22190DF0"/>
    <w:rsid w:val="221966A6"/>
    <w:rsid w:val="22346226"/>
    <w:rsid w:val="223660EF"/>
    <w:rsid w:val="2246615D"/>
    <w:rsid w:val="22467831"/>
    <w:rsid w:val="225709AF"/>
    <w:rsid w:val="226264E4"/>
    <w:rsid w:val="22712124"/>
    <w:rsid w:val="22756396"/>
    <w:rsid w:val="2277737E"/>
    <w:rsid w:val="227D3DD3"/>
    <w:rsid w:val="227D50AF"/>
    <w:rsid w:val="228A32ED"/>
    <w:rsid w:val="229F0FDC"/>
    <w:rsid w:val="22AB34FD"/>
    <w:rsid w:val="22B00FE3"/>
    <w:rsid w:val="22B412BB"/>
    <w:rsid w:val="22B921DA"/>
    <w:rsid w:val="22B94355"/>
    <w:rsid w:val="22C00FF6"/>
    <w:rsid w:val="22C31AB2"/>
    <w:rsid w:val="22C93511"/>
    <w:rsid w:val="22C97A4D"/>
    <w:rsid w:val="22CA1123"/>
    <w:rsid w:val="22D448A9"/>
    <w:rsid w:val="22DA4910"/>
    <w:rsid w:val="22DB44FC"/>
    <w:rsid w:val="22E67F1C"/>
    <w:rsid w:val="22E76EF6"/>
    <w:rsid w:val="22E92F5A"/>
    <w:rsid w:val="22EE232A"/>
    <w:rsid w:val="22F834E5"/>
    <w:rsid w:val="22F846D3"/>
    <w:rsid w:val="22FC38E3"/>
    <w:rsid w:val="22FF54B6"/>
    <w:rsid w:val="23140095"/>
    <w:rsid w:val="23157F61"/>
    <w:rsid w:val="231D5C46"/>
    <w:rsid w:val="232936D0"/>
    <w:rsid w:val="232D4051"/>
    <w:rsid w:val="23314992"/>
    <w:rsid w:val="2332113F"/>
    <w:rsid w:val="23351FA9"/>
    <w:rsid w:val="23393DBB"/>
    <w:rsid w:val="234472BE"/>
    <w:rsid w:val="2345336D"/>
    <w:rsid w:val="234A76EF"/>
    <w:rsid w:val="234B2789"/>
    <w:rsid w:val="234E4970"/>
    <w:rsid w:val="235B61C9"/>
    <w:rsid w:val="236E3CBA"/>
    <w:rsid w:val="23764990"/>
    <w:rsid w:val="238A6CD1"/>
    <w:rsid w:val="239E0AFE"/>
    <w:rsid w:val="23A36852"/>
    <w:rsid w:val="23A42FE5"/>
    <w:rsid w:val="23A80A91"/>
    <w:rsid w:val="23B52E13"/>
    <w:rsid w:val="23B53DAB"/>
    <w:rsid w:val="23B963A3"/>
    <w:rsid w:val="23C960C1"/>
    <w:rsid w:val="23CE7222"/>
    <w:rsid w:val="23D52154"/>
    <w:rsid w:val="23D8590C"/>
    <w:rsid w:val="23DE3EE7"/>
    <w:rsid w:val="23DF237D"/>
    <w:rsid w:val="23ED5C81"/>
    <w:rsid w:val="23EF3C87"/>
    <w:rsid w:val="23FF7332"/>
    <w:rsid w:val="24001527"/>
    <w:rsid w:val="24060475"/>
    <w:rsid w:val="240772B1"/>
    <w:rsid w:val="24134A87"/>
    <w:rsid w:val="242949C1"/>
    <w:rsid w:val="242B3B88"/>
    <w:rsid w:val="242F5319"/>
    <w:rsid w:val="24366057"/>
    <w:rsid w:val="24395BC7"/>
    <w:rsid w:val="243E1454"/>
    <w:rsid w:val="24480B04"/>
    <w:rsid w:val="244B00C0"/>
    <w:rsid w:val="24504564"/>
    <w:rsid w:val="245E4B1C"/>
    <w:rsid w:val="245E65F7"/>
    <w:rsid w:val="246063DF"/>
    <w:rsid w:val="246451CA"/>
    <w:rsid w:val="246A734E"/>
    <w:rsid w:val="246B20E8"/>
    <w:rsid w:val="247C4CC8"/>
    <w:rsid w:val="247C711F"/>
    <w:rsid w:val="24AD0773"/>
    <w:rsid w:val="24AD5999"/>
    <w:rsid w:val="24B35271"/>
    <w:rsid w:val="24B521B5"/>
    <w:rsid w:val="24B545C8"/>
    <w:rsid w:val="24BA19EE"/>
    <w:rsid w:val="24CE4AF6"/>
    <w:rsid w:val="24D20846"/>
    <w:rsid w:val="24DA24CE"/>
    <w:rsid w:val="24DD64FC"/>
    <w:rsid w:val="24E329D4"/>
    <w:rsid w:val="24E57B81"/>
    <w:rsid w:val="24E61D5B"/>
    <w:rsid w:val="24E65598"/>
    <w:rsid w:val="24E96743"/>
    <w:rsid w:val="24EA675F"/>
    <w:rsid w:val="24EE5A0B"/>
    <w:rsid w:val="25072191"/>
    <w:rsid w:val="250A037F"/>
    <w:rsid w:val="250C1650"/>
    <w:rsid w:val="25110489"/>
    <w:rsid w:val="25160237"/>
    <w:rsid w:val="251850C4"/>
    <w:rsid w:val="251C5DE8"/>
    <w:rsid w:val="251D141E"/>
    <w:rsid w:val="251F4CB8"/>
    <w:rsid w:val="254210BC"/>
    <w:rsid w:val="254A3B8D"/>
    <w:rsid w:val="254F2870"/>
    <w:rsid w:val="255C18BB"/>
    <w:rsid w:val="255C5353"/>
    <w:rsid w:val="255C5DFA"/>
    <w:rsid w:val="25614D56"/>
    <w:rsid w:val="25634FB9"/>
    <w:rsid w:val="256A3635"/>
    <w:rsid w:val="258249F5"/>
    <w:rsid w:val="25852F8D"/>
    <w:rsid w:val="258C1E50"/>
    <w:rsid w:val="25963BDC"/>
    <w:rsid w:val="259E0F52"/>
    <w:rsid w:val="25A131B1"/>
    <w:rsid w:val="25A56969"/>
    <w:rsid w:val="25AC209F"/>
    <w:rsid w:val="25AF5AD1"/>
    <w:rsid w:val="25B0694C"/>
    <w:rsid w:val="25C03F3E"/>
    <w:rsid w:val="25C913AC"/>
    <w:rsid w:val="25C94238"/>
    <w:rsid w:val="25D90F75"/>
    <w:rsid w:val="25DA3DD7"/>
    <w:rsid w:val="25E17531"/>
    <w:rsid w:val="260A62CD"/>
    <w:rsid w:val="260C0317"/>
    <w:rsid w:val="260D0F43"/>
    <w:rsid w:val="261B2A21"/>
    <w:rsid w:val="26230FB3"/>
    <w:rsid w:val="26277D9A"/>
    <w:rsid w:val="26280A3A"/>
    <w:rsid w:val="262C2DFB"/>
    <w:rsid w:val="26362445"/>
    <w:rsid w:val="264B79AC"/>
    <w:rsid w:val="265D2C36"/>
    <w:rsid w:val="266863CC"/>
    <w:rsid w:val="266D068F"/>
    <w:rsid w:val="26771D77"/>
    <w:rsid w:val="267A3EA7"/>
    <w:rsid w:val="26811112"/>
    <w:rsid w:val="26881D7F"/>
    <w:rsid w:val="269162C2"/>
    <w:rsid w:val="26941211"/>
    <w:rsid w:val="269A39CE"/>
    <w:rsid w:val="26A364C5"/>
    <w:rsid w:val="26A44093"/>
    <w:rsid w:val="26AA72BE"/>
    <w:rsid w:val="26AC0A54"/>
    <w:rsid w:val="26B079EB"/>
    <w:rsid w:val="26B56802"/>
    <w:rsid w:val="26B93D6C"/>
    <w:rsid w:val="26B972F5"/>
    <w:rsid w:val="26CA4E13"/>
    <w:rsid w:val="26E12CEB"/>
    <w:rsid w:val="26E165B9"/>
    <w:rsid w:val="27001A1C"/>
    <w:rsid w:val="2707669F"/>
    <w:rsid w:val="27093B41"/>
    <w:rsid w:val="270975D9"/>
    <w:rsid w:val="270B0F88"/>
    <w:rsid w:val="270F6DCE"/>
    <w:rsid w:val="27104E2C"/>
    <w:rsid w:val="271D074B"/>
    <w:rsid w:val="272A076F"/>
    <w:rsid w:val="273A6D23"/>
    <w:rsid w:val="2744508E"/>
    <w:rsid w:val="27475DA8"/>
    <w:rsid w:val="27514BF7"/>
    <w:rsid w:val="275B2D4B"/>
    <w:rsid w:val="27675135"/>
    <w:rsid w:val="277D0B81"/>
    <w:rsid w:val="27811362"/>
    <w:rsid w:val="278334F7"/>
    <w:rsid w:val="278A44E6"/>
    <w:rsid w:val="279C45E8"/>
    <w:rsid w:val="27A25E51"/>
    <w:rsid w:val="27A8737C"/>
    <w:rsid w:val="27AC2852"/>
    <w:rsid w:val="27B14F29"/>
    <w:rsid w:val="27BB232A"/>
    <w:rsid w:val="27BC7000"/>
    <w:rsid w:val="27C34BCB"/>
    <w:rsid w:val="27D03B58"/>
    <w:rsid w:val="27D711E9"/>
    <w:rsid w:val="27E17E6D"/>
    <w:rsid w:val="27E5487F"/>
    <w:rsid w:val="27EC3678"/>
    <w:rsid w:val="27F87B30"/>
    <w:rsid w:val="27FC3FF5"/>
    <w:rsid w:val="27FC5B66"/>
    <w:rsid w:val="28001066"/>
    <w:rsid w:val="280964C0"/>
    <w:rsid w:val="281A3EA5"/>
    <w:rsid w:val="28271983"/>
    <w:rsid w:val="28273F08"/>
    <w:rsid w:val="282D4A2F"/>
    <w:rsid w:val="28494535"/>
    <w:rsid w:val="284D0039"/>
    <w:rsid w:val="285F1B5C"/>
    <w:rsid w:val="2864350E"/>
    <w:rsid w:val="286706B6"/>
    <w:rsid w:val="286E406A"/>
    <w:rsid w:val="28713AB4"/>
    <w:rsid w:val="287B2CA8"/>
    <w:rsid w:val="287C7545"/>
    <w:rsid w:val="28923372"/>
    <w:rsid w:val="28977F29"/>
    <w:rsid w:val="289B7D7E"/>
    <w:rsid w:val="28A36416"/>
    <w:rsid w:val="28B134F3"/>
    <w:rsid w:val="28C7538A"/>
    <w:rsid w:val="28CF2658"/>
    <w:rsid w:val="28DB5F36"/>
    <w:rsid w:val="28E62AF5"/>
    <w:rsid w:val="28E667CC"/>
    <w:rsid w:val="28F93D04"/>
    <w:rsid w:val="28FE1AB3"/>
    <w:rsid w:val="28FE4B2D"/>
    <w:rsid w:val="29041E6B"/>
    <w:rsid w:val="29162F3C"/>
    <w:rsid w:val="291C315B"/>
    <w:rsid w:val="29336423"/>
    <w:rsid w:val="29362C39"/>
    <w:rsid w:val="293C308A"/>
    <w:rsid w:val="293D7E8D"/>
    <w:rsid w:val="29415C67"/>
    <w:rsid w:val="2944459C"/>
    <w:rsid w:val="294B48E7"/>
    <w:rsid w:val="295623BD"/>
    <w:rsid w:val="29572119"/>
    <w:rsid w:val="295F59C2"/>
    <w:rsid w:val="29611C40"/>
    <w:rsid w:val="29763832"/>
    <w:rsid w:val="297B3133"/>
    <w:rsid w:val="297E1B70"/>
    <w:rsid w:val="29852C66"/>
    <w:rsid w:val="29887F9D"/>
    <w:rsid w:val="29893502"/>
    <w:rsid w:val="29965DD0"/>
    <w:rsid w:val="299A5C41"/>
    <w:rsid w:val="29A61CF2"/>
    <w:rsid w:val="29A81854"/>
    <w:rsid w:val="29A935D8"/>
    <w:rsid w:val="29B36F12"/>
    <w:rsid w:val="29C17AA0"/>
    <w:rsid w:val="29CD7459"/>
    <w:rsid w:val="29D44229"/>
    <w:rsid w:val="29E17195"/>
    <w:rsid w:val="29E22061"/>
    <w:rsid w:val="29E41979"/>
    <w:rsid w:val="29E6213E"/>
    <w:rsid w:val="29E672C5"/>
    <w:rsid w:val="29E77616"/>
    <w:rsid w:val="29E80F86"/>
    <w:rsid w:val="29F30E61"/>
    <w:rsid w:val="29F96629"/>
    <w:rsid w:val="29FB045E"/>
    <w:rsid w:val="29FD43DC"/>
    <w:rsid w:val="29FD7288"/>
    <w:rsid w:val="2A053F98"/>
    <w:rsid w:val="2A0659E1"/>
    <w:rsid w:val="2A0B4CFD"/>
    <w:rsid w:val="2A0F566E"/>
    <w:rsid w:val="2A0F5AD0"/>
    <w:rsid w:val="2A122202"/>
    <w:rsid w:val="2A152DB6"/>
    <w:rsid w:val="2A1A285E"/>
    <w:rsid w:val="2A2468B8"/>
    <w:rsid w:val="2A2F2E6F"/>
    <w:rsid w:val="2A301D68"/>
    <w:rsid w:val="2A357449"/>
    <w:rsid w:val="2A4D0573"/>
    <w:rsid w:val="2A5B012D"/>
    <w:rsid w:val="2A5E6191"/>
    <w:rsid w:val="2A67601F"/>
    <w:rsid w:val="2A6932E0"/>
    <w:rsid w:val="2A6E71D0"/>
    <w:rsid w:val="2A7C0FEE"/>
    <w:rsid w:val="2AA33CFD"/>
    <w:rsid w:val="2AAE40CF"/>
    <w:rsid w:val="2AC2238B"/>
    <w:rsid w:val="2AC5066A"/>
    <w:rsid w:val="2AC805B9"/>
    <w:rsid w:val="2ACC748C"/>
    <w:rsid w:val="2ACF6A8A"/>
    <w:rsid w:val="2AE23FC9"/>
    <w:rsid w:val="2AE609CA"/>
    <w:rsid w:val="2AE6274F"/>
    <w:rsid w:val="2AE70EB2"/>
    <w:rsid w:val="2AE75AFF"/>
    <w:rsid w:val="2AED63FF"/>
    <w:rsid w:val="2AEF405A"/>
    <w:rsid w:val="2AF37208"/>
    <w:rsid w:val="2AF50B76"/>
    <w:rsid w:val="2AFD31AB"/>
    <w:rsid w:val="2B205BA3"/>
    <w:rsid w:val="2B285E7C"/>
    <w:rsid w:val="2B2C5116"/>
    <w:rsid w:val="2B3136F7"/>
    <w:rsid w:val="2B3559C2"/>
    <w:rsid w:val="2B3F1E1C"/>
    <w:rsid w:val="2B4A3D8D"/>
    <w:rsid w:val="2B4A471E"/>
    <w:rsid w:val="2B4A5FA4"/>
    <w:rsid w:val="2B4C6985"/>
    <w:rsid w:val="2B501B65"/>
    <w:rsid w:val="2B613C4D"/>
    <w:rsid w:val="2B6F182C"/>
    <w:rsid w:val="2B74171E"/>
    <w:rsid w:val="2B7C62E4"/>
    <w:rsid w:val="2B841A50"/>
    <w:rsid w:val="2B873A41"/>
    <w:rsid w:val="2BA0294D"/>
    <w:rsid w:val="2BA11B99"/>
    <w:rsid w:val="2BA864FF"/>
    <w:rsid w:val="2BC91F60"/>
    <w:rsid w:val="2BD73FEB"/>
    <w:rsid w:val="2BDC3C01"/>
    <w:rsid w:val="2BEC6C7A"/>
    <w:rsid w:val="2BF0238C"/>
    <w:rsid w:val="2BF07ED6"/>
    <w:rsid w:val="2BF44B30"/>
    <w:rsid w:val="2BF7191D"/>
    <w:rsid w:val="2C020E52"/>
    <w:rsid w:val="2C051307"/>
    <w:rsid w:val="2C0819FF"/>
    <w:rsid w:val="2C091F09"/>
    <w:rsid w:val="2C140305"/>
    <w:rsid w:val="2C155EFF"/>
    <w:rsid w:val="2C1E2655"/>
    <w:rsid w:val="2C290AD7"/>
    <w:rsid w:val="2C36789D"/>
    <w:rsid w:val="2C37579C"/>
    <w:rsid w:val="2C413362"/>
    <w:rsid w:val="2C471CC1"/>
    <w:rsid w:val="2C554F9D"/>
    <w:rsid w:val="2C6124BC"/>
    <w:rsid w:val="2C6203AC"/>
    <w:rsid w:val="2C696F2A"/>
    <w:rsid w:val="2C764051"/>
    <w:rsid w:val="2C7B30C7"/>
    <w:rsid w:val="2C801670"/>
    <w:rsid w:val="2C83561C"/>
    <w:rsid w:val="2C8B4EF3"/>
    <w:rsid w:val="2C8F1FC8"/>
    <w:rsid w:val="2C8F4CA1"/>
    <w:rsid w:val="2C93279C"/>
    <w:rsid w:val="2C955175"/>
    <w:rsid w:val="2CA366B4"/>
    <w:rsid w:val="2CA75A8F"/>
    <w:rsid w:val="2CAA59A1"/>
    <w:rsid w:val="2CB60393"/>
    <w:rsid w:val="2CB6664F"/>
    <w:rsid w:val="2CBA7EE4"/>
    <w:rsid w:val="2CBC5E92"/>
    <w:rsid w:val="2CC16776"/>
    <w:rsid w:val="2CD53BF3"/>
    <w:rsid w:val="2CDF1C79"/>
    <w:rsid w:val="2CFA45B1"/>
    <w:rsid w:val="2D08622F"/>
    <w:rsid w:val="2D0D0C73"/>
    <w:rsid w:val="2D2345C7"/>
    <w:rsid w:val="2D261723"/>
    <w:rsid w:val="2D307812"/>
    <w:rsid w:val="2D494825"/>
    <w:rsid w:val="2D4C0DCE"/>
    <w:rsid w:val="2D4F3BDF"/>
    <w:rsid w:val="2D533460"/>
    <w:rsid w:val="2D581CCF"/>
    <w:rsid w:val="2D5C1DB2"/>
    <w:rsid w:val="2D5E173E"/>
    <w:rsid w:val="2D650E42"/>
    <w:rsid w:val="2D66368B"/>
    <w:rsid w:val="2D75475C"/>
    <w:rsid w:val="2D7B4B2E"/>
    <w:rsid w:val="2D801ABC"/>
    <w:rsid w:val="2D8258F3"/>
    <w:rsid w:val="2D856830"/>
    <w:rsid w:val="2D8613F9"/>
    <w:rsid w:val="2D882515"/>
    <w:rsid w:val="2D8D74A4"/>
    <w:rsid w:val="2D926137"/>
    <w:rsid w:val="2DA22417"/>
    <w:rsid w:val="2DA500D9"/>
    <w:rsid w:val="2DAC06F5"/>
    <w:rsid w:val="2DAD1E76"/>
    <w:rsid w:val="2DAE0F14"/>
    <w:rsid w:val="2DAF5AAF"/>
    <w:rsid w:val="2DB65AAE"/>
    <w:rsid w:val="2DC8442F"/>
    <w:rsid w:val="2DD32C8F"/>
    <w:rsid w:val="2DDD25EF"/>
    <w:rsid w:val="2DE45CFD"/>
    <w:rsid w:val="2DEF5A58"/>
    <w:rsid w:val="2DFA7F9E"/>
    <w:rsid w:val="2DFF4613"/>
    <w:rsid w:val="2E0105C4"/>
    <w:rsid w:val="2E0138AD"/>
    <w:rsid w:val="2E1B4AFC"/>
    <w:rsid w:val="2E1C2D47"/>
    <w:rsid w:val="2E2022A8"/>
    <w:rsid w:val="2E245F9F"/>
    <w:rsid w:val="2E2603E5"/>
    <w:rsid w:val="2E2D43B8"/>
    <w:rsid w:val="2E2F11A0"/>
    <w:rsid w:val="2E316F3F"/>
    <w:rsid w:val="2E3F49AD"/>
    <w:rsid w:val="2E4462D2"/>
    <w:rsid w:val="2E4E530C"/>
    <w:rsid w:val="2E6D227D"/>
    <w:rsid w:val="2E6D7E65"/>
    <w:rsid w:val="2E787995"/>
    <w:rsid w:val="2E79424B"/>
    <w:rsid w:val="2E7C45AD"/>
    <w:rsid w:val="2E8554FA"/>
    <w:rsid w:val="2E8D7461"/>
    <w:rsid w:val="2EA60516"/>
    <w:rsid w:val="2EA8442B"/>
    <w:rsid w:val="2EAD2145"/>
    <w:rsid w:val="2EB81B62"/>
    <w:rsid w:val="2EBC2263"/>
    <w:rsid w:val="2EBD0643"/>
    <w:rsid w:val="2EC233F9"/>
    <w:rsid w:val="2EC35595"/>
    <w:rsid w:val="2EC547F2"/>
    <w:rsid w:val="2ED07EF2"/>
    <w:rsid w:val="2EDE0469"/>
    <w:rsid w:val="2EE37FA0"/>
    <w:rsid w:val="2EE711B6"/>
    <w:rsid w:val="2EEB49FA"/>
    <w:rsid w:val="2F06315B"/>
    <w:rsid w:val="2F0B0AE3"/>
    <w:rsid w:val="2F14652F"/>
    <w:rsid w:val="2F1F7372"/>
    <w:rsid w:val="2F24468F"/>
    <w:rsid w:val="2F270AC3"/>
    <w:rsid w:val="2F2D4FF3"/>
    <w:rsid w:val="2F342A84"/>
    <w:rsid w:val="2F3454EE"/>
    <w:rsid w:val="2F371654"/>
    <w:rsid w:val="2F395E92"/>
    <w:rsid w:val="2F3A4E04"/>
    <w:rsid w:val="2F4003EC"/>
    <w:rsid w:val="2F4076BB"/>
    <w:rsid w:val="2F430FF7"/>
    <w:rsid w:val="2F481044"/>
    <w:rsid w:val="2F4A7913"/>
    <w:rsid w:val="2F5A149E"/>
    <w:rsid w:val="2F5C7A53"/>
    <w:rsid w:val="2F604ED2"/>
    <w:rsid w:val="2F6B07A4"/>
    <w:rsid w:val="2F6F6E22"/>
    <w:rsid w:val="2F75606A"/>
    <w:rsid w:val="2F780359"/>
    <w:rsid w:val="2F7E2F93"/>
    <w:rsid w:val="2F8E6C98"/>
    <w:rsid w:val="2F9327A7"/>
    <w:rsid w:val="2FA6537A"/>
    <w:rsid w:val="2FA67D1F"/>
    <w:rsid w:val="2FA867E1"/>
    <w:rsid w:val="2FAB76D1"/>
    <w:rsid w:val="2FB56B98"/>
    <w:rsid w:val="2FBA0D9A"/>
    <w:rsid w:val="2FBE5B8D"/>
    <w:rsid w:val="2FBF713D"/>
    <w:rsid w:val="2FC77845"/>
    <w:rsid w:val="2FC9676A"/>
    <w:rsid w:val="2FCB4DD1"/>
    <w:rsid w:val="2FDC4FF1"/>
    <w:rsid w:val="2FDC5166"/>
    <w:rsid w:val="2FDE194E"/>
    <w:rsid w:val="2FDE6B46"/>
    <w:rsid w:val="2FE232A7"/>
    <w:rsid w:val="2FE3161C"/>
    <w:rsid w:val="2FE754B4"/>
    <w:rsid w:val="2FE94B9A"/>
    <w:rsid w:val="2FF108F6"/>
    <w:rsid w:val="2FF67A42"/>
    <w:rsid w:val="30077136"/>
    <w:rsid w:val="30090875"/>
    <w:rsid w:val="300C16BD"/>
    <w:rsid w:val="3016617D"/>
    <w:rsid w:val="30251522"/>
    <w:rsid w:val="302C1774"/>
    <w:rsid w:val="30345EE8"/>
    <w:rsid w:val="30370F83"/>
    <w:rsid w:val="30372891"/>
    <w:rsid w:val="30396B10"/>
    <w:rsid w:val="303B336D"/>
    <w:rsid w:val="30433157"/>
    <w:rsid w:val="304F6B17"/>
    <w:rsid w:val="30516C77"/>
    <w:rsid w:val="30600370"/>
    <w:rsid w:val="306741DB"/>
    <w:rsid w:val="30780DFA"/>
    <w:rsid w:val="307B4F89"/>
    <w:rsid w:val="308B5CBA"/>
    <w:rsid w:val="30A706D1"/>
    <w:rsid w:val="30AB2825"/>
    <w:rsid w:val="30AB3B6B"/>
    <w:rsid w:val="30AD36ED"/>
    <w:rsid w:val="30CD2327"/>
    <w:rsid w:val="30D0530A"/>
    <w:rsid w:val="30D55375"/>
    <w:rsid w:val="30D9094A"/>
    <w:rsid w:val="30DA1C8A"/>
    <w:rsid w:val="30DB6191"/>
    <w:rsid w:val="30DD06A7"/>
    <w:rsid w:val="30DD29CE"/>
    <w:rsid w:val="30DE37F5"/>
    <w:rsid w:val="30E57BC8"/>
    <w:rsid w:val="30E6523C"/>
    <w:rsid w:val="30E7578F"/>
    <w:rsid w:val="30E91822"/>
    <w:rsid w:val="30ED62B1"/>
    <w:rsid w:val="30EE18BE"/>
    <w:rsid w:val="30EE58FA"/>
    <w:rsid w:val="30F12587"/>
    <w:rsid w:val="30F8450D"/>
    <w:rsid w:val="30F94B3F"/>
    <w:rsid w:val="30FA66F9"/>
    <w:rsid w:val="3102477E"/>
    <w:rsid w:val="31026961"/>
    <w:rsid w:val="3105390F"/>
    <w:rsid w:val="311E3592"/>
    <w:rsid w:val="31225802"/>
    <w:rsid w:val="31313DAE"/>
    <w:rsid w:val="3138432A"/>
    <w:rsid w:val="313D5697"/>
    <w:rsid w:val="314E4954"/>
    <w:rsid w:val="31500B3C"/>
    <w:rsid w:val="31542211"/>
    <w:rsid w:val="315E2D3B"/>
    <w:rsid w:val="316124DC"/>
    <w:rsid w:val="31643D76"/>
    <w:rsid w:val="31682BB3"/>
    <w:rsid w:val="3168625F"/>
    <w:rsid w:val="31704633"/>
    <w:rsid w:val="3172332D"/>
    <w:rsid w:val="31864D3E"/>
    <w:rsid w:val="318F6100"/>
    <w:rsid w:val="31910D55"/>
    <w:rsid w:val="31991C66"/>
    <w:rsid w:val="319C7B3C"/>
    <w:rsid w:val="31A3175F"/>
    <w:rsid w:val="31A60F66"/>
    <w:rsid w:val="31A87ADD"/>
    <w:rsid w:val="31AA213A"/>
    <w:rsid w:val="31AB33E4"/>
    <w:rsid w:val="31B000F0"/>
    <w:rsid w:val="31BB57B1"/>
    <w:rsid w:val="31BD7DC2"/>
    <w:rsid w:val="31C50591"/>
    <w:rsid w:val="31CB53D5"/>
    <w:rsid w:val="31D36060"/>
    <w:rsid w:val="31E73000"/>
    <w:rsid w:val="31EC21BD"/>
    <w:rsid w:val="31EC7522"/>
    <w:rsid w:val="31ED2EF1"/>
    <w:rsid w:val="32017785"/>
    <w:rsid w:val="322721C8"/>
    <w:rsid w:val="32381C5F"/>
    <w:rsid w:val="323C4A2E"/>
    <w:rsid w:val="324030EE"/>
    <w:rsid w:val="32422E19"/>
    <w:rsid w:val="324E140C"/>
    <w:rsid w:val="32614B4A"/>
    <w:rsid w:val="326B6851"/>
    <w:rsid w:val="326F4E9C"/>
    <w:rsid w:val="32702BD5"/>
    <w:rsid w:val="32811F79"/>
    <w:rsid w:val="32864655"/>
    <w:rsid w:val="32893451"/>
    <w:rsid w:val="329965F5"/>
    <w:rsid w:val="329A6A9E"/>
    <w:rsid w:val="329A736B"/>
    <w:rsid w:val="32A04A94"/>
    <w:rsid w:val="32A427CA"/>
    <w:rsid w:val="32A7197B"/>
    <w:rsid w:val="32B33797"/>
    <w:rsid w:val="32B37E0D"/>
    <w:rsid w:val="32B51BDE"/>
    <w:rsid w:val="32BC3D75"/>
    <w:rsid w:val="32C40A07"/>
    <w:rsid w:val="32CA0686"/>
    <w:rsid w:val="32D228DB"/>
    <w:rsid w:val="32D2292A"/>
    <w:rsid w:val="32D8332E"/>
    <w:rsid w:val="32DD110C"/>
    <w:rsid w:val="32E27584"/>
    <w:rsid w:val="32E4274D"/>
    <w:rsid w:val="32EA4356"/>
    <w:rsid w:val="32EA7272"/>
    <w:rsid w:val="32F87F99"/>
    <w:rsid w:val="32FB3799"/>
    <w:rsid w:val="33083D6C"/>
    <w:rsid w:val="330B4E46"/>
    <w:rsid w:val="33102D67"/>
    <w:rsid w:val="33125B66"/>
    <w:rsid w:val="331414B9"/>
    <w:rsid w:val="33190E82"/>
    <w:rsid w:val="331A4778"/>
    <w:rsid w:val="331D2FB2"/>
    <w:rsid w:val="33304D51"/>
    <w:rsid w:val="33346406"/>
    <w:rsid w:val="33412A47"/>
    <w:rsid w:val="33443787"/>
    <w:rsid w:val="33482C37"/>
    <w:rsid w:val="335131FB"/>
    <w:rsid w:val="3360622F"/>
    <w:rsid w:val="336205A2"/>
    <w:rsid w:val="336D2C26"/>
    <w:rsid w:val="337269A6"/>
    <w:rsid w:val="33791790"/>
    <w:rsid w:val="33834D7C"/>
    <w:rsid w:val="33852819"/>
    <w:rsid w:val="33871999"/>
    <w:rsid w:val="338C37F9"/>
    <w:rsid w:val="33900DD8"/>
    <w:rsid w:val="33933FAE"/>
    <w:rsid w:val="33AC185A"/>
    <w:rsid w:val="33AD4603"/>
    <w:rsid w:val="33AD67B5"/>
    <w:rsid w:val="33B900C0"/>
    <w:rsid w:val="33BC00F2"/>
    <w:rsid w:val="33BF13B4"/>
    <w:rsid w:val="33CF792F"/>
    <w:rsid w:val="33DD1044"/>
    <w:rsid w:val="33E22A9F"/>
    <w:rsid w:val="33E252DE"/>
    <w:rsid w:val="33EF4903"/>
    <w:rsid w:val="33F319D8"/>
    <w:rsid w:val="340D1BC5"/>
    <w:rsid w:val="340D4B04"/>
    <w:rsid w:val="342B76AC"/>
    <w:rsid w:val="342F7562"/>
    <w:rsid w:val="34364B8B"/>
    <w:rsid w:val="34375332"/>
    <w:rsid w:val="34442D5D"/>
    <w:rsid w:val="34443210"/>
    <w:rsid w:val="344D76D4"/>
    <w:rsid w:val="34577CDD"/>
    <w:rsid w:val="345965FA"/>
    <w:rsid w:val="3461183B"/>
    <w:rsid w:val="34674748"/>
    <w:rsid w:val="346B2570"/>
    <w:rsid w:val="34716A18"/>
    <w:rsid w:val="34716D4F"/>
    <w:rsid w:val="347C5154"/>
    <w:rsid w:val="3482183C"/>
    <w:rsid w:val="34850D8B"/>
    <w:rsid w:val="348659F9"/>
    <w:rsid w:val="34887FF5"/>
    <w:rsid w:val="348A1767"/>
    <w:rsid w:val="34920DBA"/>
    <w:rsid w:val="3493711F"/>
    <w:rsid w:val="349F5C3D"/>
    <w:rsid w:val="34AE00F1"/>
    <w:rsid w:val="34AE5218"/>
    <w:rsid w:val="34B070F1"/>
    <w:rsid w:val="34B271E0"/>
    <w:rsid w:val="34B57A6A"/>
    <w:rsid w:val="34B90A4C"/>
    <w:rsid w:val="34BC2AEE"/>
    <w:rsid w:val="34BE4EFB"/>
    <w:rsid w:val="34CB4A12"/>
    <w:rsid w:val="34D21EE8"/>
    <w:rsid w:val="34D47537"/>
    <w:rsid w:val="34D53539"/>
    <w:rsid w:val="34E205A8"/>
    <w:rsid w:val="34EA761F"/>
    <w:rsid w:val="34F262D6"/>
    <w:rsid w:val="34F368AB"/>
    <w:rsid w:val="34F74066"/>
    <w:rsid w:val="34F741B9"/>
    <w:rsid w:val="34FA0D1C"/>
    <w:rsid w:val="34FE0255"/>
    <w:rsid w:val="350730B8"/>
    <w:rsid w:val="35124BDF"/>
    <w:rsid w:val="351547F2"/>
    <w:rsid w:val="351847DE"/>
    <w:rsid w:val="352164B6"/>
    <w:rsid w:val="35263A2B"/>
    <w:rsid w:val="3528176C"/>
    <w:rsid w:val="352A1A45"/>
    <w:rsid w:val="352B2DCA"/>
    <w:rsid w:val="352F5D97"/>
    <w:rsid w:val="35383E18"/>
    <w:rsid w:val="353E2CF6"/>
    <w:rsid w:val="353F4A21"/>
    <w:rsid w:val="35434E58"/>
    <w:rsid w:val="354E17ED"/>
    <w:rsid w:val="355149E3"/>
    <w:rsid w:val="35526504"/>
    <w:rsid w:val="355C5A55"/>
    <w:rsid w:val="356660A7"/>
    <w:rsid w:val="357C663A"/>
    <w:rsid w:val="357D5641"/>
    <w:rsid w:val="35815594"/>
    <w:rsid w:val="35825DFF"/>
    <w:rsid w:val="35985A19"/>
    <w:rsid w:val="359B36CE"/>
    <w:rsid w:val="359C2E88"/>
    <w:rsid w:val="35BB566F"/>
    <w:rsid w:val="35BB67C9"/>
    <w:rsid w:val="35C04EAE"/>
    <w:rsid w:val="35C55293"/>
    <w:rsid w:val="35CA2A36"/>
    <w:rsid w:val="35D178B2"/>
    <w:rsid w:val="35D43014"/>
    <w:rsid w:val="35D650EC"/>
    <w:rsid w:val="35DB6B26"/>
    <w:rsid w:val="35DE3A4D"/>
    <w:rsid w:val="35E22D8D"/>
    <w:rsid w:val="35E55251"/>
    <w:rsid w:val="35F81772"/>
    <w:rsid w:val="36011A02"/>
    <w:rsid w:val="36094C87"/>
    <w:rsid w:val="36170DC0"/>
    <w:rsid w:val="362A1DFA"/>
    <w:rsid w:val="362B427C"/>
    <w:rsid w:val="362D0BBA"/>
    <w:rsid w:val="362D138E"/>
    <w:rsid w:val="362D79C7"/>
    <w:rsid w:val="363B3F7C"/>
    <w:rsid w:val="363F6804"/>
    <w:rsid w:val="36530F8F"/>
    <w:rsid w:val="365F6233"/>
    <w:rsid w:val="36604F52"/>
    <w:rsid w:val="36631EBB"/>
    <w:rsid w:val="36710540"/>
    <w:rsid w:val="367914DA"/>
    <w:rsid w:val="36816BEC"/>
    <w:rsid w:val="36944A6B"/>
    <w:rsid w:val="36963D16"/>
    <w:rsid w:val="36A03182"/>
    <w:rsid w:val="36A46123"/>
    <w:rsid w:val="36AB75A5"/>
    <w:rsid w:val="36CB7422"/>
    <w:rsid w:val="36D24FE3"/>
    <w:rsid w:val="36D44FD1"/>
    <w:rsid w:val="36E147DC"/>
    <w:rsid w:val="36E66A2E"/>
    <w:rsid w:val="36F8159F"/>
    <w:rsid w:val="370658EE"/>
    <w:rsid w:val="370C5A67"/>
    <w:rsid w:val="371C792D"/>
    <w:rsid w:val="371F7C4F"/>
    <w:rsid w:val="37216194"/>
    <w:rsid w:val="37292D18"/>
    <w:rsid w:val="372944A5"/>
    <w:rsid w:val="372B5434"/>
    <w:rsid w:val="372F2B17"/>
    <w:rsid w:val="373204C6"/>
    <w:rsid w:val="3733618B"/>
    <w:rsid w:val="373524E8"/>
    <w:rsid w:val="373A4572"/>
    <w:rsid w:val="37446F64"/>
    <w:rsid w:val="374638CE"/>
    <w:rsid w:val="374E1C28"/>
    <w:rsid w:val="37584853"/>
    <w:rsid w:val="37687349"/>
    <w:rsid w:val="37774AF1"/>
    <w:rsid w:val="37825B07"/>
    <w:rsid w:val="37AF4CE7"/>
    <w:rsid w:val="37BE70F0"/>
    <w:rsid w:val="37C279E6"/>
    <w:rsid w:val="37C75D9B"/>
    <w:rsid w:val="37CA1B5C"/>
    <w:rsid w:val="37D92B41"/>
    <w:rsid w:val="37DF4A7F"/>
    <w:rsid w:val="37E420C4"/>
    <w:rsid w:val="37EB040A"/>
    <w:rsid w:val="37EC2CC2"/>
    <w:rsid w:val="37F43B51"/>
    <w:rsid w:val="37F976E5"/>
    <w:rsid w:val="38110CEC"/>
    <w:rsid w:val="38290DB3"/>
    <w:rsid w:val="38326A66"/>
    <w:rsid w:val="38376340"/>
    <w:rsid w:val="383D70E7"/>
    <w:rsid w:val="38664E2E"/>
    <w:rsid w:val="386A5665"/>
    <w:rsid w:val="38735FE6"/>
    <w:rsid w:val="38754BF2"/>
    <w:rsid w:val="3876702E"/>
    <w:rsid w:val="387828C4"/>
    <w:rsid w:val="387B6682"/>
    <w:rsid w:val="387C42B2"/>
    <w:rsid w:val="387F773D"/>
    <w:rsid w:val="38872071"/>
    <w:rsid w:val="388B73AC"/>
    <w:rsid w:val="388D2005"/>
    <w:rsid w:val="38935752"/>
    <w:rsid w:val="38A16812"/>
    <w:rsid w:val="38A81F49"/>
    <w:rsid w:val="38AA4DCF"/>
    <w:rsid w:val="38AA6CCD"/>
    <w:rsid w:val="38B067ED"/>
    <w:rsid w:val="38B61C08"/>
    <w:rsid w:val="38C016C5"/>
    <w:rsid w:val="38C5631F"/>
    <w:rsid w:val="38CA6981"/>
    <w:rsid w:val="38CE5788"/>
    <w:rsid w:val="38D0041A"/>
    <w:rsid w:val="38D03CA5"/>
    <w:rsid w:val="38D56E7C"/>
    <w:rsid w:val="38DA4C4D"/>
    <w:rsid w:val="38DF49DC"/>
    <w:rsid w:val="38E13451"/>
    <w:rsid w:val="38E16704"/>
    <w:rsid w:val="38E511CC"/>
    <w:rsid w:val="38F14A9A"/>
    <w:rsid w:val="38F55363"/>
    <w:rsid w:val="38FC27C1"/>
    <w:rsid w:val="39086667"/>
    <w:rsid w:val="390F2FF9"/>
    <w:rsid w:val="3910200E"/>
    <w:rsid w:val="391C61E0"/>
    <w:rsid w:val="391D1AF6"/>
    <w:rsid w:val="391F121C"/>
    <w:rsid w:val="39227ED6"/>
    <w:rsid w:val="39247565"/>
    <w:rsid w:val="39275CC8"/>
    <w:rsid w:val="39373005"/>
    <w:rsid w:val="39425244"/>
    <w:rsid w:val="39447834"/>
    <w:rsid w:val="39452CF0"/>
    <w:rsid w:val="394B1976"/>
    <w:rsid w:val="39576EF4"/>
    <w:rsid w:val="395A0C8B"/>
    <w:rsid w:val="39623066"/>
    <w:rsid w:val="397F20EE"/>
    <w:rsid w:val="39826C0F"/>
    <w:rsid w:val="39834066"/>
    <w:rsid w:val="39946946"/>
    <w:rsid w:val="399D2EF6"/>
    <w:rsid w:val="39A40146"/>
    <w:rsid w:val="39A66893"/>
    <w:rsid w:val="39B11BBD"/>
    <w:rsid w:val="39BD380D"/>
    <w:rsid w:val="39C678D5"/>
    <w:rsid w:val="39C8188B"/>
    <w:rsid w:val="39D33090"/>
    <w:rsid w:val="39D6511B"/>
    <w:rsid w:val="39DB63B7"/>
    <w:rsid w:val="39EC63B4"/>
    <w:rsid w:val="39EF3E2E"/>
    <w:rsid w:val="39F14B5C"/>
    <w:rsid w:val="39F31198"/>
    <w:rsid w:val="39FC5027"/>
    <w:rsid w:val="3A0251EF"/>
    <w:rsid w:val="3A052141"/>
    <w:rsid w:val="3A106E99"/>
    <w:rsid w:val="3A22354D"/>
    <w:rsid w:val="3A281AFF"/>
    <w:rsid w:val="3A334EF5"/>
    <w:rsid w:val="3A3C4A01"/>
    <w:rsid w:val="3A4241F8"/>
    <w:rsid w:val="3A4246A7"/>
    <w:rsid w:val="3A5D13E2"/>
    <w:rsid w:val="3A657FBD"/>
    <w:rsid w:val="3A6A0A69"/>
    <w:rsid w:val="3A6D151C"/>
    <w:rsid w:val="3A6D6026"/>
    <w:rsid w:val="3A7B0FED"/>
    <w:rsid w:val="3A8C4B88"/>
    <w:rsid w:val="3A92109E"/>
    <w:rsid w:val="3A94135D"/>
    <w:rsid w:val="3A9679EB"/>
    <w:rsid w:val="3A975E8B"/>
    <w:rsid w:val="3AA143DE"/>
    <w:rsid w:val="3AA77A0B"/>
    <w:rsid w:val="3AA8108F"/>
    <w:rsid w:val="3AAC1FDD"/>
    <w:rsid w:val="3AB31CB2"/>
    <w:rsid w:val="3ABC3EC1"/>
    <w:rsid w:val="3ABE3B67"/>
    <w:rsid w:val="3AC419C7"/>
    <w:rsid w:val="3AC86074"/>
    <w:rsid w:val="3AD07FD8"/>
    <w:rsid w:val="3AE30733"/>
    <w:rsid w:val="3AE42081"/>
    <w:rsid w:val="3AFA2A62"/>
    <w:rsid w:val="3B022044"/>
    <w:rsid w:val="3B0320C2"/>
    <w:rsid w:val="3B050AD6"/>
    <w:rsid w:val="3B057691"/>
    <w:rsid w:val="3B070A8E"/>
    <w:rsid w:val="3B0F7440"/>
    <w:rsid w:val="3B1212F4"/>
    <w:rsid w:val="3B1337B8"/>
    <w:rsid w:val="3B172B4F"/>
    <w:rsid w:val="3B185FF2"/>
    <w:rsid w:val="3B1C653F"/>
    <w:rsid w:val="3B27041B"/>
    <w:rsid w:val="3B31003F"/>
    <w:rsid w:val="3B332AD5"/>
    <w:rsid w:val="3B3701AA"/>
    <w:rsid w:val="3B457E78"/>
    <w:rsid w:val="3B4A44AC"/>
    <w:rsid w:val="3B595F92"/>
    <w:rsid w:val="3B615221"/>
    <w:rsid w:val="3B662AA0"/>
    <w:rsid w:val="3B7B2F20"/>
    <w:rsid w:val="3B7F5877"/>
    <w:rsid w:val="3B800C8A"/>
    <w:rsid w:val="3B8915E1"/>
    <w:rsid w:val="3B904CA9"/>
    <w:rsid w:val="3B9E4948"/>
    <w:rsid w:val="3BB85C1D"/>
    <w:rsid w:val="3BBD0A80"/>
    <w:rsid w:val="3BBD3523"/>
    <w:rsid w:val="3BD00E93"/>
    <w:rsid w:val="3BD13884"/>
    <w:rsid w:val="3BDB1D94"/>
    <w:rsid w:val="3BE3271A"/>
    <w:rsid w:val="3BF0187E"/>
    <w:rsid w:val="3BF24721"/>
    <w:rsid w:val="3BF35B55"/>
    <w:rsid w:val="3BF80CB4"/>
    <w:rsid w:val="3BFE6FB8"/>
    <w:rsid w:val="3C022CB9"/>
    <w:rsid w:val="3C0269F3"/>
    <w:rsid w:val="3C064D0A"/>
    <w:rsid w:val="3C0D6273"/>
    <w:rsid w:val="3C1220DB"/>
    <w:rsid w:val="3C1A5D98"/>
    <w:rsid w:val="3C200389"/>
    <w:rsid w:val="3C265A11"/>
    <w:rsid w:val="3C300A38"/>
    <w:rsid w:val="3C372852"/>
    <w:rsid w:val="3C383425"/>
    <w:rsid w:val="3C392C95"/>
    <w:rsid w:val="3C3950B9"/>
    <w:rsid w:val="3C3E244B"/>
    <w:rsid w:val="3C416A98"/>
    <w:rsid w:val="3C4A7F1D"/>
    <w:rsid w:val="3C62410F"/>
    <w:rsid w:val="3C877A7E"/>
    <w:rsid w:val="3C8D6DE4"/>
    <w:rsid w:val="3C953614"/>
    <w:rsid w:val="3CBA1FE0"/>
    <w:rsid w:val="3CC44CC1"/>
    <w:rsid w:val="3CCD425B"/>
    <w:rsid w:val="3CCE048D"/>
    <w:rsid w:val="3CDA219E"/>
    <w:rsid w:val="3CDA5A95"/>
    <w:rsid w:val="3CE0091C"/>
    <w:rsid w:val="3CE30C99"/>
    <w:rsid w:val="3CE7312D"/>
    <w:rsid w:val="3CF00162"/>
    <w:rsid w:val="3CF15B83"/>
    <w:rsid w:val="3CFA2C61"/>
    <w:rsid w:val="3CFA340A"/>
    <w:rsid w:val="3CFC1871"/>
    <w:rsid w:val="3D0C3C0C"/>
    <w:rsid w:val="3D0F32E4"/>
    <w:rsid w:val="3D21752B"/>
    <w:rsid w:val="3D2363DE"/>
    <w:rsid w:val="3D236C6B"/>
    <w:rsid w:val="3D257B7D"/>
    <w:rsid w:val="3D295CEB"/>
    <w:rsid w:val="3D2B1C09"/>
    <w:rsid w:val="3D372DF7"/>
    <w:rsid w:val="3D4C63C7"/>
    <w:rsid w:val="3D5C5D0B"/>
    <w:rsid w:val="3D5C74E1"/>
    <w:rsid w:val="3D626116"/>
    <w:rsid w:val="3D661F9E"/>
    <w:rsid w:val="3D697B45"/>
    <w:rsid w:val="3D6B1CC2"/>
    <w:rsid w:val="3D7224BB"/>
    <w:rsid w:val="3D794F2B"/>
    <w:rsid w:val="3D803C2A"/>
    <w:rsid w:val="3D921760"/>
    <w:rsid w:val="3D935DC9"/>
    <w:rsid w:val="3D9C74E3"/>
    <w:rsid w:val="3D9C7BE7"/>
    <w:rsid w:val="3D9C7D4F"/>
    <w:rsid w:val="3D9F4DE4"/>
    <w:rsid w:val="3DA73AC3"/>
    <w:rsid w:val="3DAB3355"/>
    <w:rsid w:val="3DAB6840"/>
    <w:rsid w:val="3DB260AE"/>
    <w:rsid w:val="3DBA16D5"/>
    <w:rsid w:val="3DC76976"/>
    <w:rsid w:val="3DDA4C2C"/>
    <w:rsid w:val="3DE906D1"/>
    <w:rsid w:val="3DE92602"/>
    <w:rsid w:val="3DEA7231"/>
    <w:rsid w:val="3DEC7A38"/>
    <w:rsid w:val="3DED276E"/>
    <w:rsid w:val="3DF3277A"/>
    <w:rsid w:val="3DF8397D"/>
    <w:rsid w:val="3DFA7DC1"/>
    <w:rsid w:val="3E04260E"/>
    <w:rsid w:val="3E045DF4"/>
    <w:rsid w:val="3E0735F6"/>
    <w:rsid w:val="3E0A10D6"/>
    <w:rsid w:val="3E0F5A7C"/>
    <w:rsid w:val="3E110F37"/>
    <w:rsid w:val="3E161447"/>
    <w:rsid w:val="3E195271"/>
    <w:rsid w:val="3E213816"/>
    <w:rsid w:val="3E233C25"/>
    <w:rsid w:val="3E2675E7"/>
    <w:rsid w:val="3E287A32"/>
    <w:rsid w:val="3E2E097B"/>
    <w:rsid w:val="3E3370B2"/>
    <w:rsid w:val="3E3434AD"/>
    <w:rsid w:val="3E370B80"/>
    <w:rsid w:val="3E3B6B03"/>
    <w:rsid w:val="3E4337BF"/>
    <w:rsid w:val="3E452CEA"/>
    <w:rsid w:val="3E4937FB"/>
    <w:rsid w:val="3E4D2593"/>
    <w:rsid w:val="3E746C96"/>
    <w:rsid w:val="3E7A29C4"/>
    <w:rsid w:val="3E7C0A8B"/>
    <w:rsid w:val="3E7E5709"/>
    <w:rsid w:val="3E814541"/>
    <w:rsid w:val="3E8D52DD"/>
    <w:rsid w:val="3E9416B0"/>
    <w:rsid w:val="3E955332"/>
    <w:rsid w:val="3E972947"/>
    <w:rsid w:val="3E977B78"/>
    <w:rsid w:val="3E9B0BD0"/>
    <w:rsid w:val="3EA831CB"/>
    <w:rsid w:val="3EAF3365"/>
    <w:rsid w:val="3EAF4DE2"/>
    <w:rsid w:val="3EB02CF7"/>
    <w:rsid w:val="3EB472EA"/>
    <w:rsid w:val="3EBA58E4"/>
    <w:rsid w:val="3EC171DE"/>
    <w:rsid w:val="3ED13664"/>
    <w:rsid w:val="3ED260B2"/>
    <w:rsid w:val="3EDC311B"/>
    <w:rsid w:val="3EEC4975"/>
    <w:rsid w:val="3EED5649"/>
    <w:rsid w:val="3EF32E4D"/>
    <w:rsid w:val="3F0119A3"/>
    <w:rsid w:val="3F085415"/>
    <w:rsid w:val="3F0F58EA"/>
    <w:rsid w:val="3F166C0A"/>
    <w:rsid w:val="3F1B3A62"/>
    <w:rsid w:val="3F20737D"/>
    <w:rsid w:val="3F2675AA"/>
    <w:rsid w:val="3F2759A8"/>
    <w:rsid w:val="3F2B4A98"/>
    <w:rsid w:val="3F323A33"/>
    <w:rsid w:val="3F352B64"/>
    <w:rsid w:val="3F3674B2"/>
    <w:rsid w:val="3F391B9A"/>
    <w:rsid w:val="3F3E0999"/>
    <w:rsid w:val="3F404C89"/>
    <w:rsid w:val="3F450FDB"/>
    <w:rsid w:val="3F4E3420"/>
    <w:rsid w:val="3F5C462C"/>
    <w:rsid w:val="3F5E78C6"/>
    <w:rsid w:val="3F635A61"/>
    <w:rsid w:val="3F681639"/>
    <w:rsid w:val="3F693A5A"/>
    <w:rsid w:val="3F705C23"/>
    <w:rsid w:val="3F8F79C6"/>
    <w:rsid w:val="3F9160E8"/>
    <w:rsid w:val="3F96388E"/>
    <w:rsid w:val="3F992E13"/>
    <w:rsid w:val="3FAE571D"/>
    <w:rsid w:val="3FB07776"/>
    <w:rsid w:val="3FB266B6"/>
    <w:rsid w:val="3FB52A2F"/>
    <w:rsid w:val="3FBA4B49"/>
    <w:rsid w:val="3FC82785"/>
    <w:rsid w:val="3FC82F10"/>
    <w:rsid w:val="3FD354C0"/>
    <w:rsid w:val="3FD77C27"/>
    <w:rsid w:val="3FDE5A2C"/>
    <w:rsid w:val="3FE70A09"/>
    <w:rsid w:val="3FEF5FE4"/>
    <w:rsid w:val="3FF34101"/>
    <w:rsid w:val="3FFC0C43"/>
    <w:rsid w:val="40010DA8"/>
    <w:rsid w:val="40130AB9"/>
    <w:rsid w:val="401C527C"/>
    <w:rsid w:val="401E24FE"/>
    <w:rsid w:val="402A073C"/>
    <w:rsid w:val="402A405C"/>
    <w:rsid w:val="40366D92"/>
    <w:rsid w:val="404A4B00"/>
    <w:rsid w:val="40541512"/>
    <w:rsid w:val="405B69B7"/>
    <w:rsid w:val="406225E0"/>
    <w:rsid w:val="406A07A5"/>
    <w:rsid w:val="407435D3"/>
    <w:rsid w:val="407B46EF"/>
    <w:rsid w:val="407B7720"/>
    <w:rsid w:val="40986F7A"/>
    <w:rsid w:val="40A57F06"/>
    <w:rsid w:val="40A86BF9"/>
    <w:rsid w:val="40CB1D2F"/>
    <w:rsid w:val="40D9702B"/>
    <w:rsid w:val="40DE16DE"/>
    <w:rsid w:val="40F036ED"/>
    <w:rsid w:val="40F2481C"/>
    <w:rsid w:val="40F31DB4"/>
    <w:rsid w:val="40F70084"/>
    <w:rsid w:val="40FC556D"/>
    <w:rsid w:val="410E63CA"/>
    <w:rsid w:val="411879D0"/>
    <w:rsid w:val="411C5801"/>
    <w:rsid w:val="412F3AFF"/>
    <w:rsid w:val="412F4602"/>
    <w:rsid w:val="412F5C87"/>
    <w:rsid w:val="413167F0"/>
    <w:rsid w:val="41367747"/>
    <w:rsid w:val="41413401"/>
    <w:rsid w:val="41422405"/>
    <w:rsid w:val="414C0EAA"/>
    <w:rsid w:val="414E0B3E"/>
    <w:rsid w:val="414F6FF2"/>
    <w:rsid w:val="4153045F"/>
    <w:rsid w:val="41546154"/>
    <w:rsid w:val="41572F62"/>
    <w:rsid w:val="415B40DB"/>
    <w:rsid w:val="4160648B"/>
    <w:rsid w:val="41612A11"/>
    <w:rsid w:val="416A659E"/>
    <w:rsid w:val="416E52D2"/>
    <w:rsid w:val="417A4050"/>
    <w:rsid w:val="417F6B37"/>
    <w:rsid w:val="41834EAD"/>
    <w:rsid w:val="419F7587"/>
    <w:rsid w:val="41AC5BFD"/>
    <w:rsid w:val="41B24D0C"/>
    <w:rsid w:val="41B62584"/>
    <w:rsid w:val="41BD7C6A"/>
    <w:rsid w:val="41DA46A9"/>
    <w:rsid w:val="41DC6E65"/>
    <w:rsid w:val="41E21A59"/>
    <w:rsid w:val="41E32E1B"/>
    <w:rsid w:val="41E52704"/>
    <w:rsid w:val="41EB3A2C"/>
    <w:rsid w:val="41EE4E31"/>
    <w:rsid w:val="41F03646"/>
    <w:rsid w:val="41F13142"/>
    <w:rsid w:val="41F43008"/>
    <w:rsid w:val="4209746C"/>
    <w:rsid w:val="420F1061"/>
    <w:rsid w:val="421319BB"/>
    <w:rsid w:val="4217286E"/>
    <w:rsid w:val="421D13C7"/>
    <w:rsid w:val="421E3260"/>
    <w:rsid w:val="42392B6D"/>
    <w:rsid w:val="423C17F5"/>
    <w:rsid w:val="424A7C49"/>
    <w:rsid w:val="424B7D79"/>
    <w:rsid w:val="42682B55"/>
    <w:rsid w:val="42687C4C"/>
    <w:rsid w:val="426C0E01"/>
    <w:rsid w:val="426D3625"/>
    <w:rsid w:val="42763B2F"/>
    <w:rsid w:val="427F01E0"/>
    <w:rsid w:val="42962F4C"/>
    <w:rsid w:val="429A03F4"/>
    <w:rsid w:val="42A47574"/>
    <w:rsid w:val="42A5183F"/>
    <w:rsid w:val="42A94991"/>
    <w:rsid w:val="42AC7708"/>
    <w:rsid w:val="42AE426E"/>
    <w:rsid w:val="42B55834"/>
    <w:rsid w:val="42C20EF5"/>
    <w:rsid w:val="42C24E97"/>
    <w:rsid w:val="42C953BF"/>
    <w:rsid w:val="42CB5598"/>
    <w:rsid w:val="42CC3676"/>
    <w:rsid w:val="42DC7894"/>
    <w:rsid w:val="42DD12B8"/>
    <w:rsid w:val="42E7080D"/>
    <w:rsid w:val="42EF1ECA"/>
    <w:rsid w:val="42F1358E"/>
    <w:rsid w:val="42F44D74"/>
    <w:rsid w:val="42F93A0F"/>
    <w:rsid w:val="42FA2C71"/>
    <w:rsid w:val="43001F84"/>
    <w:rsid w:val="43043A39"/>
    <w:rsid w:val="431A7B55"/>
    <w:rsid w:val="432951F6"/>
    <w:rsid w:val="432B3B3F"/>
    <w:rsid w:val="43401E67"/>
    <w:rsid w:val="434206D5"/>
    <w:rsid w:val="43627F42"/>
    <w:rsid w:val="43631EF9"/>
    <w:rsid w:val="4363310A"/>
    <w:rsid w:val="436B21D8"/>
    <w:rsid w:val="436B341D"/>
    <w:rsid w:val="437A5975"/>
    <w:rsid w:val="438A0835"/>
    <w:rsid w:val="438B52E0"/>
    <w:rsid w:val="43916981"/>
    <w:rsid w:val="439C45A4"/>
    <w:rsid w:val="43B901A7"/>
    <w:rsid w:val="43BC7EBD"/>
    <w:rsid w:val="43C64ECB"/>
    <w:rsid w:val="43CA332A"/>
    <w:rsid w:val="43CB0869"/>
    <w:rsid w:val="43D00944"/>
    <w:rsid w:val="43D25F89"/>
    <w:rsid w:val="43DD4C04"/>
    <w:rsid w:val="43E37A0E"/>
    <w:rsid w:val="43E75AC5"/>
    <w:rsid w:val="43F41C3D"/>
    <w:rsid w:val="43F44980"/>
    <w:rsid w:val="43F60B10"/>
    <w:rsid w:val="43FB6C70"/>
    <w:rsid w:val="44040CCC"/>
    <w:rsid w:val="440E51B7"/>
    <w:rsid w:val="441373B9"/>
    <w:rsid w:val="4417428C"/>
    <w:rsid w:val="4419668D"/>
    <w:rsid w:val="442E6DCD"/>
    <w:rsid w:val="443F168F"/>
    <w:rsid w:val="44416A28"/>
    <w:rsid w:val="445A16E7"/>
    <w:rsid w:val="44695A64"/>
    <w:rsid w:val="446A1F2B"/>
    <w:rsid w:val="446B2A97"/>
    <w:rsid w:val="44785348"/>
    <w:rsid w:val="44883E1A"/>
    <w:rsid w:val="448D112C"/>
    <w:rsid w:val="4494718F"/>
    <w:rsid w:val="44B37920"/>
    <w:rsid w:val="44B81C74"/>
    <w:rsid w:val="44C412E0"/>
    <w:rsid w:val="44C6239C"/>
    <w:rsid w:val="44C90E74"/>
    <w:rsid w:val="44CD7B5D"/>
    <w:rsid w:val="44D242F0"/>
    <w:rsid w:val="44E25EC8"/>
    <w:rsid w:val="44ED1AB7"/>
    <w:rsid w:val="44EF5927"/>
    <w:rsid w:val="44F1176D"/>
    <w:rsid w:val="44F33246"/>
    <w:rsid w:val="450A5E13"/>
    <w:rsid w:val="451262FD"/>
    <w:rsid w:val="4516721D"/>
    <w:rsid w:val="45194E52"/>
    <w:rsid w:val="451C6E79"/>
    <w:rsid w:val="451D4342"/>
    <w:rsid w:val="451D691D"/>
    <w:rsid w:val="451D6BCE"/>
    <w:rsid w:val="452766AE"/>
    <w:rsid w:val="452B1D79"/>
    <w:rsid w:val="4538439A"/>
    <w:rsid w:val="453C6751"/>
    <w:rsid w:val="4541256D"/>
    <w:rsid w:val="45554DA6"/>
    <w:rsid w:val="45591BF3"/>
    <w:rsid w:val="455F4AC8"/>
    <w:rsid w:val="456C373B"/>
    <w:rsid w:val="456D33B0"/>
    <w:rsid w:val="45746190"/>
    <w:rsid w:val="457A6482"/>
    <w:rsid w:val="45805174"/>
    <w:rsid w:val="45812E66"/>
    <w:rsid w:val="4583686C"/>
    <w:rsid w:val="45845D76"/>
    <w:rsid w:val="458B3FE8"/>
    <w:rsid w:val="459643F7"/>
    <w:rsid w:val="459A7348"/>
    <w:rsid w:val="459F53F5"/>
    <w:rsid w:val="45AC2415"/>
    <w:rsid w:val="45AC7BA2"/>
    <w:rsid w:val="45B413A4"/>
    <w:rsid w:val="45BA740D"/>
    <w:rsid w:val="45BE5366"/>
    <w:rsid w:val="45C72682"/>
    <w:rsid w:val="45CD5527"/>
    <w:rsid w:val="45CE42DE"/>
    <w:rsid w:val="45D87BEF"/>
    <w:rsid w:val="45E657C3"/>
    <w:rsid w:val="45F25875"/>
    <w:rsid w:val="45F32D90"/>
    <w:rsid w:val="45F864BD"/>
    <w:rsid w:val="45FA0300"/>
    <w:rsid w:val="45FF0F3E"/>
    <w:rsid w:val="45FF17EF"/>
    <w:rsid w:val="460075EB"/>
    <w:rsid w:val="46035A57"/>
    <w:rsid w:val="460B47C4"/>
    <w:rsid w:val="462264EF"/>
    <w:rsid w:val="463246FD"/>
    <w:rsid w:val="46371A60"/>
    <w:rsid w:val="464014DD"/>
    <w:rsid w:val="46495061"/>
    <w:rsid w:val="4649770B"/>
    <w:rsid w:val="464A6A97"/>
    <w:rsid w:val="464C72CE"/>
    <w:rsid w:val="46521EE5"/>
    <w:rsid w:val="46525093"/>
    <w:rsid w:val="4661125D"/>
    <w:rsid w:val="468269BA"/>
    <w:rsid w:val="46861B61"/>
    <w:rsid w:val="46891BFD"/>
    <w:rsid w:val="46902F03"/>
    <w:rsid w:val="46966495"/>
    <w:rsid w:val="46975376"/>
    <w:rsid w:val="469E5829"/>
    <w:rsid w:val="46A132A1"/>
    <w:rsid w:val="46AF5785"/>
    <w:rsid w:val="46B00BEB"/>
    <w:rsid w:val="46B017DC"/>
    <w:rsid w:val="46B11DA1"/>
    <w:rsid w:val="46B3719C"/>
    <w:rsid w:val="46C7595A"/>
    <w:rsid w:val="46CA3EAC"/>
    <w:rsid w:val="46CD108A"/>
    <w:rsid w:val="46CF2B8E"/>
    <w:rsid w:val="46D039A6"/>
    <w:rsid w:val="46D1570C"/>
    <w:rsid w:val="46D835E4"/>
    <w:rsid w:val="46DD13C5"/>
    <w:rsid w:val="46E90864"/>
    <w:rsid w:val="46F3301E"/>
    <w:rsid w:val="46F35F18"/>
    <w:rsid w:val="46F61C13"/>
    <w:rsid w:val="46FA6CB1"/>
    <w:rsid w:val="470A7C30"/>
    <w:rsid w:val="47141380"/>
    <w:rsid w:val="471472EB"/>
    <w:rsid w:val="47177045"/>
    <w:rsid w:val="472D330E"/>
    <w:rsid w:val="474110AE"/>
    <w:rsid w:val="474430FA"/>
    <w:rsid w:val="474D4F88"/>
    <w:rsid w:val="475340F0"/>
    <w:rsid w:val="47562583"/>
    <w:rsid w:val="475C53EC"/>
    <w:rsid w:val="47837970"/>
    <w:rsid w:val="47845F6A"/>
    <w:rsid w:val="478522B7"/>
    <w:rsid w:val="47A76B68"/>
    <w:rsid w:val="47B47089"/>
    <w:rsid w:val="47B54119"/>
    <w:rsid w:val="47BE55D3"/>
    <w:rsid w:val="47D536AA"/>
    <w:rsid w:val="47D559FD"/>
    <w:rsid w:val="47DB1730"/>
    <w:rsid w:val="47DB22FE"/>
    <w:rsid w:val="47DF492E"/>
    <w:rsid w:val="47E7533C"/>
    <w:rsid w:val="47F55F20"/>
    <w:rsid w:val="47FC24A8"/>
    <w:rsid w:val="48045892"/>
    <w:rsid w:val="480C7137"/>
    <w:rsid w:val="4810371F"/>
    <w:rsid w:val="4814777E"/>
    <w:rsid w:val="481E346C"/>
    <w:rsid w:val="482F2574"/>
    <w:rsid w:val="483D36B2"/>
    <w:rsid w:val="484A37E9"/>
    <w:rsid w:val="485C6BBC"/>
    <w:rsid w:val="485D6CD3"/>
    <w:rsid w:val="48613C9F"/>
    <w:rsid w:val="48642C1F"/>
    <w:rsid w:val="486432FB"/>
    <w:rsid w:val="4871207B"/>
    <w:rsid w:val="48751272"/>
    <w:rsid w:val="48780CF1"/>
    <w:rsid w:val="488324B7"/>
    <w:rsid w:val="488E4989"/>
    <w:rsid w:val="488F47FC"/>
    <w:rsid w:val="48905215"/>
    <w:rsid w:val="48947D88"/>
    <w:rsid w:val="48952D8E"/>
    <w:rsid w:val="489768B9"/>
    <w:rsid w:val="48990266"/>
    <w:rsid w:val="489B64E0"/>
    <w:rsid w:val="48A05398"/>
    <w:rsid w:val="48A55824"/>
    <w:rsid w:val="48AA47E4"/>
    <w:rsid w:val="48AD0D6E"/>
    <w:rsid w:val="48AF0222"/>
    <w:rsid w:val="48B118D1"/>
    <w:rsid w:val="48C32F97"/>
    <w:rsid w:val="48C82506"/>
    <w:rsid w:val="48D34DBE"/>
    <w:rsid w:val="48D42328"/>
    <w:rsid w:val="48DF2E1E"/>
    <w:rsid w:val="48E85F04"/>
    <w:rsid w:val="48EB6147"/>
    <w:rsid w:val="48EF4857"/>
    <w:rsid w:val="48F053BB"/>
    <w:rsid w:val="48F3112A"/>
    <w:rsid w:val="48F90735"/>
    <w:rsid w:val="49042FB8"/>
    <w:rsid w:val="490F71F1"/>
    <w:rsid w:val="491E1F88"/>
    <w:rsid w:val="492A51F8"/>
    <w:rsid w:val="492D76E6"/>
    <w:rsid w:val="49307255"/>
    <w:rsid w:val="49313764"/>
    <w:rsid w:val="4933374B"/>
    <w:rsid w:val="493957EA"/>
    <w:rsid w:val="493A0A08"/>
    <w:rsid w:val="494224B8"/>
    <w:rsid w:val="494275AE"/>
    <w:rsid w:val="494707A3"/>
    <w:rsid w:val="49485C35"/>
    <w:rsid w:val="495D3DC1"/>
    <w:rsid w:val="49617F11"/>
    <w:rsid w:val="49627A95"/>
    <w:rsid w:val="496B39E2"/>
    <w:rsid w:val="49721D88"/>
    <w:rsid w:val="497929CF"/>
    <w:rsid w:val="497C0DC1"/>
    <w:rsid w:val="497E39DE"/>
    <w:rsid w:val="497E4960"/>
    <w:rsid w:val="49856A68"/>
    <w:rsid w:val="49870AFA"/>
    <w:rsid w:val="49891DB7"/>
    <w:rsid w:val="498A3DFA"/>
    <w:rsid w:val="499450B3"/>
    <w:rsid w:val="4994719C"/>
    <w:rsid w:val="49964DD5"/>
    <w:rsid w:val="49994538"/>
    <w:rsid w:val="49994B15"/>
    <w:rsid w:val="499969AB"/>
    <w:rsid w:val="49A26F46"/>
    <w:rsid w:val="49A51C8E"/>
    <w:rsid w:val="49A71AE5"/>
    <w:rsid w:val="49A94277"/>
    <w:rsid w:val="49AF1190"/>
    <w:rsid w:val="49B44777"/>
    <w:rsid w:val="49BA19D7"/>
    <w:rsid w:val="49BB114E"/>
    <w:rsid w:val="49BC645D"/>
    <w:rsid w:val="49C9661F"/>
    <w:rsid w:val="49D071F1"/>
    <w:rsid w:val="49D71A3A"/>
    <w:rsid w:val="49DB050B"/>
    <w:rsid w:val="49DD728F"/>
    <w:rsid w:val="49E62680"/>
    <w:rsid w:val="49E72BDC"/>
    <w:rsid w:val="49EA7937"/>
    <w:rsid w:val="49F028E0"/>
    <w:rsid w:val="49F43609"/>
    <w:rsid w:val="49FB25F1"/>
    <w:rsid w:val="4A065FDF"/>
    <w:rsid w:val="4A0B14BE"/>
    <w:rsid w:val="4A0B3E80"/>
    <w:rsid w:val="4A0C125A"/>
    <w:rsid w:val="4A0E15C8"/>
    <w:rsid w:val="4A10048D"/>
    <w:rsid w:val="4A1D0F7A"/>
    <w:rsid w:val="4A1E2952"/>
    <w:rsid w:val="4A2234C7"/>
    <w:rsid w:val="4A2B42BD"/>
    <w:rsid w:val="4A2B5503"/>
    <w:rsid w:val="4A2E2790"/>
    <w:rsid w:val="4A3A5F22"/>
    <w:rsid w:val="4A480433"/>
    <w:rsid w:val="4A4D3C6C"/>
    <w:rsid w:val="4A6253CB"/>
    <w:rsid w:val="4A6927CE"/>
    <w:rsid w:val="4A7D1D31"/>
    <w:rsid w:val="4A847C04"/>
    <w:rsid w:val="4A865E58"/>
    <w:rsid w:val="4A9E31C7"/>
    <w:rsid w:val="4AAD74CC"/>
    <w:rsid w:val="4ABA375D"/>
    <w:rsid w:val="4AC25DDB"/>
    <w:rsid w:val="4AC86E3C"/>
    <w:rsid w:val="4AD0632C"/>
    <w:rsid w:val="4ADB024C"/>
    <w:rsid w:val="4ADF4A04"/>
    <w:rsid w:val="4AE05C37"/>
    <w:rsid w:val="4AE87EF3"/>
    <w:rsid w:val="4AFF57A0"/>
    <w:rsid w:val="4B0222FB"/>
    <w:rsid w:val="4B070135"/>
    <w:rsid w:val="4B0F34C3"/>
    <w:rsid w:val="4B1576F3"/>
    <w:rsid w:val="4B2731A5"/>
    <w:rsid w:val="4B360CA0"/>
    <w:rsid w:val="4B3E7214"/>
    <w:rsid w:val="4B465D0E"/>
    <w:rsid w:val="4B500FBC"/>
    <w:rsid w:val="4B51247A"/>
    <w:rsid w:val="4B553168"/>
    <w:rsid w:val="4B644B6E"/>
    <w:rsid w:val="4B6A4E3B"/>
    <w:rsid w:val="4B7052C7"/>
    <w:rsid w:val="4B733C5D"/>
    <w:rsid w:val="4B766759"/>
    <w:rsid w:val="4B7C3483"/>
    <w:rsid w:val="4B893B8A"/>
    <w:rsid w:val="4B8A766E"/>
    <w:rsid w:val="4B9C0FA4"/>
    <w:rsid w:val="4BBC7F50"/>
    <w:rsid w:val="4BC17D85"/>
    <w:rsid w:val="4BC31389"/>
    <w:rsid w:val="4BD22EDF"/>
    <w:rsid w:val="4BD42EDC"/>
    <w:rsid w:val="4BE3154E"/>
    <w:rsid w:val="4BE61D31"/>
    <w:rsid w:val="4BEC3947"/>
    <w:rsid w:val="4BFA060C"/>
    <w:rsid w:val="4C01015B"/>
    <w:rsid w:val="4C0479CE"/>
    <w:rsid w:val="4C176BC6"/>
    <w:rsid w:val="4C1B1631"/>
    <w:rsid w:val="4C1B5304"/>
    <w:rsid w:val="4C1B72E7"/>
    <w:rsid w:val="4C1C1F65"/>
    <w:rsid w:val="4C22424A"/>
    <w:rsid w:val="4C2B166D"/>
    <w:rsid w:val="4C2D2E4F"/>
    <w:rsid w:val="4C2D72A5"/>
    <w:rsid w:val="4C2E589B"/>
    <w:rsid w:val="4C350015"/>
    <w:rsid w:val="4C375EA1"/>
    <w:rsid w:val="4C3C7C87"/>
    <w:rsid w:val="4C424792"/>
    <w:rsid w:val="4C504585"/>
    <w:rsid w:val="4C566AB8"/>
    <w:rsid w:val="4C577AB7"/>
    <w:rsid w:val="4C5904D7"/>
    <w:rsid w:val="4C6C3DA3"/>
    <w:rsid w:val="4C7154D0"/>
    <w:rsid w:val="4C790F23"/>
    <w:rsid w:val="4C7925D2"/>
    <w:rsid w:val="4C8245B0"/>
    <w:rsid w:val="4C8347F8"/>
    <w:rsid w:val="4C863110"/>
    <w:rsid w:val="4C8D1F8F"/>
    <w:rsid w:val="4CA36DF1"/>
    <w:rsid w:val="4CAE0D95"/>
    <w:rsid w:val="4CBA06D4"/>
    <w:rsid w:val="4CBA10CB"/>
    <w:rsid w:val="4CC12BE0"/>
    <w:rsid w:val="4CCA1913"/>
    <w:rsid w:val="4CD45F49"/>
    <w:rsid w:val="4CDA60FF"/>
    <w:rsid w:val="4CEA5424"/>
    <w:rsid w:val="4CEC3C0A"/>
    <w:rsid w:val="4CEE4CBB"/>
    <w:rsid w:val="4CF02834"/>
    <w:rsid w:val="4CF527BF"/>
    <w:rsid w:val="4CF7206F"/>
    <w:rsid w:val="4D000B99"/>
    <w:rsid w:val="4D070D9A"/>
    <w:rsid w:val="4D076CF6"/>
    <w:rsid w:val="4D106337"/>
    <w:rsid w:val="4D111596"/>
    <w:rsid w:val="4D1332A6"/>
    <w:rsid w:val="4D16248A"/>
    <w:rsid w:val="4D2772AE"/>
    <w:rsid w:val="4D317C62"/>
    <w:rsid w:val="4D3D2579"/>
    <w:rsid w:val="4D4E7D77"/>
    <w:rsid w:val="4D5A7C22"/>
    <w:rsid w:val="4D5C74F5"/>
    <w:rsid w:val="4D632858"/>
    <w:rsid w:val="4D6412B2"/>
    <w:rsid w:val="4D646D2F"/>
    <w:rsid w:val="4D6C0EFF"/>
    <w:rsid w:val="4D7D11B1"/>
    <w:rsid w:val="4D833718"/>
    <w:rsid w:val="4D852A7F"/>
    <w:rsid w:val="4D86234D"/>
    <w:rsid w:val="4D89150A"/>
    <w:rsid w:val="4D896AAB"/>
    <w:rsid w:val="4D8B25FA"/>
    <w:rsid w:val="4D941C0B"/>
    <w:rsid w:val="4DA36B48"/>
    <w:rsid w:val="4DA611C9"/>
    <w:rsid w:val="4DA61737"/>
    <w:rsid w:val="4DAA2F1E"/>
    <w:rsid w:val="4DAC4A4D"/>
    <w:rsid w:val="4DAD45AB"/>
    <w:rsid w:val="4DBB5F38"/>
    <w:rsid w:val="4DC4607F"/>
    <w:rsid w:val="4DC80C04"/>
    <w:rsid w:val="4DD42F7A"/>
    <w:rsid w:val="4DDA5AB5"/>
    <w:rsid w:val="4DDC1174"/>
    <w:rsid w:val="4DDC5F80"/>
    <w:rsid w:val="4DE244DC"/>
    <w:rsid w:val="4DED3507"/>
    <w:rsid w:val="4DED59D8"/>
    <w:rsid w:val="4DEE0BA6"/>
    <w:rsid w:val="4DF3379E"/>
    <w:rsid w:val="4E017AF8"/>
    <w:rsid w:val="4E036D53"/>
    <w:rsid w:val="4E053E33"/>
    <w:rsid w:val="4E0F3079"/>
    <w:rsid w:val="4E137F97"/>
    <w:rsid w:val="4E155F51"/>
    <w:rsid w:val="4E161CDB"/>
    <w:rsid w:val="4E2719DE"/>
    <w:rsid w:val="4E274868"/>
    <w:rsid w:val="4E293BFF"/>
    <w:rsid w:val="4E317A5B"/>
    <w:rsid w:val="4E32646C"/>
    <w:rsid w:val="4E3C091D"/>
    <w:rsid w:val="4E417944"/>
    <w:rsid w:val="4E4361B3"/>
    <w:rsid w:val="4E4C3DFB"/>
    <w:rsid w:val="4E4E5217"/>
    <w:rsid w:val="4E4F5C66"/>
    <w:rsid w:val="4E56224C"/>
    <w:rsid w:val="4E6661C9"/>
    <w:rsid w:val="4E67415E"/>
    <w:rsid w:val="4E69167C"/>
    <w:rsid w:val="4E7439DF"/>
    <w:rsid w:val="4E7A05C3"/>
    <w:rsid w:val="4E850A83"/>
    <w:rsid w:val="4E864833"/>
    <w:rsid w:val="4E89095B"/>
    <w:rsid w:val="4E8E7512"/>
    <w:rsid w:val="4E8F722D"/>
    <w:rsid w:val="4EA932FE"/>
    <w:rsid w:val="4EAC78C0"/>
    <w:rsid w:val="4EAD02DF"/>
    <w:rsid w:val="4EAE0C37"/>
    <w:rsid w:val="4EAE4D4D"/>
    <w:rsid w:val="4EB46637"/>
    <w:rsid w:val="4EBE7FEA"/>
    <w:rsid w:val="4EC1332E"/>
    <w:rsid w:val="4EC2456A"/>
    <w:rsid w:val="4EC81BF7"/>
    <w:rsid w:val="4EC847BA"/>
    <w:rsid w:val="4EE03590"/>
    <w:rsid w:val="4EE450CC"/>
    <w:rsid w:val="4EE67D8A"/>
    <w:rsid w:val="4EEC0D10"/>
    <w:rsid w:val="4EFB1846"/>
    <w:rsid w:val="4EFC3CE7"/>
    <w:rsid w:val="4F0024E4"/>
    <w:rsid w:val="4F01550E"/>
    <w:rsid w:val="4F071A2A"/>
    <w:rsid w:val="4F2D7545"/>
    <w:rsid w:val="4F3019E1"/>
    <w:rsid w:val="4F4C3DD2"/>
    <w:rsid w:val="4F541BD1"/>
    <w:rsid w:val="4F671B40"/>
    <w:rsid w:val="4F732E08"/>
    <w:rsid w:val="4F755ABA"/>
    <w:rsid w:val="4F7D7B6F"/>
    <w:rsid w:val="4F88708C"/>
    <w:rsid w:val="4F9471C8"/>
    <w:rsid w:val="4F9C59BD"/>
    <w:rsid w:val="4FA554D0"/>
    <w:rsid w:val="4FB50C3D"/>
    <w:rsid w:val="4FB70C9E"/>
    <w:rsid w:val="4FBC6C28"/>
    <w:rsid w:val="4FC2174E"/>
    <w:rsid w:val="4FC95D22"/>
    <w:rsid w:val="4FC96BDD"/>
    <w:rsid w:val="4FD84FFC"/>
    <w:rsid w:val="4FEE56C6"/>
    <w:rsid w:val="4FEF62BA"/>
    <w:rsid w:val="4FF223AF"/>
    <w:rsid w:val="4FF3250C"/>
    <w:rsid w:val="4FF4635F"/>
    <w:rsid w:val="4FF52176"/>
    <w:rsid w:val="4FFF3ACF"/>
    <w:rsid w:val="50014F85"/>
    <w:rsid w:val="500801EE"/>
    <w:rsid w:val="501577E6"/>
    <w:rsid w:val="501B12FA"/>
    <w:rsid w:val="502A3FE7"/>
    <w:rsid w:val="50437F47"/>
    <w:rsid w:val="504E0A1C"/>
    <w:rsid w:val="504F5E58"/>
    <w:rsid w:val="5050366A"/>
    <w:rsid w:val="50524B42"/>
    <w:rsid w:val="505F6968"/>
    <w:rsid w:val="50674DF4"/>
    <w:rsid w:val="506812DC"/>
    <w:rsid w:val="507546FB"/>
    <w:rsid w:val="5087340C"/>
    <w:rsid w:val="50945719"/>
    <w:rsid w:val="50957357"/>
    <w:rsid w:val="50985A88"/>
    <w:rsid w:val="509C6BA1"/>
    <w:rsid w:val="509D641C"/>
    <w:rsid w:val="50A0282F"/>
    <w:rsid w:val="50A33D09"/>
    <w:rsid w:val="50A77B3B"/>
    <w:rsid w:val="50A97965"/>
    <w:rsid w:val="50B131BD"/>
    <w:rsid w:val="50B8301B"/>
    <w:rsid w:val="50CC0E90"/>
    <w:rsid w:val="50CD0B1D"/>
    <w:rsid w:val="50DC2512"/>
    <w:rsid w:val="50DE4D41"/>
    <w:rsid w:val="50E47B0A"/>
    <w:rsid w:val="50ED166F"/>
    <w:rsid w:val="50F12DEB"/>
    <w:rsid w:val="50F24353"/>
    <w:rsid w:val="50FA1F48"/>
    <w:rsid w:val="50FB0C27"/>
    <w:rsid w:val="50FF230B"/>
    <w:rsid w:val="51082401"/>
    <w:rsid w:val="510B0A7B"/>
    <w:rsid w:val="510B1E42"/>
    <w:rsid w:val="510D415F"/>
    <w:rsid w:val="5116134F"/>
    <w:rsid w:val="5118245E"/>
    <w:rsid w:val="51191774"/>
    <w:rsid w:val="511E0724"/>
    <w:rsid w:val="512013C3"/>
    <w:rsid w:val="51220351"/>
    <w:rsid w:val="51224F3F"/>
    <w:rsid w:val="51296729"/>
    <w:rsid w:val="512970B2"/>
    <w:rsid w:val="51323A6D"/>
    <w:rsid w:val="513736F6"/>
    <w:rsid w:val="514D7F52"/>
    <w:rsid w:val="51515572"/>
    <w:rsid w:val="5157778E"/>
    <w:rsid w:val="5158272B"/>
    <w:rsid w:val="516F0D9A"/>
    <w:rsid w:val="51832318"/>
    <w:rsid w:val="518971ED"/>
    <w:rsid w:val="51967504"/>
    <w:rsid w:val="51A100F9"/>
    <w:rsid w:val="51A134CC"/>
    <w:rsid w:val="51B10993"/>
    <w:rsid w:val="51B31CDE"/>
    <w:rsid w:val="51B5657C"/>
    <w:rsid w:val="51B97320"/>
    <w:rsid w:val="51CB2862"/>
    <w:rsid w:val="51D35AC5"/>
    <w:rsid w:val="51DF5EE2"/>
    <w:rsid w:val="51E10EC5"/>
    <w:rsid w:val="51E11A88"/>
    <w:rsid w:val="51E4639C"/>
    <w:rsid w:val="51FE1EB4"/>
    <w:rsid w:val="520157DD"/>
    <w:rsid w:val="52042995"/>
    <w:rsid w:val="52087915"/>
    <w:rsid w:val="520F474A"/>
    <w:rsid w:val="521366A5"/>
    <w:rsid w:val="521427E5"/>
    <w:rsid w:val="52153D05"/>
    <w:rsid w:val="52203C7C"/>
    <w:rsid w:val="52204E3C"/>
    <w:rsid w:val="522119F4"/>
    <w:rsid w:val="5222456F"/>
    <w:rsid w:val="522409F1"/>
    <w:rsid w:val="523E0171"/>
    <w:rsid w:val="52443F13"/>
    <w:rsid w:val="52465F54"/>
    <w:rsid w:val="52527F91"/>
    <w:rsid w:val="5255718B"/>
    <w:rsid w:val="52624237"/>
    <w:rsid w:val="52626852"/>
    <w:rsid w:val="52647786"/>
    <w:rsid w:val="52660409"/>
    <w:rsid w:val="52691CEF"/>
    <w:rsid w:val="527A116F"/>
    <w:rsid w:val="52826223"/>
    <w:rsid w:val="52833F88"/>
    <w:rsid w:val="528D054C"/>
    <w:rsid w:val="5291550A"/>
    <w:rsid w:val="529156DF"/>
    <w:rsid w:val="529A1137"/>
    <w:rsid w:val="52A622E2"/>
    <w:rsid w:val="52AC685B"/>
    <w:rsid w:val="52B1645E"/>
    <w:rsid w:val="52C418D2"/>
    <w:rsid w:val="52C41EA5"/>
    <w:rsid w:val="52C45067"/>
    <w:rsid w:val="52C836EB"/>
    <w:rsid w:val="52D16561"/>
    <w:rsid w:val="52D9769B"/>
    <w:rsid w:val="52DB3C85"/>
    <w:rsid w:val="52DE7FEB"/>
    <w:rsid w:val="52E129E7"/>
    <w:rsid w:val="52E701B7"/>
    <w:rsid w:val="52E82EC3"/>
    <w:rsid w:val="52EE34B2"/>
    <w:rsid w:val="52FB1613"/>
    <w:rsid w:val="53084914"/>
    <w:rsid w:val="532B1F08"/>
    <w:rsid w:val="533C5A79"/>
    <w:rsid w:val="53455292"/>
    <w:rsid w:val="53461A42"/>
    <w:rsid w:val="53461D72"/>
    <w:rsid w:val="53483DF3"/>
    <w:rsid w:val="53485467"/>
    <w:rsid w:val="534F794F"/>
    <w:rsid w:val="53502C2C"/>
    <w:rsid w:val="53621C23"/>
    <w:rsid w:val="53653D3E"/>
    <w:rsid w:val="536900F0"/>
    <w:rsid w:val="536D1C35"/>
    <w:rsid w:val="53750EF7"/>
    <w:rsid w:val="5390208E"/>
    <w:rsid w:val="53917015"/>
    <w:rsid w:val="539B1075"/>
    <w:rsid w:val="53A37B0D"/>
    <w:rsid w:val="53A86CFC"/>
    <w:rsid w:val="53AC17E0"/>
    <w:rsid w:val="53AC42AC"/>
    <w:rsid w:val="53B275F6"/>
    <w:rsid w:val="53B612F2"/>
    <w:rsid w:val="53B724AF"/>
    <w:rsid w:val="53BC1D1A"/>
    <w:rsid w:val="53BC7D8A"/>
    <w:rsid w:val="53C3550A"/>
    <w:rsid w:val="53CF4463"/>
    <w:rsid w:val="53D75012"/>
    <w:rsid w:val="53DB0468"/>
    <w:rsid w:val="53F342C8"/>
    <w:rsid w:val="53F84C14"/>
    <w:rsid w:val="53FB3F6A"/>
    <w:rsid w:val="54045D31"/>
    <w:rsid w:val="540817BB"/>
    <w:rsid w:val="540E41E7"/>
    <w:rsid w:val="54106CA6"/>
    <w:rsid w:val="54123EA6"/>
    <w:rsid w:val="541F126E"/>
    <w:rsid w:val="54230505"/>
    <w:rsid w:val="542B7D85"/>
    <w:rsid w:val="543512B2"/>
    <w:rsid w:val="5438056D"/>
    <w:rsid w:val="543D38C7"/>
    <w:rsid w:val="544B19FF"/>
    <w:rsid w:val="544B51E5"/>
    <w:rsid w:val="544C3429"/>
    <w:rsid w:val="54523A54"/>
    <w:rsid w:val="54545D5F"/>
    <w:rsid w:val="5456436D"/>
    <w:rsid w:val="546537C4"/>
    <w:rsid w:val="54667494"/>
    <w:rsid w:val="547D04CD"/>
    <w:rsid w:val="5491674B"/>
    <w:rsid w:val="54A4171E"/>
    <w:rsid w:val="54A57BB3"/>
    <w:rsid w:val="54B906EA"/>
    <w:rsid w:val="54BF419A"/>
    <w:rsid w:val="54C96C6D"/>
    <w:rsid w:val="54CD26B0"/>
    <w:rsid w:val="54E10573"/>
    <w:rsid w:val="54E90C9C"/>
    <w:rsid w:val="54F43B90"/>
    <w:rsid w:val="55066F08"/>
    <w:rsid w:val="5507381A"/>
    <w:rsid w:val="550E01BD"/>
    <w:rsid w:val="551415E2"/>
    <w:rsid w:val="551A6C6B"/>
    <w:rsid w:val="55235E30"/>
    <w:rsid w:val="55432EB8"/>
    <w:rsid w:val="55463F5B"/>
    <w:rsid w:val="55475B0D"/>
    <w:rsid w:val="5548157C"/>
    <w:rsid w:val="554863B8"/>
    <w:rsid w:val="5555770C"/>
    <w:rsid w:val="55560268"/>
    <w:rsid w:val="55661533"/>
    <w:rsid w:val="556F5E1A"/>
    <w:rsid w:val="55741056"/>
    <w:rsid w:val="55791361"/>
    <w:rsid w:val="557B6B2B"/>
    <w:rsid w:val="558351D1"/>
    <w:rsid w:val="55877DF9"/>
    <w:rsid w:val="558A4132"/>
    <w:rsid w:val="559A366B"/>
    <w:rsid w:val="559F173A"/>
    <w:rsid w:val="55AC2A2D"/>
    <w:rsid w:val="55B0300F"/>
    <w:rsid w:val="55B10E0C"/>
    <w:rsid w:val="55B62D99"/>
    <w:rsid w:val="55BD63A9"/>
    <w:rsid w:val="55C946A6"/>
    <w:rsid w:val="55CB06E3"/>
    <w:rsid w:val="55CC0B49"/>
    <w:rsid w:val="55D53A3D"/>
    <w:rsid w:val="55D66F30"/>
    <w:rsid w:val="55D8703F"/>
    <w:rsid w:val="55DA611C"/>
    <w:rsid w:val="55E15A70"/>
    <w:rsid w:val="55F93187"/>
    <w:rsid w:val="560D181B"/>
    <w:rsid w:val="561815A2"/>
    <w:rsid w:val="561977E3"/>
    <w:rsid w:val="5630661A"/>
    <w:rsid w:val="563B18C7"/>
    <w:rsid w:val="56494199"/>
    <w:rsid w:val="56581D07"/>
    <w:rsid w:val="565E398E"/>
    <w:rsid w:val="565F4B00"/>
    <w:rsid w:val="56611F01"/>
    <w:rsid w:val="56791DE5"/>
    <w:rsid w:val="56AC7BCD"/>
    <w:rsid w:val="56B87265"/>
    <w:rsid w:val="56C2705A"/>
    <w:rsid w:val="56DA7B4D"/>
    <w:rsid w:val="56E21353"/>
    <w:rsid w:val="56F23A4F"/>
    <w:rsid w:val="56F718D3"/>
    <w:rsid w:val="56FA6595"/>
    <w:rsid w:val="56FF2BE5"/>
    <w:rsid w:val="57000B67"/>
    <w:rsid w:val="57002D2C"/>
    <w:rsid w:val="57006A64"/>
    <w:rsid w:val="570850AA"/>
    <w:rsid w:val="570A3450"/>
    <w:rsid w:val="57155229"/>
    <w:rsid w:val="57200B63"/>
    <w:rsid w:val="57213C62"/>
    <w:rsid w:val="5723178A"/>
    <w:rsid w:val="572E3655"/>
    <w:rsid w:val="572F1200"/>
    <w:rsid w:val="5730000D"/>
    <w:rsid w:val="573B2D6F"/>
    <w:rsid w:val="5740796C"/>
    <w:rsid w:val="574166D2"/>
    <w:rsid w:val="5749576E"/>
    <w:rsid w:val="575B25B7"/>
    <w:rsid w:val="57636C94"/>
    <w:rsid w:val="576471A6"/>
    <w:rsid w:val="57695050"/>
    <w:rsid w:val="576F67EC"/>
    <w:rsid w:val="57882CFD"/>
    <w:rsid w:val="57950F4C"/>
    <w:rsid w:val="57952103"/>
    <w:rsid w:val="57966FD7"/>
    <w:rsid w:val="5797100C"/>
    <w:rsid w:val="579A6E67"/>
    <w:rsid w:val="57A501B2"/>
    <w:rsid w:val="57A50274"/>
    <w:rsid w:val="57A61C5F"/>
    <w:rsid w:val="57A646D9"/>
    <w:rsid w:val="57AA2D40"/>
    <w:rsid w:val="57AD6BB5"/>
    <w:rsid w:val="57AD6F26"/>
    <w:rsid w:val="57B152DB"/>
    <w:rsid w:val="57B64263"/>
    <w:rsid w:val="57BA517D"/>
    <w:rsid w:val="57BF2AC3"/>
    <w:rsid w:val="57C156C8"/>
    <w:rsid w:val="57C17085"/>
    <w:rsid w:val="57C31E4A"/>
    <w:rsid w:val="57F10061"/>
    <w:rsid w:val="582E41C9"/>
    <w:rsid w:val="583120BF"/>
    <w:rsid w:val="58367BFA"/>
    <w:rsid w:val="5839331D"/>
    <w:rsid w:val="583969CB"/>
    <w:rsid w:val="584302DC"/>
    <w:rsid w:val="58477C34"/>
    <w:rsid w:val="584D0815"/>
    <w:rsid w:val="58535244"/>
    <w:rsid w:val="585760A2"/>
    <w:rsid w:val="586324DA"/>
    <w:rsid w:val="58663D34"/>
    <w:rsid w:val="58683E50"/>
    <w:rsid w:val="58696917"/>
    <w:rsid w:val="586C6EBC"/>
    <w:rsid w:val="588102A4"/>
    <w:rsid w:val="58824593"/>
    <w:rsid w:val="588805DE"/>
    <w:rsid w:val="58922414"/>
    <w:rsid w:val="58922742"/>
    <w:rsid w:val="589E1A25"/>
    <w:rsid w:val="58A558F7"/>
    <w:rsid w:val="58A573F5"/>
    <w:rsid w:val="58AA5221"/>
    <w:rsid w:val="58B606CF"/>
    <w:rsid w:val="58CC409F"/>
    <w:rsid w:val="58CD4299"/>
    <w:rsid w:val="58D300C1"/>
    <w:rsid w:val="58DE775E"/>
    <w:rsid w:val="58E440FE"/>
    <w:rsid w:val="58E73BE7"/>
    <w:rsid w:val="58E95FEA"/>
    <w:rsid w:val="58F92870"/>
    <w:rsid w:val="590609C7"/>
    <w:rsid w:val="590A1350"/>
    <w:rsid w:val="590C1FEF"/>
    <w:rsid w:val="59174765"/>
    <w:rsid w:val="591F3D4C"/>
    <w:rsid w:val="5932025B"/>
    <w:rsid w:val="593B4D1E"/>
    <w:rsid w:val="593C7301"/>
    <w:rsid w:val="5957333B"/>
    <w:rsid w:val="596003EE"/>
    <w:rsid w:val="59641F24"/>
    <w:rsid w:val="59681C3C"/>
    <w:rsid w:val="596C65FC"/>
    <w:rsid w:val="59741E09"/>
    <w:rsid w:val="59747622"/>
    <w:rsid w:val="59767BF5"/>
    <w:rsid w:val="59771D9E"/>
    <w:rsid w:val="5979418C"/>
    <w:rsid w:val="597E0270"/>
    <w:rsid w:val="5986345F"/>
    <w:rsid w:val="598C7E42"/>
    <w:rsid w:val="5995408F"/>
    <w:rsid w:val="5998557D"/>
    <w:rsid w:val="599A76C2"/>
    <w:rsid w:val="599C0813"/>
    <w:rsid w:val="599F0359"/>
    <w:rsid w:val="59A607BC"/>
    <w:rsid w:val="59AE3C0F"/>
    <w:rsid w:val="59B07300"/>
    <w:rsid w:val="59B07FB1"/>
    <w:rsid w:val="59B57FA8"/>
    <w:rsid w:val="59BE09ED"/>
    <w:rsid w:val="59C406D1"/>
    <w:rsid w:val="59D05500"/>
    <w:rsid w:val="59DD28A6"/>
    <w:rsid w:val="59DD4297"/>
    <w:rsid w:val="59E75A1E"/>
    <w:rsid w:val="59EB6439"/>
    <w:rsid w:val="59F4357E"/>
    <w:rsid w:val="59F827D9"/>
    <w:rsid w:val="59FA6429"/>
    <w:rsid w:val="59FD602A"/>
    <w:rsid w:val="5A041AD7"/>
    <w:rsid w:val="5A070E9C"/>
    <w:rsid w:val="5A0B0154"/>
    <w:rsid w:val="5A0D6618"/>
    <w:rsid w:val="5A251C8F"/>
    <w:rsid w:val="5A367E74"/>
    <w:rsid w:val="5A5058CB"/>
    <w:rsid w:val="5A555F76"/>
    <w:rsid w:val="5A6760B5"/>
    <w:rsid w:val="5A6B46D9"/>
    <w:rsid w:val="5A7652F3"/>
    <w:rsid w:val="5A7E7A8F"/>
    <w:rsid w:val="5A836FDF"/>
    <w:rsid w:val="5A8A56BF"/>
    <w:rsid w:val="5A8C18DD"/>
    <w:rsid w:val="5A8F5646"/>
    <w:rsid w:val="5A94004B"/>
    <w:rsid w:val="5A98006A"/>
    <w:rsid w:val="5AA07A36"/>
    <w:rsid w:val="5AA258CA"/>
    <w:rsid w:val="5AA90BDD"/>
    <w:rsid w:val="5AAB6BA6"/>
    <w:rsid w:val="5AB87E0B"/>
    <w:rsid w:val="5AC05D65"/>
    <w:rsid w:val="5AC9244F"/>
    <w:rsid w:val="5ACA6932"/>
    <w:rsid w:val="5ADE2BBA"/>
    <w:rsid w:val="5AE802C5"/>
    <w:rsid w:val="5AEA6B64"/>
    <w:rsid w:val="5AEE6466"/>
    <w:rsid w:val="5AF74542"/>
    <w:rsid w:val="5AF97841"/>
    <w:rsid w:val="5AFC1DFF"/>
    <w:rsid w:val="5B02167F"/>
    <w:rsid w:val="5B03131C"/>
    <w:rsid w:val="5B093548"/>
    <w:rsid w:val="5B09715C"/>
    <w:rsid w:val="5B0E549E"/>
    <w:rsid w:val="5B130D39"/>
    <w:rsid w:val="5B1A68F5"/>
    <w:rsid w:val="5B1D34B1"/>
    <w:rsid w:val="5B2B7067"/>
    <w:rsid w:val="5B2F694C"/>
    <w:rsid w:val="5B304F60"/>
    <w:rsid w:val="5B32089C"/>
    <w:rsid w:val="5B39513D"/>
    <w:rsid w:val="5B3E3807"/>
    <w:rsid w:val="5B443E3A"/>
    <w:rsid w:val="5B4F1FDC"/>
    <w:rsid w:val="5B636FA8"/>
    <w:rsid w:val="5B685FE2"/>
    <w:rsid w:val="5B6A0AD0"/>
    <w:rsid w:val="5B6B186F"/>
    <w:rsid w:val="5B6E342D"/>
    <w:rsid w:val="5B74360E"/>
    <w:rsid w:val="5B7F6D96"/>
    <w:rsid w:val="5B8158C8"/>
    <w:rsid w:val="5B8541C5"/>
    <w:rsid w:val="5B8A7460"/>
    <w:rsid w:val="5B8B09AB"/>
    <w:rsid w:val="5B923CD5"/>
    <w:rsid w:val="5B9D3914"/>
    <w:rsid w:val="5BAB4D57"/>
    <w:rsid w:val="5BB02991"/>
    <w:rsid w:val="5BBF2701"/>
    <w:rsid w:val="5BED535D"/>
    <w:rsid w:val="5BED7BB2"/>
    <w:rsid w:val="5BEE3ADC"/>
    <w:rsid w:val="5BFC7B76"/>
    <w:rsid w:val="5C094DB3"/>
    <w:rsid w:val="5C1102B0"/>
    <w:rsid w:val="5C184EF3"/>
    <w:rsid w:val="5C1D60C8"/>
    <w:rsid w:val="5C200928"/>
    <w:rsid w:val="5C3D18C9"/>
    <w:rsid w:val="5C4F18D5"/>
    <w:rsid w:val="5C57422B"/>
    <w:rsid w:val="5C5920B9"/>
    <w:rsid w:val="5C5B2FE8"/>
    <w:rsid w:val="5C742923"/>
    <w:rsid w:val="5C79451E"/>
    <w:rsid w:val="5C8678C1"/>
    <w:rsid w:val="5C8869EB"/>
    <w:rsid w:val="5C8C2731"/>
    <w:rsid w:val="5C93243D"/>
    <w:rsid w:val="5C933B25"/>
    <w:rsid w:val="5C9C7311"/>
    <w:rsid w:val="5CA819CD"/>
    <w:rsid w:val="5CAC54B9"/>
    <w:rsid w:val="5CAD75BC"/>
    <w:rsid w:val="5CC03785"/>
    <w:rsid w:val="5CC30737"/>
    <w:rsid w:val="5CC30B73"/>
    <w:rsid w:val="5CC65634"/>
    <w:rsid w:val="5CC65D8C"/>
    <w:rsid w:val="5CC8798E"/>
    <w:rsid w:val="5CCF592A"/>
    <w:rsid w:val="5CD00C39"/>
    <w:rsid w:val="5CE43EE0"/>
    <w:rsid w:val="5CE963C2"/>
    <w:rsid w:val="5CEF7531"/>
    <w:rsid w:val="5CF15B09"/>
    <w:rsid w:val="5CF313EF"/>
    <w:rsid w:val="5CFF436D"/>
    <w:rsid w:val="5D083D48"/>
    <w:rsid w:val="5D090453"/>
    <w:rsid w:val="5D0A5312"/>
    <w:rsid w:val="5D0B519F"/>
    <w:rsid w:val="5D0C1626"/>
    <w:rsid w:val="5D0F1FBD"/>
    <w:rsid w:val="5D1718BE"/>
    <w:rsid w:val="5D1F240F"/>
    <w:rsid w:val="5D254995"/>
    <w:rsid w:val="5D485840"/>
    <w:rsid w:val="5D51714C"/>
    <w:rsid w:val="5D535034"/>
    <w:rsid w:val="5D54036D"/>
    <w:rsid w:val="5D6B6FDD"/>
    <w:rsid w:val="5D711D7F"/>
    <w:rsid w:val="5D7602B3"/>
    <w:rsid w:val="5D7621CE"/>
    <w:rsid w:val="5D766ADE"/>
    <w:rsid w:val="5D7F1010"/>
    <w:rsid w:val="5D8240E3"/>
    <w:rsid w:val="5D86445A"/>
    <w:rsid w:val="5D897178"/>
    <w:rsid w:val="5D962018"/>
    <w:rsid w:val="5D9A703F"/>
    <w:rsid w:val="5DA40595"/>
    <w:rsid w:val="5DAB5C14"/>
    <w:rsid w:val="5DAC1755"/>
    <w:rsid w:val="5DAC7E65"/>
    <w:rsid w:val="5DB13ADE"/>
    <w:rsid w:val="5DB4019F"/>
    <w:rsid w:val="5DBB72FE"/>
    <w:rsid w:val="5DC70600"/>
    <w:rsid w:val="5DC717A6"/>
    <w:rsid w:val="5DC8665F"/>
    <w:rsid w:val="5DCD3D6F"/>
    <w:rsid w:val="5DCE5C1F"/>
    <w:rsid w:val="5DDA33C1"/>
    <w:rsid w:val="5DDC1927"/>
    <w:rsid w:val="5DE247A3"/>
    <w:rsid w:val="5DE53D04"/>
    <w:rsid w:val="5DE65116"/>
    <w:rsid w:val="5DEE00B1"/>
    <w:rsid w:val="5DF12A41"/>
    <w:rsid w:val="5DF5215D"/>
    <w:rsid w:val="5DFA2928"/>
    <w:rsid w:val="5DFD670B"/>
    <w:rsid w:val="5DFE1DC2"/>
    <w:rsid w:val="5E006CAF"/>
    <w:rsid w:val="5E0B0CF6"/>
    <w:rsid w:val="5E0C09BB"/>
    <w:rsid w:val="5E0F3961"/>
    <w:rsid w:val="5E143748"/>
    <w:rsid w:val="5E1A5910"/>
    <w:rsid w:val="5E2106E9"/>
    <w:rsid w:val="5E2978A3"/>
    <w:rsid w:val="5E2D1087"/>
    <w:rsid w:val="5E3522CF"/>
    <w:rsid w:val="5E3F07D8"/>
    <w:rsid w:val="5E4963F1"/>
    <w:rsid w:val="5E4D12DF"/>
    <w:rsid w:val="5E4D4FC9"/>
    <w:rsid w:val="5E617B22"/>
    <w:rsid w:val="5E6F15A4"/>
    <w:rsid w:val="5E706F71"/>
    <w:rsid w:val="5E733AFE"/>
    <w:rsid w:val="5E786107"/>
    <w:rsid w:val="5E803A23"/>
    <w:rsid w:val="5E8237DF"/>
    <w:rsid w:val="5E8B3284"/>
    <w:rsid w:val="5E9F73EE"/>
    <w:rsid w:val="5EB3655C"/>
    <w:rsid w:val="5EB70C72"/>
    <w:rsid w:val="5EBC2850"/>
    <w:rsid w:val="5EBD7906"/>
    <w:rsid w:val="5EC12590"/>
    <w:rsid w:val="5EC4123A"/>
    <w:rsid w:val="5EC72E48"/>
    <w:rsid w:val="5ED0419C"/>
    <w:rsid w:val="5ED27DCA"/>
    <w:rsid w:val="5ED44AFC"/>
    <w:rsid w:val="5ED722D9"/>
    <w:rsid w:val="5ED908A4"/>
    <w:rsid w:val="5EDB38C8"/>
    <w:rsid w:val="5EDD75E8"/>
    <w:rsid w:val="5EDF3EB7"/>
    <w:rsid w:val="5EF0691C"/>
    <w:rsid w:val="5EF25A1B"/>
    <w:rsid w:val="5F0A54CE"/>
    <w:rsid w:val="5F215264"/>
    <w:rsid w:val="5F3B7E49"/>
    <w:rsid w:val="5F460402"/>
    <w:rsid w:val="5F4D03DB"/>
    <w:rsid w:val="5F5C0E82"/>
    <w:rsid w:val="5F5E0D5A"/>
    <w:rsid w:val="5F5E5CA5"/>
    <w:rsid w:val="5F645D67"/>
    <w:rsid w:val="5F6B3D85"/>
    <w:rsid w:val="5F6B564E"/>
    <w:rsid w:val="5F6B7DEC"/>
    <w:rsid w:val="5F6E0461"/>
    <w:rsid w:val="5F747AD1"/>
    <w:rsid w:val="5F78397E"/>
    <w:rsid w:val="5F794CF2"/>
    <w:rsid w:val="5F7E2D90"/>
    <w:rsid w:val="5F801DE2"/>
    <w:rsid w:val="5F8550C7"/>
    <w:rsid w:val="5F86408B"/>
    <w:rsid w:val="5F982EAC"/>
    <w:rsid w:val="5F9A3E47"/>
    <w:rsid w:val="5FAA6187"/>
    <w:rsid w:val="5FBF19D4"/>
    <w:rsid w:val="5FCA2C2A"/>
    <w:rsid w:val="5FD712CD"/>
    <w:rsid w:val="5FE66AE4"/>
    <w:rsid w:val="5FEB593B"/>
    <w:rsid w:val="5FFC34AB"/>
    <w:rsid w:val="5FFF190C"/>
    <w:rsid w:val="601005C2"/>
    <w:rsid w:val="60174A4F"/>
    <w:rsid w:val="601B33EC"/>
    <w:rsid w:val="60303445"/>
    <w:rsid w:val="603303D1"/>
    <w:rsid w:val="60395379"/>
    <w:rsid w:val="603F6EDC"/>
    <w:rsid w:val="60406A93"/>
    <w:rsid w:val="60450393"/>
    <w:rsid w:val="6045087B"/>
    <w:rsid w:val="60567839"/>
    <w:rsid w:val="6059292E"/>
    <w:rsid w:val="60595F9E"/>
    <w:rsid w:val="606A0FF4"/>
    <w:rsid w:val="606B478A"/>
    <w:rsid w:val="606E27FE"/>
    <w:rsid w:val="608E41C0"/>
    <w:rsid w:val="60942943"/>
    <w:rsid w:val="60B16E66"/>
    <w:rsid w:val="60DD641D"/>
    <w:rsid w:val="60E00A33"/>
    <w:rsid w:val="60EF3B13"/>
    <w:rsid w:val="60FC68D3"/>
    <w:rsid w:val="61021F62"/>
    <w:rsid w:val="610E38FC"/>
    <w:rsid w:val="611722A2"/>
    <w:rsid w:val="61180C9D"/>
    <w:rsid w:val="611C0456"/>
    <w:rsid w:val="61252B28"/>
    <w:rsid w:val="61314937"/>
    <w:rsid w:val="6152291A"/>
    <w:rsid w:val="61551AF2"/>
    <w:rsid w:val="615578FA"/>
    <w:rsid w:val="61561F9F"/>
    <w:rsid w:val="615716EB"/>
    <w:rsid w:val="616C61A7"/>
    <w:rsid w:val="616F44B1"/>
    <w:rsid w:val="617764AE"/>
    <w:rsid w:val="617827A7"/>
    <w:rsid w:val="61784E29"/>
    <w:rsid w:val="617F501C"/>
    <w:rsid w:val="61860707"/>
    <w:rsid w:val="61952AD8"/>
    <w:rsid w:val="619858D0"/>
    <w:rsid w:val="619E0BD0"/>
    <w:rsid w:val="619E41CF"/>
    <w:rsid w:val="61BB7D24"/>
    <w:rsid w:val="61BC6B36"/>
    <w:rsid w:val="61BE39F8"/>
    <w:rsid w:val="61C54A2C"/>
    <w:rsid w:val="61C839A7"/>
    <w:rsid w:val="61CA47AE"/>
    <w:rsid w:val="61DA72AB"/>
    <w:rsid w:val="61E43D0E"/>
    <w:rsid w:val="61F9272E"/>
    <w:rsid w:val="61FA1902"/>
    <w:rsid w:val="62156036"/>
    <w:rsid w:val="622A6EC2"/>
    <w:rsid w:val="622F47B0"/>
    <w:rsid w:val="62365F09"/>
    <w:rsid w:val="62390CB6"/>
    <w:rsid w:val="623A5F53"/>
    <w:rsid w:val="62435DCB"/>
    <w:rsid w:val="624A10A9"/>
    <w:rsid w:val="624B58DB"/>
    <w:rsid w:val="628407B1"/>
    <w:rsid w:val="628E2E22"/>
    <w:rsid w:val="62932032"/>
    <w:rsid w:val="62934A57"/>
    <w:rsid w:val="629813F8"/>
    <w:rsid w:val="62A60A16"/>
    <w:rsid w:val="62A97D63"/>
    <w:rsid w:val="62AB777F"/>
    <w:rsid w:val="62AD5A83"/>
    <w:rsid w:val="62AE20B2"/>
    <w:rsid w:val="62C40A78"/>
    <w:rsid w:val="62CA45A4"/>
    <w:rsid w:val="62CD3C18"/>
    <w:rsid w:val="62D154F4"/>
    <w:rsid w:val="62DB45F3"/>
    <w:rsid w:val="62DB66DB"/>
    <w:rsid w:val="62DD2D1D"/>
    <w:rsid w:val="62E06987"/>
    <w:rsid w:val="62E3363E"/>
    <w:rsid w:val="62E46E82"/>
    <w:rsid w:val="62EC2A0D"/>
    <w:rsid w:val="62ED2730"/>
    <w:rsid w:val="62ED4F35"/>
    <w:rsid w:val="62EF4F95"/>
    <w:rsid w:val="62F2372C"/>
    <w:rsid w:val="62FC2F6E"/>
    <w:rsid w:val="63005F59"/>
    <w:rsid w:val="63026CED"/>
    <w:rsid w:val="631509E4"/>
    <w:rsid w:val="631B5D73"/>
    <w:rsid w:val="631E6003"/>
    <w:rsid w:val="632161A3"/>
    <w:rsid w:val="632A37BB"/>
    <w:rsid w:val="632D4F26"/>
    <w:rsid w:val="63343DAE"/>
    <w:rsid w:val="63366CF1"/>
    <w:rsid w:val="633D491F"/>
    <w:rsid w:val="633F7C7C"/>
    <w:rsid w:val="6347004C"/>
    <w:rsid w:val="6348218C"/>
    <w:rsid w:val="634906C0"/>
    <w:rsid w:val="634D119A"/>
    <w:rsid w:val="634F1A75"/>
    <w:rsid w:val="63662614"/>
    <w:rsid w:val="636B4C33"/>
    <w:rsid w:val="636C64F0"/>
    <w:rsid w:val="636F4D01"/>
    <w:rsid w:val="637C52E7"/>
    <w:rsid w:val="637F5EF4"/>
    <w:rsid w:val="63801807"/>
    <w:rsid w:val="63821837"/>
    <w:rsid w:val="63983B46"/>
    <w:rsid w:val="63A04041"/>
    <w:rsid w:val="63AF30A8"/>
    <w:rsid w:val="63B66091"/>
    <w:rsid w:val="63B84349"/>
    <w:rsid w:val="63B87B36"/>
    <w:rsid w:val="63BD2CDF"/>
    <w:rsid w:val="63BE441F"/>
    <w:rsid w:val="63C30706"/>
    <w:rsid w:val="63CE07EC"/>
    <w:rsid w:val="63D64C7A"/>
    <w:rsid w:val="63EA18E6"/>
    <w:rsid w:val="63EE35EE"/>
    <w:rsid w:val="63F66E28"/>
    <w:rsid w:val="63F71815"/>
    <w:rsid w:val="63FD003F"/>
    <w:rsid w:val="64012899"/>
    <w:rsid w:val="640A3456"/>
    <w:rsid w:val="641360FB"/>
    <w:rsid w:val="64183B3A"/>
    <w:rsid w:val="641A2856"/>
    <w:rsid w:val="64254CA9"/>
    <w:rsid w:val="643D4780"/>
    <w:rsid w:val="643E241F"/>
    <w:rsid w:val="644E6B71"/>
    <w:rsid w:val="645050FA"/>
    <w:rsid w:val="64533603"/>
    <w:rsid w:val="645F5C12"/>
    <w:rsid w:val="64695447"/>
    <w:rsid w:val="646A3702"/>
    <w:rsid w:val="64704A63"/>
    <w:rsid w:val="64725549"/>
    <w:rsid w:val="647532BD"/>
    <w:rsid w:val="647A288D"/>
    <w:rsid w:val="647B128B"/>
    <w:rsid w:val="647B3E17"/>
    <w:rsid w:val="64910CD9"/>
    <w:rsid w:val="64A30365"/>
    <w:rsid w:val="64AA3309"/>
    <w:rsid w:val="64AA3E10"/>
    <w:rsid w:val="64AE4354"/>
    <w:rsid w:val="64B972BE"/>
    <w:rsid w:val="64BD1347"/>
    <w:rsid w:val="64BD4E54"/>
    <w:rsid w:val="64C24FBD"/>
    <w:rsid w:val="64C5082B"/>
    <w:rsid w:val="64C8345D"/>
    <w:rsid w:val="64CB72F5"/>
    <w:rsid w:val="64D70E03"/>
    <w:rsid w:val="64DA45FF"/>
    <w:rsid w:val="64DE09CD"/>
    <w:rsid w:val="64E06343"/>
    <w:rsid w:val="64EA0439"/>
    <w:rsid w:val="64EF7A50"/>
    <w:rsid w:val="64F06511"/>
    <w:rsid w:val="64FF6DF5"/>
    <w:rsid w:val="65026A30"/>
    <w:rsid w:val="650B60F2"/>
    <w:rsid w:val="650E3602"/>
    <w:rsid w:val="6514571A"/>
    <w:rsid w:val="6514758F"/>
    <w:rsid w:val="65165191"/>
    <w:rsid w:val="65227FE9"/>
    <w:rsid w:val="65274189"/>
    <w:rsid w:val="65314887"/>
    <w:rsid w:val="654273A2"/>
    <w:rsid w:val="654D3A68"/>
    <w:rsid w:val="65515A8C"/>
    <w:rsid w:val="655227FD"/>
    <w:rsid w:val="65540770"/>
    <w:rsid w:val="65664E54"/>
    <w:rsid w:val="656665D3"/>
    <w:rsid w:val="657B03B2"/>
    <w:rsid w:val="657C3D1E"/>
    <w:rsid w:val="658D070D"/>
    <w:rsid w:val="65907A4E"/>
    <w:rsid w:val="65950EF8"/>
    <w:rsid w:val="65AB40C0"/>
    <w:rsid w:val="65B338D0"/>
    <w:rsid w:val="65B445B5"/>
    <w:rsid w:val="65C203DF"/>
    <w:rsid w:val="65C63518"/>
    <w:rsid w:val="65C653AB"/>
    <w:rsid w:val="65C80D0D"/>
    <w:rsid w:val="65D917F2"/>
    <w:rsid w:val="65EC4BEC"/>
    <w:rsid w:val="65F42A8E"/>
    <w:rsid w:val="65F83264"/>
    <w:rsid w:val="65FD452A"/>
    <w:rsid w:val="66061444"/>
    <w:rsid w:val="6606776F"/>
    <w:rsid w:val="66180394"/>
    <w:rsid w:val="661F2D41"/>
    <w:rsid w:val="66366F92"/>
    <w:rsid w:val="66375B80"/>
    <w:rsid w:val="663A5677"/>
    <w:rsid w:val="66426477"/>
    <w:rsid w:val="66474439"/>
    <w:rsid w:val="66495441"/>
    <w:rsid w:val="664A2444"/>
    <w:rsid w:val="66540D83"/>
    <w:rsid w:val="66581BBC"/>
    <w:rsid w:val="66672105"/>
    <w:rsid w:val="66677CAC"/>
    <w:rsid w:val="666845A2"/>
    <w:rsid w:val="66714D68"/>
    <w:rsid w:val="66760DC5"/>
    <w:rsid w:val="667D480D"/>
    <w:rsid w:val="66887617"/>
    <w:rsid w:val="66984910"/>
    <w:rsid w:val="669B59E7"/>
    <w:rsid w:val="66A71BBE"/>
    <w:rsid w:val="66AD7F94"/>
    <w:rsid w:val="66B12236"/>
    <w:rsid w:val="66B96523"/>
    <w:rsid w:val="66C855FF"/>
    <w:rsid w:val="66CF62BF"/>
    <w:rsid w:val="66D37B8D"/>
    <w:rsid w:val="66E8423D"/>
    <w:rsid w:val="66EA6D79"/>
    <w:rsid w:val="66EC2A73"/>
    <w:rsid w:val="66F028E3"/>
    <w:rsid w:val="66F5749B"/>
    <w:rsid w:val="6703581A"/>
    <w:rsid w:val="671359B7"/>
    <w:rsid w:val="67185A8E"/>
    <w:rsid w:val="671A19D9"/>
    <w:rsid w:val="671A3D72"/>
    <w:rsid w:val="671F2D72"/>
    <w:rsid w:val="67204A56"/>
    <w:rsid w:val="67255FB2"/>
    <w:rsid w:val="67271BB3"/>
    <w:rsid w:val="672826E9"/>
    <w:rsid w:val="6733494D"/>
    <w:rsid w:val="673522BC"/>
    <w:rsid w:val="673A79C2"/>
    <w:rsid w:val="674459AF"/>
    <w:rsid w:val="6753060D"/>
    <w:rsid w:val="675C67AF"/>
    <w:rsid w:val="67791B52"/>
    <w:rsid w:val="677A29C5"/>
    <w:rsid w:val="677E45A0"/>
    <w:rsid w:val="677F5D0D"/>
    <w:rsid w:val="6786497D"/>
    <w:rsid w:val="67872A49"/>
    <w:rsid w:val="67882A93"/>
    <w:rsid w:val="678F38BC"/>
    <w:rsid w:val="67965B48"/>
    <w:rsid w:val="67A943E9"/>
    <w:rsid w:val="67AA4760"/>
    <w:rsid w:val="67AD6DC0"/>
    <w:rsid w:val="67BA53CE"/>
    <w:rsid w:val="67C2591A"/>
    <w:rsid w:val="67C30CA4"/>
    <w:rsid w:val="67E13153"/>
    <w:rsid w:val="67E3779A"/>
    <w:rsid w:val="67ED58FA"/>
    <w:rsid w:val="67F507A9"/>
    <w:rsid w:val="67FA1B66"/>
    <w:rsid w:val="680A4D64"/>
    <w:rsid w:val="680E7852"/>
    <w:rsid w:val="681165DF"/>
    <w:rsid w:val="68206AA8"/>
    <w:rsid w:val="682072E8"/>
    <w:rsid w:val="68260E76"/>
    <w:rsid w:val="682D67EB"/>
    <w:rsid w:val="682F05C2"/>
    <w:rsid w:val="683A7919"/>
    <w:rsid w:val="683E7E47"/>
    <w:rsid w:val="68440EEC"/>
    <w:rsid w:val="684A6FFD"/>
    <w:rsid w:val="685378CE"/>
    <w:rsid w:val="6857778C"/>
    <w:rsid w:val="685B2AEB"/>
    <w:rsid w:val="685B5BC2"/>
    <w:rsid w:val="68613875"/>
    <w:rsid w:val="68622599"/>
    <w:rsid w:val="686A7AC1"/>
    <w:rsid w:val="686A7D67"/>
    <w:rsid w:val="687A3BC8"/>
    <w:rsid w:val="687B5854"/>
    <w:rsid w:val="68804EFC"/>
    <w:rsid w:val="688130BA"/>
    <w:rsid w:val="688346B4"/>
    <w:rsid w:val="688410AC"/>
    <w:rsid w:val="6886258F"/>
    <w:rsid w:val="688E188A"/>
    <w:rsid w:val="689147D1"/>
    <w:rsid w:val="68956F32"/>
    <w:rsid w:val="68A34C36"/>
    <w:rsid w:val="68A8486E"/>
    <w:rsid w:val="68A940B5"/>
    <w:rsid w:val="68C16AA1"/>
    <w:rsid w:val="68C271D0"/>
    <w:rsid w:val="68C426A5"/>
    <w:rsid w:val="68DA12D9"/>
    <w:rsid w:val="68F40B67"/>
    <w:rsid w:val="68F70E78"/>
    <w:rsid w:val="68FA3A40"/>
    <w:rsid w:val="69097D44"/>
    <w:rsid w:val="69143A90"/>
    <w:rsid w:val="69177FA7"/>
    <w:rsid w:val="69234727"/>
    <w:rsid w:val="69307509"/>
    <w:rsid w:val="694309C6"/>
    <w:rsid w:val="69457549"/>
    <w:rsid w:val="694D423C"/>
    <w:rsid w:val="694E623A"/>
    <w:rsid w:val="69547C77"/>
    <w:rsid w:val="695A0E2F"/>
    <w:rsid w:val="69643C47"/>
    <w:rsid w:val="69695D38"/>
    <w:rsid w:val="69732F52"/>
    <w:rsid w:val="69741E70"/>
    <w:rsid w:val="69847201"/>
    <w:rsid w:val="69860B94"/>
    <w:rsid w:val="698E6255"/>
    <w:rsid w:val="6990295B"/>
    <w:rsid w:val="69956DD0"/>
    <w:rsid w:val="69984E80"/>
    <w:rsid w:val="699A3C99"/>
    <w:rsid w:val="69A24F0E"/>
    <w:rsid w:val="69AD2238"/>
    <w:rsid w:val="69B7411A"/>
    <w:rsid w:val="69BC243A"/>
    <w:rsid w:val="69BE53C7"/>
    <w:rsid w:val="69CA5A8F"/>
    <w:rsid w:val="69CB015D"/>
    <w:rsid w:val="69CF3BF9"/>
    <w:rsid w:val="69D00CF3"/>
    <w:rsid w:val="69DD51EA"/>
    <w:rsid w:val="69E51F20"/>
    <w:rsid w:val="69E80700"/>
    <w:rsid w:val="69E8185C"/>
    <w:rsid w:val="69F556AB"/>
    <w:rsid w:val="69FD6977"/>
    <w:rsid w:val="69FD7122"/>
    <w:rsid w:val="69FE19B4"/>
    <w:rsid w:val="6A1F30FE"/>
    <w:rsid w:val="6A235975"/>
    <w:rsid w:val="6A2971AA"/>
    <w:rsid w:val="6A2D0CE2"/>
    <w:rsid w:val="6A321D74"/>
    <w:rsid w:val="6A34587C"/>
    <w:rsid w:val="6A397855"/>
    <w:rsid w:val="6A400776"/>
    <w:rsid w:val="6A473146"/>
    <w:rsid w:val="6A4D00FD"/>
    <w:rsid w:val="6A5307D8"/>
    <w:rsid w:val="6A6642AA"/>
    <w:rsid w:val="6A6A346F"/>
    <w:rsid w:val="6A6E5CE5"/>
    <w:rsid w:val="6A71346D"/>
    <w:rsid w:val="6A721764"/>
    <w:rsid w:val="6A826FDA"/>
    <w:rsid w:val="6A857977"/>
    <w:rsid w:val="6A8A5454"/>
    <w:rsid w:val="6AA45E3A"/>
    <w:rsid w:val="6AA7685F"/>
    <w:rsid w:val="6AAE7655"/>
    <w:rsid w:val="6AB077AD"/>
    <w:rsid w:val="6ABD00BE"/>
    <w:rsid w:val="6AD27C22"/>
    <w:rsid w:val="6ADB7183"/>
    <w:rsid w:val="6AE560B0"/>
    <w:rsid w:val="6AEA28C6"/>
    <w:rsid w:val="6AF33CFE"/>
    <w:rsid w:val="6AFB49D0"/>
    <w:rsid w:val="6AFC42A9"/>
    <w:rsid w:val="6AFD7431"/>
    <w:rsid w:val="6B051DF1"/>
    <w:rsid w:val="6B15539D"/>
    <w:rsid w:val="6B1A2310"/>
    <w:rsid w:val="6B246E34"/>
    <w:rsid w:val="6B28101E"/>
    <w:rsid w:val="6B2F0D68"/>
    <w:rsid w:val="6B2F162A"/>
    <w:rsid w:val="6B3F03D2"/>
    <w:rsid w:val="6B456EEE"/>
    <w:rsid w:val="6B4673DF"/>
    <w:rsid w:val="6B492CC0"/>
    <w:rsid w:val="6B500F24"/>
    <w:rsid w:val="6B510123"/>
    <w:rsid w:val="6B5A451D"/>
    <w:rsid w:val="6B6B33D1"/>
    <w:rsid w:val="6B6F155C"/>
    <w:rsid w:val="6B70322F"/>
    <w:rsid w:val="6B7F2304"/>
    <w:rsid w:val="6B8E126B"/>
    <w:rsid w:val="6B971742"/>
    <w:rsid w:val="6B991C92"/>
    <w:rsid w:val="6B9D6FDD"/>
    <w:rsid w:val="6BA02CFA"/>
    <w:rsid w:val="6BB027CC"/>
    <w:rsid w:val="6BB0499C"/>
    <w:rsid w:val="6BB8620A"/>
    <w:rsid w:val="6BBA043C"/>
    <w:rsid w:val="6BBC0552"/>
    <w:rsid w:val="6BBF61CF"/>
    <w:rsid w:val="6BC36779"/>
    <w:rsid w:val="6BC527DF"/>
    <w:rsid w:val="6BC668BD"/>
    <w:rsid w:val="6BC84E73"/>
    <w:rsid w:val="6BC94361"/>
    <w:rsid w:val="6BCB165A"/>
    <w:rsid w:val="6BCC27B1"/>
    <w:rsid w:val="6BD10DD4"/>
    <w:rsid w:val="6BE434AD"/>
    <w:rsid w:val="6BE837B9"/>
    <w:rsid w:val="6BFA4DC1"/>
    <w:rsid w:val="6C121948"/>
    <w:rsid w:val="6C144F2A"/>
    <w:rsid w:val="6C17550E"/>
    <w:rsid w:val="6C1C1335"/>
    <w:rsid w:val="6C1D51FA"/>
    <w:rsid w:val="6C1D73C1"/>
    <w:rsid w:val="6C1E79B4"/>
    <w:rsid w:val="6C351E27"/>
    <w:rsid w:val="6C3B043A"/>
    <w:rsid w:val="6C53360D"/>
    <w:rsid w:val="6C55338F"/>
    <w:rsid w:val="6C5B638C"/>
    <w:rsid w:val="6C6241DE"/>
    <w:rsid w:val="6C6A69EB"/>
    <w:rsid w:val="6C764B91"/>
    <w:rsid w:val="6C7B3BAF"/>
    <w:rsid w:val="6C7F3CD0"/>
    <w:rsid w:val="6C835F93"/>
    <w:rsid w:val="6C8961C2"/>
    <w:rsid w:val="6C972684"/>
    <w:rsid w:val="6CA94313"/>
    <w:rsid w:val="6CB5554F"/>
    <w:rsid w:val="6CB772F1"/>
    <w:rsid w:val="6CB77D36"/>
    <w:rsid w:val="6CB87C36"/>
    <w:rsid w:val="6CC401BC"/>
    <w:rsid w:val="6CC81647"/>
    <w:rsid w:val="6CCB1C40"/>
    <w:rsid w:val="6CCC082F"/>
    <w:rsid w:val="6CE114A1"/>
    <w:rsid w:val="6CEE7B90"/>
    <w:rsid w:val="6CF66A19"/>
    <w:rsid w:val="6D0C2C53"/>
    <w:rsid w:val="6D14133C"/>
    <w:rsid w:val="6D176763"/>
    <w:rsid w:val="6D1A573A"/>
    <w:rsid w:val="6D1E0752"/>
    <w:rsid w:val="6D236497"/>
    <w:rsid w:val="6D293037"/>
    <w:rsid w:val="6D3B41A8"/>
    <w:rsid w:val="6D430603"/>
    <w:rsid w:val="6D43540D"/>
    <w:rsid w:val="6D4A769A"/>
    <w:rsid w:val="6D4D2999"/>
    <w:rsid w:val="6D535AF6"/>
    <w:rsid w:val="6D550BA5"/>
    <w:rsid w:val="6D5B3A36"/>
    <w:rsid w:val="6D62557E"/>
    <w:rsid w:val="6D7919D3"/>
    <w:rsid w:val="6D83148D"/>
    <w:rsid w:val="6D853FBC"/>
    <w:rsid w:val="6D9510D7"/>
    <w:rsid w:val="6D9F7FB2"/>
    <w:rsid w:val="6DA140E4"/>
    <w:rsid w:val="6DA459DA"/>
    <w:rsid w:val="6DA767C8"/>
    <w:rsid w:val="6DA94EFF"/>
    <w:rsid w:val="6DB21D88"/>
    <w:rsid w:val="6DC81284"/>
    <w:rsid w:val="6DE05A9F"/>
    <w:rsid w:val="6DE201E9"/>
    <w:rsid w:val="6DF02946"/>
    <w:rsid w:val="6DF77AEA"/>
    <w:rsid w:val="6DFC0A3C"/>
    <w:rsid w:val="6E06513A"/>
    <w:rsid w:val="6E144771"/>
    <w:rsid w:val="6E203CB8"/>
    <w:rsid w:val="6E220E46"/>
    <w:rsid w:val="6E255F8D"/>
    <w:rsid w:val="6E3709A6"/>
    <w:rsid w:val="6E3A0DA2"/>
    <w:rsid w:val="6E520F94"/>
    <w:rsid w:val="6E592F9E"/>
    <w:rsid w:val="6E5B502D"/>
    <w:rsid w:val="6E600C41"/>
    <w:rsid w:val="6E665ABD"/>
    <w:rsid w:val="6E6F0A3D"/>
    <w:rsid w:val="6E6F3964"/>
    <w:rsid w:val="6E7D2ECF"/>
    <w:rsid w:val="6E893F46"/>
    <w:rsid w:val="6E922F2C"/>
    <w:rsid w:val="6E957190"/>
    <w:rsid w:val="6E964C2C"/>
    <w:rsid w:val="6E975B13"/>
    <w:rsid w:val="6E9A52B7"/>
    <w:rsid w:val="6EA52E09"/>
    <w:rsid w:val="6EBC18CC"/>
    <w:rsid w:val="6EC6178C"/>
    <w:rsid w:val="6ECC4ECD"/>
    <w:rsid w:val="6ED506EB"/>
    <w:rsid w:val="6ED63D08"/>
    <w:rsid w:val="6ED92756"/>
    <w:rsid w:val="6EDF783E"/>
    <w:rsid w:val="6EE234C0"/>
    <w:rsid w:val="6EE25BB6"/>
    <w:rsid w:val="6F0125BE"/>
    <w:rsid w:val="6F0C7590"/>
    <w:rsid w:val="6F224465"/>
    <w:rsid w:val="6F257CCA"/>
    <w:rsid w:val="6F2C3D0A"/>
    <w:rsid w:val="6F2D283B"/>
    <w:rsid w:val="6F2E02B8"/>
    <w:rsid w:val="6F31606A"/>
    <w:rsid w:val="6F331D37"/>
    <w:rsid w:val="6F415B22"/>
    <w:rsid w:val="6F482CA1"/>
    <w:rsid w:val="6F4B198F"/>
    <w:rsid w:val="6F4B44FC"/>
    <w:rsid w:val="6F4B4A6F"/>
    <w:rsid w:val="6F4E452C"/>
    <w:rsid w:val="6F55416B"/>
    <w:rsid w:val="6F575EF7"/>
    <w:rsid w:val="6F5C4C8E"/>
    <w:rsid w:val="6F5D7C5B"/>
    <w:rsid w:val="6F5E5CDC"/>
    <w:rsid w:val="6F6850FA"/>
    <w:rsid w:val="6F6B59B5"/>
    <w:rsid w:val="6F8155C5"/>
    <w:rsid w:val="6F8263E4"/>
    <w:rsid w:val="6F864B2A"/>
    <w:rsid w:val="6F867DB2"/>
    <w:rsid w:val="6FAD62FF"/>
    <w:rsid w:val="6FB9429E"/>
    <w:rsid w:val="6FBA0265"/>
    <w:rsid w:val="6FBA670D"/>
    <w:rsid w:val="6FBD79D4"/>
    <w:rsid w:val="6FBF2D4F"/>
    <w:rsid w:val="6FBF7414"/>
    <w:rsid w:val="6FD259FE"/>
    <w:rsid w:val="6FDC46A0"/>
    <w:rsid w:val="6FDC661D"/>
    <w:rsid w:val="6FDD2BC8"/>
    <w:rsid w:val="6FE17C4F"/>
    <w:rsid w:val="6FEF0DA0"/>
    <w:rsid w:val="6FF13AE2"/>
    <w:rsid w:val="6FF776EA"/>
    <w:rsid w:val="6FFD2AB2"/>
    <w:rsid w:val="700919A0"/>
    <w:rsid w:val="700B1AE0"/>
    <w:rsid w:val="700B6273"/>
    <w:rsid w:val="70212DD3"/>
    <w:rsid w:val="70247F45"/>
    <w:rsid w:val="7032387B"/>
    <w:rsid w:val="705F5B0A"/>
    <w:rsid w:val="706327C9"/>
    <w:rsid w:val="70671D09"/>
    <w:rsid w:val="706F05D6"/>
    <w:rsid w:val="707B3087"/>
    <w:rsid w:val="707E384E"/>
    <w:rsid w:val="707E4706"/>
    <w:rsid w:val="70877E2E"/>
    <w:rsid w:val="70892D0A"/>
    <w:rsid w:val="708A4F7F"/>
    <w:rsid w:val="708F583A"/>
    <w:rsid w:val="70950B2D"/>
    <w:rsid w:val="709915CE"/>
    <w:rsid w:val="709E2E9C"/>
    <w:rsid w:val="70A02205"/>
    <w:rsid w:val="70A02682"/>
    <w:rsid w:val="70A36C22"/>
    <w:rsid w:val="70A46059"/>
    <w:rsid w:val="70A56E6A"/>
    <w:rsid w:val="70A81615"/>
    <w:rsid w:val="70B537C6"/>
    <w:rsid w:val="70B7016A"/>
    <w:rsid w:val="70C80224"/>
    <w:rsid w:val="70C918EC"/>
    <w:rsid w:val="70CD2E7A"/>
    <w:rsid w:val="70D3117C"/>
    <w:rsid w:val="70DE0B4B"/>
    <w:rsid w:val="70DF6B8E"/>
    <w:rsid w:val="70E81623"/>
    <w:rsid w:val="70E86DC3"/>
    <w:rsid w:val="70F05911"/>
    <w:rsid w:val="70F461D1"/>
    <w:rsid w:val="70F61403"/>
    <w:rsid w:val="70F76FA1"/>
    <w:rsid w:val="71045217"/>
    <w:rsid w:val="710A2629"/>
    <w:rsid w:val="710B7772"/>
    <w:rsid w:val="710C4EEB"/>
    <w:rsid w:val="711457A4"/>
    <w:rsid w:val="71175C91"/>
    <w:rsid w:val="71177F52"/>
    <w:rsid w:val="7124733D"/>
    <w:rsid w:val="712C09D6"/>
    <w:rsid w:val="71324AC6"/>
    <w:rsid w:val="71361676"/>
    <w:rsid w:val="71401124"/>
    <w:rsid w:val="71494FD3"/>
    <w:rsid w:val="714A1050"/>
    <w:rsid w:val="715D16C2"/>
    <w:rsid w:val="717042FD"/>
    <w:rsid w:val="7171353D"/>
    <w:rsid w:val="71762C8C"/>
    <w:rsid w:val="717D392C"/>
    <w:rsid w:val="718C3F37"/>
    <w:rsid w:val="718E0997"/>
    <w:rsid w:val="71923367"/>
    <w:rsid w:val="71A36753"/>
    <w:rsid w:val="71AE0D5E"/>
    <w:rsid w:val="71B86D22"/>
    <w:rsid w:val="71CD71C6"/>
    <w:rsid w:val="71F008A9"/>
    <w:rsid w:val="71F35DEE"/>
    <w:rsid w:val="71F57D11"/>
    <w:rsid w:val="71FA2F95"/>
    <w:rsid w:val="71FE3A37"/>
    <w:rsid w:val="71FF799F"/>
    <w:rsid w:val="720B0937"/>
    <w:rsid w:val="72261CA4"/>
    <w:rsid w:val="72274F07"/>
    <w:rsid w:val="722A124C"/>
    <w:rsid w:val="72392D35"/>
    <w:rsid w:val="723949DB"/>
    <w:rsid w:val="72413A6B"/>
    <w:rsid w:val="7245415D"/>
    <w:rsid w:val="724C7958"/>
    <w:rsid w:val="725176AD"/>
    <w:rsid w:val="725B3204"/>
    <w:rsid w:val="726114CD"/>
    <w:rsid w:val="726808B1"/>
    <w:rsid w:val="726E223C"/>
    <w:rsid w:val="726F5195"/>
    <w:rsid w:val="7272211D"/>
    <w:rsid w:val="727779F9"/>
    <w:rsid w:val="727907FE"/>
    <w:rsid w:val="7279451E"/>
    <w:rsid w:val="727D60A5"/>
    <w:rsid w:val="727F4E3F"/>
    <w:rsid w:val="72806044"/>
    <w:rsid w:val="7286436D"/>
    <w:rsid w:val="728A2A12"/>
    <w:rsid w:val="728C5C63"/>
    <w:rsid w:val="72910D60"/>
    <w:rsid w:val="72923A89"/>
    <w:rsid w:val="72924838"/>
    <w:rsid w:val="7295436B"/>
    <w:rsid w:val="729B795B"/>
    <w:rsid w:val="72A52784"/>
    <w:rsid w:val="72A71A1A"/>
    <w:rsid w:val="72A87141"/>
    <w:rsid w:val="72A940B7"/>
    <w:rsid w:val="72AE543E"/>
    <w:rsid w:val="72B378B8"/>
    <w:rsid w:val="72B40D47"/>
    <w:rsid w:val="72B54CCC"/>
    <w:rsid w:val="72BD17A4"/>
    <w:rsid w:val="72C33283"/>
    <w:rsid w:val="72C57F43"/>
    <w:rsid w:val="72C6633C"/>
    <w:rsid w:val="72CB537A"/>
    <w:rsid w:val="72CE2A28"/>
    <w:rsid w:val="72D56631"/>
    <w:rsid w:val="72DE4F1F"/>
    <w:rsid w:val="72EC5980"/>
    <w:rsid w:val="72EC6E4B"/>
    <w:rsid w:val="72F115C9"/>
    <w:rsid w:val="72F70B14"/>
    <w:rsid w:val="72FA3E4C"/>
    <w:rsid w:val="72FB0D9E"/>
    <w:rsid w:val="73040B82"/>
    <w:rsid w:val="730608CD"/>
    <w:rsid w:val="730B28B2"/>
    <w:rsid w:val="731514BB"/>
    <w:rsid w:val="731B07E3"/>
    <w:rsid w:val="731C4035"/>
    <w:rsid w:val="732A4806"/>
    <w:rsid w:val="73376512"/>
    <w:rsid w:val="733D14CA"/>
    <w:rsid w:val="73406EDC"/>
    <w:rsid w:val="73481144"/>
    <w:rsid w:val="73540DC4"/>
    <w:rsid w:val="735839A5"/>
    <w:rsid w:val="736D2851"/>
    <w:rsid w:val="736D2A16"/>
    <w:rsid w:val="7376152A"/>
    <w:rsid w:val="73793495"/>
    <w:rsid w:val="73874146"/>
    <w:rsid w:val="738B71C1"/>
    <w:rsid w:val="739502A2"/>
    <w:rsid w:val="73954268"/>
    <w:rsid w:val="73B62154"/>
    <w:rsid w:val="73D2314C"/>
    <w:rsid w:val="73DA7F87"/>
    <w:rsid w:val="73DB6245"/>
    <w:rsid w:val="73DC4929"/>
    <w:rsid w:val="73DC7E17"/>
    <w:rsid w:val="73DD387B"/>
    <w:rsid w:val="73E871A3"/>
    <w:rsid w:val="74026476"/>
    <w:rsid w:val="74113740"/>
    <w:rsid w:val="74144CE1"/>
    <w:rsid w:val="7416763C"/>
    <w:rsid w:val="74183CC8"/>
    <w:rsid w:val="742363C8"/>
    <w:rsid w:val="74300D0F"/>
    <w:rsid w:val="743D3EB9"/>
    <w:rsid w:val="744011C6"/>
    <w:rsid w:val="74475758"/>
    <w:rsid w:val="74513757"/>
    <w:rsid w:val="7454028C"/>
    <w:rsid w:val="74545BB4"/>
    <w:rsid w:val="745E570F"/>
    <w:rsid w:val="74612566"/>
    <w:rsid w:val="747959BF"/>
    <w:rsid w:val="747E1A70"/>
    <w:rsid w:val="7483161A"/>
    <w:rsid w:val="74882F4D"/>
    <w:rsid w:val="748B05FD"/>
    <w:rsid w:val="74A51B18"/>
    <w:rsid w:val="74A938A5"/>
    <w:rsid w:val="74AE24F7"/>
    <w:rsid w:val="74B763D6"/>
    <w:rsid w:val="74B768C6"/>
    <w:rsid w:val="74C0442B"/>
    <w:rsid w:val="74C55B3F"/>
    <w:rsid w:val="74C7154E"/>
    <w:rsid w:val="74D813B3"/>
    <w:rsid w:val="74DF0013"/>
    <w:rsid w:val="74E249AE"/>
    <w:rsid w:val="74E62DCB"/>
    <w:rsid w:val="74EE25E0"/>
    <w:rsid w:val="74F738DE"/>
    <w:rsid w:val="750556FE"/>
    <w:rsid w:val="750F57C8"/>
    <w:rsid w:val="750F6250"/>
    <w:rsid w:val="751A009B"/>
    <w:rsid w:val="75365D06"/>
    <w:rsid w:val="753C4B9E"/>
    <w:rsid w:val="75436915"/>
    <w:rsid w:val="75446D15"/>
    <w:rsid w:val="75507D71"/>
    <w:rsid w:val="75622AAC"/>
    <w:rsid w:val="756A1004"/>
    <w:rsid w:val="756C3DC1"/>
    <w:rsid w:val="756E607F"/>
    <w:rsid w:val="757E63E1"/>
    <w:rsid w:val="75833381"/>
    <w:rsid w:val="7588189D"/>
    <w:rsid w:val="75890EEE"/>
    <w:rsid w:val="758977A2"/>
    <w:rsid w:val="758B5C71"/>
    <w:rsid w:val="75A35A3E"/>
    <w:rsid w:val="75A4194B"/>
    <w:rsid w:val="75B71A94"/>
    <w:rsid w:val="75C1144A"/>
    <w:rsid w:val="75C12685"/>
    <w:rsid w:val="75C51C20"/>
    <w:rsid w:val="75C8076E"/>
    <w:rsid w:val="75D2544B"/>
    <w:rsid w:val="75D75691"/>
    <w:rsid w:val="75E02F4D"/>
    <w:rsid w:val="75E072E7"/>
    <w:rsid w:val="75E52D02"/>
    <w:rsid w:val="75E77356"/>
    <w:rsid w:val="75E9409A"/>
    <w:rsid w:val="760B666C"/>
    <w:rsid w:val="760E2C16"/>
    <w:rsid w:val="76133896"/>
    <w:rsid w:val="76203741"/>
    <w:rsid w:val="762439CB"/>
    <w:rsid w:val="76282E2B"/>
    <w:rsid w:val="763703BC"/>
    <w:rsid w:val="763B2448"/>
    <w:rsid w:val="764366DD"/>
    <w:rsid w:val="764E6FED"/>
    <w:rsid w:val="76500980"/>
    <w:rsid w:val="765731F0"/>
    <w:rsid w:val="765E1290"/>
    <w:rsid w:val="765F5194"/>
    <w:rsid w:val="76673987"/>
    <w:rsid w:val="76695353"/>
    <w:rsid w:val="766C20C2"/>
    <w:rsid w:val="766D79B8"/>
    <w:rsid w:val="766F5CA9"/>
    <w:rsid w:val="76735C01"/>
    <w:rsid w:val="76753696"/>
    <w:rsid w:val="767845D6"/>
    <w:rsid w:val="767E6647"/>
    <w:rsid w:val="76836646"/>
    <w:rsid w:val="76907353"/>
    <w:rsid w:val="7696076E"/>
    <w:rsid w:val="76974B9D"/>
    <w:rsid w:val="76984760"/>
    <w:rsid w:val="769A22F1"/>
    <w:rsid w:val="769A300E"/>
    <w:rsid w:val="76A51258"/>
    <w:rsid w:val="76A73C3A"/>
    <w:rsid w:val="76AB7AC3"/>
    <w:rsid w:val="76B11A70"/>
    <w:rsid w:val="76BF486A"/>
    <w:rsid w:val="76CC763E"/>
    <w:rsid w:val="76CF105C"/>
    <w:rsid w:val="76DF4924"/>
    <w:rsid w:val="76E34668"/>
    <w:rsid w:val="76F02098"/>
    <w:rsid w:val="76F35976"/>
    <w:rsid w:val="76FB7C23"/>
    <w:rsid w:val="76FC595B"/>
    <w:rsid w:val="770539C1"/>
    <w:rsid w:val="77154F40"/>
    <w:rsid w:val="7719221D"/>
    <w:rsid w:val="771D7AFA"/>
    <w:rsid w:val="772F28D5"/>
    <w:rsid w:val="773E131C"/>
    <w:rsid w:val="77514A70"/>
    <w:rsid w:val="775556B3"/>
    <w:rsid w:val="77560535"/>
    <w:rsid w:val="77583D64"/>
    <w:rsid w:val="775D310E"/>
    <w:rsid w:val="77653ACF"/>
    <w:rsid w:val="776B2934"/>
    <w:rsid w:val="776C2FF9"/>
    <w:rsid w:val="77823383"/>
    <w:rsid w:val="7783056B"/>
    <w:rsid w:val="778B2327"/>
    <w:rsid w:val="778D2A54"/>
    <w:rsid w:val="77915E48"/>
    <w:rsid w:val="7792467E"/>
    <w:rsid w:val="77A908D4"/>
    <w:rsid w:val="77AC4A81"/>
    <w:rsid w:val="77B82832"/>
    <w:rsid w:val="77C91CB8"/>
    <w:rsid w:val="77D0750B"/>
    <w:rsid w:val="77D93481"/>
    <w:rsid w:val="77DA1060"/>
    <w:rsid w:val="77DC668C"/>
    <w:rsid w:val="77DF065C"/>
    <w:rsid w:val="77E66378"/>
    <w:rsid w:val="77F273D8"/>
    <w:rsid w:val="77FB2812"/>
    <w:rsid w:val="78022FDE"/>
    <w:rsid w:val="78072EA4"/>
    <w:rsid w:val="780D421E"/>
    <w:rsid w:val="78120E1B"/>
    <w:rsid w:val="7821427B"/>
    <w:rsid w:val="783F411A"/>
    <w:rsid w:val="78576968"/>
    <w:rsid w:val="78625B50"/>
    <w:rsid w:val="78666846"/>
    <w:rsid w:val="786B48F9"/>
    <w:rsid w:val="786C5D85"/>
    <w:rsid w:val="786E4DD2"/>
    <w:rsid w:val="78704B5F"/>
    <w:rsid w:val="787410D9"/>
    <w:rsid w:val="78787F87"/>
    <w:rsid w:val="787A14BF"/>
    <w:rsid w:val="788E1BEE"/>
    <w:rsid w:val="78951396"/>
    <w:rsid w:val="789575A2"/>
    <w:rsid w:val="789772EA"/>
    <w:rsid w:val="789978D2"/>
    <w:rsid w:val="789A3FB0"/>
    <w:rsid w:val="78A6102E"/>
    <w:rsid w:val="78AB7035"/>
    <w:rsid w:val="78AC2C4D"/>
    <w:rsid w:val="78B77947"/>
    <w:rsid w:val="78C64762"/>
    <w:rsid w:val="78CF07AC"/>
    <w:rsid w:val="78DF761C"/>
    <w:rsid w:val="78E27CBF"/>
    <w:rsid w:val="78E41E10"/>
    <w:rsid w:val="78E90148"/>
    <w:rsid w:val="78E9381B"/>
    <w:rsid w:val="78F271D7"/>
    <w:rsid w:val="78F31C00"/>
    <w:rsid w:val="78F3794D"/>
    <w:rsid w:val="790009B6"/>
    <w:rsid w:val="79041A64"/>
    <w:rsid w:val="79073292"/>
    <w:rsid w:val="79083113"/>
    <w:rsid w:val="79101DE6"/>
    <w:rsid w:val="79150DEB"/>
    <w:rsid w:val="791A77A8"/>
    <w:rsid w:val="791E479F"/>
    <w:rsid w:val="791F6672"/>
    <w:rsid w:val="79215340"/>
    <w:rsid w:val="792C20EC"/>
    <w:rsid w:val="792E1E94"/>
    <w:rsid w:val="793F37B1"/>
    <w:rsid w:val="794814AA"/>
    <w:rsid w:val="79507CCE"/>
    <w:rsid w:val="79527482"/>
    <w:rsid w:val="796C3D0C"/>
    <w:rsid w:val="7977759C"/>
    <w:rsid w:val="797875E2"/>
    <w:rsid w:val="7988126F"/>
    <w:rsid w:val="798B7B54"/>
    <w:rsid w:val="799114EA"/>
    <w:rsid w:val="79A876C5"/>
    <w:rsid w:val="79AF3DC5"/>
    <w:rsid w:val="79C3570F"/>
    <w:rsid w:val="79C6076E"/>
    <w:rsid w:val="79CF12D7"/>
    <w:rsid w:val="79D80BE1"/>
    <w:rsid w:val="79DE0095"/>
    <w:rsid w:val="79EC0EF4"/>
    <w:rsid w:val="79ED5DA7"/>
    <w:rsid w:val="79ED7BF5"/>
    <w:rsid w:val="79F375CC"/>
    <w:rsid w:val="79F968C8"/>
    <w:rsid w:val="79FB505C"/>
    <w:rsid w:val="7A0E3DF3"/>
    <w:rsid w:val="7A165A8A"/>
    <w:rsid w:val="7A1E6D59"/>
    <w:rsid w:val="7A221A11"/>
    <w:rsid w:val="7A24330C"/>
    <w:rsid w:val="7A2D70B2"/>
    <w:rsid w:val="7A326D3D"/>
    <w:rsid w:val="7A424AD9"/>
    <w:rsid w:val="7A497DC2"/>
    <w:rsid w:val="7A612E31"/>
    <w:rsid w:val="7A626B2C"/>
    <w:rsid w:val="7A6F1486"/>
    <w:rsid w:val="7A761088"/>
    <w:rsid w:val="7A7715A2"/>
    <w:rsid w:val="7A7F60D1"/>
    <w:rsid w:val="7A8025F7"/>
    <w:rsid w:val="7A8650BD"/>
    <w:rsid w:val="7A98500E"/>
    <w:rsid w:val="7A9C4FF3"/>
    <w:rsid w:val="7A9F5728"/>
    <w:rsid w:val="7AA56864"/>
    <w:rsid w:val="7AAA217C"/>
    <w:rsid w:val="7AAE3407"/>
    <w:rsid w:val="7AB55B92"/>
    <w:rsid w:val="7AB86D75"/>
    <w:rsid w:val="7AB902F6"/>
    <w:rsid w:val="7AB93D30"/>
    <w:rsid w:val="7ABD18FF"/>
    <w:rsid w:val="7AC0670E"/>
    <w:rsid w:val="7ACE0684"/>
    <w:rsid w:val="7AD81B7E"/>
    <w:rsid w:val="7ADA6124"/>
    <w:rsid w:val="7AE45532"/>
    <w:rsid w:val="7AE82707"/>
    <w:rsid w:val="7AF226B1"/>
    <w:rsid w:val="7AF27D45"/>
    <w:rsid w:val="7AF609B5"/>
    <w:rsid w:val="7AFF4711"/>
    <w:rsid w:val="7B007416"/>
    <w:rsid w:val="7B0940E7"/>
    <w:rsid w:val="7B182183"/>
    <w:rsid w:val="7B19134A"/>
    <w:rsid w:val="7B28225E"/>
    <w:rsid w:val="7B29084A"/>
    <w:rsid w:val="7B3319CF"/>
    <w:rsid w:val="7B354382"/>
    <w:rsid w:val="7B372F65"/>
    <w:rsid w:val="7B3A6BDF"/>
    <w:rsid w:val="7B3C1F7D"/>
    <w:rsid w:val="7B47007E"/>
    <w:rsid w:val="7B544A64"/>
    <w:rsid w:val="7B68023D"/>
    <w:rsid w:val="7B691DCE"/>
    <w:rsid w:val="7B7E1F95"/>
    <w:rsid w:val="7B863477"/>
    <w:rsid w:val="7B8E47AF"/>
    <w:rsid w:val="7B9663F0"/>
    <w:rsid w:val="7B977DAA"/>
    <w:rsid w:val="7B981B14"/>
    <w:rsid w:val="7B9A151E"/>
    <w:rsid w:val="7B9B473C"/>
    <w:rsid w:val="7BA74C09"/>
    <w:rsid w:val="7BA80D18"/>
    <w:rsid w:val="7BA9632A"/>
    <w:rsid w:val="7BAD61C9"/>
    <w:rsid w:val="7BAE13D5"/>
    <w:rsid w:val="7BAE275F"/>
    <w:rsid w:val="7BB46FAC"/>
    <w:rsid w:val="7BB52976"/>
    <w:rsid w:val="7BB56A53"/>
    <w:rsid w:val="7BC021B0"/>
    <w:rsid w:val="7BC77989"/>
    <w:rsid w:val="7BCD576B"/>
    <w:rsid w:val="7BD161A0"/>
    <w:rsid w:val="7BD953C3"/>
    <w:rsid w:val="7BEF71C2"/>
    <w:rsid w:val="7BF05623"/>
    <w:rsid w:val="7BFB35B2"/>
    <w:rsid w:val="7BFF6F6F"/>
    <w:rsid w:val="7C0915AE"/>
    <w:rsid w:val="7C1065EC"/>
    <w:rsid w:val="7C1449D0"/>
    <w:rsid w:val="7C1B6C7E"/>
    <w:rsid w:val="7C1D3961"/>
    <w:rsid w:val="7C2A6DEA"/>
    <w:rsid w:val="7C2E3626"/>
    <w:rsid w:val="7C395C46"/>
    <w:rsid w:val="7C3A1137"/>
    <w:rsid w:val="7C3D4391"/>
    <w:rsid w:val="7C40528B"/>
    <w:rsid w:val="7C444CF8"/>
    <w:rsid w:val="7C4E6C7C"/>
    <w:rsid w:val="7C512E85"/>
    <w:rsid w:val="7C561191"/>
    <w:rsid w:val="7C6823BE"/>
    <w:rsid w:val="7C6975A9"/>
    <w:rsid w:val="7C7160C9"/>
    <w:rsid w:val="7C7F77DF"/>
    <w:rsid w:val="7C821FDC"/>
    <w:rsid w:val="7C8371B3"/>
    <w:rsid w:val="7C8426BC"/>
    <w:rsid w:val="7C94769A"/>
    <w:rsid w:val="7C9A5D0B"/>
    <w:rsid w:val="7CAE3FDD"/>
    <w:rsid w:val="7CBA63FB"/>
    <w:rsid w:val="7CBC6D70"/>
    <w:rsid w:val="7CBD2654"/>
    <w:rsid w:val="7CBF5429"/>
    <w:rsid w:val="7CD607F6"/>
    <w:rsid w:val="7CE84271"/>
    <w:rsid w:val="7CEC027A"/>
    <w:rsid w:val="7CEC5AA8"/>
    <w:rsid w:val="7CEC6FE9"/>
    <w:rsid w:val="7CED5325"/>
    <w:rsid w:val="7CF2748B"/>
    <w:rsid w:val="7CF35DDE"/>
    <w:rsid w:val="7CF51B63"/>
    <w:rsid w:val="7CF8049C"/>
    <w:rsid w:val="7CF84703"/>
    <w:rsid w:val="7CFE5896"/>
    <w:rsid w:val="7D0554BA"/>
    <w:rsid w:val="7D0D7D48"/>
    <w:rsid w:val="7D12671E"/>
    <w:rsid w:val="7D273622"/>
    <w:rsid w:val="7D287965"/>
    <w:rsid w:val="7D4251BD"/>
    <w:rsid w:val="7D431846"/>
    <w:rsid w:val="7D4448E3"/>
    <w:rsid w:val="7D451CAD"/>
    <w:rsid w:val="7D4C09B1"/>
    <w:rsid w:val="7D607ABF"/>
    <w:rsid w:val="7D673CA9"/>
    <w:rsid w:val="7D67461A"/>
    <w:rsid w:val="7D696795"/>
    <w:rsid w:val="7D762D06"/>
    <w:rsid w:val="7D766C94"/>
    <w:rsid w:val="7D8313FA"/>
    <w:rsid w:val="7D8A0046"/>
    <w:rsid w:val="7D931EC1"/>
    <w:rsid w:val="7DBF451B"/>
    <w:rsid w:val="7DC139B5"/>
    <w:rsid w:val="7DC518DD"/>
    <w:rsid w:val="7DC774DD"/>
    <w:rsid w:val="7DCA747B"/>
    <w:rsid w:val="7DD441EB"/>
    <w:rsid w:val="7DD71D69"/>
    <w:rsid w:val="7DE92089"/>
    <w:rsid w:val="7DEE23C1"/>
    <w:rsid w:val="7DF11250"/>
    <w:rsid w:val="7DF258AE"/>
    <w:rsid w:val="7DF93975"/>
    <w:rsid w:val="7E187C04"/>
    <w:rsid w:val="7E1C4369"/>
    <w:rsid w:val="7E434B4D"/>
    <w:rsid w:val="7E44281B"/>
    <w:rsid w:val="7E4703D6"/>
    <w:rsid w:val="7E592945"/>
    <w:rsid w:val="7E602E4A"/>
    <w:rsid w:val="7E61127B"/>
    <w:rsid w:val="7E620F92"/>
    <w:rsid w:val="7E641663"/>
    <w:rsid w:val="7E6A2E14"/>
    <w:rsid w:val="7E6D011C"/>
    <w:rsid w:val="7E706E3E"/>
    <w:rsid w:val="7E722F3A"/>
    <w:rsid w:val="7E741610"/>
    <w:rsid w:val="7E750F24"/>
    <w:rsid w:val="7E8660D0"/>
    <w:rsid w:val="7E885B32"/>
    <w:rsid w:val="7E975F10"/>
    <w:rsid w:val="7E9C140B"/>
    <w:rsid w:val="7EA03E00"/>
    <w:rsid w:val="7EA22DFC"/>
    <w:rsid w:val="7EA36D0F"/>
    <w:rsid w:val="7EA66BD6"/>
    <w:rsid w:val="7EA7120C"/>
    <w:rsid w:val="7EA87E0C"/>
    <w:rsid w:val="7EB43B0B"/>
    <w:rsid w:val="7EB72412"/>
    <w:rsid w:val="7EBE46D0"/>
    <w:rsid w:val="7EBF44B5"/>
    <w:rsid w:val="7EC05132"/>
    <w:rsid w:val="7EC81B12"/>
    <w:rsid w:val="7EC932C7"/>
    <w:rsid w:val="7ED47721"/>
    <w:rsid w:val="7ED92421"/>
    <w:rsid w:val="7EDC23EC"/>
    <w:rsid w:val="7EE31608"/>
    <w:rsid w:val="7EE73F34"/>
    <w:rsid w:val="7EED11CF"/>
    <w:rsid w:val="7EFB3D84"/>
    <w:rsid w:val="7F04112D"/>
    <w:rsid w:val="7F0D5B31"/>
    <w:rsid w:val="7F124073"/>
    <w:rsid w:val="7F15741E"/>
    <w:rsid w:val="7F1A28F4"/>
    <w:rsid w:val="7F1C6EF2"/>
    <w:rsid w:val="7F1E4274"/>
    <w:rsid w:val="7F291E09"/>
    <w:rsid w:val="7F310F6B"/>
    <w:rsid w:val="7F323B39"/>
    <w:rsid w:val="7F445491"/>
    <w:rsid w:val="7F5168FF"/>
    <w:rsid w:val="7F544A77"/>
    <w:rsid w:val="7F555F62"/>
    <w:rsid w:val="7F5851AA"/>
    <w:rsid w:val="7F6E2514"/>
    <w:rsid w:val="7F7B7F13"/>
    <w:rsid w:val="7F7E5882"/>
    <w:rsid w:val="7F8C32F3"/>
    <w:rsid w:val="7F9F7615"/>
    <w:rsid w:val="7FAA15DA"/>
    <w:rsid w:val="7FAB1120"/>
    <w:rsid w:val="7FBE2049"/>
    <w:rsid w:val="7FBF0D15"/>
    <w:rsid w:val="7FC33949"/>
    <w:rsid w:val="7FC7322C"/>
    <w:rsid w:val="7FD15A2A"/>
    <w:rsid w:val="7FDE029F"/>
    <w:rsid w:val="7FE9691C"/>
    <w:rsid w:val="F35ED7C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99"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32"/>
    <w:unhideWhenUsed/>
    <w:qFormat/>
    <w:uiPriority w:val="9"/>
    <w:pPr>
      <w:keepNext/>
      <w:keepLines/>
      <w:spacing w:before="260" w:after="260" w:line="416" w:lineRule="auto"/>
      <w:outlineLvl w:val="1"/>
    </w:pPr>
    <w:rPr>
      <w:rFonts w:ascii="Calibri Light" w:hAnsi="Calibri Light"/>
      <w:b/>
      <w:bCs/>
      <w:sz w:val="32"/>
      <w:szCs w:val="32"/>
    </w:rPr>
  </w:style>
  <w:style w:type="paragraph" w:styleId="4">
    <w:name w:val="heading 3"/>
    <w:basedOn w:val="1"/>
    <w:next w:val="1"/>
    <w:unhideWhenUsed/>
    <w:qFormat/>
    <w:uiPriority w:val="0"/>
    <w:pPr>
      <w:spacing w:beforeAutospacing="1" w:afterAutospacing="1"/>
      <w:jc w:val="left"/>
      <w:outlineLvl w:val="2"/>
    </w:pPr>
    <w:rPr>
      <w:rFonts w:hint="eastAsia" w:ascii="宋体" w:hAnsi="宋体"/>
      <w:b/>
      <w:kern w:val="0"/>
      <w:sz w:val="27"/>
      <w:szCs w:val="27"/>
    </w:rPr>
  </w:style>
  <w:style w:type="character" w:default="1" w:styleId="22">
    <w:name w:val="Default Paragraph Font"/>
    <w:unhideWhenUsed/>
    <w:qFormat/>
    <w:uiPriority w:val="1"/>
  </w:style>
  <w:style w:type="table" w:default="1" w:styleId="20">
    <w:name w:val="Normal Table"/>
    <w:unhideWhenUsed/>
    <w:qFormat/>
    <w:uiPriority w:val="99"/>
    <w:tblPr>
      <w:tblCellMar>
        <w:top w:w="0" w:type="dxa"/>
        <w:left w:w="108" w:type="dxa"/>
        <w:bottom w:w="0" w:type="dxa"/>
        <w:right w:w="108" w:type="dxa"/>
      </w:tblCellMar>
    </w:tblPr>
  </w:style>
  <w:style w:type="paragraph" w:styleId="5">
    <w:name w:val="caption"/>
    <w:basedOn w:val="1"/>
    <w:next w:val="1"/>
    <w:unhideWhenUsed/>
    <w:qFormat/>
    <w:uiPriority w:val="0"/>
    <w:rPr>
      <w:rFonts w:ascii="Arial" w:hAnsi="Arial" w:eastAsia="黑体"/>
      <w:sz w:val="20"/>
    </w:rPr>
  </w:style>
  <w:style w:type="paragraph" w:styleId="6">
    <w:name w:val="annotation text"/>
    <w:basedOn w:val="1"/>
    <w:link w:val="35"/>
    <w:qFormat/>
    <w:uiPriority w:val="0"/>
    <w:pPr>
      <w:jc w:val="left"/>
    </w:pPr>
  </w:style>
  <w:style w:type="paragraph" w:styleId="7">
    <w:name w:val="Body Text"/>
    <w:basedOn w:val="1"/>
    <w:next w:val="1"/>
    <w:qFormat/>
    <w:uiPriority w:val="0"/>
    <w:pPr>
      <w:spacing w:after="120" w:afterLines="0" w:afterAutospacing="0"/>
    </w:pPr>
  </w:style>
  <w:style w:type="paragraph" w:styleId="8">
    <w:name w:val="Body Text Indent"/>
    <w:basedOn w:val="1"/>
    <w:qFormat/>
    <w:uiPriority w:val="0"/>
    <w:pPr>
      <w:ind w:firstLine="560" w:firstLineChars="200"/>
    </w:pPr>
    <w:rPr>
      <w:rFonts w:ascii="仿宋_GB2312" w:eastAsia="仿宋_GB2312"/>
      <w:sz w:val="28"/>
      <w:szCs w:val="32"/>
    </w:rPr>
  </w:style>
  <w:style w:type="paragraph" w:styleId="9">
    <w:name w:val="toc 3"/>
    <w:basedOn w:val="1"/>
    <w:next w:val="1"/>
    <w:qFormat/>
    <w:uiPriority w:val="39"/>
    <w:pPr>
      <w:ind w:left="840" w:leftChars="400"/>
    </w:pPr>
  </w:style>
  <w:style w:type="paragraph" w:styleId="10">
    <w:name w:val="endnote text"/>
    <w:basedOn w:val="1"/>
    <w:link w:val="38"/>
    <w:qFormat/>
    <w:uiPriority w:val="0"/>
    <w:pPr>
      <w:snapToGrid w:val="0"/>
      <w:jc w:val="left"/>
    </w:pPr>
  </w:style>
  <w:style w:type="paragraph" w:styleId="11">
    <w:name w:val="Balloon Text"/>
    <w:basedOn w:val="1"/>
    <w:link w:val="37"/>
    <w:qFormat/>
    <w:uiPriority w:val="0"/>
    <w:rPr>
      <w:sz w:val="18"/>
      <w:szCs w:val="18"/>
    </w:rPr>
  </w:style>
  <w:style w:type="paragraph" w:styleId="12">
    <w:name w:val="footer"/>
    <w:basedOn w:val="1"/>
    <w:unhideWhenUsed/>
    <w:qFormat/>
    <w:uiPriority w:val="99"/>
    <w:pPr>
      <w:tabs>
        <w:tab w:val="center" w:pos="4153"/>
        <w:tab w:val="right" w:pos="8306"/>
      </w:tabs>
      <w:snapToGrid w:val="0"/>
      <w:jc w:val="left"/>
    </w:pPr>
    <w:rPr>
      <w:sz w:val="18"/>
      <w:szCs w:val="18"/>
    </w:rPr>
  </w:style>
  <w:style w:type="paragraph" w:styleId="13">
    <w:name w:val="header"/>
    <w:basedOn w:val="1"/>
    <w:link w:val="31"/>
    <w:qFormat/>
    <w:uiPriority w:val="0"/>
    <w:pPr>
      <w:pBdr>
        <w:bottom w:val="single" w:color="auto" w:sz="6" w:space="1"/>
      </w:pBdr>
      <w:tabs>
        <w:tab w:val="center" w:pos="4153"/>
        <w:tab w:val="right" w:pos="8306"/>
      </w:tabs>
      <w:snapToGrid w:val="0"/>
      <w:jc w:val="center"/>
    </w:pPr>
    <w:rPr>
      <w:sz w:val="18"/>
      <w:szCs w:val="18"/>
    </w:rPr>
  </w:style>
  <w:style w:type="paragraph" w:styleId="14">
    <w:name w:val="toc 1"/>
    <w:basedOn w:val="1"/>
    <w:next w:val="1"/>
    <w:qFormat/>
    <w:uiPriority w:val="39"/>
    <w:pPr>
      <w:spacing w:before="360"/>
      <w:jc w:val="left"/>
    </w:pPr>
    <w:rPr>
      <w:rFonts w:ascii="Cambria" w:hAnsi="Cambria" w:eastAsia="仿宋_GB2312"/>
      <w:b/>
      <w:bCs/>
      <w:caps/>
      <w:w w:val="90"/>
      <w:sz w:val="24"/>
      <w:szCs w:val="24"/>
    </w:rPr>
  </w:style>
  <w:style w:type="paragraph" w:styleId="15">
    <w:name w:val="footnote text"/>
    <w:basedOn w:val="1"/>
    <w:link w:val="30"/>
    <w:qFormat/>
    <w:uiPriority w:val="99"/>
    <w:pPr>
      <w:snapToGrid w:val="0"/>
      <w:jc w:val="left"/>
    </w:pPr>
    <w:rPr>
      <w:sz w:val="18"/>
      <w:szCs w:val="18"/>
    </w:rPr>
  </w:style>
  <w:style w:type="paragraph" w:styleId="16">
    <w:name w:val="toc 2"/>
    <w:basedOn w:val="1"/>
    <w:next w:val="1"/>
    <w:qFormat/>
    <w:uiPriority w:val="39"/>
    <w:pPr>
      <w:tabs>
        <w:tab w:val="right" w:leader="dot" w:pos="8680"/>
      </w:tabs>
      <w:ind w:left="420" w:leftChars="200"/>
      <w:jc w:val="center"/>
    </w:pPr>
    <w:rPr>
      <w:rFonts w:ascii="黑体" w:hAnsi="黑体" w:eastAsia="黑体" w:cs="黑体"/>
      <w:sz w:val="32"/>
      <w:szCs w:val="32"/>
    </w:rPr>
  </w:style>
  <w:style w:type="paragraph" w:styleId="17">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8">
    <w:name w:val="annotation subject"/>
    <w:basedOn w:val="6"/>
    <w:next w:val="6"/>
    <w:link w:val="34"/>
    <w:qFormat/>
    <w:uiPriority w:val="0"/>
    <w:rPr>
      <w:b/>
      <w:bCs/>
    </w:rPr>
  </w:style>
  <w:style w:type="paragraph" w:styleId="19">
    <w:name w:val="Body Text First Indent 2"/>
    <w:basedOn w:val="8"/>
    <w:qFormat/>
    <w:uiPriority w:val="99"/>
    <w:pPr>
      <w:tabs>
        <w:tab w:val="left" w:pos="5580"/>
      </w:tabs>
      <w:spacing w:after="120" w:line="240" w:lineRule="auto"/>
      <w:ind w:left="420" w:leftChars="200" w:firstLine="420" w:firstLineChars="200"/>
    </w:pPr>
    <w:rPr>
      <w:sz w:val="21"/>
      <w:szCs w:val="20"/>
    </w:rPr>
  </w:style>
  <w:style w:type="table" w:styleId="21">
    <w:name w:val="Table Grid"/>
    <w:basedOn w:val="2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3">
    <w:name w:val="endnote reference"/>
    <w:basedOn w:val="22"/>
    <w:qFormat/>
    <w:uiPriority w:val="0"/>
    <w:rPr>
      <w:vertAlign w:val="superscript"/>
    </w:rPr>
  </w:style>
  <w:style w:type="character" w:styleId="24">
    <w:name w:val="Hyperlink"/>
    <w:qFormat/>
    <w:uiPriority w:val="99"/>
    <w:rPr>
      <w:rFonts w:cs="Times New Roman"/>
      <w:color w:val="0000FF"/>
      <w:u w:val="single"/>
    </w:rPr>
  </w:style>
  <w:style w:type="character" w:styleId="25">
    <w:name w:val="annotation reference"/>
    <w:basedOn w:val="22"/>
    <w:qFormat/>
    <w:uiPriority w:val="0"/>
    <w:rPr>
      <w:sz w:val="21"/>
      <w:szCs w:val="21"/>
    </w:rPr>
  </w:style>
  <w:style w:type="character" w:styleId="26">
    <w:name w:val="footnote reference"/>
    <w:basedOn w:val="22"/>
    <w:qFormat/>
    <w:uiPriority w:val="0"/>
    <w:rPr>
      <w:vertAlign w:val="superscript"/>
    </w:rPr>
  </w:style>
  <w:style w:type="paragraph" w:customStyle="1" w:styleId="27">
    <w:name w:val="Char Char Char Char"/>
    <w:basedOn w:val="1"/>
    <w:qFormat/>
    <w:uiPriority w:val="0"/>
    <w:pPr>
      <w:widowControl/>
      <w:spacing w:after="160" w:line="240" w:lineRule="exact"/>
      <w:jc w:val="left"/>
    </w:pPr>
    <w:rPr>
      <w:rFonts w:ascii="Tahoma" w:hAnsi="Tahoma" w:cs="黑体"/>
      <w:kern w:val="0"/>
      <w:sz w:val="24"/>
    </w:rPr>
  </w:style>
  <w:style w:type="paragraph" w:customStyle="1" w:styleId="28">
    <w:name w:val="List Paragraph"/>
    <w:basedOn w:val="1"/>
    <w:unhideWhenUsed/>
    <w:qFormat/>
    <w:uiPriority w:val="34"/>
    <w:pPr>
      <w:ind w:firstLine="420" w:firstLineChars="200"/>
    </w:pPr>
  </w:style>
  <w:style w:type="paragraph" w:customStyle="1" w:styleId="29">
    <w:name w:val="默认段落字体 Para Char Char Char Char Char Char Char"/>
    <w:basedOn w:val="1"/>
    <w:qFormat/>
    <w:uiPriority w:val="0"/>
    <w:rPr>
      <w:rFonts w:ascii="Tahoma" w:hAnsi="Tahoma"/>
      <w:sz w:val="24"/>
      <w:szCs w:val="20"/>
    </w:rPr>
  </w:style>
  <w:style w:type="character" w:customStyle="1" w:styleId="30">
    <w:name w:val="脚注文本 Char"/>
    <w:basedOn w:val="22"/>
    <w:link w:val="15"/>
    <w:qFormat/>
    <w:uiPriority w:val="99"/>
    <w:rPr>
      <w:rFonts w:ascii="Calibri" w:hAnsi="Calibri"/>
      <w:kern w:val="2"/>
      <w:sz w:val="18"/>
      <w:szCs w:val="18"/>
    </w:rPr>
  </w:style>
  <w:style w:type="character" w:customStyle="1" w:styleId="31">
    <w:name w:val="页眉 Char"/>
    <w:basedOn w:val="22"/>
    <w:link w:val="13"/>
    <w:qFormat/>
    <w:uiPriority w:val="0"/>
    <w:rPr>
      <w:rFonts w:ascii="Calibri" w:hAnsi="Calibri"/>
      <w:kern w:val="2"/>
      <w:sz w:val="18"/>
      <w:szCs w:val="18"/>
    </w:rPr>
  </w:style>
  <w:style w:type="character" w:customStyle="1" w:styleId="32">
    <w:name w:val="标题 2 Char"/>
    <w:basedOn w:val="22"/>
    <w:link w:val="3"/>
    <w:qFormat/>
    <w:uiPriority w:val="9"/>
    <w:rPr>
      <w:rFonts w:ascii="Calibri Light" w:hAnsi="Calibri Light" w:eastAsia="宋体" w:cs="Times New Roman"/>
      <w:b/>
      <w:bCs/>
      <w:kern w:val="2"/>
      <w:sz w:val="32"/>
      <w:szCs w:val="32"/>
    </w:rPr>
  </w:style>
  <w:style w:type="character" w:customStyle="1" w:styleId="33">
    <w:name w:val="font11"/>
    <w:basedOn w:val="22"/>
    <w:qFormat/>
    <w:uiPriority w:val="0"/>
    <w:rPr>
      <w:rFonts w:hint="eastAsia" w:ascii="宋体" w:hAnsi="宋体" w:eastAsia="宋体" w:cs="宋体"/>
      <w:color w:val="000000"/>
      <w:sz w:val="20"/>
      <w:szCs w:val="20"/>
      <w:u w:val="none"/>
    </w:rPr>
  </w:style>
  <w:style w:type="character" w:customStyle="1" w:styleId="34">
    <w:name w:val="批注主题 Char"/>
    <w:basedOn w:val="35"/>
    <w:link w:val="18"/>
    <w:qFormat/>
    <w:uiPriority w:val="0"/>
    <w:rPr>
      <w:rFonts w:ascii="Calibri" w:hAnsi="Calibri"/>
      <w:b/>
      <w:bCs/>
      <w:kern w:val="2"/>
      <w:sz w:val="21"/>
      <w:szCs w:val="22"/>
    </w:rPr>
  </w:style>
  <w:style w:type="character" w:customStyle="1" w:styleId="35">
    <w:name w:val="批注文字 Char"/>
    <w:basedOn w:val="22"/>
    <w:link w:val="6"/>
    <w:qFormat/>
    <w:uiPriority w:val="0"/>
    <w:rPr>
      <w:rFonts w:ascii="Calibri" w:hAnsi="Calibri"/>
      <w:kern w:val="2"/>
      <w:sz w:val="21"/>
      <w:szCs w:val="22"/>
    </w:rPr>
  </w:style>
  <w:style w:type="character" w:customStyle="1" w:styleId="36">
    <w:name w:val="font31"/>
    <w:basedOn w:val="22"/>
    <w:qFormat/>
    <w:uiPriority w:val="0"/>
    <w:rPr>
      <w:rFonts w:hint="eastAsia" w:ascii="宋体" w:hAnsi="宋体" w:eastAsia="宋体" w:cs="宋体"/>
      <w:color w:val="000000"/>
      <w:sz w:val="20"/>
      <w:szCs w:val="20"/>
      <w:u w:val="none"/>
    </w:rPr>
  </w:style>
  <w:style w:type="character" w:customStyle="1" w:styleId="37">
    <w:name w:val="批注框文本 Char"/>
    <w:basedOn w:val="22"/>
    <w:link w:val="11"/>
    <w:qFormat/>
    <w:uiPriority w:val="0"/>
    <w:rPr>
      <w:rFonts w:ascii="Calibri" w:hAnsi="Calibri"/>
      <w:kern w:val="2"/>
      <w:sz w:val="18"/>
      <w:szCs w:val="18"/>
    </w:rPr>
  </w:style>
  <w:style w:type="character" w:customStyle="1" w:styleId="38">
    <w:name w:val="尾注文本 Char"/>
    <w:basedOn w:val="22"/>
    <w:link w:val="10"/>
    <w:qFormat/>
    <w:uiPriority w:val="0"/>
    <w:rPr>
      <w:rFonts w:ascii="Calibri" w:hAnsi="Calibri"/>
      <w:kern w:val="2"/>
      <w:sz w:val="21"/>
      <w:szCs w:val="22"/>
    </w:rPr>
  </w:style>
  <w:style w:type="character" w:customStyle="1" w:styleId="39">
    <w:name w:val="s6"/>
    <w:qFormat/>
    <w:uiPriority w:val="99"/>
    <w:rPr>
      <w:rFonts w:cs="Times New Roma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231</Words>
  <Characters>248</Characters>
  <Lines>114</Lines>
  <Paragraphs>32</Paragraphs>
  <TotalTime>25</TotalTime>
  <ScaleCrop>false</ScaleCrop>
  <LinksUpToDate>false</LinksUpToDate>
  <CharactersWithSpaces>267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2019-06-29T15:15:00Z</dcterms:created>
  <dc:creator>Administrator</dc:creator>
  <cp:lastModifiedBy>行者＆虽千万里吾往矣</cp:lastModifiedBy>
  <cp:lastPrinted>2019-07-15T09:04:00Z</cp:lastPrinted>
  <dcterms:modified xsi:type="dcterms:W3CDTF">2025-08-26T08:29:50Z</dcterms:modified>
  <dc:title>2020年度北京市规划和自然资源委员会</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C32265957F0F4A209C23A62FE13DF808_13</vt:lpwstr>
  </property>
  <property fmtid="{D5CDD505-2E9C-101B-9397-08002B2CF9AE}" pid="4" name="KSOTemplateDocerSaveRecord">
    <vt:lpwstr>eyJoZGlkIjoiYzhiMDA1YjBhYWMzZGQyNWM5MDU4Y2JhMzJjNGZjYWIiLCJ1c2VySWQiOiI1NDIzMzM5MjMifQ==</vt:lpwstr>
  </property>
</Properties>
</file>