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方正小标宋简体" w:hAnsi="方正小标宋简体" w:eastAsia="方正小标宋简体" w:cs="方正小标宋简体"/>
          <w:sz w:val="52"/>
          <w:szCs w:val="52"/>
          <w:lang w:eastAsia="zh-CN"/>
        </w:rPr>
      </w:pPr>
    </w:p>
    <w:p>
      <w:pPr>
        <w:ind w:left="0" w:leftChars="0" w:firstLine="0" w:firstLineChars="0"/>
        <w:jc w:val="center"/>
        <w:rPr>
          <w:rFonts w:hint="eastAsia" w:ascii="方正小标宋简体" w:hAnsi="方正小标宋简体" w:eastAsia="方正小标宋简体" w:cs="方正小标宋简体"/>
          <w:sz w:val="52"/>
          <w:szCs w:val="52"/>
          <w:lang w:eastAsia="zh-CN"/>
        </w:rPr>
      </w:pPr>
    </w:p>
    <w:p>
      <w:pPr>
        <w:ind w:left="0" w:leftChars="0" w:firstLine="0" w:firstLineChars="0"/>
        <w:jc w:val="center"/>
        <w:rPr>
          <w:rFonts w:hint="eastAsia" w:ascii="方正小标宋简体" w:hAnsi="方正小标宋简体" w:eastAsia="方正小标宋简体" w:cs="方正小标宋简体"/>
          <w:sz w:val="48"/>
          <w:szCs w:val="48"/>
          <w:lang w:val="en-US" w:eastAsia="zh-CN"/>
        </w:rPr>
      </w:pPr>
      <w:r>
        <w:rPr>
          <w:rFonts w:hint="eastAsia" w:ascii="方正小标宋简体" w:hAnsi="方正小标宋简体" w:eastAsia="方正小标宋简体" w:cs="方正小标宋简体"/>
          <w:sz w:val="48"/>
          <w:szCs w:val="48"/>
          <w:lang w:eastAsia="zh-CN"/>
        </w:rPr>
        <w:t>中国国民党革命委员会北京市委员会</w:t>
      </w:r>
      <w:r>
        <w:rPr>
          <w:rFonts w:hint="eastAsia" w:ascii="方正小标宋简体" w:hAnsi="方正小标宋简体" w:eastAsia="方正小标宋简体" w:cs="方正小标宋简体"/>
          <w:sz w:val="48"/>
          <w:szCs w:val="48"/>
          <w:lang w:val="en-US" w:eastAsia="zh-CN"/>
        </w:rPr>
        <w:t>2024年度部门整体绩效评价报告</w:t>
      </w: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pStyle w:val="9"/>
        <w:rPr>
          <w:rFonts w:hint="eastAsia" w:ascii="方正小标宋简体" w:hAnsi="方正小标宋简体" w:eastAsia="方正小标宋简体" w:cs="方正小标宋简体"/>
          <w:sz w:val="52"/>
          <w:szCs w:val="52"/>
          <w:lang w:val="en-US" w:eastAsia="zh-CN"/>
        </w:rPr>
      </w:pPr>
    </w:p>
    <w:p>
      <w:pPr>
        <w:pStyle w:val="9"/>
        <w:rPr>
          <w:rFonts w:hint="eastAsia" w:ascii="方正小标宋简体" w:hAnsi="方正小标宋简体" w:eastAsia="方正小标宋简体" w:cs="方正小标宋简体"/>
          <w:sz w:val="52"/>
          <w:szCs w:val="52"/>
          <w:lang w:val="en-US" w:eastAsia="zh-CN"/>
        </w:rPr>
      </w:pP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pStyle w:val="9"/>
        <w:rPr>
          <w:rFonts w:hint="eastAsia"/>
          <w:lang w:val="en-US" w:eastAsia="zh-CN"/>
        </w:rPr>
      </w:pPr>
    </w:p>
    <w:p>
      <w:pPr>
        <w:ind w:left="0" w:leftChars="0" w:firstLine="0" w:firstLineChars="0"/>
        <w:jc w:val="center"/>
        <w:rPr>
          <w:rFonts w:hint="eastAsia" w:ascii="方正小标宋简体" w:hAnsi="方正小标宋简体" w:eastAsia="方正小标宋简体" w:cs="方正小标宋简体"/>
          <w:sz w:val="52"/>
          <w:szCs w:val="52"/>
          <w:lang w:val="en-US" w:eastAsia="zh-CN"/>
        </w:rPr>
      </w:pPr>
    </w:p>
    <w:p>
      <w:pPr>
        <w:ind w:left="0" w:leftChars="0" w:firstLine="0" w:firstLineChars="0"/>
        <w:jc w:val="center"/>
        <w:rPr>
          <w:rFonts w:hint="eastAsia" w:ascii="方正小标宋简体" w:hAnsi="方正小标宋简体" w:eastAsia="方正小标宋简体" w:cs="方正小标宋简体"/>
          <w:sz w:val="36"/>
          <w:szCs w:val="36"/>
          <w:lang w:val="en-US" w:eastAsia="zh-CN"/>
        </w:rPr>
      </w:pPr>
    </w:p>
    <w:p>
      <w:pPr>
        <w:ind w:left="0" w:leftChars="0" w:firstLine="0" w:firstLineChars="0"/>
        <w:jc w:val="center"/>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36"/>
          <w:szCs w:val="36"/>
          <w:lang w:val="en-US" w:eastAsia="zh-CN"/>
        </w:rPr>
        <w:t>2025年4月</w:t>
      </w:r>
    </w:p>
    <w:p>
      <w:pPr>
        <w:spacing w:line="560" w:lineRule="exact"/>
        <w:jc w:val="center"/>
        <w:outlineLvl w:val="0"/>
        <w:rPr>
          <w:rFonts w:hint="eastAsia" w:ascii="方正小标宋简体" w:eastAsia="方正小标宋简体"/>
          <w:sz w:val="36"/>
          <w:szCs w:val="36"/>
          <w:lang w:eastAsia="zh-CN"/>
        </w:rPr>
      </w:pPr>
    </w:p>
    <w:p>
      <w:pPr>
        <w:pStyle w:val="9"/>
        <w:rPr>
          <w:rFonts w:hint="eastAsia"/>
          <w:lang w:eastAsia="zh-CN"/>
        </w:rPr>
      </w:pPr>
    </w:p>
    <w:p>
      <w:pPr>
        <w:spacing w:line="560" w:lineRule="exact"/>
        <w:jc w:val="center"/>
        <w:rPr>
          <w:rFonts w:hint="eastAsia" w:ascii="方正小标宋简体" w:eastAsia="方正小标宋简体"/>
          <w:sz w:val="36"/>
          <w:szCs w:val="36"/>
          <w:highlight w:val="none"/>
        </w:rPr>
        <w:sectPr>
          <w:footerReference r:id="rId3" w:type="default"/>
          <w:pgSz w:w="11906" w:h="16838"/>
          <w:pgMar w:top="1440" w:right="1800" w:bottom="1440" w:left="1800" w:header="851" w:footer="964" w:gutter="0"/>
          <w:pgBorders>
            <w:top w:val="none" w:sz="0" w:space="0"/>
            <w:left w:val="none" w:sz="0" w:space="0"/>
            <w:bottom w:val="none" w:sz="0" w:space="0"/>
            <w:right w:val="none" w:sz="0" w:space="0"/>
          </w:pgBorders>
          <w:pgNumType w:fmt="decimal" w:start="0"/>
          <w:cols w:space="425" w:num="1"/>
          <w:docGrid w:type="lines" w:linePitch="435" w:charSpace="0"/>
        </w:sectPr>
      </w:pPr>
    </w:p>
    <w:p>
      <w:pPr>
        <w:spacing w:line="560" w:lineRule="exact"/>
        <w:jc w:val="center"/>
        <w:rPr>
          <w:rFonts w:ascii="方正小标宋简体" w:eastAsia="方正小标宋简体"/>
          <w:sz w:val="36"/>
          <w:szCs w:val="36"/>
          <w:highlight w:val="none"/>
        </w:rPr>
      </w:pPr>
    </w:p>
    <w:p>
      <w:pPr>
        <w:spacing w:line="560" w:lineRule="exact"/>
        <w:jc w:val="center"/>
        <w:rPr>
          <w:rFonts w:ascii="方正小标宋简体" w:eastAsia="方正小标宋简体"/>
          <w:sz w:val="36"/>
          <w:szCs w:val="36"/>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一、部门概况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（一）机构设置及职责工作任务情况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中国国民党革命委员会北京市委员会包括1个预算单位，即中国国民党革命委员会北京市委员会（本级）</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内设6个处室：办公室、组织处、宣传处、联络处、经社处、研究室。履行参政议政、民主监督、参加中国共产党领导的政治协商的基本政治职能。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（二）部门整体绩效目标设立情况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整体支出绩效目标是依据主要职责，结合年度工作计划</w:t>
      </w:r>
      <w:r>
        <w:rPr>
          <w:rFonts w:hint="eastAsia" w:ascii="仿宋_GB2312" w:hAnsi="仿宋_GB2312" w:eastAsia="仿宋_GB2312" w:cs="仿宋_GB2312"/>
          <w:kern w:val="0"/>
          <w:sz w:val="32"/>
          <w:szCs w:val="32"/>
          <w:highlight w:val="none"/>
          <w:lang w:eastAsia="zh-CN"/>
        </w:rPr>
        <w:t>及</w:t>
      </w:r>
      <w:r>
        <w:rPr>
          <w:rFonts w:hint="eastAsia" w:ascii="仿宋_GB2312" w:hAnsi="仿宋_GB2312" w:eastAsia="仿宋_GB2312" w:cs="仿宋_GB2312"/>
          <w:kern w:val="0"/>
          <w:sz w:val="32"/>
          <w:szCs w:val="32"/>
          <w:highlight w:val="none"/>
        </w:rPr>
        <w:t>主要任务设立，反映使用预算资金在</w:t>
      </w:r>
      <w:r>
        <w:rPr>
          <w:rFonts w:hint="eastAsia" w:ascii="仿宋_GB2312" w:hAnsi="仿宋_GB2312" w:eastAsia="仿宋_GB2312" w:cs="仿宋_GB2312"/>
          <w:kern w:val="0"/>
          <w:sz w:val="32"/>
          <w:szCs w:val="32"/>
          <w:highlight w:val="none"/>
          <w:lang w:eastAsia="zh-CN"/>
        </w:rPr>
        <w:t>本</w:t>
      </w:r>
      <w:r>
        <w:rPr>
          <w:rFonts w:hint="eastAsia" w:ascii="仿宋_GB2312" w:hAnsi="仿宋_GB2312" w:eastAsia="仿宋_GB2312" w:cs="仿宋_GB2312"/>
          <w:kern w:val="0"/>
          <w:sz w:val="32"/>
          <w:szCs w:val="32"/>
          <w:highlight w:val="none"/>
        </w:rPr>
        <w:t>年度履职中预期达到的总体产出和效果。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目标设立坚持以习近平新时代中国特色社会主义思想为指导。紧紧围绕市委、市政府中心工作和重点任务，从巩固拓展主题教育成果、以“四位一体”建设推动自身建设迈上新台阶、</w:t>
      </w:r>
      <w:r>
        <w:rPr>
          <w:rFonts w:hint="eastAsia" w:ascii="仿宋_GB2312" w:hAnsi="仿宋_GB2312" w:eastAsia="仿宋_GB2312" w:cs="仿宋_GB2312"/>
          <w:kern w:val="0"/>
          <w:sz w:val="32"/>
          <w:szCs w:val="32"/>
          <w:highlight w:val="none"/>
        </w:rPr>
        <w:t>参政议政</w:t>
      </w:r>
      <w:r>
        <w:rPr>
          <w:rFonts w:hint="eastAsia" w:ascii="仿宋_GB2312" w:hAnsi="仿宋_GB2312" w:eastAsia="仿宋_GB2312" w:cs="仿宋_GB2312"/>
          <w:kern w:val="0"/>
          <w:sz w:val="32"/>
          <w:szCs w:val="32"/>
          <w:highlight w:val="none"/>
          <w:lang w:eastAsia="zh-CN"/>
        </w:rPr>
        <w:t>工作提质增效和社会服务工作走深走实等方面，以思想政治建设为核心、组织建设为基础、履职能力建设为支撑、作风建设为抓手、制度建设为保障，着力把好政治方向、强化自身素质、提高履职本领。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2024年全年预算数2057.66万元，其中，基本支出预算数1799.79万元，项目支出预算数257.87万元。资金总体支出1956.77万元，其中，基本支出1739.10万元，项目支出217.67万元。预算执行率为95%。</w:t>
      </w:r>
    </w:p>
    <w:p>
      <w:pPr>
        <w:keepNext w:val="0"/>
        <w:keepLines w:val="0"/>
        <w:pageBreakBefore w:val="0"/>
        <w:widowControl w:val="0"/>
        <w:kinsoku/>
        <w:wordWrap/>
        <w:overflowPunct/>
        <w:topLinePunct w:val="0"/>
        <w:autoSpaceDE/>
        <w:autoSpaceDN/>
        <w:bidi w:val="0"/>
        <w:adjustRightInd/>
        <w:snapToGrid/>
        <w:spacing w:line="540" w:lineRule="exact"/>
        <w:ind w:left="105" w:leftChars="50" w:firstLine="480" w:firstLineChars="150"/>
        <w:textAlignment w:val="auto"/>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围绕思想政治建设、自身建设、参政议政、社会服务等方面开展工作，截至2024年底，各项指标均按年初设置指标值完成。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（一）产出完成情况分析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1.产出数量质量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思想政治建设。一是以学习党的二十届三中全会精神为统领，着力巩固政治共识。开展集体学习</w:t>
      </w:r>
      <w:r>
        <w:rPr>
          <w:rFonts w:hint="eastAsia" w:ascii="仿宋_GB2312" w:hAnsi="仿宋_GB2312" w:eastAsia="仿宋_GB2312" w:cs="仿宋_GB2312"/>
          <w:sz w:val="32"/>
          <w:szCs w:val="32"/>
          <w:highlight w:val="none"/>
          <w:lang w:val="en-US" w:eastAsia="zh-CN"/>
        </w:rPr>
        <w:t>3次，开展宣讲41次，开展学习培训、辅导报告、座谈研讨182次。</w:t>
      </w:r>
      <w:r>
        <w:rPr>
          <w:rFonts w:hint="eastAsia" w:ascii="仿宋_GB2312" w:hAnsi="仿宋_GB2312" w:eastAsia="仿宋_GB2312" w:cs="仿宋_GB2312"/>
          <w:sz w:val="32"/>
          <w:szCs w:val="32"/>
          <w:highlight w:val="none"/>
          <w:lang w:eastAsia="zh-CN"/>
        </w:rPr>
        <w:t>二是以领会全会精神为核心，着力强化理论武装。理论学习中心组围绕学习“党的二十届三中全会精神”等，开展集体学习研讨</w:t>
      </w:r>
      <w:r>
        <w:rPr>
          <w:rFonts w:hint="eastAsia" w:ascii="仿宋_GB2312" w:hAnsi="仿宋_GB2312" w:eastAsia="仿宋_GB2312" w:cs="仿宋_GB2312"/>
          <w:sz w:val="32"/>
          <w:szCs w:val="32"/>
          <w:highlight w:val="none"/>
          <w:lang w:val="en-US" w:eastAsia="zh-CN"/>
        </w:rPr>
        <w:t>4次。</w:t>
      </w:r>
      <w:r>
        <w:rPr>
          <w:rFonts w:hint="eastAsia" w:ascii="仿宋_GB2312" w:hAnsi="仿宋_GB2312" w:eastAsia="仿宋_GB2312" w:cs="仿宋_GB2312"/>
          <w:sz w:val="32"/>
          <w:szCs w:val="32"/>
          <w:highlight w:val="none"/>
          <w:lang w:eastAsia="zh-CN"/>
        </w:rPr>
        <w:t>三是以宣传全会精神为重点，发布学习贯彻党的二十届三中全会精神宣传报道稿件</w:t>
      </w:r>
      <w:r>
        <w:rPr>
          <w:rFonts w:hint="eastAsia" w:ascii="仿宋_GB2312" w:hAnsi="仿宋_GB2312" w:eastAsia="仿宋_GB2312" w:cs="仿宋_GB2312"/>
          <w:sz w:val="32"/>
          <w:szCs w:val="32"/>
          <w:highlight w:val="none"/>
          <w:lang w:val="en-US" w:eastAsia="zh-CN"/>
        </w:rPr>
        <w:t>143篇。</w:t>
      </w:r>
    </w:p>
    <w:p>
      <w:pPr>
        <w:pStyle w:val="6"/>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highlight w:val="none"/>
          <w:lang w:val="en-US" w:eastAsia="zh-CN"/>
        </w:rPr>
        <w:t>自身建设。</w:t>
      </w:r>
      <w:r>
        <w:rPr>
          <w:rFonts w:hint="eastAsia" w:ascii="仿宋_GB2312" w:hAnsi="仿宋_GB2312" w:eastAsia="仿宋_GB2312" w:cs="仿宋_GB2312"/>
          <w:sz w:val="32"/>
          <w:szCs w:val="32"/>
          <w:lang w:eastAsia="zh-CN"/>
        </w:rPr>
        <w:t>一是统筹推进“四位一体”融合发展，赋能自身建设，实施</w:t>
      </w:r>
      <w:r>
        <w:rPr>
          <w:rFonts w:hint="eastAsia" w:ascii="仿宋_GB2312" w:hAnsi="仿宋_GB2312" w:eastAsia="仿宋_GB2312" w:cs="仿宋_GB2312"/>
          <w:sz w:val="32"/>
          <w:szCs w:val="32"/>
          <w:lang w:val="en-US" w:eastAsia="zh-CN"/>
        </w:rPr>
        <w:t>12项重点任务。</w:t>
      </w:r>
      <w:r>
        <w:rPr>
          <w:rFonts w:hint="eastAsia" w:ascii="仿宋_GB2312" w:hAnsi="仿宋_GB2312" w:eastAsia="仿宋_GB2312" w:cs="仿宋_GB2312"/>
          <w:sz w:val="32"/>
          <w:szCs w:val="32"/>
          <w:lang w:eastAsia="zh-CN"/>
        </w:rPr>
        <w:t>二是锻造高素质人才梯队，筑牢组织根基。三是强化内部监督和纪律建设，发挥内部监督委员会作用，召开内部监督委全体会议</w:t>
      </w:r>
      <w:r>
        <w:rPr>
          <w:rFonts w:hint="eastAsia" w:ascii="仿宋_GB2312" w:hAnsi="仿宋_GB2312" w:eastAsia="仿宋_GB2312" w:cs="仿宋_GB2312"/>
          <w:sz w:val="32"/>
          <w:szCs w:val="32"/>
          <w:lang w:val="en-US" w:eastAsia="zh-CN"/>
        </w:rPr>
        <w:t>2次。</w:t>
      </w:r>
      <w:r>
        <w:rPr>
          <w:rFonts w:hint="eastAsia" w:ascii="仿宋_GB2312" w:hAnsi="仿宋_GB2312" w:eastAsia="仿宋_GB2312" w:cs="仿宋_GB2312"/>
          <w:sz w:val="32"/>
          <w:szCs w:val="32"/>
          <w:shd w:val="clear" w:color="auto" w:fill="FFFFFF"/>
          <w:lang w:eastAsia="zh-CN"/>
        </w:rPr>
        <w:t>四是</w:t>
      </w:r>
      <w:r>
        <w:rPr>
          <w:rFonts w:hint="eastAsia" w:ascii="仿宋_GB2312" w:hAnsi="仿宋_GB2312" w:eastAsia="仿宋_GB2312" w:cs="仿宋_GB2312"/>
          <w:sz w:val="32"/>
          <w:szCs w:val="32"/>
          <w:lang w:eastAsia="zh-CN"/>
        </w:rPr>
        <w:t>建强“新·好”机关，做优服务保障。</w:t>
      </w:r>
    </w:p>
    <w:p>
      <w:pPr>
        <w:pStyle w:val="6"/>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color w:val="000000"/>
          <w:kern w:val="0"/>
          <w:sz w:val="32"/>
          <w:szCs w:val="32"/>
          <w:highlight w:val="none"/>
          <w:lang w:val="en-US" w:eastAsia="zh-CN"/>
        </w:rPr>
        <w:t>参政议政。</w:t>
      </w:r>
      <w:r>
        <w:rPr>
          <w:rFonts w:hint="eastAsia" w:ascii="仿宋_GB2312" w:hAnsi="仿宋_GB2312" w:eastAsia="仿宋_GB2312" w:cs="仿宋_GB2312"/>
          <w:sz w:val="32"/>
          <w:szCs w:val="40"/>
          <w:lang w:eastAsia="zh-CN"/>
        </w:rPr>
        <w:t>一是坚持高位统筹，高层协商精准务实。二是坚持问题导向，选题调研成果丰硕。提交</w:t>
      </w:r>
      <w:r>
        <w:rPr>
          <w:rFonts w:hint="eastAsia" w:ascii="仿宋_GB2312" w:hAnsi="仿宋_GB2312" w:eastAsia="仿宋_GB2312" w:cs="仿宋_GB2312"/>
          <w:sz w:val="32"/>
          <w:szCs w:val="40"/>
          <w:lang w:val="en-US" w:eastAsia="zh-CN"/>
        </w:rPr>
        <w:t>4篇书面发言，10件集体提案。全年参加协商任务15个，参加联合调研近70人次，发言26人次，同比增加120%。全年共组织参与调研研讨720余人次，形成90篇调研成果。</w:t>
      </w:r>
      <w:r>
        <w:rPr>
          <w:rFonts w:hint="eastAsia" w:ascii="仿宋_GB2312" w:hAnsi="仿宋_GB2312" w:eastAsia="仿宋_GB2312" w:cs="仿宋_GB2312"/>
          <w:sz w:val="32"/>
          <w:szCs w:val="40"/>
          <w:lang w:eastAsia="zh-CN"/>
        </w:rPr>
        <w:t>三是举办参政议政工作培训班，</w:t>
      </w:r>
      <w:r>
        <w:rPr>
          <w:rFonts w:hint="eastAsia" w:ascii="仿宋_GB2312" w:hAnsi="仿宋_GB2312" w:eastAsia="仿宋_GB2312" w:cs="仿宋_GB2312"/>
          <w:sz w:val="32"/>
          <w:szCs w:val="40"/>
          <w:lang w:val="en-US" w:eastAsia="zh-CN"/>
        </w:rPr>
        <w:t>60余人参加。报送社情民意信息1000余篇次，采用274篇次。</w:t>
      </w:r>
      <w:r>
        <w:rPr>
          <w:rFonts w:hint="eastAsia" w:ascii="仿宋_GB2312" w:hAnsi="仿宋_GB2312" w:eastAsia="仿宋_GB2312" w:cs="仿宋_GB2312"/>
          <w:sz w:val="32"/>
          <w:szCs w:val="40"/>
          <w:lang w:eastAsia="zh-CN"/>
        </w:rPr>
        <w:t>四是坚持协调联动，品牌机制日益完善。</w:t>
      </w:r>
      <w:r>
        <w:rPr>
          <w:rFonts w:hint="eastAsia" w:ascii="仿宋_GB2312" w:hAnsi="仿宋_GB2312" w:eastAsia="仿宋_GB2312" w:cs="仿宋_GB2312"/>
          <w:sz w:val="32"/>
          <w:szCs w:val="40"/>
          <w:lang w:val="en-US" w:eastAsia="zh-CN"/>
        </w:rPr>
        <w:t>开展“聚智微漫谈”研讨活动。</w:t>
      </w:r>
      <w:r>
        <w:rPr>
          <w:rFonts w:hint="eastAsia" w:ascii="仿宋_GB2312" w:hAnsi="仿宋_GB2312" w:eastAsia="仿宋_GB2312" w:cs="仿宋_GB2312"/>
          <w:sz w:val="32"/>
          <w:szCs w:val="40"/>
          <w:lang w:eastAsia="zh-CN"/>
        </w:rPr>
        <w:t>五是坚持“三位一体”专项民主监</w:t>
      </w:r>
      <w:r>
        <w:rPr>
          <w:rFonts w:hint="eastAsia" w:ascii="仿宋_GB2312" w:hAnsi="仿宋_GB2312" w:eastAsia="仿宋_GB2312" w:cs="仿宋_GB2312"/>
          <w:sz w:val="32"/>
          <w:szCs w:val="32"/>
          <w:lang w:eastAsia="zh-CN"/>
        </w:rPr>
        <w:t>赴平谷区开展调研</w:t>
      </w:r>
      <w:r>
        <w:rPr>
          <w:rFonts w:hint="eastAsia" w:ascii="仿宋_GB2312" w:hAnsi="仿宋_GB2312" w:eastAsia="仿宋_GB2312" w:cs="仿宋_GB2312"/>
          <w:sz w:val="32"/>
          <w:szCs w:val="32"/>
          <w:lang w:val="en-US" w:eastAsia="zh-CN"/>
        </w:rPr>
        <w:t>12次，参与百余人次。连续两年举办“高素质农民培训”。</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_GB2312" w:hAnsi="仿宋_GB2312" w:eastAsia="仿宋_GB2312" w:cs="仿宋_GB2312"/>
          <w:b w:val="0"/>
          <w:bCs w:val="0"/>
          <w:lang w:val="en-US" w:eastAsia="zh-CN"/>
        </w:rPr>
      </w:pPr>
      <w:r>
        <w:rPr>
          <w:rFonts w:hint="eastAsia" w:ascii="仿宋_GB2312" w:hAnsi="仿宋_GB2312" w:eastAsia="仿宋_GB2312" w:cs="仿宋_GB2312"/>
          <w:color w:val="000000"/>
          <w:kern w:val="0"/>
          <w:sz w:val="32"/>
          <w:szCs w:val="32"/>
          <w:highlight w:val="none"/>
          <w:lang w:val="en-US" w:eastAsia="zh-CN"/>
        </w:rPr>
        <w:t>社会服务。</w:t>
      </w:r>
      <w:r>
        <w:rPr>
          <w:rFonts w:hint="eastAsia" w:ascii="仿宋_GB2312" w:hAnsi="仿宋_GB2312" w:eastAsia="仿宋_GB2312" w:cs="仿宋_GB2312"/>
          <w:b w:val="0"/>
          <w:bCs w:val="0"/>
          <w:sz w:val="32"/>
          <w:szCs w:val="32"/>
          <w:lang w:eastAsia="zh-CN"/>
        </w:rPr>
        <w:t>一是优化工作模式，发挥机制保障作用。</w:t>
      </w:r>
      <w:r>
        <w:rPr>
          <w:rFonts w:hint="eastAsia" w:ascii="仿宋_GB2312" w:hAnsi="仿宋_GB2312" w:eastAsia="仿宋_GB2312" w:cs="仿宋_GB2312"/>
          <w:b w:val="0"/>
          <w:bCs w:val="0"/>
          <w:sz w:val="32"/>
          <w:szCs w:val="40"/>
          <w:lang w:eastAsia="zh-CN"/>
        </w:rPr>
        <w:t>二是强化帮扶责任，提升结对帮扶成效。</w:t>
      </w:r>
      <w:r>
        <w:rPr>
          <w:rFonts w:hint="eastAsia" w:ascii="仿宋_GB2312" w:hAnsi="仿宋_GB2312" w:eastAsia="仿宋_GB2312" w:cs="仿宋_GB2312"/>
          <w:b w:val="0"/>
          <w:bCs w:val="0"/>
          <w:sz w:val="32"/>
          <w:szCs w:val="40"/>
          <w:lang w:val="en-US" w:eastAsia="zh-CN"/>
        </w:rPr>
        <w:t>重点项目落地见效。举办讲座8期，组织医疗专家赴实地义诊。赴纳雍开展调研60余人次，培训各类干部人才400余人次。</w:t>
      </w:r>
      <w:r>
        <w:rPr>
          <w:rFonts w:hint="eastAsia" w:ascii="仿宋_GB2312" w:hAnsi="仿宋_GB2312" w:eastAsia="仿宋_GB2312" w:cs="仿宋_GB2312"/>
          <w:b w:val="0"/>
          <w:bCs w:val="0"/>
          <w:sz w:val="32"/>
          <w:szCs w:val="32"/>
          <w:lang w:eastAsia="zh-CN"/>
        </w:rPr>
        <w:t>三是服务区域发展。聚焦门头沟灾后恢复重建和绿色高质量转型发展两条主线，推动</w:t>
      </w:r>
      <w:r>
        <w:rPr>
          <w:rFonts w:hint="eastAsia" w:ascii="仿宋_GB2312" w:hAnsi="仿宋_GB2312" w:eastAsia="仿宋_GB2312" w:cs="仿宋_GB2312"/>
          <w:b w:val="0"/>
          <w:bCs w:val="0"/>
          <w:sz w:val="32"/>
          <w:szCs w:val="32"/>
          <w:lang w:val="en-US" w:eastAsia="zh-CN"/>
        </w:rPr>
        <w:t>帮扶项目稳步实施。组织开展调研90余人次，形成调研报告3篇。深化“中山博爱”帮扶品牌，开展现场服务和专题调研14场次。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2</w:t>
      </w:r>
      <w:r>
        <w:rPr>
          <w:rFonts w:hint="eastAsia" w:ascii="仿宋_GB2312" w:hAnsi="仿宋_GB2312" w:eastAsia="仿宋_GB2312" w:cs="仿宋_GB2312"/>
          <w:color w:val="000000"/>
          <w:kern w:val="0"/>
          <w:sz w:val="32"/>
          <w:szCs w:val="32"/>
          <w:highlight w:val="none"/>
        </w:rPr>
        <w:t>.产出进度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32"/>
          <w:szCs w:val="32"/>
          <w:highlight w:val="none"/>
          <w:lang w:eastAsia="zh-CN"/>
        </w:rPr>
        <w:t>落实年度</w:t>
      </w:r>
      <w:r>
        <w:rPr>
          <w:rFonts w:hint="eastAsia" w:ascii="仿宋_GB2312" w:hAnsi="仿宋_GB2312" w:eastAsia="仿宋_GB2312" w:cs="仿宋_GB2312"/>
          <w:color w:val="000000"/>
          <w:kern w:val="0"/>
          <w:sz w:val="32"/>
          <w:szCs w:val="32"/>
          <w:highlight w:val="none"/>
          <w:lang w:val="en-US" w:eastAsia="zh-CN"/>
        </w:rPr>
        <w:t>折子任务</w:t>
      </w:r>
      <w:r>
        <w:rPr>
          <w:rFonts w:hint="eastAsia" w:ascii="仿宋_GB2312" w:hAnsi="仿宋_GB2312" w:eastAsia="仿宋_GB2312" w:cs="仿宋_GB2312"/>
          <w:color w:val="000000"/>
          <w:kern w:val="0"/>
          <w:sz w:val="32"/>
          <w:szCs w:val="32"/>
          <w:highlight w:val="none"/>
          <w:lang w:eastAsia="zh-CN"/>
        </w:rPr>
        <w:t>，合理把握时间进度，确保行政运行和项目执行</w:t>
      </w:r>
      <w:r>
        <w:rPr>
          <w:rFonts w:hint="eastAsia" w:ascii="仿宋_GB2312" w:hAnsi="仿宋_GB2312" w:eastAsia="仿宋_GB2312" w:cs="仿宋_GB2312"/>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3</w:t>
      </w:r>
      <w:r>
        <w:rPr>
          <w:rFonts w:hint="eastAsia" w:ascii="仿宋_GB2312" w:hAnsi="仿宋_GB2312" w:eastAsia="仿宋_GB2312" w:cs="仿宋_GB2312"/>
          <w:color w:val="000000"/>
          <w:kern w:val="0"/>
          <w:sz w:val="32"/>
          <w:szCs w:val="32"/>
          <w:highlight w:val="none"/>
        </w:rPr>
        <w:t>.产出成本</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落实过“紧日子”要求，全年预算数2057.66万元，其中，基本支出预算数1799.79万元，项目支出预算数257.87万元。资金总体支出1956.77万元，整体支出控制在预算范围内，其中，基本支出1739.10万元，项目支出217.67万元。预算执行率为95%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（二）效果</w:t>
      </w:r>
      <w:r>
        <w:rPr>
          <w:rFonts w:ascii="楷体" w:hAnsi="楷体" w:eastAsia="楷体"/>
          <w:sz w:val="32"/>
          <w:szCs w:val="32"/>
          <w:highlight w:val="none"/>
        </w:rPr>
        <w:t>实现情况分析</w:t>
      </w:r>
    </w:p>
    <w:p>
      <w:pPr>
        <w:pStyle w:val="6"/>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1.社会效益</w:t>
      </w:r>
    </w:p>
    <w:p>
      <w:pPr>
        <w:pStyle w:val="6"/>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rPr>
        <w:t>整体支出</w:t>
      </w:r>
      <w:r>
        <w:rPr>
          <w:rFonts w:hint="eastAsia" w:ascii="仿宋_GB2312" w:hAnsi="仿宋_GB2312" w:eastAsia="仿宋_GB2312" w:cs="仿宋_GB2312"/>
          <w:color w:val="000000"/>
          <w:kern w:val="0"/>
          <w:sz w:val="32"/>
          <w:szCs w:val="32"/>
          <w:highlight w:val="none"/>
        </w:rPr>
        <w:t>坚持</w:t>
      </w:r>
      <w:r>
        <w:rPr>
          <w:rFonts w:hint="eastAsia" w:ascii="仿宋_GB2312" w:hAnsi="仿宋_GB2312" w:eastAsia="仿宋_GB2312" w:cs="仿宋_GB2312"/>
          <w:color w:val="000000"/>
          <w:kern w:val="0"/>
          <w:sz w:val="32"/>
          <w:szCs w:val="32"/>
          <w:highlight w:val="none"/>
          <w:lang w:val="en-US" w:eastAsia="zh-CN"/>
        </w:rPr>
        <w:t>把学习党的二十届三中全会精神作为当前和今后一个时期的重大政治任务。巩固拓展主题教育成果，以“四位一体”建设为抓手不断强化自身建设，各项工作迈上新台阶</w:t>
      </w:r>
      <w:r>
        <w:rPr>
          <w:rFonts w:hint="eastAsia" w:ascii="仿宋_GB2312" w:hAnsi="仿宋_GB2312" w:eastAsia="仿宋_GB2312" w:cs="仿宋_GB2312"/>
          <w:color w:val="000000"/>
          <w:kern w:val="0"/>
          <w:sz w:val="32"/>
          <w:szCs w:val="32"/>
          <w:highlight w:val="none"/>
        </w:rPr>
        <w:t>。</w:t>
      </w:r>
      <w:r>
        <w:rPr>
          <w:rFonts w:hint="eastAsia" w:ascii="仿宋_GB2312" w:hAnsi="仿宋_GB2312" w:eastAsia="仿宋_GB2312" w:cs="仿宋_GB2312"/>
          <w:sz w:val="32"/>
          <w:szCs w:val="32"/>
          <w:lang w:eastAsia="zh-CN"/>
        </w:rPr>
        <w:t>一是深入学习贯彻党的二十届三中全会精神，巩固拓展主题教育成果，为进一步全面深化改革集智聚力。二是召开常委会暨理论学习中心组集体学习（扩大）会，及时传达学习贯彻落实习近平总书记重要讲话精神。三是以“四位一体”建设为抓手，推动自身建设不断迈上新台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部署开展好纪律学习教育。召开警示教育大会，推动廉政建设、作风建设。</w:t>
      </w:r>
      <w:r>
        <w:rPr>
          <w:rFonts w:hint="eastAsia" w:ascii="仿宋_GB2312" w:hAnsi="仿宋_GB2312" w:eastAsia="仿宋_GB2312" w:cs="仿宋_GB2312"/>
          <w:sz w:val="32"/>
          <w:szCs w:val="32"/>
          <w:lang w:eastAsia="zh-CN"/>
        </w:rPr>
        <w:t>四是服务中心大局，参政议政工作提质增效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召开</w:t>
      </w:r>
      <w:r>
        <w:rPr>
          <w:rFonts w:hint="eastAsia" w:ascii="仿宋_GB2312" w:hAnsi="仿宋_GB2312" w:eastAsia="仿宋_GB2312" w:cs="仿宋_GB2312"/>
          <w:sz w:val="32"/>
          <w:szCs w:val="32"/>
          <w:lang w:val="en-US" w:eastAsia="zh-CN"/>
        </w:rPr>
        <w:t>参政议政工作会，总结部署参政议政工作，表彰年度参政议政工作先进个人，专委会、区级组织、基层组织代表等交流经验。把高层协商作为参政议政首要任务，坚持高位统筹、精耕细作。积极参与政协协商，用好政协协商议政平台。强化质量导向，建立完善考核激励机制。开展多层次、多形式的工作培训，提高反映社情民意信息工作的能力和水平。坚持“开门搞参政议政”，建立常态化沟通联系和联合调研机制。坚持参政议政、民主监督和社会服务“三位一体”推进，不断形成实践成果。</w:t>
      </w:r>
      <w:r>
        <w:rPr>
          <w:rFonts w:hint="eastAsia" w:ascii="仿宋_GB2312" w:hAnsi="仿宋_GB2312" w:eastAsia="仿宋_GB2312" w:cs="仿宋_GB2312"/>
          <w:sz w:val="32"/>
          <w:szCs w:val="32"/>
          <w:lang w:eastAsia="zh-CN"/>
        </w:rPr>
        <w:t>五是发挥所长精准帮扶，社会服务工作走深走实。召开</w:t>
      </w:r>
      <w:r>
        <w:rPr>
          <w:rFonts w:hint="eastAsia" w:ascii="仿宋_GB2312" w:hAnsi="仿宋_GB2312" w:eastAsia="仿宋_GB2312" w:cs="仿宋_GB2312"/>
          <w:sz w:val="32"/>
          <w:szCs w:val="32"/>
          <w:lang w:val="en-US" w:eastAsia="zh-CN"/>
        </w:rPr>
        <w:t>社会服务工作会，做到年初有计划、季度有统计、年底有总结，形成机制健全、体系完整、品牌突出、成效显著的社会服务工作局面。严格落实定点帮扶纳雍的工作要求，立足羊场、面向纳雍，推动乡村全面振兴走深走实。推进门头沟“8+1”行动和助力副中心高质量发展各项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2.可持续性影响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lang w:val="en-US"/>
        </w:rPr>
      </w:pPr>
      <w:r>
        <w:rPr>
          <w:rFonts w:hint="eastAsia" w:ascii="仿宋_GB2312" w:hAnsi="仿宋_GB2312" w:eastAsia="仿宋_GB2312" w:cs="仿宋_GB2312"/>
          <w:sz w:val="32"/>
          <w:szCs w:val="32"/>
          <w:lang w:val="en-US" w:eastAsia="zh-CN"/>
        </w:rPr>
        <w:t>深入贯彻落实党的二十届三中全会精神，按照“五个持续”的工作部署，紧紧围绕新时代首都改革发展的中心任务履职尽责。一是持续深入学习贯彻党的二十届三中全会精神，凝聚助力进一步全面深化改革的共识；二是持续锚定新时代使命定位，奋力开创工作新局面；三是持续开展“四位一体”建设，不断筑牢组织根基；四是持续聚焦国家和首都中心大局建言献策，全面提升参政议政履职本领和成果质量；五是持续</w:t>
      </w:r>
      <w:bookmarkStart w:id="4" w:name="_GoBack"/>
      <w:bookmarkEnd w:id="4"/>
      <w:r>
        <w:rPr>
          <w:rFonts w:hint="eastAsia" w:ascii="仿宋_GB2312" w:hAnsi="仿宋_GB2312" w:eastAsia="仿宋_GB2312" w:cs="仿宋_GB2312"/>
          <w:sz w:val="32"/>
          <w:szCs w:val="32"/>
          <w:lang w:val="en-US" w:eastAsia="zh-CN"/>
        </w:rPr>
        <w:t>汇聚社会服务合力，发挥优势积极作为。</w:t>
      </w:r>
    </w:p>
    <w:p>
      <w:pPr>
        <w:keepNext w:val="0"/>
        <w:keepLines w:val="0"/>
        <w:pageBreakBefore w:val="0"/>
        <w:widowControl w:val="0"/>
        <w:kinsoku/>
        <w:wordWrap/>
        <w:overflowPunct/>
        <w:topLinePunct w:val="0"/>
        <w:autoSpaceDE/>
        <w:autoSpaceDN/>
        <w:bidi w:val="0"/>
        <w:adjustRightInd/>
        <w:snapToGrid/>
        <w:spacing w:line="540" w:lineRule="exact"/>
        <w:ind w:left="105" w:leftChars="50" w:firstLine="480" w:firstLineChars="150"/>
        <w:textAlignment w:val="auto"/>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（一）财务管理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rPr>
        <w:t>落实</w:t>
      </w:r>
      <w:r>
        <w:rPr>
          <w:rFonts w:hint="eastAsia" w:ascii="仿宋_GB2312" w:hAnsi="仿宋_GB2312" w:eastAsia="仿宋_GB2312" w:cs="仿宋_GB2312"/>
          <w:color w:val="000000"/>
          <w:kern w:val="0"/>
          <w:sz w:val="32"/>
          <w:szCs w:val="32"/>
          <w:highlight w:val="none"/>
          <w:lang w:eastAsia="zh-CN"/>
        </w:rPr>
        <w:t>全市财政财务工作会议要求</w:t>
      </w:r>
      <w:r>
        <w:rPr>
          <w:rFonts w:hint="eastAsia" w:ascii="仿宋_GB2312" w:hAnsi="仿宋_GB2312" w:eastAsia="仿宋_GB2312" w:cs="仿宋_GB2312"/>
          <w:color w:val="000000"/>
          <w:kern w:val="0"/>
          <w:sz w:val="32"/>
          <w:szCs w:val="32"/>
          <w:highlight w:val="none"/>
        </w:rPr>
        <w:t>，按照</w:t>
      </w:r>
      <w:r>
        <w:rPr>
          <w:rFonts w:hint="eastAsia" w:ascii="仿宋_GB2312" w:hAnsi="仿宋_GB2312" w:eastAsia="仿宋_GB2312" w:cs="仿宋_GB2312"/>
          <w:color w:val="000000"/>
          <w:kern w:val="0"/>
          <w:sz w:val="32"/>
          <w:szCs w:val="32"/>
          <w:highlight w:val="none"/>
          <w:lang w:eastAsia="zh-CN"/>
        </w:rPr>
        <w:t>新修订的</w:t>
      </w:r>
      <w:r>
        <w:rPr>
          <w:rFonts w:hint="eastAsia" w:ascii="仿宋_GB2312" w:hAnsi="仿宋_GB2312" w:eastAsia="仿宋_GB2312" w:cs="仿宋_GB2312"/>
          <w:color w:val="000000"/>
          <w:kern w:val="0"/>
          <w:sz w:val="32"/>
          <w:szCs w:val="32"/>
          <w:highlight w:val="none"/>
        </w:rPr>
        <w:t>《行政单位财务规则》开展工作</w:t>
      </w:r>
      <w:r>
        <w:rPr>
          <w:rFonts w:hint="eastAsia" w:ascii="仿宋_GB2312" w:hAnsi="仿宋_GB2312" w:eastAsia="仿宋_GB2312" w:cs="仿宋_GB2312"/>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1.财务管理制度健全性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eastAsia="zh-CN"/>
        </w:rPr>
        <w:t>按照</w:t>
      </w:r>
      <w:r>
        <w:rPr>
          <w:rFonts w:hint="eastAsia" w:ascii="仿宋_GB2312" w:hAnsi="仿宋_GB2312" w:eastAsia="仿宋_GB2312" w:cs="仿宋_GB2312"/>
          <w:color w:val="000000"/>
          <w:kern w:val="0"/>
          <w:sz w:val="32"/>
          <w:szCs w:val="32"/>
          <w:highlight w:val="none"/>
        </w:rPr>
        <w:t>财务管理办法</w:t>
      </w:r>
      <w:r>
        <w:rPr>
          <w:rFonts w:hint="eastAsia" w:ascii="仿宋_GB2312" w:hAnsi="仿宋_GB2312" w:eastAsia="仿宋_GB2312" w:cs="仿宋_GB2312"/>
          <w:color w:val="000000"/>
          <w:kern w:val="0"/>
          <w:sz w:val="32"/>
          <w:szCs w:val="32"/>
          <w:highlight w:val="none"/>
          <w:lang w:eastAsia="zh-CN"/>
        </w:rPr>
        <w:t>和</w:t>
      </w:r>
      <w:r>
        <w:rPr>
          <w:rFonts w:hint="eastAsia" w:ascii="仿宋_GB2312" w:hAnsi="仿宋_GB2312" w:eastAsia="仿宋_GB2312" w:cs="仿宋_GB2312"/>
          <w:color w:val="000000"/>
          <w:kern w:val="0"/>
          <w:sz w:val="32"/>
          <w:szCs w:val="32"/>
          <w:highlight w:val="none"/>
        </w:rPr>
        <w:t>经费支出管理办法，</w:t>
      </w:r>
      <w:r>
        <w:rPr>
          <w:rFonts w:hint="eastAsia" w:ascii="仿宋_GB2312" w:hAnsi="仿宋_GB2312" w:eastAsia="仿宋_GB2312" w:cs="仿宋_GB2312"/>
          <w:color w:val="000000"/>
          <w:kern w:val="0"/>
          <w:sz w:val="32"/>
          <w:szCs w:val="32"/>
          <w:highlight w:val="none"/>
          <w:lang w:eastAsia="zh-CN"/>
        </w:rPr>
        <w:t>完善和规范资金审批、预算管理、会计核算、资产管理、政府采购等制度机制</w:t>
      </w:r>
      <w:r>
        <w:rPr>
          <w:rFonts w:hint="eastAsia" w:ascii="仿宋_GB2312" w:hAnsi="仿宋_GB2312" w:eastAsia="仿宋_GB2312" w:cs="仿宋_GB2312"/>
          <w:color w:val="000000"/>
          <w:kern w:val="0"/>
          <w:sz w:val="32"/>
          <w:szCs w:val="32"/>
          <w:highlight w:val="none"/>
        </w:rPr>
        <w:t>。按照内部审计制度建设</w:t>
      </w:r>
      <w:r>
        <w:rPr>
          <w:rFonts w:hint="eastAsia" w:ascii="仿宋_GB2312" w:hAnsi="仿宋_GB2312" w:eastAsia="仿宋_GB2312" w:cs="仿宋_GB2312"/>
          <w:color w:val="000000"/>
          <w:kern w:val="0"/>
          <w:sz w:val="32"/>
          <w:szCs w:val="32"/>
          <w:highlight w:val="none"/>
          <w:lang w:eastAsia="zh-CN"/>
        </w:rPr>
        <w:t>相关要求</w:t>
      </w:r>
      <w:r>
        <w:rPr>
          <w:rFonts w:hint="eastAsia" w:ascii="仿宋_GB2312" w:hAnsi="仿宋_GB2312" w:eastAsia="仿宋_GB2312" w:cs="仿宋_GB2312"/>
          <w:color w:val="000000"/>
          <w:kern w:val="0"/>
          <w:sz w:val="32"/>
          <w:szCs w:val="32"/>
          <w:highlight w:val="none"/>
        </w:rPr>
        <w:t>，</w:t>
      </w:r>
      <w:r>
        <w:rPr>
          <w:rFonts w:hint="eastAsia" w:ascii="仿宋_GB2312" w:hAnsi="仿宋_GB2312" w:eastAsia="仿宋_GB2312" w:cs="仿宋_GB2312"/>
          <w:color w:val="000000"/>
          <w:kern w:val="0"/>
          <w:sz w:val="32"/>
          <w:szCs w:val="32"/>
          <w:highlight w:val="none"/>
          <w:lang w:eastAsia="zh-CN"/>
        </w:rPr>
        <w:t>制订</w:t>
      </w:r>
      <w:r>
        <w:rPr>
          <w:rFonts w:hint="eastAsia" w:ascii="仿宋_GB2312" w:hAnsi="仿宋_GB2312" w:eastAsia="仿宋_GB2312" w:cs="仿宋_GB2312"/>
          <w:color w:val="000000"/>
          <w:kern w:val="0"/>
          <w:sz w:val="32"/>
          <w:szCs w:val="32"/>
          <w:highlight w:val="none"/>
        </w:rPr>
        <w:t>内部审计实施办法（试行）。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2.资金使用合规性和安全性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eastAsia="zh-CN"/>
        </w:rPr>
        <w:t>严肃财经纪律，</w:t>
      </w:r>
      <w:r>
        <w:rPr>
          <w:rFonts w:hint="eastAsia" w:ascii="仿宋_GB2312" w:hAnsi="仿宋_GB2312" w:eastAsia="仿宋_GB2312" w:cs="仿宋_GB2312"/>
          <w:color w:val="000000"/>
          <w:kern w:val="0"/>
          <w:sz w:val="32"/>
          <w:szCs w:val="32"/>
          <w:highlight w:val="none"/>
        </w:rPr>
        <w:t>严格执行法律法规和财经纪律，严格执行经费开支标准，严格执行财务管理制度</w:t>
      </w:r>
      <w:r>
        <w:rPr>
          <w:rFonts w:hint="eastAsia" w:ascii="仿宋_GB2312" w:hAnsi="仿宋_GB2312" w:eastAsia="仿宋_GB2312" w:cs="仿宋_GB2312"/>
          <w:color w:val="000000"/>
          <w:kern w:val="0"/>
          <w:sz w:val="32"/>
          <w:szCs w:val="32"/>
          <w:highlight w:val="none"/>
          <w:lang w:eastAsia="zh-CN"/>
        </w:rPr>
        <w:t>、资金支出管理办法</w:t>
      </w:r>
      <w:r>
        <w:rPr>
          <w:rFonts w:hint="eastAsia" w:ascii="仿宋_GB2312" w:hAnsi="仿宋_GB2312" w:eastAsia="仿宋_GB2312" w:cs="仿宋_GB2312"/>
          <w:color w:val="000000"/>
          <w:kern w:val="0"/>
          <w:sz w:val="32"/>
          <w:szCs w:val="32"/>
          <w:highlight w:val="none"/>
        </w:rPr>
        <w:t>和内控要求</w:t>
      </w:r>
      <w:r>
        <w:rPr>
          <w:rFonts w:hint="eastAsia" w:ascii="仿宋_GB2312" w:hAnsi="仿宋_GB2312" w:eastAsia="仿宋_GB2312" w:cs="仿宋_GB2312"/>
          <w:color w:val="000000"/>
          <w:kern w:val="0"/>
          <w:sz w:val="32"/>
          <w:szCs w:val="32"/>
          <w:highlight w:val="none"/>
          <w:lang w:eastAsia="zh-CN"/>
        </w:rPr>
        <w:t>。在资金使用监管上，根据预算管理工作指导意见，落实重大支出集体研究制度。预算执行中，严格按照政府采购管理制度和流程执行。按照公务卡强制结算目录，规范资金支付，提高财政资金支付透明度，加强预算执行监督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3.会计基础信息完善性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严格执行政府会计准则制度</w:t>
      </w:r>
      <w:r>
        <w:rPr>
          <w:rFonts w:hint="eastAsia" w:ascii="仿宋_GB2312" w:hAnsi="仿宋_GB2312" w:eastAsia="仿宋_GB2312" w:cs="仿宋_GB2312"/>
          <w:color w:val="000000"/>
          <w:kern w:val="0"/>
          <w:sz w:val="32"/>
          <w:szCs w:val="32"/>
          <w:highlight w:val="none"/>
          <w:lang w:eastAsia="zh-CN"/>
        </w:rPr>
        <w:t>和</w:t>
      </w:r>
      <w:r>
        <w:rPr>
          <w:rFonts w:hint="eastAsia" w:ascii="仿宋_GB2312" w:hAnsi="仿宋_GB2312" w:eastAsia="仿宋_GB2312" w:cs="仿宋_GB2312"/>
          <w:color w:val="000000"/>
          <w:kern w:val="0"/>
          <w:sz w:val="32"/>
          <w:szCs w:val="32"/>
          <w:highlight w:val="none"/>
        </w:rPr>
        <w:t>新修订的《行政单位财务规则》，及时规范账务处理，细化核算内容，加强日常对账，及时提供会计信息。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（二）资产管理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执行</w:t>
      </w:r>
      <w:r>
        <w:rPr>
          <w:rFonts w:hint="eastAsia" w:ascii="仿宋_GB2312" w:hAnsi="仿宋_GB2312" w:eastAsia="仿宋_GB2312" w:cs="仿宋_GB2312"/>
          <w:sz w:val="32"/>
          <w:szCs w:val="32"/>
          <w:highlight w:val="none"/>
        </w:rPr>
        <w:t>行政单位国有资产管理等规定，严格按照以权责发生制为基础编报财务报告，做好财务报告与决算报告、行政事业性国有资产报告的数据衔接，同口径数据保持一致。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（三）绩效</w:t>
      </w:r>
      <w:r>
        <w:rPr>
          <w:rFonts w:ascii="楷体" w:hAnsi="楷体" w:eastAsia="楷体"/>
          <w:sz w:val="32"/>
          <w:szCs w:val="32"/>
          <w:highlight w:val="none"/>
        </w:rPr>
        <w:t>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落实全面实施预算绩效管理要求，发挥预算绩效管理主体责任</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预算编制时填报部门整体支出绩效目标，将全部支出纳入绩效管理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提高绩效意识，压实</w:t>
      </w:r>
      <w:r>
        <w:rPr>
          <w:rFonts w:hint="eastAsia" w:ascii="仿宋_GB2312" w:hAnsi="仿宋_GB2312" w:eastAsia="仿宋_GB2312" w:cs="仿宋_GB2312"/>
          <w:sz w:val="32"/>
          <w:szCs w:val="32"/>
          <w:highlight w:val="none"/>
          <w:lang w:eastAsia="zh-CN"/>
        </w:rPr>
        <w:t>主体</w:t>
      </w:r>
      <w:r>
        <w:rPr>
          <w:rFonts w:hint="eastAsia" w:ascii="仿宋_GB2312" w:hAnsi="仿宋_GB2312" w:eastAsia="仿宋_GB2312" w:cs="仿宋_GB2312"/>
          <w:sz w:val="32"/>
          <w:szCs w:val="32"/>
          <w:highlight w:val="none"/>
        </w:rPr>
        <w:t>责任</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把握整体预算执行、绩效目标实现和预算管理</w:t>
      </w:r>
      <w:r>
        <w:rPr>
          <w:rFonts w:hint="eastAsia" w:ascii="仿宋_GB2312" w:hAnsi="仿宋_GB2312" w:eastAsia="仿宋_GB2312" w:cs="仿宋_GB2312"/>
          <w:sz w:val="32"/>
          <w:szCs w:val="32"/>
          <w:highlight w:val="none"/>
          <w:lang w:eastAsia="zh-CN"/>
        </w:rPr>
        <w:t>等</w:t>
      </w:r>
      <w:r>
        <w:rPr>
          <w:rFonts w:hint="eastAsia" w:ascii="仿宋_GB2312" w:hAnsi="仿宋_GB2312" w:eastAsia="仿宋_GB2312" w:cs="仿宋_GB2312"/>
          <w:sz w:val="32"/>
          <w:szCs w:val="32"/>
          <w:highlight w:val="none"/>
        </w:rPr>
        <w:t>情况。成立预算绩效工作组，为规范预算编制、执行、绩效评价等预算绩效管理提供组织保障。开展年度成本绩效分析、部门整体绩效评价、部门重点评价和单位自评</w:t>
      </w:r>
      <w:r>
        <w:rPr>
          <w:rFonts w:hint="eastAsia" w:ascii="仿宋_GB2312" w:hAnsi="仿宋_GB2312" w:eastAsia="仿宋_GB2312" w:cs="仿宋_GB2312"/>
          <w:sz w:val="32"/>
          <w:szCs w:val="32"/>
          <w:highlight w:val="none"/>
          <w:lang w:eastAsia="zh-CN"/>
        </w:rPr>
        <w:t>全覆盖</w:t>
      </w:r>
      <w:r>
        <w:rPr>
          <w:rFonts w:hint="eastAsia" w:ascii="仿宋_GB2312" w:hAnsi="仿宋_GB2312" w:eastAsia="仿宋_GB2312" w:cs="仿宋_GB2312"/>
          <w:sz w:val="32"/>
          <w:szCs w:val="32"/>
          <w:highlight w:val="none"/>
        </w:rPr>
        <w:t>。开展成本绩效分析。每季度开展过紧日子评估。对</w:t>
      </w:r>
      <w:r>
        <w:rPr>
          <w:rFonts w:hint="eastAsia" w:ascii="仿宋_GB2312" w:hAnsi="仿宋_GB2312" w:eastAsia="仿宋_GB2312" w:cs="仿宋_GB2312"/>
          <w:sz w:val="32"/>
          <w:szCs w:val="32"/>
          <w:highlight w:val="none"/>
          <w:lang w:eastAsia="zh-CN"/>
        </w:rPr>
        <w:t>预算项目</w:t>
      </w:r>
      <w:r>
        <w:rPr>
          <w:rFonts w:hint="eastAsia" w:ascii="仿宋_GB2312" w:hAnsi="仿宋_GB2312" w:eastAsia="仿宋_GB2312" w:cs="仿宋_GB2312"/>
          <w:sz w:val="32"/>
          <w:szCs w:val="32"/>
          <w:highlight w:val="none"/>
        </w:rPr>
        <w:t>的执行情况进行监控。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（四）结转结余率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年，年末结转和结余</w:t>
      </w:r>
      <w:r>
        <w:rPr>
          <w:rFonts w:hint="eastAsia" w:ascii="仿宋_GB2312" w:hAnsi="仿宋_GB2312" w:eastAsia="仿宋_GB2312" w:cs="仿宋_GB2312"/>
          <w:sz w:val="32"/>
          <w:szCs w:val="32"/>
          <w:highlight w:val="none"/>
          <w:lang w:val="en-US" w:eastAsia="zh-CN"/>
        </w:rPr>
        <w:t>100.89</w:t>
      </w:r>
      <w:r>
        <w:rPr>
          <w:rFonts w:hint="eastAsia" w:ascii="仿宋_GB2312" w:hAnsi="仿宋_GB2312" w:eastAsia="仿宋_GB2312" w:cs="仿宋_GB2312"/>
          <w:sz w:val="32"/>
          <w:szCs w:val="32"/>
          <w:highlight w:val="none"/>
        </w:rPr>
        <w:t>万元，支出调整预算数</w:t>
      </w:r>
      <w:r>
        <w:rPr>
          <w:rFonts w:hint="eastAsia" w:ascii="仿宋_GB2312" w:hAnsi="仿宋_GB2312" w:eastAsia="仿宋_GB2312" w:cs="仿宋_GB2312"/>
          <w:sz w:val="32"/>
          <w:szCs w:val="32"/>
          <w:highlight w:val="none"/>
          <w:lang w:val="en-US" w:eastAsia="zh-CN"/>
        </w:rPr>
        <w:t>2057.66</w:t>
      </w:r>
      <w:r>
        <w:rPr>
          <w:rFonts w:hint="eastAsia" w:ascii="仿宋_GB2312" w:hAnsi="仿宋_GB2312" w:eastAsia="仿宋_GB2312" w:cs="仿宋_GB2312"/>
          <w:sz w:val="32"/>
          <w:szCs w:val="32"/>
          <w:highlight w:val="none"/>
        </w:rPr>
        <w:t>万元，结转结余率为</w:t>
      </w:r>
      <w:r>
        <w:rPr>
          <w:rFonts w:hint="eastAsia" w:ascii="仿宋_GB2312" w:hAnsi="仿宋_GB2312" w:eastAsia="仿宋_GB2312" w:cs="仿宋_GB2312"/>
          <w:sz w:val="32"/>
          <w:szCs w:val="32"/>
          <w:highlight w:val="none"/>
          <w:lang w:val="en-US" w:eastAsia="zh-CN"/>
        </w:rPr>
        <w:t>4.90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，较上年增长</w:t>
      </w:r>
      <w:r>
        <w:rPr>
          <w:rFonts w:hint="eastAsia" w:ascii="仿宋_GB2312" w:hAnsi="仿宋_GB2312" w:eastAsia="仿宋_GB2312" w:cs="仿宋_GB2312"/>
          <w:sz w:val="32"/>
          <w:szCs w:val="32"/>
          <w:highlight w:val="none"/>
          <w:lang w:val="en-US" w:eastAsia="zh-CN"/>
        </w:rPr>
        <w:t>1.15%</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（五）部门</w:t>
      </w:r>
      <w:r>
        <w:rPr>
          <w:rFonts w:ascii="楷体" w:hAnsi="楷体" w:eastAsia="楷体"/>
          <w:sz w:val="32"/>
          <w:szCs w:val="32"/>
          <w:highlight w:val="none"/>
        </w:rPr>
        <w:t>预决算差异率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年，年初预算数</w:t>
      </w:r>
      <w:r>
        <w:rPr>
          <w:rFonts w:hint="eastAsia" w:ascii="仿宋_GB2312" w:hAnsi="仿宋_GB2312" w:eastAsia="仿宋_GB2312" w:cs="仿宋_GB2312"/>
          <w:sz w:val="32"/>
          <w:szCs w:val="32"/>
          <w:highlight w:val="none"/>
          <w:lang w:val="en-US" w:eastAsia="zh-CN"/>
        </w:rPr>
        <w:t>2121.14</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en-US" w:eastAsia="zh-CN"/>
        </w:rPr>
        <w:t>2057.66</w:t>
      </w:r>
      <w:r>
        <w:rPr>
          <w:rFonts w:hint="eastAsia" w:ascii="仿宋_GB2312" w:hAnsi="仿宋_GB2312" w:eastAsia="仿宋_GB2312" w:cs="仿宋_GB2312"/>
          <w:sz w:val="32"/>
          <w:szCs w:val="32"/>
          <w:highlight w:val="none"/>
        </w:rPr>
        <w:t>万元，部门预决算差异率为</w:t>
      </w:r>
      <w:r>
        <w:rPr>
          <w:rFonts w:hint="eastAsia" w:ascii="仿宋_GB2312" w:hAnsi="仿宋_GB2312" w:eastAsia="仿宋_GB2312" w:cs="仿宋_GB2312"/>
          <w:sz w:val="32"/>
          <w:szCs w:val="32"/>
          <w:highlight w:val="none"/>
          <w:lang w:val="en-US" w:eastAsia="zh-CN"/>
        </w:rPr>
        <w:t>-2.99</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，较上年下降</w:t>
      </w:r>
      <w:r>
        <w:rPr>
          <w:rFonts w:hint="eastAsia" w:ascii="仿宋_GB2312" w:hAnsi="仿宋_GB2312" w:eastAsia="仿宋_GB2312" w:cs="仿宋_GB2312"/>
          <w:sz w:val="32"/>
          <w:szCs w:val="32"/>
          <w:highlight w:val="none"/>
          <w:lang w:val="en-US" w:eastAsia="zh-CN"/>
        </w:rPr>
        <w:t>0.85%</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105" w:leftChars="50" w:firstLine="480" w:firstLineChars="150"/>
        <w:textAlignment w:val="auto"/>
        <w:rPr>
          <w:rFonts w:ascii="黑体" w:hAnsi="黑体" w:eastAsia="黑体"/>
          <w:sz w:val="32"/>
          <w:szCs w:val="32"/>
          <w:highlight w:val="none"/>
        </w:rPr>
      </w:pPr>
      <w:r>
        <w:rPr>
          <w:rFonts w:hint="eastAsia" w:ascii="黑体" w:hAnsi="黑体" w:eastAsia="黑体"/>
          <w:sz w:val="32"/>
          <w:szCs w:val="32"/>
          <w:highlight w:val="none"/>
        </w:rPr>
        <w:t>五、总体</w:t>
      </w:r>
      <w:r>
        <w:rPr>
          <w:rFonts w:ascii="黑体" w:hAnsi="黑体" w:eastAsia="黑体"/>
          <w:sz w:val="32"/>
          <w:szCs w:val="32"/>
          <w:highlight w:val="none"/>
        </w:rPr>
        <w:t>评价结论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（一）评价</w:t>
      </w:r>
      <w:r>
        <w:rPr>
          <w:rFonts w:ascii="楷体" w:hAnsi="楷体" w:eastAsia="楷体"/>
          <w:sz w:val="32"/>
          <w:szCs w:val="32"/>
          <w:highlight w:val="none"/>
        </w:rPr>
        <w:t>得分</w:t>
      </w:r>
      <w:r>
        <w:rPr>
          <w:rFonts w:hint="eastAsia" w:ascii="楷体" w:hAnsi="楷体" w:eastAsia="楷体"/>
          <w:sz w:val="32"/>
          <w:szCs w:val="32"/>
          <w:highlight w:val="none"/>
        </w:rPr>
        <w:t>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整体</w:t>
      </w:r>
      <w:r>
        <w:rPr>
          <w:rFonts w:hint="eastAsia" w:ascii="仿宋_GB2312" w:hAnsi="仿宋_GB2312" w:eastAsia="仿宋_GB2312" w:cs="仿宋_GB2312"/>
          <w:sz w:val="32"/>
          <w:szCs w:val="32"/>
          <w:highlight w:val="none"/>
          <w:lang w:eastAsia="zh-CN"/>
        </w:rPr>
        <w:t>支出</w:t>
      </w:r>
      <w:r>
        <w:rPr>
          <w:rFonts w:hint="eastAsia" w:ascii="仿宋_GB2312" w:hAnsi="仿宋_GB2312" w:eastAsia="仿宋_GB2312" w:cs="仿宋_GB2312"/>
          <w:sz w:val="32"/>
          <w:szCs w:val="32"/>
          <w:highlight w:val="none"/>
        </w:rPr>
        <w:t>绩效评价</w:t>
      </w:r>
      <w:r>
        <w:rPr>
          <w:rFonts w:hint="eastAsia" w:ascii="仿宋_GB2312" w:hAnsi="仿宋_GB2312" w:eastAsia="仿宋_GB2312" w:cs="仿宋_GB2312"/>
          <w:sz w:val="32"/>
          <w:szCs w:val="32"/>
          <w:highlight w:val="none"/>
          <w:lang w:eastAsia="zh-CN"/>
        </w:rPr>
        <w:t>综合得分</w:t>
      </w:r>
      <w:r>
        <w:rPr>
          <w:rFonts w:hint="eastAsia" w:ascii="仿宋_GB2312" w:hAnsi="仿宋_GB2312" w:eastAsia="仿宋_GB2312" w:cs="仿宋_GB2312"/>
          <w:sz w:val="32"/>
          <w:szCs w:val="32"/>
          <w:highlight w:val="none"/>
          <w:lang w:val="en-US" w:eastAsia="zh-CN"/>
        </w:rPr>
        <w:t>90.5</w:t>
      </w:r>
      <w:r>
        <w:rPr>
          <w:rFonts w:hint="eastAsia" w:ascii="仿宋_GB2312" w:hAnsi="仿宋_GB2312" w:eastAsia="仿宋_GB2312" w:cs="仿宋_GB2312"/>
          <w:sz w:val="32"/>
          <w:szCs w:val="32"/>
          <w:highlight w:val="none"/>
        </w:rPr>
        <w:t>分，其中</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当年预算执行情况</w:t>
      </w:r>
      <w:r>
        <w:rPr>
          <w:rFonts w:hint="eastAsia" w:ascii="仿宋_GB2312" w:hAnsi="仿宋_GB2312" w:eastAsia="仿宋_GB2312" w:cs="仿宋_GB2312"/>
          <w:sz w:val="32"/>
          <w:szCs w:val="32"/>
          <w:highlight w:val="none"/>
          <w:lang w:val="en-US" w:eastAsia="zh-CN"/>
        </w:rPr>
        <w:t>19</w:t>
      </w:r>
      <w:r>
        <w:rPr>
          <w:rFonts w:hint="eastAsia" w:ascii="仿宋_GB2312" w:hAnsi="仿宋_GB2312" w:eastAsia="仿宋_GB2312" w:cs="仿宋_GB2312"/>
          <w:sz w:val="32"/>
          <w:szCs w:val="32"/>
          <w:highlight w:val="none"/>
        </w:rPr>
        <w:t>分，整体绩效目标实现情况</w:t>
      </w:r>
      <w:r>
        <w:rPr>
          <w:rFonts w:hint="eastAsia" w:ascii="仿宋_GB2312" w:hAnsi="仿宋_GB2312" w:eastAsia="仿宋_GB2312" w:cs="仿宋_GB2312"/>
          <w:sz w:val="32"/>
          <w:szCs w:val="32"/>
          <w:highlight w:val="none"/>
          <w:lang w:val="en-US" w:eastAsia="zh-CN"/>
        </w:rPr>
        <w:t>54</w:t>
      </w:r>
      <w:r>
        <w:rPr>
          <w:rFonts w:hint="eastAsia" w:ascii="仿宋_GB2312" w:hAnsi="仿宋_GB2312" w:eastAsia="仿宋_GB2312" w:cs="仿宋_GB2312"/>
          <w:sz w:val="32"/>
          <w:szCs w:val="32"/>
          <w:highlight w:val="none"/>
        </w:rPr>
        <w:t>分，预算管理情况</w:t>
      </w:r>
      <w:r>
        <w:rPr>
          <w:rFonts w:hint="eastAsia" w:ascii="仿宋_GB2312" w:hAnsi="仿宋_GB2312" w:eastAsia="仿宋_GB2312" w:cs="仿宋_GB2312"/>
          <w:sz w:val="32"/>
          <w:szCs w:val="32"/>
          <w:highlight w:val="none"/>
          <w:lang w:val="en-US" w:eastAsia="zh-CN"/>
        </w:rPr>
        <w:t>17.5</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，绩效评定结论为“优”</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center"/>
        <w:textAlignment w:val="auto"/>
        <w:rPr>
          <w:rFonts w:hint="eastAsia" w:ascii="黑体" w:hAnsi="黑体" w:eastAsia="黑体" w:cs="黑体"/>
          <w:sz w:val="28"/>
          <w:szCs w:val="28"/>
        </w:rPr>
      </w:pPr>
      <w:r>
        <w:rPr>
          <w:rFonts w:hint="eastAsia" w:ascii="黑体" w:hAnsi="黑体" w:eastAsia="黑体" w:cs="黑体"/>
          <w:sz w:val="28"/>
          <w:szCs w:val="28"/>
          <w:highlight w:val="none"/>
        </w:rPr>
        <w:t>部门整体支出绩效评价结论一览表</w:t>
      </w:r>
    </w:p>
    <w:tbl>
      <w:tblPr>
        <w:tblStyle w:val="10"/>
        <w:tblW w:w="8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57" w:type="dxa"/>
          <w:bottom w:w="0" w:type="dxa"/>
          <w:right w:w="57" w:type="dxa"/>
        </w:tblCellMar>
      </w:tblPr>
      <w:tblGrid>
        <w:gridCol w:w="3003"/>
        <w:gridCol w:w="2626"/>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评价内容</w:t>
            </w:r>
          </w:p>
        </w:tc>
        <w:tc>
          <w:tcPr>
            <w:tcW w:w="2626"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分值</w:t>
            </w:r>
          </w:p>
        </w:tc>
        <w:tc>
          <w:tcPr>
            <w:tcW w:w="2629"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当年预算执行情况</w:t>
            </w:r>
          </w:p>
        </w:tc>
        <w:tc>
          <w:tcPr>
            <w:tcW w:w="2626"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20</w:t>
            </w:r>
          </w:p>
        </w:tc>
        <w:tc>
          <w:tcPr>
            <w:tcW w:w="2629"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before="120" w:after="60" w:line="240" w:lineRule="auto"/>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rPr>
              <w:t>整体绩效目标实现情况</w:t>
            </w:r>
          </w:p>
        </w:tc>
        <w:tc>
          <w:tcPr>
            <w:tcW w:w="2626"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60</w:t>
            </w:r>
          </w:p>
        </w:tc>
        <w:tc>
          <w:tcPr>
            <w:tcW w:w="2629"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before="120" w:after="60" w:line="240" w:lineRule="auto"/>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rPr>
              <w:t>预算管理情况</w:t>
            </w:r>
          </w:p>
        </w:tc>
        <w:tc>
          <w:tcPr>
            <w:tcW w:w="2626"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20</w:t>
            </w:r>
          </w:p>
        </w:tc>
        <w:tc>
          <w:tcPr>
            <w:tcW w:w="2629"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before="120" w:after="60"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综合得分</w:t>
            </w:r>
          </w:p>
        </w:tc>
        <w:tc>
          <w:tcPr>
            <w:tcW w:w="2626"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100</w:t>
            </w:r>
          </w:p>
        </w:tc>
        <w:tc>
          <w:tcPr>
            <w:tcW w:w="2629"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300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before="120" w:after="60"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绩效评定级别</w:t>
            </w:r>
          </w:p>
        </w:tc>
        <w:tc>
          <w:tcPr>
            <w:tcW w:w="5255" w:type="dxa"/>
            <w:gridSpan w:val="2"/>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优</w:t>
            </w:r>
          </w:p>
        </w:tc>
      </w:tr>
    </w:tbl>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依据</w:t>
      </w:r>
      <w:r>
        <w:rPr>
          <w:rFonts w:hint="eastAsia" w:ascii="仿宋_GB2312" w:hAnsi="仿宋_GB2312" w:eastAsia="仿宋_GB2312" w:cs="仿宋_GB2312"/>
          <w:sz w:val="32"/>
          <w:szCs w:val="32"/>
          <w:highlight w:val="none"/>
        </w:rPr>
        <w:t>项目支出绩效评价管理办法</w:t>
      </w:r>
      <w:r>
        <w:rPr>
          <w:rFonts w:hint="eastAsia" w:ascii="仿宋_GB2312" w:hAnsi="仿宋_GB2312" w:eastAsia="仿宋_GB2312" w:cs="仿宋_GB2312"/>
          <w:sz w:val="32"/>
          <w:szCs w:val="32"/>
          <w:highlight w:val="none"/>
          <w:lang w:eastAsia="zh-CN"/>
        </w:rPr>
        <w:t>关于“年初指标值设定明显偏低的，要按照偏离度适度调减分值”的要求，</w:t>
      </w:r>
      <w:r>
        <w:rPr>
          <w:rFonts w:hint="eastAsia" w:ascii="仿宋_GB2312" w:hAnsi="仿宋_GB2312" w:eastAsia="仿宋_GB2312" w:cs="仿宋_GB2312"/>
          <w:sz w:val="32"/>
          <w:szCs w:val="32"/>
          <w:highlight w:val="none"/>
        </w:rPr>
        <w:t>绩效</w:t>
      </w:r>
      <w:r>
        <w:rPr>
          <w:rFonts w:hint="eastAsia" w:ascii="仿宋_GB2312" w:hAnsi="仿宋_GB2312" w:eastAsia="仿宋_GB2312" w:cs="仿宋_GB2312"/>
          <w:sz w:val="32"/>
          <w:szCs w:val="32"/>
          <w:highlight w:val="none"/>
          <w:lang w:eastAsia="zh-CN"/>
        </w:rPr>
        <w:t>目标、</w:t>
      </w:r>
      <w:r>
        <w:rPr>
          <w:rFonts w:hint="eastAsia" w:ascii="仿宋_GB2312" w:hAnsi="仿宋_GB2312" w:eastAsia="仿宋_GB2312" w:cs="仿宋_GB2312"/>
          <w:sz w:val="32"/>
          <w:szCs w:val="32"/>
          <w:highlight w:val="none"/>
        </w:rPr>
        <w:t>指标设定</w:t>
      </w:r>
      <w:r>
        <w:rPr>
          <w:rFonts w:hint="eastAsia" w:ascii="仿宋_GB2312" w:hAnsi="仿宋_GB2312" w:eastAsia="仿宋_GB2312" w:cs="仿宋_GB2312"/>
          <w:sz w:val="32"/>
          <w:szCs w:val="32"/>
          <w:highlight w:val="none"/>
          <w:lang w:eastAsia="zh-CN"/>
        </w:rPr>
        <w:t>在</w:t>
      </w:r>
      <w:r>
        <w:rPr>
          <w:rFonts w:hint="eastAsia" w:ascii="仿宋_GB2312" w:hAnsi="仿宋_GB2312" w:eastAsia="仿宋_GB2312" w:cs="仿宋_GB2312"/>
          <w:bCs/>
          <w:color w:val="auto"/>
          <w:kern w:val="44"/>
          <w:sz w:val="32"/>
          <w:szCs w:val="32"/>
          <w:highlight w:val="none"/>
          <w:lang w:val="en-US" w:eastAsia="zh-CN"/>
        </w:rPr>
        <w:t>反映提升履职实效和自身建设质效方面，</w:t>
      </w:r>
      <w:r>
        <w:rPr>
          <w:rFonts w:hint="eastAsia" w:ascii="仿宋_GB2312" w:hAnsi="仿宋_GB2312" w:eastAsia="仿宋_GB2312" w:cs="仿宋_GB2312"/>
          <w:b w:val="0"/>
          <w:bCs/>
          <w:kern w:val="44"/>
          <w:sz w:val="32"/>
          <w:szCs w:val="32"/>
          <w:lang w:eastAsia="zh-CN"/>
        </w:rPr>
        <w:t>效益指标的预期达到情况为宽泛描述，缺乏衡量性。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eastAsia="zh-CN"/>
        </w:rPr>
        <w:t>落实</w:t>
      </w:r>
      <w:r>
        <w:rPr>
          <w:rFonts w:hint="eastAsia" w:ascii="仿宋_GB2312" w:hAnsi="仿宋_GB2312" w:eastAsia="仿宋_GB2312" w:cs="仿宋_GB2312"/>
          <w:sz w:val="32"/>
          <w:szCs w:val="32"/>
          <w:highlight w:val="none"/>
        </w:rPr>
        <w:t>推进自身建设</w:t>
      </w:r>
      <w:r>
        <w:rPr>
          <w:rFonts w:hint="eastAsia" w:ascii="仿宋_GB2312" w:hAnsi="仿宋_GB2312" w:eastAsia="仿宋_GB2312" w:cs="仿宋_GB2312"/>
          <w:sz w:val="32"/>
          <w:szCs w:val="32"/>
          <w:highlight w:val="none"/>
          <w:lang w:eastAsia="zh-CN"/>
        </w:rPr>
        <w:t>等部署，</w:t>
      </w:r>
      <w:r>
        <w:rPr>
          <w:rFonts w:hint="eastAsia" w:ascii="仿宋_GB2312" w:hAnsi="仿宋_GB2312" w:eastAsia="仿宋_GB2312" w:cs="仿宋_GB2312"/>
          <w:sz w:val="32"/>
          <w:szCs w:val="32"/>
          <w:highlight w:val="none"/>
        </w:rPr>
        <w:t>体现</w:t>
      </w:r>
      <w:r>
        <w:rPr>
          <w:rFonts w:hint="eastAsia" w:ascii="仿宋_GB2312" w:hAnsi="仿宋_GB2312" w:eastAsia="仿宋_GB2312" w:cs="仿宋_GB2312"/>
          <w:sz w:val="32"/>
          <w:szCs w:val="32"/>
          <w:highlight w:val="none"/>
          <w:lang w:eastAsia="zh-CN"/>
        </w:rPr>
        <w:t>整体</w:t>
      </w:r>
      <w:r>
        <w:rPr>
          <w:rFonts w:hint="eastAsia" w:ascii="仿宋_GB2312" w:hAnsi="仿宋_GB2312" w:eastAsia="仿宋_GB2312" w:cs="仿宋_GB2312"/>
          <w:sz w:val="32"/>
          <w:szCs w:val="32"/>
          <w:highlight w:val="none"/>
        </w:rPr>
        <w:t>绩效成果资料</w:t>
      </w:r>
      <w:r>
        <w:rPr>
          <w:rFonts w:hint="eastAsia" w:ascii="仿宋_GB2312" w:hAnsi="仿宋_GB2312" w:eastAsia="仿宋_GB2312" w:cs="仿宋_GB2312"/>
          <w:sz w:val="32"/>
          <w:szCs w:val="32"/>
          <w:highlight w:val="none"/>
          <w:lang w:eastAsia="zh-CN"/>
        </w:rPr>
        <w:t>有待</w:t>
      </w:r>
      <w:r>
        <w:rPr>
          <w:rFonts w:hint="eastAsia" w:ascii="仿宋_GB2312" w:hAnsi="仿宋_GB2312" w:eastAsia="仿宋_GB2312" w:cs="仿宋_GB2312"/>
          <w:sz w:val="32"/>
          <w:szCs w:val="32"/>
          <w:highlight w:val="none"/>
        </w:rPr>
        <w:t>丰富，</w:t>
      </w:r>
      <w:r>
        <w:rPr>
          <w:rFonts w:hint="eastAsia" w:ascii="仿宋_GB2312" w:hAnsi="仿宋_GB2312" w:eastAsia="仿宋_GB2312" w:cs="仿宋_GB2312"/>
          <w:sz w:val="32"/>
          <w:szCs w:val="32"/>
          <w:highlight w:val="none"/>
          <w:lang w:eastAsia="zh-CN"/>
        </w:rPr>
        <w:t>对反映思想政治建设、组织建设、参政议政、社会服务等档案</w:t>
      </w:r>
      <w:r>
        <w:rPr>
          <w:rFonts w:hint="eastAsia" w:ascii="仿宋_GB2312" w:hAnsi="仿宋_GB2312" w:eastAsia="仿宋_GB2312" w:cs="仿宋_GB2312"/>
          <w:sz w:val="32"/>
          <w:szCs w:val="32"/>
          <w:highlight w:val="none"/>
        </w:rPr>
        <w:t>资料</w:t>
      </w:r>
      <w:r>
        <w:rPr>
          <w:rFonts w:hint="eastAsia" w:ascii="仿宋_GB2312" w:hAnsi="仿宋_GB2312" w:eastAsia="仿宋_GB2312" w:cs="仿宋_GB2312"/>
          <w:sz w:val="32"/>
          <w:szCs w:val="32"/>
          <w:highlight w:val="none"/>
          <w:lang w:eastAsia="zh-CN"/>
        </w:rPr>
        <w:t>的管理有待整合完善</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宋体" w:eastAsia="仿宋_GB2312" w:cs="宋体"/>
          <w:color w:val="000000"/>
          <w:kern w:val="0"/>
          <w:sz w:val="32"/>
          <w:szCs w:val="32"/>
          <w:highlight w:val="none"/>
        </w:rPr>
      </w:pPr>
      <w:r>
        <w:rPr>
          <w:rFonts w:hint="eastAsia" w:ascii="黑体" w:hAnsi="黑体" w:eastAsia="黑体" w:cs="宋体"/>
          <w:color w:val="000000"/>
          <w:kern w:val="0"/>
          <w:sz w:val="32"/>
          <w:szCs w:val="32"/>
          <w:highlight w:val="none"/>
        </w:rPr>
        <w:t>六、措施建议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000000"/>
          <w:kern w:val="0"/>
          <w:sz w:val="32"/>
          <w:szCs w:val="32"/>
          <w:highlight w:val="none"/>
        </w:rPr>
        <w:t>1.</w:t>
      </w:r>
      <w:r>
        <w:rPr>
          <w:rFonts w:hint="eastAsia" w:ascii="仿宋_GB2312" w:hAnsi="仿宋_GB2312" w:eastAsia="仿宋_GB2312" w:cs="仿宋_GB2312"/>
          <w:color w:val="000000"/>
          <w:kern w:val="0"/>
          <w:sz w:val="32"/>
          <w:szCs w:val="32"/>
          <w:highlight w:val="none"/>
          <w:lang w:eastAsia="zh-CN"/>
        </w:rPr>
        <w:t>按照</w:t>
      </w:r>
      <w:r>
        <w:rPr>
          <w:rFonts w:hint="eastAsia" w:ascii="仿宋_GB2312" w:hAnsi="仿宋_GB2312" w:eastAsia="仿宋_GB2312" w:cs="仿宋_GB2312"/>
          <w:color w:val="000000"/>
          <w:kern w:val="0"/>
          <w:sz w:val="32"/>
          <w:szCs w:val="32"/>
          <w:highlight w:val="none"/>
        </w:rPr>
        <w:t>预算绩效目标管理办法</w:t>
      </w:r>
      <w:r>
        <w:rPr>
          <w:rFonts w:hint="eastAsia" w:ascii="仿宋_GB2312" w:hAnsi="仿宋_GB2312" w:eastAsia="仿宋_GB2312" w:cs="仿宋_GB2312"/>
          <w:color w:val="000000"/>
          <w:kern w:val="0"/>
          <w:sz w:val="32"/>
          <w:szCs w:val="32"/>
          <w:highlight w:val="none"/>
          <w:lang w:eastAsia="zh-CN"/>
        </w:rPr>
        <w:t>关于“指向明确、细化量化、合理可行、相应匹配”的要求，科学合理设定绩效目标，概括提炼出最能反映工作任务预期实现程度的关键性指标，切实提高财政资金使用效益</w:t>
      </w:r>
      <w:r>
        <w:rPr>
          <w:rFonts w:hint="eastAsia" w:ascii="仿宋_GB2312" w:hAnsi="仿宋_GB2312" w:eastAsia="仿宋_GB2312" w:cs="仿宋_GB2312"/>
          <w:color w:val="000000"/>
          <w:kern w:val="0"/>
          <w:sz w:val="32"/>
          <w:szCs w:val="32"/>
          <w:highlight w:val="none"/>
        </w:rPr>
        <w:t>。</w:t>
      </w:r>
      <w:r>
        <w:rPr>
          <w:rFonts w:hint="eastAsia" w:ascii="仿宋_GB2312" w:hAnsi="仿宋_GB2312" w:eastAsia="仿宋_GB2312" w:cs="仿宋_GB2312"/>
          <w:sz w:val="32"/>
          <w:szCs w:val="32"/>
          <w:highlight w:val="none"/>
          <w:lang w:eastAsia="zh-CN"/>
        </w:rPr>
        <w:t>指标须在成本核算的基础上，确保真实准确、科学合理；指标要定量为主、定性为辅；定性指标也应具有可衡量性。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2.</w:t>
      </w:r>
      <w:r>
        <w:rPr>
          <w:rFonts w:hint="eastAsia" w:ascii="仿宋_GB2312" w:hAnsi="仿宋_GB2312" w:eastAsia="仿宋_GB2312" w:cs="仿宋_GB2312"/>
          <w:color w:val="000000"/>
          <w:kern w:val="0"/>
          <w:sz w:val="32"/>
          <w:szCs w:val="32"/>
          <w:highlight w:val="none"/>
          <w:lang w:eastAsia="zh-CN"/>
        </w:rPr>
        <w:t>按照</w:t>
      </w:r>
      <w:r>
        <w:rPr>
          <w:rFonts w:hint="eastAsia" w:ascii="仿宋_GB2312" w:hAnsi="仿宋_GB2312" w:eastAsia="仿宋_GB2312" w:cs="仿宋_GB2312"/>
          <w:sz w:val="32"/>
          <w:szCs w:val="32"/>
          <w:highlight w:val="none"/>
        </w:rPr>
        <w:t>推进自身建设</w:t>
      </w:r>
      <w:r>
        <w:rPr>
          <w:rFonts w:hint="eastAsia" w:ascii="仿宋_GB2312" w:hAnsi="仿宋_GB2312" w:eastAsia="仿宋_GB2312" w:cs="仿宋_GB2312"/>
          <w:sz w:val="32"/>
          <w:szCs w:val="32"/>
          <w:highlight w:val="none"/>
          <w:lang w:eastAsia="zh-CN"/>
        </w:rPr>
        <w:t>要求，结合实际，</w:t>
      </w:r>
      <w:r>
        <w:rPr>
          <w:rFonts w:hint="eastAsia" w:ascii="仿宋_GB2312" w:hAnsi="仿宋_GB2312" w:eastAsia="仿宋_GB2312" w:cs="仿宋_GB2312"/>
          <w:color w:val="000000"/>
          <w:kern w:val="0"/>
          <w:sz w:val="32"/>
          <w:szCs w:val="32"/>
          <w:highlight w:val="none"/>
        </w:rPr>
        <w:t>制定具有可操作性的</w:t>
      </w:r>
      <w:r>
        <w:rPr>
          <w:rFonts w:hint="eastAsia" w:ascii="仿宋_GB2312" w:hAnsi="仿宋_GB2312" w:eastAsia="仿宋_GB2312" w:cs="仿宋_GB2312"/>
          <w:color w:val="000000"/>
          <w:kern w:val="0"/>
          <w:sz w:val="32"/>
          <w:szCs w:val="32"/>
          <w:highlight w:val="none"/>
          <w:lang w:eastAsia="zh-CN"/>
        </w:rPr>
        <w:t>项目</w:t>
      </w:r>
      <w:r>
        <w:rPr>
          <w:rFonts w:hint="eastAsia" w:ascii="仿宋_GB2312" w:hAnsi="仿宋_GB2312" w:eastAsia="仿宋_GB2312" w:cs="仿宋_GB2312"/>
          <w:color w:val="000000"/>
          <w:kern w:val="0"/>
          <w:sz w:val="32"/>
          <w:szCs w:val="32"/>
          <w:highlight w:val="none"/>
        </w:rPr>
        <w:t>实施方案，加强资料收集整理，注重绩效成果材料和评价资料累积，体现</w:t>
      </w:r>
      <w:r>
        <w:rPr>
          <w:rFonts w:hint="eastAsia" w:ascii="仿宋_GB2312" w:hAnsi="仿宋_GB2312" w:eastAsia="仿宋_GB2312" w:cs="仿宋_GB2312"/>
          <w:bCs/>
          <w:kern w:val="44"/>
          <w:sz w:val="32"/>
          <w:szCs w:val="32"/>
          <w:lang w:eastAsia="zh-CN"/>
        </w:rPr>
        <w:t>管理效率、履职效能和实施效果</w:t>
      </w:r>
      <w:r>
        <w:rPr>
          <w:rFonts w:hint="eastAsia" w:ascii="仿宋_GB2312" w:hAnsi="仿宋_GB2312" w:eastAsia="仿宋_GB2312" w:cs="仿宋_GB2312"/>
          <w:color w:val="000000"/>
          <w:kern w:val="0"/>
          <w:sz w:val="32"/>
          <w:szCs w:val="32"/>
          <w:highlight w:val="none"/>
        </w:rPr>
        <w:t>。</w:t>
      </w:r>
    </w:p>
    <w:p>
      <w:pPr>
        <w:pStyle w:val="3"/>
        <w:keepNext w:val="0"/>
        <w:keepLines w:val="0"/>
        <w:pageBreakBefore w:val="0"/>
        <w:widowControl w:val="0"/>
        <w:kinsoku/>
        <w:wordWrap/>
        <w:overflowPunct/>
        <w:topLinePunct w:val="0"/>
        <w:autoSpaceDE/>
        <w:autoSpaceDN/>
        <w:bidi w:val="0"/>
        <w:adjustRightInd/>
        <w:snapToGrid/>
        <w:spacing w:line="540" w:lineRule="exact"/>
        <w:textAlignment w:val="auto"/>
        <w:rPr>
          <w:sz w:val="32"/>
          <w:szCs w:val="32"/>
          <w:highlight w:val="none"/>
        </w:rPr>
      </w:pPr>
      <w:bookmarkStart w:id="0" w:name="_Toc103006301"/>
      <w:r>
        <w:rPr>
          <w:rFonts w:hint="eastAsia"/>
          <w:sz w:val="32"/>
          <w:szCs w:val="32"/>
          <w:highlight w:val="none"/>
        </w:rPr>
        <w:t>七、附件</w:t>
      </w:r>
      <w:bookmarkEnd w:id="0"/>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rPr>
        <w:sectPr>
          <w:footerReference r:id="rId4" w:type="default"/>
          <w:pgSz w:w="11906" w:h="16838"/>
          <w:pgMar w:top="1440" w:right="1800" w:bottom="1440" w:left="1800" w:header="851" w:footer="964" w:gutter="0"/>
          <w:pgBorders>
            <w:top w:val="none" w:sz="0" w:space="0"/>
            <w:left w:val="none" w:sz="0" w:space="0"/>
            <w:bottom w:val="none" w:sz="0" w:space="0"/>
            <w:right w:val="none" w:sz="0" w:space="0"/>
          </w:pgBorders>
          <w:pgNumType w:fmt="decimal" w:start="1"/>
          <w:cols w:space="425" w:num="1"/>
          <w:docGrid w:type="lines" w:linePitch="435" w:charSpace="0"/>
        </w:sect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年部门整体绩效评价指标体系评分表</w:t>
      </w:r>
    </w:p>
    <w:tbl>
      <w:tblPr>
        <w:tblStyle w:val="10"/>
        <w:tblW w:w="8595"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14"/>
        <w:gridCol w:w="1114"/>
        <w:gridCol w:w="1347"/>
        <w:gridCol w:w="1420"/>
        <w:gridCol w:w="1570"/>
        <w:gridCol w:w="680"/>
        <w:gridCol w:w="1350"/>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643" w:hRule="atLeast"/>
        </w:trPr>
        <w:tc>
          <w:tcPr>
            <w:tcW w:w="8595" w:type="dxa"/>
            <w:gridSpan w:val="7"/>
            <w:tcBorders>
              <w:bottom w:val="single" w:color="auto" w:sz="4" w:space="0"/>
            </w:tcBorders>
            <w:noWrap/>
            <w:vAlign w:val="bottom"/>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ascii="方正小标宋简体" w:hAnsi="黑体" w:eastAsia="方正小标宋简体" w:cs="宋体"/>
                <w:color w:val="000000"/>
                <w:kern w:val="0"/>
                <w:sz w:val="44"/>
                <w:szCs w:val="44"/>
                <w:highlight w:val="none"/>
              </w:rPr>
            </w:pPr>
            <w:r>
              <w:rPr>
                <w:rFonts w:hint="eastAsia" w:ascii="方正小标宋简体" w:hAnsi="黑体" w:eastAsia="方正小标宋简体" w:cs="宋体"/>
                <w:color w:val="000000"/>
                <w:kern w:val="0"/>
                <w:sz w:val="44"/>
                <w:szCs w:val="44"/>
                <w:highlight w:val="none"/>
              </w:rPr>
              <w:t>202</w:t>
            </w:r>
            <w:r>
              <w:rPr>
                <w:rFonts w:hint="eastAsia" w:ascii="方正小标宋简体" w:hAnsi="黑体" w:eastAsia="方正小标宋简体" w:cs="宋体"/>
                <w:color w:val="000000"/>
                <w:kern w:val="0"/>
                <w:sz w:val="44"/>
                <w:szCs w:val="44"/>
                <w:highlight w:val="none"/>
                <w:lang w:val="en-US" w:eastAsia="zh-CN"/>
              </w:rPr>
              <w:t>4</w:t>
            </w:r>
            <w:r>
              <w:rPr>
                <w:rFonts w:hint="eastAsia" w:ascii="方正小标宋简体" w:hAnsi="黑体" w:eastAsia="方正小标宋简体" w:cs="宋体"/>
                <w:color w:val="000000"/>
                <w:kern w:val="0"/>
                <w:sz w:val="44"/>
                <w:szCs w:val="44"/>
                <w:highlight w:val="none"/>
              </w:rPr>
              <w:t>年部门整体绩效评价指标体系评分表</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70" w:hRule="atLeast"/>
        </w:trPr>
        <w:tc>
          <w:tcPr>
            <w:tcW w:w="8595"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一、当年预算执行情况（20分）</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50" w:hRule="atLeast"/>
        </w:trPr>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一级指标　</w:t>
            </w: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二级指标　</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预算数（万元）</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执行数（万元）</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预算执行率</w:t>
            </w:r>
          </w:p>
        </w:tc>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分值</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得分</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42" w:hRule="atLeast"/>
        </w:trPr>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当年预算执行情况（20）</w:t>
            </w: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资金总体</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2</w:t>
            </w:r>
            <w:r>
              <w:rPr>
                <w:rFonts w:hint="eastAsia" w:asciiTheme="minorEastAsia" w:hAnsiTheme="minorEastAsia" w:eastAsiaTheme="minorEastAsia" w:cstheme="minorEastAsia"/>
                <w:color w:val="000000"/>
                <w:kern w:val="0"/>
                <w:sz w:val="18"/>
                <w:szCs w:val="18"/>
                <w:highlight w:val="none"/>
              </w:rPr>
              <w:t>,</w:t>
            </w:r>
            <w:r>
              <w:rPr>
                <w:rFonts w:hint="eastAsia" w:asciiTheme="minorEastAsia" w:hAnsiTheme="minorEastAsia" w:eastAsiaTheme="minorEastAsia" w:cstheme="minorEastAsia"/>
                <w:color w:val="000000"/>
                <w:kern w:val="0"/>
                <w:sz w:val="18"/>
                <w:szCs w:val="18"/>
                <w:highlight w:val="none"/>
                <w:lang w:val="en-US" w:eastAsia="zh-CN"/>
              </w:rPr>
              <w:t>057</w:t>
            </w:r>
            <w:r>
              <w:rPr>
                <w:rFonts w:hint="eastAsia" w:asciiTheme="minorEastAsia" w:hAnsiTheme="minorEastAsia" w:eastAsiaTheme="minorEastAsia" w:cstheme="minorEastAsia"/>
                <w:color w:val="000000"/>
                <w:kern w:val="0"/>
                <w:sz w:val="18"/>
                <w:szCs w:val="18"/>
                <w:highlight w:val="none"/>
              </w:rPr>
              <w:t>.</w:t>
            </w:r>
            <w:r>
              <w:rPr>
                <w:rFonts w:hint="eastAsia" w:asciiTheme="minorEastAsia" w:hAnsiTheme="minorEastAsia" w:eastAsiaTheme="minorEastAsia" w:cstheme="minorEastAsia"/>
                <w:color w:val="000000"/>
                <w:kern w:val="0"/>
                <w:sz w:val="18"/>
                <w:szCs w:val="18"/>
                <w:highlight w:val="none"/>
                <w:lang w:val="en-US" w:eastAsia="zh-CN"/>
              </w:rPr>
              <w:t>66</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r>
              <w:rPr>
                <w:rFonts w:hint="eastAsia" w:asciiTheme="minorEastAsia" w:hAnsiTheme="minorEastAsia" w:eastAsiaTheme="minorEastAsia" w:cstheme="minorEastAsia"/>
                <w:color w:val="000000"/>
                <w:kern w:val="0"/>
                <w:sz w:val="18"/>
                <w:szCs w:val="18"/>
                <w:highlight w:val="none"/>
              </w:rPr>
              <w:t>,</w:t>
            </w:r>
            <w:r>
              <w:rPr>
                <w:rFonts w:hint="eastAsia" w:asciiTheme="minorEastAsia" w:hAnsiTheme="minorEastAsia" w:eastAsiaTheme="minorEastAsia" w:cstheme="minorEastAsia"/>
                <w:color w:val="000000"/>
                <w:kern w:val="0"/>
                <w:sz w:val="18"/>
                <w:szCs w:val="18"/>
                <w:highlight w:val="none"/>
                <w:lang w:val="en-US" w:eastAsia="zh-CN"/>
              </w:rPr>
              <w:t>956.77</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9</w:t>
            </w:r>
            <w:r>
              <w:rPr>
                <w:rFonts w:hint="eastAsia" w:asciiTheme="minorEastAsia" w:hAnsiTheme="minorEastAsia" w:eastAsiaTheme="minorEastAsia" w:cstheme="minorEastAsia"/>
                <w:color w:val="000000"/>
                <w:kern w:val="0"/>
                <w:sz w:val="18"/>
                <w:szCs w:val="18"/>
                <w:highlight w:val="none"/>
                <w:lang w:val="en-US" w:eastAsia="zh-CN"/>
              </w:rPr>
              <w:t>5</w:t>
            </w:r>
            <w:r>
              <w:rPr>
                <w:rFonts w:hint="eastAsia" w:asciiTheme="minorEastAsia" w:hAnsiTheme="minorEastAsia" w:eastAsiaTheme="minorEastAsia" w:cstheme="minorEastAsia"/>
                <w:color w:val="000000"/>
                <w:kern w:val="0"/>
                <w:sz w:val="18"/>
                <w:szCs w:val="18"/>
                <w:highlight w:val="none"/>
              </w:rPr>
              <w:t>%</w:t>
            </w:r>
          </w:p>
        </w:tc>
        <w:tc>
          <w:tcPr>
            <w:tcW w:w="680"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20</w:t>
            </w:r>
          </w:p>
        </w:tc>
        <w:tc>
          <w:tcPr>
            <w:tcW w:w="1350"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1</w:t>
            </w:r>
            <w:r>
              <w:rPr>
                <w:rFonts w:hint="eastAsia" w:asciiTheme="minorEastAsia" w:hAnsiTheme="minorEastAsia" w:eastAsiaTheme="minorEastAsia" w:cstheme="minorEastAsia"/>
                <w:color w:val="000000"/>
                <w:kern w:val="0"/>
                <w:sz w:val="18"/>
                <w:szCs w:val="18"/>
                <w:highlight w:val="none"/>
                <w:lang w:val="en-US" w:eastAsia="zh-CN"/>
              </w:rPr>
              <w:t>9</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42"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基本支出</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1,</w:t>
            </w:r>
            <w:r>
              <w:rPr>
                <w:rFonts w:hint="eastAsia" w:asciiTheme="minorEastAsia" w:hAnsiTheme="minorEastAsia" w:eastAsiaTheme="minorEastAsia" w:cstheme="minorEastAsia"/>
                <w:color w:val="000000"/>
                <w:kern w:val="0"/>
                <w:sz w:val="18"/>
                <w:szCs w:val="18"/>
                <w:highlight w:val="none"/>
                <w:lang w:val="en-US" w:eastAsia="zh-CN"/>
              </w:rPr>
              <w:t>799</w:t>
            </w:r>
            <w:r>
              <w:rPr>
                <w:rFonts w:hint="eastAsia" w:asciiTheme="minorEastAsia" w:hAnsiTheme="minorEastAsia" w:eastAsiaTheme="minorEastAsia" w:cstheme="minorEastAsia"/>
                <w:color w:val="000000"/>
                <w:kern w:val="0"/>
                <w:sz w:val="18"/>
                <w:szCs w:val="18"/>
                <w:highlight w:val="none"/>
              </w:rPr>
              <w:t>.</w:t>
            </w:r>
            <w:r>
              <w:rPr>
                <w:rFonts w:hint="eastAsia" w:asciiTheme="minorEastAsia" w:hAnsiTheme="minorEastAsia" w:eastAsiaTheme="minorEastAsia" w:cstheme="minorEastAsia"/>
                <w:color w:val="000000"/>
                <w:kern w:val="0"/>
                <w:sz w:val="18"/>
                <w:szCs w:val="18"/>
                <w:highlight w:val="none"/>
                <w:lang w:val="en-US" w:eastAsia="zh-CN"/>
              </w:rPr>
              <w:t>79</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1,</w:t>
            </w:r>
            <w:r>
              <w:rPr>
                <w:rFonts w:hint="eastAsia" w:asciiTheme="minorEastAsia" w:hAnsiTheme="minorEastAsia" w:eastAsiaTheme="minorEastAsia" w:cstheme="minorEastAsia"/>
                <w:color w:val="000000"/>
                <w:kern w:val="0"/>
                <w:sz w:val="18"/>
                <w:szCs w:val="18"/>
                <w:highlight w:val="none"/>
                <w:lang w:val="en-US" w:eastAsia="zh-CN"/>
              </w:rPr>
              <w:t>739.10</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97%</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42"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项目支出</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257.87</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217.67</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84%</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99" w:hRule="atLeast"/>
        </w:trPr>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一级指标</w:t>
            </w: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二级指标　</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三级指标　</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指标值</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完成值</w:t>
            </w:r>
          </w:p>
        </w:tc>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分值</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得分</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trPr>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bookmarkStart w:id="1" w:name="OLE_LINK1" w:colFirst="6" w:colLast="6"/>
            <w:r>
              <w:rPr>
                <w:rFonts w:hint="eastAsia" w:asciiTheme="minorEastAsia" w:hAnsiTheme="minorEastAsia" w:eastAsiaTheme="minorEastAsia" w:cstheme="minorEastAsia"/>
                <w:color w:val="000000"/>
                <w:kern w:val="0"/>
                <w:sz w:val="18"/>
                <w:szCs w:val="18"/>
                <w:highlight w:val="none"/>
              </w:rPr>
              <w:t>整体绩效目标实现情况（60）</w:t>
            </w:r>
          </w:p>
        </w:tc>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产出（30）</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信息</w:t>
            </w:r>
            <w:r>
              <w:rPr>
                <w:rFonts w:hint="eastAsia" w:asciiTheme="minorEastAsia" w:hAnsiTheme="minorEastAsia" w:eastAsiaTheme="minorEastAsia" w:cstheme="minorEastAsia"/>
                <w:color w:val="000000"/>
                <w:kern w:val="0"/>
                <w:sz w:val="18"/>
                <w:szCs w:val="18"/>
                <w:highlight w:val="none"/>
                <w:lang w:eastAsia="zh-CN"/>
              </w:rPr>
              <w:t>采用</w:t>
            </w:r>
            <w:r>
              <w:rPr>
                <w:rFonts w:hint="eastAsia" w:asciiTheme="minorEastAsia" w:hAnsiTheme="minorEastAsia" w:eastAsiaTheme="minorEastAsia" w:cstheme="minorEastAsia"/>
                <w:color w:val="000000"/>
                <w:kern w:val="0"/>
                <w:sz w:val="18"/>
                <w:szCs w:val="18"/>
                <w:highlight w:val="none"/>
              </w:rPr>
              <w:t>数</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1</w:t>
            </w:r>
            <w:r>
              <w:rPr>
                <w:rFonts w:hint="eastAsia" w:asciiTheme="minorEastAsia" w:hAnsiTheme="minorEastAsia" w:eastAsiaTheme="minorEastAsia" w:cstheme="minorEastAsia"/>
                <w:kern w:val="0"/>
                <w:sz w:val="18"/>
                <w:szCs w:val="18"/>
                <w:highlight w:val="none"/>
              </w:rPr>
              <w:t>00篇</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274</w:t>
            </w:r>
            <w:r>
              <w:rPr>
                <w:rFonts w:hint="eastAsia" w:asciiTheme="minorEastAsia" w:hAnsiTheme="minorEastAsia" w:eastAsiaTheme="minorEastAsia" w:cstheme="minorEastAsia"/>
                <w:kern w:val="0"/>
                <w:sz w:val="18"/>
                <w:szCs w:val="18"/>
                <w:highlight w:val="none"/>
              </w:rPr>
              <w:t>篇</w:t>
            </w:r>
          </w:p>
        </w:tc>
        <w:tc>
          <w:tcPr>
            <w:tcW w:w="6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30</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完成协商任务数量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3</w:t>
            </w:r>
            <w:r>
              <w:rPr>
                <w:rFonts w:hint="eastAsia" w:asciiTheme="minorEastAsia" w:hAnsiTheme="minorEastAsia" w:eastAsiaTheme="minorEastAsia" w:cstheme="minorEastAsia"/>
                <w:kern w:val="0"/>
                <w:sz w:val="18"/>
                <w:szCs w:val="18"/>
                <w:highlight w:val="none"/>
              </w:rPr>
              <w:t>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15</w:t>
            </w:r>
            <w:r>
              <w:rPr>
                <w:rFonts w:hint="eastAsia" w:asciiTheme="minorEastAsia" w:hAnsiTheme="minorEastAsia" w:eastAsiaTheme="minorEastAsia" w:cstheme="minorEastAsia"/>
                <w:kern w:val="0"/>
                <w:sz w:val="18"/>
                <w:szCs w:val="18"/>
                <w:highlight w:val="none"/>
              </w:rPr>
              <w:t>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信息报送数量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300篇</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1000篇</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lang w:eastAsia="zh-CN"/>
              </w:rPr>
              <w:t>各专委会</w:t>
            </w:r>
            <w:r>
              <w:rPr>
                <w:rFonts w:hint="eastAsia" w:asciiTheme="minorEastAsia" w:hAnsiTheme="minorEastAsia" w:eastAsiaTheme="minorEastAsia" w:cstheme="minorEastAsia"/>
                <w:color w:val="000000"/>
                <w:kern w:val="0"/>
                <w:sz w:val="18"/>
                <w:szCs w:val="18"/>
                <w:highlight w:val="none"/>
              </w:rPr>
              <w:t>专家论证、座谈及调研</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35</w:t>
            </w:r>
            <w:r>
              <w:rPr>
                <w:rFonts w:hint="eastAsia" w:asciiTheme="minorEastAsia" w:hAnsiTheme="minorEastAsia" w:eastAsiaTheme="minorEastAsia" w:cstheme="minorEastAsia"/>
                <w:kern w:val="0"/>
                <w:sz w:val="18"/>
                <w:szCs w:val="18"/>
                <w:highlight w:val="none"/>
              </w:rPr>
              <w:t>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70人</w:t>
            </w:r>
            <w:r>
              <w:rPr>
                <w:rFonts w:hint="eastAsia" w:asciiTheme="minorEastAsia" w:hAnsiTheme="minorEastAsia" w:eastAsiaTheme="minorEastAsia" w:cstheme="minorEastAsia"/>
                <w:kern w:val="0"/>
                <w:sz w:val="18"/>
                <w:szCs w:val="18"/>
                <w:highlight w:val="none"/>
              </w:rPr>
              <w:t>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中山论坛</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1次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1次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各专委会调研报告数量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bookmarkStart w:id="2" w:name="OLE_LINK3"/>
            <w:r>
              <w:rPr>
                <w:rFonts w:hint="eastAsia" w:asciiTheme="minorEastAsia" w:hAnsiTheme="minorEastAsia" w:eastAsiaTheme="minorEastAsia" w:cstheme="minorEastAsia"/>
                <w:kern w:val="0"/>
                <w:sz w:val="18"/>
                <w:szCs w:val="18"/>
                <w:highlight w:val="none"/>
              </w:rPr>
              <w:t>≥</w:t>
            </w:r>
            <w:bookmarkEnd w:id="2"/>
            <w:r>
              <w:rPr>
                <w:rFonts w:hint="eastAsia" w:asciiTheme="minorEastAsia" w:hAnsiTheme="minorEastAsia" w:eastAsiaTheme="minorEastAsia" w:cstheme="minorEastAsia"/>
                <w:kern w:val="0"/>
                <w:sz w:val="18"/>
                <w:szCs w:val="18"/>
                <w:highlight w:val="none"/>
                <w:lang w:val="en-US" w:eastAsia="zh-CN"/>
              </w:rPr>
              <w:t>14篇</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90篇</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基层组织参政议政培训会</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1次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1</w:t>
            </w:r>
            <w:r>
              <w:rPr>
                <w:rFonts w:hint="eastAsia" w:asciiTheme="minorEastAsia" w:hAnsiTheme="minorEastAsia" w:eastAsiaTheme="minorEastAsia" w:cstheme="minorEastAsia"/>
                <w:kern w:val="0"/>
                <w:sz w:val="18"/>
                <w:szCs w:val="18"/>
                <w:highlight w:val="none"/>
              </w:rPr>
              <w:t>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1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网站更新消息数量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600</w:t>
            </w:r>
            <w:r>
              <w:rPr>
                <w:rFonts w:hint="eastAsia" w:asciiTheme="minorEastAsia" w:hAnsiTheme="minorEastAsia" w:eastAsiaTheme="minorEastAsia" w:cstheme="minorEastAsia"/>
                <w:kern w:val="0"/>
                <w:sz w:val="18"/>
                <w:szCs w:val="18"/>
                <w:highlight w:val="none"/>
              </w:rPr>
              <w:t>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156</w:t>
            </w:r>
            <w:r>
              <w:rPr>
                <w:rFonts w:hint="eastAsia" w:asciiTheme="minorEastAsia" w:hAnsiTheme="minorEastAsia" w:eastAsiaTheme="minorEastAsia" w:cstheme="minorEastAsia"/>
                <w:kern w:val="0"/>
                <w:sz w:val="18"/>
                <w:szCs w:val="18"/>
                <w:highlight w:val="none"/>
              </w:rPr>
              <w:t>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发布宣传稿件数量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1300</w:t>
            </w:r>
            <w:r>
              <w:rPr>
                <w:rFonts w:hint="eastAsia" w:asciiTheme="minorEastAsia" w:hAnsiTheme="minorEastAsia" w:eastAsiaTheme="minorEastAsia" w:cstheme="minorEastAsia"/>
                <w:kern w:val="0"/>
                <w:sz w:val="18"/>
                <w:szCs w:val="18"/>
                <w:highlight w:val="none"/>
              </w:rPr>
              <w:t>个</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1000</w:t>
            </w:r>
            <w:r>
              <w:rPr>
                <w:rFonts w:hint="eastAsia" w:asciiTheme="minorEastAsia" w:hAnsiTheme="minorEastAsia" w:eastAsiaTheme="minorEastAsia" w:cstheme="minorEastAsia"/>
                <w:kern w:val="0"/>
                <w:sz w:val="18"/>
                <w:szCs w:val="18"/>
                <w:highlight w:val="none"/>
              </w:rPr>
              <w:t>个</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公众号发布消息数量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450</w:t>
            </w:r>
            <w:r>
              <w:rPr>
                <w:rFonts w:hint="eastAsia" w:asciiTheme="minorEastAsia" w:hAnsiTheme="minorEastAsia" w:eastAsiaTheme="minorEastAsia" w:cstheme="minorEastAsia"/>
                <w:kern w:val="0"/>
                <w:sz w:val="18"/>
                <w:szCs w:val="18"/>
                <w:highlight w:val="none"/>
              </w:rPr>
              <w:t>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369</w:t>
            </w:r>
            <w:r>
              <w:rPr>
                <w:rFonts w:hint="eastAsia" w:asciiTheme="minorEastAsia" w:hAnsiTheme="minorEastAsia" w:eastAsiaTheme="minorEastAsia" w:cstheme="minorEastAsia"/>
                <w:kern w:val="0"/>
                <w:sz w:val="18"/>
                <w:szCs w:val="18"/>
                <w:highlight w:val="none"/>
              </w:rPr>
              <w:t>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出版杂志数量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800</w:t>
            </w:r>
            <w:r>
              <w:rPr>
                <w:rFonts w:hint="eastAsia" w:asciiTheme="minorEastAsia" w:hAnsiTheme="minorEastAsia" w:eastAsiaTheme="minorEastAsia" w:cstheme="minorEastAsia"/>
                <w:kern w:val="0"/>
                <w:sz w:val="18"/>
                <w:szCs w:val="18"/>
                <w:highlight w:val="none"/>
              </w:rPr>
              <w:t>册/期</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800</w:t>
            </w:r>
            <w:r>
              <w:rPr>
                <w:rFonts w:hint="eastAsia" w:asciiTheme="minorEastAsia" w:hAnsiTheme="minorEastAsia" w:eastAsiaTheme="minorEastAsia" w:cstheme="minorEastAsia"/>
                <w:kern w:val="0"/>
                <w:sz w:val="18"/>
                <w:szCs w:val="18"/>
                <w:highlight w:val="none"/>
              </w:rPr>
              <w:t>册/期</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举办活动次数</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8次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10次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公众号订阅人数增长率</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3%</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10%</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2</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举办活动出席率</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90%</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90%</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研究成果评审合格率</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100%</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100%</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培训人次</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bookmarkStart w:id="3" w:name="OLE_LINK2"/>
            <w:r>
              <w:rPr>
                <w:rFonts w:hint="eastAsia" w:asciiTheme="minorEastAsia" w:hAnsiTheme="minorEastAsia" w:eastAsiaTheme="minorEastAsia" w:cstheme="minorEastAsia"/>
                <w:kern w:val="0"/>
                <w:sz w:val="18"/>
                <w:szCs w:val="18"/>
                <w:highlight w:val="none"/>
              </w:rPr>
              <w:t>≥</w:t>
            </w:r>
            <w:bookmarkEnd w:id="3"/>
            <w:r>
              <w:rPr>
                <w:rFonts w:hint="eastAsia" w:asciiTheme="minorEastAsia" w:hAnsiTheme="minorEastAsia" w:eastAsiaTheme="minorEastAsia" w:cstheme="minorEastAsia"/>
                <w:kern w:val="0"/>
                <w:sz w:val="18"/>
                <w:szCs w:val="18"/>
                <w:highlight w:val="none"/>
                <w:lang w:val="en-US" w:eastAsia="zh-CN"/>
              </w:rPr>
              <w:t>200人次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289人次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宣传渠道数量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4个</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4个</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课题数量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2</w:t>
            </w:r>
            <w:r>
              <w:rPr>
                <w:rFonts w:hint="eastAsia" w:asciiTheme="minorEastAsia" w:hAnsiTheme="minorEastAsia" w:eastAsiaTheme="minorEastAsia" w:cstheme="minorEastAsia"/>
                <w:kern w:val="0"/>
                <w:sz w:val="18"/>
                <w:szCs w:val="18"/>
                <w:highlight w:val="none"/>
              </w:rPr>
              <w:t>个</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2</w:t>
            </w:r>
            <w:r>
              <w:rPr>
                <w:rFonts w:hint="eastAsia" w:asciiTheme="minorEastAsia" w:hAnsiTheme="minorEastAsia" w:eastAsiaTheme="minorEastAsia" w:cstheme="minorEastAsia"/>
                <w:kern w:val="0"/>
                <w:sz w:val="18"/>
                <w:szCs w:val="18"/>
                <w:highlight w:val="none"/>
              </w:rPr>
              <w:t>个</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研究成果数量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4篇</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11篇</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培训班次</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1次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2次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培训人次</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200人次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240人次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提高参会人员履职能力水平</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rPr>
              <w:t>≥90%</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rPr>
              <w:t>≥90%</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帮扶项目对接数量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≥3</w:t>
            </w:r>
            <w:r>
              <w:rPr>
                <w:rFonts w:hint="eastAsia" w:asciiTheme="minorEastAsia" w:hAnsiTheme="minorEastAsia" w:eastAsiaTheme="minorEastAsia" w:cstheme="minorEastAsia"/>
                <w:kern w:val="0"/>
                <w:sz w:val="18"/>
                <w:szCs w:val="18"/>
                <w:highlight w:val="none"/>
              </w:rPr>
              <w:t>个</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16个</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帮扶项目</w:t>
            </w:r>
            <w:r>
              <w:rPr>
                <w:rFonts w:hint="eastAsia" w:asciiTheme="minorEastAsia" w:hAnsiTheme="minorEastAsia" w:eastAsiaTheme="minorEastAsia" w:cstheme="minorEastAsia"/>
                <w:color w:val="000000"/>
                <w:kern w:val="0"/>
                <w:sz w:val="18"/>
                <w:szCs w:val="18"/>
                <w:highlight w:val="none"/>
                <w:lang w:eastAsia="zh-CN"/>
              </w:rPr>
              <w:t>落地</w:t>
            </w:r>
            <w:r>
              <w:rPr>
                <w:rFonts w:hint="eastAsia" w:asciiTheme="minorEastAsia" w:hAnsiTheme="minorEastAsia" w:eastAsiaTheme="minorEastAsia" w:cstheme="minorEastAsia"/>
                <w:color w:val="000000"/>
                <w:kern w:val="0"/>
                <w:sz w:val="18"/>
                <w:szCs w:val="18"/>
                <w:highlight w:val="none"/>
              </w:rPr>
              <w:t>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≥3</w:t>
            </w:r>
            <w:r>
              <w:rPr>
                <w:rFonts w:hint="eastAsia" w:asciiTheme="minorEastAsia" w:hAnsiTheme="minorEastAsia" w:eastAsiaTheme="minorEastAsia" w:cstheme="minorEastAsia"/>
                <w:kern w:val="0"/>
                <w:sz w:val="18"/>
                <w:szCs w:val="18"/>
                <w:highlight w:val="none"/>
              </w:rPr>
              <w:t>个</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21</w:t>
            </w:r>
            <w:r>
              <w:rPr>
                <w:rFonts w:hint="eastAsia" w:asciiTheme="minorEastAsia" w:hAnsiTheme="minorEastAsia" w:eastAsiaTheme="minorEastAsia" w:cstheme="minorEastAsia"/>
                <w:kern w:val="0"/>
                <w:sz w:val="18"/>
                <w:szCs w:val="18"/>
                <w:highlight w:val="none"/>
              </w:rPr>
              <w:t>个</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组织帮扶次数</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≥5次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5次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召开</w:t>
            </w: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召开会议次数</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15次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16次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参与帮扶人次</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≥50人次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400人次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公益捐赠次数</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≥2</w:t>
            </w:r>
            <w:r>
              <w:rPr>
                <w:rFonts w:hint="eastAsia" w:asciiTheme="minorEastAsia" w:hAnsiTheme="minorEastAsia" w:eastAsiaTheme="minorEastAsia" w:cstheme="minorEastAsia"/>
                <w:kern w:val="0"/>
                <w:sz w:val="18"/>
                <w:szCs w:val="18"/>
                <w:highlight w:val="none"/>
              </w:rPr>
              <w:t>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15</w:t>
            </w:r>
            <w:r>
              <w:rPr>
                <w:rFonts w:hint="eastAsia" w:asciiTheme="minorEastAsia" w:hAnsiTheme="minorEastAsia" w:eastAsiaTheme="minorEastAsia" w:cstheme="minorEastAsia"/>
                <w:kern w:val="0"/>
                <w:sz w:val="18"/>
                <w:szCs w:val="18"/>
                <w:highlight w:val="none"/>
              </w:rPr>
              <w:t>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参加会议人次</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150人次</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val="en-US" w:eastAsia="zh-CN"/>
              </w:rPr>
            </w:pPr>
            <w:r>
              <w:rPr>
                <w:rFonts w:hint="eastAsia" w:asciiTheme="minorEastAsia" w:hAnsiTheme="minorEastAsia" w:eastAsiaTheme="minorEastAsia" w:cstheme="minorEastAsia"/>
                <w:kern w:val="0"/>
                <w:sz w:val="18"/>
                <w:szCs w:val="18"/>
                <w:highlight w:val="none"/>
                <w:lang w:val="en-US" w:eastAsia="zh-CN"/>
              </w:rPr>
              <w:t>165人次</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7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书画作品创作、参展数量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≥20</w:t>
            </w:r>
            <w:r>
              <w:rPr>
                <w:rFonts w:hint="eastAsia" w:asciiTheme="minorEastAsia" w:hAnsiTheme="minorEastAsia" w:eastAsiaTheme="minorEastAsia" w:cstheme="minorEastAsia"/>
                <w:kern w:val="0"/>
                <w:sz w:val="18"/>
                <w:szCs w:val="18"/>
                <w:highlight w:val="none"/>
              </w:rPr>
              <w:t>个</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220</w:t>
            </w:r>
            <w:r>
              <w:rPr>
                <w:rFonts w:hint="eastAsia" w:asciiTheme="minorEastAsia" w:hAnsiTheme="minorEastAsia" w:eastAsiaTheme="minorEastAsia" w:cstheme="minorEastAsia"/>
                <w:kern w:val="0"/>
                <w:sz w:val="18"/>
                <w:szCs w:val="18"/>
                <w:highlight w:val="none"/>
              </w:rPr>
              <w:t>个</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0.5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39"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效果（30）</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参政议政水平</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得到提升</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得到提升</w:t>
            </w:r>
          </w:p>
        </w:tc>
        <w:tc>
          <w:tcPr>
            <w:tcW w:w="680"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30</w:t>
            </w: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2</w:t>
            </w:r>
            <w:r>
              <w:rPr>
                <w:rFonts w:hint="eastAsia" w:asciiTheme="minorEastAsia" w:hAnsiTheme="minorEastAsia" w:eastAsiaTheme="minorEastAsia" w:cstheme="minorEastAsia"/>
                <w:color w:val="000000"/>
                <w:kern w:val="0"/>
                <w:sz w:val="18"/>
                <w:szCs w:val="18"/>
                <w:highlight w:val="none"/>
                <w:lang w:val="en-US" w:eastAsia="zh-CN"/>
              </w:rPr>
              <w:t>.5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高质量参政议政人员数量</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得到提升</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得到提升</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2</w:t>
            </w:r>
            <w:r>
              <w:rPr>
                <w:rFonts w:hint="eastAsia" w:asciiTheme="minorEastAsia" w:hAnsiTheme="minorEastAsia" w:eastAsiaTheme="minorEastAsia" w:cstheme="minorEastAsia"/>
                <w:color w:val="000000"/>
                <w:kern w:val="0"/>
                <w:sz w:val="18"/>
                <w:szCs w:val="18"/>
                <w:highlight w:val="none"/>
                <w:lang w:val="en-US" w:eastAsia="zh-CN"/>
              </w:rPr>
              <w:t>.5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3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参会人员对讲师满意度</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95</w:t>
            </w:r>
            <w:r>
              <w:rPr>
                <w:rFonts w:hint="eastAsia" w:asciiTheme="minorEastAsia" w:hAnsiTheme="minorEastAsia" w:eastAsiaTheme="minorEastAsia" w:cstheme="minorEastAsia"/>
                <w:kern w:val="0"/>
                <w:sz w:val="18"/>
                <w:szCs w:val="18"/>
                <w:highlight w:val="none"/>
              </w:rPr>
              <w:t>%</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满意</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2</w:t>
            </w:r>
            <w:r>
              <w:rPr>
                <w:rFonts w:hint="eastAsia" w:asciiTheme="minorEastAsia" w:hAnsiTheme="minorEastAsia" w:eastAsiaTheme="minorEastAsia" w:cstheme="minorEastAsia"/>
                <w:color w:val="000000"/>
                <w:kern w:val="0"/>
                <w:sz w:val="18"/>
                <w:szCs w:val="18"/>
                <w:highlight w:val="none"/>
                <w:lang w:val="en-US" w:eastAsia="zh-CN"/>
              </w:rPr>
              <w:t>.5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34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人员满意度</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90</w:t>
            </w:r>
            <w:r>
              <w:rPr>
                <w:rFonts w:hint="eastAsia" w:asciiTheme="minorEastAsia" w:hAnsiTheme="minorEastAsia" w:eastAsiaTheme="minorEastAsia" w:cstheme="minorEastAsia"/>
                <w:kern w:val="0"/>
                <w:sz w:val="18"/>
                <w:szCs w:val="18"/>
                <w:highlight w:val="none"/>
              </w:rPr>
              <w:t>%</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w:t>
            </w:r>
            <w:r>
              <w:rPr>
                <w:rFonts w:hint="eastAsia" w:asciiTheme="minorEastAsia" w:hAnsiTheme="minorEastAsia" w:eastAsiaTheme="minorEastAsia" w:cstheme="minorEastAsia"/>
                <w:kern w:val="0"/>
                <w:sz w:val="18"/>
                <w:szCs w:val="18"/>
                <w:highlight w:val="none"/>
                <w:lang w:val="en-US" w:eastAsia="zh-CN"/>
              </w:rPr>
              <w:t>90</w:t>
            </w:r>
            <w:r>
              <w:rPr>
                <w:rFonts w:hint="eastAsia" w:asciiTheme="minorEastAsia" w:hAnsiTheme="minorEastAsia" w:eastAsiaTheme="minorEastAsia" w:cstheme="minorEastAsia"/>
                <w:kern w:val="0"/>
                <w:sz w:val="18"/>
                <w:szCs w:val="18"/>
                <w:highlight w:val="none"/>
              </w:rPr>
              <w:t>%</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2.5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384"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培训人员对培训组织满意度</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100</w:t>
            </w:r>
            <w:r>
              <w:rPr>
                <w:rFonts w:hint="eastAsia" w:asciiTheme="minorEastAsia" w:hAnsiTheme="minorEastAsia" w:eastAsiaTheme="minorEastAsia" w:cstheme="minorEastAsia"/>
                <w:kern w:val="0"/>
                <w:sz w:val="18"/>
                <w:szCs w:val="18"/>
                <w:highlight w:val="none"/>
              </w:rPr>
              <w:t>%</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10</w:t>
            </w:r>
            <w:r>
              <w:rPr>
                <w:rFonts w:hint="eastAsia" w:asciiTheme="minorEastAsia" w:hAnsiTheme="minorEastAsia" w:eastAsiaTheme="minorEastAsia" w:cstheme="minorEastAsia"/>
                <w:kern w:val="0"/>
                <w:sz w:val="18"/>
                <w:szCs w:val="18"/>
                <w:highlight w:val="none"/>
              </w:rPr>
              <w:t>0%</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2</w:t>
            </w:r>
            <w:r>
              <w:rPr>
                <w:rFonts w:hint="eastAsia" w:asciiTheme="minorEastAsia" w:hAnsiTheme="minorEastAsia" w:eastAsiaTheme="minorEastAsia" w:cstheme="minorEastAsia"/>
                <w:color w:val="000000"/>
                <w:kern w:val="0"/>
                <w:sz w:val="18"/>
                <w:szCs w:val="18"/>
                <w:highlight w:val="none"/>
                <w:lang w:val="en-US" w:eastAsia="zh-CN"/>
              </w:rPr>
              <w:t>.5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30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思想政治引领效果</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90</w:t>
            </w:r>
            <w:r>
              <w:rPr>
                <w:rFonts w:hint="eastAsia" w:asciiTheme="minorEastAsia" w:hAnsiTheme="minorEastAsia" w:eastAsiaTheme="minorEastAsia" w:cstheme="minorEastAsia"/>
                <w:kern w:val="0"/>
                <w:sz w:val="18"/>
                <w:szCs w:val="18"/>
                <w:highlight w:val="none"/>
              </w:rPr>
              <w:t>%</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90</w:t>
            </w:r>
            <w:r>
              <w:rPr>
                <w:rFonts w:hint="eastAsia" w:asciiTheme="minorEastAsia" w:hAnsiTheme="minorEastAsia" w:eastAsiaTheme="minorEastAsia" w:cstheme="minorEastAsia"/>
                <w:kern w:val="0"/>
                <w:sz w:val="18"/>
                <w:szCs w:val="18"/>
                <w:highlight w:val="none"/>
              </w:rPr>
              <w:t>%</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2</w:t>
            </w:r>
            <w:r>
              <w:rPr>
                <w:rFonts w:hint="eastAsia" w:asciiTheme="minorEastAsia" w:hAnsiTheme="minorEastAsia" w:eastAsiaTheme="minorEastAsia" w:cstheme="minorEastAsia"/>
                <w:color w:val="000000"/>
                <w:kern w:val="0"/>
                <w:sz w:val="18"/>
                <w:szCs w:val="18"/>
                <w:highlight w:val="none"/>
                <w:lang w:val="en-US" w:eastAsia="zh-CN"/>
              </w:rPr>
              <w:t>.5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49"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履行职能积极性</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90</w:t>
            </w:r>
            <w:r>
              <w:rPr>
                <w:rFonts w:hint="eastAsia" w:asciiTheme="minorEastAsia" w:hAnsiTheme="minorEastAsia" w:eastAsiaTheme="minorEastAsia" w:cstheme="minorEastAsia"/>
                <w:kern w:val="0"/>
                <w:sz w:val="18"/>
                <w:szCs w:val="18"/>
                <w:highlight w:val="none"/>
              </w:rPr>
              <w:t>%</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lang w:val="en-US" w:eastAsia="zh-CN"/>
              </w:rPr>
              <w:t>90</w:t>
            </w:r>
            <w:r>
              <w:rPr>
                <w:rFonts w:hint="eastAsia" w:asciiTheme="minorEastAsia" w:hAnsiTheme="minorEastAsia" w:eastAsiaTheme="minorEastAsia" w:cstheme="minorEastAsia"/>
                <w:kern w:val="0"/>
                <w:sz w:val="18"/>
                <w:szCs w:val="18"/>
                <w:highlight w:val="none"/>
              </w:rPr>
              <w:t>%</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2</w:t>
            </w:r>
            <w:r>
              <w:rPr>
                <w:rFonts w:hint="eastAsia" w:asciiTheme="minorEastAsia" w:hAnsiTheme="minorEastAsia" w:eastAsiaTheme="minorEastAsia" w:cstheme="minorEastAsia"/>
                <w:color w:val="000000"/>
                <w:kern w:val="0"/>
                <w:sz w:val="18"/>
                <w:szCs w:val="18"/>
                <w:highlight w:val="none"/>
                <w:lang w:val="en-US" w:eastAsia="zh-CN"/>
              </w:rPr>
              <w:t>.5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1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增强基层组织活力和责任感</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增强活力，服务发展</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增强活力，服务发展</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2</w:t>
            </w:r>
            <w:r>
              <w:rPr>
                <w:rFonts w:hint="eastAsia" w:asciiTheme="minorEastAsia" w:hAnsiTheme="minorEastAsia" w:eastAsiaTheme="minorEastAsia" w:cstheme="minorEastAsia"/>
                <w:color w:val="000000"/>
                <w:kern w:val="0"/>
                <w:sz w:val="18"/>
                <w:szCs w:val="18"/>
                <w:highlight w:val="none"/>
                <w:lang w:val="en-US" w:eastAsia="zh-CN"/>
              </w:rPr>
              <w:t>.5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提高参培人员思想政治觉悟</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政治思想觉悟参政议政水平提高</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政治思想觉悟参政议政水平提高</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2</w:t>
            </w:r>
            <w:r>
              <w:rPr>
                <w:rFonts w:hint="eastAsia" w:asciiTheme="minorEastAsia" w:hAnsiTheme="minorEastAsia" w:eastAsiaTheme="minorEastAsia" w:cstheme="minorEastAsia"/>
                <w:color w:val="000000"/>
                <w:kern w:val="0"/>
                <w:sz w:val="18"/>
                <w:szCs w:val="18"/>
                <w:highlight w:val="none"/>
                <w:lang w:val="en-US" w:eastAsia="zh-CN"/>
              </w:rPr>
              <w:t>.5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83"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强化自身建设</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提升组织活力提高能力素质</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提升组织活力</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提高能力素质</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2.5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83"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筑牢组织之家</w:t>
            </w: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eastAsia="zh-CN"/>
              </w:rPr>
            </w:pPr>
            <w:r>
              <w:rPr>
                <w:rFonts w:hint="eastAsia" w:asciiTheme="minorEastAsia" w:hAnsiTheme="minorEastAsia" w:eastAsiaTheme="minorEastAsia" w:cstheme="minorEastAsia"/>
                <w:color w:val="000000"/>
                <w:kern w:val="0"/>
                <w:sz w:val="18"/>
                <w:szCs w:val="18"/>
                <w:highlight w:val="none"/>
                <w:lang w:eastAsia="zh-CN"/>
              </w:rPr>
              <w:t>夯实组织建设基础</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发挥作用</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发挥作用</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2.5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36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帮扶产生</w:t>
            </w:r>
            <w:r>
              <w:rPr>
                <w:rFonts w:hint="eastAsia" w:asciiTheme="minorEastAsia" w:hAnsiTheme="minorEastAsia" w:eastAsiaTheme="minorEastAsia" w:cstheme="minorEastAsia"/>
                <w:color w:val="000000"/>
                <w:kern w:val="0"/>
                <w:sz w:val="18"/>
                <w:szCs w:val="18"/>
                <w:highlight w:val="none"/>
                <w:lang w:eastAsia="zh-CN"/>
              </w:rPr>
              <w:t>的</w:t>
            </w:r>
            <w:r>
              <w:rPr>
                <w:rFonts w:hint="eastAsia" w:asciiTheme="minorEastAsia" w:hAnsiTheme="minorEastAsia" w:eastAsiaTheme="minorEastAsia" w:cstheme="minorEastAsia"/>
                <w:color w:val="000000"/>
                <w:kern w:val="0"/>
                <w:sz w:val="18"/>
                <w:szCs w:val="18"/>
                <w:highlight w:val="none"/>
              </w:rPr>
              <w:t>影响</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定性</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kern w:val="0"/>
                <w:sz w:val="18"/>
                <w:szCs w:val="18"/>
                <w:highlight w:val="none"/>
                <w:lang w:eastAsia="zh-CN"/>
              </w:rPr>
            </w:pPr>
            <w:r>
              <w:rPr>
                <w:rFonts w:hint="eastAsia" w:asciiTheme="minorEastAsia" w:hAnsiTheme="minorEastAsia" w:eastAsiaTheme="minorEastAsia" w:cstheme="minorEastAsia"/>
                <w:kern w:val="0"/>
                <w:sz w:val="18"/>
                <w:szCs w:val="18"/>
                <w:highlight w:val="none"/>
                <w:lang w:eastAsia="zh-CN"/>
              </w:rPr>
              <w:t>社会面反映良好</w:t>
            </w: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rPr>
              <w:t>2</w:t>
            </w:r>
            <w:r>
              <w:rPr>
                <w:rFonts w:hint="eastAsia" w:asciiTheme="minorEastAsia" w:hAnsiTheme="minorEastAsia" w:eastAsiaTheme="minorEastAsia" w:cstheme="minorEastAsia"/>
                <w:color w:val="000000"/>
                <w:kern w:val="0"/>
                <w:sz w:val="18"/>
                <w:szCs w:val="18"/>
                <w:highlight w:val="none"/>
                <w:lang w:val="en-US" w:eastAsia="zh-CN"/>
              </w:rPr>
              <w:t>.5</w:t>
            </w:r>
          </w:p>
        </w:tc>
      </w:tr>
      <w:bookmarkEnd w:id="1"/>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352" w:hRule="atLeast"/>
        </w:trPr>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一级指标</w:t>
            </w: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二级指标</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三级指标</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指标值</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完成值</w:t>
            </w:r>
          </w:p>
        </w:tc>
        <w:tc>
          <w:tcPr>
            <w:tcW w:w="68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分值</w:t>
            </w: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得分</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trPr>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预算管理情况（20）</w:t>
            </w:r>
          </w:p>
        </w:tc>
        <w:tc>
          <w:tcPr>
            <w:tcW w:w="11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财务管理（4）</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财务管理制度健全性</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财务管理制度是否健全，会计核算制度是否完整</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lang w:eastAsia="zh-CN"/>
              </w:rPr>
              <w:t>执行新修订的《行政单位财务规则》和</w:t>
            </w:r>
            <w:r>
              <w:rPr>
                <w:rFonts w:hint="eastAsia" w:asciiTheme="minorEastAsia" w:hAnsiTheme="minorEastAsia" w:eastAsiaTheme="minorEastAsia" w:cstheme="minorEastAsia"/>
                <w:color w:val="000000"/>
                <w:kern w:val="0"/>
                <w:sz w:val="18"/>
                <w:szCs w:val="18"/>
                <w:highlight w:val="none"/>
              </w:rPr>
              <w:t>修订</w:t>
            </w:r>
            <w:r>
              <w:rPr>
                <w:rFonts w:hint="eastAsia" w:asciiTheme="minorEastAsia" w:hAnsiTheme="minorEastAsia" w:eastAsiaTheme="minorEastAsia" w:cstheme="minorEastAsia"/>
                <w:color w:val="000000"/>
                <w:kern w:val="0"/>
                <w:sz w:val="18"/>
                <w:szCs w:val="18"/>
                <w:highlight w:val="none"/>
                <w:lang w:eastAsia="zh-CN"/>
              </w:rPr>
              <w:t>后</w:t>
            </w:r>
            <w:r>
              <w:rPr>
                <w:rFonts w:hint="eastAsia" w:asciiTheme="minorEastAsia" w:hAnsiTheme="minorEastAsia" w:eastAsiaTheme="minorEastAsia" w:cstheme="minorEastAsia"/>
                <w:color w:val="000000"/>
                <w:kern w:val="0"/>
                <w:sz w:val="18"/>
                <w:szCs w:val="18"/>
                <w:highlight w:val="none"/>
              </w:rPr>
              <w:t>的财务制度，内部制度</w:t>
            </w:r>
            <w:r>
              <w:rPr>
                <w:rFonts w:hint="eastAsia" w:asciiTheme="minorEastAsia" w:hAnsiTheme="minorEastAsia" w:eastAsiaTheme="minorEastAsia" w:cstheme="minorEastAsia"/>
                <w:color w:val="000000"/>
                <w:kern w:val="0"/>
                <w:sz w:val="18"/>
                <w:szCs w:val="18"/>
                <w:highlight w:val="none"/>
                <w:lang w:eastAsia="zh-CN"/>
              </w:rPr>
              <w:t>合规</w:t>
            </w:r>
            <w:r>
              <w:rPr>
                <w:rFonts w:hint="eastAsia" w:asciiTheme="minorEastAsia" w:hAnsiTheme="minorEastAsia" w:eastAsiaTheme="minorEastAsia" w:cstheme="minorEastAsia"/>
                <w:color w:val="000000"/>
                <w:kern w:val="0"/>
                <w:sz w:val="18"/>
                <w:szCs w:val="18"/>
                <w:highlight w:val="none"/>
              </w:rPr>
              <w:t>，会计核算制度完整</w:t>
            </w:r>
          </w:p>
        </w:tc>
        <w:tc>
          <w:tcPr>
            <w:tcW w:w="68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1</w:t>
            </w: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资金使用合规性和安全性</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资金是否符合预算资金相关规定，是否能够保证资金的安全性</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lang w:eastAsia="zh-CN"/>
              </w:rPr>
              <w:t>严肃财经纪律，</w:t>
            </w:r>
            <w:r>
              <w:rPr>
                <w:rFonts w:hint="eastAsia" w:asciiTheme="minorEastAsia" w:hAnsiTheme="minorEastAsia" w:eastAsiaTheme="minorEastAsia" w:cstheme="minorEastAsia"/>
                <w:color w:val="000000"/>
                <w:kern w:val="0"/>
                <w:sz w:val="18"/>
                <w:szCs w:val="18"/>
                <w:highlight w:val="none"/>
              </w:rPr>
              <w:t>资金使用按照国家财经法规和财务管理制度的规定，重大开支执行三重一大制度，</w:t>
            </w:r>
            <w:r>
              <w:rPr>
                <w:rFonts w:hint="eastAsia" w:asciiTheme="minorEastAsia" w:hAnsiTheme="minorEastAsia" w:eastAsiaTheme="minorEastAsia" w:cstheme="minorEastAsia"/>
                <w:color w:val="000000"/>
                <w:kern w:val="0"/>
                <w:sz w:val="18"/>
                <w:szCs w:val="18"/>
                <w:highlight w:val="none"/>
                <w:lang w:eastAsia="zh-CN"/>
              </w:rPr>
              <w:t>无</w:t>
            </w:r>
            <w:r>
              <w:rPr>
                <w:rFonts w:hint="eastAsia" w:asciiTheme="minorEastAsia" w:hAnsiTheme="minorEastAsia" w:eastAsiaTheme="minorEastAsia" w:cstheme="minorEastAsia"/>
                <w:color w:val="000000"/>
                <w:kern w:val="0"/>
                <w:sz w:val="18"/>
                <w:szCs w:val="18"/>
                <w:highlight w:val="none"/>
              </w:rPr>
              <w:t>截留挤占挪用情况，预算资金整体规范运行</w:t>
            </w:r>
          </w:p>
        </w:tc>
        <w:tc>
          <w:tcPr>
            <w:tcW w:w="68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2</w:t>
            </w: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2</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145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会计基础信息完善性</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会计基础信息是否真实、完整、准确</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严格执行政府会计准则制度</w:t>
            </w:r>
            <w:r>
              <w:rPr>
                <w:rFonts w:hint="eastAsia" w:asciiTheme="minorEastAsia" w:hAnsiTheme="minorEastAsia" w:eastAsiaTheme="minorEastAsia" w:cstheme="minorEastAsia"/>
                <w:color w:val="000000"/>
                <w:kern w:val="0"/>
                <w:sz w:val="18"/>
                <w:szCs w:val="18"/>
                <w:highlight w:val="none"/>
                <w:lang w:eastAsia="zh-CN"/>
              </w:rPr>
              <w:t>和新修订的《行政单位财务规则》</w:t>
            </w:r>
            <w:r>
              <w:rPr>
                <w:rFonts w:hint="eastAsia" w:asciiTheme="minorEastAsia" w:hAnsiTheme="minorEastAsia" w:eastAsiaTheme="minorEastAsia" w:cstheme="minorEastAsia"/>
                <w:color w:val="000000"/>
                <w:kern w:val="0"/>
                <w:sz w:val="18"/>
                <w:szCs w:val="18"/>
                <w:highlight w:val="none"/>
              </w:rPr>
              <w:t>，按照实际发生的事项进行会计核算</w:t>
            </w:r>
          </w:p>
        </w:tc>
        <w:tc>
          <w:tcPr>
            <w:tcW w:w="68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1</w:t>
            </w:r>
          </w:p>
        </w:tc>
        <w:tc>
          <w:tcPr>
            <w:tcW w:w="135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1</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23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资产管理（4）</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资产管理规范性</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资产购置、处置、配置是否合理、规范</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资产购置符合相关管理规定，按照预算资金和政府采购流程执行，资产处置按照资产管理办法执行。</w:t>
            </w:r>
            <w:r>
              <w:rPr>
                <w:rFonts w:hint="eastAsia" w:asciiTheme="minorEastAsia" w:hAnsiTheme="minorEastAsia" w:eastAsiaTheme="minorEastAsia" w:cstheme="minorEastAsia"/>
                <w:color w:val="000000"/>
                <w:kern w:val="0"/>
                <w:sz w:val="18"/>
                <w:szCs w:val="18"/>
                <w:highlight w:val="none"/>
                <w:lang w:eastAsia="zh-CN"/>
              </w:rPr>
              <w:t>无</w:t>
            </w:r>
            <w:r>
              <w:rPr>
                <w:rFonts w:hint="eastAsia" w:asciiTheme="minorEastAsia" w:hAnsiTheme="minorEastAsia" w:eastAsiaTheme="minorEastAsia" w:cstheme="minorEastAsia"/>
                <w:color w:val="000000"/>
                <w:kern w:val="0"/>
                <w:sz w:val="18"/>
                <w:szCs w:val="18"/>
                <w:highlight w:val="none"/>
              </w:rPr>
              <w:t>出租出借资产行为</w:t>
            </w:r>
          </w:p>
        </w:tc>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4</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4</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111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绩效管理（4）</w:t>
            </w:r>
          </w:p>
        </w:tc>
        <w:tc>
          <w:tcPr>
            <w:tcW w:w="13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绩效管理情况</w:t>
            </w:r>
          </w:p>
        </w:tc>
        <w:tc>
          <w:tcPr>
            <w:tcW w:w="1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绩效信息是否汇总，并加以运用</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按照绩效目标开展工作，</w:t>
            </w:r>
            <w:r>
              <w:rPr>
                <w:rFonts w:hint="eastAsia" w:asciiTheme="minorEastAsia" w:hAnsiTheme="minorEastAsia" w:eastAsiaTheme="minorEastAsia" w:cstheme="minorEastAsia"/>
                <w:color w:val="000000"/>
                <w:kern w:val="0"/>
                <w:sz w:val="18"/>
                <w:szCs w:val="18"/>
                <w:highlight w:val="none"/>
                <w:lang w:eastAsia="zh-CN"/>
              </w:rPr>
              <w:t>结果应用有待加强，管理长效机制有待健全</w:t>
            </w:r>
          </w:p>
        </w:tc>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4</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2</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304"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指标　</w:t>
            </w:r>
          </w:p>
        </w:tc>
        <w:tc>
          <w:tcPr>
            <w:tcW w:w="276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202</w:t>
            </w:r>
            <w:r>
              <w:rPr>
                <w:rFonts w:hint="eastAsia" w:asciiTheme="minorEastAsia" w:hAnsiTheme="minorEastAsia" w:eastAsiaTheme="minorEastAsia" w:cstheme="minorEastAsia"/>
                <w:color w:val="000000"/>
                <w:kern w:val="0"/>
                <w:sz w:val="18"/>
                <w:szCs w:val="18"/>
                <w:highlight w:val="none"/>
                <w:lang w:val="en-US" w:eastAsia="zh-CN"/>
              </w:rPr>
              <w:t>3</w:t>
            </w:r>
            <w:r>
              <w:rPr>
                <w:rFonts w:hint="eastAsia" w:asciiTheme="minorEastAsia" w:hAnsiTheme="minorEastAsia" w:eastAsiaTheme="minorEastAsia" w:cstheme="minorEastAsia"/>
                <w:color w:val="000000"/>
                <w:kern w:val="0"/>
                <w:sz w:val="18"/>
                <w:szCs w:val="18"/>
                <w:highlight w:val="none"/>
              </w:rPr>
              <w:t>年</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2024年</w:t>
            </w:r>
          </w:p>
        </w:tc>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分值</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得分</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95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结转结余率（4）</w:t>
            </w:r>
          </w:p>
        </w:tc>
        <w:tc>
          <w:tcPr>
            <w:tcW w:w="276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lang w:val="en-US" w:eastAsia="zh-CN"/>
              </w:rPr>
              <w:t>3.75%</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4.90%</w:t>
            </w:r>
          </w:p>
        </w:tc>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4</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3.5</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950" w:hRule="atLeast"/>
        </w:trPr>
        <w:tc>
          <w:tcPr>
            <w:tcW w:w="11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color w:val="000000"/>
                <w:kern w:val="0"/>
                <w:sz w:val="18"/>
                <w:szCs w:val="18"/>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部门预决算差异率（4）</w:t>
            </w:r>
          </w:p>
        </w:tc>
        <w:tc>
          <w:tcPr>
            <w:tcW w:w="276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w:t>
            </w:r>
          </w:p>
        </w:tc>
        <w:tc>
          <w:tcPr>
            <w:tcW w:w="15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-2.99%</w:t>
            </w:r>
          </w:p>
        </w:tc>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4</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4</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354" w:hRule="atLeast"/>
        </w:trPr>
        <w:tc>
          <w:tcPr>
            <w:tcW w:w="6565" w:type="dxa"/>
            <w:gridSpan w:val="5"/>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合计</w:t>
            </w:r>
          </w:p>
        </w:tc>
        <w:tc>
          <w:tcPr>
            <w:tcW w:w="680" w:type="dxa"/>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100</w:t>
            </w:r>
          </w:p>
        </w:tc>
        <w:tc>
          <w:tcPr>
            <w:tcW w:w="1350" w:type="dxa"/>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heme="minorEastAsia" w:hAnsiTheme="minorEastAsia" w:eastAsiaTheme="minorEastAsia" w:cstheme="minorEastAsia"/>
                <w:color w:val="000000"/>
                <w:kern w:val="0"/>
                <w:sz w:val="18"/>
                <w:szCs w:val="18"/>
                <w:highlight w:val="none"/>
                <w:lang w:val="en-US" w:eastAsia="zh-CN"/>
              </w:rPr>
            </w:pPr>
            <w:r>
              <w:rPr>
                <w:rFonts w:hint="eastAsia" w:asciiTheme="minorEastAsia" w:hAnsiTheme="minorEastAsia" w:eastAsiaTheme="minorEastAsia" w:cstheme="minorEastAsia"/>
                <w:color w:val="000000"/>
                <w:kern w:val="0"/>
                <w:sz w:val="18"/>
                <w:szCs w:val="18"/>
                <w:highlight w:val="none"/>
                <w:lang w:val="en-US" w:eastAsia="zh-CN"/>
              </w:rPr>
              <w:t>90.5</w:t>
            </w:r>
          </w:p>
        </w:tc>
      </w:tr>
    </w:tbl>
    <w:p>
      <w:pPr>
        <w:keepNext w:val="0"/>
        <w:keepLines w:val="0"/>
        <w:pageBreakBefore w:val="0"/>
        <w:kinsoku/>
        <w:wordWrap/>
        <w:overflowPunct/>
        <w:topLinePunct w:val="0"/>
        <w:autoSpaceDE/>
        <w:autoSpaceDN/>
        <w:bidi w:val="0"/>
        <w:adjustRightInd/>
        <w:snapToGrid/>
        <w:spacing w:line="260" w:lineRule="exact"/>
        <w:textAlignment w:val="auto"/>
        <w:rPr>
          <w:rFonts w:ascii="方正小标宋简体" w:eastAsia="方正小标宋简体"/>
          <w:sz w:val="36"/>
          <w:szCs w:val="36"/>
          <w:highlight w:val="none"/>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sz w:val="21"/>
        <w:szCs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47B9B"/>
    <w:rsid w:val="00051A33"/>
    <w:rsid w:val="00054DA8"/>
    <w:rsid w:val="00077674"/>
    <w:rsid w:val="00090C0C"/>
    <w:rsid w:val="0010089B"/>
    <w:rsid w:val="00147376"/>
    <w:rsid w:val="0019344D"/>
    <w:rsid w:val="001B292E"/>
    <w:rsid w:val="001E55E6"/>
    <w:rsid w:val="00242384"/>
    <w:rsid w:val="00265DB6"/>
    <w:rsid w:val="00290B00"/>
    <w:rsid w:val="00292271"/>
    <w:rsid w:val="003173EC"/>
    <w:rsid w:val="00376D07"/>
    <w:rsid w:val="00382C65"/>
    <w:rsid w:val="003B2D80"/>
    <w:rsid w:val="00414392"/>
    <w:rsid w:val="00432584"/>
    <w:rsid w:val="004A208D"/>
    <w:rsid w:val="004A5721"/>
    <w:rsid w:val="004A636A"/>
    <w:rsid w:val="004B05C7"/>
    <w:rsid w:val="004B5994"/>
    <w:rsid w:val="004D4457"/>
    <w:rsid w:val="00527D2F"/>
    <w:rsid w:val="0059240C"/>
    <w:rsid w:val="00594160"/>
    <w:rsid w:val="005E523D"/>
    <w:rsid w:val="005F155E"/>
    <w:rsid w:val="00651409"/>
    <w:rsid w:val="00653620"/>
    <w:rsid w:val="006604CF"/>
    <w:rsid w:val="00663CE4"/>
    <w:rsid w:val="00673190"/>
    <w:rsid w:val="006B5DF9"/>
    <w:rsid w:val="006C48EF"/>
    <w:rsid w:val="006E18A7"/>
    <w:rsid w:val="006E4686"/>
    <w:rsid w:val="006F78C9"/>
    <w:rsid w:val="00702294"/>
    <w:rsid w:val="00752418"/>
    <w:rsid w:val="00780EF8"/>
    <w:rsid w:val="00792A8C"/>
    <w:rsid w:val="007B4193"/>
    <w:rsid w:val="00834D05"/>
    <w:rsid w:val="008B15D0"/>
    <w:rsid w:val="008B4F97"/>
    <w:rsid w:val="008C2108"/>
    <w:rsid w:val="00951117"/>
    <w:rsid w:val="00953322"/>
    <w:rsid w:val="009B3893"/>
    <w:rsid w:val="00A24E58"/>
    <w:rsid w:val="00A42525"/>
    <w:rsid w:val="00A458B0"/>
    <w:rsid w:val="00AB4E73"/>
    <w:rsid w:val="00AC5DE5"/>
    <w:rsid w:val="00B37830"/>
    <w:rsid w:val="00BE0EB3"/>
    <w:rsid w:val="00C10F47"/>
    <w:rsid w:val="00C25C43"/>
    <w:rsid w:val="00C31336"/>
    <w:rsid w:val="00C33D56"/>
    <w:rsid w:val="00C417F7"/>
    <w:rsid w:val="00C61C0E"/>
    <w:rsid w:val="00C87F39"/>
    <w:rsid w:val="00CB7642"/>
    <w:rsid w:val="00CD095B"/>
    <w:rsid w:val="00D0076F"/>
    <w:rsid w:val="00D05CA4"/>
    <w:rsid w:val="00D74097"/>
    <w:rsid w:val="00D96D11"/>
    <w:rsid w:val="00DF5C61"/>
    <w:rsid w:val="00E1481A"/>
    <w:rsid w:val="00E20AF2"/>
    <w:rsid w:val="00E659CF"/>
    <w:rsid w:val="00E802F5"/>
    <w:rsid w:val="00EB7D95"/>
    <w:rsid w:val="00F156A5"/>
    <w:rsid w:val="00F46D87"/>
    <w:rsid w:val="00F809AE"/>
    <w:rsid w:val="00FA64CA"/>
    <w:rsid w:val="00FE2D81"/>
    <w:rsid w:val="01234CD5"/>
    <w:rsid w:val="014053AC"/>
    <w:rsid w:val="017D6A6C"/>
    <w:rsid w:val="020F4606"/>
    <w:rsid w:val="02434789"/>
    <w:rsid w:val="02997DD4"/>
    <w:rsid w:val="02AD283F"/>
    <w:rsid w:val="02DB6F94"/>
    <w:rsid w:val="035E2D1A"/>
    <w:rsid w:val="03C268CD"/>
    <w:rsid w:val="04453317"/>
    <w:rsid w:val="04623D99"/>
    <w:rsid w:val="046F650C"/>
    <w:rsid w:val="05254134"/>
    <w:rsid w:val="05726D73"/>
    <w:rsid w:val="06620A3C"/>
    <w:rsid w:val="066A4C07"/>
    <w:rsid w:val="07A13C94"/>
    <w:rsid w:val="085540A8"/>
    <w:rsid w:val="085C5B30"/>
    <w:rsid w:val="08C350B3"/>
    <w:rsid w:val="09065EDC"/>
    <w:rsid w:val="094E38DD"/>
    <w:rsid w:val="095E49B5"/>
    <w:rsid w:val="09686B0D"/>
    <w:rsid w:val="09913CBD"/>
    <w:rsid w:val="0A400460"/>
    <w:rsid w:val="0AAC3659"/>
    <w:rsid w:val="0B515780"/>
    <w:rsid w:val="0BD77734"/>
    <w:rsid w:val="0BE25B90"/>
    <w:rsid w:val="0CAA6FE0"/>
    <w:rsid w:val="0D846DEC"/>
    <w:rsid w:val="0E2872C7"/>
    <w:rsid w:val="0E761C9E"/>
    <w:rsid w:val="0FAD5D87"/>
    <w:rsid w:val="109404AA"/>
    <w:rsid w:val="10A02A55"/>
    <w:rsid w:val="10AC07FD"/>
    <w:rsid w:val="112F2975"/>
    <w:rsid w:val="113678B6"/>
    <w:rsid w:val="1156173F"/>
    <w:rsid w:val="118071B3"/>
    <w:rsid w:val="11D24468"/>
    <w:rsid w:val="12527BA0"/>
    <w:rsid w:val="12F32D36"/>
    <w:rsid w:val="14087DF4"/>
    <w:rsid w:val="14353F04"/>
    <w:rsid w:val="145E3362"/>
    <w:rsid w:val="14B902B9"/>
    <w:rsid w:val="14E03083"/>
    <w:rsid w:val="14E77B01"/>
    <w:rsid w:val="150B4BB5"/>
    <w:rsid w:val="15E85616"/>
    <w:rsid w:val="15EC5838"/>
    <w:rsid w:val="16500917"/>
    <w:rsid w:val="166A29AE"/>
    <w:rsid w:val="16811307"/>
    <w:rsid w:val="17377DB9"/>
    <w:rsid w:val="175F53D8"/>
    <w:rsid w:val="187D7EC5"/>
    <w:rsid w:val="188C6FA7"/>
    <w:rsid w:val="18E96690"/>
    <w:rsid w:val="18FE3977"/>
    <w:rsid w:val="19125012"/>
    <w:rsid w:val="19851E2D"/>
    <w:rsid w:val="199C49E6"/>
    <w:rsid w:val="19FB0980"/>
    <w:rsid w:val="1A85137A"/>
    <w:rsid w:val="1B102D7D"/>
    <w:rsid w:val="1B3812AA"/>
    <w:rsid w:val="1C2A44DE"/>
    <w:rsid w:val="1C541D08"/>
    <w:rsid w:val="1C815BFD"/>
    <w:rsid w:val="1CB91CD0"/>
    <w:rsid w:val="1DED7AFC"/>
    <w:rsid w:val="1E5F56DF"/>
    <w:rsid w:val="1EF170F4"/>
    <w:rsid w:val="1FF95BA2"/>
    <w:rsid w:val="203A2F75"/>
    <w:rsid w:val="20877CD5"/>
    <w:rsid w:val="20E04A44"/>
    <w:rsid w:val="216071EA"/>
    <w:rsid w:val="22F372CA"/>
    <w:rsid w:val="24453DB3"/>
    <w:rsid w:val="24F24959"/>
    <w:rsid w:val="257C3A23"/>
    <w:rsid w:val="25D1671F"/>
    <w:rsid w:val="25D96FF4"/>
    <w:rsid w:val="261606A1"/>
    <w:rsid w:val="271A3E93"/>
    <w:rsid w:val="2735727C"/>
    <w:rsid w:val="2845580A"/>
    <w:rsid w:val="284F4382"/>
    <w:rsid w:val="298022B0"/>
    <w:rsid w:val="2A6B77A3"/>
    <w:rsid w:val="2AFE14BD"/>
    <w:rsid w:val="2C175302"/>
    <w:rsid w:val="2CB159FE"/>
    <w:rsid w:val="2CBC69CB"/>
    <w:rsid w:val="2D132B0A"/>
    <w:rsid w:val="2D2634BB"/>
    <w:rsid w:val="2D483788"/>
    <w:rsid w:val="2DC57437"/>
    <w:rsid w:val="2F092036"/>
    <w:rsid w:val="2F174B8D"/>
    <w:rsid w:val="2F7C1090"/>
    <w:rsid w:val="2F9F45FF"/>
    <w:rsid w:val="2FEF747C"/>
    <w:rsid w:val="30433259"/>
    <w:rsid w:val="312A0EB0"/>
    <w:rsid w:val="315E2169"/>
    <w:rsid w:val="31FE2E82"/>
    <w:rsid w:val="31FE3257"/>
    <w:rsid w:val="321C6AF0"/>
    <w:rsid w:val="32FC564E"/>
    <w:rsid w:val="333A5F2D"/>
    <w:rsid w:val="34177AC7"/>
    <w:rsid w:val="34D550FE"/>
    <w:rsid w:val="352A74A3"/>
    <w:rsid w:val="354F561C"/>
    <w:rsid w:val="35D009E8"/>
    <w:rsid w:val="3639596D"/>
    <w:rsid w:val="370E349A"/>
    <w:rsid w:val="37173543"/>
    <w:rsid w:val="37241943"/>
    <w:rsid w:val="37742DA1"/>
    <w:rsid w:val="38110513"/>
    <w:rsid w:val="38367D4B"/>
    <w:rsid w:val="387D0F89"/>
    <w:rsid w:val="39811375"/>
    <w:rsid w:val="39AB30DD"/>
    <w:rsid w:val="3A3C2E70"/>
    <w:rsid w:val="3A895DD0"/>
    <w:rsid w:val="3AAD6619"/>
    <w:rsid w:val="3C143882"/>
    <w:rsid w:val="3C25011B"/>
    <w:rsid w:val="3CDF3FBB"/>
    <w:rsid w:val="3D4C5B07"/>
    <w:rsid w:val="3DC92DE2"/>
    <w:rsid w:val="3DEF596A"/>
    <w:rsid w:val="3F0625D5"/>
    <w:rsid w:val="3F075D75"/>
    <w:rsid w:val="3F4B6483"/>
    <w:rsid w:val="3FDBA076"/>
    <w:rsid w:val="3FDFB3F0"/>
    <w:rsid w:val="3FDFC9A6"/>
    <w:rsid w:val="3FF76880"/>
    <w:rsid w:val="405965CC"/>
    <w:rsid w:val="40AC1E41"/>
    <w:rsid w:val="418A53F1"/>
    <w:rsid w:val="421E6633"/>
    <w:rsid w:val="424A6E23"/>
    <w:rsid w:val="424B61AD"/>
    <w:rsid w:val="43306E76"/>
    <w:rsid w:val="43344FF3"/>
    <w:rsid w:val="43791E01"/>
    <w:rsid w:val="43B4100E"/>
    <w:rsid w:val="43B800F6"/>
    <w:rsid w:val="43F85863"/>
    <w:rsid w:val="440E2554"/>
    <w:rsid w:val="44560185"/>
    <w:rsid w:val="44631617"/>
    <w:rsid w:val="45337393"/>
    <w:rsid w:val="45B11689"/>
    <w:rsid w:val="45EF05CD"/>
    <w:rsid w:val="462A6A20"/>
    <w:rsid w:val="46E231FB"/>
    <w:rsid w:val="477C604D"/>
    <w:rsid w:val="47B21EAE"/>
    <w:rsid w:val="47D05996"/>
    <w:rsid w:val="48615565"/>
    <w:rsid w:val="48FB21BE"/>
    <w:rsid w:val="4909646E"/>
    <w:rsid w:val="4A363781"/>
    <w:rsid w:val="4B7A511C"/>
    <w:rsid w:val="4B967CA5"/>
    <w:rsid w:val="4BE1164E"/>
    <w:rsid w:val="4C151E98"/>
    <w:rsid w:val="4C2E0D77"/>
    <w:rsid w:val="4C77199A"/>
    <w:rsid w:val="4CA36475"/>
    <w:rsid w:val="4DF33197"/>
    <w:rsid w:val="4ED0283B"/>
    <w:rsid w:val="4F2F5A82"/>
    <w:rsid w:val="4F5C4AF4"/>
    <w:rsid w:val="4F606DA0"/>
    <w:rsid w:val="4FA62404"/>
    <w:rsid w:val="506436FD"/>
    <w:rsid w:val="51205BB3"/>
    <w:rsid w:val="51CC45D4"/>
    <w:rsid w:val="523E7EDD"/>
    <w:rsid w:val="52874DEB"/>
    <w:rsid w:val="546F211D"/>
    <w:rsid w:val="54D55302"/>
    <w:rsid w:val="54F07035"/>
    <w:rsid w:val="54FE7ADD"/>
    <w:rsid w:val="55F63598"/>
    <w:rsid w:val="56AC3812"/>
    <w:rsid w:val="56C91614"/>
    <w:rsid w:val="56DB240A"/>
    <w:rsid w:val="57A66FC2"/>
    <w:rsid w:val="58042F7C"/>
    <w:rsid w:val="58317EBF"/>
    <w:rsid w:val="587B39CC"/>
    <w:rsid w:val="59676A98"/>
    <w:rsid w:val="59D86743"/>
    <w:rsid w:val="5A3D188B"/>
    <w:rsid w:val="5ACF6791"/>
    <w:rsid w:val="5BE97123"/>
    <w:rsid w:val="5BFD4AC2"/>
    <w:rsid w:val="5CA23539"/>
    <w:rsid w:val="5D3455B2"/>
    <w:rsid w:val="5D4E480A"/>
    <w:rsid w:val="5DB41119"/>
    <w:rsid w:val="5DBA7C8D"/>
    <w:rsid w:val="5DF55CF4"/>
    <w:rsid w:val="5E3A0904"/>
    <w:rsid w:val="5E4A20D2"/>
    <w:rsid w:val="5E641469"/>
    <w:rsid w:val="5F092628"/>
    <w:rsid w:val="5FCB0B48"/>
    <w:rsid w:val="60034E25"/>
    <w:rsid w:val="61CB2355"/>
    <w:rsid w:val="631A70FC"/>
    <w:rsid w:val="631D6E7D"/>
    <w:rsid w:val="646E16DE"/>
    <w:rsid w:val="64F25656"/>
    <w:rsid w:val="65430036"/>
    <w:rsid w:val="65A25CFD"/>
    <w:rsid w:val="65B43ABF"/>
    <w:rsid w:val="65C468B7"/>
    <w:rsid w:val="65E772CB"/>
    <w:rsid w:val="667E4504"/>
    <w:rsid w:val="66B2378E"/>
    <w:rsid w:val="67164E18"/>
    <w:rsid w:val="67759716"/>
    <w:rsid w:val="67FC4100"/>
    <w:rsid w:val="682B497F"/>
    <w:rsid w:val="68DC47F5"/>
    <w:rsid w:val="69A20A83"/>
    <w:rsid w:val="69A85BF1"/>
    <w:rsid w:val="6AD406B0"/>
    <w:rsid w:val="6B3861FC"/>
    <w:rsid w:val="6B9401FF"/>
    <w:rsid w:val="6C3523D7"/>
    <w:rsid w:val="6C863F8C"/>
    <w:rsid w:val="6CDB7527"/>
    <w:rsid w:val="6CE15739"/>
    <w:rsid w:val="6E3C47E3"/>
    <w:rsid w:val="6E680663"/>
    <w:rsid w:val="6F652EEA"/>
    <w:rsid w:val="6F7ED27B"/>
    <w:rsid w:val="6FB96AAA"/>
    <w:rsid w:val="70C43964"/>
    <w:rsid w:val="713628C8"/>
    <w:rsid w:val="71A301DD"/>
    <w:rsid w:val="71E93B2F"/>
    <w:rsid w:val="725C2022"/>
    <w:rsid w:val="72AA126B"/>
    <w:rsid w:val="72BC4AE5"/>
    <w:rsid w:val="72BF10E8"/>
    <w:rsid w:val="72EE3DF7"/>
    <w:rsid w:val="735A28B6"/>
    <w:rsid w:val="74D72798"/>
    <w:rsid w:val="75A309B4"/>
    <w:rsid w:val="75B17A7C"/>
    <w:rsid w:val="76B46DB2"/>
    <w:rsid w:val="776A4C40"/>
    <w:rsid w:val="791179A2"/>
    <w:rsid w:val="793E4BFD"/>
    <w:rsid w:val="7A427F1B"/>
    <w:rsid w:val="7AB7FF50"/>
    <w:rsid w:val="7AD454DE"/>
    <w:rsid w:val="7AEAF641"/>
    <w:rsid w:val="7B507858"/>
    <w:rsid w:val="7B99703A"/>
    <w:rsid w:val="7BAD2729"/>
    <w:rsid w:val="7BE66705"/>
    <w:rsid w:val="7BFEB0DB"/>
    <w:rsid w:val="7C0A601D"/>
    <w:rsid w:val="7E505358"/>
    <w:rsid w:val="7F30608D"/>
    <w:rsid w:val="7FA631E0"/>
    <w:rsid w:val="7FB439A4"/>
    <w:rsid w:val="7FFF4E81"/>
    <w:rsid w:val="7FFFD0D3"/>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style>
  <w:style w:type="paragraph" w:styleId="5">
    <w:name w:val="Body Text Indent"/>
    <w:basedOn w:val="1"/>
    <w:qFormat/>
    <w:uiPriority w:val="0"/>
    <w:pPr>
      <w:ind w:firstLine="720"/>
    </w:pPr>
    <w:rPr>
      <w:rFonts w:eastAsia="仿宋_GB2312"/>
      <w:sz w:val="32"/>
      <w:szCs w:val="20"/>
    </w:rPr>
  </w:style>
  <w:style w:type="paragraph" w:styleId="6">
    <w:name w:val="Plain Text"/>
    <w:basedOn w:val="1"/>
    <w:next w:val="1"/>
    <w:qFormat/>
    <w:uiPriority w:val="0"/>
    <w:rPr>
      <w:rFonts w:ascii="宋体" w:hAnsi="Courier New"/>
      <w:szCs w:val="21"/>
    </w:rPr>
  </w:style>
  <w:style w:type="paragraph" w:styleId="7">
    <w:name w:val="footer"/>
    <w:basedOn w:val="1"/>
    <w:qFormat/>
    <w:uiPriority w:val="99"/>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First Indent 2"/>
    <w:basedOn w:val="5"/>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列出段落1"/>
    <w:basedOn w:val="1"/>
    <w:qFormat/>
    <w:uiPriority w:val="34"/>
    <w:pPr>
      <w:ind w:firstLine="420" w:firstLineChars="200"/>
    </w:pPr>
    <w:rPr>
      <w:rFonts w:ascii="Calibri" w:hAnsi="Calibri" w:cs="黑体"/>
      <w:szCs w:val="22"/>
    </w:rPr>
  </w:style>
  <w:style w:type="character" w:customStyle="1" w:styleId="14">
    <w:name w:val="正文文本 Char1"/>
    <w:basedOn w:val="12"/>
    <w:qFormat/>
    <w:uiPriority w:val="99"/>
    <w:rPr>
      <w:rFonts w:ascii="MingLiU" w:hAnsi="MingLiU" w:eastAsia="MingLiU" w:cs="MingLiU"/>
      <w:sz w:val="30"/>
      <w:szCs w:val="30"/>
      <w:shd w:val="clear" w:color="auto" w:fill="FFFFFF"/>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1607</Words>
  <Characters>9162</Characters>
  <Lines>76</Lines>
  <Paragraphs>21</Paragraphs>
  <TotalTime>1</TotalTime>
  <ScaleCrop>false</ScaleCrop>
  <LinksUpToDate>false</LinksUpToDate>
  <CharactersWithSpaces>10748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2022-03-14T19:16:00Z</dcterms:created>
  <dc:creator>user</dc:creator>
  <cp:lastModifiedBy>lenovo</cp:lastModifiedBy>
  <cp:lastPrinted>2025-05-07T01:49:00Z</cp:lastPrinted>
  <dcterms:modified xsi:type="dcterms:W3CDTF">2025-08-27T01:04:49Z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