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jc w:val="center"/>
        <w:rPr>
          <w:rFonts w:hint="eastAsia" w:ascii="方正小标宋简体" w:hAnsi="黑体" w:eastAsia="方正小标宋简体"/>
          <w:sz w:val="36"/>
          <w:szCs w:val="36"/>
        </w:rPr>
      </w:pPr>
      <w:r>
        <w:rPr>
          <w:rFonts w:hint="eastAsia" w:ascii="方正小标宋简体" w:hAnsi="黑体" w:eastAsia="方正小标宋简体"/>
          <w:sz w:val="36"/>
          <w:szCs w:val="36"/>
        </w:rPr>
        <w:t>项目支出绩效自评表</w:t>
      </w:r>
    </w:p>
    <w:p>
      <w:pPr>
        <w:spacing w:line="480" w:lineRule="exact"/>
        <w:jc w:val="center"/>
        <w:rPr>
          <w:rFonts w:hint="eastAsia" w:ascii="仿宋_GB2312" w:hAnsi="宋体" w:eastAsia="仿宋_GB2312"/>
          <w:sz w:val="28"/>
          <w:szCs w:val="28"/>
        </w:rPr>
      </w:pPr>
      <w:r>
        <w:rPr>
          <w:rFonts w:hint="eastAsia" w:ascii="仿宋_GB2312" w:hAnsi="宋体" w:eastAsia="仿宋_GB2312"/>
          <w:sz w:val="28"/>
          <w:szCs w:val="28"/>
        </w:rPr>
        <w:t xml:space="preserve">（ </w:t>
      </w:r>
      <w:r>
        <w:rPr>
          <w:rFonts w:ascii="仿宋_GB2312" w:hAnsi="宋体" w:eastAsia="仿宋_GB2312"/>
          <w:sz w:val="28"/>
          <w:szCs w:val="28"/>
        </w:rPr>
        <w:t>202</w:t>
      </w:r>
      <w:r>
        <w:rPr>
          <w:rFonts w:hint="eastAsia" w:ascii="仿宋_GB2312" w:hAnsi="宋体" w:eastAsia="仿宋_GB2312"/>
          <w:sz w:val="28"/>
          <w:szCs w:val="28"/>
        </w:rPr>
        <w:t>4 年度）</w:t>
      </w:r>
    </w:p>
    <w:p>
      <w:pPr>
        <w:spacing w:line="240" w:lineRule="exact"/>
        <w:rPr>
          <w:rFonts w:hint="eastAsia" w:ascii="仿宋_GB2312" w:hAnsi="宋体" w:eastAsia="仿宋_GB2312"/>
          <w:sz w:val="30"/>
          <w:szCs w:val="30"/>
        </w:rPr>
      </w:pPr>
    </w:p>
    <w:tbl>
      <w:tblPr>
        <w:tblStyle w:val="4"/>
        <w:tblW w:w="9209" w:type="dxa"/>
        <w:jc w:val="center"/>
        <w:tblLayout w:type="fixed"/>
        <w:tblCellMar>
          <w:top w:w="0" w:type="dxa"/>
          <w:left w:w="108" w:type="dxa"/>
          <w:bottom w:w="0" w:type="dxa"/>
          <w:right w:w="108" w:type="dxa"/>
        </w:tblCellMar>
      </w:tblPr>
      <w:tblGrid>
        <w:gridCol w:w="585"/>
        <w:gridCol w:w="975"/>
        <w:gridCol w:w="1105"/>
        <w:gridCol w:w="727"/>
        <w:gridCol w:w="1127"/>
        <w:gridCol w:w="283"/>
        <w:gridCol w:w="849"/>
        <w:gridCol w:w="848"/>
        <w:gridCol w:w="279"/>
        <w:gridCol w:w="284"/>
        <w:gridCol w:w="420"/>
        <w:gridCol w:w="200"/>
        <w:gridCol w:w="850"/>
        <w:gridCol w:w="677"/>
      </w:tblGrid>
      <w:tr>
        <w:tblPrEx>
          <w:tblCellMar>
            <w:top w:w="0" w:type="dxa"/>
            <w:left w:w="108" w:type="dxa"/>
            <w:bottom w:w="0" w:type="dxa"/>
            <w:right w:w="108" w:type="dxa"/>
          </w:tblCellMar>
        </w:tblPrEx>
        <w:trPr>
          <w:trHeight w:val="306" w:hRule="exact"/>
          <w:jc w:val="center"/>
        </w:trPr>
        <w:tc>
          <w:tcPr>
            <w:tcW w:w="156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项目名称</w:t>
            </w:r>
          </w:p>
        </w:tc>
        <w:tc>
          <w:tcPr>
            <w:tcW w:w="7649" w:type="dxa"/>
            <w:gridSpan w:val="1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开展法律服务</w:t>
            </w:r>
          </w:p>
        </w:tc>
      </w:tr>
      <w:tr>
        <w:tblPrEx>
          <w:tblCellMar>
            <w:top w:w="0" w:type="dxa"/>
            <w:left w:w="108" w:type="dxa"/>
            <w:bottom w:w="0" w:type="dxa"/>
            <w:right w:w="108" w:type="dxa"/>
          </w:tblCellMar>
        </w:tblPrEx>
        <w:trPr>
          <w:trHeight w:val="306" w:hRule="exact"/>
          <w:jc w:val="center"/>
        </w:trPr>
        <w:tc>
          <w:tcPr>
            <w:tcW w:w="156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主管部门</w:t>
            </w:r>
          </w:p>
        </w:tc>
        <w:tc>
          <w:tcPr>
            <w:tcW w:w="4091"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北京市法学会</w:t>
            </w:r>
          </w:p>
        </w:tc>
        <w:tc>
          <w:tcPr>
            <w:tcW w:w="112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实施单位</w:t>
            </w:r>
          </w:p>
        </w:tc>
        <w:tc>
          <w:tcPr>
            <w:tcW w:w="2431"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北京市法学会（本级）</w:t>
            </w:r>
          </w:p>
        </w:tc>
      </w:tr>
      <w:tr>
        <w:tblPrEx>
          <w:tblCellMar>
            <w:top w:w="0" w:type="dxa"/>
            <w:left w:w="108" w:type="dxa"/>
            <w:bottom w:w="0" w:type="dxa"/>
            <w:right w:w="108" w:type="dxa"/>
          </w:tblCellMar>
        </w:tblPrEx>
        <w:trPr>
          <w:trHeight w:val="567" w:hRule="exact"/>
          <w:jc w:val="center"/>
        </w:trPr>
        <w:tc>
          <w:tcPr>
            <w:tcW w:w="1560"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项目资金</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（万元）</w:t>
            </w:r>
          </w:p>
        </w:tc>
        <w:tc>
          <w:tcPr>
            <w:tcW w:w="183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p>
        </w:tc>
        <w:tc>
          <w:tcPr>
            <w:tcW w:w="1127"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年初预算数</w:t>
            </w:r>
          </w:p>
        </w:tc>
        <w:tc>
          <w:tcPr>
            <w:tcW w:w="1132"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全年预算数</w:t>
            </w:r>
          </w:p>
        </w:tc>
        <w:tc>
          <w:tcPr>
            <w:tcW w:w="112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全年执行数</w:t>
            </w:r>
          </w:p>
        </w:tc>
        <w:tc>
          <w:tcPr>
            <w:tcW w:w="704"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分值</w:t>
            </w:r>
          </w:p>
        </w:tc>
        <w:tc>
          <w:tcPr>
            <w:tcW w:w="105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执行率</w:t>
            </w:r>
          </w:p>
        </w:tc>
        <w:tc>
          <w:tcPr>
            <w:tcW w:w="677"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得分</w:t>
            </w:r>
          </w:p>
        </w:tc>
      </w:tr>
      <w:tr>
        <w:tblPrEx>
          <w:tblCellMar>
            <w:top w:w="0" w:type="dxa"/>
            <w:left w:w="108" w:type="dxa"/>
            <w:bottom w:w="0" w:type="dxa"/>
            <w:right w:w="108" w:type="dxa"/>
          </w:tblCellMar>
        </w:tblPrEx>
        <w:trPr>
          <w:trHeight w:val="306"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p>
        </w:tc>
        <w:tc>
          <w:tcPr>
            <w:tcW w:w="1832"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hint="eastAsia" w:ascii="仿宋_GB2312" w:hAnsi="宋体" w:eastAsia="仿宋_GB2312" w:cs="宋体"/>
                <w:kern w:val="0"/>
                <w:szCs w:val="21"/>
              </w:rPr>
            </w:pPr>
            <w:r>
              <w:rPr>
                <w:rFonts w:hint="eastAsia" w:ascii="仿宋_GB2312" w:hAnsi="宋体" w:eastAsia="仿宋_GB2312" w:cs="宋体"/>
                <w:kern w:val="0"/>
                <w:szCs w:val="21"/>
              </w:rPr>
              <w:t>年度资金总额</w:t>
            </w:r>
          </w:p>
        </w:tc>
        <w:tc>
          <w:tcPr>
            <w:tcW w:w="1127"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96</w:t>
            </w:r>
            <w:r>
              <w:rPr>
                <w:rFonts w:ascii="仿宋_GB2312" w:hAnsi="宋体" w:eastAsia="仿宋_GB2312" w:cs="宋体"/>
                <w:kern w:val="0"/>
                <w:szCs w:val="21"/>
              </w:rPr>
              <w:t>.2</w:t>
            </w:r>
          </w:p>
        </w:tc>
        <w:tc>
          <w:tcPr>
            <w:tcW w:w="1132"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96</w:t>
            </w:r>
            <w:r>
              <w:rPr>
                <w:rFonts w:ascii="仿宋_GB2312" w:hAnsi="宋体" w:eastAsia="仿宋_GB2312" w:cs="宋体"/>
                <w:kern w:val="0"/>
                <w:szCs w:val="21"/>
              </w:rPr>
              <w:t>.2</w:t>
            </w:r>
          </w:p>
        </w:tc>
        <w:tc>
          <w:tcPr>
            <w:tcW w:w="112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95.28</w:t>
            </w:r>
          </w:p>
        </w:tc>
        <w:tc>
          <w:tcPr>
            <w:tcW w:w="704"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10</w:t>
            </w:r>
          </w:p>
        </w:tc>
        <w:tc>
          <w:tcPr>
            <w:tcW w:w="105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99.05</w:t>
            </w:r>
            <w:r>
              <w:rPr>
                <w:rFonts w:ascii="仿宋_GB2312" w:hAnsi="宋体" w:eastAsia="仿宋_GB2312" w:cs="宋体"/>
                <w:kern w:val="0"/>
                <w:szCs w:val="21"/>
              </w:rPr>
              <w:t>%</w:t>
            </w:r>
          </w:p>
        </w:tc>
        <w:tc>
          <w:tcPr>
            <w:tcW w:w="677"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9.5</w:t>
            </w:r>
          </w:p>
        </w:tc>
      </w:tr>
      <w:tr>
        <w:tblPrEx>
          <w:tblCellMar>
            <w:top w:w="0" w:type="dxa"/>
            <w:left w:w="108" w:type="dxa"/>
            <w:bottom w:w="0" w:type="dxa"/>
            <w:right w:w="108" w:type="dxa"/>
          </w:tblCellMar>
        </w:tblPrEx>
        <w:trPr>
          <w:trHeight w:val="601"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p>
        </w:tc>
        <w:tc>
          <w:tcPr>
            <w:tcW w:w="183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其中：当年财政拨款</w:t>
            </w:r>
          </w:p>
        </w:tc>
        <w:tc>
          <w:tcPr>
            <w:tcW w:w="1127"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96</w:t>
            </w:r>
            <w:r>
              <w:rPr>
                <w:rFonts w:ascii="仿宋_GB2312" w:hAnsi="宋体" w:eastAsia="仿宋_GB2312" w:cs="宋体"/>
                <w:kern w:val="0"/>
                <w:szCs w:val="21"/>
              </w:rPr>
              <w:t>.2</w:t>
            </w:r>
          </w:p>
        </w:tc>
        <w:tc>
          <w:tcPr>
            <w:tcW w:w="1132"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96</w:t>
            </w:r>
            <w:r>
              <w:rPr>
                <w:rFonts w:ascii="仿宋_GB2312" w:hAnsi="宋体" w:eastAsia="仿宋_GB2312" w:cs="宋体"/>
                <w:kern w:val="0"/>
                <w:szCs w:val="21"/>
              </w:rPr>
              <w:t>.2</w:t>
            </w:r>
          </w:p>
        </w:tc>
        <w:tc>
          <w:tcPr>
            <w:tcW w:w="112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95.28</w:t>
            </w:r>
          </w:p>
        </w:tc>
        <w:tc>
          <w:tcPr>
            <w:tcW w:w="704"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w:t>
            </w:r>
          </w:p>
        </w:tc>
        <w:tc>
          <w:tcPr>
            <w:tcW w:w="105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99.05</w:t>
            </w:r>
            <w:r>
              <w:rPr>
                <w:rFonts w:ascii="仿宋_GB2312" w:hAnsi="宋体" w:eastAsia="仿宋_GB2312" w:cs="宋体"/>
                <w:kern w:val="0"/>
                <w:szCs w:val="21"/>
              </w:rPr>
              <w:t>%</w:t>
            </w:r>
          </w:p>
        </w:tc>
        <w:tc>
          <w:tcPr>
            <w:tcW w:w="677"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w:t>
            </w:r>
          </w:p>
        </w:tc>
      </w:tr>
      <w:tr>
        <w:tblPrEx>
          <w:tblCellMar>
            <w:top w:w="0" w:type="dxa"/>
            <w:left w:w="108" w:type="dxa"/>
            <w:bottom w:w="0" w:type="dxa"/>
            <w:right w:w="108" w:type="dxa"/>
          </w:tblCellMar>
        </w:tblPrEx>
        <w:trPr>
          <w:trHeight w:val="567"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p>
        </w:tc>
        <w:tc>
          <w:tcPr>
            <w:tcW w:w="183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 xml:space="preserve">      上年结转资金</w:t>
            </w:r>
          </w:p>
        </w:tc>
        <w:tc>
          <w:tcPr>
            <w:tcW w:w="1127"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p>
        </w:tc>
        <w:tc>
          <w:tcPr>
            <w:tcW w:w="1132"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p>
        </w:tc>
        <w:tc>
          <w:tcPr>
            <w:tcW w:w="112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p>
        </w:tc>
        <w:tc>
          <w:tcPr>
            <w:tcW w:w="704"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w:t>
            </w:r>
          </w:p>
        </w:tc>
        <w:tc>
          <w:tcPr>
            <w:tcW w:w="105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p>
        </w:tc>
        <w:tc>
          <w:tcPr>
            <w:tcW w:w="677"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w:t>
            </w:r>
          </w:p>
        </w:tc>
      </w:tr>
      <w:tr>
        <w:tblPrEx>
          <w:tblCellMar>
            <w:top w:w="0" w:type="dxa"/>
            <w:left w:w="108" w:type="dxa"/>
            <w:bottom w:w="0" w:type="dxa"/>
            <w:right w:w="108" w:type="dxa"/>
          </w:tblCellMar>
        </w:tblPrEx>
        <w:trPr>
          <w:trHeight w:val="306"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p>
        </w:tc>
        <w:tc>
          <w:tcPr>
            <w:tcW w:w="183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 xml:space="preserve">  其他资金</w:t>
            </w:r>
          </w:p>
        </w:tc>
        <w:tc>
          <w:tcPr>
            <w:tcW w:w="1127"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p>
        </w:tc>
        <w:tc>
          <w:tcPr>
            <w:tcW w:w="1132"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p>
        </w:tc>
        <w:tc>
          <w:tcPr>
            <w:tcW w:w="112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p>
        </w:tc>
        <w:tc>
          <w:tcPr>
            <w:tcW w:w="704"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w:t>
            </w:r>
          </w:p>
        </w:tc>
        <w:tc>
          <w:tcPr>
            <w:tcW w:w="105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p>
        </w:tc>
        <w:tc>
          <w:tcPr>
            <w:tcW w:w="677"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w:t>
            </w:r>
          </w:p>
        </w:tc>
      </w:tr>
      <w:tr>
        <w:tblPrEx>
          <w:tblCellMar>
            <w:top w:w="0" w:type="dxa"/>
            <w:left w:w="108" w:type="dxa"/>
            <w:bottom w:w="0" w:type="dxa"/>
            <w:right w:w="108" w:type="dxa"/>
          </w:tblCellMar>
        </w:tblPrEx>
        <w:trPr>
          <w:trHeight w:val="548" w:hRule="exact"/>
          <w:jc w:val="center"/>
        </w:trPr>
        <w:tc>
          <w:tcPr>
            <w:tcW w:w="585"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年度总体目标</w:t>
            </w:r>
          </w:p>
        </w:tc>
        <w:tc>
          <w:tcPr>
            <w:tcW w:w="5066"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预期目标</w:t>
            </w:r>
          </w:p>
        </w:tc>
        <w:tc>
          <w:tcPr>
            <w:tcW w:w="3558"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实际完成情况</w:t>
            </w:r>
          </w:p>
        </w:tc>
      </w:tr>
      <w:tr>
        <w:tblPrEx>
          <w:tblCellMar>
            <w:top w:w="0" w:type="dxa"/>
            <w:left w:w="108" w:type="dxa"/>
            <w:bottom w:w="0" w:type="dxa"/>
            <w:right w:w="108" w:type="dxa"/>
          </w:tblCellMar>
        </w:tblPrEx>
        <w:trPr>
          <w:trHeight w:val="3552" w:hRule="exact"/>
          <w:jc w:val="center"/>
        </w:trPr>
        <w:tc>
          <w:tcPr>
            <w:tcW w:w="585"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p>
        </w:tc>
        <w:tc>
          <w:tcPr>
            <w:tcW w:w="5066"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围绕服务首都法治建设、社会治理重点工作，保障和改善民生问题解决，促进基层依法治理，维护社会和谐稳定等首都重点工作任务，积极组织社会组织承接公益法律服务项目，组织法</w:t>
            </w:r>
            <w:r>
              <w:rPr>
                <w:rFonts w:hint="eastAsia" w:ascii="仿宋_GB2312" w:hAnsi="宋体" w:eastAsia="仿宋_GB2312" w:cs="宋体"/>
                <w:kern w:val="0"/>
                <w:szCs w:val="21"/>
                <w:lang w:eastAsia="zh-CN"/>
              </w:rPr>
              <w:t>学</w:t>
            </w:r>
            <w:bookmarkStart w:id="0" w:name="_GoBack"/>
            <w:bookmarkEnd w:id="0"/>
            <w:r>
              <w:rPr>
                <w:rFonts w:hint="eastAsia" w:ascii="仿宋_GB2312" w:hAnsi="宋体" w:eastAsia="仿宋_GB2312" w:cs="宋体"/>
                <w:kern w:val="0"/>
                <w:szCs w:val="21"/>
              </w:rPr>
              <w:t>专家参与到区域发展的重要决策事项中，对政府关注的热点、焦点、难点问题，对区域重点行业的发展等重大项目的推进和重要政策的实施等提出意见和建议，充分发挥咨询论证、审核把关的作用。广泛动员法学法律工作者以群众喜闻乐见的方式，开展各类形式多样、特色突出、针对性强的普法宣传、法律咨询、法律援助等系列服务活动。为基层群众提供及时有效专业的法律服务，让基层法律服务向参与矛盾纠纷化解、综治平安建设、基层社会治理等领域深化，不断提升基层群众的法律意识和法治观念。</w:t>
            </w:r>
          </w:p>
        </w:tc>
        <w:tc>
          <w:tcPr>
            <w:tcW w:w="3558"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完成</w:t>
            </w:r>
          </w:p>
        </w:tc>
      </w:tr>
      <w:tr>
        <w:tblPrEx>
          <w:tblCellMar>
            <w:top w:w="0" w:type="dxa"/>
            <w:left w:w="108" w:type="dxa"/>
            <w:bottom w:w="0" w:type="dxa"/>
            <w:right w:w="108" w:type="dxa"/>
          </w:tblCellMar>
        </w:tblPrEx>
        <w:trPr>
          <w:trHeight w:val="830" w:hRule="exact"/>
          <w:jc w:val="center"/>
        </w:trPr>
        <w:tc>
          <w:tcPr>
            <w:tcW w:w="585"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绩</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效</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指</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标</w:t>
            </w:r>
          </w:p>
        </w:tc>
        <w:tc>
          <w:tcPr>
            <w:tcW w:w="97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一级指标</w:t>
            </w:r>
          </w:p>
        </w:tc>
        <w:tc>
          <w:tcPr>
            <w:tcW w:w="110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二级指标</w:t>
            </w: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三级指标</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年度</w:t>
            </w:r>
          </w:p>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指标值</w:t>
            </w: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实际</w:t>
            </w:r>
          </w:p>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完成值</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分值</w:t>
            </w:r>
          </w:p>
        </w:tc>
        <w:tc>
          <w:tcPr>
            <w:tcW w:w="62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得分</w:t>
            </w:r>
          </w:p>
        </w:tc>
        <w:tc>
          <w:tcPr>
            <w:tcW w:w="152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偏差原因分析及改进措施</w:t>
            </w:r>
          </w:p>
        </w:tc>
      </w:tr>
      <w:tr>
        <w:tblPrEx>
          <w:tblCellMar>
            <w:top w:w="0" w:type="dxa"/>
            <w:left w:w="108" w:type="dxa"/>
            <w:bottom w:w="0" w:type="dxa"/>
            <w:right w:w="108" w:type="dxa"/>
          </w:tblCellMar>
        </w:tblPrEx>
        <w:trPr>
          <w:trHeight w:val="510"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p>
        </w:tc>
        <w:tc>
          <w:tcPr>
            <w:tcW w:w="975"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产出指标</w:t>
            </w:r>
          </w:p>
        </w:tc>
        <w:tc>
          <w:tcPr>
            <w:tcW w:w="1105" w:type="dxa"/>
            <w:vMerge w:val="restart"/>
            <w:tcBorders>
              <w:top w:val="single" w:color="auto" w:sz="4" w:space="0"/>
              <w:left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数量指标</w:t>
            </w: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仿宋_GB2312" w:hAnsi="宋体" w:eastAsia="仿宋_GB2312" w:cs="宋体"/>
                <w:color w:val="000000"/>
                <w:kern w:val="0"/>
                <w:sz w:val="16"/>
                <w:szCs w:val="16"/>
              </w:rPr>
            </w:pPr>
            <w:r>
              <w:rPr>
                <w:rFonts w:hint="eastAsia" w:ascii="仿宋_GB2312" w:hAnsi="宋体" w:eastAsia="仿宋_GB2312" w:cs="宋体"/>
                <w:color w:val="000000"/>
                <w:kern w:val="0"/>
                <w:sz w:val="16"/>
                <w:szCs w:val="16"/>
              </w:rPr>
              <w:t>指标1：开展法律服务活动</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16"/>
                <w:szCs w:val="16"/>
              </w:rPr>
            </w:pPr>
            <w:r>
              <w:rPr>
                <w:rFonts w:hint="eastAsia" w:ascii="仿宋_GB2312" w:hAnsi="宋体" w:eastAsia="仿宋_GB2312" w:cs="宋体"/>
                <w:kern w:val="0"/>
                <w:sz w:val="16"/>
                <w:szCs w:val="16"/>
              </w:rPr>
              <w:t>≥</w:t>
            </w:r>
            <w:r>
              <w:rPr>
                <w:rFonts w:ascii="仿宋_GB2312" w:hAnsi="宋体" w:eastAsia="仿宋_GB2312" w:cs="宋体"/>
                <w:kern w:val="0"/>
                <w:sz w:val="16"/>
                <w:szCs w:val="16"/>
              </w:rPr>
              <w:t>50</w:t>
            </w:r>
            <w:r>
              <w:rPr>
                <w:rFonts w:hint="eastAsia" w:ascii="仿宋_GB2312" w:hAnsi="宋体" w:eastAsia="仿宋_GB2312" w:cs="宋体"/>
                <w:kern w:val="0"/>
                <w:sz w:val="16"/>
                <w:szCs w:val="16"/>
              </w:rPr>
              <w:t>场次</w:t>
            </w: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16"/>
                <w:szCs w:val="16"/>
              </w:rPr>
            </w:pPr>
            <w:r>
              <w:rPr>
                <w:rFonts w:hint="eastAsia" w:ascii="仿宋_GB2312" w:hAnsi="宋体" w:eastAsia="仿宋_GB2312" w:cs="宋体"/>
                <w:kern w:val="0"/>
                <w:sz w:val="16"/>
                <w:szCs w:val="16"/>
              </w:rPr>
              <w:t>1.85万</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16"/>
                <w:szCs w:val="16"/>
              </w:rPr>
            </w:pPr>
            <w:r>
              <w:rPr>
                <w:rFonts w:hint="eastAsia" w:ascii="仿宋_GB2312" w:hAnsi="宋体" w:eastAsia="仿宋_GB2312" w:cs="宋体"/>
                <w:kern w:val="0"/>
                <w:sz w:val="16"/>
                <w:szCs w:val="16"/>
              </w:rPr>
              <w:t>15</w:t>
            </w:r>
          </w:p>
        </w:tc>
        <w:tc>
          <w:tcPr>
            <w:tcW w:w="62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16"/>
                <w:szCs w:val="16"/>
              </w:rPr>
            </w:pPr>
            <w:r>
              <w:rPr>
                <w:rFonts w:hint="eastAsia" w:ascii="仿宋_GB2312" w:hAnsi="宋体" w:eastAsia="仿宋_GB2312" w:cs="宋体"/>
                <w:kern w:val="0"/>
                <w:sz w:val="16"/>
                <w:szCs w:val="16"/>
              </w:rPr>
              <w:t>13</w:t>
            </w:r>
          </w:p>
        </w:tc>
        <w:tc>
          <w:tcPr>
            <w:tcW w:w="152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16"/>
                <w:szCs w:val="16"/>
              </w:rPr>
            </w:pPr>
            <w:r>
              <w:rPr>
                <w:rFonts w:hint="eastAsia" w:ascii="仿宋_GB2312" w:hAnsi="宋体" w:eastAsia="仿宋_GB2312" w:cs="宋体"/>
                <w:kern w:val="0"/>
                <w:sz w:val="16"/>
                <w:szCs w:val="16"/>
              </w:rPr>
              <w:t>指标值设定偏低</w:t>
            </w:r>
          </w:p>
        </w:tc>
      </w:tr>
      <w:tr>
        <w:tblPrEx>
          <w:tblCellMar>
            <w:top w:w="0" w:type="dxa"/>
            <w:left w:w="108" w:type="dxa"/>
            <w:bottom w:w="0" w:type="dxa"/>
            <w:right w:w="108" w:type="dxa"/>
          </w:tblCellMar>
        </w:tblPrEx>
        <w:trPr>
          <w:trHeight w:val="510"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p>
        </w:tc>
        <w:tc>
          <w:tcPr>
            <w:tcW w:w="1105" w:type="dxa"/>
            <w:vMerge w:val="continue"/>
            <w:tcBorders>
              <w:left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仿宋_GB2312" w:hAnsi="宋体" w:eastAsia="仿宋_GB2312" w:cs="宋体"/>
                <w:color w:val="000000"/>
                <w:kern w:val="0"/>
                <w:sz w:val="16"/>
                <w:szCs w:val="16"/>
              </w:rPr>
            </w:pPr>
            <w:r>
              <w:rPr>
                <w:rFonts w:hint="eastAsia" w:ascii="仿宋_GB2312" w:hAnsi="宋体" w:eastAsia="仿宋_GB2312" w:cs="宋体"/>
                <w:color w:val="000000"/>
                <w:kern w:val="0"/>
                <w:sz w:val="16"/>
                <w:szCs w:val="16"/>
              </w:rPr>
              <w:t>指标2：服务群众</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16"/>
                <w:szCs w:val="16"/>
              </w:rPr>
            </w:pPr>
            <w:r>
              <w:rPr>
                <w:rFonts w:hint="eastAsia" w:ascii="仿宋_GB2312" w:hAnsi="宋体" w:eastAsia="仿宋_GB2312" w:cs="宋体"/>
                <w:kern w:val="0"/>
                <w:sz w:val="16"/>
                <w:szCs w:val="16"/>
              </w:rPr>
              <w:t>≥</w:t>
            </w:r>
            <w:r>
              <w:rPr>
                <w:rFonts w:ascii="仿宋_GB2312" w:hAnsi="宋体" w:eastAsia="仿宋_GB2312" w:cs="宋体"/>
                <w:kern w:val="0"/>
                <w:sz w:val="16"/>
                <w:szCs w:val="16"/>
              </w:rPr>
              <w:t>3000</w:t>
            </w:r>
            <w:r>
              <w:rPr>
                <w:rFonts w:hint="eastAsia" w:ascii="仿宋_GB2312" w:hAnsi="宋体" w:eastAsia="仿宋_GB2312" w:cs="宋体"/>
                <w:kern w:val="0"/>
                <w:sz w:val="16"/>
                <w:szCs w:val="16"/>
              </w:rPr>
              <w:t>人次</w:t>
            </w: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16"/>
                <w:szCs w:val="16"/>
              </w:rPr>
            </w:pPr>
            <w:r>
              <w:rPr>
                <w:rFonts w:hint="eastAsia" w:ascii="仿宋_GB2312" w:hAnsi="宋体" w:eastAsia="仿宋_GB2312" w:cs="宋体"/>
                <w:kern w:val="0"/>
                <w:sz w:val="16"/>
                <w:szCs w:val="16"/>
              </w:rPr>
              <w:t>416万</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16"/>
                <w:szCs w:val="16"/>
              </w:rPr>
            </w:pPr>
            <w:r>
              <w:rPr>
                <w:rFonts w:hint="eastAsia" w:ascii="仿宋_GB2312" w:hAnsi="宋体" w:eastAsia="仿宋_GB2312" w:cs="宋体"/>
                <w:kern w:val="0"/>
                <w:sz w:val="16"/>
                <w:szCs w:val="16"/>
              </w:rPr>
              <w:t>15</w:t>
            </w:r>
          </w:p>
        </w:tc>
        <w:tc>
          <w:tcPr>
            <w:tcW w:w="62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16"/>
                <w:szCs w:val="16"/>
              </w:rPr>
            </w:pPr>
            <w:r>
              <w:rPr>
                <w:rFonts w:hint="eastAsia" w:ascii="仿宋_GB2312" w:hAnsi="宋体" w:eastAsia="仿宋_GB2312" w:cs="宋体"/>
                <w:kern w:val="0"/>
                <w:sz w:val="16"/>
                <w:szCs w:val="16"/>
              </w:rPr>
              <w:t>13</w:t>
            </w:r>
          </w:p>
        </w:tc>
        <w:tc>
          <w:tcPr>
            <w:tcW w:w="152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16"/>
                <w:szCs w:val="16"/>
              </w:rPr>
            </w:pPr>
            <w:r>
              <w:rPr>
                <w:rFonts w:hint="eastAsia" w:ascii="仿宋_GB2312" w:hAnsi="宋体" w:eastAsia="仿宋_GB2312" w:cs="宋体"/>
                <w:kern w:val="0"/>
                <w:sz w:val="16"/>
                <w:szCs w:val="16"/>
              </w:rPr>
              <w:t>指标值设定偏低</w:t>
            </w:r>
          </w:p>
        </w:tc>
      </w:tr>
      <w:tr>
        <w:tblPrEx>
          <w:tblCellMar>
            <w:top w:w="0" w:type="dxa"/>
            <w:left w:w="108" w:type="dxa"/>
            <w:bottom w:w="0" w:type="dxa"/>
            <w:right w:w="108" w:type="dxa"/>
          </w:tblCellMar>
        </w:tblPrEx>
        <w:trPr>
          <w:trHeight w:val="510"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p>
        </w:tc>
        <w:tc>
          <w:tcPr>
            <w:tcW w:w="1105" w:type="dxa"/>
            <w:vMerge w:val="continue"/>
            <w:tcBorders>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仿宋_GB2312" w:hAnsi="宋体" w:eastAsia="仿宋_GB2312" w:cs="宋体"/>
                <w:color w:val="000000"/>
                <w:kern w:val="0"/>
                <w:sz w:val="16"/>
                <w:szCs w:val="16"/>
              </w:rPr>
            </w:pPr>
            <w:r>
              <w:rPr>
                <w:rFonts w:hint="eastAsia" w:ascii="仿宋_GB2312" w:hAnsi="宋体" w:eastAsia="仿宋_GB2312" w:cs="宋体"/>
                <w:color w:val="000000"/>
                <w:kern w:val="0"/>
                <w:sz w:val="16"/>
                <w:szCs w:val="16"/>
              </w:rPr>
              <w:t>指标3：参训人次</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16"/>
                <w:szCs w:val="16"/>
              </w:rPr>
            </w:pPr>
            <w:r>
              <w:rPr>
                <w:rFonts w:hint="eastAsia" w:ascii="仿宋_GB2312" w:hAnsi="宋体" w:eastAsia="仿宋_GB2312" w:cs="宋体"/>
                <w:kern w:val="0"/>
                <w:sz w:val="16"/>
                <w:szCs w:val="16"/>
              </w:rPr>
              <w:t>≥100</w:t>
            </w: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16"/>
                <w:szCs w:val="16"/>
              </w:rPr>
            </w:pPr>
            <w:r>
              <w:rPr>
                <w:rFonts w:hint="eastAsia" w:ascii="仿宋_GB2312" w:hAnsi="宋体" w:eastAsia="仿宋_GB2312" w:cs="宋体"/>
                <w:kern w:val="0"/>
                <w:sz w:val="16"/>
                <w:szCs w:val="16"/>
              </w:rPr>
              <w:t>1万</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16"/>
                <w:szCs w:val="16"/>
              </w:rPr>
            </w:pPr>
            <w:r>
              <w:rPr>
                <w:rFonts w:hint="eastAsia" w:ascii="仿宋_GB2312" w:hAnsi="宋体" w:eastAsia="仿宋_GB2312" w:cs="宋体"/>
                <w:kern w:val="0"/>
                <w:sz w:val="16"/>
                <w:szCs w:val="16"/>
              </w:rPr>
              <w:t>10</w:t>
            </w:r>
          </w:p>
        </w:tc>
        <w:tc>
          <w:tcPr>
            <w:tcW w:w="62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16"/>
                <w:szCs w:val="16"/>
              </w:rPr>
            </w:pPr>
            <w:r>
              <w:rPr>
                <w:rFonts w:hint="eastAsia" w:ascii="仿宋_GB2312" w:hAnsi="宋体" w:eastAsia="仿宋_GB2312" w:cs="宋体"/>
                <w:kern w:val="0"/>
                <w:sz w:val="16"/>
                <w:szCs w:val="16"/>
              </w:rPr>
              <w:t>9</w:t>
            </w:r>
          </w:p>
        </w:tc>
        <w:tc>
          <w:tcPr>
            <w:tcW w:w="152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16"/>
                <w:szCs w:val="16"/>
              </w:rPr>
            </w:pPr>
            <w:r>
              <w:rPr>
                <w:rFonts w:hint="eastAsia" w:ascii="仿宋_GB2312" w:hAnsi="宋体" w:eastAsia="仿宋_GB2312" w:cs="宋体"/>
                <w:kern w:val="0"/>
                <w:sz w:val="16"/>
                <w:szCs w:val="16"/>
              </w:rPr>
              <w:t>指标值设定偏低</w:t>
            </w:r>
          </w:p>
        </w:tc>
      </w:tr>
      <w:tr>
        <w:tblPrEx>
          <w:tblCellMar>
            <w:top w:w="0" w:type="dxa"/>
            <w:left w:w="108" w:type="dxa"/>
            <w:bottom w:w="0" w:type="dxa"/>
            <w:right w:w="108" w:type="dxa"/>
          </w:tblCellMar>
        </w:tblPrEx>
        <w:trPr>
          <w:trHeight w:val="510"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p>
        </w:tc>
        <w:tc>
          <w:tcPr>
            <w:tcW w:w="110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质量指标</w:t>
            </w: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仿宋_GB2312" w:hAnsi="宋体" w:eastAsia="仿宋_GB2312" w:cs="宋体"/>
                <w:color w:val="000000"/>
                <w:kern w:val="0"/>
                <w:sz w:val="16"/>
                <w:szCs w:val="16"/>
              </w:rPr>
            </w:pPr>
            <w:r>
              <w:rPr>
                <w:rFonts w:hint="eastAsia" w:ascii="仿宋_GB2312" w:hAnsi="宋体" w:eastAsia="仿宋_GB2312" w:cs="宋体"/>
                <w:color w:val="000000"/>
                <w:kern w:val="0"/>
                <w:sz w:val="16"/>
                <w:szCs w:val="16"/>
              </w:rPr>
              <w:t>指标1：</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16"/>
                <w:szCs w:val="16"/>
              </w:rPr>
            </w:pP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16"/>
                <w:szCs w:val="16"/>
              </w:rPr>
            </w:pP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16"/>
                <w:szCs w:val="16"/>
              </w:rPr>
            </w:pPr>
          </w:p>
        </w:tc>
        <w:tc>
          <w:tcPr>
            <w:tcW w:w="62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16"/>
                <w:szCs w:val="16"/>
              </w:rPr>
            </w:pPr>
          </w:p>
        </w:tc>
        <w:tc>
          <w:tcPr>
            <w:tcW w:w="152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16"/>
                <w:szCs w:val="16"/>
              </w:rPr>
            </w:pPr>
          </w:p>
        </w:tc>
      </w:tr>
      <w:tr>
        <w:tblPrEx>
          <w:tblCellMar>
            <w:top w:w="0" w:type="dxa"/>
            <w:left w:w="108" w:type="dxa"/>
            <w:bottom w:w="0" w:type="dxa"/>
            <w:right w:w="108" w:type="dxa"/>
          </w:tblCellMar>
        </w:tblPrEx>
        <w:trPr>
          <w:trHeight w:val="510"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p>
        </w:tc>
        <w:tc>
          <w:tcPr>
            <w:tcW w:w="110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时效指标</w:t>
            </w: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仿宋_GB2312" w:hAnsi="宋体" w:eastAsia="仿宋_GB2312" w:cs="宋体"/>
                <w:color w:val="000000"/>
                <w:kern w:val="0"/>
                <w:sz w:val="16"/>
                <w:szCs w:val="16"/>
              </w:rPr>
            </w:pPr>
            <w:r>
              <w:rPr>
                <w:rFonts w:hint="eastAsia" w:ascii="仿宋_GB2312" w:hAnsi="宋体" w:eastAsia="仿宋_GB2312" w:cs="宋体"/>
                <w:color w:val="000000"/>
                <w:kern w:val="0"/>
                <w:sz w:val="16"/>
                <w:szCs w:val="16"/>
              </w:rPr>
              <w:t>指标1：工作完成时限</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16"/>
                <w:szCs w:val="16"/>
              </w:rPr>
            </w:pPr>
            <w:r>
              <w:rPr>
                <w:rFonts w:hint="eastAsia" w:ascii="仿宋_GB2312" w:hAnsi="宋体" w:eastAsia="仿宋_GB2312" w:cs="宋体"/>
                <w:kern w:val="0"/>
                <w:sz w:val="16"/>
                <w:szCs w:val="16"/>
              </w:rPr>
              <w:t>≤1年</w:t>
            </w: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16"/>
                <w:szCs w:val="16"/>
              </w:rPr>
            </w:pPr>
            <w:r>
              <w:rPr>
                <w:rFonts w:hint="eastAsia" w:ascii="仿宋_GB2312" w:hAnsi="宋体" w:eastAsia="仿宋_GB2312" w:cs="宋体"/>
                <w:kern w:val="0"/>
                <w:sz w:val="16"/>
                <w:szCs w:val="16"/>
              </w:rPr>
              <w:t>1年</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16"/>
                <w:szCs w:val="16"/>
              </w:rPr>
            </w:pPr>
            <w:r>
              <w:rPr>
                <w:rFonts w:hint="eastAsia" w:ascii="仿宋_GB2312" w:hAnsi="宋体" w:eastAsia="仿宋_GB2312" w:cs="宋体"/>
                <w:kern w:val="0"/>
                <w:sz w:val="16"/>
                <w:szCs w:val="16"/>
              </w:rPr>
              <w:t>10</w:t>
            </w:r>
          </w:p>
        </w:tc>
        <w:tc>
          <w:tcPr>
            <w:tcW w:w="62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16"/>
                <w:szCs w:val="16"/>
              </w:rPr>
            </w:pPr>
            <w:r>
              <w:rPr>
                <w:rFonts w:hint="eastAsia" w:ascii="仿宋_GB2312" w:hAnsi="宋体" w:eastAsia="仿宋_GB2312" w:cs="宋体"/>
                <w:kern w:val="0"/>
                <w:sz w:val="16"/>
                <w:szCs w:val="16"/>
              </w:rPr>
              <w:t>10</w:t>
            </w:r>
          </w:p>
        </w:tc>
        <w:tc>
          <w:tcPr>
            <w:tcW w:w="152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16"/>
                <w:szCs w:val="16"/>
              </w:rPr>
            </w:pPr>
          </w:p>
        </w:tc>
      </w:tr>
      <w:tr>
        <w:tblPrEx>
          <w:tblCellMar>
            <w:top w:w="0" w:type="dxa"/>
            <w:left w:w="108" w:type="dxa"/>
            <w:bottom w:w="0" w:type="dxa"/>
            <w:right w:w="108" w:type="dxa"/>
          </w:tblCellMar>
        </w:tblPrEx>
        <w:trPr>
          <w:trHeight w:val="510"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p>
        </w:tc>
        <w:tc>
          <w:tcPr>
            <w:tcW w:w="110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成本指标</w:t>
            </w: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仿宋_GB2312" w:hAnsi="宋体" w:eastAsia="仿宋_GB2312" w:cs="宋体"/>
                <w:color w:val="000000"/>
                <w:kern w:val="0"/>
                <w:sz w:val="16"/>
                <w:szCs w:val="16"/>
              </w:rPr>
            </w:pPr>
            <w:r>
              <w:rPr>
                <w:rFonts w:hint="eastAsia" w:ascii="仿宋_GB2312" w:hAnsi="宋体" w:eastAsia="仿宋_GB2312" w:cs="宋体"/>
                <w:color w:val="000000"/>
                <w:kern w:val="0"/>
                <w:sz w:val="16"/>
                <w:szCs w:val="16"/>
              </w:rPr>
              <w:t>指标1：总体经费</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16"/>
                <w:szCs w:val="16"/>
              </w:rPr>
            </w:pPr>
            <w:r>
              <w:rPr>
                <w:rFonts w:hint="eastAsia" w:ascii="仿宋_GB2312" w:hAnsi="宋体" w:eastAsia="仿宋_GB2312" w:cs="宋体"/>
                <w:kern w:val="0"/>
                <w:sz w:val="16"/>
                <w:szCs w:val="16"/>
              </w:rPr>
              <w:t>≤96</w:t>
            </w:r>
            <w:r>
              <w:rPr>
                <w:rFonts w:ascii="仿宋_GB2312" w:hAnsi="宋体" w:eastAsia="仿宋_GB2312" w:cs="宋体"/>
                <w:kern w:val="0"/>
                <w:sz w:val="16"/>
                <w:szCs w:val="16"/>
              </w:rPr>
              <w:t>.2</w:t>
            </w:r>
            <w:r>
              <w:rPr>
                <w:rFonts w:hint="eastAsia" w:ascii="仿宋_GB2312" w:hAnsi="宋体" w:eastAsia="仿宋_GB2312" w:cs="宋体"/>
                <w:kern w:val="0"/>
                <w:sz w:val="16"/>
                <w:szCs w:val="16"/>
              </w:rPr>
              <w:t>万</w:t>
            </w: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16"/>
                <w:szCs w:val="16"/>
              </w:rPr>
            </w:pPr>
            <w:r>
              <w:rPr>
                <w:rFonts w:hint="eastAsia" w:ascii="仿宋_GB2312" w:hAnsi="宋体" w:eastAsia="仿宋_GB2312" w:cs="宋体"/>
                <w:kern w:val="0"/>
                <w:sz w:val="16"/>
                <w:szCs w:val="16"/>
              </w:rPr>
              <w:t>95.28万</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16"/>
                <w:szCs w:val="16"/>
              </w:rPr>
            </w:pPr>
            <w:r>
              <w:rPr>
                <w:rFonts w:hint="eastAsia" w:ascii="仿宋_GB2312" w:hAnsi="宋体" w:eastAsia="仿宋_GB2312" w:cs="宋体"/>
                <w:kern w:val="0"/>
                <w:sz w:val="16"/>
                <w:szCs w:val="16"/>
              </w:rPr>
              <w:t>1</w:t>
            </w:r>
            <w:r>
              <w:rPr>
                <w:rFonts w:ascii="仿宋_GB2312" w:hAnsi="宋体" w:eastAsia="仿宋_GB2312" w:cs="宋体"/>
                <w:kern w:val="0"/>
                <w:sz w:val="16"/>
                <w:szCs w:val="16"/>
              </w:rPr>
              <w:t>0</w:t>
            </w:r>
          </w:p>
        </w:tc>
        <w:tc>
          <w:tcPr>
            <w:tcW w:w="62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16"/>
                <w:szCs w:val="16"/>
              </w:rPr>
            </w:pPr>
            <w:r>
              <w:rPr>
                <w:rFonts w:hint="eastAsia" w:ascii="仿宋_GB2312" w:hAnsi="宋体" w:eastAsia="仿宋_GB2312" w:cs="宋体"/>
                <w:kern w:val="0"/>
                <w:sz w:val="16"/>
                <w:szCs w:val="16"/>
              </w:rPr>
              <w:t>1</w:t>
            </w:r>
            <w:r>
              <w:rPr>
                <w:rFonts w:ascii="仿宋_GB2312" w:hAnsi="宋体" w:eastAsia="仿宋_GB2312" w:cs="宋体"/>
                <w:kern w:val="0"/>
                <w:sz w:val="16"/>
                <w:szCs w:val="16"/>
              </w:rPr>
              <w:t>0</w:t>
            </w:r>
          </w:p>
        </w:tc>
        <w:tc>
          <w:tcPr>
            <w:tcW w:w="152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16"/>
                <w:szCs w:val="16"/>
              </w:rPr>
            </w:pPr>
          </w:p>
        </w:tc>
      </w:tr>
      <w:tr>
        <w:tblPrEx>
          <w:tblCellMar>
            <w:top w:w="0" w:type="dxa"/>
            <w:left w:w="108" w:type="dxa"/>
            <w:bottom w:w="0" w:type="dxa"/>
            <w:right w:w="108" w:type="dxa"/>
          </w:tblCellMar>
        </w:tblPrEx>
        <w:trPr>
          <w:trHeight w:val="510"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p>
        </w:tc>
        <w:tc>
          <w:tcPr>
            <w:tcW w:w="975"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效益指标</w:t>
            </w:r>
          </w:p>
        </w:tc>
        <w:tc>
          <w:tcPr>
            <w:tcW w:w="110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经济效益指标</w:t>
            </w: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仿宋_GB2312" w:hAnsi="宋体" w:eastAsia="仿宋_GB2312" w:cs="宋体"/>
                <w:color w:val="000000"/>
                <w:kern w:val="0"/>
                <w:sz w:val="16"/>
                <w:szCs w:val="16"/>
              </w:rPr>
            </w:pPr>
            <w:r>
              <w:rPr>
                <w:rFonts w:hint="eastAsia" w:ascii="仿宋_GB2312" w:hAnsi="宋体" w:eastAsia="仿宋_GB2312" w:cs="宋体"/>
                <w:color w:val="000000"/>
                <w:kern w:val="0"/>
                <w:sz w:val="16"/>
                <w:szCs w:val="16"/>
              </w:rPr>
              <w:t>指标1：</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16"/>
                <w:szCs w:val="16"/>
              </w:rPr>
            </w:pP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16"/>
                <w:szCs w:val="16"/>
              </w:rPr>
            </w:pP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16"/>
                <w:szCs w:val="16"/>
              </w:rPr>
            </w:pPr>
          </w:p>
        </w:tc>
        <w:tc>
          <w:tcPr>
            <w:tcW w:w="62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16"/>
                <w:szCs w:val="16"/>
              </w:rPr>
            </w:pPr>
          </w:p>
        </w:tc>
        <w:tc>
          <w:tcPr>
            <w:tcW w:w="152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16"/>
                <w:szCs w:val="16"/>
              </w:rPr>
            </w:pPr>
          </w:p>
        </w:tc>
      </w:tr>
      <w:tr>
        <w:tblPrEx>
          <w:tblCellMar>
            <w:top w:w="0" w:type="dxa"/>
            <w:left w:w="108" w:type="dxa"/>
            <w:bottom w:w="0" w:type="dxa"/>
            <w:right w:w="108" w:type="dxa"/>
          </w:tblCellMar>
        </w:tblPrEx>
        <w:trPr>
          <w:trHeight w:val="510"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p>
        </w:tc>
        <w:tc>
          <w:tcPr>
            <w:tcW w:w="110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社会效益指标</w:t>
            </w: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仿宋_GB2312" w:hAnsi="宋体" w:eastAsia="仿宋_GB2312" w:cs="宋体"/>
                <w:color w:val="000000"/>
                <w:kern w:val="0"/>
                <w:sz w:val="16"/>
                <w:szCs w:val="16"/>
              </w:rPr>
            </w:pPr>
            <w:r>
              <w:rPr>
                <w:rFonts w:hint="eastAsia" w:ascii="仿宋_GB2312" w:hAnsi="宋体" w:eastAsia="仿宋_GB2312" w:cs="宋体"/>
                <w:color w:val="000000"/>
                <w:kern w:val="0"/>
                <w:sz w:val="16"/>
                <w:szCs w:val="16"/>
              </w:rPr>
              <w:t>指标1：法律服务事项完成率</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16"/>
                <w:szCs w:val="16"/>
              </w:rPr>
            </w:pPr>
            <w:r>
              <w:rPr>
                <w:rFonts w:hint="eastAsia" w:ascii="仿宋_GB2312" w:hAnsi="宋体" w:eastAsia="仿宋_GB2312" w:cs="宋体"/>
                <w:kern w:val="0"/>
                <w:sz w:val="16"/>
                <w:szCs w:val="16"/>
              </w:rPr>
              <w:t>≥90%</w:t>
            </w: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16"/>
                <w:szCs w:val="16"/>
              </w:rPr>
            </w:pPr>
            <w:r>
              <w:rPr>
                <w:rFonts w:hint="eastAsia" w:ascii="仿宋_GB2312" w:hAnsi="宋体" w:eastAsia="仿宋_GB2312" w:cs="宋体"/>
                <w:kern w:val="0"/>
                <w:sz w:val="16"/>
                <w:szCs w:val="16"/>
              </w:rPr>
              <w:t>100%</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16"/>
                <w:szCs w:val="16"/>
              </w:rPr>
            </w:pPr>
            <w:r>
              <w:rPr>
                <w:rFonts w:hint="eastAsia" w:ascii="仿宋_GB2312" w:hAnsi="宋体" w:eastAsia="仿宋_GB2312" w:cs="宋体"/>
                <w:kern w:val="0"/>
                <w:sz w:val="16"/>
                <w:szCs w:val="16"/>
              </w:rPr>
              <w:t>20</w:t>
            </w:r>
          </w:p>
        </w:tc>
        <w:tc>
          <w:tcPr>
            <w:tcW w:w="62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16"/>
                <w:szCs w:val="16"/>
              </w:rPr>
            </w:pPr>
            <w:r>
              <w:rPr>
                <w:rFonts w:hint="eastAsia" w:ascii="仿宋_GB2312" w:hAnsi="宋体" w:eastAsia="仿宋_GB2312" w:cs="宋体"/>
                <w:kern w:val="0"/>
                <w:sz w:val="16"/>
                <w:szCs w:val="16"/>
              </w:rPr>
              <w:t>20</w:t>
            </w:r>
          </w:p>
        </w:tc>
        <w:tc>
          <w:tcPr>
            <w:tcW w:w="152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16"/>
                <w:szCs w:val="16"/>
              </w:rPr>
            </w:pPr>
          </w:p>
        </w:tc>
      </w:tr>
      <w:tr>
        <w:tblPrEx>
          <w:tblCellMar>
            <w:top w:w="0" w:type="dxa"/>
            <w:left w:w="108" w:type="dxa"/>
            <w:bottom w:w="0" w:type="dxa"/>
            <w:right w:w="108" w:type="dxa"/>
          </w:tblCellMar>
        </w:tblPrEx>
        <w:trPr>
          <w:trHeight w:val="510"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p>
        </w:tc>
        <w:tc>
          <w:tcPr>
            <w:tcW w:w="110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生态效益指标</w:t>
            </w: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仿宋_GB2312" w:hAnsi="宋体" w:eastAsia="仿宋_GB2312" w:cs="宋体"/>
                <w:color w:val="000000"/>
                <w:kern w:val="0"/>
                <w:sz w:val="16"/>
                <w:szCs w:val="16"/>
              </w:rPr>
            </w:pPr>
            <w:r>
              <w:rPr>
                <w:rFonts w:hint="eastAsia" w:ascii="仿宋_GB2312" w:hAnsi="宋体" w:eastAsia="仿宋_GB2312" w:cs="宋体"/>
                <w:color w:val="000000"/>
                <w:kern w:val="0"/>
                <w:sz w:val="16"/>
                <w:szCs w:val="16"/>
              </w:rPr>
              <w:t>指标1：</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16"/>
                <w:szCs w:val="16"/>
              </w:rPr>
            </w:pP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16"/>
                <w:szCs w:val="16"/>
              </w:rPr>
            </w:pP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16"/>
                <w:szCs w:val="16"/>
              </w:rPr>
            </w:pPr>
          </w:p>
        </w:tc>
        <w:tc>
          <w:tcPr>
            <w:tcW w:w="62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16"/>
                <w:szCs w:val="16"/>
              </w:rPr>
            </w:pPr>
          </w:p>
        </w:tc>
        <w:tc>
          <w:tcPr>
            <w:tcW w:w="152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16"/>
                <w:szCs w:val="16"/>
              </w:rPr>
            </w:pPr>
          </w:p>
        </w:tc>
      </w:tr>
      <w:tr>
        <w:tblPrEx>
          <w:tblCellMar>
            <w:top w:w="0" w:type="dxa"/>
            <w:left w:w="108" w:type="dxa"/>
            <w:bottom w:w="0" w:type="dxa"/>
            <w:right w:w="108" w:type="dxa"/>
          </w:tblCellMar>
        </w:tblPrEx>
        <w:trPr>
          <w:trHeight w:val="510"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p>
        </w:tc>
        <w:tc>
          <w:tcPr>
            <w:tcW w:w="110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可持续影响指标</w:t>
            </w: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仿宋_GB2312" w:hAnsi="宋体" w:eastAsia="仿宋_GB2312" w:cs="宋体"/>
                <w:color w:val="000000"/>
                <w:kern w:val="0"/>
                <w:sz w:val="16"/>
                <w:szCs w:val="16"/>
              </w:rPr>
            </w:pPr>
            <w:r>
              <w:rPr>
                <w:rFonts w:hint="eastAsia" w:ascii="仿宋_GB2312" w:hAnsi="宋体" w:eastAsia="仿宋_GB2312" w:cs="宋体"/>
                <w:color w:val="000000"/>
                <w:kern w:val="0"/>
                <w:sz w:val="16"/>
                <w:szCs w:val="16"/>
              </w:rPr>
              <w:t>指标1：</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16"/>
                <w:szCs w:val="16"/>
              </w:rPr>
            </w:pP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16"/>
                <w:szCs w:val="16"/>
              </w:rPr>
            </w:pP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16"/>
                <w:szCs w:val="16"/>
              </w:rPr>
            </w:pPr>
          </w:p>
        </w:tc>
        <w:tc>
          <w:tcPr>
            <w:tcW w:w="62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16"/>
                <w:szCs w:val="16"/>
              </w:rPr>
            </w:pPr>
          </w:p>
        </w:tc>
        <w:tc>
          <w:tcPr>
            <w:tcW w:w="152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16"/>
                <w:szCs w:val="16"/>
              </w:rPr>
            </w:pPr>
          </w:p>
        </w:tc>
      </w:tr>
      <w:tr>
        <w:tblPrEx>
          <w:tblCellMar>
            <w:top w:w="0" w:type="dxa"/>
            <w:left w:w="108" w:type="dxa"/>
            <w:bottom w:w="0" w:type="dxa"/>
            <w:right w:w="108" w:type="dxa"/>
          </w:tblCellMar>
        </w:tblPrEx>
        <w:trPr>
          <w:trHeight w:val="510"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p>
        </w:tc>
        <w:tc>
          <w:tcPr>
            <w:tcW w:w="97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满意度指标</w:t>
            </w:r>
          </w:p>
        </w:tc>
        <w:tc>
          <w:tcPr>
            <w:tcW w:w="110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服务对象满意度标</w:t>
            </w: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仿宋_GB2312" w:hAnsi="宋体" w:eastAsia="仿宋_GB2312" w:cs="宋体"/>
                <w:color w:val="000000"/>
                <w:kern w:val="0"/>
                <w:sz w:val="16"/>
                <w:szCs w:val="16"/>
              </w:rPr>
            </w:pPr>
            <w:r>
              <w:rPr>
                <w:rFonts w:hint="eastAsia" w:ascii="仿宋_GB2312" w:hAnsi="宋体" w:eastAsia="仿宋_GB2312" w:cs="宋体"/>
                <w:color w:val="000000"/>
                <w:kern w:val="0"/>
                <w:sz w:val="16"/>
                <w:szCs w:val="16"/>
              </w:rPr>
              <w:t>指标1：法律服务对象满意度</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16"/>
                <w:szCs w:val="16"/>
              </w:rPr>
            </w:pPr>
            <w:r>
              <w:rPr>
                <w:rFonts w:hint="eastAsia" w:ascii="仿宋_GB2312" w:hAnsi="宋体" w:eastAsia="仿宋_GB2312" w:cs="宋体"/>
                <w:kern w:val="0"/>
                <w:sz w:val="16"/>
                <w:szCs w:val="16"/>
              </w:rPr>
              <w:t>≥8</w:t>
            </w:r>
            <w:r>
              <w:rPr>
                <w:rFonts w:ascii="仿宋_GB2312" w:hAnsi="宋体" w:eastAsia="仿宋_GB2312" w:cs="宋体"/>
                <w:kern w:val="0"/>
                <w:sz w:val="16"/>
                <w:szCs w:val="16"/>
              </w:rPr>
              <w:t>0%</w:t>
            </w: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16"/>
                <w:szCs w:val="16"/>
              </w:rPr>
            </w:pPr>
            <w:r>
              <w:rPr>
                <w:rFonts w:hint="eastAsia" w:ascii="仿宋_GB2312" w:hAnsi="宋体" w:eastAsia="仿宋_GB2312" w:cs="宋体"/>
                <w:kern w:val="0"/>
                <w:sz w:val="16"/>
                <w:szCs w:val="16"/>
              </w:rPr>
              <w:t>90%</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16"/>
                <w:szCs w:val="16"/>
              </w:rPr>
            </w:pPr>
            <w:r>
              <w:rPr>
                <w:rFonts w:hint="eastAsia" w:ascii="仿宋_GB2312" w:hAnsi="宋体" w:eastAsia="仿宋_GB2312" w:cs="宋体"/>
                <w:kern w:val="0"/>
                <w:sz w:val="16"/>
                <w:szCs w:val="16"/>
              </w:rPr>
              <w:t>1</w:t>
            </w:r>
            <w:r>
              <w:rPr>
                <w:rFonts w:ascii="仿宋_GB2312" w:hAnsi="宋体" w:eastAsia="仿宋_GB2312" w:cs="宋体"/>
                <w:kern w:val="0"/>
                <w:sz w:val="16"/>
                <w:szCs w:val="16"/>
              </w:rPr>
              <w:t>0</w:t>
            </w:r>
          </w:p>
        </w:tc>
        <w:tc>
          <w:tcPr>
            <w:tcW w:w="62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16"/>
                <w:szCs w:val="16"/>
              </w:rPr>
            </w:pPr>
            <w:r>
              <w:rPr>
                <w:rFonts w:hint="eastAsia" w:ascii="仿宋_GB2312" w:hAnsi="宋体" w:eastAsia="仿宋_GB2312" w:cs="宋体"/>
                <w:kern w:val="0"/>
                <w:sz w:val="16"/>
                <w:szCs w:val="16"/>
              </w:rPr>
              <w:t>1</w:t>
            </w:r>
            <w:r>
              <w:rPr>
                <w:rFonts w:ascii="仿宋_GB2312" w:hAnsi="宋体" w:eastAsia="仿宋_GB2312" w:cs="宋体"/>
                <w:kern w:val="0"/>
                <w:sz w:val="16"/>
                <w:szCs w:val="16"/>
              </w:rPr>
              <w:t>0</w:t>
            </w:r>
          </w:p>
        </w:tc>
        <w:tc>
          <w:tcPr>
            <w:tcW w:w="152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16"/>
                <w:szCs w:val="16"/>
              </w:rPr>
            </w:pPr>
          </w:p>
        </w:tc>
      </w:tr>
      <w:tr>
        <w:tblPrEx>
          <w:tblCellMar>
            <w:top w:w="0" w:type="dxa"/>
            <w:left w:w="108" w:type="dxa"/>
            <w:bottom w:w="0" w:type="dxa"/>
            <w:right w:w="108" w:type="dxa"/>
          </w:tblCellMar>
        </w:tblPrEx>
        <w:trPr>
          <w:trHeight w:val="477" w:hRule="exact"/>
          <w:jc w:val="center"/>
        </w:trPr>
        <w:tc>
          <w:tcPr>
            <w:tcW w:w="6499" w:type="dxa"/>
            <w:gridSpan w:val="8"/>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总分</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100</w:t>
            </w:r>
          </w:p>
        </w:tc>
        <w:tc>
          <w:tcPr>
            <w:tcW w:w="62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94.5</w:t>
            </w:r>
          </w:p>
        </w:tc>
        <w:tc>
          <w:tcPr>
            <w:tcW w:w="152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p>
        </w:tc>
      </w:tr>
    </w:tbl>
    <w:p>
      <w:pPr>
        <w:widowControl/>
        <w:spacing w:line="520" w:lineRule="exact"/>
        <w:jc w:val="left"/>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填报注意事项：</w:t>
      </w:r>
    </w:p>
    <w:p>
      <w:pPr>
        <w:widowControl/>
        <w:spacing w:line="520" w:lineRule="exact"/>
        <w:ind w:firstLine="640" w:firstLineChars="200"/>
        <w:jc w:val="left"/>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1.得分一档最高不能超过该指标分值上限。</w:t>
      </w:r>
    </w:p>
    <w:p>
      <w:pPr>
        <w:widowControl/>
        <w:spacing w:line="520" w:lineRule="exact"/>
        <w:jc w:val="left"/>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 xml:space="preserve">    2.定量指标若为正向指标，则得分计算方法应用全年实际值（B）/年度指标值（A）*该指标分值；若定量指标为反向指标，则得分计算方法应用年度指标值（A）/全年实际值（B）*该指标分值。若年初指标值设定偏低，则得分计算方法应用（全年实际值（B）—年度指标值（A））/年度指标值（A）*100%。若计算结果在200%-300%（含200%）区间，则按照该指标分值的10%扣分；计算结果在300%-500%（含300%）区间，则按照该指标分值的20%扣分；计算结果高于500%（含500%），则按照该指标分值的30%扣分。</w:t>
      </w:r>
    </w:p>
    <w:p>
      <w:pPr>
        <w:spacing w:line="520" w:lineRule="exact"/>
        <w:ind w:firstLine="640" w:firstLineChars="200"/>
        <w:jc w:val="left"/>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3.请在“偏差原因分析及改进措施”中说明偏离目标、不能完成目标的原因及拟采取的措施。</w:t>
      </w:r>
    </w:p>
    <w:p>
      <w:pPr>
        <w:spacing w:line="520" w:lineRule="exact"/>
        <w:ind w:firstLine="640" w:firstLineChars="20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4.90（含）-100分为优、80（含）-90分为良、60（含）-80分为中、60分以下为差。</w:t>
      </w:r>
    </w:p>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altName w:val="方正宋体S-超大字符集(SIP)"/>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方正宋体S-超大字符集(SIP)"/>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等线">
    <w:altName w:val="汉仪中宋简"/>
    <w:panose1 w:val="02010600030101010101"/>
    <w:charset w:val="86"/>
    <w:family w:val="auto"/>
    <w:pitch w:val="default"/>
    <w:sig w:usb0="00000000" w:usb1="00000000" w:usb2="00000016" w:usb3="00000000" w:csb0="0004000F"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 w:name="汉仪中宋简">
    <w:panose1 w:val="02010600000101010101"/>
    <w:charset w:val="86"/>
    <w:family w:val="auto"/>
    <w:pitch w:val="default"/>
    <w:sig w:usb0="00000001" w:usb1="080E0800" w:usb2="00000002"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true"/>
  <w:bordersDoNotSurroundFooter w:val="true"/>
  <w:doNotTrackMoves/>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70C40"/>
    <w:rsid w:val="00170C40"/>
    <w:rsid w:val="00237C86"/>
    <w:rsid w:val="00911DA3"/>
    <w:rsid w:val="BCFDDEC6"/>
    <w:rsid w:val="F236C3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rFonts w:ascii="等线" w:hAnsi="等线" w:eastAsia="等线" w:cs="黑体"/>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rFonts w:ascii="等线" w:hAnsi="等线" w:eastAsia="等线" w:cs="黑体"/>
      <w:sz w:val="18"/>
      <w:szCs w:val="18"/>
    </w:rPr>
  </w:style>
  <w:style w:type="character" w:customStyle="1" w:styleId="6">
    <w:name w:val="页眉 字符"/>
    <w:link w:val="3"/>
    <w:qFormat/>
    <w:uiPriority w:val="99"/>
    <w:rPr>
      <w:sz w:val="18"/>
      <w:szCs w:val="18"/>
    </w:rPr>
  </w:style>
  <w:style w:type="character" w:customStyle="1" w:styleId="7">
    <w:name w:val="页脚 字符"/>
    <w:link w:val="2"/>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655</Words>
  <Characters>747</Characters>
  <Lines>149</Lines>
  <Paragraphs>140</Paragraphs>
  <TotalTime>6</TotalTime>
  <ScaleCrop>false</ScaleCrop>
  <LinksUpToDate>false</LinksUpToDate>
  <CharactersWithSpaces>1262</CharactersWithSpaces>
  <Application>WPS Office_11.8.2.10422_F1E327BC-269C-435d-A152-05C5408002CA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2025-05-11T19:01:00Z</dcterms:created>
  <dc:creator>薇 薛</dc:creator>
  <cp:lastModifiedBy>lenovo</cp:lastModifiedBy>
  <cp:lastPrinted>2025-05-15T19:52:00Z</cp:lastPrinted>
  <dcterms:modified xsi:type="dcterms:W3CDTF">2025-08-20T14:42:03Z</dcterms:modified>
  <dc:title>项目支出绩效自评表</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2052-11.8.2.10422</vt:lpwstr>
  </property>
</Properties>
</file>