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4年度）</w:t>
      </w:r>
    </w:p>
    <w:tbl>
      <w:tblPr>
        <w:tblStyle w:val="4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00"/>
        <w:gridCol w:w="818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学术研讨与交流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225.82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209.8228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198.66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94.68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225.82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209.8228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198.66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每年举办或参加6个法治论坛及研讨会，完成其中3个区域法治论坛的征文评审工作；完成市司法局、市人大常委会等单位交办的立法论证工作；围绕首都高质量发展的法治保障，组建若干对策研究小组，深入基层调查研究，注重解决实际问题，形成研究成果供决策咨询参考；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个习近平法治思想系列实践研究基地，开展习近平法治思想的学习研究宣传阐释；编撰《北京市法治建设年度报告》，全面总结梳理上一年度北京市年度法治建设成效和不足，提出改进工作的建议；发挥所属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法学社会组织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的智囊团作用，开展各法学学科（领域）学术研讨活动；开展全市学术重点委托项目、全市政法系统专题研究项目。</w:t>
            </w:r>
          </w:p>
        </w:tc>
        <w:tc>
          <w:tcPr>
            <w:tcW w:w="3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指标1：出版《法治建设年度报告》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指标2：参加论坛研讨会次数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=5次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环渤海法治论坛未开现场会。根据对台工作实际情况，取消2024年赴台开展两岸法律实务研讨会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：课题成果文集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指标4：对策研究成果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指标5：刊登《法治建设年度报告》精简版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指标6：专题研究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指标7：组织论坛人数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京津沪渝法治论坛因故取消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指标8：共同主办研讨会参与人次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指标1：对策研究成果转化率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≥50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指标1：工作完成时限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指标1：学术研讨与交流总成本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≤225.82万元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198.66万元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指标1：组织参加论坛研讨会成果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≥6项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指标2：各法学学科（领域）学术活动成果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≥40项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根据法学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eastAsia="zh-CN"/>
              </w:rPr>
              <w:t>社会组织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申报情况确定立项数量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指标3：基地研究成果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≥5项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指标4：立法论证工作完成率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指标5：学术活动报道率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指标1：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指标1：市台办对两岸法律实务研讨会满意度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根据对台工作实际情况，取消2024年赴台开展两岸法律实务研讨会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1.得分一档最高不能超过该指标分值上限。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48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48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4.90（含）-100分为优、80（含）-90分为良、60（含）-80分为中、60分以下为差。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10C3"/>
    <w:rsid w:val="000D1BCE"/>
    <w:rsid w:val="002910C3"/>
    <w:rsid w:val="0038778A"/>
    <w:rsid w:val="004457A0"/>
    <w:rsid w:val="004828FA"/>
    <w:rsid w:val="0057707A"/>
    <w:rsid w:val="5FEF5AB8"/>
    <w:rsid w:val="7EEF3442"/>
    <w:rsid w:val="7F7F98A9"/>
    <w:rsid w:val="BBEEC030"/>
    <w:rsid w:val="D7FFC96F"/>
    <w:rsid w:val="EDE6452D"/>
    <w:rsid w:val="EFFFBCDD"/>
    <w:rsid w:val="FF7F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黑体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851</Words>
  <Characters>903</Characters>
  <Lines>100</Lines>
  <Paragraphs>79</Paragraphs>
  <TotalTime>0</TotalTime>
  <ScaleCrop>false</ScaleCrop>
  <LinksUpToDate>false</LinksUpToDate>
  <CharactersWithSpaces>1675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2025-05-15T16:22:00Z</dcterms:created>
  <dc:creator>薇 薛</dc:creator>
  <cp:lastModifiedBy>lenovo</cp:lastModifiedBy>
  <cp:lastPrinted>2025-05-21T19:29:00Z</cp:lastPrinted>
  <dcterms:modified xsi:type="dcterms:W3CDTF">2025-08-20T15:56:27Z</dcterms:modified>
  <dc:title>项目支出绩效自评表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