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252525" w:themeColor="text1" w:themeTint="D9"/>
          <w:sz w:val="44"/>
          <w:szCs w:val="44"/>
          <w:highlight w:val="none"/>
        </w:rPr>
      </w:pPr>
      <w:r>
        <w:rPr>
          <w:rFonts w:hint="eastAsia" w:ascii="仿宋" w:hAnsi="仿宋" w:eastAsia="仿宋" w:cs="宋体"/>
          <w:color w:val="3F3F3F" w:themeColor="text1" w:themeTint="BF"/>
          <w:kern w:val="0"/>
          <w:sz w:val="32"/>
          <w:szCs w:val="32"/>
          <w:highlight w:val="none"/>
        </w:rPr>
        <w:t xml:space="preserve"> </w:t>
      </w:r>
    </w:p>
    <w:p>
      <w:pPr>
        <w:ind w:firstLine="880" w:firstLineChars="200"/>
        <w:rPr>
          <w:rFonts w:hint="eastAsia" w:ascii="仿宋_GB2312" w:hAnsi="仿宋_GB2312" w:eastAsia="仿宋_GB2312" w:cs="仿宋_GB2312"/>
          <w:sz w:val="44"/>
          <w:szCs w:val="44"/>
        </w:rPr>
      </w:pPr>
    </w:p>
    <w:p>
      <w:pPr>
        <w:pStyle w:val="2"/>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lang w:eastAsia="zh-CN"/>
        </w:rPr>
        <w:t>年北京市城乡基本医疗保险</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补助资金绩效</w:t>
      </w:r>
      <w:r>
        <w:rPr>
          <w:rFonts w:hint="eastAsia" w:ascii="方正小标宋简体" w:hAnsi="方正小标宋简体" w:eastAsia="方正小标宋简体" w:cs="方正小标宋简体"/>
          <w:sz w:val="44"/>
          <w:szCs w:val="44"/>
          <w:lang w:val="en-US" w:eastAsia="zh-CN"/>
        </w:rPr>
        <w:t>自评</w:t>
      </w:r>
      <w:r>
        <w:rPr>
          <w:rFonts w:hint="eastAsia" w:ascii="方正小标宋简体" w:hAnsi="方正小标宋简体" w:eastAsia="方正小标宋简体" w:cs="方正小标宋简体"/>
          <w:sz w:val="44"/>
          <w:szCs w:val="44"/>
          <w:lang w:eastAsia="zh-CN"/>
        </w:rPr>
        <w:t>报告</w:t>
      </w:r>
    </w:p>
    <w:p>
      <w:pPr>
        <w:pStyle w:val="4"/>
        <w:rPr>
          <w:rFonts w:hint="eastAsia" w:eastAsia="方正小标宋简体"/>
          <w:lang w:val="en-US" w:eastAsia="zh-CN"/>
        </w:rPr>
      </w:pPr>
      <w:r>
        <w:rPr>
          <w:rFonts w:hint="eastAsia" w:ascii="方正小标宋简体" w:hAnsi="方正小标宋简体" w:eastAsia="方正小标宋简体" w:cs="方正小标宋简体"/>
          <w:color w:val="252525" w:themeColor="text1" w:themeTint="D9"/>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自北京市医疗保障局成立以来，在国家医保局、市政府的带领下，本着精简高效的原则，从实际出发，突出守正创新，狠抓精细化管理，主动作为，通过积极响应新发展格局对医保“减时限、减材料、减跑动”的要求，持续提升人民群众的获得感、幸福感、安全感，为城乡居民基本医疗保险参保工作的顺利推进，打下了坚实的基础。</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 w:val="30"/>
          <w:szCs w:val="32"/>
        </w:rPr>
      </w:pPr>
      <w:r>
        <w:rPr>
          <w:rFonts w:hint="eastAsia" w:ascii="黑体" w:hAnsi="黑体" w:eastAsia="黑体" w:cs="黑体"/>
          <w:bCs/>
          <w:sz w:val="30"/>
          <w:szCs w:val="32"/>
          <w:lang w:eastAsia="zh-CN"/>
        </w:rPr>
        <w:t>一、</w:t>
      </w:r>
      <w:r>
        <w:rPr>
          <w:rFonts w:hint="eastAsia" w:ascii="黑体" w:hAnsi="黑体" w:eastAsia="黑体" w:cs="黑体"/>
          <w:bCs/>
          <w:sz w:val="30"/>
          <w:szCs w:val="32"/>
        </w:rPr>
        <w:t>绩效目标分解下达情况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2024年中央下达北京市城乡居民医保补助资金27370万元。通过《财政部　国家医保局关于提前下达2024年城乡居民基本医疗保险补助资金预算的通知》（财社〔2023〕138号）下达25926万元、通过《财政部　国家医保局关于下达2024年中央财政城乡居民基本医疗保险补助资金预算的通知》（财社〔2024〕101号）下达1444万元。上述资金根据《北京市财政局关于批复社会保障基金财政专户2024年预算的函》（京财社指〔2024〕0601号）、和《北京市财政局关于下达社会保障基金财政专户城乡居民基本医疗保险中央补助资金预算的函》（京财社指〔2024〕1634号），纳入社会保障基金财政专户2024年一般公共预算项目。</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北京市城乡居民医保预算资金在市级统筹使用。</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 w:val="30"/>
          <w:szCs w:val="32"/>
          <w:highlight w:val="none"/>
        </w:rPr>
      </w:pPr>
      <w:r>
        <w:rPr>
          <w:rFonts w:hint="eastAsia" w:ascii="黑体" w:hAnsi="黑体" w:eastAsia="黑体" w:cs="黑体"/>
          <w:bCs/>
          <w:sz w:val="30"/>
          <w:szCs w:val="32"/>
          <w:highlight w:val="none"/>
        </w:rPr>
        <w:t>二、</w:t>
      </w:r>
      <w:r>
        <w:rPr>
          <w:rFonts w:hint="eastAsia" w:ascii="黑体" w:hAnsi="黑体" w:eastAsia="黑体" w:cs="黑体"/>
          <w:bCs/>
          <w:sz w:val="30"/>
          <w:szCs w:val="32"/>
          <w:highlight w:val="none"/>
          <w:lang w:eastAsia="zh-CN"/>
        </w:rPr>
        <w:t>绩效</w:t>
      </w:r>
      <w:r>
        <w:rPr>
          <w:rFonts w:hint="eastAsia" w:ascii="黑体" w:hAnsi="黑体" w:eastAsia="黑体" w:cs="黑体"/>
          <w:bCs/>
          <w:sz w:val="30"/>
          <w:szCs w:val="32"/>
          <w:highlight w:val="none"/>
        </w:rPr>
        <w:t>情况分析</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仿宋_GB2312" w:hAnsi="仿宋_GB2312" w:eastAsia="仿宋_GB2312" w:cs="仿宋_GB2312"/>
          <w:b w:val="0"/>
          <w:bCs w:val="0"/>
          <w:szCs w:val="32"/>
          <w:highlight w:val="none"/>
          <w:lang w:eastAsia="zh-CN"/>
        </w:rPr>
      </w:pPr>
      <w:r>
        <w:rPr>
          <w:rFonts w:hint="eastAsia" w:ascii="楷体_GB2312" w:hAnsi="楷体_GB2312" w:eastAsia="楷体_GB2312" w:cs="楷体_GB2312"/>
          <w:b/>
          <w:bCs/>
          <w:sz w:val="30"/>
          <w:szCs w:val="32"/>
          <w:highlight w:val="none"/>
        </w:rPr>
        <w:t>（一）资金投入情况分析</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2024年，北京市共安排居民医保财政补助1018202.2562万元，其中中央财政补助资金27370万元,地方财政补助资金990832.2562万元。</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城乡居民医保地方财政安排预算资金990832.2562万元。其中市级财政补助资金388700万元；区级财政补助资金602132.2562万元。按照《北京市财政局关于批复社会保障基金财政专户2024年预算的函》（京财社指〔2024〕0601号），下达市级财政补助资金387300万元；按照《北京市财政局关于下达社会保障基金财政专户市级财政补助资金预算的函》（京财社指〔2024〕2043号），下达市级财政补助资金1400万元。按照《北京市财政局关于缴纳2024年城乡居民基本医疗保险财政补助资金的通知》（京财社〔2024〕657号），各区上缴城乡居民基本医疗保险补助资金602132.2562万元，其中区级人均补助资金592612.6047万元，区级个人免缴补助金额9519.6515万元。上述资金全部纳入市社会保障基金财政专户（城乡居民医保子户）。</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202</w:t>
      </w:r>
      <w:r>
        <w:rPr>
          <w:rFonts w:hint="eastAsia" w:ascii="仿宋_GB2312" w:hAnsi="仿宋_GB2312" w:eastAsia="仿宋_GB2312" w:cs="仿宋_GB2312"/>
          <w:kern w:val="2"/>
          <w:sz w:val="32"/>
          <w:szCs w:val="32"/>
          <w:lang w:val="en-US" w:eastAsia="zh-CN" w:bidi="ar-SA"/>
        </w:rPr>
        <w:t>4</w:t>
      </w:r>
      <w:r>
        <w:rPr>
          <w:rFonts w:hint="default" w:ascii="仿宋_GB2312" w:hAnsi="仿宋_GB2312" w:eastAsia="仿宋_GB2312" w:cs="仿宋_GB2312"/>
          <w:kern w:val="2"/>
          <w:sz w:val="32"/>
          <w:szCs w:val="32"/>
          <w:lang w:val="en-US" w:eastAsia="zh-CN" w:bidi="ar-SA"/>
        </w:rPr>
        <w:t>年城乡居民医保基金</w:t>
      </w:r>
      <w:r>
        <w:rPr>
          <w:rFonts w:hint="eastAsia" w:ascii="仿宋_GB2312" w:hAnsi="仿宋_GB2312" w:eastAsia="仿宋_GB2312" w:cs="仿宋_GB2312"/>
          <w:kern w:val="2"/>
          <w:sz w:val="32"/>
          <w:szCs w:val="32"/>
          <w:lang w:val="en-US" w:eastAsia="zh-CN" w:bidi="ar-SA"/>
        </w:rPr>
        <w:t>支出1248250.55</w:t>
      </w:r>
      <w:r>
        <w:rPr>
          <w:rFonts w:hint="default" w:ascii="仿宋_GB2312" w:hAnsi="仿宋_GB2312" w:eastAsia="仿宋_GB2312" w:cs="仿宋_GB2312"/>
          <w:kern w:val="2"/>
          <w:sz w:val="32"/>
          <w:szCs w:val="32"/>
          <w:lang w:val="en-US" w:eastAsia="zh-CN" w:bidi="ar-SA"/>
        </w:rPr>
        <w:t>万元，其中</w:t>
      </w:r>
      <w:r>
        <w:rPr>
          <w:rFonts w:hint="eastAsia" w:ascii="仿宋_GB2312" w:hAnsi="仿宋_GB2312" w:eastAsia="仿宋_GB2312" w:cs="仿宋_GB2312"/>
          <w:kern w:val="2"/>
          <w:sz w:val="32"/>
          <w:szCs w:val="32"/>
          <w:lang w:val="en-US" w:eastAsia="zh-CN" w:bidi="ar-SA"/>
        </w:rPr>
        <w:t>待遇支出1201695.23</w:t>
      </w:r>
      <w:r>
        <w:rPr>
          <w:rFonts w:hint="default" w:ascii="仿宋_GB2312" w:hAnsi="仿宋_GB2312" w:eastAsia="仿宋_GB2312" w:cs="仿宋_GB2312"/>
          <w:kern w:val="2"/>
          <w:sz w:val="32"/>
          <w:szCs w:val="32"/>
          <w:lang w:val="en-US" w:eastAsia="zh-CN" w:bidi="ar-SA"/>
        </w:rPr>
        <w:t>万元，大病保险</w:t>
      </w:r>
      <w:r>
        <w:rPr>
          <w:rFonts w:hint="eastAsia" w:ascii="仿宋_GB2312" w:hAnsi="仿宋_GB2312" w:eastAsia="仿宋_GB2312" w:cs="仿宋_GB2312"/>
          <w:kern w:val="2"/>
          <w:sz w:val="32"/>
          <w:szCs w:val="32"/>
          <w:lang w:val="en-US" w:eastAsia="zh-CN" w:bidi="ar-SA"/>
        </w:rPr>
        <w:t>支出46532.13</w:t>
      </w:r>
      <w:r>
        <w:rPr>
          <w:rFonts w:hint="default" w:ascii="仿宋_GB2312" w:hAnsi="仿宋_GB2312" w:eastAsia="仿宋_GB2312" w:cs="仿宋_GB2312"/>
          <w:kern w:val="2"/>
          <w:sz w:val="32"/>
          <w:szCs w:val="32"/>
          <w:lang w:val="en-US" w:eastAsia="zh-CN" w:bidi="ar-SA"/>
        </w:rPr>
        <w:t>万元，退历年社会保险费</w:t>
      </w:r>
      <w:r>
        <w:rPr>
          <w:rFonts w:hint="eastAsia" w:ascii="仿宋_GB2312" w:hAnsi="仿宋_GB2312" w:eastAsia="仿宋_GB2312" w:cs="仿宋_GB2312"/>
          <w:kern w:val="2"/>
          <w:sz w:val="32"/>
          <w:szCs w:val="32"/>
          <w:lang w:val="en-US" w:eastAsia="zh-CN" w:bidi="ar-SA"/>
        </w:rPr>
        <w:t>23.19</w:t>
      </w:r>
      <w:r>
        <w:rPr>
          <w:rFonts w:hint="default" w:ascii="仿宋_GB2312" w:hAnsi="仿宋_GB2312" w:eastAsia="仿宋_GB2312" w:cs="仿宋_GB2312"/>
          <w:kern w:val="2"/>
          <w:sz w:val="32"/>
          <w:szCs w:val="32"/>
          <w:lang w:val="en-US" w:eastAsia="zh-CN" w:bidi="ar-SA"/>
        </w:rPr>
        <w:t>万元。</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楷体_GB2312" w:hAnsi="楷体_GB2312" w:eastAsia="楷体_GB2312" w:cs="楷体_GB2312"/>
          <w:b/>
          <w:bCs/>
          <w:sz w:val="30"/>
          <w:szCs w:val="32"/>
          <w:highlight w:val="none"/>
          <w:lang w:eastAsia="zh-CN"/>
        </w:rPr>
      </w:pPr>
      <w:r>
        <w:rPr>
          <w:rFonts w:hint="eastAsia" w:ascii="楷体_GB2312" w:hAnsi="楷体_GB2312" w:eastAsia="楷体_GB2312" w:cs="楷体_GB2312"/>
          <w:b/>
          <w:bCs/>
          <w:sz w:val="30"/>
          <w:szCs w:val="32"/>
          <w:highlight w:val="none"/>
          <w:lang w:eastAsia="zh-CN"/>
        </w:rPr>
        <w:t>（二）资金管理情况分析</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市城乡居民医保基金执行国家统一的基金财务制度、会计制度和预决算管理制度，按照市级统一政策、统一经办流程，实行市级统筹。城乡居民医保基金纳入市级社会保障基金财政专户，专款专用，严格实行“收支两条线”管理。</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我市按照国家全面实施预算绩效管理文件要求，不断提高医保基金使用效率，从各环节加强基金预算绩效管理。在预算编制环节加强评审，在预算执行环节加强监控，决算环节开展绩效自评，形成评价报告。</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市医保信息平台提供从征缴、支付到财务的全流程线上信息流转和业务操作系统，有效保证业务财务数据的一致性和杜绝一切人为误操作因素。收入方面，城乡居民医疗保险费收入由税务部门征收,资金直接进入国库后上划财政基金专户。资金到账数据反馈至医保系统自动匹配业务信息形成收缴数据，财务根据业务推送的收缴数据核对财政专户银行收款情况一致后编制凭证并记账。支出方面，待遇支付由支付部门生成支付数据推送财务，财务根据支付数据进行拨款并编制凭证、记账。财务所有收支业务均依据医保系统数据进行自动制证，避免手工记账等离库操作可能出现的人为篡改行为，有效降低基金风险，维护基金安全。支出责任履行情况良好。</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楷体_GB2312" w:hAnsi="楷体_GB2312" w:eastAsia="楷体_GB2312" w:cs="楷体_GB2312"/>
          <w:b/>
          <w:bCs/>
          <w:sz w:val="30"/>
          <w:szCs w:val="32"/>
          <w:highlight w:val="none"/>
          <w:lang w:eastAsia="zh-CN"/>
        </w:rPr>
      </w:pPr>
      <w:r>
        <w:rPr>
          <w:rFonts w:hint="eastAsia" w:ascii="楷体_GB2312" w:hAnsi="楷体_GB2312" w:eastAsia="楷体_GB2312" w:cs="楷体_GB2312"/>
          <w:b/>
          <w:bCs/>
          <w:sz w:val="30"/>
          <w:szCs w:val="32"/>
          <w:highlight w:val="none"/>
          <w:lang w:eastAsia="zh-CN"/>
        </w:rPr>
        <w:t>（三）总体绩效目标完成情况分析</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北京市城乡居民医保参保人数402.1万人，与去年相比参保规模维持稳定；筹资标准：城乡老年人每人4720元/年，其中财政补助每人4320元/年，个人缴费每人400元/年；学生儿童每人2070元/年，其中财政补助每人1695元/年，个人缴费每人375元/年；劳动年龄内居民每人3020元/年，其中财政补助每人2315元/年，个人缴费每人705元/年；</w:t>
      </w:r>
      <w:r>
        <w:rPr>
          <w:rFonts w:hint="eastAsia" w:ascii="仿宋_GB2312" w:hAnsi="仿宋_GB2312" w:eastAsia="仿宋_GB2312" w:cs="仿宋_GB2312"/>
          <w:b w:val="0"/>
          <w:bCs w:val="0"/>
          <w:color w:val="auto"/>
          <w:sz w:val="32"/>
          <w:szCs w:val="32"/>
          <w:highlight w:val="none"/>
          <w:lang w:val="en-US" w:eastAsia="zh-CN"/>
        </w:rPr>
        <w:t xml:space="preserve"> 2024年城乡居民医保基金收入119.6亿元，基金支出124.8亿元，当年结余-5.2亿元，年末滚存结余74.8亿元，可支付月数7个月，处于国家规定的基金安全范围（6-9个月）。完成年度总体目标。</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楷体_GB2312" w:hAnsi="楷体_GB2312" w:eastAsia="楷体_GB2312" w:cs="楷体_GB2312"/>
          <w:b/>
          <w:bCs/>
          <w:sz w:val="30"/>
          <w:szCs w:val="32"/>
          <w:highlight w:val="none"/>
          <w:lang w:val="en-US" w:eastAsia="zh-CN"/>
        </w:rPr>
      </w:pPr>
      <w:r>
        <w:rPr>
          <w:rFonts w:hint="eastAsia" w:ascii="楷体_GB2312" w:hAnsi="楷体_GB2312" w:eastAsia="楷体_GB2312" w:cs="楷体_GB2312"/>
          <w:b/>
          <w:bCs/>
          <w:sz w:val="30"/>
          <w:szCs w:val="32"/>
          <w:highlight w:val="none"/>
          <w:lang w:eastAsia="zh-CN"/>
        </w:rPr>
        <w:t>（四）绩效指标完成情况分析</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val="0"/>
          <w:color w:val="252525" w:themeColor="text1" w:themeTint="D9"/>
          <w:sz w:val="32"/>
          <w:szCs w:val="32"/>
        </w:rPr>
      </w:pPr>
      <w:r>
        <w:rPr>
          <w:rFonts w:hint="eastAsia" w:ascii="仿宋_GB2312" w:hAnsi="仿宋_GB2312" w:eastAsia="仿宋_GB2312" w:cs="仿宋_GB2312"/>
          <w:kern w:val="2"/>
          <w:sz w:val="32"/>
          <w:szCs w:val="32"/>
          <w:lang w:val="en-US" w:eastAsia="zh-CN" w:bidi="ar-SA"/>
        </w:rPr>
        <w:t>参保人数：2024年北京市参保人数目标为1940万人。截至2024年12月底，年度任务完成情况为2089万人，其中：基本医疗保险参保人数为1933.5万人，其他医疗保障人员人数为155.5万人。全年任务完成率已超100%，完成指标。</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 w:val="0"/>
          <w:bCs w:val="0"/>
          <w:color w:val="252525" w:themeColor="text1" w:themeTint="D9"/>
          <w:sz w:val="32"/>
          <w:szCs w:val="32"/>
          <w:lang w:val="en-US" w:eastAsia="zh-CN"/>
        </w:rPr>
      </w:pPr>
      <w:r>
        <w:rPr>
          <w:rFonts w:hint="eastAsia" w:ascii="仿宋_GB2312" w:hAnsi="仿宋_GB2312" w:eastAsia="仿宋_GB2312" w:cs="仿宋_GB2312"/>
          <w:kern w:val="2"/>
          <w:sz w:val="32"/>
          <w:szCs w:val="32"/>
          <w:lang w:val="en-US" w:eastAsia="zh-CN" w:bidi="ar-SA"/>
        </w:rPr>
        <w:t>重复参保人数：</w:t>
      </w:r>
      <w:r>
        <w:rPr>
          <w:rFonts w:hint="eastAsia" w:ascii="仿宋_GB2312" w:hAnsi="仿宋_GB2312" w:eastAsia="仿宋_GB2312" w:cs="仿宋_GB2312"/>
          <w:color w:val="252525" w:themeColor="text1" w:themeTint="D9"/>
          <w:sz w:val="32"/>
          <w:szCs w:val="32"/>
        </w:rPr>
        <w:t>无重复参保数据。</w:t>
      </w:r>
      <w:r>
        <w:rPr>
          <w:rFonts w:hint="eastAsia" w:ascii="仿宋_GB2312" w:hAnsi="仿宋_GB2312" w:eastAsia="仿宋_GB2312" w:cs="仿宋_GB2312"/>
          <w:b w:val="0"/>
          <w:bCs w:val="0"/>
          <w:color w:val="252525" w:themeColor="text1" w:themeTint="D9"/>
          <w:sz w:val="32"/>
          <w:szCs w:val="32"/>
          <w:lang w:eastAsia="zh-CN"/>
        </w:rPr>
        <w:t>我市为市级统筹，各参保险种之间建立了互斥的判断校验机制。业务申报时，</w:t>
      </w:r>
      <w:r>
        <w:rPr>
          <w:rFonts w:hint="eastAsia" w:ascii="仿宋_GB2312" w:hAnsi="仿宋_GB2312" w:eastAsia="仿宋_GB2312" w:cs="仿宋_GB2312"/>
          <w:color w:val="252525" w:themeColor="text1" w:themeTint="D9"/>
          <w:sz w:val="32"/>
          <w:szCs w:val="32"/>
        </w:rPr>
        <w:t>同一人不能同时在多个险种</w:t>
      </w:r>
      <w:r>
        <w:rPr>
          <w:rFonts w:hint="eastAsia" w:ascii="仿宋_GB2312" w:hAnsi="仿宋_GB2312" w:eastAsia="仿宋_GB2312" w:cs="仿宋_GB2312"/>
          <w:color w:val="252525" w:themeColor="text1" w:themeTint="D9"/>
          <w:sz w:val="32"/>
          <w:szCs w:val="32"/>
          <w:lang w:eastAsia="zh-CN"/>
        </w:rPr>
        <w:t>同时</w:t>
      </w:r>
      <w:r>
        <w:rPr>
          <w:rFonts w:hint="eastAsia" w:ascii="仿宋_GB2312" w:hAnsi="仿宋_GB2312" w:eastAsia="仿宋_GB2312" w:cs="仿宋_GB2312"/>
          <w:color w:val="252525" w:themeColor="text1" w:themeTint="D9"/>
          <w:sz w:val="32"/>
          <w:szCs w:val="32"/>
        </w:rPr>
        <w:t>参保</w:t>
      </w:r>
      <w:r>
        <w:rPr>
          <w:rFonts w:hint="eastAsia" w:ascii="仿宋_GB2312" w:hAnsi="仿宋_GB2312" w:eastAsia="仿宋_GB2312" w:cs="仿宋_GB2312"/>
          <w:color w:val="252525" w:themeColor="text1" w:themeTint="D9"/>
          <w:sz w:val="32"/>
          <w:szCs w:val="32"/>
          <w:lang w:eastAsia="zh-CN"/>
        </w:rPr>
        <w:t>，完成指标</w:t>
      </w:r>
      <w:r>
        <w:rPr>
          <w:rFonts w:hint="eastAsia" w:ascii="仿宋_GB2312" w:hAnsi="仿宋_GB2312" w:eastAsia="仿宋_GB2312" w:cs="仿宋_GB2312"/>
          <w:color w:val="252525" w:themeColor="text1" w:themeTint="D9"/>
          <w:sz w:val="32"/>
          <w:szCs w:val="32"/>
        </w:rPr>
        <w:t>。</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 w:val="0"/>
          <w:bCs w:val="0"/>
          <w:color w:val="252525" w:themeColor="text1" w:themeTint="D9"/>
          <w:sz w:val="32"/>
          <w:szCs w:val="32"/>
          <w:lang w:val="en-US" w:eastAsia="zh-CN"/>
        </w:rPr>
      </w:pPr>
      <w:r>
        <w:rPr>
          <w:rFonts w:hint="eastAsia" w:ascii="仿宋_GB2312" w:hAnsi="仿宋_GB2312" w:eastAsia="仿宋_GB2312" w:cs="仿宋_GB2312"/>
          <w:b w:val="0"/>
          <w:bCs w:val="0"/>
          <w:color w:val="252525" w:themeColor="text1" w:themeTint="D9"/>
          <w:sz w:val="32"/>
          <w:szCs w:val="32"/>
          <w:lang w:val="en-US" w:eastAsia="zh-CN"/>
        </w:rPr>
        <w:t>申请结算补助资金时多报、虚报参保人数（人）</w:t>
      </w:r>
      <w:r>
        <w:rPr>
          <w:rFonts w:hint="eastAsia" w:ascii="仿宋_GB2312" w:hAnsi="仿宋_GB2312" w:eastAsia="仿宋_GB2312" w:cs="仿宋_GB2312"/>
          <w:b w:val="0"/>
          <w:bCs w:val="0"/>
          <w:color w:val="252525" w:themeColor="text1" w:themeTint="D9"/>
          <w:sz w:val="32"/>
          <w:szCs w:val="32"/>
        </w:rPr>
        <w:t>：</w:t>
      </w:r>
      <w:r>
        <w:rPr>
          <w:rFonts w:hint="eastAsia" w:ascii="仿宋_GB2312" w:hAnsi="仿宋_GB2312" w:eastAsia="仿宋_GB2312" w:cs="仿宋_GB2312"/>
          <w:color w:val="252525" w:themeColor="text1" w:themeTint="D9"/>
          <w:sz w:val="32"/>
          <w:szCs w:val="32"/>
        </w:rPr>
        <w:t>无虚报参保人数</w:t>
      </w:r>
      <w:r>
        <w:rPr>
          <w:rFonts w:hint="eastAsia" w:ascii="仿宋_GB2312" w:hAnsi="仿宋_GB2312" w:eastAsia="仿宋_GB2312" w:cs="仿宋_GB2312"/>
          <w:color w:val="252525" w:themeColor="text1" w:themeTint="D9"/>
          <w:sz w:val="32"/>
          <w:szCs w:val="32"/>
          <w:lang w:eastAsia="zh-CN"/>
        </w:rPr>
        <w:t>，完成指标。</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val="0"/>
          <w:color w:val="252525" w:themeColor="text1" w:themeTint="D9"/>
          <w:sz w:val="32"/>
          <w:szCs w:val="32"/>
        </w:rPr>
      </w:pPr>
      <w:r>
        <w:rPr>
          <w:rFonts w:hint="eastAsia" w:ascii="仿宋_GB2312" w:hAnsi="仿宋_GB2312" w:eastAsia="仿宋_GB2312" w:cs="仿宋_GB2312"/>
          <w:color w:val="252525" w:themeColor="text1" w:themeTint="D9"/>
          <w:sz w:val="32"/>
          <w:szCs w:val="32"/>
          <w:lang w:eastAsia="zh-CN"/>
        </w:rPr>
        <w:t>参</w:t>
      </w:r>
      <w:r>
        <w:rPr>
          <w:rFonts w:hint="eastAsia" w:ascii="仿宋_GB2312" w:hAnsi="仿宋_GB2312" w:eastAsia="仿宋_GB2312" w:cs="仿宋_GB2312"/>
          <w:b w:val="0"/>
          <w:bCs w:val="0"/>
          <w:color w:val="252525" w:themeColor="text1" w:themeTint="D9"/>
          <w:sz w:val="32"/>
          <w:szCs w:val="32"/>
          <w:lang w:val="en-US" w:eastAsia="zh-CN"/>
        </w:rPr>
        <w:t>保人政策范围内住院费用报销比例</w:t>
      </w:r>
      <w:r>
        <w:rPr>
          <w:rFonts w:hint="eastAsia" w:ascii="仿宋_GB2312" w:hAnsi="仿宋_GB2312" w:eastAsia="仿宋_GB2312" w:cs="仿宋_GB2312"/>
          <w:b w:val="0"/>
          <w:bCs w:val="0"/>
          <w:color w:val="252525" w:themeColor="text1" w:themeTint="D9"/>
          <w:sz w:val="32"/>
          <w:szCs w:val="32"/>
        </w:rPr>
        <w:t>：74.6%</w:t>
      </w:r>
      <w:r>
        <w:rPr>
          <w:rFonts w:hint="eastAsia" w:ascii="仿宋_GB2312" w:hAnsi="仿宋_GB2312" w:eastAsia="仿宋_GB2312" w:cs="仿宋_GB2312"/>
          <w:b w:val="0"/>
          <w:bCs w:val="0"/>
          <w:color w:val="252525" w:themeColor="text1" w:themeTint="D9"/>
          <w:sz w:val="32"/>
          <w:szCs w:val="32"/>
          <w:lang w:eastAsia="zh-CN"/>
        </w:rPr>
        <w:t>，</w:t>
      </w:r>
      <w:r>
        <w:rPr>
          <w:rFonts w:hint="eastAsia" w:ascii="仿宋_GB2312" w:hAnsi="仿宋_GB2312" w:eastAsia="仿宋_GB2312" w:cs="仿宋_GB2312"/>
          <w:b w:val="0"/>
          <w:bCs w:val="0"/>
          <w:color w:val="252525" w:themeColor="text1" w:themeTint="D9"/>
          <w:sz w:val="32"/>
          <w:szCs w:val="32"/>
          <w:lang w:val="en-US" w:eastAsia="zh-CN"/>
        </w:rPr>
        <w:t>完成指标。</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实行按病种（组）、按人头付费等支付方式改革：2024年，我市66家定点医疗机构在城镇职工基本医疗保险范围内实行647个病组实际付费。全市有住院服务的定点医疗机构在城镇职工和城乡居民基本医疗保险范围内执行33个耗材集采相关病组实际付费。统筹区覆盖率为100%、医疗机构覆盖率为100%、病种覆盖率为93%、医保基金覆盖比例74.5%，完成指标。</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基金滚存结余可支配月数（月）：2024年，我市居民医疗保险基金运行平稳，符合当年预算收支安排。基金收入119.6亿元，预算执行率102.1%，基金支出124.8亿元，预算执行率96.5%。2024年我市在编制居民医疗保险基金预算时，考虑到疫情后基金支出增长情况，及居民医保滚存结余情况，为提高基金使用效率，形成了当年的赤字预算，赤字部分用滚存结余基金弥补。在运行过程中，我市已采取有效控费措施，控制不合理医疗费用增长，年末滚存结余74.8亿元，可支付月数7个月，处于国家规定的基金安全范围（6-9个月），</w:t>
      </w:r>
      <w:r>
        <w:rPr>
          <w:rFonts w:hint="eastAsia" w:ascii="仿宋_GB2312" w:hAnsi="仿宋_GB2312" w:eastAsia="仿宋_GB2312" w:cs="仿宋_GB2312"/>
          <w:kern w:val="2"/>
          <w:sz w:val="32"/>
          <w:szCs w:val="32"/>
          <w:lang w:val="en-US" w:eastAsia="zh-CN" w:bidi="ar-SA"/>
        </w:rPr>
        <w:t>完成指标</w:t>
      </w:r>
      <w:r>
        <w:rPr>
          <w:rFonts w:hint="eastAsia" w:ascii="仿宋_GB2312" w:hAnsi="仿宋_GB2312" w:eastAsia="仿宋_GB2312" w:cs="仿宋_GB2312"/>
          <w:color w:val="auto"/>
          <w:kern w:val="2"/>
          <w:sz w:val="32"/>
          <w:szCs w:val="32"/>
          <w:lang w:val="en-US" w:eastAsia="zh-CN" w:bidi="ar-SA"/>
        </w:rPr>
        <w:t>。</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开展门诊统筹：北京市城乡居民医保制度建立以来，一直是门诊统筹政策，完成指标。</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参保群众政策知晓率：“北京医保”公众号、抖音号发布内容16篇，总阅读104.1万人次；同时，利用各区医保中心医保大厅，依托街道市民服务中心，发挥基层集中宣传的前沿作用，展示发放海报、折页；延伸青年志愿服务，为办事群众详细解读医保待遇等政策，获得群众一致肯定好评。同时，针对参保人员、医保工作人员、社会监督员等相关群体通过问卷调查、深度访谈等方式开展医保政策知晓率调查，受访者对医保政策已普遍知晓。</w:t>
      </w:r>
    </w:p>
    <w:p>
      <w:pPr>
        <w:pStyle w:val="4"/>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参保对象满意度：为全面了解不同服务对象对经办服务、待遇保障、基金监管、药品集采、医药目录、项目价格、2024年医保改革政策等医保工作满意度，针对参保人员、各区医保经办工作人员、定点医疗机构相关人员、定点零售药店相关工作人员、服务对象等利益相关群体通过问卷调查、深度访谈等方式开展医保工作满意度调查，在本次调查中，医保工作整体满意度较好，总体满意度达91.3%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color w:val="252525" w:themeColor="text1" w:themeTint="D9"/>
          <w:sz w:val="32"/>
          <w:szCs w:val="32"/>
          <w:lang w:eastAsia="zh-CN"/>
        </w:rPr>
        <w:t>好差评制度</w:t>
      </w:r>
      <w:r>
        <w:rPr>
          <w:rFonts w:hint="eastAsia" w:ascii="仿宋_GB2312" w:hAnsi="仿宋_GB2312" w:eastAsia="仿宋_GB2312" w:cs="仿宋_GB2312"/>
          <w:b w:val="0"/>
          <w:color w:val="252525" w:themeColor="text1" w:themeTint="D9"/>
          <w:sz w:val="32"/>
          <w:szCs w:val="32"/>
        </w:rPr>
        <w:t>：</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按照国家医保局统一部署，我市建立医保公共服务“好差评”制度体系,制定出台《医疗保障公共服务评价指标体系》。同步推进《医疗保障公共服务“好差评”制度实施细则》制定实施。落实公共服务“好差评”制度体系，实现“好差评”公共服务事项全覆盖</w:t>
      </w:r>
      <w:r>
        <w:rPr>
          <w:rFonts w:hint="eastAsia" w:ascii="仿宋_GB2312" w:hAnsi="仿宋_GB2312" w:eastAsia="仿宋_GB2312" w:cs="仿宋_GB2312"/>
          <w:kern w:val="2"/>
          <w:sz w:val="32"/>
          <w:szCs w:val="32"/>
          <w:lang w:val="en-US" w:eastAsia="zh-CN" w:bidi="ar-SA"/>
        </w:rPr>
        <w:t>、评价对象全覆盖。通过调查问卷采集的企业、群众对政务服务全过程的综合满意度感受，我市整体满意度为96.85%。</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 w:val="30"/>
          <w:szCs w:val="32"/>
        </w:rPr>
      </w:pPr>
      <w:r>
        <w:rPr>
          <w:rFonts w:hint="eastAsia" w:ascii="黑体" w:hAnsi="黑体" w:eastAsia="黑体" w:cs="黑体"/>
          <w:bCs/>
          <w:sz w:val="30"/>
          <w:szCs w:val="32"/>
        </w:rPr>
        <w:t>三、偏离绩效目标的原因和下一步改进措施</w:t>
      </w:r>
    </w:p>
    <w:p>
      <w:pPr>
        <w:pStyle w:val="12"/>
        <w:numPr>
          <w:ilvl w:val="0"/>
          <w:numId w:val="0"/>
        </w:numPr>
        <w:snapToGrid w:val="0"/>
        <w:spacing w:line="560" w:lineRule="exact"/>
        <w:ind w:firstLine="640" w:firstLineChars="200"/>
        <w:jc w:val="left"/>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bCs/>
          <w:sz w:val="30"/>
          <w:szCs w:val="32"/>
        </w:rPr>
      </w:pPr>
      <w:r>
        <w:rPr>
          <w:rFonts w:hint="eastAsia" w:ascii="黑体" w:hAnsi="黑体" w:eastAsia="黑体" w:cs="黑体"/>
          <w:bCs/>
          <w:sz w:val="30"/>
          <w:szCs w:val="32"/>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按照财政要求做好相关工作。</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五、其他需要说明的问题</w:t>
      </w:r>
    </w:p>
    <w:p>
      <w:pPr>
        <w:pStyle w:val="12"/>
        <w:numPr>
          <w:ilvl w:val="0"/>
          <w:numId w:val="0"/>
        </w:numPr>
        <w:snapToGrid w:val="0"/>
        <w:spacing w:line="560" w:lineRule="exact"/>
        <w:ind w:firstLine="640" w:firstLineChars="200"/>
        <w:jc w:val="left"/>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Times New Roman" w:hAnsi="Times New Roman" w:eastAsia="黑体" w:cs="Times New Roman"/>
          <w:sz w:val="32"/>
          <w:szCs w:val="32"/>
          <w:lang w:val="en" w:eastAsia="zh-CN"/>
        </w:rPr>
      </w:pPr>
      <w:r>
        <w:rPr>
          <w:rFonts w:hint="eastAsia" w:ascii="Times New Roman" w:hAnsi="Times New Roman" w:eastAsia="黑体" w:cs="Times New Roman"/>
          <w:sz w:val="32"/>
          <w:szCs w:val="32"/>
          <w:lang w:val="en" w:eastAsia="zh-CN"/>
        </w:rPr>
        <w:t>六、附件</w:t>
      </w:r>
    </w:p>
    <w:p>
      <w:pPr>
        <w:pStyle w:val="12"/>
        <w:numPr>
          <w:ilvl w:val="0"/>
          <w:numId w:val="0"/>
        </w:numPr>
        <w:ind w:firstLine="640" w:firstLineChars="200"/>
        <w:rPr>
          <w:rFonts w:hint="eastAsia" w:ascii="仿宋_GB2312" w:hAnsi="仿宋_GB2312" w:eastAsia="仿宋_GB2312" w:cs="仿宋_GB2312"/>
          <w:color w:val="252525" w:themeColor="text1" w:themeTint="D9"/>
          <w:sz w:val="32"/>
          <w:szCs w:val="32"/>
        </w:rPr>
      </w:pPr>
      <w:r>
        <w:rPr>
          <w:rFonts w:hint="eastAsia" w:ascii="仿宋_GB2312" w:hAnsi="仿宋_GB2312" w:eastAsia="仿宋_GB2312" w:cs="仿宋_GB2312"/>
          <w:color w:val="252525" w:themeColor="text1" w:themeTint="D9"/>
          <w:sz w:val="32"/>
          <w:szCs w:val="32"/>
          <w:lang w:val="en-US" w:eastAsia="zh-CN"/>
        </w:rPr>
        <w:t>城乡居民基本医疗保险补助资金绩效自评表</w:t>
      </w:r>
    </w:p>
    <w:p>
      <w:pPr>
        <w:pStyle w:val="12"/>
        <w:numPr>
          <w:ilvl w:val="0"/>
          <w:numId w:val="0"/>
        </w:numPr>
        <w:ind w:firstLine="640" w:firstLineChars="200"/>
        <w:rPr>
          <w:rFonts w:hint="eastAsia" w:ascii="仿宋_GB2312" w:hAnsi="仿宋_GB2312" w:eastAsia="仿宋_GB2312" w:cs="仿宋_GB2312"/>
          <w:color w:val="252525" w:themeColor="text1" w:themeTint="D9"/>
          <w:sz w:val="32"/>
          <w:szCs w:val="32"/>
          <w:lang w:val="en-US" w:eastAsia="zh-CN"/>
        </w:rPr>
      </w:pPr>
      <w:r>
        <w:rPr>
          <w:rFonts w:hint="eastAsia" w:ascii="仿宋_GB2312" w:hAnsi="仿宋_GB2312" w:eastAsia="仿宋_GB2312" w:cs="仿宋_GB2312"/>
          <w:color w:val="252525" w:themeColor="text1" w:themeTint="D9"/>
          <w:sz w:val="32"/>
          <w:szCs w:val="32"/>
          <w:lang w:val="en-US" w:eastAsia="zh-CN"/>
        </w:rPr>
        <w:t xml:space="preserve">                              </w:t>
      </w:r>
    </w:p>
    <w:p>
      <w:pPr>
        <w:pStyle w:val="12"/>
        <w:numPr>
          <w:ilvl w:val="0"/>
          <w:numId w:val="0"/>
        </w:numPr>
        <w:ind w:firstLine="5440" w:firstLineChars="1700"/>
        <w:rPr>
          <w:rFonts w:hint="eastAsia" w:ascii="仿宋_GB2312" w:hAnsi="仿宋_GB2312" w:eastAsia="仿宋_GB2312" w:cs="仿宋_GB2312"/>
          <w:color w:val="252525" w:themeColor="text1" w:themeTint="D9"/>
          <w:sz w:val="32"/>
          <w:szCs w:val="32"/>
          <w:lang w:val="en-US" w:eastAsia="zh-CN"/>
        </w:rPr>
      </w:pPr>
      <w:r>
        <w:rPr>
          <w:rFonts w:hint="eastAsia" w:ascii="仿宋_GB2312" w:hAnsi="仿宋_GB2312" w:eastAsia="仿宋_GB2312" w:cs="仿宋_GB2312"/>
          <w:color w:val="252525" w:themeColor="text1" w:themeTint="D9"/>
          <w:sz w:val="32"/>
          <w:szCs w:val="32"/>
          <w:lang w:val="en-US" w:eastAsia="zh-CN"/>
        </w:rPr>
        <w:t xml:space="preserve"> 北京市医疗保障局</w:t>
      </w:r>
    </w:p>
    <w:p>
      <w:pPr>
        <w:pStyle w:val="12"/>
        <w:numPr>
          <w:ilvl w:val="0"/>
          <w:numId w:val="0"/>
        </w:numPr>
        <w:ind w:firstLine="640" w:firstLineChars="200"/>
        <w:rPr>
          <w:rFonts w:hint="default" w:ascii="仿宋_GB2312" w:hAnsi="仿宋_GB2312" w:eastAsia="仿宋_GB2312" w:cs="仿宋_GB2312"/>
          <w:color w:val="252525" w:themeColor="text1" w:themeTint="D9"/>
          <w:sz w:val="32"/>
          <w:szCs w:val="32"/>
          <w:lang w:val="en-US" w:eastAsia="zh-CN"/>
        </w:rPr>
      </w:pPr>
      <w:r>
        <w:rPr>
          <w:rFonts w:hint="eastAsia" w:ascii="仿宋_GB2312" w:hAnsi="仿宋_GB2312" w:eastAsia="仿宋_GB2312" w:cs="仿宋_GB2312"/>
          <w:color w:val="252525" w:themeColor="text1" w:themeTint="D9"/>
          <w:sz w:val="32"/>
          <w:szCs w:val="32"/>
          <w:lang w:val="en-US" w:eastAsia="zh-CN"/>
        </w:rPr>
        <w:t xml:space="preserve">                                2025年3月18日</w:t>
      </w:r>
    </w:p>
    <w:sectPr>
      <w:headerReference r:id="rId3" w:type="default"/>
      <w:footerReference r:id="rId4" w:type="default"/>
      <w:pgSz w:w="11906" w:h="16838"/>
      <w:pgMar w:top="1440" w:right="1590"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DejaVu Sans">
    <w:altName w:val="Segoe Print"/>
    <w:panose1 w:val="020B0603030804020204"/>
    <w:charset w:val="00"/>
    <w:family w:val="auto"/>
    <w:pitch w:val="default"/>
    <w:sig w:usb0="00000000" w:usb1="00000000" w:usb2="0A246029" w:usb3="0400200C" w:csb0="600001FF" w:csb1="DFFF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77F86"/>
    <w:multiLevelType w:val="singleLevel"/>
    <w:tmpl w:val="1F377F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A2BD1"/>
    <w:rsid w:val="00010167"/>
    <w:rsid w:val="00016327"/>
    <w:rsid w:val="00022B0D"/>
    <w:rsid w:val="000266D0"/>
    <w:rsid w:val="00027BC1"/>
    <w:rsid w:val="00042F0C"/>
    <w:rsid w:val="00046F75"/>
    <w:rsid w:val="00047F84"/>
    <w:rsid w:val="00061F47"/>
    <w:rsid w:val="00063A1A"/>
    <w:rsid w:val="00076247"/>
    <w:rsid w:val="00084471"/>
    <w:rsid w:val="00091C83"/>
    <w:rsid w:val="000B4D6C"/>
    <w:rsid w:val="000B7389"/>
    <w:rsid w:val="000D0F3C"/>
    <w:rsid w:val="000D57B7"/>
    <w:rsid w:val="000D6822"/>
    <w:rsid w:val="000E622F"/>
    <w:rsid w:val="000F609B"/>
    <w:rsid w:val="0010512B"/>
    <w:rsid w:val="00127722"/>
    <w:rsid w:val="00132695"/>
    <w:rsid w:val="00133C3B"/>
    <w:rsid w:val="00133E0C"/>
    <w:rsid w:val="00142C78"/>
    <w:rsid w:val="00153272"/>
    <w:rsid w:val="00157F68"/>
    <w:rsid w:val="00172702"/>
    <w:rsid w:val="00180774"/>
    <w:rsid w:val="00181A7D"/>
    <w:rsid w:val="00182AAF"/>
    <w:rsid w:val="00186EA5"/>
    <w:rsid w:val="00195C43"/>
    <w:rsid w:val="001A037E"/>
    <w:rsid w:val="001A5FB0"/>
    <w:rsid w:val="001A6ACA"/>
    <w:rsid w:val="001B4B17"/>
    <w:rsid w:val="001C65CE"/>
    <w:rsid w:val="001D1167"/>
    <w:rsid w:val="001D4432"/>
    <w:rsid w:val="001E2A8D"/>
    <w:rsid w:val="001E79BA"/>
    <w:rsid w:val="00203A7D"/>
    <w:rsid w:val="00216980"/>
    <w:rsid w:val="00220697"/>
    <w:rsid w:val="002236FC"/>
    <w:rsid w:val="00232676"/>
    <w:rsid w:val="00233E89"/>
    <w:rsid w:val="00254ADF"/>
    <w:rsid w:val="0029089F"/>
    <w:rsid w:val="002A1C5F"/>
    <w:rsid w:val="002B165C"/>
    <w:rsid w:val="002B4CC6"/>
    <w:rsid w:val="002B53C4"/>
    <w:rsid w:val="002B77AE"/>
    <w:rsid w:val="002C22BF"/>
    <w:rsid w:val="002D4191"/>
    <w:rsid w:val="002D7A71"/>
    <w:rsid w:val="002D7F8F"/>
    <w:rsid w:val="002F66E5"/>
    <w:rsid w:val="002F757D"/>
    <w:rsid w:val="002F7632"/>
    <w:rsid w:val="0031629E"/>
    <w:rsid w:val="0032216E"/>
    <w:rsid w:val="003224D7"/>
    <w:rsid w:val="00327B67"/>
    <w:rsid w:val="00334098"/>
    <w:rsid w:val="00350B69"/>
    <w:rsid w:val="003546EA"/>
    <w:rsid w:val="00356DEF"/>
    <w:rsid w:val="00364EEF"/>
    <w:rsid w:val="003738F2"/>
    <w:rsid w:val="00393875"/>
    <w:rsid w:val="003A3610"/>
    <w:rsid w:val="003C32D4"/>
    <w:rsid w:val="003C698D"/>
    <w:rsid w:val="003D0DF4"/>
    <w:rsid w:val="003F63A9"/>
    <w:rsid w:val="00416473"/>
    <w:rsid w:val="004226F8"/>
    <w:rsid w:val="00434EAA"/>
    <w:rsid w:val="004443AD"/>
    <w:rsid w:val="004510EC"/>
    <w:rsid w:val="00456B7C"/>
    <w:rsid w:val="00460DC4"/>
    <w:rsid w:val="00464736"/>
    <w:rsid w:val="004660EE"/>
    <w:rsid w:val="004737DB"/>
    <w:rsid w:val="004748E1"/>
    <w:rsid w:val="004A2ED7"/>
    <w:rsid w:val="004B6635"/>
    <w:rsid w:val="004C68B9"/>
    <w:rsid w:val="004D0E9A"/>
    <w:rsid w:val="004D1E4D"/>
    <w:rsid w:val="004F3FCD"/>
    <w:rsid w:val="004F6E2F"/>
    <w:rsid w:val="00520AC3"/>
    <w:rsid w:val="0052240A"/>
    <w:rsid w:val="0053046B"/>
    <w:rsid w:val="00532FD6"/>
    <w:rsid w:val="0054307F"/>
    <w:rsid w:val="00544AB6"/>
    <w:rsid w:val="0054661B"/>
    <w:rsid w:val="00555589"/>
    <w:rsid w:val="005665B2"/>
    <w:rsid w:val="00570683"/>
    <w:rsid w:val="0058180E"/>
    <w:rsid w:val="00590907"/>
    <w:rsid w:val="00592E61"/>
    <w:rsid w:val="00593196"/>
    <w:rsid w:val="0059403C"/>
    <w:rsid w:val="005A2BD1"/>
    <w:rsid w:val="005F1ABC"/>
    <w:rsid w:val="00600D80"/>
    <w:rsid w:val="00610D7E"/>
    <w:rsid w:val="00614E1E"/>
    <w:rsid w:val="006153A6"/>
    <w:rsid w:val="00622693"/>
    <w:rsid w:val="00622FA2"/>
    <w:rsid w:val="00626116"/>
    <w:rsid w:val="0063089E"/>
    <w:rsid w:val="00631770"/>
    <w:rsid w:val="00643DDF"/>
    <w:rsid w:val="00644194"/>
    <w:rsid w:val="006579FD"/>
    <w:rsid w:val="00664599"/>
    <w:rsid w:val="00665D99"/>
    <w:rsid w:val="00677089"/>
    <w:rsid w:val="00695951"/>
    <w:rsid w:val="006A223F"/>
    <w:rsid w:val="006A2F9C"/>
    <w:rsid w:val="006B448E"/>
    <w:rsid w:val="006B4981"/>
    <w:rsid w:val="006C500C"/>
    <w:rsid w:val="006E4298"/>
    <w:rsid w:val="006F731E"/>
    <w:rsid w:val="007000A6"/>
    <w:rsid w:val="0070193C"/>
    <w:rsid w:val="0072321F"/>
    <w:rsid w:val="00741518"/>
    <w:rsid w:val="00752354"/>
    <w:rsid w:val="00752660"/>
    <w:rsid w:val="0075302D"/>
    <w:rsid w:val="00763EB3"/>
    <w:rsid w:val="00773F4B"/>
    <w:rsid w:val="007779AD"/>
    <w:rsid w:val="00781646"/>
    <w:rsid w:val="007B64DC"/>
    <w:rsid w:val="007C2892"/>
    <w:rsid w:val="007C4086"/>
    <w:rsid w:val="007D5AF9"/>
    <w:rsid w:val="007D7B04"/>
    <w:rsid w:val="007E0E64"/>
    <w:rsid w:val="007E2F94"/>
    <w:rsid w:val="007F328F"/>
    <w:rsid w:val="007F4957"/>
    <w:rsid w:val="00802122"/>
    <w:rsid w:val="00803DC1"/>
    <w:rsid w:val="00817EE7"/>
    <w:rsid w:val="00820E18"/>
    <w:rsid w:val="00824342"/>
    <w:rsid w:val="008359BC"/>
    <w:rsid w:val="00854CE5"/>
    <w:rsid w:val="00870122"/>
    <w:rsid w:val="00871FB4"/>
    <w:rsid w:val="008872C1"/>
    <w:rsid w:val="00892673"/>
    <w:rsid w:val="008A1FA3"/>
    <w:rsid w:val="008A5FA9"/>
    <w:rsid w:val="008C35AA"/>
    <w:rsid w:val="008D05C6"/>
    <w:rsid w:val="008D3E38"/>
    <w:rsid w:val="008D45D9"/>
    <w:rsid w:val="008F265E"/>
    <w:rsid w:val="00902CAE"/>
    <w:rsid w:val="00905605"/>
    <w:rsid w:val="00905A4D"/>
    <w:rsid w:val="0090745D"/>
    <w:rsid w:val="00907EAB"/>
    <w:rsid w:val="009111B9"/>
    <w:rsid w:val="0093068F"/>
    <w:rsid w:val="00934F36"/>
    <w:rsid w:val="00952B7F"/>
    <w:rsid w:val="00953B18"/>
    <w:rsid w:val="00954FB5"/>
    <w:rsid w:val="00955354"/>
    <w:rsid w:val="0099078E"/>
    <w:rsid w:val="00991A1B"/>
    <w:rsid w:val="00993C21"/>
    <w:rsid w:val="00997D80"/>
    <w:rsid w:val="009A6470"/>
    <w:rsid w:val="009A718A"/>
    <w:rsid w:val="009B5C3B"/>
    <w:rsid w:val="009C0617"/>
    <w:rsid w:val="009C5213"/>
    <w:rsid w:val="009C5602"/>
    <w:rsid w:val="009D1AA5"/>
    <w:rsid w:val="009D57C4"/>
    <w:rsid w:val="009E1737"/>
    <w:rsid w:val="009E3D2B"/>
    <w:rsid w:val="009F162F"/>
    <w:rsid w:val="009F6E9A"/>
    <w:rsid w:val="00A04C74"/>
    <w:rsid w:val="00A11818"/>
    <w:rsid w:val="00A128B5"/>
    <w:rsid w:val="00A20EAF"/>
    <w:rsid w:val="00A24A46"/>
    <w:rsid w:val="00A36DD1"/>
    <w:rsid w:val="00A44416"/>
    <w:rsid w:val="00A52466"/>
    <w:rsid w:val="00A52939"/>
    <w:rsid w:val="00A57A2F"/>
    <w:rsid w:val="00A57C25"/>
    <w:rsid w:val="00A65489"/>
    <w:rsid w:val="00A742F1"/>
    <w:rsid w:val="00A92534"/>
    <w:rsid w:val="00AA4A32"/>
    <w:rsid w:val="00AB3D04"/>
    <w:rsid w:val="00AB586D"/>
    <w:rsid w:val="00AB5870"/>
    <w:rsid w:val="00AB615A"/>
    <w:rsid w:val="00AC2D9E"/>
    <w:rsid w:val="00AC5671"/>
    <w:rsid w:val="00AF6310"/>
    <w:rsid w:val="00B05AAD"/>
    <w:rsid w:val="00B223DB"/>
    <w:rsid w:val="00B26C63"/>
    <w:rsid w:val="00B319A1"/>
    <w:rsid w:val="00B40475"/>
    <w:rsid w:val="00B43050"/>
    <w:rsid w:val="00B51140"/>
    <w:rsid w:val="00B77C8E"/>
    <w:rsid w:val="00B86CA1"/>
    <w:rsid w:val="00B877BB"/>
    <w:rsid w:val="00BA7A80"/>
    <w:rsid w:val="00BB6948"/>
    <w:rsid w:val="00BD4371"/>
    <w:rsid w:val="00BD784E"/>
    <w:rsid w:val="00BE639A"/>
    <w:rsid w:val="00C1484D"/>
    <w:rsid w:val="00C15DE0"/>
    <w:rsid w:val="00C20D10"/>
    <w:rsid w:val="00C21C44"/>
    <w:rsid w:val="00C22C99"/>
    <w:rsid w:val="00C31268"/>
    <w:rsid w:val="00C410A1"/>
    <w:rsid w:val="00C534EE"/>
    <w:rsid w:val="00C553EC"/>
    <w:rsid w:val="00C62A63"/>
    <w:rsid w:val="00C637FB"/>
    <w:rsid w:val="00C749D0"/>
    <w:rsid w:val="00C80C10"/>
    <w:rsid w:val="00C816D6"/>
    <w:rsid w:val="00C83D23"/>
    <w:rsid w:val="00C913EB"/>
    <w:rsid w:val="00CA6E04"/>
    <w:rsid w:val="00CB09E2"/>
    <w:rsid w:val="00CB2187"/>
    <w:rsid w:val="00CB2480"/>
    <w:rsid w:val="00CB359C"/>
    <w:rsid w:val="00CD7D03"/>
    <w:rsid w:val="00CE3B98"/>
    <w:rsid w:val="00CE495D"/>
    <w:rsid w:val="00D21E11"/>
    <w:rsid w:val="00D22AC2"/>
    <w:rsid w:val="00D26205"/>
    <w:rsid w:val="00D4050E"/>
    <w:rsid w:val="00D44B12"/>
    <w:rsid w:val="00D462AD"/>
    <w:rsid w:val="00D471BE"/>
    <w:rsid w:val="00D5189C"/>
    <w:rsid w:val="00D627B0"/>
    <w:rsid w:val="00D62D4E"/>
    <w:rsid w:val="00D96531"/>
    <w:rsid w:val="00D976C9"/>
    <w:rsid w:val="00DA171B"/>
    <w:rsid w:val="00DA5BA0"/>
    <w:rsid w:val="00DC51CD"/>
    <w:rsid w:val="00DD4F44"/>
    <w:rsid w:val="00DE359B"/>
    <w:rsid w:val="00DE3AA2"/>
    <w:rsid w:val="00DF3BFA"/>
    <w:rsid w:val="00DF571B"/>
    <w:rsid w:val="00E04451"/>
    <w:rsid w:val="00E04997"/>
    <w:rsid w:val="00E07328"/>
    <w:rsid w:val="00E23A79"/>
    <w:rsid w:val="00E40B9B"/>
    <w:rsid w:val="00E55073"/>
    <w:rsid w:val="00E568A2"/>
    <w:rsid w:val="00E64B55"/>
    <w:rsid w:val="00E848C7"/>
    <w:rsid w:val="00E87E97"/>
    <w:rsid w:val="00E9171C"/>
    <w:rsid w:val="00E93433"/>
    <w:rsid w:val="00EB3924"/>
    <w:rsid w:val="00EC12EB"/>
    <w:rsid w:val="00EC26DD"/>
    <w:rsid w:val="00ED6EDE"/>
    <w:rsid w:val="00EE026F"/>
    <w:rsid w:val="00EE386F"/>
    <w:rsid w:val="00EE6D48"/>
    <w:rsid w:val="00EF4E92"/>
    <w:rsid w:val="00EF7417"/>
    <w:rsid w:val="00EF7F62"/>
    <w:rsid w:val="00F036C1"/>
    <w:rsid w:val="00F03B02"/>
    <w:rsid w:val="00F15AC4"/>
    <w:rsid w:val="00F23CC0"/>
    <w:rsid w:val="00F331FB"/>
    <w:rsid w:val="00F3552E"/>
    <w:rsid w:val="00F37952"/>
    <w:rsid w:val="00F40A27"/>
    <w:rsid w:val="00F4300C"/>
    <w:rsid w:val="00F52CD9"/>
    <w:rsid w:val="00F56A05"/>
    <w:rsid w:val="00F61CB7"/>
    <w:rsid w:val="00F620C7"/>
    <w:rsid w:val="00F65DC0"/>
    <w:rsid w:val="00F83299"/>
    <w:rsid w:val="00F92F41"/>
    <w:rsid w:val="00F97F23"/>
    <w:rsid w:val="00FB2F68"/>
    <w:rsid w:val="00FB36EF"/>
    <w:rsid w:val="00FB4A9D"/>
    <w:rsid w:val="00FD0D4E"/>
    <w:rsid w:val="00FF1903"/>
    <w:rsid w:val="00FF2ACE"/>
    <w:rsid w:val="00FF7099"/>
    <w:rsid w:val="01691E4C"/>
    <w:rsid w:val="02E6071E"/>
    <w:rsid w:val="02FE176A"/>
    <w:rsid w:val="03B80D0D"/>
    <w:rsid w:val="03DD64BB"/>
    <w:rsid w:val="04274E7D"/>
    <w:rsid w:val="05F2555A"/>
    <w:rsid w:val="06817913"/>
    <w:rsid w:val="06C849F3"/>
    <w:rsid w:val="06E86A9A"/>
    <w:rsid w:val="087422ED"/>
    <w:rsid w:val="08DF3DD3"/>
    <w:rsid w:val="09825BD5"/>
    <w:rsid w:val="09BB0EE1"/>
    <w:rsid w:val="0A99131A"/>
    <w:rsid w:val="0AB63AEA"/>
    <w:rsid w:val="0ABF5618"/>
    <w:rsid w:val="0AF576E4"/>
    <w:rsid w:val="0BA37295"/>
    <w:rsid w:val="0C606709"/>
    <w:rsid w:val="0D7C5379"/>
    <w:rsid w:val="0DD85BCB"/>
    <w:rsid w:val="0E143B0F"/>
    <w:rsid w:val="0E6A4A6D"/>
    <w:rsid w:val="0E8474C7"/>
    <w:rsid w:val="0E924179"/>
    <w:rsid w:val="0EFAB059"/>
    <w:rsid w:val="0EFDF417"/>
    <w:rsid w:val="0F180F56"/>
    <w:rsid w:val="0F7F576A"/>
    <w:rsid w:val="0FC9960C"/>
    <w:rsid w:val="0FDD1F7D"/>
    <w:rsid w:val="11550951"/>
    <w:rsid w:val="11571735"/>
    <w:rsid w:val="115F0E47"/>
    <w:rsid w:val="11821B99"/>
    <w:rsid w:val="118C4894"/>
    <w:rsid w:val="11AE7806"/>
    <w:rsid w:val="12130F27"/>
    <w:rsid w:val="13067363"/>
    <w:rsid w:val="13740B9F"/>
    <w:rsid w:val="141D4A44"/>
    <w:rsid w:val="14275E0D"/>
    <w:rsid w:val="15016D95"/>
    <w:rsid w:val="15DF65C4"/>
    <w:rsid w:val="1646134F"/>
    <w:rsid w:val="16F93DB2"/>
    <w:rsid w:val="1767208E"/>
    <w:rsid w:val="17BABC04"/>
    <w:rsid w:val="182C4999"/>
    <w:rsid w:val="18422F04"/>
    <w:rsid w:val="184E11DB"/>
    <w:rsid w:val="187D7351"/>
    <w:rsid w:val="1922455B"/>
    <w:rsid w:val="197545CD"/>
    <w:rsid w:val="19CF53BE"/>
    <w:rsid w:val="19FF0F05"/>
    <w:rsid w:val="1B05767F"/>
    <w:rsid w:val="1B5A2425"/>
    <w:rsid w:val="1B7399F1"/>
    <w:rsid w:val="1BDC7B6A"/>
    <w:rsid w:val="1BF71770"/>
    <w:rsid w:val="1C0D5687"/>
    <w:rsid w:val="1C414ADD"/>
    <w:rsid w:val="1C7B2B3B"/>
    <w:rsid w:val="1D834697"/>
    <w:rsid w:val="1E0D7DF3"/>
    <w:rsid w:val="1E4222BE"/>
    <w:rsid w:val="1EF62F30"/>
    <w:rsid w:val="1F6F5EE8"/>
    <w:rsid w:val="1F8B8448"/>
    <w:rsid w:val="1F8D8CFB"/>
    <w:rsid w:val="1FE860C8"/>
    <w:rsid w:val="1FFBAEB1"/>
    <w:rsid w:val="20406685"/>
    <w:rsid w:val="210C4B52"/>
    <w:rsid w:val="213B7C06"/>
    <w:rsid w:val="21A85A02"/>
    <w:rsid w:val="21D70B68"/>
    <w:rsid w:val="233335BE"/>
    <w:rsid w:val="235B09E8"/>
    <w:rsid w:val="23DC05D8"/>
    <w:rsid w:val="23E35139"/>
    <w:rsid w:val="245826BA"/>
    <w:rsid w:val="247D74CD"/>
    <w:rsid w:val="24B0438A"/>
    <w:rsid w:val="24C94728"/>
    <w:rsid w:val="24F7E4FC"/>
    <w:rsid w:val="254E08CB"/>
    <w:rsid w:val="25523155"/>
    <w:rsid w:val="25576DEB"/>
    <w:rsid w:val="26101B1A"/>
    <w:rsid w:val="26CD6E1D"/>
    <w:rsid w:val="272F6D96"/>
    <w:rsid w:val="273120DA"/>
    <w:rsid w:val="2754696A"/>
    <w:rsid w:val="27BD3427"/>
    <w:rsid w:val="27F259FC"/>
    <w:rsid w:val="2941442E"/>
    <w:rsid w:val="297DE0AF"/>
    <w:rsid w:val="2A7663FA"/>
    <w:rsid w:val="2A7B217E"/>
    <w:rsid w:val="2AF92067"/>
    <w:rsid w:val="2B4F6BF5"/>
    <w:rsid w:val="2B7C6659"/>
    <w:rsid w:val="2BA71A54"/>
    <w:rsid w:val="2BEDCB21"/>
    <w:rsid w:val="2C7671B3"/>
    <w:rsid w:val="2D57F9F8"/>
    <w:rsid w:val="2D6F5B35"/>
    <w:rsid w:val="2D6F6539"/>
    <w:rsid w:val="2D7E395C"/>
    <w:rsid w:val="2DCF46CF"/>
    <w:rsid w:val="2DD70832"/>
    <w:rsid w:val="2ECF9469"/>
    <w:rsid w:val="2F524532"/>
    <w:rsid w:val="2F5E19FA"/>
    <w:rsid w:val="2FC4ED14"/>
    <w:rsid w:val="2FDF893E"/>
    <w:rsid w:val="2FDF909E"/>
    <w:rsid w:val="2FF95C92"/>
    <w:rsid w:val="2FFFD25F"/>
    <w:rsid w:val="30784614"/>
    <w:rsid w:val="30C32699"/>
    <w:rsid w:val="31381690"/>
    <w:rsid w:val="31402AB8"/>
    <w:rsid w:val="31BB57B6"/>
    <w:rsid w:val="324A11E8"/>
    <w:rsid w:val="325B4A95"/>
    <w:rsid w:val="332047C6"/>
    <w:rsid w:val="33347DEF"/>
    <w:rsid w:val="334B6029"/>
    <w:rsid w:val="347F635F"/>
    <w:rsid w:val="34BC9676"/>
    <w:rsid w:val="34DE4CF1"/>
    <w:rsid w:val="35261592"/>
    <w:rsid w:val="35407814"/>
    <w:rsid w:val="355A6142"/>
    <w:rsid w:val="355F6F48"/>
    <w:rsid w:val="35CF0496"/>
    <w:rsid w:val="365F95A1"/>
    <w:rsid w:val="367E7DB5"/>
    <w:rsid w:val="36B32734"/>
    <w:rsid w:val="36D7245B"/>
    <w:rsid w:val="37A301AB"/>
    <w:rsid w:val="37AFE4F2"/>
    <w:rsid w:val="37BC8658"/>
    <w:rsid w:val="37DF2EED"/>
    <w:rsid w:val="37E38992"/>
    <w:rsid w:val="38EF0570"/>
    <w:rsid w:val="39846205"/>
    <w:rsid w:val="39C625FD"/>
    <w:rsid w:val="3A076357"/>
    <w:rsid w:val="3B3DCD8C"/>
    <w:rsid w:val="3B5E8FCD"/>
    <w:rsid w:val="3B77C20C"/>
    <w:rsid w:val="3BBF7286"/>
    <w:rsid w:val="3BDC1CB2"/>
    <w:rsid w:val="3C4931C5"/>
    <w:rsid w:val="3CAC7201"/>
    <w:rsid w:val="3CAD199E"/>
    <w:rsid w:val="3D283ADA"/>
    <w:rsid w:val="3D34580E"/>
    <w:rsid w:val="3D4045E0"/>
    <w:rsid w:val="3D715157"/>
    <w:rsid w:val="3DCFC94E"/>
    <w:rsid w:val="3DD793CE"/>
    <w:rsid w:val="3DF00715"/>
    <w:rsid w:val="3DF6180B"/>
    <w:rsid w:val="3DF6BF5E"/>
    <w:rsid w:val="3E4F02FA"/>
    <w:rsid w:val="3E7C6CD4"/>
    <w:rsid w:val="3E800A05"/>
    <w:rsid w:val="3EA31A16"/>
    <w:rsid w:val="3ED94BF5"/>
    <w:rsid w:val="3F4119B7"/>
    <w:rsid w:val="3F6D5DBB"/>
    <w:rsid w:val="3FBD4DF1"/>
    <w:rsid w:val="3FDD4629"/>
    <w:rsid w:val="3FDFAA01"/>
    <w:rsid w:val="3FE7D1B4"/>
    <w:rsid w:val="3FF864B1"/>
    <w:rsid w:val="3FFDB9FA"/>
    <w:rsid w:val="3FFF8318"/>
    <w:rsid w:val="3FFF97AB"/>
    <w:rsid w:val="407670C9"/>
    <w:rsid w:val="41586E35"/>
    <w:rsid w:val="41E13C22"/>
    <w:rsid w:val="42125CD2"/>
    <w:rsid w:val="44D2588C"/>
    <w:rsid w:val="46C27CE6"/>
    <w:rsid w:val="47A47C22"/>
    <w:rsid w:val="47EA2F71"/>
    <w:rsid w:val="48247AA8"/>
    <w:rsid w:val="48A0785D"/>
    <w:rsid w:val="48BC5E74"/>
    <w:rsid w:val="48E9246A"/>
    <w:rsid w:val="499446F1"/>
    <w:rsid w:val="49FFA596"/>
    <w:rsid w:val="4B04072E"/>
    <w:rsid w:val="4B4B3588"/>
    <w:rsid w:val="4B9B4513"/>
    <w:rsid w:val="4BBE796E"/>
    <w:rsid w:val="4BD91D3F"/>
    <w:rsid w:val="4BE9326B"/>
    <w:rsid w:val="4C812525"/>
    <w:rsid w:val="4CC6BDCC"/>
    <w:rsid w:val="4CEF2D72"/>
    <w:rsid w:val="4D5F5790"/>
    <w:rsid w:val="4DA6C538"/>
    <w:rsid w:val="4E9C5268"/>
    <w:rsid w:val="4F08673B"/>
    <w:rsid w:val="4F6A45C2"/>
    <w:rsid w:val="4F7FA677"/>
    <w:rsid w:val="4FBF4074"/>
    <w:rsid w:val="4FCBE632"/>
    <w:rsid w:val="4FEB0ACD"/>
    <w:rsid w:val="4FFFDE1F"/>
    <w:rsid w:val="504F1F61"/>
    <w:rsid w:val="506F0EE3"/>
    <w:rsid w:val="509F1EBA"/>
    <w:rsid w:val="51E347E9"/>
    <w:rsid w:val="51FED7AB"/>
    <w:rsid w:val="524E48DC"/>
    <w:rsid w:val="52764D8A"/>
    <w:rsid w:val="52AF7F38"/>
    <w:rsid w:val="52E32309"/>
    <w:rsid w:val="536439F2"/>
    <w:rsid w:val="53BE5B0A"/>
    <w:rsid w:val="53D78D9E"/>
    <w:rsid w:val="53FF0ACE"/>
    <w:rsid w:val="5461199D"/>
    <w:rsid w:val="54BC76AD"/>
    <w:rsid w:val="55091B05"/>
    <w:rsid w:val="55AC24D3"/>
    <w:rsid w:val="55BC3346"/>
    <w:rsid w:val="55F48CB3"/>
    <w:rsid w:val="55FF7BC2"/>
    <w:rsid w:val="565DC38E"/>
    <w:rsid w:val="56746836"/>
    <w:rsid w:val="56AF4516"/>
    <w:rsid w:val="56D42FAE"/>
    <w:rsid w:val="56DB023D"/>
    <w:rsid w:val="5706E1AF"/>
    <w:rsid w:val="57161425"/>
    <w:rsid w:val="576E2019"/>
    <w:rsid w:val="57EBE798"/>
    <w:rsid w:val="57FD77D8"/>
    <w:rsid w:val="57FF4447"/>
    <w:rsid w:val="586732F4"/>
    <w:rsid w:val="58FF0981"/>
    <w:rsid w:val="59ACB0DC"/>
    <w:rsid w:val="5A11064C"/>
    <w:rsid w:val="5AA0328B"/>
    <w:rsid w:val="5AFBA945"/>
    <w:rsid w:val="5B1F5E51"/>
    <w:rsid w:val="5BAB0178"/>
    <w:rsid w:val="5BBAA4E4"/>
    <w:rsid w:val="5BBE75A5"/>
    <w:rsid w:val="5BED8BCA"/>
    <w:rsid w:val="5BEEE78B"/>
    <w:rsid w:val="5BEF6918"/>
    <w:rsid w:val="5BFBFD66"/>
    <w:rsid w:val="5BFC01E3"/>
    <w:rsid w:val="5BFF8577"/>
    <w:rsid w:val="5C2703C9"/>
    <w:rsid w:val="5C3E59BB"/>
    <w:rsid w:val="5C935AC2"/>
    <w:rsid w:val="5CFE8F16"/>
    <w:rsid w:val="5D085B19"/>
    <w:rsid w:val="5D1B1CC9"/>
    <w:rsid w:val="5D3F88BE"/>
    <w:rsid w:val="5D71F538"/>
    <w:rsid w:val="5D7D94D2"/>
    <w:rsid w:val="5DBB135E"/>
    <w:rsid w:val="5DBFF157"/>
    <w:rsid w:val="5DF777C0"/>
    <w:rsid w:val="5E1BC6D7"/>
    <w:rsid w:val="5E4F333A"/>
    <w:rsid w:val="5E75591E"/>
    <w:rsid w:val="5E8757B2"/>
    <w:rsid w:val="5EBD6D22"/>
    <w:rsid w:val="5EBDA648"/>
    <w:rsid w:val="5EDC950A"/>
    <w:rsid w:val="5EF5690E"/>
    <w:rsid w:val="5EFA7CCD"/>
    <w:rsid w:val="5F1F0125"/>
    <w:rsid w:val="5F9C6B53"/>
    <w:rsid w:val="5FCBA689"/>
    <w:rsid w:val="5FE2DFB3"/>
    <w:rsid w:val="5FFB3B30"/>
    <w:rsid w:val="5FFCCC29"/>
    <w:rsid w:val="5FFD95D2"/>
    <w:rsid w:val="626E67EB"/>
    <w:rsid w:val="627D0580"/>
    <w:rsid w:val="62841C3F"/>
    <w:rsid w:val="62E22548"/>
    <w:rsid w:val="62FBB535"/>
    <w:rsid w:val="632409B1"/>
    <w:rsid w:val="632F436D"/>
    <w:rsid w:val="63CE4E25"/>
    <w:rsid w:val="645A0BA0"/>
    <w:rsid w:val="645F0C39"/>
    <w:rsid w:val="652A6D63"/>
    <w:rsid w:val="659E3850"/>
    <w:rsid w:val="65BB4797"/>
    <w:rsid w:val="65D8693A"/>
    <w:rsid w:val="660E7E03"/>
    <w:rsid w:val="66227C6A"/>
    <w:rsid w:val="66703679"/>
    <w:rsid w:val="667DEF53"/>
    <w:rsid w:val="66A1201E"/>
    <w:rsid w:val="66DA774F"/>
    <w:rsid w:val="66DEB063"/>
    <w:rsid w:val="67015A80"/>
    <w:rsid w:val="674539E4"/>
    <w:rsid w:val="67551409"/>
    <w:rsid w:val="677EAB8A"/>
    <w:rsid w:val="677F87BE"/>
    <w:rsid w:val="67FE4C11"/>
    <w:rsid w:val="68D5090A"/>
    <w:rsid w:val="68E81AE6"/>
    <w:rsid w:val="694F4DD5"/>
    <w:rsid w:val="697EB65C"/>
    <w:rsid w:val="6A335748"/>
    <w:rsid w:val="6AB07D46"/>
    <w:rsid w:val="6AB1205E"/>
    <w:rsid w:val="6AD92022"/>
    <w:rsid w:val="6AED88B7"/>
    <w:rsid w:val="6AEE28FA"/>
    <w:rsid w:val="6B295AEB"/>
    <w:rsid w:val="6B55AAAE"/>
    <w:rsid w:val="6B6D8B1A"/>
    <w:rsid w:val="6BACC21E"/>
    <w:rsid w:val="6BBF327A"/>
    <w:rsid w:val="6BFC278E"/>
    <w:rsid w:val="6CAB6DD2"/>
    <w:rsid w:val="6CCB6427"/>
    <w:rsid w:val="6CDFD73E"/>
    <w:rsid w:val="6CE813BF"/>
    <w:rsid w:val="6D74F59E"/>
    <w:rsid w:val="6DFEFA59"/>
    <w:rsid w:val="6E2703B7"/>
    <w:rsid w:val="6E5A383E"/>
    <w:rsid w:val="6E6D50F9"/>
    <w:rsid w:val="6E7349A2"/>
    <w:rsid w:val="6EF71C2C"/>
    <w:rsid w:val="6EFFCDC4"/>
    <w:rsid w:val="6F3F6EAA"/>
    <w:rsid w:val="6F4AEFDE"/>
    <w:rsid w:val="6F9E72BD"/>
    <w:rsid w:val="6FBF717B"/>
    <w:rsid w:val="6FD71D63"/>
    <w:rsid w:val="6FDB1944"/>
    <w:rsid w:val="6FDDC435"/>
    <w:rsid w:val="6FEA0DF2"/>
    <w:rsid w:val="6FED9160"/>
    <w:rsid w:val="6FF7EB98"/>
    <w:rsid w:val="6FFE099F"/>
    <w:rsid w:val="6FFEC008"/>
    <w:rsid w:val="709F1981"/>
    <w:rsid w:val="70F25D0E"/>
    <w:rsid w:val="70FD584A"/>
    <w:rsid w:val="71181776"/>
    <w:rsid w:val="713014F8"/>
    <w:rsid w:val="71551B70"/>
    <w:rsid w:val="717D6519"/>
    <w:rsid w:val="71E9333F"/>
    <w:rsid w:val="72C333CF"/>
    <w:rsid w:val="72F72E4C"/>
    <w:rsid w:val="732C55F2"/>
    <w:rsid w:val="73B69E48"/>
    <w:rsid w:val="73B81B7F"/>
    <w:rsid w:val="73DF007C"/>
    <w:rsid w:val="73F7E5FF"/>
    <w:rsid w:val="73FF7073"/>
    <w:rsid w:val="744A3C95"/>
    <w:rsid w:val="74D7F94A"/>
    <w:rsid w:val="74FF6003"/>
    <w:rsid w:val="75061EEB"/>
    <w:rsid w:val="7517443D"/>
    <w:rsid w:val="754F5687"/>
    <w:rsid w:val="75EFCA4B"/>
    <w:rsid w:val="75F5339F"/>
    <w:rsid w:val="75FF5FD9"/>
    <w:rsid w:val="75FFA7F3"/>
    <w:rsid w:val="76557C54"/>
    <w:rsid w:val="767F8E14"/>
    <w:rsid w:val="76895E0B"/>
    <w:rsid w:val="76954539"/>
    <w:rsid w:val="76AF2733"/>
    <w:rsid w:val="76F98E42"/>
    <w:rsid w:val="76F9D538"/>
    <w:rsid w:val="770F3EA7"/>
    <w:rsid w:val="771F4BED"/>
    <w:rsid w:val="772BE090"/>
    <w:rsid w:val="773B6D6B"/>
    <w:rsid w:val="773F7E22"/>
    <w:rsid w:val="7757610B"/>
    <w:rsid w:val="775F1A6F"/>
    <w:rsid w:val="777D86C3"/>
    <w:rsid w:val="77BE7FAD"/>
    <w:rsid w:val="77F183B2"/>
    <w:rsid w:val="77F7A079"/>
    <w:rsid w:val="77F94D40"/>
    <w:rsid w:val="77FD50E1"/>
    <w:rsid w:val="77FE7395"/>
    <w:rsid w:val="77FF5A9A"/>
    <w:rsid w:val="78064A14"/>
    <w:rsid w:val="78A84F40"/>
    <w:rsid w:val="78F78300"/>
    <w:rsid w:val="792B4BFF"/>
    <w:rsid w:val="79C933CD"/>
    <w:rsid w:val="79DF2043"/>
    <w:rsid w:val="79DFA7B8"/>
    <w:rsid w:val="79EBA3F5"/>
    <w:rsid w:val="79F13724"/>
    <w:rsid w:val="79FF8706"/>
    <w:rsid w:val="7AAF91F2"/>
    <w:rsid w:val="7ADA7AE8"/>
    <w:rsid w:val="7ADE1FDA"/>
    <w:rsid w:val="7AFF0AE1"/>
    <w:rsid w:val="7B0C31E7"/>
    <w:rsid w:val="7B2A7DD0"/>
    <w:rsid w:val="7B3258BC"/>
    <w:rsid w:val="7B364F97"/>
    <w:rsid w:val="7B3B2C4E"/>
    <w:rsid w:val="7B6ED220"/>
    <w:rsid w:val="7BAE718A"/>
    <w:rsid w:val="7BBF2522"/>
    <w:rsid w:val="7BD46F99"/>
    <w:rsid w:val="7BD74295"/>
    <w:rsid w:val="7BDBE845"/>
    <w:rsid w:val="7BDF8978"/>
    <w:rsid w:val="7BF1F3A2"/>
    <w:rsid w:val="7BFF156A"/>
    <w:rsid w:val="7BFF857A"/>
    <w:rsid w:val="7CB53D43"/>
    <w:rsid w:val="7CF609A4"/>
    <w:rsid w:val="7CF72001"/>
    <w:rsid w:val="7CFF8718"/>
    <w:rsid w:val="7D532638"/>
    <w:rsid w:val="7D6EDDAC"/>
    <w:rsid w:val="7D73A878"/>
    <w:rsid w:val="7DAF9B44"/>
    <w:rsid w:val="7DBFAE1A"/>
    <w:rsid w:val="7DDFF201"/>
    <w:rsid w:val="7DEFF915"/>
    <w:rsid w:val="7DF18288"/>
    <w:rsid w:val="7DF3D84B"/>
    <w:rsid w:val="7DF9465F"/>
    <w:rsid w:val="7DFE07C2"/>
    <w:rsid w:val="7DFFD688"/>
    <w:rsid w:val="7DFFD9F9"/>
    <w:rsid w:val="7E27F62C"/>
    <w:rsid w:val="7E32602E"/>
    <w:rsid w:val="7E932E83"/>
    <w:rsid w:val="7EB58C95"/>
    <w:rsid w:val="7EDDE52A"/>
    <w:rsid w:val="7EEE833F"/>
    <w:rsid w:val="7EFF24C8"/>
    <w:rsid w:val="7F0D1F23"/>
    <w:rsid w:val="7F0F5ACA"/>
    <w:rsid w:val="7F5437B5"/>
    <w:rsid w:val="7F6D75FA"/>
    <w:rsid w:val="7F6FC532"/>
    <w:rsid w:val="7F757B7E"/>
    <w:rsid w:val="7F7718BD"/>
    <w:rsid w:val="7F7BAC5E"/>
    <w:rsid w:val="7F7C890B"/>
    <w:rsid w:val="7F7D58EC"/>
    <w:rsid w:val="7F7FC469"/>
    <w:rsid w:val="7F805AC4"/>
    <w:rsid w:val="7F97116B"/>
    <w:rsid w:val="7FA628BE"/>
    <w:rsid w:val="7FADF39F"/>
    <w:rsid w:val="7FB1E3F7"/>
    <w:rsid w:val="7FBE8447"/>
    <w:rsid w:val="7FBF1AB5"/>
    <w:rsid w:val="7FBFF82F"/>
    <w:rsid w:val="7FC3343E"/>
    <w:rsid w:val="7FC5BB8F"/>
    <w:rsid w:val="7FCF6B00"/>
    <w:rsid w:val="7FDB9957"/>
    <w:rsid w:val="7FDDD47C"/>
    <w:rsid w:val="7FDF6D70"/>
    <w:rsid w:val="7FDFF6B2"/>
    <w:rsid w:val="7FE65DDE"/>
    <w:rsid w:val="7FEBFE28"/>
    <w:rsid w:val="7FEF5BFC"/>
    <w:rsid w:val="7FF37CE8"/>
    <w:rsid w:val="7FF747B9"/>
    <w:rsid w:val="7FFAD6D7"/>
    <w:rsid w:val="7FFB0682"/>
    <w:rsid w:val="7FFBB9EE"/>
    <w:rsid w:val="7FFC4FA5"/>
    <w:rsid w:val="7FFD41CC"/>
    <w:rsid w:val="7FFDC425"/>
    <w:rsid w:val="7FFE482A"/>
    <w:rsid w:val="7FFEDF91"/>
    <w:rsid w:val="7FFF4A1C"/>
    <w:rsid w:val="7FFFD059"/>
    <w:rsid w:val="7FFFD4A2"/>
    <w:rsid w:val="7FFFE552"/>
    <w:rsid w:val="877346DE"/>
    <w:rsid w:val="87FFA6C5"/>
    <w:rsid w:val="8FF64CA4"/>
    <w:rsid w:val="973D3D93"/>
    <w:rsid w:val="9B622659"/>
    <w:rsid w:val="9CEF4FD5"/>
    <w:rsid w:val="9D4B5CFF"/>
    <w:rsid w:val="9D5311D4"/>
    <w:rsid w:val="9DF9D94A"/>
    <w:rsid w:val="9E5F749B"/>
    <w:rsid w:val="9EE76B97"/>
    <w:rsid w:val="9F7BE6D0"/>
    <w:rsid w:val="9FD706F5"/>
    <w:rsid w:val="9FF957B4"/>
    <w:rsid w:val="9FFE1B28"/>
    <w:rsid w:val="A3FEBBE4"/>
    <w:rsid w:val="A3FFB97E"/>
    <w:rsid w:val="A7EFE3D5"/>
    <w:rsid w:val="A95A0A89"/>
    <w:rsid w:val="A97D4394"/>
    <w:rsid w:val="AA6689DB"/>
    <w:rsid w:val="AF3F6B9D"/>
    <w:rsid w:val="AF5E4773"/>
    <w:rsid w:val="AFBB13B2"/>
    <w:rsid w:val="B2BD1534"/>
    <w:rsid w:val="B2DF1494"/>
    <w:rsid w:val="B57C50A0"/>
    <w:rsid w:val="B66C6CE0"/>
    <w:rsid w:val="B6DF8FFA"/>
    <w:rsid w:val="B7DD3429"/>
    <w:rsid w:val="B7EBCA50"/>
    <w:rsid w:val="B9E78809"/>
    <w:rsid w:val="BA7B23C6"/>
    <w:rsid w:val="BB5ADED3"/>
    <w:rsid w:val="BB6EC09B"/>
    <w:rsid w:val="BBCF3801"/>
    <w:rsid w:val="BBD7AE1B"/>
    <w:rsid w:val="BBDF29AD"/>
    <w:rsid w:val="BBF9D7F0"/>
    <w:rsid w:val="BBFFD2BC"/>
    <w:rsid w:val="BC5D1E1F"/>
    <w:rsid w:val="BC95ECAA"/>
    <w:rsid w:val="BD7F628E"/>
    <w:rsid w:val="BDDF5BFA"/>
    <w:rsid w:val="BDFC7D64"/>
    <w:rsid w:val="BDFF4E8F"/>
    <w:rsid w:val="BEFF4E3D"/>
    <w:rsid w:val="BF673B9F"/>
    <w:rsid w:val="BF6FDB5C"/>
    <w:rsid w:val="BFBD325B"/>
    <w:rsid w:val="BFBF09FC"/>
    <w:rsid w:val="BFC322D9"/>
    <w:rsid w:val="BFCB8A42"/>
    <w:rsid w:val="BFCD0895"/>
    <w:rsid w:val="BFCEEA36"/>
    <w:rsid w:val="BFD7CE5F"/>
    <w:rsid w:val="BFDF0599"/>
    <w:rsid w:val="BFDF7984"/>
    <w:rsid w:val="BFE63D6F"/>
    <w:rsid w:val="BFF74382"/>
    <w:rsid w:val="BFFAD73D"/>
    <w:rsid w:val="BFFC758B"/>
    <w:rsid w:val="BFFF23F0"/>
    <w:rsid w:val="C3DFDEB2"/>
    <w:rsid w:val="C3FF969A"/>
    <w:rsid w:val="C67E97BC"/>
    <w:rsid w:val="C78666CF"/>
    <w:rsid w:val="C7BF7E4C"/>
    <w:rsid w:val="C7BF8F96"/>
    <w:rsid w:val="C9FF584D"/>
    <w:rsid w:val="CA3FFED0"/>
    <w:rsid w:val="CA9E0542"/>
    <w:rsid w:val="CE0B829A"/>
    <w:rsid w:val="CE7F9534"/>
    <w:rsid w:val="CEBF23E7"/>
    <w:rsid w:val="CEFB54CB"/>
    <w:rsid w:val="CFCB79A7"/>
    <w:rsid w:val="CFF39811"/>
    <w:rsid w:val="CFF64AB2"/>
    <w:rsid w:val="D37EA8C8"/>
    <w:rsid w:val="D476E67D"/>
    <w:rsid w:val="D4E4A7C8"/>
    <w:rsid w:val="D5BF8CBD"/>
    <w:rsid w:val="D5DB7840"/>
    <w:rsid w:val="D6FDA8F7"/>
    <w:rsid w:val="D7C78CF3"/>
    <w:rsid w:val="D7FB6937"/>
    <w:rsid w:val="DA3FA6F5"/>
    <w:rsid w:val="DAF3A948"/>
    <w:rsid w:val="DBABAC5A"/>
    <w:rsid w:val="DBD66B80"/>
    <w:rsid w:val="DC7F8152"/>
    <w:rsid w:val="DCFDE5F4"/>
    <w:rsid w:val="DCFFEE00"/>
    <w:rsid w:val="DD77DDE7"/>
    <w:rsid w:val="DEDA0DF4"/>
    <w:rsid w:val="DEDE41C7"/>
    <w:rsid w:val="DEF630FE"/>
    <w:rsid w:val="DF36F877"/>
    <w:rsid w:val="DFDEB38E"/>
    <w:rsid w:val="DFF3FF6E"/>
    <w:rsid w:val="DFFD5931"/>
    <w:rsid w:val="DFFF03E3"/>
    <w:rsid w:val="DFFF75E0"/>
    <w:rsid w:val="DFFFE721"/>
    <w:rsid w:val="E31B3C0C"/>
    <w:rsid w:val="E36FDE3C"/>
    <w:rsid w:val="E5ACEF16"/>
    <w:rsid w:val="E6C7A3BF"/>
    <w:rsid w:val="E73BD055"/>
    <w:rsid w:val="E7BF5F01"/>
    <w:rsid w:val="E7EF3B7C"/>
    <w:rsid w:val="E7FD8256"/>
    <w:rsid w:val="EA5959D1"/>
    <w:rsid w:val="EABA3A9E"/>
    <w:rsid w:val="EB104BC0"/>
    <w:rsid w:val="EB6A5F78"/>
    <w:rsid w:val="EB7B0CBE"/>
    <w:rsid w:val="EB8F1CAD"/>
    <w:rsid w:val="EBE7EE2B"/>
    <w:rsid w:val="EBF5909A"/>
    <w:rsid w:val="EC1FF102"/>
    <w:rsid w:val="EC7F3945"/>
    <w:rsid w:val="EC9F3D0D"/>
    <w:rsid w:val="ECFDF13B"/>
    <w:rsid w:val="ED5B766E"/>
    <w:rsid w:val="ED7F5C04"/>
    <w:rsid w:val="EDFFCAA2"/>
    <w:rsid w:val="EEE7D9C7"/>
    <w:rsid w:val="EEFD1410"/>
    <w:rsid w:val="EEFFC3FD"/>
    <w:rsid w:val="EF6E5DA5"/>
    <w:rsid w:val="EF7B1C9D"/>
    <w:rsid w:val="EFBE3080"/>
    <w:rsid w:val="EFBF0E45"/>
    <w:rsid w:val="EFBF4AE5"/>
    <w:rsid w:val="EFDD931C"/>
    <w:rsid w:val="EFDF2384"/>
    <w:rsid w:val="EFDF34B7"/>
    <w:rsid w:val="EFDF6BCA"/>
    <w:rsid w:val="EFF7EA5F"/>
    <w:rsid w:val="EFF85A12"/>
    <w:rsid w:val="EFFFE180"/>
    <w:rsid w:val="F0BBB1A5"/>
    <w:rsid w:val="F0F9156B"/>
    <w:rsid w:val="F1FF066A"/>
    <w:rsid w:val="F27BA135"/>
    <w:rsid w:val="F2FE7060"/>
    <w:rsid w:val="F35D227E"/>
    <w:rsid w:val="F37B8A7B"/>
    <w:rsid w:val="F3DD7532"/>
    <w:rsid w:val="F3E30C9F"/>
    <w:rsid w:val="F3E51A12"/>
    <w:rsid w:val="F3F74C69"/>
    <w:rsid w:val="F4CF9D50"/>
    <w:rsid w:val="F4DE5DC7"/>
    <w:rsid w:val="F4EE9059"/>
    <w:rsid w:val="F4F1E22D"/>
    <w:rsid w:val="F567CE17"/>
    <w:rsid w:val="F5DCB1D2"/>
    <w:rsid w:val="F6CE5A38"/>
    <w:rsid w:val="F6EE2314"/>
    <w:rsid w:val="F6FBC909"/>
    <w:rsid w:val="F6FE41B0"/>
    <w:rsid w:val="F6FEE64B"/>
    <w:rsid w:val="F712BA15"/>
    <w:rsid w:val="F7721A95"/>
    <w:rsid w:val="F773BDB7"/>
    <w:rsid w:val="F7788245"/>
    <w:rsid w:val="F797CB42"/>
    <w:rsid w:val="F7BD30DA"/>
    <w:rsid w:val="F7BF0879"/>
    <w:rsid w:val="F7DE0DF6"/>
    <w:rsid w:val="F7DF01D1"/>
    <w:rsid w:val="F7DFEB7E"/>
    <w:rsid w:val="F7E8D199"/>
    <w:rsid w:val="F7EF7774"/>
    <w:rsid w:val="F7F5ED89"/>
    <w:rsid w:val="F7F89D7E"/>
    <w:rsid w:val="F7F90C7F"/>
    <w:rsid w:val="F8EB5781"/>
    <w:rsid w:val="F9FF6532"/>
    <w:rsid w:val="F9FFC29E"/>
    <w:rsid w:val="FA37391E"/>
    <w:rsid w:val="FAD7387C"/>
    <w:rsid w:val="FAFBFD0C"/>
    <w:rsid w:val="FAFFCB08"/>
    <w:rsid w:val="FB5FB977"/>
    <w:rsid w:val="FBDFBFEE"/>
    <w:rsid w:val="FBF3ED01"/>
    <w:rsid w:val="FBFDFE8E"/>
    <w:rsid w:val="FBFFB053"/>
    <w:rsid w:val="FBFFDB2F"/>
    <w:rsid w:val="FCBB2BA5"/>
    <w:rsid w:val="FD67DF2F"/>
    <w:rsid w:val="FD7D30A0"/>
    <w:rsid w:val="FD9B8DE5"/>
    <w:rsid w:val="FDB95E0C"/>
    <w:rsid w:val="FDEFED96"/>
    <w:rsid w:val="FDF3269A"/>
    <w:rsid w:val="FDF3BE0E"/>
    <w:rsid w:val="FDF58A58"/>
    <w:rsid w:val="FDF7C157"/>
    <w:rsid w:val="FDFEDD6A"/>
    <w:rsid w:val="FDFFEE3B"/>
    <w:rsid w:val="FE4F81BF"/>
    <w:rsid w:val="FE71E818"/>
    <w:rsid w:val="FE734873"/>
    <w:rsid w:val="FE77D310"/>
    <w:rsid w:val="FE7D9FE0"/>
    <w:rsid w:val="FE7F3D5E"/>
    <w:rsid w:val="FECB36C9"/>
    <w:rsid w:val="FEF4CE68"/>
    <w:rsid w:val="FEF56E0D"/>
    <w:rsid w:val="FEF5AB1D"/>
    <w:rsid w:val="FEFB9A65"/>
    <w:rsid w:val="FEFF4F97"/>
    <w:rsid w:val="FEFFDF47"/>
    <w:rsid w:val="FF3F2840"/>
    <w:rsid w:val="FF47F192"/>
    <w:rsid w:val="FF4EB1C5"/>
    <w:rsid w:val="FF6E8AB3"/>
    <w:rsid w:val="FF74A483"/>
    <w:rsid w:val="FF9187DE"/>
    <w:rsid w:val="FFBB5D76"/>
    <w:rsid w:val="FFBD2608"/>
    <w:rsid w:val="FFBF36B6"/>
    <w:rsid w:val="FFBF5E23"/>
    <w:rsid w:val="FFBFB400"/>
    <w:rsid w:val="FFC1E81B"/>
    <w:rsid w:val="FFD271E0"/>
    <w:rsid w:val="FFD709CB"/>
    <w:rsid w:val="FFDEDCE8"/>
    <w:rsid w:val="FFDF64D8"/>
    <w:rsid w:val="FFE5ED5F"/>
    <w:rsid w:val="FFEDE37E"/>
    <w:rsid w:val="FFEE8B43"/>
    <w:rsid w:val="FFF75DA0"/>
    <w:rsid w:val="FFF79BCA"/>
    <w:rsid w:val="FFF7A769"/>
    <w:rsid w:val="FFFB2740"/>
    <w:rsid w:val="FFFBECB9"/>
    <w:rsid w:val="FFFC0E88"/>
    <w:rsid w:val="FFFCC659"/>
    <w:rsid w:val="FFFEA9A9"/>
    <w:rsid w:val="FFFF05BC"/>
    <w:rsid w:val="FFFF6C94"/>
    <w:rsid w:val="FFFF6F6B"/>
    <w:rsid w:val="FFFF871A"/>
    <w:rsid w:val="FFFF950A"/>
    <w:rsid w:val="FFFFC177"/>
    <w:rsid w:val="FFFFD3C9"/>
    <w:rsid w:val="FFFFD4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9"/>
    <w:pPr>
      <w:keepNext/>
      <w:keepLines/>
      <w:widowControl/>
      <w:spacing w:line="560" w:lineRule="exact"/>
      <w:ind w:firstLine="200" w:firstLineChars="200"/>
      <w:outlineLvl w:val="1"/>
    </w:pPr>
    <w:rPr>
      <w:rFonts w:eastAsia="黑体" w:asciiTheme="majorHAnsi" w:hAnsiTheme="majorHAnsi" w:cstheme="majorBidi"/>
      <w:bCs/>
      <w:kern w:val="0"/>
      <w:sz w:val="32"/>
      <w:szCs w:val="32"/>
    </w:rPr>
  </w:style>
  <w:style w:type="character" w:default="1" w:styleId="10">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style>
  <w:style w:type="paragraph" w:styleId="4">
    <w:name w:val="Normal Indent"/>
    <w:basedOn w:val="1"/>
    <w:next w:val="1"/>
    <w:unhideWhenUsed/>
    <w:qFormat/>
    <w:uiPriority w:val="99"/>
    <w:pPr>
      <w:widowControl w:val="0"/>
      <w:ind w:firstLine="420"/>
      <w:jc w:val="both"/>
    </w:pPr>
    <w:rPr>
      <w:rFonts w:ascii="Times New Roman" w:hAnsi="Calibri" w:eastAsia="宋体" w:cs="Times New Roman"/>
      <w:kern w:val="2"/>
      <w:sz w:val="21"/>
      <w:szCs w:val="20"/>
      <w:lang w:val="en-US" w:eastAsia="zh-CN" w:bidi="ar-SA"/>
    </w:rPr>
  </w:style>
  <w:style w:type="paragraph" w:styleId="5">
    <w:name w:val="Body Text"/>
    <w:basedOn w:val="1"/>
    <w:qFormat/>
    <w:uiPriority w:val="0"/>
    <w:pPr>
      <w:spacing w:after="120"/>
    </w:pPr>
    <w:rPr>
      <w:rFonts w:ascii="Calibri" w:hAnsi="Calibri" w:eastAsia="宋体" w:cs="Times New Roman"/>
      <w:szCs w:val="24"/>
    </w:rPr>
  </w:style>
  <w:style w:type="paragraph" w:styleId="6">
    <w:name w:val="Plain Text"/>
    <w:basedOn w:val="1"/>
    <w:next w:val="1"/>
    <w:qFormat/>
    <w:uiPriority w:val="0"/>
    <w:rPr>
      <w:rFonts w:ascii="宋体" w:hAnsi="Courier New" w:cs="Courier New"/>
      <w:szCs w:val="21"/>
    </w:rPr>
  </w:style>
  <w:style w:type="paragraph" w:styleId="7">
    <w:name w:val="Balloon Text"/>
    <w:basedOn w:val="1"/>
    <w:link w:val="15"/>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2">
    <w:name w:val="List Paragraph"/>
    <w:basedOn w:val="1"/>
    <w:qFormat/>
    <w:uiPriority w:val="34"/>
    <w:pPr>
      <w:ind w:firstLine="420" w:firstLineChars="200"/>
    </w:pPr>
  </w:style>
  <w:style w:type="character" w:customStyle="1" w:styleId="13">
    <w:name w:val="页眉 Char"/>
    <w:basedOn w:val="10"/>
    <w:link w:val="9"/>
    <w:qFormat/>
    <w:uiPriority w:val="99"/>
    <w:rPr>
      <w:sz w:val="18"/>
      <w:szCs w:val="18"/>
    </w:rPr>
  </w:style>
  <w:style w:type="character" w:customStyle="1" w:styleId="14">
    <w:name w:val="页脚 Char"/>
    <w:basedOn w:val="10"/>
    <w:link w:val="8"/>
    <w:qFormat/>
    <w:uiPriority w:val="99"/>
    <w:rPr>
      <w:sz w:val="18"/>
      <w:szCs w:val="18"/>
    </w:rPr>
  </w:style>
  <w:style w:type="character" w:customStyle="1" w:styleId="15">
    <w:name w:val="批注框文本 Char"/>
    <w:basedOn w:val="10"/>
    <w:link w:val="7"/>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40"/>
      <w:szCs w:val="40"/>
      <w:u w:val="none"/>
    </w:rPr>
  </w:style>
  <w:style w:type="character" w:customStyle="1" w:styleId="17">
    <w:name w:val="font41"/>
    <w:basedOn w:val="10"/>
    <w:qFormat/>
    <w:uiPriority w:val="0"/>
    <w:rPr>
      <w:rFonts w:hint="eastAsia" w:ascii="宋体" w:hAnsi="宋体" w:eastAsia="宋体" w:cs="宋体"/>
      <w:color w:val="000000"/>
      <w:sz w:val="20"/>
      <w:szCs w:val="20"/>
      <w:u w:val="none"/>
    </w:rPr>
  </w:style>
  <w:style w:type="character" w:customStyle="1" w:styleId="18">
    <w:name w:val="font12"/>
    <w:basedOn w:val="10"/>
    <w:qFormat/>
    <w:uiPriority w:val="0"/>
    <w:rPr>
      <w:rFonts w:hint="eastAsia" w:ascii="宋体" w:hAnsi="宋体" w:eastAsia="宋体" w:cs="宋体"/>
      <w:color w:val="000000"/>
      <w:sz w:val="20"/>
      <w:szCs w:val="20"/>
      <w:u w:val="none"/>
    </w:rPr>
  </w:style>
  <w:style w:type="character" w:customStyle="1" w:styleId="19">
    <w:name w:val="font31"/>
    <w:basedOn w:val="1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835</Words>
  <Characters>4763</Characters>
  <Lines>39</Lines>
  <Paragraphs>11</Paragraphs>
  <ScaleCrop>false</ScaleCrop>
  <LinksUpToDate>false</LinksUpToDate>
  <CharactersWithSpaces>5587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2023-02-17T05:32:00Z</dcterms:created>
  <dc:creator>Administrator</dc:creator>
  <cp:lastModifiedBy>张瑞</cp:lastModifiedBy>
  <cp:lastPrinted>2025-03-18T14:37:00Z</cp:lastPrinted>
  <dcterms:modified xsi:type="dcterms:W3CDTF">2025-08-25T12:15:19Z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