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both"/>
        <w:rPr>
          <w:rFonts w:ascii="Times New Roman" w:hAnsi="Times New Roman" w:eastAsia="宋体" w:cs="Times New Roman"/>
          <w:b/>
          <w:kern w:val="0"/>
          <w:sz w:val="36"/>
          <w:szCs w:val="36"/>
        </w:rPr>
      </w:pP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outlineLvl w:val="9"/>
        <w:rPr>
          <w:rFonts w:hint="eastAsia"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lang w:eastAsia="zh-CN"/>
        </w:rPr>
        <w:t>中央财政</w:t>
      </w:r>
      <w:r>
        <w:rPr>
          <w:rFonts w:hint="eastAsia" w:ascii="方正小标宋简体" w:hAnsi="方正小标宋简体" w:eastAsia="方正小标宋简体" w:cs="方正小标宋简体"/>
          <w:color w:val="000000"/>
          <w:kern w:val="0"/>
          <w:sz w:val="44"/>
          <w:szCs w:val="44"/>
        </w:rPr>
        <w:t>医疗服务与保障能力提升补助资金</w:t>
      </w: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outlineLvl w:val="9"/>
        <w:rPr>
          <w:rFonts w:hint="eastAsia" w:ascii="方正小标宋简体" w:hAnsi="方正小标宋简体" w:eastAsia="方正小标宋简体" w:cs="方正小标宋简体"/>
          <w:color w:val="000000"/>
          <w:kern w:val="0"/>
          <w:sz w:val="44"/>
          <w:szCs w:val="44"/>
          <w:lang w:eastAsia="zh-CN"/>
        </w:rPr>
      </w:pPr>
      <w:r>
        <w:rPr>
          <w:rFonts w:hint="eastAsia" w:ascii="方正小标宋简体" w:hAnsi="方正小标宋简体" w:eastAsia="方正小标宋简体" w:cs="方正小标宋简体"/>
          <w:color w:val="000000"/>
          <w:kern w:val="0"/>
          <w:sz w:val="44"/>
          <w:szCs w:val="44"/>
        </w:rPr>
        <w:t>（医疗保障服务能力建设部分）202</w:t>
      </w:r>
      <w:r>
        <w:rPr>
          <w:rFonts w:hint="eastAsia" w:ascii="方正小标宋简体" w:hAnsi="方正小标宋简体" w:eastAsia="方正小标宋简体" w:cs="方正小标宋简体"/>
          <w:color w:val="000000"/>
          <w:kern w:val="0"/>
          <w:sz w:val="44"/>
          <w:szCs w:val="44"/>
          <w:lang w:val="en-US" w:eastAsia="zh-CN"/>
        </w:rPr>
        <w:t>4</w:t>
      </w:r>
      <w:r>
        <w:rPr>
          <w:rFonts w:hint="eastAsia" w:ascii="方正小标宋简体" w:hAnsi="方正小标宋简体" w:eastAsia="方正小标宋简体" w:cs="方正小标宋简体"/>
          <w:color w:val="000000"/>
          <w:kern w:val="0"/>
          <w:sz w:val="44"/>
          <w:szCs w:val="44"/>
        </w:rPr>
        <w:t>年</w:t>
      </w:r>
      <w:r>
        <w:rPr>
          <w:rFonts w:hint="eastAsia" w:ascii="方正小标宋简体" w:hAnsi="方正小标宋简体" w:eastAsia="方正小标宋简体" w:cs="方正小标宋简体"/>
          <w:color w:val="000000"/>
          <w:kern w:val="0"/>
          <w:sz w:val="44"/>
          <w:szCs w:val="44"/>
          <w:lang w:eastAsia="zh-CN"/>
        </w:rPr>
        <w:t>度</w:t>
      </w: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outlineLvl w:val="9"/>
        <w:rPr>
          <w:rFonts w:hint="eastAsia"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绩效</w:t>
      </w:r>
      <w:r>
        <w:rPr>
          <w:rFonts w:hint="eastAsia" w:ascii="方正小标宋简体" w:hAnsi="方正小标宋简体" w:eastAsia="方正小标宋简体" w:cs="方正小标宋简体"/>
          <w:color w:val="000000"/>
          <w:kern w:val="0"/>
          <w:sz w:val="44"/>
          <w:szCs w:val="44"/>
          <w:lang w:eastAsia="zh-CN"/>
        </w:rPr>
        <w:t>自评</w:t>
      </w:r>
      <w:r>
        <w:rPr>
          <w:rFonts w:hint="eastAsia" w:ascii="方正小标宋简体" w:hAnsi="方正小标宋简体" w:eastAsia="方正小标宋简体" w:cs="方正小标宋简体"/>
          <w:color w:val="000000"/>
          <w:kern w:val="0"/>
          <w:sz w:val="44"/>
          <w:szCs w:val="44"/>
        </w:rPr>
        <w:t>报告</w:t>
      </w:r>
      <w:bookmarkStart w:id="0" w:name="_Toc16660"/>
      <w:bookmarkStart w:id="1" w:name="_Toc6096"/>
      <w:bookmarkStart w:id="2" w:name="_Toc28909"/>
      <w:bookmarkStart w:id="3" w:name="_Toc451"/>
    </w:p>
    <w:p>
      <w:pPr>
        <w:pageBreakBefore w:val="0"/>
        <w:kinsoku/>
        <w:wordWrap/>
        <w:overflowPunct/>
        <w:topLinePunct w:val="0"/>
        <w:autoSpaceDE/>
        <w:autoSpaceDN/>
        <w:bidi w:val="0"/>
        <w:adjustRightInd w:val="0"/>
        <w:snapToGrid w:val="0"/>
        <w:spacing w:line="560" w:lineRule="exact"/>
        <w:ind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根据《北京市财政局关于开展202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年度中央对地方转移支付预算执行情况绩效自评工作的通知》（京财绩效〔</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218号</w:t>
      </w:r>
      <w:r>
        <w:rPr>
          <w:rFonts w:hint="eastAsia" w:ascii="仿宋_GB2312" w:hAnsi="仿宋_GB2312" w:eastAsia="仿宋_GB2312" w:cs="仿宋_GB2312"/>
          <w:sz w:val="32"/>
          <w:szCs w:val="32"/>
          <w:lang w:eastAsia="zh-CN"/>
        </w:rPr>
        <w:t>）精神，北京市医疗保障局开展了202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年度医疗服务与保障能力提升补助资金(医疗保障服务能力建设部分)（简称“补助资金”）绩效自评工作，现将相关情况报告如下：</w:t>
      </w:r>
    </w:p>
    <w:bookmarkEnd w:id="0"/>
    <w:bookmarkEnd w:id="1"/>
    <w:p>
      <w:pPr>
        <w:keepNext w:val="0"/>
        <w:keepLines w:val="0"/>
        <w:pageBreakBefore w:val="0"/>
        <w:kinsoku/>
        <w:wordWrap/>
        <w:overflowPunct/>
        <w:topLinePunct w:val="0"/>
        <w:autoSpaceDE/>
        <w:autoSpaceDN/>
        <w:bidi w:val="0"/>
        <w:spacing w:line="560" w:lineRule="exact"/>
        <w:ind w:left="0" w:leftChars="0" w:firstLine="640" w:firstLineChars="200"/>
        <w:jc w:val="left"/>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一、绩效目标分解下达情况</w:t>
      </w:r>
    </w:p>
    <w:p>
      <w:pPr>
        <w:keepNext w:val="0"/>
        <w:keepLines w:val="0"/>
        <w:pageBreakBefore w:val="0"/>
        <w:kinsoku/>
        <w:wordWrap/>
        <w:overflowPunct/>
        <w:topLinePunct w:val="0"/>
        <w:autoSpaceDE/>
        <w:autoSpaceDN/>
        <w:bidi w:val="0"/>
        <w:spacing w:line="560" w:lineRule="exact"/>
        <w:ind w:left="0" w:leftChars="0" w:firstLine="640" w:firstLineChars="200"/>
        <w:jc w:val="left"/>
        <w:textAlignment w:val="auto"/>
        <w:rPr>
          <w:sz w:val="32"/>
          <w:szCs w:val="32"/>
        </w:rPr>
      </w:pPr>
      <w:r>
        <w:rPr>
          <w:rFonts w:hint="eastAsia" w:ascii="仿宋_GB2312" w:hAnsi="仿宋_GB2312" w:eastAsia="仿宋_GB2312" w:cs="仿宋_GB2312"/>
          <w:sz w:val="32"/>
          <w:szCs w:val="32"/>
          <w:lang w:eastAsia="zh-CN"/>
        </w:rPr>
        <w:t>为支持各地加强医疗保障能力建设，中央下达了医疗服务与保障能力提升补助资金（医疗保障服务能力建设部分）。北京市医疗保障局认真落实党中央、国务院决策部署和国家医保局工作要求，扎实做好补助资金使用管理工作，切实保障重点项目的资金需求，保障国家医保局部署的重点工作任务，有效提升了</w:t>
      </w:r>
      <w:r>
        <w:rPr>
          <w:rFonts w:hint="eastAsia" w:ascii="仿宋_GB2312" w:hAnsi="仿宋_GB2312" w:eastAsia="仿宋_GB2312" w:cs="仿宋_GB2312"/>
          <w:color w:val="000000"/>
          <w:kern w:val="0"/>
          <w:sz w:val="32"/>
          <w:szCs w:val="32"/>
          <w:lang w:eastAsia="zh-CN" w:bidi="ar"/>
        </w:rPr>
        <w:t>医保信息化标准化、基金监管、经</w:t>
      </w:r>
      <w:r>
        <w:rPr>
          <w:rFonts w:hint="eastAsia" w:ascii="仿宋_GB2312" w:hAnsi="仿宋_GB2312" w:eastAsia="仿宋_GB2312" w:cs="仿宋_GB2312"/>
          <w:color w:val="000000"/>
          <w:kern w:val="0"/>
          <w:sz w:val="32"/>
          <w:szCs w:val="32"/>
          <w:highlight w:val="none"/>
          <w:lang w:eastAsia="zh-CN" w:bidi="ar"/>
        </w:rPr>
        <w:t>办管理、目录监管水平，推进了医保支付方式、药品和医用耗材集中带量采购、医疗服务价格等改革任务。</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outlineLvl w:val="1"/>
        <w:rPr>
          <w:rFonts w:ascii="仿宋_GB2312" w:hAnsi="仿宋_GB2312" w:eastAsia="仿宋_GB2312" w:cs="仿宋_GB2312"/>
          <w:b w:val="0"/>
          <w:bCs w:val="0"/>
          <w:color w:val="000000" w:themeColor="text1"/>
          <w:sz w:val="32"/>
          <w:szCs w:val="32"/>
          <w14:textFill>
            <w14:solidFill>
              <w14:schemeClr w14:val="tx1"/>
            </w14:solidFill>
          </w14:textFill>
        </w:rPr>
      </w:pPr>
      <w:bookmarkStart w:id="4" w:name="_Toc7921"/>
      <w:bookmarkStart w:id="5" w:name="_Toc28023"/>
      <w:r>
        <w:rPr>
          <w:rFonts w:hint="eastAsia" w:ascii="楷体_GB2312" w:hAnsi="楷体_GB2312" w:eastAsia="楷体_GB2312" w:cs="楷体_GB2312"/>
          <w:b w:val="0"/>
          <w:bCs w:val="0"/>
          <w:sz w:val="32"/>
          <w:szCs w:val="32"/>
        </w:rPr>
        <w:t>（一）</w:t>
      </w:r>
      <w:bookmarkEnd w:id="4"/>
      <w:bookmarkStart w:id="6" w:name="_Toc21425"/>
      <w:r>
        <w:rPr>
          <w:rFonts w:hint="eastAsia" w:ascii="楷体_GB2312" w:hAnsi="楷体_GB2312" w:eastAsia="楷体_GB2312" w:cs="楷体_GB2312"/>
          <w:b w:val="0"/>
          <w:bCs w:val="0"/>
          <w:sz w:val="32"/>
          <w:szCs w:val="32"/>
        </w:rPr>
        <w:t>资金下达情况</w:t>
      </w:r>
      <w:bookmarkEnd w:id="5"/>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月，财政部 国家医保局印发《关于提前下达202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年中央财政医疗服务与保障能力提升补助资金（医疗保障服务能力建设部分）预算的通知》（财社〔202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〕141号），下达北京市202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年补助资金4</w:t>
      </w:r>
      <w:r>
        <w:rPr>
          <w:rFonts w:hint="eastAsia" w:ascii="仿宋_GB2312" w:hAnsi="仿宋_GB2312" w:eastAsia="仿宋_GB2312" w:cs="仿宋_GB2312"/>
          <w:sz w:val="32"/>
          <w:szCs w:val="32"/>
          <w:lang w:val="en-US" w:eastAsia="zh-CN"/>
        </w:rPr>
        <w:t>640</w:t>
      </w:r>
      <w:r>
        <w:rPr>
          <w:rFonts w:hint="eastAsia" w:ascii="仿宋_GB2312" w:hAnsi="仿宋_GB2312" w:eastAsia="仿宋_GB2312" w:cs="仿宋_GB2312"/>
          <w:sz w:val="32"/>
          <w:szCs w:val="32"/>
        </w:rPr>
        <w:t>万元；202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月，财政部 国家医保局印发《关于下达202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中央财政</w:t>
      </w:r>
      <w:r>
        <w:rPr>
          <w:rFonts w:hint="eastAsia" w:ascii="仿宋_GB2312" w:hAnsi="仿宋_GB2312" w:eastAsia="仿宋_GB2312" w:cs="仿宋_GB2312"/>
          <w:sz w:val="32"/>
          <w:szCs w:val="32"/>
        </w:rPr>
        <w:t>医疗服务与保障能力提升补助资金（医疗保障服务能力建设部分）预算的通知》（财社〔202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号），下达北京市202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年补助资金2</w:t>
      </w:r>
      <w:r>
        <w:rPr>
          <w:rFonts w:hint="eastAsia" w:ascii="仿宋_GB2312" w:hAnsi="仿宋_GB2312" w:eastAsia="仿宋_GB2312" w:cs="仿宋_GB2312"/>
          <w:sz w:val="32"/>
          <w:szCs w:val="32"/>
          <w:lang w:val="en-US" w:eastAsia="zh-CN"/>
        </w:rPr>
        <w:t>396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当年度资金</w:t>
      </w:r>
      <w:r>
        <w:rPr>
          <w:rFonts w:hint="eastAsia" w:ascii="仿宋_GB2312" w:hAnsi="仿宋_GB2312" w:eastAsia="仿宋_GB2312" w:cs="仿宋_GB2312"/>
          <w:sz w:val="32"/>
          <w:szCs w:val="32"/>
        </w:rPr>
        <w:t>两批共计下达</w:t>
      </w:r>
      <w:r>
        <w:rPr>
          <w:rFonts w:hint="eastAsia" w:ascii="仿宋_GB2312" w:hAnsi="仿宋_GB2312" w:eastAsia="仿宋_GB2312" w:cs="仿宋_GB2312"/>
          <w:sz w:val="32"/>
          <w:szCs w:val="32"/>
          <w:lang w:val="en-US" w:eastAsia="zh-CN"/>
        </w:rPr>
        <w:t>7036</w:t>
      </w:r>
      <w:r>
        <w:rPr>
          <w:rFonts w:hint="eastAsia" w:ascii="仿宋_GB2312" w:hAnsi="仿宋_GB2312" w:eastAsia="仿宋_GB2312" w:cs="仿宋_GB2312"/>
          <w:sz w:val="32"/>
          <w:szCs w:val="32"/>
        </w:rPr>
        <w:t>万元。</w:t>
      </w:r>
    </w:p>
    <w:bookmarkEnd w:id="6"/>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outlineLvl w:val="1"/>
        <w:rPr>
          <w:rFonts w:hint="eastAsia" w:ascii="楷体_GB2312" w:hAnsi="楷体_GB2312" w:eastAsia="楷体_GB2312" w:cs="楷体_GB2312"/>
          <w:b w:val="0"/>
          <w:bCs w:val="0"/>
          <w:sz w:val="32"/>
          <w:szCs w:val="32"/>
          <w:lang w:eastAsia="zh-CN"/>
        </w:rPr>
      </w:pPr>
      <w:bookmarkStart w:id="7" w:name="_Toc9617"/>
      <w:r>
        <w:rPr>
          <w:rFonts w:hint="eastAsia" w:ascii="楷体_GB2312" w:hAnsi="楷体_GB2312" w:eastAsia="楷体_GB2312" w:cs="楷体_GB2312"/>
          <w:b w:val="0"/>
          <w:bCs w:val="0"/>
          <w:sz w:val="32"/>
          <w:szCs w:val="32"/>
          <w:lang w:val="en-US" w:eastAsia="zh-CN"/>
        </w:rPr>
        <w:t>（二）历年结转结余情况</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Cs/>
          <w:sz w:val="32"/>
          <w:szCs w:val="32"/>
          <w:shd w:val="clear" w:color="auto" w:fill="FFFFFF"/>
          <w:lang w:eastAsia="zh-CN"/>
        </w:rPr>
      </w:pPr>
      <w:r>
        <w:rPr>
          <w:rFonts w:hint="eastAsia" w:ascii="仿宋_GB2312" w:hAnsi="仿宋_GB2312" w:eastAsia="仿宋_GB2312" w:cs="仿宋_GB2312"/>
          <w:bCs/>
          <w:sz w:val="32"/>
          <w:szCs w:val="32"/>
          <w:shd w:val="clear" w:color="auto" w:fill="FFFFFF"/>
          <w:lang w:eastAsia="zh-CN"/>
        </w:rPr>
        <w:t>北京市</w:t>
      </w:r>
      <w:r>
        <w:rPr>
          <w:rFonts w:hint="eastAsia" w:ascii="仿宋_GB2312" w:hAnsi="仿宋_GB2312" w:eastAsia="仿宋_GB2312" w:cs="仿宋_GB2312"/>
          <w:bCs/>
          <w:sz w:val="32"/>
          <w:szCs w:val="32"/>
          <w:shd w:val="clear" w:color="auto" w:fill="FFFFFF"/>
        </w:rPr>
        <w:t>202</w:t>
      </w:r>
      <w:r>
        <w:rPr>
          <w:rFonts w:hint="eastAsia" w:ascii="仿宋_GB2312" w:hAnsi="仿宋_GB2312" w:eastAsia="仿宋_GB2312" w:cs="仿宋_GB2312"/>
          <w:bCs/>
          <w:sz w:val="32"/>
          <w:szCs w:val="32"/>
          <w:shd w:val="clear" w:color="auto" w:fill="FFFFFF"/>
          <w:lang w:val="en-US" w:eastAsia="zh-CN"/>
        </w:rPr>
        <w:t>3</w:t>
      </w:r>
      <w:r>
        <w:rPr>
          <w:rFonts w:hint="eastAsia" w:ascii="仿宋_GB2312" w:hAnsi="仿宋_GB2312" w:eastAsia="仿宋_GB2312" w:cs="仿宋_GB2312"/>
          <w:bCs/>
          <w:sz w:val="32"/>
          <w:szCs w:val="32"/>
          <w:shd w:val="clear" w:color="auto" w:fill="FFFFFF"/>
        </w:rPr>
        <w:t>年补助资金结转至202</w:t>
      </w:r>
      <w:r>
        <w:rPr>
          <w:rFonts w:hint="eastAsia" w:ascii="仿宋_GB2312" w:hAnsi="仿宋_GB2312" w:eastAsia="仿宋_GB2312" w:cs="仿宋_GB2312"/>
          <w:bCs/>
          <w:sz w:val="32"/>
          <w:szCs w:val="32"/>
          <w:shd w:val="clear" w:color="auto" w:fill="FFFFFF"/>
          <w:lang w:val="en-US" w:eastAsia="zh-CN"/>
        </w:rPr>
        <w:t>4</w:t>
      </w:r>
      <w:r>
        <w:rPr>
          <w:rFonts w:hint="eastAsia" w:ascii="仿宋_GB2312" w:hAnsi="仿宋_GB2312" w:eastAsia="仿宋_GB2312" w:cs="仿宋_GB2312"/>
          <w:bCs/>
          <w:sz w:val="32"/>
          <w:szCs w:val="32"/>
          <w:shd w:val="clear" w:color="auto" w:fill="FFFFFF"/>
        </w:rPr>
        <w:t>年金额为</w:t>
      </w:r>
      <w:r>
        <w:rPr>
          <w:rFonts w:hint="eastAsia" w:ascii="仿宋_GB2312" w:hAnsi="仿宋_GB2312" w:eastAsia="仿宋_GB2312" w:cs="仿宋_GB2312"/>
          <w:bCs/>
          <w:sz w:val="32"/>
          <w:szCs w:val="32"/>
          <w:shd w:val="clear" w:color="auto" w:fill="FFFFFF"/>
          <w:lang w:val="en-US" w:eastAsia="zh-CN"/>
        </w:rPr>
        <w:t>218.21万元，其中：市级结转</w:t>
      </w:r>
      <w:r>
        <w:rPr>
          <w:rFonts w:hint="eastAsia" w:ascii="仿宋_GB2312" w:hAnsi="仿宋_GB2312" w:eastAsia="仿宋_GB2312" w:cs="仿宋_GB2312"/>
          <w:bCs/>
          <w:sz w:val="32"/>
          <w:szCs w:val="32"/>
          <w:shd w:val="clear" w:color="auto" w:fill="FFFFFF"/>
        </w:rPr>
        <w:t>40.21万元</w:t>
      </w:r>
      <w:r>
        <w:rPr>
          <w:rFonts w:hint="eastAsia" w:ascii="仿宋_GB2312" w:hAnsi="仿宋_GB2312" w:eastAsia="仿宋_GB2312" w:cs="仿宋_GB2312"/>
          <w:bCs/>
          <w:sz w:val="32"/>
          <w:szCs w:val="32"/>
          <w:shd w:val="clear" w:color="auto" w:fill="FFFFFF"/>
          <w:lang w:eastAsia="zh-CN"/>
        </w:rPr>
        <w:t>，各区共结转</w:t>
      </w:r>
      <w:r>
        <w:rPr>
          <w:rFonts w:hint="eastAsia" w:ascii="仿宋_GB2312" w:hAnsi="仿宋_GB2312" w:eastAsia="仿宋_GB2312" w:cs="仿宋_GB2312"/>
          <w:bCs/>
          <w:sz w:val="32"/>
          <w:szCs w:val="32"/>
          <w:shd w:val="clear" w:color="auto" w:fill="FFFFFF"/>
          <w:lang w:val="en-US" w:eastAsia="zh-CN"/>
        </w:rPr>
        <w:t>178.00万元</w:t>
      </w:r>
      <w:r>
        <w:rPr>
          <w:rFonts w:hint="eastAsia" w:ascii="仿宋_GB2312" w:hAnsi="仿宋_GB2312" w:eastAsia="仿宋_GB2312" w:cs="仿宋_GB2312"/>
          <w:bCs/>
          <w:sz w:val="32"/>
          <w:szCs w:val="32"/>
          <w:shd w:val="clear" w:color="auto" w:fill="FFFFFF"/>
          <w:lang w:eastAsia="zh-CN"/>
        </w:rPr>
        <w:t>。</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outlineLvl w:val="1"/>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（三）省内资金安排情况</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bookmarkStart w:id="8" w:name="_Toc27530"/>
      <w:r>
        <w:rPr>
          <w:rFonts w:hint="eastAsia" w:ascii="仿宋_GB2312" w:hAnsi="仿宋_GB2312" w:eastAsia="仿宋_GB2312" w:cs="仿宋_GB2312"/>
          <w:sz w:val="32"/>
          <w:szCs w:val="32"/>
          <w:lang w:eastAsia="zh-CN"/>
        </w:rPr>
        <w:t>根据财政部、国家医保局的要求，结合北京市的实际情况，我们在</w:t>
      </w:r>
      <w:r>
        <w:rPr>
          <w:rFonts w:hint="eastAsia" w:ascii="仿宋_GB2312" w:hAnsi="仿宋_GB2312" w:eastAsia="仿宋_GB2312" w:cs="仿宋_GB2312"/>
          <w:sz w:val="32"/>
          <w:szCs w:val="32"/>
        </w:rPr>
        <w:t>强化统筹，</w:t>
      </w:r>
      <w:r>
        <w:rPr>
          <w:rFonts w:hint="eastAsia" w:ascii="仿宋_GB2312" w:hAnsi="仿宋_GB2312" w:eastAsia="仿宋_GB2312" w:cs="仿宋_GB2312"/>
          <w:sz w:val="32"/>
          <w:szCs w:val="32"/>
          <w:lang w:val="en-US" w:eastAsia="zh-CN"/>
        </w:rPr>
        <w:t>足额</w:t>
      </w:r>
      <w:r>
        <w:rPr>
          <w:rFonts w:hint="eastAsia" w:ascii="仿宋_GB2312" w:hAnsi="仿宋_GB2312" w:eastAsia="仿宋_GB2312" w:cs="仿宋_GB2312"/>
          <w:sz w:val="32"/>
          <w:szCs w:val="32"/>
        </w:rPr>
        <w:t>保障市级医疗服务与保障能力项目需求，</w:t>
      </w:r>
      <w:r>
        <w:rPr>
          <w:rFonts w:hint="eastAsia" w:ascii="仿宋_GB2312" w:hAnsi="仿宋_GB2312" w:eastAsia="仿宋_GB2312" w:cs="仿宋_GB2312"/>
          <w:sz w:val="32"/>
          <w:szCs w:val="32"/>
          <w:lang w:val="en-US" w:eastAsia="zh-CN"/>
        </w:rPr>
        <w:t>结合各区定点医疗机构、参保人数服务量等指标，分配各区医保局。</w:t>
      </w:r>
      <w:r>
        <w:rPr>
          <w:rFonts w:hint="eastAsia" w:ascii="仿宋_GB2312" w:hAnsi="仿宋_GB2312" w:eastAsia="仿宋_GB2312" w:cs="仿宋_GB2312"/>
          <w:sz w:val="32"/>
          <w:szCs w:val="32"/>
          <w:lang w:eastAsia="zh-CN"/>
        </w:rPr>
        <w:t>分配方案报市财政局同意后，对</w:t>
      </w:r>
      <w:r>
        <w:rPr>
          <w:rFonts w:hint="eastAsia" w:ascii="仿宋_GB2312" w:hAnsi="仿宋_GB2312" w:eastAsia="仿宋_GB2312" w:cs="仿宋_GB2312"/>
          <w:sz w:val="32"/>
          <w:szCs w:val="32"/>
          <w:lang w:val="en-US" w:eastAsia="zh-CN"/>
        </w:rPr>
        <w:t>2024年补助资金进行了分配。</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2024年度共分配</w:t>
      </w:r>
      <w:r>
        <w:rPr>
          <w:rFonts w:hint="eastAsia" w:ascii="仿宋_GB2312" w:hAnsi="仿宋_GB2312" w:eastAsia="仿宋_GB2312" w:cs="仿宋_GB2312"/>
          <w:sz w:val="32"/>
          <w:szCs w:val="32"/>
          <w:lang w:eastAsia="zh-CN"/>
        </w:rPr>
        <w:t>补助资金</w:t>
      </w:r>
      <w:r>
        <w:rPr>
          <w:rFonts w:hint="eastAsia" w:ascii="仿宋_GB2312" w:hAnsi="仿宋_GB2312" w:eastAsia="仿宋_GB2312" w:cs="仿宋_GB2312"/>
          <w:sz w:val="32"/>
          <w:szCs w:val="32"/>
          <w:lang w:val="en-US" w:eastAsia="zh-CN"/>
        </w:rPr>
        <w:t>7036</w:t>
      </w:r>
      <w:r>
        <w:rPr>
          <w:rFonts w:hint="eastAsia" w:ascii="仿宋_GB2312" w:hAnsi="仿宋_GB2312" w:eastAsia="仿宋_GB2312" w:cs="仿宋_GB2312"/>
          <w:sz w:val="32"/>
          <w:szCs w:val="32"/>
          <w:lang w:eastAsia="zh-CN"/>
        </w:rPr>
        <w:t>万元，其中：市级分配资金</w:t>
      </w:r>
      <w:r>
        <w:rPr>
          <w:rFonts w:hint="eastAsia" w:ascii="仿宋_GB2312" w:hAnsi="仿宋_GB2312" w:eastAsia="仿宋_GB2312" w:cs="仿宋_GB2312"/>
          <w:sz w:val="32"/>
          <w:szCs w:val="32"/>
          <w:lang w:val="en-US" w:eastAsia="zh-CN"/>
        </w:rPr>
        <w:t>2754.88万元，各区共分配资金4281.12万元。</w:t>
      </w:r>
    </w:p>
    <w:p>
      <w:pPr>
        <w:keepNext w:val="0"/>
        <w:keepLines w:val="0"/>
        <w:pageBreakBefore w:val="0"/>
        <w:numPr>
          <w:ilvl w:val="0"/>
          <w:numId w:val="1"/>
        </w:numPr>
        <w:kinsoku/>
        <w:wordWrap/>
        <w:overflowPunct/>
        <w:topLinePunct w:val="0"/>
        <w:autoSpaceDE/>
        <w:autoSpaceDN/>
        <w:bidi w:val="0"/>
        <w:adjustRightInd w:val="0"/>
        <w:snapToGrid w:val="0"/>
        <w:spacing w:line="560" w:lineRule="exact"/>
        <w:ind w:left="0" w:leftChars="0" w:firstLine="640" w:firstLineChars="200"/>
        <w:textAlignment w:val="auto"/>
        <w:outlineLvl w:val="1"/>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资金绩效目标</w:t>
      </w:r>
    </w:p>
    <w:p>
      <w:pPr>
        <w:keepNext w:val="0"/>
        <w:keepLines w:val="0"/>
        <w:pageBreakBefore w:val="0"/>
        <w:kinsoku/>
        <w:wordWrap/>
        <w:overflowPunct/>
        <w:topLinePunct w:val="0"/>
        <w:autoSpaceDE/>
        <w:autoSpaceDN/>
        <w:bidi w:val="0"/>
        <w:adjustRightInd w:val="0"/>
        <w:snapToGrid w:val="0"/>
        <w:spacing w:line="560" w:lineRule="exact"/>
        <w:ind w:left="0" w:firstLine="640" w:firstLineChars="200"/>
        <w:jc w:val="both"/>
        <w:textAlignment w:val="auto"/>
        <w:rPr>
          <w:rFonts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lang w:eastAsia="zh-CN"/>
        </w:rPr>
        <w:t>1.年度总体目标</w:t>
      </w:r>
    </w:p>
    <w:p>
      <w:pPr>
        <w:keepNext w:val="0"/>
        <w:keepLines w:val="0"/>
        <w:pageBreakBefore w:val="0"/>
        <w:kinsoku/>
        <w:wordWrap/>
        <w:overflowPunct/>
        <w:topLinePunct w:val="0"/>
        <w:autoSpaceDE/>
        <w:autoSpaceDN/>
        <w:bidi w:val="0"/>
        <w:adjustRightInd/>
        <w:snapToGrid/>
        <w:spacing w:line="560" w:lineRule="exact"/>
        <w:ind w:left="0" w:firstLine="640" w:firstLineChars="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有效提升</w:t>
      </w:r>
      <w:r>
        <w:rPr>
          <w:rFonts w:hint="eastAsia" w:ascii="仿宋_GB2312" w:hAnsi="仿宋_GB2312" w:eastAsia="仿宋_GB2312" w:cs="仿宋_GB2312"/>
          <w:color w:val="000000"/>
          <w:kern w:val="0"/>
          <w:sz w:val="32"/>
          <w:szCs w:val="32"/>
          <w:lang w:eastAsia="zh-CN" w:bidi="ar"/>
        </w:rPr>
        <w:t>医保信息化标准化、基金监管、经办管理、目录监管水平，推进医保支付方式、药品和医用耗材集中带量采购、医疗服务价格等改革任务。</w:t>
      </w:r>
    </w:p>
    <w:p>
      <w:pPr>
        <w:keepNext w:val="0"/>
        <w:keepLines w:val="0"/>
        <w:pageBreakBefore w:val="0"/>
        <w:kinsoku/>
        <w:wordWrap/>
        <w:overflowPunct/>
        <w:topLinePunct w:val="0"/>
        <w:autoSpaceDE/>
        <w:autoSpaceDN/>
        <w:bidi w:val="0"/>
        <w:adjustRightInd w:val="0"/>
        <w:snapToGrid w:val="0"/>
        <w:spacing w:line="560" w:lineRule="exact"/>
        <w:ind w:left="0" w:firstLine="640" w:firstLineChars="200"/>
        <w:jc w:val="both"/>
        <w:textAlignment w:val="auto"/>
        <w:rPr>
          <w:rFonts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lang w:eastAsia="zh-CN"/>
        </w:rPr>
        <w:t>2.具体绩效指标</w:t>
      </w:r>
    </w:p>
    <w:p>
      <w:pPr>
        <w:keepNext w:val="0"/>
        <w:keepLines w:val="0"/>
        <w:pageBreakBefore w:val="0"/>
        <w:tabs>
          <w:tab w:val="left" w:pos="312"/>
        </w:tabs>
        <w:kinsoku/>
        <w:wordWrap/>
        <w:overflowPunct/>
        <w:topLinePunct w:val="0"/>
        <w:autoSpaceDE/>
        <w:autoSpaceDN/>
        <w:bidi w:val="0"/>
        <w:adjustRightInd w:val="0"/>
        <w:snapToGrid w:val="0"/>
        <w:spacing w:line="560" w:lineRule="exact"/>
        <w:ind w:left="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（1）基本医保参保人数≥</w:t>
      </w:r>
      <w:r>
        <w:rPr>
          <w:rFonts w:hint="eastAsia" w:ascii="仿宋_GB2312" w:hAnsi="仿宋_GB2312" w:eastAsia="仿宋_GB2312" w:cs="仿宋_GB2312"/>
          <w:color w:val="auto"/>
          <w:sz w:val="32"/>
          <w:szCs w:val="32"/>
          <w:lang w:val="en-US" w:eastAsia="zh-CN"/>
        </w:rPr>
        <w:t>1940万人</w:t>
      </w:r>
    </w:p>
    <w:p>
      <w:pPr>
        <w:keepNext w:val="0"/>
        <w:keepLines w:val="0"/>
        <w:pageBreakBefore w:val="0"/>
        <w:tabs>
          <w:tab w:val="left" w:pos="312"/>
        </w:tabs>
        <w:kinsoku/>
        <w:wordWrap/>
        <w:overflowPunct/>
        <w:topLinePunct w:val="0"/>
        <w:autoSpaceDE/>
        <w:autoSpaceDN/>
        <w:bidi w:val="0"/>
        <w:adjustRightInd w:val="0"/>
        <w:snapToGrid w:val="0"/>
        <w:spacing w:line="560" w:lineRule="exact"/>
        <w:ind w:left="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）每个县（区）范围内开通门诊慢特病相关治疗费用跨省联网定点医疗机构数量≥</w:t>
      </w:r>
      <w:r>
        <w:rPr>
          <w:rFonts w:hint="eastAsia" w:ascii="仿宋_GB2312" w:hAnsi="仿宋_GB2312" w:eastAsia="仿宋_GB2312" w:cs="仿宋_GB2312"/>
          <w:color w:val="auto"/>
          <w:sz w:val="32"/>
          <w:szCs w:val="32"/>
          <w:lang w:val="en-US" w:eastAsia="zh-CN"/>
        </w:rPr>
        <w:t>1</w:t>
      </w:r>
    </w:p>
    <w:p>
      <w:pPr>
        <w:keepNext w:val="0"/>
        <w:keepLines w:val="0"/>
        <w:pageBreakBefore w:val="0"/>
        <w:tabs>
          <w:tab w:val="left" w:pos="312"/>
        </w:tabs>
        <w:kinsoku/>
        <w:wordWrap/>
        <w:overflowPunct/>
        <w:topLinePunct w:val="0"/>
        <w:autoSpaceDE/>
        <w:autoSpaceDN/>
        <w:bidi w:val="0"/>
        <w:adjustRightInd w:val="0"/>
        <w:snapToGrid w:val="0"/>
        <w:spacing w:line="560" w:lineRule="exact"/>
        <w:ind w:left="0" w:firstLine="640" w:firstLineChars="200"/>
        <w:jc w:val="both"/>
        <w:textAlignment w:val="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）短缺药品异常高价和异常配送核查处置情况</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处置率达100%</w:t>
      </w:r>
    </w:p>
    <w:p>
      <w:pPr>
        <w:pStyle w:val="26"/>
        <w:keepNext w:val="0"/>
        <w:keepLines w:val="0"/>
        <w:pageBreakBefore w:val="0"/>
        <w:kinsoku/>
        <w:wordWrap/>
        <w:overflowPunct/>
        <w:topLinePunct w:val="0"/>
        <w:autoSpaceDE/>
        <w:autoSpaceDN/>
        <w:bidi w:val="0"/>
        <w:adjustRightInd w:val="0"/>
        <w:snapToGrid w:val="0"/>
        <w:spacing w:after="0" w:line="560" w:lineRule="exact"/>
        <w:ind w:lef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）每年开展药品挂网价格联动≥</w:t>
      </w:r>
      <w:r>
        <w:rPr>
          <w:rFonts w:hint="eastAsia" w:ascii="仿宋_GB2312" w:hAnsi="仿宋_GB2312" w:eastAsia="仿宋_GB2312" w:cs="仿宋_GB2312"/>
          <w:color w:val="auto"/>
          <w:sz w:val="32"/>
          <w:szCs w:val="32"/>
          <w:lang w:val="en-US" w:eastAsia="zh-CN"/>
        </w:rPr>
        <w:t>1</w:t>
      </w:r>
    </w:p>
    <w:p>
      <w:pPr>
        <w:pStyle w:val="26"/>
        <w:keepNext w:val="0"/>
        <w:keepLines w:val="0"/>
        <w:pageBreakBefore w:val="0"/>
        <w:kinsoku/>
        <w:wordWrap/>
        <w:overflowPunct/>
        <w:topLinePunct w:val="0"/>
        <w:autoSpaceDE/>
        <w:autoSpaceDN/>
        <w:bidi w:val="0"/>
        <w:adjustRightInd w:val="0"/>
        <w:snapToGrid w:val="0"/>
        <w:spacing w:after="0" w:line="560" w:lineRule="exact"/>
        <w:ind w:left="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）重复参保治理情况</w:t>
      </w:r>
      <w:r>
        <w:rPr>
          <w:rFonts w:hint="eastAsia" w:ascii="仿宋_GB2312" w:hAnsi="仿宋_GB2312" w:eastAsia="仿宋_GB2312" w:cs="仿宋_GB2312"/>
          <w:color w:val="auto"/>
          <w:sz w:val="32"/>
          <w:szCs w:val="32"/>
          <w:lang w:val="en-US" w:eastAsia="zh-CN"/>
        </w:rPr>
        <w:t xml:space="preserve"> 依托医保信息平台实施参保信息强制校验</w:t>
      </w:r>
    </w:p>
    <w:p>
      <w:pPr>
        <w:keepNext w:val="0"/>
        <w:keepLines w:val="0"/>
        <w:pageBreakBefore w:val="0"/>
        <w:tabs>
          <w:tab w:val="left" w:pos="312"/>
        </w:tabs>
        <w:kinsoku/>
        <w:wordWrap/>
        <w:overflowPunct/>
        <w:topLinePunct w:val="0"/>
        <w:autoSpaceDE/>
        <w:autoSpaceDN/>
        <w:bidi w:val="0"/>
        <w:adjustRightInd w:val="0"/>
        <w:snapToGrid w:val="0"/>
        <w:spacing w:line="560" w:lineRule="exact"/>
        <w:ind w:left="0" w:firstLine="640" w:firstLineChars="200"/>
        <w:jc w:val="both"/>
        <w:textAlignment w:val="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）医保基金综合监管能力</w:t>
      </w:r>
      <w:r>
        <w:rPr>
          <w:rFonts w:hint="eastAsia" w:ascii="仿宋_GB2312" w:hAnsi="仿宋_GB2312" w:eastAsia="仿宋_GB2312" w:cs="仿宋_GB2312"/>
          <w:color w:val="auto"/>
          <w:sz w:val="32"/>
          <w:szCs w:val="32"/>
          <w:lang w:val="en-US" w:eastAsia="zh-CN"/>
        </w:rPr>
        <w:t xml:space="preserve"> 有所提升</w:t>
      </w:r>
    </w:p>
    <w:p>
      <w:pPr>
        <w:pStyle w:val="26"/>
        <w:keepNext w:val="0"/>
        <w:keepLines w:val="0"/>
        <w:pageBreakBefore w:val="0"/>
        <w:kinsoku/>
        <w:wordWrap/>
        <w:overflowPunct/>
        <w:topLinePunct w:val="0"/>
        <w:autoSpaceDE/>
        <w:autoSpaceDN/>
        <w:bidi w:val="0"/>
        <w:adjustRightInd w:val="0"/>
        <w:snapToGrid w:val="0"/>
        <w:spacing w:after="0" w:line="560" w:lineRule="exact"/>
        <w:ind w:lef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eastAsia="zh-CN"/>
        </w:rPr>
        <w:t>）基金预警和风险防控能力</w:t>
      </w:r>
      <w:r>
        <w:rPr>
          <w:rFonts w:hint="eastAsia" w:ascii="仿宋_GB2312" w:hAnsi="仿宋_GB2312" w:eastAsia="仿宋_GB2312" w:cs="仿宋_GB2312"/>
          <w:color w:val="auto"/>
          <w:sz w:val="32"/>
          <w:szCs w:val="32"/>
          <w:lang w:val="en-US" w:eastAsia="zh-CN"/>
        </w:rPr>
        <w:t xml:space="preserve"> 有所提高</w:t>
      </w:r>
    </w:p>
    <w:p>
      <w:pPr>
        <w:keepNext w:val="0"/>
        <w:keepLines w:val="0"/>
        <w:pageBreakBefore w:val="0"/>
        <w:tabs>
          <w:tab w:val="left" w:pos="312"/>
        </w:tabs>
        <w:kinsoku/>
        <w:wordWrap/>
        <w:overflowPunct/>
        <w:topLinePunct w:val="0"/>
        <w:autoSpaceDE/>
        <w:autoSpaceDN/>
        <w:bidi w:val="0"/>
        <w:adjustRightInd w:val="0"/>
        <w:snapToGrid w:val="0"/>
        <w:spacing w:line="560" w:lineRule="exact"/>
        <w:ind w:left="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lang w:eastAsia="zh-CN"/>
        </w:rPr>
        <w:t>）推进医保支付方式改革</w:t>
      </w:r>
      <w:r>
        <w:rPr>
          <w:rFonts w:hint="eastAsia" w:ascii="仿宋_GB2312" w:hAnsi="仿宋_GB2312" w:eastAsia="仿宋_GB2312" w:cs="仿宋_GB2312"/>
          <w:color w:val="auto"/>
          <w:sz w:val="32"/>
          <w:szCs w:val="32"/>
          <w:lang w:val="en-US" w:eastAsia="zh-CN"/>
        </w:rPr>
        <w:t xml:space="preserve"> 省级出台支付方式改革文件并落实到位</w:t>
      </w:r>
    </w:p>
    <w:p>
      <w:pPr>
        <w:keepNext w:val="0"/>
        <w:keepLines w:val="0"/>
        <w:pageBreakBefore w:val="0"/>
        <w:tabs>
          <w:tab w:val="left" w:pos="312"/>
        </w:tabs>
        <w:kinsoku/>
        <w:wordWrap/>
        <w:overflowPunct/>
        <w:topLinePunct w:val="0"/>
        <w:autoSpaceDE/>
        <w:autoSpaceDN/>
        <w:bidi w:val="0"/>
        <w:adjustRightInd w:val="0"/>
        <w:snapToGrid w:val="0"/>
        <w:spacing w:line="560" w:lineRule="exact"/>
        <w:ind w:left="0" w:firstLine="640" w:firstLineChars="200"/>
        <w:jc w:val="both"/>
        <w:textAlignment w:val="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lang w:eastAsia="zh-CN"/>
        </w:rPr>
        <w:t>）医保经办服务能力</w:t>
      </w:r>
      <w:r>
        <w:rPr>
          <w:rFonts w:hint="eastAsia" w:ascii="仿宋_GB2312" w:hAnsi="仿宋_GB2312" w:eastAsia="仿宋_GB2312" w:cs="仿宋_GB2312"/>
          <w:color w:val="auto"/>
          <w:sz w:val="32"/>
          <w:szCs w:val="32"/>
          <w:lang w:val="en-US" w:eastAsia="zh-CN"/>
        </w:rPr>
        <w:t xml:space="preserve"> 有所提升</w:t>
      </w:r>
    </w:p>
    <w:p>
      <w:pPr>
        <w:keepNext w:val="0"/>
        <w:keepLines w:val="0"/>
        <w:pageBreakBefore w:val="0"/>
        <w:tabs>
          <w:tab w:val="left" w:pos="312"/>
        </w:tabs>
        <w:kinsoku/>
        <w:wordWrap/>
        <w:overflowPunct/>
        <w:topLinePunct w:val="0"/>
        <w:autoSpaceDE/>
        <w:autoSpaceDN/>
        <w:bidi w:val="0"/>
        <w:adjustRightInd w:val="0"/>
        <w:snapToGrid w:val="0"/>
        <w:spacing w:line="560" w:lineRule="exact"/>
        <w:ind w:left="0" w:firstLine="640" w:firstLineChars="200"/>
        <w:jc w:val="both"/>
        <w:textAlignment w:val="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）医保标准化水平</w:t>
      </w:r>
      <w:r>
        <w:rPr>
          <w:rFonts w:hint="eastAsia" w:ascii="仿宋_GB2312" w:hAnsi="仿宋_GB2312" w:eastAsia="仿宋_GB2312" w:cs="仿宋_GB2312"/>
          <w:color w:val="auto"/>
          <w:sz w:val="32"/>
          <w:szCs w:val="32"/>
          <w:lang w:val="en-US" w:eastAsia="zh-CN"/>
        </w:rPr>
        <w:t xml:space="preserve"> 显著提升</w:t>
      </w:r>
    </w:p>
    <w:p>
      <w:pPr>
        <w:keepNext w:val="0"/>
        <w:keepLines w:val="0"/>
        <w:pageBreakBefore w:val="0"/>
        <w:tabs>
          <w:tab w:val="left" w:pos="312"/>
        </w:tabs>
        <w:kinsoku/>
        <w:wordWrap/>
        <w:overflowPunct/>
        <w:topLinePunct w:val="0"/>
        <w:autoSpaceDE/>
        <w:autoSpaceDN/>
        <w:bidi w:val="0"/>
        <w:adjustRightInd w:val="0"/>
        <w:snapToGrid w:val="0"/>
        <w:spacing w:line="560" w:lineRule="exact"/>
        <w:ind w:left="0" w:firstLine="640" w:firstLineChars="200"/>
        <w:jc w:val="both"/>
        <w:textAlignment w:val="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lang w:eastAsia="zh-CN"/>
        </w:rPr>
        <w:t>）开展村（社区）级医保服务、有网店提供帮办、代办服务的村（社区）覆盖率≥</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0%</w:t>
      </w:r>
    </w:p>
    <w:p>
      <w:pPr>
        <w:keepNext w:val="0"/>
        <w:keepLines w:val="0"/>
        <w:pageBreakBefore w:val="0"/>
        <w:tabs>
          <w:tab w:val="left" w:pos="312"/>
        </w:tabs>
        <w:kinsoku/>
        <w:wordWrap/>
        <w:overflowPunct/>
        <w:topLinePunct w:val="0"/>
        <w:autoSpaceDE/>
        <w:autoSpaceDN/>
        <w:bidi w:val="0"/>
        <w:adjustRightInd w:val="0"/>
        <w:snapToGrid w:val="0"/>
        <w:spacing w:line="560" w:lineRule="exact"/>
        <w:ind w:left="0" w:firstLine="640" w:firstLineChars="200"/>
        <w:jc w:val="both"/>
        <w:textAlignment w:val="auto"/>
        <w:rPr>
          <w:rFonts w:hint="eastAsia"/>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lang w:eastAsia="zh-CN"/>
        </w:rPr>
        <w:t>）提升公立医疗机构平台采购药品耗材比例</w:t>
      </w:r>
      <w:r>
        <w:rPr>
          <w:rFonts w:hint="eastAsia" w:ascii="仿宋_GB2312" w:hAnsi="仿宋_GB2312" w:eastAsia="仿宋_GB2312" w:cs="仿宋_GB2312"/>
          <w:color w:val="auto"/>
          <w:sz w:val="32"/>
          <w:szCs w:val="32"/>
          <w:lang w:val="en-US" w:eastAsia="zh-CN"/>
        </w:rPr>
        <w:t xml:space="preserve"> 药品网采率≥85%，高值医用耗材网采率≥75%</w:t>
      </w:r>
    </w:p>
    <w:p>
      <w:pPr>
        <w:keepNext w:val="0"/>
        <w:keepLines w:val="0"/>
        <w:pageBreakBefore w:val="0"/>
        <w:numPr>
          <w:ilvl w:val="0"/>
          <w:numId w:val="2"/>
        </w:numPr>
        <w:tabs>
          <w:tab w:val="left" w:pos="312"/>
        </w:tabs>
        <w:kinsoku/>
        <w:wordWrap/>
        <w:overflowPunct/>
        <w:topLinePunct w:val="0"/>
        <w:autoSpaceDE/>
        <w:autoSpaceDN/>
        <w:bidi w:val="0"/>
        <w:adjustRightInd w:val="0"/>
        <w:snapToGrid w:val="0"/>
        <w:spacing w:line="560" w:lineRule="exact"/>
        <w:ind w:lef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医保信息系统正常运行率≥90%</w:t>
      </w:r>
    </w:p>
    <w:p>
      <w:pPr>
        <w:pStyle w:val="26"/>
        <w:keepNext w:val="0"/>
        <w:keepLines w:val="0"/>
        <w:pageBreakBefore w:val="0"/>
        <w:kinsoku/>
        <w:wordWrap/>
        <w:overflowPunct/>
        <w:topLinePunct w:val="0"/>
        <w:autoSpaceDE/>
        <w:autoSpaceDN/>
        <w:bidi w:val="0"/>
        <w:adjustRightInd w:val="0"/>
        <w:snapToGrid w:val="0"/>
        <w:spacing w:after="0" w:line="560" w:lineRule="exact"/>
        <w:ind w:left="0" w:firstLine="640" w:firstLineChars="200"/>
        <w:jc w:val="both"/>
        <w:textAlignment w:val="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）国谈药等相关药品落地及统计监测情况</w:t>
      </w:r>
      <w:r>
        <w:rPr>
          <w:rFonts w:hint="eastAsia" w:ascii="仿宋_GB2312" w:hAnsi="仿宋_GB2312" w:eastAsia="仿宋_GB2312" w:cs="仿宋_GB2312"/>
          <w:color w:val="auto"/>
          <w:sz w:val="32"/>
          <w:szCs w:val="32"/>
          <w:lang w:val="en-US" w:eastAsia="zh-CN"/>
        </w:rPr>
        <w:t xml:space="preserve"> 国谈药品落地数据报送及时率100%</w:t>
      </w:r>
    </w:p>
    <w:p>
      <w:pPr>
        <w:pStyle w:val="26"/>
        <w:keepNext w:val="0"/>
        <w:keepLines w:val="0"/>
        <w:pageBreakBefore w:val="0"/>
        <w:kinsoku/>
        <w:wordWrap/>
        <w:overflowPunct/>
        <w:topLinePunct w:val="0"/>
        <w:autoSpaceDE/>
        <w:autoSpaceDN/>
        <w:bidi w:val="0"/>
        <w:adjustRightInd w:val="0"/>
        <w:snapToGrid w:val="0"/>
        <w:spacing w:after="0" w:line="560" w:lineRule="exact"/>
        <w:ind w:left="0" w:firstLine="640" w:firstLineChars="200"/>
        <w:jc w:val="both"/>
        <w:textAlignment w:val="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（15）医疗服务价格动态调整与深化医疗服务价格改革试点执行情况</w:t>
      </w:r>
      <w:r>
        <w:rPr>
          <w:rFonts w:hint="eastAsia" w:ascii="仿宋_GB2312" w:hAnsi="仿宋_GB2312" w:eastAsia="仿宋_GB2312" w:cs="仿宋_GB2312"/>
          <w:color w:val="auto"/>
          <w:sz w:val="32"/>
          <w:szCs w:val="32"/>
          <w:lang w:val="en-US" w:eastAsia="zh-CN"/>
        </w:rPr>
        <w:t xml:space="preserve"> 按要求开展调价评估并进行调价，确保医疗服务价格管理与深化医疗服务价格改革方向一致</w:t>
      </w:r>
    </w:p>
    <w:p>
      <w:pPr>
        <w:pStyle w:val="26"/>
        <w:keepNext w:val="0"/>
        <w:keepLines w:val="0"/>
        <w:pageBreakBefore w:val="0"/>
        <w:kinsoku/>
        <w:wordWrap/>
        <w:overflowPunct/>
        <w:topLinePunct w:val="0"/>
        <w:autoSpaceDE/>
        <w:autoSpaceDN/>
        <w:bidi w:val="0"/>
        <w:adjustRightInd w:val="0"/>
        <w:snapToGrid w:val="0"/>
        <w:spacing w:after="0" w:line="560" w:lineRule="exact"/>
        <w:ind w:left="0" w:firstLine="640" w:firstLineChars="200"/>
        <w:jc w:val="both"/>
        <w:textAlignment w:val="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（16）集中带量采购落实情况</w:t>
      </w:r>
      <w:r>
        <w:rPr>
          <w:rFonts w:hint="eastAsia" w:ascii="仿宋_GB2312" w:hAnsi="仿宋_GB2312" w:eastAsia="仿宋_GB2312" w:cs="仿宋_GB2312"/>
          <w:color w:val="auto"/>
          <w:sz w:val="32"/>
          <w:szCs w:val="32"/>
          <w:lang w:val="en-US" w:eastAsia="zh-CN"/>
        </w:rPr>
        <w:t xml:space="preserve"> 完成国家组织集中采购中选产品约定采购量</w:t>
      </w:r>
    </w:p>
    <w:p>
      <w:pPr>
        <w:pStyle w:val="26"/>
        <w:keepNext w:val="0"/>
        <w:keepLines w:val="0"/>
        <w:pageBreakBefore w:val="0"/>
        <w:kinsoku/>
        <w:wordWrap/>
        <w:overflowPunct/>
        <w:topLinePunct w:val="0"/>
        <w:autoSpaceDE/>
        <w:autoSpaceDN/>
        <w:bidi w:val="0"/>
        <w:adjustRightInd w:val="0"/>
        <w:snapToGrid w:val="0"/>
        <w:spacing w:after="0" w:line="560" w:lineRule="exact"/>
        <w:ind w:left="0" w:firstLine="640" w:firstLineChars="200"/>
        <w:jc w:val="both"/>
        <w:textAlignment w:val="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（17）医药价格和招采信用评价制度建立和实施情况</w:t>
      </w:r>
      <w:r>
        <w:rPr>
          <w:rFonts w:hint="eastAsia" w:ascii="仿宋_GB2312" w:hAnsi="仿宋_GB2312" w:eastAsia="仿宋_GB2312" w:cs="仿宋_GB2312"/>
          <w:color w:val="auto"/>
          <w:sz w:val="32"/>
          <w:szCs w:val="32"/>
          <w:lang w:val="en-US" w:eastAsia="zh-CN"/>
        </w:rPr>
        <w:t xml:space="preserve"> 限定时限内反馈案源处理情况</w:t>
      </w:r>
    </w:p>
    <w:p>
      <w:pPr>
        <w:pStyle w:val="26"/>
        <w:keepNext w:val="0"/>
        <w:keepLines w:val="0"/>
        <w:pageBreakBefore w:val="0"/>
        <w:kinsoku/>
        <w:wordWrap/>
        <w:overflowPunct/>
        <w:topLinePunct w:val="0"/>
        <w:autoSpaceDE/>
        <w:autoSpaceDN/>
        <w:bidi w:val="0"/>
        <w:adjustRightInd w:val="0"/>
        <w:snapToGrid w:val="0"/>
        <w:spacing w:after="0" w:line="560" w:lineRule="exact"/>
        <w:ind w:left="0" w:firstLine="640" w:firstLineChars="200"/>
        <w:jc w:val="both"/>
        <w:textAlignment w:val="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（18）招采子系统落地应用情况</w:t>
      </w:r>
      <w:r>
        <w:rPr>
          <w:rFonts w:hint="eastAsia" w:ascii="仿宋_GB2312" w:hAnsi="仿宋_GB2312" w:eastAsia="仿宋_GB2312" w:cs="仿宋_GB2312"/>
          <w:color w:val="auto"/>
          <w:sz w:val="32"/>
          <w:szCs w:val="32"/>
          <w:lang w:val="en-US" w:eastAsia="zh-CN"/>
        </w:rPr>
        <w:t xml:space="preserve"> 实现交易、采购等核心功能应用</w:t>
      </w:r>
    </w:p>
    <w:p>
      <w:pPr>
        <w:pStyle w:val="26"/>
        <w:keepNext w:val="0"/>
        <w:keepLines w:val="0"/>
        <w:pageBreakBefore w:val="0"/>
        <w:kinsoku/>
        <w:wordWrap/>
        <w:overflowPunct/>
        <w:topLinePunct w:val="0"/>
        <w:autoSpaceDE/>
        <w:autoSpaceDN/>
        <w:bidi w:val="0"/>
        <w:adjustRightInd w:val="0"/>
        <w:snapToGrid w:val="0"/>
        <w:spacing w:after="0" w:line="560" w:lineRule="exact"/>
        <w:ind w:lef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lang w:eastAsia="zh-CN"/>
        </w:rPr>
        <w:t>）医保目录管理规范性情况</w:t>
      </w:r>
      <w:r>
        <w:rPr>
          <w:rFonts w:hint="eastAsia" w:ascii="仿宋_GB2312" w:hAnsi="仿宋_GB2312" w:eastAsia="仿宋_GB2312" w:cs="仿宋_GB2312"/>
          <w:color w:val="auto"/>
          <w:sz w:val="32"/>
          <w:szCs w:val="32"/>
          <w:lang w:val="en-US" w:eastAsia="zh-CN"/>
        </w:rPr>
        <w:t xml:space="preserve"> 年内未出现违反目录管理政策情况</w:t>
      </w:r>
    </w:p>
    <w:p>
      <w:pPr>
        <w:keepNext w:val="0"/>
        <w:keepLines w:val="0"/>
        <w:pageBreakBefore w:val="0"/>
        <w:tabs>
          <w:tab w:val="left" w:pos="312"/>
        </w:tabs>
        <w:kinsoku/>
        <w:wordWrap/>
        <w:overflowPunct/>
        <w:topLinePunct w:val="0"/>
        <w:autoSpaceDE/>
        <w:autoSpaceDN/>
        <w:bidi w:val="0"/>
        <w:adjustRightInd w:val="0"/>
        <w:snapToGrid w:val="0"/>
        <w:spacing w:line="560" w:lineRule="exact"/>
        <w:ind w:left="0" w:firstLine="640" w:firstLineChars="200"/>
        <w:jc w:val="both"/>
        <w:textAlignment w:val="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lang w:eastAsia="zh-CN"/>
        </w:rPr>
        <w:t>）医保信息系统重大安全事件响应时间≤60分钟</w:t>
      </w:r>
    </w:p>
    <w:p>
      <w:pPr>
        <w:keepNext w:val="0"/>
        <w:keepLines w:val="0"/>
        <w:pageBreakBefore w:val="0"/>
        <w:tabs>
          <w:tab w:val="left" w:pos="312"/>
        </w:tabs>
        <w:kinsoku/>
        <w:wordWrap/>
        <w:overflowPunct/>
        <w:topLinePunct w:val="0"/>
        <w:autoSpaceDE/>
        <w:autoSpaceDN/>
        <w:bidi w:val="0"/>
        <w:adjustRightInd w:val="0"/>
        <w:snapToGrid w:val="0"/>
        <w:spacing w:line="560" w:lineRule="exact"/>
        <w:ind w:lef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lang w:eastAsia="zh-CN"/>
        </w:rPr>
        <w:t>）医保信息系统运行维护响应时间≤30分钟</w:t>
      </w:r>
    </w:p>
    <w:p>
      <w:pPr>
        <w:pStyle w:val="26"/>
        <w:keepNext w:val="0"/>
        <w:keepLines w:val="0"/>
        <w:pageBreakBefore w:val="0"/>
        <w:kinsoku/>
        <w:wordWrap/>
        <w:overflowPunct/>
        <w:topLinePunct w:val="0"/>
        <w:autoSpaceDE/>
        <w:autoSpaceDN/>
        <w:bidi w:val="0"/>
        <w:adjustRightInd w:val="0"/>
        <w:snapToGrid w:val="0"/>
        <w:spacing w:after="0" w:line="560" w:lineRule="exact"/>
        <w:ind w:left="0" w:firstLine="640" w:firstLineChars="200"/>
        <w:jc w:val="both"/>
        <w:textAlignment w:val="auto"/>
        <w:rPr>
          <w:rFonts w:hint="eastAsia"/>
          <w:sz w:val="32"/>
          <w:szCs w:val="32"/>
          <w:lang w:val="en-US" w:eastAsia="zh-CN"/>
        </w:rPr>
      </w:pPr>
      <w:r>
        <w:rPr>
          <w:rFonts w:hint="eastAsia" w:ascii="仿宋_GB2312" w:hAnsi="仿宋_GB2312" w:eastAsia="仿宋_GB2312" w:cs="仿宋_GB2312"/>
          <w:color w:val="auto"/>
          <w:sz w:val="32"/>
          <w:szCs w:val="32"/>
          <w:lang w:eastAsia="zh-CN"/>
        </w:rPr>
        <w:t>（2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）参保人员对医保服务的满意度≥85</w:t>
      </w:r>
      <w:r>
        <w:rPr>
          <w:rFonts w:ascii="仿宋_GB2312" w:hAnsi="仿宋_GB2312" w:eastAsia="仿宋_GB2312" w:cs="仿宋_GB2312"/>
          <w:color w:val="auto"/>
          <w:sz w:val="32"/>
          <w:szCs w:val="32"/>
          <w:lang w:eastAsia="zh-CN"/>
        </w:rPr>
        <w:t>%</w:t>
      </w:r>
    </w:p>
    <w:bookmarkEnd w:id="7"/>
    <w:bookmarkEnd w:id="8"/>
    <w:p>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0" w:firstLine="640" w:firstLineChars="200"/>
        <w:textAlignment w:val="auto"/>
        <w:outlineLvl w:val="0"/>
        <w:rPr>
          <w:rFonts w:hint="eastAsia" w:ascii="Times New Roman" w:hAnsi="Times New Roman" w:eastAsia="黑体" w:cs="Times New Roman"/>
          <w:sz w:val="32"/>
          <w:szCs w:val="32"/>
        </w:rPr>
      </w:pPr>
      <w:bookmarkStart w:id="9" w:name="_Toc24475"/>
      <w:bookmarkStart w:id="10" w:name="_Toc31654"/>
      <w:bookmarkStart w:id="11" w:name="_Toc5492"/>
      <w:bookmarkStart w:id="12" w:name="_Toc11808"/>
      <w:bookmarkStart w:id="13" w:name="_Toc63514181"/>
      <w:r>
        <w:rPr>
          <w:rFonts w:hint="eastAsia" w:ascii="Times New Roman" w:eastAsia="黑体" w:cs="Times New Roman"/>
          <w:sz w:val="32"/>
          <w:szCs w:val="32"/>
          <w:lang w:eastAsia="zh-CN"/>
        </w:rPr>
        <w:t>二、绩效</w:t>
      </w:r>
      <w:r>
        <w:rPr>
          <w:rFonts w:ascii="Times New Roman" w:hAnsi="Times New Roman" w:eastAsia="黑体" w:cs="Times New Roman"/>
          <w:sz w:val="32"/>
          <w:szCs w:val="32"/>
        </w:rPr>
        <w:t>情况</w:t>
      </w:r>
      <w:r>
        <w:rPr>
          <w:rFonts w:hint="eastAsia" w:ascii="Times New Roman" w:hAnsi="Times New Roman" w:eastAsia="黑体" w:cs="Times New Roman"/>
          <w:sz w:val="32"/>
          <w:szCs w:val="32"/>
        </w:rPr>
        <w:t>分析</w:t>
      </w:r>
      <w:bookmarkEnd w:id="9"/>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outlineLvl w:val="1"/>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lang w:eastAsia="zh-CN"/>
        </w:rPr>
        <w:t>一</w:t>
      </w: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lang w:eastAsia="zh-CN"/>
        </w:rPr>
        <w:t>资金投入情况分析</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leftChars="0" w:firstLine="640" w:firstLineChars="200"/>
        <w:textAlignment w:val="auto"/>
        <w:rPr>
          <w:rFonts w:hint="eastAsia" w:ascii="仿宋_GB2312" w:hAnsi="仿宋_GB2312" w:eastAsia="仿宋_GB2312" w:cs="仿宋_GB2312"/>
          <w:bCs/>
          <w:sz w:val="32"/>
          <w:szCs w:val="32"/>
          <w:shd w:val="clear" w:color="auto" w:fill="FFFFFF"/>
          <w:lang w:val="en-US" w:eastAsia="zh-CN"/>
        </w:rPr>
      </w:pPr>
      <w:r>
        <w:rPr>
          <w:rFonts w:hint="eastAsia" w:ascii="仿宋_GB2312" w:hAnsi="仿宋_GB2312" w:eastAsia="仿宋_GB2312" w:cs="仿宋_GB2312"/>
          <w:bCs/>
          <w:sz w:val="32"/>
          <w:szCs w:val="32"/>
          <w:shd w:val="clear" w:color="auto" w:fill="FFFFFF"/>
        </w:rPr>
        <w:t>202</w:t>
      </w:r>
      <w:r>
        <w:rPr>
          <w:rFonts w:hint="eastAsia" w:ascii="仿宋_GB2312" w:hAnsi="仿宋_GB2312" w:eastAsia="仿宋_GB2312" w:cs="仿宋_GB2312"/>
          <w:bCs/>
          <w:sz w:val="32"/>
          <w:szCs w:val="32"/>
          <w:shd w:val="clear" w:color="auto" w:fill="FFFFFF"/>
          <w:lang w:val="en-US" w:eastAsia="zh-CN"/>
        </w:rPr>
        <w:t>4</w:t>
      </w:r>
      <w:r>
        <w:rPr>
          <w:rFonts w:hint="eastAsia" w:ascii="仿宋_GB2312" w:hAnsi="仿宋_GB2312" w:eastAsia="仿宋_GB2312" w:cs="仿宋_GB2312"/>
          <w:bCs/>
          <w:sz w:val="32"/>
          <w:szCs w:val="32"/>
          <w:shd w:val="clear" w:color="auto" w:fill="FFFFFF"/>
        </w:rPr>
        <w:t>年</w:t>
      </w:r>
      <w:bookmarkStart w:id="14" w:name="_Hlk163028826"/>
      <w:r>
        <w:rPr>
          <w:rFonts w:hint="eastAsia" w:ascii="仿宋_GB2312" w:hAnsi="仿宋_GB2312" w:eastAsia="仿宋_GB2312" w:cs="仿宋_GB2312"/>
          <w:bCs/>
          <w:sz w:val="32"/>
          <w:szCs w:val="32"/>
          <w:shd w:val="clear" w:color="auto" w:fill="FFFFFF"/>
          <w:lang w:eastAsia="zh-CN"/>
        </w:rPr>
        <w:t>北京市补助资金共计</w:t>
      </w:r>
      <w:r>
        <w:rPr>
          <w:rFonts w:hint="eastAsia" w:ascii="仿宋_GB2312" w:hAnsi="仿宋_GB2312" w:eastAsia="仿宋_GB2312" w:cs="仿宋_GB2312"/>
          <w:bCs/>
          <w:sz w:val="32"/>
          <w:szCs w:val="32"/>
          <w:shd w:val="clear" w:color="auto" w:fill="FFFFFF"/>
          <w:lang w:val="en-US" w:eastAsia="zh-CN"/>
        </w:rPr>
        <w:t>7254.21万元，其中：当年度下达7036万元，上年结转资金218.21万元。</w:t>
      </w:r>
    </w:p>
    <w:bookmarkEnd w:id="14"/>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leftChars="0" w:firstLine="640" w:firstLineChars="200"/>
        <w:textAlignment w:val="auto"/>
        <w:rPr>
          <w:rFonts w:hint="eastAsia" w:ascii="仿宋_GB2312" w:hAnsi="仿宋_GB2312" w:eastAsia="仿宋_GB2312" w:cs="仿宋_GB2312"/>
          <w:bCs/>
          <w:sz w:val="32"/>
          <w:szCs w:val="32"/>
          <w:shd w:val="clear" w:color="auto" w:fill="FFFFFF"/>
        </w:rPr>
      </w:pPr>
      <w:r>
        <w:rPr>
          <w:rFonts w:hint="eastAsia" w:ascii="仿宋_GB2312" w:hAnsi="仿宋_GB2312" w:eastAsia="仿宋_GB2312" w:cs="仿宋_GB2312"/>
          <w:bCs/>
          <w:sz w:val="32"/>
          <w:szCs w:val="32"/>
          <w:shd w:val="clear" w:color="auto" w:fill="FFFFFF"/>
        </w:rPr>
        <w:t>截至202</w:t>
      </w:r>
      <w:r>
        <w:rPr>
          <w:rFonts w:hint="eastAsia" w:ascii="仿宋_GB2312" w:hAnsi="仿宋_GB2312" w:eastAsia="仿宋_GB2312" w:cs="仿宋_GB2312"/>
          <w:bCs/>
          <w:sz w:val="32"/>
          <w:szCs w:val="32"/>
          <w:shd w:val="clear" w:color="auto" w:fill="FFFFFF"/>
          <w:lang w:val="en-US" w:eastAsia="zh-CN"/>
        </w:rPr>
        <w:t>4</w:t>
      </w:r>
      <w:r>
        <w:rPr>
          <w:rFonts w:hint="eastAsia" w:ascii="仿宋_GB2312" w:hAnsi="仿宋_GB2312" w:eastAsia="仿宋_GB2312" w:cs="仿宋_GB2312"/>
          <w:bCs/>
          <w:sz w:val="32"/>
          <w:szCs w:val="32"/>
          <w:shd w:val="clear" w:color="auto" w:fill="FFFFFF"/>
        </w:rPr>
        <w:t>年12月31日</w:t>
      </w:r>
      <w:r>
        <w:rPr>
          <w:rFonts w:hint="eastAsia" w:ascii="仿宋_GB2312" w:hAnsi="仿宋_GB2312" w:eastAsia="仿宋_GB2312" w:cs="仿宋_GB2312"/>
          <w:bCs/>
          <w:sz w:val="32"/>
          <w:szCs w:val="32"/>
          <w:shd w:val="clear" w:color="auto" w:fill="FFFFFF"/>
          <w:lang w:eastAsia="zh-CN"/>
        </w:rPr>
        <w:t>，补助资金</w:t>
      </w:r>
      <w:r>
        <w:rPr>
          <w:rFonts w:hint="eastAsia" w:ascii="仿宋_GB2312" w:hAnsi="仿宋_GB2312" w:eastAsia="仿宋_GB2312" w:cs="仿宋_GB2312"/>
          <w:bCs/>
          <w:sz w:val="32"/>
          <w:szCs w:val="32"/>
          <w:shd w:val="clear" w:color="auto" w:fill="FFFFFF"/>
        </w:rPr>
        <w:t>执行</w:t>
      </w:r>
      <w:r>
        <w:rPr>
          <w:rFonts w:hint="eastAsia" w:ascii="仿宋_GB2312" w:hAnsi="仿宋_GB2312" w:eastAsia="仿宋_GB2312" w:cs="仿宋_GB2312"/>
          <w:bCs/>
          <w:sz w:val="32"/>
          <w:szCs w:val="32"/>
          <w:shd w:val="clear" w:color="auto" w:fill="FFFFFF"/>
          <w:lang w:val="en-US" w:eastAsia="zh-CN"/>
        </w:rPr>
        <w:t>6268.13</w:t>
      </w:r>
      <w:r>
        <w:rPr>
          <w:rFonts w:hint="eastAsia" w:ascii="仿宋_GB2312" w:hAnsi="仿宋_GB2312" w:eastAsia="仿宋_GB2312" w:cs="仿宋_GB2312"/>
          <w:bCs/>
          <w:sz w:val="32"/>
          <w:szCs w:val="32"/>
          <w:shd w:val="clear" w:color="auto" w:fill="FFFFFF"/>
        </w:rPr>
        <w:t>万元</w:t>
      </w:r>
      <w:r>
        <w:rPr>
          <w:rFonts w:hint="eastAsia" w:ascii="仿宋_GB2312" w:hAnsi="仿宋_GB2312" w:eastAsia="仿宋_GB2312" w:cs="仿宋_GB2312"/>
          <w:bCs/>
          <w:sz w:val="32"/>
          <w:szCs w:val="32"/>
          <w:shd w:val="clear" w:color="auto" w:fill="FFFFFF"/>
          <w:lang w:eastAsia="zh-CN"/>
        </w:rPr>
        <w:t>，其中：当年度下达资金支出</w:t>
      </w:r>
      <w:r>
        <w:rPr>
          <w:rFonts w:hint="eastAsia" w:ascii="仿宋_GB2312" w:hAnsi="仿宋_GB2312" w:eastAsia="仿宋_GB2312" w:cs="仿宋_GB2312"/>
          <w:bCs/>
          <w:sz w:val="32"/>
          <w:szCs w:val="32"/>
          <w:shd w:val="clear" w:color="auto" w:fill="FFFFFF"/>
          <w:lang w:val="en-US" w:eastAsia="zh-CN"/>
        </w:rPr>
        <w:t>6090.13万元，上年结转资金支出178万元</w:t>
      </w:r>
      <w:r>
        <w:rPr>
          <w:rFonts w:hint="eastAsia" w:ascii="仿宋_GB2312" w:hAnsi="仿宋_GB2312" w:eastAsia="仿宋_GB2312" w:cs="仿宋_GB2312"/>
          <w:bCs/>
          <w:sz w:val="32"/>
          <w:szCs w:val="32"/>
          <w:shd w:val="clear" w:color="auto" w:fill="FFFFFF"/>
        </w:rPr>
        <w:t>，</w:t>
      </w:r>
      <w:r>
        <w:rPr>
          <w:rFonts w:hint="eastAsia" w:ascii="仿宋_GB2312" w:hAnsi="仿宋_GB2312" w:eastAsia="仿宋_GB2312" w:cs="仿宋_GB2312"/>
          <w:bCs/>
          <w:sz w:val="32"/>
          <w:szCs w:val="32"/>
          <w:shd w:val="clear" w:color="auto" w:fill="FFFFFF"/>
          <w:lang w:val="en-US" w:eastAsia="zh-CN"/>
        </w:rPr>
        <w:t>综合</w:t>
      </w:r>
      <w:r>
        <w:rPr>
          <w:rFonts w:hint="eastAsia" w:ascii="仿宋_GB2312" w:hAnsi="仿宋_GB2312" w:eastAsia="仿宋_GB2312" w:cs="仿宋_GB2312"/>
          <w:bCs/>
          <w:sz w:val="32"/>
          <w:szCs w:val="32"/>
          <w:shd w:val="clear" w:color="auto" w:fill="FFFFFF"/>
        </w:rPr>
        <w:t>预算执行率</w:t>
      </w:r>
      <w:r>
        <w:rPr>
          <w:rFonts w:hint="eastAsia" w:ascii="仿宋_GB2312" w:hAnsi="仿宋_GB2312" w:eastAsia="仿宋_GB2312" w:cs="仿宋_GB2312"/>
          <w:bCs/>
          <w:sz w:val="32"/>
          <w:szCs w:val="32"/>
          <w:shd w:val="clear" w:color="auto" w:fill="FFFFFF"/>
          <w:lang w:val="en-US" w:eastAsia="zh-CN"/>
        </w:rPr>
        <w:t>86.41</w:t>
      </w:r>
      <w:r>
        <w:rPr>
          <w:rFonts w:hint="eastAsia" w:ascii="仿宋_GB2312" w:hAnsi="仿宋_GB2312" w:eastAsia="仿宋_GB2312" w:cs="仿宋_GB2312"/>
          <w:bCs/>
          <w:sz w:val="32"/>
          <w:szCs w:val="32"/>
          <w:shd w:val="clear" w:color="auto" w:fill="FFFFFF"/>
        </w:rPr>
        <w:t>%。</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eastAsia"/>
          <w:sz w:val="32"/>
          <w:szCs w:val="32"/>
        </w:rPr>
      </w:pPr>
      <w:r>
        <w:rPr>
          <w:rFonts w:hint="eastAsia" w:ascii="仿宋_GB2312" w:hAnsi="仿宋_GB2312" w:eastAsia="仿宋_GB2312" w:cs="仿宋_GB2312"/>
          <w:bCs/>
          <w:sz w:val="32"/>
          <w:szCs w:val="32"/>
          <w:shd w:val="clear" w:color="auto" w:fill="FFFFFF"/>
        </w:rPr>
        <w:t>北京市</w:t>
      </w:r>
      <w:r>
        <w:rPr>
          <w:rFonts w:hint="eastAsia" w:ascii="仿宋_GB2312" w:hAnsi="仿宋_GB2312" w:eastAsia="仿宋_GB2312" w:cs="仿宋_GB2312"/>
          <w:bCs/>
          <w:sz w:val="32"/>
          <w:szCs w:val="32"/>
          <w:shd w:val="clear" w:color="auto" w:fill="FFFFFF"/>
          <w:lang w:eastAsia="zh-CN"/>
        </w:rPr>
        <w:t>补助资金</w:t>
      </w:r>
      <w:r>
        <w:rPr>
          <w:rFonts w:hint="eastAsia" w:ascii="仿宋_GB2312" w:hAnsi="仿宋_GB2312" w:eastAsia="仿宋_GB2312" w:cs="仿宋_GB2312"/>
          <w:bCs/>
          <w:sz w:val="32"/>
          <w:szCs w:val="32"/>
          <w:shd w:val="clear" w:color="auto" w:fill="FFFFFF"/>
        </w:rPr>
        <w:t>主要用于支付方式改革</w:t>
      </w:r>
      <w:r>
        <w:rPr>
          <w:rFonts w:hint="eastAsia" w:ascii="仿宋_GB2312" w:hAnsi="仿宋_GB2312" w:eastAsia="仿宋_GB2312" w:cs="仿宋_GB2312"/>
          <w:bCs/>
          <w:sz w:val="32"/>
          <w:szCs w:val="32"/>
          <w:shd w:val="clear" w:color="auto" w:fill="FFFFFF"/>
          <w:lang w:eastAsia="zh-CN"/>
        </w:rPr>
        <w:t>、</w:t>
      </w:r>
      <w:r>
        <w:rPr>
          <w:rFonts w:hint="eastAsia" w:ascii="仿宋_GB2312" w:hAnsi="仿宋_GB2312" w:eastAsia="仿宋_GB2312" w:cs="仿宋_GB2312"/>
          <w:bCs/>
          <w:sz w:val="32"/>
          <w:szCs w:val="32"/>
          <w:shd w:val="clear" w:color="auto" w:fill="FFFFFF"/>
        </w:rPr>
        <w:t>医疗保险信息系统运行维护、医疗保障基金飞行检查、审计检查</w:t>
      </w:r>
      <w:r>
        <w:rPr>
          <w:rFonts w:hint="eastAsia" w:ascii="仿宋_GB2312" w:hAnsi="仿宋_GB2312" w:eastAsia="仿宋_GB2312" w:cs="仿宋_GB2312"/>
          <w:bCs/>
          <w:sz w:val="32"/>
          <w:szCs w:val="32"/>
          <w:shd w:val="clear" w:color="auto" w:fill="FFFFFF"/>
          <w:lang w:eastAsia="zh-CN"/>
        </w:rPr>
        <w:t>、</w:t>
      </w:r>
      <w:r>
        <w:rPr>
          <w:rFonts w:hint="eastAsia" w:ascii="仿宋_GB2312" w:hAnsi="仿宋_GB2312" w:eastAsia="仿宋_GB2312" w:cs="仿宋_GB2312"/>
          <w:bCs/>
          <w:sz w:val="32"/>
          <w:szCs w:val="32"/>
          <w:shd w:val="clear" w:color="auto" w:fill="FFFFFF"/>
        </w:rPr>
        <w:t>政策研究</w:t>
      </w:r>
      <w:r>
        <w:rPr>
          <w:rFonts w:hint="eastAsia" w:ascii="仿宋_GB2312" w:hAnsi="仿宋_GB2312" w:eastAsia="仿宋_GB2312" w:cs="仿宋_GB2312"/>
          <w:bCs/>
          <w:sz w:val="32"/>
          <w:szCs w:val="32"/>
          <w:shd w:val="clear" w:color="auto" w:fill="FFFFFF"/>
          <w:lang w:eastAsia="zh-CN"/>
        </w:rPr>
        <w:t>、医保宣传、定点机构审计、医保档案数字化</w:t>
      </w:r>
      <w:r>
        <w:rPr>
          <w:rFonts w:hint="eastAsia" w:ascii="仿宋_GB2312" w:hAnsi="仿宋_GB2312" w:eastAsia="仿宋_GB2312" w:cs="仿宋_GB2312"/>
          <w:bCs/>
          <w:sz w:val="32"/>
          <w:szCs w:val="32"/>
          <w:shd w:val="clear" w:color="auto" w:fill="FFFFFF"/>
        </w:rPr>
        <w:t>等</w:t>
      </w:r>
      <w:r>
        <w:rPr>
          <w:rFonts w:hint="eastAsia" w:ascii="仿宋_GB2312" w:hAnsi="仿宋_GB2312" w:eastAsia="仿宋_GB2312" w:cs="仿宋_GB2312"/>
          <w:bCs/>
          <w:sz w:val="32"/>
          <w:szCs w:val="32"/>
          <w:shd w:val="clear" w:color="auto" w:fill="FFFFFF"/>
          <w:lang w:eastAsia="zh-CN"/>
        </w:rPr>
        <w:t>工作</w:t>
      </w:r>
      <w:r>
        <w:rPr>
          <w:rFonts w:hint="eastAsia" w:ascii="仿宋_GB2312" w:hAnsi="仿宋_GB2312" w:eastAsia="仿宋_GB2312" w:cs="仿宋_GB2312"/>
          <w:bCs/>
          <w:sz w:val="32"/>
          <w:szCs w:val="32"/>
          <w:shd w:val="clear" w:color="auto" w:fill="FFFFFF"/>
        </w:rPr>
        <w:t>。</w:t>
      </w:r>
    </w:p>
    <w:p>
      <w:pPr>
        <w:keepNext w:val="0"/>
        <w:keepLines w:val="0"/>
        <w:pageBreakBefore w:val="0"/>
        <w:numPr>
          <w:ilvl w:val="0"/>
          <w:numId w:val="3"/>
        </w:numPr>
        <w:kinsoku/>
        <w:wordWrap/>
        <w:overflowPunct/>
        <w:topLinePunct w:val="0"/>
        <w:autoSpaceDE/>
        <w:autoSpaceDN/>
        <w:bidi w:val="0"/>
        <w:adjustRightInd w:val="0"/>
        <w:snapToGrid w:val="0"/>
        <w:spacing w:line="560" w:lineRule="exact"/>
        <w:ind w:left="0" w:firstLine="640" w:firstLineChars="200"/>
        <w:jc w:val="both"/>
        <w:textAlignment w:val="auto"/>
        <w:outlineLvl w:val="1"/>
        <w:rPr>
          <w:rFonts w:hint="eastAsia" w:ascii="楷体_GB2312" w:hAnsi="楷体_GB2312" w:eastAsia="楷体_GB2312" w:cs="楷体_GB2312"/>
          <w:b w:val="0"/>
          <w:bCs w:val="0"/>
          <w:sz w:val="32"/>
          <w:szCs w:val="32"/>
          <w:highlight w:val="none"/>
          <w:lang w:eastAsia="zh-CN"/>
        </w:rPr>
      </w:pPr>
      <w:bookmarkStart w:id="15" w:name="_Toc30139"/>
      <w:r>
        <w:rPr>
          <w:rFonts w:hint="eastAsia" w:ascii="楷体_GB2312" w:hAnsi="楷体_GB2312" w:eastAsia="楷体_GB2312" w:cs="楷体_GB2312"/>
          <w:b w:val="0"/>
          <w:bCs w:val="0"/>
          <w:sz w:val="32"/>
          <w:szCs w:val="32"/>
          <w:highlight w:val="none"/>
        </w:rPr>
        <w:t>资金</w:t>
      </w:r>
      <w:bookmarkEnd w:id="10"/>
      <w:bookmarkEnd w:id="11"/>
      <w:bookmarkEnd w:id="12"/>
      <w:bookmarkEnd w:id="13"/>
      <w:bookmarkEnd w:id="15"/>
      <w:bookmarkStart w:id="16" w:name="_Toc1939"/>
      <w:r>
        <w:rPr>
          <w:rFonts w:hint="eastAsia" w:ascii="楷体_GB2312" w:hAnsi="楷体_GB2312" w:eastAsia="楷体_GB2312" w:cs="楷体_GB2312"/>
          <w:b w:val="0"/>
          <w:bCs w:val="0"/>
          <w:sz w:val="32"/>
          <w:szCs w:val="32"/>
          <w:highlight w:val="none"/>
          <w:lang w:eastAsia="zh-CN"/>
        </w:rPr>
        <w:t>管理情况分析</w:t>
      </w:r>
    </w:p>
    <w:p>
      <w:pPr>
        <w:keepNext w:val="0"/>
        <w:keepLines w:val="0"/>
        <w:pageBreakBefore w:val="0"/>
        <w:widowControl/>
        <w:kinsoku/>
        <w:wordWrap/>
        <w:overflowPunct/>
        <w:topLinePunct w:val="0"/>
        <w:autoSpaceDE/>
        <w:autoSpaceDN/>
        <w:bidi w:val="0"/>
        <w:adjustRightInd w:val="0"/>
        <w:snapToGrid w:val="0"/>
        <w:spacing w:line="560" w:lineRule="exact"/>
        <w:ind w:left="0"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val="en-US" w:eastAsia="zh-CN"/>
        </w:rPr>
        <w:t>1.</w:t>
      </w:r>
      <w:r>
        <w:rPr>
          <w:rFonts w:hint="eastAsia" w:ascii="仿宋_GB2312" w:hAnsi="仿宋_GB2312" w:eastAsia="仿宋_GB2312" w:cs="仿宋_GB2312"/>
          <w:b w:val="0"/>
          <w:bCs w:val="0"/>
          <w:sz w:val="32"/>
          <w:szCs w:val="32"/>
          <w:highlight w:val="none"/>
          <w:lang w:eastAsia="zh-CN"/>
        </w:rPr>
        <w:t>健全机制保障</w:t>
      </w:r>
    </w:p>
    <w:p>
      <w:pPr>
        <w:keepNext w:val="0"/>
        <w:keepLines w:val="0"/>
        <w:pageBreakBefore w:val="0"/>
        <w:widowControl/>
        <w:kinsoku/>
        <w:wordWrap/>
        <w:overflowPunct/>
        <w:topLinePunct w:val="0"/>
        <w:autoSpaceDE/>
        <w:autoSpaceDN/>
        <w:bidi w:val="0"/>
        <w:adjustRightInd w:val="0"/>
        <w:snapToGrid w:val="0"/>
        <w:spacing w:line="560" w:lineRule="exact"/>
        <w:ind w:lef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highlight w:val="none"/>
          <w:lang w:eastAsia="zh-CN"/>
        </w:rPr>
        <w:t>一是加强组织领导。市医保局</w:t>
      </w:r>
      <w:r>
        <w:rPr>
          <w:rFonts w:hint="eastAsia" w:ascii="仿宋_GB2312" w:hAnsi="仿宋_GB2312" w:eastAsia="仿宋_GB2312" w:cs="仿宋_GB2312"/>
          <w:b w:val="0"/>
          <w:bCs w:val="0"/>
          <w:sz w:val="32"/>
          <w:szCs w:val="32"/>
          <w:lang w:eastAsia="zh-CN"/>
        </w:rPr>
        <w:t>高度重视</w:t>
      </w:r>
      <w:r>
        <w:rPr>
          <w:rFonts w:hint="eastAsia" w:ascii="仿宋_GB2312" w:hAnsi="仿宋_GB2312" w:eastAsia="仿宋_GB2312" w:cs="仿宋_GB2312"/>
          <w:sz w:val="32"/>
          <w:szCs w:val="32"/>
          <w:lang w:val="en-US" w:eastAsia="zh-CN" w:bidi="ar-SA"/>
        </w:rPr>
        <w:t>能力提升补助资金管理工作</w:t>
      </w:r>
      <w:r>
        <w:rPr>
          <w:rFonts w:hint="eastAsia" w:ascii="仿宋_GB2312" w:hAnsi="仿宋_GB2312" w:eastAsia="仿宋_GB2312" w:cs="仿宋_GB2312"/>
          <w:sz w:val="32"/>
          <w:szCs w:val="32"/>
          <w:highlight w:val="none"/>
          <w:lang w:val="en-US" w:eastAsia="zh-CN" w:bidi="ar-SA"/>
        </w:rPr>
        <w:t>，由单位一把手</w:t>
      </w:r>
      <w:r>
        <w:rPr>
          <w:rFonts w:hint="eastAsia" w:ascii="仿宋_GB2312" w:hAnsi="仿宋_GB2312" w:eastAsia="仿宋_GB2312" w:cs="仿宋_GB2312"/>
          <w:sz w:val="32"/>
          <w:szCs w:val="32"/>
          <w:lang w:val="en-US" w:eastAsia="zh-CN" w:bidi="ar-SA"/>
        </w:rPr>
        <w:t>负总责，</w:t>
      </w:r>
      <w:r>
        <w:rPr>
          <w:rFonts w:hint="eastAsia" w:ascii="仿宋_GB2312" w:hAnsi="仿宋_GB2312" w:eastAsia="仿宋_GB2312" w:cs="仿宋_GB2312"/>
          <w:sz w:val="32"/>
          <w:szCs w:val="32"/>
          <w:highlight w:val="none"/>
          <w:lang w:val="en-US" w:eastAsia="zh-CN" w:bidi="ar-SA"/>
        </w:rPr>
        <w:t>规财法规处总牵头，</w:t>
      </w:r>
      <w:r>
        <w:rPr>
          <w:rFonts w:hint="eastAsia" w:ascii="仿宋_GB2312" w:hAnsi="仿宋_GB2312" w:eastAsia="仿宋_GB2312" w:cs="仿宋_GB2312"/>
          <w:sz w:val="32"/>
          <w:szCs w:val="32"/>
          <w:lang w:val="en-US" w:eastAsia="zh-CN" w:bidi="ar-SA"/>
        </w:rPr>
        <w:t>分管局领导盯管理处室、管理处室抓资金使用的工作机制，切实落实对补助资金监管的责任，增强了对补助资金执行的责任意识、紧迫意识和规矩意识。</w:t>
      </w:r>
    </w:p>
    <w:p>
      <w:pPr>
        <w:keepNext w:val="0"/>
        <w:keepLines w:val="0"/>
        <w:pageBreakBefore w:val="0"/>
        <w:widowControl w:val="0"/>
        <w:kinsoku/>
        <w:wordWrap/>
        <w:overflowPunct/>
        <w:topLinePunct w:val="0"/>
        <w:autoSpaceDE/>
        <w:autoSpaceDN/>
        <w:bidi w:val="0"/>
        <w:spacing w:line="560" w:lineRule="exact"/>
        <w:ind w:left="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二是健全制度。认真配合财政部门开展补助资金管理制度制定，从资金分配、预算编制、资金使用、监督管理等方面，明确资金使用列支红线。</w:t>
      </w:r>
      <w:r>
        <w:rPr>
          <w:rFonts w:hint="eastAsia" w:ascii="仿宋_GB2312" w:hAnsi="仿宋_GB2312" w:eastAsia="仿宋_GB2312" w:cs="仿宋_GB2312"/>
          <w:b w:val="0"/>
          <w:bCs w:val="0"/>
          <w:sz w:val="32"/>
          <w:szCs w:val="32"/>
          <w:lang w:val="en-US" w:eastAsia="zh-CN"/>
        </w:rPr>
        <w:t>下发年度补助资金管理工作通知，从补助资金预算编制、执行、绩效管理等方面提出了明确、细致的要求。通过制度建设，</w:t>
      </w:r>
      <w:r>
        <w:rPr>
          <w:rFonts w:hint="eastAsia" w:ascii="仿宋_GB2312" w:hAnsi="仿宋_GB2312" w:eastAsia="仿宋_GB2312" w:cs="仿宋_GB2312"/>
          <w:b w:val="0"/>
          <w:bCs w:val="0"/>
          <w:sz w:val="32"/>
          <w:szCs w:val="32"/>
          <w:lang w:eastAsia="zh-CN"/>
        </w:rPr>
        <w:t>进一步夯实了预算编制的制度标准、尺度标准，预算执行的规矩、底线，为提高预算执行效率筑牢了制度根基。</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eastAsia="zh-CN"/>
        </w:rPr>
        <w:t>三是做好政策宣传。及时转发了</w:t>
      </w:r>
      <w:r>
        <w:rPr>
          <w:rFonts w:hint="eastAsia" w:ascii="仿宋_GB2312" w:hAnsi="仿宋_GB2312" w:eastAsia="仿宋_GB2312" w:cs="仿宋_GB2312"/>
          <w:sz w:val="32"/>
          <w:szCs w:val="32"/>
          <w:lang w:val="en-US" w:eastAsia="zh-CN"/>
        </w:rPr>
        <w:t>财政部、国家局预算管理</w:t>
      </w:r>
      <w:r>
        <w:rPr>
          <w:rFonts w:hint="eastAsia" w:ascii="仿宋_GB2312" w:hAnsi="仿宋_GB2312" w:eastAsia="仿宋_GB2312" w:cs="仿宋_GB2312"/>
          <w:b w:val="0"/>
          <w:bCs w:val="0"/>
          <w:sz w:val="32"/>
          <w:szCs w:val="32"/>
          <w:lang w:eastAsia="zh-CN"/>
        </w:rPr>
        <w:t>文件，细化</w:t>
      </w:r>
      <w:r>
        <w:rPr>
          <w:rFonts w:hint="eastAsia" w:ascii="仿宋_GB2312" w:hAnsi="仿宋_GB2312" w:eastAsia="仿宋_GB2312" w:cs="仿宋_GB2312"/>
          <w:sz w:val="32"/>
          <w:szCs w:val="32"/>
          <w:lang w:val="en-US" w:eastAsia="zh-CN"/>
        </w:rPr>
        <w:t>并提出管理要求，让文件精神直通基层。督促资金使用单位</w:t>
      </w:r>
      <w:r>
        <w:rPr>
          <w:rFonts w:hint="eastAsia" w:ascii="仿宋_GB2312" w:hAnsi="仿宋_GB2312" w:eastAsia="仿宋_GB2312" w:cs="仿宋_GB2312"/>
          <w:sz w:val="32"/>
          <w:szCs w:val="32"/>
        </w:rPr>
        <w:t>充分认识</w:t>
      </w:r>
      <w:r>
        <w:rPr>
          <w:rFonts w:hint="eastAsia" w:ascii="仿宋_GB2312" w:hAnsi="仿宋_GB2312" w:eastAsia="仿宋_GB2312" w:cs="仿宋_GB2312"/>
          <w:sz w:val="32"/>
          <w:szCs w:val="32"/>
          <w:lang w:eastAsia="zh-CN"/>
        </w:rPr>
        <w:t>补助</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eastAsia="zh-CN"/>
        </w:rPr>
        <w:t>使用</w:t>
      </w:r>
      <w:r>
        <w:rPr>
          <w:rFonts w:hint="eastAsia" w:ascii="仿宋_GB2312" w:hAnsi="仿宋_GB2312" w:eastAsia="仿宋_GB2312" w:cs="仿宋_GB2312"/>
          <w:sz w:val="32"/>
          <w:szCs w:val="32"/>
        </w:rPr>
        <w:t>关系到</w:t>
      </w:r>
      <w:r>
        <w:rPr>
          <w:rFonts w:hint="eastAsia" w:ascii="仿宋_GB2312" w:hAnsi="仿宋_GB2312" w:eastAsia="仿宋_GB2312" w:cs="仿宋_GB2312"/>
          <w:sz w:val="32"/>
          <w:szCs w:val="32"/>
          <w:lang w:eastAsia="zh-CN"/>
        </w:rPr>
        <w:t>促进医保服务能力提升的各方面，</w:t>
      </w:r>
      <w:r>
        <w:rPr>
          <w:rFonts w:hint="eastAsia" w:ascii="仿宋_GB2312" w:hAnsi="仿宋_GB2312" w:eastAsia="仿宋_GB2312" w:cs="仿宋_GB2312"/>
          <w:sz w:val="32"/>
          <w:szCs w:val="32"/>
        </w:rPr>
        <w:t>推进</w:t>
      </w:r>
      <w:r>
        <w:rPr>
          <w:rFonts w:hint="eastAsia" w:ascii="仿宋_GB2312" w:hAnsi="仿宋_GB2312" w:eastAsia="仿宋_GB2312" w:cs="仿宋_GB2312"/>
          <w:sz w:val="32"/>
          <w:szCs w:val="32"/>
          <w:lang w:eastAsia="zh-CN"/>
        </w:rPr>
        <w:t>预算执行</w:t>
      </w:r>
      <w:r>
        <w:rPr>
          <w:rFonts w:hint="eastAsia" w:ascii="仿宋_GB2312" w:hAnsi="仿宋_GB2312" w:eastAsia="仿宋_GB2312" w:cs="仿宋_GB2312"/>
          <w:sz w:val="32"/>
          <w:szCs w:val="32"/>
        </w:rPr>
        <w:t>进度和</w:t>
      </w:r>
      <w:r>
        <w:rPr>
          <w:rFonts w:hint="eastAsia" w:ascii="仿宋_GB2312" w:hAnsi="仿宋_GB2312" w:eastAsia="仿宋_GB2312" w:cs="仿宋_GB2312"/>
          <w:sz w:val="32"/>
          <w:szCs w:val="32"/>
          <w:lang w:eastAsia="zh-CN"/>
        </w:rPr>
        <w:t>补助资金规范使用</w:t>
      </w:r>
      <w:r>
        <w:rPr>
          <w:rFonts w:hint="eastAsia" w:ascii="仿宋_GB2312" w:hAnsi="仿宋_GB2312" w:eastAsia="仿宋_GB2312" w:cs="仿宋_GB2312"/>
          <w:sz w:val="32"/>
          <w:szCs w:val="32"/>
        </w:rPr>
        <w:t>工作做扎实、做到位。</w:t>
      </w:r>
    </w:p>
    <w:p>
      <w:pPr>
        <w:keepNext w:val="0"/>
        <w:keepLines w:val="0"/>
        <w:pageBreakBefore w:val="0"/>
        <w:widowControl w:val="0"/>
        <w:numPr>
          <w:ilvl w:val="0"/>
          <w:numId w:val="0"/>
        </w:numPr>
        <w:kinsoku/>
        <w:wordWrap/>
        <w:overflowPunct/>
        <w:topLinePunct w:val="0"/>
        <w:autoSpaceDE/>
        <w:autoSpaceDN/>
        <w:bidi w:val="0"/>
        <w:spacing w:line="560" w:lineRule="exact"/>
        <w:ind w:left="0" w:firstLine="640" w:firstLineChars="200"/>
        <w:jc w:val="both"/>
        <w:textAlignment w:val="auto"/>
        <w:outlineLvl w:val="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lang w:eastAsia="zh-CN"/>
        </w:rPr>
        <w:t>规范预算管理</w:t>
      </w:r>
    </w:p>
    <w:p>
      <w:pPr>
        <w:keepNext w:val="0"/>
        <w:keepLines w:val="0"/>
        <w:pageBreakBefore w:val="0"/>
        <w:widowControl w:val="0"/>
        <w:numPr>
          <w:ilvl w:val="0"/>
          <w:numId w:val="0"/>
        </w:numPr>
        <w:kinsoku/>
        <w:wordWrap/>
        <w:overflowPunct/>
        <w:topLinePunct w:val="0"/>
        <w:autoSpaceDE/>
        <w:autoSpaceDN/>
        <w:bidi w:val="0"/>
        <w:spacing w:line="560" w:lineRule="exact"/>
        <w:ind w:left="0" w:firstLine="640" w:firstLineChars="200"/>
        <w:jc w:val="both"/>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eastAsia="zh-CN"/>
        </w:rPr>
        <w:t>一是做好统筹规划。我们</w:t>
      </w:r>
      <w:r>
        <w:rPr>
          <w:rFonts w:hint="eastAsia" w:ascii="仿宋_GB2312" w:hAnsi="仿宋_GB2312" w:eastAsia="仿宋_GB2312" w:cs="仿宋_GB2312"/>
          <w:sz w:val="32"/>
          <w:szCs w:val="32"/>
          <w:lang w:val="en-US" w:eastAsia="zh-CN"/>
        </w:rPr>
        <w:t>紧紧围绕“十四五”规划纲要，进一步完善大事要事保障机制，</w:t>
      </w:r>
      <w:r>
        <w:rPr>
          <w:rFonts w:hint="eastAsia" w:ascii="仿宋_GB2312" w:hAnsi="仿宋_GB2312" w:eastAsia="仿宋_GB2312" w:cs="仿宋_GB2312"/>
          <w:sz w:val="32"/>
          <w:szCs w:val="32"/>
        </w:rPr>
        <w:t>结合实际，</w:t>
      </w:r>
      <w:r>
        <w:rPr>
          <w:rFonts w:hint="eastAsia" w:ascii="仿宋_GB2312" w:hAnsi="仿宋_GB2312" w:eastAsia="仿宋_GB2312" w:cs="仿宋_GB2312"/>
          <w:sz w:val="32"/>
          <w:szCs w:val="32"/>
          <w:lang w:eastAsia="zh-CN"/>
        </w:rPr>
        <w:t>将能力提升补助</w:t>
      </w:r>
      <w:r>
        <w:rPr>
          <w:rFonts w:hint="eastAsia" w:ascii="仿宋_GB2312" w:hAnsi="仿宋_GB2312" w:eastAsia="仿宋_GB2312" w:cs="仿宋_GB2312"/>
          <w:sz w:val="32"/>
          <w:szCs w:val="32"/>
        </w:rPr>
        <w:t>资金聚焦投向于</w:t>
      </w:r>
      <w:r>
        <w:rPr>
          <w:rFonts w:hint="eastAsia" w:ascii="仿宋_GB2312" w:hAnsi="仿宋_GB2312" w:eastAsia="仿宋_GB2312" w:cs="仿宋_GB2312"/>
          <w:sz w:val="32"/>
          <w:szCs w:val="32"/>
          <w:lang w:val="en-US" w:eastAsia="zh-CN"/>
        </w:rPr>
        <w:t>国家医保局及市委、市政府确定的</w:t>
      </w:r>
      <w:r>
        <w:rPr>
          <w:rFonts w:hint="eastAsia" w:ascii="仿宋_GB2312" w:hAnsi="仿宋_GB2312" w:eastAsia="仿宋_GB2312" w:cs="仿宋_GB2312"/>
          <w:sz w:val="32"/>
          <w:szCs w:val="32"/>
          <w:lang w:eastAsia="zh-CN"/>
        </w:rPr>
        <w:t>重点</w:t>
      </w:r>
      <w:r>
        <w:rPr>
          <w:rFonts w:hint="eastAsia" w:ascii="仿宋_GB2312" w:hAnsi="仿宋_GB2312" w:eastAsia="仿宋_GB2312" w:cs="仿宋_GB2312"/>
          <w:sz w:val="32"/>
          <w:szCs w:val="32"/>
        </w:rPr>
        <w:t>领域、重点方向、重大项目，</w:t>
      </w:r>
      <w:r>
        <w:rPr>
          <w:rFonts w:hint="eastAsia" w:ascii="仿宋_GB2312" w:hAnsi="仿宋_GB2312" w:eastAsia="仿宋_GB2312" w:cs="仿宋_GB2312"/>
          <w:sz w:val="32"/>
          <w:szCs w:val="32"/>
          <w:lang w:eastAsia="zh-CN"/>
        </w:rPr>
        <w:t>保障重要改革任务和重点工作顺利实施。</w:t>
      </w:r>
    </w:p>
    <w:p>
      <w:pPr>
        <w:keepNext w:val="0"/>
        <w:keepLines w:val="0"/>
        <w:pageBreakBefore w:val="0"/>
        <w:widowControl w:val="0"/>
        <w:numPr>
          <w:ilvl w:val="0"/>
          <w:numId w:val="0"/>
        </w:numPr>
        <w:kinsoku/>
        <w:wordWrap/>
        <w:overflowPunct/>
        <w:topLinePunct w:val="0"/>
        <w:autoSpaceDE/>
        <w:autoSpaceDN/>
        <w:bidi w:val="0"/>
        <w:spacing w:line="560" w:lineRule="exact"/>
        <w:ind w:left="0" w:firstLine="640" w:firstLineChars="200"/>
        <w:jc w:val="both"/>
        <w:textAlignment w:val="auto"/>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z w:val="32"/>
          <w:szCs w:val="32"/>
          <w:lang w:eastAsia="zh-CN"/>
        </w:rPr>
        <w:t>二是强化项目谋划。</w:t>
      </w:r>
      <w:r>
        <w:rPr>
          <w:rFonts w:hint="eastAsia" w:ascii="仿宋_GB2312" w:hAnsi="仿宋_GB2312" w:eastAsia="仿宋_GB2312" w:cs="仿宋_GB2312"/>
          <w:sz w:val="32"/>
          <w:szCs w:val="32"/>
        </w:rPr>
        <w:t>认真做好</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前期准备，提早入手、科学论证，加强项目库建设，做实做细项目库，</w:t>
      </w:r>
      <w:r>
        <w:rPr>
          <w:rFonts w:hint="eastAsia" w:ascii="仿宋_GB2312" w:hAnsi="仿宋_GB2312" w:eastAsia="仿宋_GB2312" w:cs="仿宋_GB2312"/>
          <w:sz w:val="32"/>
          <w:szCs w:val="32"/>
          <w:lang w:eastAsia="zh-CN"/>
        </w:rPr>
        <w:t>做好</w:t>
      </w:r>
      <w:r>
        <w:rPr>
          <w:rFonts w:hint="eastAsia" w:ascii="仿宋_GB2312" w:hAnsi="仿宋_GB2312" w:eastAsia="仿宋_GB2312" w:cs="仿宋_GB2312"/>
          <w:sz w:val="32"/>
          <w:szCs w:val="32"/>
        </w:rPr>
        <w:t>项目规划、评估评审等基础工作，保证资金下达后能够快速启动项目有关程序，充分利用补助资金推动重点工作开展，做到“事儿等钱，而不是钱等事儿”，避免出现“钱等文件、钱来了不知如何用”的情况出现</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spacing w:line="560" w:lineRule="exact"/>
        <w:ind w:left="0" w:firstLine="640" w:firstLineChars="200"/>
        <w:jc w:val="both"/>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u w:val="none"/>
          <w:shd w:val="clear" w:color="auto" w:fill="auto"/>
          <w:lang w:val="en-US" w:eastAsia="zh-CN"/>
        </w:rPr>
        <w:t>三是重视预算执行。</w:t>
      </w:r>
      <w:r>
        <w:rPr>
          <w:rFonts w:hint="eastAsia" w:ascii="仿宋_GB2312" w:hAnsi="仿宋_GB2312" w:eastAsia="仿宋_GB2312" w:cs="仿宋_GB2312"/>
          <w:sz w:val="32"/>
          <w:szCs w:val="32"/>
          <w:lang w:val="en-US" w:eastAsia="zh-CN"/>
        </w:rPr>
        <w:t>强化预算执行主体责任，着力完善预算执行管理，</w:t>
      </w:r>
      <w:r>
        <w:rPr>
          <w:rFonts w:hint="eastAsia" w:ascii="仿宋_GB2312" w:hAnsi="仿宋_GB2312" w:eastAsia="仿宋_GB2312" w:cs="仿宋_GB2312"/>
          <w:sz w:val="32"/>
          <w:szCs w:val="32"/>
          <w:lang w:eastAsia="zh-CN"/>
        </w:rPr>
        <w:t>督促</w:t>
      </w:r>
      <w:r>
        <w:rPr>
          <w:rFonts w:hint="eastAsia" w:ascii="仿宋_GB2312" w:hAnsi="仿宋_GB2312" w:eastAsia="仿宋_GB2312" w:cs="仿宋_GB2312"/>
          <w:color w:val="000000"/>
          <w:sz w:val="32"/>
          <w:szCs w:val="32"/>
          <w:u w:val="none"/>
          <w:shd w:val="clear" w:color="auto" w:fill="auto"/>
          <w:lang w:eastAsia="zh-CN"/>
        </w:rPr>
        <w:t>资金使用单位做好项目采购、合同签订、会议审议等内控环节衔接，有效把控</w:t>
      </w:r>
      <w:r>
        <w:rPr>
          <w:rFonts w:hint="eastAsia" w:ascii="仿宋_GB2312" w:hAnsi="仿宋_GB2312" w:eastAsia="仿宋_GB2312" w:cs="仿宋_GB2312"/>
          <w:color w:val="000000"/>
          <w:sz w:val="32"/>
          <w:szCs w:val="32"/>
          <w:u w:val="none"/>
          <w:shd w:val="clear" w:color="auto" w:fill="auto"/>
        </w:rPr>
        <w:t>预算执行节奏</w:t>
      </w:r>
      <w:r>
        <w:rPr>
          <w:rFonts w:hint="eastAsia" w:ascii="仿宋_GB2312" w:hAnsi="仿宋_GB2312" w:eastAsia="仿宋_GB2312" w:cs="仿宋_GB2312"/>
          <w:color w:val="000000"/>
          <w:sz w:val="32"/>
          <w:szCs w:val="32"/>
          <w:u w:val="none"/>
          <w:shd w:val="clear" w:color="auto" w:fill="auto"/>
          <w:lang w:eastAsia="zh-CN"/>
        </w:rPr>
        <w:t>，</w:t>
      </w:r>
      <w:r>
        <w:rPr>
          <w:rFonts w:hint="eastAsia" w:ascii="仿宋_GB2312" w:hAnsi="仿宋_GB2312" w:eastAsia="仿宋_GB2312" w:cs="仿宋_GB2312"/>
          <w:sz w:val="32"/>
          <w:szCs w:val="32"/>
          <w:lang w:val="en-US" w:eastAsia="zh-CN"/>
        </w:rPr>
        <w:t>在资金规范使用的基础上确保加快执行进度。日常做好资金执行监控，准确掌握补助资金预算执行情况，定期对预算执行进度进行通报。约谈资金执行较慢的单位，及时调度，确保</w:t>
      </w:r>
      <w:r>
        <w:rPr>
          <w:rFonts w:hint="eastAsia" w:ascii="仿宋_GB2312" w:hAnsi="仿宋_GB2312" w:eastAsia="仿宋_GB2312" w:cs="仿宋_GB2312"/>
          <w:color w:val="000000"/>
          <w:sz w:val="32"/>
          <w:szCs w:val="32"/>
          <w:u w:val="none"/>
          <w:shd w:val="clear" w:color="auto" w:fill="auto"/>
        </w:rPr>
        <w:t>尽快形成</w:t>
      </w:r>
      <w:r>
        <w:rPr>
          <w:rFonts w:hint="eastAsia" w:ascii="仿宋_GB2312" w:hAnsi="仿宋_GB2312" w:eastAsia="仿宋_GB2312" w:cs="仿宋_GB2312"/>
          <w:color w:val="000000"/>
          <w:sz w:val="32"/>
          <w:szCs w:val="32"/>
          <w:u w:val="none"/>
          <w:shd w:val="clear" w:color="auto" w:fill="auto"/>
          <w:lang w:eastAsia="zh-CN"/>
        </w:rPr>
        <w:t>支出</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spacing w:line="560" w:lineRule="exact"/>
        <w:ind w:left="0" w:firstLine="640" w:firstLineChars="200"/>
        <w:jc w:val="both"/>
        <w:textAlignment w:val="auto"/>
        <w:outlineLvl w:val="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eastAsia="zh-CN"/>
        </w:rPr>
        <w:t>多样化举措</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highlight w:val="none"/>
          <w:lang w:eastAsia="zh-CN"/>
        </w:rPr>
        <w:t>一是借助外脑。在补助资金</w:t>
      </w:r>
      <w:r>
        <w:rPr>
          <w:rFonts w:hint="eastAsia" w:ascii="仿宋_GB2312" w:hAnsi="仿宋_GB2312" w:eastAsia="仿宋_GB2312" w:cs="仿宋_GB2312"/>
          <w:sz w:val="32"/>
          <w:szCs w:val="32"/>
          <w:highlight w:val="none"/>
          <w:lang w:val="en-US" w:eastAsia="zh-CN"/>
        </w:rPr>
        <w:t>预算编制评审环节引入人大、财政监督机制，同时邀请纪检组积极参与，</w:t>
      </w:r>
      <w:r>
        <w:rPr>
          <w:rFonts w:hint="eastAsia" w:ascii="仿宋_GB2312" w:hAnsi="仿宋_GB2312" w:eastAsia="仿宋_GB2312" w:cs="仿宋_GB2312"/>
          <w:sz w:val="32"/>
          <w:szCs w:val="32"/>
          <w:lang w:val="en-US" w:eastAsia="zh-CN"/>
        </w:rPr>
        <w:t>达到了健全预算编制程序、夯实预算编制基础、压减无效支出的目的。</w:t>
      </w:r>
    </w:p>
    <w:p>
      <w:pPr>
        <w:keepNext w:val="0"/>
        <w:keepLines w:val="0"/>
        <w:pageBreakBefore w:val="0"/>
        <w:widowControl w:val="0"/>
        <w:numPr>
          <w:ilvl w:val="0"/>
          <w:numId w:val="0"/>
        </w:numPr>
        <w:kinsoku/>
        <w:wordWrap/>
        <w:overflowPunct/>
        <w:topLinePunct w:val="0"/>
        <w:autoSpaceDE/>
        <w:autoSpaceDN/>
        <w:bidi w:val="0"/>
        <w:spacing w:line="560" w:lineRule="exact"/>
        <w:ind w:left="0" w:firstLine="640" w:firstLineChars="200"/>
        <w:jc w:val="both"/>
        <w:textAlignment w:val="auto"/>
        <w:outlineLvl w:val="0"/>
        <w:rPr>
          <w:rFonts w:hint="eastAsia"/>
          <w:sz w:val="32"/>
          <w:szCs w:val="32"/>
          <w:highlight w:val="yellow"/>
          <w:lang w:eastAsia="zh-CN"/>
        </w:rPr>
      </w:pPr>
      <w:r>
        <w:rPr>
          <w:rFonts w:hint="eastAsia" w:ascii="仿宋_GB2312" w:hAnsi="仿宋_GB2312" w:eastAsia="仿宋_GB2312" w:cs="仿宋_GB2312"/>
          <w:b w:val="0"/>
          <w:bCs w:val="0"/>
          <w:sz w:val="32"/>
          <w:szCs w:val="32"/>
          <w:highlight w:val="none"/>
          <w:lang w:eastAsia="zh-CN"/>
        </w:rPr>
        <w:t>二是加强监管。</w:t>
      </w:r>
      <w:r>
        <w:rPr>
          <w:rFonts w:hint="eastAsia" w:ascii="仿宋_GB2312" w:hAnsi="仿宋_GB2312" w:eastAsia="仿宋_GB2312" w:cs="仿宋_GB2312"/>
          <w:b w:val="0"/>
          <w:bCs/>
          <w:sz w:val="32"/>
          <w:szCs w:val="32"/>
        </w:rPr>
        <w:t>建立科学、</w:t>
      </w:r>
      <w:r>
        <w:rPr>
          <w:rFonts w:hint="eastAsia" w:ascii="仿宋_GB2312" w:hAnsi="仿宋_GB2312" w:eastAsia="仿宋_GB2312" w:cs="仿宋_GB2312"/>
          <w:b w:val="0"/>
          <w:bCs/>
          <w:sz w:val="32"/>
          <w:szCs w:val="32"/>
          <w:lang w:eastAsia="zh-CN"/>
        </w:rPr>
        <w:t>有效</w:t>
      </w:r>
      <w:r>
        <w:rPr>
          <w:rFonts w:hint="eastAsia" w:ascii="仿宋_GB2312" w:hAnsi="仿宋_GB2312" w:eastAsia="仿宋_GB2312" w:cs="仿宋_GB2312"/>
          <w:b w:val="0"/>
          <w:bCs/>
          <w:sz w:val="32"/>
          <w:szCs w:val="32"/>
        </w:rPr>
        <w:t>的</w:t>
      </w:r>
      <w:r>
        <w:rPr>
          <w:rFonts w:hint="eastAsia" w:ascii="仿宋_GB2312" w:hAnsi="仿宋_GB2312" w:eastAsia="仿宋_GB2312" w:cs="仿宋_GB2312"/>
          <w:b w:val="0"/>
          <w:bCs/>
          <w:sz w:val="32"/>
          <w:szCs w:val="32"/>
          <w:lang w:eastAsia="zh-CN"/>
        </w:rPr>
        <w:t>补助资金内部管理</w:t>
      </w:r>
      <w:r>
        <w:rPr>
          <w:rFonts w:hint="eastAsia" w:ascii="仿宋_GB2312" w:hAnsi="仿宋_GB2312" w:eastAsia="仿宋_GB2312" w:cs="仿宋_GB2312"/>
          <w:b w:val="0"/>
          <w:bCs/>
          <w:sz w:val="32"/>
          <w:szCs w:val="32"/>
        </w:rPr>
        <w:t>机制，对预算执行进度和绩效目标实现情况进行“双监控”</w:t>
      </w:r>
      <w:r>
        <w:rPr>
          <w:rFonts w:hint="eastAsia" w:ascii="仿宋_GB2312" w:hAnsi="仿宋_GB2312" w:eastAsia="仿宋_GB2312" w:cs="仿宋_GB2312"/>
          <w:b w:val="0"/>
          <w:bCs/>
          <w:sz w:val="32"/>
          <w:szCs w:val="32"/>
          <w:lang w:eastAsia="zh-CN"/>
        </w:rPr>
        <w:t>。组织开展补助资金年度绩效评价和专项</w:t>
      </w:r>
      <w:r>
        <w:rPr>
          <w:rFonts w:hint="eastAsia" w:ascii="仿宋_GB2312" w:hAnsi="仿宋_GB2312" w:eastAsia="仿宋_GB2312" w:cs="仿宋_GB2312"/>
          <w:b w:val="0"/>
          <w:bCs w:val="0"/>
          <w:sz w:val="32"/>
          <w:szCs w:val="32"/>
        </w:rPr>
        <w:t>审计</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进一步</w:t>
      </w:r>
      <w:r>
        <w:rPr>
          <w:rFonts w:hint="eastAsia" w:ascii="仿宋_GB2312" w:hAnsi="仿宋_GB2312" w:eastAsia="仿宋_GB2312" w:cs="仿宋_GB2312"/>
          <w:b w:val="0"/>
          <w:bCs w:val="0"/>
          <w:sz w:val="32"/>
          <w:szCs w:val="32"/>
          <w:lang w:eastAsia="zh-CN"/>
        </w:rPr>
        <w:t>压实资金使用单位主体责任</w:t>
      </w:r>
      <w:r>
        <w:rPr>
          <w:rFonts w:hint="eastAsia" w:ascii="仿宋_GB2312" w:hAnsi="仿宋_GB2312" w:eastAsia="仿宋_GB2312" w:cs="仿宋_GB2312"/>
          <w:b w:val="0"/>
          <w:bCs w:val="0"/>
          <w:sz w:val="32"/>
          <w:szCs w:val="32"/>
        </w:rPr>
        <w:t>，查找</w:t>
      </w:r>
      <w:r>
        <w:rPr>
          <w:rFonts w:hint="eastAsia" w:ascii="仿宋_GB2312" w:hAnsi="仿宋_GB2312" w:eastAsia="仿宋_GB2312" w:cs="仿宋_GB2312"/>
          <w:b w:val="0"/>
          <w:bCs w:val="0"/>
          <w:sz w:val="32"/>
          <w:szCs w:val="32"/>
          <w:lang w:eastAsia="zh-CN"/>
        </w:rPr>
        <w:t>预算执行</w:t>
      </w:r>
      <w:r>
        <w:rPr>
          <w:rFonts w:hint="eastAsia" w:ascii="仿宋_GB2312" w:hAnsi="仿宋_GB2312" w:eastAsia="仿宋_GB2312" w:cs="仿宋_GB2312"/>
          <w:b w:val="0"/>
          <w:bCs w:val="0"/>
          <w:sz w:val="32"/>
          <w:szCs w:val="32"/>
        </w:rPr>
        <w:t>工作中的</w:t>
      </w:r>
      <w:r>
        <w:rPr>
          <w:rFonts w:hint="eastAsia" w:ascii="仿宋_GB2312" w:hAnsi="仿宋_GB2312" w:eastAsia="仿宋_GB2312" w:cs="仿宋_GB2312"/>
          <w:b w:val="0"/>
          <w:bCs w:val="0"/>
          <w:sz w:val="32"/>
          <w:szCs w:val="32"/>
          <w:lang w:eastAsia="zh-CN"/>
        </w:rPr>
        <w:t>问题</w:t>
      </w:r>
      <w:r>
        <w:rPr>
          <w:rFonts w:hint="eastAsia" w:ascii="仿宋_GB2312" w:hAnsi="仿宋_GB2312" w:eastAsia="仿宋_GB2312" w:cs="仿宋_GB2312"/>
          <w:b w:val="0"/>
          <w:bCs w:val="0"/>
          <w:sz w:val="32"/>
          <w:szCs w:val="32"/>
        </w:rPr>
        <w:t>和不足</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不断</w:t>
      </w:r>
      <w:r>
        <w:rPr>
          <w:rFonts w:hint="eastAsia" w:ascii="仿宋_GB2312" w:hAnsi="仿宋_GB2312" w:eastAsia="仿宋_GB2312" w:cs="仿宋_GB2312"/>
          <w:b w:val="0"/>
          <w:bCs w:val="0"/>
          <w:sz w:val="32"/>
          <w:szCs w:val="32"/>
          <w:lang w:eastAsia="zh-CN"/>
        </w:rPr>
        <w:t>规范</w:t>
      </w:r>
      <w:r>
        <w:rPr>
          <w:rFonts w:hint="eastAsia" w:ascii="仿宋_GB2312" w:hAnsi="仿宋_GB2312" w:eastAsia="仿宋_GB2312" w:cs="仿宋_GB2312"/>
          <w:b w:val="0"/>
          <w:bCs w:val="0"/>
          <w:sz w:val="32"/>
          <w:szCs w:val="32"/>
        </w:rPr>
        <w:t>防范化解风险</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eastAsia="zh-CN"/>
        </w:rPr>
        <w:t>促进各区医保局</w:t>
      </w:r>
      <w:r>
        <w:rPr>
          <w:rFonts w:hint="eastAsia" w:ascii="仿宋_GB2312" w:hAnsi="仿宋_GB2312" w:eastAsia="仿宋_GB2312" w:cs="仿宋_GB2312"/>
          <w:b w:val="0"/>
          <w:bCs w:val="0"/>
          <w:sz w:val="32"/>
          <w:szCs w:val="32"/>
        </w:rPr>
        <w:t>内部控制体系建设</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强化问题整改与改进管理相结合，促进补助资金规范</w:t>
      </w:r>
      <w:r>
        <w:rPr>
          <w:rFonts w:hint="eastAsia" w:ascii="仿宋_GB2312" w:hAnsi="仿宋_GB2312" w:eastAsia="仿宋_GB2312" w:cs="仿宋_GB2312"/>
          <w:b w:val="0"/>
          <w:bCs w:val="0"/>
          <w:sz w:val="32"/>
          <w:szCs w:val="32"/>
          <w:highlight w:val="none"/>
          <w:lang w:val="en-US" w:eastAsia="zh-CN"/>
        </w:rPr>
        <w:t>执行</w:t>
      </w:r>
      <w:r>
        <w:rPr>
          <w:rFonts w:hint="eastAsia" w:ascii="仿宋_GB2312" w:hAnsi="仿宋_GB2312" w:eastAsia="仿宋_GB2312" w:cs="仿宋_GB2312"/>
          <w:sz w:val="32"/>
          <w:szCs w:val="32"/>
          <w:lang w:eastAsia="zh-CN"/>
        </w:rPr>
        <w:t>。</w:t>
      </w:r>
    </w:p>
    <w:p>
      <w:pPr>
        <w:keepNext w:val="0"/>
        <w:keepLines w:val="0"/>
        <w:pageBreakBefore w:val="0"/>
        <w:numPr>
          <w:ilvl w:val="0"/>
          <w:numId w:val="3"/>
        </w:numPr>
        <w:kinsoku/>
        <w:wordWrap/>
        <w:overflowPunct/>
        <w:topLinePunct w:val="0"/>
        <w:autoSpaceDE/>
        <w:autoSpaceDN/>
        <w:bidi w:val="0"/>
        <w:adjustRightInd w:val="0"/>
        <w:snapToGrid w:val="0"/>
        <w:spacing w:line="560" w:lineRule="exact"/>
        <w:ind w:left="0" w:firstLine="640" w:firstLineChars="200"/>
        <w:jc w:val="both"/>
        <w:textAlignment w:val="auto"/>
        <w:outlineLvl w:val="1"/>
        <w:rPr>
          <w:rFonts w:hint="eastAsia" w:ascii="楷体_GB2312" w:hAnsi="楷体_GB2312" w:eastAsia="楷体_GB2312" w:cs="楷体_GB2312"/>
          <w:b w:val="0"/>
          <w:bCs w:val="0"/>
          <w:sz w:val="32"/>
          <w:szCs w:val="32"/>
          <w:highlight w:val="none"/>
          <w:lang w:eastAsia="zh-CN"/>
        </w:rPr>
      </w:pPr>
      <w:r>
        <w:rPr>
          <w:rFonts w:hint="eastAsia" w:ascii="楷体_GB2312" w:hAnsi="楷体_GB2312" w:eastAsia="楷体_GB2312" w:cs="楷体_GB2312"/>
          <w:b w:val="0"/>
          <w:bCs w:val="0"/>
          <w:sz w:val="32"/>
          <w:szCs w:val="32"/>
          <w:highlight w:val="none"/>
          <w:lang w:eastAsia="zh-CN"/>
        </w:rPr>
        <w:t>总体</w:t>
      </w:r>
      <w:r>
        <w:rPr>
          <w:rFonts w:hint="eastAsia" w:ascii="楷体_GB2312" w:hAnsi="楷体_GB2312" w:eastAsia="楷体_GB2312" w:cs="楷体_GB2312"/>
          <w:b w:val="0"/>
          <w:bCs w:val="0"/>
          <w:sz w:val="32"/>
          <w:szCs w:val="32"/>
          <w:highlight w:val="none"/>
        </w:rPr>
        <w:t>绩效</w:t>
      </w:r>
      <w:r>
        <w:rPr>
          <w:rFonts w:hint="eastAsia" w:ascii="楷体_GB2312" w:hAnsi="楷体_GB2312" w:eastAsia="楷体_GB2312" w:cs="楷体_GB2312"/>
          <w:b w:val="0"/>
          <w:bCs w:val="0"/>
          <w:sz w:val="32"/>
          <w:szCs w:val="32"/>
          <w:highlight w:val="none"/>
          <w:lang w:eastAsia="zh-CN"/>
        </w:rPr>
        <w:t>目标</w:t>
      </w:r>
      <w:r>
        <w:rPr>
          <w:rFonts w:hint="eastAsia" w:ascii="楷体_GB2312" w:hAnsi="楷体_GB2312" w:eastAsia="楷体_GB2312" w:cs="楷体_GB2312"/>
          <w:b w:val="0"/>
          <w:bCs w:val="0"/>
          <w:sz w:val="32"/>
          <w:szCs w:val="32"/>
          <w:highlight w:val="none"/>
        </w:rPr>
        <w:t>完成情况分析</w:t>
      </w:r>
    </w:p>
    <w:p>
      <w:pPr>
        <w:keepNext w:val="0"/>
        <w:keepLines w:val="0"/>
        <w:pageBreakBefore w:val="0"/>
        <w:widowControl w:val="0"/>
        <w:kinsoku/>
        <w:wordWrap/>
        <w:overflowPunct/>
        <w:topLinePunct w:val="0"/>
        <w:autoSpaceDE/>
        <w:autoSpaceDN/>
        <w:bidi w:val="0"/>
        <w:adjustRightInd w:val="0"/>
        <w:snapToGrid w:val="0"/>
        <w:spacing w:line="560" w:lineRule="exact"/>
        <w:ind w:left="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经自评，北京市医疗保障局202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年医疗服务与保障能力提升补助资金（医疗保障服务能力建设部分）分配、使用、管理、执行整体情况良好，达到了年度目标要求。</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firstLine="640" w:firstLineChars="200"/>
        <w:jc w:val="both"/>
        <w:textAlignment w:val="auto"/>
        <w:outlineLvl w:val="9"/>
        <w:rPr>
          <w:rFonts w:hint="eastAsia" w:ascii="仿宋_GB2312" w:hAnsi="仿宋_GB2312" w:eastAsia="仿宋_GB2312" w:cs="仿宋_GB2312"/>
          <w:b w:val="0"/>
          <w:bCs/>
          <w:snapToGrid w:val="0"/>
          <w:color w:val="000000"/>
          <w:sz w:val="32"/>
          <w:szCs w:val="32"/>
          <w:highlight w:val="none"/>
        </w:rPr>
      </w:pPr>
      <w:r>
        <w:rPr>
          <w:rFonts w:hint="eastAsia" w:ascii="仿宋_GB2312" w:hAnsi="仿宋_GB2312" w:eastAsia="仿宋_GB2312" w:cs="仿宋_GB2312"/>
          <w:b w:val="0"/>
          <w:bCs/>
          <w:snapToGrid w:val="0"/>
          <w:color w:val="000000"/>
          <w:sz w:val="32"/>
          <w:szCs w:val="32"/>
          <w:highlight w:val="none"/>
          <w:lang w:val="en-US" w:eastAsia="zh-CN"/>
        </w:rPr>
        <w:t>1.</w:t>
      </w:r>
      <w:r>
        <w:rPr>
          <w:rFonts w:hint="eastAsia" w:ascii="仿宋_GB2312" w:hAnsi="仿宋_GB2312" w:eastAsia="仿宋_GB2312" w:cs="仿宋_GB2312"/>
          <w:b w:val="0"/>
          <w:bCs/>
          <w:snapToGrid w:val="0"/>
          <w:color w:val="000000"/>
          <w:sz w:val="32"/>
          <w:szCs w:val="32"/>
          <w:highlight w:val="none"/>
        </w:rPr>
        <w:t>强化医保信息化建设</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firstLine="640" w:firstLineChars="200"/>
        <w:jc w:val="both"/>
        <w:textAlignment w:val="auto"/>
        <w:outlineLvl w:val="9"/>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b w:val="0"/>
          <w:bCs/>
          <w:snapToGrid w:val="0"/>
          <w:color w:val="000000"/>
          <w:sz w:val="32"/>
          <w:szCs w:val="32"/>
          <w:highlight w:val="none"/>
          <w:lang w:eastAsia="zh-CN"/>
        </w:rPr>
        <w:t>加</w:t>
      </w:r>
      <w:r>
        <w:rPr>
          <w:rFonts w:hint="eastAsia" w:ascii="仿宋_GB2312" w:hAnsi="仿宋_GB2312" w:eastAsia="仿宋_GB2312" w:cs="仿宋_GB2312"/>
          <w:b w:val="0"/>
          <w:bCs w:val="0"/>
          <w:snapToGrid w:val="0"/>
          <w:color w:val="000000"/>
          <w:sz w:val="32"/>
          <w:szCs w:val="32"/>
          <w:highlight w:val="none"/>
          <w:lang w:eastAsia="zh-CN"/>
        </w:rPr>
        <w:t>强网络信息安全基础能力建设，</w:t>
      </w:r>
      <w:r>
        <w:rPr>
          <w:rFonts w:hint="eastAsia" w:ascii="仿宋_GB2312" w:hAnsi="仿宋_GB2312" w:eastAsia="仿宋_GB2312" w:cs="仿宋_GB2312"/>
          <w:snapToGrid w:val="0"/>
          <w:color w:val="000000"/>
          <w:sz w:val="32"/>
          <w:szCs w:val="32"/>
          <w:highlight w:val="none"/>
          <w:lang w:eastAsia="zh-CN"/>
        </w:rPr>
        <w:t>研发应急结算系统，</w:t>
      </w:r>
      <w:r>
        <w:rPr>
          <w:rFonts w:hint="eastAsia" w:ascii="仿宋_GB2312" w:hAnsi="仿宋_GB2312" w:eastAsia="仿宋_GB2312" w:cs="仿宋_GB2312"/>
          <w:snapToGrid w:val="0"/>
          <w:color w:val="000000"/>
          <w:sz w:val="32"/>
          <w:szCs w:val="32"/>
          <w:highlight w:val="none"/>
        </w:rPr>
        <w:t>医保信息平台运行更加安全稳定</w:t>
      </w:r>
      <w:r>
        <w:rPr>
          <w:rFonts w:hint="eastAsia" w:ascii="仿宋_GB2312" w:hAnsi="仿宋_GB2312" w:eastAsia="仿宋_GB2312" w:cs="仿宋_GB2312"/>
          <w:snapToGrid w:val="0"/>
          <w:color w:val="000000"/>
          <w:sz w:val="32"/>
          <w:szCs w:val="32"/>
          <w:highlight w:val="none"/>
          <w:lang w:eastAsia="zh-CN"/>
        </w:rPr>
        <w:t>。</w:t>
      </w:r>
      <w:r>
        <w:rPr>
          <w:rFonts w:hint="eastAsia" w:ascii="仿宋_GB2312" w:hAnsi="仿宋_GB2312" w:eastAsia="仿宋_GB2312" w:cs="仿宋_GB2312"/>
          <w:snapToGrid w:val="0"/>
          <w:color w:val="000000"/>
          <w:sz w:val="32"/>
          <w:szCs w:val="32"/>
          <w:highlight w:val="none"/>
        </w:rPr>
        <w:t>209家医院实现医保移动支付，</w:t>
      </w:r>
      <w:r>
        <w:rPr>
          <w:rFonts w:hint="eastAsia" w:ascii="仿宋_GB2312" w:hAnsi="仿宋_GB2312" w:eastAsia="仿宋_GB2312" w:cs="仿宋_GB2312"/>
          <w:snapToGrid w:val="0"/>
          <w:color w:val="000000"/>
          <w:sz w:val="32"/>
          <w:szCs w:val="32"/>
          <w:highlight w:val="none"/>
          <w:lang w:eastAsia="zh-CN"/>
        </w:rPr>
        <w:t>北京</w:t>
      </w:r>
      <w:r>
        <w:rPr>
          <w:rFonts w:hint="eastAsia" w:ascii="仿宋_GB2312" w:hAnsi="仿宋_GB2312" w:eastAsia="仿宋_GB2312" w:cs="仿宋_GB2312"/>
          <w:snapToGrid w:val="0"/>
          <w:color w:val="000000"/>
          <w:sz w:val="32"/>
          <w:szCs w:val="32"/>
          <w:highlight w:val="none"/>
        </w:rPr>
        <w:t>协和</w:t>
      </w:r>
      <w:r>
        <w:rPr>
          <w:rFonts w:hint="eastAsia" w:ascii="仿宋_GB2312" w:hAnsi="仿宋_GB2312" w:eastAsia="仿宋_GB2312" w:cs="仿宋_GB2312"/>
          <w:snapToGrid w:val="0"/>
          <w:color w:val="000000"/>
          <w:sz w:val="32"/>
          <w:szCs w:val="32"/>
          <w:highlight w:val="none"/>
          <w:lang w:eastAsia="zh-CN"/>
        </w:rPr>
        <w:t>医院</w:t>
      </w:r>
      <w:r>
        <w:rPr>
          <w:rFonts w:hint="eastAsia" w:ascii="仿宋_GB2312" w:hAnsi="仿宋_GB2312" w:eastAsia="仿宋_GB2312" w:cs="仿宋_GB2312"/>
          <w:snapToGrid w:val="0"/>
          <w:color w:val="000000"/>
          <w:sz w:val="32"/>
          <w:szCs w:val="32"/>
          <w:highlight w:val="none"/>
        </w:rPr>
        <w:t>、北大人民</w:t>
      </w:r>
      <w:r>
        <w:rPr>
          <w:rFonts w:hint="eastAsia" w:ascii="仿宋_GB2312" w:hAnsi="仿宋_GB2312" w:eastAsia="仿宋_GB2312" w:cs="仿宋_GB2312"/>
          <w:snapToGrid w:val="0"/>
          <w:color w:val="000000"/>
          <w:sz w:val="32"/>
          <w:szCs w:val="32"/>
          <w:highlight w:val="none"/>
          <w:lang w:eastAsia="zh-CN"/>
        </w:rPr>
        <w:t>医院</w:t>
      </w:r>
      <w:r>
        <w:rPr>
          <w:rFonts w:hint="eastAsia" w:ascii="仿宋_GB2312" w:hAnsi="仿宋_GB2312" w:eastAsia="仿宋_GB2312" w:cs="仿宋_GB2312"/>
          <w:snapToGrid w:val="0"/>
          <w:color w:val="000000"/>
          <w:sz w:val="32"/>
          <w:szCs w:val="32"/>
          <w:highlight w:val="none"/>
        </w:rPr>
        <w:t>等6家医院实现刷脸结算</w:t>
      </w:r>
      <w:r>
        <w:rPr>
          <w:rFonts w:hint="eastAsia" w:ascii="仿宋_GB2312" w:hAnsi="仿宋_GB2312" w:eastAsia="仿宋_GB2312" w:cs="仿宋_GB2312"/>
          <w:snapToGrid w:val="0"/>
          <w:color w:val="000000"/>
          <w:sz w:val="32"/>
          <w:szCs w:val="32"/>
          <w:highlight w:val="none"/>
          <w:lang w:eastAsia="zh-CN"/>
        </w:rPr>
        <w:t>，北京</w:t>
      </w:r>
      <w:r>
        <w:rPr>
          <w:rFonts w:hint="eastAsia" w:ascii="仿宋_GB2312" w:hAnsi="仿宋_GB2312" w:eastAsia="仿宋_GB2312" w:cs="仿宋_GB2312"/>
          <w:snapToGrid w:val="0"/>
          <w:color w:val="000000"/>
          <w:sz w:val="32"/>
          <w:szCs w:val="32"/>
          <w:highlight w:val="none"/>
        </w:rPr>
        <w:t>儿童医院可线上自助办理医保住院登记、出院结算</w:t>
      </w:r>
      <w:r>
        <w:rPr>
          <w:rFonts w:hint="eastAsia" w:ascii="仿宋_GB2312" w:hAnsi="仿宋_GB2312" w:eastAsia="仿宋_GB2312" w:cs="仿宋_GB2312"/>
          <w:snapToGrid w:val="0"/>
          <w:color w:val="000000"/>
          <w:sz w:val="32"/>
          <w:szCs w:val="32"/>
          <w:highlight w:val="none"/>
          <w:lang w:eastAsia="zh-CN"/>
        </w:rPr>
        <w:t>，</w:t>
      </w:r>
      <w:r>
        <w:rPr>
          <w:rFonts w:hint="eastAsia" w:ascii="仿宋_GB2312" w:hAnsi="仿宋_GB2312" w:eastAsia="仿宋_GB2312" w:cs="仿宋_GB2312"/>
          <w:snapToGrid w:val="0"/>
          <w:color w:val="000000"/>
          <w:sz w:val="32"/>
          <w:szCs w:val="32"/>
        </w:rPr>
        <w:t>医保亲情账户绑定更加便捷</w:t>
      </w:r>
      <w:r>
        <w:rPr>
          <w:rFonts w:hint="eastAsia" w:ascii="仿宋_GB2312" w:hAnsi="仿宋_GB2312" w:eastAsia="仿宋_GB2312" w:cs="仿宋_GB2312"/>
          <w:snapToGrid w:val="0"/>
          <w:color w:val="000000"/>
          <w:sz w:val="32"/>
          <w:szCs w:val="32"/>
          <w:highlight w:val="none"/>
        </w:rPr>
        <w:t>。以保障参保人隐私安全为基础，研究通过“数算一体”方式，支持商保公司依法合规使用医保数据用于产品研发，为产业发展注入医保数据力量。</w:t>
      </w:r>
    </w:p>
    <w:p>
      <w:pPr>
        <w:keepNext w:val="0"/>
        <w:keepLines w:val="0"/>
        <w:pageBreakBefore w:val="0"/>
        <w:widowControl w:val="0"/>
        <w:kinsoku/>
        <w:wordWrap/>
        <w:overflowPunct/>
        <w:topLinePunct w:val="0"/>
        <w:autoSpaceDE/>
        <w:autoSpaceDN/>
        <w:bidi w:val="0"/>
        <w:adjustRightInd/>
        <w:snapToGrid w:val="0"/>
        <w:spacing w:line="560" w:lineRule="exact"/>
        <w:ind w:left="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snapToGrid w:val="0"/>
          <w:color w:val="000000"/>
          <w:sz w:val="32"/>
          <w:szCs w:val="32"/>
          <w:highlight w:val="none"/>
        </w:rPr>
        <w:t>把基金监管作为医保工作“生命线”，全面强化监管</w:t>
      </w:r>
    </w:p>
    <w:p>
      <w:pPr>
        <w:pStyle w:val="27"/>
        <w:keepNext w:val="0"/>
        <w:keepLines w:val="0"/>
        <w:pageBreakBefore w:val="0"/>
        <w:widowControl w:val="0"/>
        <w:kinsoku/>
        <w:wordWrap/>
        <w:overflowPunct/>
        <w:topLinePunct w:val="0"/>
        <w:autoSpaceDE/>
        <w:autoSpaceDN/>
        <w:bidi w:val="0"/>
        <w:spacing w:line="560" w:lineRule="exact"/>
        <w:ind w:left="0" w:firstLine="640" w:firstLineChars="200"/>
        <w:textAlignment w:val="auto"/>
        <w:outlineLvl w:val="9"/>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打击欺诈骗保更加有力。注重科学统筹，避免多头重复检查。建立并用好典型问题清单，举一反三，综合运用日常监管、自查自纠、抽查复查、专项整治、飞行检查、行政执法等形式，开展打击欺诈骗保“百日行动”，聚焦过度检查、虚假诊疗、检查检验、康复理疗等重点领域和行为，强化基金监管高压态势。</w:t>
      </w:r>
      <w:r>
        <w:rPr>
          <w:rFonts w:hint="eastAsia" w:ascii="仿宋_GB2312" w:hAnsi="仿宋_GB2312" w:eastAsia="仿宋_GB2312" w:cs="仿宋_GB2312"/>
          <w:snapToGrid w:val="0"/>
          <w:color w:val="000000"/>
          <w:sz w:val="32"/>
          <w:szCs w:val="32"/>
          <w:lang w:eastAsia="zh-CN"/>
        </w:rPr>
        <w:t>年内</w:t>
      </w:r>
      <w:r>
        <w:rPr>
          <w:rFonts w:hint="eastAsia" w:ascii="仿宋_GB2312" w:hAnsi="仿宋_GB2312" w:eastAsia="仿宋_GB2312" w:cs="仿宋_GB2312"/>
          <w:snapToGrid w:val="0"/>
          <w:color w:val="000000"/>
          <w:sz w:val="32"/>
          <w:szCs w:val="32"/>
        </w:rPr>
        <w:t>拒付或追回不合理费用4.57亿元。</w:t>
      </w:r>
    </w:p>
    <w:p>
      <w:pPr>
        <w:pStyle w:val="27"/>
        <w:keepNext w:val="0"/>
        <w:keepLines w:val="0"/>
        <w:pageBreakBefore w:val="0"/>
        <w:widowControl w:val="0"/>
        <w:kinsoku/>
        <w:wordWrap/>
        <w:overflowPunct/>
        <w:topLinePunct w:val="0"/>
        <w:autoSpaceDE/>
        <w:autoSpaceDN/>
        <w:bidi w:val="0"/>
        <w:spacing w:line="560" w:lineRule="exact"/>
        <w:ind w:left="0" w:firstLine="640" w:firstLineChars="200"/>
        <w:textAlignment w:val="auto"/>
        <w:outlineLvl w:val="9"/>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强化医保监管数智赋能。推进以智能审核知识库和智能监管规则库为核心的智能监管体系建设，建立运行门诊基金高额支付、门诊就医异常及多次住院大数据监管模型，完成国家反欺诈大数据应用监管试点工作，医保行政执法信息化建设向集成化、智能化发展。积极推进药品追溯码采集应用，</w:t>
      </w:r>
      <w:r>
        <w:rPr>
          <w:rFonts w:hint="eastAsia" w:ascii="仿宋_GB2312" w:hAnsi="仿宋_GB2312" w:eastAsia="仿宋_GB2312" w:cs="仿宋_GB2312"/>
          <w:snapToGrid w:val="0"/>
          <w:color w:val="000000"/>
          <w:sz w:val="32"/>
          <w:szCs w:val="32"/>
          <w:highlight w:val="none"/>
        </w:rPr>
        <w:t>3376家定点</w:t>
      </w:r>
      <w:r>
        <w:rPr>
          <w:rFonts w:hint="eastAsia" w:ascii="仿宋_GB2312" w:hAnsi="仿宋_GB2312" w:eastAsia="仿宋_GB2312" w:cs="仿宋_GB2312"/>
          <w:snapToGrid w:val="0"/>
          <w:color w:val="000000"/>
          <w:sz w:val="32"/>
          <w:szCs w:val="32"/>
          <w:highlight w:val="none"/>
          <w:lang w:eastAsia="zh-CN"/>
        </w:rPr>
        <w:t>医药机构</w:t>
      </w:r>
      <w:r>
        <w:rPr>
          <w:rFonts w:hint="eastAsia" w:ascii="仿宋_GB2312" w:hAnsi="仿宋_GB2312" w:eastAsia="仿宋_GB2312" w:cs="仿宋_GB2312"/>
          <w:snapToGrid w:val="0"/>
          <w:color w:val="000000"/>
          <w:sz w:val="32"/>
          <w:szCs w:val="32"/>
          <w:highlight w:val="none"/>
        </w:rPr>
        <w:t>上传条目1011.3万余条，</w:t>
      </w:r>
      <w:r>
        <w:rPr>
          <w:rFonts w:hint="eastAsia" w:ascii="仿宋_GB2312" w:hAnsi="仿宋_GB2312" w:eastAsia="仿宋_GB2312" w:cs="仿宋_GB2312"/>
          <w:snapToGrid w:val="0"/>
          <w:color w:val="000000"/>
          <w:sz w:val="32"/>
          <w:szCs w:val="32"/>
        </w:rPr>
        <w:t>扫码从“工作负担”变为“效能工单”，精准打击“回流药”“串换药”。</w:t>
      </w:r>
    </w:p>
    <w:p>
      <w:pPr>
        <w:keepNext w:val="0"/>
        <w:keepLines w:val="0"/>
        <w:pageBreakBefore w:val="0"/>
        <w:widowControl w:val="0"/>
        <w:kinsoku/>
        <w:wordWrap/>
        <w:overflowPunct/>
        <w:topLinePunct w:val="0"/>
        <w:autoSpaceDE/>
        <w:autoSpaceDN/>
        <w:bidi w:val="0"/>
        <w:adjustRightInd/>
        <w:snapToGrid w:val="0"/>
        <w:spacing w:line="560" w:lineRule="exact"/>
        <w:ind w:left="0" w:firstLine="640" w:firstLineChars="200"/>
        <w:textAlignment w:val="auto"/>
        <w:outlineLvl w:val="9"/>
        <w:rPr>
          <w:rFonts w:hint="eastAsia" w:ascii="仿宋_GB2312" w:hAnsi="仿宋_GB2312" w:eastAsia="仿宋_GB2312" w:cs="仿宋_GB2312"/>
          <w:snapToGrid w:val="0"/>
          <w:color w:val="000000"/>
          <w:sz w:val="32"/>
          <w:szCs w:val="32"/>
          <w:highlight w:val="none"/>
          <w:lang w:val="en-US" w:eastAsia="zh-CN" w:bidi="ar-SA"/>
        </w:rPr>
      </w:pPr>
      <w:r>
        <w:rPr>
          <w:rFonts w:hint="eastAsia" w:ascii="仿宋_GB2312" w:hAnsi="仿宋_GB2312" w:eastAsia="仿宋_GB2312" w:cs="仿宋_GB2312"/>
          <w:snapToGrid w:val="0"/>
          <w:color w:val="000000"/>
          <w:sz w:val="32"/>
          <w:szCs w:val="32"/>
          <w:highlight w:val="none"/>
          <w:lang w:val="en-US" w:eastAsia="zh-CN" w:bidi="ar-SA"/>
        </w:rPr>
        <w:t>3.医保经办管理服务提质增效</w:t>
      </w:r>
    </w:p>
    <w:p>
      <w:pPr>
        <w:pStyle w:val="27"/>
        <w:keepNext w:val="0"/>
        <w:keepLines w:val="0"/>
        <w:pageBreakBefore w:val="0"/>
        <w:widowControl w:val="0"/>
        <w:kinsoku/>
        <w:wordWrap/>
        <w:overflowPunct/>
        <w:topLinePunct w:val="0"/>
        <w:autoSpaceDE/>
        <w:autoSpaceDN/>
        <w:bidi w:val="0"/>
        <w:spacing w:line="560" w:lineRule="exact"/>
        <w:ind w:left="0" w:firstLine="640" w:firstLineChars="200"/>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snapToGrid w:val="0"/>
          <w:color w:val="000000"/>
          <w:sz w:val="32"/>
          <w:szCs w:val="32"/>
          <w:highlight w:val="none"/>
          <w:lang w:val="en-US" w:eastAsia="zh-CN" w:bidi="ar-SA"/>
        </w:rPr>
        <w:t>医保管理提档升级。完善</w:t>
      </w:r>
      <w:r>
        <w:rPr>
          <w:rFonts w:hint="eastAsia" w:ascii="仿宋_GB2312" w:hAnsi="仿宋_GB2312" w:eastAsia="仿宋_GB2312" w:cs="仿宋_GB2312"/>
          <w:snapToGrid w:val="0"/>
          <w:color w:val="000000"/>
          <w:sz w:val="32"/>
          <w:szCs w:val="32"/>
          <w:highlight w:val="none"/>
        </w:rPr>
        <w:t>经办政务服务事项清单及办事指南</w:t>
      </w:r>
      <w:r>
        <w:rPr>
          <w:rFonts w:hint="eastAsia" w:ascii="仿宋_GB2312" w:hAnsi="仿宋_GB2312" w:eastAsia="仿宋_GB2312" w:cs="仿宋_GB2312"/>
          <w:snapToGrid w:val="0"/>
          <w:color w:val="000000"/>
          <w:sz w:val="32"/>
          <w:szCs w:val="32"/>
          <w:highlight w:val="none"/>
          <w:lang w:eastAsia="zh-CN"/>
        </w:rPr>
        <w:t>，</w:t>
      </w:r>
      <w:r>
        <w:rPr>
          <w:rFonts w:hint="eastAsia" w:ascii="仿宋_GB2312" w:hAnsi="仿宋_GB2312" w:eastAsia="仿宋_GB2312" w:cs="仿宋_GB2312"/>
          <w:snapToGrid w:val="0"/>
          <w:color w:val="000000"/>
          <w:sz w:val="32"/>
          <w:szCs w:val="32"/>
          <w:highlight w:val="none"/>
        </w:rPr>
        <w:t>群众办事更加透明高效。</w:t>
      </w:r>
      <w:r>
        <w:rPr>
          <w:rFonts w:hint="eastAsia" w:ascii="仿宋_GB2312" w:hAnsi="仿宋_GB2312" w:eastAsia="仿宋_GB2312" w:cs="仿宋_GB2312"/>
          <w:bCs/>
          <w:color w:val="auto"/>
          <w:sz w:val="32"/>
          <w:szCs w:val="32"/>
          <w:highlight w:val="none"/>
          <w:lang w:val="en-US" w:eastAsia="zh-CN"/>
        </w:rPr>
        <w:t>新生儿出生集成化办理参保、医保码就医购药等“高效办成一件事”项目全部落地，改善参保就医体验。</w:t>
      </w:r>
      <w:r>
        <w:rPr>
          <w:rFonts w:hint="eastAsia" w:ascii="仿宋_GB2312" w:hAnsi="仿宋_GB2312" w:eastAsia="仿宋_GB2312" w:cs="仿宋_GB2312"/>
          <w:snapToGrid w:val="0"/>
          <w:color w:val="000000"/>
          <w:sz w:val="32"/>
          <w:szCs w:val="32"/>
          <w:highlight w:val="none"/>
        </w:rPr>
        <w:t>定点医药机构扩面至533</w:t>
      </w:r>
      <w:r>
        <w:rPr>
          <w:rFonts w:hint="eastAsia" w:ascii="仿宋_GB2312" w:hAnsi="仿宋_GB2312" w:eastAsia="仿宋_GB2312" w:cs="仿宋_GB2312"/>
          <w:snapToGrid w:val="0"/>
          <w:color w:val="000000"/>
          <w:sz w:val="32"/>
          <w:szCs w:val="32"/>
          <w:highlight w:val="none"/>
          <w:lang w:val="en-US" w:eastAsia="zh-CN"/>
        </w:rPr>
        <w:t>6</w:t>
      </w:r>
      <w:r>
        <w:rPr>
          <w:rFonts w:hint="eastAsia" w:ascii="仿宋_GB2312" w:hAnsi="仿宋_GB2312" w:eastAsia="仿宋_GB2312" w:cs="仿宋_GB2312"/>
          <w:snapToGrid w:val="0"/>
          <w:color w:val="000000"/>
          <w:sz w:val="32"/>
          <w:szCs w:val="32"/>
          <w:highlight w:val="none"/>
        </w:rPr>
        <w:t>家，A类定点医疗机构增补至59家，</w:t>
      </w:r>
      <w:r>
        <w:rPr>
          <w:rFonts w:hint="eastAsia" w:ascii="仿宋_GB2312" w:hAnsi="仿宋_GB2312" w:eastAsia="仿宋_GB2312" w:cs="仿宋_GB2312"/>
          <w:color w:val="000000"/>
          <w:sz w:val="32"/>
          <w:szCs w:val="32"/>
          <w:highlight w:val="none"/>
        </w:rPr>
        <w:t>“互联网+”医保</w:t>
      </w:r>
      <w:r>
        <w:rPr>
          <w:rFonts w:hint="eastAsia" w:ascii="仿宋_GB2312" w:hAnsi="仿宋_GB2312" w:eastAsia="仿宋_GB2312" w:cs="仿宋_GB2312"/>
          <w:color w:val="000000"/>
          <w:sz w:val="32"/>
          <w:szCs w:val="32"/>
          <w:highlight w:val="none"/>
          <w:lang w:eastAsia="zh-CN"/>
        </w:rPr>
        <w:t>达</w:t>
      </w:r>
      <w:r>
        <w:rPr>
          <w:rFonts w:hint="eastAsia" w:ascii="仿宋_GB2312" w:hAnsi="仿宋_GB2312" w:eastAsia="仿宋_GB2312" w:cs="仿宋_GB2312"/>
          <w:color w:val="000000"/>
          <w:sz w:val="32"/>
          <w:szCs w:val="32"/>
          <w:highlight w:val="none"/>
        </w:rPr>
        <w:t>108家</w:t>
      </w:r>
      <w:r>
        <w:rPr>
          <w:rFonts w:hint="eastAsia" w:ascii="仿宋_GB2312" w:hAnsi="仿宋_GB2312" w:eastAsia="仿宋_GB2312" w:cs="仿宋_GB2312"/>
          <w:snapToGrid w:val="0"/>
          <w:color w:val="000000"/>
          <w:sz w:val="32"/>
          <w:szCs w:val="32"/>
          <w:highlight w:val="none"/>
        </w:rPr>
        <w:t>。异地就医持续优化，</w:t>
      </w:r>
      <w:r>
        <w:rPr>
          <w:rFonts w:hint="eastAsia" w:ascii="仿宋_GB2312" w:hAnsi="仿宋_GB2312" w:eastAsia="仿宋_GB2312" w:cs="仿宋_GB2312"/>
          <w:color w:val="000000"/>
          <w:kern w:val="2"/>
          <w:sz w:val="32"/>
          <w:szCs w:val="32"/>
          <w:highlight w:val="none"/>
        </w:rPr>
        <w:t>年内异地在京直结3766.71万人次，基金支付450.86亿元；本市参保人员京外直结1431.14万人次，基金支付39.01亿元</w:t>
      </w:r>
      <w:r>
        <w:rPr>
          <w:rFonts w:hint="eastAsia" w:ascii="仿宋_GB2312" w:hAnsi="仿宋_GB2312" w:eastAsia="仿宋_GB2312" w:cs="仿宋_GB2312"/>
          <w:color w:val="000000"/>
          <w:sz w:val="32"/>
          <w:szCs w:val="32"/>
          <w:highlight w:val="none"/>
        </w:rPr>
        <w:t>。</w:t>
      </w:r>
    </w:p>
    <w:p>
      <w:pPr>
        <w:pStyle w:val="27"/>
        <w:keepNext w:val="0"/>
        <w:keepLines w:val="0"/>
        <w:pageBreakBefore w:val="0"/>
        <w:widowControl w:val="0"/>
        <w:numPr>
          <w:ilvl w:val="0"/>
          <w:numId w:val="0"/>
        </w:numPr>
        <w:kinsoku/>
        <w:wordWrap/>
        <w:overflowPunct/>
        <w:topLinePunct w:val="0"/>
        <w:autoSpaceDE/>
        <w:autoSpaceDN/>
        <w:bidi w:val="0"/>
        <w:spacing w:line="560" w:lineRule="exact"/>
        <w:ind w:left="0" w:firstLine="640" w:firstLineChars="200"/>
        <w:textAlignment w:val="auto"/>
        <w:outlineLvl w:val="9"/>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4.医保目录动态调整保障患者用药</w:t>
      </w:r>
    </w:p>
    <w:p>
      <w:pPr>
        <w:pStyle w:val="27"/>
        <w:keepNext w:val="0"/>
        <w:keepLines w:val="0"/>
        <w:pageBreakBefore w:val="0"/>
        <w:widowControl w:val="0"/>
        <w:numPr>
          <w:ilvl w:val="0"/>
          <w:numId w:val="0"/>
        </w:numPr>
        <w:kinsoku/>
        <w:wordWrap/>
        <w:overflowPunct/>
        <w:topLinePunct w:val="0"/>
        <w:autoSpaceDE/>
        <w:autoSpaceDN/>
        <w:bidi w:val="0"/>
        <w:spacing w:line="560" w:lineRule="exact"/>
        <w:ind w:left="0" w:firstLine="640" w:firstLineChars="200"/>
        <w:textAlignment w:val="auto"/>
        <w:outlineLvl w:val="9"/>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bCs/>
          <w:color w:val="auto"/>
          <w:sz w:val="32"/>
          <w:szCs w:val="32"/>
          <w:highlight w:val="none"/>
          <w:lang w:val="en-US" w:eastAsia="zh-CN"/>
        </w:rPr>
        <w:t>落实</w:t>
      </w:r>
      <w:r>
        <w:rPr>
          <w:rFonts w:hint="eastAsia" w:ascii="仿宋_GB2312" w:hAnsi="仿宋_GB2312" w:eastAsia="仿宋_GB2312" w:cs="仿宋_GB2312"/>
          <w:snapToGrid w:val="0"/>
          <w:color w:val="000000"/>
          <w:sz w:val="32"/>
          <w:szCs w:val="32"/>
        </w:rPr>
        <w:t>国家2024版药品目录。</w:t>
      </w:r>
      <w:r>
        <w:rPr>
          <w:rFonts w:hint="eastAsia" w:ascii="仿宋_GB2312" w:hAnsi="仿宋_GB2312" w:eastAsia="仿宋_GB2312" w:cs="仿宋_GB2312"/>
          <w:snapToGrid w:val="0"/>
          <w:color w:val="000000"/>
          <w:sz w:val="32"/>
          <w:szCs w:val="32"/>
          <w:lang w:val="en-US" w:eastAsia="zh-CN"/>
        </w:rPr>
        <w:t>483</w:t>
      </w:r>
      <w:r>
        <w:rPr>
          <w:rFonts w:hint="eastAsia" w:ascii="仿宋_GB2312" w:hAnsi="仿宋_GB2312" w:eastAsia="仿宋_GB2312" w:cs="仿宋_GB2312"/>
          <w:snapToGrid w:val="0"/>
          <w:color w:val="000000"/>
          <w:sz w:val="32"/>
          <w:szCs w:val="32"/>
        </w:rPr>
        <w:t>种</w:t>
      </w:r>
      <w:r>
        <w:rPr>
          <w:rFonts w:hint="eastAsia" w:ascii="仿宋_GB2312" w:hAnsi="仿宋_GB2312" w:eastAsia="仿宋_GB2312" w:cs="仿宋_GB2312"/>
          <w:color w:val="000000"/>
          <w:sz w:val="32"/>
          <w:szCs w:val="32"/>
        </w:rPr>
        <w:t>“双通道”</w:t>
      </w:r>
      <w:r>
        <w:rPr>
          <w:rFonts w:hint="eastAsia" w:ascii="仿宋_GB2312" w:hAnsi="仿宋_GB2312" w:eastAsia="仿宋_GB2312" w:cs="仿宋_GB2312"/>
          <w:snapToGrid w:val="0"/>
          <w:color w:val="000000"/>
          <w:sz w:val="32"/>
          <w:szCs w:val="32"/>
        </w:rPr>
        <w:t>国谈药可用可及</w:t>
      </w:r>
      <w:r>
        <w:rPr>
          <w:rFonts w:hint="eastAsia" w:ascii="仿宋_GB2312" w:hAnsi="仿宋_GB2312" w:eastAsia="仿宋_GB2312" w:cs="仿宋_GB2312"/>
          <w:bCs/>
          <w:color w:val="auto"/>
          <w:sz w:val="32"/>
          <w:szCs w:val="32"/>
          <w:highlight w:val="none"/>
          <w:lang w:val="en-US" w:eastAsia="zh-CN"/>
        </w:rPr>
        <w:t>，110家医疗机构、22家药店开通“双通道”业务，累</w:t>
      </w:r>
      <w:r>
        <w:rPr>
          <w:rFonts w:hint="eastAsia" w:ascii="仿宋_GB2312" w:hAnsi="仿宋_GB2312" w:eastAsia="仿宋_GB2312" w:cs="仿宋_GB2312"/>
          <w:color w:val="auto"/>
          <w:kern w:val="2"/>
          <w:sz w:val="32"/>
          <w:szCs w:val="32"/>
          <w:highlight w:val="none"/>
          <w:lang w:val="en-US" w:eastAsia="zh-CN" w:bidi="ar-SA"/>
        </w:rPr>
        <w:t>计销售金额36亿元。</w:t>
      </w:r>
      <w:r>
        <w:rPr>
          <w:rFonts w:hint="eastAsia" w:ascii="仿宋_GB2312" w:hAnsi="仿宋_GB2312" w:eastAsia="仿宋_GB2312" w:cs="仿宋_GB2312"/>
          <w:snapToGrid w:val="0"/>
          <w:color w:val="000000"/>
          <w:sz w:val="32"/>
          <w:szCs w:val="32"/>
        </w:rPr>
        <w:t>1252种乙类药品在社区定点医疗机构就医按甲类报销。物理、康复治疗医保报销时长最长延长至1年。造血干细胞移植适应症由5个扩大到12个。出台医保支持中医药传承创新发展实施意见，更好满足群众中医药服务需求。</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firstLine="640" w:firstLineChars="200"/>
        <w:jc w:val="both"/>
        <w:textAlignment w:val="auto"/>
        <w:outlineLvl w:val="9"/>
        <w:rPr>
          <w:rFonts w:hint="eastAsia" w:ascii="仿宋_GB2312" w:hAnsi="仿宋_GB2312" w:eastAsia="仿宋_GB2312" w:cs="仿宋_GB2312"/>
          <w:snapToGrid/>
          <w:color w:val="000000"/>
          <w:kern w:val="2"/>
          <w:sz w:val="32"/>
          <w:szCs w:val="32"/>
          <w:lang w:eastAsia="zh-CN"/>
        </w:rPr>
      </w:pPr>
      <w:r>
        <w:rPr>
          <w:rFonts w:hint="eastAsia" w:ascii="仿宋_GB2312" w:hAnsi="仿宋_GB2312" w:eastAsia="仿宋_GB2312" w:cs="仿宋_GB2312"/>
          <w:snapToGrid/>
          <w:color w:val="000000"/>
          <w:kern w:val="2"/>
          <w:sz w:val="32"/>
          <w:szCs w:val="32"/>
          <w:lang w:val="en-US" w:eastAsia="zh-CN"/>
        </w:rPr>
        <w:t>5.</w:t>
      </w:r>
      <w:r>
        <w:rPr>
          <w:rFonts w:hint="eastAsia" w:ascii="仿宋_GB2312" w:hAnsi="仿宋_GB2312" w:eastAsia="仿宋_GB2312" w:cs="仿宋_GB2312"/>
          <w:snapToGrid/>
          <w:color w:val="000000"/>
          <w:kern w:val="2"/>
          <w:sz w:val="32"/>
          <w:szCs w:val="32"/>
          <w:lang w:eastAsia="zh-CN"/>
        </w:rPr>
        <w:t>深化多元复合式医保支付方式改革</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firstLine="640" w:firstLineChars="200"/>
        <w:jc w:val="both"/>
        <w:textAlignment w:val="auto"/>
        <w:outlineLvl w:val="9"/>
        <w:rPr>
          <w:rFonts w:hint="eastAsia" w:ascii="仿宋_GB2312" w:hAnsi="仿宋_GB2312" w:eastAsia="仿宋_GB2312" w:cs="仿宋_GB2312"/>
          <w:snapToGrid/>
          <w:color w:val="000000"/>
          <w:kern w:val="2"/>
          <w:sz w:val="32"/>
          <w:szCs w:val="32"/>
          <w:highlight w:val="none"/>
          <w:lang w:val="en-US" w:eastAsia="zh-CN"/>
        </w:rPr>
      </w:pPr>
      <w:r>
        <w:rPr>
          <w:rFonts w:hint="eastAsia" w:ascii="仿宋_GB2312" w:hAnsi="仿宋_GB2312" w:eastAsia="仿宋_GB2312" w:cs="仿宋_GB2312"/>
          <w:snapToGrid/>
          <w:color w:val="000000"/>
          <w:kern w:val="2"/>
          <w:sz w:val="32"/>
          <w:szCs w:val="32"/>
          <w:lang w:eastAsia="zh-CN"/>
        </w:rPr>
        <w:t>总额</w:t>
      </w:r>
      <w:r>
        <w:rPr>
          <w:rFonts w:hint="eastAsia" w:ascii="仿宋_GB2312" w:hAnsi="仿宋_GB2312" w:eastAsia="仿宋_GB2312" w:cs="仿宋_GB2312"/>
          <w:snapToGrid/>
          <w:color w:val="000000"/>
          <w:kern w:val="2"/>
          <w:sz w:val="32"/>
          <w:szCs w:val="32"/>
        </w:rPr>
        <w:t>预算管理</w:t>
      </w:r>
      <w:r>
        <w:rPr>
          <w:rFonts w:hint="eastAsia" w:ascii="仿宋_GB2312" w:hAnsi="仿宋_GB2312" w:eastAsia="仿宋_GB2312" w:cs="仿宋_GB2312"/>
          <w:color w:val="000000"/>
          <w:kern w:val="2"/>
          <w:sz w:val="32"/>
          <w:szCs w:val="32"/>
        </w:rPr>
        <w:t>（BJ-GBI）</w:t>
      </w:r>
      <w:r>
        <w:rPr>
          <w:rFonts w:hint="eastAsia" w:ascii="仿宋_GB2312" w:hAnsi="仿宋_GB2312" w:eastAsia="仿宋_GB2312" w:cs="仿宋_GB2312"/>
          <w:snapToGrid/>
          <w:color w:val="000000"/>
          <w:kern w:val="2"/>
          <w:sz w:val="32"/>
          <w:szCs w:val="32"/>
        </w:rPr>
        <w:t>与按病组</w:t>
      </w:r>
      <w:r>
        <w:rPr>
          <w:rFonts w:hint="eastAsia" w:ascii="仿宋_GB2312" w:hAnsi="仿宋_GB2312" w:eastAsia="仿宋_GB2312" w:cs="仿宋_GB2312"/>
          <w:snapToGrid/>
          <w:color w:val="000000"/>
          <w:kern w:val="2"/>
          <w:sz w:val="32"/>
          <w:szCs w:val="32"/>
          <w:lang w:eastAsia="zh-CN"/>
        </w:rPr>
        <w:t>（</w:t>
      </w:r>
      <w:r>
        <w:rPr>
          <w:rFonts w:hint="eastAsia" w:ascii="仿宋_GB2312" w:hAnsi="仿宋_GB2312" w:eastAsia="仿宋_GB2312" w:cs="仿宋_GB2312"/>
          <w:snapToGrid/>
          <w:color w:val="000000"/>
          <w:kern w:val="2"/>
          <w:sz w:val="32"/>
          <w:szCs w:val="32"/>
        </w:rPr>
        <w:t>DRG</w:t>
      </w:r>
      <w:r>
        <w:rPr>
          <w:rFonts w:hint="eastAsia" w:ascii="仿宋_GB2312" w:hAnsi="仿宋_GB2312" w:eastAsia="仿宋_GB2312" w:cs="仿宋_GB2312"/>
          <w:snapToGrid/>
          <w:color w:val="000000"/>
          <w:kern w:val="2"/>
          <w:sz w:val="32"/>
          <w:szCs w:val="32"/>
          <w:lang w:eastAsia="zh-CN"/>
        </w:rPr>
        <w:t>）</w:t>
      </w:r>
      <w:r>
        <w:rPr>
          <w:rFonts w:hint="eastAsia" w:ascii="仿宋_GB2312" w:hAnsi="仿宋_GB2312" w:eastAsia="仿宋_GB2312" w:cs="仿宋_GB2312"/>
          <w:snapToGrid/>
          <w:color w:val="000000"/>
          <w:kern w:val="2"/>
          <w:sz w:val="32"/>
          <w:szCs w:val="32"/>
        </w:rPr>
        <w:t>付费</w:t>
      </w:r>
      <w:r>
        <w:rPr>
          <w:rFonts w:hint="eastAsia" w:ascii="仿宋_GB2312" w:hAnsi="仿宋_GB2312" w:eastAsia="仿宋_GB2312" w:cs="仿宋_GB2312"/>
          <w:snapToGrid/>
          <w:color w:val="000000"/>
          <w:kern w:val="2"/>
          <w:sz w:val="32"/>
          <w:szCs w:val="32"/>
          <w:lang w:eastAsia="zh-CN"/>
        </w:rPr>
        <w:t>、</w:t>
      </w:r>
      <w:r>
        <w:rPr>
          <w:rFonts w:hint="eastAsia" w:ascii="仿宋_GB2312" w:hAnsi="仿宋_GB2312" w:eastAsia="仿宋_GB2312" w:cs="仿宋_GB2312"/>
          <w:snapToGrid/>
          <w:color w:val="000000"/>
          <w:kern w:val="2"/>
          <w:sz w:val="32"/>
          <w:szCs w:val="32"/>
        </w:rPr>
        <w:t>长处方落实、国谈药落地、集采结余留用等政策紧密衔接，</w:t>
      </w:r>
      <w:r>
        <w:rPr>
          <w:rFonts w:hint="eastAsia" w:ascii="仿宋_GB2312" w:hAnsi="仿宋_GB2312" w:eastAsia="仿宋_GB2312" w:cs="仿宋_GB2312"/>
          <w:snapToGrid/>
          <w:color w:val="000000"/>
          <w:kern w:val="2"/>
          <w:sz w:val="32"/>
          <w:szCs w:val="32"/>
          <w:lang w:eastAsia="zh-CN"/>
        </w:rPr>
        <w:t>出台</w:t>
      </w:r>
      <w:r>
        <w:rPr>
          <w:rFonts w:hint="eastAsia" w:ascii="仿宋_GB2312" w:hAnsi="仿宋_GB2312" w:eastAsia="仿宋_GB2312" w:cs="仿宋_GB2312"/>
          <w:snapToGrid/>
          <w:color w:val="000000"/>
          <w:kern w:val="2"/>
          <w:sz w:val="32"/>
          <w:szCs w:val="32"/>
          <w:lang w:val="en-US" w:eastAsia="zh-CN"/>
        </w:rPr>
        <w:t>2.0版DRG分组方案</w:t>
      </w:r>
      <w:r>
        <w:rPr>
          <w:rFonts w:hint="eastAsia" w:ascii="仿宋_GB2312" w:hAnsi="仿宋_GB2312" w:eastAsia="仿宋_GB2312" w:cs="仿宋_GB2312"/>
          <w:snapToGrid/>
          <w:color w:val="000000"/>
          <w:kern w:val="2"/>
          <w:sz w:val="32"/>
          <w:szCs w:val="32"/>
          <w:lang w:eastAsia="zh-CN"/>
        </w:rPr>
        <w:t>，</w:t>
      </w:r>
      <w:r>
        <w:rPr>
          <w:rFonts w:hint="eastAsia" w:ascii="仿宋_GB2312" w:hAnsi="仿宋_GB2312" w:eastAsia="仿宋_GB2312" w:cs="仿宋_GB2312"/>
          <w:snapToGrid/>
          <w:color w:val="000000"/>
          <w:kern w:val="2"/>
          <w:sz w:val="32"/>
          <w:szCs w:val="32"/>
        </w:rPr>
        <w:t>医保激励约束作用</w:t>
      </w:r>
      <w:r>
        <w:rPr>
          <w:rFonts w:hint="eastAsia" w:ascii="仿宋_GB2312" w:hAnsi="仿宋_GB2312" w:eastAsia="仿宋_GB2312" w:cs="仿宋_GB2312"/>
          <w:snapToGrid/>
          <w:color w:val="000000"/>
          <w:kern w:val="2"/>
          <w:sz w:val="32"/>
          <w:szCs w:val="32"/>
          <w:lang w:eastAsia="zh-CN"/>
        </w:rPr>
        <w:t>进一步</w:t>
      </w:r>
      <w:r>
        <w:rPr>
          <w:rFonts w:hint="eastAsia" w:ascii="仿宋_GB2312" w:hAnsi="仿宋_GB2312" w:eastAsia="仿宋_GB2312" w:cs="仿宋_GB2312"/>
          <w:snapToGrid/>
          <w:color w:val="000000"/>
          <w:kern w:val="2"/>
          <w:sz w:val="32"/>
          <w:szCs w:val="32"/>
        </w:rPr>
        <w:t>提升。</w:t>
      </w:r>
      <w:r>
        <w:rPr>
          <w:rFonts w:hint="eastAsia" w:ascii="仿宋_GB2312" w:hAnsi="仿宋_GB2312" w:eastAsia="仿宋_GB2312" w:cs="仿宋_GB2312"/>
          <w:snapToGrid/>
          <w:color w:val="000000"/>
          <w:kern w:val="2"/>
          <w:sz w:val="32"/>
          <w:szCs w:val="32"/>
          <w:lang w:eastAsia="zh-CN"/>
        </w:rPr>
        <w:t>出台</w:t>
      </w:r>
      <w:r>
        <w:rPr>
          <w:rFonts w:hint="eastAsia" w:ascii="仿宋_GB2312" w:hAnsi="仿宋_GB2312" w:eastAsia="仿宋_GB2312" w:cs="仿宋_GB2312"/>
          <w:snapToGrid/>
          <w:color w:val="000000"/>
          <w:kern w:val="2"/>
          <w:sz w:val="32"/>
          <w:szCs w:val="32"/>
          <w:highlight w:val="none"/>
          <w:lang w:val="en-US" w:eastAsia="zh-CN"/>
        </w:rPr>
        <w:t>“两病”门诊按人头付费和“预住院”费用医保支付试点方案，持续深化医保支付方式改革。</w:t>
      </w:r>
    </w:p>
    <w:p>
      <w:pPr>
        <w:pStyle w:val="27"/>
        <w:keepNext w:val="0"/>
        <w:keepLines w:val="0"/>
        <w:pageBreakBefore w:val="0"/>
        <w:widowControl w:val="0"/>
        <w:numPr>
          <w:ilvl w:val="0"/>
          <w:numId w:val="0"/>
        </w:numPr>
        <w:kinsoku/>
        <w:wordWrap/>
        <w:overflowPunct/>
        <w:topLinePunct w:val="0"/>
        <w:autoSpaceDE/>
        <w:autoSpaceDN/>
        <w:bidi w:val="0"/>
        <w:spacing w:line="560" w:lineRule="exact"/>
        <w:ind w:left="0" w:firstLine="640" w:firstLineChars="200"/>
        <w:textAlignment w:val="auto"/>
        <w:outlineLvl w:val="9"/>
        <w:rPr>
          <w:rFonts w:hint="eastAsia" w:ascii="仿宋_GB2312" w:hAnsi="仿宋_GB2312" w:eastAsia="仿宋_GB2312" w:cs="仿宋_GB2312"/>
          <w:color w:val="000000"/>
          <w:sz w:val="32"/>
          <w:szCs w:val="32"/>
          <w:highlight w:val="none"/>
          <w:shd w:val="clear" w:color="auto" w:fill="FFFFFF"/>
        </w:rPr>
      </w:pPr>
      <w:r>
        <w:rPr>
          <w:rFonts w:hint="eastAsia" w:ascii="仿宋_GB2312" w:hAnsi="仿宋_GB2312" w:eastAsia="仿宋_GB2312" w:cs="仿宋_GB2312"/>
          <w:color w:val="000000"/>
          <w:sz w:val="32"/>
          <w:szCs w:val="32"/>
          <w:highlight w:val="none"/>
          <w:shd w:val="clear" w:color="auto" w:fill="FFFFFF"/>
          <w:lang w:val="en-US" w:eastAsia="zh-CN"/>
        </w:rPr>
        <w:t>6.</w:t>
      </w:r>
      <w:r>
        <w:rPr>
          <w:rFonts w:hint="eastAsia" w:ascii="仿宋_GB2312" w:hAnsi="仿宋_GB2312" w:eastAsia="仿宋_GB2312" w:cs="仿宋_GB2312"/>
          <w:color w:val="000000"/>
          <w:sz w:val="32"/>
          <w:szCs w:val="32"/>
          <w:highlight w:val="none"/>
          <w:shd w:val="clear" w:color="auto" w:fill="FFFFFF"/>
        </w:rPr>
        <w:t>医药集中采购提质扩面</w:t>
      </w:r>
    </w:p>
    <w:p>
      <w:pPr>
        <w:pStyle w:val="27"/>
        <w:keepNext w:val="0"/>
        <w:keepLines w:val="0"/>
        <w:pageBreakBefore w:val="0"/>
        <w:widowControl w:val="0"/>
        <w:numPr>
          <w:ilvl w:val="0"/>
          <w:numId w:val="0"/>
        </w:numPr>
        <w:kinsoku/>
        <w:wordWrap/>
        <w:overflowPunct/>
        <w:topLinePunct w:val="0"/>
        <w:autoSpaceDE/>
        <w:autoSpaceDN/>
        <w:bidi w:val="0"/>
        <w:spacing w:line="560" w:lineRule="exact"/>
        <w:ind w:left="0" w:firstLine="640" w:firstLineChars="200"/>
        <w:textAlignment w:val="auto"/>
        <w:outlineLvl w:val="9"/>
        <w:rPr>
          <w:rFonts w:hint="eastAsia" w:ascii="仿宋_GB2312" w:hAnsi="仿宋_GB2312" w:eastAsia="仿宋_GB2312" w:cs="仿宋_GB2312"/>
          <w:snapToGrid w:val="0"/>
          <w:color w:val="000000"/>
          <w:sz w:val="32"/>
          <w:szCs w:val="32"/>
        </w:rPr>
      </w:pPr>
      <w:r>
        <w:rPr>
          <w:rFonts w:hint="eastAsia" w:ascii="仿宋_GB2312" w:hAnsi="仿宋_GB2312" w:eastAsia="仿宋_GB2312" w:cs="仿宋_GB2312"/>
          <w:color w:val="000000"/>
          <w:sz w:val="32"/>
          <w:szCs w:val="32"/>
          <w:highlight w:val="none"/>
          <w:shd w:val="clear" w:color="auto" w:fill="FFFFFF"/>
          <w:lang w:eastAsia="zh-CN"/>
        </w:rPr>
        <w:t>累计</w:t>
      </w:r>
      <w:r>
        <w:rPr>
          <w:rFonts w:hint="eastAsia" w:ascii="仿宋_GB2312" w:hAnsi="仿宋_GB2312" w:eastAsia="仿宋_GB2312" w:cs="仿宋_GB2312"/>
          <w:color w:val="000000"/>
          <w:sz w:val="32"/>
          <w:szCs w:val="32"/>
          <w:highlight w:val="none"/>
          <w:shd w:val="clear" w:color="auto" w:fill="FFFFFF"/>
        </w:rPr>
        <w:t>完成9批次国家组织和</w:t>
      </w:r>
      <w:r>
        <w:rPr>
          <w:rFonts w:hint="eastAsia" w:ascii="仿宋_GB2312" w:hAnsi="仿宋_GB2312" w:eastAsia="仿宋_GB2312" w:cs="仿宋_GB2312"/>
          <w:color w:val="000000"/>
          <w:sz w:val="32"/>
          <w:szCs w:val="32"/>
          <w:highlight w:val="none"/>
          <w:shd w:val="clear" w:color="auto" w:fill="FFFFFF"/>
          <w:lang w:val="en-US" w:eastAsia="zh-CN"/>
        </w:rPr>
        <w:t>6</w:t>
      </w:r>
      <w:r>
        <w:rPr>
          <w:rFonts w:hint="eastAsia" w:ascii="仿宋_GB2312" w:hAnsi="仿宋_GB2312" w:eastAsia="仿宋_GB2312" w:cs="仿宋_GB2312"/>
          <w:color w:val="000000"/>
          <w:sz w:val="32"/>
          <w:szCs w:val="32"/>
          <w:highlight w:val="none"/>
          <w:shd w:val="clear" w:color="auto" w:fill="FFFFFF"/>
        </w:rPr>
        <w:t>批次省级药品</w:t>
      </w:r>
      <w:r>
        <w:rPr>
          <w:rFonts w:hint="eastAsia" w:ascii="仿宋_GB2312" w:hAnsi="仿宋_GB2312" w:eastAsia="仿宋_GB2312" w:cs="仿宋_GB2312"/>
          <w:color w:val="000000"/>
          <w:sz w:val="32"/>
          <w:szCs w:val="32"/>
          <w:highlight w:val="none"/>
          <w:shd w:val="clear" w:color="auto" w:fill="FFFFFF"/>
          <w:lang w:val="en"/>
        </w:rPr>
        <w:t>、</w:t>
      </w:r>
      <w:r>
        <w:rPr>
          <w:rFonts w:hint="eastAsia" w:ascii="仿宋_GB2312" w:hAnsi="仿宋_GB2312" w:eastAsia="仿宋_GB2312" w:cs="仿宋_GB2312"/>
          <w:color w:val="000000"/>
          <w:sz w:val="32"/>
          <w:szCs w:val="32"/>
          <w:highlight w:val="none"/>
          <w:shd w:val="clear" w:color="auto" w:fill="FFFFFF"/>
          <w:lang w:val="en-US" w:eastAsia="zh-CN"/>
        </w:rPr>
        <w:t>4</w:t>
      </w:r>
      <w:r>
        <w:rPr>
          <w:rFonts w:hint="eastAsia" w:ascii="仿宋_GB2312" w:hAnsi="仿宋_GB2312" w:eastAsia="仿宋_GB2312" w:cs="仿宋_GB2312"/>
          <w:color w:val="000000"/>
          <w:sz w:val="32"/>
          <w:szCs w:val="32"/>
          <w:highlight w:val="none"/>
          <w:shd w:val="clear" w:color="auto" w:fill="FFFFFF"/>
        </w:rPr>
        <w:t>批次国家组织和</w:t>
      </w:r>
      <w:r>
        <w:rPr>
          <w:rFonts w:hint="eastAsia" w:ascii="仿宋_GB2312" w:hAnsi="仿宋_GB2312" w:eastAsia="仿宋_GB2312" w:cs="仿宋_GB2312"/>
          <w:color w:val="000000"/>
          <w:sz w:val="32"/>
          <w:szCs w:val="32"/>
          <w:highlight w:val="none"/>
          <w:shd w:val="clear" w:color="auto" w:fill="FFFFFF"/>
          <w:lang w:val="en-US" w:eastAsia="zh-CN"/>
        </w:rPr>
        <w:t>5类</w:t>
      </w:r>
      <w:r>
        <w:rPr>
          <w:rFonts w:hint="eastAsia" w:ascii="仿宋_GB2312" w:hAnsi="仿宋_GB2312" w:eastAsia="仿宋_GB2312" w:cs="仿宋_GB2312"/>
          <w:color w:val="000000"/>
          <w:sz w:val="32"/>
          <w:szCs w:val="32"/>
          <w:highlight w:val="none"/>
          <w:shd w:val="clear" w:color="auto" w:fill="FFFFFF"/>
        </w:rPr>
        <w:t>省级医用耗材带量采购工作，</w:t>
      </w:r>
      <w:r>
        <w:rPr>
          <w:rFonts w:hint="eastAsia" w:ascii="仿宋_GB2312" w:hAnsi="仿宋_GB2312" w:eastAsia="仿宋_GB2312" w:cs="仿宋_GB2312"/>
          <w:snapToGrid w:val="0"/>
          <w:color w:val="000000"/>
          <w:sz w:val="32"/>
          <w:szCs w:val="32"/>
          <w:highlight w:val="none"/>
        </w:rPr>
        <w:t>年内集采药品90种、医用耗材</w:t>
      </w:r>
      <w:r>
        <w:rPr>
          <w:rFonts w:hint="eastAsia" w:ascii="仿宋_GB2312" w:hAnsi="仿宋_GB2312" w:eastAsia="仿宋_GB2312" w:cs="仿宋_GB2312"/>
          <w:snapToGrid w:val="0"/>
          <w:color w:val="000000"/>
          <w:sz w:val="32"/>
          <w:szCs w:val="32"/>
          <w:highlight w:val="none"/>
          <w:lang w:val="en-US" w:eastAsia="zh-CN"/>
        </w:rPr>
        <w:t>7</w:t>
      </w:r>
      <w:r>
        <w:rPr>
          <w:rFonts w:hint="eastAsia" w:ascii="仿宋_GB2312" w:hAnsi="仿宋_GB2312" w:eastAsia="仿宋_GB2312" w:cs="仿宋_GB2312"/>
          <w:snapToGrid w:val="0"/>
          <w:color w:val="000000"/>
          <w:sz w:val="32"/>
          <w:szCs w:val="32"/>
          <w:highlight w:val="none"/>
        </w:rPr>
        <w:t>类</w:t>
      </w:r>
      <w:r>
        <w:rPr>
          <w:rFonts w:hint="eastAsia" w:ascii="仿宋_GB2312" w:hAnsi="仿宋_GB2312" w:eastAsia="仿宋_GB2312" w:cs="仿宋_GB2312"/>
          <w:snapToGrid w:val="0"/>
          <w:color w:val="000000"/>
          <w:sz w:val="32"/>
          <w:szCs w:val="32"/>
        </w:rPr>
        <w:t>，人工晶体、运动医学类耗材平均降幅60%、70%。实现中药饮片阳光挂网采购，</w:t>
      </w:r>
      <w:r>
        <w:rPr>
          <w:rFonts w:hint="eastAsia" w:ascii="仿宋_GB2312" w:hAnsi="仿宋_GB2312" w:eastAsia="仿宋_GB2312" w:cs="仿宋_GB2312"/>
          <w:snapToGrid w:val="0"/>
          <w:sz w:val="32"/>
          <w:szCs w:val="32"/>
        </w:rPr>
        <w:t>6万余个饮片产品一对一赋码，引导同药价格就低趋同</w:t>
      </w:r>
      <w:r>
        <w:rPr>
          <w:rFonts w:hint="eastAsia" w:ascii="仿宋_GB2312" w:hAnsi="仿宋_GB2312" w:eastAsia="仿宋_GB2312" w:cs="仿宋_GB2312"/>
          <w:snapToGrid w:val="0"/>
          <w:color w:val="000000"/>
          <w:sz w:val="32"/>
          <w:szCs w:val="32"/>
        </w:rPr>
        <w:t>。</w:t>
      </w:r>
    </w:p>
    <w:p>
      <w:pPr>
        <w:pStyle w:val="27"/>
        <w:keepNext w:val="0"/>
        <w:keepLines w:val="0"/>
        <w:pageBreakBefore w:val="0"/>
        <w:widowControl w:val="0"/>
        <w:numPr>
          <w:ilvl w:val="0"/>
          <w:numId w:val="0"/>
        </w:numPr>
        <w:kinsoku/>
        <w:wordWrap/>
        <w:overflowPunct/>
        <w:topLinePunct w:val="0"/>
        <w:autoSpaceDE/>
        <w:autoSpaceDN/>
        <w:bidi w:val="0"/>
        <w:spacing w:line="560" w:lineRule="exact"/>
        <w:ind w:left="0" w:firstLine="640" w:firstLineChars="200"/>
        <w:textAlignment w:val="auto"/>
        <w:outlineLvl w:val="9"/>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7.医疗服务价格改革有序开展</w:t>
      </w:r>
    </w:p>
    <w:p>
      <w:pPr>
        <w:pStyle w:val="27"/>
        <w:keepNext w:val="0"/>
        <w:keepLines w:val="0"/>
        <w:pageBreakBefore w:val="0"/>
        <w:widowControl w:val="0"/>
        <w:numPr>
          <w:ilvl w:val="0"/>
          <w:numId w:val="0"/>
        </w:numPr>
        <w:kinsoku/>
        <w:wordWrap/>
        <w:overflowPunct/>
        <w:topLinePunct w:val="0"/>
        <w:autoSpaceDE/>
        <w:autoSpaceDN/>
        <w:bidi w:val="0"/>
        <w:spacing w:line="560" w:lineRule="exact"/>
        <w:ind w:left="0" w:firstLine="640" w:firstLineChars="200"/>
        <w:textAlignment w:val="auto"/>
        <w:outlineLvl w:val="9"/>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动态</w:t>
      </w:r>
      <w:r>
        <w:rPr>
          <w:rFonts w:hint="eastAsia" w:ascii="仿宋_GB2312" w:hAnsi="仿宋_GB2312" w:eastAsia="仿宋_GB2312" w:cs="仿宋_GB2312"/>
          <w:snapToGrid w:val="0"/>
          <w:color w:val="000000"/>
          <w:sz w:val="32"/>
          <w:szCs w:val="32"/>
        </w:rPr>
        <w:t>调整189项医疗服务价格项目和可收</w:t>
      </w:r>
      <w:r>
        <w:rPr>
          <w:rFonts w:hint="eastAsia" w:ascii="仿宋_GB2312" w:hAnsi="仿宋_GB2312" w:eastAsia="仿宋_GB2312" w:cs="仿宋_GB2312"/>
          <w:snapToGrid w:val="0"/>
          <w:sz w:val="32"/>
          <w:szCs w:val="32"/>
        </w:rPr>
        <w:t>费医用耗材价格政策</w:t>
      </w:r>
      <w:r>
        <w:rPr>
          <w:rFonts w:hint="eastAsia" w:ascii="仿宋_GB2312" w:hAnsi="仿宋_GB2312" w:eastAsia="仿宋_GB2312" w:cs="仿宋_GB2312"/>
          <w:snapToGrid w:val="0"/>
          <w:sz w:val="32"/>
          <w:szCs w:val="32"/>
          <w:lang w:eastAsia="zh-CN"/>
        </w:rPr>
        <w:t>，</w:t>
      </w:r>
      <w:r>
        <w:rPr>
          <w:rFonts w:hint="eastAsia" w:ascii="仿宋_GB2312" w:hAnsi="仿宋_GB2312" w:eastAsia="仿宋_GB2312" w:cs="仿宋_GB2312"/>
          <w:b w:val="0"/>
          <w:bCs w:val="0"/>
          <w:color w:val="auto"/>
          <w:sz w:val="32"/>
          <w:szCs w:val="32"/>
          <w:lang w:eastAsia="zh-CN"/>
        </w:rPr>
        <w:t>完成</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eastAsia="zh-CN"/>
        </w:rPr>
        <w:t>批次医疗服务价格规范治理工作，</w:t>
      </w:r>
      <w:r>
        <w:rPr>
          <w:rFonts w:hint="eastAsia" w:ascii="仿宋_GB2312" w:hAnsi="仿宋_GB2312" w:eastAsia="仿宋_GB2312" w:cs="仿宋_GB2312"/>
          <w:snapToGrid w:val="0"/>
          <w:sz w:val="32"/>
          <w:szCs w:val="32"/>
          <w:lang w:eastAsia="zh-CN"/>
        </w:rPr>
        <w:t>技术劳务</w:t>
      </w:r>
      <w:r>
        <w:rPr>
          <w:rFonts w:hint="eastAsia" w:ascii="仿宋_GB2312" w:hAnsi="仿宋_GB2312" w:eastAsia="仿宋_GB2312" w:cs="仿宋_GB2312"/>
          <w:snapToGrid w:val="0"/>
          <w:color w:val="000000"/>
          <w:sz w:val="32"/>
          <w:szCs w:val="32"/>
        </w:rPr>
        <w:t>类项目价格有序上调，检查检验类项目价格合理下降。</w:t>
      </w:r>
      <w:r>
        <w:rPr>
          <w:rFonts w:hint="eastAsia" w:ascii="仿宋_GB2312" w:hAnsi="仿宋_GB2312" w:eastAsia="仿宋_GB2312" w:cs="仿宋_GB2312"/>
          <w:color w:val="auto"/>
          <w:kern w:val="0"/>
          <w:sz w:val="32"/>
          <w:szCs w:val="32"/>
          <w:lang w:val="en-US" w:eastAsia="zh-CN" w:bidi="ar"/>
        </w:rPr>
        <w:t>新增医疗服务价格项目14项,转归已立项新增项目56项，</w:t>
      </w:r>
      <w:r>
        <w:rPr>
          <w:rFonts w:hint="eastAsia" w:ascii="仿宋_GB2312" w:hAnsi="仿宋_GB2312" w:eastAsia="仿宋_GB2312" w:cs="仿宋_GB2312"/>
          <w:snapToGrid w:val="0"/>
          <w:sz w:val="32"/>
          <w:szCs w:val="32"/>
        </w:rPr>
        <w:t>50家医疗机构新增医疗服务项目价格备案219条，支持创新医疗技术成果转化。</w:t>
      </w:r>
      <w:r>
        <w:rPr>
          <w:rFonts w:hint="eastAsia" w:ascii="仿宋_GB2312" w:hAnsi="仿宋_GB2312" w:eastAsia="仿宋_GB2312" w:cs="仿宋_GB2312"/>
          <w:snapToGrid w:val="0"/>
          <w:color w:val="000000"/>
          <w:sz w:val="32"/>
          <w:szCs w:val="32"/>
        </w:rPr>
        <w:t>发挥药品价格治理效能，梳理3万余个药品价格，调整3000余条药品挂网价，平均降幅11%。</w:t>
      </w:r>
      <w:r>
        <w:rPr>
          <w:rFonts w:hint="eastAsia" w:ascii="仿宋_GB2312" w:hAnsi="仿宋_GB2312" w:eastAsia="仿宋_GB2312" w:cs="仿宋_GB2312"/>
          <w:color w:val="auto"/>
          <w:kern w:val="0"/>
          <w:sz w:val="32"/>
          <w:szCs w:val="32"/>
          <w:lang w:val="en-US" w:eastAsia="zh-CN" w:bidi="ar"/>
        </w:rPr>
        <w:t>完成辅助生殖和临床量表立项指南落地工作。</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outlineLvl w:val="1"/>
        <w:rPr>
          <w:rFonts w:hint="eastAsia"/>
          <w:sz w:val="32"/>
          <w:szCs w:val="32"/>
          <w:highlight w:val="none"/>
          <w:lang w:val="en-US" w:eastAsia="zh-CN"/>
        </w:rPr>
      </w:pPr>
      <w:r>
        <w:rPr>
          <w:rFonts w:hint="eastAsia" w:ascii="楷体_GB2312" w:hAnsi="楷体_GB2312" w:eastAsia="楷体_GB2312" w:cs="楷体_GB2312"/>
          <w:b w:val="0"/>
          <w:bCs w:val="0"/>
          <w:color w:val="000000" w:themeColor="text1"/>
          <w:sz w:val="32"/>
          <w:szCs w:val="32"/>
          <w:highlight w:val="none"/>
          <w14:textFill>
            <w14:solidFill>
              <w14:schemeClr w14:val="tx1"/>
            </w14:solidFill>
          </w14:textFill>
        </w:rPr>
        <w:t>（</w:t>
      </w:r>
      <w:r>
        <w:rPr>
          <w:rFonts w:hint="eastAsia" w:ascii="楷体_GB2312" w:hAnsi="楷体_GB2312" w:eastAsia="楷体_GB2312" w:cs="楷体_GB2312"/>
          <w:b w:val="0"/>
          <w:bCs w:val="0"/>
          <w:color w:val="000000" w:themeColor="text1"/>
          <w:sz w:val="32"/>
          <w:szCs w:val="32"/>
          <w:highlight w:val="none"/>
          <w:lang w:eastAsia="zh-CN"/>
          <w14:textFill>
            <w14:solidFill>
              <w14:schemeClr w14:val="tx1"/>
            </w14:solidFill>
          </w14:textFill>
        </w:rPr>
        <w:t>四</w:t>
      </w:r>
      <w:r>
        <w:rPr>
          <w:rFonts w:hint="eastAsia" w:ascii="楷体_GB2312" w:hAnsi="楷体_GB2312" w:eastAsia="楷体_GB2312" w:cs="楷体_GB2312"/>
          <w:b w:val="0"/>
          <w:bCs w:val="0"/>
          <w:color w:val="000000" w:themeColor="text1"/>
          <w:sz w:val="32"/>
          <w:szCs w:val="32"/>
          <w:highlight w:val="none"/>
          <w14:textFill>
            <w14:solidFill>
              <w14:schemeClr w14:val="tx1"/>
            </w14:solidFill>
          </w14:textFill>
        </w:rPr>
        <w:t>）绩效指标完成情况分析</w:t>
      </w:r>
      <w:bookmarkEnd w:id="2"/>
      <w:bookmarkEnd w:id="16"/>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仿宋_GB2312" w:eastAsia="仿宋_GB2312" w:cs="仿宋_GB2312"/>
          <w:b/>
          <w:bCs/>
          <w:sz w:val="32"/>
          <w:szCs w:val="32"/>
          <w:highlight w:val="none"/>
        </w:rPr>
      </w:pPr>
      <w:r>
        <w:rPr>
          <w:rFonts w:hint="eastAsia" w:ascii="仿宋_GB2312" w:hAnsi="仿宋_GB2312" w:eastAsia="仿宋_GB2312" w:cs="仿宋_GB2312"/>
          <w:b w:val="0"/>
          <w:bCs w:val="0"/>
          <w:sz w:val="32"/>
          <w:szCs w:val="32"/>
        </w:rPr>
        <w:t>1.产出指标完成情况</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val="0"/>
          <w:bCs w:val="0"/>
          <w:sz w:val="32"/>
          <w:szCs w:val="32"/>
        </w:rPr>
        <w:t>（1）数量指标完成情况</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①基本医保参保人数</w:t>
      </w:r>
    </w:p>
    <w:p>
      <w:pPr>
        <w:pStyle w:val="2"/>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sz w:val="32"/>
          <w:szCs w:val="32"/>
          <w:lang w:val="en-US" w:eastAsia="zh-CN"/>
        </w:rPr>
      </w:pPr>
      <w:r>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t>截至2024年12月底，我市基本医疗保险参保人数和公费医疗享受人员人数叠加达到2089</w:t>
      </w:r>
      <w:bookmarkStart w:id="38" w:name="_GoBack"/>
      <w:bookmarkEnd w:id="38"/>
      <w:r>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t>万人，显示出较高的参保覆盖率。</w:t>
      </w:r>
    </w:p>
    <w:p>
      <w:pPr>
        <w:pStyle w:val="27"/>
        <w:keepNext w:val="0"/>
        <w:keepLines w:val="0"/>
        <w:pageBreakBefore w:val="0"/>
        <w:kinsoku/>
        <w:wordWrap/>
        <w:overflowPunct/>
        <w:topLinePunct w:val="0"/>
        <w:autoSpaceDE/>
        <w:autoSpaceDN/>
        <w:bidi w:val="0"/>
        <w:spacing w:line="560" w:lineRule="exact"/>
        <w:ind w:left="0" w:firstLine="640" w:firstLineChars="200"/>
        <w:textAlignment w:val="auto"/>
        <w:rPr>
          <w:rFonts w:hint="eastAsia" w:ascii="仿宋_GB2312" w:hAnsi="仿宋_GB2312" w:eastAsia="仿宋_GB2312" w:cs="仿宋_GB2312"/>
          <w:snapToGrid w:val="0"/>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snapToGrid w:val="0"/>
          <w:color w:val="auto"/>
          <w:sz w:val="32"/>
          <w:szCs w:val="32"/>
          <w:highlight w:val="none"/>
          <w:lang w:val="en-US" w:eastAsia="zh-CN" w:bidi="ar-SA"/>
        </w:rPr>
        <w:t>每个县（区）范围内开通门诊慢特病相关治疗费用跨省联网定点医疗机构数量</w:t>
      </w:r>
    </w:p>
    <w:p>
      <w:pPr>
        <w:pStyle w:val="25"/>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截至2024年2月21日，我市共有879家定点医疗机构开通门诊慢特病异地直接结算，已实现门诊慢特病异地直接结算各区全覆盖</w:t>
      </w:r>
      <w:r>
        <w:rPr>
          <w:rFonts w:hint="eastAsia" w:ascii="仿宋_GB2312" w:hAnsi="仿宋_GB2312" w:cs="仿宋_GB2312"/>
          <w:b w:val="0"/>
          <w:bCs/>
          <w:color w:val="000000"/>
          <w:kern w:val="2"/>
          <w:sz w:val="32"/>
          <w:szCs w:val="32"/>
          <w:lang w:val="en-US" w:eastAsia="zh-CN" w:bidi="ar-SA"/>
        </w:rPr>
        <w:t>。</w:t>
      </w:r>
      <w:r>
        <w:rPr>
          <w:rFonts w:hint="eastAsia" w:ascii="仿宋_GB2312" w:hAnsi="仿宋_GB2312" w:eastAsia="仿宋_GB2312" w:cs="仿宋_GB2312"/>
          <w:b w:val="0"/>
          <w:bCs/>
          <w:color w:val="000000"/>
          <w:kern w:val="2"/>
          <w:sz w:val="32"/>
          <w:szCs w:val="32"/>
          <w:lang w:val="en-US" w:eastAsia="zh-CN" w:bidi="ar-SA"/>
        </w:rPr>
        <w:t>其中</w:t>
      </w:r>
      <w:r>
        <w:rPr>
          <w:rFonts w:hint="eastAsia" w:ascii="仿宋_GB2312" w:hAnsi="仿宋_GB2312" w:cs="仿宋_GB2312"/>
          <w:b w:val="0"/>
          <w:bCs/>
          <w:color w:val="000000"/>
          <w:kern w:val="2"/>
          <w:sz w:val="32"/>
          <w:szCs w:val="32"/>
          <w:lang w:val="en-US" w:eastAsia="zh-CN" w:bidi="ar-SA"/>
        </w:rPr>
        <w:t>，</w:t>
      </w:r>
      <w:r>
        <w:rPr>
          <w:rFonts w:hint="eastAsia" w:ascii="仿宋_GB2312" w:hAnsi="仿宋_GB2312" w:eastAsia="仿宋_GB2312" w:cs="仿宋_GB2312"/>
          <w:b w:val="0"/>
          <w:bCs/>
          <w:color w:val="000000"/>
          <w:kern w:val="2"/>
          <w:sz w:val="32"/>
          <w:szCs w:val="32"/>
          <w:lang w:val="en-US" w:eastAsia="zh-CN" w:bidi="ar-SA"/>
        </w:rPr>
        <w:t>昌平区280家，顺义区221家，东城区85家，朝阳区63家，海淀区59家，丰台区47家，西城区28家，延庆区27家，大兴区16家，石景山区14家，房山区11家，通州区7家，怀柔区5家，经开区4家，门头沟区4家，密云区4家，平谷区4家。</w:t>
      </w:r>
    </w:p>
    <w:p>
      <w:pPr>
        <w:pStyle w:val="25"/>
        <w:keepNext w:val="0"/>
        <w:keepLines w:val="0"/>
        <w:pageBreakBefore w:val="0"/>
        <w:widowControl w:val="0"/>
        <w:kinsoku/>
        <w:wordWrap/>
        <w:overflowPunct/>
        <w:topLinePunct w:val="0"/>
        <w:autoSpaceDE/>
        <w:autoSpaceDN/>
        <w:bidi w:val="0"/>
        <w:adjustRightInd/>
        <w:spacing w:line="560" w:lineRule="exact"/>
        <w:ind w:left="0"/>
        <w:textAlignment w:val="auto"/>
        <w:rPr>
          <w:rFonts w:hint="eastAsia" w:ascii="仿宋_GB2312" w:hAnsi="仿宋_GB2312" w:eastAsia="仿宋_GB2312" w:cs="仿宋_GB2312"/>
          <w:snapToGrid w:val="0"/>
          <w:color w:val="auto"/>
          <w:sz w:val="32"/>
          <w:szCs w:val="32"/>
          <w:highlight w:val="none"/>
          <w:lang w:val="en-US" w:eastAsia="zh-CN" w:bidi="ar-SA"/>
        </w:rPr>
      </w:pPr>
      <w:r>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t>截至2025年2月21日，我市共有2536家定点医疗机构开通门诊慢特病异地直接结算，已实现门诊慢特病异地直接结算各区全覆盖，其中朝阳区324家、昌平区316家、大兴区286家、海淀区269家、怀柔区261家、房山区236家、顺义区219家、延庆区172家、西城区122家、东城区94家、丰台区83家、石景山区74家、门头沟区43家、平谷区13家、经开区12家、通州区7家、密云区5家。</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rPr>
        <w:t>短缺药品异常高价和异常配送核查处置情况</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按照国家医保局统一部署，对国家局每月通报的异常价格和异常配送积极核查处置。2024年共计接收并核查处置了10批次39个异常高价的短缺药品。最大降幅96%，平均降幅58%。如多巴酚丁胺注射剂、呋塞米注射剂、尼可刹米注射剂3个异常高价短缺药品，经约谈促改，企业主动下调挂网价格，降幅分别为96%、85%、83%。</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北京市医保局及时核查情况并同步开展处置工作，对于存在价格上涨幅度或频次异常、区域间价格差异较大等情况的药品，综合运用函询约谈、暂停挂网等措施，予以约束，处置率达100%。</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rPr>
        <w:t>每年开展药品挂网价格联动次数</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2024年开展药品挂网价格联动共16次。</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lang w:val="en-US" w:eastAsia="zh-CN"/>
        </w:rPr>
        <w:t>质量</w:t>
      </w:r>
      <w:r>
        <w:rPr>
          <w:rFonts w:hint="eastAsia" w:ascii="仿宋_GB2312" w:hAnsi="仿宋_GB2312" w:eastAsia="仿宋_GB2312" w:cs="仿宋_GB2312"/>
          <w:b w:val="0"/>
          <w:bCs w:val="0"/>
          <w:sz w:val="32"/>
          <w:szCs w:val="32"/>
        </w:rPr>
        <w:t>指标完成情况</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重复参保治理情况</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自本市城乡居民基本医疗保险制度建立之初，各险种之间就建立了各险种之间对比机制，有效避免了重复参保现象，提高了医保资源使用效率。根据北京市城乡居民基本医疗保险系统，2023年6月底时点数据，城乡居民基本医疗保险参保人数3923467人，其中央属大学生2614人，无重复参保。</w:t>
      </w:r>
    </w:p>
    <w:p>
      <w:pPr>
        <w:pStyle w:val="25"/>
        <w:keepNext w:val="0"/>
        <w:keepLines w:val="0"/>
        <w:pageBreakBefore w:val="0"/>
        <w:widowControl w:val="0"/>
        <w:kinsoku/>
        <w:wordWrap/>
        <w:overflowPunct/>
        <w:topLinePunct w:val="0"/>
        <w:autoSpaceDE/>
        <w:autoSpaceDN/>
        <w:bidi w:val="0"/>
        <w:adjustRightInd/>
        <w:snapToGrid/>
        <w:spacing w:line="560" w:lineRule="exact"/>
        <w:ind w:left="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②医保基金综合监管能力</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outlineLvl w:val="9"/>
        <w:rPr>
          <w:rFonts w:hint="eastAsia" w:ascii="仿宋_GB2312" w:hAnsi="仿宋" w:eastAsia="仿宋_GB2312"/>
          <w:color w:val="auto"/>
          <w:sz w:val="32"/>
          <w:szCs w:val="32"/>
        </w:rPr>
      </w:pPr>
      <w:r>
        <w:rPr>
          <w:rFonts w:hint="eastAsia" w:ascii="仿宋_GB2312" w:hAnsi="仿宋" w:eastAsia="仿宋_GB2312"/>
          <w:color w:val="auto"/>
          <w:sz w:val="32"/>
          <w:szCs w:val="32"/>
        </w:rPr>
        <w:t>2024年</w:t>
      </w:r>
      <w:r>
        <w:rPr>
          <w:rFonts w:hint="eastAsia" w:ascii="仿宋_GB2312" w:hAnsi="仿宋" w:eastAsia="仿宋_GB2312"/>
          <w:color w:val="auto"/>
          <w:sz w:val="32"/>
          <w:szCs w:val="32"/>
          <w:lang w:eastAsia="zh-CN"/>
        </w:rPr>
        <w:t>我局</w:t>
      </w:r>
      <w:r>
        <w:rPr>
          <w:rFonts w:hint="eastAsia" w:ascii="仿宋_GB2312" w:hAnsi="仿宋" w:eastAsia="仿宋_GB2312"/>
          <w:color w:val="auto"/>
          <w:sz w:val="32"/>
          <w:szCs w:val="32"/>
        </w:rPr>
        <w:t>制定</w:t>
      </w:r>
      <w:r>
        <w:rPr>
          <w:rFonts w:hint="eastAsia" w:ascii="仿宋_GB2312" w:hAnsi="仿宋" w:eastAsia="仿宋_GB2312"/>
          <w:color w:val="auto"/>
          <w:sz w:val="32"/>
          <w:szCs w:val="32"/>
          <w:lang w:eastAsia="zh-CN"/>
        </w:rPr>
        <w:t>了</w:t>
      </w:r>
      <w:r>
        <w:rPr>
          <w:rFonts w:hint="eastAsia" w:ascii="仿宋_GB2312" w:hAnsi="仿宋" w:eastAsia="仿宋_GB2312"/>
          <w:color w:val="auto"/>
          <w:sz w:val="32"/>
          <w:szCs w:val="32"/>
        </w:rPr>
        <w:t>医保基金监管工作方案，明确9方面38项基金监管工作任务，制定年度监督检查工作计划，</w:t>
      </w:r>
      <w:r>
        <w:rPr>
          <w:rFonts w:hint="eastAsia" w:ascii="仿宋_GB2312" w:hAnsi="仿宋" w:eastAsia="仿宋_GB2312"/>
          <w:color w:val="auto"/>
          <w:sz w:val="32"/>
          <w:szCs w:val="32"/>
          <w:lang w:eastAsia="zh-CN"/>
        </w:rPr>
        <w:t>明确日常协议检查、专项检查、飞行检查、行政执法检查、经办机构检查等检查类型、检查内容、检查对象等，</w:t>
      </w:r>
      <w:r>
        <w:rPr>
          <w:rFonts w:hint="eastAsia" w:ascii="仿宋_GB2312" w:hAnsi="仿宋" w:eastAsia="仿宋_GB2312"/>
          <w:color w:val="auto"/>
          <w:sz w:val="32"/>
          <w:szCs w:val="32"/>
        </w:rPr>
        <w:t>加强监督检查工作统筹。</w:t>
      </w:r>
    </w:p>
    <w:p>
      <w:pPr>
        <w:pStyle w:val="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 w:eastAsia="仿宋_GB2312" w:cs="Times New Roman"/>
          <w:snapToGrid w:val="0"/>
          <w:color w:val="auto"/>
          <w:sz w:val="32"/>
          <w:szCs w:val="32"/>
          <w:lang w:val="en-US" w:eastAsia="zh-CN" w:bidi="ar-SA"/>
        </w:rPr>
        <w:t>组织自查自纠，行业行为更规范。一是聚焦心</w:t>
      </w:r>
      <w:r>
        <w:rPr>
          <w:rFonts w:hint="eastAsia" w:ascii="仿宋_GB2312" w:hAnsi="仿宋_GB2312" w:eastAsia="仿宋_GB2312" w:cs="仿宋_GB2312"/>
          <w:color w:val="auto"/>
          <w:sz w:val="32"/>
          <w:szCs w:val="32"/>
        </w:rPr>
        <w:t>血管内科、骨科、血液净化、康复、医学影像、临床检验</w:t>
      </w:r>
      <w:r>
        <w:rPr>
          <w:rFonts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rPr>
        <w:t>六个领域典型的违法违规问题</w:t>
      </w:r>
      <w:r>
        <w:rPr>
          <w:rFonts w:hint="eastAsia" w:ascii="仿宋_GB2312" w:hAnsi="仿宋_GB2312" w:eastAsia="仿宋_GB2312" w:cs="仿宋_GB2312"/>
          <w:color w:val="auto"/>
          <w:sz w:val="32"/>
          <w:szCs w:val="32"/>
          <w:lang w:eastAsia="zh"/>
        </w:rPr>
        <w:t>,</w:t>
      </w:r>
      <w:r>
        <w:rPr>
          <w:rFonts w:hint="eastAsia" w:ascii="仿宋_GB2312" w:hAnsi="仿宋_GB2312" w:eastAsia="仿宋_GB2312" w:cs="仿宋_GB2312"/>
          <w:color w:val="auto"/>
          <w:sz w:val="32"/>
          <w:szCs w:val="32"/>
        </w:rPr>
        <w:t>梳理形成55项本地化自查自纠清单。同时针对过度</w:t>
      </w:r>
      <w:r>
        <w:rPr>
          <w:rFonts w:hint="eastAsia" w:ascii="仿宋_GB2312" w:hAnsi="仿宋_GB2312" w:eastAsia="仿宋_GB2312" w:cs="仿宋_GB2312"/>
          <w:color w:val="auto"/>
          <w:sz w:val="32"/>
          <w:szCs w:val="32"/>
          <w:lang w:eastAsia="zh-CN"/>
        </w:rPr>
        <w:t>检查、过度</w:t>
      </w:r>
      <w:r>
        <w:rPr>
          <w:rFonts w:hint="eastAsia" w:ascii="仿宋_GB2312" w:hAnsi="仿宋_GB2312" w:eastAsia="仿宋_GB2312" w:cs="仿宋_GB2312"/>
          <w:color w:val="auto"/>
          <w:sz w:val="32"/>
          <w:szCs w:val="32"/>
        </w:rPr>
        <w:t>诊疗问题，经</w:t>
      </w:r>
      <w:r>
        <w:rPr>
          <w:rFonts w:hint="eastAsia" w:ascii="仿宋_GB2312" w:hAnsi="仿宋_GB2312" w:eastAsia="仿宋_GB2312" w:cs="仿宋_GB2312"/>
          <w:color w:val="auto"/>
          <w:sz w:val="32"/>
          <w:szCs w:val="32"/>
          <w:lang w:eastAsia="zh-CN"/>
        </w:rPr>
        <w:t>组织</w:t>
      </w:r>
      <w:r>
        <w:rPr>
          <w:rFonts w:hint="eastAsia" w:ascii="仿宋_GB2312" w:hAnsi="仿宋_GB2312" w:eastAsia="仿宋_GB2312" w:cs="仿宋_GB2312"/>
          <w:color w:val="auto"/>
          <w:sz w:val="32"/>
          <w:szCs w:val="32"/>
        </w:rPr>
        <w:t>专家研究论证，梳理22项过度诊疗问题清单，</w:t>
      </w:r>
      <w:r>
        <w:rPr>
          <w:rFonts w:hint="eastAsia" w:ascii="仿宋_GB2312" w:hAnsi="仿宋_GB2312" w:eastAsia="仿宋_GB2312" w:cs="仿宋_GB2312"/>
          <w:color w:val="auto"/>
          <w:kern w:val="0"/>
          <w:sz w:val="32"/>
          <w:szCs w:val="32"/>
        </w:rPr>
        <w:t>组织开展定点医疗机构自查自纠工作。此外，配合国家医保局</w:t>
      </w:r>
      <w:r>
        <w:rPr>
          <w:rFonts w:hint="eastAsia" w:ascii="仿宋_GB2312" w:hAnsi="仿宋_GB2312" w:eastAsia="仿宋_GB2312" w:cs="仿宋_GB2312"/>
          <w:color w:val="auto"/>
          <w:kern w:val="0"/>
          <w:sz w:val="32"/>
          <w:szCs w:val="32"/>
          <w:lang w:eastAsia="zh-CN"/>
        </w:rPr>
        <w:t>完成了</w:t>
      </w:r>
      <w:r>
        <w:rPr>
          <w:rFonts w:hint="eastAsia" w:ascii="仿宋_GB2312" w:hAnsi="仿宋_GB2312" w:eastAsia="仿宋_GB2312" w:cs="仿宋_GB2312"/>
          <w:color w:val="auto"/>
          <w:kern w:val="0"/>
          <w:sz w:val="32"/>
          <w:szCs w:val="32"/>
        </w:rPr>
        <w:t>我市14家三级定点医疗机构专项自查自纠检查工作。</w:t>
      </w:r>
      <w:r>
        <w:rPr>
          <w:rFonts w:hint="eastAsia" w:ascii="仿宋_GB2312" w:hAnsi="仿宋_GB2312" w:eastAsia="仿宋_GB2312" w:cs="仿宋_GB2312"/>
          <w:color w:val="auto"/>
          <w:sz w:val="32"/>
          <w:szCs w:val="32"/>
        </w:rPr>
        <w:t>二是开展医保经办机构监督检查，组织各级医保经办机构进行自查自纠，并对2个区医保经办机构开展专项审计。</w:t>
      </w:r>
    </w:p>
    <w:p>
      <w:pPr>
        <w:pStyle w:val="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outlineLvl w:val="9"/>
        <w:rPr>
          <w:rFonts w:hint="eastAsia" w:ascii="仿宋_GB2312" w:hAnsi="仿宋" w:eastAsia="仿宋_GB2312"/>
          <w:color w:val="auto"/>
          <w:sz w:val="32"/>
          <w:szCs w:val="32"/>
        </w:rPr>
      </w:pPr>
      <w:r>
        <w:rPr>
          <w:rFonts w:hint="eastAsia" w:ascii="仿宋_GB2312" w:hAnsi="仿宋_GB2312" w:eastAsia="仿宋_GB2312" w:cs="仿宋_GB2312"/>
          <w:color w:val="auto"/>
          <w:sz w:val="32"/>
          <w:szCs w:val="32"/>
        </w:rPr>
        <w:t>聚焦专项整治，监管合力更显著。一是制定专项整治工作方案。联合市人民检察院、市公安局、市卫健委制定本</w:t>
      </w:r>
      <w:r>
        <w:rPr>
          <w:rFonts w:hint="eastAsia" w:ascii="仿宋_GB2312" w:hAnsi="仿宋" w:eastAsia="仿宋_GB2312"/>
          <w:color w:val="auto"/>
          <w:sz w:val="32"/>
          <w:szCs w:val="32"/>
        </w:rPr>
        <w:t>市违法违规问题专项整治工作方案，聚焦虚假诊疗、虚假购药、倒卖医保药品等欺诈骗保行为，聚焦检查、检验、康复理疗等重点领域，同时围绕超药品适应症、超量使用等问题开展专项整</w:t>
      </w:r>
      <w:r>
        <w:rPr>
          <w:rFonts w:hint="eastAsia" w:ascii="仿宋_GB2312" w:hAnsi="仿宋" w:eastAsia="仿宋_GB2312"/>
          <w:b w:val="0"/>
          <w:bCs w:val="0"/>
          <w:color w:val="auto"/>
          <w:sz w:val="32"/>
          <w:szCs w:val="32"/>
        </w:rPr>
        <w:t>治。二是开展打击欺诈骗保专项检查。制定打击欺诈骗保专项检查工作方案，聚焦</w:t>
      </w:r>
      <w:r>
        <w:rPr>
          <w:rFonts w:hint="eastAsia" w:ascii="仿宋_GB2312" w:hAnsi="仿宋" w:eastAsia="仿宋_GB2312"/>
          <w:color w:val="auto"/>
          <w:sz w:val="32"/>
          <w:szCs w:val="32"/>
        </w:rPr>
        <w:t>重点机构</w:t>
      </w:r>
      <w:r>
        <w:rPr>
          <w:rFonts w:hint="eastAsia" w:ascii="仿宋_GB2312" w:hAnsi="仿宋_GB2312" w:eastAsia="仿宋_GB2312" w:cs="仿宋_GB2312"/>
          <w:color w:val="auto"/>
          <w:kern w:val="0"/>
          <w:sz w:val="32"/>
          <w:szCs w:val="32"/>
        </w:rPr>
        <w:t>、</w:t>
      </w:r>
      <w:r>
        <w:rPr>
          <w:rFonts w:hint="eastAsia" w:ascii="仿宋_GB2312" w:hAnsi="仿宋" w:eastAsia="仿宋_GB2312"/>
          <w:color w:val="auto"/>
          <w:sz w:val="32"/>
          <w:szCs w:val="32"/>
        </w:rPr>
        <w:t>重点线索</w:t>
      </w:r>
      <w:r>
        <w:rPr>
          <w:rFonts w:hint="eastAsia" w:ascii="仿宋_GB2312" w:hAnsi="仿宋_GB2312" w:eastAsia="仿宋_GB2312" w:cs="仿宋_GB2312"/>
          <w:color w:val="auto"/>
          <w:kern w:val="0"/>
          <w:sz w:val="32"/>
          <w:szCs w:val="32"/>
        </w:rPr>
        <w:t>、</w:t>
      </w:r>
      <w:r>
        <w:rPr>
          <w:rFonts w:hint="eastAsia" w:ascii="仿宋_GB2312" w:hAnsi="仿宋" w:eastAsia="仿宋_GB2312"/>
          <w:color w:val="auto"/>
          <w:sz w:val="32"/>
          <w:szCs w:val="32"/>
        </w:rPr>
        <w:t>以及18项典型问题，</w:t>
      </w:r>
      <w:r>
        <w:rPr>
          <w:rFonts w:hint="eastAsia" w:ascii="仿宋_GB2312" w:hAnsi="仿宋" w:eastAsia="仿宋_GB2312"/>
          <w:color w:val="auto"/>
          <w:sz w:val="32"/>
          <w:szCs w:val="32"/>
          <w:lang w:eastAsia="zh-CN"/>
        </w:rPr>
        <w:t>由</w:t>
      </w:r>
      <w:r>
        <w:rPr>
          <w:rFonts w:hint="eastAsia" w:ascii="仿宋_GB2312" w:hAnsi="仿宋" w:eastAsia="仿宋_GB2312"/>
          <w:color w:val="auto"/>
          <w:sz w:val="32"/>
          <w:szCs w:val="32"/>
        </w:rPr>
        <w:t>市区两级医保部门协调联动</w:t>
      </w:r>
      <w:r>
        <w:rPr>
          <w:rFonts w:hint="eastAsia" w:ascii="仿宋_GB2312" w:hAnsi="仿宋" w:eastAsia="仿宋_GB2312"/>
          <w:color w:val="auto"/>
          <w:sz w:val="32"/>
          <w:szCs w:val="32"/>
          <w:lang w:eastAsia="zh-CN"/>
        </w:rPr>
        <w:t>开展专项整治</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 w:eastAsia="仿宋_GB2312" w:cs="Times New Roman"/>
          <w:snapToGrid w:val="0"/>
          <w:color w:val="auto"/>
          <w:sz w:val="32"/>
          <w:szCs w:val="32"/>
          <w:lang w:val="en-US" w:eastAsia="zh-CN" w:bidi="ar-SA"/>
        </w:rPr>
        <w:t>开展飞行检查，高压态势更持久。一是出台《</w:t>
      </w:r>
      <w:r>
        <w:rPr>
          <w:rFonts w:hint="eastAsia" w:ascii="仿宋_GB2312" w:hAnsi="仿宋" w:eastAsia="仿宋_GB2312" w:cs="Times New Roman"/>
          <w:snapToGrid w:val="0"/>
          <w:color w:val="auto"/>
          <w:sz w:val="32"/>
          <w:szCs w:val="32"/>
          <w:lang w:val="en" w:eastAsia="zh-CN" w:bidi="ar-SA"/>
        </w:rPr>
        <w:t>关于进一步做好本市飞行检查有关工作的通知</w:t>
      </w:r>
      <w:r>
        <w:rPr>
          <w:rFonts w:hint="eastAsia" w:ascii="仿宋_GB2312" w:hAnsi="仿宋" w:eastAsia="仿宋_GB2312" w:cs="Times New Roman"/>
          <w:snapToGrid w:val="0"/>
          <w:color w:val="auto"/>
          <w:sz w:val="32"/>
          <w:szCs w:val="32"/>
          <w:lang w:val="en-US" w:eastAsia="zh-CN" w:bidi="ar-SA"/>
        </w:rPr>
        <w:t>》，优化飞行检查程序，规范飞行检查行为，切实做好我市飞行检查启动、检查、处理等</w:t>
      </w:r>
      <w:r>
        <w:rPr>
          <w:rFonts w:hint="eastAsia" w:ascii="仿宋_GB2312" w:hAnsi="仿宋_GB2312" w:eastAsia="仿宋_GB2312" w:cs="仿宋_GB2312"/>
          <w:color w:val="auto"/>
          <w:sz w:val="32"/>
          <w:szCs w:val="32"/>
        </w:rPr>
        <w:t>有关工作</w:t>
      </w:r>
      <w:r>
        <w:rPr>
          <w:rFonts w:hint="eastAsia" w:ascii="仿宋_GB2312" w:hAnsi="仿宋" w:eastAsia="仿宋_GB2312"/>
          <w:color w:val="auto"/>
          <w:sz w:val="32"/>
          <w:szCs w:val="32"/>
        </w:rPr>
        <w:t>。</w:t>
      </w:r>
      <w:r>
        <w:rPr>
          <w:rFonts w:hint="eastAsia" w:ascii="仿宋_GB2312" w:hAnsi="仿宋" w:eastAsia="仿宋_GB2312" w:cs="Times New Roman"/>
          <w:snapToGrid w:val="0"/>
          <w:color w:val="auto"/>
          <w:sz w:val="32"/>
          <w:szCs w:val="32"/>
          <w:lang w:val="en" w:eastAsia="zh-CN" w:bidi="ar-SA"/>
        </w:rPr>
        <w:t>二是组织开展对我市33家定点医疗机构飞行检查工作，制定飞行检查工作方案，明确检查重点，完成现场检查工作。三是做好2023年度国家医保局对我市飞行检查整改工作，按期报送整改报告，涉及违规费用被检单位均已全部退回。四是配合完成2024年度国家医保局对我市7家定点医药机构飞行检查迎检和</w:t>
      </w:r>
      <w:r>
        <w:rPr>
          <w:rFonts w:hint="eastAsia" w:ascii="仿宋_GB2312" w:hAnsi="仿宋" w:eastAsia="仿宋_GB2312"/>
          <w:color w:val="auto"/>
          <w:sz w:val="32"/>
          <w:szCs w:val="32"/>
        </w:rPr>
        <w:t>相关问题复核反馈等工作。</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outlineLvl w:val="9"/>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通过开展</w:t>
      </w:r>
      <w:r>
        <w:rPr>
          <w:rFonts w:hint="eastAsia" w:ascii="仿宋_GB2312" w:hAnsi="仿宋_GB2312" w:eastAsia="仿宋_GB2312" w:cs="仿宋_GB2312"/>
          <w:color w:val="auto"/>
          <w:sz w:val="32"/>
          <w:szCs w:val="32"/>
        </w:rPr>
        <w:t>自查自纠</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b w:val="0"/>
          <w:bCs w:val="0"/>
          <w:color w:val="auto"/>
          <w:sz w:val="32"/>
          <w:szCs w:val="32"/>
        </w:rPr>
        <w:t>专项整治</w:t>
      </w:r>
      <w:r>
        <w:rPr>
          <w:rFonts w:hint="eastAsia" w:ascii="仿宋_GB2312" w:hAnsi="仿宋_GB2312" w:eastAsia="仿宋_GB2312" w:cs="仿宋_GB2312"/>
          <w:b w:val="0"/>
          <w:bCs w:val="0"/>
          <w:color w:val="auto"/>
          <w:sz w:val="32"/>
          <w:szCs w:val="32"/>
          <w:lang w:eastAsia="zh-CN"/>
        </w:rPr>
        <w:t>、</w:t>
      </w:r>
      <w:r>
        <w:rPr>
          <w:rFonts w:hint="eastAsia" w:ascii="仿宋_GB2312" w:hAnsi="仿宋" w:eastAsia="仿宋_GB2312"/>
          <w:color w:val="auto"/>
          <w:sz w:val="32"/>
          <w:szCs w:val="32"/>
        </w:rPr>
        <w:t>飞行检查</w:t>
      </w:r>
      <w:r>
        <w:rPr>
          <w:rFonts w:hint="eastAsia" w:ascii="仿宋_GB2312" w:hAnsi="仿宋" w:eastAsia="仿宋_GB2312"/>
          <w:color w:val="auto"/>
          <w:sz w:val="32"/>
          <w:szCs w:val="32"/>
          <w:lang w:eastAsia="zh-CN"/>
        </w:rPr>
        <w:t>等方式，</w:t>
      </w:r>
      <w:r>
        <w:rPr>
          <w:rFonts w:hint="eastAsia" w:ascii="仿宋_GB2312" w:hAnsi="仿宋" w:eastAsia="仿宋_GB2312"/>
          <w:color w:val="auto"/>
          <w:sz w:val="32"/>
          <w:szCs w:val="32"/>
        </w:rPr>
        <w:t>持续加大医保基金监管力度，建立健全</w:t>
      </w:r>
      <w:r>
        <w:rPr>
          <w:rFonts w:hint="eastAsia" w:ascii="仿宋_GB2312" w:hAnsi="仿宋" w:eastAsia="仿宋_GB2312"/>
          <w:color w:val="auto"/>
          <w:sz w:val="32"/>
          <w:szCs w:val="32"/>
          <w:lang w:eastAsia="zh-CN"/>
        </w:rPr>
        <w:t>了</w:t>
      </w:r>
      <w:r>
        <w:rPr>
          <w:rFonts w:hint="eastAsia" w:ascii="仿宋_GB2312" w:hAnsi="仿宋" w:eastAsia="仿宋_GB2312"/>
          <w:color w:val="auto"/>
          <w:sz w:val="32"/>
          <w:szCs w:val="32"/>
        </w:rPr>
        <w:t>全方位、多层次、立体化的医保基金监管体系</w:t>
      </w:r>
      <w:r>
        <w:rPr>
          <w:rFonts w:hint="eastAsia" w:ascii="仿宋_GB2312" w:hAnsi="仿宋" w:eastAsia="仿宋_GB2312"/>
          <w:color w:val="auto"/>
          <w:sz w:val="32"/>
          <w:szCs w:val="32"/>
          <w:lang w:eastAsia="zh-CN"/>
        </w:rPr>
        <w:t>，医保基金综合监管能力有所提升</w:t>
      </w:r>
      <w:r>
        <w:rPr>
          <w:rFonts w:hint="eastAsia" w:ascii="仿宋_GB2312" w:hAnsi="仿宋" w:eastAsia="仿宋_GB2312"/>
          <w:color w:val="auto"/>
          <w:sz w:val="32"/>
          <w:szCs w:val="32"/>
        </w:rPr>
        <w:t>。</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③基金预警和风险防控能力</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北京市医保局制定了《关于北京市基本医疗保险总额预算（BJ-GBI）日常动态管理有关问题的通知（试行）》（京医保中心发〔2022〕10号），建立“黄、橙、红”三级分级预警标准。通过对定点医疗机构日常数据监测，每月对费用质量异常的超支定点医疗机构、服务数量异常的结余定点医疗机构，以及其他可能存在基金安全风险的定点医疗机构进行分级分类监控预警。市、区及医疗机构三级联动进行原因核查，及时调整费用拨付，有效规范了医疗机构的医疗服务行为，促进医疗机构由增费增效向提质增效转变，提高医保基金安全和使用效率。</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北京市医保局充分利用大数据优势，每月对全市医保基金运行情况进行数据分析，形成《北京市医疗保险综合统计分析报告》，报送单位领导及相关处室，为基金风险防控和政策制定提供数量依据。</w:t>
      </w:r>
    </w:p>
    <w:p>
      <w:pPr>
        <w:keepNext w:val="0"/>
        <w:keepLines w:val="0"/>
        <w:pageBreakBefore w:val="0"/>
        <w:kinsoku/>
        <w:wordWrap/>
        <w:overflowPunct/>
        <w:topLinePunct w:val="0"/>
        <w:autoSpaceDE/>
        <w:autoSpaceDN/>
        <w:bidi w:val="0"/>
        <w:adjustRightInd w:val="0"/>
        <w:snapToGrid w:val="0"/>
        <w:spacing w:line="560" w:lineRule="exact"/>
        <w:ind w:left="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④推进医保支付方式改革</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北京市DRG付费2.0版于2025年1月1日落地，全市80家定点医疗机构实行682个病组实际付费，33个耗材集采相关病组在全市范围内实行实际付费。</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工作要求，建立完善意见收集、协商谈判、预付金、特例单议、数据工作组五大机制，确保北京市DRG付费改革高质量落地。一是意见收集机制。印发《关于建立北京市CHS-DRG付费改革工作问题反馈机制的通知》，建立医疗机构-区医保-市医保”逐级按月沟通机制，汇总问题后分类处理解决。二是协商谈判机制。坚持工作方案和管理程序的公开透明，在总额预算管理、DRG付费改革等相关文件中，规定建立协商沟通机制。我市现行DRG工作方案制定过程中，书面征求意见并组织召开了6场意见征求会，涉及局内各处室、各区医保经办机构、试点医院（二级、三级）、中医专科医院和部队医院、相关委办局等多个相关部门，并形成最终工作方案，包括DRG细分组方案、权重费率、配套措施等相关政策。 三是预付金机制。DRG付费纳入总额预算（BJ-GBI）进行管理，根据医疗机构年度指标额和月度医疗费用发生规律确定月指标额，每月按指标额相应比例提前预付医保基金，并在年度结束后根据质量核定情况开展年终费用清算。四是特例单议机制。本着兑现临床价值，为临床发展提供合理空间的原则，配套我市DRG付费改革，建立了新药新技术除外机制和特殊病例单独结算机制，出台文件《关于印发CHS-DRG付费特殊病例除外支付管理办法的通知（试行）》《关于印发CHS-DRG付费新药新技术除外支付管理办法的通知（试行）》《北京市医疗保障局关于印发第一批CHS-DRG付费新药新技术除外支付工作有关问题的通知》，密切关注临床诊疗变化，优化完善DRG付费管理。五是数据工作组机制。2024年12月发布《关于建立按病组（DRG）付费数据工作组的通知》，建立北京市数据工作组，定期公开DRG分组结果、基金及个人支付情况和全市平均水平等数据，进一步促进医保信息共通共享。</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⑤医保经办服务能力</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印发北京市医保经办政务服务事项清单及办事指南，形成共13个主项、33个子项、54个办理项。按照“四最”“六统一”要求，实现全市范围内办理时限、申请材料、业务流程的规范统一，医保经办服务事项管理进一步优化，群众办事更加透明高效。</w:t>
      </w:r>
    </w:p>
    <w:p>
      <w:pPr>
        <w:keepNext w:val="0"/>
        <w:keepLines w:val="0"/>
        <w:pageBreakBefore w:val="0"/>
        <w:widowControl w:val="0"/>
        <w:kinsoku/>
        <w:wordWrap/>
        <w:overflowPunct/>
        <w:topLinePunct w:val="0"/>
        <w:autoSpaceDE/>
        <w:autoSpaceDN/>
        <w:bidi w:val="0"/>
        <w:adjustRightInd w:val="0"/>
        <w:snapToGrid w:val="0"/>
        <w:spacing w:line="560" w:lineRule="exact"/>
        <w:ind w:left="0" w:firstLine="640" w:firstLineChars="200"/>
        <w:textAlignment w:val="auto"/>
        <w:outlineLvl w:val="9"/>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⑥医保标准化水平</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国家医疗保障局印发《关于贯彻执行15项医疗保障信息业务编码标准的通知》（医保办发〔2020〕51号）以及《关于印发&lt;15项医保信息业务编码标准贯彻执行验收工作手册&gt;的通知》（医保网信办〔2021〕10号）《国家医疗保障局办公室关于修订&lt;医疗保障基金结算清单&gt;和&lt;医疗保障基金结算清单填写规范&gt;的通知》（医保办发〔2021〕34号）等文件要求，</w:t>
      </w:r>
      <w:r>
        <w:rPr>
          <w:rFonts w:hint="eastAsia" w:ascii="仿宋_GB2312" w:hAnsi="仿宋_GB2312" w:eastAsia="仿宋_GB2312" w:cs="仿宋_GB2312"/>
          <w:sz w:val="32"/>
          <w:szCs w:val="32"/>
          <w:lang w:eastAsia="zh-CN"/>
        </w:rPr>
        <w:t>北京市医保局成立</w:t>
      </w:r>
      <w:r>
        <w:rPr>
          <w:rFonts w:hint="eastAsia" w:ascii="仿宋_GB2312" w:hAnsi="仿宋_GB2312" w:eastAsia="仿宋_GB2312" w:cs="仿宋_GB2312"/>
          <w:sz w:val="32"/>
          <w:szCs w:val="32"/>
        </w:rPr>
        <w:t>贯彻执行15项医疗保障信息业务编码标准（以下简称“贯标”）工作专班，相继下发《关于贯彻执行医疗保障信息业务编码标准的通知》等十余份通知，指导督促全市医保经办机构、定点医药机构贯标工作。此项工作已经顺利完成。</w:t>
      </w:r>
    </w:p>
    <w:p>
      <w:pPr>
        <w:pStyle w:val="5"/>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outlineLvl w:val="9"/>
        <w:rPr>
          <w:rFonts w:hint="eastAsia"/>
          <w:sz w:val="32"/>
          <w:szCs w:val="32"/>
          <w:lang w:val="en-US" w:eastAsia="zh-CN"/>
        </w:rPr>
      </w:pPr>
      <w:r>
        <w:rPr>
          <w:rFonts w:hint="eastAsia" w:ascii="仿宋_GB2312" w:hAnsi="仿宋_GB2312" w:eastAsia="仿宋_GB2312" w:cs="仿宋_GB2312"/>
          <w:sz w:val="32"/>
          <w:szCs w:val="32"/>
        </w:rPr>
        <w:t>为进一步提升医用耗材信息业务编码数据质量，</w:t>
      </w:r>
      <w:r>
        <w:rPr>
          <w:rFonts w:hint="eastAsia" w:ascii="仿宋_GB2312" w:hAnsi="仿宋_GB2312" w:eastAsia="仿宋_GB2312" w:cs="仿宋_GB2312"/>
          <w:sz w:val="32"/>
          <w:szCs w:val="32"/>
          <w:lang w:val="en-US" w:eastAsia="zh-CN"/>
        </w:rPr>
        <w:t>医保</w:t>
      </w:r>
      <w:r>
        <w:rPr>
          <w:rFonts w:hint="eastAsia" w:ascii="仿宋_GB2312" w:hAnsi="仿宋_GB2312" w:eastAsia="仿宋_GB2312" w:cs="仿宋_GB2312"/>
          <w:sz w:val="32"/>
          <w:szCs w:val="32"/>
        </w:rPr>
        <w:t>中心于2024年1月份下发了《关于对医用耗材编码非标情况进行清理的通知》，并且将各定点医疗机构上传的非标数据同步提供给相关定点医疗机构，督促各定点医疗机构及时完成本院非标耗材编码的清理工作。经过各定点医疗机构的梳理，我市医用耗材非标数据从1月份的59万余条减少到12月份的不足1.6万条，治理效果显著</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outlineLvl w:val="9"/>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⑦开展村（社区）级医保服务、有网点提供帮办、代办服务的村（社区）覆盖率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outlineLvl w:val="9"/>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北京市辖7390个村（社区），其中5988个村（社区）可以提供5项《全国医疗保障经办政务服务事项清单》中可下沉到村（社区）经办服务层级办结的服务事项，部分网点提供帮办、代办服务，医疗保障服务覆盖率81.028%。</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⑧提升公立医疗机构平台采购药品耗材比例</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2023年药品网采率为9</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%，医用耗材网采率为</w:t>
      </w:r>
      <w:r>
        <w:rPr>
          <w:rFonts w:hint="eastAsia" w:ascii="仿宋_GB2312" w:hAnsi="仿宋_GB2312" w:eastAsia="仿宋_GB2312" w:cs="仿宋_GB2312"/>
          <w:sz w:val="32"/>
          <w:szCs w:val="32"/>
          <w:lang w:val="en-US" w:eastAsia="zh-CN"/>
        </w:rPr>
        <w:t>79</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sz w:val="32"/>
          <w:szCs w:val="32"/>
          <w:lang w:val="en-US" w:eastAsia="zh-CN"/>
        </w:rPr>
      </w:pPr>
      <w:r>
        <w:rPr>
          <w:rFonts w:hint="eastAsia" w:ascii="仿宋_GB2312" w:hAnsi="仿宋_GB2312" w:eastAsia="仿宋_GB2312" w:cs="仿宋_GB2312"/>
          <w:sz w:val="32"/>
          <w:szCs w:val="32"/>
          <w:highlight w:val="none"/>
          <w:lang w:val="en-US" w:eastAsia="zh-CN"/>
        </w:rPr>
        <w:t>2024年数据正在计算中，参照2023年数据进行自评。</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⑨医保信息系统正常运行率</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北京市医保局每年进行系统安全等级保护测评或评估，根</w:t>
      </w:r>
      <w:r>
        <w:rPr>
          <w:rFonts w:hint="eastAsia" w:ascii="仿宋_GB2312" w:hAnsi="仿宋_GB2312" w:eastAsia="仿宋_GB2312" w:cs="仿宋_GB2312"/>
          <w:sz w:val="32"/>
          <w:szCs w:val="32"/>
          <w:lang w:val="en-US" w:eastAsia="zh-CN"/>
        </w:rPr>
        <w:t>据系统安全等级要求进行系统安全加固，确保达到信息系统安全等级保护三级的标准。根据《医保系统运行监控记录》以及运维情况报告，2024年北京市医保信息系统正常运行率大于90%，达到规定要求。</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⑩国谈药等相关药品落地及统计监测情况</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国家医保局印发2024年11月底印发《国家基本医疗保险、工伤保险和生育保险药品目录（2024年）》，</w:t>
      </w:r>
      <w:r>
        <w:rPr>
          <w:rFonts w:hint="eastAsia" w:ascii="仿宋_GB2312" w:hAnsi="仿宋_GB2312" w:eastAsia="仿宋_GB2312" w:cs="仿宋_GB2312"/>
          <w:sz w:val="32"/>
          <w:szCs w:val="32"/>
          <w:lang w:val="en-US" w:eastAsia="zh-CN"/>
        </w:rPr>
        <w:t>北京市医保局</w:t>
      </w:r>
      <w:r>
        <w:rPr>
          <w:rFonts w:hint="eastAsia" w:ascii="仿宋_GB2312" w:hAnsi="仿宋_GB2312" w:eastAsia="仿宋_GB2312" w:cs="仿宋_GB2312"/>
          <w:sz w:val="32"/>
          <w:szCs w:val="32"/>
        </w:rPr>
        <w:t>组织召开专家论证会，对本市落地实施国家医保药品目录有关政策进行了论证，于12月底出台了《北京市医疗保障局 北京市人力资源和社会保障局关于落实《国家基本医疗保险、工伤保险和生育保险药品目录（2024年）》有关问题的通知》（京医保发〔2024〕21号），并于2025年1月1日起执行。</w:t>
      </w:r>
      <w:r>
        <w:rPr>
          <w:rFonts w:hint="eastAsia" w:ascii="仿宋_GB2312" w:hAnsi="仿宋_GB2312" w:eastAsia="仿宋_GB2312" w:cs="仿宋_GB2312"/>
          <w:sz w:val="32"/>
          <w:szCs w:val="32"/>
          <w:lang w:val="en-US" w:eastAsia="zh-CN"/>
        </w:rPr>
        <w:t>北京市医保局</w:t>
      </w:r>
      <w:r>
        <w:rPr>
          <w:rFonts w:hint="eastAsia" w:ascii="仿宋_GB2312" w:hAnsi="仿宋_GB2312" w:eastAsia="仿宋_GB2312" w:cs="仿宋_GB2312"/>
          <w:sz w:val="32"/>
          <w:szCs w:val="32"/>
        </w:rPr>
        <w:t>按照国家医保局医药服务司有关要求，每月10日前将国家谈判药有关数据上报系统，上报时间及数据质量均100%达到医药服务司要求，国谈药品落地数据报送及时率100%。</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⑪医疗服</w:t>
      </w:r>
      <w:r>
        <w:rPr>
          <w:rFonts w:hint="eastAsia" w:ascii="仿宋_GB2312" w:hAnsi="仿宋_GB2312" w:eastAsia="仿宋_GB2312" w:cs="仿宋_GB2312"/>
          <w:sz w:val="32"/>
          <w:szCs w:val="32"/>
          <w:highlight w:val="none"/>
        </w:rPr>
        <w:t>务价格动态调整与深化医疗服务价格改革试点执行情况</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出台《 北京市医疗保障局 北京市人力资源和社会保障局关于新增及动态调整抗水通道蛋白抗体测定等医疗服务价格项目和相关政策的通知》（京医保发〔2024〕11号），规范调整医疗服务价格政策。</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sz w:val="32"/>
          <w:szCs w:val="32"/>
          <w:lang w:val="en-US" w:eastAsia="zh-CN"/>
        </w:rPr>
      </w:pPr>
      <w:r>
        <w:rPr>
          <w:rFonts w:hint="eastAsia" w:ascii="仿宋_GB2312" w:hAnsi="仿宋_GB2312" w:eastAsia="仿宋_GB2312" w:cs="仿宋_GB2312"/>
          <w:b w:val="0"/>
          <w:bCs w:val="0"/>
          <w:color w:val="auto"/>
          <w:sz w:val="32"/>
          <w:szCs w:val="32"/>
          <w:lang w:eastAsia="zh-CN"/>
        </w:rPr>
        <w:t>根据国家要求，完成三批次医疗服务价格规范治理工作，糖化血红蛋白测定、肿瘤标志物检验、中心静脉给药等相关医疗服务价格大幅下调，减轻了人民群众看病就医负担。</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none"/>
        </w:rPr>
        <w:t>⑫集中带量采购落实情况</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截至2024年底，</w:t>
      </w:r>
      <w:r>
        <w:rPr>
          <w:rFonts w:hint="eastAsia" w:ascii="仿宋_GB2312" w:hAnsi="仿宋_GB2312" w:eastAsia="仿宋_GB2312" w:cs="仿宋_GB2312"/>
          <w:sz w:val="32"/>
          <w:szCs w:val="32"/>
          <w:lang w:val="en-US" w:eastAsia="zh-CN"/>
        </w:rPr>
        <w:t>北京市</w:t>
      </w:r>
      <w:r>
        <w:rPr>
          <w:rFonts w:hint="eastAsia" w:ascii="仿宋_GB2312" w:hAnsi="仿宋_GB2312" w:eastAsia="仿宋_GB2312" w:cs="仿宋_GB2312"/>
          <w:sz w:val="32"/>
          <w:szCs w:val="32"/>
        </w:rPr>
        <w:t>执行国家药品品种数量为373个，执行省级（际）药品集采品种数量为164个，共计537个。</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cyan"/>
          <w:lang w:val="en-US" w:eastAsia="zh-CN"/>
        </w:rPr>
      </w:pPr>
      <w:r>
        <w:rPr>
          <w:rFonts w:hint="eastAsia" w:ascii="仿宋_GB2312" w:hAnsi="仿宋_GB2312" w:eastAsia="仿宋_GB2312" w:cs="仿宋_GB2312"/>
          <w:sz w:val="32"/>
          <w:szCs w:val="32"/>
          <w:lang w:val="en-US" w:eastAsia="zh-CN"/>
        </w:rPr>
        <w:t>北京</w:t>
      </w:r>
      <w:r>
        <w:rPr>
          <w:rFonts w:hint="eastAsia" w:ascii="仿宋_GB2312" w:hAnsi="仿宋_GB2312" w:eastAsia="仿宋_GB2312" w:cs="仿宋_GB2312"/>
          <w:sz w:val="32"/>
          <w:szCs w:val="32"/>
        </w:rPr>
        <w:t>市国采第八批首年协议期已完成，全市39个集采品种任务量均完成。国采第九批首年协议期尚在执行中（2025年3月28日到期），目前41个品种已有36个已完成，有5个品种尚未完成，若按序时进度统计则有37个品种任务量已完成，4个未完成。</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按国家要求组织我市医疗机构开展第八批和第九批国家药品集采中选结果采购执行。2024年，牵头完成2023年京津冀带量采购37种药品集采形成中选结果并执行。</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⑬医药价格和招采信用评价制度建立和实施情况</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2020年12月，印发《北京市医疗保障局关于建立落实医药价格和招采信用评价制度的实施意见》，建立本市医药价格和招采信用评价制度。</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北京市医保局就医药集中采购相关办事指南事项，在北京市医保局官网（</w:t>
      </w:r>
      <w:r>
        <w:rPr>
          <w:rFonts w:ascii="仿宋_GB2312" w:hAnsi="仿宋_GB2312" w:eastAsia="仿宋_GB2312" w:cs="仿宋_GB2312"/>
          <w:sz w:val="32"/>
          <w:szCs w:val="32"/>
        </w:rPr>
        <w:t>https://ybj.beijing.gov.cn/）的政务服务栏中的“医药阳光采购”模块下的通知公告栏中，发布了“北京市医药集中采购服务中心关于印发《北京市医药集中采购公共服务事项清单（2021年版）》的通知”。</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北京市医保局常态化实施医药价格和招采信用评价制度，及案源评级处置情况。根据国家医保局统一部署，按季度常态化核查、落实信用评价案源信息。已按时完成国家医保局通报的案源核查处置工作。</w:t>
      </w:r>
    </w:p>
    <w:p>
      <w:pPr>
        <w:pStyle w:val="16"/>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outlineLvl w:val="9"/>
        <w:rPr>
          <w:rFonts w:hint="eastAsia" w:ascii="仿宋_GB2312" w:hAnsi="仿宋_GB2312" w:eastAsia="仿宋_GB2312" w:cs="仿宋_GB2312"/>
          <w:snapToGrid w:val="0"/>
          <w:sz w:val="32"/>
          <w:szCs w:val="32"/>
          <w:lang w:val="en-US" w:eastAsia="zh-CN" w:bidi="ar-SA"/>
        </w:rPr>
      </w:pPr>
      <w:r>
        <w:rPr>
          <w:rFonts w:hint="eastAsia" w:ascii="仿宋_GB2312" w:hAnsi="仿宋_GB2312" w:eastAsia="仿宋_GB2312" w:cs="仿宋_GB2312"/>
          <w:snapToGrid w:val="0"/>
          <w:sz w:val="32"/>
          <w:szCs w:val="32"/>
          <w:lang w:val="en-US" w:eastAsia="zh-CN" w:bidi="ar-SA"/>
        </w:rPr>
        <w:t>⑭招采子系统落地应用情况</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napToGrid w:val="0"/>
          <w:sz w:val="32"/>
          <w:szCs w:val="32"/>
          <w:lang w:val="en-US" w:eastAsia="zh-CN" w:bidi="ar-SA"/>
        </w:rPr>
      </w:pPr>
      <w:r>
        <w:rPr>
          <w:rFonts w:hint="eastAsia" w:ascii="仿宋_GB2312" w:hAnsi="仿宋_GB2312" w:eastAsia="仿宋_GB2312" w:cs="仿宋_GB2312"/>
          <w:sz w:val="32"/>
          <w:szCs w:val="32"/>
        </w:rPr>
        <w:t>北京市医保局于2021年11月完成医疗保障信息平台招采子系统建设工作，2021年12月6日完成新旧平台迁移，停用原药品、医用耗材阳光采购平台，全面启用新平台。企业产品申报、价格变更申报、医院采购交易、配送、评价、退货等全部医药集中采购业务流程均通过新平台正常开展。</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⑮医保目录管理规范性情况</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北京市医保局严格执行国家医保药品目录，北京市医保药品目录品种、报销类别及报销限制内容均与国家医保药品目录一致，202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年内未出现违反目录管理政策情况。</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时效</w:t>
      </w:r>
      <w:r>
        <w:rPr>
          <w:rFonts w:hint="eastAsia" w:ascii="仿宋_GB2312" w:hAnsi="仿宋_GB2312" w:eastAsia="仿宋_GB2312" w:cs="仿宋_GB2312"/>
          <w:b w:val="0"/>
          <w:bCs w:val="0"/>
          <w:sz w:val="32"/>
          <w:szCs w:val="32"/>
        </w:rPr>
        <w:t>指标完成情况</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①医保信息系统重大安全事件响应时间</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北京市医保局组织制定《北京市医保信息系统专项应急预案》，开展应急预案演练。根据《医保系统监控记录》，2024年北京市医保信息系统最大故障中断恢复时间为7分钟，符合重大安全事件响应时间控制在60分钟内的规定要求。</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②医保信息系统运行维护响应时间</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北京市医保局做好医保信息系统运行维护保障，加强和规范专业化技术支持服务队伍管理，为确保医保信息系统的稳定运行，2024年主要工作内容包括医保平台系统运维和服务、面向公众的呼叫和短信服务、医院端服务。其中医保平台系统运维和服务包括应用软件维护服务、技术支持服务、平台运维监控与安全服务。面向公众的呼叫和短信服务包括呼叫服务、短信服务。院端服务包括系统集成服务、现场技术服务、远程监控服务。根据运维工作，建立了标准的运维流程和应急流程。组建了专业的技术支持团队，提供驻场服务和远程支持，确保运维过程中能够迅速介入。根据不同的服务，建立相应的响应机制，确保能够及时响应和处理。通过以上工作，2024年医保信息系统运行维护响应时间始终控制在30分钟以内，系统运行稳定，服务响应及时，全面保障了医保业务的顺利开展。满足运行维护响应时间控制在30分钟内的规定要求。</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.满意度指标完成情况</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参保人员对医保服务的满意度</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outlineLvl w:val="9"/>
        <w:rPr>
          <w:rFonts w:hint="eastAsia" w:ascii="仿宋_GB2312" w:hAnsi="仿宋_GB2312" w:eastAsia="仿宋_GB2312" w:cs="仿宋_GB2312"/>
          <w:b w:val="0"/>
          <w:bCs w:val="0"/>
          <w:caps w:val="0"/>
          <w:color w:val="auto"/>
          <w:kern w:val="2"/>
          <w:sz w:val="32"/>
          <w:szCs w:val="32"/>
          <w:vertAlign w:val="baseline"/>
          <w:lang w:val="en-US" w:eastAsia="zh-CN" w:bidi="ar"/>
        </w:rPr>
      </w:pPr>
      <w:r>
        <w:rPr>
          <w:rFonts w:hint="eastAsia" w:ascii="仿宋_GB2312" w:hAnsi="仿宋_GB2312" w:eastAsia="仿宋_GB2312" w:cs="仿宋_GB2312"/>
          <w:b w:val="0"/>
          <w:bCs w:val="0"/>
          <w:caps w:val="0"/>
          <w:color w:val="auto"/>
          <w:kern w:val="2"/>
          <w:sz w:val="32"/>
          <w:szCs w:val="32"/>
          <w:vertAlign w:val="baseline"/>
          <w:lang w:val="en-US" w:eastAsia="zh-CN" w:bidi="ar"/>
        </w:rPr>
        <w:t>（1）服务对象满意度调查问卷情况</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val="0"/>
          <w:caps w:val="0"/>
          <w:color w:val="auto"/>
          <w:kern w:val="2"/>
          <w:sz w:val="32"/>
          <w:szCs w:val="32"/>
          <w:vertAlign w:val="baseline"/>
          <w:lang w:val="en-US" w:eastAsia="zh-CN" w:bidi="ar"/>
        </w:rPr>
        <w:t>我局近年定期组织对全市定点医疗机构开展参保人员满意度调查和分析工作，了解参保人员对定点医疗机构的满意度。</w:t>
      </w:r>
      <w:r>
        <w:rPr>
          <w:rFonts w:hint="eastAsia" w:ascii="仿宋_GB2312" w:hAnsi="仿宋_GB2312" w:eastAsia="仿宋_GB2312" w:cs="仿宋_GB2312"/>
          <w:sz w:val="32"/>
          <w:szCs w:val="32"/>
        </w:rPr>
        <w:t>目前已完成2024年度阶段性调查，调查时间为2024年10月18日至2024年12月31日，调查范围为本市共计4271家定点医疗机构。共收集892810份调查问卷，采用权重赋分的方式对调查结果进行统计分析，满分为5分，最终得分平均为4.3512。</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outlineLvl w:val="9"/>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t>（2）医保经办服务好差评统计情况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outlineLvl w:val="9"/>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t>我市建立医保公共服务“好差评”制度体系,制定出台《医疗保障公共服务评价指标体系》；同步推进《医疗保障公共服务“好差评”制度实施细则》制定实施；落实公共服务“好差评”制度体系，实现“好差评”公共服务事项全覆盖、评价对象全覆盖。</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sz w:val="32"/>
          <w:szCs w:val="32"/>
          <w:lang w:val="en-US" w:eastAsia="zh-CN"/>
        </w:rPr>
      </w:pPr>
      <w:r>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t>根据2024年11月印发《2024年第三季度北京市公众参与政务服务“好差评”市医疗保障领域分析报告》显示：综合满意度上，服务对象在“一次一评、一事一评”中表示非常满意比例为99.98%。</w:t>
      </w:r>
    </w:p>
    <w:bookmarkEnd w:id="3"/>
    <w:p>
      <w:pPr>
        <w:keepNext w:val="0"/>
        <w:keepLines w:val="0"/>
        <w:pageBreakBefore w:val="0"/>
        <w:numPr>
          <w:ilvl w:val="0"/>
          <w:numId w:val="4"/>
        </w:numPr>
        <w:pBdr>
          <w:bottom w:val="none" w:color="auto" w:sz="0" w:space="0"/>
        </w:pBdr>
        <w:shd w:val="clear" w:color="auto" w:fill="auto"/>
        <w:tabs>
          <w:tab w:val="left" w:pos="312"/>
        </w:tabs>
        <w:kinsoku/>
        <w:wordWrap/>
        <w:overflowPunct/>
        <w:topLinePunct w:val="0"/>
        <w:autoSpaceDE/>
        <w:autoSpaceDN/>
        <w:bidi w:val="0"/>
        <w:adjustRightInd w:val="0"/>
        <w:snapToGrid w:val="0"/>
        <w:spacing w:line="560" w:lineRule="exact"/>
        <w:ind w:left="0" w:firstLine="640" w:firstLineChars="200"/>
        <w:jc w:val="both"/>
        <w:textAlignment w:val="auto"/>
        <w:outlineLvl w:val="0"/>
        <w:rPr>
          <w:rFonts w:hint="eastAsia" w:ascii="黑体" w:hAnsi="黑体" w:eastAsia="黑体" w:cs="黑体"/>
          <w:sz w:val="32"/>
          <w:szCs w:val="32"/>
          <w:lang w:eastAsia="zh-CN"/>
        </w:rPr>
      </w:pPr>
      <w:bookmarkStart w:id="17" w:name="_Toc5938"/>
      <w:bookmarkStart w:id="18" w:name="_Toc12621"/>
      <w:bookmarkStart w:id="19" w:name="_Toc2555"/>
      <w:bookmarkStart w:id="20" w:name="_Toc31780"/>
      <w:bookmarkStart w:id="21" w:name="_Toc16448"/>
      <w:bookmarkStart w:id="22" w:name="_Toc23039"/>
      <w:bookmarkStart w:id="23" w:name="_Toc4431"/>
      <w:bookmarkStart w:id="24" w:name="_Toc12320"/>
      <w:bookmarkStart w:id="25" w:name="_Toc12569"/>
      <w:bookmarkStart w:id="26" w:name="_Toc6489"/>
      <w:bookmarkStart w:id="27" w:name="_Toc1896180280"/>
      <w:bookmarkStart w:id="28" w:name="_Toc10842"/>
      <w:bookmarkStart w:id="29" w:name="_Toc25174"/>
      <w:bookmarkStart w:id="30" w:name="_Toc18663"/>
      <w:bookmarkStart w:id="31" w:name="_Toc11825"/>
      <w:bookmarkStart w:id="32" w:name="_Toc21918"/>
      <w:bookmarkStart w:id="33" w:name="_Toc8109"/>
      <w:bookmarkStart w:id="34" w:name="_Toc14411"/>
      <w:bookmarkStart w:id="35" w:name="_Toc19203"/>
      <w:bookmarkStart w:id="36" w:name="_Toc10715"/>
      <w:bookmarkStart w:id="37" w:name="_Toc7938"/>
      <w:r>
        <w:rPr>
          <w:rFonts w:hint="eastAsia" w:ascii="黑体" w:hAnsi="黑体" w:eastAsia="黑体" w:cs="黑体"/>
          <w:sz w:val="32"/>
          <w:szCs w:val="32"/>
          <w:lang w:eastAsia="zh-CN"/>
        </w:rPr>
        <w:t>偏离绩效目标的原因和下一步改进措施</w:t>
      </w:r>
    </w:p>
    <w:p>
      <w:pPr>
        <w:keepNext w:val="0"/>
        <w:keepLines w:val="0"/>
        <w:pageBreakBefore w:val="0"/>
        <w:numPr>
          <w:ilvl w:val="-1"/>
          <w:numId w:val="0"/>
        </w:numPr>
        <w:pBdr>
          <w:bottom w:val="none" w:color="auto" w:sz="0" w:space="0"/>
        </w:pBdr>
        <w:shd w:val="clear" w:color="auto" w:fill="auto"/>
        <w:tabs>
          <w:tab w:val="left" w:pos="312"/>
        </w:tabs>
        <w:kinsoku/>
        <w:wordWrap/>
        <w:overflowPunct/>
        <w:topLinePunct w:val="0"/>
        <w:autoSpaceDE/>
        <w:autoSpaceDN/>
        <w:bidi w:val="0"/>
        <w:adjustRightInd w:val="0"/>
        <w:snapToGrid w:val="0"/>
        <w:spacing w:line="560" w:lineRule="exact"/>
        <w:ind w:left="0" w:firstLine="0" w:firstLineChars="0"/>
        <w:jc w:val="both"/>
        <w:textAlignment w:val="auto"/>
        <w:outlineLvl w:val="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 xml:space="preserve">   </w:t>
      </w:r>
      <w:r>
        <w:rPr>
          <w:rFonts w:hint="eastAsia" w:ascii="仿宋_GB2312" w:hAnsi="仿宋_GB2312" w:eastAsia="仿宋_GB2312" w:cs="仿宋_GB2312"/>
          <w:kern w:val="2"/>
          <w:sz w:val="32"/>
          <w:szCs w:val="32"/>
          <w:lang w:val="en-US" w:eastAsia="zh-CN" w:bidi="ar-SA"/>
        </w:rPr>
        <w:t xml:space="preserve"> 无。</w:t>
      </w:r>
    </w:p>
    <w:p>
      <w:pPr>
        <w:keepNext w:val="0"/>
        <w:keepLines w:val="0"/>
        <w:pageBreakBefore w:val="0"/>
        <w:numPr>
          <w:ilvl w:val="0"/>
          <w:numId w:val="4"/>
        </w:numPr>
        <w:pBdr>
          <w:bottom w:val="none" w:color="auto" w:sz="0" w:space="0"/>
        </w:pBdr>
        <w:shd w:val="clear" w:color="auto" w:fill="auto"/>
        <w:tabs>
          <w:tab w:val="left" w:pos="312"/>
        </w:tabs>
        <w:kinsoku/>
        <w:wordWrap/>
        <w:overflowPunct/>
        <w:topLinePunct w:val="0"/>
        <w:autoSpaceDE/>
        <w:autoSpaceDN/>
        <w:bidi w:val="0"/>
        <w:adjustRightInd w:val="0"/>
        <w:snapToGrid w:val="0"/>
        <w:spacing w:line="560" w:lineRule="exact"/>
        <w:ind w:left="0" w:firstLine="640" w:firstLineChars="200"/>
        <w:jc w:val="both"/>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绩效自评结果拟应用和公开情况</w:t>
      </w:r>
    </w:p>
    <w:p>
      <w:pPr>
        <w:keepNext w:val="0"/>
        <w:keepLines w:val="0"/>
        <w:pageBreakBefore w:val="0"/>
        <w:numPr>
          <w:ilvl w:val="0"/>
          <w:numId w:val="0"/>
        </w:numPr>
        <w:pBdr>
          <w:bottom w:val="none" w:color="auto" w:sz="0" w:space="0"/>
        </w:pBdr>
        <w:shd w:val="clear" w:color="auto" w:fill="auto"/>
        <w:kinsoku/>
        <w:wordWrap/>
        <w:overflowPunct/>
        <w:topLinePunct w:val="0"/>
        <w:autoSpaceDE/>
        <w:autoSpaceDN/>
        <w:bidi w:val="0"/>
        <w:adjustRightInd w:val="0"/>
        <w:snapToGrid w:val="0"/>
        <w:spacing w:line="560" w:lineRule="exact"/>
        <w:ind w:left="0" w:firstLine="640" w:firstLineChars="200"/>
        <w:jc w:val="both"/>
        <w:textAlignment w:val="auto"/>
        <w:outlineLvl w:val="9"/>
        <w:rPr>
          <w:rFonts w:hint="eastAsia" w:ascii="黑体" w:hAnsi="黑体" w:eastAsia="黑体" w:cs="黑体"/>
          <w:sz w:val="32"/>
          <w:szCs w:val="32"/>
          <w:lang w:eastAsia="zh-CN"/>
        </w:rPr>
      </w:pPr>
      <w:r>
        <w:rPr>
          <w:rFonts w:hint="eastAsia" w:ascii="仿宋_GB2312" w:hAnsi="仿宋_GB2312" w:eastAsia="仿宋_GB2312" w:cs="仿宋_GB2312"/>
          <w:b w:val="0"/>
          <w:bCs w:val="0"/>
          <w:color w:val="000000"/>
          <w:sz w:val="32"/>
          <w:szCs w:val="32"/>
          <w:u w:val="none"/>
          <w:lang w:val="en-US" w:eastAsia="zh-CN"/>
        </w:rPr>
        <w:t>北京市医保局积极探索将绩效评价结果应用和补助资金预算管理有效结合机制，已在2025年资金分配中应用相关成果，并将继续在后续年度资金分配中强化绩效评价结果应用。同时，按照北京市绩效公开相关要求，严格做好补助资金信息公开工作。</w:t>
      </w:r>
    </w:p>
    <w:p>
      <w:pPr>
        <w:keepNext w:val="0"/>
        <w:keepLines w:val="0"/>
        <w:pageBreakBefore w:val="0"/>
        <w:numPr>
          <w:ilvl w:val="0"/>
          <w:numId w:val="4"/>
        </w:numPr>
        <w:pBdr>
          <w:bottom w:val="none" w:color="auto" w:sz="0" w:space="0"/>
        </w:pBdr>
        <w:shd w:val="clear" w:color="auto" w:fill="auto"/>
        <w:tabs>
          <w:tab w:val="left" w:pos="312"/>
        </w:tabs>
        <w:kinsoku/>
        <w:wordWrap/>
        <w:overflowPunct/>
        <w:topLinePunct w:val="0"/>
        <w:autoSpaceDE/>
        <w:autoSpaceDN/>
        <w:bidi w:val="0"/>
        <w:adjustRightInd w:val="0"/>
        <w:snapToGrid w:val="0"/>
        <w:spacing w:line="560" w:lineRule="exact"/>
        <w:ind w:left="0" w:firstLine="640" w:firstLineChars="200"/>
        <w:jc w:val="both"/>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其他需要说明的问题</w:t>
      </w:r>
      <w:bookmarkEnd w:id="17"/>
      <w:bookmarkEnd w:id="18"/>
      <w:bookmarkEnd w:id="19"/>
      <w:bookmarkEnd w:id="20"/>
      <w:bookmarkEnd w:id="21"/>
      <w:bookmarkEnd w:id="22"/>
      <w:bookmarkEnd w:id="23"/>
      <w:bookmarkEnd w:id="24"/>
    </w:p>
    <w:p>
      <w:pPr>
        <w:keepNext w:val="0"/>
        <w:keepLines w:val="0"/>
        <w:pageBreakBefore w:val="0"/>
        <w:numPr>
          <w:ilvl w:val="-1"/>
          <w:numId w:val="0"/>
        </w:numPr>
        <w:pBdr>
          <w:bottom w:val="none" w:color="auto" w:sz="0" w:space="0"/>
        </w:pBdr>
        <w:shd w:val="clear" w:color="auto" w:fill="auto"/>
        <w:tabs>
          <w:tab w:val="left" w:pos="312"/>
        </w:tabs>
        <w:kinsoku/>
        <w:wordWrap/>
        <w:overflowPunct/>
        <w:topLinePunct w:val="0"/>
        <w:autoSpaceDE/>
        <w:autoSpaceDN/>
        <w:bidi w:val="0"/>
        <w:adjustRightInd w:val="0"/>
        <w:snapToGrid w:val="0"/>
        <w:spacing w:line="560" w:lineRule="exact"/>
        <w:ind w:left="0" w:firstLine="0" w:firstLineChars="0"/>
        <w:jc w:val="both"/>
        <w:textAlignment w:val="auto"/>
        <w:outlineLvl w:val="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 xml:space="preserve">  </w:t>
      </w:r>
      <w:r>
        <w:rPr>
          <w:rFonts w:hint="eastAsia" w:ascii="仿宋_GB2312" w:hAnsi="仿宋_GB2312" w:eastAsia="仿宋_GB2312" w:cs="仿宋_GB2312"/>
          <w:sz w:val="32"/>
          <w:szCs w:val="32"/>
          <w:u w:val="none"/>
          <w:lang w:val="en-US" w:eastAsia="zh-CN"/>
        </w:rPr>
        <w:t xml:space="preserve">  无。</w:t>
      </w:r>
    </w:p>
    <w:p>
      <w:pPr>
        <w:keepNext w:val="0"/>
        <w:keepLines w:val="0"/>
        <w:pageBreakBefore w:val="0"/>
        <w:numPr>
          <w:ilvl w:val="0"/>
          <w:numId w:val="4"/>
        </w:numPr>
        <w:pBdr>
          <w:bottom w:val="none" w:color="auto" w:sz="0" w:space="0"/>
        </w:pBdr>
        <w:shd w:val="clear" w:color="auto" w:fill="auto"/>
        <w:tabs>
          <w:tab w:val="left" w:pos="312"/>
        </w:tabs>
        <w:kinsoku/>
        <w:wordWrap/>
        <w:overflowPunct/>
        <w:topLinePunct w:val="0"/>
        <w:autoSpaceDE/>
        <w:autoSpaceDN/>
        <w:bidi w:val="0"/>
        <w:adjustRightInd w:val="0"/>
        <w:snapToGrid w:val="0"/>
        <w:spacing w:line="560" w:lineRule="exact"/>
        <w:ind w:left="0" w:firstLine="640" w:firstLineChars="200"/>
        <w:jc w:val="both"/>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附件</w:t>
      </w:r>
    </w:p>
    <w:p>
      <w:pPr>
        <w:pStyle w:val="7"/>
        <w:keepNext w:val="0"/>
        <w:keepLines w:val="0"/>
        <w:pageBreakBefore w:val="0"/>
        <w:numPr>
          <w:ilvl w:val="0"/>
          <w:numId w:val="0"/>
        </w:numPr>
        <w:kinsoku/>
        <w:wordWrap/>
        <w:overflowPunct/>
        <w:topLinePunct w:val="0"/>
        <w:autoSpaceDE/>
        <w:autoSpaceDN/>
        <w:bidi w:val="0"/>
        <w:spacing w:line="560" w:lineRule="exact"/>
        <w:ind w:left="0" w:right="0" w:rightChars="0" w:firstLine="640"/>
        <w:textAlignment w:val="auto"/>
        <w:rPr>
          <w:rFonts w:ascii="Times New Roman" w:hAnsi="Times New Roman" w:eastAsia="方正仿宋_GB2312" w:cs="Times New Roman"/>
          <w:sz w:val="32"/>
          <w:szCs w:val="32"/>
        </w:rPr>
      </w:pPr>
      <w:r>
        <w:rPr>
          <w:rFonts w:hint="eastAsia" w:ascii="仿宋_GB2312" w:hAnsi="仿宋_GB2312" w:eastAsia="仿宋_GB2312" w:cs="仿宋_GB2312"/>
          <w:b w:val="0"/>
          <w:bCs w:val="0"/>
          <w:snapToGrid w:val="0"/>
          <w:color w:val="000000"/>
          <w:sz w:val="32"/>
          <w:szCs w:val="32"/>
          <w:u w:val="none"/>
          <w:lang w:val="en-US" w:eastAsia="zh-CN" w:bidi="ar-SA"/>
        </w:rPr>
        <w:t>转移支付绩效自评表</w:t>
      </w:r>
      <w:bookmarkEnd w:id="25"/>
      <w:bookmarkEnd w:id="26"/>
      <w:bookmarkEnd w:id="27"/>
      <w:bookmarkEnd w:id="28"/>
      <w:bookmarkEnd w:id="29"/>
      <w:bookmarkEnd w:id="30"/>
      <w:bookmarkEnd w:id="31"/>
      <w:bookmarkEnd w:id="32"/>
      <w:bookmarkEnd w:id="33"/>
      <w:bookmarkEnd w:id="34"/>
      <w:bookmarkEnd w:id="35"/>
      <w:bookmarkEnd w:id="36"/>
      <w:bookmarkEnd w:id="37"/>
    </w:p>
    <w:p>
      <w:pPr>
        <w:pStyle w:val="26"/>
        <w:keepNext w:val="0"/>
        <w:keepLines w:val="0"/>
        <w:pageBreakBefore w:val="0"/>
        <w:kinsoku/>
        <w:wordWrap/>
        <w:overflowPunct/>
        <w:topLinePunct w:val="0"/>
        <w:autoSpaceDE/>
        <w:autoSpaceDN/>
        <w:bidi w:val="0"/>
        <w:adjustRightInd w:val="0"/>
        <w:snapToGrid w:val="0"/>
        <w:spacing w:after="0" w:line="560" w:lineRule="exact"/>
        <w:jc w:val="both"/>
        <w:textAlignment w:val="auto"/>
        <w:rPr>
          <w:rFonts w:ascii="Times New Roman" w:hAnsi="Times New Roman" w:eastAsia="方正仿宋_GB2312" w:cs="Times New Roman"/>
          <w:sz w:val="32"/>
          <w:szCs w:val="32"/>
        </w:rPr>
      </w:pPr>
    </w:p>
    <w:p>
      <w:pPr>
        <w:pStyle w:val="26"/>
        <w:keepNext w:val="0"/>
        <w:keepLines w:val="0"/>
        <w:pageBreakBefore w:val="0"/>
        <w:kinsoku/>
        <w:wordWrap/>
        <w:overflowPunct/>
        <w:topLinePunct w:val="0"/>
        <w:autoSpaceDE/>
        <w:autoSpaceDN/>
        <w:bidi w:val="0"/>
        <w:adjustRightInd w:val="0"/>
        <w:snapToGrid w:val="0"/>
        <w:spacing w:after="0" w:line="560" w:lineRule="exact"/>
        <w:ind w:left="0" w:leftChars="0" w:firstLine="640" w:firstLineChars="200"/>
        <w:jc w:val="center"/>
        <w:textAlignment w:val="auto"/>
        <w:rPr>
          <w:rFonts w:hint="eastAsia" w:ascii="Times New Roman" w:hAnsi="Times New Roman" w:eastAsia="方正仿宋_GB2312" w:cs="Times New Roman"/>
          <w:sz w:val="32"/>
          <w:szCs w:val="32"/>
          <w:lang w:eastAsia="zh-CN"/>
        </w:rPr>
      </w:pPr>
      <w:r>
        <w:rPr>
          <w:rFonts w:hint="eastAsia" w:ascii="Times New Roman" w:eastAsia="方正仿宋_GB2312" w:cs="Times New Roman"/>
          <w:sz w:val="32"/>
          <w:szCs w:val="32"/>
          <w:lang w:val="en-US" w:eastAsia="zh-CN"/>
        </w:rPr>
        <w:t xml:space="preserve">                 </w:t>
      </w:r>
      <w:r>
        <w:rPr>
          <w:rFonts w:hint="eastAsia" w:ascii="Times New Roman" w:hAnsi="Times New Roman" w:eastAsia="方正仿宋_GB2312" w:cs="Times New Roman"/>
          <w:sz w:val="32"/>
          <w:szCs w:val="32"/>
          <w:lang w:eastAsia="zh-CN"/>
        </w:rPr>
        <w:t>北京市医疗保障局</w:t>
      </w:r>
    </w:p>
    <w:p>
      <w:pPr>
        <w:pStyle w:val="26"/>
        <w:keepNext w:val="0"/>
        <w:keepLines w:val="0"/>
        <w:pageBreakBefore w:val="0"/>
        <w:kinsoku/>
        <w:wordWrap/>
        <w:overflowPunct/>
        <w:topLinePunct w:val="0"/>
        <w:autoSpaceDE/>
        <w:autoSpaceDN/>
        <w:bidi w:val="0"/>
        <w:adjustRightInd w:val="0"/>
        <w:snapToGrid w:val="0"/>
        <w:spacing w:after="0" w:line="560" w:lineRule="exact"/>
        <w:ind w:left="0" w:leftChars="0" w:firstLine="640" w:firstLineChars="200"/>
        <w:jc w:val="center"/>
        <w:textAlignment w:val="auto"/>
        <w:rPr>
          <w:rFonts w:hint="default" w:ascii="方正小标宋简体" w:hAnsi="宋体" w:eastAsia="方正小标宋简体"/>
          <w:b w:val="0"/>
          <w:bCs w:val="0"/>
          <w:color w:val="auto"/>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年3月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日</w:t>
      </w:r>
    </w:p>
    <w:sectPr>
      <w:headerReference r:id="rId3" w:type="default"/>
      <w:footerReference r:id="rId4" w:type="default"/>
      <w:pgSz w:w="11906" w:h="16838"/>
      <w:pgMar w:top="1701" w:right="1361" w:bottom="1134" w:left="136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微软雅黑">
    <w:panose1 w:val="020B0503020204020204"/>
    <w:charset w:val="86"/>
    <w:family w:val="auto"/>
    <w:pitch w:val="default"/>
    <w:sig w:usb0="80000287" w:usb1="280F3C52" w:usb2="00000016" w:usb3="00000000" w:csb0="0004001F" w:csb1="00000000"/>
  </w:font>
  <w:font w:name="方正楷体简体">
    <w:altName w:val="楷体_GB2312"/>
    <w:panose1 w:val="00000000000000000000"/>
    <w:charset w:val="86"/>
    <w:family w:val="script"/>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Cambria">
    <w:altName w:val="Noto Sans Syriac Eastern"/>
    <w:panose1 w:val="02040503050406030204"/>
    <w:charset w:val="00"/>
    <w:family w:val="roman"/>
    <w:pitch w:val="default"/>
    <w:sig w:usb0="00000000" w:usb1="00000000" w:usb2="02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altName w:val="仿宋"/>
    <w:panose1 w:val="00000000000000000000"/>
    <w:charset w:val="86"/>
    <w:family w:val="auto"/>
    <w:pitch w:val="default"/>
    <w:sig w:usb0="00000000" w:usb1="00000000" w:usb2="00000012" w:usb3="00000000" w:csb0="00040001"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方正楷体简体"/>
                              <w:lang w:eastAsia="zh-CN"/>
                            </w:rPr>
                          </w:pPr>
                          <w:r>
                            <w:rPr>
                              <w:rFonts w:hint="default" w:ascii="Times New Roman" w:hAnsi="Times New Roman" w:cs="Times New Roman"/>
                              <w:sz w:val="22"/>
                              <w:szCs w:val="22"/>
                              <w:lang w:eastAsia="zh-CN"/>
                            </w:rPr>
                            <w:fldChar w:fldCharType="begin"/>
                          </w:r>
                          <w:r>
                            <w:rPr>
                              <w:rFonts w:hint="default" w:ascii="Times New Roman" w:hAnsi="Times New Roman" w:cs="Times New Roman"/>
                              <w:sz w:val="22"/>
                              <w:szCs w:val="22"/>
                              <w:lang w:eastAsia="zh-CN"/>
                            </w:rPr>
                            <w:instrText xml:space="preserve"> PAGE  \* MERGEFORMAT </w:instrText>
                          </w:r>
                          <w:r>
                            <w:rPr>
                              <w:rFonts w:hint="default" w:ascii="Times New Roman" w:hAnsi="Times New Roman" w:cs="Times New Roman"/>
                              <w:sz w:val="22"/>
                              <w:szCs w:val="22"/>
                              <w:lang w:eastAsia="zh-CN"/>
                            </w:rPr>
                            <w:fldChar w:fldCharType="separate"/>
                          </w:r>
                          <w:r>
                            <w:rPr>
                              <w:rFonts w:hint="default" w:ascii="Times New Roman" w:hAnsi="Times New Roman" w:cs="Times New Roman"/>
                              <w:sz w:val="22"/>
                              <w:szCs w:val="22"/>
                              <w:lang w:eastAsia="zh-CN"/>
                            </w:rPr>
                            <w:t>1</w:t>
                          </w:r>
                          <w:r>
                            <w:rPr>
                              <w:rFonts w:hint="default" w:ascii="Times New Roman" w:hAnsi="Times New Roman" w:cs="Times New Roman"/>
                              <w:sz w:val="22"/>
                              <w:szCs w:val="22"/>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11"/>
                      <w:rPr>
                        <w:rFonts w:hint="eastAsia" w:eastAsia="方正楷体简体"/>
                        <w:lang w:eastAsia="zh-CN"/>
                      </w:rPr>
                    </w:pPr>
                    <w:r>
                      <w:rPr>
                        <w:rFonts w:hint="default" w:ascii="Times New Roman" w:hAnsi="Times New Roman" w:cs="Times New Roman"/>
                        <w:sz w:val="22"/>
                        <w:szCs w:val="22"/>
                        <w:lang w:eastAsia="zh-CN"/>
                      </w:rPr>
                      <w:fldChar w:fldCharType="begin"/>
                    </w:r>
                    <w:r>
                      <w:rPr>
                        <w:rFonts w:hint="default" w:ascii="Times New Roman" w:hAnsi="Times New Roman" w:cs="Times New Roman"/>
                        <w:sz w:val="22"/>
                        <w:szCs w:val="22"/>
                        <w:lang w:eastAsia="zh-CN"/>
                      </w:rPr>
                      <w:instrText xml:space="preserve"> PAGE  \* MERGEFORMAT </w:instrText>
                    </w:r>
                    <w:r>
                      <w:rPr>
                        <w:rFonts w:hint="default" w:ascii="Times New Roman" w:hAnsi="Times New Roman" w:cs="Times New Roman"/>
                        <w:sz w:val="22"/>
                        <w:szCs w:val="22"/>
                        <w:lang w:eastAsia="zh-CN"/>
                      </w:rPr>
                      <w:fldChar w:fldCharType="separate"/>
                    </w:r>
                    <w:r>
                      <w:rPr>
                        <w:rFonts w:hint="default" w:ascii="Times New Roman" w:hAnsi="Times New Roman" w:cs="Times New Roman"/>
                        <w:sz w:val="22"/>
                        <w:szCs w:val="22"/>
                        <w:lang w:eastAsia="zh-CN"/>
                      </w:rPr>
                      <w:t>1</w:t>
                    </w:r>
                    <w:r>
                      <w:rPr>
                        <w:rFonts w:hint="default" w:ascii="Times New Roman" w:hAnsi="Times New Roman" w:cs="Times New Roman"/>
                        <w:sz w:val="22"/>
                        <w:szCs w:val="22"/>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7049DE"/>
    <w:multiLevelType w:val="singleLevel"/>
    <w:tmpl w:val="127049DE"/>
    <w:lvl w:ilvl="0" w:tentative="0">
      <w:start w:val="3"/>
      <w:numFmt w:val="chineseCounting"/>
      <w:suff w:val="nothing"/>
      <w:lvlText w:val="%1、"/>
      <w:lvlJc w:val="left"/>
      <w:rPr>
        <w:rFonts w:hint="eastAsia"/>
      </w:rPr>
    </w:lvl>
  </w:abstractNum>
  <w:abstractNum w:abstractNumId="1">
    <w:nsid w:val="1409DFA1"/>
    <w:multiLevelType w:val="singleLevel"/>
    <w:tmpl w:val="1409DFA1"/>
    <w:lvl w:ilvl="0" w:tentative="0">
      <w:start w:val="4"/>
      <w:numFmt w:val="chineseCounting"/>
      <w:suff w:val="nothing"/>
      <w:lvlText w:val="（%1）"/>
      <w:lvlJc w:val="left"/>
      <w:rPr>
        <w:rFonts w:hint="eastAsia"/>
      </w:rPr>
    </w:lvl>
  </w:abstractNum>
  <w:abstractNum w:abstractNumId="2">
    <w:nsid w:val="64AAF83D"/>
    <w:multiLevelType w:val="singleLevel"/>
    <w:tmpl w:val="64AAF83D"/>
    <w:lvl w:ilvl="0" w:tentative="0">
      <w:start w:val="13"/>
      <w:numFmt w:val="decimal"/>
      <w:suff w:val="nothing"/>
      <w:lvlText w:val="（%1）"/>
      <w:lvlJc w:val="left"/>
    </w:lvl>
  </w:abstractNum>
  <w:abstractNum w:abstractNumId="3">
    <w:nsid w:val="692F8931"/>
    <w:multiLevelType w:val="singleLevel"/>
    <w:tmpl w:val="692F8931"/>
    <w:lvl w:ilvl="0" w:tentative="0">
      <w:start w:val="2"/>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8F6"/>
    <w:rsid w:val="00025D2A"/>
    <w:rsid w:val="00030042"/>
    <w:rsid w:val="00030816"/>
    <w:rsid w:val="000309EC"/>
    <w:rsid w:val="0003293B"/>
    <w:rsid w:val="000C2E0F"/>
    <w:rsid w:val="000D6536"/>
    <w:rsid w:val="000D68EA"/>
    <w:rsid w:val="000E7D3B"/>
    <w:rsid w:val="0013435E"/>
    <w:rsid w:val="00137517"/>
    <w:rsid w:val="00172E18"/>
    <w:rsid w:val="00180BEC"/>
    <w:rsid w:val="0019097F"/>
    <w:rsid w:val="00193C45"/>
    <w:rsid w:val="0019703C"/>
    <w:rsid w:val="001A3A44"/>
    <w:rsid w:val="001E5A8A"/>
    <w:rsid w:val="00217EEE"/>
    <w:rsid w:val="00234217"/>
    <w:rsid w:val="002462B7"/>
    <w:rsid w:val="0026745D"/>
    <w:rsid w:val="002A1B10"/>
    <w:rsid w:val="00351047"/>
    <w:rsid w:val="0037737A"/>
    <w:rsid w:val="00382FE2"/>
    <w:rsid w:val="00386F9D"/>
    <w:rsid w:val="003B6072"/>
    <w:rsid w:val="003C3D91"/>
    <w:rsid w:val="004017F6"/>
    <w:rsid w:val="00453B25"/>
    <w:rsid w:val="00454080"/>
    <w:rsid w:val="0045573C"/>
    <w:rsid w:val="00476B0C"/>
    <w:rsid w:val="004942D1"/>
    <w:rsid w:val="00494590"/>
    <w:rsid w:val="004A7659"/>
    <w:rsid w:val="004C5356"/>
    <w:rsid w:val="004C74BD"/>
    <w:rsid w:val="004D5EE9"/>
    <w:rsid w:val="004F0CD8"/>
    <w:rsid w:val="00544BE2"/>
    <w:rsid w:val="00557AA3"/>
    <w:rsid w:val="00562353"/>
    <w:rsid w:val="00597DDB"/>
    <w:rsid w:val="005B2D8D"/>
    <w:rsid w:val="005C5758"/>
    <w:rsid w:val="005D3E51"/>
    <w:rsid w:val="005D72B9"/>
    <w:rsid w:val="005F4967"/>
    <w:rsid w:val="00626723"/>
    <w:rsid w:val="00647658"/>
    <w:rsid w:val="0069733C"/>
    <w:rsid w:val="006B4C72"/>
    <w:rsid w:val="006D2F0C"/>
    <w:rsid w:val="006D40D3"/>
    <w:rsid w:val="006F572F"/>
    <w:rsid w:val="0071309A"/>
    <w:rsid w:val="00717A0F"/>
    <w:rsid w:val="00731080"/>
    <w:rsid w:val="007312C3"/>
    <w:rsid w:val="007418AB"/>
    <w:rsid w:val="00751846"/>
    <w:rsid w:val="00760B17"/>
    <w:rsid w:val="007647C2"/>
    <w:rsid w:val="00777CE4"/>
    <w:rsid w:val="007879ED"/>
    <w:rsid w:val="007935EE"/>
    <w:rsid w:val="007E130B"/>
    <w:rsid w:val="007F487E"/>
    <w:rsid w:val="007F7A69"/>
    <w:rsid w:val="008271DF"/>
    <w:rsid w:val="0084784A"/>
    <w:rsid w:val="00852FEC"/>
    <w:rsid w:val="008628CA"/>
    <w:rsid w:val="008639F3"/>
    <w:rsid w:val="00871FEC"/>
    <w:rsid w:val="00876F0C"/>
    <w:rsid w:val="008964BD"/>
    <w:rsid w:val="008B2E51"/>
    <w:rsid w:val="008D347B"/>
    <w:rsid w:val="008E0391"/>
    <w:rsid w:val="00913817"/>
    <w:rsid w:val="00924383"/>
    <w:rsid w:val="00933BBE"/>
    <w:rsid w:val="00952622"/>
    <w:rsid w:val="00957DAA"/>
    <w:rsid w:val="00967811"/>
    <w:rsid w:val="009757B2"/>
    <w:rsid w:val="00980AE5"/>
    <w:rsid w:val="009C2359"/>
    <w:rsid w:val="009D3312"/>
    <w:rsid w:val="009D3E00"/>
    <w:rsid w:val="009E7DA2"/>
    <w:rsid w:val="00A61A03"/>
    <w:rsid w:val="00A737EB"/>
    <w:rsid w:val="00A768BC"/>
    <w:rsid w:val="00A90A78"/>
    <w:rsid w:val="00AA29F1"/>
    <w:rsid w:val="00B451BE"/>
    <w:rsid w:val="00BA221A"/>
    <w:rsid w:val="00BB6540"/>
    <w:rsid w:val="00C05053"/>
    <w:rsid w:val="00C1125D"/>
    <w:rsid w:val="00C66CAB"/>
    <w:rsid w:val="00C82DAB"/>
    <w:rsid w:val="00CA6843"/>
    <w:rsid w:val="00CC29EB"/>
    <w:rsid w:val="00CC509E"/>
    <w:rsid w:val="00CD2F1F"/>
    <w:rsid w:val="00CF2BAE"/>
    <w:rsid w:val="00CF5EC6"/>
    <w:rsid w:val="00D23085"/>
    <w:rsid w:val="00D51BA3"/>
    <w:rsid w:val="00D61996"/>
    <w:rsid w:val="00D6201D"/>
    <w:rsid w:val="00D630FB"/>
    <w:rsid w:val="00DB488F"/>
    <w:rsid w:val="00DB5A82"/>
    <w:rsid w:val="00DB6356"/>
    <w:rsid w:val="00DE591B"/>
    <w:rsid w:val="00E5257D"/>
    <w:rsid w:val="00E5350D"/>
    <w:rsid w:val="00E62B15"/>
    <w:rsid w:val="00E754C4"/>
    <w:rsid w:val="00E84E6F"/>
    <w:rsid w:val="00E87D28"/>
    <w:rsid w:val="00E95BDE"/>
    <w:rsid w:val="00EA69E8"/>
    <w:rsid w:val="00EB4ED7"/>
    <w:rsid w:val="00EC0D7B"/>
    <w:rsid w:val="00EC1B77"/>
    <w:rsid w:val="00ED3FF3"/>
    <w:rsid w:val="00F207C1"/>
    <w:rsid w:val="00F2157A"/>
    <w:rsid w:val="00F676A9"/>
    <w:rsid w:val="00F77612"/>
    <w:rsid w:val="00F91A61"/>
    <w:rsid w:val="00FD7CED"/>
    <w:rsid w:val="00FE611E"/>
    <w:rsid w:val="0C10057F"/>
    <w:rsid w:val="0C52125C"/>
    <w:rsid w:val="0E577840"/>
    <w:rsid w:val="124E3B51"/>
    <w:rsid w:val="152B320A"/>
    <w:rsid w:val="161F778F"/>
    <w:rsid w:val="173107B8"/>
    <w:rsid w:val="1C557097"/>
    <w:rsid w:val="1CED3F36"/>
    <w:rsid w:val="1DD72846"/>
    <w:rsid w:val="1EE3E773"/>
    <w:rsid w:val="209437C2"/>
    <w:rsid w:val="24A575EC"/>
    <w:rsid w:val="270E5BC0"/>
    <w:rsid w:val="27D37A52"/>
    <w:rsid w:val="2CBE5289"/>
    <w:rsid w:val="2D4501B7"/>
    <w:rsid w:val="2F6F03D5"/>
    <w:rsid w:val="30062419"/>
    <w:rsid w:val="31D379BD"/>
    <w:rsid w:val="329A6701"/>
    <w:rsid w:val="32AB7647"/>
    <w:rsid w:val="33F04DEB"/>
    <w:rsid w:val="34787454"/>
    <w:rsid w:val="3D1E2C08"/>
    <w:rsid w:val="3D3B98AC"/>
    <w:rsid w:val="3F13257F"/>
    <w:rsid w:val="415B3152"/>
    <w:rsid w:val="44764C3F"/>
    <w:rsid w:val="44AB9132"/>
    <w:rsid w:val="46FF3F2C"/>
    <w:rsid w:val="4B9A5B95"/>
    <w:rsid w:val="4E5335B4"/>
    <w:rsid w:val="4E9F27F8"/>
    <w:rsid w:val="4FF65A97"/>
    <w:rsid w:val="539F5404"/>
    <w:rsid w:val="539F5C88"/>
    <w:rsid w:val="55DF3386"/>
    <w:rsid w:val="56621F75"/>
    <w:rsid w:val="5C774328"/>
    <w:rsid w:val="5DD20F6E"/>
    <w:rsid w:val="5EBEABA0"/>
    <w:rsid w:val="5EFCD00B"/>
    <w:rsid w:val="5F63773B"/>
    <w:rsid w:val="613721E1"/>
    <w:rsid w:val="62142FA3"/>
    <w:rsid w:val="62AB0708"/>
    <w:rsid w:val="6A11633F"/>
    <w:rsid w:val="6EC4F923"/>
    <w:rsid w:val="6F4E3070"/>
    <w:rsid w:val="6FFFE57D"/>
    <w:rsid w:val="7038126F"/>
    <w:rsid w:val="71526ACA"/>
    <w:rsid w:val="71810A02"/>
    <w:rsid w:val="71AB7DFF"/>
    <w:rsid w:val="728D4AB1"/>
    <w:rsid w:val="76FF3D66"/>
    <w:rsid w:val="7777515D"/>
    <w:rsid w:val="778F34B5"/>
    <w:rsid w:val="77DC47B1"/>
    <w:rsid w:val="7BFB66C1"/>
    <w:rsid w:val="7C145F9D"/>
    <w:rsid w:val="7C61443A"/>
    <w:rsid w:val="7D5FC2A2"/>
    <w:rsid w:val="7D73B132"/>
    <w:rsid w:val="7DC386A9"/>
    <w:rsid w:val="7DDEFC0B"/>
    <w:rsid w:val="7E3FB135"/>
    <w:rsid w:val="7ECFBB7B"/>
    <w:rsid w:val="7F470528"/>
    <w:rsid w:val="9FCA8805"/>
    <w:rsid w:val="A3B9A43A"/>
    <w:rsid w:val="AB776AD9"/>
    <w:rsid w:val="BBB5C56E"/>
    <w:rsid w:val="BFAF80C2"/>
    <w:rsid w:val="D7E57224"/>
    <w:rsid w:val="D7EF65B8"/>
    <w:rsid w:val="DAAFA7A5"/>
    <w:rsid w:val="DFFB88D2"/>
    <w:rsid w:val="DFFF52CD"/>
    <w:rsid w:val="E45D49A7"/>
    <w:rsid w:val="E7BB4468"/>
    <w:rsid w:val="EB7FADFC"/>
    <w:rsid w:val="EFFB0623"/>
    <w:rsid w:val="F7FE7F26"/>
    <w:rsid w:val="F9EF4131"/>
    <w:rsid w:val="FB573C61"/>
    <w:rsid w:val="FD9560D5"/>
    <w:rsid w:val="FDDF3231"/>
    <w:rsid w:val="FF5FA212"/>
    <w:rsid w:val="FF7FF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qFormat="1" w:unhideWhenUsed="0" w:uiPriority="0" w:semiHidden="0"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方正楷体简体" w:hAnsi="Times New Roman" w:eastAsia="方正楷体简体" w:cs="Times New Roman"/>
      <w:snapToGrid w:val="0"/>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cs="方正小标宋简体"/>
      <w:kern w:val="44"/>
      <w:sz w:val="44"/>
      <w:szCs w:val="44"/>
    </w:rPr>
  </w:style>
  <w:style w:type="paragraph" w:styleId="4">
    <w:name w:val="heading 2"/>
    <w:basedOn w:val="1"/>
    <w:next w:val="1"/>
    <w:unhideWhenUsed/>
    <w:qFormat/>
    <w:uiPriority w:val="0"/>
    <w:pPr>
      <w:keepNext/>
      <w:keepLines/>
      <w:widowControl/>
      <w:spacing w:line="560" w:lineRule="exact"/>
      <w:ind w:firstLine="200" w:firstLineChars="200"/>
      <w:outlineLvl w:val="1"/>
    </w:pPr>
    <w:rPr>
      <w:rFonts w:eastAsia="黑体" w:asciiTheme="majorHAnsi" w:hAnsiTheme="majorHAnsi" w:cstheme="majorBidi"/>
      <w:bCs/>
      <w:kern w:val="0"/>
      <w:sz w:val="32"/>
      <w:szCs w:val="32"/>
    </w:rPr>
  </w:style>
  <w:style w:type="character" w:default="1" w:styleId="18">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Times New Roman" w:eastAsia="宋体"/>
      <w:szCs w:val="20"/>
    </w:rPr>
  </w:style>
  <w:style w:type="paragraph" w:styleId="5">
    <w:name w:val="Body Text"/>
    <w:basedOn w:val="1"/>
    <w:next w:val="1"/>
    <w:qFormat/>
    <w:uiPriority w:val="0"/>
    <w:pPr>
      <w:spacing w:after="120"/>
    </w:pPr>
    <w:rPr>
      <w:rFonts w:ascii="Calibri" w:hAnsi="Calibri" w:eastAsia="宋体"/>
    </w:rPr>
  </w:style>
  <w:style w:type="paragraph" w:styleId="6">
    <w:name w:val="Body Text Indent"/>
    <w:basedOn w:val="1"/>
    <w:qFormat/>
    <w:uiPriority w:val="0"/>
    <w:pPr>
      <w:spacing w:after="120"/>
      <w:ind w:left="420" w:leftChars="200"/>
    </w:pPr>
  </w:style>
  <w:style w:type="paragraph" w:styleId="7">
    <w:name w:val="Plain Text"/>
    <w:basedOn w:val="1"/>
    <w:next w:val="8"/>
    <w:unhideWhenUsed/>
    <w:qFormat/>
    <w:uiPriority w:val="99"/>
    <w:rPr>
      <w:rFonts w:ascii="宋体" w:hAnsi="Courier New"/>
    </w:rPr>
  </w:style>
  <w:style w:type="paragraph" w:styleId="8">
    <w:name w:val="index 9"/>
    <w:basedOn w:val="1"/>
    <w:next w:val="1"/>
    <w:qFormat/>
    <w:uiPriority w:val="0"/>
    <w:pPr>
      <w:ind w:left="3360"/>
    </w:pPr>
    <w:rPr>
      <w:rFonts w:eastAsia="宋体" w:cs="等线"/>
      <w:szCs w:val="21"/>
    </w:rPr>
  </w:style>
  <w:style w:type="paragraph" w:styleId="9">
    <w:name w:val="Date"/>
    <w:basedOn w:val="1"/>
    <w:next w:val="1"/>
    <w:link w:val="24"/>
    <w:unhideWhenUsed/>
    <w:qFormat/>
    <w:uiPriority w:val="99"/>
    <w:pPr>
      <w:ind w:left="100" w:leftChars="2500"/>
    </w:pPr>
  </w:style>
  <w:style w:type="paragraph" w:styleId="10">
    <w:name w:val="Balloon Text"/>
    <w:basedOn w:val="1"/>
    <w:link w:val="20"/>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0"/>
  </w:style>
  <w:style w:type="paragraph" w:styleId="14">
    <w:name w:val="toc 2"/>
    <w:basedOn w:val="1"/>
    <w:next w:val="1"/>
    <w:qFormat/>
    <w:uiPriority w:val="0"/>
    <w:pPr>
      <w:ind w:left="420" w:leftChars="200"/>
    </w:pPr>
  </w:style>
  <w:style w:type="paragraph" w:styleId="15">
    <w:name w:val="Normal (Web)"/>
    <w:basedOn w:val="1"/>
    <w:qFormat/>
    <w:uiPriority w:val="0"/>
    <w:pPr>
      <w:spacing w:beforeAutospacing="1" w:afterAutospacing="1"/>
      <w:jc w:val="left"/>
    </w:pPr>
    <w:rPr>
      <w:rFonts w:cs="Times New Roman"/>
      <w:kern w:val="0"/>
      <w:sz w:val="24"/>
    </w:rPr>
  </w:style>
  <w:style w:type="paragraph" w:styleId="16">
    <w:name w:val="Body Text First Indent"/>
    <w:basedOn w:val="5"/>
    <w:qFormat/>
    <w:uiPriority w:val="0"/>
    <w:pPr>
      <w:ind w:firstLine="420" w:firstLineChars="100"/>
    </w:pPr>
  </w:style>
  <w:style w:type="character" w:styleId="19">
    <w:name w:val="page number"/>
    <w:basedOn w:val="18"/>
    <w:unhideWhenUsed/>
    <w:qFormat/>
    <w:uiPriority w:val="99"/>
  </w:style>
  <w:style w:type="character" w:customStyle="1" w:styleId="20">
    <w:name w:val="批注框文本 Char"/>
    <w:basedOn w:val="18"/>
    <w:link w:val="10"/>
    <w:semiHidden/>
    <w:qFormat/>
    <w:uiPriority w:val="99"/>
    <w:rPr>
      <w:sz w:val="18"/>
      <w:szCs w:val="18"/>
    </w:rPr>
  </w:style>
  <w:style w:type="character" w:customStyle="1" w:styleId="21">
    <w:name w:val="页眉 Char"/>
    <w:basedOn w:val="18"/>
    <w:link w:val="12"/>
    <w:qFormat/>
    <w:uiPriority w:val="99"/>
    <w:rPr>
      <w:sz w:val="18"/>
      <w:szCs w:val="18"/>
    </w:rPr>
  </w:style>
  <w:style w:type="character" w:customStyle="1" w:styleId="22">
    <w:name w:val="页脚 Char"/>
    <w:basedOn w:val="18"/>
    <w:link w:val="11"/>
    <w:qFormat/>
    <w:uiPriority w:val="99"/>
    <w:rPr>
      <w:sz w:val="18"/>
      <w:szCs w:val="18"/>
    </w:rPr>
  </w:style>
  <w:style w:type="paragraph" w:customStyle="1" w:styleId="23">
    <w:name w:val="List Paragraph"/>
    <w:basedOn w:val="1"/>
    <w:qFormat/>
    <w:uiPriority w:val="34"/>
    <w:pPr>
      <w:ind w:firstLine="420" w:firstLineChars="200"/>
    </w:pPr>
  </w:style>
  <w:style w:type="character" w:customStyle="1" w:styleId="24">
    <w:name w:val="日期 Char"/>
    <w:basedOn w:val="18"/>
    <w:link w:val="9"/>
    <w:semiHidden/>
    <w:qFormat/>
    <w:uiPriority w:val="99"/>
  </w:style>
  <w:style w:type="paragraph" w:customStyle="1" w:styleId="25">
    <w:name w:val="公文"/>
    <w:basedOn w:val="1"/>
    <w:qFormat/>
    <w:uiPriority w:val="0"/>
    <w:pPr>
      <w:ind w:firstLine="200" w:firstLineChars="200"/>
    </w:pPr>
    <w:rPr>
      <w:rFonts w:eastAsia="仿宋_GB2312" w:cs="Times New Roman"/>
      <w:sz w:val="32"/>
      <w:szCs w:val="24"/>
    </w:rPr>
  </w:style>
  <w:style w:type="paragraph" w:customStyle="1" w:styleId="26">
    <w:name w:val="Char"/>
    <w:basedOn w:val="1"/>
    <w:qFormat/>
    <w:uiPriority w:val="99"/>
    <w:pPr>
      <w:widowControl/>
      <w:spacing w:after="160" w:line="240" w:lineRule="exact"/>
      <w:jc w:val="left"/>
    </w:pPr>
  </w:style>
  <w:style w:type="paragraph" w:customStyle="1" w:styleId="27">
    <w:name w:val="纯文本1"/>
    <w:basedOn w:val="1"/>
    <w:qFormat/>
    <w:uiPriority w:val="0"/>
    <w:rPr>
      <w:rFonts w:ascii="宋体" w:hAnsi="Courier New"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200</Words>
  <Characters>223</Characters>
  <Lines>2</Lines>
  <Paragraphs>1</Paragraphs>
  <TotalTime>5</TotalTime>
  <ScaleCrop>false</ScaleCrop>
  <LinksUpToDate>false</LinksUpToDate>
  <CharactersWithSpaces>262</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2018-12-04T14:56:00Z</dcterms:created>
  <dc:creator>Microsoft</dc:creator>
  <cp:lastModifiedBy>张瑞</cp:lastModifiedBy>
  <cp:lastPrinted>2025-03-13T02:58:00Z</cp:lastPrinted>
  <dcterms:modified xsi:type="dcterms:W3CDTF">2025-08-26T14:59:23Z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ies>
</file>