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0"/>
        <w:rPr>
          <w:rFonts w:ascii="Times New Roman" w:hAnsi="Times New Roman" w:eastAsia="宋体" w:cs="Times New Roman"/>
          <w:szCs w:val="24"/>
        </w:rPr>
      </w:pPr>
      <w:bookmarkStart w:id="92" w:name="_GoBack"/>
      <w:bookmarkEnd w:id="92"/>
    </w:p>
    <w:p>
      <w:pPr>
        <w:ind w:firstLine="480"/>
        <w:rPr>
          <w:rFonts w:ascii="Times New Roman" w:hAnsi="Times New Roman" w:eastAsia="宋体" w:cs="Times New Roman"/>
          <w:szCs w:val="24"/>
        </w:rPr>
      </w:pPr>
    </w:p>
    <w:p>
      <w:pPr>
        <w:ind w:firstLine="480"/>
        <w:rPr>
          <w:rFonts w:ascii="Times New Roman" w:hAnsi="Times New Roman" w:eastAsia="宋体" w:cs="Times New Roman"/>
          <w:szCs w:val="24"/>
        </w:rPr>
      </w:pPr>
    </w:p>
    <w:p>
      <w:pPr>
        <w:ind w:firstLine="480"/>
        <w:rPr>
          <w:rFonts w:ascii="Times New Roman" w:hAnsi="Times New Roman" w:eastAsia="宋体" w:cs="Times New Roman"/>
          <w:szCs w:val="24"/>
        </w:rPr>
      </w:pPr>
    </w:p>
    <w:p>
      <w:pPr>
        <w:ind w:firstLine="480"/>
        <w:rPr>
          <w:rFonts w:ascii="Times New Roman" w:hAnsi="Times New Roman" w:eastAsia="宋体" w:cs="Times New Roman"/>
          <w:szCs w:val="24"/>
        </w:rPr>
      </w:pPr>
    </w:p>
    <w:p>
      <w:pPr>
        <w:ind w:firstLine="480"/>
        <w:rPr>
          <w:rFonts w:ascii="Times New Roman" w:hAnsi="Times New Roman" w:eastAsia="宋体" w:cs="Times New Roman"/>
          <w:szCs w:val="24"/>
        </w:rPr>
      </w:pPr>
    </w:p>
    <w:p>
      <w:pPr>
        <w:ind w:firstLine="480"/>
        <w:rPr>
          <w:rFonts w:ascii="Times New Roman" w:hAnsi="Times New Roman" w:eastAsia="宋体" w:cs="Times New Roman"/>
          <w:szCs w:val="24"/>
        </w:rPr>
      </w:pPr>
    </w:p>
    <w:p>
      <w:pPr>
        <w:keepNext/>
        <w:keepLines/>
        <w:spacing w:line="312" w:lineRule="auto"/>
        <w:jc w:val="center"/>
        <w:outlineLvl w:val="1"/>
        <w:rPr>
          <w:rFonts w:ascii="方正小标宋简体" w:hAnsi="Cambria" w:eastAsia="方正小标宋简体" w:cs="Times New Roman"/>
          <w:bCs/>
          <w:sz w:val="44"/>
          <w:szCs w:val="44"/>
        </w:rPr>
      </w:pPr>
      <w:r>
        <w:rPr>
          <w:rFonts w:hint="eastAsia" w:ascii="方正小标宋简体" w:hAnsi="Cambria" w:eastAsia="方正小标宋简体" w:cs="Times New Roman"/>
          <w:bCs/>
          <w:sz w:val="44"/>
          <w:szCs w:val="44"/>
          <w:lang w:val="en-US" w:eastAsia="zh-CN"/>
        </w:rPr>
        <w:t>2024年度</w:t>
      </w:r>
      <w:r>
        <w:rPr>
          <w:rFonts w:hint="eastAsia" w:ascii="方正小标宋简体" w:hAnsi="Cambria" w:eastAsia="方正小标宋简体" w:cs="Times New Roman"/>
          <w:bCs/>
          <w:sz w:val="44"/>
          <w:szCs w:val="44"/>
        </w:rPr>
        <w:t>北京市市级财政支出项目</w:t>
      </w:r>
    </w:p>
    <w:p>
      <w:pPr>
        <w:keepNext/>
        <w:keepLines/>
        <w:spacing w:line="312" w:lineRule="auto"/>
        <w:jc w:val="center"/>
        <w:outlineLvl w:val="1"/>
        <w:rPr>
          <w:rFonts w:ascii="方正小标宋简体" w:hAnsi="Cambria" w:eastAsia="方正小标宋简体" w:cs="Times New Roman"/>
          <w:bCs/>
          <w:sz w:val="44"/>
          <w:szCs w:val="44"/>
        </w:rPr>
      </w:pPr>
      <w:r>
        <w:rPr>
          <w:rFonts w:hint="eastAsia" w:ascii="方正小标宋简体" w:hAnsi="Cambria" w:eastAsia="方正小标宋简体" w:cs="Times New Roman"/>
          <w:bCs/>
          <w:sz w:val="44"/>
          <w:szCs w:val="44"/>
        </w:rPr>
        <w:t>绩效评价报告</w:t>
      </w:r>
    </w:p>
    <w:p>
      <w:pPr>
        <w:ind w:firstLine="480"/>
        <w:rPr>
          <w:rFonts w:ascii="Times New Roman" w:hAnsi="Times New Roman" w:eastAsia="宋体" w:cs="Times New Roman"/>
          <w:szCs w:val="24"/>
        </w:rPr>
      </w:pPr>
    </w:p>
    <w:p>
      <w:pPr>
        <w:ind w:firstLine="480"/>
        <w:rPr>
          <w:rFonts w:ascii="Times New Roman" w:hAnsi="Times New Roman" w:eastAsia="宋体" w:cs="Times New Roman"/>
          <w:szCs w:val="24"/>
        </w:rPr>
      </w:pPr>
    </w:p>
    <w:p>
      <w:pPr>
        <w:ind w:firstLine="480"/>
        <w:rPr>
          <w:rFonts w:ascii="Times New Roman" w:hAnsi="Times New Roman" w:eastAsia="宋体" w:cs="Times New Roman"/>
          <w:szCs w:val="24"/>
        </w:rPr>
      </w:pPr>
    </w:p>
    <w:p>
      <w:pPr>
        <w:ind w:firstLine="480"/>
        <w:rPr>
          <w:rFonts w:ascii="Times New Roman" w:hAnsi="Times New Roman" w:eastAsia="宋体" w:cs="Times New Roman"/>
          <w:szCs w:val="24"/>
        </w:rPr>
      </w:pPr>
    </w:p>
    <w:p>
      <w:pPr>
        <w:ind w:firstLine="480"/>
        <w:rPr>
          <w:rFonts w:ascii="Times New Roman" w:hAnsi="Times New Roman" w:eastAsia="宋体" w:cs="Times New Roman"/>
          <w:szCs w:val="24"/>
        </w:rPr>
      </w:pPr>
    </w:p>
    <w:p>
      <w:pPr>
        <w:ind w:firstLine="480"/>
        <w:rPr>
          <w:rFonts w:ascii="Times New Roman" w:hAnsi="Times New Roman" w:eastAsia="宋体" w:cs="Times New Roman"/>
          <w:szCs w:val="24"/>
        </w:rPr>
      </w:pPr>
    </w:p>
    <w:p>
      <w:pPr>
        <w:ind w:firstLine="480"/>
        <w:rPr>
          <w:rFonts w:ascii="Times New Roman" w:hAnsi="Times New Roman" w:eastAsia="宋体" w:cs="Times New Roman"/>
          <w:szCs w:val="24"/>
        </w:rPr>
      </w:pPr>
    </w:p>
    <w:p>
      <w:pPr>
        <w:ind w:firstLine="480"/>
        <w:rPr>
          <w:rFonts w:ascii="Times New Roman" w:hAnsi="Times New Roman" w:eastAsia="宋体" w:cs="Times New Roman"/>
          <w:szCs w:val="24"/>
        </w:rPr>
      </w:pPr>
    </w:p>
    <w:p>
      <w:pPr>
        <w:keepNext/>
        <w:keepLines/>
        <w:spacing w:line="312" w:lineRule="auto"/>
        <w:ind w:right="368" w:rightChars="175" w:firstLine="300" w:firstLineChars="100"/>
        <w:outlineLvl w:val="1"/>
        <w:rPr>
          <w:rFonts w:ascii="方正小标宋简体" w:hAnsi="Cambria" w:eastAsia="方正小标宋简体" w:cs="Times New Roman"/>
          <w:bCs/>
          <w:sz w:val="30"/>
          <w:szCs w:val="30"/>
        </w:rPr>
      </w:pPr>
      <w:r>
        <w:rPr>
          <w:rFonts w:ascii="方正小标宋简体" w:hAnsi="Cambria" w:eastAsia="方正小标宋简体" w:cs="Times New Roman"/>
          <w:bCs/>
          <w:sz w:val="30"/>
          <w:szCs w:val="30"/>
        </w:rPr>
        <w:pict>
          <v:line id="直接连接符 8" o:spid="_x0000_s1026" o:spt="20" style="position:absolute;left:0pt;margin-left:91.65pt;margin-top:27.05pt;height:0pt;width:306pt;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">
            <v:path arrowok="t"/>
            <v:fill focussize="0,0"/>
            <v:stroke/>
            <v:imagedata o:title=""/>
            <o:lock v:ext="edit"/>
          </v:line>
        </w:pict>
      </w:r>
      <w:r>
        <w:rPr>
          <w:rFonts w:hint="eastAsia" w:ascii="方正小标宋简体" w:hAnsi="Cambria" w:eastAsia="方正小标宋简体" w:cs="Times New Roman"/>
          <w:bCs/>
          <w:sz w:val="30"/>
          <w:szCs w:val="30"/>
        </w:rPr>
        <w:t xml:space="preserve">主管部门：   </w:t>
      </w:r>
      <w:r>
        <w:rPr>
          <w:rFonts w:hint="eastAsia" w:ascii="方正小标宋简体" w:hAnsi="Cambria" w:eastAsia="方正小标宋简体" w:cs="Times New Roman"/>
          <w:bCs/>
          <w:sz w:val="30"/>
          <w:szCs w:val="30"/>
          <w:lang w:val="en-US" w:eastAsia="zh-CN"/>
        </w:rPr>
        <w:t xml:space="preserve">      </w:t>
      </w:r>
      <w:r>
        <w:rPr>
          <w:rFonts w:hint="eastAsia" w:ascii="方正小标宋简体" w:hAnsi="Cambria" w:eastAsia="方正小标宋简体" w:cs="Times New Roman"/>
          <w:bCs/>
          <w:sz w:val="30"/>
          <w:szCs w:val="30"/>
        </w:rPr>
        <w:t>北京市医疗保障局</w:t>
      </w:r>
    </w:p>
    <w:p>
      <w:pPr>
        <w:keepNext/>
        <w:keepLines/>
        <w:spacing w:line="312" w:lineRule="auto"/>
        <w:ind w:right="368" w:rightChars="175" w:firstLine="300" w:firstLineChars="100"/>
        <w:outlineLvl w:val="1"/>
        <w:rPr>
          <w:rFonts w:ascii="方正小标宋简体" w:hAnsi="Cambria" w:eastAsia="方正小标宋简体" w:cs="Times New Roman"/>
          <w:bCs/>
          <w:sz w:val="30"/>
          <w:szCs w:val="30"/>
        </w:rPr>
      </w:pPr>
      <w:r>
        <w:rPr>
          <w:rFonts w:ascii="方正小标宋简体" w:hAnsi="Cambria" w:eastAsia="方正小标宋简体" w:cs="Times New Roman"/>
          <w:bCs/>
          <w:sz w:val="30"/>
          <w:szCs w:val="30"/>
        </w:rPr>
        <w:pict>
          <v:line id="直接连接符 9" o:spid="_x0000_s1027" o:spt="20" style="position:absolute;left:0pt;margin-left:91.65pt;margin-top:25.65pt;height:0pt;width:306pt;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">
            <v:path arrowok="t"/>
            <v:fill focussize="0,0"/>
            <v:stroke/>
            <v:imagedata o:title=""/>
            <o:lock v:ext="edit"/>
          </v:line>
        </w:pict>
      </w:r>
      <w:r>
        <w:rPr>
          <w:rFonts w:hint="eastAsia" w:ascii="方正小标宋简体" w:hAnsi="Cambria" w:eastAsia="方正小标宋简体" w:cs="Times New Roman"/>
          <w:bCs/>
          <w:sz w:val="30"/>
          <w:szCs w:val="30"/>
        </w:rPr>
        <w:t xml:space="preserve">项目单位： </w:t>
      </w:r>
      <w:r>
        <w:rPr>
          <w:rFonts w:hint="eastAsia" w:ascii="方正小标宋简体" w:hAnsi="Cambria" w:eastAsia="方正小标宋简体" w:cs="Times New Roman"/>
          <w:bCs/>
          <w:sz w:val="30"/>
          <w:szCs w:val="30"/>
          <w:lang w:val="en-US" w:eastAsia="zh-CN"/>
        </w:rPr>
        <w:t xml:space="preserve">    </w:t>
      </w:r>
      <w:r>
        <w:rPr>
          <w:rFonts w:hint="eastAsia" w:ascii="方正小标宋简体" w:hAnsi="Cambria" w:eastAsia="方正小标宋简体" w:cs="Times New Roman"/>
          <w:bCs/>
          <w:sz w:val="30"/>
          <w:szCs w:val="30"/>
        </w:rPr>
        <w:t>北京市医疗保险事务管理中心</w:t>
      </w:r>
    </w:p>
    <w:p>
      <w:pPr>
        <w:keepNext/>
        <w:keepLines/>
        <w:spacing w:line="312" w:lineRule="auto"/>
        <w:ind w:right="368" w:rightChars="175" w:firstLine="300" w:firstLineChars="100"/>
        <w:outlineLvl w:val="1"/>
        <w:rPr>
          <w:rFonts w:ascii="方正小标宋简体" w:hAnsi="Cambria" w:eastAsia="方正小标宋简体" w:cs="Times New Roman"/>
          <w:bCs/>
          <w:sz w:val="30"/>
          <w:szCs w:val="30"/>
        </w:rPr>
      </w:pPr>
      <w:r>
        <w:rPr>
          <w:rFonts w:ascii="方正小标宋简体" w:hAnsi="Cambria" w:eastAsia="方正小标宋简体" w:cs="Times New Roman"/>
          <w:bCs/>
          <w:sz w:val="30"/>
          <w:szCs w:val="30"/>
        </w:rPr>
        <w:pict>
          <v:line id="直接连接符 10" o:spid="_x0000_s1028" o:spt="20" style="position:absolute;left:0pt;margin-left:90.45pt;margin-top:26.85pt;height:0pt;width:306pt;z-index:2516592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">
            <v:path arrowok="t"/>
            <v:fill focussize="0,0"/>
            <v:stroke/>
            <v:imagedata o:title=""/>
            <o:lock v:ext="edit"/>
          </v:line>
        </w:pict>
      </w:r>
      <w:r>
        <w:rPr>
          <w:rFonts w:hint="eastAsia" w:ascii="方正小标宋简体" w:hAnsi="Cambria" w:eastAsia="方正小标宋简体" w:cs="Times New Roman"/>
          <w:bCs/>
          <w:sz w:val="30"/>
          <w:szCs w:val="30"/>
        </w:rPr>
        <w:t>项目名称：</w:t>
      </w:r>
      <w:r>
        <w:rPr>
          <w:rFonts w:hint="eastAsia" w:ascii="方正小标宋简体" w:hAnsi="Cambria" w:eastAsia="方正小标宋简体" w:cs="Times New Roman"/>
          <w:bCs/>
          <w:sz w:val="28"/>
          <w:szCs w:val="28"/>
        </w:rPr>
        <w:t xml:space="preserve">      总额预算管理BJ-GBI经费项目</w:t>
      </w:r>
    </w:p>
    <w:p>
      <w:pPr>
        <w:keepNext/>
        <w:keepLines/>
        <w:spacing w:line="312" w:lineRule="auto"/>
        <w:ind w:right="368" w:rightChars="175" w:firstLine="300" w:firstLineChars="100"/>
        <w:outlineLvl w:val="1"/>
        <w:rPr>
          <w:rFonts w:ascii="方正小标宋简体" w:hAnsi="Cambria" w:eastAsia="方正小标宋简体" w:cs="Times New Roman"/>
          <w:bCs/>
          <w:sz w:val="30"/>
          <w:szCs w:val="30"/>
        </w:rPr>
      </w:pPr>
      <w:r>
        <w:rPr>
          <w:rFonts w:ascii="方正小标宋简体" w:hAnsi="Cambria" w:eastAsia="方正小标宋简体" w:cs="Times New Roman"/>
          <w:bCs/>
          <w:sz w:val="30"/>
          <w:szCs w:val="30"/>
        </w:rPr>
        <w:pict>
          <v:line id="_x0000_s1029" o:spid="_x0000_s1029" o:spt="20" style="position:absolute;left:0pt;margin-left:91.65pt;margin-top:27.05pt;height:0pt;width:306pt;z-index:251663360;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">
            <v:path arrowok="t"/>
            <v:fill focussize="0,0"/>
            <v:stroke/>
            <v:imagedata o:title=""/>
            <o:lock v:ext="edit"/>
          </v:line>
        </w:pict>
      </w:r>
      <w:r>
        <w:rPr>
          <w:rFonts w:hint="eastAsia" w:ascii="方正小标宋简体" w:hAnsi="Cambria" w:eastAsia="方正小标宋简体" w:cs="Times New Roman"/>
          <w:bCs/>
          <w:sz w:val="30"/>
          <w:szCs w:val="30"/>
        </w:rPr>
        <w:t xml:space="preserve">评价机构： </w:t>
      </w:r>
      <w:r>
        <w:rPr>
          <w:rFonts w:hint="eastAsia" w:ascii="方正小标宋简体" w:hAnsi="Cambria" w:eastAsia="方正小标宋简体" w:cs="Times New Roman"/>
          <w:bCs/>
          <w:sz w:val="30"/>
          <w:szCs w:val="30"/>
          <w:lang w:val="en-US" w:eastAsia="zh-CN"/>
        </w:rPr>
        <w:t xml:space="preserve">        </w:t>
      </w:r>
      <w:r>
        <w:rPr>
          <w:rFonts w:hint="eastAsia" w:ascii="方正小标宋简体" w:hAnsi="Cambria" w:eastAsia="方正小标宋简体" w:cs="Times New Roman"/>
          <w:bCs/>
          <w:sz w:val="30"/>
          <w:szCs w:val="30"/>
        </w:rPr>
        <w:t>北京市医疗保障局</w:t>
      </w:r>
    </w:p>
    <w:p>
      <w:pPr>
        <w:spacing w:line="420" w:lineRule="auto"/>
        <w:ind w:left="482"/>
        <w:rPr>
          <w:rFonts w:ascii="方正小标宋简体" w:hAnsi="Times New Roman" w:eastAsia="方正小标宋简体" w:cs="Times New Roman"/>
          <w:sz w:val="30"/>
          <w:szCs w:val="30"/>
        </w:rPr>
      </w:pPr>
    </w:p>
    <w:p>
      <w:pPr>
        <w:spacing w:line="420" w:lineRule="auto"/>
        <w:ind w:left="482"/>
        <w:rPr>
          <w:rFonts w:ascii="方正小标宋简体" w:hAnsi="Times New Roman" w:eastAsia="方正小标宋简体" w:cs="Times New Roman"/>
          <w:sz w:val="30"/>
          <w:szCs w:val="30"/>
        </w:rPr>
      </w:pPr>
    </w:p>
    <w:p>
      <w:pPr>
        <w:spacing w:line="420" w:lineRule="auto"/>
        <w:ind w:left="482"/>
        <w:rPr>
          <w:rFonts w:ascii="方正小标宋简体" w:hAnsi="Times New Roman" w:eastAsia="方正小标宋简体" w:cs="Times New Roman"/>
          <w:sz w:val="30"/>
          <w:szCs w:val="30"/>
        </w:rPr>
      </w:pPr>
    </w:p>
    <w:p>
      <w:pPr>
        <w:spacing w:line="420" w:lineRule="auto"/>
        <w:jc w:val="center"/>
        <w:rPr>
          <w:rFonts w:ascii="方正小标宋简体" w:hAnsi="Times New Roman" w:eastAsia="方正小标宋简体" w:cs="Times New Roman"/>
          <w:sz w:val="30"/>
          <w:szCs w:val="30"/>
        </w:rPr>
      </w:pPr>
    </w:p>
    <w:p>
      <w:pPr>
        <w:spacing w:line="420" w:lineRule="auto"/>
        <w:jc w:val="center"/>
        <w:rPr>
          <w:rFonts w:ascii="方正小标宋简体" w:hAnsi="Times New Roman" w:eastAsia="方正小标宋简体" w:cs="Times New Roman"/>
          <w:sz w:val="30"/>
          <w:szCs w:val="30"/>
        </w:rPr>
      </w:pPr>
      <w:r>
        <w:rPr>
          <w:rFonts w:hint="eastAsia" w:ascii="方正小标宋简体" w:hAnsi="Times New Roman" w:eastAsia="方正小标宋简体" w:cs="Times New Roman"/>
          <w:sz w:val="30"/>
          <w:szCs w:val="30"/>
        </w:rPr>
        <w:t>2</w:t>
      </w:r>
      <w:r>
        <w:rPr>
          <w:rFonts w:ascii="方正小标宋简体" w:hAnsi="Times New Roman" w:eastAsia="方正小标宋简体" w:cs="Times New Roman"/>
          <w:sz w:val="30"/>
          <w:szCs w:val="30"/>
        </w:rPr>
        <w:t>02</w:t>
      </w:r>
      <w:r>
        <w:rPr>
          <w:rFonts w:hint="eastAsia" w:ascii="方正小标宋简体" w:hAnsi="Times New Roman" w:eastAsia="方正小标宋简体" w:cs="Times New Roman"/>
          <w:sz w:val="30"/>
          <w:szCs w:val="30"/>
        </w:rPr>
        <w:t>5年5月</w:t>
      </w:r>
    </w:p>
    <w:p>
      <w:pPr>
        <w:ind w:firstLine="480"/>
        <w:rPr>
          <w:rFonts w:ascii="仿宋" w:hAnsi="仿宋" w:eastAsia="仿宋" w:cs="仿宋"/>
          <w:sz w:val="30"/>
          <w:szCs w:val="30"/>
        </w:rPr>
        <w:sectPr>
          <w:pgSz w:w="11906" w:h="16838"/>
          <w:pgMar w:top="1440" w:right="1800" w:bottom="1440" w:left="1800" w:header="851" w:footer="992" w:gutter="0"/>
          <w:cols w:space="425" w:num="1"/>
          <w:docGrid w:type="lines" w:linePitch="312" w:charSpace="0"/>
        </w:sectPr>
      </w:pPr>
    </w:p>
    <w:p>
      <w:pPr>
        <w:keepNext/>
        <w:keepLines/>
        <w:spacing w:line="560" w:lineRule="exact"/>
        <w:jc w:val="center"/>
        <w:outlineLvl w:val="1"/>
        <w:rPr>
          <w:rFonts w:hint="eastAsia" w:ascii="方正小标宋简体" w:hAnsi="Cambria" w:eastAsia="方正小标宋简体"/>
          <w:bCs/>
          <w:sz w:val="44"/>
          <w:szCs w:val="44"/>
        </w:rPr>
      </w:pPr>
    </w:p>
    <w:p>
      <w:pPr>
        <w:keepNext/>
        <w:keepLines/>
        <w:spacing w:line="560" w:lineRule="exact"/>
        <w:jc w:val="center"/>
        <w:outlineLvl w:val="1"/>
        <w:rPr>
          <w:rFonts w:hint="eastAsia" w:ascii="方正小标宋简体" w:hAnsi="Cambria" w:eastAsia="方正小标宋简体"/>
          <w:bCs/>
          <w:sz w:val="44"/>
          <w:szCs w:val="44"/>
          <w:lang w:eastAsia="zh-CN"/>
        </w:rPr>
      </w:pPr>
      <w:bookmarkStart w:id="0" w:name="_Toc26905"/>
      <w:bookmarkStart w:id="1" w:name="_Toc30474"/>
      <w:r>
        <w:rPr>
          <w:rFonts w:hint="eastAsia" w:ascii="方正小标宋简体" w:hAnsi="Cambria" w:eastAsia="方正小标宋简体"/>
          <w:bCs/>
          <w:sz w:val="44"/>
          <w:szCs w:val="44"/>
        </w:rPr>
        <w:t>总额预算管理BJ-GBI经费项目</w:t>
      </w:r>
      <w:bookmarkEnd w:id="0"/>
      <w:bookmarkEnd w:id="1"/>
      <w:r>
        <w:rPr>
          <w:rFonts w:hint="eastAsia" w:ascii="方正小标宋简体" w:hAnsi="Cambria" w:eastAsia="方正小标宋简体"/>
          <w:bCs/>
          <w:sz w:val="44"/>
          <w:szCs w:val="44"/>
          <w:lang w:eastAsia="zh-CN"/>
        </w:rPr>
        <w:t>支出</w:t>
      </w:r>
    </w:p>
    <w:p>
      <w:pPr>
        <w:keepNext/>
        <w:keepLines/>
        <w:spacing w:line="560" w:lineRule="exact"/>
        <w:jc w:val="center"/>
        <w:outlineLvl w:val="1"/>
        <w:rPr>
          <w:rFonts w:hint="eastAsia" w:ascii="方正小标宋简体" w:hAnsi="Cambria" w:eastAsia="方正小标宋简体"/>
          <w:bCs/>
          <w:sz w:val="44"/>
          <w:szCs w:val="44"/>
        </w:rPr>
      </w:pPr>
      <w:bookmarkStart w:id="2" w:name="_Toc28583"/>
      <w:bookmarkStart w:id="3" w:name="_Toc1837"/>
      <w:r>
        <w:rPr>
          <w:rFonts w:hint="eastAsia" w:ascii="方正小标宋简体" w:hAnsi="Cambria" w:eastAsia="方正小标宋简体"/>
          <w:bCs/>
          <w:sz w:val="44"/>
          <w:szCs w:val="44"/>
        </w:rPr>
        <w:t>绩效评价报告</w:t>
      </w:r>
      <w:bookmarkEnd w:id="2"/>
      <w:bookmarkEnd w:id="3"/>
    </w:p>
    <w:p>
      <w:pPr>
        <w:pStyle w:val="2"/>
        <w:rPr>
          <w:rFonts w:hint="eastAsia"/>
        </w:rPr>
      </w:pPr>
    </w:p>
    <w:p>
      <w:pPr>
        <w:pStyle w:val="3"/>
        <w:spacing w:before="0" w:after="0" w:line="560" w:lineRule="exact"/>
        <w:ind w:firstLine="640" w:firstLineChars="200"/>
        <w:rPr>
          <w:rFonts w:ascii="黑体" w:hAnsi="黑体" w:eastAsia="黑体" w:cs="Times New Roman"/>
          <w:b w:val="0"/>
          <w:bCs w:val="0"/>
          <w:sz w:val="32"/>
          <w:szCs w:val="32"/>
        </w:rPr>
      </w:pPr>
      <w:bookmarkStart w:id="4" w:name="_Toc17370"/>
      <w:bookmarkStart w:id="5" w:name="_Toc10131"/>
      <w:bookmarkStart w:id="6" w:name="_Toc3191"/>
      <w:bookmarkStart w:id="7" w:name="_Toc6237"/>
      <w:bookmarkStart w:id="8" w:name="_Hlk68806383"/>
      <w:r>
        <w:rPr>
          <w:rFonts w:hint="eastAsia" w:ascii="黑体" w:hAnsi="黑体" w:eastAsia="黑体" w:cs="Times New Roman"/>
          <w:b w:val="0"/>
          <w:bCs w:val="0"/>
          <w:sz w:val="32"/>
          <w:szCs w:val="32"/>
        </w:rPr>
        <w:t>一、</w:t>
      </w:r>
      <w:bookmarkEnd w:id="4"/>
      <w:r>
        <w:rPr>
          <w:rFonts w:hint="eastAsia" w:ascii="黑体" w:hAnsi="黑体" w:eastAsia="黑体" w:cs="Times New Roman"/>
          <w:b w:val="0"/>
          <w:bCs w:val="0"/>
          <w:sz w:val="32"/>
          <w:szCs w:val="32"/>
        </w:rPr>
        <w:t>基本情况</w:t>
      </w:r>
      <w:bookmarkEnd w:id="5"/>
      <w:bookmarkEnd w:id="6"/>
    </w:p>
    <w:p>
      <w:pPr>
        <w:spacing w:line="560" w:lineRule="exact"/>
        <w:ind w:firstLine="640" w:firstLineChars="200"/>
        <w:rPr>
          <w:rFonts w:hint="eastAsia" w:ascii="楷体_GB2312" w:hAnsi="楷体_GB2312" w:eastAsia="楷体_GB2312" w:cs="楷体_GB2312"/>
          <w:sz w:val="32"/>
          <w:szCs w:val="32"/>
        </w:rPr>
      </w:pPr>
      <w:bookmarkStart w:id="9" w:name="_Toc22308"/>
      <w:bookmarkStart w:id="10" w:name="_Toc9652"/>
      <w:r>
        <w:rPr>
          <w:rFonts w:hint="eastAsia" w:ascii="楷体_GB2312" w:hAnsi="楷体_GB2312" w:eastAsia="楷体_GB2312" w:cs="楷体_GB2312"/>
          <w:sz w:val="32"/>
          <w:szCs w:val="32"/>
        </w:rPr>
        <w:t>（一）项目概况</w:t>
      </w:r>
      <w:bookmarkEnd w:id="9"/>
      <w:bookmarkEnd w:id="10"/>
    </w:p>
    <w:p>
      <w:pPr>
        <w:spacing w:line="560" w:lineRule="exact"/>
        <w:ind w:firstLine="640" w:firstLineChars="200"/>
        <w:rPr>
          <w:rFonts w:ascii="仿宋_GB2312" w:hAnsi="Times New Roman" w:eastAsia="仿宋_GB2312" w:cs="Times New Roman"/>
          <w:sz w:val="32"/>
          <w:szCs w:val="32"/>
        </w:rPr>
      </w:pPr>
      <w:bookmarkStart w:id="11" w:name="_Toc17330"/>
      <w:bookmarkStart w:id="12" w:name="_Toc8150"/>
      <w:r>
        <w:rPr>
          <w:rFonts w:ascii="仿宋_GB2312" w:hAnsi="Times New Roman" w:eastAsia="仿宋_GB2312" w:cs="Times New Roman"/>
          <w:sz w:val="32"/>
          <w:szCs w:val="32"/>
        </w:rPr>
        <w:t>1.</w:t>
      </w:r>
      <w:r>
        <w:rPr>
          <w:rFonts w:hint="eastAsia" w:ascii="仿宋_GB2312" w:hAnsi="Times New Roman" w:eastAsia="仿宋_GB2312" w:cs="Times New Roman"/>
          <w:sz w:val="32"/>
          <w:szCs w:val="32"/>
        </w:rPr>
        <w:t>项目背景</w:t>
      </w:r>
      <w:bookmarkEnd w:id="11"/>
      <w:bookmarkEnd w:id="12"/>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2017年6月，国务院办公厅印发了《国务院办公厅关于进一步深化基本医疗保险支付方式改革的指导意见》（国办发〔2017〕55号），提出进一步加强医保基金预算管理，全面推行以按病种付费为主的多元复合式医保支付方式。并强调“各统筹地区要结合医保基金预算管理完善总额控制办法，提高总额控制指标的科学性、合理性”“完善与总额控制相适应的考核评价体系和动态调整机制”。北京市医保局（以下简称“市医保局”）为了贯彻上述文件精神，持续深化医保支付方式改革，加强医保基金提质增效、总额预算管理，提升总额预算管理的科学化精细化水平，提高医保基金使用效率，保障广大参保人员基本医疗权益和医保制度长期可持续发展，申报了总额预算管理BJ-GBI经费项目。</w:t>
      </w:r>
    </w:p>
    <w:p>
      <w:pPr>
        <w:spacing w:line="560" w:lineRule="exact"/>
        <w:ind w:firstLine="640" w:firstLineChars="200"/>
        <w:rPr>
          <w:rFonts w:ascii="仿宋_GB2312" w:hAnsi="Times New Roman" w:eastAsia="仿宋_GB2312" w:cs="Times New Roman"/>
          <w:sz w:val="32"/>
          <w:szCs w:val="32"/>
        </w:rPr>
      </w:pPr>
      <w:bookmarkStart w:id="13" w:name="_Toc24913"/>
      <w:bookmarkStart w:id="14" w:name="_Toc17338"/>
      <w:r>
        <w:rPr>
          <w:rFonts w:ascii="仿宋_GB2312" w:hAnsi="Times New Roman" w:eastAsia="仿宋_GB2312" w:cs="Times New Roman"/>
          <w:sz w:val="32"/>
          <w:szCs w:val="32"/>
        </w:rPr>
        <w:t>2.</w:t>
      </w:r>
      <w:r>
        <w:rPr>
          <w:rFonts w:hint="eastAsia" w:ascii="仿宋_GB2312" w:hAnsi="Times New Roman" w:eastAsia="仿宋_GB2312" w:cs="Times New Roman"/>
          <w:sz w:val="32"/>
          <w:szCs w:val="32"/>
        </w:rPr>
        <w:t>项目主要内容</w:t>
      </w:r>
      <w:bookmarkEnd w:id="13"/>
      <w:bookmarkEnd w:id="14"/>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北京市医疗保障局总额预算管理BJ-GBI经费项目为延续性项目，其包括两个子项目，具体为：</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（1）定点医疗机构总额预算管理（BJ-GBI）指标测算</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主要是结合近年总额预算指标测算相关的政策调整、重大事项变更、应急突发事件等影响，各定点医疗机构质量考核结果及费用管理情况，对总额预算指标测算数学模型进行动态调整、修正完善，进一步提升模型的实用性、科学性、合理性。完成项目年度总额预付医疗机构的年终结算和下一年度预算指标测算。</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（2）定点医疗机构总额预算管理（BJ-GBI）质量评价</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主要是对定点医疗机构进行质量考核评价，进一步提升总额预算管理工作的精细化和科学化水平，引导医疗资源合理配置和患者有序就医。完成项目年度总额预付医疗机构的考核评分，持续优化考核评价体系</w:t>
      </w:r>
      <w:r>
        <w:rPr>
          <w:rFonts w:hint="eastAsia" w:ascii="仿宋_GB2312" w:eastAsia="仿宋_GB2312"/>
          <w:sz w:val="32"/>
          <w:szCs w:val="32"/>
        </w:rPr>
        <w:t>。</w:t>
      </w:r>
    </w:p>
    <w:p>
      <w:pPr>
        <w:spacing w:line="560" w:lineRule="exact"/>
        <w:ind w:firstLine="640" w:firstLineChars="200"/>
        <w:rPr>
          <w:rFonts w:ascii="仿宋_GB2312" w:hAnsi="Times New Roman" w:eastAsia="仿宋_GB2312" w:cs="Times New Roman"/>
          <w:sz w:val="32"/>
          <w:szCs w:val="32"/>
        </w:rPr>
      </w:pPr>
      <w:bookmarkStart w:id="15" w:name="_Toc9449"/>
      <w:bookmarkStart w:id="16" w:name="_Toc12344"/>
      <w:r>
        <w:rPr>
          <w:rFonts w:ascii="仿宋_GB2312" w:hAnsi="Times New Roman" w:eastAsia="仿宋_GB2312" w:cs="Times New Roman"/>
          <w:sz w:val="32"/>
          <w:szCs w:val="32"/>
        </w:rPr>
        <w:t>3.</w:t>
      </w:r>
      <w:r>
        <w:rPr>
          <w:rFonts w:hint="eastAsia" w:ascii="仿宋_GB2312" w:hAnsi="Times New Roman" w:eastAsia="仿宋_GB2312" w:cs="Times New Roman"/>
          <w:sz w:val="32"/>
          <w:szCs w:val="32"/>
        </w:rPr>
        <w:t>项目实施情况</w:t>
      </w:r>
      <w:bookmarkEnd w:id="15"/>
      <w:bookmarkEnd w:id="16"/>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北京市医疗保障局总额预算管理BJ-GBI经费项目由北京市医疗保险事务管理中心支付管理科负责具体实施，该单位在项目实施前针对两个子项目分别成立了专门的工作组，制定了项目工作方案，对项目总体目标、工作内容、人员分工职责、实施步骤、监督管理以及质量保障措施等进行了统筹规划，并据此开展相关工作。</w:t>
      </w:r>
    </w:p>
    <w:p>
      <w:pPr>
        <w:spacing w:line="560" w:lineRule="exact"/>
        <w:ind w:firstLine="640" w:firstLineChars="200"/>
        <w:rPr>
          <w:rFonts w:ascii="仿宋_GB2312" w:hAnsi="Times New Roman" w:eastAsia="仿宋_GB2312" w:cs="Times New Roman"/>
          <w:sz w:val="32"/>
          <w:szCs w:val="32"/>
        </w:rPr>
      </w:pPr>
      <w:bookmarkStart w:id="17" w:name="_Toc11248"/>
      <w:bookmarkStart w:id="18" w:name="_Toc15092"/>
      <w:r>
        <w:rPr>
          <w:rFonts w:ascii="仿宋_GB2312" w:hAnsi="Times New Roman" w:eastAsia="仿宋_GB2312" w:cs="Times New Roman"/>
          <w:sz w:val="32"/>
          <w:szCs w:val="32"/>
        </w:rPr>
        <w:t>4.</w:t>
      </w:r>
      <w:r>
        <w:rPr>
          <w:rFonts w:hint="eastAsia" w:ascii="仿宋_GB2312" w:hAnsi="Times New Roman" w:eastAsia="仿宋_GB2312" w:cs="Times New Roman"/>
          <w:sz w:val="32"/>
          <w:szCs w:val="32"/>
        </w:rPr>
        <w:t>资金投入和使用情况</w:t>
      </w:r>
      <w:bookmarkEnd w:id="17"/>
      <w:bookmarkEnd w:id="18"/>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项目2024年批复预算80.00万元，资金来源为市级财政拨款。项目实际支出80.00万元，预算执行率100.00%。其中：支付BJ-GBI指标测算项目2023年度尾款12.00万元、2024年度项目首付款28.00万元；支付BJ-GBI质量评价项目2023年度尾款12.00万元、2024年度项目首付款28.00万元。</w:t>
      </w:r>
    </w:p>
    <w:p>
      <w:pPr>
        <w:spacing w:line="560" w:lineRule="exact"/>
        <w:ind w:firstLine="640" w:firstLineChars="200"/>
        <w:rPr>
          <w:rFonts w:hint="eastAsia" w:ascii="楷体_GB2312" w:hAnsi="楷体_GB2312" w:eastAsia="楷体_GB2312" w:cs="楷体_GB2312"/>
          <w:sz w:val="32"/>
          <w:szCs w:val="32"/>
        </w:rPr>
      </w:pPr>
      <w:bookmarkStart w:id="19" w:name="_Toc11145"/>
      <w:bookmarkStart w:id="20" w:name="_Toc8292"/>
      <w:r>
        <w:rPr>
          <w:rFonts w:hint="eastAsia" w:ascii="楷体_GB2312" w:hAnsi="楷体_GB2312" w:eastAsia="楷体_GB2312" w:cs="楷体_GB2312"/>
          <w:sz w:val="32"/>
          <w:szCs w:val="32"/>
        </w:rPr>
        <w:t>（二）项目绩效目标</w:t>
      </w:r>
      <w:bookmarkEnd w:id="19"/>
      <w:bookmarkEnd w:id="20"/>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总体绩效目标：持续完善BJ-GBI（BeiJing Medical Insurance Global Budget Index Model）数学模型及质量评价体系，完成项目年度总额预付医疗机构质量考核评分和趋势预测指标测算等工作，进一步提升总额预算管理工作的精细化和科学化水平，通过适当的激励约束机制，促进医疗机构转变扩张式发展理念，主动加强管理、规范行为、降低成本、提质增效，引导医疗资源合理配置和患者有序就医，提高医保基金使用效率，切实保障广大参保人员基本医疗权益和医保制度长期可持续发展</w:t>
      </w:r>
      <w:r>
        <w:rPr>
          <w:rFonts w:ascii="仿宋_GB2312" w:hAnsi="Times New Roman" w:eastAsia="仿宋_GB2312" w:cs="Times New Roman"/>
          <w:sz w:val="32"/>
          <w:szCs w:val="32"/>
        </w:rPr>
        <w:t>。</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数量指标：①定点医疗机构项目年度趋势预测和质量评分结果≥500家；②项目完成后出具报告份数2份。</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质量指标：验收合格率100%。</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时效指标：</w:t>
      </w:r>
      <w:r>
        <w:rPr>
          <w:rFonts w:hint="eastAsia" w:ascii="仿宋_GB2312" w:hAnsi="Times New Roman" w:eastAsia="仿宋_GB2312" w:cs="Times New Roman"/>
          <w:sz w:val="32"/>
          <w:szCs w:val="32"/>
          <w:lang w:eastAsia="zh-CN"/>
        </w:rPr>
        <w:t>按合同约定完成定点医疗机构总额预算管理指标测算和质量评价工作</w:t>
      </w:r>
      <w:r>
        <w:rPr>
          <w:rFonts w:hint="eastAsia" w:ascii="仿宋_GB2312" w:hAnsi="Times New Roman" w:eastAsia="仿宋_GB2312" w:cs="Times New Roman"/>
          <w:sz w:val="32"/>
          <w:szCs w:val="32"/>
        </w:rPr>
        <w:t>≤</w:t>
      </w:r>
      <w:r>
        <w:rPr>
          <w:rFonts w:hint="eastAsia" w:ascii="仿宋_GB2312" w:hAnsi="Times New Roman" w:eastAsia="仿宋_GB2312" w:cs="Times New Roman"/>
          <w:sz w:val="32"/>
          <w:szCs w:val="32"/>
          <w:lang w:val="en-US" w:eastAsia="zh-CN"/>
        </w:rPr>
        <w:t>12月</w:t>
      </w:r>
      <w:r>
        <w:rPr>
          <w:rFonts w:hint="eastAsia" w:ascii="仿宋_GB2312" w:hAnsi="Times New Roman" w:eastAsia="仿宋_GB2312" w:cs="Times New Roman"/>
          <w:sz w:val="32"/>
          <w:szCs w:val="32"/>
        </w:rPr>
        <w:t>。</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成本指标：项目预算控制总额≤80.00万元。</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社会效益指标：北京市基本医保总额预算BJ-GBI趋势预测更加科学；北京市基本医保总额预算BJ-GBI质量评价更加全面合理。</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服务对象满意度指标：定点医疗机构投诉率≤2%。</w:t>
      </w:r>
    </w:p>
    <w:p>
      <w:pPr>
        <w:pStyle w:val="3"/>
        <w:spacing w:before="0" w:after="0" w:line="560" w:lineRule="exact"/>
        <w:ind w:firstLine="640" w:firstLineChars="200"/>
        <w:rPr>
          <w:rFonts w:ascii="黑体" w:hAnsi="黑体" w:eastAsia="黑体" w:cs="Times New Roman"/>
          <w:b w:val="0"/>
          <w:bCs w:val="0"/>
          <w:sz w:val="32"/>
          <w:szCs w:val="32"/>
        </w:rPr>
      </w:pPr>
      <w:bookmarkStart w:id="21" w:name="_Toc141"/>
      <w:bookmarkStart w:id="22" w:name="_Toc540"/>
      <w:bookmarkStart w:id="23" w:name="_Toc19104"/>
      <w:r>
        <w:rPr>
          <w:rFonts w:hint="eastAsia" w:ascii="黑体" w:hAnsi="黑体" w:eastAsia="黑体" w:cs="Times New Roman"/>
          <w:b w:val="0"/>
          <w:bCs w:val="0"/>
          <w:sz w:val="32"/>
          <w:szCs w:val="32"/>
        </w:rPr>
        <w:t>二、</w:t>
      </w:r>
      <w:bookmarkEnd w:id="21"/>
      <w:r>
        <w:rPr>
          <w:rFonts w:hint="eastAsia" w:ascii="黑体" w:hAnsi="黑体" w:eastAsia="黑体" w:cs="Times New Roman"/>
          <w:b w:val="0"/>
          <w:bCs w:val="0"/>
          <w:sz w:val="32"/>
          <w:szCs w:val="32"/>
        </w:rPr>
        <w:t>绩效评价工作开展情况</w:t>
      </w:r>
      <w:bookmarkEnd w:id="22"/>
      <w:bookmarkEnd w:id="23"/>
    </w:p>
    <w:p>
      <w:pPr>
        <w:spacing w:line="560" w:lineRule="exact"/>
        <w:ind w:firstLine="640" w:firstLineChars="200"/>
        <w:rPr>
          <w:rFonts w:hint="eastAsia" w:ascii="楷体_GB2312" w:hAnsi="楷体_GB2312" w:eastAsia="楷体_GB2312" w:cs="楷体_GB2312"/>
          <w:sz w:val="32"/>
          <w:szCs w:val="32"/>
        </w:rPr>
      </w:pPr>
      <w:bookmarkStart w:id="24" w:name="_Toc57363095"/>
      <w:bookmarkStart w:id="25" w:name="_Toc23103"/>
      <w:bookmarkStart w:id="26" w:name="_Toc14799"/>
      <w:bookmarkStart w:id="27" w:name="_Toc1058"/>
      <w:r>
        <w:rPr>
          <w:rFonts w:hint="eastAsia" w:ascii="楷体_GB2312" w:hAnsi="楷体_GB2312" w:eastAsia="楷体_GB2312" w:cs="楷体_GB2312"/>
          <w:sz w:val="32"/>
          <w:szCs w:val="32"/>
        </w:rPr>
        <w:t>（一）</w:t>
      </w:r>
      <w:bookmarkEnd w:id="24"/>
      <w:bookmarkEnd w:id="25"/>
      <w:r>
        <w:rPr>
          <w:rFonts w:hint="eastAsia" w:ascii="楷体_GB2312" w:hAnsi="楷体_GB2312" w:eastAsia="楷体_GB2312" w:cs="楷体_GB2312"/>
          <w:sz w:val="32"/>
          <w:szCs w:val="32"/>
        </w:rPr>
        <w:t>绩效评价目的、对象和范围</w:t>
      </w:r>
      <w:bookmarkEnd w:id="26"/>
      <w:bookmarkEnd w:id="27"/>
    </w:p>
    <w:p>
      <w:pPr>
        <w:spacing w:line="560" w:lineRule="exact"/>
        <w:ind w:firstLine="640" w:firstLineChars="200"/>
        <w:rPr>
          <w:rFonts w:ascii="仿宋_GB2312" w:hAnsi="Times New Roman" w:eastAsia="仿宋_GB2312" w:cs="Times New Roman"/>
          <w:sz w:val="32"/>
          <w:szCs w:val="32"/>
        </w:rPr>
      </w:pPr>
      <w:bookmarkStart w:id="28" w:name="_Toc21640"/>
      <w:bookmarkStart w:id="29" w:name="_Toc12481"/>
      <w:r>
        <w:rPr>
          <w:rFonts w:ascii="仿宋_GB2312" w:hAnsi="Times New Roman" w:eastAsia="仿宋_GB2312" w:cs="Times New Roman"/>
          <w:sz w:val="32"/>
          <w:szCs w:val="32"/>
        </w:rPr>
        <w:t>1.</w:t>
      </w:r>
      <w:r>
        <w:rPr>
          <w:rFonts w:hint="eastAsia" w:ascii="仿宋_GB2312" w:hAnsi="Times New Roman" w:eastAsia="仿宋_GB2312" w:cs="Times New Roman"/>
          <w:sz w:val="32"/>
          <w:szCs w:val="32"/>
        </w:rPr>
        <w:t>绩效评价目的</w:t>
      </w:r>
      <w:bookmarkEnd w:id="28"/>
      <w:bookmarkEnd w:id="29"/>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通过运用科学合理的绩效评价指标、评价标准和评价方法，对项目经济性、效率性和效益性进行客观、公正的评价，同时查找项目决策、管理以及效果中存在的问题，分析根源所在，提出具有可操作性的建议，有效提升项目监管水平，增强项目支出责任和意识，提高财政资金使用效率。</w:t>
      </w:r>
    </w:p>
    <w:p>
      <w:pPr>
        <w:spacing w:line="560" w:lineRule="exact"/>
        <w:ind w:firstLine="640" w:firstLineChars="200"/>
        <w:rPr>
          <w:rFonts w:ascii="仿宋_GB2312" w:hAnsi="Times New Roman" w:eastAsia="仿宋_GB2312" w:cs="Times New Roman"/>
          <w:sz w:val="32"/>
          <w:szCs w:val="32"/>
        </w:rPr>
      </w:pPr>
      <w:bookmarkStart w:id="30" w:name="_Toc30144"/>
      <w:bookmarkStart w:id="31" w:name="_Toc1798"/>
      <w:r>
        <w:rPr>
          <w:rFonts w:hint="eastAsia" w:ascii="仿宋_GB2312" w:hAnsi="Times New Roman" w:eastAsia="仿宋_GB2312" w:cs="Times New Roman"/>
          <w:sz w:val="32"/>
          <w:szCs w:val="32"/>
        </w:rPr>
        <w:t>2</w:t>
      </w:r>
      <w:r>
        <w:rPr>
          <w:rFonts w:ascii="仿宋_GB2312" w:hAnsi="Times New Roman" w:eastAsia="仿宋_GB2312" w:cs="Times New Roman"/>
          <w:sz w:val="32"/>
          <w:szCs w:val="32"/>
        </w:rPr>
        <w:t>.</w:t>
      </w:r>
      <w:r>
        <w:rPr>
          <w:rFonts w:hint="eastAsia" w:ascii="仿宋_GB2312" w:hAnsi="Times New Roman" w:eastAsia="仿宋_GB2312" w:cs="Times New Roman"/>
          <w:sz w:val="32"/>
          <w:szCs w:val="32"/>
        </w:rPr>
        <w:t>绩效评价对象和范围</w:t>
      </w:r>
      <w:bookmarkEnd w:id="30"/>
      <w:bookmarkEnd w:id="31"/>
    </w:p>
    <w:p>
      <w:pPr>
        <w:spacing w:line="560" w:lineRule="exact"/>
        <w:ind w:firstLine="640" w:firstLineChars="200"/>
        <w:rPr>
          <w:rFonts w:ascii="仿宋_GB2312" w:hAnsi="Times New Roman" w:eastAsia="仿宋_GB2312" w:cs="Times New Roman"/>
          <w:sz w:val="32"/>
          <w:szCs w:val="32"/>
          <w:highlight w:val="cyan"/>
        </w:rPr>
      </w:pPr>
      <w:r>
        <w:rPr>
          <w:rFonts w:hint="eastAsia" w:ascii="仿宋_GB2312" w:hAnsi="Times New Roman" w:eastAsia="仿宋_GB2312" w:cs="Times New Roman"/>
          <w:sz w:val="32"/>
          <w:szCs w:val="32"/>
        </w:rPr>
        <w:t>评价对象为2</w:t>
      </w:r>
      <w:r>
        <w:rPr>
          <w:rFonts w:ascii="仿宋_GB2312" w:hAnsi="Times New Roman" w:eastAsia="仿宋_GB2312" w:cs="Times New Roman"/>
          <w:sz w:val="32"/>
          <w:szCs w:val="32"/>
        </w:rPr>
        <w:t>02</w:t>
      </w:r>
      <w:r>
        <w:rPr>
          <w:rFonts w:hint="eastAsia" w:ascii="仿宋_GB2312" w:hAnsi="Times New Roman" w:eastAsia="仿宋_GB2312" w:cs="Times New Roman"/>
          <w:sz w:val="32"/>
          <w:szCs w:val="32"/>
        </w:rPr>
        <w:t>4年市级财政安排的总额预算管理BJ-GBI经费项目预算资金</w:t>
      </w:r>
      <w:r>
        <w:rPr>
          <w:rFonts w:hint="eastAsia" w:ascii="仿宋_GB2312" w:hAnsi="Times New Roman" w:eastAsia="仿宋_GB2312"/>
          <w:sz w:val="32"/>
          <w:szCs w:val="32"/>
        </w:rPr>
        <w:t>80.00万元</w:t>
      </w:r>
      <w:r>
        <w:rPr>
          <w:rFonts w:hint="eastAsia" w:ascii="仿宋_GB2312" w:hAnsi="Times New Roman" w:eastAsia="仿宋_GB2312" w:cs="Times New Roman"/>
          <w:sz w:val="32"/>
          <w:szCs w:val="32"/>
        </w:rPr>
        <w:t>；评价范围为该项目决策、管理以及效果情况。</w:t>
      </w:r>
    </w:p>
    <w:p>
      <w:pPr>
        <w:spacing w:line="560" w:lineRule="exact"/>
        <w:ind w:firstLine="640" w:firstLineChars="200"/>
        <w:rPr>
          <w:rFonts w:hint="eastAsia" w:ascii="楷体_GB2312" w:hAnsi="楷体_GB2312" w:eastAsia="楷体_GB2312" w:cs="楷体_GB2312"/>
          <w:sz w:val="32"/>
          <w:szCs w:val="32"/>
          <w:highlight w:val="cyan"/>
        </w:rPr>
      </w:pPr>
      <w:bookmarkStart w:id="32" w:name="_Toc21312"/>
      <w:bookmarkStart w:id="33" w:name="_Toc32610"/>
      <w:r>
        <w:rPr>
          <w:rFonts w:hint="eastAsia" w:ascii="楷体_GB2312" w:hAnsi="楷体_GB2312" w:eastAsia="楷体_GB2312" w:cs="楷体_GB2312"/>
          <w:sz w:val="32"/>
          <w:szCs w:val="32"/>
        </w:rPr>
        <w:t>（二）绩效评价原则、评价指标体系、评价</w:t>
      </w:r>
      <w:r>
        <w:rPr>
          <w:rFonts w:hint="eastAsia" w:ascii="楷体_GB2312" w:hAnsi="楷体_GB2312" w:eastAsia="楷体_GB2312" w:cs="楷体_GB2312"/>
          <w:sz w:val="32"/>
          <w:szCs w:val="32"/>
          <w:lang w:eastAsia="zh-CN"/>
        </w:rPr>
        <w:t>方法及</w:t>
      </w:r>
      <w:bookmarkEnd w:id="32"/>
      <w:bookmarkEnd w:id="33"/>
      <w:r>
        <w:rPr>
          <w:rFonts w:hint="eastAsia" w:ascii="楷体_GB2312" w:hAnsi="楷体_GB2312" w:eastAsia="楷体_GB2312" w:cs="楷体_GB2312"/>
          <w:sz w:val="32"/>
          <w:szCs w:val="32"/>
        </w:rPr>
        <w:t>标准</w:t>
      </w:r>
    </w:p>
    <w:p>
      <w:pPr>
        <w:spacing w:line="560" w:lineRule="exact"/>
        <w:ind w:firstLine="640" w:firstLineChars="200"/>
        <w:rPr>
          <w:rFonts w:ascii="仿宋_GB2312" w:hAnsi="Times New Roman" w:eastAsia="仿宋_GB2312" w:cs="Times New Roman"/>
          <w:sz w:val="32"/>
          <w:szCs w:val="32"/>
        </w:rPr>
      </w:pPr>
      <w:bookmarkStart w:id="34" w:name="_Toc5923"/>
      <w:bookmarkStart w:id="35" w:name="_Toc5708"/>
      <w:r>
        <w:rPr>
          <w:rFonts w:hint="eastAsia" w:ascii="仿宋_GB2312" w:hAnsi="Times New Roman" w:eastAsia="仿宋_GB2312" w:cs="Times New Roman"/>
          <w:sz w:val="32"/>
          <w:szCs w:val="32"/>
        </w:rPr>
        <w:t>1</w:t>
      </w:r>
      <w:r>
        <w:rPr>
          <w:rFonts w:ascii="仿宋_GB2312" w:hAnsi="Times New Roman" w:eastAsia="仿宋_GB2312" w:cs="Times New Roman"/>
          <w:sz w:val="32"/>
          <w:szCs w:val="32"/>
        </w:rPr>
        <w:t>.</w:t>
      </w:r>
      <w:r>
        <w:rPr>
          <w:rFonts w:hint="eastAsia" w:ascii="仿宋_GB2312" w:hAnsi="Times New Roman" w:eastAsia="仿宋_GB2312" w:cs="Times New Roman"/>
          <w:sz w:val="32"/>
          <w:szCs w:val="32"/>
        </w:rPr>
        <w:t>绩效评价原则</w:t>
      </w:r>
      <w:bookmarkEnd w:id="34"/>
      <w:bookmarkEnd w:id="35"/>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科学公正。本次绩效评价我们运用科学合理的方法，按照规范的程序，对项目绩效进行客观、公正的反映。</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统筹兼顾。项目自评、部门评价应各有侧重，相互衔接，部门评价在项目自评的基础上开展。</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激励约束。本次绩效评价的评价结果应用与预算安排、政策调整、改进管理实质性挂钩，体现奖优罚劣和激励相容导向，有效要安排、低效要减压、无效要问责。</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公开透明。本次绩效评价结果应依法依规公开，并自觉接受监督。</w:t>
      </w:r>
    </w:p>
    <w:p>
      <w:pPr>
        <w:spacing w:line="560" w:lineRule="exact"/>
        <w:ind w:firstLine="640" w:firstLineChars="200"/>
        <w:rPr>
          <w:rFonts w:ascii="仿宋_GB2312" w:hAnsi="Times New Roman" w:eastAsia="仿宋_GB2312" w:cs="Times New Roman"/>
          <w:sz w:val="32"/>
          <w:szCs w:val="32"/>
        </w:rPr>
      </w:pPr>
      <w:bookmarkStart w:id="36" w:name="_Toc785"/>
      <w:bookmarkStart w:id="37" w:name="_Toc20658"/>
      <w:r>
        <w:rPr>
          <w:rFonts w:hint="eastAsia" w:ascii="仿宋_GB2312" w:hAnsi="Times New Roman" w:eastAsia="仿宋_GB2312" w:cs="Times New Roman"/>
          <w:sz w:val="32"/>
          <w:szCs w:val="32"/>
        </w:rPr>
        <w:t>2</w:t>
      </w:r>
      <w:r>
        <w:rPr>
          <w:rFonts w:ascii="仿宋_GB2312" w:hAnsi="Times New Roman" w:eastAsia="仿宋_GB2312" w:cs="Times New Roman"/>
          <w:sz w:val="32"/>
          <w:szCs w:val="32"/>
        </w:rPr>
        <w:t>.</w:t>
      </w:r>
      <w:r>
        <w:rPr>
          <w:rFonts w:hint="eastAsia" w:ascii="仿宋_GB2312" w:hAnsi="Times New Roman" w:eastAsia="仿宋_GB2312" w:cs="Times New Roman"/>
          <w:sz w:val="32"/>
          <w:szCs w:val="32"/>
        </w:rPr>
        <w:t>评价指标体系</w:t>
      </w:r>
      <w:bookmarkEnd w:id="36"/>
      <w:bookmarkEnd w:id="37"/>
    </w:p>
    <w:p>
      <w:pPr>
        <w:spacing w:line="560" w:lineRule="exact"/>
        <w:ind w:firstLine="640" w:firstLineChars="200"/>
        <w:rPr>
          <w:rFonts w:ascii="仿宋_GB2312" w:hAnsi="Times New Roman" w:eastAsia="仿宋_GB2312" w:cs="Times New Roman"/>
          <w:sz w:val="32"/>
          <w:szCs w:val="32"/>
        </w:rPr>
      </w:pPr>
      <w:r>
        <w:rPr>
          <w:rFonts w:ascii="仿宋_GB2312" w:hAnsi="Times New Roman" w:eastAsia="仿宋_GB2312" w:cs="Times New Roman"/>
          <w:sz w:val="32"/>
          <w:szCs w:val="32"/>
        </w:rPr>
        <w:t>依据《北京市项目支出绩效评价管理办法》</w:t>
      </w:r>
      <w:r>
        <w:rPr>
          <w:rFonts w:hint="eastAsia" w:ascii="仿宋_GB2312" w:hAnsi="仿宋_GB2312" w:eastAsia="仿宋_GB2312" w:cs="仿宋_GB2312"/>
          <w:sz w:val="32"/>
          <w:szCs w:val="32"/>
        </w:rPr>
        <w:t>〔</w:t>
      </w:r>
      <w:r>
        <w:rPr>
          <w:rFonts w:ascii="仿宋_GB2312" w:hAnsi="Times New Roman" w:eastAsia="仿宋_GB2312" w:cs="Times New Roman"/>
          <w:sz w:val="32"/>
          <w:szCs w:val="32"/>
        </w:rPr>
        <w:t>京财绩效〔2020〕2146号</w:t>
      </w:r>
      <w:r>
        <w:rPr>
          <w:rFonts w:hint="eastAsia" w:ascii="仿宋_GB2312" w:hAnsi="仿宋_GB2312" w:eastAsia="仿宋_GB2312" w:cs="仿宋_GB2312"/>
          <w:sz w:val="32"/>
          <w:szCs w:val="32"/>
        </w:rPr>
        <w:t>〕</w:t>
      </w:r>
      <w:r>
        <w:rPr>
          <w:rFonts w:ascii="仿宋_GB2312" w:hAnsi="Times New Roman" w:eastAsia="仿宋_GB2312" w:cs="Times New Roman"/>
          <w:sz w:val="32"/>
          <w:szCs w:val="32"/>
        </w:rPr>
        <w:t>的要求，</w:t>
      </w:r>
      <w:r>
        <w:rPr>
          <w:rFonts w:hint="eastAsia" w:ascii="仿宋_GB2312" w:hAnsi="Times New Roman" w:eastAsia="仿宋_GB2312" w:cs="Times New Roman"/>
          <w:sz w:val="32"/>
          <w:szCs w:val="32"/>
        </w:rPr>
        <w:t>本项目评价指标</w:t>
      </w:r>
      <w:r>
        <w:rPr>
          <w:rFonts w:ascii="仿宋_GB2312" w:hAnsi="Times New Roman" w:eastAsia="仿宋_GB2312" w:cs="Times New Roman"/>
          <w:sz w:val="32"/>
          <w:szCs w:val="32"/>
        </w:rPr>
        <w:t>包括项目的产出数量、质量、时效、成本，以及经济效益、社会效益、可持续影响、服务对象满意度等。</w:t>
      </w:r>
      <w:r>
        <w:rPr>
          <w:rFonts w:hint="eastAsia" w:ascii="仿宋_GB2312" w:hAnsi="Times New Roman" w:eastAsia="仿宋_GB2312" w:cs="Times New Roman"/>
          <w:sz w:val="32"/>
          <w:szCs w:val="32"/>
        </w:rPr>
        <w:t>评价指标权重为项目决策占10%，项目管理占</w:t>
      </w:r>
      <w:r>
        <w:rPr>
          <w:rFonts w:ascii="仿宋_GB2312" w:hAnsi="Times New Roman" w:eastAsia="仿宋_GB2312" w:cs="Times New Roman"/>
          <w:sz w:val="32"/>
          <w:szCs w:val="32"/>
        </w:rPr>
        <w:t>2</w:t>
      </w:r>
      <w:r>
        <w:rPr>
          <w:rFonts w:hint="eastAsia" w:ascii="仿宋_GB2312" w:hAnsi="Times New Roman" w:eastAsia="仿宋_GB2312" w:cs="Times New Roman"/>
          <w:sz w:val="32"/>
          <w:szCs w:val="32"/>
        </w:rPr>
        <w:t>0%，项目产出占40%，项目效益占</w:t>
      </w:r>
      <w:r>
        <w:rPr>
          <w:rFonts w:ascii="仿宋_GB2312" w:hAnsi="Times New Roman" w:eastAsia="仿宋_GB2312" w:cs="Times New Roman"/>
          <w:sz w:val="32"/>
          <w:szCs w:val="32"/>
        </w:rPr>
        <w:t>3</w:t>
      </w:r>
      <w:r>
        <w:rPr>
          <w:rFonts w:hint="eastAsia" w:ascii="仿宋_GB2312" w:hAnsi="Times New Roman" w:eastAsia="仿宋_GB2312" w:cs="Times New Roman"/>
          <w:sz w:val="32"/>
          <w:szCs w:val="32"/>
        </w:rPr>
        <w:t>0%，并结合评价要点和项目实际情况，设定了二、三级指标的内容和分值，同时细化了指标体系中的四级指标。</w:t>
      </w:r>
    </w:p>
    <w:p>
      <w:pPr>
        <w:spacing w:line="560" w:lineRule="exact"/>
        <w:ind w:firstLine="640" w:firstLineChars="200"/>
        <w:rPr>
          <w:rFonts w:ascii="仿宋_GB2312" w:hAnsi="Times New Roman" w:eastAsia="仿宋_GB2312" w:cs="Times New Roman"/>
          <w:sz w:val="32"/>
          <w:szCs w:val="32"/>
        </w:rPr>
      </w:pPr>
      <w:bookmarkStart w:id="38" w:name="_Toc22417"/>
      <w:bookmarkStart w:id="39" w:name="_Toc357"/>
      <w:r>
        <w:rPr>
          <w:rFonts w:hint="eastAsia" w:ascii="仿宋_GB2312" w:hAnsi="Times New Roman" w:eastAsia="仿宋_GB2312" w:cs="Times New Roman"/>
          <w:sz w:val="32"/>
          <w:szCs w:val="32"/>
        </w:rPr>
        <w:t>3</w:t>
      </w:r>
      <w:r>
        <w:rPr>
          <w:rFonts w:ascii="仿宋_GB2312" w:hAnsi="Times New Roman" w:eastAsia="仿宋_GB2312" w:cs="Times New Roman"/>
          <w:sz w:val="32"/>
          <w:szCs w:val="32"/>
        </w:rPr>
        <w:t>.</w:t>
      </w:r>
      <w:r>
        <w:rPr>
          <w:rFonts w:hint="eastAsia" w:ascii="仿宋_GB2312" w:hAnsi="Times New Roman" w:eastAsia="仿宋_GB2312" w:cs="Times New Roman"/>
          <w:sz w:val="32"/>
          <w:szCs w:val="32"/>
        </w:rPr>
        <w:t>评价方法</w:t>
      </w:r>
      <w:bookmarkEnd w:id="38"/>
      <w:bookmarkEnd w:id="39"/>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评价工作组遵循“客观、公正、科学、规范”的原则，综合运用成本效益分析法、公众评判法和因素分析法相结合的绩效评价方法，对项目支出的经济性、效率性、效益性实施了评价，并以资金使用的结果为导向，按照“相关性、重要性、可比性、系统性”原则，结合项目特点，聘请专家确定了该项目的绩效评价指标体系，对项目决策、项目管理及项目效果进行了评分和评级。</w:t>
      </w:r>
    </w:p>
    <w:p>
      <w:pPr>
        <w:spacing w:line="560" w:lineRule="exact"/>
        <w:ind w:firstLine="640" w:firstLineChars="200"/>
        <w:rPr>
          <w:rFonts w:ascii="仿宋_GB2312" w:hAnsi="Times New Roman" w:eastAsia="仿宋_GB2312" w:cs="Times New Roman"/>
          <w:sz w:val="32"/>
          <w:szCs w:val="32"/>
        </w:rPr>
      </w:pPr>
      <w:bookmarkStart w:id="40" w:name="_Toc7873"/>
      <w:bookmarkStart w:id="41" w:name="_Toc27889"/>
      <w:r>
        <w:rPr>
          <w:rFonts w:hint="eastAsia" w:ascii="仿宋_GB2312" w:hAnsi="Times New Roman" w:eastAsia="仿宋_GB2312" w:cs="Times New Roman"/>
          <w:sz w:val="32"/>
          <w:szCs w:val="32"/>
        </w:rPr>
        <w:t>4.评价标准</w:t>
      </w:r>
      <w:bookmarkEnd w:id="40"/>
      <w:bookmarkEnd w:id="41"/>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本项目绩效</w:t>
      </w:r>
      <w:r>
        <w:rPr>
          <w:rFonts w:ascii="仿宋_GB2312" w:hAnsi="Times New Roman" w:eastAsia="仿宋_GB2312" w:cs="Times New Roman"/>
          <w:sz w:val="32"/>
          <w:szCs w:val="32"/>
        </w:rPr>
        <w:t>评价主要参考计划标准</w:t>
      </w:r>
      <w:r>
        <w:rPr>
          <w:rFonts w:hint="eastAsia" w:ascii="仿宋_GB2312" w:hAnsi="Times New Roman" w:eastAsia="仿宋_GB2312" w:cs="Times New Roman"/>
          <w:sz w:val="32"/>
          <w:szCs w:val="32"/>
        </w:rPr>
        <w:t>、历史标准对项目绩效目标完成情况实施评判</w:t>
      </w:r>
      <w:r>
        <w:rPr>
          <w:rFonts w:ascii="仿宋_GB2312" w:hAnsi="Times New Roman" w:eastAsia="仿宋_GB2312" w:cs="Times New Roman"/>
          <w:sz w:val="32"/>
          <w:szCs w:val="32"/>
        </w:rPr>
        <w:t>。</w:t>
      </w:r>
    </w:p>
    <w:p>
      <w:pPr>
        <w:spacing w:line="560" w:lineRule="exact"/>
        <w:ind w:firstLine="640" w:firstLineChars="200"/>
        <w:rPr>
          <w:rFonts w:hint="eastAsia" w:ascii="楷体_GB2312" w:hAnsi="楷体_GB2312" w:eastAsia="楷体_GB2312" w:cs="楷体_GB2312"/>
          <w:sz w:val="32"/>
          <w:szCs w:val="32"/>
        </w:rPr>
      </w:pPr>
      <w:bookmarkStart w:id="42" w:name="_Toc4724"/>
      <w:bookmarkStart w:id="43" w:name="_Toc6499"/>
      <w:r>
        <w:rPr>
          <w:rFonts w:hint="eastAsia" w:ascii="楷体_GB2312" w:hAnsi="楷体_GB2312" w:eastAsia="楷体_GB2312" w:cs="楷体_GB2312"/>
          <w:sz w:val="32"/>
          <w:szCs w:val="32"/>
        </w:rPr>
        <w:t>（三）绩效评价工作过程</w:t>
      </w:r>
      <w:bookmarkEnd w:id="42"/>
      <w:bookmarkEnd w:id="43"/>
    </w:p>
    <w:p>
      <w:pPr>
        <w:spacing w:line="560" w:lineRule="exact"/>
        <w:ind w:firstLine="640" w:firstLineChars="200"/>
        <w:rPr>
          <w:rFonts w:ascii="仿宋_GB2312" w:hAnsi="Times New Roman" w:eastAsia="仿宋_GB2312" w:cs="Times New Roman"/>
          <w:sz w:val="32"/>
          <w:szCs w:val="32"/>
        </w:rPr>
      </w:pPr>
      <w:bookmarkStart w:id="44" w:name="_Toc7870"/>
      <w:bookmarkStart w:id="45" w:name="_Toc1414"/>
      <w:r>
        <w:rPr>
          <w:rFonts w:hint="eastAsia" w:ascii="仿宋_GB2312" w:hAnsi="Times New Roman" w:eastAsia="仿宋_GB2312" w:cs="Times New Roman"/>
          <w:sz w:val="32"/>
          <w:szCs w:val="32"/>
        </w:rPr>
        <w:t>1.前期准备工作</w:t>
      </w:r>
      <w:bookmarkEnd w:id="44"/>
      <w:bookmarkEnd w:id="45"/>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组建绩效评价工作组，制定了评价工作方案，邀请符合财政绩效管理要求的专家成立专家组，并向实施评价项目的项目负责人布置了资料清单。</w:t>
      </w:r>
    </w:p>
    <w:p>
      <w:pPr>
        <w:spacing w:line="560" w:lineRule="exact"/>
        <w:ind w:firstLine="640" w:firstLineChars="200"/>
        <w:rPr>
          <w:rFonts w:hint="eastAsia" w:ascii="仿宋_GB2312" w:hAnsi="仿宋_GB2312" w:eastAsia="仿宋_GB2312" w:cs="仿宋_GB2312"/>
          <w:sz w:val="32"/>
          <w:szCs w:val="32"/>
        </w:rPr>
      </w:pPr>
      <w:bookmarkStart w:id="46" w:name="_Toc9930"/>
      <w:bookmarkStart w:id="47" w:name="_Toc1025"/>
      <w:r>
        <w:rPr>
          <w:rFonts w:hint="eastAsia" w:ascii="仿宋_GB2312" w:hAnsi="仿宋_GB2312" w:eastAsia="仿宋_GB2312" w:cs="仿宋_GB2312"/>
          <w:sz w:val="32"/>
          <w:szCs w:val="32"/>
        </w:rPr>
        <w:t>2.收集、复核评价资料</w:t>
      </w:r>
      <w:bookmarkEnd w:id="46"/>
      <w:bookmarkEnd w:id="47"/>
    </w:p>
    <w:p>
      <w:pPr>
        <w:spacing w:line="560" w:lineRule="exact"/>
        <w:ind w:firstLine="640" w:firstLineChars="200"/>
        <w:rPr>
          <w:rFonts w:ascii="仿宋_GB2312" w:hAnsi="Times New Roman" w:eastAsia="仿宋_GB2312" w:cs="Times New Roman"/>
          <w:sz w:val="32"/>
          <w:szCs w:val="32"/>
          <w:highlight w:val="yellow"/>
        </w:rPr>
      </w:pPr>
      <w:r>
        <w:rPr>
          <w:rFonts w:hint="eastAsia" w:ascii="仿宋_GB2312" w:hAnsi="Times New Roman" w:eastAsia="仿宋_GB2312" w:cs="Times New Roman"/>
          <w:sz w:val="32"/>
          <w:szCs w:val="32"/>
        </w:rPr>
        <w:t>评价工作组对本项目预算申报、执行，项目申报、项目实施管理、项目验收等资料进行了收集、复核。对项目资料不完整之处与项目负责人进行了沟通，并要求其进行补充。</w:t>
      </w:r>
    </w:p>
    <w:p>
      <w:pPr>
        <w:spacing w:line="560" w:lineRule="exact"/>
        <w:ind w:firstLine="640" w:firstLineChars="200"/>
        <w:rPr>
          <w:rFonts w:ascii="仿宋_GB2312" w:hAnsi="Times New Roman" w:eastAsia="仿宋_GB2312" w:cs="Times New Roman"/>
          <w:sz w:val="32"/>
          <w:szCs w:val="32"/>
        </w:rPr>
      </w:pPr>
      <w:bookmarkStart w:id="48" w:name="_Toc31473"/>
      <w:bookmarkStart w:id="49" w:name="_Toc23994"/>
      <w:r>
        <w:rPr>
          <w:rFonts w:hint="eastAsia" w:ascii="仿宋_GB2312" w:hAnsi="Times New Roman" w:eastAsia="仿宋_GB2312" w:cs="Times New Roman"/>
          <w:sz w:val="32"/>
          <w:szCs w:val="32"/>
        </w:rPr>
        <w:t>3.现场核查情况</w:t>
      </w:r>
      <w:bookmarkEnd w:id="48"/>
      <w:bookmarkEnd w:id="49"/>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评价工作组对项目资金的使用情况、项目实施情况、项目完成情况以及项目的绩效成果进行调查，并对项目资料进行了总结和归类整理，同时将发现的问题与项目负责人进行了沟通；将现场核查情况及收集的资料进行了归集整理，并编制了专家资料手册递交专家组成员审阅。</w:t>
      </w:r>
    </w:p>
    <w:p>
      <w:pPr>
        <w:spacing w:line="560" w:lineRule="exact"/>
        <w:ind w:firstLine="640" w:firstLineChars="200"/>
        <w:rPr>
          <w:rFonts w:ascii="仿宋_GB2312" w:hAnsi="Times New Roman" w:eastAsia="仿宋_GB2312" w:cs="Times New Roman"/>
          <w:sz w:val="32"/>
          <w:szCs w:val="32"/>
        </w:rPr>
      </w:pPr>
      <w:bookmarkStart w:id="50" w:name="_Toc17761"/>
      <w:bookmarkStart w:id="51" w:name="_Toc4780"/>
      <w:r>
        <w:rPr>
          <w:rFonts w:hint="eastAsia" w:ascii="仿宋_GB2312" w:hAnsi="Times New Roman" w:eastAsia="仿宋_GB2312" w:cs="Times New Roman"/>
          <w:sz w:val="32"/>
          <w:szCs w:val="32"/>
        </w:rPr>
        <w:t>4.评价分析</w:t>
      </w:r>
      <w:bookmarkEnd w:id="50"/>
      <w:bookmarkEnd w:id="51"/>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评价工作组根据项目单位提供的资料，分析了绩效目标完成情况及绩效实现情况，形成了中期报告。在此基础上召开专家预备会，在财政部门制定的绩效评价指标体系的基础上，针对该项目特点，对指标值权重以及评价指标进行了初步设计、制定和完善。</w:t>
      </w:r>
    </w:p>
    <w:p>
      <w:pPr>
        <w:spacing w:line="560" w:lineRule="exact"/>
        <w:ind w:firstLine="640" w:firstLineChars="200"/>
        <w:rPr>
          <w:rFonts w:ascii="仿宋_GB2312" w:hAnsi="Times New Roman" w:eastAsia="仿宋_GB2312" w:cs="Times New Roman"/>
          <w:sz w:val="32"/>
          <w:szCs w:val="32"/>
        </w:rPr>
      </w:pPr>
      <w:bookmarkStart w:id="52" w:name="_Toc6853"/>
      <w:bookmarkStart w:id="53" w:name="_Toc15349"/>
      <w:r>
        <w:rPr>
          <w:rFonts w:hint="eastAsia" w:ascii="仿宋_GB2312" w:hAnsi="Times New Roman" w:eastAsia="仿宋_GB2312" w:cs="Times New Roman"/>
          <w:sz w:val="32"/>
          <w:szCs w:val="32"/>
        </w:rPr>
        <w:t>5.沟通反馈</w:t>
      </w:r>
      <w:bookmarkEnd w:id="52"/>
      <w:bookmarkEnd w:id="53"/>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评价工作组组织召开了专家正式评审会，听取了项目负责人关于项目实施情况的汇报；并由专家组组长主持会议，组织专家对项目相关问题进行了质询；评价专家根据项目组提供的资料及项目答辩情况进行内部讨论后，对照该项目绩效评价指标体系对项目绩效情况进行了评分，出具了独立的专家评价意见，汇总形成专家组意见。</w:t>
      </w:r>
    </w:p>
    <w:p>
      <w:pPr>
        <w:spacing w:line="560" w:lineRule="exact"/>
        <w:ind w:firstLine="640" w:firstLineChars="200"/>
        <w:rPr>
          <w:rFonts w:ascii="仿宋_GB2312" w:hAnsi="Times New Roman" w:eastAsia="仿宋_GB2312" w:cs="Times New Roman"/>
          <w:sz w:val="32"/>
          <w:szCs w:val="32"/>
        </w:rPr>
      </w:pPr>
      <w:bookmarkStart w:id="54" w:name="_Toc5842"/>
      <w:bookmarkStart w:id="55" w:name="_Toc1484"/>
      <w:r>
        <w:rPr>
          <w:rFonts w:hint="eastAsia" w:ascii="仿宋_GB2312" w:hAnsi="Times New Roman" w:eastAsia="仿宋_GB2312" w:cs="Times New Roman"/>
          <w:sz w:val="32"/>
          <w:szCs w:val="32"/>
        </w:rPr>
        <w:t>6.出具报告</w:t>
      </w:r>
      <w:bookmarkEnd w:id="54"/>
      <w:bookmarkEnd w:id="55"/>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评价工作组以“依据充分、真实完整、数据准确、分析透彻、逻辑清晰、客观公正”为标准，结合专家评审意见以及财政部门关于绩效评价报告的披露要求撰写了项目绩效评价报告。</w:t>
      </w:r>
    </w:p>
    <w:p>
      <w:pPr>
        <w:pStyle w:val="3"/>
        <w:spacing w:before="0" w:after="0" w:line="560" w:lineRule="exact"/>
        <w:ind w:firstLine="640" w:firstLineChars="200"/>
        <w:rPr>
          <w:rFonts w:ascii="黑体" w:hAnsi="黑体" w:eastAsia="黑体" w:cs="Times New Roman"/>
          <w:b w:val="0"/>
          <w:bCs w:val="0"/>
          <w:sz w:val="32"/>
          <w:szCs w:val="32"/>
        </w:rPr>
      </w:pPr>
      <w:bookmarkStart w:id="56" w:name="_Toc26248"/>
      <w:bookmarkStart w:id="57" w:name="_Toc10038"/>
      <w:bookmarkStart w:id="58" w:name="_Toc13539"/>
      <w:r>
        <w:rPr>
          <w:rFonts w:hint="eastAsia" w:ascii="黑体" w:hAnsi="黑体" w:eastAsia="黑体" w:cs="Times New Roman"/>
          <w:b w:val="0"/>
          <w:bCs w:val="0"/>
          <w:sz w:val="32"/>
          <w:szCs w:val="32"/>
        </w:rPr>
        <w:t>三、</w:t>
      </w:r>
      <w:bookmarkEnd w:id="56"/>
      <w:r>
        <w:rPr>
          <w:rFonts w:hint="eastAsia" w:ascii="黑体" w:hAnsi="黑体" w:eastAsia="黑体" w:cs="Times New Roman"/>
          <w:b w:val="0"/>
          <w:bCs w:val="0"/>
          <w:sz w:val="32"/>
          <w:szCs w:val="32"/>
        </w:rPr>
        <w:t>综合评价情况及评价结论</w:t>
      </w:r>
      <w:bookmarkEnd w:id="57"/>
      <w:bookmarkEnd w:id="58"/>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项目立项依据充分，与项目单位职能职责相符，项目预算、采购、合同签订以及资金支付程序规范，项目产出达到了预期绩效目标。项目持续完善总额预算指标测算模型和优化定点医疗机构质量评价考核指标体系，开展定点医疗机构质量评价，对于提高总额预算指标趋势预测的科学性、精准性，以及总额预算管理的科学化、精细化水平起到了推动作用。但项目也存在部分绩效指标设定不够合理、细化、量化不足，项目实施方案不够细化、完善，资金支出与业务进度不匹配等情况。</w:t>
      </w:r>
    </w:p>
    <w:p>
      <w:pPr>
        <w:spacing w:line="560" w:lineRule="exact"/>
        <w:ind w:firstLine="640" w:firstLineChars="200"/>
        <w:rPr>
          <w:rFonts w:ascii="仿宋_GB2312" w:hAnsi="Times New Roman" w:eastAsia="仿宋_GB2312" w:cs="Times New Roman"/>
          <w:sz w:val="32"/>
          <w:szCs w:val="32"/>
        </w:rPr>
      </w:pPr>
      <w:bookmarkStart w:id="59" w:name="_Toc18476"/>
      <w:r>
        <w:rPr>
          <w:rFonts w:hint="eastAsia" w:ascii="仿宋_GB2312" w:hAnsi="Times New Roman" w:eastAsia="仿宋_GB2312" w:cs="Times New Roman"/>
          <w:sz w:val="32"/>
          <w:szCs w:val="32"/>
        </w:rPr>
        <w:t>经评价，总额预算管理BJ-GBI经费项目绩效评价综合得分90.58分，其中：项目决策8.94分，项目过程18.24分，项目产出38.30分，项目绩效25.10分，绩效评价级别为“优秀”。</w:t>
      </w:r>
    </w:p>
    <w:p>
      <w:pPr>
        <w:pStyle w:val="3"/>
        <w:spacing w:before="0" w:after="0" w:line="560" w:lineRule="exact"/>
        <w:ind w:firstLine="640" w:firstLineChars="200"/>
        <w:rPr>
          <w:rFonts w:ascii="黑体" w:hAnsi="黑体" w:eastAsia="黑体" w:cs="Times New Roman"/>
          <w:b w:val="0"/>
          <w:bCs w:val="0"/>
          <w:sz w:val="32"/>
          <w:szCs w:val="32"/>
        </w:rPr>
      </w:pPr>
      <w:bookmarkStart w:id="60" w:name="_Toc5674"/>
      <w:bookmarkStart w:id="61" w:name="_Toc20324"/>
      <w:r>
        <w:rPr>
          <w:rFonts w:hint="eastAsia" w:ascii="黑体" w:hAnsi="黑体" w:eastAsia="黑体" w:cs="Times New Roman"/>
          <w:b w:val="0"/>
          <w:bCs w:val="0"/>
          <w:sz w:val="32"/>
          <w:szCs w:val="32"/>
        </w:rPr>
        <w:t>四、绩效评价指标分析</w:t>
      </w:r>
      <w:bookmarkEnd w:id="60"/>
      <w:bookmarkEnd w:id="61"/>
    </w:p>
    <w:p>
      <w:pPr>
        <w:spacing w:line="560" w:lineRule="exact"/>
        <w:ind w:firstLine="640" w:firstLineChars="200"/>
        <w:rPr>
          <w:rFonts w:hint="eastAsia" w:ascii="楷体_GB2312" w:hAnsi="楷体_GB2312" w:eastAsia="楷体_GB2312" w:cs="楷体_GB2312"/>
          <w:sz w:val="32"/>
          <w:szCs w:val="32"/>
        </w:rPr>
      </w:pPr>
      <w:bookmarkStart w:id="62" w:name="_Toc8100"/>
      <w:bookmarkStart w:id="63" w:name="_Toc24493"/>
      <w:r>
        <w:rPr>
          <w:rFonts w:hint="eastAsia" w:ascii="楷体_GB2312" w:hAnsi="楷体_GB2312" w:eastAsia="楷体_GB2312" w:cs="楷体_GB2312"/>
          <w:sz w:val="32"/>
          <w:szCs w:val="32"/>
        </w:rPr>
        <w:t>（一）项目决策情况</w:t>
      </w:r>
      <w:bookmarkEnd w:id="62"/>
      <w:bookmarkEnd w:id="63"/>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项目立项内容符合《国务院办公厅关于进一步深化基本医疗保险支付方式改革的指导意见》（国办发〔2017〕55号）“不断深化医保支付方式改革，进一步加强医保基金预算管理”等相关文件精神，与市医保局职能职责契合，项目立项程序规范，项目预算经过专业机构评审。项目绩效目标设定与工作内容具有相关性，但存在以下不足：</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项目绩效指标设定不够完善，细化、量化不足。</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项目产出数量指标中设定“完成定点医疗机构项目年度趋势预测和质量评分结果≥500家”，未结合近年北京地区预付费定点医疗机构实际数量设定（2024年度实际完成的趋势预测和质量评分结果717家），产出数量指标值设置偏低。</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项目产出质量指标设定为“验收合格率100%”，缺少预测数据准确率等关键质量指标。</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项目产出时效指标设定为“</w:t>
      </w:r>
      <w:r>
        <w:rPr>
          <w:rFonts w:hint="eastAsia" w:ascii="仿宋_GB2312" w:hAnsi="Times New Roman" w:eastAsia="仿宋_GB2312" w:cs="Times New Roman"/>
          <w:sz w:val="32"/>
          <w:szCs w:val="32"/>
          <w:lang w:eastAsia="zh-CN"/>
        </w:rPr>
        <w:t>按合同约定完成定点医疗机构总额预算管理指标测算和质量评价工作</w:t>
      </w:r>
      <w:r>
        <w:rPr>
          <w:rFonts w:hint="eastAsia" w:ascii="仿宋_GB2312" w:hAnsi="Times New Roman" w:eastAsia="仿宋_GB2312" w:cs="Times New Roman"/>
          <w:sz w:val="32"/>
          <w:szCs w:val="32"/>
        </w:rPr>
        <w:t>≤</w:t>
      </w:r>
      <w:r>
        <w:rPr>
          <w:rFonts w:hint="eastAsia" w:ascii="仿宋_GB2312" w:hAnsi="Times New Roman" w:eastAsia="仿宋_GB2312" w:cs="Times New Roman"/>
          <w:sz w:val="32"/>
          <w:szCs w:val="32"/>
          <w:lang w:val="en-US" w:eastAsia="zh-CN"/>
        </w:rPr>
        <w:t>12月</w:t>
      </w:r>
      <w:r>
        <w:rPr>
          <w:rFonts w:hint="eastAsia" w:ascii="仿宋_GB2312" w:hAnsi="Times New Roman" w:eastAsia="仿宋_GB2312"/>
          <w:sz w:val="32"/>
          <w:szCs w:val="32"/>
        </w:rPr>
        <w:t>”，未反应项目2023年度合同约定工作内容的完成、验收以及尾款支付的时间节点，以及项目2024年度新签订合同涉及的方案制定、履行采购程序、合同签订、首付款支付等重要工作环节的时间节点。</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项目产出成本指标设定为“项目预算控制总额≤80.00万元”，指标值设定不全面，未按照两项工作内容及资金支付进度分项设置成本指标。</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sz w:val="32"/>
          <w:szCs w:val="32"/>
        </w:rPr>
        <w:t>项目未设定可持续影响指标。未根据项目实施后形成完善BJ-GBI数学模型及定点医疗机构质量评价机制等长期影响因素设定可持续影响指标</w:t>
      </w:r>
      <w:r>
        <w:rPr>
          <w:rFonts w:hint="eastAsia" w:ascii="仿宋_GB2312" w:hAnsi="Times New Roman" w:eastAsia="仿宋_GB2312" w:cs="Times New Roman"/>
          <w:sz w:val="32"/>
          <w:szCs w:val="32"/>
        </w:rPr>
        <w:t>。</w:t>
      </w:r>
    </w:p>
    <w:p>
      <w:pPr>
        <w:spacing w:line="560" w:lineRule="exact"/>
        <w:ind w:firstLine="640" w:firstLineChars="200"/>
        <w:rPr>
          <w:rFonts w:hint="eastAsia" w:ascii="楷体_GB2312" w:hAnsi="楷体_GB2312" w:eastAsia="楷体_GB2312" w:cs="楷体_GB2312"/>
          <w:sz w:val="32"/>
          <w:szCs w:val="32"/>
        </w:rPr>
      </w:pPr>
      <w:bookmarkStart w:id="64" w:name="_Toc5536"/>
      <w:bookmarkStart w:id="65" w:name="_Toc20580"/>
      <w:r>
        <w:rPr>
          <w:rFonts w:hint="eastAsia" w:ascii="楷体_GB2312" w:hAnsi="楷体_GB2312" w:eastAsia="楷体_GB2312" w:cs="楷体_GB2312"/>
          <w:sz w:val="32"/>
          <w:szCs w:val="32"/>
        </w:rPr>
        <w:t>（二）项目过程情况</w:t>
      </w:r>
      <w:bookmarkEnd w:id="64"/>
      <w:bookmarkEnd w:id="65"/>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项目实施单位严格按照市医保局相关的内控制度规定，履行了三方比选采购程序，签订了委托服务合同。项目按照BJ-GBI指标测算和BJ-GBI质量评价两个子项目工作内容，分别成立工作小组，对项目的启动、实施及第三方机构工作开展情况等进行全程管理和监督。项目尾款支付前，聘请行业内相关专家对项目成果进行了评审，通过履约验收后，按照市医保局资金支出管理制度规范履行资金支出审批程序后支付项目尾款。资金支付依据充分，用途与预算批复用途一致。</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项目实施单位分别针对上述两个子项目工作内容制定了工作方案，对项目的具体实施步骤等进行了提前统筹规划。为项目顺利完成、实现预定目标提供了基本保障。但项目存在资金安排不够合理、项目实施方案及验收程序不完善等问题，具体如下：</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1.项目实施方案不够完善。工作实施方案中工作实施进度计划分为三个阶段，具体为第一阶段：启动采购程序，确定第三方合作机构，并完成合作合同的签署。第二阶段：对第三方机构项目进展进行中期评估。第三阶段：对第三方机构项目完成情况进行整体验收。未反应具体阶段的时间安排。且方案中未明确预测数据提取和质量评价涉及的定点医疗机构的范围、过程监管以及满意度调查的方式和规划。</w:t>
      </w:r>
    </w:p>
    <w:p>
      <w:pPr>
        <w:spacing w:line="560" w:lineRule="exact"/>
        <w:rPr>
          <w:rFonts w:ascii="仿宋_GB2312" w:hAnsi="Times New Roman" w:eastAsia="仿宋_GB2312" w:cs="Times New Roman"/>
          <w:sz w:val="32"/>
          <w:szCs w:val="32"/>
          <w:highlight w:val="yellow"/>
        </w:rPr>
      </w:pPr>
      <w:r>
        <w:rPr>
          <w:rFonts w:hint="eastAsia" w:ascii="仿宋_GB2312" w:hAnsi="Times New Roman" w:eastAsia="仿宋_GB2312" w:cs="Times New Roman"/>
          <w:sz w:val="32"/>
          <w:szCs w:val="32"/>
        </w:rPr>
        <w:t xml:space="preserve">   2.项目验收内容不够完善。2023年度工作内容完成后，项目实施单位于2024年7月召开专家会对项目进行评审，但项目验收未与绩效目标完成情况结合，缺少产出数量、质量完成情况的验收内容</w:t>
      </w:r>
      <w:r>
        <w:rPr>
          <w:rFonts w:ascii="仿宋_GB2312" w:hAnsi="Times New Roman" w:eastAsia="仿宋_GB2312" w:cs="Times New Roman"/>
          <w:sz w:val="32"/>
          <w:szCs w:val="32"/>
        </w:rPr>
        <w:t>。</w:t>
      </w:r>
    </w:p>
    <w:p>
      <w:pPr>
        <w:spacing w:line="560" w:lineRule="exact"/>
        <w:ind w:firstLine="640" w:firstLineChars="200"/>
        <w:rPr>
          <w:rFonts w:hint="eastAsia" w:ascii="楷体_GB2312" w:hAnsi="楷体_GB2312" w:eastAsia="楷体_GB2312" w:cs="楷体_GB2312"/>
          <w:sz w:val="32"/>
          <w:szCs w:val="32"/>
        </w:rPr>
      </w:pPr>
      <w:bookmarkStart w:id="66" w:name="_Toc27858"/>
      <w:bookmarkStart w:id="67" w:name="_Toc9741"/>
      <w:r>
        <w:rPr>
          <w:rFonts w:hint="eastAsia" w:ascii="楷体_GB2312" w:hAnsi="楷体_GB2312" w:eastAsia="楷体_GB2312" w:cs="楷体_GB2312"/>
          <w:sz w:val="32"/>
          <w:szCs w:val="32"/>
        </w:rPr>
        <w:t>（三）项目产出情况</w:t>
      </w:r>
      <w:bookmarkEnd w:id="66"/>
      <w:bookmarkEnd w:id="67"/>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1.产出数量指标情况：截止2024年底，完成指标测算报告1份，完成质量评价报告1份，实际完成定点医疗机构项目年度趋势预测和质量评分结果717家。</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2.产出质量指标情况：服务供应商在合同约定时间内向医保中心提交了项目成果，并于2024年前通过了评审验收。</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3.产出时效指标情况：本项目于2024年8月份完成上年度合同执行验收，并支付了尾款。于2024年12月支付2024年合同项目的首付款。</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4.产出成本指标情况：项目预算资金80.00万元，实际支付资金80.00万元，其中包括：指标测算项目上年尾款12.00万元，2024年度项目首付款28.00万元；质量评价项目上年尾款12.00万元，2024年度项目首付款28.00万元。成本支出未超出预算控制总额。</w:t>
      </w:r>
    </w:p>
    <w:p>
      <w:pPr>
        <w:spacing w:line="560" w:lineRule="exact"/>
        <w:ind w:firstLine="640" w:firstLineChars="200"/>
        <w:rPr>
          <w:rFonts w:hint="eastAsia" w:ascii="楷体_GB2312" w:hAnsi="楷体_GB2312" w:eastAsia="楷体_GB2312" w:cs="楷体_GB2312"/>
          <w:sz w:val="32"/>
          <w:szCs w:val="32"/>
        </w:rPr>
      </w:pPr>
      <w:bookmarkStart w:id="68" w:name="_Toc16134"/>
      <w:bookmarkStart w:id="69" w:name="_Toc13260"/>
      <w:r>
        <w:rPr>
          <w:rFonts w:hint="eastAsia" w:ascii="楷体_GB2312" w:hAnsi="楷体_GB2312" w:eastAsia="楷体_GB2312" w:cs="楷体_GB2312"/>
          <w:sz w:val="32"/>
          <w:szCs w:val="32"/>
        </w:rPr>
        <w:t>（四）项目效益情况</w:t>
      </w:r>
      <w:bookmarkEnd w:id="68"/>
      <w:bookmarkEnd w:id="69"/>
    </w:p>
    <w:p>
      <w:pPr>
        <w:spacing w:line="560" w:lineRule="exact"/>
        <w:ind w:firstLine="640" w:firstLineChars="200"/>
        <w:rPr>
          <w:rFonts w:ascii="仿宋_GB2312" w:hAnsi="Times New Roman" w:eastAsia="仿宋_GB2312"/>
          <w:sz w:val="32"/>
          <w:szCs w:val="32"/>
        </w:rPr>
      </w:pPr>
      <w:bookmarkStart w:id="70" w:name="_Toc71642668"/>
      <w:bookmarkStart w:id="71" w:name="_Toc71641762"/>
      <w:r>
        <w:rPr>
          <w:rFonts w:hint="eastAsia" w:ascii="仿宋_GB2312" w:hAnsi="Times New Roman" w:eastAsia="仿宋_GB2312" w:cs="Times New Roman"/>
          <w:sz w:val="32"/>
          <w:szCs w:val="32"/>
        </w:rPr>
        <w:t>截止2024年底，项目完成指标测算报告和质量评价报告并通过了医保局评审验收，完善BJ-GBI数学模型，开展定点医疗机构质量评价。项目成果应用于定点医疗机构评价和管理、职工和居民医保基金指标测算和年终结算，有效促进提升总额预算管理工作的精细化和科学化水平</w:t>
      </w:r>
      <w:r>
        <w:rPr>
          <w:rFonts w:hint="eastAsia" w:ascii="仿宋_GB2312" w:hAnsi="Times New Roman" w:eastAsia="仿宋_GB2312"/>
          <w:sz w:val="32"/>
          <w:szCs w:val="32"/>
        </w:rPr>
        <w:t>。</w:t>
      </w:r>
    </w:p>
    <w:bookmarkEnd w:id="70"/>
    <w:bookmarkEnd w:id="71"/>
    <w:p>
      <w:pPr>
        <w:pStyle w:val="3"/>
        <w:spacing w:before="0" w:after="0" w:line="560" w:lineRule="exact"/>
        <w:ind w:firstLine="640" w:firstLineChars="200"/>
        <w:rPr>
          <w:rFonts w:ascii="黑体" w:hAnsi="黑体" w:eastAsia="黑体" w:cs="Times New Roman"/>
          <w:b w:val="0"/>
          <w:bCs w:val="0"/>
          <w:sz w:val="32"/>
          <w:szCs w:val="32"/>
        </w:rPr>
      </w:pPr>
      <w:bookmarkStart w:id="72" w:name="_Toc28969"/>
      <w:bookmarkStart w:id="73" w:name="_Toc4635"/>
      <w:r>
        <w:rPr>
          <w:rFonts w:hint="eastAsia" w:ascii="黑体" w:hAnsi="黑体" w:eastAsia="黑体" w:cs="Times New Roman"/>
          <w:b w:val="0"/>
          <w:bCs w:val="0"/>
          <w:sz w:val="32"/>
          <w:szCs w:val="32"/>
        </w:rPr>
        <w:t>五、主要经验及做法、存在问题及原因分</w:t>
      </w:r>
      <w:bookmarkEnd w:id="72"/>
      <w:bookmarkEnd w:id="73"/>
      <w:r>
        <w:rPr>
          <w:rFonts w:hint="eastAsia" w:ascii="黑体" w:hAnsi="黑体" w:eastAsia="黑体" w:cs="Times New Roman"/>
          <w:b w:val="0"/>
          <w:bCs w:val="0"/>
          <w:sz w:val="32"/>
          <w:szCs w:val="32"/>
        </w:rPr>
        <w:t>析</w:t>
      </w:r>
    </w:p>
    <w:p>
      <w:pPr>
        <w:spacing w:line="560" w:lineRule="exact"/>
        <w:ind w:firstLine="640" w:firstLineChars="200"/>
        <w:rPr>
          <w:rFonts w:hint="eastAsia" w:ascii="楷体_GB2312" w:hAnsi="楷体_GB2312" w:eastAsia="楷体_GB2312" w:cs="楷体_GB2312"/>
          <w:sz w:val="32"/>
          <w:szCs w:val="32"/>
        </w:rPr>
      </w:pPr>
      <w:bookmarkStart w:id="74" w:name="_Toc17094"/>
      <w:bookmarkStart w:id="75" w:name="_Toc21164"/>
      <w:r>
        <w:rPr>
          <w:rFonts w:hint="eastAsia" w:ascii="楷体_GB2312" w:hAnsi="楷体_GB2312" w:eastAsia="楷体_GB2312" w:cs="楷体_GB2312"/>
          <w:sz w:val="32"/>
          <w:szCs w:val="32"/>
        </w:rPr>
        <w:t>（一）主要经验及做法</w:t>
      </w:r>
      <w:bookmarkEnd w:id="74"/>
      <w:bookmarkEnd w:id="75"/>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项目实施过程严格按照相关的法律法规、政策和单位的内控管理制度执行。北京市职工医保基金总额预算管理已实施10余年时间，按照国务院办公厅关于深化支付方式改革的要求，加强医保基金总额预算管理，进一步提高总额预算管理的科学性和合理性。通过本项目的实施,完善优化前期建立的总额预算指标测算数学模型，结合历史数据完成全市定点医疗机构本年度职工和居民医保基金年终结算和下一年度总额预算指标测算，激发医疗机构规范行为、控制成本、合理收支和转诊患者的内生动力，引导医疗资源合理配置和患者有序就医，切实保障广大参保人员基本医疗权益和医保制度长期可持续发展。本阶段数据量较大、时效性要求高，项目实施前将项目内容分项安排，由不同的人员分工负责，与第三方对于方案制定、框架搭建、数据收集整理、政策理解等方面充分沟通，全面参与监督指导，随时修订调整把控，有效保障项目进度和质量。</w:t>
      </w:r>
    </w:p>
    <w:p>
      <w:pPr>
        <w:spacing w:line="560" w:lineRule="exact"/>
        <w:ind w:firstLine="640" w:firstLineChars="200"/>
        <w:rPr>
          <w:rFonts w:hint="eastAsia" w:ascii="楷体_GB2312" w:hAnsi="楷体_GB2312" w:eastAsia="楷体_GB2312" w:cs="楷体_GB2312"/>
          <w:sz w:val="32"/>
          <w:szCs w:val="32"/>
        </w:rPr>
      </w:pPr>
      <w:bookmarkStart w:id="76" w:name="_Toc14415"/>
      <w:bookmarkStart w:id="77" w:name="_Toc24304"/>
      <w:r>
        <w:rPr>
          <w:rFonts w:hint="eastAsia" w:ascii="楷体_GB2312" w:hAnsi="楷体_GB2312" w:eastAsia="楷体_GB2312" w:cs="楷体_GB2312"/>
          <w:sz w:val="32"/>
          <w:szCs w:val="32"/>
        </w:rPr>
        <w:t>（二）存在问题及原因分</w:t>
      </w:r>
      <w:bookmarkEnd w:id="76"/>
      <w:bookmarkEnd w:id="77"/>
      <w:r>
        <w:rPr>
          <w:rFonts w:hint="eastAsia" w:ascii="楷体_GB2312" w:hAnsi="楷体_GB2312" w:eastAsia="楷体_GB2312" w:cs="楷体_GB2312"/>
          <w:sz w:val="32"/>
          <w:szCs w:val="32"/>
        </w:rPr>
        <w:t>析</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1.项目绩效目标设定不够完善，细化、量化不足。主要原因是项目单位对绩效目标论证不足，项目产出数量、质量、时效和成本绩效目标设置不够完善和细化。</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2.项目实施方案指导性存在不足。项目实施方案未明确工作范围、实施步骤的时间节点，缺少过程监管流程等。</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sz w:val="32"/>
          <w:szCs w:val="32"/>
        </w:rPr>
        <w:t>3.项目验收工作需要进一步完善。项目验收未与绩效目标完成情况结合，缺少产出数量、质量完成情况的验收内容</w:t>
      </w:r>
      <w:r>
        <w:rPr>
          <w:rFonts w:hint="eastAsia" w:ascii="仿宋_GB2312" w:hAnsi="Times New Roman" w:eastAsia="仿宋_GB2312" w:cs="Times New Roman"/>
          <w:sz w:val="32"/>
          <w:szCs w:val="32"/>
        </w:rPr>
        <w:t>。</w:t>
      </w:r>
    </w:p>
    <w:p>
      <w:pPr>
        <w:pStyle w:val="3"/>
        <w:spacing w:before="0" w:after="0" w:line="560" w:lineRule="exact"/>
        <w:ind w:firstLine="640" w:firstLineChars="200"/>
        <w:rPr>
          <w:rFonts w:ascii="黑体" w:hAnsi="黑体" w:eastAsia="黑体" w:cs="Times New Roman"/>
          <w:b w:val="0"/>
          <w:bCs w:val="0"/>
          <w:sz w:val="32"/>
          <w:szCs w:val="32"/>
        </w:rPr>
      </w:pPr>
      <w:bookmarkStart w:id="78" w:name="_Toc28999"/>
      <w:bookmarkStart w:id="79" w:name="_Toc28397"/>
      <w:r>
        <w:rPr>
          <w:rFonts w:hint="eastAsia" w:ascii="黑体" w:hAnsi="黑体" w:eastAsia="黑体" w:cs="Times New Roman"/>
          <w:b w:val="0"/>
          <w:bCs w:val="0"/>
          <w:sz w:val="32"/>
          <w:szCs w:val="32"/>
        </w:rPr>
        <w:t>六、有关建议</w:t>
      </w:r>
      <w:bookmarkEnd w:id="78"/>
      <w:bookmarkEnd w:id="79"/>
    </w:p>
    <w:p>
      <w:pPr>
        <w:spacing w:line="560" w:lineRule="exact"/>
        <w:ind w:firstLine="640" w:firstLineChars="200"/>
        <w:rPr>
          <w:rFonts w:hint="eastAsia" w:ascii="仿宋_GB2312" w:hAnsi="Times New Roman" w:eastAsia="仿宋_GB2312" w:cs="Times New Roman"/>
          <w:sz w:val="32"/>
          <w:szCs w:val="32"/>
        </w:rPr>
      </w:pPr>
      <w:bookmarkStart w:id="80" w:name="_Toc12177"/>
      <w:r>
        <w:rPr>
          <w:rFonts w:hint="eastAsia" w:ascii="楷体_GB2312" w:hAnsi="楷体_GB2312" w:eastAsia="楷体_GB2312" w:cs="楷体_GB2312"/>
          <w:sz w:val="32"/>
          <w:szCs w:val="32"/>
          <w:lang w:eastAsia="zh-CN"/>
        </w:rPr>
        <w:t>（一）</w:t>
      </w:r>
      <w:r>
        <w:rPr>
          <w:rFonts w:hint="eastAsia" w:ascii="楷体_GB2312" w:hAnsi="楷体_GB2312" w:eastAsia="楷体_GB2312" w:cs="楷体_GB2312"/>
          <w:sz w:val="32"/>
          <w:szCs w:val="32"/>
        </w:rPr>
        <w:t>细化项</w:t>
      </w:r>
      <w:bookmarkEnd w:id="80"/>
      <w:r>
        <w:rPr>
          <w:rFonts w:hint="eastAsia" w:ascii="楷体_GB2312" w:hAnsi="楷体_GB2312" w:eastAsia="楷体_GB2312" w:cs="楷体_GB2312"/>
          <w:sz w:val="32"/>
          <w:szCs w:val="32"/>
        </w:rPr>
        <w:t>目绩效目标</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充分做好项目的前期调研工作，结合项目实施内容和预算投入资金合理设定项目绩效目标，并做到目标设定量化、细化、可考核，打好项目绩效目标管理工作的基础。</w:t>
      </w:r>
    </w:p>
    <w:p>
      <w:pPr>
        <w:spacing w:line="560" w:lineRule="exact"/>
        <w:ind w:firstLine="640" w:firstLineChars="200"/>
        <w:rPr>
          <w:rFonts w:hint="eastAsia" w:ascii="楷体_GB2312" w:hAnsi="楷体_GB2312" w:eastAsia="楷体_GB2312" w:cs="楷体_GB2312"/>
          <w:sz w:val="32"/>
          <w:szCs w:val="32"/>
          <w:lang w:eastAsia="zh-CN"/>
        </w:rPr>
      </w:pPr>
      <w:bookmarkStart w:id="81" w:name="_Toc22351"/>
      <w:r>
        <w:rPr>
          <w:rFonts w:hint="eastAsia" w:ascii="楷体_GB2312" w:hAnsi="楷体_GB2312" w:eastAsia="楷体_GB2312" w:cs="楷体_GB2312"/>
          <w:sz w:val="32"/>
          <w:szCs w:val="32"/>
          <w:lang w:eastAsia="zh-CN"/>
        </w:rPr>
        <w:t>（二）完善</w:t>
      </w:r>
      <w:bookmarkEnd w:id="81"/>
      <w:r>
        <w:rPr>
          <w:rFonts w:hint="eastAsia" w:ascii="楷体_GB2312" w:hAnsi="楷体_GB2312" w:eastAsia="楷体_GB2312" w:cs="楷体_GB2312"/>
          <w:sz w:val="32"/>
          <w:szCs w:val="32"/>
        </w:rPr>
        <w:t>工作</w:t>
      </w:r>
      <w:r>
        <w:rPr>
          <w:rFonts w:hint="eastAsia" w:ascii="楷体_GB2312" w:hAnsi="楷体_GB2312" w:eastAsia="楷体_GB2312" w:cs="楷体_GB2312"/>
          <w:sz w:val="32"/>
          <w:szCs w:val="32"/>
          <w:lang w:eastAsia="zh-CN"/>
        </w:rPr>
        <w:t>实施</w:t>
      </w:r>
      <w:r>
        <w:rPr>
          <w:rFonts w:hint="eastAsia" w:ascii="楷体_GB2312" w:hAnsi="楷体_GB2312" w:eastAsia="楷体_GB2312" w:cs="楷体_GB2312"/>
          <w:sz w:val="32"/>
          <w:szCs w:val="32"/>
        </w:rPr>
        <w:t>方案</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明确工作实施步骤的时间节点，对数据提取和质量评价的范围予以明确，对过程监管和满意度调查进行合理规划</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保障项目产出和效益的实现。</w:t>
      </w:r>
    </w:p>
    <w:p>
      <w:pPr>
        <w:spacing w:line="560" w:lineRule="exact"/>
        <w:ind w:firstLine="640" w:firstLineChars="200"/>
        <w:rPr>
          <w:rFonts w:hint="eastAsia" w:ascii="仿宋_GB2312" w:hAnsi="Times New Roman" w:eastAsia="仿宋_GB2312" w:cs="Times New Roman"/>
          <w:sz w:val="32"/>
          <w:szCs w:val="32"/>
        </w:rPr>
      </w:pPr>
      <w:bookmarkStart w:id="82" w:name="_Toc7604"/>
      <w:r>
        <w:rPr>
          <w:rFonts w:hint="eastAsia" w:ascii="楷体_GB2312" w:hAnsi="楷体_GB2312" w:eastAsia="楷体_GB2312" w:cs="楷体_GB2312"/>
          <w:sz w:val="32"/>
          <w:szCs w:val="32"/>
          <w:lang w:eastAsia="zh-CN"/>
        </w:rPr>
        <w:t>（三）优化</w:t>
      </w:r>
      <w:r>
        <w:rPr>
          <w:rFonts w:hint="eastAsia" w:ascii="楷体_GB2312" w:hAnsi="楷体_GB2312" w:eastAsia="楷体_GB2312" w:cs="楷体_GB2312"/>
          <w:sz w:val="32"/>
          <w:szCs w:val="32"/>
        </w:rPr>
        <w:t>预算模型和项目</w:t>
      </w:r>
      <w:bookmarkEnd w:id="82"/>
      <w:r>
        <w:rPr>
          <w:rFonts w:hint="eastAsia" w:ascii="楷体_GB2312" w:hAnsi="楷体_GB2312" w:eastAsia="楷体_GB2312" w:cs="楷体_GB2312"/>
          <w:sz w:val="32"/>
          <w:szCs w:val="32"/>
        </w:rPr>
        <w:t>验收机制</w:t>
      </w:r>
    </w:p>
    <w:p>
      <w:pPr>
        <w:spacing w:line="56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将预算模型预测结果与实际产生数据进行比较，分析误差因素，通过迭代进一步优化预算模型，建立针对项目产出是否符合预定绩效目标的验收评价报告机制，确保项目绩效目标的实现。</w:t>
      </w:r>
    </w:p>
    <w:p>
      <w:pPr>
        <w:rPr>
          <w:rFonts w:hint="eastAsia" w:ascii="仿宋_GB2312" w:hAnsi="Times New Roman" w:eastAsia="仿宋_GB2312" w:cs="Times New Roman"/>
          <w:b w:val="0"/>
          <w:bCs w:val="0"/>
          <w:kern w:val="2"/>
          <w:sz w:val="32"/>
          <w:szCs w:val="32"/>
          <w:lang w:val="en-US" w:eastAsia="zh-CN"/>
        </w:rPr>
      </w:pPr>
      <w:r>
        <w:rPr>
          <w:rFonts w:hint="eastAsia" w:ascii="仿宋_GB2312" w:hAnsi="Times New Roman" w:eastAsia="仿宋_GB2312" w:cs="Times New Roman"/>
          <w:sz w:val="32"/>
          <w:szCs w:val="32"/>
          <w:lang w:val="en-US" w:eastAsia="zh-CN"/>
        </w:rPr>
        <w:t xml:space="preserve">    </w:t>
      </w:r>
      <w:bookmarkEnd w:id="7"/>
      <w:bookmarkEnd w:id="8"/>
      <w:bookmarkEnd w:id="59"/>
      <w:bookmarkStart w:id="83" w:name="_Toc31163"/>
      <w:r>
        <w:rPr>
          <w:rFonts w:hint="eastAsia" w:ascii="黑体" w:hAnsi="黑体" w:eastAsia="黑体" w:cs="Times New Roman"/>
          <w:b w:val="0"/>
          <w:bCs w:val="0"/>
          <w:sz w:val="32"/>
          <w:szCs w:val="32"/>
          <w:lang w:eastAsia="zh-CN"/>
        </w:rPr>
        <w:t>七、其他需要说明的问题</w:t>
      </w:r>
    </w:p>
    <w:p>
      <w:pPr>
        <w:pStyle w:val="3"/>
        <w:spacing w:before="0" w:after="0" w:line="560" w:lineRule="exact"/>
        <w:ind w:firstLine="640" w:firstLineChars="200"/>
        <w:rPr>
          <w:rFonts w:hint="eastAsia" w:ascii="仿宋_GB2312" w:hAnsi="Times New Roman" w:eastAsia="仿宋_GB2312" w:cs="Times New Roman"/>
          <w:b w:val="0"/>
          <w:bCs w:val="0"/>
          <w:kern w:val="2"/>
          <w:sz w:val="32"/>
          <w:szCs w:val="32"/>
          <w:lang w:val="en-US" w:eastAsia="zh-CN"/>
        </w:rPr>
      </w:pPr>
      <w:r>
        <w:rPr>
          <w:rFonts w:hint="eastAsia" w:ascii="仿宋_GB2312" w:hAnsi="Times New Roman" w:eastAsia="仿宋_GB2312" w:cs="Times New Roman"/>
          <w:b w:val="0"/>
          <w:bCs w:val="0"/>
          <w:kern w:val="2"/>
          <w:sz w:val="32"/>
          <w:szCs w:val="32"/>
          <w:lang w:val="en-US" w:eastAsia="zh-CN"/>
        </w:rPr>
        <w:t>无</w:t>
      </w:r>
    </w:p>
    <w:p>
      <w:pPr>
        <w:pStyle w:val="2"/>
        <w:spacing w:before="240" w:after="240" w:line="560" w:lineRule="exact"/>
        <w:ind w:firstLine="640" w:firstLineChars="200"/>
        <w:rPr>
          <w:rFonts w:hint="eastAsia" w:ascii="仿宋_GB2312" w:hAnsi="Times New Roman" w:eastAsia="仿宋_GB2312" w:cs="Times New Roman"/>
          <w:b w:val="0"/>
          <w:bCs w:val="0"/>
          <w:kern w:val="2"/>
          <w:sz w:val="32"/>
          <w:szCs w:val="32"/>
          <w:lang w:val="en-US" w:eastAsia="zh-CN"/>
        </w:rPr>
      </w:pPr>
    </w:p>
    <w:p>
      <w:pPr>
        <w:pStyle w:val="2"/>
        <w:spacing w:before="240" w:after="240" w:line="560" w:lineRule="exact"/>
        <w:ind w:firstLine="640" w:firstLineChars="200"/>
        <w:rPr>
          <w:rFonts w:hint="eastAsia" w:ascii="仿宋_GB2312" w:hAnsi="Times New Roman" w:eastAsia="仿宋_GB2312" w:cs="Times New Roman"/>
          <w:b w:val="0"/>
          <w:bCs w:val="0"/>
          <w:kern w:val="2"/>
          <w:sz w:val="32"/>
          <w:szCs w:val="32"/>
          <w:lang w:val="en-US" w:eastAsia="zh-CN"/>
        </w:rPr>
      </w:pPr>
    </w:p>
    <w:p>
      <w:pPr>
        <w:ind w:firstLine="640" w:firstLineChars="200"/>
        <w:rPr>
          <w:rFonts w:hint="eastAsia" w:ascii="仿宋_GB2312" w:hAnsi="Times New Roman" w:eastAsia="仿宋_GB2312" w:cs="Times New Roman"/>
          <w:b w:val="0"/>
          <w:bCs w:val="0"/>
          <w:kern w:val="2"/>
          <w:sz w:val="32"/>
          <w:szCs w:val="32"/>
        </w:rPr>
      </w:pPr>
      <w:bookmarkStart w:id="84" w:name="_Toc1165"/>
      <w:bookmarkStart w:id="85" w:name="_Toc8535"/>
      <w:r>
        <w:rPr>
          <w:rFonts w:hint="eastAsia" w:ascii="仿宋_GB2312" w:hAnsi="Times New Roman" w:eastAsia="仿宋_GB2312" w:cs="Times New Roman"/>
          <w:kern w:val="2"/>
          <w:sz w:val="32"/>
          <w:szCs w:val="32"/>
        </w:rPr>
        <w:t>附件</w:t>
      </w:r>
      <w:bookmarkEnd w:id="83"/>
      <w:r>
        <w:rPr>
          <w:rFonts w:hint="eastAsia" w:ascii="仿宋_GB2312" w:hAnsi="Times New Roman" w:eastAsia="仿宋_GB2312" w:cs="Times New Roman"/>
          <w:kern w:val="2"/>
          <w:sz w:val="32"/>
          <w:szCs w:val="32"/>
        </w:rPr>
        <w:t>：</w:t>
      </w:r>
      <w:bookmarkEnd w:id="84"/>
      <w:bookmarkEnd w:id="85"/>
      <w:bookmarkStart w:id="86" w:name="_Toc1814"/>
      <w:bookmarkStart w:id="87" w:name="_Toc8943"/>
      <w:r>
        <w:rPr>
          <w:rFonts w:hint="default" w:ascii="仿宋_GB2312" w:hAnsi="Times New Roman" w:eastAsia="仿宋_GB2312" w:cs="Times New Roman"/>
          <w:b w:val="0"/>
          <w:bCs w:val="0"/>
          <w:kern w:val="2"/>
          <w:sz w:val="32"/>
          <w:szCs w:val="32"/>
        </w:rPr>
        <w:t>专家</w:t>
      </w:r>
      <w:r>
        <w:rPr>
          <w:rFonts w:hint="eastAsia" w:ascii="仿宋_GB2312" w:hAnsi="Times New Roman" w:eastAsia="仿宋_GB2312" w:cs="Times New Roman"/>
          <w:b w:val="0"/>
          <w:bCs w:val="0"/>
          <w:kern w:val="2"/>
          <w:sz w:val="32"/>
          <w:szCs w:val="32"/>
          <w:lang w:eastAsia="zh-CN"/>
        </w:rPr>
        <w:t>评分</w:t>
      </w:r>
      <w:r>
        <w:rPr>
          <w:rFonts w:hint="default" w:ascii="仿宋_GB2312" w:hAnsi="Times New Roman" w:eastAsia="仿宋_GB2312" w:cs="Times New Roman"/>
          <w:b w:val="0"/>
          <w:bCs w:val="0"/>
          <w:kern w:val="2"/>
          <w:sz w:val="32"/>
          <w:szCs w:val="32"/>
        </w:rPr>
        <w:t>汇总</w:t>
      </w:r>
      <w:r>
        <w:rPr>
          <w:rFonts w:hint="eastAsia" w:ascii="仿宋_GB2312" w:hAnsi="Times New Roman" w:eastAsia="仿宋_GB2312" w:cs="Times New Roman"/>
          <w:b w:val="0"/>
          <w:bCs w:val="0"/>
          <w:kern w:val="2"/>
          <w:sz w:val="32"/>
          <w:szCs w:val="32"/>
          <w:lang w:eastAsia="zh-CN"/>
        </w:rPr>
        <w:t>表</w:t>
      </w:r>
      <w:bookmarkEnd w:id="86"/>
      <w:bookmarkEnd w:id="87"/>
    </w:p>
    <w:p>
      <w:pPr>
        <w:widowControl/>
        <w:jc w:val="left"/>
      </w:pPr>
      <w:r>
        <w:br w:type="page"/>
      </w:r>
    </w:p>
    <w:p>
      <w:pPr>
        <w:spacing w:line="660" w:lineRule="exact"/>
        <w:jc w:val="both"/>
        <w:outlineLvl w:val="9"/>
        <w:rPr>
          <w:rFonts w:ascii="仿宋_GB2312" w:eastAsia="黑体"/>
          <w:b/>
          <w:bCs/>
          <w:sz w:val="36"/>
          <w:szCs w:val="36"/>
        </w:rPr>
      </w:pPr>
      <w:r>
        <w:rPr>
          <w:rFonts w:hint="eastAsia" w:ascii="仿宋" w:hAnsi="仿宋" w:eastAsia="仿宋" w:cs="仿宋"/>
          <w:sz w:val="32"/>
          <w:szCs w:val="32"/>
        </w:rPr>
        <w:t>附件</w:t>
      </w:r>
    </w:p>
    <w:p>
      <w:pPr>
        <w:widowControl/>
        <w:numPr>
          <w:ilvl w:val="-1"/>
          <w:numId w:val="0"/>
        </w:numPr>
        <w:spacing w:before="0" w:beforeLines="0" w:after="0" w:afterLines="0"/>
        <w:ind w:left="0" w:leftChars="0" w:right="0" w:rightChars="0"/>
        <w:jc w:val="center"/>
        <w:rPr>
          <w:sz w:val="32"/>
          <w:szCs w:val="32"/>
        </w:rPr>
      </w:pPr>
      <w:bookmarkStart w:id="88" w:name="_Toc17082"/>
      <w:bookmarkStart w:id="89" w:name="_Toc7630"/>
      <w:r>
        <w:rPr>
          <w:rFonts w:hint="eastAsia" w:ascii="黑体" w:hAnsi="黑体"/>
          <w:b/>
          <w:sz w:val="32"/>
          <w:szCs w:val="32"/>
        </w:rPr>
        <w:t>专家评分汇总表</w:t>
      </w:r>
      <w:bookmarkEnd w:id="88"/>
      <w:bookmarkEnd w:id="89"/>
    </w:p>
    <w:tbl>
      <w:tblPr>
        <w:tblStyle w:val="11"/>
        <w:tblW w:w="8640" w:type="dxa"/>
        <w:tblInd w:w="96" w:type="dxa"/>
        <w:tblLayout w:type="fixed"/>
        <w:tblCellMar>
          <w:top w:w="0" w:type="dxa"/>
          <w:left w:w="108" w:type="dxa"/>
          <w:bottom w:w="0" w:type="dxa"/>
          <w:right w:w="108" w:type="dxa"/>
        </w:tblCellMar>
      </w:tblPr>
      <w:tblGrid>
        <w:gridCol w:w="575"/>
        <w:gridCol w:w="1788"/>
        <w:gridCol w:w="725"/>
        <w:gridCol w:w="875"/>
        <w:gridCol w:w="937"/>
        <w:gridCol w:w="860"/>
        <w:gridCol w:w="960"/>
        <w:gridCol w:w="960"/>
        <w:gridCol w:w="960"/>
      </w:tblGrid>
      <w:tr>
        <w:tblPrEx>
          <w:tblCellMar>
            <w:top w:w="0" w:type="dxa"/>
            <w:left w:w="108" w:type="dxa"/>
            <w:bottom w:w="0" w:type="dxa"/>
            <w:right w:w="108" w:type="dxa"/>
          </w:tblCellMar>
        </w:tblPrEx>
        <w:trPr>
          <w:trHeight w:val="386" w:hRule="atLeast"/>
        </w:trPr>
        <w:tc>
          <w:tcPr>
            <w:tcW w:w="3088"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　</w:t>
            </w:r>
            <w:r>
              <w:rPr>
                <w:rStyle w:val="23"/>
              </w:rPr>
              <w:t>评价指标及分值</w:t>
            </w:r>
          </w:p>
        </w:tc>
        <w:tc>
          <w:tcPr>
            <w:tcW w:w="5552" w:type="dxa"/>
            <w:gridSpan w:val="6"/>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ascii="等线" w:hAnsi="等线" w:eastAsia="等线" w:cs="等线"/>
                <w:b/>
                <w:bCs/>
                <w:color w:val="000000"/>
                <w:sz w:val="20"/>
                <w:szCs w:val="20"/>
              </w:rPr>
            </w:pPr>
            <w:r>
              <w:rPr>
                <w:rFonts w:hint="eastAsia" w:ascii="等线" w:hAnsi="等线" w:eastAsia="等线" w:cs="等线"/>
                <w:b/>
                <w:bCs/>
                <w:color w:val="000000"/>
                <w:kern w:val="0"/>
                <w:sz w:val="20"/>
                <w:szCs w:val="20"/>
              </w:rPr>
              <w:t>专家评分汇总</w:t>
            </w:r>
          </w:p>
        </w:tc>
      </w:tr>
      <w:tr>
        <w:tblPrEx>
          <w:tblCellMar>
            <w:top w:w="0" w:type="dxa"/>
            <w:left w:w="108" w:type="dxa"/>
            <w:bottom w:w="0" w:type="dxa"/>
            <w:right w:w="108" w:type="dxa"/>
          </w:tblCellMar>
        </w:tblPrEx>
        <w:trPr>
          <w:trHeight w:val="386" w:hRule="atLeast"/>
        </w:trPr>
        <w:tc>
          <w:tcPr>
            <w:tcW w:w="2363" w:type="dxa"/>
            <w:gridSpan w:val="2"/>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　</w:t>
            </w:r>
            <w:r>
              <w:rPr>
                <w:rStyle w:val="23"/>
              </w:rPr>
              <w:t>评价指标</w:t>
            </w:r>
          </w:p>
        </w:tc>
        <w:tc>
          <w:tcPr>
            <w:tcW w:w="72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等线" w:hAnsi="等线" w:eastAsia="等线" w:cs="等线"/>
                <w:b/>
                <w:bCs/>
                <w:color w:val="000000"/>
                <w:sz w:val="20"/>
                <w:szCs w:val="20"/>
              </w:rPr>
            </w:pPr>
            <w:r>
              <w:rPr>
                <w:rFonts w:hint="eastAsia" w:ascii="等线" w:hAnsi="等线" w:eastAsia="等线" w:cs="等线"/>
                <w:b/>
                <w:bCs/>
                <w:color w:val="000000"/>
                <w:kern w:val="0"/>
                <w:sz w:val="20"/>
                <w:szCs w:val="20"/>
              </w:rPr>
              <w:t>分值</w:t>
            </w:r>
          </w:p>
        </w:tc>
        <w:tc>
          <w:tcPr>
            <w:tcW w:w="87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等线" w:hAnsi="等线" w:eastAsia="等线" w:cs="等线"/>
                <w:b/>
                <w:bCs/>
                <w:color w:val="000000"/>
                <w:sz w:val="20"/>
                <w:szCs w:val="20"/>
              </w:rPr>
            </w:pPr>
            <w:r>
              <w:rPr>
                <w:rFonts w:hint="eastAsia" w:ascii="等线" w:hAnsi="等线" w:eastAsia="等线" w:cs="等线"/>
                <w:b/>
                <w:bCs/>
                <w:color w:val="000000"/>
                <w:kern w:val="0"/>
                <w:sz w:val="20"/>
                <w:szCs w:val="20"/>
              </w:rPr>
              <w:t>专家</w:t>
            </w:r>
            <w:r>
              <w:rPr>
                <w:rStyle w:val="24"/>
                <w:rFonts w:hint="default"/>
              </w:rPr>
              <w:t>1</w:t>
            </w:r>
          </w:p>
        </w:tc>
        <w:tc>
          <w:tcPr>
            <w:tcW w:w="937"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等线" w:hAnsi="等线" w:eastAsia="等线" w:cs="等线"/>
                <w:b/>
                <w:bCs/>
                <w:color w:val="000000"/>
                <w:sz w:val="20"/>
                <w:szCs w:val="20"/>
              </w:rPr>
            </w:pPr>
            <w:r>
              <w:rPr>
                <w:rFonts w:hint="eastAsia" w:ascii="等线" w:hAnsi="等线" w:eastAsia="等线" w:cs="等线"/>
                <w:b/>
                <w:bCs/>
                <w:color w:val="000000"/>
                <w:kern w:val="0"/>
                <w:sz w:val="20"/>
                <w:szCs w:val="20"/>
              </w:rPr>
              <w:t>专家</w:t>
            </w:r>
            <w:r>
              <w:rPr>
                <w:rStyle w:val="24"/>
                <w:rFonts w:hint="default"/>
              </w:rPr>
              <w:t>2</w:t>
            </w:r>
          </w:p>
        </w:tc>
        <w:tc>
          <w:tcPr>
            <w:tcW w:w="8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等线" w:hAnsi="等线" w:eastAsia="等线" w:cs="等线"/>
                <w:b/>
                <w:bCs/>
                <w:color w:val="000000"/>
                <w:sz w:val="20"/>
                <w:szCs w:val="20"/>
              </w:rPr>
            </w:pPr>
            <w:r>
              <w:rPr>
                <w:rFonts w:hint="eastAsia" w:ascii="等线" w:hAnsi="等线" w:eastAsia="等线" w:cs="等线"/>
                <w:b/>
                <w:bCs/>
                <w:color w:val="000000"/>
                <w:kern w:val="0"/>
                <w:sz w:val="20"/>
                <w:szCs w:val="20"/>
              </w:rPr>
              <w:t>专家</w:t>
            </w:r>
            <w:r>
              <w:rPr>
                <w:rStyle w:val="24"/>
                <w:rFonts w:hint="default"/>
              </w:rPr>
              <w:t>3</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等线" w:hAnsi="等线" w:eastAsia="等线" w:cs="等线"/>
                <w:b/>
                <w:bCs/>
                <w:color w:val="000000"/>
                <w:sz w:val="20"/>
                <w:szCs w:val="20"/>
              </w:rPr>
            </w:pPr>
            <w:r>
              <w:rPr>
                <w:rFonts w:hint="eastAsia" w:ascii="等线" w:hAnsi="等线" w:eastAsia="等线" w:cs="等线"/>
                <w:b/>
                <w:bCs/>
                <w:color w:val="000000"/>
                <w:kern w:val="0"/>
                <w:sz w:val="20"/>
                <w:szCs w:val="20"/>
              </w:rPr>
              <w:t>专家</w:t>
            </w:r>
            <w:r>
              <w:rPr>
                <w:rStyle w:val="24"/>
                <w:rFonts w:hint="default"/>
              </w:rPr>
              <w:t>4</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等线" w:hAnsi="等线" w:eastAsia="等线" w:cs="等线"/>
                <w:b/>
                <w:bCs/>
                <w:color w:val="000000"/>
                <w:sz w:val="20"/>
                <w:szCs w:val="20"/>
              </w:rPr>
            </w:pPr>
            <w:r>
              <w:rPr>
                <w:rFonts w:hint="eastAsia" w:ascii="等线" w:hAnsi="等线" w:eastAsia="等线" w:cs="等线"/>
                <w:b/>
                <w:bCs/>
                <w:color w:val="000000"/>
                <w:kern w:val="0"/>
                <w:sz w:val="20"/>
                <w:szCs w:val="20"/>
              </w:rPr>
              <w:t>专家</w:t>
            </w:r>
            <w:r>
              <w:rPr>
                <w:rStyle w:val="24"/>
                <w:rFonts w:hint="default"/>
              </w:rPr>
              <w:t>5</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等线" w:hAnsi="等线" w:eastAsia="等线" w:cs="等线"/>
                <w:b/>
                <w:bCs/>
                <w:color w:val="000000"/>
                <w:sz w:val="20"/>
                <w:szCs w:val="20"/>
              </w:rPr>
            </w:pPr>
            <w:r>
              <w:rPr>
                <w:rFonts w:hint="eastAsia" w:ascii="等线" w:hAnsi="等线" w:eastAsia="等线" w:cs="等线"/>
                <w:b/>
                <w:bCs/>
                <w:color w:val="000000"/>
                <w:kern w:val="0"/>
                <w:sz w:val="20"/>
                <w:szCs w:val="20"/>
              </w:rPr>
              <w:t>平均</w:t>
            </w:r>
          </w:p>
        </w:tc>
      </w:tr>
      <w:tr>
        <w:tblPrEx>
          <w:tblCellMar>
            <w:top w:w="0" w:type="dxa"/>
            <w:left w:w="108" w:type="dxa"/>
            <w:bottom w:w="0" w:type="dxa"/>
            <w:right w:w="108" w:type="dxa"/>
          </w:tblCellMar>
        </w:tblPrEx>
        <w:trPr>
          <w:trHeight w:val="386" w:hRule="atLeast"/>
        </w:trPr>
        <w:tc>
          <w:tcPr>
            <w:tcW w:w="575"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等线" w:hAnsi="等线" w:eastAsia="等线" w:cs="等线"/>
                <w:b/>
                <w:bCs/>
                <w:color w:val="000000"/>
                <w:sz w:val="20"/>
                <w:szCs w:val="20"/>
              </w:rPr>
            </w:pPr>
            <w:r>
              <w:rPr>
                <w:rFonts w:hint="eastAsia" w:ascii="等线" w:hAnsi="等线" w:eastAsia="等线" w:cs="等线"/>
                <w:b/>
                <w:bCs/>
                <w:color w:val="000000"/>
                <w:kern w:val="0"/>
                <w:sz w:val="20"/>
                <w:szCs w:val="20"/>
              </w:rPr>
              <w:t>决策</w:t>
            </w:r>
          </w:p>
        </w:tc>
        <w:tc>
          <w:tcPr>
            <w:tcW w:w="1788" w:type="dxa"/>
            <w:tcBorders>
              <w:top w:val="nil"/>
              <w:left w:val="nil"/>
              <w:bottom w:val="single" w:color="000000" w:sz="8" w:space="0"/>
              <w:right w:val="single" w:color="000000" w:sz="8" w:space="0"/>
            </w:tcBorders>
            <w:shd w:val="clear" w:color="auto" w:fill="auto"/>
            <w:vAlign w:val="center"/>
          </w:tcPr>
          <w:p>
            <w:pPr>
              <w:widowControl/>
              <w:textAlignment w:val="center"/>
              <w:rPr>
                <w:rFonts w:ascii="等线" w:hAnsi="等线" w:eastAsia="等线" w:cs="等线"/>
                <w:b/>
                <w:bCs/>
                <w:color w:val="000000"/>
                <w:sz w:val="20"/>
                <w:szCs w:val="20"/>
              </w:rPr>
            </w:pPr>
            <w:r>
              <w:rPr>
                <w:rFonts w:hint="eastAsia" w:ascii="等线" w:hAnsi="等线" w:eastAsia="等线" w:cs="等线"/>
                <w:b/>
                <w:bCs/>
                <w:color w:val="000000"/>
                <w:kern w:val="0"/>
                <w:sz w:val="20"/>
                <w:szCs w:val="20"/>
              </w:rPr>
              <w:t>项目立项</w:t>
            </w:r>
          </w:p>
        </w:tc>
        <w:tc>
          <w:tcPr>
            <w:tcW w:w="72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3</w:t>
            </w:r>
          </w:p>
        </w:tc>
        <w:tc>
          <w:tcPr>
            <w:tcW w:w="87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3</w:t>
            </w:r>
          </w:p>
        </w:tc>
        <w:tc>
          <w:tcPr>
            <w:tcW w:w="937"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3</w:t>
            </w:r>
          </w:p>
        </w:tc>
        <w:tc>
          <w:tcPr>
            <w:tcW w:w="8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3</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3</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3</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3</w:t>
            </w:r>
          </w:p>
        </w:tc>
      </w:tr>
      <w:tr>
        <w:tblPrEx>
          <w:tblCellMar>
            <w:top w:w="0" w:type="dxa"/>
            <w:left w:w="108" w:type="dxa"/>
            <w:bottom w:w="0" w:type="dxa"/>
            <w:right w:w="108" w:type="dxa"/>
          </w:tblCellMar>
        </w:tblPrEx>
        <w:trPr>
          <w:trHeight w:val="386" w:hRule="atLeast"/>
        </w:trPr>
        <w:tc>
          <w:tcPr>
            <w:tcW w:w="57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等线" w:hAnsi="等线" w:eastAsia="等线" w:cs="等线"/>
                <w:b/>
                <w:bCs/>
                <w:color w:val="000000"/>
                <w:sz w:val="20"/>
                <w:szCs w:val="20"/>
              </w:rPr>
            </w:pPr>
          </w:p>
        </w:tc>
        <w:tc>
          <w:tcPr>
            <w:tcW w:w="1788"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等线" w:hAnsi="等线" w:eastAsia="等线" w:cs="等线"/>
                <w:color w:val="000000"/>
                <w:szCs w:val="21"/>
              </w:rPr>
            </w:pPr>
            <w:r>
              <w:rPr>
                <w:rFonts w:hint="eastAsia" w:ascii="等线" w:hAnsi="等线" w:eastAsia="等线" w:cs="等线"/>
                <w:color w:val="000000"/>
                <w:kern w:val="0"/>
                <w:szCs w:val="21"/>
              </w:rPr>
              <w:t>立项依据充分性</w:t>
            </w:r>
          </w:p>
        </w:tc>
        <w:tc>
          <w:tcPr>
            <w:tcW w:w="72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2</w:t>
            </w:r>
          </w:p>
        </w:tc>
        <w:tc>
          <w:tcPr>
            <w:tcW w:w="87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2</w:t>
            </w:r>
          </w:p>
        </w:tc>
        <w:tc>
          <w:tcPr>
            <w:tcW w:w="937"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2</w:t>
            </w:r>
          </w:p>
        </w:tc>
        <w:tc>
          <w:tcPr>
            <w:tcW w:w="8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2</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2</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2</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2</w:t>
            </w:r>
          </w:p>
        </w:tc>
      </w:tr>
      <w:tr>
        <w:tblPrEx>
          <w:tblCellMar>
            <w:top w:w="0" w:type="dxa"/>
            <w:left w:w="108" w:type="dxa"/>
            <w:bottom w:w="0" w:type="dxa"/>
            <w:right w:w="108" w:type="dxa"/>
          </w:tblCellMar>
        </w:tblPrEx>
        <w:trPr>
          <w:trHeight w:val="386" w:hRule="atLeast"/>
        </w:trPr>
        <w:tc>
          <w:tcPr>
            <w:tcW w:w="57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等线" w:hAnsi="等线" w:eastAsia="等线" w:cs="等线"/>
                <w:b/>
                <w:bCs/>
                <w:color w:val="000000"/>
                <w:sz w:val="20"/>
                <w:szCs w:val="20"/>
              </w:rPr>
            </w:pPr>
          </w:p>
        </w:tc>
        <w:tc>
          <w:tcPr>
            <w:tcW w:w="1788"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等线" w:hAnsi="等线" w:eastAsia="等线" w:cs="等线"/>
                <w:color w:val="000000"/>
                <w:szCs w:val="21"/>
              </w:rPr>
            </w:pPr>
            <w:r>
              <w:rPr>
                <w:rFonts w:hint="eastAsia" w:ascii="等线" w:hAnsi="等线" w:eastAsia="等线" w:cs="等线"/>
                <w:color w:val="000000"/>
                <w:kern w:val="0"/>
                <w:szCs w:val="21"/>
              </w:rPr>
              <w:t>立项程序规范性</w:t>
            </w:r>
          </w:p>
        </w:tc>
        <w:tc>
          <w:tcPr>
            <w:tcW w:w="72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w:t>
            </w:r>
          </w:p>
        </w:tc>
        <w:tc>
          <w:tcPr>
            <w:tcW w:w="87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w:t>
            </w:r>
          </w:p>
        </w:tc>
        <w:tc>
          <w:tcPr>
            <w:tcW w:w="937"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w:t>
            </w:r>
          </w:p>
        </w:tc>
        <w:tc>
          <w:tcPr>
            <w:tcW w:w="8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w:t>
            </w:r>
          </w:p>
        </w:tc>
      </w:tr>
      <w:tr>
        <w:tblPrEx>
          <w:tblCellMar>
            <w:top w:w="0" w:type="dxa"/>
            <w:left w:w="108" w:type="dxa"/>
            <w:bottom w:w="0" w:type="dxa"/>
            <w:right w:w="108" w:type="dxa"/>
          </w:tblCellMar>
        </w:tblPrEx>
        <w:trPr>
          <w:trHeight w:val="386" w:hRule="atLeast"/>
        </w:trPr>
        <w:tc>
          <w:tcPr>
            <w:tcW w:w="57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等线" w:hAnsi="等线" w:eastAsia="等线" w:cs="等线"/>
                <w:b/>
                <w:bCs/>
                <w:color w:val="000000"/>
                <w:sz w:val="20"/>
                <w:szCs w:val="20"/>
              </w:rPr>
            </w:pPr>
          </w:p>
        </w:tc>
        <w:tc>
          <w:tcPr>
            <w:tcW w:w="1788" w:type="dxa"/>
            <w:tcBorders>
              <w:top w:val="nil"/>
              <w:left w:val="nil"/>
              <w:bottom w:val="single" w:color="000000" w:sz="8" w:space="0"/>
              <w:right w:val="single" w:color="000000" w:sz="8" w:space="0"/>
            </w:tcBorders>
            <w:shd w:val="clear" w:color="auto" w:fill="auto"/>
            <w:vAlign w:val="center"/>
          </w:tcPr>
          <w:p>
            <w:pPr>
              <w:widowControl/>
              <w:textAlignment w:val="center"/>
              <w:rPr>
                <w:rFonts w:ascii="等线" w:hAnsi="等线" w:eastAsia="等线" w:cs="等线"/>
                <w:b/>
                <w:bCs/>
                <w:color w:val="000000"/>
                <w:sz w:val="20"/>
                <w:szCs w:val="20"/>
              </w:rPr>
            </w:pPr>
            <w:r>
              <w:rPr>
                <w:rFonts w:hint="eastAsia" w:ascii="等线" w:hAnsi="等线" w:eastAsia="等线" w:cs="等线"/>
                <w:b/>
                <w:bCs/>
                <w:color w:val="000000"/>
                <w:kern w:val="0"/>
                <w:sz w:val="20"/>
                <w:szCs w:val="20"/>
              </w:rPr>
              <w:t>绩效目标</w:t>
            </w:r>
          </w:p>
        </w:tc>
        <w:tc>
          <w:tcPr>
            <w:tcW w:w="72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4</w:t>
            </w:r>
          </w:p>
        </w:tc>
        <w:tc>
          <w:tcPr>
            <w:tcW w:w="87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3.3</w:t>
            </w:r>
          </w:p>
        </w:tc>
        <w:tc>
          <w:tcPr>
            <w:tcW w:w="937"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3.5</w:t>
            </w:r>
          </w:p>
        </w:tc>
        <w:tc>
          <w:tcPr>
            <w:tcW w:w="8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2.8</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3</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3.6</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3.24</w:t>
            </w:r>
          </w:p>
        </w:tc>
      </w:tr>
      <w:tr>
        <w:tblPrEx>
          <w:tblCellMar>
            <w:top w:w="0" w:type="dxa"/>
            <w:left w:w="108" w:type="dxa"/>
            <w:bottom w:w="0" w:type="dxa"/>
            <w:right w:w="108" w:type="dxa"/>
          </w:tblCellMar>
        </w:tblPrEx>
        <w:trPr>
          <w:trHeight w:val="386" w:hRule="atLeast"/>
        </w:trPr>
        <w:tc>
          <w:tcPr>
            <w:tcW w:w="57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等线" w:hAnsi="等线" w:eastAsia="等线" w:cs="等线"/>
                <w:b/>
                <w:bCs/>
                <w:color w:val="000000"/>
                <w:sz w:val="20"/>
                <w:szCs w:val="20"/>
              </w:rPr>
            </w:pPr>
          </w:p>
        </w:tc>
        <w:tc>
          <w:tcPr>
            <w:tcW w:w="1788"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等线" w:hAnsi="等线" w:eastAsia="等线" w:cs="等线"/>
                <w:color w:val="000000"/>
                <w:sz w:val="20"/>
                <w:szCs w:val="20"/>
              </w:rPr>
            </w:pPr>
            <w:r>
              <w:rPr>
                <w:rFonts w:hint="eastAsia" w:ascii="等线" w:hAnsi="等线" w:eastAsia="等线" w:cs="等线"/>
                <w:color w:val="000000"/>
                <w:kern w:val="0"/>
                <w:sz w:val="20"/>
                <w:szCs w:val="20"/>
              </w:rPr>
              <w:t>绩效目标合理性</w:t>
            </w:r>
          </w:p>
        </w:tc>
        <w:tc>
          <w:tcPr>
            <w:tcW w:w="72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2</w:t>
            </w:r>
          </w:p>
        </w:tc>
        <w:tc>
          <w:tcPr>
            <w:tcW w:w="87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1.6</w:t>
            </w:r>
          </w:p>
        </w:tc>
        <w:tc>
          <w:tcPr>
            <w:tcW w:w="937"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1.6</w:t>
            </w:r>
          </w:p>
        </w:tc>
        <w:tc>
          <w:tcPr>
            <w:tcW w:w="8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1.3</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1.6</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2</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1.62</w:t>
            </w:r>
          </w:p>
        </w:tc>
      </w:tr>
      <w:tr>
        <w:tblPrEx>
          <w:tblCellMar>
            <w:top w:w="0" w:type="dxa"/>
            <w:left w:w="108" w:type="dxa"/>
            <w:bottom w:w="0" w:type="dxa"/>
            <w:right w:w="108" w:type="dxa"/>
          </w:tblCellMar>
        </w:tblPrEx>
        <w:trPr>
          <w:trHeight w:val="386" w:hRule="atLeast"/>
        </w:trPr>
        <w:tc>
          <w:tcPr>
            <w:tcW w:w="57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等线" w:hAnsi="等线" w:eastAsia="等线" w:cs="等线"/>
                <w:b/>
                <w:bCs/>
                <w:color w:val="000000"/>
                <w:sz w:val="20"/>
                <w:szCs w:val="20"/>
              </w:rPr>
            </w:pPr>
          </w:p>
        </w:tc>
        <w:tc>
          <w:tcPr>
            <w:tcW w:w="1788"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等线" w:hAnsi="等线" w:eastAsia="等线" w:cs="等线"/>
                <w:color w:val="000000"/>
                <w:sz w:val="20"/>
                <w:szCs w:val="20"/>
              </w:rPr>
            </w:pPr>
            <w:r>
              <w:rPr>
                <w:rFonts w:hint="eastAsia" w:ascii="等线" w:hAnsi="等线" w:eastAsia="等线" w:cs="等线"/>
                <w:color w:val="000000"/>
                <w:kern w:val="0"/>
                <w:sz w:val="20"/>
                <w:szCs w:val="20"/>
              </w:rPr>
              <w:t>绩效指标明确性</w:t>
            </w:r>
          </w:p>
        </w:tc>
        <w:tc>
          <w:tcPr>
            <w:tcW w:w="72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2</w:t>
            </w:r>
          </w:p>
        </w:tc>
        <w:tc>
          <w:tcPr>
            <w:tcW w:w="87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1.7</w:t>
            </w:r>
          </w:p>
        </w:tc>
        <w:tc>
          <w:tcPr>
            <w:tcW w:w="937"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1.9</w:t>
            </w:r>
          </w:p>
        </w:tc>
        <w:tc>
          <w:tcPr>
            <w:tcW w:w="8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1.5</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1.4</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1.6</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1.62</w:t>
            </w:r>
          </w:p>
        </w:tc>
      </w:tr>
      <w:tr>
        <w:tblPrEx>
          <w:tblCellMar>
            <w:top w:w="0" w:type="dxa"/>
            <w:left w:w="108" w:type="dxa"/>
            <w:bottom w:w="0" w:type="dxa"/>
            <w:right w:w="108" w:type="dxa"/>
          </w:tblCellMar>
        </w:tblPrEx>
        <w:trPr>
          <w:trHeight w:val="386" w:hRule="atLeast"/>
        </w:trPr>
        <w:tc>
          <w:tcPr>
            <w:tcW w:w="57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等线" w:hAnsi="等线" w:eastAsia="等线" w:cs="等线"/>
                <w:b/>
                <w:bCs/>
                <w:color w:val="000000"/>
                <w:sz w:val="20"/>
                <w:szCs w:val="20"/>
              </w:rPr>
            </w:pPr>
          </w:p>
        </w:tc>
        <w:tc>
          <w:tcPr>
            <w:tcW w:w="1788" w:type="dxa"/>
            <w:tcBorders>
              <w:top w:val="nil"/>
              <w:left w:val="nil"/>
              <w:bottom w:val="single" w:color="000000" w:sz="8" w:space="0"/>
              <w:right w:val="single" w:color="000000" w:sz="8" w:space="0"/>
            </w:tcBorders>
            <w:shd w:val="clear" w:color="auto" w:fill="auto"/>
            <w:vAlign w:val="center"/>
          </w:tcPr>
          <w:p>
            <w:pPr>
              <w:widowControl/>
              <w:textAlignment w:val="center"/>
              <w:rPr>
                <w:rFonts w:ascii="等线" w:hAnsi="等线" w:eastAsia="等线" w:cs="等线"/>
                <w:b/>
                <w:bCs/>
                <w:color w:val="000000"/>
                <w:sz w:val="20"/>
                <w:szCs w:val="20"/>
              </w:rPr>
            </w:pPr>
            <w:r>
              <w:rPr>
                <w:rFonts w:hint="eastAsia" w:ascii="等线" w:hAnsi="等线" w:eastAsia="等线" w:cs="等线"/>
                <w:b/>
                <w:bCs/>
                <w:color w:val="000000"/>
                <w:kern w:val="0"/>
                <w:sz w:val="20"/>
                <w:szCs w:val="20"/>
              </w:rPr>
              <w:t>资金投入</w:t>
            </w:r>
          </w:p>
        </w:tc>
        <w:tc>
          <w:tcPr>
            <w:tcW w:w="72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3</w:t>
            </w:r>
          </w:p>
        </w:tc>
        <w:tc>
          <w:tcPr>
            <w:tcW w:w="87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3</w:t>
            </w:r>
          </w:p>
        </w:tc>
        <w:tc>
          <w:tcPr>
            <w:tcW w:w="937"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2.8</w:t>
            </w:r>
          </w:p>
        </w:tc>
        <w:tc>
          <w:tcPr>
            <w:tcW w:w="8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3</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2.4</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2.3</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2.7</w:t>
            </w:r>
          </w:p>
        </w:tc>
      </w:tr>
      <w:tr>
        <w:tblPrEx>
          <w:tblCellMar>
            <w:top w:w="0" w:type="dxa"/>
            <w:left w:w="108" w:type="dxa"/>
            <w:bottom w:w="0" w:type="dxa"/>
            <w:right w:w="108" w:type="dxa"/>
          </w:tblCellMar>
        </w:tblPrEx>
        <w:trPr>
          <w:trHeight w:val="386" w:hRule="atLeast"/>
        </w:trPr>
        <w:tc>
          <w:tcPr>
            <w:tcW w:w="57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等线" w:hAnsi="等线" w:eastAsia="等线" w:cs="等线"/>
                <w:b/>
                <w:bCs/>
                <w:color w:val="000000"/>
                <w:sz w:val="20"/>
                <w:szCs w:val="20"/>
              </w:rPr>
            </w:pPr>
          </w:p>
        </w:tc>
        <w:tc>
          <w:tcPr>
            <w:tcW w:w="1788"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等线" w:hAnsi="等线" w:eastAsia="等线" w:cs="等线"/>
                <w:color w:val="000000"/>
                <w:sz w:val="20"/>
                <w:szCs w:val="20"/>
              </w:rPr>
            </w:pPr>
            <w:r>
              <w:rPr>
                <w:rFonts w:hint="eastAsia" w:ascii="等线" w:hAnsi="等线" w:eastAsia="等线" w:cs="等线"/>
                <w:color w:val="000000"/>
                <w:kern w:val="0"/>
                <w:sz w:val="20"/>
                <w:szCs w:val="20"/>
              </w:rPr>
              <w:t>预算编制科学性</w:t>
            </w:r>
          </w:p>
        </w:tc>
        <w:tc>
          <w:tcPr>
            <w:tcW w:w="72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2</w:t>
            </w:r>
          </w:p>
        </w:tc>
        <w:tc>
          <w:tcPr>
            <w:tcW w:w="87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2</w:t>
            </w:r>
          </w:p>
        </w:tc>
        <w:tc>
          <w:tcPr>
            <w:tcW w:w="937"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1.8</w:t>
            </w:r>
          </w:p>
        </w:tc>
        <w:tc>
          <w:tcPr>
            <w:tcW w:w="8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2</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1.4</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1.8</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1.8</w:t>
            </w:r>
          </w:p>
        </w:tc>
      </w:tr>
      <w:tr>
        <w:tblPrEx>
          <w:tblCellMar>
            <w:top w:w="0" w:type="dxa"/>
            <w:left w:w="108" w:type="dxa"/>
            <w:bottom w:w="0" w:type="dxa"/>
            <w:right w:w="108" w:type="dxa"/>
          </w:tblCellMar>
        </w:tblPrEx>
        <w:trPr>
          <w:trHeight w:val="386" w:hRule="atLeast"/>
        </w:trPr>
        <w:tc>
          <w:tcPr>
            <w:tcW w:w="57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等线" w:hAnsi="等线" w:eastAsia="等线" w:cs="等线"/>
                <w:b/>
                <w:bCs/>
                <w:color w:val="000000"/>
                <w:sz w:val="20"/>
                <w:szCs w:val="20"/>
              </w:rPr>
            </w:pPr>
          </w:p>
        </w:tc>
        <w:tc>
          <w:tcPr>
            <w:tcW w:w="1788"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等线" w:hAnsi="等线" w:eastAsia="等线" w:cs="等线"/>
                <w:color w:val="000000"/>
                <w:sz w:val="20"/>
                <w:szCs w:val="20"/>
              </w:rPr>
            </w:pPr>
            <w:r>
              <w:rPr>
                <w:rFonts w:hint="eastAsia" w:ascii="等线" w:hAnsi="等线" w:eastAsia="等线" w:cs="等线"/>
                <w:color w:val="000000"/>
                <w:kern w:val="0"/>
                <w:sz w:val="20"/>
                <w:szCs w:val="20"/>
              </w:rPr>
              <w:t>资金分配合理性</w:t>
            </w:r>
          </w:p>
        </w:tc>
        <w:tc>
          <w:tcPr>
            <w:tcW w:w="72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w:t>
            </w:r>
          </w:p>
        </w:tc>
        <w:tc>
          <w:tcPr>
            <w:tcW w:w="87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w:t>
            </w:r>
          </w:p>
        </w:tc>
        <w:tc>
          <w:tcPr>
            <w:tcW w:w="937"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w:t>
            </w:r>
          </w:p>
        </w:tc>
        <w:tc>
          <w:tcPr>
            <w:tcW w:w="8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0.5</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0.9</w:t>
            </w:r>
          </w:p>
        </w:tc>
      </w:tr>
      <w:tr>
        <w:tblPrEx>
          <w:tblCellMar>
            <w:top w:w="0" w:type="dxa"/>
            <w:left w:w="108" w:type="dxa"/>
            <w:bottom w:w="0" w:type="dxa"/>
            <w:right w:w="108" w:type="dxa"/>
          </w:tblCellMar>
        </w:tblPrEx>
        <w:trPr>
          <w:trHeight w:val="386" w:hRule="atLeast"/>
        </w:trPr>
        <w:tc>
          <w:tcPr>
            <w:tcW w:w="575"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等线" w:hAnsi="等线" w:eastAsia="等线" w:cs="等线"/>
                <w:b/>
                <w:bCs/>
                <w:color w:val="000000"/>
                <w:sz w:val="20"/>
                <w:szCs w:val="20"/>
              </w:rPr>
            </w:pPr>
            <w:r>
              <w:rPr>
                <w:rFonts w:hint="eastAsia" w:ascii="等线" w:hAnsi="等线" w:eastAsia="等线" w:cs="等线"/>
                <w:b/>
                <w:bCs/>
                <w:color w:val="000000"/>
                <w:kern w:val="0"/>
                <w:sz w:val="20"/>
                <w:szCs w:val="20"/>
              </w:rPr>
              <w:t>过程</w:t>
            </w:r>
          </w:p>
        </w:tc>
        <w:tc>
          <w:tcPr>
            <w:tcW w:w="1788" w:type="dxa"/>
            <w:tcBorders>
              <w:top w:val="nil"/>
              <w:left w:val="nil"/>
              <w:bottom w:val="single" w:color="000000" w:sz="8" w:space="0"/>
              <w:right w:val="single" w:color="000000" w:sz="8" w:space="0"/>
            </w:tcBorders>
            <w:shd w:val="clear" w:color="auto" w:fill="auto"/>
            <w:vAlign w:val="center"/>
          </w:tcPr>
          <w:p>
            <w:pPr>
              <w:widowControl/>
              <w:textAlignment w:val="center"/>
              <w:rPr>
                <w:rFonts w:ascii="等线" w:hAnsi="等线" w:eastAsia="等线" w:cs="等线"/>
                <w:b/>
                <w:bCs/>
                <w:color w:val="000000"/>
                <w:sz w:val="20"/>
                <w:szCs w:val="20"/>
              </w:rPr>
            </w:pPr>
            <w:r>
              <w:rPr>
                <w:rFonts w:hint="eastAsia" w:ascii="等线" w:hAnsi="等线" w:eastAsia="等线" w:cs="等线"/>
                <w:b/>
                <w:bCs/>
                <w:color w:val="000000"/>
                <w:kern w:val="0"/>
                <w:sz w:val="20"/>
                <w:szCs w:val="20"/>
              </w:rPr>
              <w:t>资金管理</w:t>
            </w:r>
          </w:p>
        </w:tc>
        <w:tc>
          <w:tcPr>
            <w:tcW w:w="72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10</w:t>
            </w:r>
          </w:p>
        </w:tc>
        <w:tc>
          <w:tcPr>
            <w:tcW w:w="87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10</w:t>
            </w:r>
          </w:p>
        </w:tc>
        <w:tc>
          <w:tcPr>
            <w:tcW w:w="937"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10</w:t>
            </w:r>
          </w:p>
        </w:tc>
        <w:tc>
          <w:tcPr>
            <w:tcW w:w="8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10</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9.2</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8</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9.44</w:t>
            </w:r>
          </w:p>
        </w:tc>
      </w:tr>
      <w:tr>
        <w:tblPrEx>
          <w:tblCellMar>
            <w:top w:w="0" w:type="dxa"/>
            <w:left w:w="108" w:type="dxa"/>
            <w:bottom w:w="0" w:type="dxa"/>
            <w:right w:w="108" w:type="dxa"/>
          </w:tblCellMar>
        </w:tblPrEx>
        <w:trPr>
          <w:trHeight w:val="386" w:hRule="atLeast"/>
        </w:trPr>
        <w:tc>
          <w:tcPr>
            <w:tcW w:w="57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等线" w:hAnsi="等线" w:eastAsia="等线" w:cs="等线"/>
                <w:b/>
                <w:bCs/>
                <w:color w:val="000000"/>
                <w:sz w:val="20"/>
                <w:szCs w:val="20"/>
              </w:rPr>
            </w:pPr>
          </w:p>
        </w:tc>
        <w:tc>
          <w:tcPr>
            <w:tcW w:w="1788"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等线" w:hAnsi="等线" w:eastAsia="等线" w:cs="等线"/>
                <w:color w:val="000000"/>
                <w:sz w:val="20"/>
                <w:szCs w:val="20"/>
              </w:rPr>
            </w:pPr>
            <w:r>
              <w:rPr>
                <w:rFonts w:hint="eastAsia" w:ascii="等线" w:hAnsi="等线" w:eastAsia="等线" w:cs="等线"/>
                <w:color w:val="000000"/>
                <w:kern w:val="0"/>
                <w:sz w:val="20"/>
                <w:szCs w:val="20"/>
              </w:rPr>
              <w:t>资金到位情况</w:t>
            </w:r>
          </w:p>
        </w:tc>
        <w:tc>
          <w:tcPr>
            <w:tcW w:w="72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w:t>
            </w:r>
          </w:p>
        </w:tc>
        <w:tc>
          <w:tcPr>
            <w:tcW w:w="87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w:t>
            </w:r>
          </w:p>
        </w:tc>
        <w:tc>
          <w:tcPr>
            <w:tcW w:w="937"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w:t>
            </w:r>
          </w:p>
        </w:tc>
        <w:tc>
          <w:tcPr>
            <w:tcW w:w="8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w:t>
            </w:r>
          </w:p>
        </w:tc>
      </w:tr>
      <w:tr>
        <w:tblPrEx>
          <w:tblCellMar>
            <w:top w:w="0" w:type="dxa"/>
            <w:left w:w="108" w:type="dxa"/>
            <w:bottom w:w="0" w:type="dxa"/>
            <w:right w:w="108" w:type="dxa"/>
          </w:tblCellMar>
        </w:tblPrEx>
        <w:trPr>
          <w:trHeight w:val="386" w:hRule="atLeast"/>
        </w:trPr>
        <w:tc>
          <w:tcPr>
            <w:tcW w:w="57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等线" w:hAnsi="等线" w:eastAsia="等线" w:cs="等线"/>
                <w:b/>
                <w:bCs/>
                <w:color w:val="000000"/>
                <w:sz w:val="20"/>
                <w:szCs w:val="20"/>
              </w:rPr>
            </w:pPr>
          </w:p>
        </w:tc>
        <w:tc>
          <w:tcPr>
            <w:tcW w:w="1788"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等线" w:hAnsi="等线" w:eastAsia="等线" w:cs="等线"/>
                <w:color w:val="000000"/>
                <w:sz w:val="20"/>
                <w:szCs w:val="20"/>
              </w:rPr>
            </w:pPr>
            <w:r>
              <w:rPr>
                <w:rFonts w:hint="eastAsia" w:ascii="等线" w:hAnsi="等线" w:eastAsia="等线" w:cs="等线"/>
                <w:color w:val="000000"/>
                <w:kern w:val="0"/>
                <w:sz w:val="20"/>
                <w:szCs w:val="20"/>
              </w:rPr>
              <w:t>预算执行情况</w:t>
            </w:r>
          </w:p>
        </w:tc>
        <w:tc>
          <w:tcPr>
            <w:tcW w:w="72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4</w:t>
            </w:r>
          </w:p>
        </w:tc>
        <w:tc>
          <w:tcPr>
            <w:tcW w:w="87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4</w:t>
            </w:r>
          </w:p>
        </w:tc>
        <w:tc>
          <w:tcPr>
            <w:tcW w:w="937"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4</w:t>
            </w:r>
          </w:p>
        </w:tc>
        <w:tc>
          <w:tcPr>
            <w:tcW w:w="8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4</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3.2</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2</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3.44</w:t>
            </w:r>
          </w:p>
        </w:tc>
      </w:tr>
      <w:tr>
        <w:tblPrEx>
          <w:tblCellMar>
            <w:top w:w="0" w:type="dxa"/>
            <w:left w:w="108" w:type="dxa"/>
            <w:bottom w:w="0" w:type="dxa"/>
            <w:right w:w="108" w:type="dxa"/>
          </w:tblCellMar>
        </w:tblPrEx>
        <w:trPr>
          <w:trHeight w:val="386" w:hRule="atLeast"/>
        </w:trPr>
        <w:tc>
          <w:tcPr>
            <w:tcW w:w="57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等线" w:hAnsi="等线" w:eastAsia="等线" w:cs="等线"/>
                <w:b/>
                <w:bCs/>
                <w:color w:val="000000"/>
                <w:sz w:val="20"/>
                <w:szCs w:val="20"/>
              </w:rPr>
            </w:pPr>
          </w:p>
        </w:tc>
        <w:tc>
          <w:tcPr>
            <w:tcW w:w="1788"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等线" w:hAnsi="等线" w:eastAsia="等线" w:cs="等线"/>
                <w:color w:val="000000"/>
                <w:sz w:val="20"/>
                <w:szCs w:val="20"/>
              </w:rPr>
            </w:pPr>
            <w:r>
              <w:rPr>
                <w:rFonts w:hint="eastAsia" w:ascii="等线" w:hAnsi="等线" w:eastAsia="等线" w:cs="等线"/>
                <w:color w:val="000000"/>
                <w:kern w:val="0"/>
                <w:sz w:val="20"/>
                <w:szCs w:val="20"/>
              </w:rPr>
              <w:t>资金使用合规性</w:t>
            </w:r>
          </w:p>
        </w:tc>
        <w:tc>
          <w:tcPr>
            <w:tcW w:w="72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5</w:t>
            </w:r>
          </w:p>
        </w:tc>
        <w:tc>
          <w:tcPr>
            <w:tcW w:w="87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5</w:t>
            </w:r>
          </w:p>
        </w:tc>
        <w:tc>
          <w:tcPr>
            <w:tcW w:w="937"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5</w:t>
            </w:r>
          </w:p>
        </w:tc>
        <w:tc>
          <w:tcPr>
            <w:tcW w:w="8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5</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5</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5</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5</w:t>
            </w:r>
          </w:p>
        </w:tc>
      </w:tr>
      <w:tr>
        <w:tblPrEx>
          <w:tblCellMar>
            <w:top w:w="0" w:type="dxa"/>
            <w:left w:w="108" w:type="dxa"/>
            <w:bottom w:w="0" w:type="dxa"/>
            <w:right w:w="108" w:type="dxa"/>
          </w:tblCellMar>
        </w:tblPrEx>
        <w:trPr>
          <w:trHeight w:val="386" w:hRule="atLeast"/>
        </w:trPr>
        <w:tc>
          <w:tcPr>
            <w:tcW w:w="57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等线" w:hAnsi="等线" w:eastAsia="等线" w:cs="等线"/>
                <w:b/>
                <w:bCs/>
                <w:color w:val="000000"/>
                <w:sz w:val="20"/>
                <w:szCs w:val="20"/>
              </w:rPr>
            </w:pPr>
          </w:p>
        </w:tc>
        <w:tc>
          <w:tcPr>
            <w:tcW w:w="1788" w:type="dxa"/>
            <w:tcBorders>
              <w:top w:val="nil"/>
              <w:left w:val="nil"/>
              <w:bottom w:val="single" w:color="000000" w:sz="8" w:space="0"/>
              <w:right w:val="single" w:color="000000" w:sz="8" w:space="0"/>
            </w:tcBorders>
            <w:shd w:val="clear" w:color="auto" w:fill="auto"/>
            <w:vAlign w:val="center"/>
          </w:tcPr>
          <w:p>
            <w:pPr>
              <w:widowControl/>
              <w:textAlignment w:val="center"/>
              <w:rPr>
                <w:rFonts w:ascii="等线" w:hAnsi="等线" w:eastAsia="等线" w:cs="等线"/>
                <w:b/>
                <w:bCs/>
                <w:color w:val="000000"/>
                <w:sz w:val="20"/>
                <w:szCs w:val="20"/>
              </w:rPr>
            </w:pPr>
            <w:r>
              <w:rPr>
                <w:rFonts w:hint="eastAsia" w:ascii="等线" w:hAnsi="等线" w:eastAsia="等线" w:cs="等线"/>
                <w:b/>
                <w:bCs/>
                <w:color w:val="000000"/>
                <w:kern w:val="0"/>
                <w:sz w:val="20"/>
                <w:szCs w:val="20"/>
              </w:rPr>
              <w:t>组织实施</w:t>
            </w:r>
          </w:p>
        </w:tc>
        <w:tc>
          <w:tcPr>
            <w:tcW w:w="72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10</w:t>
            </w:r>
          </w:p>
        </w:tc>
        <w:tc>
          <w:tcPr>
            <w:tcW w:w="87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8</w:t>
            </w:r>
          </w:p>
        </w:tc>
        <w:tc>
          <w:tcPr>
            <w:tcW w:w="937"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8.5</w:t>
            </w:r>
          </w:p>
        </w:tc>
        <w:tc>
          <w:tcPr>
            <w:tcW w:w="8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9</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8.5</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10</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8.8</w:t>
            </w:r>
          </w:p>
        </w:tc>
      </w:tr>
      <w:tr>
        <w:tblPrEx>
          <w:tblCellMar>
            <w:top w:w="0" w:type="dxa"/>
            <w:left w:w="108" w:type="dxa"/>
            <w:bottom w:w="0" w:type="dxa"/>
            <w:right w:w="108" w:type="dxa"/>
          </w:tblCellMar>
        </w:tblPrEx>
        <w:trPr>
          <w:trHeight w:val="386" w:hRule="atLeast"/>
        </w:trPr>
        <w:tc>
          <w:tcPr>
            <w:tcW w:w="57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等线" w:hAnsi="等线" w:eastAsia="等线" w:cs="等线"/>
                <w:b/>
                <w:bCs/>
                <w:color w:val="000000"/>
                <w:sz w:val="20"/>
                <w:szCs w:val="20"/>
              </w:rPr>
            </w:pPr>
          </w:p>
        </w:tc>
        <w:tc>
          <w:tcPr>
            <w:tcW w:w="1788"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等线" w:hAnsi="等线" w:eastAsia="等线" w:cs="等线"/>
                <w:color w:val="000000"/>
                <w:sz w:val="20"/>
                <w:szCs w:val="20"/>
              </w:rPr>
            </w:pPr>
            <w:r>
              <w:rPr>
                <w:rFonts w:hint="eastAsia" w:ascii="等线" w:hAnsi="等线" w:eastAsia="等线" w:cs="等线"/>
                <w:color w:val="000000"/>
                <w:kern w:val="0"/>
                <w:sz w:val="20"/>
                <w:szCs w:val="20"/>
              </w:rPr>
              <w:t>管理制度健全性</w:t>
            </w:r>
          </w:p>
        </w:tc>
        <w:tc>
          <w:tcPr>
            <w:tcW w:w="72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4</w:t>
            </w:r>
          </w:p>
        </w:tc>
        <w:tc>
          <w:tcPr>
            <w:tcW w:w="87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3</w:t>
            </w:r>
          </w:p>
        </w:tc>
        <w:tc>
          <w:tcPr>
            <w:tcW w:w="937"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3</w:t>
            </w:r>
          </w:p>
        </w:tc>
        <w:tc>
          <w:tcPr>
            <w:tcW w:w="8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3.5</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3</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4</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3.3</w:t>
            </w:r>
          </w:p>
        </w:tc>
      </w:tr>
      <w:tr>
        <w:tblPrEx>
          <w:tblCellMar>
            <w:top w:w="0" w:type="dxa"/>
            <w:left w:w="108" w:type="dxa"/>
            <w:bottom w:w="0" w:type="dxa"/>
            <w:right w:w="108" w:type="dxa"/>
          </w:tblCellMar>
        </w:tblPrEx>
        <w:trPr>
          <w:trHeight w:val="386" w:hRule="atLeast"/>
        </w:trPr>
        <w:tc>
          <w:tcPr>
            <w:tcW w:w="57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等线" w:hAnsi="等线" w:eastAsia="等线" w:cs="等线"/>
                <w:b/>
                <w:bCs/>
                <w:color w:val="000000"/>
                <w:sz w:val="20"/>
                <w:szCs w:val="20"/>
              </w:rPr>
            </w:pPr>
          </w:p>
        </w:tc>
        <w:tc>
          <w:tcPr>
            <w:tcW w:w="1788"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等线" w:hAnsi="等线" w:eastAsia="等线" w:cs="等线"/>
                <w:color w:val="000000"/>
                <w:sz w:val="20"/>
                <w:szCs w:val="20"/>
              </w:rPr>
            </w:pPr>
            <w:r>
              <w:rPr>
                <w:rFonts w:hint="eastAsia" w:ascii="等线" w:hAnsi="等线" w:eastAsia="等线" w:cs="等线"/>
                <w:color w:val="000000"/>
                <w:kern w:val="0"/>
                <w:sz w:val="20"/>
                <w:szCs w:val="20"/>
              </w:rPr>
              <w:t>制度执行有效性</w:t>
            </w:r>
          </w:p>
        </w:tc>
        <w:tc>
          <w:tcPr>
            <w:tcW w:w="72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6</w:t>
            </w:r>
          </w:p>
        </w:tc>
        <w:tc>
          <w:tcPr>
            <w:tcW w:w="87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5</w:t>
            </w:r>
          </w:p>
        </w:tc>
        <w:tc>
          <w:tcPr>
            <w:tcW w:w="937"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5.5</w:t>
            </w:r>
          </w:p>
        </w:tc>
        <w:tc>
          <w:tcPr>
            <w:tcW w:w="8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5.5</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5.5</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6</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5.5</w:t>
            </w:r>
          </w:p>
        </w:tc>
      </w:tr>
      <w:tr>
        <w:tblPrEx>
          <w:tblCellMar>
            <w:top w:w="0" w:type="dxa"/>
            <w:left w:w="108" w:type="dxa"/>
            <w:bottom w:w="0" w:type="dxa"/>
            <w:right w:w="108" w:type="dxa"/>
          </w:tblCellMar>
        </w:tblPrEx>
        <w:trPr>
          <w:trHeight w:val="386" w:hRule="atLeast"/>
        </w:trPr>
        <w:tc>
          <w:tcPr>
            <w:tcW w:w="575"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等线" w:hAnsi="等线" w:eastAsia="等线" w:cs="等线"/>
                <w:b/>
                <w:bCs/>
                <w:color w:val="000000"/>
                <w:sz w:val="20"/>
                <w:szCs w:val="20"/>
              </w:rPr>
            </w:pPr>
            <w:r>
              <w:rPr>
                <w:rFonts w:hint="eastAsia" w:ascii="等线" w:hAnsi="等线" w:eastAsia="等线" w:cs="等线"/>
                <w:b/>
                <w:bCs/>
                <w:color w:val="000000"/>
                <w:kern w:val="0"/>
                <w:sz w:val="20"/>
                <w:szCs w:val="20"/>
              </w:rPr>
              <w:t>产出</w:t>
            </w:r>
          </w:p>
        </w:tc>
        <w:tc>
          <w:tcPr>
            <w:tcW w:w="1788" w:type="dxa"/>
            <w:tcBorders>
              <w:top w:val="nil"/>
              <w:left w:val="nil"/>
              <w:bottom w:val="single" w:color="000000" w:sz="8" w:space="0"/>
              <w:right w:val="single" w:color="000000" w:sz="8" w:space="0"/>
            </w:tcBorders>
            <w:shd w:val="clear" w:color="auto" w:fill="auto"/>
            <w:vAlign w:val="center"/>
          </w:tcPr>
          <w:p>
            <w:pPr>
              <w:widowControl/>
              <w:textAlignment w:val="center"/>
              <w:rPr>
                <w:rFonts w:ascii="等线" w:hAnsi="等线" w:eastAsia="等线" w:cs="等线"/>
                <w:b/>
                <w:bCs/>
                <w:color w:val="000000"/>
                <w:sz w:val="20"/>
                <w:szCs w:val="20"/>
              </w:rPr>
            </w:pPr>
            <w:r>
              <w:rPr>
                <w:rFonts w:hint="eastAsia" w:ascii="等线" w:hAnsi="等线" w:eastAsia="等线" w:cs="等线"/>
                <w:b/>
                <w:bCs/>
                <w:color w:val="000000"/>
                <w:kern w:val="0"/>
                <w:sz w:val="20"/>
                <w:szCs w:val="20"/>
              </w:rPr>
              <w:t>产出数量</w:t>
            </w:r>
          </w:p>
        </w:tc>
        <w:tc>
          <w:tcPr>
            <w:tcW w:w="72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10</w:t>
            </w:r>
          </w:p>
        </w:tc>
        <w:tc>
          <w:tcPr>
            <w:tcW w:w="87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10</w:t>
            </w:r>
          </w:p>
        </w:tc>
        <w:tc>
          <w:tcPr>
            <w:tcW w:w="937"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10</w:t>
            </w:r>
          </w:p>
        </w:tc>
        <w:tc>
          <w:tcPr>
            <w:tcW w:w="8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10</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10</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10</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10</w:t>
            </w:r>
          </w:p>
        </w:tc>
      </w:tr>
      <w:tr>
        <w:tblPrEx>
          <w:tblCellMar>
            <w:top w:w="0" w:type="dxa"/>
            <w:left w:w="108" w:type="dxa"/>
            <w:bottom w:w="0" w:type="dxa"/>
            <w:right w:w="108" w:type="dxa"/>
          </w:tblCellMar>
        </w:tblPrEx>
        <w:trPr>
          <w:trHeight w:val="386" w:hRule="atLeast"/>
        </w:trPr>
        <w:tc>
          <w:tcPr>
            <w:tcW w:w="57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等线" w:hAnsi="等线" w:eastAsia="等线" w:cs="等线"/>
                <w:b/>
                <w:bCs/>
                <w:color w:val="000000"/>
                <w:sz w:val="20"/>
                <w:szCs w:val="20"/>
              </w:rPr>
            </w:pPr>
          </w:p>
        </w:tc>
        <w:tc>
          <w:tcPr>
            <w:tcW w:w="1788"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等线" w:hAnsi="等线" w:eastAsia="等线" w:cs="等线"/>
                <w:color w:val="000000"/>
                <w:sz w:val="20"/>
                <w:szCs w:val="20"/>
              </w:rPr>
            </w:pPr>
            <w:r>
              <w:rPr>
                <w:rFonts w:hint="eastAsia" w:ascii="等线" w:hAnsi="等线" w:eastAsia="等线" w:cs="等线"/>
                <w:color w:val="000000"/>
                <w:kern w:val="0"/>
                <w:sz w:val="20"/>
                <w:szCs w:val="20"/>
              </w:rPr>
              <w:t>实际完成情况</w:t>
            </w:r>
          </w:p>
        </w:tc>
        <w:tc>
          <w:tcPr>
            <w:tcW w:w="72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10</w:t>
            </w:r>
          </w:p>
        </w:tc>
        <w:tc>
          <w:tcPr>
            <w:tcW w:w="87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10</w:t>
            </w:r>
          </w:p>
        </w:tc>
        <w:tc>
          <w:tcPr>
            <w:tcW w:w="937"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10</w:t>
            </w:r>
          </w:p>
        </w:tc>
        <w:tc>
          <w:tcPr>
            <w:tcW w:w="8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10</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10</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10</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10</w:t>
            </w:r>
          </w:p>
        </w:tc>
      </w:tr>
      <w:tr>
        <w:tblPrEx>
          <w:tblCellMar>
            <w:top w:w="0" w:type="dxa"/>
            <w:left w:w="108" w:type="dxa"/>
            <w:bottom w:w="0" w:type="dxa"/>
            <w:right w:w="108" w:type="dxa"/>
          </w:tblCellMar>
        </w:tblPrEx>
        <w:trPr>
          <w:trHeight w:val="386" w:hRule="atLeast"/>
        </w:trPr>
        <w:tc>
          <w:tcPr>
            <w:tcW w:w="57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等线" w:hAnsi="等线" w:eastAsia="等线" w:cs="等线"/>
                <w:b/>
                <w:bCs/>
                <w:color w:val="000000"/>
                <w:sz w:val="20"/>
                <w:szCs w:val="20"/>
              </w:rPr>
            </w:pPr>
          </w:p>
        </w:tc>
        <w:tc>
          <w:tcPr>
            <w:tcW w:w="1788" w:type="dxa"/>
            <w:tcBorders>
              <w:top w:val="nil"/>
              <w:left w:val="nil"/>
              <w:bottom w:val="single" w:color="000000" w:sz="8" w:space="0"/>
              <w:right w:val="single" w:color="000000" w:sz="8" w:space="0"/>
            </w:tcBorders>
            <w:shd w:val="clear" w:color="auto" w:fill="auto"/>
            <w:vAlign w:val="center"/>
          </w:tcPr>
          <w:p>
            <w:pPr>
              <w:widowControl/>
              <w:textAlignment w:val="center"/>
              <w:rPr>
                <w:rFonts w:ascii="等线" w:hAnsi="等线" w:eastAsia="等线" w:cs="等线"/>
                <w:b/>
                <w:bCs/>
                <w:color w:val="000000"/>
                <w:sz w:val="20"/>
                <w:szCs w:val="20"/>
              </w:rPr>
            </w:pPr>
            <w:r>
              <w:rPr>
                <w:rFonts w:hint="eastAsia" w:ascii="等线" w:hAnsi="等线" w:eastAsia="等线" w:cs="等线"/>
                <w:b/>
                <w:bCs/>
                <w:color w:val="000000"/>
                <w:kern w:val="0"/>
                <w:sz w:val="20"/>
                <w:szCs w:val="20"/>
              </w:rPr>
              <w:t>产出质量</w:t>
            </w:r>
          </w:p>
        </w:tc>
        <w:tc>
          <w:tcPr>
            <w:tcW w:w="72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10</w:t>
            </w:r>
          </w:p>
        </w:tc>
        <w:tc>
          <w:tcPr>
            <w:tcW w:w="87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10</w:t>
            </w:r>
          </w:p>
        </w:tc>
        <w:tc>
          <w:tcPr>
            <w:tcW w:w="937"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10</w:t>
            </w:r>
          </w:p>
        </w:tc>
        <w:tc>
          <w:tcPr>
            <w:tcW w:w="8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9.5</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10</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10</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9.9</w:t>
            </w:r>
          </w:p>
        </w:tc>
      </w:tr>
      <w:tr>
        <w:tblPrEx>
          <w:tblCellMar>
            <w:top w:w="0" w:type="dxa"/>
            <w:left w:w="108" w:type="dxa"/>
            <w:bottom w:w="0" w:type="dxa"/>
            <w:right w:w="108" w:type="dxa"/>
          </w:tblCellMar>
        </w:tblPrEx>
        <w:trPr>
          <w:trHeight w:val="386" w:hRule="atLeast"/>
        </w:trPr>
        <w:tc>
          <w:tcPr>
            <w:tcW w:w="57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等线" w:hAnsi="等线" w:eastAsia="等线" w:cs="等线"/>
                <w:b/>
                <w:bCs/>
                <w:color w:val="000000"/>
                <w:sz w:val="20"/>
                <w:szCs w:val="20"/>
              </w:rPr>
            </w:pPr>
          </w:p>
        </w:tc>
        <w:tc>
          <w:tcPr>
            <w:tcW w:w="1788"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等线" w:hAnsi="等线" w:eastAsia="等线" w:cs="等线"/>
                <w:color w:val="000000"/>
                <w:sz w:val="20"/>
                <w:szCs w:val="20"/>
              </w:rPr>
            </w:pPr>
            <w:r>
              <w:rPr>
                <w:rFonts w:hint="eastAsia" w:ascii="等线" w:hAnsi="等线" w:eastAsia="等线" w:cs="等线"/>
                <w:color w:val="000000"/>
                <w:kern w:val="0"/>
                <w:sz w:val="20"/>
                <w:szCs w:val="20"/>
              </w:rPr>
              <w:t>质量达标情况</w:t>
            </w:r>
          </w:p>
        </w:tc>
        <w:tc>
          <w:tcPr>
            <w:tcW w:w="72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10</w:t>
            </w:r>
          </w:p>
        </w:tc>
        <w:tc>
          <w:tcPr>
            <w:tcW w:w="87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10</w:t>
            </w:r>
          </w:p>
        </w:tc>
        <w:tc>
          <w:tcPr>
            <w:tcW w:w="937"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10</w:t>
            </w:r>
          </w:p>
        </w:tc>
        <w:tc>
          <w:tcPr>
            <w:tcW w:w="8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9.5</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10</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10</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9.9</w:t>
            </w:r>
          </w:p>
        </w:tc>
      </w:tr>
      <w:tr>
        <w:tblPrEx>
          <w:tblCellMar>
            <w:top w:w="0" w:type="dxa"/>
            <w:left w:w="108" w:type="dxa"/>
            <w:bottom w:w="0" w:type="dxa"/>
            <w:right w:w="108" w:type="dxa"/>
          </w:tblCellMar>
        </w:tblPrEx>
        <w:trPr>
          <w:trHeight w:val="386" w:hRule="atLeast"/>
        </w:trPr>
        <w:tc>
          <w:tcPr>
            <w:tcW w:w="57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等线" w:hAnsi="等线" w:eastAsia="等线" w:cs="等线"/>
                <w:b/>
                <w:bCs/>
                <w:color w:val="000000"/>
                <w:sz w:val="20"/>
                <w:szCs w:val="20"/>
              </w:rPr>
            </w:pPr>
          </w:p>
        </w:tc>
        <w:tc>
          <w:tcPr>
            <w:tcW w:w="1788"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等线" w:hAnsi="等线" w:eastAsia="等线" w:cs="等线"/>
                <w:b/>
                <w:bCs/>
                <w:color w:val="000000"/>
                <w:sz w:val="20"/>
                <w:szCs w:val="20"/>
              </w:rPr>
            </w:pPr>
            <w:r>
              <w:rPr>
                <w:rFonts w:hint="eastAsia" w:ascii="等线" w:hAnsi="等线" w:eastAsia="等线" w:cs="等线"/>
                <w:b/>
                <w:bCs/>
                <w:color w:val="000000"/>
                <w:kern w:val="0"/>
                <w:sz w:val="20"/>
                <w:szCs w:val="20"/>
              </w:rPr>
              <w:t>产出时效</w:t>
            </w:r>
          </w:p>
        </w:tc>
        <w:tc>
          <w:tcPr>
            <w:tcW w:w="72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10</w:t>
            </w:r>
          </w:p>
        </w:tc>
        <w:tc>
          <w:tcPr>
            <w:tcW w:w="87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10</w:t>
            </w:r>
          </w:p>
        </w:tc>
        <w:tc>
          <w:tcPr>
            <w:tcW w:w="937"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10</w:t>
            </w:r>
          </w:p>
        </w:tc>
        <w:tc>
          <w:tcPr>
            <w:tcW w:w="8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10</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6</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10</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9.2</w:t>
            </w:r>
          </w:p>
        </w:tc>
      </w:tr>
      <w:tr>
        <w:tblPrEx>
          <w:tblCellMar>
            <w:top w:w="0" w:type="dxa"/>
            <w:left w:w="108" w:type="dxa"/>
            <w:bottom w:w="0" w:type="dxa"/>
            <w:right w:w="108" w:type="dxa"/>
          </w:tblCellMar>
        </w:tblPrEx>
        <w:trPr>
          <w:trHeight w:val="386" w:hRule="atLeast"/>
        </w:trPr>
        <w:tc>
          <w:tcPr>
            <w:tcW w:w="57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等线" w:hAnsi="等线" w:eastAsia="等线" w:cs="等线"/>
                <w:b/>
                <w:bCs/>
                <w:color w:val="000000"/>
                <w:sz w:val="20"/>
                <w:szCs w:val="20"/>
              </w:rPr>
            </w:pPr>
          </w:p>
        </w:tc>
        <w:tc>
          <w:tcPr>
            <w:tcW w:w="1788"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等线" w:hAnsi="等线" w:eastAsia="等线" w:cs="等线"/>
                <w:color w:val="000000"/>
                <w:sz w:val="20"/>
                <w:szCs w:val="20"/>
              </w:rPr>
            </w:pPr>
            <w:r>
              <w:rPr>
                <w:rFonts w:hint="eastAsia" w:ascii="等线" w:hAnsi="等线" w:eastAsia="等线" w:cs="等线"/>
                <w:color w:val="000000"/>
                <w:kern w:val="0"/>
                <w:sz w:val="20"/>
                <w:szCs w:val="20"/>
              </w:rPr>
              <w:t>完成及时性</w:t>
            </w:r>
          </w:p>
        </w:tc>
        <w:tc>
          <w:tcPr>
            <w:tcW w:w="72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10</w:t>
            </w:r>
          </w:p>
        </w:tc>
        <w:tc>
          <w:tcPr>
            <w:tcW w:w="87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10</w:t>
            </w:r>
          </w:p>
        </w:tc>
        <w:tc>
          <w:tcPr>
            <w:tcW w:w="937"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10</w:t>
            </w:r>
          </w:p>
        </w:tc>
        <w:tc>
          <w:tcPr>
            <w:tcW w:w="8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10</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6</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10</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9.2</w:t>
            </w:r>
          </w:p>
        </w:tc>
      </w:tr>
      <w:tr>
        <w:tblPrEx>
          <w:tblCellMar>
            <w:top w:w="0" w:type="dxa"/>
            <w:left w:w="108" w:type="dxa"/>
            <w:bottom w:w="0" w:type="dxa"/>
            <w:right w:w="108" w:type="dxa"/>
          </w:tblCellMar>
        </w:tblPrEx>
        <w:trPr>
          <w:trHeight w:val="386" w:hRule="atLeast"/>
        </w:trPr>
        <w:tc>
          <w:tcPr>
            <w:tcW w:w="57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等线" w:hAnsi="等线" w:eastAsia="等线" w:cs="等线"/>
                <w:b/>
                <w:bCs/>
                <w:color w:val="000000"/>
                <w:sz w:val="20"/>
                <w:szCs w:val="20"/>
              </w:rPr>
            </w:pPr>
          </w:p>
        </w:tc>
        <w:tc>
          <w:tcPr>
            <w:tcW w:w="1788"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等线" w:hAnsi="等线" w:eastAsia="等线" w:cs="等线"/>
                <w:b/>
                <w:bCs/>
                <w:color w:val="000000"/>
                <w:sz w:val="20"/>
                <w:szCs w:val="20"/>
              </w:rPr>
            </w:pPr>
            <w:r>
              <w:rPr>
                <w:rFonts w:hint="eastAsia" w:ascii="等线" w:hAnsi="等线" w:eastAsia="等线" w:cs="等线"/>
                <w:b/>
                <w:bCs/>
                <w:color w:val="000000"/>
                <w:kern w:val="0"/>
                <w:sz w:val="20"/>
                <w:szCs w:val="20"/>
              </w:rPr>
              <w:t>产出成本</w:t>
            </w:r>
          </w:p>
        </w:tc>
        <w:tc>
          <w:tcPr>
            <w:tcW w:w="72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10</w:t>
            </w:r>
          </w:p>
        </w:tc>
        <w:tc>
          <w:tcPr>
            <w:tcW w:w="87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10</w:t>
            </w:r>
          </w:p>
        </w:tc>
        <w:tc>
          <w:tcPr>
            <w:tcW w:w="937"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10</w:t>
            </w:r>
          </w:p>
        </w:tc>
        <w:tc>
          <w:tcPr>
            <w:tcW w:w="8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10</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10</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6</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9.2</w:t>
            </w:r>
          </w:p>
        </w:tc>
      </w:tr>
      <w:tr>
        <w:tblPrEx>
          <w:tblCellMar>
            <w:top w:w="0" w:type="dxa"/>
            <w:left w:w="108" w:type="dxa"/>
            <w:bottom w:w="0" w:type="dxa"/>
            <w:right w:w="108" w:type="dxa"/>
          </w:tblCellMar>
        </w:tblPrEx>
        <w:trPr>
          <w:trHeight w:val="386" w:hRule="atLeast"/>
        </w:trPr>
        <w:tc>
          <w:tcPr>
            <w:tcW w:w="57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等线" w:hAnsi="等线" w:eastAsia="等线" w:cs="等线"/>
                <w:b/>
                <w:bCs/>
                <w:color w:val="000000"/>
                <w:sz w:val="20"/>
                <w:szCs w:val="20"/>
              </w:rPr>
            </w:pPr>
          </w:p>
        </w:tc>
        <w:tc>
          <w:tcPr>
            <w:tcW w:w="1788"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等线" w:hAnsi="等线" w:eastAsia="等线" w:cs="等线"/>
                <w:color w:val="000000"/>
                <w:sz w:val="20"/>
                <w:szCs w:val="20"/>
              </w:rPr>
            </w:pPr>
            <w:r>
              <w:rPr>
                <w:rFonts w:hint="eastAsia" w:ascii="等线" w:hAnsi="等线" w:eastAsia="等线" w:cs="等线"/>
                <w:color w:val="000000"/>
                <w:kern w:val="0"/>
                <w:sz w:val="20"/>
                <w:szCs w:val="20"/>
              </w:rPr>
              <w:t>成本节约情况</w:t>
            </w:r>
          </w:p>
        </w:tc>
        <w:tc>
          <w:tcPr>
            <w:tcW w:w="72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10</w:t>
            </w:r>
          </w:p>
        </w:tc>
        <w:tc>
          <w:tcPr>
            <w:tcW w:w="87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10</w:t>
            </w:r>
          </w:p>
        </w:tc>
        <w:tc>
          <w:tcPr>
            <w:tcW w:w="937"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10</w:t>
            </w:r>
          </w:p>
        </w:tc>
        <w:tc>
          <w:tcPr>
            <w:tcW w:w="8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10</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10</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6</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9.2</w:t>
            </w:r>
          </w:p>
        </w:tc>
      </w:tr>
      <w:tr>
        <w:tblPrEx>
          <w:tblCellMar>
            <w:top w:w="0" w:type="dxa"/>
            <w:left w:w="108" w:type="dxa"/>
            <w:bottom w:w="0" w:type="dxa"/>
            <w:right w:w="108" w:type="dxa"/>
          </w:tblCellMar>
        </w:tblPrEx>
        <w:trPr>
          <w:trHeight w:val="386" w:hRule="atLeast"/>
        </w:trPr>
        <w:tc>
          <w:tcPr>
            <w:tcW w:w="575"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等线" w:hAnsi="等线" w:eastAsia="等线" w:cs="等线"/>
                <w:b/>
                <w:bCs/>
                <w:color w:val="000000"/>
                <w:sz w:val="20"/>
                <w:szCs w:val="20"/>
              </w:rPr>
            </w:pPr>
            <w:r>
              <w:rPr>
                <w:rFonts w:hint="eastAsia" w:ascii="等线" w:hAnsi="等线" w:eastAsia="等线" w:cs="等线"/>
                <w:b/>
                <w:bCs/>
                <w:color w:val="000000"/>
                <w:kern w:val="0"/>
                <w:sz w:val="20"/>
                <w:szCs w:val="20"/>
              </w:rPr>
              <w:t>效益</w:t>
            </w:r>
          </w:p>
        </w:tc>
        <w:tc>
          <w:tcPr>
            <w:tcW w:w="1788"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等线" w:hAnsi="等线" w:eastAsia="等线" w:cs="等线"/>
                <w:b/>
                <w:bCs/>
                <w:color w:val="000000"/>
                <w:sz w:val="20"/>
                <w:szCs w:val="20"/>
              </w:rPr>
            </w:pPr>
            <w:r>
              <w:rPr>
                <w:rFonts w:hint="eastAsia" w:ascii="等线" w:hAnsi="等线" w:eastAsia="等线" w:cs="等线"/>
                <w:b/>
                <w:bCs/>
                <w:color w:val="000000"/>
                <w:kern w:val="0"/>
                <w:sz w:val="20"/>
                <w:szCs w:val="20"/>
              </w:rPr>
              <w:t>项目效益</w:t>
            </w:r>
          </w:p>
        </w:tc>
        <w:tc>
          <w:tcPr>
            <w:tcW w:w="72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30</w:t>
            </w:r>
          </w:p>
        </w:tc>
        <w:tc>
          <w:tcPr>
            <w:tcW w:w="87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24</w:t>
            </w:r>
          </w:p>
        </w:tc>
        <w:tc>
          <w:tcPr>
            <w:tcW w:w="937"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22.5</w:t>
            </w:r>
          </w:p>
        </w:tc>
        <w:tc>
          <w:tcPr>
            <w:tcW w:w="8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23</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28</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28</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25.1</w:t>
            </w:r>
          </w:p>
        </w:tc>
      </w:tr>
      <w:tr>
        <w:tblPrEx>
          <w:tblCellMar>
            <w:top w:w="0" w:type="dxa"/>
            <w:left w:w="108" w:type="dxa"/>
            <w:bottom w:w="0" w:type="dxa"/>
            <w:right w:w="108" w:type="dxa"/>
          </w:tblCellMar>
        </w:tblPrEx>
        <w:trPr>
          <w:trHeight w:val="386" w:hRule="atLeast"/>
        </w:trPr>
        <w:tc>
          <w:tcPr>
            <w:tcW w:w="57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等线" w:hAnsi="等线" w:eastAsia="等线" w:cs="等线"/>
                <w:b/>
                <w:bCs/>
                <w:color w:val="000000"/>
                <w:sz w:val="20"/>
                <w:szCs w:val="20"/>
              </w:rPr>
            </w:pPr>
          </w:p>
        </w:tc>
        <w:tc>
          <w:tcPr>
            <w:tcW w:w="1788"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等线" w:hAnsi="等线" w:eastAsia="等线" w:cs="等线"/>
                <w:color w:val="000000"/>
                <w:sz w:val="20"/>
                <w:szCs w:val="20"/>
              </w:rPr>
            </w:pPr>
            <w:r>
              <w:rPr>
                <w:rFonts w:hint="eastAsia" w:ascii="等线" w:hAnsi="等线" w:eastAsia="等线" w:cs="等线"/>
                <w:color w:val="000000"/>
                <w:kern w:val="0"/>
                <w:sz w:val="20"/>
                <w:szCs w:val="20"/>
              </w:rPr>
              <w:t>社会效益</w:t>
            </w:r>
          </w:p>
        </w:tc>
        <w:tc>
          <w:tcPr>
            <w:tcW w:w="72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20</w:t>
            </w:r>
          </w:p>
        </w:tc>
        <w:tc>
          <w:tcPr>
            <w:tcW w:w="87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16</w:t>
            </w:r>
          </w:p>
        </w:tc>
        <w:tc>
          <w:tcPr>
            <w:tcW w:w="937"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14.5</w:t>
            </w:r>
          </w:p>
        </w:tc>
        <w:tc>
          <w:tcPr>
            <w:tcW w:w="8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16</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20</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20</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17.3</w:t>
            </w:r>
          </w:p>
        </w:tc>
      </w:tr>
      <w:tr>
        <w:tblPrEx>
          <w:tblCellMar>
            <w:top w:w="0" w:type="dxa"/>
            <w:left w:w="108" w:type="dxa"/>
            <w:bottom w:w="0" w:type="dxa"/>
            <w:right w:w="108" w:type="dxa"/>
          </w:tblCellMar>
        </w:tblPrEx>
        <w:trPr>
          <w:trHeight w:val="386" w:hRule="atLeast"/>
        </w:trPr>
        <w:tc>
          <w:tcPr>
            <w:tcW w:w="57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等线" w:hAnsi="等线" w:eastAsia="等线" w:cs="等线"/>
                <w:b/>
                <w:bCs/>
                <w:color w:val="000000"/>
                <w:sz w:val="20"/>
                <w:szCs w:val="20"/>
              </w:rPr>
            </w:pPr>
          </w:p>
        </w:tc>
        <w:tc>
          <w:tcPr>
            <w:tcW w:w="1788"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等线" w:hAnsi="等线" w:eastAsia="等线" w:cs="等线"/>
                <w:color w:val="000000"/>
                <w:sz w:val="20"/>
                <w:szCs w:val="20"/>
              </w:rPr>
            </w:pPr>
            <w:r>
              <w:rPr>
                <w:rFonts w:hint="eastAsia" w:ascii="等线" w:hAnsi="等线" w:eastAsia="等线" w:cs="等线"/>
                <w:color w:val="000000"/>
                <w:kern w:val="0"/>
                <w:sz w:val="20"/>
                <w:szCs w:val="20"/>
              </w:rPr>
              <w:t>可持续影响</w:t>
            </w:r>
          </w:p>
        </w:tc>
        <w:tc>
          <w:tcPr>
            <w:tcW w:w="72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5</w:t>
            </w:r>
          </w:p>
        </w:tc>
        <w:tc>
          <w:tcPr>
            <w:tcW w:w="87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4</w:t>
            </w:r>
          </w:p>
        </w:tc>
        <w:tc>
          <w:tcPr>
            <w:tcW w:w="937"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4</w:t>
            </w:r>
          </w:p>
        </w:tc>
        <w:tc>
          <w:tcPr>
            <w:tcW w:w="8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3</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4</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3</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3.6</w:t>
            </w:r>
          </w:p>
        </w:tc>
      </w:tr>
      <w:tr>
        <w:tblPrEx>
          <w:tblCellMar>
            <w:top w:w="0" w:type="dxa"/>
            <w:left w:w="108" w:type="dxa"/>
            <w:bottom w:w="0" w:type="dxa"/>
            <w:right w:w="108" w:type="dxa"/>
          </w:tblCellMar>
        </w:tblPrEx>
        <w:trPr>
          <w:trHeight w:val="386" w:hRule="atLeast"/>
        </w:trPr>
        <w:tc>
          <w:tcPr>
            <w:tcW w:w="57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等线" w:hAnsi="等线" w:eastAsia="等线" w:cs="等线"/>
                <w:b/>
                <w:bCs/>
                <w:color w:val="000000"/>
                <w:sz w:val="20"/>
                <w:szCs w:val="20"/>
              </w:rPr>
            </w:pPr>
          </w:p>
        </w:tc>
        <w:tc>
          <w:tcPr>
            <w:tcW w:w="1788"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等线" w:hAnsi="等线" w:eastAsia="等线" w:cs="等线"/>
                <w:color w:val="000000"/>
                <w:sz w:val="20"/>
                <w:szCs w:val="20"/>
              </w:rPr>
            </w:pPr>
            <w:r>
              <w:rPr>
                <w:rFonts w:hint="eastAsia" w:ascii="等线" w:hAnsi="等线" w:eastAsia="等线" w:cs="等线"/>
                <w:color w:val="000000"/>
                <w:kern w:val="0"/>
                <w:sz w:val="20"/>
                <w:szCs w:val="20"/>
              </w:rPr>
              <w:t>满意度</w:t>
            </w:r>
          </w:p>
        </w:tc>
        <w:tc>
          <w:tcPr>
            <w:tcW w:w="72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5</w:t>
            </w:r>
          </w:p>
        </w:tc>
        <w:tc>
          <w:tcPr>
            <w:tcW w:w="87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4</w:t>
            </w:r>
          </w:p>
        </w:tc>
        <w:tc>
          <w:tcPr>
            <w:tcW w:w="937"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4</w:t>
            </w:r>
          </w:p>
        </w:tc>
        <w:tc>
          <w:tcPr>
            <w:tcW w:w="8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4</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4</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5</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 w:val="20"/>
                <w:szCs w:val="20"/>
              </w:rPr>
            </w:pPr>
            <w:r>
              <w:rPr>
                <w:rFonts w:ascii="Calibri" w:hAnsi="Calibri" w:eastAsia="宋体" w:cs="Calibri"/>
                <w:color w:val="000000"/>
                <w:kern w:val="0"/>
                <w:sz w:val="20"/>
                <w:szCs w:val="20"/>
              </w:rPr>
              <w:t>4.2</w:t>
            </w:r>
          </w:p>
        </w:tc>
      </w:tr>
      <w:tr>
        <w:tblPrEx>
          <w:tblCellMar>
            <w:top w:w="0" w:type="dxa"/>
            <w:left w:w="108" w:type="dxa"/>
            <w:bottom w:w="0" w:type="dxa"/>
            <w:right w:w="108" w:type="dxa"/>
          </w:tblCellMar>
        </w:tblPrEx>
        <w:trPr>
          <w:trHeight w:val="386" w:hRule="atLeast"/>
        </w:trPr>
        <w:tc>
          <w:tcPr>
            <w:tcW w:w="2363" w:type="dxa"/>
            <w:gridSpan w:val="2"/>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等线" w:hAnsi="等线" w:eastAsia="等线" w:cs="等线"/>
                <w:b/>
                <w:bCs/>
                <w:color w:val="000000"/>
                <w:sz w:val="20"/>
                <w:szCs w:val="20"/>
              </w:rPr>
            </w:pPr>
            <w:r>
              <w:rPr>
                <w:rFonts w:hint="eastAsia" w:ascii="等线" w:hAnsi="等线" w:eastAsia="等线" w:cs="等线"/>
                <w:b/>
                <w:bCs/>
                <w:color w:val="000000"/>
                <w:kern w:val="0"/>
                <w:sz w:val="20"/>
                <w:szCs w:val="20"/>
              </w:rPr>
              <w:t>合计</w:t>
            </w:r>
          </w:p>
        </w:tc>
        <w:tc>
          <w:tcPr>
            <w:tcW w:w="72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100</w:t>
            </w:r>
          </w:p>
        </w:tc>
        <w:tc>
          <w:tcPr>
            <w:tcW w:w="87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91.3</w:t>
            </w:r>
          </w:p>
        </w:tc>
        <w:tc>
          <w:tcPr>
            <w:tcW w:w="937"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90.3</w:t>
            </w:r>
          </w:p>
        </w:tc>
        <w:tc>
          <w:tcPr>
            <w:tcW w:w="8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90.3</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90.1</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90.9</w:t>
            </w:r>
          </w:p>
        </w:tc>
        <w:tc>
          <w:tcPr>
            <w:tcW w:w="96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b/>
                <w:bCs/>
                <w:color w:val="000000"/>
                <w:sz w:val="20"/>
                <w:szCs w:val="20"/>
              </w:rPr>
            </w:pPr>
            <w:r>
              <w:rPr>
                <w:rFonts w:ascii="Calibri" w:hAnsi="Calibri" w:eastAsia="宋体" w:cs="Calibri"/>
                <w:b/>
                <w:bCs/>
                <w:color w:val="000000"/>
                <w:kern w:val="0"/>
                <w:sz w:val="20"/>
                <w:szCs w:val="20"/>
              </w:rPr>
              <w:t>90.58</w:t>
            </w:r>
          </w:p>
        </w:tc>
      </w:tr>
    </w:tbl>
    <w:p>
      <w:pPr>
        <w:widowControl/>
        <w:jc w:val="left"/>
      </w:pPr>
      <w:r>
        <w:br w:type="page"/>
      </w:r>
    </w:p>
    <w:p>
      <w:bookmarkStart w:id="90" w:name="_Toc24675"/>
      <w:bookmarkStart w:id="91" w:name="_Toc20440"/>
      <w:r>
        <w:rPr>
          <w:rFonts w:hint="eastAsia" w:ascii="黑体" w:hAnsi="黑体"/>
          <w:b/>
          <w:sz w:val="24"/>
        </w:rPr>
        <w:t>二、专家评价综合意见</w:t>
      </w:r>
      <w:bookmarkEnd w:id="90"/>
      <w:bookmarkEnd w:id="91"/>
    </w:p>
    <w:tbl>
      <w:tblPr>
        <w:tblStyle w:val="11"/>
        <w:tblW w:w="8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6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1548" w:type="dxa"/>
            <w:vAlign w:val="center"/>
          </w:tcPr>
          <w:p>
            <w:pPr>
              <w:snapToGrid w:val="0"/>
              <w:jc w:val="center"/>
              <w:rPr>
                <w:rFonts w:ascii="宋体" w:hAnsi="宋体"/>
                <w:szCs w:val="21"/>
              </w:rPr>
            </w:pPr>
            <w:r>
              <w:rPr>
                <w:rFonts w:hint="eastAsia" w:ascii="宋体" w:hAnsi="宋体"/>
                <w:szCs w:val="21"/>
              </w:rPr>
              <w:t>评价得分</w:t>
            </w:r>
          </w:p>
        </w:tc>
        <w:tc>
          <w:tcPr>
            <w:tcW w:w="6839" w:type="dxa"/>
            <w:vAlign w:val="center"/>
          </w:tcPr>
          <w:p>
            <w:pPr>
              <w:snapToGrid w:val="0"/>
              <w:jc w:val="center"/>
              <w:rPr>
                <w:rFonts w:ascii="宋体" w:hAnsi="宋体"/>
                <w:szCs w:val="21"/>
              </w:rPr>
            </w:pPr>
            <w:r>
              <w:rPr>
                <w:rFonts w:ascii="宋体" w:hAnsi="宋体"/>
                <w:szCs w:val="21"/>
              </w:rPr>
              <w:t>9</w:t>
            </w:r>
            <w:r>
              <w:rPr>
                <w:rFonts w:hint="eastAsia" w:ascii="宋体" w:hAnsi="宋体"/>
                <w:szCs w:val="21"/>
              </w:rPr>
              <w:t>0</w:t>
            </w:r>
            <w:r>
              <w:rPr>
                <w:rFonts w:ascii="宋体" w:hAnsi="宋体"/>
                <w:szCs w:val="21"/>
              </w:rPr>
              <w:t>.</w:t>
            </w:r>
            <w:r>
              <w:rPr>
                <w:rFonts w:hint="eastAsia" w:ascii="宋体" w:hAnsi="宋体"/>
                <w:szCs w:val="21"/>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1548" w:type="dxa"/>
            <w:vAlign w:val="center"/>
          </w:tcPr>
          <w:p>
            <w:pPr>
              <w:snapToGrid w:val="0"/>
              <w:jc w:val="center"/>
              <w:rPr>
                <w:rFonts w:ascii="宋体" w:hAnsi="宋体"/>
                <w:szCs w:val="21"/>
              </w:rPr>
            </w:pPr>
            <w:r>
              <w:rPr>
                <w:rFonts w:hint="eastAsia" w:ascii="宋体" w:hAnsi="宋体"/>
                <w:szCs w:val="21"/>
              </w:rPr>
              <w:t>绩效级别</w:t>
            </w:r>
          </w:p>
        </w:tc>
        <w:tc>
          <w:tcPr>
            <w:tcW w:w="6839" w:type="dxa"/>
            <w:vAlign w:val="center"/>
          </w:tcPr>
          <w:p>
            <w:pPr>
              <w:ind w:firstLine="619" w:firstLineChars="295"/>
              <w:rPr>
                <w:rFonts w:ascii="宋体" w:hAnsi="宋体" w:cs="宋体"/>
                <w:szCs w:val="21"/>
              </w:rPr>
            </w:pPr>
            <w:r>
              <w:rPr>
                <w:rFonts w:hint="eastAsia" w:ascii="宋体" w:hAnsi="宋体" w:cs="宋体"/>
                <w:szCs w:val="21"/>
              </w:rPr>
              <w:t>优（90分以上）</w:t>
            </w:r>
            <w:r>
              <w:rPr>
                <w:rFonts w:hint="eastAsia" w:ascii="宋体" w:hAnsi="宋体" w:cs="宋体"/>
                <w:sz w:val="24"/>
                <w:szCs w:val="21"/>
              </w:rPr>
              <w:t>☑</w:t>
            </w:r>
            <w:r>
              <w:rPr>
                <w:rFonts w:hint="eastAsia" w:ascii="宋体" w:hAnsi="宋体" w:cs="宋体"/>
                <w:szCs w:val="21"/>
              </w:rPr>
              <w:t xml:space="preserve">   良（80-90分）□       </w:t>
            </w:r>
          </w:p>
          <w:p>
            <w:pPr>
              <w:ind w:firstLine="630" w:firstLineChars="300"/>
              <w:rPr>
                <w:rFonts w:ascii="宋体" w:hAnsi="宋体" w:cs="宋体"/>
                <w:szCs w:val="21"/>
              </w:rPr>
            </w:pPr>
            <w:r>
              <w:rPr>
                <w:rFonts w:hint="eastAsia" w:ascii="宋体" w:hAnsi="宋体" w:cs="宋体"/>
                <w:szCs w:val="21"/>
              </w:rPr>
              <w:t>中（60</w:t>
            </w:r>
            <w:r>
              <w:rPr>
                <w:rFonts w:ascii="宋体" w:hAnsi="宋体" w:cs="宋体"/>
                <w:szCs w:val="21"/>
              </w:rPr>
              <w:t>-</w:t>
            </w:r>
            <w:r>
              <w:rPr>
                <w:rFonts w:hint="eastAsia" w:ascii="宋体" w:hAnsi="宋体" w:cs="宋体"/>
                <w:szCs w:val="21"/>
              </w:rPr>
              <w:t>80分）  □          差（60分以下）  □</w:t>
            </w:r>
          </w:p>
        </w:tc>
      </w:tr>
    </w:tbl>
    <w:p>
      <w:pPr>
        <w:widowControl/>
        <w:jc w:val="left"/>
        <w:rPr>
          <w:rFonts w:ascii="仿宋" w:hAnsi="仿宋" w:eastAsia="仿宋" w:cs="仿宋"/>
          <w:sz w:val="32"/>
          <w:szCs w:val="32"/>
        </w:rPr>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微软雅黑">
    <w:panose1 w:val="020B0503020204020204"/>
    <w:charset w:val="86"/>
    <w:family w:val="auto"/>
    <w:pitch w:val="default"/>
    <w:sig w:usb0="80000287" w:usb1="280F3C52" w:usb2="00000016" w:usb3="00000000" w:csb0="0004001F" w:csb1="00000000"/>
  </w:font>
  <w:font w:name="Cambria">
    <w:altName w:val="Noto Sans Syriac Eastern"/>
    <w:panose1 w:val="02040503050406030204"/>
    <w:charset w:val="00"/>
    <w:family w:val="roman"/>
    <w:pitch w:val="default"/>
    <w:sig w:usb0="00000000" w:usb1="00000000"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Noto Sans CJK JP Bold">
    <w:panose1 w:val="020B0800000000000000"/>
    <w:charset w:val="86"/>
    <w:family w:val="auto"/>
    <w:pitch w:val="default"/>
    <w:sig w:usb0="30000003" w:usb1="2BDF3C10" w:usb2="00000016" w:usb3="00000000" w:csb0="602E0107"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1538256"/>
    </w:sdtPr>
    <w:sdtContent>
      <w:p>
        <w:pPr>
          <w:pStyle w:val="7"/>
          <w:jc w:val="center"/>
        </w:pPr>
        <w:r>
          <w:fldChar w:fldCharType="begin"/>
        </w:r>
        <w:r>
          <w:instrText xml:space="preserve">PAGE   \* MERGEFORMAT</w:instrText>
        </w:r>
        <w:r>
          <w:fldChar w:fldCharType="separate"/>
        </w:r>
        <w:r>
          <w:rPr>
            <w:lang w:val="zh-CN"/>
          </w:rPr>
          <w:t>11</w:t>
        </w:r>
        <w:r>
          <w:rPr>
            <w:lang w:val="zh-CN"/>
          </w:rPr>
          <w:fldChar w:fldCharType="end"/>
        </w:r>
      </w:p>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GMwNTFhMGVhYjJmZjliZjU0ODhiMmI2YjI3OTAyY2MifQ=="/>
  </w:docVars>
  <w:rsids>
    <w:rsidRoot w:val="00BE5EC3"/>
    <w:rsid w:val="00000D63"/>
    <w:rsid w:val="000030F2"/>
    <w:rsid w:val="00004D66"/>
    <w:rsid w:val="00004D7F"/>
    <w:rsid w:val="000068BF"/>
    <w:rsid w:val="000112D5"/>
    <w:rsid w:val="00014070"/>
    <w:rsid w:val="0001416A"/>
    <w:rsid w:val="00014D2E"/>
    <w:rsid w:val="0002485B"/>
    <w:rsid w:val="00025F48"/>
    <w:rsid w:val="00034F5F"/>
    <w:rsid w:val="00035523"/>
    <w:rsid w:val="0003757E"/>
    <w:rsid w:val="00042476"/>
    <w:rsid w:val="0005133C"/>
    <w:rsid w:val="00052080"/>
    <w:rsid w:val="00053E60"/>
    <w:rsid w:val="00054189"/>
    <w:rsid w:val="00054307"/>
    <w:rsid w:val="00057D77"/>
    <w:rsid w:val="00063878"/>
    <w:rsid w:val="000640EC"/>
    <w:rsid w:val="000662D8"/>
    <w:rsid w:val="000676DB"/>
    <w:rsid w:val="00070CD2"/>
    <w:rsid w:val="0007185C"/>
    <w:rsid w:val="0007300A"/>
    <w:rsid w:val="0007443E"/>
    <w:rsid w:val="000747E2"/>
    <w:rsid w:val="00074E89"/>
    <w:rsid w:val="0007521A"/>
    <w:rsid w:val="00076A96"/>
    <w:rsid w:val="000808A9"/>
    <w:rsid w:val="00082029"/>
    <w:rsid w:val="0008218D"/>
    <w:rsid w:val="00086E91"/>
    <w:rsid w:val="00086EA4"/>
    <w:rsid w:val="00095252"/>
    <w:rsid w:val="00096AD1"/>
    <w:rsid w:val="00097B7A"/>
    <w:rsid w:val="000A4833"/>
    <w:rsid w:val="000A70C0"/>
    <w:rsid w:val="000B053F"/>
    <w:rsid w:val="000B0A85"/>
    <w:rsid w:val="000B2714"/>
    <w:rsid w:val="000B2E80"/>
    <w:rsid w:val="000B4826"/>
    <w:rsid w:val="000B4DD3"/>
    <w:rsid w:val="000B7566"/>
    <w:rsid w:val="000C0855"/>
    <w:rsid w:val="000C105A"/>
    <w:rsid w:val="000C6C5B"/>
    <w:rsid w:val="000D1DC6"/>
    <w:rsid w:val="000D1EF7"/>
    <w:rsid w:val="000D3F81"/>
    <w:rsid w:val="000E1A01"/>
    <w:rsid w:val="000E277F"/>
    <w:rsid w:val="000E364F"/>
    <w:rsid w:val="000E512A"/>
    <w:rsid w:val="000F3122"/>
    <w:rsid w:val="001016A0"/>
    <w:rsid w:val="001051A5"/>
    <w:rsid w:val="0011052C"/>
    <w:rsid w:val="001148B0"/>
    <w:rsid w:val="001163F5"/>
    <w:rsid w:val="00116E93"/>
    <w:rsid w:val="00117608"/>
    <w:rsid w:val="00117872"/>
    <w:rsid w:val="00130163"/>
    <w:rsid w:val="00130249"/>
    <w:rsid w:val="00134ACE"/>
    <w:rsid w:val="00134F56"/>
    <w:rsid w:val="00134F87"/>
    <w:rsid w:val="00135F46"/>
    <w:rsid w:val="00137101"/>
    <w:rsid w:val="00137DB8"/>
    <w:rsid w:val="001415D6"/>
    <w:rsid w:val="001435BA"/>
    <w:rsid w:val="001435C9"/>
    <w:rsid w:val="00147509"/>
    <w:rsid w:val="001507D7"/>
    <w:rsid w:val="00157D66"/>
    <w:rsid w:val="00165129"/>
    <w:rsid w:val="00167600"/>
    <w:rsid w:val="0017062D"/>
    <w:rsid w:val="00176B79"/>
    <w:rsid w:val="00184962"/>
    <w:rsid w:val="00185C33"/>
    <w:rsid w:val="00192E15"/>
    <w:rsid w:val="00192FD5"/>
    <w:rsid w:val="00195D3B"/>
    <w:rsid w:val="0019776F"/>
    <w:rsid w:val="001A33BA"/>
    <w:rsid w:val="001B5126"/>
    <w:rsid w:val="001C1988"/>
    <w:rsid w:val="001C23FA"/>
    <w:rsid w:val="001C29A1"/>
    <w:rsid w:val="001C4239"/>
    <w:rsid w:val="001C461D"/>
    <w:rsid w:val="001C76CF"/>
    <w:rsid w:val="001D1BAE"/>
    <w:rsid w:val="001D1EB3"/>
    <w:rsid w:val="001D34C2"/>
    <w:rsid w:val="001D42FB"/>
    <w:rsid w:val="001D5F71"/>
    <w:rsid w:val="001E1585"/>
    <w:rsid w:val="001E17FE"/>
    <w:rsid w:val="001E64E3"/>
    <w:rsid w:val="001E6822"/>
    <w:rsid w:val="001F1C12"/>
    <w:rsid w:val="001F3680"/>
    <w:rsid w:val="00200DA9"/>
    <w:rsid w:val="00204E97"/>
    <w:rsid w:val="002074A9"/>
    <w:rsid w:val="002139AA"/>
    <w:rsid w:val="00214E75"/>
    <w:rsid w:val="00215694"/>
    <w:rsid w:val="00215BCF"/>
    <w:rsid w:val="00216DE3"/>
    <w:rsid w:val="0021751A"/>
    <w:rsid w:val="002217A3"/>
    <w:rsid w:val="00224EE7"/>
    <w:rsid w:val="00231243"/>
    <w:rsid w:val="0023255C"/>
    <w:rsid w:val="00235DFB"/>
    <w:rsid w:val="00242E0A"/>
    <w:rsid w:val="002441E8"/>
    <w:rsid w:val="00254054"/>
    <w:rsid w:val="00255385"/>
    <w:rsid w:val="00255554"/>
    <w:rsid w:val="00255A57"/>
    <w:rsid w:val="0025640E"/>
    <w:rsid w:val="00256CE0"/>
    <w:rsid w:val="00257CA8"/>
    <w:rsid w:val="00261248"/>
    <w:rsid w:val="00266618"/>
    <w:rsid w:val="00266E31"/>
    <w:rsid w:val="00271F7F"/>
    <w:rsid w:val="002765E3"/>
    <w:rsid w:val="00276CE3"/>
    <w:rsid w:val="00281CC9"/>
    <w:rsid w:val="00283364"/>
    <w:rsid w:val="00284C5C"/>
    <w:rsid w:val="002854C5"/>
    <w:rsid w:val="00287D27"/>
    <w:rsid w:val="002920B8"/>
    <w:rsid w:val="0029386D"/>
    <w:rsid w:val="002938F5"/>
    <w:rsid w:val="00295478"/>
    <w:rsid w:val="002968FF"/>
    <w:rsid w:val="002A3D79"/>
    <w:rsid w:val="002A5424"/>
    <w:rsid w:val="002A6AB1"/>
    <w:rsid w:val="002B0555"/>
    <w:rsid w:val="002B1107"/>
    <w:rsid w:val="002B28C6"/>
    <w:rsid w:val="002B5B0D"/>
    <w:rsid w:val="002B73F7"/>
    <w:rsid w:val="002C3118"/>
    <w:rsid w:val="002C3BC7"/>
    <w:rsid w:val="002C71D1"/>
    <w:rsid w:val="002C729C"/>
    <w:rsid w:val="002D0C00"/>
    <w:rsid w:val="002D2C57"/>
    <w:rsid w:val="002D547A"/>
    <w:rsid w:val="002D6199"/>
    <w:rsid w:val="002E126B"/>
    <w:rsid w:val="002E542E"/>
    <w:rsid w:val="002F054B"/>
    <w:rsid w:val="002F0BBF"/>
    <w:rsid w:val="002F0DBB"/>
    <w:rsid w:val="002F6FF7"/>
    <w:rsid w:val="002F7CBE"/>
    <w:rsid w:val="0030142B"/>
    <w:rsid w:val="00307E1C"/>
    <w:rsid w:val="0031106F"/>
    <w:rsid w:val="0031132B"/>
    <w:rsid w:val="00320FA0"/>
    <w:rsid w:val="0032314C"/>
    <w:rsid w:val="00324CB8"/>
    <w:rsid w:val="00325ECE"/>
    <w:rsid w:val="00325FC9"/>
    <w:rsid w:val="00331595"/>
    <w:rsid w:val="003325D4"/>
    <w:rsid w:val="00342521"/>
    <w:rsid w:val="003469E5"/>
    <w:rsid w:val="003478A3"/>
    <w:rsid w:val="003512F1"/>
    <w:rsid w:val="003528C1"/>
    <w:rsid w:val="0035394C"/>
    <w:rsid w:val="00355B81"/>
    <w:rsid w:val="00355FDF"/>
    <w:rsid w:val="003618B9"/>
    <w:rsid w:val="00364B07"/>
    <w:rsid w:val="00366B3F"/>
    <w:rsid w:val="00370911"/>
    <w:rsid w:val="00375EA4"/>
    <w:rsid w:val="003821BB"/>
    <w:rsid w:val="003826DA"/>
    <w:rsid w:val="00383912"/>
    <w:rsid w:val="00385EF8"/>
    <w:rsid w:val="0038638D"/>
    <w:rsid w:val="00395F9B"/>
    <w:rsid w:val="003960E5"/>
    <w:rsid w:val="00396276"/>
    <w:rsid w:val="003A1D8A"/>
    <w:rsid w:val="003A3DF5"/>
    <w:rsid w:val="003A53A9"/>
    <w:rsid w:val="003A6A2B"/>
    <w:rsid w:val="003B0B5E"/>
    <w:rsid w:val="003B2F8C"/>
    <w:rsid w:val="003B3C99"/>
    <w:rsid w:val="003B75D9"/>
    <w:rsid w:val="003C02C6"/>
    <w:rsid w:val="003C2272"/>
    <w:rsid w:val="003C5ED9"/>
    <w:rsid w:val="003C7CA4"/>
    <w:rsid w:val="003D5C06"/>
    <w:rsid w:val="003D65EC"/>
    <w:rsid w:val="003D79FA"/>
    <w:rsid w:val="003E063A"/>
    <w:rsid w:val="003E3712"/>
    <w:rsid w:val="003E5EC4"/>
    <w:rsid w:val="003F1354"/>
    <w:rsid w:val="003F42F0"/>
    <w:rsid w:val="00403C93"/>
    <w:rsid w:val="00405CC0"/>
    <w:rsid w:val="00412ED3"/>
    <w:rsid w:val="004147A7"/>
    <w:rsid w:val="0041483D"/>
    <w:rsid w:val="0042087C"/>
    <w:rsid w:val="00421122"/>
    <w:rsid w:val="0042265D"/>
    <w:rsid w:val="004412D8"/>
    <w:rsid w:val="004425D1"/>
    <w:rsid w:val="00444018"/>
    <w:rsid w:val="00445C45"/>
    <w:rsid w:val="00454954"/>
    <w:rsid w:val="0045635F"/>
    <w:rsid w:val="00461D57"/>
    <w:rsid w:val="00462DBA"/>
    <w:rsid w:val="004637F1"/>
    <w:rsid w:val="0046779C"/>
    <w:rsid w:val="00467B71"/>
    <w:rsid w:val="00470142"/>
    <w:rsid w:val="00470748"/>
    <w:rsid w:val="00471297"/>
    <w:rsid w:val="00473C57"/>
    <w:rsid w:val="00474D4F"/>
    <w:rsid w:val="00475536"/>
    <w:rsid w:val="00475682"/>
    <w:rsid w:val="00475F02"/>
    <w:rsid w:val="004775D4"/>
    <w:rsid w:val="00482E84"/>
    <w:rsid w:val="004835C2"/>
    <w:rsid w:val="00483CD7"/>
    <w:rsid w:val="004900AE"/>
    <w:rsid w:val="004908E7"/>
    <w:rsid w:val="00491D04"/>
    <w:rsid w:val="004934C0"/>
    <w:rsid w:val="004945CF"/>
    <w:rsid w:val="00495369"/>
    <w:rsid w:val="004A1426"/>
    <w:rsid w:val="004A2827"/>
    <w:rsid w:val="004A36CF"/>
    <w:rsid w:val="004A5C30"/>
    <w:rsid w:val="004B0336"/>
    <w:rsid w:val="004B47F6"/>
    <w:rsid w:val="004B564A"/>
    <w:rsid w:val="004B6E63"/>
    <w:rsid w:val="004C0EEA"/>
    <w:rsid w:val="004C43DC"/>
    <w:rsid w:val="004D11D2"/>
    <w:rsid w:val="004D2290"/>
    <w:rsid w:val="004D5C1D"/>
    <w:rsid w:val="004D7723"/>
    <w:rsid w:val="004E19D9"/>
    <w:rsid w:val="004E393A"/>
    <w:rsid w:val="004E3D57"/>
    <w:rsid w:val="004E7313"/>
    <w:rsid w:val="004F0019"/>
    <w:rsid w:val="004F195C"/>
    <w:rsid w:val="004F2B12"/>
    <w:rsid w:val="004F3566"/>
    <w:rsid w:val="004F3A02"/>
    <w:rsid w:val="004F6998"/>
    <w:rsid w:val="004F7210"/>
    <w:rsid w:val="004F7862"/>
    <w:rsid w:val="004F7CBC"/>
    <w:rsid w:val="0050029E"/>
    <w:rsid w:val="00505944"/>
    <w:rsid w:val="0050733C"/>
    <w:rsid w:val="00514563"/>
    <w:rsid w:val="00516A8F"/>
    <w:rsid w:val="00517B61"/>
    <w:rsid w:val="005201B8"/>
    <w:rsid w:val="00526B14"/>
    <w:rsid w:val="005275BF"/>
    <w:rsid w:val="00531AB3"/>
    <w:rsid w:val="005434EB"/>
    <w:rsid w:val="005436C4"/>
    <w:rsid w:val="005503AE"/>
    <w:rsid w:val="00550B26"/>
    <w:rsid w:val="005559EB"/>
    <w:rsid w:val="00556069"/>
    <w:rsid w:val="00556F29"/>
    <w:rsid w:val="0056018D"/>
    <w:rsid w:val="005603A4"/>
    <w:rsid w:val="00560A98"/>
    <w:rsid w:val="00560E80"/>
    <w:rsid w:val="00563B40"/>
    <w:rsid w:val="00563CFA"/>
    <w:rsid w:val="00563E66"/>
    <w:rsid w:val="00565A2D"/>
    <w:rsid w:val="00567A2F"/>
    <w:rsid w:val="005779BE"/>
    <w:rsid w:val="00577E07"/>
    <w:rsid w:val="00580E7E"/>
    <w:rsid w:val="005814F0"/>
    <w:rsid w:val="0058291D"/>
    <w:rsid w:val="005832EA"/>
    <w:rsid w:val="005859EA"/>
    <w:rsid w:val="00596169"/>
    <w:rsid w:val="00596C35"/>
    <w:rsid w:val="005A204B"/>
    <w:rsid w:val="005A2951"/>
    <w:rsid w:val="005A471C"/>
    <w:rsid w:val="005A5A95"/>
    <w:rsid w:val="005A646C"/>
    <w:rsid w:val="005B203D"/>
    <w:rsid w:val="005B26EC"/>
    <w:rsid w:val="005B31A2"/>
    <w:rsid w:val="005B351A"/>
    <w:rsid w:val="005B3CCD"/>
    <w:rsid w:val="005B635F"/>
    <w:rsid w:val="005C0081"/>
    <w:rsid w:val="005D3065"/>
    <w:rsid w:val="005D52A2"/>
    <w:rsid w:val="005D76CC"/>
    <w:rsid w:val="005E0FB1"/>
    <w:rsid w:val="005E2DE5"/>
    <w:rsid w:val="005E3C1B"/>
    <w:rsid w:val="005E40E6"/>
    <w:rsid w:val="005E76A8"/>
    <w:rsid w:val="005F2325"/>
    <w:rsid w:val="005F242D"/>
    <w:rsid w:val="005F3545"/>
    <w:rsid w:val="005F6AAB"/>
    <w:rsid w:val="00604988"/>
    <w:rsid w:val="006060E5"/>
    <w:rsid w:val="00612345"/>
    <w:rsid w:val="006147CE"/>
    <w:rsid w:val="00614C8A"/>
    <w:rsid w:val="00615E99"/>
    <w:rsid w:val="00615F3B"/>
    <w:rsid w:val="00616650"/>
    <w:rsid w:val="00621D7E"/>
    <w:rsid w:val="00623952"/>
    <w:rsid w:val="0063083D"/>
    <w:rsid w:val="006317D8"/>
    <w:rsid w:val="00631BC6"/>
    <w:rsid w:val="00632BAC"/>
    <w:rsid w:val="0064395B"/>
    <w:rsid w:val="00646D5F"/>
    <w:rsid w:val="00646E8F"/>
    <w:rsid w:val="006501BB"/>
    <w:rsid w:val="006503AF"/>
    <w:rsid w:val="00650EFB"/>
    <w:rsid w:val="006520EA"/>
    <w:rsid w:val="00653B8C"/>
    <w:rsid w:val="00655F2C"/>
    <w:rsid w:val="00661B5D"/>
    <w:rsid w:val="00663C32"/>
    <w:rsid w:val="0066550A"/>
    <w:rsid w:val="00671A09"/>
    <w:rsid w:val="00672D0D"/>
    <w:rsid w:val="0067648D"/>
    <w:rsid w:val="006771B1"/>
    <w:rsid w:val="00680BFD"/>
    <w:rsid w:val="00682130"/>
    <w:rsid w:val="00684098"/>
    <w:rsid w:val="006849E1"/>
    <w:rsid w:val="00686058"/>
    <w:rsid w:val="006860CA"/>
    <w:rsid w:val="0069052D"/>
    <w:rsid w:val="00696820"/>
    <w:rsid w:val="006A5080"/>
    <w:rsid w:val="006B027B"/>
    <w:rsid w:val="006B0885"/>
    <w:rsid w:val="006B0BCF"/>
    <w:rsid w:val="006B27F0"/>
    <w:rsid w:val="006C03BC"/>
    <w:rsid w:val="006C0511"/>
    <w:rsid w:val="006C39C2"/>
    <w:rsid w:val="006C54EA"/>
    <w:rsid w:val="006C7B39"/>
    <w:rsid w:val="006C7DB2"/>
    <w:rsid w:val="006D16B5"/>
    <w:rsid w:val="006D481C"/>
    <w:rsid w:val="006D6FE3"/>
    <w:rsid w:val="006E0E86"/>
    <w:rsid w:val="006E4972"/>
    <w:rsid w:val="006E7965"/>
    <w:rsid w:val="006F3E9E"/>
    <w:rsid w:val="006F484C"/>
    <w:rsid w:val="006F6D17"/>
    <w:rsid w:val="0070593C"/>
    <w:rsid w:val="00710A37"/>
    <w:rsid w:val="00710B74"/>
    <w:rsid w:val="00714321"/>
    <w:rsid w:val="00716335"/>
    <w:rsid w:val="00716CB1"/>
    <w:rsid w:val="00720C25"/>
    <w:rsid w:val="00721BD4"/>
    <w:rsid w:val="0072387C"/>
    <w:rsid w:val="00725A5B"/>
    <w:rsid w:val="0073036C"/>
    <w:rsid w:val="007363FC"/>
    <w:rsid w:val="00743812"/>
    <w:rsid w:val="00744ECD"/>
    <w:rsid w:val="007455C0"/>
    <w:rsid w:val="00755995"/>
    <w:rsid w:val="0076110A"/>
    <w:rsid w:val="007613C4"/>
    <w:rsid w:val="00761A52"/>
    <w:rsid w:val="00765ACE"/>
    <w:rsid w:val="0076799C"/>
    <w:rsid w:val="007701EE"/>
    <w:rsid w:val="00773CC9"/>
    <w:rsid w:val="00776062"/>
    <w:rsid w:val="00781774"/>
    <w:rsid w:val="00782EC3"/>
    <w:rsid w:val="00785BFD"/>
    <w:rsid w:val="00790701"/>
    <w:rsid w:val="00790BF2"/>
    <w:rsid w:val="00791855"/>
    <w:rsid w:val="00792397"/>
    <w:rsid w:val="007923BC"/>
    <w:rsid w:val="00792DE1"/>
    <w:rsid w:val="007949DD"/>
    <w:rsid w:val="00797CF9"/>
    <w:rsid w:val="007A37B1"/>
    <w:rsid w:val="007B10D7"/>
    <w:rsid w:val="007B1DF9"/>
    <w:rsid w:val="007B1F6C"/>
    <w:rsid w:val="007B72F5"/>
    <w:rsid w:val="007C1187"/>
    <w:rsid w:val="007C32C0"/>
    <w:rsid w:val="007C76B9"/>
    <w:rsid w:val="007D532B"/>
    <w:rsid w:val="007D6A9D"/>
    <w:rsid w:val="007E2406"/>
    <w:rsid w:val="007E2F24"/>
    <w:rsid w:val="007E32F3"/>
    <w:rsid w:val="007E63DC"/>
    <w:rsid w:val="007F2C28"/>
    <w:rsid w:val="00810217"/>
    <w:rsid w:val="008140C2"/>
    <w:rsid w:val="00814F21"/>
    <w:rsid w:val="008160E4"/>
    <w:rsid w:val="008260F3"/>
    <w:rsid w:val="00827BA3"/>
    <w:rsid w:val="00840318"/>
    <w:rsid w:val="008434C5"/>
    <w:rsid w:val="00846942"/>
    <w:rsid w:val="0085590A"/>
    <w:rsid w:val="0086013E"/>
    <w:rsid w:val="008617BC"/>
    <w:rsid w:val="00864167"/>
    <w:rsid w:val="00865268"/>
    <w:rsid w:val="0087052A"/>
    <w:rsid w:val="008766C7"/>
    <w:rsid w:val="00885BEF"/>
    <w:rsid w:val="008862BF"/>
    <w:rsid w:val="0089076F"/>
    <w:rsid w:val="008957CF"/>
    <w:rsid w:val="008A06A9"/>
    <w:rsid w:val="008A3592"/>
    <w:rsid w:val="008A7022"/>
    <w:rsid w:val="008A7621"/>
    <w:rsid w:val="008A7E95"/>
    <w:rsid w:val="008B39D7"/>
    <w:rsid w:val="008B4CBD"/>
    <w:rsid w:val="008B5D71"/>
    <w:rsid w:val="008B7327"/>
    <w:rsid w:val="008C4E04"/>
    <w:rsid w:val="008C5046"/>
    <w:rsid w:val="008C753E"/>
    <w:rsid w:val="008C7E4C"/>
    <w:rsid w:val="008D006A"/>
    <w:rsid w:val="008D00A6"/>
    <w:rsid w:val="008D45FB"/>
    <w:rsid w:val="008E3153"/>
    <w:rsid w:val="008E3D0C"/>
    <w:rsid w:val="008E4C7C"/>
    <w:rsid w:val="008F2E3A"/>
    <w:rsid w:val="008F5409"/>
    <w:rsid w:val="008F55DE"/>
    <w:rsid w:val="008F66E3"/>
    <w:rsid w:val="008F70DA"/>
    <w:rsid w:val="00900567"/>
    <w:rsid w:val="009008D5"/>
    <w:rsid w:val="009018B4"/>
    <w:rsid w:val="009032B9"/>
    <w:rsid w:val="009058B3"/>
    <w:rsid w:val="0090657B"/>
    <w:rsid w:val="00911358"/>
    <w:rsid w:val="009123EB"/>
    <w:rsid w:val="009156CC"/>
    <w:rsid w:val="00916345"/>
    <w:rsid w:val="00921D63"/>
    <w:rsid w:val="00922A82"/>
    <w:rsid w:val="00922C55"/>
    <w:rsid w:val="0092332B"/>
    <w:rsid w:val="009235FC"/>
    <w:rsid w:val="00933289"/>
    <w:rsid w:val="00935211"/>
    <w:rsid w:val="0094009E"/>
    <w:rsid w:val="0094029B"/>
    <w:rsid w:val="00942A3C"/>
    <w:rsid w:val="0095020D"/>
    <w:rsid w:val="00954868"/>
    <w:rsid w:val="00956F6B"/>
    <w:rsid w:val="0096061D"/>
    <w:rsid w:val="009607CB"/>
    <w:rsid w:val="009611A3"/>
    <w:rsid w:val="009651FF"/>
    <w:rsid w:val="009656ED"/>
    <w:rsid w:val="00965D50"/>
    <w:rsid w:val="009677F4"/>
    <w:rsid w:val="00967D14"/>
    <w:rsid w:val="00970812"/>
    <w:rsid w:val="00972458"/>
    <w:rsid w:val="00991172"/>
    <w:rsid w:val="009913A3"/>
    <w:rsid w:val="009934DC"/>
    <w:rsid w:val="00995A76"/>
    <w:rsid w:val="00996ED2"/>
    <w:rsid w:val="009A0C8A"/>
    <w:rsid w:val="009A1A65"/>
    <w:rsid w:val="009A3E86"/>
    <w:rsid w:val="009A4FBE"/>
    <w:rsid w:val="009A7A18"/>
    <w:rsid w:val="009B2203"/>
    <w:rsid w:val="009B3CFA"/>
    <w:rsid w:val="009B45B2"/>
    <w:rsid w:val="009B4CAE"/>
    <w:rsid w:val="009B7D6F"/>
    <w:rsid w:val="009C0120"/>
    <w:rsid w:val="009C35E5"/>
    <w:rsid w:val="009C46E4"/>
    <w:rsid w:val="009C651E"/>
    <w:rsid w:val="009C6ED8"/>
    <w:rsid w:val="009C7416"/>
    <w:rsid w:val="009D12FC"/>
    <w:rsid w:val="009D1EEE"/>
    <w:rsid w:val="009D2A54"/>
    <w:rsid w:val="009D5D23"/>
    <w:rsid w:val="009D6C87"/>
    <w:rsid w:val="009E4B34"/>
    <w:rsid w:val="009E5842"/>
    <w:rsid w:val="009F0867"/>
    <w:rsid w:val="009F1CF9"/>
    <w:rsid w:val="009F3791"/>
    <w:rsid w:val="009F65BF"/>
    <w:rsid w:val="009F794C"/>
    <w:rsid w:val="00A0076C"/>
    <w:rsid w:val="00A013DD"/>
    <w:rsid w:val="00A022E6"/>
    <w:rsid w:val="00A07809"/>
    <w:rsid w:val="00A111E9"/>
    <w:rsid w:val="00A16400"/>
    <w:rsid w:val="00A230AE"/>
    <w:rsid w:val="00A23315"/>
    <w:rsid w:val="00A2469C"/>
    <w:rsid w:val="00A27676"/>
    <w:rsid w:val="00A305E4"/>
    <w:rsid w:val="00A32E33"/>
    <w:rsid w:val="00A36A8B"/>
    <w:rsid w:val="00A37808"/>
    <w:rsid w:val="00A417B4"/>
    <w:rsid w:val="00A46027"/>
    <w:rsid w:val="00A57737"/>
    <w:rsid w:val="00A6109A"/>
    <w:rsid w:val="00A62444"/>
    <w:rsid w:val="00A7043F"/>
    <w:rsid w:val="00A759DA"/>
    <w:rsid w:val="00A760AB"/>
    <w:rsid w:val="00A82E36"/>
    <w:rsid w:val="00A90554"/>
    <w:rsid w:val="00A90714"/>
    <w:rsid w:val="00A90BC8"/>
    <w:rsid w:val="00A9328B"/>
    <w:rsid w:val="00A9736C"/>
    <w:rsid w:val="00A97B18"/>
    <w:rsid w:val="00A97B55"/>
    <w:rsid w:val="00AA1794"/>
    <w:rsid w:val="00AA47D2"/>
    <w:rsid w:val="00AA566A"/>
    <w:rsid w:val="00AA6D8B"/>
    <w:rsid w:val="00AB1726"/>
    <w:rsid w:val="00AB2946"/>
    <w:rsid w:val="00AB41B9"/>
    <w:rsid w:val="00AB6788"/>
    <w:rsid w:val="00AC0468"/>
    <w:rsid w:val="00AC40EB"/>
    <w:rsid w:val="00AC7ADE"/>
    <w:rsid w:val="00AC7B35"/>
    <w:rsid w:val="00AD6E6E"/>
    <w:rsid w:val="00AD7829"/>
    <w:rsid w:val="00AE1852"/>
    <w:rsid w:val="00AE1F81"/>
    <w:rsid w:val="00AE2AA3"/>
    <w:rsid w:val="00AE36F2"/>
    <w:rsid w:val="00AE4CC1"/>
    <w:rsid w:val="00AF0D71"/>
    <w:rsid w:val="00AF2E13"/>
    <w:rsid w:val="00AF401E"/>
    <w:rsid w:val="00AF75C4"/>
    <w:rsid w:val="00AF785B"/>
    <w:rsid w:val="00B07676"/>
    <w:rsid w:val="00B1089D"/>
    <w:rsid w:val="00B112BD"/>
    <w:rsid w:val="00B11568"/>
    <w:rsid w:val="00B1408B"/>
    <w:rsid w:val="00B14449"/>
    <w:rsid w:val="00B15985"/>
    <w:rsid w:val="00B24E4A"/>
    <w:rsid w:val="00B25032"/>
    <w:rsid w:val="00B277EC"/>
    <w:rsid w:val="00B35E6E"/>
    <w:rsid w:val="00B43172"/>
    <w:rsid w:val="00B43AB0"/>
    <w:rsid w:val="00B4540D"/>
    <w:rsid w:val="00B45B67"/>
    <w:rsid w:val="00B46272"/>
    <w:rsid w:val="00B50F81"/>
    <w:rsid w:val="00B5359C"/>
    <w:rsid w:val="00B55DCA"/>
    <w:rsid w:val="00B60FB9"/>
    <w:rsid w:val="00B62336"/>
    <w:rsid w:val="00B65662"/>
    <w:rsid w:val="00B71317"/>
    <w:rsid w:val="00B71BAB"/>
    <w:rsid w:val="00B73543"/>
    <w:rsid w:val="00B7459E"/>
    <w:rsid w:val="00B75837"/>
    <w:rsid w:val="00B77C14"/>
    <w:rsid w:val="00B77D0D"/>
    <w:rsid w:val="00B80EB1"/>
    <w:rsid w:val="00B814C8"/>
    <w:rsid w:val="00B84480"/>
    <w:rsid w:val="00B84B7E"/>
    <w:rsid w:val="00B86CAA"/>
    <w:rsid w:val="00B908BB"/>
    <w:rsid w:val="00B945AE"/>
    <w:rsid w:val="00BA07D8"/>
    <w:rsid w:val="00BA4584"/>
    <w:rsid w:val="00BA7091"/>
    <w:rsid w:val="00BB5E05"/>
    <w:rsid w:val="00BC112E"/>
    <w:rsid w:val="00BC4032"/>
    <w:rsid w:val="00BE124C"/>
    <w:rsid w:val="00BE1618"/>
    <w:rsid w:val="00BE1994"/>
    <w:rsid w:val="00BE31BD"/>
    <w:rsid w:val="00BE5EC3"/>
    <w:rsid w:val="00BE701E"/>
    <w:rsid w:val="00BE7073"/>
    <w:rsid w:val="00BF0150"/>
    <w:rsid w:val="00BF3410"/>
    <w:rsid w:val="00BF4898"/>
    <w:rsid w:val="00BF4DB5"/>
    <w:rsid w:val="00BF603D"/>
    <w:rsid w:val="00BF6851"/>
    <w:rsid w:val="00BF6BAB"/>
    <w:rsid w:val="00BF6D98"/>
    <w:rsid w:val="00C042F1"/>
    <w:rsid w:val="00C12F6F"/>
    <w:rsid w:val="00C13CF1"/>
    <w:rsid w:val="00C14957"/>
    <w:rsid w:val="00C17EC2"/>
    <w:rsid w:val="00C17F35"/>
    <w:rsid w:val="00C20364"/>
    <w:rsid w:val="00C246C9"/>
    <w:rsid w:val="00C2571B"/>
    <w:rsid w:val="00C32AAA"/>
    <w:rsid w:val="00C34352"/>
    <w:rsid w:val="00C42810"/>
    <w:rsid w:val="00C43372"/>
    <w:rsid w:val="00C43E5F"/>
    <w:rsid w:val="00C44FA8"/>
    <w:rsid w:val="00C460A4"/>
    <w:rsid w:val="00C47BFF"/>
    <w:rsid w:val="00C51DA5"/>
    <w:rsid w:val="00C53C8C"/>
    <w:rsid w:val="00C61083"/>
    <w:rsid w:val="00C62024"/>
    <w:rsid w:val="00C63350"/>
    <w:rsid w:val="00C65E57"/>
    <w:rsid w:val="00C65F3D"/>
    <w:rsid w:val="00C660F7"/>
    <w:rsid w:val="00C704C9"/>
    <w:rsid w:val="00C7070D"/>
    <w:rsid w:val="00C72E3D"/>
    <w:rsid w:val="00C75546"/>
    <w:rsid w:val="00C769F3"/>
    <w:rsid w:val="00C8140D"/>
    <w:rsid w:val="00C8219D"/>
    <w:rsid w:val="00C83FC8"/>
    <w:rsid w:val="00C8451F"/>
    <w:rsid w:val="00C91206"/>
    <w:rsid w:val="00C94E64"/>
    <w:rsid w:val="00C96359"/>
    <w:rsid w:val="00CA1534"/>
    <w:rsid w:val="00CA1CCC"/>
    <w:rsid w:val="00CB1D2E"/>
    <w:rsid w:val="00CB4810"/>
    <w:rsid w:val="00CB523C"/>
    <w:rsid w:val="00CC005D"/>
    <w:rsid w:val="00CC081D"/>
    <w:rsid w:val="00CC1BFC"/>
    <w:rsid w:val="00CC2CEF"/>
    <w:rsid w:val="00CC32F3"/>
    <w:rsid w:val="00CC4693"/>
    <w:rsid w:val="00CD4D96"/>
    <w:rsid w:val="00CE146F"/>
    <w:rsid w:val="00CE18F7"/>
    <w:rsid w:val="00CE4813"/>
    <w:rsid w:val="00CF1775"/>
    <w:rsid w:val="00CF32E3"/>
    <w:rsid w:val="00CF6F78"/>
    <w:rsid w:val="00D02546"/>
    <w:rsid w:val="00D0266C"/>
    <w:rsid w:val="00D04EB6"/>
    <w:rsid w:val="00D04FAF"/>
    <w:rsid w:val="00D13B02"/>
    <w:rsid w:val="00D15892"/>
    <w:rsid w:val="00D26DA7"/>
    <w:rsid w:val="00D2762A"/>
    <w:rsid w:val="00D31426"/>
    <w:rsid w:val="00D32158"/>
    <w:rsid w:val="00D360CF"/>
    <w:rsid w:val="00D41B5C"/>
    <w:rsid w:val="00D42D79"/>
    <w:rsid w:val="00D5122F"/>
    <w:rsid w:val="00D57072"/>
    <w:rsid w:val="00D60550"/>
    <w:rsid w:val="00D615AA"/>
    <w:rsid w:val="00D6331D"/>
    <w:rsid w:val="00D666CE"/>
    <w:rsid w:val="00D71BDD"/>
    <w:rsid w:val="00D73A66"/>
    <w:rsid w:val="00D740FE"/>
    <w:rsid w:val="00D75598"/>
    <w:rsid w:val="00D83A26"/>
    <w:rsid w:val="00D84202"/>
    <w:rsid w:val="00D95789"/>
    <w:rsid w:val="00D9608A"/>
    <w:rsid w:val="00D9665C"/>
    <w:rsid w:val="00DA0DC6"/>
    <w:rsid w:val="00DA330E"/>
    <w:rsid w:val="00DA4B1D"/>
    <w:rsid w:val="00DA4D48"/>
    <w:rsid w:val="00DB0162"/>
    <w:rsid w:val="00DB104D"/>
    <w:rsid w:val="00DB236C"/>
    <w:rsid w:val="00DB352D"/>
    <w:rsid w:val="00DC045A"/>
    <w:rsid w:val="00DC11A4"/>
    <w:rsid w:val="00DC33D4"/>
    <w:rsid w:val="00DC4019"/>
    <w:rsid w:val="00DC5D69"/>
    <w:rsid w:val="00DC6847"/>
    <w:rsid w:val="00DC78E9"/>
    <w:rsid w:val="00DD2ECB"/>
    <w:rsid w:val="00DD32E8"/>
    <w:rsid w:val="00DD3A55"/>
    <w:rsid w:val="00DD6490"/>
    <w:rsid w:val="00DD7EC8"/>
    <w:rsid w:val="00DE2174"/>
    <w:rsid w:val="00DE22DD"/>
    <w:rsid w:val="00DE5A58"/>
    <w:rsid w:val="00DE70CA"/>
    <w:rsid w:val="00DF1FA2"/>
    <w:rsid w:val="00DF2887"/>
    <w:rsid w:val="00DF403F"/>
    <w:rsid w:val="00DF4640"/>
    <w:rsid w:val="00DF7B62"/>
    <w:rsid w:val="00E0794A"/>
    <w:rsid w:val="00E10294"/>
    <w:rsid w:val="00E10DBF"/>
    <w:rsid w:val="00E13B3D"/>
    <w:rsid w:val="00E165D3"/>
    <w:rsid w:val="00E211F3"/>
    <w:rsid w:val="00E21CD9"/>
    <w:rsid w:val="00E22A64"/>
    <w:rsid w:val="00E309B0"/>
    <w:rsid w:val="00E3279A"/>
    <w:rsid w:val="00E435AE"/>
    <w:rsid w:val="00E43F56"/>
    <w:rsid w:val="00E47167"/>
    <w:rsid w:val="00E4764E"/>
    <w:rsid w:val="00E51B52"/>
    <w:rsid w:val="00E52BFC"/>
    <w:rsid w:val="00E52D1F"/>
    <w:rsid w:val="00E55CAA"/>
    <w:rsid w:val="00E57A22"/>
    <w:rsid w:val="00E62FF6"/>
    <w:rsid w:val="00E7099D"/>
    <w:rsid w:val="00E7622B"/>
    <w:rsid w:val="00E862EA"/>
    <w:rsid w:val="00E86A32"/>
    <w:rsid w:val="00E92040"/>
    <w:rsid w:val="00E9488B"/>
    <w:rsid w:val="00EA1080"/>
    <w:rsid w:val="00EA3460"/>
    <w:rsid w:val="00EA3739"/>
    <w:rsid w:val="00EA5AA3"/>
    <w:rsid w:val="00EB4EE4"/>
    <w:rsid w:val="00EC6066"/>
    <w:rsid w:val="00EC6C24"/>
    <w:rsid w:val="00ED113E"/>
    <w:rsid w:val="00ED3611"/>
    <w:rsid w:val="00ED5F22"/>
    <w:rsid w:val="00ED6D93"/>
    <w:rsid w:val="00EE21E1"/>
    <w:rsid w:val="00EE2A1F"/>
    <w:rsid w:val="00EE6D9C"/>
    <w:rsid w:val="00EF10C7"/>
    <w:rsid w:val="00F010CE"/>
    <w:rsid w:val="00F01722"/>
    <w:rsid w:val="00F021BC"/>
    <w:rsid w:val="00F04944"/>
    <w:rsid w:val="00F07C07"/>
    <w:rsid w:val="00F07FFE"/>
    <w:rsid w:val="00F1364D"/>
    <w:rsid w:val="00F24BBF"/>
    <w:rsid w:val="00F24EF0"/>
    <w:rsid w:val="00F30B3E"/>
    <w:rsid w:val="00F31737"/>
    <w:rsid w:val="00F35DDE"/>
    <w:rsid w:val="00F420FB"/>
    <w:rsid w:val="00F42386"/>
    <w:rsid w:val="00F47B93"/>
    <w:rsid w:val="00F47E50"/>
    <w:rsid w:val="00F5154C"/>
    <w:rsid w:val="00F516CC"/>
    <w:rsid w:val="00F6493C"/>
    <w:rsid w:val="00F679C0"/>
    <w:rsid w:val="00F71596"/>
    <w:rsid w:val="00F74D00"/>
    <w:rsid w:val="00F74D01"/>
    <w:rsid w:val="00F758E4"/>
    <w:rsid w:val="00F8054D"/>
    <w:rsid w:val="00F815DD"/>
    <w:rsid w:val="00F81859"/>
    <w:rsid w:val="00F818E0"/>
    <w:rsid w:val="00F82640"/>
    <w:rsid w:val="00F82F79"/>
    <w:rsid w:val="00F8547F"/>
    <w:rsid w:val="00F945A8"/>
    <w:rsid w:val="00FB05E5"/>
    <w:rsid w:val="00FB3AD9"/>
    <w:rsid w:val="00FB7C58"/>
    <w:rsid w:val="00FC13E0"/>
    <w:rsid w:val="00FC6EA0"/>
    <w:rsid w:val="00FD0B58"/>
    <w:rsid w:val="00FD5E2C"/>
    <w:rsid w:val="00FE0013"/>
    <w:rsid w:val="00FE20BB"/>
    <w:rsid w:val="00FE21B9"/>
    <w:rsid w:val="00FE741E"/>
    <w:rsid w:val="00FF0A2C"/>
    <w:rsid w:val="00FF0FBA"/>
    <w:rsid w:val="00FF6B72"/>
    <w:rsid w:val="00FF6F69"/>
    <w:rsid w:val="01997E00"/>
    <w:rsid w:val="019E2D20"/>
    <w:rsid w:val="01AD5116"/>
    <w:rsid w:val="03033699"/>
    <w:rsid w:val="03152088"/>
    <w:rsid w:val="034D4E02"/>
    <w:rsid w:val="03621F9A"/>
    <w:rsid w:val="037D27CF"/>
    <w:rsid w:val="04A2573B"/>
    <w:rsid w:val="05077CD2"/>
    <w:rsid w:val="052D7872"/>
    <w:rsid w:val="05BB6053"/>
    <w:rsid w:val="060503F4"/>
    <w:rsid w:val="067E3047"/>
    <w:rsid w:val="068B011B"/>
    <w:rsid w:val="069E1331"/>
    <w:rsid w:val="06E16FD0"/>
    <w:rsid w:val="07DE24CD"/>
    <w:rsid w:val="0817777E"/>
    <w:rsid w:val="08183C31"/>
    <w:rsid w:val="085B58CB"/>
    <w:rsid w:val="08A52FEB"/>
    <w:rsid w:val="0A4F2D42"/>
    <w:rsid w:val="0AA417AC"/>
    <w:rsid w:val="0B3A0863"/>
    <w:rsid w:val="0B9E41C6"/>
    <w:rsid w:val="0BDC3238"/>
    <w:rsid w:val="0BFE6C9A"/>
    <w:rsid w:val="0C191D25"/>
    <w:rsid w:val="0CA73F7E"/>
    <w:rsid w:val="0CE32A99"/>
    <w:rsid w:val="0CEE31B2"/>
    <w:rsid w:val="0D1644B7"/>
    <w:rsid w:val="0D8C4A31"/>
    <w:rsid w:val="0DC14423"/>
    <w:rsid w:val="0DE40C30"/>
    <w:rsid w:val="0DFC36AD"/>
    <w:rsid w:val="0E35096D"/>
    <w:rsid w:val="0E6A6868"/>
    <w:rsid w:val="0E88682E"/>
    <w:rsid w:val="0EF12AE6"/>
    <w:rsid w:val="0EF600FC"/>
    <w:rsid w:val="0F0466EA"/>
    <w:rsid w:val="0F3D28B6"/>
    <w:rsid w:val="0FC00DF4"/>
    <w:rsid w:val="1013001F"/>
    <w:rsid w:val="10246D4A"/>
    <w:rsid w:val="1044745B"/>
    <w:rsid w:val="119F2CCD"/>
    <w:rsid w:val="11F76665"/>
    <w:rsid w:val="12960182"/>
    <w:rsid w:val="132E7614"/>
    <w:rsid w:val="13325F6D"/>
    <w:rsid w:val="1389504F"/>
    <w:rsid w:val="14D42AEA"/>
    <w:rsid w:val="15971620"/>
    <w:rsid w:val="159C20E6"/>
    <w:rsid w:val="160475A2"/>
    <w:rsid w:val="1626141C"/>
    <w:rsid w:val="16E909EF"/>
    <w:rsid w:val="17C22E63"/>
    <w:rsid w:val="18903FBA"/>
    <w:rsid w:val="18F733EE"/>
    <w:rsid w:val="18FC6228"/>
    <w:rsid w:val="19397A39"/>
    <w:rsid w:val="1997471A"/>
    <w:rsid w:val="19D61256"/>
    <w:rsid w:val="1A652AE7"/>
    <w:rsid w:val="1AF366F0"/>
    <w:rsid w:val="1BE539D2"/>
    <w:rsid w:val="1D3169F1"/>
    <w:rsid w:val="1D7768AC"/>
    <w:rsid w:val="1D7B2840"/>
    <w:rsid w:val="1D8F0099"/>
    <w:rsid w:val="1DA70E08"/>
    <w:rsid w:val="1DB32949"/>
    <w:rsid w:val="1F1C7CAE"/>
    <w:rsid w:val="1FBE6A14"/>
    <w:rsid w:val="21130FE1"/>
    <w:rsid w:val="21362B6B"/>
    <w:rsid w:val="21414009"/>
    <w:rsid w:val="21B77E13"/>
    <w:rsid w:val="21BC11EA"/>
    <w:rsid w:val="21C127EB"/>
    <w:rsid w:val="21FA267B"/>
    <w:rsid w:val="22765109"/>
    <w:rsid w:val="22E449E3"/>
    <w:rsid w:val="23001A22"/>
    <w:rsid w:val="230B1A63"/>
    <w:rsid w:val="23700025"/>
    <w:rsid w:val="237561CE"/>
    <w:rsid w:val="23BC3F8F"/>
    <w:rsid w:val="23E8105A"/>
    <w:rsid w:val="24087A34"/>
    <w:rsid w:val="2460498C"/>
    <w:rsid w:val="2492046F"/>
    <w:rsid w:val="249D7333"/>
    <w:rsid w:val="25E92311"/>
    <w:rsid w:val="26177FE1"/>
    <w:rsid w:val="267D428B"/>
    <w:rsid w:val="267E6EFD"/>
    <w:rsid w:val="2710580E"/>
    <w:rsid w:val="272F4943"/>
    <w:rsid w:val="278946FF"/>
    <w:rsid w:val="27C35C84"/>
    <w:rsid w:val="280B656E"/>
    <w:rsid w:val="294855A0"/>
    <w:rsid w:val="29757DE9"/>
    <w:rsid w:val="2A27165A"/>
    <w:rsid w:val="2A8C334B"/>
    <w:rsid w:val="2BB60EE7"/>
    <w:rsid w:val="2C734387"/>
    <w:rsid w:val="2C792640"/>
    <w:rsid w:val="2D1F1F91"/>
    <w:rsid w:val="2D2E37CB"/>
    <w:rsid w:val="2E9D3B95"/>
    <w:rsid w:val="2EAE2349"/>
    <w:rsid w:val="2ED33240"/>
    <w:rsid w:val="2F2919D0"/>
    <w:rsid w:val="2F8C22C0"/>
    <w:rsid w:val="304A621D"/>
    <w:rsid w:val="32186512"/>
    <w:rsid w:val="3223271A"/>
    <w:rsid w:val="3231178B"/>
    <w:rsid w:val="3240775C"/>
    <w:rsid w:val="324B6BA5"/>
    <w:rsid w:val="32AA5162"/>
    <w:rsid w:val="32AC0EAB"/>
    <w:rsid w:val="32B17182"/>
    <w:rsid w:val="32F83CFF"/>
    <w:rsid w:val="339B7340"/>
    <w:rsid w:val="33A04957"/>
    <w:rsid w:val="347E129C"/>
    <w:rsid w:val="35806A30"/>
    <w:rsid w:val="35943125"/>
    <w:rsid w:val="35BC7A00"/>
    <w:rsid w:val="36160F00"/>
    <w:rsid w:val="36714388"/>
    <w:rsid w:val="36902F14"/>
    <w:rsid w:val="36B349A1"/>
    <w:rsid w:val="36E94D26"/>
    <w:rsid w:val="371A2788"/>
    <w:rsid w:val="383D6974"/>
    <w:rsid w:val="38C84798"/>
    <w:rsid w:val="38FE6807"/>
    <w:rsid w:val="394E275F"/>
    <w:rsid w:val="396252A3"/>
    <w:rsid w:val="39812B34"/>
    <w:rsid w:val="3982065B"/>
    <w:rsid w:val="39CB4303"/>
    <w:rsid w:val="3A525EDD"/>
    <w:rsid w:val="3A881CA1"/>
    <w:rsid w:val="3AC03884"/>
    <w:rsid w:val="3ACA050B"/>
    <w:rsid w:val="3CC666AD"/>
    <w:rsid w:val="3CFC02AA"/>
    <w:rsid w:val="3D17730C"/>
    <w:rsid w:val="3D501447"/>
    <w:rsid w:val="3DF837AB"/>
    <w:rsid w:val="3E303356"/>
    <w:rsid w:val="3F4E0B6D"/>
    <w:rsid w:val="3FB0756B"/>
    <w:rsid w:val="3FFE17A7"/>
    <w:rsid w:val="401A1382"/>
    <w:rsid w:val="4188573A"/>
    <w:rsid w:val="420E66B0"/>
    <w:rsid w:val="428E24EF"/>
    <w:rsid w:val="431F7CA3"/>
    <w:rsid w:val="438B13D1"/>
    <w:rsid w:val="43DB5537"/>
    <w:rsid w:val="4413082D"/>
    <w:rsid w:val="445175A7"/>
    <w:rsid w:val="44665B57"/>
    <w:rsid w:val="44BA4CBD"/>
    <w:rsid w:val="44BD4C3D"/>
    <w:rsid w:val="44F20AFB"/>
    <w:rsid w:val="44FB62CC"/>
    <w:rsid w:val="458F0387"/>
    <w:rsid w:val="46070D27"/>
    <w:rsid w:val="46213C90"/>
    <w:rsid w:val="465D7FEC"/>
    <w:rsid w:val="47845D6B"/>
    <w:rsid w:val="47DC1460"/>
    <w:rsid w:val="47FC79BC"/>
    <w:rsid w:val="48B12D0A"/>
    <w:rsid w:val="48E3789F"/>
    <w:rsid w:val="48E76711"/>
    <w:rsid w:val="48EE2A24"/>
    <w:rsid w:val="48F17ED6"/>
    <w:rsid w:val="491F1A22"/>
    <w:rsid w:val="4A3B0ADD"/>
    <w:rsid w:val="4A4B7317"/>
    <w:rsid w:val="4A980585"/>
    <w:rsid w:val="4AB16FF2"/>
    <w:rsid w:val="4B1F1850"/>
    <w:rsid w:val="4B76594D"/>
    <w:rsid w:val="4B7D6ED4"/>
    <w:rsid w:val="4C072DE7"/>
    <w:rsid w:val="4CC528E0"/>
    <w:rsid w:val="4CE76FB5"/>
    <w:rsid w:val="4F5D7573"/>
    <w:rsid w:val="50AD26B0"/>
    <w:rsid w:val="50F97D45"/>
    <w:rsid w:val="51493AE0"/>
    <w:rsid w:val="515D3A1E"/>
    <w:rsid w:val="51640E60"/>
    <w:rsid w:val="51874940"/>
    <w:rsid w:val="520E6AD8"/>
    <w:rsid w:val="52992845"/>
    <w:rsid w:val="52DD7C5E"/>
    <w:rsid w:val="52F12681"/>
    <w:rsid w:val="53CE66E9"/>
    <w:rsid w:val="540C31E5"/>
    <w:rsid w:val="547411E7"/>
    <w:rsid w:val="549E0B9F"/>
    <w:rsid w:val="54C87412"/>
    <w:rsid w:val="54C90343"/>
    <w:rsid w:val="54C964D3"/>
    <w:rsid w:val="55620D75"/>
    <w:rsid w:val="55A33641"/>
    <w:rsid w:val="55ED6F99"/>
    <w:rsid w:val="56163164"/>
    <w:rsid w:val="569F0E93"/>
    <w:rsid w:val="572A4F61"/>
    <w:rsid w:val="57F30C49"/>
    <w:rsid w:val="585B412F"/>
    <w:rsid w:val="58A9755A"/>
    <w:rsid w:val="58F7137F"/>
    <w:rsid w:val="5938126A"/>
    <w:rsid w:val="5A1B5A45"/>
    <w:rsid w:val="5A346EB9"/>
    <w:rsid w:val="5A7D0C9E"/>
    <w:rsid w:val="5A963B0E"/>
    <w:rsid w:val="5AF10CFB"/>
    <w:rsid w:val="5B294982"/>
    <w:rsid w:val="5BC079B7"/>
    <w:rsid w:val="5C191B18"/>
    <w:rsid w:val="5C7919D4"/>
    <w:rsid w:val="5C842574"/>
    <w:rsid w:val="5E2F405E"/>
    <w:rsid w:val="5EB822A5"/>
    <w:rsid w:val="5EDF5236"/>
    <w:rsid w:val="5EE85F4E"/>
    <w:rsid w:val="5F3557FE"/>
    <w:rsid w:val="5F812FDF"/>
    <w:rsid w:val="5F9667AB"/>
    <w:rsid w:val="602D281F"/>
    <w:rsid w:val="605E6E7C"/>
    <w:rsid w:val="615D0EE2"/>
    <w:rsid w:val="61CA641E"/>
    <w:rsid w:val="61DF0956"/>
    <w:rsid w:val="6237575E"/>
    <w:rsid w:val="625C0D21"/>
    <w:rsid w:val="634A4773"/>
    <w:rsid w:val="63610329"/>
    <w:rsid w:val="649966D5"/>
    <w:rsid w:val="64C03C61"/>
    <w:rsid w:val="64CE6DE6"/>
    <w:rsid w:val="6523084E"/>
    <w:rsid w:val="65522F23"/>
    <w:rsid w:val="65DD6A95"/>
    <w:rsid w:val="65FB31EA"/>
    <w:rsid w:val="66876CE5"/>
    <w:rsid w:val="674548F2"/>
    <w:rsid w:val="67511E97"/>
    <w:rsid w:val="676C6322"/>
    <w:rsid w:val="67B06B35"/>
    <w:rsid w:val="685558B2"/>
    <w:rsid w:val="68CD377D"/>
    <w:rsid w:val="68D55A41"/>
    <w:rsid w:val="696A4AE4"/>
    <w:rsid w:val="6976209F"/>
    <w:rsid w:val="6A162576"/>
    <w:rsid w:val="6A5A4B58"/>
    <w:rsid w:val="6A7F14F5"/>
    <w:rsid w:val="6A971CE1"/>
    <w:rsid w:val="6AA93D86"/>
    <w:rsid w:val="6AB9362D"/>
    <w:rsid w:val="6ADF2402"/>
    <w:rsid w:val="6AF06C8A"/>
    <w:rsid w:val="6B022971"/>
    <w:rsid w:val="6B060AFA"/>
    <w:rsid w:val="6B8754D9"/>
    <w:rsid w:val="6BA12226"/>
    <w:rsid w:val="6BFB5EC7"/>
    <w:rsid w:val="6CC4275D"/>
    <w:rsid w:val="6CCF1CB8"/>
    <w:rsid w:val="6D196605"/>
    <w:rsid w:val="6D682D50"/>
    <w:rsid w:val="6E5E34AC"/>
    <w:rsid w:val="6E67218A"/>
    <w:rsid w:val="6E7A30D3"/>
    <w:rsid w:val="6E8D5184"/>
    <w:rsid w:val="6EBF494A"/>
    <w:rsid w:val="6F6360B4"/>
    <w:rsid w:val="6F655367"/>
    <w:rsid w:val="6F6F5DCD"/>
    <w:rsid w:val="6FEF1A29"/>
    <w:rsid w:val="705F36CA"/>
    <w:rsid w:val="70AC59E2"/>
    <w:rsid w:val="70D96716"/>
    <w:rsid w:val="715220E5"/>
    <w:rsid w:val="71BC1C54"/>
    <w:rsid w:val="721B4013"/>
    <w:rsid w:val="7295497F"/>
    <w:rsid w:val="72EB27F1"/>
    <w:rsid w:val="737D359B"/>
    <w:rsid w:val="743B3304"/>
    <w:rsid w:val="74CE23CA"/>
    <w:rsid w:val="76264C32"/>
    <w:rsid w:val="7686417E"/>
    <w:rsid w:val="768F7938"/>
    <w:rsid w:val="773C309C"/>
    <w:rsid w:val="77706F1D"/>
    <w:rsid w:val="77AE203F"/>
    <w:rsid w:val="786C7F30"/>
    <w:rsid w:val="788D022D"/>
    <w:rsid w:val="79114A12"/>
    <w:rsid w:val="7947240E"/>
    <w:rsid w:val="79686D24"/>
    <w:rsid w:val="798E32A0"/>
    <w:rsid w:val="79A250E0"/>
    <w:rsid w:val="79B966E4"/>
    <w:rsid w:val="7A0A78F0"/>
    <w:rsid w:val="7A9814B1"/>
    <w:rsid w:val="7BA619AB"/>
    <w:rsid w:val="7BC2058A"/>
    <w:rsid w:val="7BF32717"/>
    <w:rsid w:val="7C2C60D6"/>
    <w:rsid w:val="7C465161"/>
    <w:rsid w:val="7D9E388A"/>
    <w:rsid w:val="7DE06CCB"/>
    <w:rsid w:val="7F7C8DF5"/>
    <w:rsid w:val="7F8A3392"/>
    <w:rsid w:val="7F980D98"/>
    <w:rsid w:val="7FB04D41"/>
    <w:rsid w:val="7FE9630A"/>
    <w:rsid w:val="7FF8654D"/>
    <w:rsid w:val="DDEBEB32"/>
    <w:rsid w:val="FDFFA9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8"/>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5">
    <w:name w:val="Body Text Indent"/>
    <w:basedOn w:val="1"/>
    <w:link w:val="20"/>
    <w:qFormat/>
    <w:uiPriority w:val="0"/>
    <w:pPr>
      <w:ind w:firstLine="645"/>
    </w:pPr>
    <w:rPr>
      <w:rFonts w:ascii="仿宋_GB2312" w:hAnsi="Times New Roman" w:eastAsia="仿宋_GB2312" w:cs="Times New Roman"/>
      <w:kern w:val="0"/>
      <w:sz w:val="32"/>
      <w:szCs w:val="32"/>
    </w:rPr>
  </w:style>
  <w:style w:type="paragraph" w:styleId="6">
    <w:name w:val="Balloon Text"/>
    <w:basedOn w:val="1"/>
    <w:link w:val="25"/>
    <w:semiHidden/>
    <w:unhideWhenUsed/>
    <w:qFormat/>
    <w:uiPriority w:val="99"/>
    <w:rPr>
      <w:sz w:val="18"/>
      <w:szCs w:val="18"/>
    </w:rPr>
  </w:style>
  <w:style w:type="paragraph" w:styleId="7">
    <w:name w:val="footer"/>
    <w:basedOn w:val="1"/>
    <w:link w:val="17"/>
    <w:unhideWhenUsed/>
    <w:qFormat/>
    <w:uiPriority w:val="99"/>
    <w:pPr>
      <w:tabs>
        <w:tab w:val="center" w:pos="4153"/>
        <w:tab w:val="right" w:pos="8306"/>
      </w:tabs>
      <w:snapToGrid w:val="0"/>
      <w:jc w:val="left"/>
    </w:pPr>
    <w:rPr>
      <w:sz w:val="18"/>
    </w:rPr>
  </w:style>
  <w:style w:type="paragraph" w:styleId="8">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toc 1"/>
    <w:basedOn w:val="1"/>
    <w:next w:val="1"/>
    <w:unhideWhenUsed/>
    <w:qFormat/>
    <w:uiPriority w:val="39"/>
  </w:style>
  <w:style w:type="paragraph" w:styleId="10">
    <w:name w:val="toc 2"/>
    <w:basedOn w:val="1"/>
    <w:next w:val="1"/>
    <w:unhideWhenUsed/>
    <w:qFormat/>
    <w:uiPriority w:val="39"/>
    <w:pPr>
      <w:ind w:left="420" w:leftChars="2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Hyperlink"/>
    <w:basedOn w:val="13"/>
    <w:unhideWhenUsed/>
    <w:qFormat/>
    <w:uiPriority w:val="99"/>
    <w:rPr>
      <w:color w:val="0000FF" w:themeColor="hyperlink"/>
      <w:u w:val="single"/>
    </w:rPr>
  </w:style>
  <w:style w:type="paragraph" w:customStyle="1" w:styleId="15">
    <w:name w:val="WPSOffice手动目录 1"/>
    <w:qFormat/>
    <w:uiPriority w:val="0"/>
    <w:rPr>
      <w:rFonts w:asciiTheme="minorHAnsi" w:hAnsiTheme="minorHAnsi" w:eastAsiaTheme="minorEastAsia" w:cstheme="minorBidi"/>
      <w:lang w:val="en-US" w:eastAsia="zh-CN" w:bidi="ar-SA"/>
    </w:rPr>
  </w:style>
  <w:style w:type="paragraph" w:customStyle="1" w:styleId="16">
    <w:name w:val="WPSOffice手动目录 2"/>
    <w:qFormat/>
    <w:uiPriority w:val="0"/>
    <w:pPr>
      <w:ind w:left="200" w:leftChars="200"/>
    </w:pPr>
    <w:rPr>
      <w:rFonts w:asciiTheme="minorHAnsi" w:hAnsiTheme="minorHAnsi" w:eastAsiaTheme="minorEastAsia" w:cstheme="minorBidi"/>
      <w:lang w:val="en-US" w:eastAsia="zh-CN" w:bidi="ar-SA"/>
    </w:rPr>
  </w:style>
  <w:style w:type="character" w:customStyle="1" w:styleId="17">
    <w:name w:val="页脚 Char"/>
    <w:basedOn w:val="13"/>
    <w:link w:val="7"/>
    <w:qFormat/>
    <w:uiPriority w:val="99"/>
    <w:rPr>
      <w:kern w:val="2"/>
      <w:sz w:val="18"/>
      <w:szCs w:val="22"/>
    </w:rPr>
  </w:style>
  <w:style w:type="character" w:customStyle="1" w:styleId="18">
    <w:name w:val="标题 2 Char"/>
    <w:basedOn w:val="13"/>
    <w:link w:val="4"/>
    <w:qFormat/>
    <w:uiPriority w:val="0"/>
    <w:rPr>
      <w:rFonts w:asciiTheme="majorHAnsi" w:hAnsiTheme="majorHAnsi" w:eastAsiaTheme="majorEastAsia" w:cstheme="majorBidi"/>
      <w:b/>
      <w:bCs/>
      <w:kern w:val="2"/>
      <w:sz w:val="32"/>
      <w:szCs w:val="32"/>
    </w:rPr>
  </w:style>
  <w:style w:type="character" w:customStyle="1" w:styleId="19">
    <w:name w:val="标题 1 Char"/>
    <w:link w:val="3"/>
    <w:qFormat/>
    <w:uiPriority w:val="9"/>
    <w:rPr>
      <w:b/>
      <w:bCs/>
      <w:kern w:val="44"/>
      <w:sz w:val="44"/>
      <w:szCs w:val="44"/>
    </w:rPr>
  </w:style>
  <w:style w:type="character" w:customStyle="1" w:styleId="20">
    <w:name w:val="正文文本缩进 Char"/>
    <w:basedOn w:val="13"/>
    <w:link w:val="5"/>
    <w:qFormat/>
    <w:uiPriority w:val="0"/>
    <w:rPr>
      <w:rFonts w:ascii="仿宋_GB2312" w:hAnsi="Times New Roman" w:eastAsia="仿宋_GB2312" w:cs="Times New Roman"/>
      <w:sz w:val="32"/>
      <w:szCs w:val="32"/>
    </w:rPr>
  </w:style>
  <w:style w:type="paragraph" w:customStyle="1" w:styleId="21">
    <w:name w:val="列出段落1"/>
    <w:basedOn w:val="1"/>
    <w:qFormat/>
    <w:uiPriority w:val="0"/>
    <w:pPr>
      <w:ind w:firstLine="420" w:firstLineChars="200"/>
    </w:pPr>
    <w:rPr>
      <w:rFonts w:ascii="Calibri" w:hAnsi="Calibri" w:eastAsia="仿宋_GB2312" w:cs="Times New Roman"/>
      <w:sz w:val="28"/>
    </w:rPr>
  </w:style>
  <w:style w:type="paragraph" w:styleId="22">
    <w:name w:val="List Paragraph"/>
    <w:basedOn w:val="1"/>
    <w:qFormat/>
    <w:uiPriority w:val="34"/>
    <w:pPr>
      <w:ind w:firstLine="420" w:firstLineChars="200"/>
    </w:pPr>
  </w:style>
  <w:style w:type="character" w:customStyle="1" w:styleId="23">
    <w:name w:val="font21"/>
    <w:basedOn w:val="13"/>
    <w:qFormat/>
    <w:uiPriority w:val="0"/>
    <w:rPr>
      <w:rFonts w:ascii="等线" w:hAnsi="等线" w:eastAsia="等线" w:cs="等线"/>
      <w:b/>
      <w:bCs/>
      <w:color w:val="000000"/>
      <w:sz w:val="20"/>
      <w:szCs w:val="20"/>
      <w:u w:val="none"/>
    </w:rPr>
  </w:style>
  <w:style w:type="character" w:customStyle="1" w:styleId="24">
    <w:name w:val="font11"/>
    <w:basedOn w:val="13"/>
    <w:qFormat/>
    <w:uiPriority w:val="0"/>
    <w:rPr>
      <w:rFonts w:hint="eastAsia" w:ascii="宋体" w:hAnsi="宋体" w:eastAsia="宋体" w:cs="宋体"/>
      <w:b/>
      <w:bCs/>
      <w:color w:val="000000"/>
      <w:sz w:val="20"/>
      <w:szCs w:val="20"/>
      <w:u w:val="none"/>
    </w:rPr>
  </w:style>
  <w:style w:type="character" w:customStyle="1" w:styleId="25">
    <w:name w:val="批注框文本 Char"/>
    <w:basedOn w:val="13"/>
    <w:link w:val="6"/>
    <w:semiHidden/>
    <w:qFormat/>
    <w:uiPriority w:val="99"/>
    <w:rPr>
      <w:rFonts w:asciiTheme="minorHAnsi" w:hAnsiTheme="minorHAnsi" w:eastAsiaTheme="minorEastAsia" w:cstheme="minorBidi"/>
      <w:kern w:val="2"/>
      <w:sz w:val="18"/>
      <w:szCs w:val="18"/>
    </w:rPr>
  </w:style>
  <w:style w:type="paragraph" w:customStyle="1" w:styleId="26">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Info spid="_x0000_s1028"/>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1750</Words>
  <Characters>1968</Characters>
  <Lines>69</Lines>
  <Paragraphs>19</Paragraphs>
  <TotalTime>0</TotalTime>
  <ScaleCrop>false</ScaleCrop>
  <LinksUpToDate>false</LinksUpToDate>
  <CharactersWithSpaces>2058</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2021-05-12T23:09:00Z</dcterms:created>
  <dc:creator>kjq</dc:creator>
  <cp:lastModifiedBy>张瑞</cp:lastModifiedBy>
  <cp:lastPrinted>2025-06-11T22:12:00Z</cp:lastPrinted>
  <dcterms:modified xsi:type="dcterms:W3CDTF">2025-08-26T15:01:55Z</dcterms:modified>
  <cp:revision>806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16A718C0670940F9ADDB0E06361CE6A5</vt:lpwstr>
  </property>
  <property fmtid="{D5CDD505-2E9C-101B-9397-08002B2CF9AE}" pid="4" name="KSOTemplateDocerSaveRecord">
    <vt:lpwstr>eyJoZGlkIjoiNGMwNTFhMGVhYjJmZjliZjU0ODhiMmI2YjI3OTAyY2MiLCJ1c2VySWQiOiI0NjE5MjQ5NzkifQ==</vt:lpwstr>
  </property>
</Properties>
</file>