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before="313" w:beforeLines="100" w:after="313" w:afterLines="100" w:line="560" w:lineRule="exact"/>
        <w:ind w:right="0" w:firstLine="0"/>
        <w:jc w:val="center"/>
        <w:textAlignment w:val="auto"/>
        <w:rPr>
          <w:rFonts w:ascii="方正小标宋简体" w:eastAsia="方正小标宋简体"/>
          <w:sz w:val="36"/>
          <w:szCs w:val="36"/>
        </w:rPr>
      </w:pPr>
      <w:bookmarkStart w:id="0" w:name="_Toc8135"/>
      <w:bookmarkStart w:id="1" w:name="_Toc29423"/>
      <w:bookmarkStart w:id="2" w:name="_Toc3320"/>
      <w:r>
        <w:rPr>
          <w:rFonts w:hint="eastAsia" w:ascii="方正小标宋简体" w:eastAsia="方正小标宋简体"/>
          <w:sz w:val="36"/>
          <w:szCs w:val="36"/>
        </w:rPr>
        <w:t>北京市医疗保障局2024年部门整体绩效评价报告</w:t>
      </w:r>
      <w:bookmarkEnd w:id="0"/>
      <w:bookmarkEnd w:id="1"/>
      <w:bookmarkEnd w:id="2"/>
    </w:p>
    <w:p>
      <w:pPr>
        <w:keepNext w:val="0"/>
        <w:keepLines w:val="0"/>
        <w:pageBreakBefore w:val="0"/>
        <w:widowControl w:val="0"/>
        <w:kinsoku/>
        <w:wordWrap/>
        <w:overflowPunct/>
        <w:topLinePunct w:val="0"/>
        <w:autoSpaceDE/>
        <w:autoSpaceDN/>
        <w:bidi w:val="0"/>
        <w:spacing w:before="157" w:beforeLines="50" w:line="560" w:lineRule="exact"/>
        <w:ind w:right="0" w:firstLine="800" w:firstLineChars="250"/>
        <w:textAlignment w:val="auto"/>
        <w:outlineLvl w:val="0"/>
        <w:rPr>
          <w:rFonts w:hint="eastAsia" w:ascii="黑体" w:hAnsi="黑体" w:eastAsia="黑体" w:cs="宋体"/>
          <w:color w:val="000000"/>
          <w:kern w:val="0"/>
          <w:sz w:val="32"/>
          <w:szCs w:val="32"/>
        </w:rPr>
      </w:pPr>
      <w:bookmarkStart w:id="3" w:name="_Toc7630"/>
      <w:bookmarkStart w:id="4" w:name="_Toc29874"/>
      <w:bookmarkStart w:id="5" w:name="_Toc103877644"/>
      <w:bookmarkStart w:id="6" w:name="_Toc19590"/>
      <w:r>
        <w:rPr>
          <w:rFonts w:hint="eastAsia" w:ascii="黑体" w:hAnsi="黑体" w:eastAsia="黑体" w:cs="宋体"/>
          <w:color w:val="000000"/>
          <w:kern w:val="0"/>
          <w:sz w:val="32"/>
          <w:szCs w:val="32"/>
        </w:rPr>
        <w:t>一、部门概况</w:t>
      </w:r>
      <w:bookmarkEnd w:id="3"/>
      <w:bookmarkEnd w:id="4"/>
      <w:bookmarkEnd w:id="5"/>
      <w:bookmarkEnd w:id="6"/>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hint="eastAsia" w:ascii="楷体_GB2312" w:eastAsia="楷体_GB2312"/>
          <w:sz w:val="32"/>
          <w:szCs w:val="32"/>
          <w:lang w:eastAsia="zh-CN"/>
        </w:rPr>
      </w:pPr>
      <w:bookmarkStart w:id="7" w:name="_Toc26062"/>
      <w:bookmarkStart w:id="8" w:name="_Toc103877645"/>
      <w:bookmarkStart w:id="9" w:name="_Toc11659"/>
      <w:bookmarkStart w:id="10" w:name="_Toc1963"/>
      <w:r>
        <w:rPr>
          <w:rFonts w:hint="eastAsia" w:ascii="楷体_GB2312" w:eastAsia="楷体_GB2312"/>
          <w:sz w:val="32"/>
          <w:szCs w:val="32"/>
        </w:rPr>
        <w:t>（一）机构设置</w:t>
      </w:r>
      <w:bookmarkEnd w:id="7"/>
      <w:bookmarkEnd w:id="8"/>
      <w:bookmarkEnd w:id="9"/>
      <w:bookmarkEnd w:id="10"/>
      <w:r>
        <w:rPr>
          <w:rFonts w:hint="eastAsia" w:ascii="楷体_GB2312" w:eastAsia="楷体_GB2312"/>
          <w:sz w:val="32"/>
          <w:szCs w:val="32"/>
          <w:lang w:eastAsia="zh-CN"/>
        </w:rPr>
        <w:t>及职责工作任务情况</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仿宋" w:eastAsia="仿宋_GB2312"/>
          <w:sz w:val="32"/>
          <w:szCs w:val="32"/>
        </w:rPr>
      </w:pPr>
      <w:r>
        <w:rPr>
          <w:rFonts w:hint="eastAsia" w:ascii="仿宋_GB2312" w:hAnsi="宋体" w:eastAsia="仿宋_GB2312" w:cs="宋体"/>
          <w:color w:val="000000"/>
          <w:kern w:val="0"/>
          <w:sz w:val="32"/>
          <w:szCs w:val="32"/>
        </w:rPr>
        <w:t>根据党中央、国务院批准的《北京市机构改革实施方案》，组建</w:t>
      </w:r>
      <w:r>
        <w:rPr>
          <w:rFonts w:hint="eastAsia" w:ascii="仿宋_GB2312" w:hAnsi="宋体" w:eastAsia="仿宋_GB2312" w:cs="宋体"/>
          <w:color w:val="000000"/>
          <w:kern w:val="0"/>
          <w:sz w:val="32"/>
          <w:szCs w:val="32"/>
          <w:lang w:eastAsia="zh-CN"/>
        </w:rPr>
        <w:t>北京</w:t>
      </w:r>
      <w:r>
        <w:rPr>
          <w:rFonts w:hint="eastAsia" w:ascii="仿宋_GB2312" w:hAnsi="宋体" w:eastAsia="仿宋_GB2312" w:cs="宋体"/>
          <w:color w:val="000000"/>
          <w:kern w:val="0"/>
          <w:sz w:val="32"/>
          <w:szCs w:val="32"/>
        </w:rPr>
        <w:t>市医疗保障局</w:t>
      </w:r>
      <w:r>
        <w:rPr>
          <w:rFonts w:hint="eastAsia" w:ascii="仿宋_GB2312" w:hAnsi="宋体" w:eastAsia="仿宋_GB2312" w:cs="宋体"/>
          <w:color w:val="000000"/>
          <w:kern w:val="0"/>
          <w:sz w:val="32"/>
          <w:szCs w:val="32"/>
          <w:lang w:eastAsia="zh-CN"/>
        </w:rPr>
        <w:t>（简称“市医保局”）</w:t>
      </w:r>
      <w:r>
        <w:rPr>
          <w:rFonts w:hint="eastAsia" w:ascii="仿宋_GB2312" w:hAnsi="宋体" w:eastAsia="仿宋_GB2312" w:cs="宋体"/>
          <w:color w:val="000000"/>
          <w:kern w:val="0"/>
          <w:sz w:val="32"/>
          <w:szCs w:val="32"/>
        </w:rPr>
        <w:t>，为市政府直属机构。市医保局</w:t>
      </w:r>
      <w:r>
        <w:rPr>
          <w:rFonts w:hint="eastAsia" w:ascii="仿宋_GB2312" w:hAnsi="仿宋" w:eastAsia="仿宋_GB2312"/>
          <w:sz w:val="32"/>
          <w:szCs w:val="32"/>
        </w:rPr>
        <w:t>直属机构3个，分别为北京市医疗保险事务管理中心、</w:t>
      </w:r>
      <w:r>
        <w:rPr>
          <w:rFonts w:hint="eastAsia" w:ascii="仿宋_GB2312" w:hAnsi="宋体" w:eastAsia="仿宋_GB2312" w:cs="楷体"/>
          <w:sz w:val="32"/>
          <w:szCs w:val="32"/>
        </w:rPr>
        <w:t>北京市医药集中采购服务中心、北京市医疗保障局大数据中心。</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9"/>
        <w:rPr>
          <w:rFonts w:hint="eastAsia" w:ascii="仿宋_GB2312" w:hAnsi="仿宋" w:eastAsia="仿宋_GB2312"/>
          <w:sz w:val="32"/>
          <w:szCs w:val="32"/>
          <w:lang w:eastAsia="zh-CN"/>
        </w:rPr>
      </w:pPr>
      <w:bookmarkStart w:id="11" w:name="_Toc22735"/>
      <w:bookmarkStart w:id="12" w:name="_Toc26164"/>
      <w:bookmarkStart w:id="13" w:name="_Toc103877646"/>
      <w:bookmarkStart w:id="14" w:name="_Toc28336"/>
      <w:r>
        <w:rPr>
          <w:rFonts w:hint="eastAsia" w:ascii="仿宋_GB2312" w:hAnsi="仿宋" w:eastAsia="仿宋_GB2312"/>
          <w:sz w:val="32"/>
          <w:szCs w:val="32"/>
        </w:rPr>
        <w:t>部门职能</w:t>
      </w:r>
      <w:bookmarkEnd w:id="11"/>
      <w:bookmarkEnd w:id="12"/>
      <w:bookmarkEnd w:id="13"/>
      <w:bookmarkEnd w:id="14"/>
      <w:r>
        <w:rPr>
          <w:rFonts w:hint="eastAsia" w:ascii="仿宋_GB2312" w:hAnsi="仿宋" w:eastAsia="仿宋_GB2312"/>
          <w:sz w:val="32"/>
          <w:szCs w:val="32"/>
          <w:lang w:eastAsia="zh-CN"/>
        </w:rPr>
        <w:t>为：</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贯彻执行国家有关医疗保险、生育保险、医疗救助等医疗保障制度的法律法规和政策规定，拟订本市医疗保障制度地方性法规、草案、政府规章草案、政策、规划和标准，并组织实施。</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负责本市医疗保障基金支付预算、管理及拨付工作。</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拟订本市医疗保障筹资和待遇政策，完善动态调整机制，统筹城乡医疗保障待遇标准，建立健全与筹资水平相适应的待遇调整机制。负责制定本市公费医疗政策并组织实施，承担中央在京机构公费医疗审核报销工作。负责本市离休干部医疗费用统筹工作。组织拟订并实施本市长期护理保险制度改革方案。</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组织制定本市药品、医用耗材、医疗服务项目、医疗服务设施等医保目录和支付标准，建立动态调整机制，承担本市医保目录准入谈判、确定等相关工作。</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组织制定本市药品、医用耗材价格和医疗服务项目、医疗服务设施收费等政策，建立医保支付医药服务价格合理确定和动态调整机制，建立价格信息监测和信息发布制度。</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制定本市药品、医用耗材招标采购政策并组织实施，组织推进本市药品、医用耗材招标采购平台建设。</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负责本市定点医药机构协议管理，建立健全医疗保障信用评价体系和信息披露制度，监督管理纳入医保范围的医疗服务行为和医疗费用，依法查处医疗保障领域违法违规行为。</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负责本市医疗保障经办管理、公共服务体系和信息化建设。组织制定和完善本市异地就医管理、费用结算政策和平台建设。建立健全本市医疗保障关系转移接续制度。</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9</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完成市委、市政府交办的其他任务。</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15" w:name="_Toc15233"/>
      <w:bookmarkStart w:id="16" w:name="_Toc103877647"/>
      <w:bookmarkStart w:id="17" w:name="_Toc6829"/>
      <w:bookmarkStart w:id="18" w:name="_Toc8785"/>
      <w:r>
        <w:rPr>
          <w:rFonts w:hint="eastAsia" w:ascii="楷体_GB2312" w:eastAsia="楷体_GB2312"/>
          <w:sz w:val="32"/>
          <w:szCs w:val="32"/>
        </w:rPr>
        <w:t>（</w:t>
      </w:r>
      <w:r>
        <w:rPr>
          <w:rFonts w:hint="eastAsia" w:ascii="楷体_GB2312" w:eastAsia="楷体_GB2312"/>
          <w:sz w:val="32"/>
          <w:szCs w:val="32"/>
          <w:lang w:eastAsia="zh-CN"/>
        </w:rPr>
        <w:t>二</w:t>
      </w:r>
      <w:r>
        <w:rPr>
          <w:rFonts w:hint="eastAsia" w:ascii="楷体_GB2312" w:eastAsia="楷体_GB2312"/>
          <w:sz w:val="32"/>
          <w:szCs w:val="32"/>
        </w:rPr>
        <w:t>）部门整体绩效目标设立情况</w:t>
      </w:r>
      <w:bookmarkEnd w:id="15"/>
      <w:bookmarkEnd w:id="16"/>
      <w:bookmarkEnd w:id="17"/>
      <w:bookmarkEnd w:id="18"/>
    </w:p>
    <w:p>
      <w:pPr>
        <w:keepNext w:val="0"/>
        <w:keepLines w:val="0"/>
        <w:pageBreakBefore w:val="0"/>
        <w:widowControl w:val="0"/>
        <w:kinsoku/>
        <w:wordWrap/>
        <w:overflowPunct/>
        <w:topLinePunct w:val="0"/>
        <w:autoSpaceDE/>
        <w:autoSpaceDN/>
        <w:bidi w:val="0"/>
        <w:spacing w:before="0" w:line="560" w:lineRule="exact"/>
        <w:ind w:right="0" w:firstLine="680"/>
        <w:textAlignment w:val="auto"/>
        <w:rPr>
          <w:rFonts w:hint="eastAsia" w:ascii="仿宋_GB2312" w:hAnsi="宋体" w:eastAsia="仿宋_GB2312" w:cs="宋体"/>
          <w:color w:val="000000"/>
          <w:kern w:val="0"/>
          <w:sz w:val="32"/>
          <w:szCs w:val="32"/>
        </w:rPr>
      </w:pPr>
      <w:bookmarkStart w:id="19" w:name="_Toc29757"/>
      <w:bookmarkStart w:id="20" w:name="_Toc24499"/>
      <w:bookmarkStart w:id="21" w:name="_Toc30509"/>
      <w:r>
        <w:rPr>
          <w:rFonts w:hint="eastAsia" w:ascii="仿宋_GB2312" w:hAnsi="宋体" w:eastAsia="仿宋_GB2312" w:cs="宋体"/>
          <w:color w:val="000000"/>
          <w:kern w:val="0"/>
          <w:sz w:val="32"/>
          <w:szCs w:val="32"/>
        </w:rPr>
        <w:t>1.绩效目标设立依据</w:t>
      </w:r>
      <w:bookmarkEnd w:id="19"/>
      <w:bookmarkEnd w:id="20"/>
      <w:bookmarkEnd w:id="21"/>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度，市医保局以习近平新时代中国特色社会主义思想为指导，全面贯彻党的二十大及二十届三中全会精神，不折不扣落实市委十三届五次、六次全会精神，紧扣中心服务大局，依据市委、市政府、国家医保局的政策要求、工作部署以及本部门的职能职责、部门年度工作计划、重点工作任务，结合本部门相关历史数据、行业标准等设定了本局年度绩效目标。</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整体绩效目标为：以习近平新时代中国特色社会主义思想为指导，全面贯彻落实党的二十大精神，深入贯彻市委、市政府和国家医保局决策部署，始终站稳群众立场，坚持稳中求进总基调，进一步完善医疗保障待遇制度机制，加强医药服务管理，推进医疗服务价格改革，推动基金监管提质增效，提升医保经办管理服务效能，夯实首都医保事业高质量发展基础，着力推动首都医保高质量发展。</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22" w:name="_Toc27278"/>
      <w:bookmarkStart w:id="23" w:name="_Toc12605"/>
      <w:bookmarkStart w:id="24" w:name="_Toc11201"/>
      <w:r>
        <w:rPr>
          <w:rFonts w:hint="eastAsia" w:ascii="仿宋_GB2312" w:hAnsi="宋体" w:eastAsia="仿宋_GB2312" w:cs="宋体"/>
          <w:color w:val="000000"/>
          <w:kern w:val="0"/>
          <w:sz w:val="32"/>
          <w:szCs w:val="32"/>
        </w:rPr>
        <w:t>2.目标</w:t>
      </w:r>
      <w:r>
        <w:rPr>
          <w:rFonts w:ascii="仿宋_GB2312" w:hAnsi="宋体" w:eastAsia="仿宋_GB2312" w:cs="宋体"/>
          <w:color w:val="000000"/>
          <w:kern w:val="0"/>
          <w:sz w:val="32"/>
          <w:szCs w:val="32"/>
        </w:rPr>
        <w:t>与</w:t>
      </w:r>
      <w:r>
        <w:rPr>
          <w:rFonts w:hint="eastAsia" w:ascii="仿宋_GB2312" w:hAnsi="宋体" w:eastAsia="仿宋_GB2312" w:cs="宋体"/>
          <w:color w:val="000000"/>
          <w:kern w:val="0"/>
          <w:sz w:val="32"/>
          <w:szCs w:val="32"/>
        </w:rPr>
        <w:t>职责任务匹配情况</w:t>
      </w:r>
      <w:bookmarkEnd w:id="22"/>
      <w:bookmarkEnd w:id="23"/>
      <w:bookmarkEnd w:id="24"/>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w:t>
      </w:r>
      <w:r>
        <w:rPr>
          <w:rFonts w:ascii="仿宋_GB2312" w:hAnsi="宋体" w:eastAsia="仿宋_GB2312" w:cs="宋体"/>
          <w:color w:val="000000"/>
          <w:kern w:val="0"/>
          <w:sz w:val="32"/>
          <w:szCs w:val="32"/>
        </w:rPr>
        <w:t>年度</w:t>
      </w:r>
      <w:r>
        <w:rPr>
          <w:rFonts w:hint="eastAsia" w:ascii="仿宋_GB2312" w:hAnsi="宋体" w:eastAsia="仿宋_GB2312" w:cs="宋体"/>
          <w:color w:val="000000"/>
          <w:kern w:val="0"/>
          <w:sz w:val="32"/>
          <w:szCs w:val="32"/>
        </w:rPr>
        <w:t>，市医保局</w:t>
      </w:r>
      <w:r>
        <w:rPr>
          <w:rFonts w:ascii="仿宋_GB2312" w:hAnsi="宋体" w:eastAsia="仿宋_GB2312" w:cs="宋体"/>
          <w:color w:val="000000"/>
          <w:kern w:val="0"/>
          <w:sz w:val="32"/>
          <w:szCs w:val="32"/>
        </w:rPr>
        <w:t>部门整体绩效目标设置与部门职能定位</w:t>
      </w:r>
      <w:r>
        <w:rPr>
          <w:rFonts w:hint="eastAsia" w:ascii="仿宋_GB2312" w:hAnsi="宋体" w:eastAsia="仿宋_GB2312" w:cs="宋体"/>
          <w:color w:val="000000"/>
          <w:kern w:val="0"/>
          <w:sz w:val="32"/>
          <w:szCs w:val="32"/>
        </w:rPr>
        <w:t>相匹配</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紧紧围绕基金监管、医药服务、医药价格动态调整、待遇保障、医保政策宣传、医保系统信息化建设等方面的职能职责设置了年度部门整体绩效目标，具体指标共63项，充分体现了本部门基本履职工作和各项</w:t>
      </w:r>
      <w:r>
        <w:rPr>
          <w:rFonts w:ascii="仿宋_GB2312" w:hAnsi="宋体" w:eastAsia="仿宋_GB2312" w:cs="宋体"/>
          <w:color w:val="000000"/>
          <w:kern w:val="0"/>
          <w:sz w:val="32"/>
          <w:szCs w:val="32"/>
        </w:rPr>
        <w:t>重点工作</w:t>
      </w:r>
      <w:r>
        <w:rPr>
          <w:rFonts w:hint="eastAsia" w:ascii="仿宋_GB2312" w:hAnsi="宋体" w:eastAsia="仿宋_GB2312" w:cs="宋体"/>
          <w:color w:val="000000"/>
          <w:kern w:val="0"/>
          <w:sz w:val="32"/>
          <w:szCs w:val="32"/>
        </w:rPr>
        <w:t>任务的预期产出和效果。</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25" w:name="_Toc14078"/>
      <w:bookmarkStart w:id="26" w:name="_Toc17146"/>
      <w:bookmarkStart w:id="27" w:name="_Toc4994"/>
      <w:r>
        <w:rPr>
          <w:rFonts w:hint="eastAsia" w:ascii="仿宋_GB2312" w:hAnsi="宋体" w:eastAsia="仿宋_GB2312" w:cs="宋体"/>
          <w:color w:val="000000"/>
          <w:kern w:val="0"/>
          <w:sz w:val="32"/>
          <w:szCs w:val="32"/>
        </w:rPr>
        <w:t>3.目标的合理性</w:t>
      </w:r>
      <w:bookmarkEnd w:id="25"/>
      <w:bookmarkEnd w:id="26"/>
      <w:bookmarkEnd w:id="27"/>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2024年度部门整体绩效目标与本部门职能职责、中长期发展规划、年度工作计划等相契合，绩效目标覆盖年度内各项重点工作任务，指标以定性和定量的方式集中概括、提炼了部门基本履职和重点工作任务预计达到的产出和效果，指标值以部门工作标准、历史标准、行业标准为基准，结合年度预算资金投入情况设定，其中量化指标占90%以上。绩效目标的设定指向明确，并做到细化、量化，可考核性强，指标设定较为合理。</w:t>
      </w:r>
    </w:p>
    <w:p>
      <w:pPr>
        <w:keepNext w:val="0"/>
        <w:keepLines w:val="0"/>
        <w:pageBreakBefore w:val="0"/>
        <w:widowControl w:val="0"/>
        <w:kinsoku/>
        <w:wordWrap/>
        <w:overflowPunct/>
        <w:topLinePunct w:val="0"/>
        <w:autoSpaceDE/>
        <w:autoSpaceDN/>
        <w:bidi w:val="0"/>
        <w:spacing w:line="560" w:lineRule="exact"/>
        <w:ind w:right="0" w:firstLine="800" w:firstLineChars="250"/>
        <w:textAlignment w:val="auto"/>
        <w:outlineLvl w:val="0"/>
        <w:rPr>
          <w:rFonts w:hint="eastAsia" w:ascii="黑体" w:hAnsi="黑体" w:eastAsia="黑体" w:cs="宋体"/>
          <w:color w:val="000000"/>
          <w:kern w:val="0"/>
          <w:sz w:val="32"/>
          <w:szCs w:val="32"/>
          <w:highlight w:val="yellow"/>
        </w:rPr>
      </w:pPr>
      <w:bookmarkStart w:id="28" w:name="_Toc103877648"/>
      <w:bookmarkStart w:id="29" w:name="_Toc548"/>
      <w:bookmarkStart w:id="30" w:name="_Toc22276"/>
      <w:bookmarkStart w:id="31" w:name="_Toc10404"/>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bookmarkEnd w:id="28"/>
      <w:bookmarkEnd w:id="29"/>
      <w:bookmarkEnd w:id="30"/>
      <w:bookmarkEnd w:id="31"/>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rPr>
        <w:t>2024年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113,740.65</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预算数9,877.68万元，</w:t>
      </w:r>
      <w:r>
        <w:rPr>
          <w:rFonts w:hint="eastAsia" w:ascii="仿宋_GB2312" w:hAnsi="宋体" w:eastAsia="仿宋_GB2312" w:cs="宋体"/>
          <w:color w:val="000000"/>
          <w:kern w:val="0"/>
          <w:sz w:val="32"/>
          <w:szCs w:val="32"/>
        </w:rPr>
        <w:t>项目支出预算数</w:t>
      </w:r>
      <w:r>
        <w:rPr>
          <w:rFonts w:ascii="仿宋_GB2312" w:hAnsi="宋体" w:eastAsia="仿宋_GB2312" w:cs="宋体"/>
          <w:color w:val="000000"/>
          <w:kern w:val="0"/>
          <w:sz w:val="32"/>
          <w:szCs w:val="32"/>
        </w:rPr>
        <w:t>103,862.97万元</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全年</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100,906.08万元，其中</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基本支出9,387.09万元，项目</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91,518.99万元。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rPr>
        <w:t>88.7</w:t>
      </w:r>
      <w:r>
        <w:rPr>
          <w:rFonts w:hint="eastAsia" w:ascii="仿宋_GB2312" w:hAnsi="宋体" w:eastAsia="仿宋_GB2312" w:cs="宋体"/>
          <w:color w:val="000000"/>
          <w:kern w:val="0"/>
          <w:sz w:val="32"/>
          <w:szCs w:val="32"/>
          <w:highlight w:val="none"/>
        </w:rPr>
        <w:t>2%。</w:t>
      </w:r>
      <w:bookmarkStart w:id="32" w:name="_Toc103877649"/>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黑体" w:hAnsi="黑体" w:eastAsia="黑体" w:cs="宋体"/>
          <w:color w:val="000000"/>
          <w:kern w:val="0"/>
          <w:sz w:val="32"/>
          <w:szCs w:val="32"/>
        </w:rPr>
      </w:pPr>
      <w:bookmarkStart w:id="33" w:name="_Toc27417"/>
      <w:bookmarkStart w:id="34" w:name="_Toc11965"/>
      <w:bookmarkStart w:id="35" w:name="_Toc4410"/>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bookmarkEnd w:id="32"/>
      <w:bookmarkEnd w:id="33"/>
      <w:bookmarkEnd w:id="34"/>
      <w:bookmarkEnd w:id="35"/>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通过实施预算评审、事前绩效评估、绩效目标审核、绩效运行监控以及绩效评价等工作，不断完善事前、事中、事后的全过程预算绩效管理链条，将申报合理的绩效目标作为申报预算的必要条件，聚焦事中监控纠偏，对预算资金支出进度、项目执行进度实施动态监控，硬化责任约束，对部门整体目标和所有项目支出开展事后评价，检验目标实现程度，总结经验和不足，不断提高部门预算绩效管理水平。2024年，市医保局坚守自身职能职责，以改革为动力，扎实开展党纪学习教育，推进医保事业高质量发展，医、保、患、企各方主体医保获得感持续增强，较好地实现了部门年度绩效目标。</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楷体_GB2312" w:hAnsi="楷体_GB2312" w:eastAsia="楷体_GB2312" w:cs="楷体_GB2312"/>
          <w:color w:val="000000"/>
          <w:kern w:val="0"/>
          <w:sz w:val="32"/>
          <w:szCs w:val="32"/>
        </w:rPr>
      </w:pPr>
      <w:bookmarkStart w:id="36" w:name="_Toc16682"/>
      <w:bookmarkStart w:id="37" w:name="_Toc26169"/>
      <w:bookmarkStart w:id="38" w:name="_Toc11139"/>
      <w:r>
        <w:rPr>
          <w:rFonts w:hint="eastAsia" w:ascii="楷体_GB2312" w:hAnsi="楷体_GB2312" w:eastAsia="楷体_GB2312" w:cs="楷体_GB2312"/>
          <w:color w:val="000000"/>
          <w:kern w:val="0"/>
          <w:sz w:val="32"/>
          <w:szCs w:val="32"/>
        </w:rPr>
        <w:t>（一）产出完成情况分析</w:t>
      </w:r>
      <w:bookmarkEnd w:id="36"/>
      <w:bookmarkEnd w:id="37"/>
      <w:bookmarkEnd w:id="38"/>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39" w:name="_Toc5422"/>
      <w:bookmarkStart w:id="40" w:name="_Toc4335"/>
      <w:bookmarkStart w:id="41" w:name="_Toc26477"/>
      <w:r>
        <w:rPr>
          <w:rFonts w:hint="eastAsia" w:ascii="仿宋_GB2312" w:hAnsi="宋体" w:eastAsia="仿宋_GB2312" w:cs="宋体"/>
          <w:color w:val="000000"/>
          <w:kern w:val="0"/>
          <w:sz w:val="32"/>
          <w:szCs w:val="32"/>
        </w:rPr>
        <w:t>1.产出数量</w:t>
      </w:r>
      <w:bookmarkEnd w:id="39"/>
      <w:bookmarkEnd w:id="40"/>
      <w:bookmarkEnd w:id="41"/>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紧扣高质量发展首要任务，压实预算绩效管理职责，加强预算管理和监督，确保各项工作任务及时完成。2024年度北京市医疗保障覆盖2089万人，其中职工1531.4万人，城乡居民402.1万人，其他类人员155.5万人。市医保局持续推广普惠健康保；开展医疗服务价格改革，动态调整医疗服务价格，落实国家2024版药品目录，累计完成9批次国家组织和6批次省级药品、4批次国家组织和5类省级医用耗材带量采购工作，实现中药饮片阳光挂网采购。综合运用日常监管、自查自纠、抽查复查、专项整治、飞行检查、行政执法等形式，强化基金监管高压态势。落实普法责任，加强医保宣传，启动“十五五”规划研究，推进医保线上结算。研发应急结算系统，强化医保信息化建设。助力医药产业健康发展，联合市卫生健康委等9部门出台了《北京市支持创新医药高质量发展若干措施(2024年）》。</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产出数量达到预期，具体完成：制定医保规划实施方案1份；完成2023年度规划任务评估1项；对137家医保定点医药机构数量开展数据分析；对2家医保经办机构和65家以上医保定点医药机构进行医保基金审计检查；对329家定点医疗机构进行数据筛查；为新增定点医疗机构制作标牌500块；医药价格监测6批次；医疗服务价格初步专家意见12次；每月完成药品阳光采购价格信息采集工作1次；按照工作计划组织医保药品目录、诊疗目录、服务设施目录管理等相关专家评审20次以上；开展“法律十进”活动19场；通过报纸、抖音、公众号、公交车厢、地铁灯箱、楼宇电视、户外大屏投放及广播电台等8个渠道进行医保宣传；开展“打击欺诈骗保集中宣传月”活动1场；接诉即办工作人数14人；校验智能监控知识库指标1618条；智能监控知识库动态调整与增补指标数量150条；出具CHS-DRG技术标准1份；出具总额预算管理BJ-GBI报告数量2份；总额预算管理定点医疗机构项目年度趋势预测和质量评分结果717家。保障北京市20所市属大专院校的21.62万名学生享受公费医疗待遇。按主管部门批复开展医疗保险信息化系统新建项目，对20份以上样本进行数据安全调查，对4个医疗保障信息系统进行运维，完成16项密码测评及等保测评工作。</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42" w:name="_Toc5123"/>
      <w:bookmarkStart w:id="43" w:name="_Toc23893"/>
      <w:bookmarkStart w:id="44" w:name="_Toc16041"/>
      <w:r>
        <w:rPr>
          <w:rFonts w:hint="eastAsia" w:ascii="仿宋_GB2312" w:hAnsi="宋体" w:eastAsia="仿宋_GB2312" w:cs="宋体"/>
          <w:color w:val="000000"/>
          <w:kern w:val="0"/>
          <w:sz w:val="32"/>
          <w:szCs w:val="32"/>
        </w:rPr>
        <w:t>2.产出质量</w:t>
      </w:r>
      <w:bookmarkEnd w:id="42"/>
      <w:bookmarkEnd w:id="43"/>
      <w:bookmarkEnd w:id="44"/>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按照年初制定的工作计划，狠抓过程管理和目标管理，稳打稳扎开展各项工作，各项目基本高质量、高效率完成预先设定的质量指标。总额预算管理BJ-GBI报告、医疗保障基金智能监控知识库数据采集工作、医保基金审计检查工作、定点医疗机构数据筛查工作以及CHS-DRG技术标准的验收合格率均达到100%；医疗服务价格调整、医保药品目录及诊疗目录和服务设施目录调整均符合相关要求；药品和医用耗材集中采购数据服务发生错误以及医药价格监测服务数据服务发生错误均为2次，在指标控制范围内；新增定点医药机构标牌发放率100%；普法工作完成率100%；宣传工作符合国家及本市医保规划要求；群众诉求初次响应率100%；公费医疗经费审核正确率及审计报告验收合格率均达到100%；信息化工作验收合格率和医疗保障信息系统年可用性均为100%。</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45" w:name="_Toc29432"/>
      <w:bookmarkStart w:id="46" w:name="_Toc28243"/>
      <w:bookmarkStart w:id="47" w:name="_Toc30133"/>
      <w:r>
        <w:rPr>
          <w:rFonts w:hint="eastAsia" w:ascii="仿宋_GB2312" w:hAnsi="宋体" w:eastAsia="仿宋_GB2312" w:cs="宋体"/>
          <w:color w:val="000000"/>
          <w:kern w:val="0"/>
          <w:sz w:val="32"/>
          <w:szCs w:val="32"/>
        </w:rPr>
        <w:t>3.产出</w:t>
      </w:r>
      <w:r>
        <w:rPr>
          <w:rFonts w:hint="eastAsia" w:ascii="仿宋_GB2312" w:hAnsi="宋体" w:eastAsia="仿宋_GB2312" w:cs="宋体"/>
          <w:color w:val="000000"/>
          <w:kern w:val="0"/>
          <w:sz w:val="32"/>
          <w:szCs w:val="32"/>
          <w:lang w:eastAsia="zh-CN"/>
        </w:rPr>
        <w:t>进度</w:t>
      </w:r>
      <w:bookmarkEnd w:id="45"/>
      <w:bookmarkEnd w:id="46"/>
      <w:bookmarkEnd w:id="47"/>
    </w:p>
    <w:p>
      <w:pPr>
        <w:pStyle w:val="4"/>
        <w:keepNext w:val="0"/>
        <w:keepLines w:val="0"/>
        <w:pageBreakBefore w:val="0"/>
        <w:widowControl w:val="0"/>
        <w:kinsoku/>
        <w:wordWrap/>
        <w:overflowPunct/>
        <w:topLinePunct w:val="0"/>
        <w:autoSpaceDE/>
        <w:autoSpaceDN/>
        <w:bidi w:val="0"/>
        <w:spacing w:after="0" w:line="56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医保局2024年度各项工作有序推进落实，定期开展预算执行进度分析，对项目工作方案和合同执行情况进行跟踪监督，保障财政资金及时发挥应有效益。其中个别项目因上级统筹安排及重新组织采购工作的要求等因素进行了临时调整，略滞后于预定的产出时效时间节点，但仍确保各项</w:t>
      </w:r>
      <w:r>
        <w:rPr>
          <w:rFonts w:hint="eastAsia" w:ascii="仿宋_GB2312" w:hAnsi="宋体" w:eastAsia="仿宋_GB2312" w:cs="宋体"/>
          <w:color w:val="000000"/>
          <w:kern w:val="0"/>
          <w:sz w:val="32"/>
          <w:szCs w:val="32"/>
        </w:rPr>
        <w:t>工作在年度内实施完成。</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48" w:name="_Toc25038"/>
      <w:bookmarkStart w:id="49" w:name="_Toc22325"/>
      <w:bookmarkStart w:id="50" w:name="_Toc11559"/>
      <w:r>
        <w:rPr>
          <w:rFonts w:hint="eastAsia" w:ascii="仿宋_GB2312" w:hAnsi="宋体" w:eastAsia="仿宋_GB2312" w:cs="宋体"/>
          <w:color w:val="000000"/>
          <w:kern w:val="0"/>
          <w:sz w:val="32"/>
          <w:szCs w:val="32"/>
        </w:rPr>
        <w:t>4.产出成本</w:t>
      </w:r>
      <w:bookmarkEnd w:id="48"/>
      <w:bookmarkEnd w:id="49"/>
      <w:bookmarkEnd w:id="50"/>
    </w:p>
    <w:p>
      <w:pPr>
        <w:pStyle w:val="4"/>
        <w:keepNext w:val="0"/>
        <w:keepLines w:val="0"/>
        <w:pageBreakBefore w:val="0"/>
        <w:widowControl w:val="0"/>
        <w:kinsoku/>
        <w:wordWrap/>
        <w:overflowPunct/>
        <w:topLinePunct w:val="0"/>
        <w:autoSpaceDE/>
        <w:autoSpaceDN/>
        <w:bidi w:val="0"/>
        <w:spacing w:after="0"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w:t>
      </w:r>
      <w:r>
        <w:rPr>
          <w:rFonts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rPr>
        <w:t>4年度坚持落实“勤俭办一切事业和习惯过紧日子”的要求，夯实预算编制基础，通过提高预算编制准确性，强化预算执行、监督的力度。</w:t>
      </w:r>
    </w:p>
    <w:p>
      <w:pPr>
        <w:pStyle w:val="4"/>
        <w:keepNext w:val="0"/>
        <w:keepLines w:val="0"/>
        <w:pageBreakBefore w:val="0"/>
        <w:widowControl w:val="0"/>
        <w:kinsoku/>
        <w:wordWrap/>
        <w:overflowPunct/>
        <w:topLinePunct w:val="0"/>
        <w:autoSpaceDE/>
        <w:autoSpaceDN/>
        <w:bidi w:val="0"/>
        <w:spacing w:after="0" w:line="560" w:lineRule="exact"/>
        <w:ind w:right="0" w:firstLine="640" w:firstLineChars="200"/>
        <w:textAlignment w:val="auto"/>
        <w:rPr>
          <w:rFonts w:hint="eastAsia" w:ascii="楷体_GB2312" w:hAnsi="楷体_GB2312" w:eastAsia="楷体_GB2312" w:cs="楷体_GB2312"/>
          <w:color w:val="000000"/>
          <w:kern w:val="0"/>
          <w:sz w:val="32"/>
          <w:szCs w:val="32"/>
        </w:rPr>
      </w:pPr>
      <w:r>
        <w:rPr>
          <w:rFonts w:hint="eastAsia" w:ascii="仿宋_GB2312" w:hAnsi="宋体" w:eastAsia="仿宋_GB2312" w:cs="宋体"/>
          <w:color w:val="000000"/>
          <w:kern w:val="0"/>
          <w:sz w:val="32"/>
          <w:szCs w:val="32"/>
        </w:rPr>
        <w:t>2024年年初预算批复数102,765.58元，全年预算数113,740.65万元，资金预算总体支出100,906.08万元，预算执行率为88.72%</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未出现无预算、超预算支出的情况。</w:t>
      </w:r>
      <w:bookmarkStart w:id="51" w:name="_Toc20689"/>
      <w:bookmarkStart w:id="52" w:name="_Toc22898"/>
      <w:bookmarkStart w:id="53" w:name="_Toc13322"/>
    </w:p>
    <w:p>
      <w:pPr>
        <w:pStyle w:val="4"/>
        <w:keepNext w:val="0"/>
        <w:keepLines w:val="0"/>
        <w:pageBreakBefore w:val="0"/>
        <w:widowControl w:val="0"/>
        <w:kinsoku/>
        <w:wordWrap/>
        <w:overflowPunct/>
        <w:topLinePunct w:val="0"/>
        <w:autoSpaceDE/>
        <w:autoSpaceDN/>
        <w:bidi w:val="0"/>
        <w:spacing w:after="0" w:line="560" w:lineRule="exact"/>
        <w:ind w:right="0"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（二）效果实现情况分析</w:t>
      </w:r>
      <w:bookmarkEnd w:id="51"/>
      <w:bookmarkEnd w:id="52"/>
      <w:bookmarkEnd w:id="53"/>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54" w:name="_Toc10514"/>
      <w:bookmarkStart w:id="55" w:name="_Toc5932"/>
      <w:bookmarkStart w:id="56" w:name="_Toc28307"/>
      <w:r>
        <w:rPr>
          <w:rFonts w:hint="eastAsia" w:ascii="仿宋_GB2312" w:hAnsi="宋体" w:eastAsia="仿宋_GB2312" w:cs="宋体"/>
          <w:color w:val="000000"/>
          <w:kern w:val="0"/>
          <w:sz w:val="32"/>
          <w:szCs w:val="32"/>
        </w:rPr>
        <w:t>1.社会效益</w:t>
      </w:r>
      <w:bookmarkEnd w:id="54"/>
      <w:bookmarkEnd w:id="55"/>
      <w:bookmarkEnd w:id="56"/>
    </w:p>
    <w:p>
      <w:pPr>
        <w:keepNext w:val="0"/>
        <w:keepLines w:val="0"/>
        <w:pageBreakBefore w:val="0"/>
        <w:widowControl w:val="0"/>
        <w:kinsoku/>
        <w:wordWrap/>
        <w:overflowPunct/>
        <w:topLinePunct w:val="0"/>
        <w:autoSpaceDE/>
        <w:autoSpaceDN/>
        <w:bidi w:val="0"/>
        <w:spacing w:line="560" w:lineRule="exact"/>
        <w:ind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医保规划实施落地，完善医疗保障管理体系，促进医疗保障事业有序健康发展。开展“十五五”医保规划前期研究，推进各项改革举措落地见效。持续完善基本医疗保险政策，配合市人力资源社会保障局出台领取失业保险金人员参加生育保险政策。完善长期护理保险政策体系，深化石景山区长期护理保险试点，为长护险在全市推开做好准备。持续支持做好普惠健康保，为参保人提供医保目录内自付、目录外住院自费、106种国内外特药三层保障，切实提升群众多层次医疗保障水平。</w:t>
      </w:r>
    </w:p>
    <w:p>
      <w:pPr>
        <w:pStyle w:val="2"/>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z w:val="32"/>
          <w:szCs w:val="32"/>
        </w:rPr>
        <w:t>持续深化医保改革发展，推动医保高质量发展。落实创新技术项目受理绿色通道，支持创新医疗技术成果转化。按照国家医保局要求开展专项工作，完成辅助生殖和临床量表立项指南落地工作，启动中医、产科、护理类立项指南对接规范研究。强化医保目录动态调整，严格落实国家新版医保药品目录，开展国家医保谈判药品“双通道”管理试点工作，加强基本医疗保险管理，开展儿研所、儿童医院等本市医疗机构制剂规范调整工作，调整医用耗材人工器官报销政策，切实减轻参保人员负担。持续完善医药集中采购工作，建立价格监测机制，引导全市同药价格就低趋同。深化多元复合式医保支付方式改革，推进医保总额预算管理（BJ-GBI），与药品集采结余留用、DRG年终清算有机衔接，充分发挥医保激励约束作用。深化疾病诊断相关分组（DRG）付费改革，完成2023年医疗机构DRG付费清算，做好第一批DRG付费和带量采购联动管理，合理兑现临床价值。</w:t>
      </w:r>
    </w:p>
    <w:p>
      <w:pPr>
        <w:keepNext w:val="0"/>
        <w:keepLines w:val="0"/>
        <w:pageBreakBefore w:val="0"/>
        <w:widowControl w:val="0"/>
        <w:kinsoku/>
        <w:wordWrap/>
        <w:overflowPunct/>
        <w:topLinePunct w:val="0"/>
        <w:autoSpaceDE/>
        <w:autoSpaceDN/>
        <w:bidi w:val="0"/>
        <w:spacing w:line="560" w:lineRule="exact"/>
        <w:ind w:right="0" w:firstLine="640"/>
        <w:textAlignment w:val="auto"/>
        <w:rPr>
          <w:rFonts w:hint="eastAsia" w:ascii="仿宋_GB2312" w:hAnsi="仿宋_GB2312" w:eastAsia="仿宋_GB2312" w:cs="仿宋_GB2312"/>
          <w:sz w:val="32"/>
          <w:szCs w:val="32"/>
        </w:rPr>
      </w:pPr>
      <w:r>
        <w:rPr>
          <w:rFonts w:hint="eastAsia" w:ascii="仿宋_GB2312" w:hAnsi="楷体_GB2312" w:eastAsia="仿宋_GB2312" w:cs="楷体_GB2312"/>
          <w:sz w:val="32"/>
          <w:szCs w:val="32"/>
        </w:rPr>
        <w:t>提升医保管理服务精细化水平，保证全市医疗保障工作正常开展，保障参保人员、医疗救助人员权益，提升医疗保障服务水平。</w:t>
      </w:r>
      <w:r>
        <w:rPr>
          <w:rFonts w:hint="eastAsia" w:ascii="仿宋_GB2312" w:hAnsi="仿宋_GB2312" w:eastAsia="仿宋_GB2312" w:cs="仿宋_GB2312"/>
          <w:sz w:val="32"/>
          <w:szCs w:val="32"/>
        </w:rPr>
        <w:t>探索人工智能大模型医保领域应用，支持商保公司依法合规使用医保数据用于产品研发，为产业发展注入医保数据力量。全速推动医保移动支付工作，异地就医结算体验持续优化保证全市医疗保障工作正常开展，保障参保人员、医疗救助人员权益。医保管理效能提档升级。完善定点医药机构管理，让群众就医购药更加便捷。开展医保药品追溯码信息采集工作，推动实现全市定点零售药店、社区定点医疗机构药品追溯码信息采集全覆盖。规范政务服务，完善经办政务服务事项清单及办事指南，深入推进“高效办成一件事”，让群众办事更加透明高效，提升医疗保障服务质量以及群众的幸福感、获得感、安全感。</w:t>
      </w:r>
    </w:p>
    <w:p>
      <w:pPr>
        <w:keepNext w:val="0"/>
        <w:keepLines w:val="0"/>
        <w:pageBreakBefore w:val="0"/>
        <w:widowControl w:val="0"/>
        <w:tabs>
          <w:tab w:val="left" w:pos="1440"/>
        </w:tabs>
        <w:kinsoku/>
        <w:wordWrap/>
        <w:overflowPunct/>
        <w:topLinePunct w:val="0"/>
        <w:autoSpaceDE/>
        <w:autoSpaceDN/>
        <w:bidi w:val="0"/>
        <w:adjustRightInd w:val="0"/>
        <w:snapToGrid w:val="0"/>
        <w:spacing w:line="560" w:lineRule="exact"/>
        <w:ind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医保基金管理，开展打击欺诈骗保“百日行动”专项检查、飞行检查等，有效保障基金安全、高效、合理使用。优化基金监管方式，建立运行门诊基金高额（满2万）支付、门诊就医异常及多次住院模型，提升数据筛查阳性率，完成国家局医保反欺诈大数据应用监管试点工作。推动医保行政执法信息化建设向集成化、智能化发展。监管机制不断健全，出台年度医保基金监管工作方案，聚焦38项重点任务，落实市委编办推进区级行政检查权落地要求，夯实区级基金监管综合评价制度，出台医保领域违法违规行为行政处理举报处理相关规定。完善“信用+风险”双评价分级分类监管机制。防范公费医疗经费支出风险,缓解学校及学生经济压力，保障其身心健康，促进社会和谐。强化法治医保建设，深入医保部门、医药机构、参保群众、医药企业等多方主体开展调研座谈，推动提高医保基金使用效能和监管能力水平。夯实法治建设基础，制定年度推进法治政府建设和普法依法治理工作要点，落实普法责任，提升依法行政水平。加强宣传曝光，开展“基金监管同参与守好群众‘救命钱’”集中宣传月活动，提升宣传教育广度深度。</w:t>
      </w:r>
    </w:p>
    <w:p>
      <w:pPr>
        <w:keepNext w:val="0"/>
        <w:keepLines w:val="0"/>
        <w:pageBreakBefore w:val="0"/>
        <w:widowControl w:val="0"/>
        <w:tabs>
          <w:tab w:val="left" w:pos="1440"/>
        </w:tabs>
        <w:kinsoku/>
        <w:wordWrap/>
        <w:overflowPunct/>
        <w:topLinePunct w:val="0"/>
        <w:autoSpaceDE/>
        <w:autoSpaceDN/>
        <w:bidi w:val="0"/>
        <w:adjustRightInd w:val="0"/>
        <w:snapToGrid w:val="0"/>
        <w:spacing w:line="560" w:lineRule="exact"/>
        <w:ind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市医保局主动向前助力医药产业健康发展。联合市卫生健康委等9部门出台《北京市支持创新医药高质量发展若干措施（2024年）》，从创新药械研发、临床试验等八方面提出“创新技术项目优先定价论证”“京津冀3+N医药集采促进创新药械三地使用”“支持创新药品纳入国家医保目录”“北京普惠健康保特药清单创新药品应进尽进”等32条举措，对创新药械企业从研、产、审、用全链条给予政策支持，推进创新链、产业链和政策链深度融合，加速医药健康产业创新发展，助力发展新质生产力。</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57" w:name="_Toc8598"/>
      <w:bookmarkStart w:id="58" w:name="_Toc18421"/>
      <w:bookmarkStart w:id="59" w:name="_Toc27518"/>
      <w:r>
        <w:rPr>
          <w:rFonts w:hint="eastAsia" w:ascii="仿宋_GB2312" w:hAnsi="宋体" w:eastAsia="仿宋_GB2312" w:cs="宋体"/>
          <w:color w:val="000000"/>
          <w:kern w:val="0"/>
          <w:sz w:val="32"/>
          <w:szCs w:val="32"/>
        </w:rPr>
        <w:t>2.服务对象满意度</w:t>
      </w:r>
      <w:bookmarkEnd w:id="57"/>
      <w:bookmarkEnd w:id="58"/>
      <w:bookmarkEnd w:id="59"/>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highlight w:val="yellow"/>
        </w:rPr>
      </w:pPr>
      <w:bookmarkStart w:id="60" w:name="_Toc9218"/>
      <w:bookmarkStart w:id="61" w:name="_Toc22811"/>
      <w:bookmarkStart w:id="62" w:name="_Toc21288"/>
      <w:bookmarkStart w:id="63" w:name="_Toc14761"/>
      <w:bookmarkStart w:id="64" w:name="_Toc10543"/>
      <w:bookmarkStart w:id="65" w:name="_Toc23321"/>
      <w:bookmarkStart w:id="66" w:name="_Toc25670"/>
      <w:bookmarkStart w:id="67" w:name="_Toc2139"/>
      <w:r>
        <w:rPr>
          <w:rFonts w:hint="eastAsia" w:ascii="仿宋_GB2312" w:hAnsi="仿宋_GB2312" w:eastAsia="仿宋_GB2312" w:cs="仿宋_GB2312"/>
          <w:sz w:val="32"/>
          <w:szCs w:val="32"/>
        </w:rPr>
        <w:t>2024年度，市医保局在党建引领下，</w:t>
      </w:r>
      <w:bookmarkEnd w:id="60"/>
      <w:bookmarkEnd w:id="61"/>
      <w:bookmarkEnd w:id="62"/>
      <w:bookmarkEnd w:id="63"/>
      <w:bookmarkEnd w:id="64"/>
      <w:bookmarkEnd w:id="65"/>
      <w:bookmarkEnd w:id="66"/>
      <w:bookmarkEnd w:id="67"/>
      <w:r>
        <w:rPr>
          <w:rFonts w:hint="eastAsia" w:ascii="仿宋_GB2312" w:hAnsi="仿宋_GB2312" w:eastAsia="仿宋_GB2312" w:cs="仿宋_GB2312"/>
          <w:sz w:val="32"/>
          <w:szCs w:val="32"/>
        </w:rPr>
        <w:t>始终牢记习近平总书记“尽力而为，量力而行”重要指示精神，公平普惠发挥基本医保主体作用，同时在医保基金可承受范围内，保障好参保群众医保权益，回应好群众美好生活新期待。接诉即办全市排名较2023年提升13名，全年受理群众诉求5.94万件，其中12345派单5377件均按要求办结。根据《2024年北京市医疗保障公众评价服务项目研究报告》所示，医保工作总体满意度达到91.3%，其中医保经办服务的总体满意度为97.0%、医疗保险待遇保障的总体满意度为89.7%、医保政策的总体满意度为95.5%，2024年度享受公费医疗待遇的学生投诉率为0，信息化使用人员满意度均达到90%以上。</w:t>
      </w:r>
    </w:p>
    <w:p>
      <w:pPr>
        <w:keepNext w:val="0"/>
        <w:keepLines w:val="0"/>
        <w:pageBreakBefore w:val="0"/>
        <w:widowControl w:val="0"/>
        <w:kinsoku/>
        <w:wordWrap/>
        <w:overflowPunct/>
        <w:topLinePunct w:val="0"/>
        <w:autoSpaceDE/>
        <w:autoSpaceDN/>
        <w:bidi w:val="0"/>
        <w:spacing w:line="560" w:lineRule="exact"/>
        <w:ind w:right="0" w:firstLine="800" w:firstLineChars="250"/>
        <w:textAlignment w:val="auto"/>
        <w:outlineLvl w:val="0"/>
        <w:rPr>
          <w:rFonts w:hint="eastAsia" w:ascii="黑体" w:hAnsi="黑体" w:eastAsia="黑体" w:cs="宋体"/>
          <w:color w:val="000000"/>
          <w:kern w:val="0"/>
          <w:sz w:val="32"/>
          <w:szCs w:val="32"/>
        </w:rPr>
      </w:pPr>
      <w:bookmarkStart w:id="68" w:name="_Toc8075"/>
      <w:bookmarkStart w:id="69" w:name="_Toc12288"/>
      <w:bookmarkStart w:id="70" w:name="_Toc17376"/>
      <w:bookmarkStart w:id="71" w:name="_Toc103877652"/>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bookmarkEnd w:id="68"/>
      <w:bookmarkEnd w:id="69"/>
      <w:bookmarkEnd w:id="70"/>
      <w:bookmarkEnd w:id="71"/>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72" w:name="_Toc6205"/>
      <w:bookmarkStart w:id="73" w:name="_Toc11736"/>
      <w:bookmarkStart w:id="74" w:name="_Toc22047"/>
      <w:bookmarkStart w:id="75" w:name="_Toc103877653"/>
      <w:r>
        <w:rPr>
          <w:rFonts w:hint="eastAsia" w:ascii="楷体_GB2312" w:eastAsia="楷体_GB2312"/>
          <w:sz w:val="32"/>
          <w:szCs w:val="32"/>
        </w:rPr>
        <w:t>（一）财务管理</w:t>
      </w:r>
      <w:bookmarkEnd w:id="72"/>
      <w:bookmarkEnd w:id="73"/>
      <w:bookmarkEnd w:id="74"/>
      <w:bookmarkEnd w:id="75"/>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76" w:name="_Toc25300"/>
      <w:bookmarkStart w:id="77" w:name="_Toc3404"/>
      <w:bookmarkStart w:id="78" w:name="_Toc182"/>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bookmarkEnd w:id="76"/>
      <w:bookmarkEnd w:id="77"/>
      <w:bookmarkEnd w:id="78"/>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为规范财务管理，根据《中华人民共和国会计法》《中华人民共和国预算法》《行政事业单位内部控制规范（试行）》以及《政府会计制度》等相关规定,结合自身本部门业务特点建立了完善的财务管理内控制度,编制了《北京市医疗保障局内控手册》，有效保障本部门预算规范执行、资金使用合法合规、国有资产的安全与完整以及会计信息的真实准确，提高了工作效率与效果。</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79" w:name="_Toc1797"/>
      <w:bookmarkStart w:id="80" w:name="_Toc14055"/>
      <w:bookmarkStart w:id="81" w:name="_Toc30618"/>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bookmarkEnd w:id="79"/>
      <w:bookmarkEnd w:id="80"/>
      <w:bookmarkEnd w:id="81"/>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市医保局以完善的资金管理内控制度为保障，严格预算执行</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贯彻“先有预算、后有支出”以及“专款专用”的原则。资金管控范围覆盖预算资金申报、使用的全部过程，同时强化预算执行进度监督管理,对所有项目资金预算执行进度进行100%全程监控,确保预算执行进度与资金安全双保险。</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bookmarkStart w:id="82" w:name="_Toc9461"/>
      <w:bookmarkStart w:id="83" w:name="_Toc15472"/>
      <w:bookmarkStart w:id="84" w:name="_Toc20389"/>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bookmarkEnd w:id="82"/>
      <w:bookmarkEnd w:id="83"/>
      <w:bookmarkEnd w:id="84"/>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通过建立相互制衡的内部控制管理机制，通过“不相容岗位相互分离”原则合理设置财务岗位，明确岗位职责，规范执行原始票据审核、会计核算等相关工作，为保障本部门会计基础信息完善、准确夯实了基础。强化财会监督职能，积极配合内、外部对会计信息的各项审计检查工作，持续完善内部管理机制，确保财会信息准确、真实反映本部门业务活动情况、预算执行等情况。</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85" w:name="_Toc31725"/>
      <w:bookmarkStart w:id="86" w:name="_Toc103877654"/>
      <w:bookmarkStart w:id="87" w:name="_Toc539"/>
      <w:bookmarkStart w:id="88" w:name="_Toc28621"/>
      <w:r>
        <w:rPr>
          <w:rFonts w:hint="eastAsia" w:ascii="楷体_GB2312" w:eastAsia="楷体_GB2312"/>
          <w:sz w:val="32"/>
          <w:szCs w:val="32"/>
        </w:rPr>
        <w:t>（二）资产管理</w:t>
      </w:r>
      <w:bookmarkEnd w:id="85"/>
      <w:bookmarkEnd w:id="86"/>
      <w:bookmarkEnd w:id="87"/>
      <w:bookmarkEnd w:id="88"/>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市医保局根据《行政单位国有资产管理暂行办法》《事业单位国有资产管理暂行办法》及财政部相关规定，结合单位实际情况，制定了北京市医疗保障局《货币资金管理暂行办法》《固定资产管理办法》</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网络安全和信息化无形资产管理办法</w:t>
      </w:r>
      <w:r>
        <w:rPr>
          <w:rFonts w:hint="eastAsia" w:ascii="仿宋_GB2312" w:hAnsi="宋体" w:eastAsia="仿宋_GB2312" w:cs="宋体"/>
          <w:color w:val="000000"/>
          <w:kern w:val="0"/>
          <w:sz w:val="32"/>
          <w:szCs w:val="32"/>
          <w:lang w:eastAsia="zh-CN"/>
        </w:rPr>
        <w:t>》及</w:t>
      </w:r>
      <w:r>
        <w:rPr>
          <w:rFonts w:hint="eastAsia" w:ascii="仿宋_GB2312" w:hAnsi="宋体" w:eastAsia="仿宋_GB2312" w:cs="宋体"/>
          <w:color w:val="000000"/>
          <w:kern w:val="0"/>
          <w:sz w:val="32"/>
          <w:szCs w:val="32"/>
        </w:rPr>
        <w:t>《办公用品及低值易耗品管理制度》，规范和加强了单位资产管理工作，将固定资产的保管责任落实到具体的处室和责任人，定期组织固定资产盘点，固定资产报废处置严格执行财政部门的规定。有效维护了国有资产的安全完整、合理配置和有效利用。</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市医保局货币资金年末数15.91万元，均为银行存款，较上年增加7.04万元；财政应返还额度年末数</w:t>
      </w:r>
      <w:r>
        <w:rPr>
          <w:rFonts w:ascii="仿宋_GB2312" w:hAnsi="宋体" w:eastAsia="仿宋_GB2312" w:cs="宋体"/>
          <w:color w:val="000000"/>
          <w:kern w:val="0"/>
          <w:sz w:val="32"/>
          <w:szCs w:val="32"/>
        </w:rPr>
        <w:t>12,834.57</w:t>
      </w:r>
      <w:r>
        <w:rPr>
          <w:rFonts w:hint="eastAsia" w:ascii="仿宋_GB2312" w:hAnsi="宋体" w:eastAsia="仿宋_GB2312" w:cs="宋体"/>
          <w:color w:val="000000"/>
          <w:kern w:val="0"/>
          <w:sz w:val="32"/>
          <w:szCs w:val="32"/>
        </w:rPr>
        <w:t>万元，较上年增加12,344.66万元；固定资产原值年末数2,079.71万元，较上年增加434.99万元，无房屋，公车保有量7台，与上年一致。固定资产累计折旧年末数</w:t>
      </w:r>
      <w:r>
        <w:rPr>
          <w:rFonts w:ascii="仿宋_GB2312" w:hAnsi="宋体" w:eastAsia="仿宋_GB2312" w:cs="宋体"/>
          <w:color w:val="000000"/>
          <w:kern w:val="0"/>
          <w:sz w:val="32"/>
          <w:szCs w:val="32"/>
        </w:rPr>
        <w:t>939.89</w:t>
      </w:r>
      <w:r>
        <w:rPr>
          <w:rFonts w:hint="eastAsia" w:ascii="仿宋_GB2312" w:hAnsi="宋体" w:eastAsia="仿宋_GB2312" w:cs="宋体"/>
          <w:color w:val="000000"/>
          <w:kern w:val="0"/>
          <w:sz w:val="32"/>
          <w:szCs w:val="32"/>
        </w:rPr>
        <w:t>万元，较上年增加</w:t>
      </w:r>
      <w:r>
        <w:rPr>
          <w:rFonts w:ascii="仿宋_GB2312" w:hAnsi="宋体" w:eastAsia="仿宋_GB2312" w:cs="宋体"/>
          <w:color w:val="000000"/>
          <w:kern w:val="0"/>
          <w:sz w:val="32"/>
          <w:szCs w:val="32"/>
        </w:rPr>
        <w:t>174.13</w:t>
      </w:r>
      <w:r>
        <w:rPr>
          <w:rFonts w:hint="eastAsia" w:ascii="仿宋_GB2312" w:hAnsi="宋体" w:eastAsia="仿宋_GB2312" w:cs="宋体"/>
          <w:color w:val="000000"/>
          <w:kern w:val="0"/>
          <w:sz w:val="32"/>
          <w:szCs w:val="32"/>
        </w:rPr>
        <w:t>万元。固定资产净值年末数</w:t>
      </w:r>
      <w:r>
        <w:rPr>
          <w:rFonts w:ascii="仿宋_GB2312" w:hAnsi="宋体" w:eastAsia="仿宋_GB2312" w:cs="宋体"/>
          <w:color w:val="000000"/>
          <w:kern w:val="0"/>
          <w:sz w:val="32"/>
          <w:szCs w:val="32"/>
        </w:rPr>
        <w:t>1,139.82</w:t>
      </w:r>
      <w:r>
        <w:rPr>
          <w:rFonts w:hint="eastAsia" w:ascii="仿宋_GB2312" w:hAnsi="宋体" w:eastAsia="仿宋_GB2312" w:cs="宋体"/>
          <w:color w:val="000000"/>
          <w:kern w:val="0"/>
          <w:sz w:val="32"/>
          <w:szCs w:val="32"/>
        </w:rPr>
        <w:t>万元，较上年增加</w:t>
      </w:r>
      <w:r>
        <w:rPr>
          <w:rFonts w:ascii="仿宋_GB2312" w:hAnsi="宋体" w:eastAsia="仿宋_GB2312" w:cs="宋体"/>
          <w:color w:val="000000"/>
          <w:kern w:val="0"/>
          <w:sz w:val="32"/>
          <w:szCs w:val="32"/>
        </w:rPr>
        <w:t>260.87</w:t>
      </w:r>
      <w:r>
        <w:rPr>
          <w:rFonts w:hint="eastAsia" w:ascii="仿宋_GB2312" w:hAnsi="宋体" w:eastAsia="仿宋_GB2312" w:cs="宋体"/>
          <w:color w:val="000000"/>
          <w:kern w:val="0"/>
          <w:sz w:val="32"/>
          <w:szCs w:val="32"/>
        </w:rPr>
        <w:t>万元。无形资产原值年末数</w:t>
      </w:r>
      <w:r>
        <w:rPr>
          <w:rFonts w:ascii="仿宋_GB2312" w:hAnsi="宋体" w:eastAsia="仿宋_GB2312" w:cs="宋体"/>
          <w:color w:val="000000"/>
          <w:kern w:val="0"/>
          <w:sz w:val="32"/>
          <w:szCs w:val="32"/>
        </w:rPr>
        <w:t>4,236.46</w:t>
      </w:r>
      <w:r>
        <w:rPr>
          <w:rFonts w:hint="eastAsia" w:ascii="仿宋_GB2312" w:hAnsi="宋体" w:eastAsia="仿宋_GB2312" w:cs="宋体"/>
          <w:color w:val="000000"/>
          <w:kern w:val="0"/>
          <w:sz w:val="32"/>
          <w:szCs w:val="32"/>
        </w:rPr>
        <w:t>万元，较上年增加1.53万元。无形资产累计摊销年末数</w:t>
      </w:r>
      <w:r>
        <w:rPr>
          <w:rFonts w:ascii="仿宋_GB2312" w:hAnsi="宋体" w:eastAsia="仿宋_GB2312" w:cs="宋体"/>
          <w:color w:val="000000"/>
          <w:kern w:val="0"/>
          <w:sz w:val="32"/>
          <w:szCs w:val="32"/>
        </w:rPr>
        <w:t>1,480.80</w:t>
      </w:r>
      <w:r>
        <w:rPr>
          <w:rFonts w:hint="eastAsia" w:ascii="仿宋_GB2312" w:hAnsi="宋体" w:eastAsia="仿宋_GB2312" w:cs="宋体"/>
          <w:color w:val="000000"/>
          <w:kern w:val="0"/>
          <w:sz w:val="32"/>
          <w:szCs w:val="32"/>
        </w:rPr>
        <w:t>万元，较上年增加</w:t>
      </w:r>
      <w:r>
        <w:rPr>
          <w:rFonts w:ascii="仿宋_GB2312" w:hAnsi="宋体" w:eastAsia="仿宋_GB2312" w:cs="宋体"/>
          <w:color w:val="000000"/>
          <w:kern w:val="0"/>
          <w:sz w:val="32"/>
          <w:szCs w:val="32"/>
        </w:rPr>
        <w:t>401.42</w:t>
      </w:r>
      <w:r>
        <w:rPr>
          <w:rFonts w:hint="eastAsia" w:ascii="仿宋_GB2312" w:hAnsi="宋体" w:eastAsia="仿宋_GB2312" w:cs="宋体"/>
          <w:color w:val="000000"/>
          <w:kern w:val="0"/>
          <w:sz w:val="32"/>
          <w:szCs w:val="32"/>
        </w:rPr>
        <w:t>万元。无形资产净值年末数</w:t>
      </w:r>
      <w:r>
        <w:rPr>
          <w:rFonts w:ascii="仿宋_GB2312" w:hAnsi="宋体" w:eastAsia="仿宋_GB2312" w:cs="宋体"/>
          <w:color w:val="000000"/>
          <w:kern w:val="0"/>
          <w:sz w:val="32"/>
          <w:szCs w:val="32"/>
        </w:rPr>
        <w:t>2,755.66</w:t>
      </w:r>
      <w:r>
        <w:rPr>
          <w:rFonts w:hint="eastAsia" w:ascii="仿宋_GB2312" w:hAnsi="宋体" w:eastAsia="仿宋_GB2312" w:cs="宋体"/>
          <w:color w:val="000000"/>
          <w:kern w:val="0"/>
          <w:sz w:val="32"/>
          <w:szCs w:val="32"/>
        </w:rPr>
        <w:t>万元，较上年减少</w:t>
      </w:r>
      <w:r>
        <w:rPr>
          <w:rFonts w:ascii="仿宋_GB2312" w:hAnsi="宋体" w:eastAsia="仿宋_GB2312" w:cs="宋体"/>
          <w:color w:val="000000"/>
          <w:kern w:val="0"/>
          <w:sz w:val="32"/>
          <w:szCs w:val="32"/>
        </w:rPr>
        <w:t>399.89</w:t>
      </w:r>
      <w:r>
        <w:rPr>
          <w:rFonts w:hint="eastAsia"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在建工程年末数678.20万元，较上年增加678.20万元，固定资产配置、采购、领用、保管、处置以及监督管理均符合政策和内控制度的规定。</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89" w:name="_Toc22084"/>
      <w:bookmarkStart w:id="90" w:name="_Toc103877655"/>
      <w:bookmarkStart w:id="91" w:name="_Toc5314"/>
      <w:bookmarkStart w:id="92" w:name="_Toc23103"/>
      <w:r>
        <w:rPr>
          <w:rFonts w:hint="eastAsia" w:ascii="楷体_GB2312" w:eastAsia="楷体_GB2312"/>
          <w:sz w:val="32"/>
          <w:szCs w:val="32"/>
        </w:rPr>
        <w:t>（三）绩效</w:t>
      </w:r>
      <w:r>
        <w:rPr>
          <w:rFonts w:ascii="楷体_GB2312" w:eastAsia="楷体_GB2312"/>
          <w:sz w:val="32"/>
          <w:szCs w:val="32"/>
        </w:rPr>
        <w:t>管理</w:t>
      </w:r>
      <w:bookmarkEnd w:id="89"/>
      <w:bookmarkEnd w:id="90"/>
      <w:bookmarkEnd w:id="91"/>
      <w:bookmarkEnd w:id="92"/>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为加强预算绩效管理，由规划财务和法规处牵头负责本部门预算绩效管理工作的部署。从绩效目标设定抓起，先后制定了分行业、不同类型项目的绩效目标填报模板供各项目处室参考，针对上年度预算绩效管理工作中总结出的问题在预算布置会专门进行培训，对各处室申报的绩效目标表按照《北京市预算绩效目标管理办法》对绩效目标设定的完整性、相关性、适当性和可行性等进行审核，进一步提高本部门绩效目标设定的合理性和规范性，为预算绩效管理打好扎实的基础。通过事前绩效评估、绩效运行监控、绩效自评以及绩效评价等方式，将绩效管理工作贯穿至预算管理的全过程，硬化预算绩效管理约束。</w:t>
      </w:r>
      <w:r>
        <w:rPr>
          <w:rFonts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rPr>
        <w:t>4</w:t>
      </w:r>
      <w:r>
        <w:rPr>
          <w:rFonts w:ascii="仿宋_GB2312" w:hAnsi="宋体" w:eastAsia="仿宋_GB2312" w:cs="宋体"/>
          <w:color w:val="000000"/>
          <w:kern w:val="0"/>
          <w:sz w:val="32"/>
          <w:szCs w:val="32"/>
        </w:rPr>
        <w:t>年所有</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项目纳入绩效目标管理，年末部门整体</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绩效目标</w:t>
      </w:r>
      <w:r>
        <w:rPr>
          <w:rFonts w:hint="eastAsia" w:ascii="仿宋_GB2312" w:hAnsi="宋体" w:eastAsia="仿宋_GB2312" w:cs="宋体"/>
          <w:color w:val="000000"/>
          <w:kern w:val="0"/>
          <w:sz w:val="32"/>
          <w:szCs w:val="32"/>
        </w:rPr>
        <w:t>基本</w:t>
      </w:r>
      <w:r>
        <w:rPr>
          <w:rFonts w:ascii="仿宋_GB2312" w:hAnsi="宋体" w:eastAsia="仿宋_GB2312" w:cs="宋体"/>
          <w:color w:val="000000"/>
          <w:kern w:val="0"/>
          <w:sz w:val="32"/>
          <w:szCs w:val="32"/>
        </w:rPr>
        <w:t>完成。</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93" w:name="_Toc31513"/>
      <w:bookmarkStart w:id="94" w:name="_Toc441"/>
      <w:bookmarkStart w:id="95" w:name="_Toc103877656"/>
      <w:bookmarkStart w:id="96" w:name="_Toc1339"/>
      <w:r>
        <w:rPr>
          <w:rFonts w:hint="eastAsia" w:ascii="楷体_GB2312" w:eastAsia="楷体_GB2312"/>
          <w:sz w:val="32"/>
          <w:szCs w:val="32"/>
        </w:rPr>
        <w:t>（四）结转结余率</w:t>
      </w:r>
      <w:bookmarkEnd w:id="93"/>
      <w:bookmarkEnd w:id="94"/>
      <w:bookmarkEnd w:id="95"/>
      <w:bookmarkEnd w:id="96"/>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w:t>
      </w:r>
      <w:r>
        <w:rPr>
          <w:rFonts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rPr>
        <w:t>4年末结转结余</w:t>
      </w:r>
      <w:r>
        <w:rPr>
          <w:rFonts w:ascii="仿宋_GB2312" w:hAnsi="仿宋" w:eastAsia="仿宋_GB2312"/>
          <w:color w:val="000000"/>
          <w:kern w:val="0"/>
          <w:sz w:val="32"/>
          <w:szCs w:val="32"/>
        </w:rPr>
        <w:t>12</w:t>
      </w:r>
      <w:r>
        <w:rPr>
          <w:rFonts w:hint="eastAsia" w:ascii="仿宋_GB2312" w:hAnsi="仿宋" w:eastAsia="仿宋_GB2312"/>
          <w:color w:val="000000"/>
          <w:kern w:val="0"/>
          <w:sz w:val="32"/>
          <w:szCs w:val="32"/>
        </w:rPr>
        <w:t>,</w:t>
      </w:r>
      <w:r>
        <w:rPr>
          <w:rFonts w:ascii="仿宋_GB2312" w:hAnsi="仿宋" w:eastAsia="仿宋_GB2312"/>
          <w:color w:val="000000"/>
          <w:kern w:val="0"/>
          <w:sz w:val="32"/>
          <w:szCs w:val="32"/>
        </w:rPr>
        <w:t>834.57</w:t>
      </w:r>
      <w:r>
        <w:rPr>
          <w:rFonts w:hint="eastAsia" w:ascii="仿宋_GB2312" w:hAnsi="宋体" w:eastAsia="仿宋_GB2312" w:cs="宋体"/>
          <w:color w:val="000000"/>
          <w:kern w:val="0"/>
          <w:sz w:val="32"/>
          <w:szCs w:val="32"/>
        </w:rPr>
        <w:t>万元，均为财政拨款结转结余，较上年增加</w:t>
      </w:r>
      <w:r>
        <w:rPr>
          <w:rFonts w:hint="eastAsia" w:ascii="仿宋_GB2312" w:hAnsi="仿宋" w:eastAsia="仿宋_GB2312"/>
          <w:color w:val="000000"/>
          <w:kern w:val="0"/>
          <w:sz w:val="32"/>
          <w:szCs w:val="32"/>
        </w:rPr>
        <w:t>12,344.60</w:t>
      </w:r>
      <w:r>
        <w:rPr>
          <w:rFonts w:hint="eastAsia" w:ascii="仿宋_GB2312" w:hAnsi="宋体" w:eastAsia="仿宋_GB2312" w:cs="宋体"/>
          <w:color w:val="000000"/>
          <w:kern w:val="0"/>
          <w:sz w:val="32"/>
          <w:szCs w:val="32"/>
        </w:rPr>
        <w:t>万元，结转结余率11.28%。</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97" w:name="_Toc22368"/>
      <w:bookmarkStart w:id="98" w:name="_Toc25905"/>
      <w:bookmarkStart w:id="99" w:name="_Toc16423"/>
      <w:bookmarkStart w:id="100" w:name="_Toc103877657"/>
      <w:r>
        <w:rPr>
          <w:rFonts w:hint="eastAsia" w:ascii="楷体_GB2312" w:eastAsia="楷体_GB2312"/>
          <w:sz w:val="32"/>
          <w:szCs w:val="32"/>
        </w:rPr>
        <w:t>（五）部门</w:t>
      </w:r>
      <w:r>
        <w:rPr>
          <w:rFonts w:ascii="楷体_GB2312" w:eastAsia="楷体_GB2312"/>
          <w:sz w:val="32"/>
          <w:szCs w:val="32"/>
        </w:rPr>
        <w:t>预决算差异率</w:t>
      </w:r>
      <w:bookmarkEnd w:id="97"/>
      <w:bookmarkEnd w:id="98"/>
      <w:bookmarkEnd w:id="99"/>
      <w:bookmarkEnd w:id="100"/>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市医保局通过细化预算编制</w:t>
      </w:r>
      <w:r>
        <w:rPr>
          <w:rFonts w:hint="eastAsia" w:ascii="仿宋_GB2312" w:hAnsi="宋体" w:eastAsia="仿宋_GB2312" w:cs="宋体"/>
          <w:color w:val="000000"/>
          <w:kern w:val="0"/>
          <w:sz w:val="32"/>
          <w:szCs w:val="32"/>
          <w:lang w:eastAsia="zh-CN"/>
        </w:rPr>
        <w:t>和</w:t>
      </w:r>
      <w:r>
        <w:rPr>
          <w:rFonts w:hint="eastAsia" w:ascii="仿宋_GB2312" w:hAnsi="宋体" w:eastAsia="仿宋_GB2312" w:cs="宋体"/>
          <w:color w:val="000000"/>
          <w:kern w:val="0"/>
          <w:sz w:val="32"/>
          <w:szCs w:val="32"/>
        </w:rPr>
        <w:t>加强预算执行管理，将部门预决算差异率控制在较低水平。本年支出总计</w:t>
      </w:r>
      <w:r>
        <w:rPr>
          <w:rFonts w:ascii="仿宋_GB2312" w:hAnsi="宋体" w:eastAsia="仿宋_GB2312" w:cs="宋体"/>
          <w:color w:val="000000"/>
          <w:kern w:val="0"/>
          <w:sz w:val="32"/>
          <w:szCs w:val="32"/>
        </w:rPr>
        <w:t>100</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906.08</w:t>
      </w:r>
      <w:r>
        <w:rPr>
          <w:rFonts w:hint="eastAsia" w:ascii="仿宋_GB2312" w:hAnsi="宋体" w:eastAsia="仿宋_GB2312" w:cs="宋体"/>
          <w:color w:val="000000"/>
          <w:kern w:val="0"/>
          <w:sz w:val="32"/>
          <w:szCs w:val="32"/>
        </w:rPr>
        <w:t>万元，年初预算数</w:t>
      </w:r>
      <w:r>
        <w:rPr>
          <w:rFonts w:ascii="仿宋_GB2312" w:hAnsi="宋体" w:eastAsia="仿宋_GB2312" w:cs="宋体"/>
          <w:color w:val="000000"/>
          <w:kern w:val="0"/>
          <w:sz w:val="32"/>
          <w:szCs w:val="32"/>
        </w:rPr>
        <w:t>102</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765.58</w:t>
      </w:r>
      <w:r>
        <w:rPr>
          <w:rFonts w:hint="eastAsia" w:ascii="仿宋_GB2312" w:hAnsi="宋体" w:eastAsia="仿宋_GB2312" w:cs="宋体"/>
          <w:color w:val="000000"/>
          <w:kern w:val="0"/>
          <w:sz w:val="32"/>
          <w:szCs w:val="32"/>
        </w:rPr>
        <w:t>万元，差异率</w:t>
      </w:r>
      <w:r>
        <w:rPr>
          <w:rFonts w:ascii="仿宋_GB2312" w:hAnsi="宋体" w:eastAsia="仿宋_GB2312" w:cs="宋体"/>
          <w:color w:val="000000"/>
          <w:kern w:val="0"/>
          <w:sz w:val="32"/>
          <w:szCs w:val="32"/>
        </w:rPr>
        <w:t>-1.81%</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spacing w:line="560" w:lineRule="exact"/>
        <w:ind w:right="0" w:firstLine="800" w:firstLineChars="250"/>
        <w:textAlignment w:val="auto"/>
        <w:outlineLvl w:val="0"/>
        <w:rPr>
          <w:rFonts w:hint="eastAsia" w:ascii="黑体" w:hAnsi="黑体" w:eastAsia="黑体" w:cs="宋体"/>
          <w:color w:val="000000"/>
          <w:kern w:val="0"/>
          <w:sz w:val="32"/>
          <w:szCs w:val="32"/>
        </w:rPr>
      </w:pPr>
      <w:bookmarkStart w:id="101" w:name="_Toc103877658"/>
      <w:bookmarkStart w:id="102" w:name="_Toc10200"/>
      <w:bookmarkStart w:id="103" w:name="_Toc28975"/>
      <w:bookmarkStart w:id="104" w:name="_Toc12728"/>
      <w:r>
        <w:rPr>
          <w:rFonts w:hint="eastAsia" w:ascii="黑体" w:hAnsi="黑体" w:eastAsia="黑体" w:cs="宋体"/>
          <w:color w:val="000000"/>
          <w:kern w:val="0"/>
          <w:sz w:val="32"/>
          <w:szCs w:val="32"/>
        </w:rPr>
        <w:t>五、总体</w:t>
      </w:r>
      <w:r>
        <w:rPr>
          <w:rFonts w:ascii="黑体" w:hAnsi="黑体" w:eastAsia="黑体" w:cs="宋体"/>
          <w:color w:val="000000"/>
          <w:kern w:val="0"/>
          <w:sz w:val="32"/>
          <w:szCs w:val="32"/>
        </w:rPr>
        <w:t>评价结论</w:t>
      </w:r>
      <w:bookmarkEnd w:id="101"/>
      <w:bookmarkEnd w:id="102"/>
      <w:bookmarkEnd w:id="103"/>
      <w:bookmarkEnd w:id="104"/>
      <w:bookmarkStart w:id="118" w:name="_GoBack"/>
      <w:bookmarkEnd w:id="118"/>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bookmarkStart w:id="105" w:name="_Toc12863"/>
      <w:bookmarkStart w:id="106" w:name="_Toc103877659"/>
      <w:bookmarkStart w:id="107" w:name="_Toc13347"/>
      <w:bookmarkStart w:id="108" w:name="_Toc3318"/>
      <w:r>
        <w:rPr>
          <w:rFonts w:hint="eastAsia" w:ascii="楷体_GB2312" w:eastAsia="楷体_GB2312"/>
          <w:sz w:val="32"/>
          <w:szCs w:val="32"/>
        </w:rPr>
        <w:t>（一）评价得分情况</w:t>
      </w:r>
      <w:bookmarkEnd w:id="105"/>
      <w:bookmarkEnd w:id="106"/>
      <w:bookmarkEnd w:id="107"/>
      <w:bookmarkEnd w:id="108"/>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bookmarkStart w:id="109" w:name="OLE_LINK1"/>
      <w:bookmarkStart w:id="110" w:name="_Toc1729"/>
      <w:bookmarkStart w:id="111" w:name="_Toc103877660"/>
      <w:bookmarkStart w:id="112" w:name="_Toc20092"/>
      <w:bookmarkStart w:id="113" w:name="_Toc17895"/>
      <w:r>
        <w:rPr>
          <w:rFonts w:hint="eastAsia" w:ascii="仿宋_GB2312" w:hAnsi="宋体" w:eastAsia="仿宋_GB2312" w:cs="宋体"/>
          <w:color w:val="000000"/>
          <w:kern w:val="0"/>
          <w:sz w:val="32"/>
          <w:szCs w:val="32"/>
        </w:rPr>
        <w:t>北京市医保局</w:t>
      </w:r>
      <w:r>
        <w:rPr>
          <w:rFonts w:hint="eastAsia" w:ascii="仿宋_GB2312" w:hAnsi="宋体" w:eastAsia="仿宋_GB2312" w:cs="宋体"/>
          <w:color w:val="000000"/>
          <w:kern w:val="0"/>
          <w:sz w:val="32"/>
          <w:szCs w:val="32"/>
          <w:lang w:val="en-US"/>
        </w:rPr>
        <w:t>2024</w:t>
      </w:r>
      <w:r>
        <w:rPr>
          <w:rFonts w:hint="eastAsia" w:ascii="仿宋_GB2312" w:hAnsi="宋体" w:eastAsia="仿宋_GB2312" w:cs="宋体"/>
          <w:color w:val="000000"/>
          <w:kern w:val="0"/>
          <w:sz w:val="32"/>
          <w:szCs w:val="32"/>
        </w:rPr>
        <w:t>年度部门整体支出绩效评价得分为</w:t>
      </w:r>
      <w:r>
        <w:rPr>
          <w:rFonts w:hint="eastAsia" w:ascii="仿宋_GB2312" w:hAnsi="宋体" w:eastAsia="仿宋_GB2312" w:cs="宋体"/>
          <w:color w:val="000000"/>
          <w:kern w:val="0"/>
          <w:sz w:val="32"/>
          <w:szCs w:val="32"/>
          <w:lang w:val="en-US"/>
        </w:rPr>
        <w:t>91.95</w:t>
      </w:r>
      <w:r>
        <w:rPr>
          <w:rFonts w:hint="eastAsia" w:ascii="仿宋_GB2312" w:hAnsi="宋体" w:eastAsia="仿宋_GB2312" w:cs="宋体"/>
          <w:color w:val="000000"/>
          <w:kern w:val="0"/>
          <w:sz w:val="32"/>
          <w:szCs w:val="32"/>
        </w:rPr>
        <w:t>分，绩效级别为</w:t>
      </w:r>
      <w:r>
        <w:rPr>
          <w:rFonts w:hint="eastAsia" w:ascii="仿宋_GB2312" w:hAnsi="宋体" w:eastAsia="仿宋_GB2312" w:cs="宋体"/>
          <w:color w:val="000000"/>
          <w:kern w:val="0"/>
          <w:sz w:val="32"/>
          <w:szCs w:val="32"/>
          <w:lang w:val="en-US"/>
        </w:rPr>
        <w:t>“</w:t>
      </w:r>
      <w:r>
        <w:rPr>
          <w:rFonts w:hint="eastAsia" w:ascii="仿宋_GB2312" w:hAnsi="宋体" w:eastAsia="仿宋_GB2312" w:cs="宋体"/>
          <w:color w:val="000000"/>
          <w:kern w:val="0"/>
          <w:sz w:val="32"/>
          <w:szCs w:val="32"/>
        </w:rPr>
        <w:t>优秀</w:t>
      </w:r>
      <w:r>
        <w:rPr>
          <w:rFonts w:hint="eastAsia" w:ascii="仿宋_GB2312" w:hAnsi="宋体" w:eastAsia="仿宋_GB2312" w:cs="宋体"/>
          <w:color w:val="000000"/>
          <w:kern w:val="0"/>
          <w:sz w:val="32"/>
          <w:szCs w:val="32"/>
          <w:lang w:val="en-US"/>
        </w:rPr>
        <w:t>”</w:t>
      </w:r>
      <w:r>
        <w:rPr>
          <w:rFonts w:hint="eastAsia" w:ascii="仿宋_GB2312" w:hAnsi="宋体" w:eastAsia="仿宋_GB2312" w:cs="宋体"/>
          <w:color w:val="000000"/>
          <w:kern w:val="0"/>
          <w:sz w:val="32"/>
          <w:szCs w:val="32"/>
        </w:rPr>
        <w:t>。其中，预算执行</w:t>
      </w:r>
      <w:r>
        <w:rPr>
          <w:rFonts w:hint="eastAsia" w:ascii="仿宋_GB2312" w:hAnsi="宋体" w:eastAsia="仿宋_GB2312" w:cs="宋体"/>
          <w:color w:val="000000"/>
          <w:kern w:val="0"/>
          <w:sz w:val="32"/>
          <w:szCs w:val="32"/>
          <w:lang w:val="en-US"/>
        </w:rPr>
        <w:t>17.74</w:t>
      </w:r>
      <w:r>
        <w:rPr>
          <w:rFonts w:hint="eastAsia" w:ascii="仿宋_GB2312" w:hAnsi="宋体" w:eastAsia="仿宋_GB2312" w:cs="宋体"/>
          <w:color w:val="000000"/>
          <w:kern w:val="0"/>
          <w:sz w:val="32"/>
          <w:szCs w:val="32"/>
        </w:rPr>
        <w:t>分，整体绩效目标实现情况</w:t>
      </w:r>
      <w:r>
        <w:rPr>
          <w:rFonts w:hint="eastAsia" w:ascii="仿宋_GB2312" w:hAnsi="宋体" w:eastAsia="仿宋_GB2312" w:cs="宋体"/>
          <w:color w:val="000000"/>
          <w:kern w:val="0"/>
          <w:sz w:val="32"/>
          <w:szCs w:val="32"/>
          <w:lang w:val="en-US"/>
        </w:rPr>
        <w:t>58.21</w:t>
      </w:r>
      <w:r>
        <w:rPr>
          <w:rFonts w:hint="eastAsia" w:ascii="仿宋_GB2312" w:hAnsi="宋体" w:eastAsia="仿宋_GB2312" w:cs="宋体"/>
          <w:color w:val="000000"/>
          <w:kern w:val="0"/>
          <w:sz w:val="32"/>
          <w:szCs w:val="32"/>
        </w:rPr>
        <w:t>分，预算管理</w:t>
      </w:r>
      <w:r>
        <w:rPr>
          <w:rFonts w:hint="eastAsia" w:ascii="仿宋_GB2312" w:hAnsi="宋体" w:eastAsia="仿宋_GB2312" w:cs="宋体"/>
          <w:color w:val="000000"/>
          <w:kern w:val="0"/>
          <w:sz w:val="32"/>
          <w:szCs w:val="32"/>
          <w:lang w:val="en-US"/>
        </w:rPr>
        <w:t>16.00</w:t>
      </w:r>
      <w:r>
        <w:rPr>
          <w:rFonts w:hint="eastAsia" w:ascii="仿宋_GB2312" w:hAnsi="宋体" w:eastAsia="仿宋_GB2312" w:cs="宋体"/>
          <w:color w:val="000000"/>
          <w:kern w:val="0"/>
          <w:sz w:val="32"/>
          <w:szCs w:val="32"/>
        </w:rPr>
        <w:t>分。</w:t>
      </w:r>
      <w:bookmarkEnd w:id="109"/>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1"/>
        <w:rPr>
          <w:rFonts w:ascii="楷体_GB2312" w:eastAsia="楷体_GB2312"/>
          <w:sz w:val="32"/>
          <w:szCs w:val="32"/>
        </w:rPr>
      </w:pPr>
      <w:r>
        <w:rPr>
          <w:rFonts w:hint="eastAsia" w:ascii="楷体_GB2312" w:eastAsia="楷体_GB2312"/>
          <w:sz w:val="32"/>
          <w:szCs w:val="32"/>
        </w:rPr>
        <w:t>（二）存在的问题及原因分析</w:t>
      </w:r>
      <w:bookmarkEnd w:id="110"/>
      <w:bookmarkEnd w:id="111"/>
      <w:bookmarkEnd w:id="112"/>
      <w:bookmarkEnd w:id="113"/>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bookmarkStart w:id="114" w:name="_Toc103877661"/>
      <w:r>
        <w:rPr>
          <w:rFonts w:hint="eastAsia" w:ascii="仿宋_GB2312" w:hAnsi="宋体" w:eastAsia="仿宋_GB2312" w:cs="宋体"/>
          <w:color w:val="000000"/>
          <w:kern w:val="0"/>
          <w:sz w:val="32"/>
          <w:szCs w:val="32"/>
        </w:rPr>
        <w:t>1.需进一步提高预算精细化管理。个别项目因实际需求变化、政策变更等因素导致年度内预算执行率偏低，未及时按照相关程序对预算资金进行调整，导致财政资金有效利用率不足。</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绩效目标填报水平仍需提高。由于对绩效目标的认识和理解仍有所欠缺，个别项目绩效目标设定与实际工作内容的契合度不足，未充分考虑项目特点、工作内容和工作跨期等因素，导致项目绩效目标的合理性、可考性以及细化、量化的程度不足。</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3.绩效目标管理意识仍需加强。个别项目由于具体需求变化等因素，无法按原计划开展工作，进行预算项目资金调整，未同步对绩效目标进行相应调整，导致年末实际产出与年初设定的绩效目标不一致。</w:t>
      </w:r>
    </w:p>
    <w:p>
      <w:pPr>
        <w:keepNext w:val="0"/>
        <w:keepLines w:val="0"/>
        <w:pageBreakBefore w:val="0"/>
        <w:widowControl w:val="0"/>
        <w:kinsoku/>
        <w:wordWrap/>
        <w:overflowPunct/>
        <w:topLinePunct w:val="0"/>
        <w:autoSpaceDE/>
        <w:autoSpaceDN/>
        <w:bidi w:val="0"/>
        <w:spacing w:line="560" w:lineRule="exact"/>
        <w:ind w:right="0" w:firstLine="800" w:firstLineChars="250"/>
        <w:textAlignment w:val="auto"/>
        <w:outlineLvl w:val="0"/>
        <w:rPr>
          <w:rFonts w:hint="eastAsia" w:ascii="黑体" w:hAnsi="黑体" w:eastAsia="黑体" w:cs="宋体"/>
          <w:color w:val="000000"/>
          <w:kern w:val="0"/>
          <w:sz w:val="32"/>
          <w:szCs w:val="32"/>
        </w:rPr>
      </w:pPr>
      <w:bookmarkStart w:id="115" w:name="_Toc13469"/>
      <w:bookmarkStart w:id="116" w:name="_Toc26069"/>
      <w:bookmarkStart w:id="117" w:name="_Toc22494"/>
      <w:r>
        <w:rPr>
          <w:rFonts w:hint="eastAsia" w:ascii="黑体" w:hAnsi="黑体" w:eastAsia="黑体" w:cs="宋体"/>
          <w:color w:val="000000"/>
          <w:kern w:val="0"/>
          <w:sz w:val="32"/>
          <w:szCs w:val="32"/>
        </w:rPr>
        <w:t>六、措施建议</w:t>
      </w:r>
      <w:bookmarkEnd w:id="114"/>
      <w:bookmarkEnd w:id="115"/>
      <w:bookmarkEnd w:id="116"/>
      <w:bookmarkEnd w:id="117"/>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加强预算执行监督管理，压实预算执行主体责任。在定期预算执行分析的基础上，针对预算执行进度滞后的项目及时采取应对措施，强化预算执行监管力度。因政策调整、需求变化导致项目延期或取消，应及时按照本单位审批程序调整预算，以提升财政资金的使用效率。</w:t>
      </w:r>
    </w:p>
    <w:p>
      <w:pPr>
        <w:keepNext w:val="0"/>
        <w:keepLines w:val="0"/>
        <w:pageBreakBefore w:val="0"/>
        <w:widowControl w:val="0"/>
        <w:kinsoku/>
        <w:wordWrap/>
        <w:overflowPunct/>
        <w:topLinePunct w:val="0"/>
        <w:autoSpaceDE/>
        <w:autoSpaceDN/>
        <w:bidi w:val="0"/>
        <w:spacing w:line="560" w:lineRule="exact"/>
        <w:ind w:right="0" w:firstLine="640" w:firstLineChars="200"/>
        <w:textAlignment w:val="auto"/>
        <w:outlineLvl w:val="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进一步提高绩效目标填报的科学性、合理性。一是强化预算绩效的主体责任意识，预算申报处室对项目绩效设定要经过调查研究和科学论证，做到指向明确、细化量化、合理可行；二是总结绩效审核、事前评估、绩效运行监控、绩效自评工作中关于绩效填报问题和经验，开展针对性培训和指导，加强部门协同，提高绩效目标设置的规范性、合理性，持续促进项目预算管理水平的提升。</w:t>
      </w:r>
    </w:p>
    <w:p>
      <w:pPr>
        <w:spacing w:line="560" w:lineRule="exact"/>
        <w:ind w:firstLine="640" w:firstLineChars="200"/>
        <w:outlineLvl w:val="0"/>
      </w:pPr>
      <w:r>
        <w:rPr>
          <w:rFonts w:hint="eastAsia" w:ascii="仿宋_GB2312" w:hAnsi="宋体" w:eastAsia="仿宋_GB2312" w:cs="宋体"/>
          <w:color w:val="000000"/>
          <w:kern w:val="0"/>
          <w:sz w:val="32"/>
          <w:szCs w:val="32"/>
        </w:rPr>
        <w:t>3.进一步提升绩效目标管理意识，完善绩效目标调整机制。项目预算或工作内容调整涉及绩效目标需进行调整的，应对调整后绩效目标的合理性、适当性、可行性等进行详细审核，履行规范的内部决策程序后进行调整，并加强跟踪监控，发现目标偏离及时纠偏，确保绩效目标能够如期实现。</w:t>
      </w:r>
    </w:p>
    <w:p>
      <w:pPr>
        <w:pStyle w:val="2"/>
        <w:ind w:firstLine="640" w:firstLineChars="200"/>
        <w:rPr>
          <w:rFonts w:hint="eastAsia" w:ascii="仿宋_GB2312" w:hAnsi="宋体" w:eastAsia="仿宋_GB2312" w:cs="宋体"/>
          <w:color w:val="000000"/>
          <w:kern w:val="0"/>
          <w:sz w:val="32"/>
          <w:szCs w:val="32"/>
          <w:lang w:eastAsia="zh-CN"/>
        </w:rPr>
      </w:pPr>
    </w:p>
    <w:p>
      <w:pPr>
        <w:pStyle w:val="2"/>
        <w:ind w:firstLine="640" w:firstLineChars="200"/>
        <w:rPr>
          <w:rFonts w:hint="eastAsia" w:ascii="仿宋_GB2312" w:hAnsi="宋体" w:eastAsia="仿宋_GB2312" w:cs="宋体"/>
          <w:color w:val="000000"/>
          <w:kern w:val="0"/>
          <w:sz w:val="32"/>
          <w:szCs w:val="32"/>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cs="宋体"/>
          <w:color w:val="000000"/>
          <w:kern w:val="0"/>
          <w:sz w:val="32"/>
          <w:szCs w:val="32"/>
          <w:lang w:eastAsia="zh-CN"/>
        </w:rPr>
        <w:t>附件：</w:t>
      </w:r>
      <w:r>
        <w:rPr>
          <w:rFonts w:hint="eastAsia" w:ascii="仿宋_GB2312" w:hAnsi="宋体" w:eastAsia="仿宋_GB2312" w:cs="宋体"/>
          <w:color w:val="000000"/>
          <w:kern w:val="0"/>
          <w:sz w:val="32"/>
          <w:szCs w:val="32"/>
        </w:rPr>
        <w:t>北京市医疗保障局2024年部门整体绩效评价指标体系</w:t>
      </w:r>
      <w:r>
        <w:rPr>
          <w:rFonts w:hint="eastAsia" w:ascii="仿宋_GB2312" w:hAnsi="宋体" w:eastAsia="仿宋_GB2312" w:cs="宋体"/>
          <w:color w:val="000000"/>
          <w:kern w:val="0"/>
          <w:sz w:val="32"/>
          <w:szCs w:val="32"/>
          <w:lang w:eastAsia="zh-CN"/>
        </w:rPr>
        <w:t>及</w:t>
      </w:r>
      <w:r>
        <w:rPr>
          <w:rFonts w:hint="eastAsia" w:ascii="仿宋_GB2312" w:hAnsi="宋体" w:eastAsia="仿宋_GB2312" w:cs="宋体"/>
          <w:color w:val="000000"/>
          <w:kern w:val="0"/>
          <w:sz w:val="32"/>
          <w:szCs w:val="32"/>
        </w:rPr>
        <w:t>评分表</w:t>
      </w:r>
    </w:p>
    <w:tbl>
      <w:tblPr>
        <w:tblStyle w:val="14"/>
        <w:tblW w:w="84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8"/>
        <w:gridCol w:w="847"/>
        <w:gridCol w:w="1009"/>
        <w:gridCol w:w="2356"/>
        <w:gridCol w:w="2168"/>
        <w:gridCol w:w="621"/>
        <w:gridCol w:w="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8494" w:type="dxa"/>
            <w:gridSpan w:val="7"/>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28"/>
                <w:szCs w:val="28"/>
                <w:u w:val="none"/>
                <w:lang w:val="en-US" w:eastAsia="zh-CN" w:bidi="ar"/>
              </w:rPr>
              <w:t>北京市医疗保障局2024年部门整体绩效评价指标体系及评分表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6" w:hRule="atLeast"/>
        </w:trPr>
        <w:tc>
          <w:tcPr>
            <w:tcW w:w="84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宋体" w:eastAsia="黑体" w:cs="黑体"/>
                <w:i w:val="0"/>
                <w:color w:val="000000"/>
                <w:sz w:val="24"/>
                <w:szCs w:val="24"/>
                <w:u w:val="none"/>
              </w:rPr>
            </w:pPr>
            <w:r>
              <w:rPr>
                <w:rStyle w:val="33"/>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预算数（万元）</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执行数（万元）</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2" w:hRule="atLeast"/>
        </w:trPr>
        <w:tc>
          <w:tcPr>
            <w:tcW w:w="91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34"/>
                <w:lang w:val="en-US" w:eastAsia="zh-CN" w:bidi="ar"/>
              </w:rPr>
              <w:t>当年预算执行情况（</w:t>
            </w:r>
            <w:r>
              <w:rPr>
                <w:rStyle w:val="35"/>
                <w:lang w:val="en-US" w:eastAsia="zh-CN" w:bidi="ar"/>
              </w:rPr>
              <w:t>20</w:t>
            </w:r>
            <w:r>
              <w:rPr>
                <w:rStyle w:val="34"/>
                <w:lang w:val="en-US" w:eastAsia="zh-CN"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资金总体</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113,740.65</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100,906.08</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88.72%</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20</w:t>
            </w:r>
          </w:p>
        </w:tc>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17.74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918"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9,877.68</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9,387.09</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95.03%</w:t>
            </w: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color w:val="000000"/>
                <w:sz w:val="18"/>
                <w:szCs w:val="18"/>
                <w:u w:val="none"/>
              </w:rPr>
            </w:pPr>
          </w:p>
        </w:tc>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918"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103,862.97</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91,518.99</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88.12%</w:t>
            </w: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color w:val="000000"/>
                <w:sz w:val="18"/>
                <w:szCs w:val="18"/>
                <w:u w:val="none"/>
              </w:rPr>
            </w:pPr>
          </w:p>
        </w:tc>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6" w:hRule="atLeast"/>
        </w:trPr>
        <w:tc>
          <w:tcPr>
            <w:tcW w:w="918"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1009"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56"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364" w:type="dxa"/>
            <w:gridSpan w:val="3"/>
            <w:tcBorders>
              <w:top w:val="single" w:color="000000" w:sz="4" w:space="0"/>
              <w:left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3" w:hRule="atLeast"/>
        </w:trPr>
        <w:tc>
          <w:tcPr>
            <w:tcW w:w="84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二、整体绩效目标实现情况（60分）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6"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76"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整体绩效目标实现情况（60分）</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产出数量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（10分）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项目产出数量完成率</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部分项目因产出数量未实现</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01"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产出质量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（10分）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重点项目质量达标率</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部分项目产出质量未实现</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97"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产出时效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重点项目完成及时情况　</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部分项目因实际需求调整等完成时间滞后</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17"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产出成本</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部门支出成本控制情况</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成本控制在预算之内，部门三公经费得到有效控制。</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73"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效果（30）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（15分）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有效推进、完善首都医疗保障体系建设；</w:t>
            </w:r>
            <w:r>
              <w:rPr>
                <w:rStyle w:val="35"/>
                <w:lang w:val="en-US" w:eastAsia="zh-CN" w:bidi="ar"/>
              </w:rPr>
              <w:br w:type="textWrapping"/>
            </w:r>
            <w:r>
              <w:rPr>
                <w:rStyle w:val="35"/>
                <w:lang w:val="en-US" w:eastAsia="zh-CN" w:bidi="ar"/>
              </w:rPr>
              <w:t>2.</w:t>
            </w:r>
            <w:r>
              <w:rPr>
                <w:rStyle w:val="34"/>
                <w:lang w:val="en-US" w:eastAsia="zh-CN" w:bidi="ar"/>
              </w:rPr>
              <w:t>有效提升医疗保障管理服务水平；</w:t>
            </w:r>
            <w:r>
              <w:rPr>
                <w:rStyle w:val="35"/>
                <w:lang w:val="en-US" w:eastAsia="zh-CN" w:bidi="ar"/>
              </w:rPr>
              <w:br w:type="textWrapping"/>
            </w:r>
            <w:r>
              <w:rPr>
                <w:rStyle w:val="35"/>
                <w:lang w:val="en-US" w:eastAsia="zh-CN" w:bidi="ar"/>
              </w:rPr>
              <w:t>3.</w:t>
            </w:r>
            <w:r>
              <w:rPr>
                <w:rStyle w:val="34"/>
                <w:lang w:val="en-US" w:eastAsia="zh-CN" w:bidi="ar"/>
              </w:rPr>
              <w:t>有效保障医保公共服务体系的平稳运行；</w:t>
            </w:r>
            <w:r>
              <w:rPr>
                <w:rStyle w:val="35"/>
                <w:lang w:val="en-US" w:eastAsia="zh-CN" w:bidi="ar"/>
              </w:rPr>
              <w:br w:type="textWrapping"/>
            </w:r>
            <w:r>
              <w:rPr>
                <w:rStyle w:val="35"/>
                <w:lang w:val="en-US" w:eastAsia="zh-CN" w:bidi="ar"/>
              </w:rPr>
              <w:t>4.</w:t>
            </w:r>
            <w:r>
              <w:rPr>
                <w:rStyle w:val="34"/>
                <w:lang w:val="en-US" w:eastAsia="zh-CN" w:bidi="ar"/>
              </w:rPr>
              <w:t>有效保障和改善民生；</w:t>
            </w:r>
            <w:r>
              <w:rPr>
                <w:rStyle w:val="35"/>
                <w:lang w:val="en-US" w:eastAsia="zh-CN" w:bidi="ar"/>
              </w:rPr>
              <w:br w:type="textWrapping"/>
            </w:r>
            <w:r>
              <w:rPr>
                <w:rStyle w:val="35"/>
                <w:lang w:val="en-US" w:eastAsia="zh-CN" w:bidi="ar"/>
              </w:rPr>
              <w:t>5.</w:t>
            </w:r>
            <w:r>
              <w:rPr>
                <w:rStyle w:val="34"/>
                <w:lang w:val="en-US" w:eastAsia="zh-CN" w:bidi="ar"/>
              </w:rPr>
              <w:t>对医保基金实施有效监管。</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项目社会效益基本达到预期目标。</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1"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可持续性影响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促进保障医保基金安全；</w:t>
            </w:r>
            <w:r>
              <w:rPr>
                <w:rStyle w:val="34"/>
                <w:lang w:val="en-US" w:eastAsia="zh-CN" w:bidi="ar"/>
              </w:rPr>
              <w:br w:type="textWrapping"/>
            </w:r>
            <w:r>
              <w:rPr>
                <w:rStyle w:val="35"/>
                <w:lang w:val="en-US" w:eastAsia="zh-CN" w:bidi="ar"/>
              </w:rPr>
              <w:t xml:space="preserve">2. </w:t>
            </w:r>
            <w:r>
              <w:rPr>
                <w:rStyle w:val="34"/>
                <w:lang w:val="en-US" w:eastAsia="zh-CN" w:bidi="ar"/>
              </w:rPr>
              <w:t>提高医疗保险管理服务水平和基金使用效率；</w:t>
            </w:r>
            <w:r>
              <w:rPr>
                <w:rStyle w:val="35"/>
                <w:lang w:val="en-US" w:eastAsia="zh-CN" w:bidi="ar"/>
              </w:rPr>
              <w:br w:type="textWrapping"/>
            </w:r>
            <w:r>
              <w:rPr>
                <w:rStyle w:val="35"/>
                <w:lang w:val="en-US" w:eastAsia="zh-CN" w:bidi="ar"/>
              </w:rPr>
              <w:t>3.</w:t>
            </w:r>
            <w:r>
              <w:rPr>
                <w:rStyle w:val="34"/>
                <w:lang w:val="en-US" w:eastAsia="zh-CN" w:bidi="ar"/>
              </w:rPr>
              <w:t>提高民众医保政策知晓率、幸福感。</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项目中设定的可持续影响指标均达到预计目标。　</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（10分）</w:t>
            </w:r>
          </w:p>
        </w:tc>
        <w:tc>
          <w:tcPr>
            <w:tcW w:w="235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项目服务对象满意度达标率</w:t>
            </w:r>
          </w:p>
        </w:tc>
        <w:tc>
          <w:tcPr>
            <w:tcW w:w="216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项目中设定的满意度指标均达标。</w:t>
            </w:r>
          </w:p>
        </w:tc>
        <w:tc>
          <w:tcPr>
            <w:tcW w:w="62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w:t>
            </w:r>
          </w:p>
        </w:tc>
        <w:tc>
          <w:tcPr>
            <w:tcW w:w="57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4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6" w:hRule="atLeast"/>
        </w:trPr>
        <w:tc>
          <w:tcPr>
            <w:tcW w:w="918"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47"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33" w:hRule="atLeast"/>
        </w:trPr>
        <w:tc>
          <w:tcPr>
            <w:tcW w:w="91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预算管理情况（20分）</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财务管理（4）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财务管理制度健全性</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预算资金管理办法、绩效跟踪管理办法、资产管理办法等各项制度健全；</w:t>
            </w:r>
            <w:r>
              <w:rPr>
                <w:rStyle w:val="35"/>
                <w:lang w:val="en-US" w:eastAsia="zh-CN" w:bidi="ar"/>
              </w:rPr>
              <w:br w:type="textWrapping"/>
            </w:r>
            <w:r>
              <w:rPr>
                <w:rStyle w:val="35"/>
                <w:lang w:val="en-US" w:eastAsia="zh-CN" w:bidi="ar"/>
              </w:rPr>
              <w:t>2.</w:t>
            </w:r>
            <w:r>
              <w:rPr>
                <w:rStyle w:val="34"/>
                <w:lang w:val="en-US" w:eastAsia="zh-CN" w:bidi="ar"/>
              </w:rPr>
              <w:t>部门内部财务管理制度完整、合规；</w:t>
            </w:r>
            <w:r>
              <w:rPr>
                <w:rStyle w:val="35"/>
                <w:lang w:val="en-US" w:eastAsia="zh-CN" w:bidi="ar"/>
              </w:rPr>
              <w:br w:type="textWrapping"/>
            </w:r>
            <w:r>
              <w:rPr>
                <w:rStyle w:val="35"/>
                <w:lang w:val="en-US" w:eastAsia="zh-CN" w:bidi="ar"/>
              </w:rPr>
              <w:t>3.</w:t>
            </w:r>
            <w:r>
              <w:rPr>
                <w:rStyle w:val="34"/>
                <w:lang w:val="en-US" w:eastAsia="zh-CN" w:bidi="ar"/>
              </w:rPr>
              <w:t>会计核算制度完整、合规。</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本单位财务管理制度健全，执行有效。</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6" w:hRule="atLeast"/>
        </w:trPr>
        <w:tc>
          <w:tcPr>
            <w:tcW w:w="918"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34"/>
                <w:lang w:val="en-US" w:eastAsia="zh-CN" w:bidi="ar"/>
              </w:rPr>
              <w:t>资金使用合规性和安全性</w:t>
            </w:r>
            <w:r>
              <w:rPr>
                <w:rStyle w:val="34"/>
                <w:lang w:val="en-US" w:eastAsia="zh-CN" w:bidi="ar"/>
              </w:rPr>
              <w:br w:type="textWrapping"/>
            </w:r>
            <w:r>
              <w:rPr>
                <w:rStyle w:val="34"/>
                <w:lang w:val="en-US" w:eastAsia="zh-CN" w:bidi="ar"/>
              </w:rPr>
              <w:t>（</w:t>
            </w:r>
            <w:r>
              <w:rPr>
                <w:rStyle w:val="35"/>
                <w:lang w:val="en-US" w:eastAsia="zh-CN" w:bidi="ar"/>
              </w:rPr>
              <w:t>2</w:t>
            </w:r>
            <w:r>
              <w:rPr>
                <w:rStyle w:val="34"/>
                <w:lang w:val="en-US" w:eastAsia="zh-CN" w:bidi="ar"/>
              </w:rPr>
              <w:t>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资金使用符合国家财经法规、财务管理制度以及有关专项资金管理办法的规定；</w:t>
            </w:r>
            <w:r>
              <w:rPr>
                <w:rStyle w:val="35"/>
                <w:lang w:val="en-US" w:eastAsia="zh-CN" w:bidi="ar"/>
              </w:rPr>
              <w:br w:type="textWrapping"/>
            </w:r>
            <w:r>
              <w:rPr>
                <w:rStyle w:val="35"/>
                <w:lang w:val="en-US" w:eastAsia="zh-CN" w:bidi="ar"/>
              </w:rPr>
              <w:t>2.</w:t>
            </w:r>
            <w:r>
              <w:rPr>
                <w:rStyle w:val="34"/>
                <w:lang w:val="en-US" w:eastAsia="zh-CN" w:bidi="ar"/>
              </w:rPr>
              <w:t>资金拨付有完整的审批程序和手续；</w:t>
            </w:r>
            <w:r>
              <w:rPr>
                <w:rStyle w:val="35"/>
                <w:lang w:val="en-US" w:eastAsia="zh-CN" w:bidi="ar"/>
              </w:rPr>
              <w:br w:type="textWrapping"/>
            </w:r>
            <w:r>
              <w:rPr>
                <w:rStyle w:val="35"/>
                <w:lang w:val="en-US" w:eastAsia="zh-CN" w:bidi="ar"/>
              </w:rPr>
              <w:t>3.</w:t>
            </w:r>
            <w:r>
              <w:rPr>
                <w:rStyle w:val="34"/>
                <w:lang w:val="en-US" w:eastAsia="zh-CN" w:bidi="ar"/>
              </w:rPr>
              <w:t>项目重大开支经过评估论证；</w:t>
            </w:r>
            <w:r>
              <w:rPr>
                <w:rStyle w:val="35"/>
                <w:lang w:val="en-US" w:eastAsia="zh-CN" w:bidi="ar"/>
              </w:rPr>
              <w:br w:type="textWrapping"/>
            </w:r>
            <w:r>
              <w:rPr>
                <w:rStyle w:val="35"/>
                <w:lang w:val="en-US" w:eastAsia="zh-CN" w:bidi="ar"/>
              </w:rPr>
              <w:t>4.</w:t>
            </w:r>
            <w:r>
              <w:rPr>
                <w:rStyle w:val="34"/>
                <w:lang w:val="en-US" w:eastAsia="zh-CN" w:bidi="ar"/>
              </w:rPr>
              <w:t>资金使用符合部门预算批复的用途；</w:t>
            </w:r>
            <w:r>
              <w:rPr>
                <w:rStyle w:val="35"/>
                <w:lang w:val="en-US" w:eastAsia="zh-CN" w:bidi="ar"/>
              </w:rPr>
              <w:br w:type="textWrapping"/>
            </w:r>
            <w:r>
              <w:rPr>
                <w:rStyle w:val="35"/>
                <w:lang w:val="en-US" w:eastAsia="zh-CN" w:bidi="ar"/>
              </w:rPr>
              <w:t>5.</w:t>
            </w:r>
            <w:r>
              <w:rPr>
                <w:rStyle w:val="34"/>
                <w:lang w:val="en-US" w:eastAsia="zh-CN" w:bidi="ar"/>
              </w:rPr>
              <w:t>不存在截留、挤占、挪用情况；</w:t>
            </w:r>
            <w:r>
              <w:rPr>
                <w:rStyle w:val="35"/>
                <w:lang w:val="en-US" w:eastAsia="zh-CN" w:bidi="ar"/>
              </w:rPr>
              <w:br w:type="textWrapping"/>
            </w:r>
            <w:r>
              <w:rPr>
                <w:rStyle w:val="35"/>
                <w:lang w:val="en-US" w:eastAsia="zh-CN" w:bidi="ar"/>
              </w:rPr>
              <w:t>6.</w:t>
            </w:r>
            <w:r>
              <w:rPr>
                <w:rStyle w:val="34"/>
                <w:lang w:val="en-US" w:eastAsia="zh-CN" w:bidi="ar"/>
              </w:rPr>
              <w:t>资金使用符合政府采购的程序和流程；</w:t>
            </w:r>
            <w:r>
              <w:rPr>
                <w:rStyle w:val="35"/>
                <w:lang w:val="en-US" w:eastAsia="zh-CN" w:bidi="ar"/>
              </w:rPr>
              <w:br w:type="textWrapping"/>
            </w:r>
            <w:r>
              <w:rPr>
                <w:rStyle w:val="35"/>
                <w:lang w:val="en-US" w:eastAsia="zh-CN" w:bidi="ar"/>
              </w:rPr>
              <w:t>7.</w:t>
            </w:r>
            <w:r>
              <w:rPr>
                <w:rStyle w:val="34"/>
                <w:lang w:val="en-US" w:eastAsia="zh-CN" w:bidi="ar"/>
              </w:rPr>
              <w:t>资金使用符合公务卡结算相关制度和规定。</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本单位资金使用符合财经法规规定，做到专款专用，严格履行政府采购程序，各项支出审批程序完善，重大支出经过预算评审和事前评估。</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77" w:hRule="atLeast"/>
        </w:trPr>
        <w:tc>
          <w:tcPr>
            <w:tcW w:w="918"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会计基础信息完善性</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础数据信息和会计信息资料是否真实；</w:t>
            </w:r>
            <w:r>
              <w:rPr>
                <w:rStyle w:val="34"/>
                <w:lang w:val="en-US" w:eastAsia="zh-CN" w:bidi="ar"/>
              </w:rPr>
              <w:br w:type="textWrapping"/>
            </w:r>
            <w:r>
              <w:rPr>
                <w:rStyle w:val="35"/>
                <w:lang w:val="en-US" w:eastAsia="zh-CN" w:bidi="ar"/>
              </w:rPr>
              <w:t>2.</w:t>
            </w:r>
            <w:r>
              <w:rPr>
                <w:rStyle w:val="34"/>
                <w:lang w:val="en-US" w:eastAsia="zh-CN" w:bidi="ar"/>
              </w:rPr>
              <w:t>基础数据信息和会计信息资料是否完整；</w:t>
            </w:r>
            <w:r>
              <w:rPr>
                <w:rStyle w:val="34"/>
                <w:lang w:val="en-US" w:eastAsia="zh-CN" w:bidi="ar"/>
              </w:rPr>
              <w:br w:type="textWrapping"/>
            </w:r>
            <w:r>
              <w:rPr>
                <w:rStyle w:val="35"/>
                <w:lang w:val="en-US" w:eastAsia="zh-CN" w:bidi="ar"/>
              </w:rPr>
              <w:t>3.</w:t>
            </w:r>
            <w:r>
              <w:rPr>
                <w:rStyle w:val="34"/>
                <w:lang w:val="en-US" w:eastAsia="zh-CN" w:bidi="ar"/>
              </w:rPr>
              <w:t>基础数据信息和会计信息资料是否准确。</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各项基础数据及原始凭证真实、合规，会计核算准确。</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1" w:hRule="atLeast"/>
        </w:trPr>
        <w:tc>
          <w:tcPr>
            <w:tcW w:w="918" w:type="dxa"/>
            <w:vMerge w:val="restart"/>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预算管理情况（20分）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资产管理（4）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资产管理规范性</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对外投资行为经过审批，不存在投资亏损；</w:t>
            </w:r>
            <w:r>
              <w:rPr>
                <w:rStyle w:val="35"/>
                <w:lang w:val="en-US" w:eastAsia="zh-CN" w:bidi="ar"/>
              </w:rPr>
              <w:br w:type="textWrapping"/>
            </w:r>
            <w:r>
              <w:rPr>
                <w:rStyle w:val="35"/>
                <w:lang w:val="en-US" w:eastAsia="zh-CN" w:bidi="ar"/>
              </w:rPr>
              <w:t>2.</w:t>
            </w:r>
            <w:r>
              <w:rPr>
                <w:rStyle w:val="34"/>
                <w:lang w:val="en-US" w:eastAsia="zh-CN" w:bidi="ar"/>
              </w:rPr>
              <w:t>不存在因管理不当发生严重资产损失和丢失情况；</w:t>
            </w:r>
            <w:r>
              <w:rPr>
                <w:rStyle w:val="35"/>
                <w:lang w:val="en-US" w:eastAsia="zh-CN" w:bidi="ar"/>
              </w:rPr>
              <w:br w:type="textWrapping"/>
            </w:r>
            <w:r>
              <w:rPr>
                <w:rStyle w:val="35"/>
                <w:lang w:val="en-US" w:eastAsia="zh-CN" w:bidi="ar"/>
              </w:rPr>
              <w:t>3.</w:t>
            </w:r>
            <w:r>
              <w:rPr>
                <w:rStyle w:val="34"/>
                <w:lang w:val="en-US" w:eastAsia="zh-CN" w:bidi="ar"/>
              </w:rPr>
              <w:t>不存在超标准配置资产；</w:t>
            </w:r>
            <w:r>
              <w:rPr>
                <w:rStyle w:val="35"/>
                <w:lang w:val="en-US" w:eastAsia="zh-CN" w:bidi="ar"/>
              </w:rPr>
              <w:br w:type="textWrapping"/>
            </w:r>
            <w:r>
              <w:rPr>
                <w:rStyle w:val="35"/>
                <w:lang w:val="en-US" w:eastAsia="zh-CN" w:bidi="ar"/>
              </w:rPr>
              <w:t>4.</w:t>
            </w:r>
            <w:r>
              <w:rPr>
                <w:rStyle w:val="34"/>
                <w:lang w:val="en-US" w:eastAsia="zh-CN" w:bidi="ar"/>
              </w:rPr>
              <w:t>资产使用规范，不存在未经批准擅自出租、出借资产行为；</w:t>
            </w:r>
            <w:r>
              <w:rPr>
                <w:rStyle w:val="34"/>
                <w:lang w:val="en-US" w:eastAsia="zh-CN" w:bidi="ar"/>
              </w:rPr>
              <w:br w:type="textWrapping"/>
            </w:r>
            <w:r>
              <w:rPr>
                <w:rStyle w:val="35"/>
                <w:lang w:val="en-US" w:eastAsia="zh-CN" w:bidi="ar"/>
              </w:rPr>
              <w:t>5.</w:t>
            </w:r>
            <w:r>
              <w:rPr>
                <w:rStyle w:val="34"/>
                <w:lang w:val="en-US" w:eastAsia="zh-CN" w:bidi="ar"/>
              </w:rPr>
              <w:t>资产处置规范，不存在不按要求进行报批或资产不公开处置行为；</w:t>
            </w:r>
            <w:r>
              <w:rPr>
                <w:rStyle w:val="34"/>
                <w:lang w:val="en-US" w:eastAsia="zh-CN" w:bidi="ar"/>
              </w:rPr>
              <w:br w:type="textWrapping"/>
            </w:r>
            <w:r>
              <w:rPr>
                <w:rStyle w:val="35"/>
                <w:lang w:val="en-US" w:eastAsia="zh-CN" w:bidi="ar"/>
              </w:rPr>
              <w:t>6.</w:t>
            </w:r>
            <w:r>
              <w:rPr>
                <w:rStyle w:val="34"/>
                <w:lang w:val="en-US" w:eastAsia="zh-CN" w:bidi="ar"/>
              </w:rPr>
              <w:t>其它资产管理制度办法执行情况。</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不存在超标配置资产以及其他违规出租、出借以及擅自处置资产的情况。</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13" w:hRule="atLeast"/>
        </w:trPr>
        <w:tc>
          <w:tcPr>
            <w:tcW w:w="91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绩效管理（4）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绩效管理情况</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（4分）</w:t>
            </w:r>
          </w:p>
        </w:tc>
        <w:tc>
          <w:tcPr>
            <w:tcW w:w="2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Arial Narrow" w:hAnsi="Arial Narrow" w:eastAsia="Arial Narrow" w:cs="Arial Narrow"/>
                <w:i w:val="0"/>
                <w:color w:val="000000"/>
                <w:sz w:val="18"/>
                <w:szCs w:val="18"/>
                <w:u w:val="none"/>
              </w:rPr>
            </w:pPr>
            <w:r>
              <w:rPr>
                <w:rStyle w:val="35"/>
                <w:lang w:val="en-US" w:eastAsia="zh-CN" w:bidi="ar"/>
              </w:rPr>
              <w:t>1.</w:t>
            </w:r>
            <w:r>
              <w:rPr>
                <w:rStyle w:val="34"/>
                <w:lang w:val="en-US" w:eastAsia="zh-CN" w:bidi="ar"/>
              </w:rPr>
              <w:t>部门（单位）及时对绩效信息进行汇总分析整理；</w:t>
            </w:r>
            <w:r>
              <w:rPr>
                <w:rStyle w:val="35"/>
                <w:lang w:val="en-US" w:eastAsia="zh-CN" w:bidi="ar"/>
              </w:rPr>
              <w:br w:type="textWrapping"/>
            </w:r>
            <w:r>
              <w:rPr>
                <w:rStyle w:val="35"/>
                <w:lang w:val="en-US" w:eastAsia="zh-CN" w:bidi="ar"/>
              </w:rPr>
              <w:t>2.</w:t>
            </w:r>
            <w:r>
              <w:rPr>
                <w:rStyle w:val="34"/>
                <w:lang w:val="en-US" w:eastAsia="zh-CN" w:bidi="ar"/>
              </w:rPr>
              <w:t>部门（单位）对绩效目标偏离情况及时进行矫正。</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实施了部门整体支出绩效监控和自评，并对自评信息进行了汇总分析。由于个别项目根据实际需求进行了调整，但绩效指标等未及时调整。</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00" w:hRule="atLeast"/>
        </w:trPr>
        <w:tc>
          <w:tcPr>
            <w:tcW w:w="91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结转结余率（4分）</w:t>
            </w:r>
          </w:p>
        </w:tc>
        <w:tc>
          <w:tcPr>
            <w:tcW w:w="3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2023年：0.47%</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2024年：11.28%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91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部门预决算差异率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（4分）</w:t>
            </w:r>
          </w:p>
        </w:tc>
        <w:tc>
          <w:tcPr>
            <w:tcW w:w="3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2023年：3.16%</w:t>
            </w:r>
          </w:p>
        </w:tc>
        <w:tc>
          <w:tcPr>
            <w:tcW w:w="21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2024年：-1.81%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3" w:hRule="atLeast"/>
        </w:trPr>
        <w:tc>
          <w:tcPr>
            <w:tcW w:w="72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3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100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color w:val="000000"/>
                <w:sz w:val="18"/>
                <w:szCs w:val="18"/>
                <w:u w:val="none"/>
              </w:rPr>
            </w:pPr>
            <w:r>
              <w:rPr>
                <w:rFonts w:hint="default" w:ascii="Arial Narrow" w:hAnsi="Arial Narrow" w:eastAsia="Arial Narrow" w:cs="Arial Narrow"/>
                <w:i w:val="0"/>
                <w:color w:val="000000"/>
                <w:kern w:val="0"/>
                <w:sz w:val="18"/>
                <w:szCs w:val="18"/>
                <w:u w:val="none"/>
                <w:lang w:val="en-US" w:eastAsia="zh-CN" w:bidi="ar"/>
              </w:rPr>
              <w:t>91.95</w:t>
            </w:r>
          </w:p>
        </w:tc>
      </w:tr>
    </w:tbl>
    <w:p>
      <w:pPr>
        <w:pStyle w:val="2"/>
        <w:ind w:firstLine="640" w:firstLineChars="200"/>
        <w:rPr>
          <w:rFonts w:hint="eastAsia" w:ascii="仿宋_GB2312" w:hAnsi="宋体" w:eastAsia="仿宋_GB2312" w:cs="宋体"/>
          <w:color w:val="000000"/>
          <w:kern w:val="0"/>
          <w:sz w:val="32"/>
          <w:szCs w:val="32"/>
        </w:rPr>
      </w:pPr>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Narrow">
    <w:altName w:val="Times New Roman"/>
    <w:panose1 w:val="020B0606020202030204"/>
    <w:charset w:val="00"/>
    <w:family w:val="auto"/>
    <w:pitch w:val="default"/>
    <w:sig w:usb0="00000000" w:usb1="000000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w:pict>
        <v:shape id="_x0000_s3075" o:spid="_x0000_s3075"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sz w:val="32"/>
                    <w:szCs w:val="32"/>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w:r>
    <w:r>
      <w:pict>
        <v:shape id="_x0000_s3074" o:spid="_x0000_s3074" o:spt="202" type="#_x0000_t202" style="position:absolute;left:0pt;margin-top:0pt;height:17.6pt;width:25.55pt;mso-position-horizontal:center;mso-position-horizontal-relative:margin;z-index:251661312;mso-width-relative:page;mso-height-relative:page;" filled="f" stroked="f" coordsize="21600,21600">
          <v:path/>
          <v:fill on="f" focussize="0,0"/>
          <v:stroke on="f" joinstyle="miter"/>
          <v:imagedata o:title=""/>
          <o:lock v:ext="edit"/>
          <v:textbox inset="0mm,0mm,0mm,0mm">
            <w:txbxContent>
              <w:p>
                <w:pPr>
                  <w:pStyle w:val="7"/>
                  <w:rPr>
                    <w:sz w:val="28"/>
                    <w:szCs w:val="28"/>
                  </w:rPr>
                </w:pPr>
              </w:p>
            </w:txbxContent>
          </v:textbox>
        </v:shape>
      </w:pict>
    </w:r>
    <w:sdt>
      <w:sdtPr>
        <w:id w:val="-354426811"/>
        <w:showingPlcHdr/>
      </w:sdtPr>
      <w:sdtContent>
        <w:r>
          <w:t xml:space="preserve">     </w:t>
        </w:r>
      </w:sdtContent>
    </w:sdt>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YzYTgxNjAwMDgyZTVmOWFiNjZiNTA0ZjFlYjI4Y2EifQ=="/>
  </w:docVars>
  <w:rsids>
    <w:rsidRoot w:val="007306F1"/>
    <w:rsid w:val="000003E3"/>
    <w:rsid w:val="000010E0"/>
    <w:rsid w:val="000045D5"/>
    <w:rsid w:val="00006AE1"/>
    <w:rsid w:val="00007672"/>
    <w:rsid w:val="00014EEB"/>
    <w:rsid w:val="00015016"/>
    <w:rsid w:val="0002281C"/>
    <w:rsid w:val="00024433"/>
    <w:rsid w:val="000249A9"/>
    <w:rsid w:val="00033FAF"/>
    <w:rsid w:val="000368F8"/>
    <w:rsid w:val="00040719"/>
    <w:rsid w:val="00043EE7"/>
    <w:rsid w:val="00044236"/>
    <w:rsid w:val="00045CE6"/>
    <w:rsid w:val="00046510"/>
    <w:rsid w:val="00050324"/>
    <w:rsid w:val="0005177C"/>
    <w:rsid w:val="00053CCC"/>
    <w:rsid w:val="00056DF6"/>
    <w:rsid w:val="00061060"/>
    <w:rsid w:val="00061547"/>
    <w:rsid w:val="00065183"/>
    <w:rsid w:val="000678DF"/>
    <w:rsid w:val="0007164A"/>
    <w:rsid w:val="000777F8"/>
    <w:rsid w:val="00082FBB"/>
    <w:rsid w:val="00084A68"/>
    <w:rsid w:val="00092A8C"/>
    <w:rsid w:val="000943A2"/>
    <w:rsid w:val="000A7A39"/>
    <w:rsid w:val="000B6CC5"/>
    <w:rsid w:val="000C1E97"/>
    <w:rsid w:val="000C2382"/>
    <w:rsid w:val="000C3942"/>
    <w:rsid w:val="000C3DA7"/>
    <w:rsid w:val="000C72A5"/>
    <w:rsid w:val="000D47A5"/>
    <w:rsid w:val="000D5BB5"/>
    <w:rsid w:val="000E0843"/>
    <w:rsid w:val="000E1B1F"/>
    <w:rsid w:val="000E2F1D"/>
    <w:rsid w:val="000F08DD"/>
    <w:rsid w:val="000F3BC6"/>
    <w:rsid w:val="000F3D73"/>
    <w:rsid w:val="000F52A1"/>
    <w:rsid w:val="001037C9"/>
    <w:rsid w:val="0010504C"/>
    <w:rsid w:val="00105EAA"/>
    <w:rsid w:val="001128D3"/>
    <w:rsid w:val="0011504B"/>
    <w:rsid w:val="00122187"/>
    <w:rsid w:val="00122B1F"/>
    <w:rsid w:val="001233B5"/>
    <w:rsid w:val="00125140"/>
    <w:rsid w:val="00126936"/>
    <w:rsid w:val="00130E0D"/>
    <w:rsid w:val="00131E3D"/>
    <w:rsid w:val="00132217"/>
    <w:rsid w:val="00136BB0"/>
    <w:rsid w:val="00137E7A"/>
    <w:rsid w:val="00143A0D"/>
    <w:rsid w:val="00145529"/>
    <w:rsid w:val="00145A1B"/>
    <w:rsid w:val="00145D85"/>
    <w:rsid w:val="00146AAA"/>
    <w:rsid w:val="001509A7"/>
    <w:rsid w:val="00151E4C"/>
    <w:rsid w:val="001541AE"/>
    <w:rsid w:val="00155438"/>
    <w:rsid w:val="00155DD4"/>
    <w:rsid w:val="0015629E"/>
    <w:rsid w:val="00157B1F"/>
    <w:rsid w:val="001612B6"/>
    <w:rsid w:val="00161572"/>
    <w:rsid w:val="00162E9D"/>
    <w:rsid w:val="0016350D"/>
    <w:rsid w:val="00165286"/>
    <w:rsid w:val="00166FE5"/>
    <w:rsid w:val="00173059"/>
    <w:rsid w:val="00174E1D"/>
    <w:rsid w:val="00174EA8"/>
    <w:rsid w:val="00176B33"/>
    <w:rsid w:val="001773D5"/>
    <w:rsid w:val="00180DB0"/>
    <w:rsid w:val="00180E6B"/>
    <w:rsid w:val="001855C5"/>
    <w:rsid w:val="00195AE4"/>
    <w:rsid w:val="001963E8"/>
    <w:rsid w:val="001A086A"/>
    <w:rsid w:val="001A0E38"/>
    <w:rsid w:val="001A1E40"/>
    <w:rsid w:val="001A2D5C"/>
    <w:rsid w:val="001A377A"/>
    <w:rsid w:val="001A3AD1"/>
    <w:rsid w:val="001A4D87"/>
    <w:rsid w:val="001A5738"/>
    <w:rsid w:val="001A5810"/>
    <w:rsid w:val="001B3F1E"/>
    <w:rsid w:val="001B466A"/>
    <w:rsid w:val="001B5E4C"/>
    <w:rsid w:val="001C2CA9"/>
    <w:rsid w:val="001C3EAF"/>
    <w:rsid w:val="001C47FE"/>
    <w:rsid w:val="001C62EF"/>
    <w:rsid w:val="001C6FA1"/>
    <w:rsid w:val="001D0317"/>
    <w:rsid w:val="001D1011"/>
    <w:rsid w:val="001D228C"/>
    <w:rsid w:val="001D384C"/>
    <w:rsid w:val="001D7F8A"/>
    <w:rsid w:val="001E3795"/>
    <w:rsid w:val="001F4BBD"/>
    <w:rsid w:val="001F57CA"/>
    <w:rsid w:val="001F730F"/>
    <w:rsid w:val="00201857"/>
    <w:rsid w:val="00203D96"/>
    <w:rsid w:val="00204C3C"/>
    <w:rsid w:val="0020644E"/>
    <w:rsid w:val="00210437"/>
    <w:rsid w:val="0021278D"/>
    <w:rsid w:val="00213AA7"/>
    <w:rsid w:val="0021533B"/>
    <w:rsid w:val="0021562C"/>
    <w:rsid w:val="002165F8"/>
    <w:rsid w:val="002201E4"/>
    <w:rsid w:val="002207D5"/>
    <w:rsid w:val="00220BDA"/>
    <w:rsid w:val="00231FE0"/>
    <w:rsid w:val="00232090"/>
    <w:rsid w:val="00232BE1"/>
    <w:rsid w:val="00241430"/>
    <w:rsid w:val="002415DA"/>
    <w:rsid w:val="0024385D"/>
    <w:rsid w:val="00243BFF"/>
    <w:rsid w:val="002445A0"/>
    <w:rsid w:val="00246E25"/>
    <w:rsid w:val="00247DD3"/>
    <w:rsid w:val="00250138"/>
    <w:rsid w:val="0025589C"/>
    <w:rsid w:val="00255949"/>
    <w:rsid w:val="00255D56"/>
    <w:rsid w:val="00257F7E"/>
    <w:rsid w:val="002604B9"/>
    <w:rsid w:val="002631AB"/>
    <w:rsid w:val="00263BEF"/>
    <w:rsid w:val="002717F3"/>
    <w:rsid w:val="00272D2F"/>
    <w:rsid w:val="00274A13"/>
    <w:rsid w:val="002762DA"/>
    <w:rsid w:val="002775A5"/>
    <w:rsid w:val="00277D38"/>
    <w:rsid w:val="002818C3"/>
    <w:rsid w:val="002833EA"/>
    <w:rsid w:val="0028366A"/>
    <w:rsid w:val="002850E9"/>
    <w:rsid w:val="00285A35"/>
    <w:rsid w:val="00286594"/>
    <w:rsid w:val="00287FE2"/>
    <w:rsid w:val="0029162A"/>
    <w:rsid w:val="00296A99"/>
    <w:rsid w:val="00297376"/>
    <w:rsid w:val="00297A2A"/>
    <w:rsid w:val="002A27E3"/>
    <w:rsid w:val="002A418A"/>
    <w:rsid w:val="002A4260"/>
    <w:rsid w:val="002A759D"/>
    <w:rsid w:val="002A7636"/>
    <w:rsid w:val="002A7737"/>
    <w:rsid w:val="002B4690"/>
    <w:rsid w:val="002B5A46"/>
    <w:rsid w:val="002B6484"/>
    <w:rsid w:val="002B7EEA"/>
    <w:rsid w:val="002C00FC"/>
    <w:rsid w:val="002C1C95"/>
    <w:rsid w:val="002C3118"/>
    <w:rsid w:val="002C3297"/>
    <w:rsid w:val="002C48E9"/>
    <w:rsid w:val="002C5A0F"/>
    <w:rsid w:val="002D3DF2"/>
    <w:rsid w:val="002D482F"/>
    <w:rsid w:val="002E0373"/>
    <w:rsid w:val="002E276D"/>
    <w:rsid w:val="002E37E9"/>
    <w:rsid w:val="002E4A74"/>
    <w:rsid w:val="002E5337"/>
    <w:rsid w:val="002E7CA6"/>
    <w:rsid w:val="002F1D90"/>
    <w:rsid w:val="002F30DB"/>
    <w:rsid w:val="002F3929"/>
    <w:rsid w:val="00302629"/>
    <w:rsid w:val="003039A2"/>
    <w:rsid w:val="00303E9C"/>
    <w:rsid w:val="00304B38"/>
    <w:rsid w:val="003057B2"/>
    <w:rsid w:val="0031047E"/>
    <w:rsid w:val="00310CF5"/>
    <w:rsid w:val="00311289"/>
    <w:rsid w:val="00313E04"/>
    <w:rsid w:val="003155AF"/>
    <w:rsid w:val="003176D9"/>
    <w:rsid w:val="0032297E"/>
    <w:rsid w:val="003248D8"/>
    <w:rsid w:val="00327895"/>
    <w:rsid w:val="00327C35"/>
    <w:rsid w:val="00331146"/>
    <w:rsid w:val="0033323C"/>
    <w:rsid w:val="003332CC"/>
    <w:rsid w:val="003333F1"/>
    <w:rsid w:val="00334C02"/>
    <w:rsid w:val="00335264"/>
    <w:rsid w:val="0033613B"/>
    <w:rsid w:val="00336FE3"/>
    <w:rsid w:val="00342605"/>
    <w:rsid w:val="00344074"/>
    <w:rsid w:val="003440BD"/>
    <w:rsid w:val="00350B79"/>
    <w:rsid w:val="00354686"/>
    <w:rsid w:val="00355D3F"/>
    <w:rsid w:val="00356FF6"/>
    <w:rsid w:val="003612EE"/>
    <w:rsid w:val="00361497"/>
    <w:rsid w:val="00364373"/>
    <w:rsid w:val="003658C1"/>
    <w:rsid w:val="003676FD"/>
    <w:rsid w:val="003715E9"/>
    <w:rsid w:val="00374020"/>
    <w:rsid w:val="00377AE4"/>
    <w:rsid w:val="003855E1"/>
    <w:rsid w:val="00385DA6"/>
    <w:rsid w:val="003876E1"/>
    <w:rsid w:val="003910B6"/>
    <w:rsid w:val="003918CB"/>
    <w:rsid w:val="003928E8"/>
    <w:rsid w:val="0039396E"/>
    <w:rsid w:val="003A01E7"/>
    <w:rsid w:val="003A0301"/>
    <w:rsid w:val="003A046E"/>
    <w:rsid w:val="003A2965"/>
    <w:rsid w:val="003A4B8A"/>
    <w:rsid w:val="003A5B3F"/>
    <w:rsid w:val="003B1766"/>
    <w:rsid w:val="003B29CD"/>
    <w:rsid w:val="003B34CF"/>
    <w:rsid w:val="003B50AE"/>
    <w:rsid w:val="003C1F47"/>
    <w:rsid w:val="003C3C44"/>
    <w:rsid w:val="003C774E"/>
    <w:rsid w:val="003D05DA"/>
    <w:rsid w:val="003D0DBB"/>
    <w:rsid w:val="003D1345"/>
    <w:rsid w:val="003D2A50"/>
    <w:rsid w:val="003D3709"/>
    <w:rsid w:val="003D3F77"/>
    <w:rsid w:val="003D5ED4"/>
    <w:rsid w:val="003E0049"/>
    <w:rsid w:val="003E53F5"/>
    <w:rsid w:val="003E638B"/>
    <w:rsid w:val="003E661D"/>
    <w:rsid w:val="003E799A"/>
    <w:rsid w:val="003F0795"/>
    <w:rsid w:val="003F701C"/>
    <w:rsid w:val="003F7FA2"/>
    <w:rsid w:val="00401447"/>
    <w:rsid w:val="00401D9D"/>
    <w:rsid w:val="00404A4A"/>
    <w:rsid w:val="0041200D"/>
    <w:rsid w:val="00413699"/>
    <w:rsid w:val="004139A6"/>
    <w:rsid w:val="00415716"/>
    <w:rsid w:val="00415BD8"/>
    <w:rsid w:val="00420639"/>
    <w:rsid w:val="00421295"/>
    <w:rsid w:val="00421663"/>
    <w:rsid w:val="0042394F"/>
    <w:rsid w:val="00427313"/>
    <w:rsid w:val="00431363"/>
    <w:rsid w:val="004319FA"/>
    <w:rsid w:val="0043406F"/>
    <w:rsid w:val="00434590"/>
    <w:rsid w:val="00436A2E"/>
    <w:rsid w:val="00437568"/>
    <w:rsid w:val="00443323"/>
    <w:rsid w:val="00445109"/>
    <w:rsid w:val="00445CB5"/>
    <w:rsid w:val="00451518"/>
    <w:rsid w:val="0045289E"/>
    <w:rsid w:val="004539E3"/>
    <w:rsid w:val="00453F68"/>
    <w:rsid w:val="00456120"/>
    <w:rsid w:val="004630C9"/>
    <w:rsid w:val="004639F3"/>
    <w:rsid w:val="00465CAB"/>
    <w:rsid w:val="00467DDB"/>
    <w:rsid w:val="0047012E"/>
    <w:rsid w:val="004756F8"/>
    <w:rsid w:val="00476048"/>
    <w:rsid w:val="004760F2"/>
    <w:rsid w:val="0047735C"/>
    <w:rsid w:val="00481144"/>
    <w:rsid w:val="0048499F"/>
    <w:rsid w:val="00486485"/>
    <w:rsid w:val="004870F8"/>
    <w:rsid w:val="004875E8"/>
    <w:rsid w:val="00487898"/>
    <w:rsid w:val="0049011D"/>
    <w:rsid w:val="00490BAF"/>
    <w:rsid w:val="00492CF7"/>
    <w:rsid w:val="00493F8D"/>
    <w:rsid w:val="004A4C8A"/>
    <w:rsid w:val="004A567B"/>
    <w:rsid w:val="004B01AE"/>
    <w:rsid w:val="004B06B3"/>
    <w:rsid w:val="004B237A"/>
    <w:rsid w:val="004B2EF6"/>
    <w:rsid w:val="004B46C0"/>
    <w:rsid w:val="004B5685"/>
    <w:rsid w:val="004B5F41"/>
    <w:rsid w:val="004C0C3F"/>
    <w:rsid w:val="004C2FE3"/>
    <w:rsid w:val="004C59EE"/>
    <w:rsid w:val="004D055B"/>
    <w:rsid w:val="004D0D10"/>
    <w:rsid w:val="004D18C3"/>
    <w:rsid w:val="004D1B04"/>
    <w:rsid w:val="004D35AE"/>
    <w:rsid w:val="004D36AE"/>
    <w:rsid w:val="004D4460"/>
    <w:rsid w:val="004D7B90"/>
    <w:rsid w:val="004E12DF"/>
    <w:rsid w:val="004E4C08"/>
    <w:rsid w:val="004F1309"/>
    <w:rsid w:val="004F1630"/>
    <w:rsid w:val="004F402B"/>
    <w:rsid w:val="004F726E"/>
    <w:rsid w:val="004F77CB"/>
    <w:rsid w:val="00500A20"/>
    <w:rsid w:val="005056A9"/>
    <w:rsid w:val="0051148C"/>
    <w:rsid w:val="00511C24"/>
    <w:rsid w:val="00516D33"/>
    <w:rsid w:val="00520980"/>
    <w:rsid w:val="005257D4"/>
    <w:rsid w:val="00526313"/>
    <w:rsid w:val="0053196B"/>
    <w:rsid w:val="00532A26"/>
    <w:rsid w:val="005348EC"/>
    <w:rsid w:val="00535818"/>
    <w:rsid w:val="00536F5C"/>
    <w:rsid w:val="0054053D"/>
    <w:rsid w:val="00541DBA"/>
    <w:rsid w:val="00541FD9"/>
    <w:rsid w:val="00543382"/>
    <w:rsid w:val="00543654"/>
    <w:rsid w:val="005439FC"/>
    <w:rsid w:val="00543D77"/>
    <w:rsid w:val="0055081F"/>
    <w:rsid w:val="005613AB"/>
    <w:rsid w:val="00565ED1"/>
    <w:rsid w:val="005665DB"/>
    <w:rsid w:val="00566DBD"/>
    <w:rsid w:val="00575084"/>
    <w:rsid w:val="00575A22"/>
    <w:rsid w:val="00577B0D"/>
    <w:rsid w:val="00584094"/>
    <w:rsid w:val="00586F50"/>
    <w:rsid w:val="005946B7"/>
    <w:rsid w:val="00595CD9"/>
    <w:rsid w:val="0059605C"/>
    <w:rsid w:val="005A1724"/>
    <w:rsid w:val="005A1FFF"/>
    <w:rsid w:val="005A3BBB"/>
    <w:rsid w:val="005A3D58"/>
    <w:rsid w:val="005A4317"/>
    <w:rsid w:val="005A434E"/>
    <w:rsid w:val="005A69E7"/>
    <w:rsid w:val="005A6FCA"/>
    <w:rsid w:val="005A71E4"/>
    <w:rsid w:val="005A7244"/>
    <w:rsid w:val="005A7AD7"/>
    <w:rsid w:val="005B214C"/>
    <w:rsid w:val="005B4485"/>
    <w:rsid w:val="005C0706"/>
    <w:rsid w:val="005C18F3"/>
    <w:rsid w:val="005C42F6"/>
    <w:rsid w:val="005C5196"/>
    <w:rsid w:val="005D14D4"/>
    <w:rsid w:val="005D1D6C"/>
    <w:rsid w:val="005D49B8"/>
    <w:rsid w:val="005E24D0"/>
    <w:rsid w:val="005E575F"/>
    <w:rsid w:val="005E78D1"/>
    <w:rsid w:val="005F36CD"/>
    <w:rsid w:val="005F3C2B"/>
    <w:rsid w:val="00601E19"/>
    <w:rsid w:val="00603A05"/>
    <w:rsid w:val="006057D7"/>
    <w:rsid w:val="0060595F"/>
    <w:rsid w:val="00613FD2"/>
    <w:rsid w:val="00615DDD"/>
    <w:rsid w:val="00621B9A"/>
    <w:rsid w:val="00622D7E"/>
    <w:rsid w:val="00623D02"/>
    <w:rsid w:val="00624B1B"/>
    <w:rsid w:val="00626096"/>
    <w:rsid w:val="006300B0"/>
    <w:rsid w:val="006337BE"/>
    <w:rsid w:val="00636BB1"/>
    <w:rsid w:val="00636C01"/>
    <w:rsid w:val="00636E28"/>
    <w:rsid w:val="00637D6B"/>
    <w:rsid w:val="006407E1"/>
    <w:rsid w:val="006453A2"/>
    <w:rsid w:val="00647988"/>
    <w:rsid w:val="00653A36"/>
    <w:rsid w:val="00660789"/>
    <w:rsid w:val="00661011"/>
    <w:rsid w:val="006616DF"/>
    <w:rsid w:val="0066201D"/>
    <w:rsid w:val="006655E4"/>
    <w:rsid w:val="006667F0"/>
    <w:rsid w:val="0067418B"/>
    <w:rsid w:val="00676F5F"/>
    <w:rsid w:val="00680D35"/>
    <w:rsid w:val="00682C82"/>
    <w:rsid w:val="00683D89"/>
    <w:rsid w:val="006914EB"/>
    <w:rsid w:val="00691B73"/>
    <w:rsid w:val="00692D02"/>
    <w:rsid w:val="00697746"/>
    <w:rsid w:val="00697EBD"/>
    <w:rsid w:val="006A2CF7"/>
    <w:rsid w:val="006A3325"/>
    <w:rsid w:val="006A40D2"/>
    <w:rsid w:val="006A67A5"/>
    <w:rsid w:val="006A790C"/>
    <w:rsid w:val="006B0AD9"/>
    <w:rsid w:val="006B1E8C"/>
    <w:rsid w:val="006B4435"/>
    <w:rsid w:val="006C0E14"/>
    <w:rsid w:val="006C35D7"/>
    <w:rsid w:val="006C49BC"/>
    <w:rsid w:val="006D0CDF"/>
    <w:rsid w:val="006D51D4"/>
    <w:rsid w:val="006D6D2E"/>
    <w:rsid w:val="006E0D7A"/>
    <w:rsid w:val="006E307E"/>
    <w:rsid w:val="006E3341"/>
    <w:rsid w:val="006E6372"/>
    <w:rsid w:val="006E7FEC"/>
    <w:rsid w:val="006F055A"/>
    <w:rsid w:val="006F2477"/>
    <w:rsid w:val="006F6206"/>
    <w:rsid w:val="006F71E0"/>
    <w:rsid w:val="0070153A"/>
    <w:rsid w:val="00701CD7"/>
    <w:rsid w:val="00702D8B"/>
    <w:rsid w:val="00713567"/>
    <w:rsid w:val="00715BCE"/>
    <w:rsid w:val="0072074A"/>
    <w:rsid w:val="007222C6"/>
    <w:rsid w:val="00722FF6"/>
    <w:rsid w:val="00723016"/>
    <w:rsid w:val="00723A65"/>
    <w:rsid w:val="00724081"/>
    <w:rsid w:val="00727A4F"/>
    <w:rsid w:val="00727C15"/>
    <w:rsid w:val="007306F1"/>
    <w:rsid w:val="007313A5"/>
    <w:rsid w:val="00731D6B"/>
    <w:rsid w:val="00732F2B"/>
    <w:rsid w:val="0073546A"/>
    <w:rsid w:val="00740CC8"/>
    <w:rsid w:val="007423CB"/>
    <w:rsid w:val="0074400F"/>
    <w:rsid w:val="0074441C"/>
    <w:rsid w:val="00744A88"/>
    <w:rsid w:val="00747FE2"/>
    <w:rsid w:val="00752DC6"/>
    <w:rsid w:val="00754EBA"/>
    <w:rsid w:val="0075506C"/>
    <w:rsid w:val="0075562C"/>
    <w:rsid w:val="00755F87"/>
    <w:rsid w:val="00762793"/>
    <w:rsid w:val="007659B2"/>
    <w:rsid w:val="00766779"/>
    <w:rsid w:val="0076694D"/>
    <w:rsid w:val="007700BB"/>
    <w:rsid w:val="007712A8"/>
    <w:rsid w:val="007728AB"/>
    <w:rsid w:val="00773121"/>
    <w:rsid w:val="00777A17"/>
    <w:rsid w:val="00780091"/>
    <w:rsid w:val="0078104F"/>
    <w:rsid w:val="00783891"/>
    <w:rsid w:val="00783DAB"/>
    <w:rsid w:val="00784199"/>
    <w:rsid w:val="00790179"/>
    <w:rsid w:val="00793376"/>
    <w:rsid w:val="00795D39"/>
    <w:rsid w:val="00796F16"/>
    <w:rsid w:val="00797558"/>
    <w:rsid w:val="007A1624"/>
    <w:rsid w:val="007A2296"/>
    <w:rsid w:val="007A37EE"/>
    <w:rsid w:val="007A3E34"/>
    <w:rsid w:val="007A6D2D"/>
    <w:rsid w:val="007A6FB6"/>
    <w:rsid w:val="007B1B40"/>
    <w:rsid w:val="007B2CC5"/>
    <w:rsid w:val="007B712F"/>
    <w:rsid w:val="007B7B45"/>
    <w:rsid w:val="007C40CB"/>
    <w:rsid w:val="007C4FFD"/>
    <w:rsid w:val="007C5429"/>
    <w:rsid w:val="007C7101"/>
    <w:rsid w:val="007C79B5"/>
    <w:rsid w:val="007E1794"/>
    <w:rsid w:val="007E25CD"/>
    <w:rsid w:val="007E2DDD"/>
    <w:rsid w:val="007E6959"/>
    <w:rsid w:val="007F0742"/>
    <w:rsid w:val="007F08F9"/>
    <w:rsid w:val="007F6F86"/>
    <w:rsid w:val="008000B8"/>
    <w:rsid w:val="008040E7"/>
    <w:rsid w:val="008055FD"/>
    <w:rsid w:val="00806973"/>
    <w:rsid w:val="00806C34"/>
    <w:rsid w:val="00810A00"/>
    <w:rsid w:val="00810CF9"/>
    <w:rsid w:val="00813037"/>
    <w:rsid w:val="0081474F"/>
    <w:rsid w:val="008150EC"/>
    <w:rsid w:val="00815D9A"/>
    <w:rsid w:val="00817692"/>
    <w:rsid w:val="0082361E"/>
    <w:rsid w:val="00823E84"/>
    <w:rsid w:val="00826264"/>
    <w:rsid w:val="00832988"/>
    <w:rsid w:val="00834CFA"/>
    <w:rsid w:val="00835086"/>
    <w:rsid w:val="008369F7"/>
    <w:rsid w:val="008429FE"/>
    <w:rsid w:val="008430CC"/>
    <w:rsid w:val="008441FB"/>
    <w:rsid w:val="00847480"/>
    <w:rsid w:val="00850C2C"/>
    <w:rsid w:val="0085154F"/>
    <w:rsid w:val="00851EF1"/>
    <w:rsid w:val="00854E35"/>
    <w:rsid w:val="00855A86"/>
    <w:rsid w:val="00856356"/>
    <w:rsid w:val="00856F40"/>
    <w:rsid w:val="00857834"/>
    <w:rsid w:val="0086004C"/>
    <w:rsid w:val="00862D7F"/>
    <w:rsid w:val="0086421D"/>
    <w:rsid w:val="00874247"/>
    <w:rsid w:val="008743B5"/>
    <w:rsid w:val="00874A00"/>
    <w:rsid w:val="00874C82"/>
    <w:rsid w:val="00877950"/>
    <w:rsid w:val="00880901"/>
    <w:rsid w:val="008829E3"/>
    <w:rsid w:val="00882E45"/>
    <w:rsid w:val="00887C6C"/>
    <w:rsid w:val="00895D0B"/>
    <w:rsid w:val="00896427"/>
    <w:rsid w:val="008970E7"/>
    <w:rsid w:val="0089759B"/>
    <w:rsid w:val="008A5171"/>
    <w:rsid w:val="008A7107"/>
    <w:rsid w:val="008B0116"/>
    <w:rsid w:val="008B280C"/>
    <w:rsid w:val="008B4144"/>
    <w:rsid w:val="008B4AB3"/>
    <w:rsid w:val="008C2F38"/>
    <w:rsid w:val="008C307D"/>
    <w:rsid w:val="008C3D2A"/>
    <w:rsid w:val="008C611A"/>
    <w:rsid w:val="008C6A98"/>
    <w:rsid w:val="008C765F"/>
    <w:rsid w:val="008D02AE"/>
    <w:rsid w:val="008D10FD"/>
    <w:rsid w:val="008D1D9D"/>
    <w:rsid w:val="008E0362"/>
    <w:rsid w:val="008E3454"/>
    <w:rsid w:val="008E34BF"/>
    <w:rsid w:val="008E6360"/>
    <w:rsid w:val="008F058F"/>
    <w:rsid w:val="008F0B82"/>
    <w:rsid w:val="008F2B2C"/>
    <w:rsid w:val="008F6999"/>
    <w:rsid w:val="009004C6"/>
    <w:rsid w:val="00902B46"/>
    <w:rsid w:val="00906545"/>
    <w:rsid w:val="00910042"/>
    <w:rsid w:val="00924CB8"/>
    <w:rsid w:val="00926617"/>
    <w:rsid w:val="00927309"/>
    <w:rsid w:val="00931F7F"/>
    <w:rsid w:val="00932466"/>
    <w:rsid w:val="00932A26"/>
    <w:rsid w:val="00932DDC"/>
    <w:rsid w:val="0093332F"/>
    <w:rsid w:val="00934048"/>
    <w:rsid w:val="0093521D"/>
    <w:rsid w:val="00936403"/>
    <w:rsid w:val="009439E0"/>
    <w:rsid w:val="009447C0"/>
    <w:rsid w:val="00945F9D"/>
    <w:rsid w:val="00951A2D"/>
    <w:rsid w:val="00952319"/>
    <w:rsid w:val="00953C42"/>
    <w:rsid w:val="00955518"/>
    <w:rsid w:val="00956F65"/>
    <w:rsid w:val="00957C58"/>
    <w:rsid w:val="00960079"/>
    <w:rsid w:val="00961CA8"/>
    <w:rsid w:val="0096200E"/>
    <w:rsid w:val="0096221A"/>
    <w:rsid w:val="0096243E"/>
    <w:rsid w:val="00962BF8"/>
    <w:rsid w:val="0096698C"/>
    <w:rsid w:val="0096729F"/>
    <w:rsid w:val="009707F8"/>
    <w:rsid w:val="0097266F"/>
    <w:rsid w:val="00972824"/>
    <w:rsid w:val="0097393B"/>
    <w:rsid w:val="00977DE8"/>
    <w:rsid w:val="00980110"/>
    <w:rsid w:val="0098074B"/>
    <w:rsid w:val="00981F91"/>
    <w:rsid w:val="0098649C"/>
    <w:rsid w:val="0099067D"/>
    <w:rsid w:val="00991A32"/>
    <w:rsid w:val="00994726"/>
    <w:rsid w:val="009A0935"/>
    <w:rsid w:val="009A1570"/>
    <w:rsid w:val="009A2249"/>
    <w:rsid w:val="009A420D"/>
    <w:rsid w:val="009A7BFD"/>
    <w:rsid w:val="009B7967"/>
    <w:rsid w:val="009C30A8"/>
    <w:rsid w:val="009C38B5"/>
    <w:rsid w:val="009C4A12"/>
    <w:rsid w:val="009D37AC"/>
    <w:rsid w:val="009D4519"/>
    <w:rsid w:val="009D452E"/>
    <w:rsid w:val="009D5A88"/>
    <w:rsid w:val="009D78C7"/>
    <w:rsid w:val="009E195E"/>
    <w:rsid w:val="009E2720"/>
    <w:rsid w:val="009E3BD4"/>
    <w:rsid w:val="009E676A"/>
    <w:rsid w:val="009E6A50"/>
    <w:rsid w:val="009E758C"/>
    <w:rsid w:val="009F1BA1"/>
    <w:rsid w:val="009F3B66"/>
    <w:rsid w:val="009F627C"/>
    <w:rsid w:val="009F7F3F"/>
    <w:rsid w:val="00A00DFA"/>
    <w:rsid w:val="00A010FF"/>
    <w:rsid w:val="00A034EE"/>
    <w:rsid w:val="00A03CFB"/>
    <w:rsid w:val="00A055E7"/>
    <w:rsid w:val="00A07E72"/>
    <w:rsid w:val="00A11E75"/>
    <w:rsid w:val="00A15B85"/>
    <w:rsid w:val="00A22BD7"/>
    <w:rsid w:val="00A238F8"/>
    <w:rsid w:val="00A23A45"/>
    <w:rsid w:val="00A24642"/>
    <w:rsid w:val="00A256E6"/>
    <w:rsid w:val="00A271A1"/>
    <w:rsid w:val="00A27A12"/>
    <w:rsid w:val="00A27E6B"/>
    <w:rsid w:val="00A309BF"/>
    <w:rsid w:val="00A33092"/>
    <w:rsid w:val="00A33F8B"/>
    <w:rsid w:val="00A36541"/>
    <w:rsid w:val="00A4158F"/>
    <w:rsid w:val="00A41757"/>
    <w:rsid w:val="00A42602"/>
    <w:rsid w:val="00A44130"/>
    <w:rsid w:val="00A46352"/>
    <w:rsid w:val="00A51231"/>
    <w:rsid w:val="00A53381"/>
    <w:rsid w:val="00A542DF"/>
    <w:rsid w:val="00A55DDA"/>
    <w:rsid w:val="00A55E2F"/>
    <w:rsid w:val="00A56463"/>
    <w:rsid w:val="00A56754"/>
    <w:rsid w:val="00A668D4"/>
    <w:rsid w:val="00A70A71"/>
    <w:rsid w:val="00A70E94"/>
    <w:rsid w:val="00A740BA"/>
    <w:rsid w:val="00A74267"/>
    <w:rsid w:val="00A743DD"/>
    <w:rsid w:val="00A74912"/>
    <w:rsid w:val="00A76528"/>
    <w:rsid w:val="00A76EDF"/>
    <w:rsid w:val="00A772AF"/>
    <w:rsid w:val="00A772C6"/>
    <w:rsid w:val="00A775B3"/>
    <w:rsid w:val="00A829A3"/>
    <w:rsid w:val="00A851B6"/>
    <w:rsid w:val="00A859F6"/>
    <w:rsid w:val="00A86FAF"/>
    <w:rsid w:val="00A87433"/>
    <w:rsid w:val="00A87DE8"/>
    <w:rsid w:val="00A912C4"/>
    <w:rsid w:val="00A91478"/>
    <w:rsid w:val="00A93445"/>
    <w:rsid w:val="00A9420B"/>
    <w:rsid w:val="00A97C66"/>
    <w:rsid w:val="00A97FB5"/>
    <w:rsid w:val="00AA0709"/>
    <w:rsid w:val="00AA4A2D"/>
    <w:rsid w:val="00AA502B"/>
    <w:rsid w:val="00AA603D"/>
    <w:rsid w:val="00AA628A"/>
    <w:rsid w:val="00AB2FC4"/>
    <w:rsid w:val="00AB53D0"/>
    <w:rsid w:val="00AB714C"/>
    <w:rsid w:val="00AB7C54"/>
    <w:rsid w:val="00AC2442"/>
    <w:rsid w:val="00AC4C33"/>
    <w:rsid w:val="00AD0ECA"/>
    <w:rsid w:val="00AD2658"/>
    <w:rsid w:val="00AD3BE5"/>
    <w:rsid w:val="00AD4BB7"/>
    <w:rsid w:val="00AD7A52"/>
    <w:rsid w:val="00AE0A7F"/>
    <w:rsid w:val="00AE385E"/>
    <w:rsid w:val="00AE4F05"/>
    <w:rsid w:val="00AE60FC"/>
    <w:rsid w:val="00AE68DA"/>
    <w:rsid w:val="00AE7D8E"/>
    <w:rsid w:val="00AF6984"/>
    <w:rsid w:val="00AF79E2"/>
    <w:rsid w:val="00B0075D"/>
    <w:rsid w:val="00B049C9"/>
    <w:rsid w:val="00B057D9"/>
    <w:rsid w:val="00B07F13"/>
    <w:rsid w:val="00B10CDF"/>
    <w:rsid w:val="00B13F64"/>
    <w:rsid w:val="00B15BD5"/>
    <w:rsid w:val="00B2470A"/>
    <w:rsid w:val="00B24E4A"/>
    <w:rsid w:val="00B317FB"/>
    <w:rsid w:val="00B338F9"/>
    <w:rsid w:val="00B33FB9"/>
    <w:rsid w:val="00B4393F"/>
    <w:rsid w:val="00B439D9"/>
    <w:rsid w:val="00B43F47"/>
    <w:rsid w:val="00B47EFC"/>
    <w:rsid w:val="00B50BC2"/>
    <w:rsid w:val="00B51B62"/>
    <w:rsid w:val="00B5225B"/>
    <w:rsid w:val="00B5247F"/>
    <w:rsid w:val="00B533DA"/>
    <w:rsid w:val="00B5456A"/>
    <w:rsid w:val="00B64210"/>
    <w:rsid w:val="00B65E77"/>
    <w:rsid w:val="00B67591"/>
    <w:rsid w:val="00B7179E"/>
    <w:rsid w:val="00B72351"/>
    <w:rsid w:val="00B72A40"/>
    <w:rsid w:val="00B74425"/>
    <w:rsid w:val="00B76AE4"/>
    <w:rsid w:val="00B801CD"/>
    <w:rsid w:val="00B812FF"/>
    <w:rsid w:val="00B8140D"/>
    <w:rsid w:val="00B822E2"/>
    <w:rsid w:val="00B8239E"/>
    <w:rsid w:val="00B84853"/>
    <w:rsid w:val="00B84B65"/>
    <w:rsid w:val="00B87B4B"/>
    <w:rsid w:val="00B87C5D"/>
    <w:rsid w:val="00B92137"/>
    <w:rsid w:val="00B9544B"/>
    <w:rsid w:val="00B95AA0"/>
    <w:rsid w:val="00B968B8"/>
    <w:rsid w:val="00B97A80"/>
    <w:rsid w:val="00BA09D3"/>
    <w:rsid w:val="00BA57DF"/>
    <w:rsid w:val="00BA6D6E"/>
    <w:rsid w:val="00BA71E7"/>
    <w:rsid w:val="00BB2B94"/>
    <w:rsid w:val="00BB4C8B"/>
    <w:rsid w:val="00BB541E"/>
    <w:rsid w:val="00BB5609"/>
    <w:rsid w:val="00BB5747"/>
    <w:rsid w:val="00BB5D7A"/>
    <w:rsid w:val="00BC5FD6"/>
    <w:rsid w:val="00BD0814"/>
    <w:rsid w:val="00BD3BED"/>
    <w:rsid w:val="00BE15EF"/>
    <w:rsid w:val="00BE1A82"/>
    <w:rsid w:val="00BE615C"/>
    <w:rsid w:val="00BF238D"/>
    <w:rsid w:val="00BF4593"/>
    <w:rsid w:val="00BF4B4E"/>
    <w:rsid w:val="00BF4F9B"/>
    <w:rsid w:val="00BF62A7"/>
    <w:rsid w:val="00C02D30"/>
    <w:rsid w:val="00C03A86"/>
    <w:rsid w:val="00C041F4"/>
    <w:rsid w:val="00C060C2"/>
    <w:rsid w:val="00C078ED"/>
    <w:rsid w:val="00C07BA2"/>
    <w:rsid w:val="00C11394"/>
    <w:rsid w:val="00C11882"/>
    <w:rsid w:val="00C12723"/>
    <w:rsid w:val="00C14BDC"/>
    <w:rsid w:val="00C16C8D"/>
    <w:rsid w:val="00C17CB3"/>
    <w:rsid w:val="00C211DF"/>
    <w:rsid w:val="00C24B9C"/>
    <w:rsid w:val="00C30836"/>
    <w:rsid w:val="00C31E01"/>
    <w:rsid w:val="00C34EDC"/>
    <w:rsid w:val="00C356E4"/>
    <w:rsid w:val="00C40655"/>
    <w:rsid w:val="00C41406"/>
    <w:rsid w:val="00C43F3A"/>
    <w:rsid w:val="00C4463B"/>
    <w:rsid w:val="00C4559A"/>
    <w:rsid w:val="00C46FF2"/>
    <w:rsid w:val="00C47921"/>
    <w:rsid w:val="00C526C3"/>
    <w:rsid w:val="00C541D0"/>
    <w:rsid w:val="00C542BD"/>
    <w:rsid w:val="00C56BB9"/>
    <w:rsid w:val="00C71492"/>
    <w:rsid w:val="00C74336"/>
    <w:rsid w:val="00C75ADB"/>
    <w:rsid w:val="00C7670C"/>
    <w:rsid w:val="00C77029"/>
    <w:rsid w:val="00C7721A"/>
    <w:rsid w:val="00C77EED"/>
    <w:rsid w:val="00C82673"/>
    <w:rsid w:val="00C83E81"/>
    <w:rsid w:val="00C8456F"/>
    <w:rsid w:val="00C90455"/>
    <w:rsid w:val="00C97010"/>
    <w:rsid w:val="00CA0FD1"/>
    <w:rsid w:val="00CA2DAF"/>
    <w:rsid w:val="00CA65F9"/>
    <w:rsid w:val="00CB06C5"/>
    <w:rsid w:val="00CB0A02"/>
    <w:rsid w:val="00CB0C91"/>
    <w:rsid w:val="00CB654F"/>
    <w:rsid w:val="00CB6582"/>
    <w:rsid w:val="00CC1E70"/>
    <w:rsid w:val="00CC3B67"/>
    <w:rsid w:val="00CD1367"/>
    <w:rsid w:val="00CD14EB"/>
    <w:rsid w:val="00CD256B"/>
    <w:rsid w:val="00CD71B0"/>
    <w:rsid w:val="00CE2EFA"/>
    <w:rsid w:val="00CE5F5B"/>
    <w:rsid w:val="00CF12BD"/>
    <w:rsid w:val="00CF1BB0"/>
    <w:rsid w:val="00CF28D9"/>
    <w:rsid w:val="00CF2938"/>
    <w:rsid w:val="00CF349B"/>
    <w:rsid w:val="00CF43E0"/>
    <w:rsid w:val="00CF6359"/>
    <w:rsid w:val="00D0424E"/>
    <w:rsid w:val="00D10978"/>
    <w:rsid w:val="00D10B93"/>
    <w:rsid w:val="00D114D7"/>
    <w:rsid w:val="00D12934"/>
    <w:rsid w:val="00D151A1"/>
    <w:rsid w:val="00D17CAF"/>
    <w:rsid w:val="00D20410"/>
    <w:rsid w:val="00D21558"/>
    <w:rsid w:val="00D217DE"/>
    <w:rsid w:val="00D2537B"/>
    <w:rsid w:val="00D265E7"/>
    <w:rsid w:val="00D26CC4"/>
    <w:rsid w:val="00D26F20"/>
    <w:rsid w:val="00D33D95"/>
    <w:rsid w:val="00D33E0B"/>
    <w:rsid w:val="00D351C0"/>
    <w:rsid w:val="00D40BBB"/>
    <w:rsid w:val="00D42742"/>
    <w:rsid w:val="00D4299B"/>
    <w:rsid w:val="00D443F4"/>
    <w:rsid w:val="00D476A7"/>
    <w:rsid w:val="00D528E6"/>
    <w:rsid w:val="00D55B3F"/>
    <w:rsid w:val="00D606EB"/>
    <w:rsid w:val="00D62284"/>
    <w:rsid w:val="00D638AF"/>
    <w:rsid w:val="00D65A81"/>
    <w:rsid w:val="00D6661E"/>
    <w:rsid w:val="00D73F21"/>
    <w:rsid w:val="00D7581A"/>
    <w:rsid w:val="00D77D9D"/>
    <w:rsid w:val="00D82D24"/>
    <w:rsid w:val="00D8545C"/>
    <w:rsid w:val="00D913FE"/>
    <w:rsid w:val="00D92A60"/>
    <w:rsid w:val="00D96264"/>
    <w:rsid w:val="00DA03C5"/>
    <w:rsid w:val="00DA05DD"/>
    <w:rsid w:val="00DA5D9E"/>
    <w:rsid w:val="00DA6BD9"/>
    <w:rsid w:val="00DA6BE2"/>
    <w:rsid w:val="00DB3516"/>
    <w:rsid w:val="00DB3AAB"/>
    <w:rsid w:val="00DB49BA"/>
    <w:rsid w:val="00DC0AF5"/>
    <w:rsid w:val="00DC7D34"/>
    <w:rsid w:val="00DD34DE"/>
    <w:rsid w:val="00DE0143"/>
    <w:rsid w:val="00DE0F79"/>
    <w:rsid w:val="00DE3040"/>
    <w:rsid w:val="00DE35F8"/>
    <w:rsid w:val="00DE5B1B"/>
    <w:rsid w:val="00DE74BD"/>
    <w:rsid w:val="00DE7C9E"/>
    <w:rsid w:val="00DF005F"/>
    <w:rsid w:val="00DF0AA4"/>
    <w:rsid w:val="00DF1DDD"/>
    <w:rsid w:val="00DF2C00"/>
    <w:rsid w:val="00DF76D4"/>
    <w:rsid w:val="00DF7BF4"/>
    <w:rsid w:val="00E013F4"/>
    <w:rsid w:val="00E041ED"/>
    <w:rsid w:val="00E05274"/>
    <w:rsid w:val="00E05E48"/>
    <w:rsid w:val="00E1326E"/>
    <w:rsid w:val="00E13CF3"/>
    <w:rsid w:val="00E14518"/>
    <w:rsid w:val="00E1490F"/>
    <w:rsid w:val="00E22C9C"/>
    <w:rsid w:val="00E24A85"/>
    <w:rsid w:val="00E25E73"/>
    <w:rsid w:val="00E26E42"/>
    <w:rsid w:val="00E30A8A"/>
    <w:rsid w:val="00E37177"/>
    <w:rsid w:val="00E3757E"/>
    <w:rsid w:val="00E378EF"/>
    <w:rsid w:val="00E44346"/>
    <w:rsid w:val="00E46855"/>
    <w:rsid w:val="00E531AE"/>
    <w:rsid w:val="00E55E3A"/>
    <w:rsid w:val="00E57E5B"/>
    <w:rsid w:val="00E6058B"/>
    <w:rsid w:val="00E62B68"/>
    <w:rsid w:val="00E6352E"/>
    <w:rsid w:val="00E65AA5"/>
    <w:rsid w:val="00E71EF3"/>
    <w:rsid w:val="00E766E7"/>
    <w:rsid w:val="00E7781D"/>
    <w:rsid w:val="00E804C5"/>
    <w:rsid w:val="00E821B1"/>
    <w:rsid w:val="00E82359"/>
    <w:rsid w:val="00E82787"/>
    <w:rsid w:val="00E82AA2"/>
    <w:rsid w:val="00E84141"/>
    <w:rsid w:val="00E846F2"/>
    <w:rsid w:val="00E857E8"/>
    <w:rsid w:val="00E85DD4"/>
    <w:rsid w:val="00E87768"/>
    <w:rsid w:val="00E93F5D"/>
    <w:rsid w:val="00E9588F"/>
    <w:rsid w:val="00E958E1"/>
    <w:rsid w:val="00E9692F"/>
    <w:rsid w:val="00EA1E00"/>
    <w:rsid w:val="00EA416B"/>
    <w:rsid w:val="00EA444F"/>
    <w:rsid w:val="00EA5439"/>
    <w:rsid w:val="00EA5617"/>
    <w:rsid w:val="00EA5673"/>
    <w:rsid w:val="00EB3ACF"/>
    <w:rsid w:val="00EB50A1"/>
    <w:rsid w:val="00EB63C1"/>
    <w:rsid w:val="00EC16C5"/>
    <w:rsid w:val="00EC32BB"/>
    <w:rsid w:val="00EC4625"/>
    <w:rsid w:val="00EC50B5"/>
    <w:rsid w:val="00EC5DFA"/>
    <w:rsid w:val="00ED29CA"/>
    <w:rsid w:val="00ED5F22"/>
    <w:rsid w:val="00EE1E78"/>
    <w:rsid w:val="00EE4576"/>
    <w:rsid w:val="00EE5D8E"/>
    <w:rsid w:val="00EF28F8"/>
    <w:rsid w:val="00EF2A00"/>
    <w:rsid w:val="00EF7058"/>
    <w:rsid w:val="00F000D7"/>
    <w:rsid w:val="00F06AD7"/>
    <w:rsid w:val="00F10F43"/>
    <w:rsid w:val="00F116D8"/>
    <w:rsid w:val="00F14BED"/>
    <w:rsid w:val="00F20FF7"/>
    <w:rsid w:val="00F23E78"/>
    <w:rsid w:val="00F24A02"/>
    <w:rsid w:val="00F258F6"/>
    <w:rsid w:val="00F308B8"/>
    <w:rsid w:val="00F31AC3"/>
    <w:rsid w:val="00F37E5C"/>
    <w:rsid w:val="00F43455"/>
    <w:rsid w:val="00F44B4F"/>
    <w:rsid w:val="00F45AE5"/>
    <w:rsid w:val="00F63025"/>
    <w:rsid w:val="00F63B6C"/>
    <w:rsid w:val="00F66C37"/>
    <w:rsid w:val="00F66CFD"/>
    <w:rsid w:val="00F70C95"/>
    <w:rsid w:val="00F71CA4"/>
    <w:rsid w:val="00F80964"/>
    <w:rsid w:val="00F8167A"/>
    <w:rsid w:val="00F8179D"/>
    <w:rsid w:val="00F82147"/>
    <w:rsid w:val="00F82416"/>
    <w:rsid w:val="00F85260"/>
    <w:rsid w:val="00F86ED7"/>
    <w:rsid w:val="00F87E66"/>
    <w:rsid w:val="00F9021D"/>
    <w:rsid w:val="00F93BE9"/>
    <w:rsid w:val="00F96704"/>
    <w:rsid w:val="00FA0633"/>
    <w:rsid w:val="00FA4AF9"/>
    <w:rsid w:val="00FA4C4A"/>
    <w:rsid w:val="00FA5951"/>
    <w:rsid w:val="00FA7B2F"/>
    <w:rsid w:val="00FA7FC7"/>
    <w:rsid w:val="00FB412A"/>
    <w:rsid w:val="00FB412C"/>
    <w:rsid w:val="00FB6814"/>
    <w:rsid w:val="00FB6893"/>
    <w:rsid w:val="00FC27C5"/>
    <w:rsid w:val="00FD0067"/>
    <w:rsid w:val="00FD38FB"/>
    <w:rsid w:val="00FD5AE8"/>
    <w:rsid w:val="00FE1A02"/>
    <w:rsid w:val="00FE1C1E"/>
    <w:rsid w:val="00FE2E65"/>
    <w:rsid w:val="00FE3E2E"/>
    <w:rsid w:val="00FE72EF"/>
    <w:rsid w:val="00FF0F45"/>
    <w:rsid w:val="00FF26E6"/>
    <w:rsid w:val="00FF32C0"/>
    <w:rsid w:val="00FF7190"/>
    <w:rsid w:val="00FF7395"/>
    <w:rsid w:val="01D34BEB"/>
    <w:rsid w:val="01D46B46"/>
    <w:rsid w:val="048D195A"/>
    <w:rsid w:val="0A2A37A7"/>
    <w:rsid w:val="0B792E34"/>
    <w:rsid w:val="0C98608F"/>
    <w:rsid w:val="113F579D"/>
    <w:rsid w:val="116C67E6"/>
    <w:rsid w:val="16FD6D77"/>
    <w:rsid w:val="17AE1A7D"/>
    <w:rsid w:val="17B60D70"/>
    <w:rsid w:val="18893D8F"/>
    <w:rsid w:val="1D21448F"/>
    <w:rsid w:val="1DE303E5"/>
    <w:rsid w:val="1EE267D0"/>
    <w:rsid w:val="22BF4F3C"/>
    <w:rsid w:val="25647649"/>
    <w:rsid w:val="263A4D8C"/>
    <w:rsid w:val="282042E7"/>
    <w:rsid w:val="28215D92"/>
    <w:rsid w:val="29475CCC"/>
    <w:rsid w:val="2BBD2925"/>
    <w:rsid w:val="2D182EDD"/>
    <w:rsid w:val="2D986AF6"/>
    <w:rsid w:val="2DA956FD"/>
    <w:rsid w:val="30A77050"/>
    <w:rsid w:val="30DB28D9"/>
    <w:rsid w:val="322C3CB1"/>
    <w:rsid w:val="32560D2E"/>
    <w:rsid w:val="33E67E90"/>
    <w:rsid w:val="34B1049E"/>
    <w:rsid w:val="34F60575"/>
    <w:rsid w:val="351647A5"/>
    <w:rsid w:val="35E14615"/>
    <w:rsid w:val="37E82428"/>
    <w:rsid w:val="37E959E1"/>
    <w:rsid w:val="37FB93D5"/>
    <w:rsid w:val="37FF8999"/>
    <w:rsid w:val="3843431D"/>
    <w:rsid w:val="3A41076D"/>
    <w:rsid w:val="3DBDE307"/>
    <w:rsid w:val="3DFBCE4D"/>
    <w:rsid w:val="3E762227"/>
    <w:rsid w:val="3FF9722D"/>
    <w:rsid w:val="3FFDC8B1"/>
    <w:rsid w:val="42152191"/>
    <w:rsid w:val="4403125D"/>
    <w:rsid w:val="45187270"/>
    <w:rsid w:val="47296239"/>
    <w:rsid w:val="49CA2F0A"/>
    <w:rsid w:val="4AFB4F08"/>
    <w:rsid w:val="4DEDD610"/>
    <w:rsid w:val="4E8E1F40"/>
    <w:rsid w:val="4EE7D66B"/>
    <w:rsid w:val="50477AC4"/>
    <w:rsid w:val="52F5184E"/>
    <w:rsid w:val="535D7D17"/>
    <w:rsid w:val="55053E35"/>
    <w:rsid w:val="55C93DFB"/>
    <w:rsid w:val="56FF4836"/>
    <w:rsid w:val="571C5330"/>
    <w:rsid w:val="575E4CD9"/>
    <w:rsid w:val="588A1CD2"/>
    <w:rsid w:val="58E70983"/>
    <w:rsid w:val="5BE10DB9"/>
    <w:rsid w:val="5BE7AD05"/>
    <w:rsid w:val="5C4E6627"/>
    <w:rsid w:val="5D1B3EBC"/>
    <w:rsid w:val="5ECF1772"/>
    <w:rsid w:val="5EFFEC6E"/>
    <w:rsid w:val="5FFEC2BC"/>
    <w:rsid w:val="62DB5215"/>
    <w:rsid w:val="647E529D"/>
    <w:rsid w:val="648B3FB8"/>
    <w:rsid w:val="65FF1F1E"/>
    <w:rsid w:val="68375A5A"/>
    <w:rsid w:val="6ABE1D74"/>
    <w:rsid w:val="6B3350EA"/>
    <w:rsid w:val="6BDD4CAA"/>
    <w:rsid w:val="70332F95"/>
    <w:rsid w:val="71D7E5FC"/>
    <w:rsid w:val="72AF42CE"/>
    <w:rsid w:val="76404C02"/>
    <w:rsid w:val="76DFFA78"/>
    <w:rsid w:val="77FA2217"/>
    <w:rsid w:val="789C5F3D"/>
    <w:rsid w:val="79CFBED4"/>
    <w:rsid w:val="79D93634"/>
    <w:rsid w:val="7A0D74F1"/>
    <w:rsid w:val="7A7115C3"/>
    <w:rsid w:val="7AA7C09C"/>
    <w:rsid w:val="7AFCA79F"/>
    <w:rsid w:val="7B172A98"/>
    <w:rsid w:val="7BFDEB55"/>
    <w:rsid w:val="7D3FF0A0"/>
    <w:rsid w:val="7D871368"/>
    <w:rsid w:val="7DBF6A20"/>
    <w:rsid w:val="7DFE4364"/>
    <w:rsid w:val="7EF64748"/>
    <w:rsid w:val="7F671D4C"/>
    <w:rsid w:val="7F7D3B06"/>
    <w:rsid w:val="7FF489C9"/>
    <w:rsid w:val="7FF6C669"/>
    <w:rsid w:val="7FF8AEDD"/>
    <w:rsid w:val="9FFFB656"/>
    <w:rsid w:val="B7DB5079"/>
    <w:rsid w:val="B7FBB59C"/>
    <w:rsid w:val="B97F0080"/>
    <w:rsid w:val="B9EF8DBC"/>
    <w:rsid w:val="BB673E36"/>
    <w:rsid w:val="BD7B94E7"/>
    <w:rsid w:val="BEBDCF2A"/>
    <w:rsid w:val="BEF9DD7F"/>
    <w:rsid w:val="C7E566E3"/>
    <w:rsid w:val="CABD4492"/>
    <w:rsid w:val="CF9D7DC5"/>
    <w:rsid w:val="CFE830CA"/>
    <w:rsid w:val="D25B6417"/>
    <w:rsid w:val="DC74B60A"/>
    <w:rsid w:val="DFBB8DD2"/>
    <w:rsid w:val="EDD987A8"/>
    <w:rsid w:val="EFF7F49B"/>
    <w:rsid w:val="EFFE0E1B"/>
    <w:rsid w:val="F7EDA5B9"/>
    <w:rsid w:val="F7FDCCBF"/>
    <w:rsid w:val="FADC0034"/>
    <w:rsid w:val="FCFDB7DF"/>
    <w:rsid w:val="FDF5B6B3"/>
    <w:rsid w:val="FEFB3698"/>
    <w:rsid w:val="FFAE3E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rPr>
  </w:style>
  <w:style w:type="paragraph" w:styleId="3">
    <w:name w:val="annotation text"/>
    <w:basedOn w:val="1"/>
    <w:link w:val="26"/>
    <w:unhideWhenUsed/>
    <w:qFormat/>
    <w:uiPriority w:val="99"/>
    <w:pPr>
      <w:jc w:val="left"/>
    </w:pPr>
  </w:style>
  <w:style w:type="paragraph" w:styleId="4">
    <w:name w:val="Body Text"/>
    <w:basedOn w:val="1"/>
    <w:qFormat/>
    <w:uiPriority w:val="0"/>
    <w:pPr>
      <w:spacing w:after="120"/>
    </w:pPr>
  </w:style>
  <w:style w:type="paragraph" w:styleId="5">
    <w:name w:val="Body Text Indent"/>
    <w:basedOn w:val="1"/>
    <w:link w:val="23"/>
    <w:qFormat/>
    <w:uiPriority w:val="0"/>
    <w:pPr>
      <w:spacing w:line="460" w:lineRule="exact"/>
      <w:ind w:firstLine="640" w:firstLineChars="200"/>
    </w:pPr>
    <w:rPr>
      <w:rFonts w:ascii="仿宋_GB2312" w:hAnsi="Calibri" w:eastAsia="仿宋_GB2312"/>
      <w:sz w:val="32"/>
    </w:rPr>
  </w:style>
  <w:style w:type="paragraph" w:styleId="6">
    <w:name w:val="Balloon Text"/>
    <w:basedOn w:val="1"/>
    <w:link w:val="25"/>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asciiTheme="minorHAnsi" w:hAnsiTheme="minorHAnsi" w:eastAsiaTheme="minorEastAsia" w:cstheme="minorBidi"/>
      <w:szCs w:val="22"/>
    </w:rPr>
  </w:style>
  <w:style w:type="paragraph" w:styleId="10">
    <w:name w:val="toc 2"/>
    <w:basedOn w:val="1"/>
    <w:next w:val="1"/>
    <w:unhideWhenUsed/>
    <w:qFormat/>
    <w:uiPriority w:val="39"/>
    <w:pPr>
      <w:ind w:left="420" w:leftChars="200"/>
    </w:pPr>
    <w:rPr>
      <w:rFonts w:asciiTheme="minorHAnsi" w:hAnsiTheme="minorHAnsi" w:eastAsiaTheme="minorEastAsia" w:cstheme="minorBidi"/>
      <w:szCs w:val="22"/>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2">
    <w:name w:val="index 1"/>
    <w:basedOn w:val="1"/>
    <w:next w:val="1"/>
    <w:qFormat/>
    <w:uiPriority w:val="0"/>
  </w:style>
  <w:style w:type="paragraph" w:styleId="13">
    <w:name w:val="annotation subject"/>
    <w:basedOn w:val="3"/>
    <w:next w:val="3"/>
    <w:link w:val="27"/>
    <w:unhideWhenUsed/>
    <w:qFormat/>
    <w:uiPriority w:val="99"/>
    <w:rPr>
      <w:b/>
      <w:bCs/>
    </w:r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rPr>
  </w:style>
  <w:style w:type="character" w:styleId="18">
    <w:name w:val="annotation reference"/>
    <w:basedOn w:val="15"/>
    <w:unhideWhenUsed/>
    <w:qFormat/>
    <w:uiPriority w:val="99"/>
    <w:rPr>
      <w:sz w:val="21"/>
      <w:szCs w:val="21"/>
    </w:rPr>
  </w:style>
  <w:style w:type="paragraph" w:customStyle="1" w:styleId="19">
    <w:name w:val="Default"/>
    <w:unhideWhenUsed/>
    <w:qFormat/>
    <w:uiPriority w:val="0"/>
    <w:pPr>
      <w:widowControl w:val="0"/>
      <w:autoSpaceDE w:val="0"/>
      <w:autoSpaceDN w:val="0"/>
      <w:adjustRightInd w:val="0"/>
    </w:pPr>
    <w:rPr>
      <w:rFonts w:hint="eastAsia" w:ascii="方正小标宋简体" w:hAnsi="方正小标宋简体" w:eastAsia="方正小标宋简体" w:cs="Times New Roman"/>
      <w:color w:val="000000"/>
      <w:sz w:val="24"/>
      <w:lang w:val="en-US" w:eastAsia="zh-CN" w:bidi="ar-SA"/>
    </w:rPr>
  </w:style>
  <w:style w:type="paragraph" w:customStyle="1" w:styleId="20">
    <w:name w:val="List Paragraph"/>
    <w:basedOn w:val="1"/>
    <w:qFormat/>
    <w:uiPriority w:val="34"/>
    <w:pPr>
      <w:ind w:firstLine="420" w:firstLineChars="200"/>
    </w:pPr>
    <w:rPr>
      <w:rFonts w:asciiTheme="minorHAnsi" w:hAnsiTheme="minorHAnsi" w:eastAsiaTheme="minorEastAsia" w:cstheme="minorBidi"/>
    </w:rPr>
  </w:style>
  <w:style w:type="character" w:customStyle="1" w:styleId="21">
    <w:name w:val="页眉 字符"/>
    <w:basedOn w:val="15"/>
    <w:link w:val="8"/>
    <w:qFormat/>
    <w:uiPriority w:val="99"/>
    <w:rPr>
      <w:rFonts w:ascii="Times New Roman" w:hAnsi="Times New Roman" w:eastAsia="宋体" w:cs="Times New Roman"/>
      <w:sz w:val="18"/>
      <w:szCs w:val="18"/>
    </w:rPr>
  </w:style>
  <w:style w:type="character" w:customStyle="1" w:styleId="22">
    <w:name w:val="页脚 字符"/>
    <w:basedOn w:val="15"/>
    <w:link w:val="7"/>
    <w:qFormat/>
    <w:uiPriority w:val="99"/>
    <w:rPr>
      <w:rFonts w:ascii="Times New Roman" w:hAnsi="Times New Roman" w:eastAsia="宋体" w:cs="Times New Roman"/>
      <w:sz w:val="18"/>
      <w:szCs w:val="18"/>
    </w:rPr>
  </w:style>
  <w:style w:type="character" w:customStyle="1" w:styleId="23">
    <w:name w:val="正文文本缩进 字符"/>
    <w:basedOn w:val="15"/>
    <w:link w:val="5"/>
    <w:qFormat/>
    <w:uiPriority w:val="0"/>
    <w:rPr>
      <w:rFonts w:ascii="仿宋_GB2312" w:hAnsi="Calibri" w:eastAsia="仿宋_GB2312" w:cs="Times New Roman"/>
      <w:sz w:val="32"/>
      <w:szCs w:val="24"/>
    </w:rPr>
  </w:style>
  <w:style w:type="paragraph" w:customStyle="1" w:styleId="2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5">
    <w:name w:val="批注框文本 字符"/>
    <w:basedOn w:val="15"/>
    <w:link w:val="6"/>
    <w:semiHidden/>
    <w:qFormat/>
    <w:uiPriority w:val="99"/>
    <w:rPr>
      <w:rFonts w:ascii="Times New Roman" w:hAnsi="Times New Roman" w:eastAsia="宋体" w:cs="Times New Roman"/>
      <w:kern w:val="2"/>
      <w:sz w:val="18"/>
      <w:szCs w:val="18"/>
    </w:rPr>
  </w:style>
  <w:style w:type="character" w:customStyle="1" w:styleId="26">
    <w:name w:val="批注文字 字符"/>
    <w:basedOn w:val="15"/>
    <w:link w:val="3"/>
    <w:semiHidden/>
    <w:qFormat/>
    <w:uiPriority w:val="99"/>
    <w:rPr>
      <w:kern w:val="2"/>
      <w:sz w:val="21"/>
      <w:szCs w:val="24"/>
    </w:rPr>
  </w:style>
  <w:style w:type="character" w:customStyle="1" w:styleId="27">
    <w:name w:val="批注主题 字符"/>
    <w:basedOn w:val="26"/>
    <w:link w:val="13"/>
    <w:semiHidden/>
    <w:qFormat/>
    <w:uiPriority w:val="99"/>
    <w:rPr>
      <w:b/>
      <w:bCs/>
      <w:kern w:val="2"/>
      <w:sz w:val="21"/>
      <w:szCs w:val="24"/>
    </w:rPr>
  </w:style>
  <w:style w:type="paragraph" w:customStyle="1" w:styleId="28">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33">
    <w:name w:val="font31"/>
    <w:basedOn w:val="15"/>
    <w:qFormat/>
    <w:uiPriority w:val="0"/>
    <w:rPr>
      <w:rFonts w:hint="eastAsia" w:ascii="黑体" w:hAnsi="宋体" w:eastAsia="黑体" w:cs="黑体"/>
      <w:color w:val="000000"/>
      <w:sz w:val="24"/>
      <w:szCs w:val="24"/>
      <w:u w:val="none"/>
    </w:rPr>
  </w:style>
  <w:style w:type="character" w:customStyle="1" w:styleId="34">
    <w:name w:val="font11"/>
    <w:basedOn w:val="15"/>
    <w:qFormat/>
    <w:uiPriority w:val="0"/>
    <w:rPr>
      <w:rFonts w:hint="eastAsia" w:ascii="宋体" w:hAnsi="宋体" w:eastAsia="宋体" w:cs="宋体"/>
      <w:color w:val="000000"/>
      <w:sz w:val="18"/>
      <w:szCs w:val="18"/>
      <w:u w:val="none"/>
    </w:rPr>
  </w:style>
  <w:style w:type="character" w:customStyle="1" w:styleId="35">
    <w:name w:val="font01"/>
    <w:basedOn w:val="15"/>
    <w:qFormat/>
    <w:uiPriority w:val="0"/>
    <w:rPr>
      <w:rFonts w:ascii="Arial Narrow" w:hAnsi="Arial Narrow" w:eastAsia="Arial Narrow" w:cs="Arial Narrow"/>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5" textRotate="1"/>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18</Pages>
  <Words>8172</Words>
  <Characters>8762</Characters>
  <Lines>69</Lines>
  <Paragraphs>19</Paragraphs>
  <TotalTime>3</TotalTime>
  <ScaleCrop>false</ScaleCrop>
  <LinksUpToDate>false</LinksUpToDate>
  <CharactersWithSpaces>8912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2022-05-13T07:31:00Z</dcterms:created>
  <dc:creator>kjq</dc:creator>
  <cp:lastModifiedBy>张瑞</cp:lastModifiedBy>
  <cp:lastPrinted>2025-06-12T06:56:00Z</cp:lastPrinted>
  <dcterms:modified xsi:type="dcterms:W3CDTF">2025-08-26T16:03:52Z</dcterms:modified>
  <cp:revision>971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93CFE70FF68E44428A4A39EBC48AA57A</vt:lpwstr>
  </property>
  <property fmtid="{D5CDD505-2E9C-101B-9397-08002B2CF9AE}" pid="4" name="KSOTemplateDocerSaveRecord">
    <vt:lpwstr>eyJoZGlkIjoiMzg4NWUzZWQ0MmJiYjc3MzNkZGZmZmYzMmIxY2M4ZGIiLCJ1c2VySWQiOiIxNTg4ODg0MDQyIn0=</vt:lpwstr>
  </property>
</Properties>
</file>