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宋体" w:eastAsia="仿宋_GB2312"/>
          <w:sz w:val="30"/>
          <w:szCs w:val="30"/>
        </w:rPr>
      </w:pPr>
      <w:r>
        <w:rPr>
          <w:rFonts w:hint="eastAsia" w:ascii="仿宋_GB2312" w:hAnsi="宋体" w:eastAsia="仿宋_GB2312"/>
          <w:sz w:val="28"/>
          <w:szCs w:val="28"/>
        </w:rPr>
        <w:t>（</w:t>
      </w:r>
      <w:r>
        <w:rPr>
          <w:rFonts w:hint="eastAsia" w:ascii="仿宋_GB2312" w:hAnsi="宋体" w:eastAsia="仿宋_GB2312"/>
          <w:sz w:val="28"/>
          <w:szCs w:val="28"/>
          <w:lang w:val="en-US" w:eastAsia="zh-CN"/>
        </w:rPr>
        <w:t>2024</w:t>
      </w:r>
      <w:r>
        <w:rPr>
          <w:rFonts w:hint="eastAsia" w:ascii="仿宋_GB2312" w:hAnsi="宋体" w:eastAsia="仿宋_GB2312"/>
          <w:sz w:val="28"/>
          <w:szCs w:val="28"/>
        </w:rPr>
        <w:t>年度）</w:t>
      </w:r>
    </w:p>
    <w:tbl>
      <w:tblPr>
        <w:tblStyle w:val="9"/>
        <w:tblW w:w="9038" w:type="dxa"/>
        <w:jc w:val="center"/>
        <w:tblLayout w:type="fixed"/>
        <w:tblCellMar>
          <w:top w:w="0" w:type="dxa"/>
          <w:left w:w="108" w:type="dxa"/>
          <w:bottom w:w="0" w:type="dxa"/>
          <w:right w:w="108" w:type="dxa"/>
        </w:tblCellMar>
      </w:tblPr>
      <w:tblGrid>
        <w:gridCol w:w="585"/>
        <w:gridCol w:w="975"/>
        <w:gridCol w:w="1105"/>
        <w:gridCol w:w="776"/>
        <w:gridCol w:w="1157"/>
        <w:gridCol w:w="1053"/>
        <w:gridCol w:w="848"/>
        <w:gridCol w:w="279"/>
        <w:gridCol w:w="284"/>
        <w:gridCol w:w="420"/>
        <w:gridCol w:w="143"/>
        <w:gridCol w:w="703"/>
        <w:gridCol w:w="710"/>
      </w:tblGrid>
      <w:tr>
        <w:tblPrEx>
          <w:tblCellMar>
            <w:top w:w="0" w:type="dxa"/>
            <w:left w:w="108" w:type="dxa"/>
            <w:bottom w:w="0" w:type="dxa"/>
            <w:right w:w="108" w:type="dxa"/>
          </w:tblCellMar>
        </w:tblPrEx>
        <w:trPr>
          <w:trHeight w:val="340" w:hRule="atLeas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项目名称</w:t>
            </w:r>
          </w:p>
        </w:tc>
        <w:tc>
          <w:tcPr>
            <w:tcW w:w="7478" w:type="dxa"/>
            <w:gridSpan w:val="11"/>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定点医疗机构数据筛查</w:t>
            </w:r>
          </w:p>
        </w:tc>
      </w:tr>
      <w:tr>
        <w:tblPrEx>
          <w:tblCellMar>
            <w:top w:w="0" w:type="dxa"/>
            <w:left w:w="108" w:type="dxa"/>
            <w:bottom w:w="0" w:type="dxa"/>
            <w:right w:w="108" w:type="dxa"/>
          </w:tblCellMar>
        </w:tblPrEx>
        <w:trPr>
          <w:trHeight w:val="340" w:hRule="atLeas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主管部门</w:t>
            </w:r>
          </w:p>
        </w:tc>
        <w:tc>
          <w:tcPr>
            <w:tcW w:w="4091" w:type="dxa"/>
            <w:gridSpan w:val="4"/>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北京市医疗保障局</w:t>
            </w:r>
          </w:p>
        </w:tc>
        <w:tc>
          <w:tcPr>
            <w:tcW w:w="1127"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实施单位</w:t>
            </w:r>
          </w:p>
        </w:tc>
        <w:tc>
          <w:tcPr>
            <w:tcW w:w="2260"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北京市医疗保险事务管理中心</w:t>
            </w:r>
          </w:p>
        </w:tc>
      </w:tr>
      <w:tr>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bookmarkStart w:id="0" w:name="_GoBack"/>
            <w:bookmarkEnd w:id="0"/>
            <w:r>
              <w:rPr>
                <w:rFonts w:hint="eastAsia" w:ascii="仿宋_GB2312" w:hAnsi="宋体" w:eastAsia="仿宋_GB2312" w:cs="宋体"/>
                <w:kern w:val="0"/>
                <w:sz w:val="18"/>
                <w:szCs w:val="18"/>
              </w:rPr>
              <w:t>项目资金</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（万元）</w:t>
            </w:r>
          </w:p>
        </w:tc>
        <w:tc>
          <w:tcPr>
            <w:tcW w:w="1881"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15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仿宋_GB2312" w:hAnsi="宋体" w:eastAsia="仿宋_GB2312" w:cs="宋体"/>
                <w:kern w:val="0"/>
                <w:sz w:val="18"/>
                <w:szCs w:val="18"/>
              </w:rPr>
            </w:pPr>
            <w:r>
              <w:rPr>
                <w:rFonts w:hint="eastAsia" w:ascii="仿宋_GB2312" w:hAnsi="宋体" w:eastAsia="仿宋_GB2312" w:cs="宋体"/>
                <w:kern w:val="0"/>
                <w:sz w:val="18"/>
                <w:szCs w:val="18"/>
              </w:rPr>
              <w:t>年初预</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算数</w:t>
            </w:r>
          </w:p>
        </w:tc>
        <w:tc>
          <w:tcPr>
            <w:tcW w:w="105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仿宋_GB2312" w:hAnsi="宋体" w:eastAsia="仿宋_GB2312" w:cs="宋体"/>
                <w:kern w:val="0"/>
                <w:sz w:val="18"/>
                <w:szCs w:val="18"/>
              </w:rPr>
            </w:pPr>
            <w:r>
              <w:rPr>
                <w:rFonts w:hint="eastAsia" w:ascii="仿宋_GB2312" w:hAnsi="宋体" w:eastAsia="仿宋_GB2312" w:cs="宋体"/>
                <w:kern w:val="0"/>
                <w:sz w:val="18"/>
                <w:szCs w:val="18"/>
              </w:rPr>
              <w:t>全年预</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算数</w:t>
            </w:r>
          </w:p>
        </w:tc>
        <w:tc>
          <w:tcPr>
            <w:tcW w:w="1127"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仿宋_GB2312" w:hAnsi="宋体" w:eastAsia="仿宋_GB2312" w:cs="宋体"/>
                <w:kern w:val="0"/>
                <w:sz w:val="18"/>
                <w:szCs w:val="18"/>
              </w:rPr>
            </w:pPr>
            <w:r>
              <w:rPr>
                <w:rFonts w:hint="eastAsia" w:ascii="仿宋_GB2312" w:hAnsi="宋体" w:eastAsia="仿宋_GB2312" w:cs="宋体"/>
                <w:kern w:val="0"/>
                <w:sz w:val="18"/>
                <w:szCs w:val="18"/>
              </w:rPr>
              <w:t>全年</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执行数</w:t>
            </w:r>
          </w:p>
        </w:tc>
        <w:tc>
          <w:tcPr>
            <w:tcW w:w="704"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分值</w:t>
            </w:r>
          </w:p>
        </w:tc>
        <w:tc>
          <w:tcPr>
            <w:tcW w:w="846"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执行率</w:t>
            </w:r>
          </w:p>
        </w:tc>
        <w:tc>
          <w:tcPr>
            <w:tcW w:w="7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得分</w:t>
            </w:r>
          </w:p>
        </w:tc>
      </w:tr>
      <w:tr>
        <w:tblPrEx>
          <w:tblCellMar>
            <w:top w:w="0" w:type="dxa"/>
            <w:left w:w="108" w:type="dxa"/>
            <w:bottom w:w="0" w:type="dxa"/>
            <w:right w:w="108" w:type="dxa"/>
          </w:tblCellMar>
        </w:tblPrEx>
        <w:trPr>
          <w:trHeight w:val="340" w:hRule="atLeas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881"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年度资金总额</w:t>
            </w:r>
          </w:p>
        </w:tc>
        <w:tc>
          <w:tcPr>
            <w:tcW w:w="115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rPr>
              <w:t>94.3</w:t>
            </w:r>
            <w:r>
              <w:rPr>
                <w:rFonts w:hint="eastAsia" w:ascii="仿宋_GB2312" w:hAnsi="宋体" w:eastAsia="仿宋_GB2312" w:cs="宋体"/>
                <w:kern w:val="0"/>
                <w:sz w:val="18"/>
                <w:szCs w:val="18"/>
                <w:lang w:val="en-US" w:eastAsia="zh-CN"/>
              </w:rPr>
              <w:t>00000</w:t>
            </w:r>
          </w:p>
        </w:tc>
        <w:tc>
          <w:tcPr>
            <w:tcW w:w="105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rPr>
              <w:t>94.3</w:t>
            </w:r>
            <w:r>
              <w:rPr>
                <w:rFonts w:hint="eastAsia" w:ascii="仿宋_GB2312" w:hAnsi="宋体" w:eastAsia="仿宋_GB2312" w:cs="宋体"/>
                <w:kern w:val="0"/>
                <w:sz w:val="18"/>
                <w:szCs w:val="18"/>
                <w:lang w:val="en-US" w:eastAsia="zh-CN"/>
              </w:rPr>
              <w:t>00000</w:t>
            </w:r>
          </w:p>
        </w:tc>
        <w:tc>
          <w:tcPr>
            <w:tcW w:w="1127"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82.986000</w:t>
            </w:r>
          </w:p>
        </w:tc>
        <w:tc>
          <w:tcPr>
            <w:tcW w:w="704"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10</w:t>
            </w:r>
          </w:p>
        </w:tc>
        <w:tc>
          <w:tcPr>
            <w:tcW w:w="846"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88%</w:t>
            </w:r>
          </w:p>
        </w:tc>
        <w:tc>
          <w:tcPr>
            <w:tcW w:w="7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8</w:t>
            </w:r>
          </w:p>
        </w:tc>
      </w:tr>
      <w:tr>
        <w:tblPrEx>
          <w:tblCellMar>
            <w:top w:w="0" w:type="dxa"/>
            <w:left w:w="108" w:type="dxa"/>
            <w:bottom w:w="0" w:type="dxa"/>
            <w:right w:w="108" w:type="dxa"/>
          </w:tblCellMar>
        </w:tblPrEx>
        <w:trPr>
          <w:trHeight w:val="340" w:hRule="atLeas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881"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其中：当年财政拨款</w:t>
            </w:r>
          </w:p>
        </w:tc>
        <w:tc>
          <w:tcPr>
            <w:tcW w:w="115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94.3</w:t>
            </w:r>
            <w:r>
              <w:rPr>
                <w:rFonts w:hint="eastAsia" w:ascii="仿宋_GB2312" w:hAnsi="宋体" w:eastAsia="仿宋_GB2312" w:cs="宋体"/>
                <w:kern w:val="0"/>
                <w:sz w:val="18"/>
                <w:szCs w:val="18"/>
                <w:lang w:val="en-US" w:eastAsia="zh-CN"/>
              </w:rPr>
              <w:t>00000</w:t>
            </w:r>
          </w:p>
        </w:tc>
        <w:tc>
          <w:tcPr>
            <w:tcW w:w="105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94.3</w:t>
            </w:r>
            <w:r>
              <w:rPr>
                <w:rFonts w:hint="eastAsia" w:ascii="仿宋_GB2312" w:hAnsi="宋体" w:eastAsia="仿宋_GB2312" w:cs="宋体"/>
                <w:kern w:val="0"/>
                <w:sz w:val="18"/>
                <w:szCs w:val="18"/>
                <w:lang w:val="en-US" w:eastAsia="zh-CN"/>
              </w:rPr>
              <w:t>00000</w:t>
            </w:r>
          </w:p>
        </w:tc>
        <w:tc>
          <w:tcPr>
            <w:tcW w:w="1127"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82.986000</w:t>
            </w:r>
          </w:p>
        </w:tc>
        <w:tc>
          <w:tcPr>
            <w:tcW w:w="704"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w:t>
            </w:r>
          </w:p>
        </w:tc>
        <w:tc>
          <w:tcPr>
            <w:tcW w:w="846"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88%</w:t>
            </w:r>
          </w:p>
        </w:tc>
        <w:tc>
          <w:tcPr>
            <w:tcW w:w="7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w:t>
            </w:r>
          </w:p>
        </w:tc>
      </w:tr>
      <w:tr>
        <w:tblPrEx>
          <w:tblCellMar>
            <w:top w:w="0" w:type="dxa"/>
            <w:left w:w="108" w:type="dxa"/>
            <w:bottom w:w="0" w:type="dxa"/>
            <w:right w:w="108" w:type="dxa"/>
          </w:tblCellMar>
        </w:tblPrEx>
        <w:trPr>
          <w:trHeight w:val="340" w:hRule="atLeas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881"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 xml:space="preserve">      上年结转资金</w:t>
            </w:r>
          </w:p>
        </w:tc>
        <w:tc>
          <w:tcPr>
            <w:tcW w:w="115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05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127"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704"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w:t>
            </w:r>
          </w:p>
        </w:tc>
        <w:tc>
          <w:tcPr>
            <w:tcW w:w="846"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7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w:t>
            </w:r>
          </w:p>
        </w:tc>
      </w:tr>
      <w:tr>
        <w:tblPrEx>
          <w:tblCellMar>
            <w:top w:w="0" w:type="dxa"/>
            <w:left w:w="108" w:type="dxa"/>
            <w:bottom w:w="0" w:type="dxa"/>
            <w:right w:w="108" w:type="dxa"/>
          </w:tblCellMar>
        </w:tblPrEx>
        <w:trPr>
          <w:trHeight w:val="340" w:hRule="atLeas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881"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 xml:space="preserve">  其他资金</w:t>
            </w:r>
          </w:p>
        </w:tc>
        <w:tc>
          <w:tcPr>
            <w:tcW w:w="115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05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127"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704"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w:t>
            </w:r>
          </w:p>
        </w:tc>
        <w:tc>
          <w:tcPr>
            <w:tcW w:w="846"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7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w:t>
            </w:r>
          </w:p>
        </w:tc>
      </w:tr>
      <w:tr>
        <w:tblPrEx>
          <w:tblCellMar>
            <w:top w:w="0" w:type="dxa"/>
            <w:left w:w="108" w:type="dxa"/>
            <w:bottom w:w="0" w:type="dxa"/>
            <w:right w:w="108" w:type="dxa"/>
          </w:tblCellMar>
        </w:tblPrEx>
        <w:trPr>
          <w:trHeight w:val="90" w:hRule="atLeast"/>
          <w:jc w:val="center"/>
        </w:trPr>
        <w:tc>
          <w:tcPr>
            <w:tcW w:w="585"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年度总体目标</w:t>
            </w:r>
          </w:p>
        </w:tc>
        <w:tc>
          <w:tcPr>
            <w:tcW w:w="4013" w:type="dxa"/>
            <w:gridSpan w:val="4"/>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预期目标</w:t>
            </w:r>
          </w:p>
        </w:tc>
        <w:tc>
          <w:tcPr>
            <w:tcW w:w="4440" w:type="dxa"/>
            <w:gridSpan w:val="8"/>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实际完成情况</w:t>
            </w:r>
          </w:p>
        </w:tc>
      </w:tr>
      <w:tr>
        <w:tblPrEx>
          <w:tblCellMar>
            <w:top w:w="0" w:type="dxa"/>
            <w:left w:w="108" w:type="dxa"/>
            <w:bottom w:w="0" w:type="dxa"/>
            <w:right w:w="108" w:type="dxa"/>
          </w:tblCellMar>
        </w:tblPrEx>
        <w:trPr>
          <w:trHeight w:val="1597"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4013" w:type="dxa"/>
            <w:gridSpan w:val="4"/>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聘请数据分析公司通过大数据筛查对定点医疗机构开展异常数据筛查，发现问题线索，锁定异常数据，确定检查重点，为现场检查和精准打击提供数据支撑，探索构建基金监控数据模型，维护医疗保险基金安全。</w:t>
            </w:r>
          </w:p>
        </w:tc>
        <w:tc>
          <w:tcPr>
            <w:tcW w:w="4440" w:type="dxa"/>
            <w:gridSpan w:val="8"/>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lang w:val="en-US" w:eastAsia="zh-CN"/>
              </w:rPr>
              <w:t>对329家</w:t>
            </w:r>
            <w:r>
              <w:rPr>
                <w:rFonts w:hint="eastAsia" w:ascii="仿宋_GB2312" w:hAnsi="宋体" w:eastAsia="仿宋_GB2312" w:cs="宋体"/>
                <w:kern w:val="0"/>
                <w:sz w:val="18"/>
                <w:szCs w:val="18"/>
              </w:rPr>
              <w:t>定点医疗机构开展数据筛查工作，发现疑点问题14514个，为现场检查和精准打击提供数据支撑，维护医疗保险基金安全</w:t>
            </w:r>
          </w:p>
        </w:tc>
      </w:tr>
      <w:tr>
        <w:tblPrEx>
          <w:tblCellMar>
            <w:top w:w="0" w:type="dxa"/>
            <w:left w:w="108" w:type="dxa"/>
            <w:bottom w:w="0" w:type="dxa"/>
            <w:right w:w="108" w:type="dxa"/>
          </w:tblCellMar>
        </w:tblPrEx>
        <w:trPr>
          <w:trHeight w:val="567"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绩</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效</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指</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标</w:t>
            </w:r>
          </w:p>
        </w:tc>
        <w:tc>
          <w:tcPr>
            <w:tcW w:w="97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一级指标</w:t>
            </w:r>
          </w:p>
        </w:tc>
        <w:tc>
          <w:tcPr>
            <w:tcW w:w="110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二级指标</w:t>
            </w:r>
          </w:p>
        </w:tc>
        <w:tc>
          <w:tcPr>
            <w:tcW w:w="193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三级指标</w:t>
            </w:r>
          </w:p>
        </w:tc>
        <w:tc>
          <w:tcPr>
            <w:tcW w:w="105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年度</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指标值</w:t>
            </w:r>
          </w:p>
        </w:tc>
        <w:tc>
          <w:tcPr>
            <w:tcW w:w="84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实际</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完成值</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分值</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得分</w:t>
            </w:r>
          </w:p>
        </w:tc>
        <w:tc>
          <w:tcPr>
            <w:tcW w:w="141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偏差原因分析及改进措施</w:t>
            </w:r>
          </w:p>
        </w:tc>
      </w:tr>
      <w:tr>
        <w:tblPrEx>
          <w:tblCellMar>
            <w:top w:w="0" w:type="dxa"/>
            <w:left w:w="108" w:type="dxa"/>
            <w:bottom w:w="0" w:type="dxa"/>
            <w:right w:w="108" w:type="dxa"/>
          </w:tblCellMar>
        </w:tblPrEx>
        <w:trPr>
          <w:trHeight w:val="567" w:hRule="atLeas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产出指标</w:t>
            </w:r>
          </w:p>
        </w:tc>
        <w:tc>
          <w:tcPr>
            <w:tcW w:w="11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数量指标</w:t>
            </w:r>
          </w:p>
        </w:tc>
        <w:tc>
          <w:tcPr>
            <w:tcW w:w="193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筛查定点医疗机构家数</w:t>
            </w:r>
          </w:p>
        </w:tc>
        <w:tc>
          <w:tcPr>
            <w:tcW w:w="105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≥300家</w:t>
            </w:r>
          </w:p>
        </w:tc>
        <w:tc>
          <w:tcPr>
            <w:tcW w:w="84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329家</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20</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20</w:t>
            </w:r>
          </w:p>
        </w:tc>
        <w:tc>
          <w:tcPr>
            <w:tcW w:w="141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567" w:hRule="atLeas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1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质量指标</w:t>
            </w:r>
          </w:p>
        </w:tc>
        <w:tc>
          <w:tcPr>
            <w:tcW w:w="193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验收合格率</w:t>
            </w:r>
          </w:p>
        </w:tc>
        <w:tc>
          <w:tcPr>
            <w:tcW w:w="105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100%</w:t>
            </w:r>
          </w:p>
        </w:tc>
        <w:tc>
          <w:tcPr>
            <w:tcW w:w="84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100%</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15</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15</w:t>
            </w:r>
          </w:p>
        </w:tc>
        <w:tc>
          <w:tcPr>
            <w:tcW w:w="141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567" w:hRule="atLeas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1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时效指标</w:t>
            </w:r>
          </w:p>
        </w:tc>
        <w:tc>
          <w:tcPr>
            <w:tcW w:w="193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按合同约定完成数据筛查工作</w:t>
            </w:r>
          </w:p>
        </w:tc>
        <w:tc>
          <w:tcPr>
            <w:tcW w:w="105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rPr>
              <w:t>≤</w:t>
            </w:r>
            <w:r>
              <w:rPr>
                <w:rFonts w:hint="eastAsia" w:ascii="仿宋_GB2312" w:hAnsi="宋体" w:eastAsia="仿宋_GB2312" w:cs="宋体"/>
                <w:kern w:val="0"/>
                <w:sz w:val="18"/>
                <w:szCs w:val="18"/>
                <w:lang w:val="en-US" w:eastAsia="zh-CN"/>
              </w:rPr>
              <w:t>11月</w:t>
            </w:r>
          </w:p>
        </w:tc>
        <w:tc>
          <w:tcPr>
            <w:tcW w:w="84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2024年12月</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15</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10</w:t>
            </w:r>
          </w:p>
        </w:tc>
        <w:tc>
          <w:tcPr>
            <w:tcW w:w="141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567" w:hRule="atLeas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1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成本指标</w:t>
            </w:r>
          </w:p>
        </w:tc>
        <w:tc>
          <w:tcPr>
            <w:tcW w:w="193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项目预算控制总额</w:t>
            </w:r>
          </w:p>
        </w:tc>
        <w:tc>
          <w:tcPr>
            <w:tcW w:w="105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≤94.3万元</w:t>
            </w:r>
          </w:p>
        </w:tc>
        <w:tc>
          <w:tcPr>
            <w:tcW w:w="84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82.9860万元</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10</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10</w:t>
            </w:r>
          </w:p>
        </w:tc>
        <w:tc>
          <w:tcPr>
            <w:tcW w:w="141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853" w:hRule="atLeas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9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效益指标</w:t>
            </w:r>
          </w:p>
        </w:tc>
        <w:tc>
          <w:tcPr>
            <w:tcW w:w="11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可持续影响指标</w:t>
            </w:r>
          </w:p>
        </w:tc>
        <w:tc>
          <w:tcPr>
            <w:tcW w:w="193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规范医疗机构行为，提高医疗保险管理服务水平和基金使用效率</w:t>
            </w:r>
          </w:p>
        </w:tc>
        <w:tc>
          <w:tcPr>
            <w:tcW w:w="105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lang w:eastAsia="zh-CN"/>
              </w:rPr>
              <w:t>提高</w:t>
            </w:r>
          </w:p>
        </w:tc>
        <w:tc>
          <w:tcPr>
            <w:tcW w:w="84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lang w:eastAsia="zh-CN"/>
              </w:rPr>
              <w:t>提高</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20</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20</w:t>
            </w:r>
          </w:p>
        </w:tc>
        <w:tc>
          <w:tcPr>
            <w:tcW w:w="141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567" w:hRule="atLeas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9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满意度</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指标</w:t>
            </w:r>
          </w:p>
        </w:tc>
        <w:tc>
          <w:tcPr>
            <w:tcW w:w="11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服务对象满意度标</w:t>
            </w:r>
          </w:p>
        </w:tc>
        <w:tc>
          <w:tcPr>
            <w:tcW w:w="193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对工作人员投诉次数</w:t>
            </w:r>
          </w:p>
        </w:tc>
        <w:tc>
          <w:tcPr>
            <w:tcW w:w="105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≤10人次</w:t>
            </w:r>
          </w:p>
        </w:tc>
        <w:tc>
          <w:tcPr>
            <w:tcW w:w="84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0</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10</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10</w:t>
            </w:r>
          </w:p>
        </w:tc>
        <w:tc>
          <w:tcPr>
            <w:tcW w:w="141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340" w:hRule="atLeast"/>
          <w:jc w:val="center"/>
        </w:trPr>
        <w:tc>
          <w:tcPr>
            <w:tcW w:w="6499"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总分</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100</w:t>
            </w:r>
          </w:p>
        </w:tc>
        <w:tc>
          <w:tcPr>
            <w:tcW w:w="56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93</w:t>
            </w:r>
          </w:p>
        </w:tc>
        <w:tc>
          <w:tcPr>
            <w:tcW w:w="141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r>
    </w:tbl>
    <w:p>
      <w:pPr>
        <w:spacing w:line="560" w:lineRule="exact"/>
        <w:rPr>
          <w:rFonts w:hint="default" w:ascii="宋体" w:hAnsi="宋体" w:eastAsia="宋体" w:cs="宋体"/>
          <w:sz w:val="24"/>
          <w:szCs w:val="24"/>
          <w:highlight w:val="none"/>
          <w:lang w:val="en-US"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微软雅黑">
    <w:panose1 w:val="020B0503020204020204"/>
    <w:charset w:val="86"/>
    <w:family w:val="auto"/>
    <w:pitch w:val="default"/>
    <w:sig w:usb0="80000287" w:usb1="280F3C52" w:usb2="00000016" w:usb3="00000000" w:csb0="0004001F" w:csb1="00000000"/>
  </w:font>
  <w:font w:name="Cambria">
    <w:altName w:val="Noto Sans Syriac Eastern"/>
    <w:panose1 w:val="02040503050406030204"/>
    <w:charset w:val="00"/>
    <w:family w:val="roman"/>
    <w:pitch w:val="default"/>
    <w:sig w:usb0="00000000" w:usb1="00000000"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fldChar w:fldCharType="begin"/>
                          </w:r>
                          <w:r>
                            <w:rPr>
                              <w:rFonts w:hint="eastAsia" w:ascii="仿宋_GB2312" w:hAnsi="仿宋_GB2312" w:eastAsia="仿宋_GB2312" w:cs="仿宋_GB2312"/>
                              <w:sz w:val="24"/>
                              <w:szCs w:val="24"/>
                              <w:lang w:eastAsia="zh-CN"/>
                            </w:rPr>
                            <w:instrText xml:space="preserve"> PAGE  \* MERGEFORMAT </w:instrText>
                          </w:r>
                          <w:r>
                            <w:rPr>
                              <w:rFonts w:hint="eastAsia" w:ascii="仿宋_GB2312" w:hAnsi="仿宋_GB2312" w:eastAsia="仿宋_GB2312" w:cs="仿宋_GB2312"/>
                              <w:sz w:val="24"/>
                              <w:szCs w:val="24"/>
                              <w:lang w:eastAsia="zh-CN"/>
                            </w:rPr>
                            <w:fldChar w:fldCharType="separate"/>
                          </w:r>
                          <w:r>
                            <w:rPr>
                              <w:rFonts w:hint="eastAsia" w:ascii="仿宋_GB2312" w:hAnsi="仿宋_GB2312" w:eastAsia="仿宋_GB2312" w:cs="仿宋_GB2312"/>
                              <w:sz w:val="24"/>
                              <w:szCs w:val="24"/>
                              <w:lang w:eastAsia="zh-CN"/>
                            </w:rPr>
                            <w:t>1</w:t>
                          </w:r>
                          <w:r>
                            <w:rPr>
                              <w:rFonts w:hint="eastAsia" w:ascii="仿宋_GB2312" w:hAnsi="仿宋_GB2312" w:eastAsia="仿宋_GB2312" w:cs="仿宋_GB2312"/>
                              <w:sz w:val="24"/>
                              <w:szCs w:val="24"/>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5"/>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fldChar w:fldCharType="begin"/>
                    </w:r>
                    <w:r>
                      <w:rPr>
                        <w:rFonts w:hint="eastAsia" w:ascii="仿宋_GB2312" w:hAnsi="仿宋_GB2312" w:eastAsia="仿宋_GB2312" w:cs="仿宋_GB2312"/>
                        <w:sz w:val="24"/>
                        <w:szCs w:val="24"/>
                        <w:lang w:eastAsia="zh-CN"/>
                      </w:rPr>
                      <w:instrText xml:space="preserve"> PAGE  \* MERGEFORMAT </w:instrText>
                    </w:r>
                    <w:r>
                      <w:rPr>
                        <w:rFonts w:hint="eastAsia" w:ascii="仿宋_GB2312" w:hAnsi="仿宋_GB2312" w:eastAsia="仿宋_GB2312" w:cs="仿宋_GB2312"/>
                        <w:sz w:val="24"/>
                        <w:szCs w:val="24"/>
                        <w:lang w:eastAsia="zh-CN"/>
                      </w:rPr>
                      <w:fldChar w:fldCharType="separate"/>
                    </w:r>
                    <w:r>
                      <w:rPr>
                        <w:rFonts w:hint="eastAsia" w:ascii="仿宋_GB2312" w:hAnsi="仿宋_GB2312" w:eastAsia="仿宋_GB2312" w:cs="仿宋_GB2312"/>
                        <w:sz w:val="24"/>
                        <w:szCs w:val="24"/>
                        <w:lang w:eastAsia="zh-CN"/>
                      </w:rPr>
                      <w:t>1</w:t>
                    </w:r>
                    <w:r>
                      <w:rPr>
                        <w:rFonts w:hint="eastAsia" w:ascii="仿宋_GB2312" w:hAnsi="仿宋_GB2312" w:eastAsia="仿宋_GB2312" w:cs="仿宋_GB2312"/>
                        <w:sz w:val="24"/>
                        <w:szCs w:val="24"/>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43842FB"/>
    <w:rsid w:val="047749DD"/>
    <w:rsid w:val="07F716BD"/>
    <w:rsid w:val="08125ABB"/>
    <w:rsid w:val="09026407"/>
    <w:rsid w:val="0A8360F5"/>
    <w:rsid w:val="0B732E05"/>
    <w:rsid w:val="0C097FDA"/>
    <w:rsid w:val="0E6229DC"/>
    <w:rsid w:val="104A5CDE"/>
    <w:rsid w:val="1D554209"/>
    <w:rsid w:val="202D71AF"/>
    <w:rsid w:val="21E81294"/>
    <w:rsid w:val="244D5D5F"/>
    <w:rsid w:val="26414CA4"/>
    <w:rsid w:val="2A141CEF"/>
    <w:rsid w:val="2AD24B9F"/>
    <w:rsid w:val="2CDB5A1A"/>
    <w:rsid w:val="303E079C"/>
    <w:rsid w:val="30647726"/>
    <w:rsid w:val="33EBA484"/>
    <w:rsid w:val="34973123"/>
    <w:rsid w:val="37A93DD9"/>
    <w:rsid w:val="37D42F8B"/>
    <w:rsid w:val="3EEA4313"/>
    <w:rsid w:val="3FB7CB58"/>
    <w:rsid w:val="3FFE7933"/>
    <w:rsid w:val="40404033"/>
    <w:rsid w:val="44A67283"/>
    <w:rsid w:val="47287807"/>
    <w:rsid w:val="47F15329"/>
    <w:rsid w:val="4BC63AA5"/>
    <w:rsid w:val="4D76E8A0"/>
    <w:rsid w:val="4DB11F58"/>
    <w:rsid w:val="4EAE0B90"/>
    <w:rsid w:val="55D50038"/>
    <w:rsid w:val="5720110A"/>
    <w:rsid w:val="589A6EF5"/>
    <w:rsid w:val="5A1D4CE4"/>
    <w:rsid w:val="5A851603"/>
    <w:rsid w:val="5E5E6FC3"/>
    <w:rsid w:val="5ECF3CBD"/>
    <w:rsid w:val="5F3584FA"/>
    <w:rsid w:val="5FD04232"/>
    <w:rsid w:val="617F6D71"/>
    <w:rsid w:val="61A937A4"/>
    <w:rsid w:val="61CD21CC"/>
    <w:rsid w:val="61FE6F40"/>
    <w:rsid w:val="622F574D"/>
    <w:rsid w:val="62724319"/>
    <w:rsid w:val="62F7B265"/>
    <w:rsid w:val="639825AD"/>
    <w:rsid w:val="65006447"/>
    <w:rsid w:val="6A526640"/>
    <w:rsid w:val="6AC757A6"/>
    <w:rsid w:val="6F0005BE"/>
    <w:rsid w:val="6F48467B"/>
    <w:rsid w:val="70941D13"/>
    <w:rsid w:val="74F707B0"/>
    <w:rsid w:val="76FBC1F5"/>
    <w:rsid w:val="79B97351"/>
    <w:rsid w:val="7BB36AD8"/>
    <w:rsid w:val="7DFF0658"/>
    <w:rsid w:val="7F7B7FC6"/>
    <w:rsid w:val="7FF775A1"/>
    <w:rsid w:val="7FF9F2E7"/>
    <w:rsid w:val="DBE53555"/>
    <w:rsid w:val="EBFE4233"/>
    <w:rsid w:val="EEE7DE6C"/>
    <w:rsid w:val="F6FDE5FA"/>
    <w:rsid w:val="F9DE0EB6"/>
    <w:rsid w:val="FA7F8110"/>
    <w:rsid w:val="FBFF11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0"/>
    <w:pPr>
      <w:spacing w:after="120"/>
    </w:pPr>
    <w:rPr>
      <w:rFonts w:ascii="Calibri" w:hAnsi="Calibri" w:eastAsia="宋体"/>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Subtitle"/>
    <w:basedOn w:val="1"/>
    <w:next w:val="1"/>
    <w:qFormat/>
    <w:uiPriority w:val="0"/>
    <w:pPr>
      <w:spacing w:line="240" w:lineRule="auto"/>
      <w:ind w:firstLine="200" w:firstLineChars="200"/>
      <w:jc w:val="left"/>
      <w:outlineLvl w:val="2"/>
    </w:pPr>
    <w:rPr>
      <w:rFonts w:ascii="Cambria" w:hAnsi="Cambria" w:eastAsia="黑体" w:cs="Times New Roman"/>
      <w:bCs/>
      <w:kern w:val="28"/>
      <w:sz w:val="28"/>
      <w:szCs w:val="32"/>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List Paragraph"/>
    <w:basedOn w:val="1"/>
    <w:qFormat/>
    <w:uiPriority w:val="34"/>
    <w:pPr>
      <w:ind w:firstLine="420" w:firstLineChars="200"/>
    </w:pPr>
  </w:style>
  <w:style w:type="character" w:customStyle="1" w:styleId="12">
    <w:name w:val="font01"/>
    <w:basedOn w:val="10"/>
    <w:qFormat/>
    <w:uiPriority w:val="0"/>
    <w:rPr>
      <w:rFonts w:hint="eastAsia" w:ascii="宋体" w:hAnsi="宋体" w:eastAsia="宋体" w:cs="宋体"/>
      <w:b/>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550</Words>
  <Characters>662</Characters>
  <Lines>0</Lines>
  <Paragraphs>0</Paragraphs>
  <TotalTime>4</TotalTime>
  <ScaleCrop>false</ScaleCrop>
  <LinksUpToDate>false</LinksUpToDate>
  <CharactersWithSpaces>679</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2014-11-02T04:08:00Z</dcterms:created>
  <dc:creator>Administrator</dc:creator>
  <cp:lastModifiedBy>张瑞</cp:lastModifiedBy>
  <cp:lastPrinted>2022-04-29T11:19:00Z</cp:lastPrinted>
  <dcterms:modified xsi:type="dcterms:W3CDTF">2025-08-21T10:40:57Z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07B3A87AAB224DDBB7920F833C940AA3</vt:lpwstr>
  </property>
  <property fmtid="{D5CDD505-2E9C-101B-9397-08002B2CF9AE}" pid="4" name="KSOTemplateDocerSaveRecord">
    <vt:lpwstr>eyJoZGlkIjoiZmYzYTgxNjAwMDgyZTVmOWFiNjZiNTA0ZjFlYjI4Y2EiLCJ1c2VySWQiOiI1NTI4MzY1MjAifQ==</vt:lpwstr>
  </property>
</Properties>
</file>