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8987" w:type="dxa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52"/>
        <w:gridCol w:w="1436"/>
        <w:gridCol w:w="1161"/>
        <w:gridCol w:w="999"/>
        <w:gridCol w:w="1107"/>
        <w:gridCol w:w="575"/>
        <w:gridCol w:w="306"/>
        <w:gridCol w:w="458"/>
        <w:gridCol w:w="415"/>
        <w:gridCol w:w="11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89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14:ligatures w14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987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项目名称</w:t>
            </w:r>
          </w:p>
        </w:tc>
        <w:tc>
          <w:tcPr>
            <w:tcW w:w="756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医疗保障审计检查经费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主管部门</w:t>
            </w:r>
          </w:p>
        </w:tc>
        <w:tc>
          <w:tcPr>
            <w:tcW w:w="3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北京市医疗保障局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实施单位</w:t>
            </w:r>
          </w:p>
        </w:tc>
        <w:tc>
          <w:tcPr>
            <w:tcW w:w="28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北京市医疗保障局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项目资金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（万元）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　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年初预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算数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全年预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算数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全年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执行数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分值</w:t>
            </w: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执行率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年度资金总额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499.4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626.2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569.092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90.88%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9.09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其中：当年财政拨款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499.4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626.2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569.092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90.88%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上年结转资金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其他资金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  <w:tc>
          <w:tcPr>
            <w:tcW w:w="8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　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年度总体目标</w:t>
            </w:r>
          </w:p>
        </w:tc>
        <w:tc>
          <w:tcPr>
            <w:tcW w:w="4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年度目标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4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通过检查保障医保基金安全，加强医保基金精细化管理，提高基金监管水平。提升队伍执法能力建设，扎实推动我市医疗保障执法工作，防范全市直管大专院校公费医疗经费支出风险；提高医保基金使用效能。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通过检查保障医保基金安全，加强医保基金精细化管理，提高基金监管水平。提升队伍执法能力建设，扎实推动我市医疗保障执法工作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  <w14:ligatures w14:val="none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防范全市直管大专院校公费医疗经费支出风险；提高医保基金使用效能。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绩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效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　标　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一级指标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二级指标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三级指标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年度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指标值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实际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完成值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分值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得分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8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产出指标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数量指标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检查报告数量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≥200份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282份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质量指标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报告验收合格率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100%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100%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审计检查程序执行率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100%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100%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时效指标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出具正式报告时间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≤12月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≤12月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成本指标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经济成本指标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项目预算控制总额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≤626.2万元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569.092万元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效益指标</w:t>
            </w:r>
          </w:p>
        </w:tc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社会效益指标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医疗保险管理服务水平和基金使用效率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提高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提高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医保基金安全性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提高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提高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可持续影响指标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促进提升医疗保障管理水平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持续提升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持续提升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满意度指标</w:t>
            </w:r>
          </w:p>
        </w:tc>
        <w:tc>
          <w:tcPr>
            <w:tcW w:w="14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服务对象满意度标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单位满意度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≥90%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100%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综合投诉率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≤5%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≤5%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1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14:ligatures w14:val="none"/>
              </w:rPr>
              <w:t>总分</w:t>
            </w:r>
          </w:p>
        </w:tc>
        <w:tc>
          <w:tcPr>
            <w:tcW w:w="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100</w:t>
            </w:r>
          </w:p>
        </w:tc>
        <w:tc>
          <w:tcPr>
            <w:tcW w:w="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14:ligatures w14:val="none"/>
              </w:rPr>
              <w:t>99.09</w:t>
            </w:r>
          </w:p>
        </w:tc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14:ligatures w14:val="none"/>
              </w:rPr>
              <w:t>　</w:t>
            </w:r>
          </w:p>
        </w:tc>
      </w:tr>
    </w:tbl>
    <w:p>
      <w:pPr>
        <w:rPr>
          <w:rFonts w:hint="eastAsia"/>
        </w:rPr>
      </w:pPr>
    </w:p>
    <w:sectPr>
      <w:type w:val="continuous"/>
      <w:pgSz w:w="11906" w:h="16838"/>
      <w:pgMar w:top="1440" w:right="1797" w:bottom="1440" w:left="1797" w:header="851" w:footer="992" w:gutter="0"/>
      <w:cols w:space="425" w:num="1"/>
      <w:titlePg/>
      <w:docGrid w:type="linesAndChar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A75A3"/>
    <w:rsid w:val="000441D4"/>
    <w:rsid w:val="00071C99"/>
    <w:rsid w:val="00090B4C"/>
    <w:rsid w:val="000A2723"/>
    <w:rsid w:val="00455BB6"/>
    <w:rsid w:val="00841284"/>
    <w:rsid w:val="00876F19"/>
    <w:rsid w:val="00905879"/>
    <w:rsid w:val="00930663"/>
    <w:rsid w:val="0096184F"/>
    <w:rsid w:val="00A85486"/>
    <w:rsid w:val="00A96D71"/>
    <w:rsid w:val="00B27AED"/>
    <w:rsid w:val="00B53D3B"/>
    <w:rsid w:val="00B723C9"/>
    <w:rsid w:val="00C2399D"/>
    <w:rsid w:val="00CA75A3"/>
    <w:rsid w:val="00E329A0"/>
    <w:rsid w:val="00E453CF"/>
    <w:rsid w:val="00F35E81"/>
    <w:rsid w:val="7DE850FF"/>
    <w:rsid w:val="BDB3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496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496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496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496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3F3F3F" w:themeColor="text1" w:themeTint="BF"/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496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496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496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527</Characters>
  <Lines>175</Lines>
  <Paragraphs>137</Paragraphs>
  <TotalTime>148</TotalTime>
  <ScaleCrop>false</ScaleCrop>
  <LinksUpToDate>false</LinksUpToDate>
  <CharactersWithSpaces>824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2025-04-21T15:20:00Z</dcterms:created>
  <dc:creator>子琳 曹</dc:creator>
  <cp:lastModifiedBy>张瑞</cp:lastModifiedBy>
  <dcterms:modified xsi:type="dcterms:W3CDTF">2025-08-21T15:58:41Z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