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80" w:lineRule="exact"/>
        <w:rPr>
          <w:rFonts w:hint="eastAsia" w:ascii="仿宋_GB2312" w:hAnsi="仿宋_GB2312" w:eastAsia="仿宋_GB2312" w:cs="仿宋_GB2312"/>
          <w:sz w:val="32"/>
          <w:szCs w:val="32"/>
        </w:rPr>
      </w:pPr>
    </w:p>
    <w:p>
      <w:pPr>
        <w:spacing w:after="0"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after="0" w:line="480" w:lineRule="exact"/>
        <w:rPr>
          <w:rFonts w:hint="eastAsia"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hint="eastAsia" w:ascii="宋体" w:hAnsi="宋体" w:eastAsia="宋体" w:cs="宋体"/>
          <w:sz w:val="28"/>
          <w:szCs w:val="28"/>
        </w:rPr>
        <w:t xml:space="preserve">  （2024 年度）</w:t>
      </w:r>
    </w:p>
    <w:p>
      <w:pPr>
        <w:spacing w:after="0" w:line="240" w:lineRule="exact"/>
        <w:rPr>
          <w:rFonts w:hint="eastAsia" w:ascii="仿宋_GB2312" w:hAnsi="宋体" w:eastAsia="仿宋_GB2312"/>
          <w:sz w:val="30"/>
          <w:szCs w:val="30"/>
        </w:rPr>
      </w:pPr>
    </w:p>
    <w:tbl>
      <w:tblPr>
        <w:tblStyle w:val="5"/>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758"/>
        <w:gridCol w:w="1322"/>
        <w:gridCol w:w="1129"/>
        <w:gridCol w:w="852"/>
        <w:gridCol w:w="156"/>
        <w:gridCol w:w="849"/>
        <w:gridCol w:w="848"/>
        <w:gridCol w:w="279"/>
        <w:gridCol w:w="284"/>
        <w:gridCol w:w="420"/>
        <w:gridCol w:w="262"/>
        <w:gridCol w:w="584"/>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134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项目名称</w:t>
            </w:r>
          </w:p>
        </w:tc>
        <w:tc>
          <w:tcPr>
            <w:tcW w:w="7695" w:type="dxa"/>
            <w:gridSpan w:val="1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法制政府建设经费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134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主管部门</w:t>
            </w:r>
          </w:p>
        </w:tc>
        <w:tc>
          <w:tcPr>
            <w:tcW w:w="4308" w:type="dxa"/>
            <w:gridSpan w:val="5"/>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北京市医疗保障局</w:t>
            </w:r>
          </w:p>
        </w:tc>
        <w:tc>
          <w:tcPr>
            <w:tcW w:w="1127"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实施单位</w:t>
            </w:r>
          </w:p>
        </w:tc>
        <w:tc>
          <w:tcPr>
            <w:tcW w:w="2260" w:type="dxa"/>
            <w:gridSpan w:val="5"/>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北京市医疗保障局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3" w:type="dxa"/>
            <w:gridSpan w:val="2"/>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项目资金</w:t>
            </w:r>
            <w:r>
              <w:rPr>
                <w:rFonts w:hint="eastAsia" w:ascii="宋体" w:hAnsi="宋体" w:eastAsia="宋体" w:cs="宋体"/>
                <w:kern w:val="0"/>
                <w:szCs w:val="21"/>
              </w:rPr>
              <w:br w:type="textWrapping"/>
            </w:r>
            <w:r>
              <w:rPr>
                <w:rFonts w:hint="eastAsia" w:ascii="宋体" w:hAnsi="宋体" w:eastAsia="宋体" w:cs="宋体"/>
                <w:kern w:val="0"/>
                <w:szCs w:val="21"/>
              </w:rPr>
              <w:t>（万元）</w:t>
            </w:r>
          </w:p>
        </w:tc>
        <w:tc>
          <w:tcPr>
            <w:tcW w:w="2451" w:type="dxa"/>
            <w:gridSpan w:val="2"/>
            <w:vAlign w:val="center"/>
          </w:tcPr>
          <w:p>
            <w:pPr>
              <w:widowControl/>
              <w:spacing w:after="0" w:line="240" w:lineRule="exact"/>
              <w:jc w:val="center"/>
              <w:rPr>
                <w:rFonts w:hint="eastAsia" w:ascii="宋体" w:hAnsi="宋体" w:eastAsia="宋体" w:cs="宋体"/>
                <w:kern w:val="0"/>
                <w:szCs w:val="21"/>
              </w:rPr>
            </w:pPr>
          </w:p>
        </w:tc>
        <w:tc>
          <w:tcPr>
            <w:tcW w:w="852"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年初预</w:t>
            </w:r>
          </w:p>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算数</w:t>
            </w:r>
          </w:p>
        </w:tc>
        <w:tc>
          <w:tcPr>
            <w:tcW w:w="1005"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全年预</w:t>
            </w:r>
          </w:p>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算数</w:t>
            </w:r>
          </w:p>
        </w:tc>
        <w:tc>
          <w:tcPr>
            <w:tcW w:w="1127"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全年</w:t>
            </w:r>
          </w:p>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执行数</w:t>
            </w:r>
          </w:p>
        </w:tc>
        <w:tc>
          <w:tcPr>
            <w:tcW w:w="704"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分值</w:t>
            </w:r>
          </w:p>
        </w:tc>
        <w:tc>
          <w:tcPr>
            <w:tcW w:w="846"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执行率</w:t>
            </w:r>
          </w:p>
        </w:tc>
        <w:tc>
          <w:tcPr>
            <w:tcW w:w="710"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exact"/>
          <w:jc w:val="center"/>
        </w:trPr>
        <w:tc>
          <w:tcPr>
            <w:tcW w:w="1343" w:type="dxa"/>
            <w:gridSpan w:val="2"/>
            <w:vMerge w:val="continue"/>
            <w:vAlign w:val="center"/>
          </w:tcPr>
          <w:p>
            <w:pPr>
              <w:widowControl/>
              <w:spacing w:after="0" w:line="240" w:lineRule="exact"/>
              <w:jc w:val="center"/>
              <w:rPr>
                <w:rFonts w:hint="eastAsia" w:ascii="宋体" w:hAnsi="宋体" w:eastAsia="宋体" w:cs="宋体"/>
                <w:kern w:val="0"/>
                <w:szCs w:val="21"/>
              </w:rPr>
            </w:pPr>
          </w:p>
        </w:tc>
        <w:tc>
          <w:tcPr>
            <w:tcW w:w="2451" w:type="dxa"/>
            <w:gridSpan w:val="2"/>
            <w:vAlign w:val="center"/>
          </w:tcPr>
          <w:p>
            <w:pPr>
              <w:widowControl/>
              <w:spacing w:after="0" w:line="240" w:lineRule="exact"/>
              <w:rPr>
                <w:rFonts w:hint="eastAsia" w:ascii="宋体" w:hAnsi="宋体" w:eastAsia="宋体" w:cs="宋体"/>
                <w:kern w:val="0"/>
                <w:szCs w:val="21"/>
              </w:rPr>
            </w:pPr>
            <w:r>
              <w:rPr>
                <w:rFonts w:hint="eastAsia" w:ascii="宋体" w:hAnsi="宋体" w:eastAsia="宋体" w:cs="宋体"/>
                <w:kern w:val="0"/>
                <w:szCs w:val="21"/>
              </w:rPr>
              <w:t>年度资金总额</w:t>
            </w:r>
          </w:p>
        </w:tc>
        <w:tc>
          <w:tcPr>
            <w:tcW w:w="852"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74.1</w:t>
            </w:r>
          </w:p>
        </w:tc>
        <w:tc>
          <w:tcPr>
            <w:tcW w:w="1005"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73.5</w:t>
            </w:r>
          </w:p>
        </w:tc>
        <w:tc>
          <w:tcPr>
            <w:tcW w:w="1127"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73.5</w:t>
            </w:r>
          </w:p>
        </w:tc>
        <w:tc>
          <w:tcPr>
            <w:tcW w:w="704"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w:t>
            </w:r>
          </w:p>
        </w:tc>
        <w:tc>
          <w:tcPr>
            <w:tcW w:w="846"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710"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1343" w:type="dxa"/>
            <w:gridSpan w:val="2"/>
            <w:vMerge w:val="continue"/>
            <w:vAlign w:val="center"/>
          </w:tcPr>
          <w:p>
            <w:pPr>
              <w:widowControl/>
              <w:spacing w:after="0" w:line="240" w:lineRule="exact"/>
              <w:jc w:val="center"/>
              <w:rPr>
                <w:rFonts w:hint="eastAsia" w:ascii="宋体" w:hAnsi="宋体" w:eastAsia="宋体" w:cs="宋体"/>
                <w:kern w:val="0"/>
                <w:szCs w:val="21"/>
              </w:rPr>
            </w:pPr>
          </w:p>
        </w:tc>
        <w:tc>
          <w:tcPr>
            <w:tcW w:w="2451" w:type="dxa"/>
            <w:gridSpan w:val="2"/>
            <w:vAlign w:val="center"/>
          </w:tcPr>
          <w:p>
            <w:pPr>
              <w:widowControl/>
              <w:spacing w:after="0" w:line="240" w:lineRule="exact"/>
              <w:rPr>
                <w:rFonts w:hint="eastAsia" w:ascii="宋体" w:hAnsi="宋体" w:eastAsia="宋体" w:cs="宋体"/>
                <w:kern w:val="0"/>
                <w:szCs w:val="21"/>
              </w:rPr>
            </w:pPr>
            <w:r>
              <w:rPr>
                <w:rFonts w:hint="eastAsia" w:ascii="宋体" w:hAnsi="宋体" w:eastAsia="宋体" w:cs="宋体"/>
                <w:kern w:val="0"/>
                <w:szCs w:val="21"/>
              </w:rPr>
              <w:t>其中：当年财政拨款</w:t>
            </w:r>
          </w:p>
        </w:tc>
        <w:tc>
          <w:tcPr>
            <w:tcW w:w="852"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74.1</w:t>
            </w:r>
          </w:p>
        </w:tc>
        <w:tc>
          <w:tcPr>
            <w:tcW w:w="1005"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73.5</w:t>
            </w:r>
          </w:p>
        </w:tc>
        <w:tc>
          <w:tcPr>
            <w:tcW w:w="1127"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73.5</w:t>
            </w:r>
          </w:p>
        </w:tc>
        <w:tc>
          <w:tcPr>
            <w:tcW w:w="704"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w:t>
            </w:r>
          </w:p>
        </w:tc>
        <w:tc>
          <w:tcPr>
            <w:tcW w:w="846"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710"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343" w:type="dxa"/>
            <w:gridSpan w:val="2"/>
            <w:vMerge w:val="continue"/>
            <w:vAlign w:val="center"/>
          </w:tcPr>
          <w:p>
            <w:pPr>
              <w:widowControl/>
              <w:spacing w:after="0" w:line="240" w:lineRule="exact"/>
              <w:jc w:val="center"/>
              <w:rPr>
                <w:rFonts w:hint="eastAsia" w:ascii="宋体" w:hAnsi="宋体" w:eastAsia="宋体" w:cs="宋体"/>
                <w:kern w:val="0"/>
                <w:szCs w:val="21"/>
              </w:rPr>
            </w:pPr>
          </w:p>
        </w:tc>
        <w:tc>
          <w:tcPr>
            <w:tcW w:w="2451"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 xml:space="preserve">   上年结转资金</w:t>
            </w:r>
          </w:p>
        </w:tc>
        <w:tc>
          <w:tcPr>
            <w:tcW w:w="852" w:type="dxa"/>
            <w:vAlign w:val="center"/>
          </w:tcPr>
          <w:p>
            <w:pPr>
              <w:widowControl/>
              <w:spacing w:after="0" w:line="240" w:lineRule="exact"/>
              <w:jc w:val="center"/>
              <w:rPr>
                <w:rFonts w:hint="eastAsia" w:ascii="宋体" w:hAnsi="宋体" w:eastAsia="宋体" w:cs="宋体"/>
                <w:kern w:val="0"/>
                <w:szCs w:val="21"/>
              </w:rPr>
            </w:pPr>
          </w:p>
        </w:tc>
        <w:tc>
          <w:tcPr>
            <w:tcW w:w="1005" w:type="dxa"/>
            <w:gridSpan w:val="2"/>
            <w:vAlign w:val="center"/>
          </w:tcPr>
          <w:p>
            <w:pPr>
              <w:widowControl/>
              <w:spacing w:after="0" w:line="240" w:lineRule="exact"/>
              <w:jc w:val="center"/>
              <w:rPr>
                <w:rFonts w:hint="eastAsia" w:ascii="宋体" w:hAnsi="宋体" w:eastAsia="宋体" w:cs="宋体"/>
                <w:kern w:val="0"/>
                <w:szCs w:val="21"/>
              </w:rPr>
            </w:pPr>
          </w:p>
        </w:tc>
        <w:tc>
          <w:tcPr>
            <w:tcW w:w="1127" w:type="dxa"/>
            <w:gridSpan w:val="2"/>
            <w:vAlign w:val="center"/>
          </w:tcPr>
          <w:p>
            <w:pPr>
              <w:widowControl/>
              <w:spacing w:after="0" w:line="240" w:lineRule="exact"/>
              <w:jc w:val="center"/>
              <w:rPr>
                <w:rFonts w:hint="eastAsia" w:ascii="宋体" w:hAnsi="宋体" w:eastAsia="宋体" w:cs="宋体"/>
                <w:kern w:val="0"/>
                <w:szCs w:val="21"/>
              </w:rPr>
            </w:pPr>
          </w:p>
        </w:tc>
        <w:tc>
          <w:tcPr>
            <w:tcW w:w="704"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w:t>
            </w:r>
          </w:p>
        </w:tc>
        <w:tc>
          <w:tcPr>
            <w:tcW w:w="846" w:type="dxa"/>
            <w:gridSpan w:val="2"/>
            <w:vAlign w:val="center"/>
          </w:tcPr>
          <w:p>
            <w:pPr>
              <w:widowControl/>
              <w:spacing w:after="0" w:line="240" w:lineRule="exact"/>
              <w:jc w:val="center"/>
              <w:rPr>
                <w:rFonts w:hint="eastAsia" w:ascii="宋体" w:hAnsi="宋体" w:eastAsia="宋体" w:cs="宋体"/>
                <w:kern w:val="0"/>
                <w:szCs w:val="21"/>
              </w:rPr>
            </w:pPr>
          </w:p>
        </w:tc>
        <w:tc>
          <w:tcPr>
            <w:tcW w:w="710"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1343" w:type="dxa"/>
            <w:gridSpan w:val="2"/>
            <w:vMerge w:val="continue"/>
            <w:vAlign w:val="center"/>
          </w:tcPr>
          <w:p>
            <w:pPr>
              <w:widowControl/>
              <w:spacing w:after="0" w:line="240" w:lineRule="exact"/>
              <w:jc w:val="center"/>
              <w:rPr>
                <w:rFonts w:hint="eastAsia" w:ascii="宋体" w:hAnsi="宋体" w:eastAsia="宋体" w:cs="宋体"/>
                <w:kern w:val="0"/>
                <w:szCs w:val="21"/>
              </w:rPr>
            </w:pPr>
          </w:p>
        </w:tc>
        <w:tc>
          <w:tcPr>
            <w:tcW w:w="2451"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 xml:space="preserve">  其他资金</w:t>
            </w:r>
          </w:p>
        </w:tc>
        <w:tc>
          <w:tcPr>
            <w:tcW w:w="852" w:type="dxa"/>
            <w:vAlign w:val="center"/>
          </w:tcPr>
          <w:p>
            <w:pPr>
              <w:widowControl/>
              <w:spacing w:after="0" w:line="240" w:lineRule="exact"/>
              <w:jc w:val="center"/>
              <w:rPr>
                <w:rFonts w:hint="eastAsia" w:ascii="宋体" w:hAnsi="宋体" w:eastAsia="宋体" w:cs="宋体"/>
                <w:kern w:val="0"/>
                <w:szCs w:val="21"/>
              </w:rPr>
            </w:pPr>
          </w:p>
        </w:tc>
        <w:tc>
          <w:tcPr>
            <w:tcW w:w="1005" w:type="dxa"/>
            <w:gridSpan w:val="2"/>
            <w:vAlign w:val="center"/>
          </w:tcPr>
          <w:p>
            <w:pPr>
              <w:widowControl/>
              <w:spacing w:after="0" w:line="240" w:lineRule="exact"/>
              <w:jc w:val="center"/>
              <w:rPr>
                <w:rFonts w:hint="eastAsia" w:ascii="宋体" w:hAnsi="宋体" w:eastAsia="宋体" w:cs="宋体"/>
                <w:kern w:val="0"/>
                <w:szCs w:val="21"/>
              </w:rPr>
            </w:pPr>
          </w:p>
        </w:tc>
        <w:tc>
          <w:tcPr>
            <w:tcW w:w="1127" w:type="dxa"/>
            <w:gridSpan w:val="2"/>
            <w:vAlign w:val="center"/>
          </w:tcPr>
          <w:p>
            <w:pPr>
              <w:widowControl/>
              <w:spacing w:after="0" w:line="240" w:lineRule="exact"/>
              <w:jc w:val="center"/>
              <w:rPr>
                <w:rFonts w:hint="eastAsia" w:ascii="宋体" w:hAnsi="宋体" w:eastAsia="宋体" w:cs="宋体"/>
                <w:kern w:val="0"/>
                <w:szCs w:val="21"/>
              </w:rPr>
            </w:pPr>
          </w:p>
        </w:tc>
        <w:tc>
          <w:tcPr>
            <w:tcW w:w="704"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w:t>
            </w:r>
          </w:p>
        </w:tc>
        <w:tc>
          <w:tcPr>
            <w:tcW w:w="846" w:type="dxa"/>
            <w:gridSpan w:val="2"/>
            <w:vAlign w:val="center"/>
          </w:tcPr>
          <w:p>
            <w:pPr>
              <w:widowControl/>
              <w:spacing w:after="0" w:line="240" w:lineRule="exact"/>
              <w:jc w:val="center"/>
              <w:rPr>
                <w:rFonts w:hint="eastAsia" w:ascii="宋体" w:hAnsi="宋体" w:eastAsia="宋体" w:cs="宋体"/>
                <w:kern w:val="0"/>
                <w:szCs w:val="21"/>
              </w:rPr>
            </w:pPr>
          </w:p>
        </w:tc>
        <w:tc>
          <w:tcPr>
            <w:tcW w:w="710"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585"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年度总体目标</w:t>
            </w:r>
          </w:p>
        </w:tc>
        <w:tc>
          <w:tcPr>
            <w:tcW w:w="5066" w:type="dxa"/>
            <w:gridSpan w:val="6"/>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预期目标</w:t>
            </w:r>
          </w:p>
        </w:tc>
        <w:tc>
          <w:tcPr>
            <w:tcW w:w="3387" w:type="dxa"/>
            <w:gridSpan w:val="7"/>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5066" w:type="dxa"/>
            <w:gridSpan w:val="6"/>
            <w:vAlign w:val="center"/>
          </w:tcPr>
          <w:p>
            <w:pPr>
              <w:widowControl/>
              <w:spacing w:after="0" w:line="240" w:lineRule="exact"/>
              <w:jc w:val="left"/>
              <w:rPr>
                <w:rFonts w:hint="eastAsia" w:ascii="宋体" w:hAnsi="宋体" w:eastAsia="宋体" w:cs="宋体"/>
                <w:kern w:val="0"/>
                <w:szCs w:val="21"/>
              </w:rPr>
            </w:pPr>
            <w:r>
              <w:rPr>
                <w:rFonts w:hint="eastAsia" w:ascii="宋体" w:hAnsi="宋体" w:eastAsia="宋体" w:cs="宋体"/>
                <w:kern w:val="0"/>
                <w:szCs w:val="21"/>
              </w:rPr>
              <w:t>通过聘请法律顾问切实维护我局和直属单位相关法律权益。</w:t>
            </w:r>
          </w:p>
          <w:p>
            <w:pPr>
              <w:widowControl/>
              <w:spacing w:after="0" w:line="240" w:lineRule="exact"/>
              <w:jc w:val="left"/>
              <w:rPr>
                <w:rFonts w:hint="eastAsia" w:ascii="宋体" w:hAnsi="宋体" w:eastAsia="宋体" w:cs="宋体"/>
                <w:kern w:val="0"/>
                <w:szCs w:val="21"/>
              </w:rPr>
            </w:pPr>
            <w:r>
              <w:rPr>
                <w:rFonts w:hint="eastAsia" w:ascii="宋体" w:hAnsi="宋体" w:eastAsia="宋体" w:cs="宋体"/>
                <w:kern w:val="0"/>
                <w:szCs w:val="21"/>
              </w:rPr>
              <w:t>协助完成2024年度各项普法任务。</w:t>
            </w:r>
          </w:p>
        </w:tc>
        <w:tc>
          <w:tcPr>
            <w:tcW w:w="3387" w:type="dxa"/>
            <w:gridSpan w:val="7"/>
            <w:vAlign w:val="center"/>
          </w:tcPr>
          <w:p>
            <w:pPr>
              <w:widowControl/>
              <w:spacing w:after="0" w:line="240" w:lineRule="exact"/>
              <w:jc w:val="left"/>
              <w:rPr>
                <w:rFonts w:hint="eastAsia" w:ascii="宋体" w:hAnsi="宋体" w:eastAsia="宋体" w:cs="宋体"/>
                <w:kern w:val="0"/>
                <w:szCs w:val="21"/>
              </w:rPr>
            </w:pPr>
            <w:r>
              <w:rPr>
                <w:rFonts w:hint="eastAsia" w:ascii="宋体" w:hAnsi="宋体" w:eastAsia="宋体" w:cs="宋体"/>
                <w:kern w:val="0"/>
                <w:szCs w:val="21"/>
              </w:rPr>
              <w:t>已通过聘请法律顾问切实维护我局和直属单位相关法律权益。</w:t>
            </w:r>
          </w:p>
          <w:p>
            <w:pPr>
              <w:widowControl/>
              <w:spacing w:after="0" w:line="240" w:lineRule="exact"/>
              <w:jc w:val="left"/>
              <w:rPr>
                <w:rFonts w:hint="eastAsia" w:ascii="宋体" w:hAnsi="宋体" w:eastAsia="宋体" w:cs="宋体"/>
                <w:kern w:val="0"/>
                <w:szCs w:val="21"/>
              </w:rPr>
            </w:pPr>
            <w:r>
              <w:rPr>
                <w:rFonts w:hint="eastAsia" w:ascii="宋体" w:hAnsi="宋体" w:eastAsia="宋体" w:cs="宋体"/>
                <w:kern w:val="0"/>
                <w:szCs w:val="21"/>
              </w:rPr>
              <w:t>已协助完成2024年度各项普法任务。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exact"/>
          <w:jc w:val="center"/>
        </w:trPr>
        <w:tc>
          <w:tcPr>
            <w:tcW w:w="585"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绩</w:t>
            </w:r>
            <w:r>
              <w:rPr>
                <w:rFonts w:hint="eastAsia" w:ascii="宋体" w:hAnsi="宋体" w:eastAsia="宋体" w:cs="宋体"/>
                <w:kern w:val="0"/>
                <w:szCs w:val="21"/>
              </w:rPr>
              <w:br w:type="textWrapping"/>
            </w:r>
            <w:r>
              <w:rPr>
                <w:rFonts w:hint="eastAsia" w:ascii="宋体" w:hAnsi="宋体" w:eastAsia="宋体" w:cs="宋体"/>
                <w:kern w:val="0"/>
                <w:szCs w:val="21"/>
              </w:rPr>
              <w:t>效</w:t>
            </w:r>
            <w:r>
              <w:rPr>
                <w:rFonts w:hint="eastAsia" w:ascii="宋体" w:hAnsi="宋体" w:eastAsia="宋体" w:cs="宋体"/>
                <w:kern w:val="0"/>
                <w:szCs w:val="21"/>
              </w:rPr>
              <w:br w:type="textWrapping"/>
            </w:r>
            <w:r>
              <w:rPr>
                <w:rFonts w:hint="eastAsia" w:ascii="宋体" w:hAnsi="宋体" w:eastAsia="宋体" w:cs="宋体"/>
                <w:kern w:val="0"/>
                <w:szCs w:val="21"/>
              </w:rPr>
              <w:t>指</w:t>
            </w:r>
            <w:r>
              <w:rPr>
                <w:rFonts w:hint="eastAsia" w:ascii="宋体" w:hAnsi="宋体" w:eastAsia="宋体" w:cs="宋体"/>
                <w:kern w:val="0"/>
                <w:szCs w:val="21"/>
              </w:rPr>
              <w:br w:type="textWrapping"/>
            </w:r>
            <w:r>
              <w:rPr>
                <w:rFonts w:hint="eastAsia" w:ascii="宋体" w:hAnsi="宋体" w:eastAsia="宋体" w:cs="宋体"/>
                <w:kern w:val="0"/>
                <w:szCs w:val="21"/>
              </w:rPr>
              <w:t>标</w:t>
            </w:r>
          </w:p>
        </w:tc>
        <w:tc>
          <w:tcPr>
            <w:tcW w:w="75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一级指标</w:t>
            </w:r>
          </w:p>
        </w:tc>
        <w:tc>
          <w:tcPr>
            <w:tcW w:w="1322"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二级指标</w:t>
            </w: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三级指标</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年度</w:t>
            </w:r>
          </w:p>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指标值</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实际</w:t>
            </w:r>
          </w:p>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完成值</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分值</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得分</w:t>
            </w:r>
          </w:p>
        </w:tc>
        <w:tc>
          <w:tcPr>
            <w:tcW w:w="1294"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偏差原因分析及改进</w:t>
            </w:r>
          </w:p>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产出指标</w:t>
            </w:r>
          </w:p>
          <w:p>
            <w:pPr>
              <w:widowControl/>
              <w:spacing w:after="0" w:line="240" w:lineRule="exact"/>
              <w:jc w:val="center"/>
              <w:rPr>
                <w:rFonts w:hint="eastAsia" w:ascii="宋体" w:hAnsi="宋体" w:eastAsia="宋体" w:cs="宋体"/>
                <w:kern w:val="0"/>
                <w:szCs w:val="21"/>
              </w:rPr>
            </w:pPr>
          </w:p>
        </w:tc>
        <w:tc>
          <w:tcPr>
            <w:tcW w:w="1322"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数量指标</w:t>
            </w: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委托律师师事务所数量</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2个</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2个</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普法宣传材料印刷</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≥1.8万份</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1.8万份</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协助开展“法律十进”活动</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≥10场</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19场</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驻派人员数量</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=1人</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1人</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质量指标</w:t>
            </w: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“法律十进”活动参与率</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≥90%</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95%</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法律顾问服务工作完成度</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普法工作完成率</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时效指标</w:t>
            </w: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按照合同约定执行</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9</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9</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ascii="宋体" w:hAnsi="宋体" w:eastAsia="宋体" w:cs="宋体"/>
                <w:kern w:val="0"/>
                <w:szCs w:val="21"/>
              </w:rPr>
              <w:t>合同普查及时率</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100%</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4</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效益指标</w:t>
            </w:r>
          </w:p>
        </w:tc>
        <w:tc>
          <w:tcPr>
            <w:tcW w:w="1322"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社会效益指标</w:t>
            </w: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提升医保系统工作人员依法决策、依法行政、依法办事能力</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提升</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得到提升</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5</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5</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通过普法宣传提升医保政策知晓度和社会法制意识</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提升</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得到提升</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5</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5</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有效降低医保局业务活动的法律风险</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有效降低</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有效降低</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5</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5</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可持续影响指标</w:t>
            </w: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积极稳妥推动首都医疗保障事业高质量发展</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提升</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得到提升</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15</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15</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满意度指标</w:t>
            </w:r>
          </w:p>
        </w:tc>
        <w:tc>
          <w:tcPr>
            <w:tcW w:w="1322"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服务对象满意度指标</w:t>
            </w: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单位满意度</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≥90%</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95%</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10</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成本指标</w:t>
            </w:r>
          </w:p>
        </w:tc>
        <w:tc>
          <w:tcPr>
            <w:tcW w:w="1322" w:type="dxa"/>
            <w:vMerge w:val="restart"/>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经济成本</w:t>
            </w:r>
          </w:p>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指标</w:t>
            </w:r>
          </w:p>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法律顾问服务2023-2024年度尾款成本</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≤21.1万元</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21.1万元</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3</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3</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法律顾问服务2024-2025年度首款成本</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Arial" w:hAnsi="Arial" w:eastAsia="宋体" w:cs="Arial"/>
                <w:kern w:val="0"/>
                <w:szCs w:val="21"/>
              </w:rPr>
              <w:t>≤</w:t>
            </w:r>
            <w:r>
              <w:rPr>
                <w:rFonts w:hint="eastAsia" w:ascii="宋体" w:hAnsi="宋体" w:eastAsia="宋体" w:cs="宋体"/>
                <w:kern w:val="0"/>
                <w:szCs w:val="21"/>
              </w:rPr>
              <w:t>28万元</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28万元</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3</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3</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585" w:type="dxa"/>
            <w:vMerge w:val="continue"/>
            <w:vAlign w:val="center"/>
          </w:tcPr>
          <w:p>
            <w:pPr>
              <w:widowControl/>
              <w:spacing w:after="0" w:line="240" w:lineRule="exact"/>
              <w:jc w:val="center"/>
              <w:rPr>
                <w:rFonts w:hint="eastAsia" w:ascii="宋体" w:hAnsi="宋体" w:eastAsia="宋体" w:cs="宋体"/>
                <w:kern w:val="0"/>
                <w:szCs w:val="21"/>
              </w:rPr>
            </w:pPr>
          </w:p>
        </w:tc>
        <w:tc>
          <w:tcPr>
            <w:tcW w:w="758" w:type="dxa"/>
            <w:vMerge w:val="continue"/>
            <w:vAlign w:val="center"/>
          </w:tcPr>
          <w:p>
            <w:pPr>
              <w:widowControl/>
              <w:spacing w:after="0" w:line="240" w:lineRule="exact"/>
              <w:jc w:val="center"/>
              <w:rPr>
                <w:rFonts w:hint="eastAsia" w:ascii="宋体" w:hAnsi="宋体" w:eastAsia="宋体" w:cs="宋体"/>
                <w:kern w:val="0"/>
                <w:szCs w:val="21"/>
              </w:rPr>
            </w:pPr>
          </w:p>
        </w:tc>
        <w:tc>
          <w:tcPr>
            <w:tcW w:w="1322" w:type="dxa"/>
            <w:vMerge w:val="continue"/>
            <w:vAlign w:val="center"/>
          </w:tcPr>
          <w:p>
            <w:pPr>
              <w:widowControl/>
              <w:spacing w:after="0" w:line="240" w:lineRule="exact"/>
              <w:jc w:val="center"/>
              <w:rPr>
                <w:rFonts w:hint="eastAsia" w:ascii="宋体" w:hAnsi="宋体" w:eastAsia="宋体" w:cs="宋体"/>
                <w:kern w:val="0"/>
                <w:szCs w:val="21"/>
              </w:rPr>
            </w:pPr>
          </w:p>
        </w:tc>
        <w:tc>
          <w:tcPr>
            <w:tcW w:w="2137" w:type="dxa"/>
            <w:gridSpan w:val="3"/>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普法宣传服务成本</w:t>
            </w:r>
          </w:p>
        </w:tc>
        <w:tc>
          <w:tcPr>
            <w:tcW w:w="849"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≤24.4万元</w:t>
            </w:r>
          </w:p>
        </w:tc>
        <w:tc>
          <w:tcPr>
            <w:tcW w:w="848" w:type="dxa"/>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24.4万元</w:t>
            </w:r>
          </w:p>
        </w:tc>
        <w:tc>
          <w:tcPr>
            <w:tcW w:w="563"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3</w:t>
            </w:r>
          </w:p>
        </w:tc>
        <w:tc>
          <w:tcPr>
            <w:tcW w:w="682" w:type="dxa"/>
            <w:gridSpan w:val="2"/>
            <w:vAlign w:val="center"/>
          </w:tcPr>
          <w:p>
            <w:pPr>
              <w:widowControl/>
              <w:spacing w:after="0" w:line="240" w:lineRule="exact"/>
              <w:jc w:val="center"/>
              <w:rPr>
                <w:rFonts w:hint="eastAsia" w:ascii="宋体" w:hAnsi="宋体" w:eastAsia="宋体" w:cs="宋体"/>
                <w:kern w:val="0"/>
                <w:szCs w:val="21"/>
              </w:rPr>
            </w:pPr>
            <w:r>
              <w:rPr>
                <w:rFonts w:hint="eastAsia" w:ascii="宋体" w:hAnsi="宋体" w:eastAsia="宋体" w:cs="宋体"/>
                <w:kern w:val="0"/>
                <w:szCs w:val="21"/>
              </w:rPr>
              <w:t>3</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jc w:val="center"/>
        </w:trPr>
        <w:tc>
          <w:tcPr>
            <w:tcW w:w="6499" w:type="dxa"/>
            <w:gridSpan w:val="8"/>
            <w:vAlign w:val="center"/>
          </w:tcPr>
          <w:p>
            <w:pPr>
              <w:widowControl/>
              <w:spacing w:after="0" w:line="240" w:lineRule="exact"/>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总分</w:t>
            </w:r>
          </w:p>
        </w:tc>
        <w:tc>
          <w:tcPr>
            <w:tcW w:w="563" w:type="dxa"/>
            <w:gridSpan w:val="2"/>
            <w:vAlign w:val="center"/>
          </w:tcPr>
          <w:p>
            <w:pPr>
              <w:widowControl/>
              <w:spacing w:after="0" w:line="240" w:lineRule="exact"/>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100</w:t>
            </w:r>
          </w:p>
        </w:tc>
        <w:tc>
          <w:tcPr>
            <w:tcW w:w="682" w:type="dxa"/>
            <w:gridSpan w:val="2"/>
            <w:vAlign w:val="center"/>
          </w:tcPr>
          <w:p>
            <w:pPr>
              <w:widowControl/>
              <w:spacing w:after="0" w:line="240" w:lineRule="exact"/>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100</w:t>
            </w:r>
          </w:p>
        </w:tc>
        <w:tc>
          <w:tcPr>
            <w:tcW w:w="1294" w:type="dxa"/>
            <w:gridSpan w:val="2"/>
            <w:vAlign w:val="center"/>
          </w:tcPr>
          <w:p>
            <w:pPr>
              <w:widowControl/>
              <w:spacing w:after="0" w:line="240" w:lineRule="exact"/>
              <w:jc w:val="center"/>
              <w:rPr>
                <w:rFonts w:hint="eastAsia" w:ascii="宋体" w:hAnsi="宋体" w:eastAsia="宋体" w:cs="宋体"/>
                <w:kern w:val="0"/>
                <w:szCs w:val="21"/>
              </w:rPr>
            </w:pPr>
          </w:p>
        </w:tc>
      </w:tr>
    </w:tbl>
    <w:p>
      <w:pPr>
        <w:spacing w:after="0"/>
        <w:rPr>
          <w:rFonts w:ascii="仿宋_GB2312" w:eastAsia="仿宋_GB2312"/>
          <w:vanish/>
          <w:sz w:val="32"/>
          <w:szCs w:val="32"/>
        </w:rPr>
      </w:pPr>
    </w:p>
    <w:p>
      <w:pPr>
        <w:spacing w:after="0" w:line="560" w:lineRule="exact"/>
        <w:rPr>
          <w:rFonts w:hint="eastAsia" w:ascii="仿宋_GB2312" w:hAnsi="仿宋_GB2312" w:eastAsia="仿宋_GB2312" w:cs="仿宋_GB2312"/>
          <w:sz w:val="32"/>
          <w:szCs w:val="32"/>
        </w:rPr>
      </w:pPr>
      <w:r>
        <w:rPr>
          <w:rFonts w:hint="eastAsia" w:ascii="宋体" w:hAnsi="宋体" w:eastAsia="宋体" w:cs="宋体"/>
          <w:szCs w:val="21"/>
        </w:rPr>
        <w:t>备注：绩效指标各条分值请按照预算项目绩效目标表绩效指标权重及实际完成情况进行自评</w:t>
      </w:r>
      <w:bookmarkStart w:id="0" w:name="_GoBack"/>
      <w:bookmarkEnd w:id="0"/>
      <w:r>
        <w:rPr>
          <w:rFonts w:hint="eastAsia" w:ascii="宋体" w:hAnsi="宋体" w:eastAsia="宋体" w:cs="宋体"/>
          <w:szCs w:val="21"/>
        </w:rPr>
        <w:t>计分。</w:t>
      </w:r>
    </w:p>
    <w:sectPr>
      <w:footerReference r:id="rId6" w:type="first"/>
      <w:footerReference r:id="rId5" w:type="default"/>
      <w:pgSz w:w="11906" w:h="16838"/>
      <w:pgMar w:top="1701" w:right="1474" w:bottom="1134" w:left="1474" w:header="851" w:footer="992" w:gutter="0"/>
      <w:pgNumType w:fmt="numberInDash"/>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8u0WxYCAAAbBAAADgAAAAAAAAABACAAAAA1AQAAZHJzL2Uyb0RvYy54bWxQSwUGAAAAAAYA&#10;BgBZAQAAvQUAAAAA&#10;">
              <v:fill on="f" focussize="0,0"/>
              <v:stroke on="f" weight="0.5pt"/>
              <v:imagedata o:title=""/>
              <o:lock v:ext="edit" aspectratio="f"/>
              <v:textbox inset="0mm,0mm,0mm,0mm" style="mso-fit-shape-to-text:t;">
                <w:txbxContent>
                  <w:p>
                    <w:pPr>
                      <w:pStyle w:val="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85"/>
    <w:rsid w:val="002B5A1F"/>
    <w:rsid w:val="00664B15"/>
    <w:rsid w:val="007427BD"/>
    <w:rsid w:val="00A746BF"/>
    <w:rsid w:val="00E51085"/>
    <w:rsid w:val="00F467CF"/>
    <w:rsid w:val="17D72C48"/>
    <w:rsid w:val="17DD1E2F"/>
    <w:rsid w:val="1BDA1609"/>
    <w:rsid w:val="21E27D5B"/>
    <w:rsid w:val="3537D635"/>
    <w:rsid w:val="37324859"/>
    <w:rsid w:val="37FF6850"/>
    <w:rsid w:val="39F1631D"/>
    <w:rsid w:val="3EFEA0D5"/>
    <w:rsid w:val="4F5722DB"/>
    <w:rsid w:val="536F7DF5"/>
    <w:rsid w:val="55C845DA"/>
    <w:rsid w:val="579FC9B3"/>
    <w:rsid w:val="5BFEF6FC"/>
    <w:rsid w:val="5EFF56B7"/>
    <w:rsid w:val="5F5CD534"/>
    <w:rsid w:val="5F7FB086"/>
    <w:rsid w:val="5FFA53A4"/>
    <w:rsid w:val="5FFF4234"/>
    <w:rsid w:val="65736BA6"/>
    <w:rsid w:val="6B8B1113"/>
    <w:rsid w:val="6DEB98E6"/>
    <w:rsid w:val="6DFB221F"/>
    <w:rsid w:val="6EEBE936"/>
    <w:rsid w:val="6F190D49"/>
    <w:rsid w:val="6F6FC577"/>
    <w:rsid w:val="6FE78C22"/>
    <w:rsid w:val="6FFD501D"/>
    <w:rsid w:val="777D2156"/>
    <w:rsid w:val="78B97659"/>
    <w:rsid w:val="7FB680AE"/>
    <w:rsid w:val="7FBB60F9"/>
    <w:rsid w:val="7FEF8405"/>
    <w:rsid w:val="7FF22199"/>
    <w:rsid w:val="7FFE8EFB"/>
    <w:rsid w:val="7FFFFC84"/>
    <w:rsid w:val="9C78A582"/>
    <w:rsid w:val="ABDE22F6"/>
    <w:rsid w:val="AF7458B4"/>
    <w:rsid w:val="B9FB1D4D"/>
    <w:rsid w:val="BA7B23C6"/>
    <w:rsid w:val="BD777447"/>
    <w:rsid w:val="BEDFD2E3"/>
    <w:rsid w:val="BFEB1D7B"/>
    <w:rsid w:val="D5BB2475"/>
    <w:rsid w:val="D7D3B99F"/>
    <w:rsid w:val="DBBE43FA"/>
    <w:rsid w:val="DC37E72D"/>
    <w:rsid w:val="DEDE3D4B"/>
    <w:rsid w:val="DEFBD86F"/>
    <w:rsid w:val="E6E525AF"/>
    <w:rsid w:val="E7FEEFF3"/>
    <w:rsid w:val="EDBFB67C"/>
    <w:rsid w:val="EF7E1B7E"/>
    <w:rsid w:val="EFBFBDCF"/>
    <w:rsid w:val="F3FDFEA8"/>
    <w:rsid w:val="F538DCE7"/>
    <w:rsid w:val="F7D7418A"/>
    <w:rsid w:val="FB74730C"/>
    <w:rsid w:val="FB7BDC8B"/>
    <w:rsid w:val="FBEA792F"/>
    <w:rsid w:val="FE794C3E"/>
    <w:rsid w:val="FF399032"/>
    <w:rsid w:val="FF783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eastAsia="宋体"/>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516</Words>
  <Characters>610</Characters>
  <Lines>305</Lines>
  <Paragraphs>187</Paragraphs>
  <TotalTime>269</TotalTime>
  <ScaleCrop>false</ScaleCrop>
  <LinksUpToDate>false</LinksUpToDate>
  <CharactersWithSpaces>939</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2021-09-08T14:11:00Z</dcterms:created>
  <dc:creator>tmh</dc:creator>
  <cp:lastModifiedBy>张瑞</cp:lastModifiedBy>
  <cp:lastPrinted>2025-03-25T23:53:00Z</cp:lastPrinted>
  <dcterms:modified xsi:type="dcterms:W3CDTF">2025-08-21T14:50:28Z</dcterms:modified>
  <dc:title>北京市医疗保障局 承办单位</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