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30"/>
          <w:szCs w:val="30"/>
        </w:rPr>
      </w:pPr>
      <w:r>
        <w:rPr>
          <w:rFonts w:hint="eastAsia" w:ascii="仿宋_GB2312" w:hAnsi="宋体" w:eastAsia="仿宋_GB2312"/>
          <w:sz w:val="28"/>
          <w:szCs w:val="28"/>
        </w:rPr>
        <w:t>（</w:t>
      </w:r>
      <w:r>
        <w:rPr>
          <w:rFonts w:hint="eastAsia" w:ascii="仿宋_GB2312" w:hAnsi="宋体" w:eastAsia="仿宋_GB2312"/>
          <w:sz w:val="28"/>
          <w:szCs w:val="28"/>
          <w:lang w:val="en-US" w:eastAsia="zh-CN"/>
        </w:rPr>
        <w:t>2024</w:t>
      </w:r>
      <w:r>
        <w:rPr>
          <w:rFonts w:hint="eastAsia" w:ascii="仿宋_GB2312" w:hAnsi="宋体" w:eastAsia="仿宋_GB2312"/>
          <w:sz w:val="28"/>
          <w:szCs w:val="28"/>
        </w:rPr>
        <w:t>年度）</w:t>
      </w:r>
    </w:p>
    <w:tbl>
      <w:tblPr>
        <w:tblStyle w:val="3"/>
        <w:tblW w:w="9038" w:type="dxa"/>
        <w:jc w:val="center"/>
        <w:tblLayout w:type="fixed"/>
        <w:tblCellMar>
          <w:top w:w="0" w:type="dxa"/>
          <w:left w:w="108" w:type="dxa"/>
          <w:bottom w:w="0" w:type="dxa"/>
          <w:right w:w="108" w:type="dxa"/>
        </w:tblCellMar>
      </w:tblPr>
      <w:tblGrid>
        <w:gridCol w:w="505"/>
        <w:gridCol w:w="833"/>
        <w:gridCol w:w="1327"/>
        <w:gridCol w:w="590"/>
        <w:gridCol w:w="1317"/>
        <w:gridCol w:w="1066"/>
        <w:gridCol w:w="861"/>
        <w:gridCol w:w="279"/>
        <w:gridCol w:w="284"/>
        <w:gridCol w:w="420"/>
        <w:gridCol w:w="232"/>
        <w:gridCol w:w="614"/>
        <w:gridCol w:w="710"/>
      </w:tblGrid>
      <w:tr>
        <w:tblPrEx>
          <w:tblCellMar>
            <w:top w:w="0" w:type="dxa"/>
            <w:left w:w="108" w:type="dxa"/>
            <w:bottom w:w="0" w:type="dxa"/>
            <w:right w:w="108" w:type="dxa"/>
          </w:tblCellMar>
        </w:tblPrEx>
        <w:trPr>
          <w:trHeight w:val="340" w:hRule="atLeast"/>
          <w:jc w:val="center"/>
        </w:trPr>
        <w:tc>
          <w:tcPr>
            <w:tcW w:w="133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项目名称</w:t>
            </w:r>
          </w:p>
        </w:tc>
        <w:tc>
          <w:tcPr>
            <w:tcW w:w="7700" w:type="dxa"/>
            <w:gridSpan w:val="11"/>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总额预算管理BJ-GBI经费</w:t>
            </w:r>
          </w:p>
        </w:tc>
      </w:tr>
      <w:tr>
        <w:tblPrEx>
          <w:tblCellMar>
            <w:top w:w="0" w:type="dxa"/>
            <w:left w:w="108" w:type="dxa"/>
            <w:bottom w:w="0" w:type="dxa"/>
            <w:right w:w="108" w:type="dxa"/>
          </w:tblCellMar>
        </w:tblPrEx>
        <w:trPr>
          <w:trHeight w:val="340" w:hRule="atLeast"/>
          <w:jc w:val="center"/>
        </w:trPr>
        <w:tc>
          <w:tcPr>
            <w:tcW w:w="133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主管部门</w:t>
            </w:r>
          </w:p>
        </w:tc>
        <w:tc>
          <w:tcPr>
            <w:tcW w:w="4300"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北京市医疗保障局</w:t>
            </w:r>
          </w:p>
        </w:tc>
        <w:tc>
          <w:tcPr>
            <w:tcW w:w="114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实施单位</w:t>
            </w:r>
          </w:p>
        </w:tc>
        <w:tc>
          <w:tcPr>
            <w:tcW w:w="2260"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北京市医疗保险事务管理中心</w:t>
            </w:r>
          </w:p>
        </w:tc>
      </w:tr>
      <w:tr>
        <w:tblPrEx>
          <w:tblCellMar>
            <w:top w:w="0" w:type="dxa"/>
            <w:left w:w="108" w:type="dxa"/>
            <w:bottom w:w="0" w:type="dxa"/>
            <w:right w:w="108" w:type="dxa"/>
          </w:tblCellMar>
        </w:tblPrEx>
        <w:trPr>
          <w:trHeight w:val="567" w:hRule="exact"/>
          <w:jc w:val="center"/>
        </w:trPr>
        <w:tc>
          <w:tcPr>
            <w:tcW w:w="1338"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bookmarkStart w:id="0" w:name="_GoBack"/>
            <w:bookmarkEnd w:id="0"/>
            <w:r>
              <w:rPr>
                <w:rFonts w:hint="eastAsia" w:ascii="仿宋_GB2312" w:hAnsi="宋体" w:eastAsia="仿宋_GB2312" w:cs="宋体"/>
                <w:kern w:val="0"/>
                <w:sz w:val="18"/>
                <w:szCs w:val="18"/>
              </w:rPr>
              <w:t>项目资金</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（万元）</w:t>
            </w:r>
          </w:p>
        </w:tc>
        <w:tc>
          <w:tcPr>
            <w:tcW w:w="191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31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仿宋_GB2312" w:hAnsi="宋体" w:eastAsia="仿宋_GB2312" w:cs="宋体"/>
                <w:kern w:val="0"/>
                <w:sz w:val="18"/>
                <w:szCs w:val="18"/>
              </w:rPr>
            </w:pPr>
            <w:r>
              <w:rPr>
                <w:rFonts w:hint="eastAsia" w:ascii="仿宋_GB2312" w:hAnsi="宋体" w:eastAsia="仿宋_GB2312" w:cs="宋体"/>
                <w:kern w:val="0"/>
                <w:sz w:val="18"/>
                <w:szCs w:val="18"/>
              </w:rPr>
              <w:t>年初预</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算数</w:t>
            </w:r>
          </w:p>
        </w:tc>
        <w:tc>
          <w:tcPr>
            <w:tcW w:w="1066"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仿宋_GB2312" w:hAnsi="宋体" w:eastAsia="仿宋_GB2312" w:cs="宋体"/>
                <w:kern w:val="0"/>
                <w:sz w:val="18"/>
                <w:szCs w:val="18"/>
              </w:rPr>
            </w:pPr>
            <w:r>
              <w:rPr>
                <w:rFonts w:hint="eastAsia" w:ascii="仿宋_GB2312" w:hAnsi="宋体" w:eastAsia="仿宋_GB2312" w:cs="宋体"/>
                <w:kern w:val="0"/>
                <w:sz w:val="18"/>
                <w:szCs w:val="18"/>
              </w:rPr>
              <w:t>全年预</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算数</w:t>
            </w:r>
          </w:p>
        </w:tc>
        <w:tc>
          <w:tcPr>
            <w:tcW w:w="114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仿宋_GB2312" w:hAnsi="宋体" w:eastAsia="仿宋_GB2312" w:cs="宋体"/>
                <w:kern w:val="0"/>
                <w:sz w:val="18"/>
                <w:szCs w:val="18"/>
              </w:rPr>
            </w:pPr>
            <w:r>
              <w:rPr>
                <w:rFonts w:hint="eastAsia" w:ascii="仿宋_GB2312" w:hAnsi="宋体" w:eastAsia="仿宋_GB2312" w:cs="宋体"/>
                <w:kern w:val="0"/>
                <w:sz w:val="18"/>
                <w:szCs w:val="18"/>
              </w:rPr>
              <w:t>全年</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执行数</w:t>
            </w:r>
          </w:p>
        </w:tc>
        <w:tc>
          <w:tcPr>
            <w:tcW w:w="704"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分值</w:t>
            </w:r>
          </w:p>
        </w:tc>
        <w:tc>
          <w:tcPr>
            <w:tcW w:w="846"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执行率</w:t>
            </w:r>
          </w:p>
        </w:tc>
        <w:tc>
          <w:tcPr>
            <w:tcW w:w="7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得分</w:t>
            </w:r>
          </w:p>
        </w:tc>
      </w:tr>
      <w:tr>
        <w:tblPrEx>
          <w:tblCellMar>
            <w:top w:w="0" w:type="dxa"/>
            <w:left w:w="108" w:type="dxa"/>
            <w:bottom w:w="0" w:type="dxa"/>
            <w:right w:w="108" w:type="dxa"/>
          </w:tblCellMar>
        </w:tblPrEx>
        <w:trPr>
          <w:trHeight w:val="385" w:hRule="atLeast"/>
          <w:jc w:val="center"/>
        </w:trPr>
        <w:tc>
          <w:tcPr>
            <w:tcW w:w="133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91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年度资金总额</w:t>
            </w:r>
          </w:p>
        </w:tc>
        <w:tc>
          <w:tcPr>
            <w:tcW w:w="131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80.000000</w:t>
            </w:r>
          </w:p>
        </w:tc>
        <w:tc>
          <w:tcPr>
            <w:tcW w:w="1066"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80.000000</w:t>
            </w:r>
          </w:p>
        </w:tc>
        <w:tc>
          <w:tcPr>
            <w:tcW w:w="114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80.000000</w:t>
            </w:r>
          </w:p>
        </w:tc>
        <w:tc>
          <w:tcPr>
            <w:tcW w:w="704"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846"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100%</w:t>
            </w:r>
          </w:p>
        </w:tc>
        <w:tc>
          <w:tcPr>
            <w:tcW w:w="7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r>
      <w:tr>
        <w:tblPrEx>
          <w:tblCellMar>
            <w:top w:w="0" w:type="dxa"/>
            <w:left w:w="108" w:type="dxa"/>
            <w:bottom w:w="0" w:type="dxa"/>
            <w:right w:w="108" w:type="dxa"/>
          </w:tblCellMar>
        </w:tblPrEx>
        <w:trPr>
          <w:trHeight w:val="430" w:hRule="atLeast"/>
          <w:jc w:val="center"/>
        </w:trPr>
        <w:tc>
          <w:tcPr>
            <w:tcW w:w="133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91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其中：当年财政拨款</w:t>
            </w:r>
          </w:p>
        </w:tc>
        <w:tc>
          <w:tcPr>
            <w:tcW w:w="131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80.000000</w:t>
            </w:r>
          </w:p>
        </w:tc>
        <w:tc>
          <w:tcPr>
            <w:tcW w:w="1066"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80.000000</w:t>
            </w:r>
          </w:p>
        </w:tc>
        <w:tc>
          <w:tcPr>
            <w:tcW w:w="114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80.000000</w:t>
            </w:r>
          </w:p>
        </w:tc>
        <w:tc>
          <w:tcPr>
            <w:tcW w:w="704"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w:t>
            </w:r>
          </w:p>
        </w:tc>
        <w:tc>
          <w:tcPr>
            <w:tcW w:w="846"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100%</w:t>
            </w:r>
          </w:p>
        </w:tc>
        <w:tc>
          <w:tcPr>
            <w:tcW w:w="7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w:t>
            </w:r>
          </w:p>
        </w:tc>
      </w:tr>
      <w:tr>
        <w:tblPrEx>
          <w:tblCellMar>
            <w:top w:w="0" w:type="dxa"/>
            <w:left w:w="108" w:type="dxa"/>
            <w:bottom w:w="0" w:type="dxa"/>
            <w:right w:w="108" w:type="dxa"/>
          </w:tblCellMar>
        </w:tblPrEx>
        <w:trPr>
          <w:trHeight w:val="340" w:hRule="atLeast"/>
          <w:jc w:val="center"/>
        </w:trPr>
        <w:tc>
          <w:tcPr>
            <w:tcW w:w="133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91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 xml:space="preserve">      上年结转资金</w:t>
            </w:r>
          </w:p>
        </w:tc>
        <w:tc>
          <w:tcPr>
            <w:tcW w:w="131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066"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14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704"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w:t>
            </w:r>
          </w:p>
        </w:tc>
        <w:tc>
          <w:tcPr>
            <w:tcW w:w="846"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7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w:t>
            </w:r>
          </w:p>
        </w:tc>
      </w:tr>
      <w:tr>
        <w:tblPrEx>
          <w:tblCellMar>
            <w:top w:w="0" w:type="dxa"/>
            <w:left w:w="108" w:type="dxa"/>
            <w:bottom w:w="0" w:type="dxa"/>
            <w:right w:w="108" w:type="dxa"/>
          </w:tblCellMar>
        </w:tblPrEx>
        <w:trPr>
          <w:trHeight w:val="340" w:hRule="atLeast"/>
          <w:jc w:val="center"/>
        </w:trPr>
        <w:tc>
          <w:tcPr>
            <w:tcW w:w="133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91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 xml:space="preserve">  其他资金</w:t>
            </w:r>
          </w:p>
        </w:tc>
        <w:tc>
          <w:tcPr>
            <w:tcW w:w="131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066"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14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704"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w:t>
            </w:r>
          </w:p>
        </w:tc>
        <w:tc>
          <w:tcPr>
            <w:tcW w:w="846"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7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w:t>
            </w:r>
          </w:p>
        </w:tc>
      </w:tr>
      <w:tr>
        <w:tblPrEx>
          <w:tblCellMar>
            <w:top w:w="0" w:type="dxa"/>
            <w:left w:w="108" w:type="dxa"/>
            <w:bottom w:w="0" w:type="dxa"/>
            <w:right w:w="108" w:type="dxa"/>
          </w:tblCellMar>
        </w:tblPrEx>
        <w:trPr>
          <w:trHeight w:val="285" w:hRule="atLeast"/>
          <w:jc w:val="center"/>
        </w:trPr>
        <w:tc>
          <w:tcPr>
            <w:tcW w:w="505"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年度总体目标</w:t>
            </w:r>
          </w:p>
        </w:tc>
        <w:tc>
          <w:tcPr>
            <w:tcW w:w="4067"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预期目标</w:t>
            </w:r>
          </w:p>
        </w:tc>
        <w:tc>
          <w:tcPr>
            <w:tcW w:w="4466" w:type="dxa"/>
            <w:gridSpan w:val="8"/>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实际完成情况</w:t>
            </w:r>
          </w:p>
        </w:tc>
      </w:tr>
      <w:tr>
        <w:tblPrEx>
          <w:tblCellMar>
            <w:top w:w="0" w:type="dxa"/>
            <w:left w:w="108" w:type="dxa"/>
            <w:bottom w:w="0" w:type="dxa"/>
            <w:right w:w="108" w:type="dxa"/>
          </w:tblCellMar>
        </w:tblPrEx>
        <w:trPr>
          <w:trHeight w:val="1922" w:hRule="exact"/>
          <w:jc w:val="center"/>
        </w:trPr>
        <w:tc>
          <w:tcPr>
            <w:tcW w:w="505"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4067"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持续完善BJ-GBI（BeiJing Medical Insurance Global Budget Index Model）数学模型及质量评价体系，完成项目年度总额预付医疗机构质量考核评分和趋势预测指标测算等工作，进一步提升总额预算管理工作的精细化和科学化水平</w:t>
            </w:r>
            <w:r>
              <w:rPr>
                <w:rFonts w:hint="eastAsia" w:ascii="仿宋_GB2312" w:hAnsi="宋体" w:eastAsia="仿宋_GB2312" w:cs="宋体"/>
                <w:kern w:val="0"/>
                <w:sz w:val="18"/>
                <w:szCs w:val="18"/>
                <w:lang w:eastAsia="zh-CN"/>
              </w:rPr>
              <w:t>，</w:t>
            </w:r>
            <w:r>
              <w:rPr>
                <w:rFonts w:hint="eastAsia" w:ascii="仿宋_GB2312" w:hAnsi="宋体" w:eastAsia="仿宋_GB2312" w:cs="宋体"/>
                <w:kern w:val="0"/>
                <w:sz w:val="18"/>
                <w:szCs w:val="18"/>
              </w:rPr>
              <w:t>提高医保基金使用效率，切实保障广大参保人员基本医疗权益和医保制度长期可持续发展。</w:t>
            </w:r>
          </w:p>
        </w:tc>
        <w:tc>
          <w:tcPr>
            <w:tcW w:w="4466" w:type="dxa"/>
            <w:gridSpan w:val="8"/>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eastAsia="zh-CN"/>
              </w:rPr>
              <w:t>按项目进度要求完成</w:t>
            </w:r>
            <w:r>
              <w:rPr>
                <w:rFonts w:hint="eastAsia" w:ascii="仿宋_GB2312" w:hAnsi="宋体" w:eastAsia="仿宋_GB2312" w:cs="宋体"/>
                <w:kern w:val="0"/>
                <w:sz w:val="18"/>
                <w:szCs w:val="18"/>
                <w:lang w:val="en-US" w:eastAsia="zh-CN"/>
              </w:rPr>
              <w:t>2023年BJ-GBI项目结项及尾款支付，完成2024年BJ-GBI项目比选及首付款支付。进一步优化完善了数学模型和质量评价体系，完成了</w:t>
            </w:r>
            <w:r>
              <w:rPr>
                <w:rFonts w:hint="eastAsia" w:ascii="仿宋_GB2312" w:hAnsi="宋体" w:eastAsia="仿宋_GB2312" w:cs="宋体"/>
                <w:kern w:val="0"/>
                <w:sz w:val="18"/>
                <w:szCs w:val="18"/>
              </w:rPr>
              <w:t>项目年度总额预付医疗机构质量考核评分和趋势预测指标测算等工作</w:t>
            </w:r>
            <w:r>
              <w:rPr>
                <w:rFonts w:hint="eastAsia" w:ascii="仿宋_GB2312" w:hAnsi="宋体" w:eastAsia="仿宋_GB2312" w:cs="宋体"/>
                <w:kern w:val="0"/>
                <w:sz w:val="18"/>
                <w:szCs w:val="18"/>
                <w:lang w:eastAsia="zh-CN"/>
              </w:rPr>
              <w:t>，并用于年终清算和指标下达，</w:t>
            </w:r>
            <w:r>
              <w:rPr>
                <w:rFonts w:hint="eastAsia" w:ascii="仿宋_GB2312" w:hAnsi="宋体" w:eastAsia="仿宋_GB2312" w:cs="宋体"/>
                <w:kern w:val="0"/>
                <w:sz w:val="18"/>
                <w:szCs w:val="18"/>
              </w:rPr>
              <w:t>提升</w:t>
            </w:r>
            <w:r>
              <w:rPr>
                <w:rFonts w:hint="eastAsia" w:ascii="仿宋_GB2312" w:hAnsi="宋体" w:eastAsia="仿宋_GB2312" w:cs="宋体"/>
                <w:kern w:val="0"/>
                <w:sz w:val="18"/>
                <w:szCs w:val="18"/>
                <w:lang w:eastAsia="zh-CN"/>
              </w:rPr>
              <w:t>了</w:t>
            </w:r>
            <w:r>
              <w:rPr>
                <w:rFonts w:hint="eastAsia" w:ascii="仿宋_GB2312" w:hAnsi="宋体" w:eastAsia="仿宋_GB2312" w:cs="宋体"/>
                <w:kern w:val="0"/>
                <w:sz w:val="18"/>
                <w:szCs w:val="18"/>
              </w:rPr>
              <w:t>总额预算管理工作的精细化和科学化水平</w:t>
            </w:r>
            <w:r>
              <w:rPr>
                <w:rFonts w:hint="eastAsia" w:ascii="仿宋_GB2312" w:hAnsi="宋体" w:eastAsia="仿宋_GB2312" w:cs="宋体"/>
                <w:kern w:val="0"/>
                <w:sz w:val="18"/>
                <w:szCs w:val="18"/>
                <w:lang w:eastAsia="zh-CN"/>
              </w:rPr>
              <w:t>，</w:t>
            </w:r>
            <w:r>
              <w:rPr>
                <w:rFonts w:hint="eastAsia" w:ascii="仿宋_GB2312" w:hAnsi="宋体" w:eastAsia="仿宋_GB2312" w:cs="宋体"/>
                <w:kern w:val="0"/>
                <w:sz w:val="18"/>
                <w:szCs w:val="18"/>
              </w:rPr>
              <w:t>提高</w:t>
            </w:r>
            <w:r>
              <w:rPr>
                <w:rFonts w:hint="eastAsia" w:ascii="仿宋_GB2312" w:hAnsi="宋体" w:eastAsia="仿宋_GB2312" w:cs="宋体"/>
                <w:kern w:val="0"/>
                <w:sz w:val="18"/>
                <w:szCs w:val="18"/>
                <w:lang w:eastAsia="zh-CN"/>
              </w:rPr>
              <w:t>了</w:t>
            </w:r>
            <w:r>
              <w:rPr>
                <w:rFonts w:hint="eastAsia" w:ascii="仿宋_GB2312" w:hAnsi="宋体" w:eastAsia="仿宋_GB2312" w:cs="宋体"/>
                <w:kern w:val="0"/>
                <w:sz w:val="18"/>
                <w:szCs w:val="18"/>
              </w:rPr>
              <w:t>医保基金使用效率</w:t>
            </w:r>
            <w:r>
              <w:rPr>
                <w:rFonts w:hint="eastAsia" w:ascii="仿宋_GB2312" w:hAnsi="宋体" w:eastAsia="仿宋_GB2312" w:cs="宋体"/>
                <w:kern w:val="0"/>
                <w:sz w:val="18"/>
                <w:szCs w:val="18"/>
                <w:lang w:eastAsia="zh-CN"/>
              </w:rPr>
              <w:t>。</w:t>
            </w:r>
          </w:p>
        </w:tc>
      </w:tr>
      <w:tr>
        <w:tblPrEx>
          <w:tblCellMar>
            <w:top w:w="0" w:type="dxa"/>
            <w:left w:w="108" w:type="dxa"/>
            <w:bottom w:w="0" w:type="dxa"/>
            <w:right w:w="108" w:type="dxa"/>
          </w:tblCellMar>
        </w:tblPrEx>
        <w:trPr>
          <w:trHeight w:val="567" w:hRule="exact"/>
          <w:jc w:val="center"/>
        </w:trPr>
        <w:tc>
          <w:tcPr>
            <w:tcW w:w="50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绩</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效</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指</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标</w:t>
            </w:r>
          </w:p>
        </w:tc>
        <w:tc>
          <w:tcPr>
            <w:tcW w:w="83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一级指标</w:t>
            </w:r>
          </w:p>
        </w:tc>
        <w:tc>
          <w:tcPr>
            <w:tcW w:w="132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二级指标</w:t>
            </w:r>
          </w:p>
        </w:tc>
        <w:tc>
          <w:tcPr>
            <w:tcW w:w="190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三级指标</w:t>
            </w:r>
          </w:p>
        </w:tc>
        <w:tc>
          <w:tcPr>
            <w:tcW w:w="1066"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年度</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指标值</w:t>
            </w:r>
          </w:p>
        </w:tc>
        <w:tc>
          <w:tcPr>
            <w:tcW w:w="86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实际</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完成值</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分值</w:t>
            </w:r>
          </w:p>
        </w:tc>
        <w:tc>
          <w:tcPr>
            <w:tcW w:w="65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得分</w:t>
            </w:r>
          </w:p>
        </w:tc>
        <w:tc>
          <w:tcPr>
            <w:tcW w:w="1324"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偏差原因分析及改进措施</w:t>
            </w:r>
          </w:p>
        </w:tc>
      </w:tr>
      <w:tr>
        <w:tblPrEx>
          <w:tblCellMar>
            <w:top w:w="0" w:type="dxa"/>
            <w:left w:w="108" w:type="dxa"/>
            <w:bottom w:w="0" w:type="dxa"/>
            <w:right w:w="108" w:type="dxa"/>
          </w:tblCellMar>
        </w:tblPrEx>
        <w:trPr>
          <w:trHeight w:val="572" w:hRule="atLeast"/>
          <w:jc w:val="center"/>
        </w:trPr>
        <w:tc>
          <w:tcPr>
            <w:tcW w:w="50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833"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产出指标</w:t>
            </w:r>
          </w:p>
        </w:tc>
        <w:tc>
          <w:tcPr>
            <w:tcW w:w="1327" w:type="dxa"/>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数量指标</w:t>
            </w:r>
          </w:p>
        </w:tc>
        <w:tc>
          <w:tcPr>
            <w:tcW w:w="190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lang w:eastAsia="zh-CN"/>
              </w:rPr>
            </w:pPr>
            <w:r>
              <w:rPr>
                <w:rFonts w:hint="eastAsia" w:ascii="仿宋_GB2312" w:hAnsi="宋体" w:eastAsia="仿宋_GB2312" w:cs="宋体"/>
                <w:color w:val="000000"/>
                <w:kern w:val="0"/>
                <w:sz w:val="18"/>
                <w:szCs w:val="18"/>
                <w:lang w:eastAsia="zh-CN"/>
              </w:rPr>
              <w:t>项目完成后出具报告份数</w:t>
            </w:r>
          </w:p>
        </w:tc>
        <w:tc>
          <w:tcPr>
            <w:tcW w:w="1066"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=2份</w:t>
            </w:r>
          </w:p>
        </w:tc>
        <w:tc>
          <w:tcPr>
            <w:tcW w:w="86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2份</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15</w:t>
            </w:r>
          </w:p>
        </w:tc>
        <w:tc>
          <w:tcPr>
            <w:tcW w:w="65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15</w:t>
            </w:r>
          </w:p>
        </w:tc>
        <w:tc>
          <w:tcPr>
            <w:tcW w:w="1324" w:type="dxa"/>
            <w:gridSpan w:val="2"/>
            <w:tcBorders>
              <w:top w:val="single" w:color="auto" w:sz="4" w:space="0"/>
              <w:left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lang w:eastAsia="zh-CN"/>
              </w:rPr>
            </w:pPr>
          </w:p>
        </w:tc>
      </w:tr>
      <w:tr>
        <w:tblPrEx>
          <w:tblCellMar>
            <w:top w:w="0" w:type="dxa"/>
            <w:left w:w="108" w:type="dxa"/>
            <w:bottom w:w="0" w:type="dxa"/>
            <w:right w:w="108" w:type="dxa"/>
          </w:tblCellMar>
        </w:tblPrEx>
        <w:trPr>
          <w:trHeight w:val="698" w:hRule="atLeast"/>
          <w:jc w:val="center"/>
        </w:trPr>
        <w:tc>
          <w:tcPr>
            <w:tcW w:w="50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83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327" w:type="dxa"/>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数量指标</w:t>
            </w:r>
          </w:p>
        </w:tc>
        <w:tc>
          <w:tcPr>
            <w:tcW w:w="190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定点医疗机构项目年度趋势预测和质量评分结果</w:t>
            </w:r>
          </w:p>
        </w:tc>
        <w:tc>
          <w:tcPr>
            <w:tcW w:w="1066"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highlight w:val="none"/>
                <w:lang w:eastAsia="zh-CN"/>
              </w:rPr>
            </w:pPr>
            <w:r>
              <w:rPr>
                <w:rFonts w:hint="eastAsia" w:ascii="仿宋_GB2312" w:hAnsi="宋体" w:eastAsia="仿宋_GB2312" w:cs="宋体"/>
                <w:color w:val="000000"/>
                <w:kern w:val="0"/>
                <w:sz w:val="18"/>
                <w:szCs w:val="18"/>
                <w:highlight w:val="none"/>
              </w:rPr>
              <w:t>≥500家</w:t>
            </w:r>
          </w:p>
        </w:tc>
        <w:tc>
          <w:tcPr>
            <w:tcW w:w="86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717家</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10</w:t>
            </w:r>
          </w:p>
        </w:tc>
        <w:tc>
          <w:tcPr>
            <w:tcW w:w="65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highlight w:val="none"/>
                <w:lang w:val="en-US" w:eastAsia="zh-CN"/>
              </w:rPr>
            </w:pPr>
            <w:r>
              <w:rPr>
                <w:rFonts w:hint="eastAsia" w:ascii="仿宋_GB2312" w:hAnsi="宋体" w:eastAsia="仿宋_GB2312" w:cs="宋体"/>
                <w:kern w:val="0"/>
                <w:sz w:val="18"/>
                <w:szCs w:val="18"/>
                <w:highlight w:val="none"/>
                <w:lang w:val="en-US" w:eastAsia="zh-CN"/>
              </w:rPr>
              <w:t>10</w:t>
            </w:r>
          </w:p>
        </w:tc>
        <w:tc>
          <w:tcPr>
            <w:tcW w:w="1324" w:type="dxa"/>
            <w:gridSpan w:val="2"/>
            <w:tcBorders>
              <w:top w:val="single" w:color="auto" w:sz="4" w:space="0"/>
              <w:left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481" w:hRule="atLeast"/>
          <w:jc w:val="center"/>
        </w:trPr>
        <w:tc>
          <w:tcPr>
            <w:tcW w:w="50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83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327" w:type="dxa"/>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质量指标</w:t>
            </w:r>
          </w:p>
        </w:tc>
        <w:tc>
          <w:tcPr>
            <w:tcW w:w="190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验收合格率</w:t>
            </w:r>
          </w:p>
        </w:tc>
        <w:tc>
          <w:tcPr>
            <w:tcW w:w="1066"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lang w:eastAsia="zh-CN"/>
              </w:rPr>
            </w:pPr>
            <w:r>
              <w:rPr>
                <w:rFonts w:hint="eastAsia" w:ascii="仿宋_GB2312" w:hAnsi="宋体" w:eastAsia="仿宋_GB2312" w:cs="宋体"/>
                <w:color w:val="000000"/>
                <w:kern w:val="0"/>
                <w:sz w:val="18"/>
                <w:szCs w:val="18"/>
              </w:rPr>
              <w:t>=100%</w:t>
            </w:r>
          </w:p>
        </w:tc>
        <w:tc>
          <w:tcPr>
            <w:tcW w:w="86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color w:val="000000"/>
                <w:kern w:val="0"/>
                <w:sz w:val="18"/>
                <w:szCs w:val="18"/>
              </w:rPr>
              <w:t>100%</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15</w:t>
            </w:r>
          </w:p>
        </w:tc>
        <w:tc>
          <w:tcPr>
            <w:tcW w:w="65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15</w:t>
            </w:r>
          </w:p>
        </w:tc>
        <w:tc>
          <w:tcPr>
            <w:tcW w:w="1324" w:type="dxa"/>
            <w:gridSpan w:val="2"/>
            <w:tcBorders>
              <w:top w:val="single" w:color="auto" w:sz="4" w:space="0"/>
              <w:left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567" w:hRule="atLeast"/>
          <w:jc w:val="center"/>
        </w:trPr>
        <w:tc>
          <w:tcPr>
            <w:tcW w:w="50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83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3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时效指标</w:t>
            </w:r>
          </w:p>
        </w:tc>
        <w:tc>
          <w:tcPr>
            <w:tcW w:w="190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lang w:eastAsia="zh-CN"/>
              </w:rPr>
              <w:t>按合同约定完成定点医疗机构总额预算管理指标测算和质量评价工作</w:t>
            </w:r>
          </w:p>
        </w:tc>
        <w:tc>
          <w:tcPr>
            <w:tcW w:w="1066"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lang w:eastAsia="zh-CN"/>
              </w:rPr>
              <w:t>≤12月</w:t>
            </w:r>
          </w:p>
        </w:tc>
        <w:tc>
          <w:tcPr>
            <w:tcW w:w="86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2024年9月</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c>
          <w:tcPr>
            <w:tcW w:w="65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c>
          <w:tcPr>
            <w:tcW w:w="1324"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501" w:hRule="atLeast"/>
          <w:jc w:val="center"/>
        </w:trPr>
        <w:tc>
          <w:tcPr>
            <w:tcW w:w="50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83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327" w:type="dxa"/>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成本指标</w:t>
            </w:r>
          </w:p>
        </w:tc>
        <w:tc>
          <w:tcPr>
            <w:tcW w:w="190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项目预算控制金额</w:t>
            </w:r>
          </w:p>
        </w:tc>
        <w:tc>
          <w:tcPr>
            <w:tcW w:w="1066"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rPr>
              <w:t>≤</w:t>
            </w:r>
            <w:r>
              <w:rPr>
                <w:rFonts w:hint="eastAsia" w:ascii="仿宋_GB2312" w:hAnsi="宋体" w:eastAsia="仿宋_GB2312" w:cs="宋体"/>
                <w:kern w:val="0"/>
                <w:sz w:val="18"/>
                <w:szCs w:val="18"/>
                <w:lang w:val="en-US" w:eastAsia="zh-CN"/>
              </w:rPr>
              <w:t>80万元</w:t>
            </w:r>
          </w:p>
        </w:tc>
        <w:tc>
          <w:tcPr>
            <w:tcW w:w="86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80万元</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c>
          <w:tcPr>
            <w:tcW w:w="65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c>
          <w:tcPr>
            <w:tcW w:w="1324"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737" w:hRule="atLeast"/>
          <w:jc w:val="center"/>
        </w:trPr>
        <w:tc>
          <w:tcPr>
            <w:tcW w:w="50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8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效益指标</w:t>
            </w:r>
          </w:p>
        </w:tc>
        <w:tc>
          <w:tcPr>
            <w:tcW w:w="13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lang w:eastAsia="zh-CN"/>
              </w:rPr>
              <w:t>社会</w:t>
            </w:r>
            <w:r>
              <w:rPr>
                <w:rFonts w:hint="eastAsia" w:ascii="仿宋_GB2312" w:hAnsi="宋体" w:eastAsia="仿宋_GB2312" w:cs="宋体"/>
                <w:kern w:val="0"/>
                <w:sz w:val="18"/>
                <w:szCs w:val="18"/>
              </w:rPr>
              <w:t>效益</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指标</w:t>
            </w:r>
          </w:p>
        </w:tc>
        <w:tc>
          <w:tcPr>
            <w:tcW w:w="190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基本医保总额预算趋势预测更加科学，基本医保总额预算质量评价更加全面合理</w:t>
            </w:r>
            <w:r>
              <w:rPr>
                <w:rFonts w:hint="eastAsia" w:ascii="仿宋_GB2312" w:hAnsi="宋体" w:eastAsia="仿宋_GB2312" w:cs="宋体"/>
                <w:color w:val="000000"/>
                <w:kern w:val="0"/>
                <w:sz w:val="18"/>
                <w:szCs w:val="18"/>
              </w:rPr>
              <w:tab/>
            </w:r>
          </w:p>
        </w:tc>
        <w:tc>
          <w:tcPr>
            <w:tcW w:w="1066"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lang w:eastAsia="zh-CN"/>
              </w:rPr>
              <w:t>促进完善</w:t>
            </w:r>
          </w:p>
        </w:tc>
        <w:tc>
          <w:tcPr>
            <w:tcW w:w="86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lang w:eastAsia="zh-CN"/>
              </w:rPr>
              <w:t>促进完善</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20</w:t>
            </w:r>
          </w:p>
        </w:tc>
        <w:tc>
          <w:tcPr>
            <w:tcW w:w="65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20</w:t>
            </w:r>
          </w:p>
        </w:tc>
        <w:tc>
          <w:tcPr>
            <w:tcW w:w="1324"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567" w:hRule="atLeast"/>
          <w:jc w:val="center"/>
        </w:trPr>
        <w:tc>
          <w:tcPr>
            <w:tcW w:w="50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8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满意度</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指标</w:t>
            </w:r>
          </w:p>
        </w:tc>
        <w:tc>
          <w:tcPr>
            <w:tcW w:w="13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服务对象满意度标</w:t>
            </w:r>
          </w:p>
        </w:tc>
        <w:tc>
          <w:tcPr>
            <w:tcW w:w="190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定点医疗机构投诉率</w:t>
            </w:r>
          </w:p>
        </w:tc>
        <w:tc>
          <w:tcPr>
            <w:tcW w:w="1066"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rPr>
              <w:t>≤</w:t>
            </w:r>
            <w:r>
              <w:rPr>
                <w:rFonts w:hint="eastAsia" w:ascii="仿宋_GB2312" w:hAnsi="宋体" w:eastAsia="仿宋_GB2312" w:cs="宋体"/>
                <w:kern w:val="0"/>
                <w:sz w:val="18"/>
                <w:szCs w:val="18"/>
                <w:lang w:val="en-US" w:eastAsia="zh-CN"/>
              </w:rPr>
              <w:t>2%</w:t>
            </w:r>
          </w:p>
        </w:tc>
        <w:tc>
          <w:tcPr>
            <w:tcW w:w="86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0</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c>
          <w:tcPr>
            <w:tcW w:w="65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c>
          <w:tcPr>
            <w:tcW w:w="1324"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475" w:hRule="atLeast"/>
          <w:jc w:val="center"/>
        </w:trPr>
        <w:tc>
          <w:tcPr>
            <w:tcW w:w="6499"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总分</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w:t>
            </w:r>
          </w:p>
        </w:tc>
        <w:tc>
          <w:tcPr>
            <w:tcW w:w="65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100</w:t>
            </w:r>
          </w:p>
        </w:tc>
        <w:tc>
          <w:tcPr>
            <w:tcW w:w="1324"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bl>
    <w:p>
      <w:pPr>
        <w:keepNext w:val="0"/>
        <w:keepLines w:val="0"/>
        <w:pageBreakBefore w:val="0"/>
        <w:kinsoku/>
        <w:wordWrap/>
        <w:overflowPunct/>
        <w:topLinePunct w:val="0"/>
        <w:autoSpaceDE/>
        <w:autoSpaceDN/>
        <w:bidi w:val="0"/>
        <w:adjustRightInd/>
        <w:snapToGrid/>
        <w:spacing w:line="560" w:lineRule="exact"/>
        <w:rPr>
          <w:rFonts w:hint="eastAsia" w:ascii="仿宋_GB2312" w:eastAsia="仿宋_GB2312"/>
          <w:vanish/>
          <w:sz w:val="32"/>
          <w:szCs w:val="32"/>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eastAsia="仿宋_GB231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F9ECF3E"/>
    <w:rsid w:val="026F3FDC"/>
    <w:rsid w:val="03F1578E"/>
    <w:rsid w:val="0DD7027A"/>
    <w:rsid w:val="0FE69736"/>
    <w:rsid w:val="13F96672"/>
    <w:rsid w:val="148D505F"/>
    <w:rsid w:val="15A765F4"/>
    <w:rsid w:val="167C182F"/>
    <w:rsid w:val="17F99AB7"/>
    <w:rsid w:val="18335F1D"/>
    <w:rsid w:val="19290DD7"/>
    <w:rsid w:val="1F9B4C7E"/>
    <w:rsid w:val="1FDFAAD4"/>
    <w:rsid w:val="22001566"/>
    <w:rsid w:val="27F50380"/>
    <w:rsid w:val="29017971"/>
    <w:rsid w:val="29143B49"/>
    <w:rsid w:val="2A0D7ED2"/>
    <w:rsid w:val="2D8F2843"/>
    <w:rsid w:val="2F950BD0"/>
    <w:rsid w:val="33B850E7"/>
    <w:rsid w:val="35FDFBA3"/>
    <w:rsid w:val="360A60B7"/>
    <w:rsid w:val="367F6289"/>
    <w:rsid w:val="37117919"/>
    <w:rsid w:val="3AD377ED"/>
    <w:rsid w:val="3AD7EB0F"/>
    <w:rsid w:val="3AFA5C91"/>
    <w:rsid w:val="3BF7BE54"/>
    <w:rsid w:val="3DD9BC05"/>
    <w:rsid w:val="3E90381A"/>
    <w:rsid w:val="3FFAAFCE"/>
    <w:rsid w:val="46565057"/>
    <w:rsid w:val="46844F52"/>
    <w:rsid w:val="479A3013"/>
    <w:rsid w:val="47FB9692"/>
    <w:rsid w:val="4B35552D"/>
    <w:rsid w:val="4B46D4EA"/>
    <w:rsid w:val="4B77318E"/>
    <w:rsid w:val="4CD34FFD"/>
    <w:rsid w:val="4F943D9F"/>
    <w:rsid w:val="51BF0246"/>
    <w:rsid w:val="531F8364"/>
    <w:rsid w:val="55245E2D"/>
    <w:rsid w:val="553D7799"/>
    <w:rsid w:val="55FF7498"/>
    <w:rsid w:val="595079D6"/>
    <w:rsid w:val="59EFCE33"/>
    <w:rsid w:val="5ACE9F63"/>
    <w:rsid w:val="5BAF68DC"/>
    <w:rsid w:val="5BBDA401"/>
    <w:rsid w:val="5BDE4953"/>
    <w:rsid w:val="5C221AFD"/>
    <w:rsid w:val="5C7B9268"/>
    <w:rsid w:val="5CAF71F0"/>
    <w:rsid w:val="5D810AA5"/>
    <w:rsid w:val="5DFD0A12"/>
    <w:rsid w:val="5E4A533B"/>
    <w:rsid w:val="5EFFE33B"/>
    <w:rsid w:val="5F7CDB2C"/>
    <w:rsid w:val="5F7F9CA7"/>
    <w:rsid w:val="5FA7C52C"/>
    <w:rsid w:val="5FE58D3B"/>
    <w:rsid w:val="5FEFB657"/>
    <w:rsid w:val="5FFD4117"/>
    <w:rsid w:val="5FFFBCD9"/>
    <w:rsid w:val="617D9823"/>
    <w:rsid w:val="636B9395"/>
    <w:rsid w:val="64BB2AEF"/>
    <w:rsid w:val="67EB6ED8"/>
    <w:rsid w:val="67F64DD7"/>
    <w:rsid w:val="69DBF288"/>
    <w:rsid w:val="69E14DA6"/>
    <w:rsid w:val="69FEE97B"/>
    <w:rsid w:val="6B9A9C7A"/>
    <w:rsid w:val="6BE1CB2A"/>
    <w:rsid w:val="6BFEFE47"/>
    <w:rsid w:val="6C3F1173"/>
    <w:rsid w:val="6D5FE41A"/>
    <w:rsid w:val="6DBFAB74"/>
    <w:rsid w:val="6E7D5688"/>
    <w:rsid w:val="6EE34614"/>
    <w:rsid w:val="6F7F2E1A"/>
    <w:rsid w:val="6FBD4B55"/>
    <w:rsid w:val="6FDF5372"/>
    <w:rsid w:val="6FED7203"/>
    <w:rsid w:val="6FF3284B"/>
    <w:rsid w:val="6FF72FFF"/>
    <w:rsid w:val="6FF9E89B"/>
    <w:rsid w:val="71FF3F82"/>
    <w:rsid w:val="751F0E0F"/>
    <w:rsid w:val="754F659F"/>
    <w:rsid w:val="75957FC3"/>
    <w:rsid w:val="75EEA65E"/>
    <w:rsid w:val="75F74E1F"/>
    <w:rsid w:val="75FB3DF3"/>
    <w:rsid w:val="75FE5758"/>
    <w:rsid w:val="76F73047"/>
    <w:rsid w:val="777FADC9"/>
    <w:rsid w:val="77FD76C6"/>
    <w:rsid w:val="77FDE48F"/>
    <w:rsid w:val="77FFB010"/>
    <w:rsid w:val="78CB776D"/>
    <w:rsid w:val="797FD902"/>
    <w:rsid w:val="7A615A11"/>
    <w:rsid w:val="7A73551A"/>
    <w:rsid w:val="7ABB6476"/>
    <w:rsid w:val="7AFEFE83"/>
    <w:rsid w:val="7B1FCB6A"/>
    <w:rsid w:val="7BB447F6"/>
    <w:rsid w:val="7BF33467"/>
    <w:rsid w:val="7BFFFCFB"/>
    <w:rsid w:val="7C8D1272"/>
    <w:rsid w:val="7CDF6C53"/>
    <w:rsid w:val="7D6FF913"/>
    <w:rsid w:val="7DB7EA05"/>
    <w:rsid w:val="7DBF6CCD"/>
    <w:rsid w:val="7DDF1379"/>
    <w:rsid w:val="7DEF7288"/>
    <w:rsid w:val="7DF74A07"/>
    <w:rsid w:val="7E1DEAE2"/>
    <w:rsid w:val="7E1E4084"/>
    <w:rsid w:val="7E5D067E"/>
    <w:rsid w:val="7E8104AE"/>
    <w:rsid w:val="7E972DBA"/>
    <w:rsid w:val="7EDB2367"/>
    <w:rsid w:val="7EF9D183"/>
    <w:rsid w:val="7EFBAF89"/>
    <w:rsid w:val="7F07F82C"/>
    <w:rsid w:val="7F2785C4"/>
    <w:rsid w:val="7F470B85"/>
    <w:rsid w:val="7F59D1FA"/>
    <w:rsid w:val="7F7F03EA"/>
    <w:rsid w:val="7F8D52DC"/>
    <w:rsid w:val="7FE78839"/>
    <w:rsid w:val="7FEE8255"/>
    <w:rsid w:val="7FF98EDF"/>
    <w:rsid w:val="7FFD50B1"/>
    <w:rsid w:val="7FFDEA3E"/>
    <w:rsid w:val="7FFFB538"/>
    <w:rsid w:val="8C1353CF"/>
    <w:rsid w:val="8FEE212B"/>
    <w:rsid w:val="94DFBB7F"/>
    <w:rsid w:val="99FB25B1"/>
    <w:rsid w:val="9B6F924A"/>
    <w:rsid w:val="9C7F3D1E"/>
    <w:rsid w:val="9E6B1684"/>
    <w:rsid w:val="9FAB82C6"/>
    <w:rsid w:val="A7D07112"/>
    <w:rsid w:val="A925851F"/>
    <w:rsid w:val="AE79D141"/>
    <w:rsid w:val="AF1FF79D"/>
    <w:rsid w:val="AFF7F718"/>
    <w:rsid w:val="B2FFF646"/>
    <w:rsid w:val="B49F42B5"/>
    <w:rsid w:val="B6FE31B0"/>
    <w:rsid w:val="B7BF3EB7"/>
    <w:rsid w:val="B7CF9E43"/>
    <w:rsid w:val="B7E72C5B"/>
    <w:rsid w:val="B7FB76F8"/>
    <w:rsid w:val="B7FEB864"/>
    <w:rsid w:val="BBDFBDD8"/>
    <w:rsid w:val="BF293A7D"/>
    <w:rsid w:val="BF3BDC12"/>
    <w:rsid w:val="BF456D3B"/>
    <w:rsid w:val="BFFF23F8"/>
    <w:rsid w:val="C3B7E7B7"/>
    <w:rsid w:val="C6F7B3A8"/>
    <w:rsid w:val="C7BF2E94"/>
    <w:rsid w:val="CB672B6C"/>
    <w:rsid w:val="CE498ADF"/>
    <w:rsid w:val="CEEF1E0D"/>
    <w:rsid w:val="CF6B10E0"/>
    <w:rsid w:val="CFE87AB9"/>
    <w:rsid w:val="D5D84941"/>
    <w:rsid w:val="D7478508"/>
    <w:rsid w:val="D7B9CFD1"/>
    <w:rsid w:val="DA760C94"/>
    <w:rsid w:val="DBAF6473"/>
    <w:rsid w:val="DBBE0C09"/>
    <w:rsid w:val="DBCBC8BF"/>
    <w:rsid w:val="DBFEDF72"/>
    <w:rsid w:val="DCBD295C"/>
    <w:rsid w:val="DDCF143C"/>
    <w:rsid w:val="DDE3B120"/>
    <w:rsid w:val="DDFFBBBB"/>
    <w:rsid w:val="DEBFFFDF"/>
    <w:rsid w:val="DF5F196A"/>
    <w:rsid w:val="DF9ECF3E"/>
    <w:rsid w:val="DFD5FDDB"/>
    <w:rsid w:val="DFDB8287"/>
    <w:rsid w:val="DFFEC95E"/>
    <w:rsid w:val="E1FF2D35"/>
    <w:rsid w:val="E39E6C36"/>
    <w:rsid w:val="E4FF9EF4"/>
    <w:rsid w:val="E6F7807E"/>
    <w:rsid w:val="E7D9B6C5"/>
    <w:rsid w:val="E7FB6793"/>
    <w:rsid w:val="EAFFA9EF"/>
    <w:rsid w:val="EB51637E"/>
    <w:rsid w:val="EB7BCB0B"/>
    <w:rsid w:val="EBB74978"/>
    <w:rsid w:val="EBDFEF2C"/>
    <w:rsid w:val="ECFA227F"/>
    <w:rsid w:val="EDA3AB80"/>
    <w:rsid w:val="EDBB5975"/>
    <w:rsid w:val="EF9FF080"/>
    <w:rsid w:val="EFAAE72D"/>
    <w:rsid w:val="EFE32EB2"/>
    <w:rsid w:val="EFF38995"/>
    <w:rsid w:val="EFFF3BAB"/>
    <w:rsid w:val="F56D8C8C"/>
    <w:rsid w:val="F7E1C936"/>
    <w:rsid w:val="F7F9DA67"/>
    <w:rsid w:val="F7FE16AA"/>
    <w:rsid w:val="F8B7FF19"/>
    <w:rsid w:val="F97A9D20"/>
    <w:rsid w:val="FB2FCABA"/>
    <w:rsid w:val="FB5F985A"/>
    <w:rsid w:val="FBDDC5CB"/>
    <w:rsid w:val="FBF96812"/>
    <w:rsid w:val="FBF977C5"/>
    <w:rsid w:val="FCFBDC2F"/>
    <w:rsid w:val="FD7F439E"/>
    <w:rsid w:val="FD9E54BA"/>
    <w:rsid w:val="FE0FA0D8"/>
    <w:rsid w:val="FEDF1460"/>
    <w:rsid w:val="FEEE6080"/>
    <w:rsid w:val="FEEF1A6D"/>
    <w:rsid w:val="FEFECF5E"/>
    <w:rsid w:val="FEFEDE85"/>
    <w:rsid w:val="FEFF2349"/>
    <w:rsid w:val="FF777FDD"/>
    <w:rsid w:val="FF7B78EE"/>
    <w:rsid w:val="FF9A4EB0"/>
    <w:rsid w:val="FFBED21D"/>
    <w:rsid w:val="FFCDDAE3"/>
    <w:rsid w:val="FFD81563"/>
    <w:rsid w:val="FFE74313"/>
    <w:rsid w:val="FFEE59A5"/>
    <w:rsid w:val="FFEF8DA7"/>
    <w:rsid w:val="FFF65408"/>
    <w:rsid w:val="FFFCC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705</Words>
  <Characters>874</Characters>
  <Lines>0</Lines>
  <Paragraphs>0</Paragraphs>
  <TotalTime>2</TotalTime>
  <ScaleCrop>false</ScaleCrop>
  <LinksUpToDate>false</LinksUpToDate>
  <CharactersWithSpaces>905</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2025-03-27T01:37:00Z</dcterms:created>
  <dc:creator>李志文</dc:creator>
  <cp:lastModifiedBy>张瑞</cp:lastModifiedBy>
  <dcterms:modified xsi:type="dcterms:W3CDTF">2025-08-21T10:35:36Z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KSOTemplateDocerSaveRecord">
    <vt:lpwstr>eyJoZGlkIjoiZmYzYTgxNjAwMDgyZTVmOWFiNjZiNTA0ZjFlYjI4Y2EiLCJ1c2VySWQiOiI1NTI4MzY1MjAifQ==</vt:lpwstr>
  </property>
  <property fmtid="{D5CDD505-2E9C-101B-9397-08002B2CF9AE}" pid="4" name="ICV">
    <vt:lpwstr>750D5968C5DD4BC9AFFE0F47F593EE8D_12</vt:lpwstr>
  </property>
</Properties>
</file>