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AE695" w14:textId="77777777" w:rsidR="00CA1256" w:rsidRPr="00CA1256" w:rsidRDefault="00CA1256">
      <w:pPr>
        <w:spacing w:line="480" w:lineRule="auto"/>
        <w:outlineLvl w:val="0"/>
        <w:rPr>
          <w:rFonts w:ascii="仿宋" w:eastAsia="仿宋" w:hAnsi="仿宋" w:cstheme="majorEastAsia" w:hint="eastAsia"/>
          <w:sz w:val="32"/>
          <w:szCs w:val="32"/>
        </w:rPr>
      </w:pPr>
      <w:r w:rsidRPr="00CA1256">
        <w:rPr>
          <w:rFonts w:ascii="仿宋" w:eastAsia="仿宋" w:hAnsi="仿宋" w:cstheme="majorEastAsia" w:hint="eastAsia"/>
          <w:sz w:val="32"/>
          <w:szCs w:val="32"/>
        </w:rPr>
        <w:t>附件</w:t>
      </w:r>
      <w:r w:rsidRPr="00CA1256">
        <w:rPr>
          <w:rFonts w:ascii="仿宋" w:eastAsia="仿宋" w:hAnsi="仿宋" w:cstheme="majorEastAsia"/>
          <w:sz w:val="32"/>
          <w:szCs w:val="32"/>
        </w:rPr>
        <w:t>2</w:t>
      </w:r>
    </w:p>
    <w:p w14:paraId="633CD7FD" w14:textId="77777777" w:rsidR="00CA1256" w:rsidRDefault="00CA1256">
      <w:pPr>
        <w:spacing w:line="480" w:lineRule="auto"/>
        <w:jc w:val="center"/>
        <w:rPr>
          <w:rFonts w:ascii="仿宋" w:eastAsia="仿宋" w:hAnsi="仿宋" w:cstheme="majorEastAsia" w:hint="eastAsia"/>
          <w:b/>
          <w:bCs/>
          <w:sz w:val="52"/>
          <w:szCs w:val="52"/>
        </w:rPr>
      </w:pPr>
    </w:p>
    <w:p w14:paraId="3036FA66" w14:textId="77777777" w:rsidR="00CA1256" w:rsidRDefault="007F4B67">
      <w:pPr>
        <w:snapToGrid w:val="0"/>
        <w:jc w:val="center"/>
        <w:outlineLvl w:val="0"/>
        <w:rPr>
          <w:rFonts w:ascii="方正小标宋简体" w:eastAsia="方正小标宋简体" w:hAnsi="仿宋" w:cs="黑体" w:hint="eastAsia"/>
          <w:sz w:val="44"/>
          <w:szCs w:val="44"/>
        </w:rPr>
      </w:pPr>
      <w:r>
        <w:rPr>
          <w:rFonts w:ascii="方正小标宋简体" w:eastAsia="方正小标宋简体" w:hAnsi="仿宋" w:cs="黑体"/>
          <w:sz w:val="44"/>
          <w:szCs w:val="44"/>
        </w:rPr>
        <w:t>部门整体绩效评价报告</w:t>
      </w:r>
    </w:p>
    <w:p w14:paraId="4830EDB3" w14:textId="77777777" w:rsidR="00CA1256" w:rsidRDefault="00CA1256">
      <w:pPr>
        <w:spacing w:line="480" w:lineRule="auto"/>
        <w:jc w:val="center"/>
        <w:rPr>
          <w:rFonts w:ascii="仿宋" w:eastAsia="仿宋" w:hAnsi="仿宋" w:hint="eastAsia"/>
          <w:szCs w:val="30"/>
        </w:rPr>
      </w:pPr>
    </w:p>
    <w:p w14:paraId="181BD348" w14:textId="77777777" w:rsidR="00CA1256" w:rsidRDefault="007F4B67" w:rsidP="00EC7FED">
      <w:pPr>
        <w:pStyle w:val="af3"/>
        <w:ind w:leftChars="0" w:left="0" w:firstLineChars="200" w:firstLine="643"/>
        <w:rPr>
          <w:rFonts w:hint="eastAsia"/>
        </w:rPr>
      </w:pPr>
      <w:bookmarkStart w:id="0" w:name="_Toc10176"/>
      <w:bookmarkStart w:id="1" w:name="_Toc15805"/>
      <w:r>
        <w:rPr>
          <w:rFonts w:hint="eastAsia"/>
        </w:rPr>
        <w:t>一、部门概况</w:t>
      </w:r>
      <w:bookmarkEnd w:id="0"/>
      <w:bookmarkEnd w:id="1"/>
    </w:p>
    <w:p w14:paraId="7E85302B" w14:textId="77777777" w:rsidR="00CA1256" w:rsidRDefault="007F4B67" w:rsidP="00EC7FED">
      <w:pPr>
        <w:pStyle w:val="af4"/>
        <w:ind w:leftChars="0" w:left="0" w:firstLineChars="200" w:firstLine="640"/>
        <w:rPr>
          <w:rFonts w:hint="eastAsia"/>
        </w:rPr>
      </w:pPr>
      <w:bookmarkStart w:id="2" w:name="_Toc6273"/>
      <w:bookmarkStart w:id="3" w:name="_Toc27623"/>
      <w:r>
        <w:rPr>
          <w:rFonts w:hint="eastAsia"/>
        </w:rPr>
        <w:t>（一）机构设置及职责工作任务情况</w:t>
      </w:r>
      <w:bookmarkEnd w:id="2"/>
      <w:bookmarkEnd w:id="3"/>
    </w:p>
    <w:p w14:paraId="5695D89B" w14:textId="77777777" w:rsidR="00CA1256" w:rsidRDefault="007F4B67" w:rsidP="00EC7FED">
      <w:pPr>
        <w:pStyle w:val="af4"/>
        <w:ind w:leftChars="0" w:left="0" w:firstLineChars="200" w:firstLine="640"/>
        <w:rPr>
          <w:rFonts w:hint="eastAsia"/>
        </w:rPr>
      </w:pPr>
      <w:bookmarkStart w:id="4" w:name="_Toc1403"/>
      <w:r>
        <w:t>1.机构设置</w:t>
      </w:r>
      <w:bookmarkEnd w:id="4"/>
    </w:p>
    <w:p w14:paraId="4DA39D3B" w14:textId="77777777" w:rsidR="00CA1256" w:rsidRPr="00CA1256" w:rsidRDefault="007F4B67" w:rsidP="00CA1256">
      <w:pPr>
        <w:spacing w:line="480" w:lineRule="auto"/>
        <w:ind w:firstLineChars="200" w:firstLine="640"/>
        <w:rPr>
          <w:rFonts w:ascii="仿宋_GB2312" w:eastAsia="仿宋_GB2312" w:hAnsi="仿宋" w:hint="eastAsia"/>
          <w:color w:val="000000"/>
          <w:sz w:val="32"/>
          <w:szCs w:val="32"/>
        </w:rPr>
      </w:pPr>
      <w:r>
        <w:rPr>
          <w:rFonts w:ascii="仿宋_GB2312" w:eastAsia="仿宋_GB2312" w:hAnsi="仿宋" w:hint="eastAsia"/>
          <w:color w:val="000000"/>
          <w:sz w:val="32"/>
          <w:szCs w:val="32"/>
        </w:rPr>
        <w:t>北京交通发展研究院（以下简称“交研院”）于</w:t>
      </w:r>
      <w:r>
        <w:rPr>
          <w:rFonts w:ascii="仿宋_GB2312" w:eastAsia="仿宋_GB2312" w:hAnsi="仿宋"/>
          <w:color w:val="000000"/>
          <w:sz w:val="32"/>
          <w:szCs w:val="32"/>
        </w:rPr>
        <w:t>2002年1月经北京市委、市政府批准成立，现为公益二类事业单位。</w:t>
      </w:r>
      <w:r>
        <w:rPr>
          <w:rFonts w:ascii="仿宋_GB2312" w:eastAsia="仿宋_GB2312" w:hAnsi="仿宋" w:cs="仿宋_GB2312" w:hint="eastAsia"/>
          <w:sz w:val="32"/>
          <w:szCs w:val="32"/>
        </w:rPr>
        <w:t>交</w:t>
      </w:r>
      <w:r w:rsidR="00CA1256" w:rsidRPr="00CA1256">
        <w:rPr>
          <w:rFonts w:ascii="仿宋_GB2312" w:eastAsia="仿宋_GB2312" w:hAnsi="仿宋" w:hint="eastAsia"/>
          <w:color w:val="000000"/>
          <w:sz w:val="32"/>
          <w:szCs w:val="32"/>
        </w:rPr>
        <w:t>研院为一级预算部门</w:t>
      </w:r>
      <w:r w:rsidR="00CA1256" w:rsidRPr="00CA1256">
        <w:rPr>
          <w:rFonts w:ascii="仿宋_GB2312" w:eastAsia="仿宋_GB2312" w:hAnsi="仿宋"/>
          <w:color w:val="000000"/>
          <w:sz w:val="32"/>
          <w:szCs w:val="32"/>
        </w:rPr>
        <w:t>，无二级单位。</w:t>
      </w:r>
    </w:p>
    <w:p w14:paraId="18D3C1FE" w14:textId="77777777" w:rsidR="00CA1256" w:rsidRPr="00CA1256" w:rsidRDefault="007F4B67" w:rsidP="00CA1256">
      <w:pPr>
        <w:spacing w:line="480" w:lineRule="auto"/>
        <w:ind w:firstLineChars="200" w:firstLine="640"/>
        <w:rPr>
          <w:color w:val="000000"/>
        </w:rPr>
      </w:pPr>
      <w:r>
        <w:rPr>
          <w:rFonts w:ascii="仿宋_GB2312" w:eastAsia="仿宋_GB2312" w:hAnsi="仿宋" w:hint="eastAsia"/>
          <w:color w:val="000000"/>
          <w:sz w:val="32"/>
          <w:szCs w:val="32"/>
        </w:rPr>
        <w:t>2.</w:t>
      </w:r>
      <w:bookmarkStart w:id="5" w:name="_Toc20661"/>
      <w:r w:rsidR="00CA1256" w:rsidRPr="00CA1256">
        <w:rPr>
          <w:rFonts w:ascii="仿宋_GB2312" w:eastAsia="仿宋_GB2312" w:hAnsi="仿宋" w:hint="eastAsia"/>
          <w:color w:val="000000"/>
          <w:sz w:val="32"/>
          <w:szCs w:val="32"/>
        </w:rPr>
        <w:t>部门主要职责及工作任务</w:t>
      </w:r>
      <w:bookmarkEnd w:id="5"/>
    </w:p>
    <w:p w14:paraId="0EC5F3C9" w14:textId="77777777" w:rsidR="00CA1256" w:rsidRDefault="00CA1256" w:rsidP="00CA1256">
      <w:pPr>
        <w:spacing w:line="480" w:lineRule="auto"/>
        <w:ind w:firstLineChars="200" w:firstLine="640"/>
        <w:rPr>
          <w:rFonts w:ascii="仿宋_GB2312" w:eastAsia="仿宋_GB2312" w:hAnsi="仿宋" w:cs="仿宋_GB2312" w:hint="eastAsia"/>
          <w:sz w:val="32"/>
          <w:szCs w:val="32"/>
        </w:rPr>
      </w:pPr>
      <w:r w:rsidRPr="00CA1256">
        <w:rPr>
          <w:rFonts w:ascii="仿宋_GB2312" w:eastAsia="仿宋_GB2312" w:hAnsi="仿宋" w:hint="eastAsia"/>
          <w:color w:val="000000"/>
          <w:sz w:val="32"/>
          <w:szCs w:val="32"/>
        </w:rPr>
        <w:t>主要职责是开展城市交通发展战略政策、规划建设、运行管理等方面的研究；跟踪研究城市交通热点和瓶颈问题；在城市交通发展重大问题上为政府提供决策技术支持；汇集、处理和发布有关交通信息、数据和文献</w:t>
      </w:r>
      <w:r w:rsidR="007F4B67">
        <w:rPr>
          <w:rFonts w:ascii="仿宋_GB2312" w:eastAsia="仿宋_GB2312" w:hAnsi="仿宋" w:cs="仿宋_GB2312" w:hint="eastAsia"/>
          <w:sz w:val="32"/>
          <w:szCs w:val="32"/>
        </w:rPr>
        <w:t>资料，编制交通发展报告等；开展城市交通“双碳”转型、新能源车应用、碳交易、机动车污染治理等方面的综合研究与技术研发。</w:t>
      </w:r>
    </w:p>
    <w:p w14:paraId="5B261692" w14:textId="77777777" w:rsidR="00CA1256" w:rsidRDefault="007F4B67">
      <w:pPr>
        <w:pStyle w:val="af4"/>
        <w:rPr>
          <w:rFonts w:hint="eastAsia"/>
        </w:rPr>
      </w:pPr>
      <w:bookmarkStart w:id="6" w:name="_Toc23188"/>
      <w:bookmarkStart w:id="7" w:name="_Toc12401"/>
      <w:r>
        <w:rPr>
          <w:rFonts w:hint="eastAsia"/>
        </w:rPr>
        <w:t>（二）部门整体绩效目标设立情况</w:t>
      </w:r>
      <w:bookmarkEnd w:id="6"/>
      <w:bookmarkEnd w:id="7"/>
    </w:p>
    <w:p w14:paraId="5F3CD3DA" w14:textId="77777777" w:rsidR="00CA1256" w:rsidRDefault="007F4B67">
      <w:pPr>
        <w:spacing w:line="480" w:lineRule="auto"/>
        <w:ind w:firstLineChars="200" w:firstLine="640"/>
        <w:rPr>
          <w:rFonts w:ascii="仿宋_GB2312" w:eastAsia="仿宋_GB2312" w:hAnsi="仿宋" w:cs="仿宋_GB2312" w:hint="eastAsia"/>
          <w:sz w:val="32"/>
          <w:szCs w:val="32"/>
        </w:rPr>
      </w:pPr>
      <w:r>
        <w:rPr>
          <w:rFonts w:ascii="仿宋_GB2312" w:eastAsia="仿宋_GB2312" w:hAnsi="仿宋" w:cs="仿宋_GB2312" w:hint="eastAsia"/>
          <w:sz w:val="32"/>
          <w:szCs w:val="32"/>
        </w:rPr>
        <w:t>根据北京市财政局关于印发《</w:t>
      </w:r>
      <w:proofErr w:type="gramStart"/>
      <w:r>
        <w:rPr>
          <w:rFonts w:ascii="仿宋_GB2312" w:eastAsia="仿宋_GB2312" w:hAnsi="仿宋" w:cs="仿宋_GB2312"/>
          <w:sz w:val="32"/>
          <w:szCs w:val="32"/>
        </w:rPr>
        <w:t>&lt;</w:t>
      </w:r>
      <w:r>
        <w:rPr>
          <w:rFonts w:ascii="仿宋_GB2312" w:eastAsia="仿宋_GB2312" w:hAnsi="仿宋" w:cs="仿宋_GB2312" w:hint="eastAsia"/>
          <w:sz w:val="32"/>
          <w:szCs w:val="32"/>
        </w:rPr>
        <w:t>北京市</w:t>
      </w:r>
      <w:proofErr w:type="gramEnd"/>
      <w:r>
        <w:rPr>
          <w:rFonts w:ascii="仿宋_GB2312" w:eastAsia="仿宋_GB2312" w:hAnsi="仿宋" w:cs="仿宋_GB2312" w:hint="eastAsia"/>
          <w:sz w:val="32"/>
          <w:szCs w:val="32"/>
        </w:rPr>
        <w:t>预算绩效管理</w:t>
      </w:r>
      <w:proofErr w:type="gramStart"/>
      <w:r>
        <w:rPr>
          <w:rFonts w:ascii="仿宋_GB2312" w:eastAsia="仿宋_GB2312" w:hAnsi="仿宋" w:cs="仿宋_GB2312" w:hint="eastAsia"/>
          <w:sz w:val="32"/>
          <w:szCs w:val="32"/>
        </w:rPr>
        <w:t>办法</w:t>
      </w:r>
      <w:r>
        <w:rPr>
          <w:rFonts w:ascii="仿宋_GB2312" w:eastAsia="仿宋_GB2312" w:hAnsi="仿宋" w:cs="仿宋_GB2312"/>
          <w:sz w:val="32"/>
          <w:szCs w:val="32"/>
        </w:rPr>
        <w:t>&gt;</w:t>
      </w:r>
      <w:proofErr w:type="gramEnd"/>
      <w:r>
        <w:rPr>
          <w:rFonts w:ascii="仿宋_GB2312" w:eastAsia="仿宋_GB2312" w:hAnsi="仿宋" w:cs="仿宋_GB2312" w:hint="eastAsia"/>
          <w:sz w:val="32"/>
          <w:szCs w:val="32"/>
        </w:rPr>
        <w:t>和</w:t>
      </w:r>
      <w:proofErr w:type="gramStart"/>
      <w:r>
        <w:rPr>
          <w:rFonts w:ascii="仿宋_GB2312" w:eastAsia="仿宋_GB2312" w:hAnsi="仿宋" w:cs="仿宋_GB2312"/>
          <w:sz w:val="32"/>
          <w:szCs w:val="32"/>
        </w:rPr>
        <w:t>&lt;</w:t>
      </w:r>
      <w:r>
        <w:rPr>
          <w:rFonts w:ascii="仿宋_GB2312" w:eastAsia="仿宋_GB2312" w:hAnsi="仿宋" w:cs="仿宋_GB2312" w:hint="eastAsia"/>
          <w:sz w:val="32"/>
          <w:szCs w:val="32"/>
        </w:rPr>
        <w:t>北京市</w:t>
      </w:r>
      <w:proofErr w:type="gramEnd"/>
      <w:r>
        <w:rPr>
          <w:rFonts w:ascii="仿宋_GB2312" w:eastAsia="仿宋_GB2312" w:hAnsi="仿宋" w:cs="仿宋_GB2312" w:hint="eastAsia"/>
          <w:sz w:val="32"/>
          <w:szCs w:val="32"/>
        </w:rPr>
        <w:t>市级财政支出事前绩效评估管理办法</w:t>
      </w:r>
      <w:r>
        <w:rPr>
          <w:rFonts w:ascii="仿宋_GB2312" w:eastAsia="仿宋_GB2312" w:hAnsi="仿宋" w:cs="仿宋_GB2312"/>
          <w:sz w:val="32"/>
          <w:szCs w:val="32"/>
        </w:rPr>
        <w:t>&gt;</w:t>
      </w:r>
      <w:r>
        <w:rPr>
          <w:rFonts w:ascii="仿宋_GB2312" w:eastAsia="仿宋_GB2312" w:hAnsi="仿宋" w:cs="仿宋_GB2312" w:hint="eastAsia"/>
          <w:sz w:val="32"/>
          <w:szCs w:val="32"/>
        </w:rPr>
        <w:t>的通知》（京财绩效〔</w:t>
      </w:r>
      <w:r>
        <w:rPr>
          <w:rFonts w:ascii="仿宋_GB2312" w:eastAsia="仿宋_GB2312" w:hAnsi="仿宋" w:cs="仿宋_GB2312"/>
          <w:sz w:val="32"/>
          <w:szCs w:val="32"/>
        </w:rPr>
        <w:t>2019〕2129号）中关于部门和单位整体</w:t>
      </w:r>
      <w:r>
        <w:rPr>
          <w:rFonts w:ascii="仿宋_GB2312" w:eastAsia="仿宋_GB2312" w:hAnsi="仿宋" w:cs="仿宋_GB2312"/>
          <w:sz w:val="32"/>
          <w:szCs w:val="32"/>
        </w:rPr>
        <w:lastRenderedPageBreak/>
        <w:t>绩效目标、申报预算的前置条件的相关要求，2024年交研院结合自身开展的交通规划研究、交通战略研究、智能交通、交通综合调查、交通技术研发、轨道交通运营和慢行服务提升研究、节能减排等工作内容，编制了2024年部门整体支出绩效目标表。</w:t>
      </w:r>
    </w:p>
    <w:p w14:paraId="3B9832DA" w14:textId="77777777" w:rsidR="00CA1256" w:rsidRDefault="007F4B67">
      <w:pPr>
        <w:spacing w:line="480" w:lineRule="auto"/>
        <w:ind w:firstLineChars="200" w:firstLine="640"/>
        <w:rPr>
          <w:rFonts w:ascii="仿宋_GB2312" w:eastAsia="仿宋_GB2312" w:hAnsi="仿宋" w:cs="仿宋_GB2312" w:hint="eastAsia"/>
          <w:sz w:val="32"/>
          <w:szCs w:val="32"/>
        </w:rPr>
      </w:pPr>
      <w:r>
        <w:rPr>
          <w:rFonts w:ascii="仿宋_GB2312" w:eastAsia="仿宋_GB2312" w:hAnsi="仿宋" w:cs="仿宋_GB2312" w:hint="eastAsia"/>
          <w:sz w:val="32"/>
          <w:szCs w:val="32"/>
        </w:rPr>
        <w:t>具体绩效目标如下：</w:t>
      </w:r>
    </w:p>
    <w:p w14:paraId="58E3BB2C" w14:textId="77777777" w:rsidR="00CA1256" w:rsidRDefault="007F4B67">
      <w:pPr>
        <w:pStyle w:val="af5"/>
        <w:rPr>
          <w:rFonts w:hint="eastAsia"/>
        </w:rPr>
      </w:pPr>
      <w:bookmarkStart w:id="8" w:name="_Toc8191"/>
      <w:r>
        <w:rPr>
          <w:rFonts w:cs="宋体" w:hint="eastAsia"/>
          <w:color w:val="000000"/>
          <w:kern w:val="0"/>
        </w:rPr>
        <w:t>1.</w:t>
      </w:r>
      <w:r>
        <w:rPr>
          <w:rFonts w:hint="eastAsia"/>
        </w:rPr>
        <w:t>部门整体支出年度目标</w:t>
      </w:r>
      <w:bookmarkEnd w:id="8"/>
    </w:p>
    <w:p w14:paraId="339068FE" w14:textId="77777777" w:rsidR="00CA1256" w:rsidRDefault="007F4B67">
      <w:pPr>
        <w:spacing w:line="480" w:lineRule="auto"/>
        <w:ind w:firstLineChars="200" w:firstLine="640"/>
        <w:rPr>
          <w:rFonts w:ascii="仿宋_GB2312" w:eastAsia="仿宋_GB2312" w:hAnsi="仿宋" w:cs="仿宋_GB2312" w:hint="eastAsia"/>
          <w:sz w:val="32"/>
          <w:szCs w:val="32"/>
        </w:rPr>
      </w:pPr>
      <w:r>
        <w:rPr>
          <w:rFonts w:ascii="仿宋_GB2312" w:eastAsia="仿宋_GB2312" w:hAnsi="仿宋" w:cs="仿宋_GB2312"/>
          <w:sz w:val="32"/>
          <w:szCs w:val="32"/>
        </w:rPr>
        <w:t>2024年交研院部门整体支出总目标分为九个方面，分别为：一、交通规划研究。二、交通战略研究。三、智能交通工作。四、交通综合调查。五、交通技术研发。六、轨道交通运营和慢行服务提升研究。七、节能减排工作。八、保障部门人员稳定、日常运转。九、其他工作。</w:t>
      </w:r>
    </w:p>
    <w:p w14:paraId="4618A23A" w14:textId="77777777" w:rsidR="00CA1256" w:rsidRDefault="007F4B67">
      <w:pPr>
        <w:pStyle w:val="af5"/>
        <w:rPr>
          <w:rFonts w:hint="eastAsia"/>
        </w:rPr>
      </w:pPr>
      <w:bookmarkStart w:id="9" w:name="_Toc30106"/>
      <w:r>
        <w:rPr>
          <w:rFonts w:hint="eastAsia"/>
        </w:rPr>
        <w:t>2.部门整体支出绩效指标</w:t>
      </w:r>
      <w:bookmarkEnd w:id="9"/>
    </w:p>
    <w:p w14:paraId="3A146FA0" w14:textId="77777777" w:rsidR="00CA1256" w:rsidRDefault="007F4B67">
      <w:pPr>
        <w:spacing w:after="240" w:line="480" w:lineRule="auto"/>
        <w:ind w:firstLineChars="200" w:firstLine="640"/>
        <w:rPr>
          <w:rFonts w:ascii="仿宋_GB2312" w:eastAsia="仿宋_GB2312" w:hAnsi="仿宋" w:cs="仿宋_GB2312" w:hint="eastAsia"/>
          <w:sz w:val="32"/>
          <w:szCs w:val="32"/>
        </w:rPr>
      </w:pPr>
      <w:r>
        <w:rPr>
          <w:rFonts w:ascii="仿宋_GB2312" w:eastAsia="仿宋_GB2312" w:hAnsi="仿宋" w:cs="仿宋_GB2312"/>
          <w:sz w:val="32"/>
          <w:szCs w:val="32"/>
        </w:rPr>
        <w:t>2024年交研院根据年度总体目标分解设置了具体指标，详见下表。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7"/>
        <w:gridCol w:w="6615"/>
      </w:tblGrid>
      <w:tr w:rsidR="00CA1256" w14:paraId="57150925" w14:textId="77777777">
        <w:trPr>
          <w:trHeight w:val="615"/>
          <w:tblHeader/>
        </w:trPr>
        <w:tc>
          <w:tcPr>
            <w:tcW w:w="1119" w:type="pct"/>
            <w:vAlign w:val="center"/>
          </w:tcPr>
          <w:p w14:paraId="3D0B1DD3" w14:textId="77777777" w:rsidR="00CA1256" w:rsidRDefault="007F4B67">
            <w:pPr>
              <w:widowControl/>
              <w:spacing w:line="480" w:lineRule="auto"/>
              <w:jc w:val="center"/>
              <w:rPr>
                <w:rFonts w:ascii="仿宋" w:eastAsia="仿宋" w:hAnsi="仿宋" w:cs="Arial" w:hint="eastAsia"/>
                <w:b/>
                <w:bCs/>
                <w:kern w:val="0"/>
                <w:sz w:val="20"/>
                <w:szCs w:val="20"/>
              </w:rPr>
            </w:pPr>
            <w:r>
              <w:rPr>
                <w:rFonts w:ascii="仿宋" w:eastAsia="仿宋" w:hAnsi="仿宋" w:cs="Arial" w:hint="eastAsia"/>
                <w:b/>
                <w:bCs/>
                <w:kern w:val="0"/>
                <w:sz w:val="20"/>
                <w:szCs w:val="20"/>
              </w:rPr>
              <w:t>活动</w:t>
            </w:r>
          </w:p>
        </w:tc>
        <w:tc>
          <w:tcPr>
            <w:tcW w:w="3881" w:type="pct"/>
            <w:vAlign w:val="center"/>
          </w:tcPr>
          <w:p w14:paraId="6E83F32D" w14:textId="77777777" w:rsidR="00CA1256" w:rsidRDefault="007F4B67">
            <w:pPr>
              <w:widowControl/>
              <w:spacing w:line="480" w:lineRule="auto"/>
              <w:jc w:val="center"/>
              <w:rPr>
                <w:rFonts w:ascii="仿宋" w:eastAsia="仿宋" w:hAnsi="仿宋" w:cs="Arial" w:hint="eastAsia"/>
                <w:b/>
                <w:bCs/>
                <w:kern w:val="0"/>
                <w:sz w:val="20"/>
                <w:szCs w:val="20"/>
              </w:rPr>
            </w:pPr>
            <w:r>
              <w:rPr>
                <w:rFonts w:ascii="仿宋" w:eastAsia="仿宋" w:hAnsi="仿宋" w:cs="Arial" w:hint="eastAsia"/>
                <w:b/>
                <w:bCs/>
                <w:kern w:val="0"/>
                <w:sz w:val="20"/>
                <w:szCs w:val="20"/>
              </w:rPr>
              <w:t>指标内容和指标值</w:t>
            </w:r>
          </w:p>
        </w:tc>
      </w:tr>
      <w:tr w:rsidR="00CA1256" w14:paraId="31B8F2FB" w14:textId="77777777">
        <w:trPr>
          <w:trHeight w:val="615"/>
        </w:trPr>
        <w:tc>
          <w:tcPr>
            <w:tcW w:w="1119" w:type="pct"/>
            <w:vAlign w:val="center"/>
          </w:tcPr>
          <w:p w14:paraId="5D0CBDC3" w14:textId="77777777" w:rsidR="00CA1256" w:rsidRDefault="007F4B67">
            <w:pPr>
              <w:widowControl/>
              <w:spacing w:line="480" w:lineRule="auto"/>
              <w:jc w:val="center"/>
              <w:rPr>
                <w:rFonts w:ascii="仿宋" w:eastAsia="仿宋" w:hAnsi="仿宋" w:cs="Arial" w:hint="eastAsia"/>
                <w:color w:val="000000"/>
                <w:kern w:val="0"/>
                <w:sz w:val="18"/>
                <w:szCs w:val="18"/>
                <w:highlight w:val="yellow"/>
              </w:rPr>
            </w:pPr>
            <w:r>
              <w:rPr>
                <w:rFonts w:ascii="仿宋" w:eastAsia="仿宋" w:hAnsi="仿宋" w:cs="Arial" w:hint="eastAsia"/>
                <w:color w:val="000000"/>
                <w:kern w:val="0"/>
                <w:sz w:val="18"/>
                <w:szCs w:val="18"/>
              </w:rPr>
              <w:t>交通规划研究</w:t>
            </w:r>
          </w:p>
        </w:tc>
        <w:tc>
          <w:tcPr>
            <w:tcW w:w="3881" w:type="pct"/>
            <w:vAlign w:val="center"/>
          </w:tcPr>
          <w:p w14:paraId="4CD8BC34" w14:textId="77777777" w:rsidR="00CA1256" w:rsidRDefault="007F4B67">
            <w:pPr>
              <w:widowControl/>
              <w:spacing w:line="480" w:lineRule="auto"/>
              <w:jc w:val="left"/>
              <w:rPr>
                <w:rFonts w:ascii="仿宋" w:eastAsia="仿宋" w:hAnsi="仿宋" w:cs="Arial" w:hint="eastAsia"/>
                <w:color w:val="000000"/>
                <w:kern w:val="0"/>
                <w:sz w:val="18"/>
                <w:szCs w:val="18"/>
                <w:highlight w:val="yellow"/>
              </w:rPr>
            </w:pPr>
            <w:r>
              <w:rPr>
                <w:rFonts w:ascii="仿宋" w:eastAsia="仿宋" w:hAnsi="仿宋" w:cs="Arial" w:hint="eastAsia"/>
                <w:color w:val="000000"/>
                <w:kern w:val="0"/>
                <w:sz w:val="18"/>
                <w:szCs w:val="18"/>
              </w:rPr>
              <w:t>针对热点地区展开实地调研，提出改善策略，形成研究报告。</w:t>
            </w:r>
          </w:p>
        </w:tc>
      </w:tr>
      <w:tr w:rsidR="00CA1256" w14:paraId="5BEE6D56" w14:textId="77777777">
        <w:trPr>
          <w:trHeight w:val="615"/>
        </w:trPr>
        <w:tc>
          <w:tcPr>
            <w:tcW w:w="1119" w:type="pct"/>
            <w:vAlign w:val="center"/>
          </w:tcPr>
          <w:p w14:paraId="1F4E43BA" w14:textId="77777777" w:rsidR="00CA1256" w:rsidRDefault="007F4B67">
            <w:pPr>
              <w:widowControl/>
              <w:spacing w:line="480" w:lineRule="auto"/>
              <w:jc w:val="center"/>
              <w:rPr>
                <w:rFonts w:ascii="仿宋" w:eastAsia="仿宋" w:hAnsi="仿宋" w:cs="Arial" w:hint="eastAsia"/>
                <w:color w:val="000000"/>
                <w:kern w:val="0"/>
                <w:sz w:val="18"/>
                <w:szCs w:val="18"/>
                <w:highlight w:val="yellow"/>
              </w:rPr>
            </w:pPr>
            <w:r>
              <w:rPr>
                <w:rFonts w:ascii="仿宋" w:eastAsia="仿宋" w:hAnsi="仿宋" w:cs="Arial" w:hint="eastAsia"/>
                <w:color w:val="000000"/>
                <w:kern w:val="0"/>
                <w:sz w:val="18"/>
                <w:szCs w:val="18"/>
              </w:rPr>
              <w:t>交通战略研究</w:t>
            </w:r>
          </w:p>
        </w:tc>
        <w:tc>
          <w:tcPr>
            <w:tcW w:w="3881" w:type="pct"/>
            <w:vAlign w:val="center"/>
          </w:tcPr>
          <w:p w14:paraId="1889076C" w14:textId="77777777" w:rsidR="00CA1256" w:rsidRDefault="007F4B67">
            <w:pPr>
              <w:widowControl/>
              <w:spacing w:line="480" w:lineRule="auto"/>
              <w:jc w:val="left"/>
              <w:rPr>
                <w:rFonts w:ascii="仿宋" w:eastAsia="仿宋" w:hAnsi="仿宋" w:cs="Arial" w:hint="eastAsia"/>
                <w:color w:val="000000"/>
                <w:kern w:val="0"/>
                <w:sz w:val="18"/>
                <w:szCs w:val="18"/>
                <w:highlight w:val="yellow"/>
              </w:rPr>
            </w:pPr>
            <w:r>
              <w:rPr>
                <w:rFonts w:ascii="仿宋" w:eastAsia="仿宋" w:hAnsi="仿宋" w:cs="Arial" w:hint="eastAsia"/>
                <w:color w:val="000000"/>
                <w:kern w:val="0"/>
                <w:sz w:val="18"/>
                <w:szCs w:val="18"/>
              </w:rPr>
              <w:t>完成城市交通发展战略、交通政策、交通与城市的发展关系等方面的研究和编制工作，为政府交通战略决策提供咨询服务。</w:t>
            </w:r>
          </w:p>
        </w:tc>
      </w:tr>
      <w:tr w:rsidR="00CA1256" w14:paraId="4C0FFF24" w14:textId="77777777">
        <w:trPr>
          <w:trHeight w:val="615"/>
        </w:trPr>
        <w:tc>
          <w:tcPr>
            <w:tcW w:w="1119" w:type="pct"/>
            <w:vAlign w:val="center"/>
          </w:tcPr>
          <w:p w14:paraId="64E5516F" w14:textId="77777777" w:rsidR="00CA1256" w:rsidRDefault="007F4B67">
            <w:pPr>
              <w:widowControl/>
              <w:spacing w:line="480" w:lineRule="auto"/>
              <w:jc w:val="center"/>
              <w:rPr>
                <w:rFonts w:ascii="仿宋" w:eastAsia="仿宋" w:hAnsi="仿宋" w:cs="Arial" w:hint="eastAsia"/>
                <w:color w:val="000000"/>
                <w:kern w:val="0"/>
                <w:sz w:val="18"/>
                <w:szCs w:val="18"/>
                <w:highlight w:val="yellow"/>
              </w:rPr>
            </w:pPr>
            <w:r>
              <w:rPr>
                <w:rFonts w:ascii="仿宋" w:eastAsia="仿宋" w:hAnsi="仿宋" w:cs="Arial" w:hint="eastAsia"/>
                <w:color w:val="000000"/>
                <w:kern w:val="0"/>
                <w:sz w:val="18"/>
                <w:szCs w:val="18"/>
              </w:rPr>
              <w:t>智能交通工作</w:t>
            </w:r>
          </w:p>
        </w:tc>
        <w:tc>
          <w:tcPr>
            <w:tcW w:w="3881" w:type="pct"/>
            <w:vAlign w:val="center"/>
          </w:tcPr>
          <w:p w14:paraId="4C71FD52" w14:textId="77777777" w:rsidR="00CA1256" w:rsidRDefault="007F4B67">
            <w:pPr>
              <w:widowControl/>
              <w:spacing w:line="480" w:lineRule="auto"/>
              <w:jc w:val="left"/>
              <w:rPr>
                <w:rFonts w:ascii="仿宋" w:eastAsia="仿宋" w:hAnsi="仿宋" w:cs="Arial" w:hint="eastAsia"/>
                <w:color w:val="000000"/>
                <w:kern w:val="0"/>
                <w:sz w:val="18"/>
                <w:szCs w:val="18"/>
                <w:highlight w:val="yellow"/>
              </w:rPr>
            </w:pPr>
            <w:r>
              <w:rPr>
                <w:rFonts w:ascii="仿宋" w:eastAsia="仿宋" w:hAnsi="仿宋" w:cs="Arial" w:hint="eastAsia"/>
                <w:color w:val="000000"/>
                <w:kern w:val="0"/>
                <w:sz w:val="18"/>
                <w:szCs w:val="18"/>
              </w:rPr>
              <w:t>完成2024年度机房及网站运维，交通特征分析，并对交通运行监测与智能化分析平台升级改造项目等进行日常维护和功能完善，保障日常工作正常运转。</w:t>
            </w:r>
          </w:p>
        </w:tc>
      </w:tr>
      <w:tr w:rsidR="00CA1256" w14:paraId="7F65DE3E" w14:textId="77777777">
        <w:trPr>
          <w:trHeight w:val="615"/>
        </w:trPr>
        <w:tc>
          <w:tcPr>
            <w:tcW w:w="1119" w:type="pct"/>
            <w:vAlign w:val="center"/>
          </w:tcPr>
          <w:p w14:paraId="1CBBE571" w14:textId="77777777" w:rsidR="00CA1256" w:rsidRDefault="007F4B67">
            <w:pPr>
              <w:widowControl/>
              <w:spacing w:line="480" w:lineRule="auto"/>
              <w:jc w:val="center"/>
              <w:rPr>
                <w:rFonts w:ascii="仿宋" w:eastAsia="仿宋" w:hAnsi="仿宋" w:cs="Arial" w:hint="eastAsia"/>
                <w:color w:val="000000"/>
                <w:kern w:val="0"/>
                <w:sz w:val="18"/>
                <w:szCs w:val="18"/>
                <w:highlight w:val="yellow"/>
              </w:rPr>
            </w:pPr>
            <w:r>
              <w:rPr>
                <w:rFonts w:ascii="仿宋" w:eastAsia="仿宋" w:hAnsi="仿宋" w:cs="Arial" w:hint="eastAsia"/>
                <w:color w:val="000000"/>
                <w:kern w:val="0"/>
                <w:sz w:val="18"/>
                <w:szCs w:val="18"/>
              </w:rPr>
              <w:lastRenderedPageBreak/>
              <w:t>交通综合调查</w:t>
            </w:r>
          </w:p>
        </w:tc>
        <w:tc>
          <w:tcPr>
            <w:tcW w:w="3881" w:type="pct"/>
            <w:vAlign w:val="center"/>
          </w:tcPr>
          <w:p w14:paraId="6F5DDFF6" w14:textId="77777777" w:rsidR="00CA1256" w:rsidRDefault="007F4B67">
            <w:pPr>
              <w:widowControl/>
              <w:spacing w:line="480" w:lineRule="auto"/>
              <w:jc w:val="left"/>
              <w:rPr>
                <w:rFonts w:ascii="仿宋" w:eastAsia="仿宋" w:hAnsi="仿宋" w:cs="Arial" w:hint="eastAsia"/>
                <w:color w:val="000000"/>
                <w:kern w:val="0"/>
                <w:sz w:val="18"/>
                <w:szCs w:val="18"/>
                <w:highlight w:val="yellow"/>
              </w:rPr>
            </w:pPr>
            <w:r>
              <w:rPr>
                <w:rFonts w:ascii="仿宋" w:eastAsia="仿宋" w:hAnsi="仿宋" w:cs="Arial" w:hint="eastAsia"/>
                <w:color w:val="000000"/>
                <w:kern w:val="0"/>
                <w:sz w:val="18"/>
                <w:szCs w:val="18"/>
              </w:rPr>
              <w:t>开展年度小样本交通调查，编写年度交通发展报告，为掌握交通发展规律、交通政策制定、交通规划编制、更新和标定交通模型提供数据基础。</w:t>
            </w:r>
          </w:p>
        </w:tc>
      </w:tr>
      <w:tr w:rsidR="00CA1256" w14:paraId="74B7D809" w14:textId="77777777">
        <w:trPr>
          <w:trHeight w:val="615"/>
        </w:trPr>
        <w:tc>
          <w:tcPr>
            <w:tcW w:w="1119" w:type="pct"/>
            <w:vAlign w:val="center"/>
          </w:tcPr>
          <w:p w14:paraId="020BF6B9" w14:textId="77777777" w:rsidR="00CA1256" w:rsidRDefault="007F4B67">
            <w:pPr>
              <w:widowControl/>
              <w:spacing w:line="480" w:lineRule="auto"/>
              <w:jc w:val="center"/>
              <w:rPr>
                <w:rFonts w:ascii="仿宋" w:eastAsia="仿宋" w:hAnsi="仿宋" w:cs="Arial" w:hint="eastAsia"/>
                <w:kern w:val="0"/>
                <w:sz w:val="18"/>
                <w:szCs w:val="18"/>
                <w:highlight w:val="yellow"/>
              </w:rPr>
            </w:pPr>
            <w:r>
              <w:rPr>
                <w:rFonts w:ascii="仿宋" w:eastAsia="仿宋" w:hAnsi="仿宋" w:cs="Arial" w:hint="eastAsia"/>
                <w:kern w:val="0"/>
                <w:sz w:val="18"/>
                <w:szCs w:val="18"/>
              </w:rPr>
              <w:t>交通技术研发</w:t>
            </w:r>
          </w:p>
        </w:tc>
        <w:tc>
          <w:tcPr>
            <w:tcW w:w="3881" w:type="pct"/>
            <w:vAlign w:val="center"/>
          </w:tcPr>
          <w:p w14:paraId="2004D6F9" w14:textId="77777777" w:rsidR="00CA1256" w:rsidRDefault="007F4B67">
            <w:pPr>
              <w:widowControl/>
              <w:spacing w:line="480" w:lineRule="auto"/>
              <w:jc w:val="left"/>
              <w:rPr>
                <w:rFonts w:ascii="仿宋" w:eastAsia="仿宋" w:hAnsi="仿宋" w:cs="Arial" w:hint="eastAsia"/>
                <w:kern w:val="0"/>
                <w:sz w:val="18"/>
                <w:szCs w:val="18"/>
                <w:highlight w:val="yellow"/>
              </w:rPr>
            </w:pPr>
            <w:r>
              <w:rPr>
                <w:rFonts w:ascii="仿宋" w:eastAsia="仿宋" w:hAnsi="仿宋" w:cs="Arial" w:hint="eastAsia"/>
                <w:kern w:val="0"/>
                <w:sz w:val="18"/>
                <w:szCs w:val="18"/>
              </w:rPr>
              <w:t>研究出行时空调节核心技术、深化预约出行的研究与实践；探索人工智能技术在交通数据融合和仿真建模中的应用。</w:t>
            </w:r>
          </w:p>
        </w:tc>
      </w:tr>
      <w:tr w:rsidR="00CA1256" w14:paraId="44A52585" w14:textId="77777777">
        <w:trPr>
          <w:trHeight w:val="615"/>
        </w:trPr>
        <w:tc>
          <w:tcPr>
            <w:tcW w:w="1119" w:type="pct"/>
            <w:vAlign w:val="center"/>
          </w:tcPr>
          <w:p w14:paraId="4BE7D059" w14:textId="77777777" w:rsidR="00CA1256" w:rsidRDefault="007F4B67">
            <w:pPr>
              <w:widowControl/>
              <w:spacing w:line="480" w:lineRule="auto"/>
              <w:jc w:val="center"/>
              <w:rPr>
                <w:rFonts w:ascii="仿宋" w:eastAsia="仿宋" w:hAnsi="仿宋" w:cs="Arial" w:hint="eastAsia"/>
                <w:color w:val="000000"/>
                <w:kern w:val="0"/>
                <w:sz w:val="18"/>
                <w:szCs w:val="18"/>
                <w:highlight w:val="yellow"/>
              </w:rPr>
            </w:pPr>
            <w:r>
              <w:rPr>
                <w:rFonts w:ascii="仿宋" w:eastAsia="仿宋" w:hAnsi="仿宋" w:cs="Arial" w:hint="eastAsia"/>
                <w:color w:val="000000"/>
                <w:kern w:val="0"/>
                <w:sz w:val="18"/>
                <w:szCs w:val="18"/>
              </w:rPr>
              <w:t>轨道交通运营和慢行服务提升研究</w:t>
            </w:r>
          </w:p>
        </w:tc>
        <w:tc>
          <w:tcPr>
            <w:tcW w:w="3881" w:type="pct"/>
            <w:vAlign w:val="center"/>
          </w:tcPr>
          <w:p w14:paraId="1730C292" w14:textId="77777777" w:rsidR="00CA1256" w:rsidRDefault="007F4B67">
            <w:pPr>
              <w:widowControl/>
              <w:spacing w:line="480" w:lineRule="auto"/>
              <w:jc w:val="left"/>
              <w:rPr>
                <w:rFonts w:ascii="仿宋" w:eastAsia="仿宋" w:hAnsi="仿宋" w:cs="Arial" w:hint="eastAsia"/>
                <w:color w:val="000000"/>
                <w:kern w:val="0"/>
                <w:sz w:val="18"/>
                <w:szCs w:val="18"/>
                <w:highlight w:val="yellow"/>
              </w:rPr>
            </w:pPr>
            <w:r>
              <w:rPr>
                <w:rFonts w:ascii="仿宋" w:eastAsia="仿宋" w:hAnsi="仿宋" w:cs="Arial" w:hint="eastAsia"/>
                <w:color w:val="000000"/>
                <w:kern w:val="0"/>
                <w:sz w:val="18"/>
                <w:szCs w:val="18"/>
              </w:rPr>
              <w:t>跟踪轨道交通发展动态，分析轨道交通运营特征，为北京市城市轨道交通、市郊铁路高质量发展提供支撑；开展慢行交通品质提升方法及策略研究，完成相关研究报告，支撑慢行品质提升工作方案编制。</w:t>
            </w:r>
          </w:p>
        </w:tc>
      </w:tr>
      <w:tr w:rsidR="00CA1256" w14:paraId="3C0DD26E" w14:textId="77777777">
        <w:trPr>
          <w:trHeight w:val="615"/>
        </w:trPr>
        <w:tc>
          <w:tcPr>
            <w:tcW w:w="1119" w:type="pct"/>
            <w:vAlign w:val="center"/>
          </w:tcPr>
          <w:p w14:paraId="0E9D27ED" w14:textId="77777777" w:rsidR="00CA1256" w:rsidRDefault="007F4B67">
            <w:pPr>
              <w:widowControl/>
              <w:spacing w:line="480" w:lineRule="auto"/>
              <w:jc w:val="center"/>
              <w:rPr>
                <w:rFonts w:ascii="仿宋" w:eastAsia="仿宋" w:hAnsi="仿宋" w:cs="Arial" w:hint="eastAsia"/>
                <w:color w:val="000000"/>
                <w:kern w:val="0"/>
                <w:sz w:val="18"/>
                <w:szCs w:val="18"/>
                <w:highlight w:val="yellow"/>
              </w:rPr>
            </w:pPr>
            <w:r>
              <w:rPr>
                <w:rFonts w:ascii="仿宋" w:eastAsia="仿宋" w:hAnsi="仿宋" w:cs="Arial" w:hint="eastAsia"/>
                <w:color w:val="000000"/>
                <w:kern w:val="0"/>
                <w:sz w:val="18"/>
                <w:szCs w:val="18"/>
              </w:rPr>
              <w:t>节能减排工作</w:t>
            </w:r>
          </w:p>
        </w:tc>
        <w:tc>
          <w:tcPr>
            <w:tcW w:w="3881" w:type="pct"/>
            <w:vAlign w:val="center"/>
          </w:tcPr>
          <w:p w14:paraId="3E1162F3" w14:textId="77777777" w:rsidR="00CA1256" w:rsidRDefault="007F4B67">
            <w:pPr>
              <w:widowControl/>
              <w:spacing w:line="480" w:lineRule="auto"/>
              <w:jc w:val="left"/>
              <w:rPr>
                <w:rFonts w:ascii="仿宋" w:eastAsia="仿宋" w:hAnsi="仿宋" w:cs="Arial" w:hint="eastAsia"/>
                <w:color w:val="000000"/>
                <w:kern w:val="0"/>
                <w:sz w:val="18"/>
                <w:szCs w:val="18"/>
                <w:highlight w:val="yellow"/>
              </w:rPr>
            </w:pPr>
            <w:r>
              <w:rPr>
                <w:rFonts w:ascii="仿宋" w:eastAsia="仿宋" w:hAnsi="仿宋" w:cs="Arial"/>
                <w:color w:val="000000"/>
                <w:kern w:val="0"/>
                <w:sz w:val="18"/>
                <w:szCs w:val="18"/>
              </w:rPr>
              <w:t>开展2024年度交通行业典型车辆排放测试评估，更新维护交通排放因子，维护北京市交通领域节能减排统计与监测体系，在绿色交通、交通节能减排产品技术评价与应用、交通能源转型与新能源汽车发展、物流体系等领域开展评估与数据挖掘</w:t>
            </w:r>
            <w:r>
              <w:rPr>
                <w:rFonts w:ascii="仿宋" w:eastAsia="仿宋" w:hAnsi="仿宋" w:cs="Arial" w:hint="eastAsia"/>
                <w:color w:val="000000"/>
                <w:kern w:val="0"/>
                <w:sz w:val="18"/>
                <w:szCs w:val="18"/>
              </w:rPr>
              <w:t>。</w:t>
            </w:r>
          </w:p>
        </w:tc>
      </w:tr>
      <w:tr w:rsidR="00CA1256" w14:paraId="503322A1" w14:textId="77777777">
        <w:trPr>
          <w:trHeight w:val="615"/>
        </w:trPr>
        <w:tc>
          <w:tcPr>
            <w:tcW w:w="1119" w:type="pct"/>
            <w:vAlign w:val="center"/>
          </w:tcPr>
          <w:p w14:paraId="794E8ABE" w14:textId="77777777" w:rsidR="00CA1256" w:rsidRDefault="007F4B67">
            <w:pPr>
              <w:widowControl/>
              <w:spacing w:line="480" w:lineRule="auto"/>
              <w:jc w:val="center"/>
              <w:rPr>
                <w:rFonts w:ascii="仿宋" w:eastAsia="仿宋" w:hAnsi="仿宋" w:cs="Arial" w:hint="eastAsia"/>
                <w:kern w:val="0"/>
                <w:sz w:val="18"/>
                <w:szCs w:val="18"/>
                <w:highlight w:val="yellow"/>
              </w:rPr>
            </w:pPr>
            <w:r>
              <w:rPr>
                <w:rFonts w:ascii="仿宋" w:eastAsia="仿宋" w:hAnsi="仿宋" w:cs="Arial" w:hint="eastAsia"/>
                <w:kern w:val="0"/>
                <w:sz w:val="18"/>
                <w:szCs w:val="18"/>
              </w:rPr>
              <w:t>保障部门人员稳定、日常运转</w:t>
            </w:r>
          </w:p>
        </w:tc>
        <w:tc>
          <w:tcPr>
            <w:tcW w:w="3881" w:type="pct"/>
            <w:vAlign w:val="center"/>
          </w:tcPr>
          <w:p w14:paraId="552D917C" w14:textId="77777777" w:rsidR="00CA1256" w:rsidRDefault="007F4B67">
            <w:pPr>
              <w:widowControl/>
              <w:spacing w:line="480" w:lineRule="auto"/>
              <w:jc w:val="left"/>
              <w:rPr>
                <w:rFonts w:ascii="仿宋" w:eastAsia="仿宋" w:hAnsi="仿宋" w:cs="Arial" w:hint="eastAsia"/>
                <w:kern w:val="0"/>
                <w:sz w:val="18"/>
                <w:szCs w:val="18"/>
                <w:highlight w:val="yellow"/>
              </w:rPr>
            </w:pPr>
            <w:r>
              <w:rPr>
                <w:rFonts w:ascii="仿宋" w:eastAsia="仿宋" w:hAnsi="仿宋" w:cs="Arial" w:hint="eastAsia"/>
                <w:kern w:val="0"/>
                <w:sz w:val="18"/>
                <w:szCs w:val="18"/>
              </w:rPr>
              <w:t>确保部门公共服务业务正常开展，提升部门社会履职能力。</w:t>
            </w:r>
          </w:p>
        </w:tc>
      </w:tr>
      <w:tr w:rsidR="00CA1256" w14:paraId="1DE35149" w14:textId="77777777">
        <w:trPr>
          <w:trHeight w:val="615"/>
        </w:trPr>
        <w:tc>
          <w:tcPr>
            <w:tcW w:w="1119" w:type="pct"/>
            <w:vAlign w:val="center"/>
          </w:tcPr>
          <w:p w14:paraId="54C4597F" w14:textId="77777777" w:rsidR="00CA1256" w:rsidRDefault="007F4B67">
            <w:pPr>
              <w:widowControl/>
              <w:spacing w:line="480" w:lineRule="auto"/>
              <w:jc w:val="center"/>
              <w:rPr>
                <w:rFonts w:ascii="仿宋" w:eastAsia="仿宋" w:hAnsi="仿宋" w:cs="Arial" w:hint="eastAsia"/>
                <w:kern w:val="0"/>
                <w:sz w:val="18"/>
                <w:szCs w:val="18"/>
                <w:highlight w:val="yellow"/>
              </w:rPr>
            </w:pPr>
            <w:r>
              <w:rPr>
                <w:rFonts w:ascii="仿宋" w:eastAsia="仿宋" w:hAnsi="仿宋" w:cs="Arial" w:hint="eastAsia"/>
                <w:kern w:val="0"/>
                <w:sz w:val="18"/>
                <w:szCs w:val="18"/>
              </w:rPr>
              <w:t>其他工作</w:t>
            </w:r>
          </w:p>
        </w:tc>
        <w:tc>
          <w:tcPr>
            <w:tcW w:w="3881" w:type="pct"/>
            <w:vAlign w:val="center"/>
          </w:tcPr>
          <w:p w14:paraId="0BAA4344" w14:textId="77777777" w:rsidR="00CA1256" w:rsidRDefault="007F4B67">
            <w:pPr>
              <w:widowControl/>
              <w:spacing w:line="480" w:lineRule="auto"/>
              <w:jc w:val="left"/>
              <w:rPr>
                <w:rFonts w:ascii="仿宋" w:eastAsia="仿宋" w:hAnsi="仿宋" w:cs="Arial" w:hint="eastAsia"/>
                <w:kern w:val="0"/>
                <w:sz w:val="18"/>
                <w:szCs w:val="18"/>
                <w:highlight w:val="yellow"/>
              </w:rPr>
            </w:pPr>
            <w:r>
              <w:rPr>
                <w:rFonts w:ascii="仿宋" w:eastAsia="仿宋" w:hAnsi="仿宋" w:cs="Arial" w:hint="eastAsia"/>
                <w:kern w:val="0"/>
                <w:sz w:val="18"/>
                <w:szCs w:val="18"/>
              </w:rPr>
              <w:t>完成交研院项目管理工作，组织各类交通发展论坛，博士后工作站利用交研院数据优势资源、技术研发优势，基础条件优势，业务衔接优势，形成管、产、学、研一体化培训基地。</w:t>
            </w:r>
          </w:p>
        </w:tc>
      </w:tr>
    </w:tbl>
    <w:p w14:paraId="34B21F3C" w14:textId="77777777" w:rsidR="00CA1256" w:rsidRDefault="00CA1256">
      <w:pPr>
        <w:spacing w:line="480" w:lineRule="auto"/>
        <w:rPr>
          <w:rFonts w:ascii="仿宋" w:eastAsia="仿宋" w:hAnsi="仿宋" w:hint="eastAsia"/>
          <w:highlight w:val="yellow"/>
        </w:rPr>
      </w:pPr>
      <w:bookmarkStart w:id="10" w:name="_Toc11130"/>
    </w:p>
    <w:p w14:paraId="3064FFBD" w14:textId="77777777" w:rsidR="00CA1256" w:rsidRDefault="007F4B67">
      <w:pPr>
        <w:pStyle w:val="af3"/>
        <w:rPr>
          <w:rFonts w:hint="eastAsia"/>
        </w:rPr>
      </w:pPr>
      <w:bookmarkStart w:id="11" w:name="_Toc22120"/>
      <w:r>
        <w:rPr>
          <w:rFonts w:hint="eastAsia"/>
        </w:rPr>
        <w:t>二、当年预算执行情况</w:t>
      </w:r>
      <w:bookmarkEnd w:id="10"/>
      <w:bookmarkEnd w:id="11"/>
    </w:p>
    <w:p w14:paraId="2DB3BF51" w14:textId="77777777" w:rsidR="00CA1256" w:rsidRDefault="007F4B67" w:rsidP="00EC7FED">
      <w:pPr>
        <w:spacing w:line="480" w:lineRule="auto"/>
        <w:ind w:firstLineChars="200" w:firstLine="640"/>
        <w:rPr>
          <w:rFonts w:ascii="仿宋_GB2312" w:eastAsia="仿宋_GB2312" w:hAnsi="仿宋" w:cs="仿宋_GB2312" w:hint="eastAsia"/>
          <w:sz w:val="32"/>
          <w:szCs w:val="32"/>
        </w:rPr>
      </w:pPr>
      <w:r>
        <w:rPr>
          <w:rFonts w:ascii="仿宋_GB2312" w:eastAsia="仿宋_GB2312" w:hAnsi="仿宋" w:cs="宋体" w:hint="eastAsia"/>
          <w:b/>
          <w:color w:val="000000"/>
          <w:kern w:val="0"/>
          <w:sz w:val="32"/>
          <w:szCs w:val="32"/>
        </w:rPr>
        <w:t>年度总预算方面：</w:t>
      </w:r>
      <w:r>
        <w:rPr>
          <w:rFonts w:ascii="仿宋_GB2312" w:eastAsia="仿宋_GB2312" w:hAnsi="仿宋" w:cs="仿宋_GB2312"/>
          <w:sz w:val="32"/>
          <w:szCs w:val="32"/>
        </w:rPr>
        <w:t>2024年</w:t>
      </w:r>
      <w:r>
        <w:rPr>
          <w:rFonts w:ascii="仿宋_GB2312" w:eastAsia="仿宋_GB2312" w:hAnsi="仿宋" w:cs="仿宋_GB2312" w:hint="eastAsia"/>
          <w:sz w:val="32"/>
          <w:szCs w:val="32"/>
        </w:rPr>
        <w:t>全年预算</w:t>
      </w:r>
      <w:r>
        <w:rPr>
          <w:rFonts w:ascii="仿宋_GB2312" w:eastAsia="仿宋_GB2312" w:hAnsi="仿宋" w:cs="仿宋_GB2312"/>
          <w:sz w:val="32"/>
          <w:szCs w:val="32"/>
        </w:rPr>
        <w:t>24648.689867万元，</w:t>
      </w:r>
      <w:r>
        <w:rPr>
          <w:rFonts w:ascii="仿宋_GB2312" w:eastAsia="仿宋_GB2312" w:hAnsi="仿宋" w:cs="仿宋_GB2312" w:hint="eastAsia"/>
          <w:sz w:val="32"/>
          <w:szCs w:val="32"/>
        </w:rPr>
        <w:t>全年支出</w:t>
      </w:r>
      <w:r>
        <w:rPr>
          <w:rFonts w:ascii="仿宋_GB2312" w:eastAsia="仿宋_GB2312" w:hAnsi="仿宋" w:cs="仿宋_GB2312"/>
          <w:sz w:val="32"/>
          <w:szCs w:val="32"/>
        </w:rPr>
        <w:t>11507.273994万元</w:t>
      </w:r>
      <w:r>
        <w:rPr>
          <w:rFonts w:ascii="仿宋_GB2312" w:eastAsia="仿宋_GB2312" w:hAnsi="仿宋" w:cs="仿宋_GB2312" w:hint="eastAsia"/>
          <w:sz w:val="32"/>
          <w:szCs w:val="32"/>
        </w:rPr>
        <w:t>，预算执行率为</w:t>
      </w:r>
      <w:r>
        <w:rPr>
          <w:rFonts w:ascii="仿宋_GB2312" w:eastAsia="仿宋_GB2312" w:hAnsi="仿宋" w:cs="仿宋_GB2312"/>
          <w:sz w:val="32"/>
          <w:szCs w:val="32"/>
        </w:rPr>
        <w:t>46.69%</w:t>
      </w:r>
      <w:r>
        <w:rPr>
          <w:rFonts w:ascii="仿宋_GB2312" w:eastAsia="仿宋_GB2312" w:hAnsi="仿宋" w:cs="仿宋_GB2312" w:hint="eastAsia"/>
          <w:sz w:val="32"/>
          <w:szCs w:val="32"/>
        </w:rPr>
        <w:t>。执行率较低的主要原因为：因年度计划调整，部分项目未开展</w:t>
      </w:r>
      <w:r>
        <w:rPr>
          <w:rFonts w:ascii="仿宋_GB2312" w:eastAsia="仿宋_GB2312" w:hAnsi="仿宋" w:cs="仿宋_GB2312"/>
          <w:sz w:val="32"/>
          <w:szCs w:val="32"/>
        </w:rPr>
        <w:t>。</w:t>
      </w:r>
    </w:p>
    <w:p w14:paraId="63BF4F1B" w14:textId="77777777" w:rsidR="00CA1256" w:rsidRDefault="007F4B67" w:rsidP="00EC7FED">
      <w:pPr>
        <w:spacing w:line="480" w:lineRule="auto"/>
        <w:ind w:firstLineChars="200" w:firstLine="640"/>
        <w:rPr>
          <w:rFonts w:ascii="仿宋_GB2312" w:eastAsia="仿宋_GB2312" w:hAnsi="仿宋" w:cs="宋体" w:hint="eastAsia"/>
          <w:kern w:val="0"/>
          <w:sz w:val="32"/>
          <w:szCs w:val="32"/>
          <w:highlight w:val="yellow"/>
        </w:rPr>
      </w:pPr>
      <w:r>
        <w:rPr>
          <w:rFonts w:ascii="仿宋_GB2312" w:eastAsia="仿宋_GB2312" w:hAnsi="仿宋" w:cs="宋体" w:hint="eastAsia"/>
          <w:b/>
          <w:color w:val="000000"/>
          <w:kern w:val="0"/>
          <w:sz w:val="32"/>
          <w:szCs w:val="32"/>
        </w:rPr>
        <w:lastRenderedPageBreak/>
        <w:t>财政拨款方面：</w:t>
      </w:r>
      <w:r>
        <w:rPr>
          <w:rFonts w:ascii="仿宋_GB2312" w:eastAsia="仿宋_GB2312" w:hAnsi="仿宋" w:cs="宋体"/>
          <w:color w:val="000000"/>
          <w:kern w:val="0"/>
          <w:sz w:val="32"/>
          <w:szCs w:val="32"/>
        </w:rPr>
        <w:t xml:space="preserve"> 2024年全年预算数3600.142907</w:t>
      </w:r>
      <w:r>
        <w:rPr>
          <w:rFonts w:ascii="仿宋_GB2312" w:eastAsia="仿宋_GB2312" w:hAnsi="仿宋" w:cs="宋体" w:hint="eastAsia"/>
          <w:color w:val="000000"/>
          <w:kern w:val="0"/>
          <w:sz w:val="32"/>
          <w:szCs w:val="32"/>
        </w:rPr>
        <w:t>万元，全年支出</w:t>
      </w:r>
      <w:r>
        <w:rPr>
          <w:rFonts w:ascii="仿宋_GB2312" w:eastAsia="仿宋_GB2312" w:hAnsi="仿宋" w:cs="宋体"/>
          <w:color w:val="000000"/>
          <w:kern w:val="0"/>
          <w:sz w:val="32"/>
          <w:szCs w:val="32"/>
        </w:rPr>
        <w:t>3595.991037</w:t>
      </w:r>
      <w:r>
        <w:rPr>
          <w:rFonts w:ascii="仿宋_GB2312" w:eastAsia="仿宋_GB2312" w:hAnsi="仿宋" w:cs="宋体" w:hint="eastAsia"/>
          <w:color w:val="000000"/>
          <w:kern w:val="0"/>
          <w:sz w:val="32"/>
          <w:szCs w:val="32"/>
        </w:rPr>
        <w:t>万元，预算执行率为</w:t>
      </w:r>
      <w:r>
        <w:rPr>
          <w:rFonts w:ascii="仿宋_GB2312" w:eastAsia="仿宋_GB2312" w:hAnsi="仿宋" w:cs="宋体"/>
          <w:color w:val="000000"/>
          <w:kern w:val="0"/>
          <w:sz w:val="32"/>
          <w:szCs w:val="32"/>
        </w:rPr>
        <w:t>99.88%，结余资金4.151870万元</w:t>
      </w:r>
      <w:r>
        <w:rPr>
          <w:rFonts w:ascii="仿宋_GB2312" w:eastAsia="仿宋_GB2312" w:hAnsi="仿宋" w:cs="宋体" w:hint="eastAsia"/>
          <w:color w:val="000000"/>
          <w:kern w:val="0"/>
          <w:sz w:val="32"/>
          <w:szCs w:val="32"/>
        </w:rPr>
        <w:t>。</w:t>
      </w:r>
    </w:p>
    <w:p w14:paraId="3D4A9FFE" w14:textId="77777777" w:rsidR="00CA1256" w:rsidRDefault="007F4B67">
      <w:pPr>
        <w:pStyle w:val="af3"/>
        <w:rPr>
          <w:rFonts w:hint="eastAsia"/>
        </w:rPr>
      </w:pPr>
      <w:bookmarkStart w:id="12" w:name="_Toc21904"/>
      <w:bookmarkStart w:id="13" w:name="_Toc11646"/>
      <w:r>
        <w:rPr>
          <w:rFonts w:hint="eastAsia"/>
        </w:rPr>
        <w:t>三、整体绩效目标实现情况</w:t>
      </w:r>
      <w:bookmarkEnd w:id="12"/>
      <w:bookmarkEnd w:id="13"/>
    </w:p>
    <w:p w14:paraId="72E89D4D" w14:textId="77777777" w:rsidR="00CA1256" w:rsidRDefault="007F4B67">
      <w:pPr>
        <w:spacing w:line="480" w:lineRule="auto"/>
        <w:ind w:firstLineChars="200" w:firstLine="640"/>
        <w:textAlignment w:val="baseline"/>
        <w:rPr>
          <w:rFonts w:ascii="仿宋_GB2312" w:eastAsia="仿宋_GB2312" w:hAnsi="仿宋" w:hint="eastAsia"/>
          <w:sz w:val="32"/>
          <w:szCs w:val="32"/>
          <w:highlight w:val="yellow"/>
        </w:rPr>
      </w:pPr>
      <w:r>
        <w:rPr>
          <w:rFonts w:ascii="仿宋_GB2312" w:eastAsia="仿宋_GB2312" w:hAnsi="仿宋" w:hint="eastAsia"/>
          <w:sz w:val="32"/>
          <w:szCs w:val="32"/>
        </w:rPr>
        <w:t>交研院高质量完成了</w:t>
      </w:r>
      <w:r>
        <w:rPr>
          <w:rFonts w:ascii="仿宋_GB2312" w:eastAsia="仿宋_GB2312" w:hAnsi="仿宋"/>
          <w:sz w:val="32"/>
          <w:szCs w:val="32"/>
        </w:rPr>
        <w:t>2024年度各项任务，一是交通规划研究。针对交通热点问题，选取重点区域，开展了调研和改善策略分析，提出治理措施形成《年度交通缓堵措施研究报告》。二是交通战略研究。</w:t>
      </w:r>
      <w:r>
        <w:rPr>
          <w:rFonts w:ascii="仿宋_GB2312" w:eastAsia="仿宋_GB2312" w:hAnsi="仿宋" w:hint="eastAsia"/>
          <w:sz w:val="32"/>
          <w:szCs w:val="32"/>
        </w:rPr>
        <w:t>开展</w:t>
      </w:r>
      <w:r>
        <w:rPr>
          <w:rFonts w:ascii="仿宋_GB2312" w:eastAsia="仿宋_GB2312" w:hAnsi="仿宋"/>
          <w:sz w:val="32"/>
          <w:szCs w:val="32"/>
        </w:rPr>
        <w:t>城市交通发展历程及未来发展趋势、城市交通发展国际经验、城市交通发展战略要点三方面研究；</w:t>
      </w:r>
      <w:r>
        <w:rPr>
          <w:rFonts w:ascii="仿宋_GB2312" w:eastAsia="仿宋_GB2312" w:hAnsi="仿宋" w:hint="eastAsia"/>
          <w:sz w:val="32"/>
          <w:szCs w:val="32"/>
        </w:rPr>
        <w:t>开展</w:t>
      </w:r>
      <w:r>
        <w:rPr>
          <w:rFonts w:ascii="仿宋_GB2312" w:eastAsia="仿宋_GB2312" w:hAnsi="仿宋"/>
          <w:sz w:val="32"/>
          <w:szCs w:val="32"/>
        </w:rPr>
        <w:t>未来城市交通发展战略研究，提出发展愿景及战略任务。三是智能交通工作。完成了年度交通特征分析和信息化运行维护，提供了技术保障。四是交通综合调查。开展年度小样本交通调查，编写年度交通发展报告，为掌握交通发展规律、交通政策制定、交通规划编制、更新和标定交通模型提供数据基础。五是交通技术研发。研究出行时空调节核心技术、深化预约出行的研究与实践；完成了预约出行模式这一全新交通组织方案的研究工作，形成了完善的精细化出行需求管理方案。六是轨道交通运营和慢行服务提升研究。跟踪轨道交通发展动态，分析轨道交通运营特征，为北京市城市轨道交通、市郊铁路高质量发展提供支撑；开展慢行交通品质提升方法及策略研究。七是节能减排工作。开展车辆排放测试、年度路网运行排放特征及交通管控措施的</w:t>
      </w:r>
      <w:r>
        <w:rPr>
          <w:rFonts w:ascii="仿宋_GB2312" w:eastAsia="仿宋_GB2312" w:hAnsi="仿宋"/>
          <w:sz w:val="32"/>
          <w:szCs w:val="32"/>
        </w:rPr>
        <w:lastRenderedPageBreak/>
        <w:t>污染减排效果评估；在绿色交通可持续发展、交通节能减排产品技术评价与应用、交通能源转型与新能源汽车发展、物流体系可持续发展等领域开展数据分析挖掘等相关工作。</w:t>
      </w:r>
      <w:r>
        <w:rPr>
          <w:rFonts w:ascii="仿宋_GB2312" w:eastAsia="仿宋_GB2312" w:hAnsi="仿宋" w:hint="eastAsia"/>
          <w:sz w:val="32"/>
          <w:szCs w:val="32"/>
        </w:rPr>
        <w:t>八是保障了部门人员稳定、日常运转。确保部门公共服务业务正常开展，提升了部门社会履职能力。九是其他工作。完成了交研院项目管理工作，组织各类交通发展论坛，依托博士后工作站，利用交研院数据资源优势、技术研发优势，基础条件优势，业务衔接优势，形成了管、产、学、研一体化培训基地。</w:t>
      </w:r>
    </w:p>
    <w:p w14:paraId="60E77E7E" w14:textId="77777777" w:rsidR="00CA1256" w:rsidRDefault="007F4B67">
      <w:pPr>
        <w:pStyle w:val="af4"/>
        <w:rPr>
          <w:rFonts w:hint="eastAsia"/>
        </w:rPr>
      </w:pPr>
      <w:bookmarkStart w:id="14" w:name="_Toc24591"/>
      <w:bookmarkStart w:id="15" w:name="_Toc23303"/>
      <w:r>
        <w:rPr>
          <w:rFonts w:hint="eastAsia"/>
        </w:rPr>
        <w:t>（一）产出完成情况分析</w:t>
      </w:r>
      <w:bookmarkEnd w:id="14"/>
    </w:p>
    <w:p w14:paraId="2BEC9ACA" w14:textId="77777777" w:rsidR="00CA1256" w:rsidRDefault="007F4B67">
      <w:pPr>
        <w:pStyle w:val="af5"/>
        <w:rPr>
          <w:rFonts w:hint="eastAsia"/>
        </w:rPr>
      </w:pPr>
      <w:bookmarkStart w:id="16" w:name="_Toc8865"/>
      <w:r>
        <w:rPr>
          <w:rFonts w:hint="eastAsia"/>
        </w:rPr>
        <w:t>1．产出数量</w:t>
      </w:r>
      <w:bookmarkEnd w:id="16"/>
    </w:p>
    <w:p w14:paraId="2EFB0A41" w14:textId="77777777" w:rsidR="00CA1256" w:rsidRDefault="007F4B67">
      <w:pPr>
        <w:spacing w:line="480" w:lineRule="auto"/>
        <w:ind w:firstLineChars="200" w:firstLine="640"/>
        <w:textAlignment w:val="baseline"/>
        <w:rPr>
          <w:rFonts w:ascii="仿宋_GB2312" w:eastAsia="仿宋_GB2312" w:hAnsi="仿宋" w:cs="宋体" w:hint="eastAsia"/>
          <w:bCs/>
          <w:sz w:val="32"/>
          <w:szCs w:val="32"/>
        </w:rPr>
      </w:pPr>
      <w:r>
        <w:rPr>
          <w:rFonts w:ascii="仿宋_GB2312" w:eastAsia="仿宋_GB2312" w:hAnsi="仿宋" w:cs="宋体" w:hint="eastAsia"/>
          <w:bCs/>
          <w:sz w:val="32"/>
          <w:szCs w:val="32"/>
        </w:rPr>
        <w:t>（</w:t>
      </w:r>
      <w:r>
        <w:rPr>
          <w:rFonts w:ascii="仿宋_GB2312" w:eastAsia="仿宋_GB2312" w:hAnsi="仿宋" w:cs="宋体"/>
          <w:bCs/>
          <w:sz w:val="32"/>
          <w:szCs w:val="32"/>
        </w:rPr>
        <w:t>1）信息系统建设运维</w:t>
      </w:r>
      <w:r>
        <w:rPr>
          <w:rFonts w:ascii="仿宋_GB2312" w:eastAsia="仿宋_GB2312" w:hAnsi="仿宋" w:cs="宋体" w:hint="eastAsia"/>
          <w:bCs/>
          <w:sz w:val="32"/>
          <w:szCs w:val="32"/>
        </w:rPr>
        <w:t>：</w:t>
      </w:r>
      <w:r>
        <w:rPr>
          <w:rFonts w:ascii="仿宋_GB2312" w:eastAsia="仿宋_GB2312" w:hAnsi="仿宋" w:cs="宋体"/>
          <w:bCs/>
          <w:sz w:val="32"/>
          <w:szCs w:val="32"/>
        </w:rPr>
        <w:t>软件系统及数据库资源运维报告1套、服务器及存储设备运维报告1套、专项设备运维报告1套、机房环境及网络安全运维报告1套。</w:t>
      </w:r>
    </w:p>
    <w:p w14:paraId="6FC53567" w14:textId="77777777" w:rsidR="00CA1256" w:rsidRDefault="007F4B67">
      <w:pPr>
        <w:spacing w:line="480" w:lineRule="auto"/>
        <w:ind w:firstLineChars="200" w:firstLine="640"/>
        <w:textAlignment w:val="baseline"/>
        <w:rPr>
          <w:rFonts w:ascii="仿宋_GB2312" w:eastAsia="仿宋_GB2312" w:hAnsi="仿宋" w:cs="宋体" w:hint="eastAsia"/>
          <w:bCs/>
          <w:sz w:val="32"/>
          <w:szCs w:val="32"/>
        </w:rPr>
      </w:pPr>
      <w:r>
        <w:rPr>
          <w:rFonts w:ascii="仿宋_GB2312" w:eastAsia="仿宋_GB2312" w:hAnsi="仿宋" w:cs="宋体" w:hint="eastAsia"/>
          <w:bCs/>
          <w:sz w:val="32"/>
          <w:szCs w:val="32"/>
        </w:rPr>
        <w:t>（</w:t>
      </w:r>
      <w:r>
        <w:rPr>
          <w:rFonts w:ascii="仿宋_GB2312" w:eastAsia="仿宋_GB2312" w:hAnsi="仿宋" w:cs="宋体"/>
          <w:bCs/>
          <w:sz w:val="32"/>
          <w:szCs w:val="32"/>
        </w:rPr>
        <w:t>2）信息汇集处理分析发布</w:t>
      </w:r>
      <w:r>
        <w:rPr>
          <w:rFonts w:ascii="仿宋_GB2312" w:eastAsia="仿宋_GB2312" w:hAnsi="仿宋" w:cs="宋体" w:hint="eastAsia"/>
          <w:bCs/>
          <w:sz w:val="32"/>
          <w:szCs w:val="32"/>
        </w:rPr>
        <w:t>：</w:t>
      </w:r>
      <w:r>
        <w:rPr>
          <w:rFonts w:ascii="仿宋_GB2312" w:eastAsia="仿宋_GB2312" w:hAnsi="仿宋" w:cs="宋体"/>
          <w:bCs/>
          <w:sz w:val="32"/>
          <w:szCs w:val="32"/>
        </w:rPr>
        <w:t>交通分析报告合计12篇。</w:t>
      </w:r>
    </w:p>
    <w:p w14:paraId="7B9EAFCB" w14:textId="77777777" w:rsidR="00CA1256" w:rsidRDefault="007F4B67">
      <w:pPr>
        <w:spacing w:line="480" w:lineRule="auto"/>
        <w:ind w:firstLineChars="200" w:firstLine="640"/>
        <w:textAlignment w:val="baseline"/>
        <w:rPr>
          <w:rFonts w:ascii="仿宋_GB2312" w:eastAsia="仿宋_GB2312" w:hAnsi="仿宋" w:cs="宋体" w:hint="eastAsia"/>
          <w:bCs/>
          <w:sz w:val="32"/>
          <w:szCs w:val="32"/>
        </w:rPr>
      </w:pPr>
      <w:r>
        <w:rPr>
          <w:rFonts w:ascii="仿宋_GB2312" w:eastAsia="仿宋_GB2312" w:hAnsi="仿宋" w:cs="宋体" w:hint="eastAsia"/>
          <w:bCs/>
          <w:sz w:val="32"/>
          <w:szCs w:val="32"/>
        </w:rPr>
        <w:t>（</w:t>
      </w:r>
      <w:r>
        <w:rPr>
          <w:rFonts w:ascii="仿宋_GB2312" w:eastAsia="仿宋_GB2312" w:hAnsi="仿宋" w:cs="宋体"/>
          <w:bCs/>
          <w:sz w:val="32"/>
          <w:szCs w:val="32"/>
        </w:rPr>
        <w:t>3）节能减排相关技术服务</w:t>
      </w:r>
      <w:r>
        <w:rPr>
          <w:rFonts w:ascii="仿宋_GB2312" w:eastAsia="仿宋_GB2312" w:hAnsi="仿宋" w:cs="宋体" w:hint="eastAsia"/>
          <w:bCs/>
          <w:sz w:val="32"/>
          <w:szCs w:val="32"/>
        </w:rPr>
        <w:t>：</w:t>
      </w:r>
      <w:r>
        <w:rPr>
          <w:rFonts w:ascii="仿宋_GB2312" w:eastAsia="仿宋_GB2312" w:hAnsi="仿宋" w:cs="宋体"/>
          <w:bCs/>
          <w:sz w:val="32"/>
          <w:szCs w:val="32"/>
        </w:rPr>
        <w:t>在绿色交通可持续发展、交通节能减排产品技术评价与应用、交通能源转型与新能源汽车发展、物流体系可持续发展</w:t>
      </w:r>
      <w:r>
        <w:rPr>
          <w:rFonts w:ascii="仿宋_GB2312" w:eastAsia="仿宋_GB2312" w:hAnsi="仿宋" w:cs="宋体" w:hint="eastAsia"/>
          <w:bCs/>
          <w:sz w:val="32"/>
          <w:szCs w:val="32"/>
        </w:rPr>
        <w:t>等领域开展工作并形成相关研究报告</w:t>
      </w:r>
      <w:r>
        <w:rPr>
          <w:rFonts w:ascii="仿宋_GB2312" w:eastAsia="仿宋_GB2312" w:hAnsi="仿宋" w:cs="宋体"/>
          <w:bCs/>
          <w:sz w:val="32"/>
          <w:szCs w:val="32"/>
        </w:rPr>
        <w:t xml:space="preserve">10篇。 </w:t>
      </w:r>
    </w:p>
    <w:p w14:paraId="11CAF6DC" w14:textId="77777777" w:rsidR="00CA1256" w:rsidRDefault="007F4B67">
      <w:pPr>
        <w:spacing w:line="480" w:lineRule="auto"/>
        <w:ind w:firstLineChars="200" w:firstLine="640"/>
        <w:textAlignment w:val="baseline"/>
        <w:rPr>
          <w:rFonts w:ascii="仿宋_GB2312" w:eastAsia="仿宋_GB2312" w:hAnsi="仿宋" w:cs="宋体" w:hint="eastAsia"/>
          <w:bCs/>
          <w:sz w:val="32"/>
          <w:szCs w:val="32"/>
          <w:highlight w:val="yellow"/>
        </w:rPr>
      </w:pPr>
      <w:r>
        <w:rPr>
          <w:rFonts w:ascii="仿宋_GB2312" w:eastAsia="仿宋_GB2312" w:hAnsi="仿宋" w:cs="宋体" w:hint="eastAsia"/>
          <w:bCs/>
          <w:sz w:val="32"/>
          <w:szCs w:val="32"/>
        </w:rPr>
        <w:t>（</w:t>
      </w:r>
      <w:r>
        <w:rPr>
          <w:rFonts w:ascii="仿宋_GB2312" w:eastAsia="仿宋_GB2312" w:hAnsi="仿宋" w:cs="宋体"/>
          <w:bCs/>
          <w:sz w:val="32"/>
          <w:szCs w:val="32"/>
        </w:rPr>
        <w:t>4）热点问题研究咨询服务：</w:t>
      </w:r>
      <w:r>
        <w:rPr>
          <w:rFonts w:ascii="仿宋_GB2312" w:eastAsia="仿宋_GB2312" w:hAnsi="仿宋" w:cs="仿宋_GB2312" w:hint="eastAsia"/>
          <w:bCs/>
          <w:sz w:val="32"/>
          <w:szCs w:val="32"/>
        </w:rPr>
        <w:t>深入开展了公交管理机制、智慧交通等交通热点问题研究。</w:t>
      </w:r>
      <w:r>
        <w:rPr>
          <w:rFonts w:ascii="仿宋_GB2312" w:eastAsia="仿宋_GB2312" w:hAnsi="仿宋" w:cs="宋体" w:hint="eastAsia"/>
          <w:bCs/>
          <w:sz w:val="32"/>
          <w:szCs w:val="32"/>
        </w:rPr>
        <w:t>完成年度小样本交通调查：为掌握居民出行特征，</w:t>
      </w:r>
      <w:r>
        <w:rPr>
          <w:rFonts w:ascii="仿宋_GB2312" w:eastAsia="仿宋_GB2312" w:hAnsi="仿宋" w:cs="宋体"/>
          <w:bCs/>
          <w:sz w:val="32"/>
          <w:szCs w:val="32"/>
        </w:rPr>
        <w:t>2024年从全市范围内抽取3000</w:t>
      </w:r>
      <w:r>
        <w:rPr>
          <w:rFonts w:ascii="仿宋_GB2312" w:eastAsia="仿宋_GB2312" w:hAnsi="仿宋" w:cs="宋体" w:hint="eastAsia"/>
          <w:bCs/>
          <w:sz w:val="32"/>
          <w:szCs w:val="32"/>
        </w:rPr>
        <w:lastRenderedPageBreak/>
        <w:t>户家庭开展年度小样本交通综合调查。</w:t>
      </w:r>
    </w:p>
    <w:p w14:paraId="326D0FFE" w14:textId="77777777" w:rsidR="00CA1256" w:rsidRDefault="007F4B67">
      <w:pPr>
        <w:spacing w:line="480" w:lineRule="auto"/>
        <w:ind w:firstLineChars="200" w:firstLine="640"/>
        <w:rPr>
          <w:rFonts w:ascii="仿宋_GB2312" w:eastAsia="仿宋_GB2312" w:hAnsi="仿宋" w:cs="宋体" w:hint="eastAsia"/>
          <w:bCs/>
          <w:sz w:val="32"/>
          <w:szCs w:val="32"/>
        </w:rPr>
      </w:pPr>
      <w:r>
        <w:rPr>
          <w:rFonts w:ascii="仿宋_GB2312" w:eastAsia="仿宋_GB2312" w:hAnsi="仿宋" w:cs="宋体" w:hint="eastAsia"/>
          <w:bCs/>
          <w:sz w:val="32"/>
          <w:szCs w:val="32"/>
        </w:rPr>
        <w:t>（</w:t>
      </w:r>
      <w:r>
        <w:rPr>
          <w:rFonts w:ascii="仿宋_GB2312" w:eastAsia="仿宋_GB2312" w:hAnsi="仿宋" w:cs="宋体"/>
          <w:bCs/>
          <w:sz w:val="32"/>
          <w:szCs w:val="32"/>
        </w:rPr>
        <w:t>5）战略研究及咨询服务：完成了城市交通发展历程及未来发展趋势、城市交通发展国际经验、城市交通发展战略要点三方面研究，为政府交通战略决策提供决策支持。</w:t>
      </w:r>
    </w:p>
    <w:p w14:paraId="1D0B5459" w14:textId="77777777" w:rsidR="00CA1256" w:rsidRDefault="007F4B67">
      <w:pPr>
        <w:spacing w:line="480" w:lineRule="auto"/>
        <w:ind w:firstLineChars="200" w:firstLine="640"/>
        <w:textAlignment w:val="baseline"/>
        <w:rPr>
          <w:rFonts w:ascii="仿宋_GB2312" w:eastAsia="仿宋_GB2312" w:hAnsi="仿宋" w:cs="宋体" w:hint="eastAsia"/>
          <w:bCs/>
          <w:sz w:val="32"/>
          <w:szCs w:val="32"/>
        </w:rPr>
      </w:pPr>
      <w:r>
        <w:rPr>
          <w:rFonts w:ascii="仿宋_GB2312" w:eastAsia="仿宋_GB2312" w:hAnsi="仿宋" w:cs="宋体" w:hint="eastAsia"/>
          <w:bCs/>
          <w:sz w:val="32"/>
          <w:szCs w:val="32"/>
        </w:rPr>
        <w:t>（</w:t>
      </w:r>
      <w:r>
        <w:rPr>
          <w:rFonts w:ascii="仿宋_GB2312" w:eastAsia="仿宋_GB2312" w:hAnsi="仿宋" w:cs="宋体"/>
          <w:bCs/>
          <w:sz w:val="32"/>
          <w:szCs w:val="32"/>
        </w:rPr>
        <w:t>6）信息汇集处理分析发布：收集和整理了1套交通信息渠道交通数据，构建了道路交通动态校正和准孪生的数据建模和原型系统，通过算法优化、计算资源调度改进及模型架构迭代，显著提升了模型的推理效率。</w:t>
      </w:r>
    </w:p>
    <w:p w14:paraId="56AFA256" w14:textId="77777777" w:rsidR="00CA1256" w:rsidRDefault="007F4B67">
      <w:pPr>
        <w:spacing w:line="480" w:lineRule="auto"/>
        <w:ind w:firstLineChars="200" w:firstLine="640"/>
        <w:textAlignment w:val="baseline"/>
        <w:rPr>
          <w:rFonts w:ascii="仿宋_GB2312" w:eastAsia="仿宋_GB2312" w:hAnsi="仿宋" w:cs="宋体" w:hint="eastAsia"/>
          <w:bCs/>
          <w:sz w:val="32"/>
          <w:szCs w:val="32"/>
        </w:rPr>
      </w:pPr>
      <w:r>
        <w:rPr>
          <w:rFonts w:ascii="仿宋_GB2312" w:eastAsia="仿宋_GB2312" w:hAnsi="仿宋" w:cs="宋体" w:hint="eastAsia"/>
          <w:bCs/>
          <w:sz w:val="32"/>
          <w:szCs w:val="32"/>
        </w:rPr>
        <w:t>（</w:t>
      </w:r>
      <w:r>
        <w:rPr>
          <w:rFonts w:ascii="仿宋_GB2312" w:eastAsia="仿宋_GB2312" w:hAnsi="仿宋" w:cs="宋体"/>
          <w:bCs/>
          <w:sz w:val="32"/>
          <w:szCs w:val="32"/>
        </w:rPr>
        <w:t>7）信息系统建设运维等</w:t>
      </w:r>
      <w:r>
        <w:rPr>
          <w:rFonts w:ascii="仿宋_GB2312" w:eastAsia="仿宋_GB2312" w:hAnsi="仿宋" w:cs="宋体" w:hint="eastAsia"/>
          <w:bCs/>
          <w:sz w:val="32"/>
          <w:szCs w:val="32"/>
        </w:rPr>
        <w:t>：进行了交通运行监测与智能化分析平台升级改造运维。</w:t>
      </w:r>
    </w:p>
    <w:p w14:paraId="2AF3AC70" w14:textId="77777777" w:rsidR="00CA1256" w:rsidRDefault="007F4B67">
      <w:pPr>
        <w:spacing w:line="480" w:lineRule="auto"/>
        <w:ind w:firstLineChars="200" w:firstLine="640"/>
        <w:textAlignment w:val="baseline"/>
        <w:rPr>
          <w:rFonts w:ascii="仿宋_GB2312" w:eastAsia="仿宋_GB2312" w:hAnsi="仿宋" w:cs="宋体" w:hint="eastAsia"/>
          <w:bCs/>
          <w:sz w:val="32"/>
          <w:szCs w:val="32"/>
        </w:rPr>
      </w:pPr>
      <w:r>
        <w:rPr>
          <w:rFonts w:ascii="仿宋_GB2312" w:eastAsia="仿宋_GB2312" w:hAnsi="仿宋" w:cs="宋体" w:hint="eastAsia"/>
          <w:bCs/>
          <w:sz w:val="32"/>
          <w:szCs w:val="32"/>
        </w:rPr>
        <w:t>（</w:t>
      </w:r>
      <w:r>
        <w:rPr>
          <w:rFonts w:ascii="仿宋_GB2312" w:eastAsia="仿宋_GB2312" w:hAnsi="仿宋" w:cs="宋体"/>
          <w:bCs/>
          <w:sz w:val="32"/>
          <w:szCs w:val="32"/>
        </w:rPr>
        <w:t>8）</w:t>
      </w:r>
      <w:bookmarkStart w:id="17" w:name="OLE_LINK2"/>
      <w:r>
        <w:rPr>
          <w:rFonts w:ascii="仿宋_GB2312" w:eastAsia="仿宋_GB2312" w:hAnsi="仿宋" w:cs="宋体" w:hint="eastAsia"/>
          <w:bCs/>
          <w:sz w:val="32"/>
          <w:szCs w:val="32"/>
        </w:rPr>
        <w:t>交通领域技术研发应用</w:t>
      </w:r>
      <w:bookmarkStart w:id="18" w:name="OLE_LINK3"/>
      <w:bookmarkEnd w:id="17"/>
      <w:r>
        <w:rPr>
          <w:rFonts w:ascii="仿宋_GB2312" w:eastAsia="仿宋_GB2312" w:hAnsi="仿宋" w:cs="宋体" w:hint="eastAsia"/>
          <w:bCs/>
          <w:sz w:val="32"/>
          <w:szCs w:val="32"/>
        </w:rPr>
        <w:t>：</w:t>
      </w:r>
      <w:bookmarkEnd w:id="18"/>
      <w:r>
        <w:rPr>
          <w:rFonts w:ascii="仿宋_GB2312" w:eastAsia="仿宋_GB2312" w:hAnsi="仿宋" w:cs="宋体" w:hint="eastAsia"/>
          <w:bCs/>
          <w:sz w:val="32"/>
          <w:szCs w:val="32"/>
        </w:rPr>
        <w:t>研发预约出行体系，编写出行需求调节算法，并立足北京交通运行特点，针对典型场景提出了多场景的预约出行方案。</w:t>
      </w:r>
    </w:p>
    <w:p w14:paraId="612B0D71" w14:textId="77777777" w:rsidR="00CA1256" w:rsidRDefault="007F4B67">
      <w:pPr>
        <w:spacing w:line="480" w:lineRule="auto"/>
        <w:ind w:firstLineChars="200" w:firstLine="640"/>
        <w:textAlignment w:val="baseline"/>
        <w:rPr>
          <w:rFonts w:ascii="仿宋_GB2312" w:eastAsia="仿宋_GB2312" w:hAnsi="仿宋" w:cs="宋体" w:hint="eastAsia"/>
          <w:bCs/>
          <w:sz w:val="32"/>
          <w:szCs w:val="32"/>
          <w:highlight w:val="yellow"/>
        </w:rPr>
      </w:pPr>
      <w:r>
        <w:rPr>
          <w:rFonts w:ascii="仿宋_GB2312" w:eastAsia="仿宋_GB2312" w:hAnsi="仿宋" w:cs="宋体" w:hint="eastAsia"/>
          <w:bCs/>
          <w:sz w:val="32"/>
          <w:szCs w:val="32"/>
        </w:rPr>
        <w:t>（</w:t>
      </w:r>
      <w:r>
        <w:rPr>
          <w:rFonts w:ascii="仿宋_GB2312" w:eastAsia="仿宋_GB2312" w:hAnsi="仿宋" w:cs="宋体"/>
          <w:bCs/>
          <w:sz w:val="32"/>
          <w:szCs w:val="32"/>
        </w:rPr>
        <w:t>9）博士后工作站相关工作</w:t>
      </w:r>
      <w:r>
        <w:rPr>
          <w:rFonts w:ascii="仿宋_GB2312" w:eastAsia="仿宋_GB2312" w:hAnsi="仿宋" w:cs="宋体" w:hint="eastAsia"/>
          <w:bCs/>
          <w:sz w:val="32"/>
          <w:szCs w:val="32"/>
        </w:rPr>
        <w:t>：</w:t>
      </w:r>
      <w:r>
        <w:rPr>
          <w:rFonts w:ascii="仿宋_GB2312" w:eastAsia="仿宋_GB2312" w:hAnsi="仿宋" w:cs="宋体"/>
          <w:bCs/>
          <w:sz w:val="32"/>
          <w:szCs w:val="32"/>
        </w:rPr>
        <w:t>利用数据资源优势、技术研发优势，基础条件优势，业务衔接优势，形成了管、产、学、研一体化培训基地，2024年度培育博士后6名。</w:t>
      </w:r>
    </w:p>
    <w:p w14:paraId="4BAF9033" w14:textId="77777777" w:rsidR="00CA1256" w:rsidRDefault="007F4B67">
      <w:pPr>
        <w:spacing w:line="480" w:lineRule="auto"/>
        <w:ind w:firstLineChars="200" w:firstLine="640"/>
        <w:textAlignment w:val="baseline"/>
        <w:rPr>
          <w:rFonts w:ascii="仿宋_GB2312" w:eastAsia="仿宋_GB2312" w:hAnsi="仿宋" w:cs="宋体" w:hint="eastAsia"/>
          <w:bCs/>
          <w:sz w:val="32"/>
          <w:szCs w:val="32"/>
        </w:rPr>
      </w:pPr>
      <w:r>
        <w:rPr>
          <w:rFonts w:ascii="仿宋_GB2312" w:eastAsia="仿宋_GB2312" w:hAnsi="仿宋" w:cs="宋体" w:hint="eastAsia"/>
          <w:bCs/>
          <w:sz w:val="32"/>
          <w:szCs w:val="32"/>
        </w:rPr>
        <w:t>（</w:t>
      </w:r>
      <w:r>
        <w:rPr>
          <w:rFonts w:ascii="仿宋_GB2312" w:eastAsia="仿宋_GB2312" w:hAnsi="仿宋" w:cs="宋体"/>
          <w:bCs/>
          <w:sz w:val="32"/>
          <w:szCs w:val="32"/>
        </w:rPr>
        <w:t>10）基础数据收集评估</w:t>
      </w:r>
      <w:r>
        <w:rPr>
          <w:rFonts w:ascii="仿宋_GB2312" w:eastAsia="仿宋_GB2312" w:hAnsi="仿宋" w:cs="宋体" w:hint="eastAsia"/>
          <w:bCs/>
          <w:sz w:val="32"/>
          <w:szCs w:val="32"/>
        </w:rPr>
        <w:t>：</w:t>
      </w:r>
      <w:r>
        <w:rPr>
          <w:rFonts w:ascii="仿宋_GB2312" w:eastAsia="仿宋_GB2312" w:hAnsi="仿宋" w:cs="宋体"/>
          <w:bCs/>
          <w:sz w:val="32"/>
          <w:szCs w:val="32"/>
        </w:rPr>
        <w:t>开展基于实际道路排放的交通行业典型车辆排放测试评估，形成交通领域污染物测试与评估研究报告。</w:t>
      </w:r>
    </w:p>
    <w:p w14:paraId="293BE0CD" w14:textId="77777777" w:rsidR="00CA1256" w:rsidRDefault="007F4B67">
      <w:pPr>
        <w:spacing w:line="480" w:lineRule="auto"/>
        <w:ind w:firstLineChars="200" w:firstLine="640"/>
        <w:textAlignment w:val="baseline"/>
        <w:rPr>
          <w:rFonts w:ascii="仿宋_GB2312" w:eastAsia="仿宋_GB2312" w:hAnsi="仿宋" w:cs="宋体" w:hint="eastAsia"/>
          <w:bCs/>
          <w:sz w:val="32"/>
          <w:szCs w:val="32"/>
        </w:rPr>
      </w:pPr>
      <w:r>
        <w:rPr>
          <w:rFonts w:ascii="仿宋_GB2312" w:eastAsia="仿宋_GB2312" w:hAnsi="仿宋" w:cs="宋体" w:hint="eastAsia"/>
          <w:bCs/>
          <w:sz w:val="32"/>
          <w:szCs w:val="32"/>
        </w:rPr>
        <w:t>（</w:t>
      </w:r>
      <w:r>
        <w:rPr>
          <w:rFonts w:ascii="仿宋_GB2312" w:eastAsia="仿宋_GB2312" w:hAnsi="仿宋" w:cs="宋体"/>
          <w:bCs/>
          <w:sz w:val="32"/>
          <w:szCs w:val="32"/>
        </w:rPr>
        <w:t>11）规划研究及咨询服务</w:t>
      </w:r>
      <w:r>
        <w:rPr>
          <w:rFonts w:ascii="仿宋_GB2312" w:eastAsia="仿宋_GB2312" w:hAnsi="仿宋" w:cs="宋体" w:hint="eastAsia"/>
          <w:bCs/>
          <w:sz w:val="32"/>
          <w:szCs w:val="32"/>
        </w:rPr>
        <w:t>：</w:t>
      </w:r>
      <w:r>
        <w:rPr>
          <w:rFonts w:ascii="仿宋_GB2312" w:eastAsia="仿宋_GB2312" w:hAnsi="仿宋" w:cs="宋体"/>
          <w:bCs/>
          <w:sz w:val="32"/>
          <w:szCs w:val="32"/>
        </w:rPr>
        <w:t>此项工作的开展从分析全市交通拥堵情况出发，选择重点点位区域开展问题研究，并</w:t>
      </w:r>
      <w:r>
        <w:rPr>
          <w:rFonts w:ascii="仿宋_GB2312" w:eastAsia="仿宋_GB2312" w:hAnsi="仿宋" w:cs="宋体" w:hint="eastAsia"/>
          <w:bCs/>
          <w:sz w:val="32"/>
          <w:szCs w:val="32"/>
        </w:rPr>
        <w:t>形成了年度交通缓堵措施研究报告。</w:t>
      </w:r>
    </w:p>
    <w:p w14:paraId="792BDE01" w14:textId="77777777" w:rsidR="00CA1256" w:rsidRDefault="007F4B67">
      <w:pPr>
        <w:pStyle w:val="af5"/>
        <w:rPr>
          <w:rFonts w:hint="eastAsia"/>
        </w:rPr>
      </w:pPr>
      <w:bookmarkStart w:id="19" w:name="_Toc1773"/>
      <w:r>
        <w:rPr>
          <w:rFonts w:hint="eastAsia"/>
        </w:rPr>
        <w:lastRenderedPageBreak/>
        <w:t>2．产出质量</w:t>
      </w:r>
      <w:bookmarkEnd w:id="19"/>
    </w:p>
    <w:p w14:paraId="22F0BBC9" w14:textId="77777777" w:rsidR="00CA1256" w:rsidRDefault="007F4B67">
      <w:pPr>
        <w:overflowPunct w:val="0"/>
        <w:spacing w:line="480" w:lineRule="auto"/>
        <w:ind w:firstLineChars="200" w:firstLine="640"/>
        <w:rPr>
          <w:rFonts w:ascii="仿宋_GB2312" w:eastAsia="仿宋_GB2312" w:hAnsi="仿宋" w:cs="宋体" w:hint="eastAsia"/>
          <w:bCs/>
          <w:sz w:val="32"/>
          <w:szCs w:val="32"/>
        </w:rPr>
      </w:pPr>
      <w:r>
        <w:rPr>
          <w:rFonts w:ascii="仿宋_GB2312" w:eastAsia="仿宋_GB2312" w:hAnsi="仿宋" w:cs="宋体" w:hint="eastAsia"/>
          <w:bCs/>
          <w:sz w:val="32"/>
          <w:szCs w:val="32"/>
        </w:rPr>
        <w:t>（</w:t>
      </w:r>
      <w:r>
        <w:rPr>
          <w:rFonts w:ascii="仿宋_GB2312" w:eastAsia="仿宋_GB2312" w:hAnsi="仿宋" w:cs="宋体"/>
          <w:bCs/>
          <w:sz w:val="32"/>
          <w:szCs w:val="32"/>
        </w:rPr>
        <w:t>1）博士后工作站相关工作：出站合格率为100%。</w:t>
      </w:r>
    </w:p>
    <w:p w14:paraId="0860C565" w14:textId="77777777" w:rsidR="00CA1256" w:rsidRDefault="007F4B67">
      <w:pPr>
        <w:overflowPunct w:val="0"/>
        <w:spacing w:line="480" w:lineRule="auto"/>
        <w:ind w:firstLineChars="200" w:firstLine="640"/>
        <w:rPr>
          <w:rFonts w:ascii="仿宋_GB2312" w:eastAsia="仿宋_GB2312" w:hAnsi="仿宋" w:cs="宋体" w:hint="eastAsia"/>
          <w:bCs/>
          <w:sz w:val="32"/>
          <w:szCs w:val="32"/>
        </w:rPr>
      </w:pPr>
      <w:r>
        <w:rPr>
          <w:rFonts w:ascii="仿宋_GB2312" w:eastAsia="仿宋_GB2312" w:hAnsi="仿宋" w:cs="宋体" w:hint="eastAsia"/>
          <w:bCs/>
          <w:sz w:val="32"/>
          <w:szCs w:val="32"/>
        </w:rPr>
        <w:t>（</w:t>
      </w:r>
      <w:r>
        <w:rPr>
          <w:rFonts w:ascii="仿宋_GB2312" w:eastAsia="仿宋_GB2312" w:hAnsi="仿宋" w:cs="宋体"/>
          <w:bCs/>
          <w:sz w:val="32"/>
          <w:szCs w:val="32"/>
        </w:rPr>
        <w:t>2）战略研究及咨询服务</w:t>
      </w:r>
      <w:bookmarkStart w:id="20" w:name="OLE_LINK1"/>
      <w:r>
        <w:rPr>
          <w:rFonts w:ascii="仿宋_GB2312" w:eastAsia="仿宋_GB2312" w:hAnsi="仿宋" w:cs="宋体" w:hint="eastAsia"/>
          <w:bCs/>
          <w:sz w:val="32"/>
          <w:szCs w:val="32"/>
        </w:rPr>
        <w:t>：</w:t>
      </w:r>
      <w:bookmarkEnd w:id="20"/>
      <w:r>
        <w:rPr>
          <w:rFonts w:ascii="仿宋_GB2312" w:eastAsia="仿宋_GB2312" w:hAnsi="仿宋" w:cs="宋体" w:hint="eastAsia"/>
          <w:bCs/>
          <w:sz w:val="32"/>
          <w:szCs w:val="32"/>
        </w:rPr>
        <w:t>成果评审合格率达到了</w:t>
      </w:r>
      <w:r>
        <w:rPr>
          <w:rFonts w:ascii="仿宋_GB2312" w:eastAsia="仿宋_GB2312" w:hAnsi="仿宋" w:cs="宋体"/>
          <w:bCs/>
          <w:sz w:val="32"/>
          <w:szCs w:val="32"/>
        </w:rPr>
        <w:t>100%。</w:t>
      </w:r>
    </w:p>
    <w:p w14:paraId="03817016" w14:textId="77777777" w:rsidR="00CA1256" w:rsidRDefault="007F4B67">
      <w:pPr>
        <w:overflowPunct w:val="0"/>
        <w:spacing w:line="480" w:lineRule="auto"/>
        <w:ind w:firstLineChars="200" w:firstLine="640"/>
        <w:rPr>
          <w:rFonts w:ascii="仿宋_GB2312" w:eastAsia="仿宋_GB2312" w:hAnsi="仿宋" w:cs="宋体" w:hint="eastAsia"/>
          <w:bCs/>
          <w:sz w:val="32"/>
          <w:szCs w:val="32"/>
        </w:rPr>
      </w:pPr>
      <w:r>
        <w:rPr>
          <w:rFonts w:ascii="仿宋_GB2312" w:eastAsia="仿宋_GB2312" w:hAnsi="仿宋" w:cs="宋体" w:hint="eastAsia"/>
          <w:bCs/>
          <w:sz w:val="32"/>
          <w:szCs w:val="32"/>
        </w:rPr>
        <w:t>（</w:t>
      </w:r>
      <w:r>
        <w:rPr>
          <w:rFonts w:ascii="仿宋_GB2312" w:eastAsia="仿宋_GB2312" w:hAnsi="仿宋" w:cs="宋体"/>
          <w:bCs/>
          <w:sz w:val="32"/>
          <w:szCs w:val="32"/>
        </w:rPr>
        <w:t>3）信息汇集处理分析发布：</w:t>
      </w:r>
      <w:r>
        <w:rPr>
          <w:rFonts w:ascii="仿宋_GB2312" w:eastAsia="仿宋_GB2312" w:hAnsi="仿宋" w:cs="宋体" w:hint="eastAsia"/>
          <w:bCs/>
          <w:sz w:val="32"/>
          <w:szCs w:val="32"/>
        </w:rPr>
        <w:t>对需求、参数和算法进行优化，完成重点区域出行模型细化。实现了提升模型测试速度，完成基础路网修改的基础上，方案测试速度提升至8小时可完成一个方案结果。</w:t>
      </w:r>
    </w:p>
    <w:p w14:paraId="17B5BEE8" w14:textId="77777777" w:rsidR="00CA1256" w:rsidRDefault="007F4B67">
      <w:pPr>
        <w:overflowPunct w:val="0"/>
        <w:spacing w:line="480" w:lineRule="auto"/>
        <w:ind w:firstLineChars="200" w:firstLine="640"/>
        <w:rPr>
          <w:rFonts w:ascii="仿宋_GB2312" w:eastAsia="仿宋_GB2312" w:hAnsi="仿宋" w:cs="宋体" w:hint="eastAsia"/>
          <w:bCs/>
          <w:sz w:val="32"/>
          <w:szCs w:val="32"/>
        </w:rPr>
      </w:pPr>
      <w:r>
        <w:rPr>
          <w:rFonts w:ascii="仿宋_GB2312" w:eastAsia="仿宋_GB2312" w:hAnsi="仿宋" w:cs="宋体" w:hint="eastAsia"/>
          <w:bCs/>
          <w:sz w:val="32"/>
          <w:szCs w:val="32"/>
        </w:rPr>
        <w:t>（</w:t>
      </w:r>
      <w:r>
        <w:rPr>
          <w:rFonts w:ascii="仿宋_GB2312" w:eastAsia="仿宋_GB2312" w:hAnsi="仿宋" w:cs="宋体"/>
          <w:bCs/>
          <w:sz w:val="32"/>
          <w:szCs w:val="32"/>
        </w:rPr>
        <w:t>4）信息系统建设运维等：完成了交通运行监测与智能化分析平台运维任务，系统运行维护响应时间</w:t>
      </w:r>
      <w:r>
        <w:rPr>
          <w:rFonts w:ascii="仿宋_GB2312" w:eastAsia="仿宋_GB2312" w:hAnsi="仿宋" w:cs="宋体"/>
          <w:bCs/>
          <w:sz w:val="32"/>
          <w:szCs w:val="32"/>
        </w:rPr>
        <w:t>≤</w:t>
      </w:r>
      <w:r>
        <w:rPr>
          <w:rFonts w:ascii="仿宋_GB2312" w:eastAsia="仿宋_GB2312" w:hAnsi="仿宋" w:cs="宋体"/>
          <w:bCs/>
          <w:sz w:val="32"/>
          <w:szCs w:val="32"/>
        </w:rPr>
        <w:t>30分钟。</w:t>
      </w:r>
    </w:p>
    <w:p w14:paraId="326985A0" w14:textId="77777777" w:rsidR="00CA1256" w:rsidRDefault="007F4B67">
      <w:pPr>
        <w:overflowPunct w:val="0"/>
        <w:spacing w:line="480" w:lineRule="auto"/>
        <w:ind w:firstLineChars="200" w:firstLine="640"/>
        <w:rPr>
          <w:rFonts w:ascii="仿宋_GB2312" w:eastAsia="仿宋_GB2312" w:hAnsi="仿宋" w:cs="宋体" w:hint="eastAsia"/>
          <w:bCs/>
          <w:sz w:val="32"/>
          <w:szCs w:val="32"/>
          <w:highlight w:val="yellow"/>
        </w:rPr>
      </w:pPr>
      <w:r>
        <w:rPr>
          <w:rFonts w:ascii="仿宋_GB2312" w:eastAsia="仿宋_GB2312" w:hAnsi="仿宋" w:cs="宋体" w:hint="eastAsia"/>
          <w:bCs/>
          <w:sz w:val="32"/>
          <w:szCs w:val="32"/>
        </w:rPr>
        <w:t>（</w:t>
      </w:r>
      <w:r>
        <w:rPr>
          <w:rFonts w:ascii="仿宋_GB2312" w:eastAsia="仿宋_GB2312" w:hAnsi="仿宋" w:cs="宋体"/>
          <w:bCs/>
          <w:sz w:val="32"/>
          <w:szCs w:val="32"/>
        </w:rPr>
        <w:t>5）其他工作：保障部门运转率、促进部门履职率达到了100%。</w:t>
      </w:r>
    </w:p>
    <w:p w14:paraId="15381F92" w14:textId="77777777" w:rsidR="00CA1256" w:rsidRDefault="007F4B67">
      <w:pPr>
        <w:pStyle w:val="af5"/>
        <w:rPr>
          <w:rFonts w:hint="eastAsia"/>
        </w:rPr>
      </w:pPr>
      <w:bookmarkStart w:id="21" w:name="_Toc8047"/>
      <w:r>
        <w:rPr>
          <w:rFonts w:hint="eastAsia"/>
        </w:rPr>
        <w:t>3．产出进度</w:t>
      </w:r>
      <w:bookmarkEnd w:id="21"/>
    </w:p>
    <w:p w14:paraId="251FF2B7" w14:textId="77777777" w:rsidR="00CA1256" w:rsidRDefault="007F4B67">
      <w:pPr>
        <w:overflowPunct w:val="0"/>
        <w:spacing w:line="480" w:lineRule="auto"/>
        <w:ind w:firstLineChars="200" w:firstLine="640"/>
        <w:rPr>
          <w:rFonts w:ascii="仿宋_GB2312" w:eastAsia="仿宋_GB2312" w:hAnsi="仿宋" w:cs="宋体" w:hint="eastAsia"/>
          <w:bCs/>
          <w:sz w:val="32"/>
          <w:szCs w:val="32"/>
        </w:rPr>
      </w:pPr>
      <w:r>
        <w:rPr>
          <w:rFonts w:ascii="仿宋_GB2312" w:eastAsia="仿宋_GB2312" w:hAnsi="仿宋" w:cs="宋体" w:hint="eastAsia"/>
          <w:bCs/>
          <w:sz w:val="32"/>
          <w:szCs w:val="32"/>
        </w:rPr>
        <w:t>规划研究及咨询服务：各项课题研究类项目，通过科学的编制项目实施方案，并严格执行相关研究工作，最终课题按时结题率均达到了</w:t>
      </w:r>
      <w:r>
        <w:rPr>
          <w:rFonts w:ascii="仿宋_GB2312" w:eastAsia="仿宋_GB2312" w:hAnsi="仿宋" w:cs="宋体"/>
          <w:bCs/>
          <w:sz w:val="32"/>
          <w:szCs w:val="32"/>
        </w:rPr>
        <w:t>100%。</w:t>
      </w:r>
    </w:p>
    <w:p w14:paraId="55AF25AE" w14:textId="77777777" w:rsidR="00CA1256" w:rsidRDefault="007F4B67">
      <w:pPr>
        <w:pStyle w:val="af5"/>
        <w:rPr>
          <w:rFonts w:hint="eastAsia"/>
        </w:rPr>
      </w:pPr>
      <w:bookmarkStart w:id="22" w:name="_Toc26986"/>
      <w:r>
        <w:rPr>
          <w:rFonts w:hint="eastAsia"/>
        </w:rPr>
        <w:t>4．产出成本</w:t>
      </w:r>
      <w:bookmarkEnd w:id="22"/>
    </w:p>
    <w:p w14:paraId="3B455DD3" w14:textId="77777777" w:rsidR="00CA1256" w:rsidRDefault="007F4B67">
      <w:pPr>
        <w:spacing w:line="480" w:lineRule="auto"/>
        <w:ind w:firstLineChars="200" w:firstLine="640"/>
        <w:rPr>
          <w:rFonts w:ascii="仿宋_GB2312" w:eastAsia="仿宋_GB2312" w:hAnsi="仿宋" w:cs="宋体" w:hint="eastAsia"/>
          <w:color w:val="000000"/>
          <w:kern w:val="0"/>
          <w:sz w:val="32"/>
          <w:szCs w:val="32"/>
        </w:rPr>
      </w:pPr>
      <w:r>
        <w:rPr>
          <w:rFonts w:ascii="仿宋_GB2312" w:eastAsia="仿宋_GB2312" w:hAnsi="仿宋" w:cs="宋体" w:hint="eastAsia"/>
          <w:bCs/>
          <w:color w:val="000000"/>
          <w:kern w:val="0"/>
          <w:sz w:val="32"/>
          <w:szCs w:val="32"/>
        </w:rPr>
        <w:t>通过预算项目事前绩效评估、规范开展招投标等工作，全面控制项目成本。</w:t>
      </w:r>
      <w:r>
        <w:rPr>
          <w:rFonts w:ascii="仿宋_GB2312" w:eastAsia="仿宋_GB2312" w:hAnsi="仿宋" w:cs="宋体" w:hint="eastAsia"/>
          <w:color w:val="000000"/>
          <w:kern w:val="0"/>
          <w:sz w:val="32"/>
          <w:szCs w:val="32"/>
        </w:rPr>
        <w:t>未超出年度预算金额。</w:t>
      </w:r>
    </w:p>
    <w:p w14:paraId="6F2D4AC8" w14:textId="77777777" w:rsidR="00CA1256" w:rsidRDefault="007F4B67">
      <w:pPr>
        <w:pStyle w:val="af4"/>
        <w:rPr>
          <w:rFonts w:hint="eastAsia"/>
        </w:rPr>
      </w:pPr>
      <w:bookmarkStart w:id="23" w:name="_Toc26085"/>
      <w:bookmarkStart w:id="24" w:name="_Toc20703"/>
      <w:bookmarkEnd w:id="15"/>
      <w:r>
        <w:rPr>
          <w:rFonts w:hint="eastAsia"/>
        </w:rPr>
        <w:t>（二）效果实现情况分析</w:t>
      </w:r>
      <w:bookmarkEnd w:id="23"/>
      <w:bookmarkEnd w:id="24"/>
    </w:p>
    <w:p w14:paraId="379AC069" w14:textId="77777777" w:rsidR="00CA1256" w:rsidRDefault="007F4B67">
      <w:pPr>
        <w:pStyle w:val="af5"/>
        <w:rPr>
          <w:rFonts w:hint="eastAsia"/>
        </w:rPr>
      </w:pPr>
      <w:bookmarkStart w:id="25" w:name="_Toc25177"/>
      <w:r>
        <w:rPr>
          <w:rFonts w:hint="eastAsia"/>
        </w:rPr>
        <w:t>1.社会效益</w:t>
      </w:r>
      <w:bookmarkEnd w:id="25"/>
    </w:p>
    <w:p w14:paraId="46D44965" w14:textId="77777777" w:rsidR="00CA1256" w:rsidRDefault="007F4B67">
      <w:pPr>
        <w:spacing w:line="480" w:lineRule="auto"/>
        <w:ind w:firstLineChars="200" w:firstLine="640"/>
        <w:rPr>
          <w:rFonts w:ascii="仿宋_GB2312" w:eastAsia="仿宋_GB2312" w:hAnsi="仿宋" w:cs="宋体" w:hint="eastAsia"/>
          <w:color w:val="000000"/>
          <w:kern w:val="0"/>
          <w:sz w:val="32"/>
          <w:szCs w:val="32"/>
          <w:highlight w:val="yellow"/>
        </w:rPr>
      </w:pPr>
      <w:r>
        <w:rPr>
          <w:rFonts w:ascii="仿宋_GB2312" w:eastAsia="仿宋_GB2312" w:hAnsi="仿宋" w:cs="宋体" w:hint="eastAsia"/>
          <w:color w:val="000000"/>
          <w:kern w:val="0"/>
          <w:sz w:val="32"/>
          <w:szCs w:val="32"/>
        </w:rPr>
        <w:t>（</w:t>
      </w:r>
      <w:r>
        <w:rPr>
          <w:rFonts w:ascii="仿宋_GB2312" w:eastAsia="仿宋_GB2312" w:hAnsi="仿宋" w:cs="宋体"/>
          <w:color w:val="000000"/>
          <w:kern w:val="0"/>
          <w:sz w:val="32"/>
          <w:szCs w:val="32"/>
        </w:rPr>
        <w:t>1）通过收集和整理各种交通信息渠道交通数据，研</w:t>
      </w:r>
      <w:r>
        <w:rPr>
          <w:rFonts w:ascii="仿宋_GB2312" w:eastAsia="仿宋_GB2312" w:hAnsi="仿宋" w:cs="宋体"/>
          <w:color w:val="000000"/>
          <w:kern w:val="0"/>
          <w:sz w:val="32"/>
          <w:szCs w:val="32"/>
        </w:rPr>
        <w:lastRenderedPageBreak/>
        <w:t>究交通数据收集的新方法和新技术，有效开展了交通调查，设计交通数据分析体系，并通过开发交通数据分析平台，为掌握交通发展规律、制定交通政策，编制交通规划提供了充分的基础数据。</w:t>
      </w:r>
    </w:p>
    <w:p w14:paraId="59108BF2" w14:textId="77777777" w:rsidR="00CA1256" w:rsidRDefault="007F4B67">
      <w:pPr>
        <w:spacing w:line="480" w:lineRule="auto"/>
        <w:ind w:firstLineChars="200" w:firstLine="640"/>
        <w:textAlignment w:val="baseline"/>
        <w:rPr>
          <w:rFonts w:ascii="仿宋_GB2312" w:eastAsia="仿宋_GB2312" w:hAnsi="仿宋" w:cs="仿宋_GB2312" w:hint="eastAsia"/>
          <w:sz w:val="32"/>
          <w:szCs w:val="32"/>
          <w:highlight w:val="yellow"/>
        </w:rPr>
      </w:pPr>
      <w:r>
        <w:rPr>
          <w:rFonts w:ascii="仿宋_GB2312" w:eastAsia="仿宋_GB2312" w:hAnsi="仿宋" w:cs="宋体" w:hint="eastAsia"/>
          <w:color w:val="000000"/>
          <w:kern w:val="0"/>
          <w:sz w:val="32"/>
          <w:szCs w:val="32"/>
        </w:rPr>
        <w:t>（</w:t>
      </w:r>
      <w:r>
        <w:rPr>
          <w:rFonts w:ascii="仿宋_GB2312" w:eastAsia="仿宋_GB2312" w:hAnsi="仿宋" w:cs="宋体"/>
          <w:color w:val="000000"/>
          <w:kern w:val="0"/>
          <w:sz w:val="32"/>
          <w:szCs w:val="32"/>
        </w:rPr>
        <w:t>2）有效提高了北京市交通领域节能减排统计与监测平台（二期）的运行效率，为北京市相关部门在交通节能减排指标核算和考核评估方面提供了专业的技术支撑，为相关政府部门在交通节能减排具体措施层面提供了技术支持。</w:t>
      </w:r>
    </w:p>
    <w:p w14:paraId="6AD59E19" w14:textId="77777777" w:rsidR="00CA1256" w:rsidRDefault="007F4B67">
      <w:pPr>
        <w:spacing w:line="480" w:lineRule="auto"/>
        <w:ind w:firstLineChars="200" w:firstLine="640"/>
        <w:textAlignment w:val="baseline"/>
        <w:rPr>
          <w:rFonts w:ascii="仿宋_GB2312" w:eastAsia="仿宋_GB2312" w:hAnsi="仿宋" w:cs="宋体" w:hint="eastAsia"/>
          <w:sz w:val="32"/>
          <w:szCs w:val="32"/>
          <w:highlight w:val="yellow"/>
        </w:rPr>
      </w:pPr>
      <w:r>
        <w:rPr>
          <w:rFonts w:ascii="仿宋_GB2312" w:eastAsia="仿宋_GB2312" w:hAnsi="仿宋" w:cs="仿宋_GB2312" w:hint="eastAsia"/>
          <w:sz w:val="32"/>
          <w:szCs w:val="32"/>
        </w:rPr>
        <w:t>（</w:t>
      </w:r>
      <w:r>
        <w:rPr>
          <w:rFonts w:ascii="仿宋_GB2312" w:eastAsia="仿宋_GB2312" w:hAnsi="仿宋" w:cs="仿宋_GB2312"/>
          <w:sz w:val="32"/>
          <w:szCs w:val="32"/>
        </w:rPr>
        <w:t>3）通过开展年度小样本交通调查，准确掌握了居民出行特征等方面的数据，为研究交通发展规律、制定交通政策、编制交通规划提供了准确的基础数据，为更新和标定交通模型提供了数据基础，为社会公众了解北京交通提供了渠道。</w:t>
      </w:r>
    </w:p>
    <w:p w14:paraId="201F2776" w14:textId="77777777" w:rsidR="00CA1256" w:rsidRDefault="007F4B67">
      <w:pPr>
        <w:pStyle w:val="af5"/>
        <w:rPr>
          <w:rFonts w:hint="eastAsia"/>
        </w:rPr>
      </w:pPr>
      <w:bookmarkStart w:id="26" w:name="_Toc21442"/>
      <w:r>
        <w:rPr>
          <w:rFonts w:hint="eastAsia"/>
        </w:rPr>
        <w:t>2.可持续</w:t>
      </w:r>
      <w:r>
        <w:t>性影响</w:t>
      </w:r>
      <w:bookmarkEnd w:id="26"/>
    </w:p>
    <w:p w14:paraId="66398F70" w14:textId="77777777" w:rsidR="00CA1256" w:rsidRDefault="007F4B67">
      <w:pPr>
        <w:spacing w:line="480" w:lineRule="auto"/>
        <w:ind w:firstLineChars="200" w:firstLine="640"/>
        <w:rPr>
          <w:rFonts w:ascii="仿宋_GB2312" w:eastAsia="仿宋_GB2312" w:hAnsi="仿宋" w:cs="宋体" w:hint="eastAsia"/>
          <w:sz w:val="32"/>
          <w:szCs w:val="32"/>
          <w:highlight w:val="yellow"/>
        </w:rPr>
      </w:pPr>
      <w:r>
        <w:rPr>
          <w:rFonts w:ascii="仿宋_GB2312" w:eastAsia="仿宋_GB2312" w:hAnsi="仿宋" w:cs="宋体" w:hint="eastAsia"/>
          <w:color w:val="000000"/>
          <w:kern w:val="0"/>
          <w:sz w:val="32"/>
          <w:szCs w:val="32"/>
        </w:rPr>
        <w:t>各项课题研究类项目提出的措施对未来同类型交通问题区域和节点提供了大量经验借鉴，实现了较高的可持续价值。</w:t>
      </w:r>
    </w:p>
    <w:p w14:paraId="4940B705" w14:textId="77777777" w:rsidR="00CA1256" w:rsidRDefault="007F4B67">
      <w:pPr>
        <w:pStyle w:val="af5"/>
        <w:rPr>
          <w:rFonts w:hint="eastAsia"/>
        </w:rPr>
      </w:pPr>
      <w:bookmarkStart w:id="27" w:name="_Toc21997"/>
      <w:r>
        <w:rPr>
          <w:rFonts w:hint="eastAsia"/>
        </w:rPr>
        <w:t>3.生态效益</w:t>
      </w:r>
      <w:bookmarkEnd w:id="27"/>
    </w:p>
    <w:p w14:paraId="52BA13E8" w14:textId="77777777" w:rsidR="00CA1256" w:rsidRDefault="007F4B67">
      <w:pPr>
        <w:spacing w:line="480" w:lineRule="auto"/>
        <w:ind w:firstLineChars="200" w:firstLine="640"/>
        <w:rPr>
          <w:rFonts w:ascii="仿宋_GB2312" w:eastAsia="仿宋_GB2312" w:hAnsi="仿宋" w:cs="宋体" w:hint="eastAsia"/>
          <w:sz w:val="32"/>
          <w:szCs w:val="32"/>
          <w:highlight w:val="yellow"/>
        </w:rPr>
      </w:pPr>
      <w:r>
        <w:rPr>
          <w:rFonts w:ascii="仿宋_GB2312" w:eastAsia="仿宋_GB2312" w:hAnsi="仿宋" w:cs="宋体" w:hint="eastAsia"/>
          <w:bCs/>
          <w:kern w:val="0"/>
          <w:sz w:val="32"/>
          <w:szCs w:val="32"/>
        </w:rPr>
        <w:t>通过动态跟踪和综合分析，提出了轨道交通服务水平提升的建议，实现了助力绿色出行的效益目标。</w:t>
      </w:r>
    </w:p>
    <w:p w14:paraId="479A83FF" w14:textId="77777777" w:rsidR="00CA1256" w:rsidRDefault="007F4B67">
      <w:pPr>
        <w:pStyle w:val="af3"/>
        <w:rPr>
          <w:rFonts w:hint="eastAsia"/>
        </w:rPr>
      </w:pPr>
      <w:bookmarkStart w:id="28" w:name="_Toc26736"/>
      <w:bookmarkStart w:id="29" w:name="_Toc27688"/>
      <w:r>
        <w:rPr>
          <w:rFonts w:hint="eastAsia"/>
        </w:rPr>
        <w:lastRenderedPageBreak/>
        <w:t>四、预算管理情况分析</w:t>
      </w:r>
      <w:bookmarkEnd w:id="28"/>
      <w:bookmarkEnd w:id="29"/>
    </w:p>
    <w:p w14:paraId="0DC6A9E0" w14:textId="77777777" w:rsidR="00CA1256" w:rsidRDefault="007F4B67">
      <w:pPr>
        <w:pStyle w:val="af4"/>
        <w:rPr>
          <w:rFonts w:hint="eastAsia"/>
        </w:rPr>
      </w:pPr>
      <w:bookmarkStart w:id="30" w:name="_Toc13176"/>
      <w:bookmarkStart w:id="31" w:name="_Toc6432"/>
      <w:r>
        <w:rPr>
          <w:rFonts w:hint="eastAsia"/>
        </w:rPr>
        <w:t>（一）财务管理</w:t>
      </w:r>
      <w:bookmarkEnd w:id="30"/>
      <w:bookmarkEnd w:id="31"/>
    </w:p>
    <w:p w14:paraId="196FC0DB" w14:textId="77777777" w:rsidR="00CA1256" w:rsidRDefault="007F4B67">
      <w:pPr>
        <w:pStyle w:val="af5"/>
        <w:rPr>
          <w:rFonts w:hint="eastAsia"/>
        </w:rPr>
      </w:pPr>
      <w:bookmarkStart w:id="32" w:name="_Toc24308"/>
      <w:r>
        <w:rPr>
          <w:rFonts w:hint="eastAsia"/>
        </w:rPr>
        <w:t>1.财务</w:t>
      </w:r>
      <w:r>
        <w:t>管理制度健全性</w:t>
      </w:r>
      <w:bookmarkEnd w:id="32"/>
    </w:p>
    <w:p w14:paraId="6F465A29" w14:textId="77777777" w:rsidR="00CA1256" w:rsidRDefault="007F4B67">
      <w:pPr>
        <w:tabs>
          <w:tab w:val="left" w:pos="5250"/>
        </w:tabs>
        <w:spacing w:line="480" w:lineRule="auto"/>
        <w:ind w:firstLineChars="200" w:firstLine="640"/>
        <w:rPr>
          <w:rFonts w:ascii="仿宋_GB2312" w:eastAsia="仿宋_GB2312" w:hAnsi="仿宋" w:cs="宋体" w:hint="eastAsia"/>
          <w:color w:val="000000"/>
          <w:kern w:val="0"/>
          <w:sz w:val="32"/>
          <w:szCs w:val="32"/>
        </w:rPr>
      </w:pPr>
      <w:r>
        <w:rPr>
          <w:rFonts w:ascii="仿宋_GB2312" w:eastAsia="仿宋_GB2312" w:hAnsi="仿宋" w:cs="宋体" w:hint="eastAsia"/>
          <w:color w:val="000000"/>
          <w:kern w:val="0"/>
          <w:sz w:val="32"/>
          <w:szCs w:val="32"/>
        </w:rPr>
        <w:t>交研院建立了较为完善的财务管理制度体系，制定了《财务管理制度》《关于调整北京交通发展研究院财务报销审批权限的通知》《公务卡管理办法》《北京交通发展研究院预算绩效管理办法》等财务管理制度，财务</w:t>
      </w:r>
      <w:r>
        <w:rPr>
          <w:rFonts w:ascii="仿宋_GB2312" w:eastAsia="仿宋_GB2312" w:hAnsi="仿宋" w:cs="宋体"/>
          <w:color w:val="000000"/>
          <w:kern w:val="0"/>
          <w:sz w:val="32"/>
          <w:szCs w:val="32"/>
        </w:rPr>
        <w:t>管理制度健全</w:t>
      </w:r>
      <w:r>
        <w:rPr>
          <w:rFonts w:ascii="仿宋_GB2312" w:eastAsia="仿宋_GB2312" w:hAnsi="仿宋" w:cs="宋体" w:hint="eastAsia"/>
          <w:color w:val="000000"/>
          <w:kern w:val="0"/>
          <w:sz w:val="32"/>
          <w:szCs w:val="32"/>
        </w:rPr>
        <w:t>。</w:t>
      </w:r>
    </w:p>
    <w:p w14:paraId="78FDD778" w14:textId="77777777" w:rsidR="00CA1256" w:rsidRDefault="007F4B67">
      <w:pPr>
        <w:pStyle w:val="af5"/>
        <w:rPr>
          <w:rFonts w:hint="eastAsia"/>
        </w:rPr>
      </w:pPr>
      <w:bookmarkStart w:id="33" w:name="_Toc14826"/>
      <w:r>
        <w:rPr>
          <w:rFonts w:hint="eastAsia"/>
        </w:rPr>
        <w:t>2.资金使用合规性</w:t>
      </w:r>
      <w:r>
        <w:t>和安全性</w:t>
      </w:r>
      <w:bookmarkEnd w:id="33"/>
    </w:p>
    <w:p w14:paraId="3D400B1C" w14:textId="77777777" w:rsidR="00CA1256" w:rsidRDefault="007F4B67">
      <w:pPr>
        <w:tabs>
          <w:tab w:val="left" w:pos="5250"/>
        </w:tabs>
        <w:spacing w:line="480" w:lineRule="auto"/>
        <w:ind w:firstLineChars="200" w:firstLine="640"/>
        <w:rPr>
          <w:rFonts w:ascii="仿宋_GB2312" w:eastAsia="仿宋_GB2312" w:hAnsi="仿宋" w:hint="eastAsia"/>
          <w:sz w:val="32"/>
          <w:szCs w:val="32"/>
        </w:rPr>
      </w:pPr>
      <w:r>
        <w:rPr>
          <w:rFonts w:ascii="仿宋_GB2312" w:eastAsia="仿宋_GB2312" w:hAnsi="仿宋" w:hint="eastAsia"/>
          <w:sz w:val="32"/>
          <w:szCs w:val="32"/>
        </w:rPr>
        <w:t>交研院严格遵守《预算法》《预算法实施条例》等法律法规和财政部、市财政局有关财政、财务规章制度，并制定了适合本单位的制度，规范财政资金管理，量入为出，统筹兼顾，突出重点，讲究实效，防范风险，合理使用各项项目资金，项目预算支出整体受控。</w:t>
      </w:r>
    </w:p>
    <w:p w14:paraId="5CF6F608" w14:textId="77777777" w:rsidR="00CA1256" w:rsidRDefault="007F4B67">
      <w:pPr>
        <w:pStyle w:val="af5"/>
        <w:rPr>
          <w:rFonts w:hint="eastAsia"/>
        </w:rPr>
      </w:pPr>
      <w:bookmarkStart w:id="34" w:name="_Toc11194"/>
      <w:r>
        <w:rPr>
          <w:rFonts w:hint="eastAsia"/>
        </w:rPr>
        <w:t>3.会计基础信息完善性</w:t>
      </w:r>
      <w:bookmarkEnd w:id="34"/>
    </w:p>
    <w:p w14:paraId="094967FA" w14:textId="77777777" w:rsidR="00CA1256" w:rsidRDefault="007F4B67">
      <w:pPr>
        <w:spacing w:line="480" w:lineRule="auto"/>
        <w:ind w:firstLineChars="200" w:firstLine="640"/>
        <w:rPr>
          <w:rFonts w:ascii="仿宋_GB2312" w:eastAsia="仿宋_GB2312" w:hAnsi="仿宋" w:cs="宋体" w:hint="eastAsia"/>
          <w:color w:val="000000"/>
          <w:kern w:val="0"/>
          <w:sz w:val="32"/>
          <w:szCs w:val="32"/>
        </w:rPr>
      </w:pPr>
      <w:r>
        <w:rPr>
          <w:rFonts w:ascii="仿宋_GB2312" w:eastAsia="仿宋_GB2312" w:hAnsi="仿宋" w:cs="宋体" w:hint="eastAsia"/>
          <w:color w:val="000000"/>
          <w:kern w:val="0"/>
          <w:sz w:val="32"/>
          <w:szCs w:val="32"/>
        </w:rPr>
        <w:t>交研院严格按照《中华人民共和国预算法》《政府会计准则——基本准则》等法律、行政法规、规章和市财政局要求进行核算，采用财务会计、预算会计双轨并行的会计记账方式，全面、客观如实反映交研院发生的各项经济业务，基础数据信息和会计信息资料真实、完整、准确。</w:t>
      </w:r>
    </w:p>
    <w:p w14:paraId="602697D8" w14:textId="77777777" w:rsidR="00CA1256" w:rsidRDefault="007F4B67">
      <w:pPr>
        <w:pStyle w:val="af4"/>
        <w:rPr>
          <w:rFonts w:hint="eastAsia"/>
        </w:rPr>
      </w:pPr>
      <w:bookmarkStart w:id="35" w:name="_Toc15716"/>
      <w:bookmarkStart w:id="36" w:name="_Toc14545"/>
      <w:r>
        <w:rPr>
          <w:rFonts w:hint="eastAsia"/>
        </w:rPr>
        <w:t>（二）资产管理</w:t>
      </w:r>
      <w:bookmarkEnd w:id="35"/>
      <w:bookmarkEnd w:id="36"/>
    </w:p>
    <w:p w14:paraId="439C11E2" w14:textId="77777777" w:rsidR="00CA1256" w:rsidRDefault="007F4B67">
      <w:pPr>
        <w:pStyle w:val="af5"/>
        <w:rPr>
          <w:rFonts w:hint="eastAsia"/>
        </w:rPr>
      </w:pPr>
      <w:bookmarkStart w:id="37" w:name="_Toc17800"/>
      <w:r>
        <w:rPr>
          <w:rFonts w:hint="eastAsia"/>
        </w:rPr>
        <w:t>1.制度建设</w:t>
      </w:r>
      <w:bookmarkEnd w:id="37"/>
    </w:p>
    <w:p w14:paraId="5566F1D4" w14:textId="77777777" w:rsidR="00CA1256" w:rsidRDefault="007F4B67">
      <w:pPr>
        <w:spacing w:line="480" w:lineRule="auto"/>
        <w:ind w:firstLineChars="200" w:firstLine="640"/>
        <w:rPr>
          <w:rFonts w:ascii="仿宋_GB2312" w:eastAsia="仿宋_GB2312" w:hAnsi="仿宋" w:cs="宋体" w:hint="eastAsia"/>
          <w:color w:val="000000"/>
          <w:kern w:val="0"/>
          <w:sz w:val="32"/>
          <w:szCs w:val="32"/>
        </w:rPr>
      </w:pPr>
      <w:r>
        <w:rPr>
          <w:rFonts w:ascii="仿宋_GB2312" w:eastAsia="仿宋_GB2312" w:hAnsi="仿宋" w:cs="宋体" w:hint="eastAsia"/>
          <w:color w:val="000000"/>
          <w:kern w:val="0"/>
          <w:sz w:val="32"/>
          <w:szCs w:val="32"/>
        </w:rPr>
        <w:t>为严格落实国有资产管理相关要求，规范交研院固定资</w:t>
      </w:r>
      <w:r>
        <w:rPr>
          <w:rFonts w:ascii="仿宋_GB2312" w:eastAsia="仿宋_GB2312" w:hAnsi="仿宋" w:cs="宋体" w:hint="eastAsia"/>
          <w:color w:val="000000"/>
          <w:kern w:val="0"/>
          <w:sz w:val="32"/>
          <w:szCs w:val="32"/>
        </w:rPr>
        <w:lastRenderedPageBreak/>
        <w:t>产管理，制订了《基础设施管理程序》。固定资产购置申请文件、审批文件及购入验收单等文件较为完备，固定资产的处置较为规范、完整。</w:t>
      </w:r>
    </w:p>
    <w:p w14:paraId="69582CFA" w14:textId="77777777" w:rsidR="00CA1256" w:rsidRDefault="007F4B67">
      <w:pPr>
        <w:pStyle w:val="af5"/>
        <w:rPr>
          <w:rFonts w:hint="eastAsia"/>
        </w:rPr>
      </w:pPr>
      <w:bookmarkStart w:id="38" w:name="_Toc24165"/>
      <w:r>
        <w:rPr>
          <w:rFonts w:hint="eastAsia"/>
        </w:rPr>
        <w:t>2.管理措施</w:t>
      </w:r>
      <w:bookmarkEnd w:id="38"/>
    </w:p>
    <w:p w14:paraId="76C2604A" w14:textId="77777777" w:rsidR="00CA1256" w:rsidRDefault="007F4B67">
      <w:pPr>
        <w:spacing w:line="480" w:lineRule="auto"/>
        <w:ind w:leftChars="50" w:left="105" w:firstLineChars="150" w:firstLine="480"/>
        <w:rPr>
          <w:rFonts w:ascii="仿宋_GB2312" w:eastAsia="仿宋_GB2312" w:hAnsi="仿宋" w:cs="仿宋_GB2312" w:hint="eastAsia"/>
          <w:kern w:val="0"/>
          <w:sz w:val="32"/>
          <w:szCs w:val="32"/>
        </w:rPr>
      </w:pPr>
      <w:r>
        <w:rPr>
          <w:rFonts w:ascii="仿宋_GB2312" w:eastAsia="仿宋_GB2312" w:hAnsi="仿宋" w:cs="仿宋_GB2312" w:hint="eastAsia"/>
          <w:kern w:val="0"/>
          <w:sz w:val="32"/>
          <w:szCs w:val="32"/>
        </w:rPr>
        <w:t>交研院根据资产管理制度的规定，每年定期对资产进行盘点，确保账账、账实、账表核对一致，做到摸清家底，并完善资产台账。加强对固定资产的配置、采购、报废等环节的科学决策，实现资产管理的规范化、科学化、合理化。</w:t>
      </w:r>
    </w:p>
    <w:p w14:paraId="19F4DF30" w14:textId="77777777" w:rsidR="00CA1256" w:rsidRDefault="007F4B67">
      <w:pPr>
        <w:pStyle w:val="af4"/>
        <w:rPr>
          <w:rFonts w:hint="eastAsia"/>
        </w:rPr>
      </w:pPr>
      <w:bookmarkStart w:id="39" w:name="_Toc1507"/>
      <w:bookmarkStart w:id="40" w:name="_Toc15535"/>
      <w:r>
        <w:rPr>
          <w:rFonts w:hint="eastAsia"/>
        </w:rPr>
        <w:t>（三）绩效管理</w:t>
      </w:r>
      <w:bookmarkEnd w:id="39"/>
      <w:bookmarkEnd w:id="40"/>
    </w:p>
    <w:p w14:paraId="6222E1EB" w14:textId="77777777" w:rsidR="00CA1256" w:rsidRDefault="007F4B67">
      <w:pPr>
        <w:pStyle w:val="af5"/>
        <w:rPr>
          <w:rFonts w:hint="eastAsia"/>
        </w:rPr>
      </w:pPr>
      <w:bookmarkStart w:id="41" w:name="_Toc26454"/>
      <w:r>
        <w:rPr>
          <w:rFonts w:hint="eastAsia"/>
        </w:rPr>
        <w:t>1.组织架构</w:t>
      </w:r>
      <w:bookmarkEnd w:id="41"/>
    </w:p>
    <w:p w14:paraId="6F41D806" w14:textId="77777777" w:rsidR="00CA1256" w:rsidRDefault="007F4B67">
      <w:pPr>
        <w:spacing w:line="480" w:lineRule="auto"/>
        <w:ind w:firstLineChars="200" w:firstLine="640"/>
        <w:rPr>
          <w:rFonts w:ascii="仿宋_GB2312" w:eastAsia="仿宋_GB2312" w:hAnsi="仿宋" w:hint="eastAsia"/>
          <w:sz w:val="32"/>
          <w:szCs w:val="32"/>
        </w:rPr>
      </w:pPr>
      <w:r>
        <w:rPr>
          <w:rFonts w:ascii="仿宋_GB2312" w:eastAsia="仿宋_GB2312" w:hAnsi="仿宋" w:hint="eastAsia"/>
          <w:sz w:val="32"/>
          <w:szCs w:val="32"/>
        </w:rPr>
        <w:t>为按时、高质量地完成部门绩效评价工作，切实提高交研院预算管理水平，成立了预算绩效管理工作领导小组及领导小组办公室。预算绩效管理工作领导小组负责拟定、审批预算绩效管理工作的相关规定性文件，监督检查预算绩效管理工作。预算绩效管理工作领导小组办公室负责统一组织指导预算绩效管理工作；负责绩效目标的形式性审核；指导和监督各部门开展预算绩效管理工作；协助相关部门开展事前绩效评估、预算执行监控、绩效评价工作；定期对预算绩效管理工作进行总结、分析。</w:t>
      </w:r>
    </w:p>
    <w:p w14:paraId="4C094E59" w14:textId="77777777" w:rsidR="00CA1256" w:rsidRDefault="007F4B67">
      <w:pPr>
        <w:pStyle w:val="af5"/>
        <w:rPr>
          <w:rFonts w:hint="eastAsia"/>
        </w:rPr>
      </w:pPr>
      <w:bookmarkStart w:id="42" w:name="_Toc28834"/>
      <w:r>
        <w:rPr>
          <w:rFonts w:hint="eastAsia"/>
        </w:rPr>
        <w:t>2.制度建设</w:t>
      </w:r>
      <w:bookmarkEnd w:id="42"/>
    </w:p>
    <w:p w14:paraId="1C0F8307" w14:textId="77777777" w:rsidR="00CA1256" w:rsidRDefault="007F4B67">
      <w:pPr>
        <w:spacing w:line="480" w:lineRule="auto"/>
        <w:ind w:firstLineChars="200" w:firstLine="640"/>
        <w:rPr>
          <w:rFonts w:ascii="仿宋_GB2312" w:eastAsia="仿宋_GB2312" w:hAnsi="仿宋" w:cs="仿宋_GB2312" w:hint="eastAsia"/>
          <w:sz w:val="32"/>
          <w:szCs w:val="32"/>
        </w:rPr>
      </w:pPr>
      <w:r>
        <w:rPr>
          <w:rFonts w:ascii="仿宋_GB2312" w:eastAsia="仿宋_GB2312" w:hAnsi="仿宋" w:cs="仿宋_GB2312" w:hint="eastAsia"/>
          <w:sz w:val="32"/>
          <w:szCs w:val="32"/>
        </w:rPr>
        <w:t>制定了预算绩效管理规定，按照项目类别制定了绩效目标模板，将绩效目标设定、绩效监控、绩效评价及结果应用</w:t>
      </w:r>
      <w:r>
        <w:rPr>
          <w:rFonts w:ascii="仿宋_GB2312" w:eastAsia="仿宋_GB2312" w:hAnsi="仿宋" w:cs="仿宋_GB2312" w:hint="eastAsia"/>
          <w:sz w:val="32"/>
          <w:szCs w:val="32"/>
        </w:rPr>
        <w:lastRenderedPageBreak/>
        <w:t>纳入预算编制、执行、监督全过程，以提高全面预算绩效管理水平。</w:t>
      </w:r>
    </w:p>
    <w:p w14:paraId="1A225D17" w14:textId="77777777" w:rsidR="00CA1256" w:rsidRDefault="007F4B67">
      <w:pPr>
        <w:pStyle w:val="af5"/>
        <w:rPr>
          <w:rFonts w:hint="eastAsia"/>
        </w:rPr>
      </w:pPr>
      <w:bookmarkStart w:id="43" w:name="_Toc27523"/>
      <w:r>
        <w:rPr>
          <w:rFonts w:hint="eastAsia"/>
        </w:rPr>
        <w:t>3.2024年工作开展情况</w:t>
      </w:r>
      <w:bookmarkEnd w:id="43"/>
    </w:p>
    <w:p w14:paraId="335A0204" w14:textId="77777777" w:rsidR="00CA1256" w:rsidRDefault="007F4B67">
      <w:pPr>
        <w:spacing w:line="480" w:lineRule="auto"/>
        <w:ind w:firstLineChars="200" w:firstLine="640"/>
        <w:rPr>
          <w:rFonts w:ascii="仿宋_GB2312" w:eastAsia="仿宋_GB2312" w:hAnsi="仿宋" w:cs="仿宋_GB2312" w:hint="eastAsia"/>
          <w:sz w:val="32"/>
          <w:szCs w:val="32"/>
        </w:rPr>
      </w:pPr>
      <w:r>
        <w:rPr>
          <w:rFonts w:ascii="仿宋_GB2312" w:eastAsia="仿宋_GB2312" w:hAnsi="仿宋" w:cs="仿宋_GB2312" w:hint="eastAsia"/>
          <w:sz w:val="32"/>
          <w:szCs w:val="32"/>
        </w:rPr>
        <w:t>交研院严格落实预算绩效管理主体责任，扎实开展了一系列部门预算绩效管理相关工作。</w:t>
      </w:r>
    </w:p>
    <w:p w14:paraId="1F0C11F2" w14:textId="77777777" w:rsidR="00CA1256" w:rsidRDefault="007F4B67">
      <w:pPr>
        <w:spacing w:line="480" w:lineRule="auto"/>
        <w:ind w:firstLineChars="200" w:firstLine="640"/>
        <w:rPr>
          <w:rFonts w:ascii="仿宋_GB2312" w:eastAsia="仿宋_GB2312" w:hAnsi="仿宋" w:cs="仿宋_GB2312" w:hint="eastAsia"/>
          <w:sz w:val="32"/>
          <w:szCs w:val="32"/>
        </w:rPr>
      </w:pPr>
      <w:r>
        <w:rPr>
          <w:rFonts w:ascii="仿宋_GB2312" w:eastAsia="仿宋_GB2312" w:hAnsi="仿宋" w:cs="仿宋_GB2312" w:hint="eastAsia"/>
          <w:bCs/>
          <w:sz w:val="32"/>
          <w:szCs w:val="32"/>
        </w:rPr>
        <w:t>一是扎实推进部门绩效自评</w:t>
      </w:r>
      <w:r>
        <w:rPr>
          <w:rFonts w:ascii="仿宋_GB2312" w:eastAsia="仿宋_GB2312" w:hAnsi="仿宋" w:cs="仿宋_GB2312" w:hint="eastAsia"/>
          <w:sz w:val="32"/>
          <w:szCs w:val="32"/>
        </w:rPr>
        <w:t>。纳入绩效评价的重点项目选取严格按照北京市全面预算绩效管理工作的要求，采用专家评议法、比较法等多种方式相结合对部门重点支出项目进行绩效评价，通过项目自评打分真实、客观反映项目预算执行情况和绩效目标完成情况。</w:t>
      </w:r>
    </w:p>
    <w:p w14:paraId="2D193720" w14:textId="77777777" w:rsidR="00CA1256" w:rsidRDefault="007F4B67">
      <w:pPr>
        <w:spacing w:line="480" w:lineRule="auto"/>
        <w:ind w:firstLineChars="200" w:firstLine="640"/>
        <w:rPr>
          <w:rFonts w:ascii="仿宋_GB2312" w:eastAsia="仿宋_GB2312" w:hAnsi="仿宋" w:cs="仿宋_GB2312" w:hint="eastAsia"/>
          <w:sz w:val="32"/>
          <w:szCs w:val="32"/>
        </w:rPr>
      </w:pPr>
      <w:r>
        <w:rPr>
          <w:rFonts w:ascii="仿宋_GB2312" w:eastAsia="仿宋_GB2312" w:hAnsi="仿宋" w:cs="仿宋_GB2312" w:hint="eastAsia"/>
          <w:bCs/>
          <w:sz w:val="32"/>
          <w:szCs w:val="32"/>
        </w:rPr>
        <w:t>二是</w:t>
      </w:r>
      <w:r>
        <w:rPr>
          <w:rFonts w:ascii="仿宋_GB2312" w:eastAsia="仿宋_GB2312" w:hAnsi="仿宋" w:cs="仿宋_GB2312" w:hint="eastAsia"/>
          <w:sz w:val="32"/>
          <w:szCs w:val="32"/>
        </w:rPr>
        <w:t>开展绩效运行监控工作。加强对项目执行过程、预算支出进度的动态监控，对项目执行中的问题及时纠偏，密切关注资金使用效率，提前预判项目执行和预算支出情况，根据项目执行情况调整预算和绩效目标，提高资金使用效率。</w:t>
      </w:r>
    </w:p>
    <w:p w14:paraId="3B6481AB" w14:textId="77777777" w:rsidR="00CA1256" w:rsidRDefault="007F4B67">
      <w:pPr>
        <w:spacing w:line="480" w:lineRule="auto"/>
        <w:ind w:firstLineChars="200" w:firstLine="640"/>
        <w:rPr>
          <w:rFonts w:ascii="仿宋_GB2312" w:eastAsia="仿宋_GB2312" w:hAnsi="仿宋" w:cs="仿宋_GB2312" w:hint="eastAsia"/>
          <w:bCs/>
          <w:sz w:val="32"/>
          <w:szCs w:val="32"/>
        </w:rPr>
      </w:pPr>
      <w:r>
        <w:rPr>
          <w:rFonts w:ascii="仿宋_GB2312" w:eastAsia="仿宋_GB2312" w:hAnsi="仿宋" w:cs="仿宋_GB2312" w:hint="eastAsia"/>
          <w:bCs/>
          <w:sz w:val="32"/>
          <w:szCs w:val="32"/>
        </w:rPr>
        <w:t>三是继续开展成本预算绩效分析。选取有代表性的项目按程序开展，并将分析评价结果与预算挂钩。</w:t>
      </w:r>
    </w:p>
    <w:p w14:paraId="19CF5C0F" w14:textId="77777777" w:rsidR="00CA1256" w:rsidRDefault="007F4B67">
      <w:pPr>
        <w:pStyle w:val="af4"/>
        <w:rPr>
          <w:rFonts w:hint="eastAsia"/>
        </w:rPr>
      </w:pPr>
      <w:bookmarkStart w:id="44" w:name="_Toc6022"/>
      <w:bookmarkStart w:id="45" w:name="_Toc24503"/>
      <w:r>
        <w:rPr>
          <w:rFonts w:hint="eastAsia"/>
        </w:rPr>
        <w:t>（四）结转结余率</w:t>
      </w:r>
      <w:bookmarkEnd w:id="44"/>
      <w:bookmarkEnd w:id="45"/>
    </w:p>
    <w:p w14:paraId="430B643F" w14:textId="77777777" w:rsidR="00CA1256" w:rsidRDefault="007F4B67" w:rsidP="00EC7FED">
      <w:pPr>
        <w:spacing w:line="480" w:lineRule="auto"/>
        <w:ind w:firstLineChars="200" w:firstLine="640"/>
        <w:rPr>
          <w:rFonts w:ascii="仿宋" w:eastAsia="仿宋" w:hAnsi="仿宋" w:cs="宋体" w:hint="eastAsia"/>
          <w:color w:val="000000"/>
          <w:kern w:val="0"/>
          <w:sz w:val="32"/>
          <w:szCs w:val="32"/>
        </w:rPr>
      </w:pPr>
      <w:r>
        <w:rPr>
          <w:rFonts w:ascii="仿宋_GB2312" w:eastAsia="仿宋_GB2312" w:hAnsi="仿宋" w:cs="仿宋_GB2312" w:hint="eastAsia"/>
          <w:b/>
          <w:bCs/>
          <w:sz w:val="32"/>
          <w:szCs w:val="32"/>
        </w:rPr>
        <w:t>年度总预算方面</w:t>
      </w:r>
      <w:bookmarkStart w:id="46" w:name="OLE_LINK5"/>
      <w:r>
        <w:rPr>
          <w:rFonts w:ascii="仿宋_GB2312" w:eastAsia="仿宋_GB2312" w:hAnsi="仿宋" w:cs="仿宋_GB2312" w:hint="eastAsia"/>
          <w:b/>
          <w:bCs/>
          <w:sz w:val="32"/>
          <w:szCs w:val="32"/>
        </w:rPr>
        <w:t>：</w:t>
      </w:r>
      <w:bookmarkEnd w:id="46"/>
      <w:r>
        <w:rPr>
          <w:rFonts w:ascii="仿宋_GB2312" w:eastAsia="仿宋_GB2312" w:hAnsi="仿宋" w:cs="仿宋_GB2312"/>
          <w:sz w:val="32"/>
          <w:szCs w:val="32"/>
        </w:rPr>
        <w:t>2024年部门结转结余总额13141.415873万元，全年支出预算数24648.689867万元，结转结余率53.31%</w:t>
      </w:r>
      <w:r>
        <w:rPr>
          <w:rFonts w:ascii="仿宋_GB2312" w:eastAsia="仿宋_GB2312" w:hAnsi="仿宋" w:cs="宋体" w:hint="eastAsia"/>
          <w:color w:val="000000"/>
          <w:kern w:val="0"/>
          <w:sz w:val="32"/>
          <w:szCs w:val="32"/>
        </w:rPr>
        <w:t>。结转结余率高的主要原因是年度计划调整，部分项目未开展。</w:t>
      </w:r>
    </w:p>
    <w:p w14:paraId="27119297" w14:textId="77777777" w:rsidR="00CA1256" w:rsidRDefault="007F4B67" w:rsidP="00EC7FED">
      <w:pPr>
        <w:spacing w:line="480" w:lineRule="auto"/>
        <w:ind w:firstLineChars="200" w:firstLine="640"/>
        <w:rPr>
          <w:rFonts w:ascii="仿宋_GB2312" w:eastAsia="仿宋_GB2312" w:hAnsi="仿宋" w:cs="仿宋_GB2312" w:hint="eastAsia"/>
          <w:sz w:val="32"/>
          <w:szCs w:val="32"/>
          <w:highlight w:val="yellow"/>
        </w:rPr>
      </w:pPr>
      <w:r>
        <w:rPr>
          <w:rFonts w:ascii="仿宋_GB2312" w:eastAsia="仿宋_GB2312" w:hAnsi="仿宋" w:cs="仿宋_GB2312" w:hint="eastAsia"/>
          <w:b/>
          <w:bCs/>
          <w:sz w:val="32"/>
          <w:szCs w:val="32"/>
        </w:rPr>
        <w:t>财政预算方面：</w:t>
      </w:r>
      <w:r>
        <w:rPr>
          <w:rFonts w:ascii="仿宋_GB2312" w:eastAsia="仿宋_GB2312" w:hAnsi="仿宋" w:cs="仿宋_GB2312" w:hint="eastAsia"/>
          <w:bCs/>
          <w:sz w:val="32"/>
          <w:szCs w:val="32"/>
        </w:rPr>
        <w:t>交研院</w:t>
      </w:r>
      <w:r>
        <w:rPr>
          <w:rFonts w:ascii="仿宋_GB2312" w:eastAsia="仿宋_GB2312" w:hAnsi="仿宋" w:cs="仿宋_GB2312"/>
          <w:bCs/>
          <w:sz w:val="32"/>
          <w:szCs w:val="32"/>
        </w:rPr>
        <w:t>2024年度结转结余总额</w:t>
      </w:r>
      <w:r>
        <w:rPr>
          <w:rFonts w:ascii="仿宋_GB2312" w:eastAsia="仿宋_GB2312" w:hAnsi="仿宋" w:cs="宋体"/>
          <w:color w:val="000000"/>
          <w:kern w:val="0"/>
          <w:sz w:val="32"/>
          <w:szCs w:val="32"/>
        </w:rPr>
        <w:lastRenderedPageBreak/>
        <w:t>4.15187万元</w:t>
      </w:r>
      <w:r>
        <w:rPr>
          <w:rFonts w:ascii="仿宋_GB2312" w:eastAsia="仿宋_GB2312" w:hAnsi="仿宋" w:cs="仿宋_GB2312" w:hint="eastAsia"/>
          <w:bCs/>
          <w:sz w:val="32"/>
          <w:szCs w:val="32"/>
        </w:rPr>
        <w:t>，支出预算数</w:t>
      </w:r>
      <w:r>
        <w:rPr>
          <w:rFonts w:ascii="仿宋_GB2312" w:eastAsia="仿宋_GB2312" w:hAnsi="仿宋" w:cs="宋体"/>
          <w:color w:val="000000"/>
          <w:kern w:val="0"/>
          <w:sz w:val="32"/>
          <w:szCs w:val="32"/>
        </w:rPr>
        <w:t>3595.991037</w:t>
      </w:r>
      <w:r>
        <w:rPr>
          <w:rFonts w:ascii="仿宋_GB2312" w:eastAsia="仿宋_GB2312" w:hAnsi="仿宋" w:cs="宋体" w:hint="eastAsia"/>
          <w:color w:val="000000"/>
          <w:kern w:val="0"/>
          <w:sz w:val="32"/>
          <w:szCs w:val="32"/>
        </w:rPr>
        <w:t>万元</w:t>
      </w:r>
      <w:r>
        <w:rPr>
          <w:rFonts w:ascii="仿宋_GB2312" w:eastAsia="仿宋_GB2312" w:hAnsi="仿宋" w:cs="仿宋_GB2312" w:hint="eastAsia"/>
          <w:bCs/>
          <w:sz w:val="32"/>
          <w:szCs w:val="32"/>
        </w:rPr>
        <w:t>，结转结余率为</w:t>
      </w:r>
      <w:r>
        <w:rPr>
          <w:rFonts w:ascii="仿宋_GB2312" w:eastAsia="仿宋_GB2312" w:hAnsi="仿宋" w:cs="仿宋_GB2312"/>
          <w:bCs/>
          <w:sz w:val="32"/>
          <w:szCs w:val="32"/>
        </w:rPr>
        <w:t>0.12%</w:t>
      </w:r>
      <w:r>
        <w:rPr>
          <w:rFonts w:ascii="仿宋_GB2312" w:eastAsia="仿宋_GB2312" w:hAnsi="仿宋" w:cs="仿宋_GB2312" w:hint="eastAsia"/>
          <w:bCs/>
          <w:sz w:val="32"/>
          <w:szCs w:val="32"/>
        </w:rPr>
        <w:t>，财政资金执行较好。</w:t>
      </w:r>
    </w:p>
    <w:p w14:paraId="68316C31" w14:textId="77777777" w:rsidR="00CA1256" w:rsidRDefault="007F4B67">
      <w:pPr>
        <w:pStyle w:val="af4"/>
        <w:rPr>
          <w:rFonts w:hint="eastAsia"/>
        </w:rPr>
      </w:pPr>
      <w:bookmarkStart w:id="47" w:name="_Toc23229"/>
      <w:bookmarkStart w:id="48" w:name="_Toc9318"/>
      <w:r>
        <w:rPr>
          <w:rFonts w:hint="eastAsia"/>
        </w:rPr>
        <w:t>（五）部门预决算差异率</w:t>
      </w:r>
      <w:bookmarkEnd w:id="47"/>
      <w:bookmarkEnd w:id="48"/>
    </w:p>
    <w:p w14:paraId="4B107CA0" w14:textId="77777777" w:rsidR="00CA1256" w:rsidRDefault="007F4B67" w:rsidP="00EC7FED">
      <w:pPr>
        <w:spacing w:line="480" w:lineRule="auto"/>
        <w:ind w:firstLineChars="200" w:firstLine="640"/>
        <w:rPr>
          <w:rFonts w:ascii="仿宋_GB2312" w:eastAsia="仿宋_GB2312" w:hAnsi="仿宋" w:cs="宋体" w:hint="eastAsia"/>
          <w:color w:val="000000"/>
          <w:kern w:val="0"/>
          <w:sz w:val="32"/>
          <w:szCs w:val="32"/>
        </w:rPr>
      </w:pPr>
      <w:r>
        <w:rPr>
          <w:rFonts w:ascii="仿宋_GB2312" w:eastAsia="仿宋_GB2312" w:hAnsi="仿宋" w:cs="仿宋_GB2312" w:hint="eastAsia"/>
          <w:b/>
          <w:bCs/>
          <w:sz w:val="32"/>
          <w:szCs w:val="32"/>
        </w:rPr>
        <w:t>年度总预算方面：</w:t>
      </w:r>
      <w:r>
        <w:rPr>
          <w:rFonts w:ascii="仿宋_GB2312" w:eastAsia="仿宋_GB2312" w:hAnsi="仿宋" w:cs="仿宋_GB2312"/>
          <w:sz w:val="32"/>
          <w:szCs w:val="32"/>
        </w:rPr>
        <w:t>2024年部门决算数11507.27399</w:t>
      </w:r>
      <w:r>
        <w:rPr>
          <w:rFonts w:ascii="仿宋_GB2312" w:eastAsia="仿宋_GB2312" w:hAnsi="仿宋" w:cs="仿宋_GB2312" w:hint="eastAsia"/>
          <w:sz w:val="32"/>
          <w:szCs w:val="32"/>
        </w:rPr>
        <w:t>万元，与全年部门预算数</w:t>
      </w:r>
      <w:r>
        <w:rPr>
          <w:rFonts w:ascii="仿宋_GB2312" w:eastAsia="仿宋_GB2312" w:hAnsi="仿宋" w:cs="仿宋_GB2312"/>
          <w:sz w:val="32"/>
          <w:szCs w:val="32"/>
        </w:rPr>
        <w:t>24648.68987</w:t>
      </w:r>
      <w:r>
        <w:rPr>
          <w:rFonts w:ascii="仿宋_GB2312" w:eastAsia="仿宋_GB2312" w:hAnsi="仿宋" w:cs="仿宋_GB2312" w:hint="eastAsia"/>
          <w:sz w:val="32"/>
          <w:szCs w:val="32"/>
        </w:rPr>
        <w:t>万元相比，部门预决算差异率为</w:t>
      </w:r>
      <w:r>
        <w:rPr>
          <w:rFonts w:ascii="仿宋_GB2312" w:eastAsia="仿宋_GB2312" w:hAnsi="仿宋" w:cs="仿宋_GB2312"/>
          <w:sz w:val="32"/>
          <w:szCs w:val="32"/>
        </w:rPr>
        <w:t>53.31%</w:t>
      </w:r>
      <w:r>
        <w:rPr>
          <w:rFonts w:ascii="仿宋_GB2312" w:eastAsia="仿宋_GB2312" w:hAnsi="仿宋" w:cs="仿宋_GB2312" w:hint="eastAsia"/>
          <w:sz w:val="32"/>
          <w:szCs w:val="32"/>
        </w:rPr>
        <w:t>。预决算差异率较高的</w:t>
      </w:r>
      <w:r>
        <w:rPr>
          <w:rFonts w:ascii="仿宋_GB2312" w:eastAsia="仿宋_GB2312" w:hAnsi="仿宋" w:cs="宋体" w:hint="eastAsia"/>
          <w:color w:val="000000"/>
          <w:kern w:val="0"/>
          <w:sz w:val="32"/>
          <w:szCs w:val="32"/>
        </w:rPr>
        <w:t>主要原因是年度计划调整，部分项目未开展。</w:t>
      </w:r>
    </w:p>
    <w:p w14:paraId="5289E462" w14:textId="77777777" w:rsidR="00CA1256" w:rsidRDefault="007F4B67" w:rsidP="00EC7FED">
      <w:pPr>
        <w:spacing w:line="480" w:lineRule="auto"/>
        <w:ind w:firstLineChars="200" w:firstLine="640"/>
        <w:rPr>
          <w:rFonts w:ascii="仿宋_GB2312" w:eastAsia="仿宋_GB2312" w:hAnsi="仿宋" w:cs="仿宋_GB2312" w:hint="eastAsia"/>
          <w:sz w:val="32"/>
          <w:szCs w:val="32"/>
        </w:rPr>
      </w:pPr>
      <w:r>
        <w:rPr>
          <w:rFonts w:ascii="仿宋_GB2312" w:eastAsia="仿宋_GB2312" w:hAnsi="仿宋" w:cs="仿宋_GB2312" w:hint="eastAsia"/>
          <w:b/>
          <w:bCs/>
          <w:sz w:val="32"/>
          <w:szCs w:val="32"/>
        </w:rPr>
        <w:t>财政预算方面：</w:t>
      </w:r>
      <w:r>
        <w:rPr>
          <w:rFonts w:ascii="仿宋_GB2312" w:eastAsia="仿宋_GB2312" w:hAnsi="仿宋" w:cs="仿宋_GB2312"/>
          <w:bCs/>
          <w:sz w:val="32"/>
          <w:szCs w:val="32"/>
        </w:rPr>
        <w:t>2</w:t>
      </w:r>
      <w:r>
        <w:rPr>
          <w:rFonts w:ascii="仿宋_GB2312" w:eastAsia="仿宋_GB2312" w:hAnsi="仿宋" w:cs="仿宋_GB2312"/>
          <w:sz w:val="32"/>
          <w:szCs w:val="32"/>
        </w:rPr>
        <w:t>024年度部门决算数3595</w:t>
      </w:r>
      <w:r>
        <w:rPr>
          <w:rFonts w:ascii="仿宋_GB2312" w:eastAsia="仿宋_GB2312" w:hAnsi="仿宋" w:cs="仿宋_GB2312" w:hint="eastAsia"/>
          <w:sz w:val="32"/>
          <w:szCs w:val="32"/>
        </w:rPr>
        <w:t>.</w:t>
      </w:r>
      <w:r>
        <w:rPr>
          <w:rFonts w:ascii="仿宋_GB2312" w:eastAsia="仿宋_GB2312" w:hAnsi="仿宋" w:cs="仿宋_GB2312"/>
          <w:sz w:val="32"/>
          <w:szCs w:val="32"/>
        </w:rPr>
        <w:t>991037</w:t>
      </w:r>
      <w:r>
        <w:rPr>
          <w:rFonts w:ascii="仿宋_GB2312" w:eastAsia="仿宋_GB2312" w:hAnsi="仿宋" w:cs="仿宋_GB2312" w:hint="eastAsia"/>
          <w:sz w:val="32"/>
          <w:szCs w:val="32"/>
        </w:rPr>
        <w:t>万元，与全年部门预算数</w:t>
      </w:r>
      <w:r>
        <w:rPr>
          <w:rFonts w:ascii="仿宋_GB2312" w:eastAsia="仿宋_GB2312" w:hAnsi="仿宋" w:cs="仿宋_GB2312"/>
          <w:sz w:val="32"/>
          <w:szCs w:val="32"/>
        </w:rPr>
        <w:t>3600</w:t>
      </w:r>
      <w:r>
        <w:rPr>
          <w:rFonts w:ascii="仿宋_GB2312" w:eastAsia="仿宋_GB2312" w:hAnsi="仿宋" w:cs="仿宋_GB2312" w:hint="eastAsia"/>
          <w:sz w:val="32"/>
          <w:szCs w:val="32"/>
        </w:rPr>
        <w:t>.</w:t>
      </w:r>
      <w:r>
        <w:rPr>
          <w:rFonts w:ascii="仿宋_GB2312" w:eastAsia="仿宋_GB2312" w:hAnsi="仿宋" w:cs="仿宋_GB2312"/>
          <w:sz w:val="32"/>
          <w:szCs w:val="32"/>
        </w:rPr>
        <w:t>142907</w:t>
      </w:r>
      <w:r>
        <w:rPr>
          <w:rFonts w:ascii="仿宋_GB2312" w:eastAsia="仿宋_GB2312" w:hAnsi="仿宋" w:cs="仿宋_GB2312" w:hint="eastAsia"/>
          <w:sz w:val="32"/>
          <w:szCs w:val="32"/>
        </w:rPr>
        <w:t>万元对比，部门预决算差异率为</w:t>
      </w:r>
      <w:r>
        <w:rPr>
          <w:rFonts w:ascii="仿宋_GB2312" w:eastAsia="仿宋_GB2312" w:hAnsi="仿宋" w:cs="仿宋_GB2312"/>
          <w:sz w:val="32"/>
          <w:szCs w:val="32"/>
        </w:rPr>
        <w:t>0.12%，预算执行情况较好</w:t>
      </w:r>
      <w:r>
        <w:rPr>
          <w:rFonts w:ascii="仿宋_GB2312" w:eastAsia="仿宋_GB2312" w:hAnsi="仿宋" w:cs="仿宋_GB2312" w:hint="eastAsia"/>
          <w:sz w:val="32"/>
          <w:szCs w:val="32"/>
        </w:rPr>
        <w:t>。</w:t>
      </w:r>
    </w:p>
    <w:p w14:paraId="0F0B70C7" w14:textId="77777777" w:rsidR="00CA1256" w:rsidRDefault="007F4B67">
      <w:pPr>
        <w:pStyle w:val="af3"/>
        <w:rPr>
          <w:rFonts w:hint="eastAsia"/>
        </w:rPr>
      </w:pPr>
      <w:bookmarkStart w:id="49" w:name="_Toc9161"/>
      <w:bookmarkStart w:id="50" w:name="_Toc24562"/>
      <w:r>
        <w:rPr>
          <w:rFonts w:hint="eastAsia"/>
        </w:rPr>
        <w:t>五、总体评价结论</w:t>
      </w:r>
      <w:bookmarkEnd w:id="49"/>
      <w:bookmarkEnd w:id="50"/>
    </w:p>
    <w:p w14:paraId="44F2285B" w14:textId="77777777" w:rsidR="00CA1256" w:rsidRDefault="007F4B67">
      <w:pPr>
        <w:pStyle w:val="af4"/>
        <w:rPr>
          <w:rFonts w:hint="eastAsia"/>
        </w:rPr>
      </w:pPr>
      <w:bookmarkStart w:id="51" w:name="_Toc5951"/>
      <w:bookmarkStart w:id="52" w:name="_Toc6069"/>
      <w:r>
        <w:rPr>
          <w:rFonts w:hint="eastAsia"/>
        </w:rPr>
        <w:t>（一）评价得分情况</w:t>
      </w:r>
      <w:bookmarkEnd w:id="51"/>
      <w:bookmarkEnd w:id="52"/>
    </w:p>
    <w:p w14:paraId="19030F64" w14:textId="77777777" w:rsidR="00CA1256" w:rsidRDefault="007F4B67">
      <w:pPr>
        <w:spacing w:line="480" w:lineRule="auto"/>
        <w:ind w:firstLineChars="200" w:firstLine="640"/>
        <w:rPr>
          <w:rFonts w:ascii="仿宋_GB2312" w:eastAsia="仿宋_GB2312" w:hAnsi="仿宋" w:cs="仿宋_GB2312" w:hint="eastAsia"/>
          <w:bCs/>
          <w:kern w:val="0"/>
          <w:sz w:val="32"/>
          <w:szCs w:val="32"/>
        </w:rPr>
      </w:pPr>
      <w:r>
        <w:rPr>
          <w:rFonts w:ascii="仿宋_GB2312" w:eastAsia="仿宋_GB2312" w:hAnsi="仿宋" w:cs="仿宋_GB2312" w:hint="eastAsia"/>
          <w:sz w:val="32"/>
          <w:szCs w:val="32"/>
        </w:rPr>
        <w:t>部门整体绩效评价得分为</w:t>
      </w:r>
      <w:r>
        <w:rPr>
          <w:rFonts w:ascii="仿宋_GB2312" w:eastAsia="仿宋_GB2312" w:hAnsi="仿宋" w:cs="仿宋_GB2312"/>
          <w:sz w:val="32"/>
          <w:szCs w:val="32"/>
        </w:rPr>
        <w:t>87.67，评价等级为</w:t>
      </w:r>
      <w:r>
        <w:rPr>
          <w:rFonts w:ascii="仿宋_GB2312" w:eastAsia="仿宋_GB2312" w:hAnsi="仿宋" w:cs="仿宋_GB2312"/>
          <w:sz w:val="32"/>
          <w:szCs w:val="32"/>
        </w:rPr>
        <w:t>“</w:t>
      </w:r>
      <w:r>
        <w:rPr>
          <w:rFonts w:ascii="仿宋_GB2312" w:eastAsia="仿宋_GB2312" w:hAnsi="仿宋" w:cs="仿宋_GB2312" w:hint="eastAsia"/>
          <w:b/>
          <w:sz w:val="32"/>
          <w:szCs w:val="32"/>
        </w:rPr>
        <w:t>良</w:t>
      </w:r>
      <w:r>
        <w:rPr>
          <w:rFonts w:ascii="仿宋_GB2312" w:eastAsia="仿宋_GB2312" w:hAnsi="仿宋" w:cs="仿宋_GB2312" w:hint="eastAsia"/>
          <w:sz w:val="32"/>
          <w:szCs w:val="32"/>
        </w:rPr>
        <w:t>”。</w:t>
      </w:r>
      <w:r>
        <w:rPr>
          <w:rFonts w:ascii="仿宋_GB2312" w:eastAsia="仿宋_GB2312" w:hAnsi="仿宋" w:cs="仿宋_GB2312" w:hint="eastAsia"/>
          <w:bCs/>
          <w:kern w:val="0"/>
          <w:sz w:val="32"/>
          <w:szCs w:val="32"/>
        </w:rPr>
        <w:t>整体绩效目标实现情况良好，完成了年初制定的各项重点工作任务。内部建设方面，严格按照北京市财政局预算绩效管理的要求开展工作，财务管理制度健全，资金使用规范，会计基础信息完善，资产安全完整、资产使用及处置合规，按照北京市全面贯彻预算绩效管理的要求开展预算绩效管理。但评价发现部门仍存在整体绩效目标设定不够合理规范、量化不足，个别项目进度滞后，反映项目绩效的佐证性资料收集不够全面等问题。</w:t>
      </w:r>
    </w:p>
    <w:p w14:paraId="25722B1F" w14:textId="77777777" w:rsidR="00CA1256" w:rsidRDefault="007F4B67">
      <w:pPr>
        <w:pStyle w:val="af4"/>
        <w:rPr>
          <w:rFonts w:hint="eastAsia"/>
        </w:rPr>
      </w:pPr>
      <w:bookmarkStart w:id="53" w:name="_Toc31998"/>
      <w:bookmarkStart w:id="54" w:name="_Toc23461"/>
      <w:r>
        <w:rPr>
          <w:rFonts w:hint="eastAsia"/>
        </w:rPr>
        <w:lastRenderedPageBreak/>
        <w:t>（二）存在的问题及原因分析</w:t>
      </w:r>
      <w:bookmarkEnd w:id="53"/>
      <w:bookmarkEnd w:id="54"/>
    </w:p>
    <w:p w14:paraId="27ED1C28" w14:textId="77777777" w:rsidR="00CA1256" w:rsidRDefault="007F4B67">
      <w:pPr>
        <w:pStyle w:val="af5"/>
        <w:outlineLvl w:val="9"/>
        <w:rPr>
          <w:rFonts w:hint="eastAsia"/>
        </w:rPr>
      </w:pPr>
      <w:bookmarkStart w:id="55" w:name="_Toc18317"/>
      <w:r>
        <w:rPr>
          <w:rFonts w:hint="eastAsia"/>
        </w:rPr>
        <w:t>1.部门绩效指标设置不够完善、量化不足</w:t>
      </w:r>
      <w:bookmarkEnd w:id="55"/>
      <w:r>
        <w:rPr>
          <w:rFonts w:hint="eastAsia"/>
        </w:rPr>
        <w:t>。</w:t>
      </w:r>
    </w:p>
    <w:p w14:paraId="4E5DE07B" w14:textId="77777777" w:rsidR="00CA1256" w:rsidRDefault="007F4B67">
      <w:pPr>
        <w:pStyle w:val="af5"/>
        <w:outlineLvl w:val="9"/>
        <w:rPr>
          <w:rFonts w:hint="eastAsia"/>
        </w:rPr>
      </w:pPr>
      <w:bookmarkStart w:id="56" w:name="_Toc32747"/>
      <w:r>
        <w:rPr>
          <w:rFonts w:hint="eastAsia"/>
        </w:rPr>
        <w:t>2.个别项目进度滞后</w:t>
      </w:r>
      <w:bookmarkEnd w:id="56"/>
      <w:r>
        <w:rPr>
          <w:rFonts w:hint="eastAsia"/>
        </w:rPr>
        <w:t>。</w:t>
      </w:r>
    </w:p>
    <w:p w14:paraId="0279A022" w14:textId="77777777" w:rsidR="00CA1256" w:rsidRDefault="007F4B67">
      <w:pPr>
        <w:pStyle w:val="af5"/>
        <w:outlineLvl w:val="9"/>
        <w:rPr>
          <w:rFonts w:hint="eastAsia"/>
        </w:rPr>
      </w:pPr>
      <w:bookmarkStart w:id="57" w:name="_Toc11359"/>
      <w:r>
        <w:rPr>
          <w:rFonts w:hint="eastAsia"/>
        </w:rPr>
        <w:t>3.满意度指标支撑依据不充分</w:t>
      </w:r>
      <w:bookmarkEnd w:id="57"/>
      <w:r>
        <w:rPr>
          <w:rFonts w:hint="eastAsia"/>
        </w:rPr>
        <w:t>。</w:t>
      </w:r>
    </w:p>
    <w:p w14:paraId="0F00FCD7" w14:textId="77777777" w:rsidR="00CA1256" w:rsidRDefault="007F4B67">
      <w:pPr>
        <w:pStyle w:val="af3"/>
        <w:rPr>
          <w:rFonts w:hint="eastAsia"/>
        </w:rPr>
      </w:pPr>
      <w:bookmarkStart w:id="58" w:name="_Toc3803"/>
      <w:bookmarkStart w:id="59" w:name="_Toc3404"/>
      <w:r>
        <w:rPr>
          <w:rFonts w:hint="eastAsia"/>
        </w:rPr>
        <w:t>六、</w:t>
      </w:r>
      <w:bookmarkEnd w:id="58"/>
      <w:r>
        <w:rPr>
          <w:rFonts w:hint="eastAsia"/>
        </w:rPr>
        <w:t>建议措施</w:t>
      </w:r>
      <w:bookmarkEnd w:id="59"/>
    </w:p>
    <w:p w14:paraId="33F07855" w14:textId="77777777" w:rsidR="00CA1256" w:rsidRDefault="007F4B67">
      <w:pPr>
        <w:pStyle w:val="af4"/>
        <w:rPr>
          <w:rFonts w:hint="eastAsia"/>
        </w:rPr>
      </w:pPr>
      <w:bookmarkStart w:id="60" w:name="_Toc17114"/>
      <w:r>
        <w:rPr>
          <w:rFonts w:hint="eastAsia"/>
        </w:rPr>
        <w:t>（一）进一步提高绩效目标设置水平</w:t>
      </w:r>
      <w:bookmarkEnd w:id="60"/>
    </w:p>
    <w:p w14:paraId="2B453683" w14:textId="77777777" w:rsidR="00CA1256" w:rsidRDefault="007F4B67">
      <w:pPr>
        <w:ind w:firstLineChars="200" w:firstLine="640"/>
        <w:rPr>
          <w:rFonts w:ascii="仿宋_GB2312" w:eastAsia="仿宋_GB2312"/>
          <w:sz w:val="32"/>
          <w:szCs w:val="32"/>
        </w:rPr>
      </w:pPr>
      <w:r>
        <w:rPr>
          <w:rFonts w:ascii="仿宋_GB2312" w:eastAsia="仿宋_GB2312" w:hint="eastAsia"/>
          <w:sz w:val="32"/>
          <w:szCs w:val="32"/>
        </w:rPr>
        <w:t>完善项目绩效目标，主要是加强绩效指标的细化量化水平，进一步提高可考量性，提高绩效目标管理科学化、规范化、标准化水平。</w:t>
      </w:r>
    </w:p>
    <w:p w14:paraId="19490D12" w14:textId="77777777" w:rsidR="00CA1256" w:rsidRDefault="007F4B67">
      <w:pPr>
        <w:pStyle w:val="af4"/>
        <w:rPr>
          <w:rFonts w:hint="eastAsia"/>
        </w:rPr>
      </w:pPr>
      <w:bookmarkStart w:id="61" w:name="_Toc14241"/>
      <w:r>
        <w:rPr>
          <w:rFonts w:hint="eastAsia"/>
        </w:rPr>
        <w:t>（二）加强项目前期准备工作</w:t>
      </w:r>
      <w:bookmarkEnd w:id="61"/>
    </w:p>
    <w:p w14:paraId="228717F9" w14:textId="77777777" w:rsidR="00CA1256" w:rsidRDefault="007F4B67">
      <w:pPr>
        <w:ind w:firstLineChars="200" w:firstLine="640"/>
        <w:rPr>
          <w:rFonts w:ascii="仿宋_GB2312" w:eastAsia="仿宋_GB2312"/>
          <w:sz w:val="32"/>
          <w:szCs w:val="32"/>
        </w:rPr>
      </w:pPr>
      <w:r>
        <w:rPr>
          <w:rFonts w:ascii="仿宋_GB2312" w:eastAsia="仿宋_GB2312" w:hint="eastAsia"/>
          <w:sz w:val="32"/>
          <w:szCs w:val="32"/>
        </w:rPr>
        <w:t>完善招标工作方案，梳理各环节工作流程，确保招标工作顺利进行。</w:t>
      </w:r>
    </w:p>
    <w:p w14:paraId="33AF7A48" w14:textId="77777777" w:rsidR="00CA1256" w:rsidRDefault="007F4B67">
      <w:pPr>
        <w:pStyle w:val="af4"/>
        <w:rPr>
          <w:rFonts w:hint="eastAsia"/>
        </w:rPr>
      </w:pPr>
      <w:bookmarkStart w:id="62" w:name="_Toc32166"/>
      <w:r>
        <w:rPr>
          <w:rFonts w:hint="eastAsia"/>
        </w:rPr>
        <w:t>（三）加强满意度调查科学性</w:t>
      </w:r>
      <w:bookmarkEnd w:id="62"/>
    </w:p>
    <w:p w14:paraId="6DF2F94A" w14:textId="77777777" w:rsidR="00CA1256" w:rsidRDefault="007F4B67">
      <w:pPr>
        <w:ind w:firstLineChars="200" w:firstLine="640"/>
        <w:rPr>
          <w:rFonts w:ascii="仿宋_GB2312" w:eastAsia="仿宋_GB2312"/>
          <w:sz w:val="32"/>
          <w:szCs w:val="32"/>
        </w:rPr>
      </w:pPr>
      <w:r>
        <w:rPr>
          <w:rFonts w:ascii="仿宋_GB2312" w:eastAsia="仿宋_GB2312" w:hint="eastAsia"/>
          <w:sz w:val="32"/>
          <w:szCs w:val="32"/>
        </w:rPr>
        <w:t>加强</w:t>
      </w:r>
      <w:r>
        <w:rPr>
          <w:rFonts w:ascii="仿宋_GB2312" w:eastAsia="仿宋_GB2312"/>
          <w:sz w:val="32"/>
          <w:szCs w:val="32"/>
        </w:rPr>
        <w:t>满意度调查问卷证据收集，合理设置调查内容，</w:t>
      </w:r>
      <w:r>
        <w:rPr>
          <w:rFonts w:ascii="仿宋_GB2312" w:eastAsia="仿宋_GB2312" w:hint="eastAsia"/>
          <w:sz w:val="32"/>
          <w:szCs w:val="32"/>
        </w:rPr>
        <w:t>确保指标真实有效</w:t>
      </w:r>
      <w:r>
        <w:rPr>
          <w:rFonts w:ascii="仿宋_GB2312" w:eastAsia="仿宋_GB2312"/>
          <w:sz w:val="32"/>
          <w:szCs w:val="32"/>
        </w:rPr>
        <w:t>。</w:t>
      </w:r>
    </w:p>
    <w:p w14:paraId="1D52839F" w14:textId="77777777" w:rsidR="00CA1256" w:rsidRDefault="00CA1256">
      <w:pPr>
        <w:pStyle w:val="af3"/>
        <w:ind w:leftChars="0" w:left="0"/>
        <w:outlineLvl w:val="9"/>
        <w:rPr>
          <w:rFonts w:hint="eastAsia"/>
        </w:rPr>
      </w:pPr>
      <w:bookmarkStart w:id="63" w:name="_Toc29605"/>
    </w:p>
    <w:p w14:paraId="0190286F" w14:textId="77777777" w:rsidR="00CA1256" w:rsidRDefault="00CA1256">
      <w:pPr>
        <w:pStyle w:val="af3"/>
        <w:ind w:leftChars="0" w:left="0"/>
        <w:outlineLvl w:val="9"/>
        <w:rPr>
          <w:rFonts w:hint="eastAsia"/>
        </w:rPr>
      </w:pPr>
    </w:p>
    <w:p w14:paraId="126BCA3F" w14:textId="77777777" w:rsidR="00CA1256" w:rsidRDefault="007F4B67">
      <w:pPr>
        <w:pStyle w:val="af3"/>
        <w:ind w:leftChars="0" w:left="0" w:firstLineChars="400" w:firstLine="1285"/>
        <w:rPr>
          <w:rFonts w:hint="eastAsia"/>
        </w:rPr>
      </w:pPr>
      <w:r>
        <w:rPr>
          <w:rFonts w:hint="eastAsia"/>
        </w:rPr>
        <w:t>2024年部门整体绩效评价指标体系评分</w:t>
      </w:r>
      <w:bookmarkEnd w:id="63"/>
    </w:p>
    <w:tbl>
      <w:tblPr>
        <w:tblW w:w="10906" w:type="dxa"/>
        <w:jc w:val="center"/>
        <w:tblCellMar>
          <w:top w:w="32" w:type="dxa"/>
          <w:left w:w="64" w:type="dxa"/>
          <w:bottom w:w="32" w:type="dxa"/>
          <w:right w:w="64" w:type="dxa"/>
        </w:tblCellMar>
        <w:tblLook w:val="04A0" w:firstRow="1" w:lastRow="0" w:firstColumn="1" w:lastColumn="0" w:noHBand="0" w:noVBand="1"/>
      </w:tblPr>
      <w:tblGrid>
        <w:gridCol w:w="2997"/>
        <w:gridCol w:w="1018"/>
        <w:gridCol w:w="1881"/>
        <w:gridCol w:w="1903"/>
        <w:gridCol w:w="1928"/>
        <w:gridCol w:w="531"/>
        <w:gridCol w:w="648"/>
      </w:tblGrid>
      <w:tr w:rsidR="00CA1256" w14:paraId="7E6F21DE" w14:textId="77777777">
        <w:trPr>
          <w:tblHeader/>
          <w:jc w:val="center"/>
        </w:trPr>
        <w:tc>
          <w:tcPr>
            <w:tcW w:w="648" w:type="dxa"/>
            <w:gridSpan w:val="7"/>
            <w:tcBorders>
              <w:top w:val="single" w:sz="4" w:space="0" w:color="000000"/>
              <w:left w:val="single" w:sz="4" w:space="0" w:color="000000"/>
              <w:bottom w:val="single" w:sz="4" w:space="0" w:color="000000"/>
              <w:right w:val="single" w:sz="4" w:space="0" w:color="000000"/>
            </w:tcBorders>
            <w:vAlign w:val="center"/>
          </w:tcPr>
          <w:p w14:paraId="4C3A94E6"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一、当年预算执行情况（20分）</w:t>
            </w:r>
          </w:p>
        </w:tc>
      </w:tr>
      <w:tr w:rsidR="00CA1256" w14:paraId="401E9021" w14:textId="77777777">
        <w:trPr>
          <w:tblHeader/>
          <w:jc w:val="center"/>
        </w:trPr>
        <w:tc>
          <w:tcPr>
            <w:tcW w:w="2997" w:type="dxa"/>
            <w:tcBorders>
              <w:top w:val="single" w:sz="4" w:space="0" w:color="000000"/>
              <w:left w:val="single" w:sz="4" w:space="0" w:color="000000"/>
              <w:bottom w:val="single" w:sz="4" w:space="0" w:color="000000"/>
              <w:right w:val="single" w:sz="4" w:space="0" w:color="000000"/>
            </w:tcBorders>
            <w:vAlign w:val="center"/>
          </w:tcPr>
          <w:p w14:paraId="08732FCC"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 xml:space="preserve">一级指标　</w:t>
            </w:r>
          </w:p>
        </w:tc>
        <w:tc>
          <w:tcPr>
            <w:tcW w:w="1018" w:type="dxa"/>
            <w:tcBorders>
              <w:top w:val="single" w:sz="4" w:space="0" w:color="000000"/>
              <w:left w:val="single" w:sz="4" w:space="0" w:color="000000"/>
              <w:bottom w:val="single" w:sz="4" w:space="0" w:color="000000"/>
              <w:right w:val="single" w:sz="4" w:space="0" w:color="000000"/>
            </w:tcBorders>
            <w:vAlign w:val="center"/>
          </w:tcPr>
          <w:p w14:paraId="45FD592F"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 xml:space="preserve">二级指标　</w:t>
            </w:r>
          </w:p>
        </w:tc>
        <w:tc>
          <w:tcPr>
            <w:tcW w:w="1881" w:type="dxa"/>
            <w:tcBorders>
              <w:top w:val="single" w:sz="4" w:space="0" w:color="000000"/>
              <w:left w:val="single" w:sz="4" w:space="0" w:color="000000"/>
              <w:bottom w:val="single" w:sz="4" w:space="0" w:color="000000"/>
              <w:right w:val="single" w:sz="4" w:space="0" w:color="000000"/>
            </w:tcBorders>
            <w:vAlign w:val="center"/>
          </w:tcPr>
          <w:p w14:paraId="23534322"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预算数（万元）</w:t>
            </w:r>
          </w:p>
        </w:tc>
        <w:tc>
          <w:tcPr>
            <w:tcW w:w="1903" w:type="dxa"/>
            <w:tcBorders>
              <w:top w:val="single" w:sz="4" w:space="0" w:color="000000"/>
              <w:left w:val="single" w:sz="4" w:space="0" w:color="000000"/>
              <w:bottom w:val="single" w:sz="4" w:space="0" w:color="000000"/>
              <w:right w:val="single" w:sz="4" w:space="0" w:color="000000"/>
            </w:tcBorders>
            <w:vAlign w:val="center"/>
          </w:tcPr>
          <w:p w14:paraId="4C4327C6"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执行数（万元）</w:t>
            </w:r>
          </w:p>
        </w:tc>
        <w:tc>
          <w:tcPr>
            <w:tcW w:w="1928" w:type="dxa"/>
            <w:tcBorders>
              <w:top w:val="single" w:sz="4" w:space="0" w:color="000000"/>
              <w:left w:val="single" w:sz="4" w:space="0" w:color="000000"/>
              <w:bottom w:val="single" w:sz="4" w:space="0" w:color="000000"/>
              <w:right w:val="single" w:sz="4" w:space="0" w:color="000000"/>
            </w:tcBorders>
            <w:vAlign w:val="center"/>
          </w:tcPr>
          <w:p w14:paraId="4759A827"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预算执行率</w:t>
            </w:r>
          </w:p>
        </w:tc>
        <w:tc>
          <w:tcPr>
            <w:tcW w:w="531" w:type="dxa"/>
            <w:tcBorders>
              <w:top w:val="single" w:sz="4" w:space="0" w:color="000000"/>
              <w:left w:val="single" w:sz="4" w:space="0" w:color="000000"/>
              <w:bottom w:val="single" w:sz="4" w:space="0" w:color="000000"/>
              <w:right w:val="single" w:sz="4" w:space="0" w:color="000000"/>
            </w:tcBorders>
            <w:vAlign w:val="center"/>
          </w:tcPr>
          <w:p w14:paraId="5594B61C"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分值</w:t>
            </w:r>
          </w:p>
        </w:tc>
        <w:tc>
          <w:tcPr>
            <w:tcW w:w="648" w:type="dxa"/>
            <w:tcBorders>
              <w:top w:val="single" w:sz="4" w:space="0" w:color="000000"/>
              <w:left w:val="single" w:sz="4" w:space="0" w:color="000000"/>
              <w:bottom w:val="single" w:sz="4" w:space="0" w:color="000000"/>
              <w:right w:val="single" w:sz="4" w:space="0" w:color="000000"/>
            </w:tcBorders>
            <w:vAlign w:val="center"/>
          </w:tcPr>
          <w:p w14:paraId="451B3720"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得分</w:t>
            </w:r>
          </w:p>
        </w:tc>
      </w:tr>
      <w:tr w:rsidR="00CA1256" w14:paraId="5AFC819D" w14:textId="77777777">
        <w:trPr>
          <w:jc w:val="center"/>
        </w:trPr>
        <w:tc>
          <w:tcPr>
            <w:tcW w:w="2997" w:type="dxa"/>
            <w:vMerge w:val="restart"/>
            <w:tcBorders>
              <w:top w:val="single" w:sz="4" w:space="0" w:color="000000"/>
              <w:left w:val="single" w:sz="4" w:space="0" w:color="000000"/>
              <w:bottom w:val="single" w:sz="4" w:space="0" w:color="000000"/>
              <w:right w:val="single" w:sz="4" w:space="0" w:color="000000"/>
            </w:tcBorders>
            <w:vAlign w:val="center"/>
          </w:tcPr>
          <w:p w14:paraId="6F8C2318"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当年预算执行情况（20）</w:t>
            </w:r>
          </w:p>
        </w:tc>
        <w:tc>
          <w:tcPr>
            <w:tcW w:w="1018" w:type="dxa"/>
            <w:tcBorders>
              <w:top w:val="single" w:sz="4" w:space="0" w:color="000000"/>
              <w:left w:val="single" w:sz="4" w:space="0" w:color="000000"/>
              <w:bottom w:val="single" w:sz="4" w:space="0" w:color="000000"/>
              <w:right w:val="single" w:sz="4" w:space="0" w:color="000000"/>
            </w:tcBorders>
            <w:vAlign w:val="center"/>
          </w:tcPr>
          <w:p w14:paraId="6E2B3924"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资金总体</w:t>
            </w:r>
          </w:p>
        </w:tc>
        <w:tc>
          <w:tcPr>
            <w:tcW w:w="1881" w:type="dxa"/>
            <w:tcBorders>
              <w:top w:val="single" w:sz="4" w:space="0" w:color="000000"/>
              <w:left w:val="single" w:sz="4" w:space="0" w:color="000000"/>
              <w:bottom w:val="single" w:sz="4" w:space="0" w:color="000000"/>
              <w:right w:val="single" w:sz="4" w:space="0" w:color="000000"/>
            </w:tcBorders>
            <w:vAlign w:val="center"/>
          </w:tcPr>
          <w:p w14:paraId="0B3C09CD"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24,648.689867</w:t>
            </w:r>
          </w:p>
        </w:tc>
        <w:tc>
          <w:tcPr>
            <w:tcW w:w="1903" w:type="dxa"/>
            <w:tcBorders>
              <w:top w:val="single" w:sz="4" w:space="0" w:color="000000"/>
              <w:left w:val="single" w:sz="4" w:space="0" w:color="000000"/>
              <w:bottom w:val="single" w:sz="4" w:space="0" w:color="000000"/>
              <w:right w:val="single" w:sz="4" w:space="0" w:color="000000"/>
            </w:tcBorders>
            <w:vAlign w:val="center"/>
          </w:tcPr>
          <w:p w14:paraId="1950AA5B"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11,507.273994</w:t>
            </w:r>
          </w:p>
        </w:tc>
        <w:tc>
          <w:tcPr>
            <w:tcW w:w="1928" w:type="dxa"/>
            <w:tcBorders>
              <w:top w:val="single" w:sz="4" w:space="0" w:color="000000"/>
              <w:left w:val="single" w:sz="4" w:space="0" w:color="000000"/>
              <w:bottom w:val="single" w:sz="4" w:space="0" w:color="000000"/>
              <w:right w:val="single" w:sz="4" w:space="0" w:color="000000"/>
            </w:tcBorders>
            <w:vAlign w:val="center"/>
          </w:tcPr>
          <w:p w14:paraId="46A43754"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46.69%</w:t>
            </w:r>
          </w:p>
        </w:tc>
        <w:tc>
          <w:tcPr>
            <w:tcW w:w="531" w:type="dxa"/>
            <w:vMerge w:val="restart"/>
            <w:tcBorders>
              <w:top w:val="single" w:sz="4" w:space="0" w:color="000000"/>
              <w:left w:val="single" w:sz="4" w:space="0" w:color="000000"/>
              <w:bottom w:val="single" w:sz="4" w:space="0" w:color="000000"/>
              <w:right w:val="single" w:sz="4" w:space="0" w:color="000000"/>
            </w:tcBorders>
            <w:noWrap/>
            <w:vAlign w:val="center"/>
          </w:tcPr>
          <w:p w14:paraId="24EB7C4A"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20</w:t>
            </w:r>
          </w:p>
        </w:tc>
        <w:tc>
          <w:tcPr>
            <w:tcW w:w="648" w:type="dxa"/>
            <w:vMerge w:val="restart"/>
            <w:tcBorders>
              <w:top w:val="single" w:sz="4" w:space="0" w:color="000000"/>
              <w:left w:val="single" w:sz="4" w:space="0" w:color="000000"/>
              <w:bottom w:val="single" w:sz="4" w:space="0" w:color="000000"/>
              <w:right w:val="single" w:sz="4" w:space="0" w:color="000000"/>
            </w:tcBorders>
            <w:noWrap/>
            <w:vAlign w:val="center"/>
          </w:tcPr>
          <w:p w14:paraId="790BF680"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 xml:space="preserve"> 9.34 </w:t>
            </w:r>
          </w:p>
        </w:tc>
      </w:tr>
      <w:tr w:rsidR="00CA1256" w14:paraId="3026CBD8"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24053A48" w14:textId="77777777" w:rsidR="00CA1256" w:rsidRDefault="00CA1256">
            <w:pPr>
              <w:snapToGrid w:val="0"/>
              <w:jc w:val="center"/>
              <w:rPr>
                <w:rFonts w:ascii="宋体" w:hAnsi="宋体" w:cs="宋体" w:hint="eastAsia"/>
                <w:color w:val="000000"/>
                <w:sz w:val="20"/>
                <w:szCs w:val="20"/>
              </w:rPr>
            </w:pPr>
          </w:p>
        </w:tc>
        <w:tc>
          <w:tcPr>
            <w:tcW w:w="1018" w:type="dxa"/>
            <w:tcBorders>
              <w:top w:val="single" w:sz="4" w:space="0" w:color="000000"/>
              <w:left w:val="single" w:sz="4" w:space="0" w:color="000000"/>
              <w:bottom w:val="single" w:sz="4" w:space="0" w:color="000000"/>
              <w:right w:val="single" w:sz="4" w:space="0" w:color="000000"/>
            </w:tcBorders>
            <w:vAlign w:val="center"/>
          </w:tcPr>
          <w:p w14:paraId="77999240"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基本支出</w:t>
            </w:r>
          </w:p>
        </w:tc>
        <w:tc>
          <w:tcPr>
            <w:tcW w:w="1881" w:type="dxa"/>
            <w:tcBorders>
              <w:top w:val="single" w:sz="4" w:space="0" w:color="000000"/>
              <w:left w:val="single" w:sz="4" w:space="0" w:color="000000"/>
              <w:bottom w:val="single" w:sz="4" w:space="0" w:color="000000"/>
              <w:right w:val="single" w:sz="4" w:space="0" w:color="000000"/>
            </w:tcBorders>
            <w:vAlign w:val="center"/>
          </w:tcPr>
          <w:p w14:paraId="598CA6FF"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5,733.896676</w:t>
            </w:r>
          </w:p>
        </w:tc>
        <w:tc>
          <w:tcPr>
            <w:tcW w:w="1903" w:type="dxa"/>
            <w:tcBorders>
              <w:top w:val="single" w:sz="4" w:space="0" w:color="000000"/>
              <w:left w:val="single" w:sz="4" w:space="0" w:color="000000"/>
              <w:bottom w:val="single" w:sz="4" w:space="0" w:color="000000"/>
              <w:right w:val="single" w:sz="4" w:space="0" w:color="000000"/>
            </w:tcBorders>
            <w:vAlign w:val="center"/>
          </w:tcPr>
          <w:p w14:paraId="03EF6752"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5,731.984656</w:t>
            </w:r>
          </w:p>
        </w:tc>
        <w:tc>
          <w:tcPr>
            <w:tcW w:w="1928" w:type="dxa"/>
            <w:vMerge w:val="restart"/>
            <w:tcBorders>
              <w:top w:val="single" w:sz="4" w:space="0" w:color="000000"/>
              <w:left w:val="single" w:sz="4" w:space="0" w:color="000000"/>
              <w:bottom w:val="single" w:sz="4" w:space="0" w:color="000000"/>
              <w:right w:val="single" w:sz="4" w:space="0" w:color="000000"/>
            </w:tcBorders>
            <w:vAlign w:val="center"/>
          </w:tcPr>
          <w:p w14:paraId="125B70BC"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w:t>
            </w:r>
          </w:p>
        </w:tc>
        <w:tc>
          <w:tcPr>
            <w:tcW w:w="531" w:type="dxa"/>
            <w:vMerge/>
            <w:tcBorders>
              <w:top w:val="single" w:sz="4" w:space="0" w:color="000000"/>
              <w:left w:val="single" w:sz="4" w:space="0" w:color="000000"/>
              <w:bottom w:val="single" w:sz="4" w:space="0" w:color="000000"/>
              <w:right w:val="single" w:sz="4" w:space="0" w:color="000000"/>
            </w:tcBorders>
            <w:noWrap/>
            <w:vAlign w:val="center"/>
          </w:tcPr>
          <w:p w14:paraId="59009BC3" w14:textId="77777777" w:rsidR="00CA1256" w:rsidRDefault="00CA1256">
            <w:pPr>
              <w:snapToGrid w:val="0"/>
              <w:jc w:val="center"/>
              <w:rPr>
                <w:rFonts w:ascii="宋体" w:hAnsi="宋体" w:cs="宋体" w:hint="eastAsia"/>
                <w:color w:val="000000"/>
                <w:sz w:val="20"/>
                <w:szCs w:val="20"/>
              </w:rPr>
            </w:pPr>
          </w:p>
        </w:tc>
        <w:tc>
          <w:tcPr>
            <w:tcW w:w="648" w:type="dxa"/>
            <w:vMerge/>
            <w:tcBorders>
              <w:top w:val="single" w:sz="4" w:space="0" w:color="000000"/>
              <w:left w:val="single" w:sz="4" w:space="0" w:color="000000"/>
              <w:bottom w:val="single" w:sz="4" w:space="0" w:color="000000"/>
              <w:right w:val="single" w:sz="4" w:space="0" w:color="000000"/>
            </w:tcBorders>
            <w:noWrap/>
            <w:vAlign w:val="center"/>
          </w:tcPr>
          <w:p w14:paraId="07645BEA" w14:textId="77777777" w:rsidR="00CA1256" w:rsidRDefault="00CA1256">
            <w:pPr>
              <w:snapToGrid w:val="0"/>
              <w:jc w:val="center"/>
              <w:rPr>
                <w:rFonts w:ascii="宋体" w:hAnsi="宋体" w:cs="宋体" w:hint="eastAsia"/>
                <w:color w:val="000000"/>
                <w:sz w:val="20"/>
                <w:szCs w:val="20"/>
              </w:rPr>
            </w:pPr>
          </w:p>
        </w:tc>
      </w:tr>
      <w:tr w:rsidR="00CA1256" w14:paraId="514B263B"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5B66DAE9" w14:textId="77777777" w:rsidR="00CA1256" w:rsidRDefault="00CA1256">
            <w:pPr>
              <w:snapToGrid w:val="0"/>
              <w:jc w:val="center"/>
              <w:rPr>
                <w:rFonts w:ascii="宋体" w:hAnsi="宋体" w:cs="宋体" w:hint="eastAsia"/>
                <w:color w:val="000000"/>
                <w:sz w:val="20"/>
                <w:szCs w:val="20"/>
              </w:rPr>
            </w:pPr>
          </w:p>
        </w:tc>
        <w:tc>
          <w:tcPr>
            <w:tcW w:w="1018" w:type="dxa"/>
            <w:tcBorders>
              <w:top w:val="single" w:sz="4" w:space="0" w:color="000000"/>
              <w:left w:val="single" w:sz="4" w:space="0" w:color="000000"/>
              <w:bottom w:val="single" w:sz="4" w:space="0" w:color="000000"/>
              <w:right w:val="single" w:sz="4" w:space="0" w:color="000000"/>
            </w:tcBorders>
            <w:vAlign w:val="center"/>
          </w:tcPr>
          <w:p w14:paraId="13E8F463"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项目支出</w:t>
            </w:r>
          </w:p>
        </w:tc>
        <w:tc>
          <w:tcPr>
            <w:tcW w:w="1881" w:type="dxa"/>
            <w:tcBorders>
              <w:top w:val="single" w:sz="4" w:space="0" w:color="000000"/>
              <w:left w:val="single" w:sz="4" w:space="0" w:color="000000"/>
              <w:bottom w:val="single" w:sz="4" w:space="0" w:color="000000"/>
              <w:right w:val="single" w:sz="4" w:space="0" w:color="000000"/>
            </w:tcBorders>
            <w:vAlign w:val="center"/>
          </w:tcPr>
          <w:p w14:paraId="6AF44856"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18,914.793191</w:t>
            </w:r>
          </w:p>
        </w:tc>
        <w:tc>
          <w:tcPr>
            <w:tcW w:w="1903" w:type="dxa"/>
            <w:tcBorders>
              <w:top w:val="single" w:sz="4" w:space="0" w:color="000000"/>
              <w:left w:val="single" w:sz="4" w:space="0" w:color="000000"/>
              <w:bottom w:val="single" w:sz="4" w:space="0" w:color="000000"/>
              <w:right w:val="single" w:sz="4" w:space="0" w:color="000000"/>
            </w:tcBorders>
            <w:vAlign w:val="center"/>
          </w:tcPr>
          <w:p w14:paraId="38880B4C"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5,775.289338</w:t>
            </w:r>
          </w:p>
        </w:tc>
        <w:tc>
          <w:tcPr>
            <w:tcW w:w="1928" w:type="dxa"/>
            <w:vMerge/>
            <w:tcBorders>
              <w:top w:val="single" w:sz="4" w:space="0" w:color="000000"/>
              <w:left w:val="single" w:sz="4" w:space="0" w:color="000000"/>
              <w:bottom w:val="single" w:sz="4" w:space="0" w:color="000000"/>
              <w:right w:val="single" w:sz="4" w:space="0" w:color="000000"/>
            </w:tcBorders>
            <w:vAlign w:val="center"/>
          </w:tcPr>
          <w:p w14:paraId="5626266B" w14:textId="77777777" w:rsidR="00CA1256" w:rsidRDefault="00CA1256">
            <w:pPr>
              <w:snapToGrid w:val="0"/>
              <w:jc w:val="center"/>
              <w:rPr>
                <w:rFonts w:ascii="宋体" w:hAnsi="宋体" w:cs="宋体" w:hint="eastAsia"/>
                <w:color w:val="000000"/>
                <w:sz w:val="20"/>
                <w:szCs w:val="20"/>
              </w:rPr>
            </w:pPr>
          </w:p>
        </w:tc>
        <w:tc>
          <w:tcPr>
            <w:tcW w:w="531" w:type="dxa"/>
            <w:vMerge/>
            <w:tcBorders>
              <w:top w:val="single" w:sz="4" w:space="0" w:color="000000"/>
              <w:left w:val="single" w:sz="4" w:space="0" w:color="000000"/>
              <w:bottom w:val="single" w:sz="4" w:space="0" w:color="000000"/>
              <w:right w:val="single" w:sz="4" w:space="0" w:color="000000"/>
            </w:tcBorders>
            <w:noWrap/>
            <w:vAlign w:val="center"/>
          </w:tcPr>
          <w:p w14:paraId="109CBF79" w14:textId="77777777" w:rsidR="00CA1256" w:rsidRDefault="00CA1256">
            <w:pPr>
              <w:snapToGrid w:val="0"/>
              <w:jc w:val="center"/>
              <w:rPr>
                <w:rFonts w:ascii="宋体" w:hAnsi="宋体" w:cs="宋体" w:hint="eastAsia"/>
                <w:color w:val="000000"/>
                <w:sz w:val="20"/>
                <w:szCs w:val="20"/>
              </w:rPr>
            </w:pPr>
          </w:p>
        </w:tc>
        <w:tc>
          <w:tcPr>
            <w:tcW w:w="648" w:type="dxa"/>
            <w:vMerge/>
            <w:tcBorders>
              <w:top w:val="single" w:sz="4" w:space="0" w:color="000000"/>
              <w:left w:val="single" w:sz="4" w:space="0" w:color="000000"/>
              <w:bottom w:val="single" w:sz="4" w:space="0" w:color="000000"/>
              <w:right w:val="single" w:sz="4" w:space="0" w:color="000000"/>
            </w:tcBorders>
            <w:noWrap/>
            <w:vAlign w:val="center"/>
          </w:tcPr>
          <w:p w14:paraId="686A4E4F" w14:textId="77777777" w:rsidR="00CA1256" w:rsidRDefault="00CA1256">
            <w:pPr>
              <w:snapToGrid w:val="0"/>
              <w:jc w:val="center"/>
              <w:rPr>
                <w:rFonts w:ascii="宋体" w:hAnsi="宋体" w:cs="宋体" w:hint="eastAsia"/>
                <w:color w:val="000000"/>
                <w:sz w:val="20"/>
                <w:szCs w:val="20"/>
              </w:rPr>
            </w:pPr>
          </w:p>
        </w:tc>
      </w:tr>
      <w:tr w:rsidR="00CA1256" w14:paraId="193805B3"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4B069719" w14:textId="77777777" w:rsidR="00CA1256" w:rsidRDefault="00CA1256">
            <w:pPr>
              <w:snapToGrid w:val="0"/>
              <w:jc w:val="center"/>
              <w:rPr>
                <w:rFonts w:ascii="宋体" w:hAnsi="宋体" w:cs="宋体" w:hint="eastAsia"/>
                <w:color w:val="000000"/>
                <w:sz w:val="20"/>
                <w:szCs w:val="20"/>
              </w:rPr>
            </w:pPr>
          </w:p>
        </w:tc>
        <w:tc>
          <w:tcPr>
            <w:tcW w:w="1018" w:type="dxa"/>
            <w:tcBorders>
              <w:top w:val="single" w:sz="4" w:space="0" w:color="000000"/>
              <w:left w:val="single" w:sz="4" w:space="0" w:color="000000"/>
              <w:bottom w:val="single" w:sz="4" w:space="0" w:color="000000"/>
              <w:right w:val="single" w:sz="4" w:space="0" w:color="000000"/>
            </w:tcBorders>
            <w:vAlign w:val="center"/>
          </w:tcPr>
          <w:p w14:paraId="56DF88FA"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其他</w:t>
            </w:r>
          </w:p>
        </w:tc>
        <w:tc>
          <w:tcPr>
            <w:tcW w:w="1881" w:type="dxa"/>
            <w:tcBorders>
              <w:top w:val="single" w:sz="4" w:space="0" w:color="000000"/>
              <w:left w:val="single" w:sz="4" w:space="0" w:color="000000"/>
              <w:bottom w:val="single" w:sz="4" w:space="0" w:color="000000"/>
              <w:right w:val="single" w:sz="4" w:space="0" w:color="000000"/>
            </w:tcBorders>
            <w:vAlign w:val="center"/>
          </w:tcPr>
          <w:p w14:paraId="5896B211" w14:textId="77777777" w:rsidR="00CA1256" w:rsidRDefault="00CA1256">
            <w:pPr>
              <w:snapToGrid w:val="0"/>
              <w:jc w:val="center"/>
              <w:rPr>
                <w:rFonts w:ascii="宋体" w:hAnsi="宋体" w:cs="宋体" w:hint="eastAsia"/>
                <w:color w:val="000000"/>
                <w:sz w:val="20"/>
                <w:szCs w:val="20"/>
              </w:rPr>
            </w:pPr>
          </w:p>
        </w:tc>
        <w:tc>
          <w:tcPr>
            <w:tcW w:w="1903" w:type="dxa"/>
            <w:tcBorders>
              <w:top w:val="single" w:sz="4" w:space="0" w:color="000000"/>
              <w:left w:val="single" w:sz="4" w:space="0" w:color="000000"/>
              <w:bottom w:val="single" w:sz="4" w:space="0" w:color="000000"/>
              <w:right w:val="single" w:sz="4" w:space="0" w:color="000000"/>
            </w:tcBorders>
            <w:vAlign w:val="center"/>
          </w:tcPr>
          <w:p w14:paraId="283A0873" w14:textId="77777777" w:rsidR="00CA1256" w:rsidRDefault="00CA1256">
            <w:pPr>
              <w:snapToGrid w:val="0"/>
              <w:jc w:val="center"/>
              <w:rPr>
                <w:rFonts w:ascii="宋体" w:hAnsi="宋体" w:cs="宋体" w:hint="eastAsia"/>
                <w:color w:val="000000"/>
                <w:sz w:val="20"/>
                <w:szCs w:val="20"/>
              </w:rPr>
            </w:pPr>
          </w:p>
        </w:tc>
        <w:tc>
          <w:tcPr>
            <w:tcW w:w="1928" w:type="dxa"/>
            <w:vMerge/>
            <w:tcBorders>
              <w:top w:val="single" w:sz="4" w:space="0" w:color="000000"/>
              <w:left w:val="single" w:sz="4" w:space="0" w:color="000000"/>
              <w:bottom w:val="single" w:sz="4" w:space="0" w:color="000000"/>
              <w:right w:val="single" w:sz="4" w:space="0" w:color="000000"/>
            </w:tcBorders>
            <w:vAlign w:val="center"/>
          </w:tcPr>
          <w:p w14:paraId="5562E830" w14:textId="77777777" w:rsidR="00CA1256" w:rsidRDefault="00CA1256">
            <w:pPr>
              <w:snapToGrid w:val="0"/>
              <w:jc w:val="center"/>
              <w:rPr>
                <w:rFonts w:ascii="宋体" w:hAnsi="宋体" w:cs="宋体" w:hint="eastAsia"/>
                <w:color w:val="000000"/>
                <w:sz w:val="20"/>
                <w:szCs w:val="20"/>
              </w:rPr>
            </w:pPr>
          </w:p>
        </w:tc>
        <w:tc>
          <w:tcPr>
            <w:tcW w:w="531" w:type="dxa"/>
            <w:vMerge/>
            <w:tcBorders>
              <w:top w:val="single" w:sz="4" w:space="0" w:color="000000"/>
              <w:left w:val="single" w:sz="4" w:space="0" w:color="000000"/>
              <w:bottom w:val="single" w:sz="4" w:space="0" w:color="000000"/>
              <w:right w:val="single" w:sz="4" w:space="0" w:color="000000"/>
            </w:tcBorders>
            <w:noWrap/>
            <w:vAlign w:val="center"/>
          </w:tcPr>
          <w:p w14:paraId="4E724D0F" w14:textId="77777777" w:rsidR="00CA1256" w:rsidRDefault="00CA1256">
            <w:pPr>
              <w:snapToGrid w:val="0"/>
              <w:jc w:val="center"/>
              <w:rPr>
                <w:rFonts w:ascii="宋体" w:hAnsi="宋体" w:cs="宋体" w:hint="eastAsia"/>
                <w:color w:val="000000"/>
                <w:sz w:val="20"/>
                <w:szCs w:val="20"/>
              </w:rPr>
            </w:pPr>
          </w:p>
        </w:tc>
        <w:tc>
          <w:tcPr>
            <w:tcW w:w="648" w:type="dxa"/>
            <w:vMerge/>
            <w:tcBorders>
              <w:top w:val="single" w:sz="4" w:space="0" w:color="000000"/>
              <w:left w:val="single" w:sz="4" w:space="0" w:color="000000"/>
              <w:bottom w:val="single" w:sz="4" w:space="0" w:color="000000"/>
              <w:right w:val="single" w:sz="4" w:space="0" w:color="000000"/>
            </w:tcBorders>
            <w:noWrap/>
            <w:vAlign w:val="center"/>
          </w:tcPr>
          <w:p w14:paraId="12030734" w14:textId="77777777" w:rsidR="00CA1256" w:rsidRDefault="00CA1256">
            <w:pPr>
              <w:snapToGrid w:val="0"/>
              <w:jc w:val="center"/>
              <w:rPr>
                <w:rFonts w:ascii="宋体" w:hAnsi="宋体" w:cs="宋体" w:hint="eastAsia"/>
                <w:color w:val="000000"/>
                <w:sz w:val="20"/>
                <w:szCs w:val="20"/>
              </w:rPr>
            </w:pPr>
          </w:p>
        </w:tc>
      </w:tr>
      <w:tr w:rsidR="00CA1256" w14:paraId="39660909" w14:textId="77777777">
        <w:trPr>
          <w:jc w:val="center"/>
        </w:trPr>
        <w:tc>
          <w:tcPr>
            <w:tcW w:w="648" w:type="dxa"/>
            <w:gridSpan w:val="7"/>
            <w:tcBorders>
              <w:top w:val="single" w:sz="4" w:space="0" w:color="000000"/>
              <w:left w:val="single" w:sz="4" w:space="0" w:color="000000"/>
              <w:bottom w:val="single" w:sz="4" w:space="0" w:color="000000"/>
              <w:right w:val="single" w:sz="4" w:space="0" w:color="000000"/>
            </w:tcBorders>
            <w:vAlign w:val="center"/>
          </w:tcPr>
          <w:p w14:paraId="153F5329"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二、整体绩效目标实现情况（60分）</w:t>
            </w:r>
          </w:p>
        </w:tc>
      </w:tr>
      <w:tr w:rsidR="00CA1256" w14:paraId="267F5318" w14:textId="77777777">
        <w:trPr>
          <w:jc w:val="center"/>
        </w:trPr>
        <w:tc>
          <w:tcPr>
            <w:tcW w:w="2997" w:type="dxa"/>
            <w:tcBorders>
              <w:top w:val="single" w:sz="4" w:space="0" w:color="000000"/>
              <w:left w:val="single" w:sz="4" w:space="0" w:color="000000"/>
              <w:bottom w:val="single" w:sz="4" w:space="0" w:color="000000"/>
              <w:right w:val="single" w:sz="4" w:space="0" w:color="000000"/>
            </w:tcBorders>
            <w:vAlign w:val="center"/>
          </w:tcPr>
          <w:p w14:paraId="1A758081"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一级指标</w:t>
            </w:r>
          </w:p>
        </w:tc>
        <w:tc>
          <w:tcPr>
            <w:tcW w:w="1018" w:type="dxa"/>
            <w:tcBorders>
              <w:top w:val="single" w:sz="4" w:space="0" w:color="000000"/>
              <w:left w:val="single" w:sz="4" w:space="0" w:color="000000"/>
              <w:bottom w:val="single" w:sz="4" w:space="0" w:color="000000"/>
              <w:right w:val="single" w:sz="4" w:space="0" w:color="000000"/>
            </w:tcBorders>
            <w:vAlign w:val="center"/>
          </w:tcPr>
          <w:p w14:paraId="28CF8D5C"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 xml:space="preserve">二级指标　</w:t>
            </w:r>
          </w:p>
        </w:tc>
        <w:tc>
          <w:tcPr>
            <w:tcW w:w="1881" w:type="dxa"/>
            <w:tcBorders>
              <w:top w:val="single" w:sz="4" w:space="0" w:color="000000"/>
              <w:left w:val="single" w:sz="4" w:space="0" w:color="000000"/>
              <w:bottom w:val="single" w:sz="4" w:space="0" w:color="000000"/>
              <w:right w:val="single" w:sz="4" w:space="0" w:color="000000"/>
            </w:tcBorders>
            <w:vAlign w:val="center"/>
          </w:tcPr>
          <w:p w14:paraId="3D6EDA9D"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 xml:space="preserve">三级指标　</w:t>
            </w:r>
          </w:p>
        </w:tc>
        <w:tc>
          <w:tcPr>
            <w:tcW w:w="1903" w:type="dxa"/>
            <w:tcBorders>
              <w:top w:val="single" w:sz="4" w:space="0" w:color="000000"/>
              <w:left w:val="single" w:sz="4" w:space="0" w:color="000000"/>
              <w:bottom w:val="single" w:sz="4" w:space="0" w:color="000000"/>
              <w:right w:val="single" w:sz="4" w:space="0" w:color="000000"/>
            </w:tcBorders>
            <w:vAlign w:val="center"/>
          </w:tcPr>
          <w:p w14:paraId="60C58ADB"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指标值</w:t>
            </w:r>
          </w:p>
        </w:tc>
        <w:tc>
          <w:tcPr>
            <w:tcW w:w="1928" w:type="dxa"/>
            <w:tcBorders>
              <w:top w:val="single" w:sz="4" w:space="0" w:color="000000"/>
              <w:left w:val="single" w:sz="4" w:space="0" w:color="000000"/>
              <w:bottom w:val="single" w:sz="4" w:space="0" w:color="000000"/>
              <w:right w:val="single" w:sz="4" w:space="0" w:color="000000"/>
            </w:tcBorders>
            <w:vAlign w:val="center"/>
          </w:tcPr>
          <w:p w14:paraId="156CDAE3"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完成值</w:t>
            </w:r>
          </w:p>
        </w:tc>
        <w:tc>
          <w:tcPr>
            <w:tcW w:w="531" w:type="dxa"/>
            <w:tcBorders>
              <w:top w:val="single" w:sz="4" w:space="0" w:color="000000"/>
              <w:left w:val="single" w:sz="4" w:space="0" w:color="000000"/>
              <w:bottom w:val="single" w:sz="4" w:space="0" w:color="000000"/>
              <w:right w:val="single" w:sz="4" w:space="0" w:color="000000"/>
            </w:tcBorders>
            <w:vAlign w:val="center"/>
          </w:tcPr>
          <w:p w14:paraId="0C15FC74"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分值</w:t>
            </w:r>
          </w:p>
        </w:tc>
        <w:tc>
          <w:tcPr>
            <w:tcW w:w="648" w:type="dxa"/>
            <w:tcBorders>
              <w:top w:val="single" w:sz="4" w:space="0" w:color="000000"/>
              <w:left w:val="single" w:sz="4" w:space="0" w:color="000000"/>
              <w:bottom w:val="single" w:sz="4" w:space="0" w:color="000000"/>
              <w:right w:val="single" w:sz="4" w:space="0" w:color="000000"/>
            </w:tcBorders>
            <w:vAlign w:val="center"/>
          </w:tcPr>
          <w:p w14:paraId="42829448"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得分</w:t>
            </w:r>
          </w:p>
        </w:tc>
      </w:tr>
      <w:tr w:rsidR="00CA1256" w14:paraId="24A67623" w14:textId="77777777">
        <w:trPr>
          <w:jc w:val="center"/>
        </w:trPr>
        <w:tc>
          <w:tcPr>
            <w:tcW w:w="2997" w:type="dxa"/>
            <w:vMerge w:val="restart"/>
            <w:tcBorders>
              <w:top w:val="single" w:sz="4" w:space="0" w:color="000000"/>
              <w:left w:val="single" w:sz="4" w:space="0" w:color="000000"/>
              <w:bottom w:val="single" w:sz="4" w:space="0" w:color="000000"/>
              <w:right w:val="single" w:sz="4" w:space="0" w:color="000000"/>
            </w:tcBorders>
            <w:vAlign w:val="center"/>
          </w:tcPr>
          <w:p w14:paraId="7DA37763"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lastRenderedPageBreak/>
              <w:t>整体绩效目标实现情况（60）</w:t>
            </w:r>
          </w:p>
        </w:tc>
        <w:tc>
          <w:tcPr>
            <w:tcW w:w="1018" w:type="dxa"/>
            <w:vMerge w:val="restart"/>
            <w:tcBorders>
              <w:top w:val="single" w:sz="4" w:space="0" w:color="000000"/>
              <w:left w:val="single" w:sz="4" w:space="0" w:color="000000"/>
              <w:bottom w:val="nil"/>
              <w:right w:val="single" w:sz="4" w:space="0" w:color="000000"/>
            </w:tcBorders>
            <w:vAlign w:val="center"/>
          </w:tcPr>
          <w:p w14:paraId="03280F99"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产出（30）</w:t>
            </w:r>
          </w:p>
        </w:tc>
        <w:tc>
          <w:tcPr>
            <w:tcW w:w="1881" w:type="dxa"/>
            <w:tcBorders>
              <w:top w:val="single" w:sz="4" w:space="0" w:color="000000"/>
              <w:left w:val="single" w:sz="4" w:space="0" w:color="000000"/>
              <w:bottom w:val="nil"/>
              <w:right w:val="single" w:sz="4" w:space="0" w:color="000000"/>
            </w:tcBorders>
            <w:vAlign w:val="center"/>
          </w:tcPr>
          <w:p w14:paraId="32EB1329"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产出数量：开展机房环境及网络安全运维、服务器及存储设备运维、专项设备运维、软件系统及数据库资源运维并形成相关运维报告数量</w:t>
            </w:r>
          </w:p>
        </w:tc>
        <w:tc>
          <w:tcPr>
            <w:tcW w:w="1903" w:type="dxa"/>
            <w:tcBorders>
              <w:top w:val="single" w:sz="4" w:space="0" w:color="000000"/>
              <w:left w:val="single" w:sz="4" w:space="0" w:color="000000"/>
              <w:bottom w:val="nil"/>
              <w:right w:val="single" w:sz="4" w:space="0" w:color="000000"/>
            </w:tcBorders>
            <w:vAlign w:val="center"/>
          </w:tcPr>
          <w:p w14:paraId="7F4AD6AC"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4个（套）</w:t>
            </w:r>
          </w:p>
        </w:tc>
        <w:tc>
          <w:tcPr>
            <w:tcW w:w="1928" w:type="dxa"/>
            <w:tcBorders>
              <w:top w:val="single" w:sz="4" w:space="0" w:color="000000"/>
              <w:left w:val="single" w:sz="4" w:space="0" w:color="000000"/>
              <w:bottom w:val="nil"/>
              <w:right w:val="single" w:sz="4" w:space="0" w:color="000000"/>
            </w:tcBorders>
            <w:vAlign w:val="center"/>
          </w:tcPr>
          <w:p w14:paraId="751A7FF7"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4个（套）</w:t>
            </w:r>
          </w:p>
        </w:tc>
        <w:tc>
          <w:tcPr>
            <w:tcW w:w="531" w:type="dxa"/>
            <w:tcBorders>
              <w:top w:val="single" w:sz="4" w:space="0" w:color="000000"/>
              <w:left w:val="single" w:sz="4" w:space="0" w:color="000000"/>
              <w:bottom w:val="nil"/>
              <w:right w:val="single" w:sz="4" w:space="0" w:color="000000"/>
            </w:tcBorders>
            <w:vAlign w:val="center"/>
          </w:tcPr>
          <w:p w14:paraId="14AC0DC3"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c>
          <w:tcPr>
            <w:tcW w:w="648" w:type="dxa"/>
            <w:tcBorders>
              <w:top w:val="single" w:sz="4" w:space="0" w:color="000000"/>
              <w:left w:val="single" w:sz="4" w:space="0" w:color="000000"/>
              <w:bottom w:val="nil"/>
              <w:right w:val="single" w:sz="4" w:space="0" w:color="000000"/>
            </w:tcBorders>
            <w:vAlign w:val="center"/>
          </w:tcPr>
          <w:p w14:paraId="27989C07"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r>
      <w:tr w:rsidR="00CA1256" w14:paraId="55D9842A"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210EDC08"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nil"/>
              <w:right w:val="single" w:sz="4" w:space="0" w:color="000000"/>
            </w:tcBorders>
            <w:vAlign w:val="center"/>
          </w:tcPr>
          <w:p w14:paraId="521BE50A"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nil"/>
              <w:right w:val="single" w:sz="4" w:space="0" w:color="000000"/>
            </w:tcBorders>
            <w:vAlign w:val="center"/>
          </w:tcPr>
          <w:p w14:paraId="132E8B13"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产出数量：组织完成中国城市交通发展论坛</w:t>
            </w:r>
          </w:p>
        </w:tc>
        <w:tc>
          <w:tcPr>
            <w:tcW w:w="1903" w:type="dxa"/>
            <w:tcBorders>
              <w:top w:val="single" w:sz="4" w:space="0" w:color="000000"/>
              <w:left w:val="single" w:sz="4" w:space="0" w:color="000000"/>
              <w:bottom w:val="nil"/>
              <w:right w:val="single" w:sz="4" w:space="0" w:color="000000"/>
            </w:tcBorders>
            <w:vAlign w:val="center"/>
          </w:tcPr>
          <w:p w14:paraId="7B9A1497"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≥4次</w:t>
            </w:r>
          </w:p>
        </w:tc>
        <w:tc>
          <w:tcPr>
            <w:tcW w:w="1928" w:type="dxa"/>
            <w:tcBorders>
              <w:top w:val="single" w:sz="4" w:space="0" w:color="000000"/>
              <w:left w:val="single" w:sz="4" w:space="0" w:color="000000"/>
              <w:bottom w:val="nil"/>
              <w:right w:val="single" w:sz="4" w:space="0" w:color="000000"/>
            </w:tcBorders>
            <w:vAlign w:val="center"/>
          </w:tcPr>
          <w:p w14:paraId="6114EA00"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组织中国城市交通发展论坛4次</w:t>
            </w:r>
          </w:p>
        </w:tc>
        <w:tc>
          <w:tcPr>
            <w:tcW w:w="531" w:type="dxa"/>
            <w:tcBorders>
              <w:top w:val="single" w:sz="4" w:space="0" w:color="000000"/>
              <w:left w:val="single" w:sz="4" w:space="0" w:color="000000"/>
              <w:bottom w:val="nil"/>
              <w:right w:val="single" w:sz="4" w:space="0" w:color="000000"/>
            </w:tcBorders>
            <w:vAlign w:val="center"/>
          </w:tcPr>
          <w:p w14:paraId="7A61F9A8"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c>
          <w:tcPr>
            <w:tcW w:w="648" w:type="dxa"/>
            <w:tcBorders>
              <w:top w:val="single" w:sz="4" w:space="0" w:color="000000"/>
              <w:left w:val="single" w:sz="4" w:space="0" w:color="000000"/>
              <w:bottom w:val="nil"/>
              <w:right w:val="single" w:sz="4" w:space="0" w:color="000000"/>
            </w:tcBorders>
            <w:vAlign w:val="center"/>
          </w:tcPr>
          <w:p w14:paraId="1BB3A54F"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w:t>
            </w:r>
          </w:p>
        </w:tc>
      </w:tr>
      <w:tr w:rsidR="00CA1256" w14:paraId="1CEFEB78"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14B02F81"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nil"/>
              <w:right w:val="single" w:sz="4" w:space="0" w:color="000000"/>
            </w:tcBorders>
            <w:vAlign w:val="center"/>
          </w:tcPr>
          <w:p w14:paraId="461B1F16"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198463D0" w14:textId="77777777" w:rsidR="00CA1256" w:rsidRDefault="007F4B67">
            <w:pPr>
              <w:widowControl/>
              <w:snapToGrid w:val="0"/>
              <w:jc w:val="center"/>
              <w:textAlignment w:val="center"/>
              <w:rPr>
                <w:rFonts w:ascii="宋体" w:hAnsi="宋体" w:cs="宋体" w:hint="eastAsia"/>
                <w:color w:val="000000"/>
                <w:sz w:val="20"/>
                <w:szCs w:val="20"/>
              </w:rPr>
            </w:pPr>
            <w:r>
              <w:rPr>
                <w:rStyle w:val="font21"/>
                <w:rFonts w:hint="default"/>
              </w:rPr>
              <w:t>产出数量：调研报告、交通分析报告验收报告等</w:t>
            </w:r>
          </w:p>
        </w:tc>
        <w:tc>
          <w:tcPr>
            <w:tcW w:w="1903" w:type="dxa"/>
            <w:tcBorders>
              <w:top w:val="single" w:sz="4" w:space="0" w:color="000000"/>
              <w:left w:val="single" w:sz="4" w:space="0" w:color="000000"/>
              <w:bottom w:val="single" w:sz="4" w:space="0" w:color="000000"/>
              <w:right w:val="single" w:sz="4" w:space="0" w:color="000000"/>
            </w:tcBorders>
            <w:vAlign w:val="center"/>
          </w:tcPr>
          <w:p w14:paraId="06F5EDB8"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16篇</w:t>
            </w:r>
          </w:p>
        </w:tc>
        <w:tc>
          <w:tcPr>
            <w:tcW w:w="1928" w:type="dxa"/>
            <w:tcBorders>
              <w:top w:val="single" w:sz="4" w:space="0" w:color="000000"/>
              <w:left w:val="single" w:sz="4" w:space="0" w:color="000000"/>
              <w:bottom w:val="single" w:sz="4" w:space="0" w:color="000000"/>
              <w:right w:val="single" w:sz="4" w:space="0" w:color="000000"/>
            </w:tcBorders>
            <w:vAlign w:val="center"/>
          </w:tcPr>
          <w:p w14:paraId="23AD6671"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16篇</w:t>
            </w:r>
          </w:p>
        </w:tc>
        <w:tc>
          <w:tcPr>
            <w:tcW w:w="531" w:type="dxa"/>
            <w:tcBorders>
              <w:top w:val="single" w:sz="4" w:space="0" w:color="000000"/>
              <w:left w:val="single" w:sz="4" w:space="0" w:color="000000"/>
              <w:bottom w:val="nil"/>
              <w:right w:val="single" w:sz="4" w:space="0" w:color="000000"/>
            </w:tcBorders>
            <w:vAlign w:val="center"/>
          </w:tcPr>
          <w:p w14:paraId="4E3FB22D"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c>
          <w:tcPr>
            <w:tcW w:w="648" w:type="dxa"/>
            <w:tcBorders>
              <w:top w:val="single" w:sz="4" w:space="0" w:color="000000"/>
              <w:left w:val="single" w:sz="4" w:space="0" w:color="000000"/>
              <w:bottom w:val="nil"/>
              <w:right w:val="single" w:sz="4" w:space="0" w:color="000000"/>
            </w:tcBorders>
            <w:vAlign w:val="center"/>
          </w:tcPr>
          <w:p w14:paraId="7CA339DE"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r>
      <w:tr w:rsidR="00CA1256" w14:paraId="523A944E"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3B290AC6"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nil"/>
              <w:right w:val="single" w:sz="4" w:space="0" w:color="000000"/>
            </w:tcBorders>
            <w:vAlign w:val="center"/>
          </w:tcPr>
          <w:p w14:paraId="308F1FE7"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7DC7AFD0"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产出数量：形成项目相关研究报告</w:t>
            </w:r>
          </w:p>
        </w:tc>
        <w:tc>
          <w:tcPr>
            <w:tcW w:w="1903" w:type="dxa"/>
            <w:tcBorders>
              <w:top w:val="single" w:sz="4" w:space="0" w:color="000000"/>
              <w:left w:val="single" w:sz="4" w:space="0" w:color="000000"/>
              <w:bottom w:val="single" w:sz="4" w:space="0" w:color="000000"/>
              <w:right w:val="single" w:sz="4" w:space="0" w:color="000000"/>
            </w:tcBorders>
            <w:vAlign w:val="center"/>
          </w:tcPr>
          <w:p w14:paraId="70B0C907"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10篇</w:t>
            </w:r>
          </w:p>
        </w:tc>
        <w:tc>
          <w:tcPr>
            <w:tcW w:w="1928" w:type="dxa"/>
            <w:tcBorders>
              <w:top w:val="single" w:sz="4" w:space="0" w:color="000000"/>
              <w:left w:val="single" w:sz="4" w:space="0" w:color="000000"/>
              <w:bottom w:val="single" w:sz="4" w:space="0" w:color="000000"/>
              <w:right w:val="single" w:sz="4" w:space="0" w:color="000000"/>
            </w:tcBorders>
            <w:vAlign w:val="center"/>
          </w:tcPr>
          <w:p w14:paraId="491D0528"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10篇</w:t>
            </w:r>
          </w:p>
        </w:tc>
        <w:tc>
          <w:tcPr>
            <w:tcW w:w="531" w:type="dxa"/>
            <w:tcBorders>
              <w:top w:val="single" w:sz="4" w:space="0" w:color="000000"/>
              <w:left w:val="single" w:sz="4" w:space="0" w:color="000000"/>
              <w:bottom w:val="nil"/>
              <w:right w:val="single" w:sz="4" w:space="0" w:color="000000"/>
            </w:tcBorders>
            <w:vAlign w:val="center"/>
          </w:tcPr>
          <w:p w14:paraId="795BB3DB"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c>
          <w:tcPr>
            <w:tcW w:w="648" w:type="dxa"/>
            <w:tcBorders>
              <w:top w:val="single" w:sz="4" w:space="0" w:color="000000"/>
              <w:left w:val="single" w:sz="4" w:space="0" w:color="000000"/>
              <w:bottom w:val="nil"/>
              <w:right w:val="single" w:sz="4" w:space="0" w:color="000000"/>
            </w:tcBorders>
            <w:vAlign w:val="center"/>
          </w:tcPr>
          <w:p w14:paraId="4E0FE114"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r>
      <w:tr w:rsidR="00CA1256" w14:paraId="3F376842"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2C585E96"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nil"/>
              <w:right w:val="single" w:sz="4" w:space="0" w:color="000000"/>
            </w:tcBorders>
            <w:vAlign w:val="center"/>
          </w:tcPr>
          <w:p w14:paraId="553169B2"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63B0BD42"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产出数量：分析报告、研究报告、年度报告数量</w:t>
            </w:r>
          </w:p>
        </w:tc>
        <w:tc>
          <w:tcPr>
            <w:tcW w:w="1903" w:type="dxa"/>
            <w:tcBorders>
              <w:top w:val="single" w:sz="4" w:space="0" w:color="000000"/>
              <w:left w:val="single" w:sz="4" w:space="0" w:color="000000"/>
              <w:bottom w:val="single" w:sz="4" w:space="0" w:color="000000"/>
              <w:right w:val="single" w:sz="4" w:space="0" w:color="000000"/>
            </w:tcBorders>
            <w:vAlign w:val="center"/>
          </w:tcPr>
          <w:p w14:paraId="0E5986E3"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≥9篇</w:t>
            </w:r>
          </w:p>
        </w:tc>
        <w:tc>
          <w:tcPr>
            <w:tcW w:w="1928" w:type="dxa"/>
            <w:tcBorders>
              <w:top w:val="single" w:sz="4" w:space="0" w:color="000000"/>
              <w:left w:val="single" w:sz="4" w:space="0" w:color="000000"/>
              <w:bottom w:val="single" w:sz="4" w:space="0" w:color="000000"/>
              <w:right w:val="single" w:sz="4" w:space="0" w:color="000000"/>
            </w:tcBorders>
            <w:vAlign w:val="center"/>
          </w:tcPr>
          <w:p w14:paraId="1B987A40"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9篇</w:t>
            </w:r>
          </w:p>
        </w:tc>
        <w:tc>
          <w:tcPr>
            <w:tcW w:w="531" w:type="dxa"/>
            <w:tcBorders>
              <w:top w:val="single" w:sz="4" w:space="0" w:color="000000"/>
              <w:left w:val="single" w:sz="4" w:space="0" w:color="000000"/>
              <w:bottom w:val="nil"/>
              <w:right w:val="single" w:sz="4" w:space="0" w:color="000000"/>
            </w:tcBorders>
            <w:vAlign w:val="center"/>
          </w:tcPr>
          <w:p w14:paraId="43969D2D"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c>
          <w:tcPr>
            <w:tcW w:w="648" w:type="dxa"/>
            <w:tcBorders>
              <w:top w:val="single" w:sz="4" w:space="0" w:color="000000"/>
              <w:left w:val="single" w:sz="4" w:space="0" w:color="000000"/>
              <w:bottom w:val="nil"/>
              <w:right w:val="single" w:sz="4" w:space="0" w:color="000000"/>
            </w:tcBorders>
            <w:vAlign w:val="center"/>
          </w:tcPr>
          <w:p w14:paraId="04189C78"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r>
      <w:tr w:rsidR="00CA1256" w14:paraId="7F1E875D"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4BA77C73"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nil"/>
              <w:right w:val="single" w:sz="4" w:space="0" w:color="000000"/>
            </w:tcBorders>
            <w:vAlign w:val="center"/>
          </w:tcPr>
          <w:p w14:paraId="735E24C3"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7DB536A3"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产出数量：研究报告</w:t>
            </w:r>
          </w:p>
        </w:tc>
        <w:tc>
          <w:tcPr>
            <w:tcW w:w="1903" w:type="dxa"/>
            <w:tcBorders>
              <w:top w:val="single" w:sz="4" w:space="0" w:color="000000"/>
              <w:left w:val="single" w:sz="4" w:space="0" w:color="000000"/>
              <w:bottom w:val="single" w:sz="4" w:space="0" w:color="000000"/>
              <w:right w:val="single" w:sz="4" w:space="0" w:color="000000"/>
            </w:tcBorders>
            <w:vAlign w:val="center"/>
          </w:tcPr>
          <w:p w14:paraId="2BFDF757"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≥4篇</w:t>
            </w:r>
          </w:p>
        </w:tc>
        <w:tc>
          <w:tcPr>
            <w:tcW w:w="1928" w:type="dxa"/>
            <w:tcBorders>
              <w:top w:val="single" w:sz="4" w:space="0" w:color="000000"/>
              <w:left w:val="single" w:sz="4" w:space="0" w:color="000000"/>
              <w:bottom w:val="single" w:sz="4" w:space="0" w:color="000000"/>
              <w:right w:val="single" w:sz="4" w:space="0" w:color="000000"/>
            </w:tcBorders>
            <w:vAlign w:val="center"/>
          </w:tcPr>
          <w:p w14:paraId="49067C47"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4篇</w:t>
            </w:r>
          </w:p>
        </w:tc>
        <w:tc>
          <w:tcPr>
            <w:tcW w:w="531" w:type="dxa"/>
            <w:tcBorders>
              <w:top w:val="single" w:sz="4" w:space="0" w:color="000000"/>
              <w:left w:val="single" w:sz="4" w:space="0" w:color="000000"/>
              <w:bottom w:val="nil"/>
              <w:right w:val="single" w:sz="4" w:space="0" w:color="000000"/>
            </w:tcBorders>
            <w:vAlign w:val="center"/>
          </w:tcPr>
          <w:p w14:paraId="18DA8810"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c>
          <w:tcPr>
            <w:tcW w:w="648" w:type="dxa"/>
            <w:tcBorders>
              <w:top w:val="single" w:sz="4" w:space="0" w:color="000000"/>
              <w:left w:val="single" w:sz="4" w:space="0" w:color="000000"/>
              <w:bottom w:val="nil"/>
              <w:right w:val="single" w:sz="4" w:space="0" w:color="000000"/>
            </w:tcBorders>
            <w:vAlign w:val="center"/>
          </w:tcPr>
          <w:p w14:paraId="12A2803E"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r>
      <w:tr w:rsidR="00CA1256" w14:paraId="3D82E560"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513BE781"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nil"/>
              <w:right w:val="single" w:sz="4" w:space="0" w:color="000000"/>
            </w:tcBorders>
            <w:vAlign w:val="center"/>
          </w:tcPr>
          <w:p w14:paraId="022D2F49"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1A7BBAD2"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产出数量：交通数据收集整理</w:t>
            </w:r>
          </w:p>
        </w:tc>
        <w:tc>
          <w:tcPr>
            <w:tcW w:w="1903" w:type="dxa"/>
            <w:tcBorders>
              <w:top w:val="single" w:sz="4" w:space="0" w:color="000000"/>
              <w:left w:val="single" w:sz="4" w:space="0" w:color="000000"/>
              <w:bottom w:val="single" w:sz="4" w:space="0" w:color="000000"/>
              <w:right w:val="single" w:sz="4" w:space="0" w:color="000000"/>
            </w:tcBorders>
            <w:vAlign w:val="center"/>
          </w:tcPr>
          <w:p w14:paraId="17BABFB8"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1套</w:t>
            </w:r>
          </w:p>
        </w:tc>
        <w:tc>
          <w:tcPr>
            <w:tcW w:w="1928" w:type="dxa"/>
            <w:tcBorders>
              <w:top w:val="single" w:sz="4" w:space="0" w:color="000000"/>
              <w:left w:val="single" w:sz="4" w:space="0" w:color="000000"/>
              <w:bottom w:val="single" w:sz="4" w:space="0" w:color="000000"/>
              <w:right w:val="single" w:sz="4" w:space="0" w:color="000000"/>
            </w:tcBorders>
            <w:vAlign w:val="center"/>
          </w:tcPr>
          <w:p w14:paraId="7259AD83"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1套</w:t>
            </w:r>
          </w:p>
        </w:tc>
        <w:tc>
          <w:tcPr>
            <w:tcW w:w="531" w:type="dxa"/>
            <w:tcBorders>
              <w:top w:val="single" w:sz="4" w:space="0" w:color="000000"/>
              <w:left w:val="single" w:sz="4" w:space="0" w:color="000000"/>
              <w:bottom w:val="nil"/>
              <w:right w:val="single" w:sz="4" w:space="0" w:color="000000"/>
            </w:tcBorders>
            <w:vAlign w:val="center"/>
          </w:tcPr>
          <w:p w14:paraId="75627937"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c>
          <w:tcPr>
            <w:tcW w:w="648" w:type="dxa"/>
            <w:tcBorders>
              <w:top w:val="single" w:sz="4" w:space="0" w:color="000000"/>
              <w:left w:val="single" w:sz="4" w:space="0" w:color="000000"/>
              <w:bottom w:val="nil"/>
              <w:right w:val="single" w:sz="4" w:space="0" w:color="000000"/>
            </w:tcBorders>
            <w:vAlign w:val="center"/>
          </w:tcPr>
          <w:p w14:paraId="5DD13248"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r>
      <w:tr w:rsidR="00CA1256" w14:paraId="2E48DAEC"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61A658F5"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nil"/>
              <w:right w:val="single" w:sz="4" w:space="0" w:color="000000"/>
            </w:tcBorders>
            <w:vAlign w:val="center"/>
          </w:tcPr>
          <w:p w14:paraId="45AF9AFA"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7CD938D7"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产出数量：交通模型系统</w:t>
            </w:r>
          </w:p>
        </w:tc>
        <w:tc>
          <w:tcPr>
            <w:tcW w:w="1903" w:type="dxa"/>
            <w:tcBorders>
              <w:top w:val="single" w:sz="4" w:space="0" w:color="000000"/>
              <w:left w:val="single" w:sz="4" w:space="0" w:color="000000"/>
              <w:bottom w:val="single" w:sz="4" w:space="0" w:color="000000"/>
              <w:right w:val="single" w:sz="4" w:space="0" w:color="000000"/>
            </w:tcBorders>
            <w:vAlign w:val="center"/>
          </w:tcPr>
          <w:p w14:paraId="34669002"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1套</w:t>
            </w:r>
          </w:p>
        </w:tc>
        <w:tc>
          <w:tcPr>
            <w:tcW w:w="1928" w:type="dxa"/>
            <w:tcBorders>
              <w:top w:val="single" w:sz="4" w:space="0" w:color="000000"/>
              <w:left w:val="single" w:sz="4" w:space="0" w:color="000000"/>
              <w:bottom w:val="single" w:sz="4" w:space="0" w:color="000000"/>
              <w:right w:val="single" w:sz="4" w:space="0" w:color="000000"/>
            </w:tcBorders>
            <w:vAlign w:val="center"/>
          </w:tcPr>
          <w:p w14:paraId="5DAF78F6"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1套</w:t>
            </w:r>
          </w:p>
        </w:tc>
        <w:tc>
          <w:tcPr>
            <w:tcW w:w="531" w:type="dxa"/>
            <w:tcBorders>
              <w:top w:val="single" w:sz="4" w:space="0" w:color="000000"/>
              <w:left w:val="single" w:sz="4" w:space="0" w:color="000000"/>
              <w:bottom w:val="nil"/>
              <w:right w:val="single" w:sz="4" w:space="0" w:color="000000"/>
            </w:tcBorders>
            <w:vAlign w:val="center"/>
          </w:tcPr>
          <w:p w14:paraId="2FC06636"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c>
          <w:tcPr>
            <w:tcW w:w="648" w:type="dxa"/>
            <w:tcBorders>
              <w:top w:val="single" w:sz="4" w:space="0" w:color="000000"/>
              <w:left w:val="single" w:sz="4" w:space="0" w:color="000000"/>
              <w:bottom w:val="nil"/>
              <w:right w:val="single" w:sz="4" w:space="0" w:color="000000"/>
            </w:tcBorders>
            <w:vAlign w:val="center"/>
          </w:tcPr>
          <w:p w14:paraId="031DEE3A"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r>
      <w:tr w:rsidR="00CA1256" w14:paraId="07ED9316"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3C035DE3"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nil"/>
              <w:right w:val="single" w:sz="4" w:space="0" w:color="000000"/>
            </w:tcBorders>
            <w:vAlign w:val="center"/>
          </w:tcPr>
          <w:p w14:paraId="6835A940"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6DAAE9A5"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产出数量：硬件维护</w:t>
            </w:r>
          </w:p>
        </w:tc>
        <w:tc>
          <w:tcPr>
            <w:tcW w:w="1903" w:type="dxa"/>
            <w:tcBorders>
              <w:top w:val="single" w:sz="4" w:space="0" w:color="000000"/>
              <w:left w:val="single" w:sz="4" w:space="0" w:color="000000"/>
              <w:bottom w:val="single" w:sz="4" w:space="0" w:color="000000"/>
              <w:right w:val="single" w:sz="4" w:space="0" w:color="000000"/>
            </w:tcBorders>
            <w:vAlign w:val="center"/>
          </w:tcPr>
          <w:p w14:paraId="50D24046"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12套</w:t>
            </w:r>
          </w:p>
        </w:tc>
        <w:tc>
          <w:tcPr>
            <w:tcW w:w="1928" w:type="dxa"/>
            <w:tcBorders>
              <w:top w:val="single" w:sz="4" w:space="0" w:color="000000"/>
              <w:left w:val="single" w:sz="4" w:space="0" w:color="000000"/>
              <w:bottom w:val="single" w:sz="4" w:space="0" w:color="000000"/>
              <w:right w:val="single" w:sz="4" w:space="0" w:color="000000"/>
            </w:tcBorders>
            <w:vAlign w:val="center"/>
          </w:tcPr>
          <w:p w14:paraId="2CF89579"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12套</w:t>
            </w:r>
          </w:p>
        </w:tc>
        <w:tc>
          <w:tcPr>
            <w:tcW w:w="531" w:type="dxa"/>
            <w:tcBorders>
              <w:top w:val="single" w:sz="4" w:space="0" w:color="000000"/>
              <w:left w:val="single" w:sz="4" w:space="0" w:color="000000"/>
              <w:bottom w:val="nil"/>
              <w:right w:val="single" w:sz="4" w:space="0" w:color="000000"/>
            </w:tcBorders>
            <w:vAlign w:val="center"/>
          </w:tcPr>
          <w:p w14:paraId="578B06D7"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c>
          <w:tcPr>
            <w:tcW w:w="648" w:type="dxa"/>
            <w:tcBorders>
              <w:top w:val="single" w:sz="4" w:space="0" w:color="000000"/>
              <w:left w:val="single" w:sz="4" w:space="0" w:color="000000"/>
              <w:bottom w:val="nil"/>
              <w:right w:val="single" w:sz="4" w:space="0" w:color="000000"/>
            </w:tcBorders>
            <w:vAlign w:val="center"/>
          </w:tcPr>
          <w:p w14:paraId="0B9255AD"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r>
      <w:tr w:rsidR="00CA1256" w14:paraId="6062DFB5"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4030602D"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nil"/>
              <w:right w:val="single" w:sz="4" w:space="0" w:color="000000"/>
            </w:tcBorders>
            <w:vAlign w:val="center"/>
          </w:tcPr>
          <w:p w14:paraId="1AE66622"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13E8DA48"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产出数量：预约出行体系</w:t>
            </w:r>
          </w:p>
        </w:tc>
        <w:tc>
          <w:tcPr>
            <w:tcW w:w="1903" w:type="dxa"/>
            <w:tcBorders>
              <w:top w:val="single" w:sz="4" w:space="0" w:color="000000"/>
              <w:left w:val="single" w:sz="4" w:space="0" w:color="000000"/>
              <w:bottom w:val="single" w:sz="4" w:space="0" w:color="000000"/>
              <w:right w:val="single" w:sz="4" w:space="0" w:color="000000"/>
            </w:tcBorders>
            <w:vAlign w:val="center"/>
          </w:tcPr>
          <w:p w14:paraId="670AAAE9"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1套</w:t>
            </w:r>
          </w:p>
        </w:tc>
        <w:tc>
          <w:tcPr>
            <w:tcW w:w="1928" w:type="dxa"/>
            <w:tcBorders>
              <w:top w:val="single" w:sz="4" w:space="0" w:color="000000"/>
              <w:left w:val="single" w:sz="4" w:space="0" w:color="000000"/>
              <w:bottom w:val="single" w:sz="4" w:space="0" w:color="000000"/>
              <w:right w:val="single" w:sz="4" w:space="0" w:color="000000"/>
            </w:tcBorders>
            <w:vAlign w:val="center"/>
          </w:tcPr>
          <w:p w14:paraId="1F4B93AC"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1套</w:t>
            </w:r>
          </w:p>
        </w:tc>
        <w:tc>
          <w:tcPr>
            <w:tcW w:w="531" w:type="dxa"/>
            <w:tcBorders>
              <w:top w:val="single" w:sz="4" w:space="0" w:color="000000"/>
              <w:left w:val="single" w:sz="4" w:space="0" w:color="000000"/>
              <w:bottom w:val="nil"/>
              <w:right w:val="single" w:sz="4" w:space="0" w:color="000000"/>
            </w:tcBorders>
            <w:vAlign w:val="center"/>
          </w:tcPr>
          <w:p w14:paraId="316CFDF5"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c>
          <w:tcPr>
            <w:tcW w:w="648" w:type="dxa"/>
            <w:tcBorders>
              <w:top w:val="single" w:sz="4" w:space="0" w:color="000000"/>
              <w:left w:val="single" w:sz="4" w:space="0" w:color="000000"/>
              <w:bottom w:val="nil"/>
              <w:right w:val="single" w:sz="4" w:space="0" w:color="000000"/>
            </w:tcBorders>
            <w:vAlign w:val="center"/>
          </w:tcPr>
          <w:p w14:paraId="3D577CFE"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r>
      <w:tr w:rsidR="00CA1256" w14:paraId="3125767B"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4C2D0EE0"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nil"/>
              <w:right w:val="single" w:sz="4" w:space="0" w:color="000000"/>
            </w:tcBorders>
            <w:vAlign w:val="center"/>
          </w:tcPr>
          <w:p w14:paraId="77A08555"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6428058A"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产出数量：出行需求调节算法</w:t>
            </w:r>
          </w:p>
        </w:tc>
        <w:tc>
          <w:tcPr>
            <w:tcW w:w="1903" w:type="dxa"/>
            <w:tcBorders>
              <w:top w:val="single" w:sz="4" w:space="0" w:color="000000"/>
              <w:left w:val="single" w:sz="4" w:space="0" w:color="000000"/>
              <w:bottom w:val="single" w:sz="4" w:space="0" w:color="000000"/>
              <w:right w:val="single" w:sz="4" w:space="0" w:color="000000"/>
            </w:tcBorders>
            <w:vAlign w:val="center"/>
          </w:tcPr>
          <w:p w14:paraId="6E695C1E"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1套</w:t>
            </w:r>
          </w:p>
        </w:tc>
        <w:tc>
          <w:tcPr>
            <w:tcW w:w="1928" w:type="dxa"/>
            <w:tcBorders>
              <w:top w:val="single" w:sz="4" w:space="0" w:color="000000"/>
              <w:left w:val="single" w:sz="4" w:space="0" w:color="000000"/>
              <w:bottom w:val="single" w:sz="4" w:space="0" w:color="000000"/>
              <w:right w:val="single" w:sz="4" w:space="0" w:color="000000"/>
            </w:tcBorders>
            <w:vAlign w:val="center"/>
          </w:tcPr>
          <w:p w14:paraId="5AFFD4B2"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1套</w:t>
            </w:r>
          </w:p>
        </w:tc>
        <w:tc>
          <w:tcPr>
            <w:tcW w:w="531" w:type="dxa"/>
            <w:tcBorders>
              <w:top w:val="single" w:sz="4" w:space="0" w:color="000000"/>
              <w:left w:val="single" w:sz="4" w:space="0" w:color="000000"/>
              <w:bottom w:val="nil"/>
              <w:right w:val="single" w:sz="4" w:space="0" w:color="000000"/>
            </w:tcBorders>
            <w:vAlign w:val="center"/>
          </w:tcPr>
          <w:p w14:paraId="238F9CCA"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c>
          <w:tcPr>
            <w:tcW w:w="648" w:type="dxa"/>
            <w:tcBorders>
              <w:top w:val="single" w:sz="4" w:space="0" w:color="000000"/>
              <w:left w:val="single" w:sz="4" w:space="0" w:color="000000"/>
              <w:bottom w:val="nil"/>
              <w:right w:val="single" w:sz="4" w:space="0" w:color="000000"/>
            </w:tcBorders>
            <w:vAlign w:val="center"/>
          </w:tcPr>
          <w:p w14:paraId="577EA8FA"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r>
      <w:tr w:rsidR="00CA1256" w14:paraId="03846240"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053F2999"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nil"/>
              <w:right w:val="single" w:sz="4" w:space="0" w:color="000000"/>
            </w:tcBorders>
            <w:vAlign w:val="center"/>
          </w:tcPr>
          <w:p w14:paraId="632B8F0C"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191BAF9B"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产出数量：培育博士后人数</w:t>
            </w:r>
          </w:p>
        </w:tc>
        <w:tc>
          <w:tcPr>
            <w:tcW w:w="1903" w:type="dxa"/>
            <w:tcBorders>
              <w:top w:val="single" w:sz="4" w:space="0" w:color="000000"/>
              <w:left w:val="single" w:sz="4" w:space="0" w:color="000000"/>
              <w:bottom w:val="single" w:sz="4" w:space="0" w:color="000000"/>
              <w:right w:val="single" w:sz="4" w:space="0" w:color="000000"/>
            </w:tcBorders>
            <w:vAlign w:val="center"/>
          </w:tcPr>
          <w:p w14:paraId="562C8488"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≥5人</w:t>
            </w:r>
          </w:p>
        </w:tc>
        <w:tc>
          <w:tcPr>
            <w:tcW w:w="1928" w:type="dxa"/>
            <w:tcBorders>
              <w:top w:val="single" w:sz="4" w:space="0" w:color="000000"/>
              <w:left w:val="single" w:sz="4" w:space="0" w:color="000000"/>
              <w:bottom w:val="single" w:sz="4" w:space="0" w:color="000000"/>
              <w:right w:val="single" w:sz="4" w:space="0" w:color="000000"/>
            </w:tcBorders>
            <w:vAlign w:val="center"/>
          </w:tcPr>
          <w:p w14:paraId="04E52A3B"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6人</w:t>
            </w:r>
          </w:p>
        </w:tc>
        <w:tc>
          <w:tcPr>
            <w:tcW w:w="531" w:type="dxa"/>
            <w:tcBorders>
              <w:top w:val="single" w:sz="4" w:space="0" w:color="000000"/>
              <w:left w:val="single" w:sz="4" w:space="0" w:color="000000"/>
              <w:bottom w:val="single" w:sz="4" w:space="0" w:color="auto"/>
              <w:right w:val="single" w:sz="4" w:space="0" w:color="000000"/>
            </w:tcBorders>
            <w:vAlign w:val="center"/>
          </w:tcPr>
          <w:p w14:paraId="6691BE39"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c>
          <w:tcPr>
            <w:tcW w:w="648" w:type="dxa"/>
            <w:tcBorders>
              <w:top w:val="single" w:sz="4" w:space="0" w:color="000000"/>
              <w:left w:val="single" w:sz="4" w:space="0" w:color="000000"/>
              <w:bottom w:val="single" w:sz="4" w:space="0" w:color="auto"/>
              <w:right w:val="single" w:sz="4" w:space="0" w:color="000000"/>
            </w:tcBorders>
            <w:vAlign w:val="center"/>
          </w:tcPr>
          <w:p w14:paraId="003B71AB"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r>
      <w:tr w:rsidR="00CA1256" w14:paraId="113F9D68"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08B9DC6A"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nil"/>
              <w:right w:val="single" w:sz="4" w:space="0" w:color="000000"/>
            </w:tcBorders>
            <w:vAlign w:val="center"/>
          </w:tcPr>
          <w:p w14:paraId="5D4981F8"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680BE83C"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产出数量：交通领域污染物排放测试与评估研究报告</w:t>
            </w:r>
          </w:p>
        </w:tc>
        <w:tc>
          <w:tcPr>
            <w:tcW w:w="1903" w:type="dxa"/>
            <w:tcBorders>
              <w:top w:val="single" w:sz="4" w:space="0" w:color="000000"/>
              <w:left w:val="single" w:sz="4" w:space="0" w:color="000000"/>
              <w:bottom w:val="single" w:sz="4" w:space="0" w:color="000000"/>
              <w:right w:val="single" w:sz="4" w:space="0" w:color="000000"/>
            </w:tcBorders>
            <w:vAlign w:val="center"/>
          </w:tcPr>
          <w:p w14:paraId="2BD945ED"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1份</w:t>
            </w:r>
          </w:p>
        </w:tc>
        <w:tc>
          <w:tcPr>
            <w:tcW w:w="1928" w:type="dxa"/>
            <w:tcBorders>
              <w:top w:val="single" w:sz="4" w:space="0" w:color="000000"/>
              <w:left w:val="single" w:sz="4" w:space="0" w:color="000000"/>
              <w:bottom w:val="single" w:sz="4" w:space="0" w:color="000000"/>
              <w:right w:val="single" w:sz="4" w:space="0" w:color="000000"/>
            </w:tcBorders>
            <w:vAlign w:val="center"/>
          </w:tcPr>
          <w:p w14:paraId="495C5FCD"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1份</w:t>
            </w:r>
          </w:p>
        </w:tc>
        <w:tc>
          <w:tcPr>
            <w:tcW w:w="531" w:type="dxa"/>
            <w:tcBorders>
              <w:top w:val="single" w:sz="4" w:space="0" w:color="auto"/>
              <w:left w:val="single" w:sz="4" w:space="0" w:color="000000"/>
              <w:bottom w:val="nil"/>
              <w:right w:val="single" w:sz="4" w:space="0" w:color="000000"/>
            </w:tcBorders>
            <w:vAlign w:val="center"/>
          </w:tcPr>
          <w:p w14:paraId="77D418FB"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c>
          <w:tcPr>
            <w:tcW w:w="648" w:type="dxa"/>
            <w:tcBorders>
              <w:top w:val="single" w:sz="4" w:space="0" w:color="auto"/>
              <w:left w:val="single" w:sz="4" w:space="0" w:color="000000"/>
              <w:bottom w:val="nil"/>
              <w:right w:val="single" w:sz="4" w:space="0" w:color="000000"/>
            </w:tcBorders>
            <w:vAlign w:val="center"/>
          </w:tcPr>
          <w:p w14:paraId="1ECF4966"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r>
      <w:tr w:rsidR="00CA1256" w14:paraId="438BE7BF"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50865FF8"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nil"/>
              <w:right w:val="single" w:sz="4" w:space="0" w:color="000000"/>
            </w:tcBorders>
            <w:vAlign w:val="center"/>
          </w:tcPr>
          <w:p w14:paraId="4E1C87FB"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37998EB0"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产出数量：形成年度交通缓堵措施的研究报告</w:t>
            </w:r>
          </w:p>
        </w:tc>
        <w:tc>
          <w:tcPr>
            <w:tcW w:w="1903" w:type="dxa"/>
            <w:tcBorders>
              <w:top w:val="single" w:sz="4" w:space="0" w:color="000000"/>
              <w:left w:val="single" w:sz="4" w:space="0" w:color="000000"/>
              <w:bottom w:val="single" w:sz="4" w:space="0" w:color="000000"/>
              <w:right w:val="single" w:sz="4" w:space="0" w:color="000000"/>
            </w:tcBorders>
            <w:vAlign w:val="center"/>
          </w:tcPr>
          <w:p w14:paraId="1903BC00"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≥1本</w:t>
            </w:r>
          </w:p>
        </w:tc>
        <w:tc>
          <w:tcPr>
            <w:tcW w:w="1928" w:type="dxa"/>
            <w:tcBorders>
              <w:top w:val="single" w:sz="4" w:space="0" w:color="000000"/>
              <w:left w:val="single" w:sz="4" w:space="0" w:color="000000"/>
              <w:bottom w:val="single" w:sz="4" w:space="0" w:color="000000"/>
              <w:right w:val="single" w:sz="4" w:space="0" w:color="000000"/>
            </w:tcBorders>
            <w:vAlign w:val="center"/>
          </w:tcPr>
          <w:p w14:paraId="3F4FF91B"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1本</w:t>
            </w:r>
          </w:p>
        </w:tc>
        <w:tc>
          <w:tcPr>
            <w:tcW w:w="531" w:type="dxa"/>
            <w:tcBorders>
              <w:top w:val="single" w:sz="4" w:space="0" w:color="000000"/>
              <w:left w:val="single" w:sz="4" w:space="0" w:color="000000"/>
              <w:bottom w:val="nil"/>
              <w:right w:val="single" w:sz="4" w:space="0" w:color="000000"/>
            </w:tcBorders>
            <w:vAlign w:val="center"/>
          </w:tcPr>
          <w:p w14:paraId="7A1467FB"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c>
          <w:tcPr>
            <w:tcW w:w="648" w:type="dxa"/>
            <w:tcBorders>
              <w:top w:val="single" w:sz="4" w:space="0" w:color="000000"/>
              <w:left w:val="single" w:sz="4" w:space="0" w:color="000000"/>
              <w:bottom w:val="nil"/>
              <w:right w:val="single" w:sz="4" w:space="0" w:color="000000"/>
            </w:tcBorders>
            <w:vAlign w:val="center"/>
          </w:tcPr>
          <w:p w14:paraId="7BE60CF4"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r>
      <w:tr w:rsidR="00CA1256" w14:paraId="4A5B9AF0"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69467502"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nil"/>
              <w:right w:val="single" w:sz="4" w:space="0" w:color="000000"/>
            </w:tcBorders>
            <w:vAlign w:val="center"/>
          </w:tcPr>
          <w:p w14:paraId="4F03B9C6"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5CFAB7EC"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产出质量：保障部门运转、促进部门履职</w:t>
            </w:r>
          </w:p>
        </w:tc>
        <w:tc>
          <w:tcPr>
            <w:tcW w:w="1903" w:type="dxa"/>
            <w:tcBorders>
              <w:top w:val="single" w:sz="4" w:space="0" w:color="000000"/>
              <w:left w:val="single" w:sz="4" w:space="0" w:color="000000"/>
              <w:bottom w:val="single" w:sz="4" w:space="0" w:color="000000"/>
              <w:right w:val="single" w:sz="4" w:space="0" w:color="000000"/>
            </w:tcBorders>
            <w:vAlign w:val="center"/>
          </w:tcPr>
          <w:p w14:paraId="196EAE28"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100.00%</w:t>
            </w:r>
          </w:p>
        </w:tc>
        <w:tc>
          <w:tcPr>
            <w:tcW w:w="1928" w:type="dxa"/>
            <w:tcBorders>
              <w:top w:val="single" w:sz="4" w:space="0" w:color="000000"/>
              <w:left w:val="single" w:sz="4" w:space="0" w:color="000000"/>
              <w:bottom w:val="single" w:sz="4" w:space="0" w:color="000000"/>
              <w:right w:val="single" w:sz="4" w:space="0" w:color="000000"/>
            </w:tcBorders>
            <w:vAlign w:val="center"/>
          </w:tcPr>
          <w:p w14:paraId="461BEAB4"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100.00%</w:t>
            </w:r>
          </w:p>
        </w:tc>
        <w:tc>
          <w:tcPr>
            <w:tcW w:w="531" w:type="dxa"/>
            <w:tcBorders>
              <w:top w:val="single" w:sz="4" w:space="0" w:color="000000"/>
              <w:left w:val="single" w:sz="4" w:space="0" w:color="000000"/>
              <w:bottom w:val="nil"/>
              <w:right w:val="single" w:sz="4" w:space="0" w:color="000000"/>
            </w:tcBorders>
            <w:vAlign w:val="center"/>
          </w:tcPr>
          <w:p w14:paraId="3807E1BE"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c>
          <w:tcPr>
            <w:tcW w:w="648" w:type="dxa"/>
            <w:tcBorders>
              <w:top w:val="single" w:sz="4" w:space="0" w:color="000000"/>
              <w:left w:val="single" w:sz="4" w:space="0" w:color="000000"/>
              <w:bottom w:val="nil"/>
              <w:right w:val="single" w:sz="4" w:space="0" w:color="000000"/>
            </w:tcBorders>
            <w:vAlign w:val="center"/>
          </w:tcPr>
          <w:p w14:paraId="216C1483"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r>
      <w:tr w:rsidR="00CA1256" w14:paraId="21C7D123"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3753CF9E"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nil"/>
              <w:right w:val="single" w:sz="4" w:space="0" w:color="000000"/>
            </w:tcBorders>
            <w:vAlign w:val="center"/>
          </w:tcPr>
          <w:p w14:paraId="25509F7D"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21035601"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产出质量：出站合格率</w:t>
            </w:r>
          </w:p>
        </w:tc>
        <w:tc>
          <w:tcPr>
            <w:tcW w:w="1903" w:type="dxa"/>
            <w:tcBorders>
              <w:top w:val="single" w:sz="4" w:space="0" w:color="000000"/>
              <w:left w:val="single" w:sz="4" w:space="0" w:color="000000"/>
              <w:bottom w:val="single" w:sz="4" w:space="0" w:color="000000"/>
              <w:right w:val="single" w:sz="4" w:space="0" w:color="000000"/>
            </w:tcBorders>
            <w:vAlign w:val="center"/>
          </w:tcPr>
          <w:p w14:paraId="180724CE"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100.00%</w:t>
            </w:r>
          </w:p>
        </w:tc>
        <w:tc>
          <w:tcPr>
            <w:tcW w:w="1928" w:type="dxa"/>
            <w:tcBorders>
              <w:top w:val="single" w:sz="4" w:space="0" w:color="000000"/>
              <w:left w:val="single" w:sz="4" w:space="0" w:color="000000"/>
              <w:bottom w:val="single" w:sz="4" w:space="0" w:color="000000"/>
              <w:right w:val="single" w:sz="4" w:space="0" w:color="000000"/>
            </w:tcBorders>
            <w:vAlign w:val="center"/>
          </w:tcPr>
          <w:p w14:paraId="651BAE67"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100.00%</w:t>
            </w:r>
          </w:p>
        </w:tc>
        <w:tc>
          <w:tcPr>
            <w:tcW w:w="531" w:type="dxa"/>
            <w:tcBorders>
              <w:top w:val="single" w:sz="4" w:space="0" w:color="000000"/>
              <w:left w:val="single" w:sz="4" w:space="0" w:color="000000"/>
              <w:bottom w:val="nil"/>
              <w:right w:val="single" w:sz="4" w:space="0" w:color="000000"/>
            </w:tcBorders>
            <w:vAlign w:val="center"/>
          </w:tcPr>
          <w:p w14:paraId="71FE8EC4"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c>
          <w:tcPr>
            <w:tcW w:w="648" w:type="dxa"/>
            <w:tcBorders>
              <w:top w:val="single" w:sz="4" w:space="0" w:color="000000"/>
              <w:left w:val="single" w:sz="4" w:space="0" w:color="000000"/>
              <w:bottom w:val="nil"/>
              <w:right w:val="single" w:sz="4" w:space="0" w:color="000000"/>
            </w:tcBorders>
            <w:vAlign w:val="center"/>
          </w:tcPr>
          <w:p w14:paraId="4DB7DDE1"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r>
      <w:tr w:rsidR="00CA1256" w14:paraId="38E300FA"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09AF01BC"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nil"/>
              <w:right w:val="single" w:sz="4" w:space="0" w:color="000000"/>
            </w:tcBorders>
            <w:vAlign w:val="center"/>
          </w:tcPr>
          <w:p w14:paraId="19E250DB"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1A44A6F2"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产出质量：成果评审合格率</w:t>
            </w:r>
          </w:p>
        </w:tc>
        <w:tc>
          <w:tcPr>
            <w:tcW w:w="1903" w:type="dxa"/>
            <w:tcBorders>
              <w:top w:val="single" w:sz="4" w:space="0" w:color="000000"/>
              <w:left w:val="single" w:sz="4" w:space="0" w:color="000000"/>
              <w:bottom w:val="single" w:sz="4" w:space="0" w:color="000000"/>
              <w:right w:val="single" w:sz="4" w:space="0" w:color="000000"/>
            </w:tcBorders>
            <w:vAlign w:val="center"/>
          </w:tcPr>
          <w:p w14:paraId="56C54D08"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100.00%</w:t>
            </w:r>
          </w:p>
        </w:tc>
        <w:tc>
          <w:tcPr>
            <w:tcW w:w="1928" w:type="dxa"/>
            <w:tcBorders>
              <w:top w:val="single" w:sz="4" w:space="0" w:color="000000"/>
              <w:left w:val="single" w:sz="4" w:space="0" w:color="000000"/>
              <w:bottom w:val="single" w:sz="4" w:space="0" w:color="000000"/>
              <w:right w:val="single" w:sz="4" w:space="0" w:color="000000"/>
            </w:tcBorders>
            <w:vAlign w:val="center"/>
          </w:tcPr>
          <w:p w14:paraId="6A2911CE"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100.00%</w:t>
            </w:r>
          </w:p>
        </w:tc>
        <w:tc>
          <w:tcPr>
            <w:tcW w:w="531" w:type="dxa"/>
            <w:tcBorders>
              <w:top w:val="single" w:sz="4" w:space="0" w:color="000000"/>
              <w:left w:val="single" w:sz="4" w:space="0" w:color="000000"/>
              <w:bottom w:val="nil"/>
              <w:right w:val="single" w:sz="4" w:space="0" w:color="000000"/>
            </w:tcBorders>
            <w:vAlign w:val="center"/>
          </w:tcPr>
          <w:p w14:paraId="449D0D3D"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c>
          <w:tcPr>
            <w:tcW w:w="648" w:type="dxa"/>
            <w:tcBorders>
              <w:top w:val="single" w:sz="4" w:space="0" w:color="000000"/>
              <w:left w:val="single" w:sz="4" w:space="0" w:color="000000"/>
              <w:bottom w:val="nil"/>
              <w:right w:val="single" w:sz="4" w:space="0" w:color="000000"/>
            </w:tcBorders>
            <w:vAlign w:val="center"/>
          </w:tcPr>
          <w:p w14:paraId="5811AB3C"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r>
      <w:tr w:rsidR="00CA1256" w14:paraId="219F2C5A"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77A94B09"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nil"/>
              <w:right w:val="single" w:sz="4" w:space="0" w:color="000000"/>
            </w:tcBorders>
            <w:vAlign w:val="center"/>
          </w:tcPr>
          <w:p w14:paraId="34B09EC4"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76C7A0D6"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产出质量：提升模型测试速度；不涉及路网修改的方案测试速度提升</w:t>
            </w:r>
          </w:p>
        </w:tc>
        <w:tc>
          <w:tcPr>
            <w:tcW w:w="1903" w:type="dxa"/>
            <w:tcBorders>
              <w:top w:val="single" w:sz="4" w:space="0" w:color="000000"/>
              <w:left w:val="single" w:sz="4" w:space="0" w:color="000000"/>
              <w:bottom w:val="single" w:sz="4" w:space="0" w:color="000000"/>
              <w:right w:val="single" w:sz="4" w:space="0" w:color="000000"/>
            </w:tcBorders>
            <w:vAlign w:val="center"/>
          </w:tcPr>
          <w:p w14:paraId="63723790"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8小时</w:t>
            </w:r>
          </w:p>
        </w:tc>
        <w:tc>
          <w:tcPr>
            <w:tcW w:w="1928" w:type="dxa"/>
            <w:tcBorders>
              <w:top w:val="single" w:sz="4" w:space="0" w:color="000000"/>
              <w:left w:val="single" w:sz="4" w:space="0" w:color="000000"/>
              <w:bottom w:val="single" w:sz="4" w:space="0" w:color="000000"/>
              <w:right w:val="single" w:sz="4" w:space="0" w:color="000000"/>
            </w:tcBorders>
            <w:vAlign w:val="center"/>
          </w:tcPr>
          <w:p w14:paraId="2FCA790A"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不涉及路网修改的方案测试速度提升至8小时一个方案</w:t>
            </w:r>
          </w:p>
        </w:tc>
        <w:tc>
          <w:tcPr>
            <w:tcW w:w="531" w:type="dxa"/>
            <w:tcBorders>
              <w:top w:val="single" w:sz="4" w:space="0" w:color="000000"/>
              <w:left w:val="single" w:sz="4" w:space="0" w:color="000000"/>
              <w:bottom w:val="nil"/>
              <w:right w:val="single" w:sz="4" w:space="0" w:color="000000"/>
            </w:tcBorders>
            <w:vAlign w:val="center"/>
          </w:tcPr>
          <w:p w14:paraId="0592336D"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c>
          <w:tcPr>
            <w:tcW w:w="648" w:type="dxa"/>
            <w:tcBorders>
              <w:top w:val="single" w:sz="4" w:space="0" w:color="000000"/>
              <w:left w:val="single" w:sz="4" w:space="0" w:color="000000"/>
              <w:bottom w:val="nil"/>
              <w:right w:val="single" w:sz="4" w:space="0" w:color="000000"/>
            </w:tcBorders>
            <w:vAlign w:val="center"/>
          </w:tcPr>
          <w:p w14:paraId="54CB9851"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r>
      <w:tr w:rsidR="00CA1256" w14:paraId="6CF6F88A"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727532C3"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nil"/>
              <w:right w:val="single" w:sz="4" w:space="0" w:color="000000"/>
            </w:tcBorders>
            <w:vAlign w:val="center"/>
          </w:tcPr>
          <w:p w14:paraId="15295A47"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6E791DF2"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产出质量：系统运行维护响应时间</w:t>
            </w:r>
          </w:p>
        </w:tc>
        <w:tc>
          <w:tcPr>
            <w:tcW w:w="1903" w:type="dxa"/>
            <w:tcBorders>
              <w:top w:val="single" w:sz="4" w:space="0" w:color="000000"/>
              <w:left w:val="single" w:sz="4" w:space="0" w:color="000000"/>
              <w:bottom w:val="single" w:sz="4" w:space="0" w:color="000000"/>
              <w:right w:val="single" w:sz="4" w:space="0" w:color="000000"/>
            </w:tcBorders>
            <w:vAlign w:val="center"/>
          </w:tcPr>
          <w:p w14:paraId="377ECA0C"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≤30分钟</w:t>
            </w:r>
          </w:p>
        </w:tc>
        <w:tc>
          <w:tcPr>
            <w:tcW w:w="1928" w:type="dxa"/>
            <w:tcBorders>
              <w:top w:val="single" w:sz="4" w:space="0" w:color="000000"/>
              <w:left w:val="single" w:sz="4" w:space="0" w:color="000000"/>
              <w:bottom w:val="single" w:sz="4" w:space="0" w:color="000000"/>
              <w:right w:val="single" w:sz="4" w:space="0" w:color="000000"/>
            </w:tcBorders>
            <w:vAlign w:val="center"/>
          </w:tcPr>
          <w:p w14:paraId="1619EF06"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≤30分钟</w:t>
            </w:r>
          </w:p>
        </w:tc>
        <w:tc>
          <w:tcPr>
            <w:tcW w:w="531" w:type="dxa"/>
            <w:tcBorders>
              <w:top w:val="single" w:sz="4" w:space="0" w:color="000000"/>
              <w:left w:val="single" w:sz="4" w:space="0" w:color="000000"/>
              <w:bottom w:val="nil"/>
              <w:right w:val="single" w:sz="4" w:space="0" w:color="000000"/>
            </w:tcBorders>
            <w:vAlign w:val="center"/>
          </w:tcPr>
          <w:p w14:paraId="7BF389A6"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c>
          <w:tcPr>
            <w:tcW w:w="648" w:type="dxa"/>
            <w:tcBorders>
              <w:top w:val="single" w:sz="4" w:space="0" w:color="000000"/>
              <w:left w:val="single" w:sz="4" w:space="0" w:color="000000"/>
              <w:bottom w:val="nil"/>
              <w:right w:val="single" w:sz="4" w:space="0" w:color="000000"/>
            </w:tcBorders>
            <w:vAlign w:val="center"/>
          </w:tcPr>
          <w:p w14:paraId="48F4A8A7"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r>
      <w:tr w:rsidR="00CA1256" w14:paraId="3A5AC6EB"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59A9B939"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nil"/>
              <w:right w:val="single" w:sz="4" w:space="0" w:color="000000"/>
            </w:tcBorders>
            <w:vAlign w:val="center"/>
          </w:tcPr>
          <w:p w14:paraId="5F33998B"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59966188"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产出时效：按时结题率</w:t>
            </w:r>
          </w:p>
        </w:tc>
        <w:tc>
          <w:tcPr>
            <w:tcW w:w="1903" w:type="dxa"/>
            <w:tcBorders>
              <w:top w:val="single" w:sz="4" w:space="0" w:color="000000"/>
              <w:left w:val="single" w:sz="4" w:space="0" w:color="000000"/>
              <w:bottom w:val="single" w:sz="4" w:space="0" w:color="000000"/>
              <w:right w:val="single" w:sz="4" w:space="0" w:color="000000"/>
            </w:tcBorders>
            <w:vAlign w:val="center"/>
          </w:tcPr>
          <w:p w14:paraId="792877CB"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100.00%</w:t>
            </w:r>
          </w:p>
        </w:tc>
        <w:tc>
          <w:tcPr>
            <w:tcW w:w="1928" w:type="dxa"/>
            <w:tcBorders>
              <w:top w:val="single" w:sz="4" w:space="0" w:color="000000"/>
              <w:left w:val="single" w:sz="4" w:space="0" w:color="000000"/>
              <w:bottom w:val="single" w:sz="4" w:space="0" w:color="000000"/>
              <w:right w:val="single" w:sz="4" w:space="0" w:color="000000"/>
            </w:tcBorders>
            <w:vAlign w:val="center"/>
          </w:tcPr>
          <w:p w14:paraId="20889B56"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100.00%</w:t>
            </w:r>
          </w:p>
        </w:tc>
        <w:tc>
          <w:tcPr>
            <w:tcW w:w="531" w:type="dxa"/>
            <w:tcBorders>
              <w:top w:val="single" w:sz="4" w:space="0" w:color="000000"/>
              <w:left w:val="single" w:sz="4" w:space="0" w:color="000000"/>
              <w:bottom w:val="nil"/>
              <w:right w:val="single" w:sz="4" w:space="0" w:color="000000"/>
            </w:tcBorders>
            <w:vAlign w:val="center"/>
          </w:tcPr>
          <w:p w14:paraId="33BBFDFF"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c>
          <w:tcPr>
            <w:tcW w:w="648" w:type="dxa"/>
            <w:tcBorders>
              <w:top w:val="single" w:sz="4" w:space="0" w:color="000000"/>
              <w:left w:val="single" w:sz="4" w:space="0" w:color="000000"/>
              <w:bottom w:val="nil"/>
              <w:right w:val="single" w:sz="4" w:space="0" w:color="000000"/>
            </w:tcBorders>
            <w:vAlign w:val="center"/>
          </w:tcPr>
          <w:p w14:paraId="4E0BEB9D"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1.37</w:t>
            </w:r>
          </w:p>
        </w:tc>
      </w:tr>
      <w:tr w:rsidR="00CA1256" w14:paraId="79FED171"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478DF9E4"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nil"/>
              <w:right w:val="single" w:sz="4" w:space="0" w:color="000000"/>
            </w:tcBorders>
            <w:vAlign w:val="center"/>
          </w:tcPr>
          <w:p w14:paraId="2CB87579"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3B7F6E09"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产出成本：财政资金项目经费成本控制</w:t>
            </w:r>
          </w:p>
        </w:tc>
        <w:tc>
          <w:tcPr>
            <w:tcW w:w="1903" w:type="dxa"/>
            <w:tcBorders>
              <w:top w:val="single" w:sz="4" w:space="0" w:color="000000"/>
              <w:left w:val="single" w:sz="4" w:space="0" w:color="000000"/>
              <w:bottom w:val="single" w:sz="4" w:space="0" w:color="000000"/>
              <w:right w:val="single" w:sz="4" w:space="0" w:color="000000"/>
            </w:tcBorders>
            <w:vAlign w:val="center"/>
          </w:tcPr>
          <w:p w14:paraId="22AD2943"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≤884.574416万元</w:t>
            </w:r>
          </w:p>
        </w:tc>
        <w:tc>
          <w:tcPr>
            <w:tcW w:w="1928" w:type="dxa"/>
            <w:tcBorders>
              <w:top w:val="single" w:sz="4" w:space="0" w:color="000000"/>
              <w:left w:val="single" w:sz="4" w:space="0" w:color="000000"/>
              <w:bottom w:val="single" w:sz="4" w:space="0" w:color="000000"/>
              <w:right w:val="single" w:sz="4" w:space="0" w:color="000000"/>
            </w:tcBorders>
            <w:vAlign w:val="center"/>
          </w:tcPr>
          <w:p w14:paraId="6814A895"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882.334566万元</w:t>
            </w:r>
          </w:p>
        </w:tc>
        <w:tc>
          <w:tcPr>
            <w:tcW w:w="531" w:type="dxa"/>
            <w:tcBorders>
              <w:top w:val="single" w:sz="4" w:space="0" w:color="000000"/>
              <w:left w:val="single" w:sz="4" w:space="0" w:color="000000"/>
              <w:bottom w:val="nil"/>
              <w:right w:val="single" w:sz="4" w:space="0" w:color="000000"/>
            </w:tcBorders>
            <w:vAlign w:val="center"/>
          </w:tcPr>
          <w:p w14:paraId="7B9453A3"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w:t>
            </w:r>
          </w:p>
        </w:tc>
        <w:tc>
          <w:tcPr>
            <w:tcW w:w="648" w:type="dxa"/>
            <w:tcBorders>
              <w:top w:val="single" w:sz="4" w:space="0" w:color="000000"/>
              <w:left w:val="single" w:sz="4" w:space="0" w:color="000000"/>
              <w:bottom w:val="nil"/>
              <w:right w:val="single" w:sz="4" w:space="0" w:color="000000"/>
            </w:tcBorders>
            <w:vAlign w:val="center"/>
          </w:tcPr>
          <w:p w14:paraId="0459898E"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w:t>
            </w:r>
          </w:p>
        </w:tc>
      </w:tr>
      <w:tr w:rsidR="00CA1256" w14:paraId="5938CFE4"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3FB5D97B"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nil"/>
              <w:right w:val="single" w:sz="4" w:space="0" w:color="000000"/>
            </w:tcBorders>
            <w:vAlign w:val="center"/>
          </w:tcPr>
          <w:p w14:paraId="3E652038"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4891EAB2"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产出成本：财政资金基本经费成本控制</w:t>
            </w:r>
          </w:p>
        </w:tc>
        <w:tc>
          <w:tcPr>
            <w:tcW w:w="1903" w:type="dxa"/>
            <w:tcBorders>
              <w:top w:val="single" w:sz="4" w:space="0" w:color="000000"/>
              <w:left w:val="single" w:sz="4" w:space="0" w:color="000000"/>
              <w:bottom w:val="single" w:sz="4" w:space="0" w:color="000000"/>
              <w:right w:val="single" w:sz="4" w:space="0" w:color="000000"/>
            </w:tcBorders>
            <w:vAlign w:val="center"/>
          </w:tcPr>
          <w:p w14:paraId="20E58D27"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≤2715.568491万元</w:t>
            </w:r>
          </w:p>
        </w:tc>
        <w:tc>
          <w:tcPr>
            <w:tcW w:w="1928" w:type="dxa"/>
            <w:tcBorders>
              <w:top w:val="single" w:sz="4" w:space="0" w:color="000000"/>
              <w:left w:val="single" w:sz="4" w:space="0" w:color="000000"/>
              <w:bottom w:val="single" w:sz="4" w:space="0" w:color="000000"/>
              <w:right w:val="single" w:sz="4" w:space="0" w:color="000000"/>
            </w:tcBorders>
            <w:vAlign w:val="center"/>
          </w:tcPr>
          <w:p w14:paraId="2164C685"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2713.656471万元</w:t>
            </w:r>
          </w:p>
        </w:tc>
        <w:tc>
          <w:tcPr>
            <w:tcW w:w="531" w:type="dxa"/>
            <w:tcBorders>
              <w:top w:val="single" w:sz="4" w:space="0" w:color="000000"/>
              <w:left w:val="single" w:sz="4" w:space="0" w:color="000000"/>
              <w:bottom w:val="nil"/>
              <w:right w:val="single" w:sz="4" w:space="0" w:color="000000"/>
            </w:tcBorders>
            <w:vAlign w:val="center"/>
          </w:tcPr>
          <w:p w14:paraId="32209C62"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w:t>
            </w:r>
          </w:p>
        </w:tc>
        <w:tc>
          <w:tcPr>
            <w:tcW w:w="648" w:type="dxa"/>
            <w:tcBorders>
              <w:top w:val="single" w:sz="4" w:space="0" w:color="000000"/>
              <w:left w:val="single" w:sz="4" w:space="0" w:color="000000"/>
              <w:bottom w:val="nil"/>
              <w:right w:val="single" w:sz="4" w:space="0" w:color="000000"/>
            </w:tcBorders>
            <w:vAlign w:val="center"/>
          </w:tcPr>
          <w:p w14:paraId="281C1AB1"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1.3</w:t>
            </w:r>
          </w:p>
        </w:tc>
      </w:tr>
      <w:tr w:rsidR="00CA1256" w14:paraId="5AB54271"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738C44A0" w14:textId="77777777" w:rsidR="00CA1256" w:rsidRDefault="00CA1256">
            <w:pPr>
              <w:snapToGrid w:val="0"/>
              <w:jc w:val="center"/>
              <w:rPr>
                <w:rFonts w:ascii="宋体" w:hAnsi="宋体" w:cs="宋体" w:hint="eastAsia"/>
                <w:color w:val="000000"/>
                <w:sz w:val="20"/>
                <w:szCs w:val="20"/>
              </w:rPr>
            </w:pPr>
          </w:p>
        </w:tc>
        <w:tc>
          <w:tcPr>
            <w:tcW w:w="1018" w:type="dxa"/>
            <w:vMerge w:val="restart"/>
            <w:tcBorders>
              <w:top w:val="single" w:sz="4" w:space="0" w:color="000000"/>
              <w:left w:val="single" w:sz="4" w:space="0" w:color="000000"/>
              <w:bottom w:val="single" w:sz="4" w:space="0" w:color="000000"/>
              <w:right w:val="single" w:sz="4" w:space="0" w:color="000000"/>
            </w:tcBorders>
            <w:vAlign w:val="center"/>
          </w:tcPr>
          <w:p w14:paraId="6731B66B"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效果（30）</w:t>
            </w:r>
          </w:p>
        </w:tc>
        <w:tc>
          <w:tcPr>
            <w:tcW w:w="1881" w:type="dxa"/>
            <w:tcBorders>
              <w:top w:val="single" w:sz="4" w:space="0" w:color="000000"/>
              <w:left w:val="single" w:sz="4" w:space="0" w:color="000000"/>
              <w:bottom w:val="single" w:sz="4" w:space="0" w:color="000000"/>
              <w:right w:val="single" w:sz="4" w:space="0" w:color="000000"/>
            </w:tcBorders>
            <w:vAlign w:val="center"/>
          </w:tcPr>
          <w:p w14:paraId="7930104B"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可持续影响：提出的措施对未来同类型交通问题区域和节点可提供经验借鉴，有可持续价值</w:t>
            </w:r>
          </w:p>
        </w:tc>
        <w:tc>
          <w:tcPr>
            <w:tcW w:w="1903" w:type="dxa"/>
            <w:tcBorders>
              <w:top w:val="single" w:sz="4" w:space="0" w:color="000000"/>
              <w:left w:val="single" w:sz="4" w:space="0" w:color="000000"/>
              <w:bottom w:val="single" w:sz="4" w:space="0" w:color="000000"/>
              <w:right w:val="single" w:sz="4" w:space="0" w:color="000000"/>
            </w:tcBorders>
            <w:vAlign w:val="center"/>
          </w:tcPr>
          <w:p w14:paraId="43EDFCE4"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高</w:t>
            </w:r>
          </w:p>
        </w:tc>
        <w:tc>
          <w:tcPr>
            <w:tcW w:w="1928" w:type="dxa"/>
            <w:tcBorders>
              <w:top w:val="single" w:sz="4" w:space="0" w:color="000000"/>
              <w:left w:val="single" w:sz="4" w:space="0" w:color="000000"/>
              <w:bottom w:val="single" w:sz="4" w:space="0" w:color="000000"/>
              <w:right w:val="single" w:sz="4" w:space="0" w:color="000000"/>
            </w:tcBorders>
            <w:vAlign w:val="center"/>
          </w:tcPr>
          <w:p w14:paraId="1C0B832F"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项目的实施过程及项目成果为后续相关工作提供了较高经验价值</w:t>
            </w:r>
          </w:p>
        </w:tc>
        <w:tc>
          <w:tcPr>
            <w:tcW w:w="531" w:type="dxa"/>
            <w:tcBorders>
              <w:top w:val="single" w:sz="4" w:space="0" w:color="000000"/>
              <w:left w:val="single" w:sz="4" w:space="0" w:color="000000"/>
              <w:bottom w:val="single" w:sz="4" w:space="0" w:color="000000"/>
              <w:right w:val="single" w:sz="4" w:space="0" w:color="000000"/>
            </w:tcBorders>
            <w:noWrap/>
            <w:vAlign w:val="center"/>
          </w:tcPr>
          <w:p w14:paraId="00B45913"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5</w:t>
            </w:r>
          </w:p>
        </w:tc>
        <w:tc>
          <w:tcPr>
            <w:tcW w:w="648" w:type="dxa"/>
            <w:tcBorders>
              <w:top w:val="single" w:sz="4" w:space="0" w:color="000000"/>
              <w:left w:val="single" w:sz="4" w:space="0" w:color="000000"/>
              <w:bottom w:val="single" w:sz="4" w:space="0" w:color="000000"/>
              <w:right w:val="single" w:sz="4" w:space="0" w:color="000000"/>
            </w:tcBorders>
            <w:noWrap/>
            <w:vAlign w:val="center"/>
          </w:tcPr>
          <w:p w14:paraId="21C9EDD1"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4.5</w:t>
            </w:r>
          </w:p>
        </w:tc>
      </w:tr>
      <w:tr w:rsidR="00CA1256" w14:paraId="2D31A58C"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76C2D462"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single" w:sz="4" w:space="0" w:color="000000"/>
              <w:right w:val="single" w:sz="4" w:space="0" w:color="000000"/>
            </w:tcBorders>
            <w:vAlign w:val="center"/>
          </w:tcPr>
          <w:p w14:paraId="2B5AA857"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4FF8EB72"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生态效益：通过动态跟踪和综合分析，提出轨道交通服务水平提升的建议，助力绿色出行</w:t>
            </w:r>
          </w:p>
        </w:tc>
        <w:tc>
          <w:tcPr>
            <w:tcW w:w="1903" w:type="dxa"/>
            <w:tcBorders>
              <w:top w:val="single" w:sz="4" w:space="0" w:color="000000"/>
              <w:left w:val="single" w:sz="4" w:space="0" w:color="000000"/>
              <w:bottom w:val="single" w:sz="4" w:space="0" w:color="000000"/>
              <w:right w:val="single" w:sz="4" w:space="0" w:color="000000"/>
            </w:tcBorders>
            <w:vAlign w:val="center"/>
          </w:tcPr>
          <w:p w14:paraId="1B6D4617"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优</w:t>
            </w:r>
          </w:p>
        </w:tc>
        <w:tc>
          <w:tcPr>
            <w:tcW w:w="1928" w:type="dxa"/>
            <w:tcBorders>
              <w:top w:val="single" w:sz="4" w:space="0" w:color="000000"/>
              <w:left w:val="single" w:sz="4" w:space="0" w:color="000000"/>
              <w:bottom w:val="single" w:sz="4" w:space="0" w:color="000000"/>
              <w:right w:val="single" w:sz="4" w:space="0" w:color="000000"/>
            </w:tcBorders>
            <w:vAlign w:val="center"/>
          </w:tcPr>
          <w:p w14:paraId="4A269362"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项目的实施对轨道交通服务水平、助力绿色出行提出了优质建议</w:t>
            </w:r>
          </w:p>
        </w:tc>
        <w:tc>
          <w:tcPr>
            <w:tcW w:w="531" w:type="dxa"/>
            <w:tcBorders>
              <w:top w:val="single" w:sz="4" w:space="0" w:color="000000"/>
              <w:left w:val="single" w:sz="4" w:space="0" w:color="000000"/>
              <w:bottom w:val="single" w:sz="4" w:space="0" w:color="000000"/>
              <w:right w:val="single" w:sz="4" w:space="0" w:color="000000"/>
            </w:tcBorders>
            <w:noWrap/>
            <w:vAlign w:val="center"/>
          </w:tcPr>
          <w:p w14:paraId="44F0E4D4"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5</w:t>
            </w:r>
          </w:p>
        </w:tc>
        <w:tc>
          <w:tcPr>
            <w:tcW w:w="648" w:type="dxa"/>
            <w:tcBorders>
              <w:top w:val="single" w:sz="4" w:space="0" w:color="000000"/>
              <w:left w:val="single" w:sz="4" w:space="0" w:color="000000"/>
              <w:bottom w:val="single" w:sz="4" w:space="0" w:color="000000"/>
              <w:right w:val="single" w:sz="4" w:space="0" w:color="000000"/>
            </w:tcBorders>
            <w:noWrap/>
            <w:vAlign w:val="center"/>
          </w:tcPr>
          <w:p w14:paraId="688764C4"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4.5</w:t>
            </w:r>
          </w:p>
        </w:tc>
      </w:tr>
      <w:tr w:rsidR="00CA1256" w14:paraId="25B2483C"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64A8A660"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single" w:sz="4" w:space="0" w:color="000000"/>
              <w:right w:val="single" w:sz="4" w:space="0" w:color="000000"/>
            </w:tcBorders>
            <w:vAlign w:val="center"/>
          </w:tcPr>
          <w:p w14:paraId="3503ABC2"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68E1071E"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社会效益：收集和整理各种交通信息渠道交通数据，研究交通数据收集的新方法和新技术，开展交通调查，设计交通数据分析平台框架体系，开发交通数据分析平台，为掌握交通发展规律、交通政策的制定，交通规划的编制提供基础数据</w:t>
            </w:r>
          </w:p>
        </w:tc>
        <w:tc>
          <w:tcPr>
            <w:tcW w:w="1903" w:type="dxa"/>
            <w:tcBorders>
              <w:top w:val="single" w:sz="4" w:space="0" w:color="000000"/>
              <w:left w:val="single" w:sz="4" w:space="0" w:color="000000"/>
              <w:bottom w:val="single" w:sz="4" w:space="0" w:color="000000"/>
              <w:right w:val="single" w:sz="4" w:space="0" w:color="000000"/>
            </w:tcBorders>
            <w:vAlign w:val="center"/>
          </w:tcPr>
          <w:p w14:paraId="1BDAFB58"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优</w:t>
            </w:r>
          </w:p>
        </w:tc>
        <w:tc>
          <w:tcPr>
            <w:tcW w:w="1928" w:type="dxa"/>
            <w:tcBorders>
              <w:top w:val="single" w:sz="4" w:space="0" w:color="000000"/>
              <w:left w:val="single" w:sz="4" w:space="0" w:color="000000"/>
              <w:bottom w:val="single" w:sz="4" w:space="0" w:color="000000"/>
              <w:right w:val="single" w:sz="4" w:space="0" w:color="000000"/>
            </w:tcBorders>
            <w:vAlign w:val="center"/>
          </w:tcPr>
          <w:p w14:paraId="3AE91298"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通过收集和整理各种交通信息、研究交通数据收集的新方法和新技术、开展交通调查、设计交通数据分析平台框架体系、开发交通数据分析平台等工作，为掌握交通发展规律、交通政策的制定、交通规划的编制提供了较为充分的基础数据</w:t>
            </w:r>
          </w:p>
        </w:tc>
        <w:tc>
          <w:tcPr>
            <w:tcW w:w="531" w:type="dxa"/>
            <w:tcBorders>
              <w:top w:val="single" w:sz="4" w:space="0" w:color="000000"/>
              <w:left w:val="single" w:sz="4" w:space="0" w:color="000000"/>
              <w:bottom w:val="single" w:sz="4" w:space="0" w:color="000000"/>
              <w:right w:val="single" w:sz="4" w:space="0" w:color="000000"/>
            </w:tcBorders>
            <w:noWrap/>
            <w:vAlign w:val="center"/>
          </w:tcPr>
          <w:p w14:paraId="1A7B30D4"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5</w:t>
            </w:r>
          </w:p>
        </w:tc>
        <w:tc>
          <w:tcPr>
            <w:tcW w:w="648" w:type="dxa"/>
            <w:tcBorders>
              <w:top w:val="single" w:sz="4" w:space="0" w:color="000000"/>
              <w:left w:val="single" w:sz="4" w:space="0" w:color="000000"/>
              <w:bottom w:val="single" w:sz="4" w:space="0" w:color="000000"/>
              <w:right w:val="single" w:sz="4" w:space="0" w:color="000000"/>
            </w:tcBorders>
            <w:noWrap/>
            <w:vAlign w:val="center"/>
          </w:tcPr>
          <w:p w14:paraId="030D062B"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5</w:t>
            </w:r>
          </w:p>
        </w:tc>
      </w:tr>
      <w:tr w:rsidR="00CA1256" w14:paraId="514645C0"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4389EA82"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single" w:sz="4" w:space="0" w:color="000000"/>
              <w:right w:val="single" w:sz="4" w:space="0" w:color="000000"/>
            </w:tcBorders>
            <w:vAlign w:val="center"/>
          </w:tcPr>
          <w:p w14:paraId="1CF65D5D"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32686DFC"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社会效益：提高平台（二期）的运行效率，为北京市相关部门在交通节能减排指标核算和考核、蓝天保卫战、新能源车推广、政策效果评估方面提供技术支撑，对交通节能减排相关业务类项目开展实施奠定基础</w:t>
            </w:r>
          </w:p>
        </w:tc>
        <w:tc>
          <w:tcPr>
            <w:tcW w:w="1903" w:type="dxa"/>
            <w:tcBorders>
              <w:top w:val="single" w:sz="4" w:space="0" w:color="000000"/>
              <w:left w:val="single" w:sz="4" w:space="0" w:color="000000"/>
              <w:bottom w:val="single" w:sz="4" w:space="0" w:color="000000"/>
              <w:right w:val="single" w:sz="4" w:space="0" w:color="000000"/>
            </w:tcBorders>
            <w:vAlign w:val="center"/>
          </w:tcPr>
          <w:p w14:paraId="6B503509"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优</w:t>
            </w:r>
          </w:p>
        </w:tc>
        <w:tc>
          <w:tcPr>
            <w:tcW w:w="1928" w:type="dxa"/>
            <w:tcBorders>
              <w:top w:val="single" w:sz="4" w:space="0" w:color="000000"/>
              <w:left w:val="single" w:sz="4" w:space="0" w:color="000000"/>
              <w:bottom w:val="single" w:sz="4" w:space="0" w:color="000000"/>
              <w:right w:val="single" w:sz="4" w:space="0" w:color="000000"/>
            </w:tcBorders>
            <w:vAlign w:val="center"/>
          </w:tcPr>
          <w:p w14:paraId="7F0F87F6"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运维工作有效的提高了平台（二期）的运行效率，对交通节能减排相关业务类项目的开展奠定了较好的基础</w:t>
            </w:r>
          </w:p>
        </w:tc>
        <w:tc>
          <w:tcPr>
            <w:tcW w:w="531" w:type="dxa"/>
            <w:tcBorders>
              <w:top w:val="single" w:sz="4" w:space="0" w:color="000000"/>
              <w:left w:val="single" w:sz="4" w:space="0" w:color="000000"/>
              <w:bottom w:val="single" w:sz="4" w:space="0" w:color="000000"/>
              <w:right w:val="single" w:sz="4" w:space="0" w:color="000000"/>
            </w:tcBorders>
            <w:noWrap/>
            <w:vAlign w:val="center"/>
          </w:tcPr>
          <w:p w14:paraId="11DFE593"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5</w:t>
            </w:r>
          </w:p>
        </w:tc>
        <w:tc>
          <w:tcPr>
            <w:tcW w:w="648" w:type="dxa"/>
            <w:tcBorders>
              <w:top w:val="single" w:sz="4" w:space="0" w:color="000000"/>
              <w:left w:val="single" w:sz="4" w:space="0" w:color="000000"/>
              <w:bottom w:val="single" w:sz="4" w:space="0" w:color="000000"/>
              <w:right w:val="single" w:sz="4" w:space="0" w:color="000000"/>
            </w:tcBorders>
            <w:noWrap/>
            <w:vAlign w:val="center"/>
          </w:tcPr>
          <w:p w14:paraId="5576FFF5"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5</w:t>
            </w:r>
          </w:p>
        </w:tc>
      </w:tr>
      <w:tr w:rsidR="00CA1256" w14:paraId="33C228F3"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0FEEB83C"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single" w:sz="4" w:space="0" w:color="000000"/>
              <w:right w:val="single" w:sz="4" w:space="0" w:color="000000"/>
            </w:tcBorders>
            <w:vAlign w:val="center"/>
          </w:tcPr>
          <w:p w14:paraId="541E9556"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3453DF48"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社会效益：为相关政府部门节能减排决策，为交通需求管理和交通公共服务提供支持</w:t>
            </w:r>
          </w:p>
        </w:tc>
        <w:tc>
          <w:tcPr>
            <w:tcW w:w="1903" w:type="dxa"/>
            <w:tcBorders>
              <w:top w:val="single" w:sz="4" w:space="0" w:color="000000"/>
              <w:left w:val="single" w:sz="4" w:space="0" w:color="000000"/>
              <w:bottom w:val="single" w:sz="4" w:space="0" w:color="000000"/>
              <w:right w:val="single" w:sz="4" w:space="0" w:color="000000"/>
            </w:tcBorders>
            <w:vAlign w:val="center"/>
          </w:tcPr>
          <w:p w14:paraId="10A99B3C"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好</w:t>
            </w:r>
          </w:p>
        </w:tc>
        <w:tc>
          <w:tcPr>
            <w:tcW w:w="1928" w:type="dxa"/>
            <w:tcBorders>
              <w:top w:val="single" w:sz="4" w:space="0" w:color="000000"/>
              <w:left w:val="single" w:sz="4" w:space="0" w:color="000000"/>
              <w:bottom w:val="single" w:sz="4" w:space="0" w:color="000000"/>
              <w:right w:val="single" w:sz="4" w:space="0" w:color="000000"/>
            </w:tcBorders>
            <w:vAlign w:val="center"/>
          </w:tcPr>
          <w:p w14:paraId="55B50A9D"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相关研究项目成果为节能减排工作提供了决策依据，为交通需求管理和交通公共服务提供了较大支持</w:t>
            </w:r>
          </w:p>
        </w:tc>
        <w:tc>
          <w:tcPr>
            <w:tcW w:w="531" w:type="dxa"/>
            <w:tcBorders>
              <w:top w:val="single" w:sz="4" w:space="0" w:color="000000"/>
              <w:left w:val="single" w:sz="4" w:space="0" w:color="000000"/>
              <w:bottom w:val="single" w:sz="4" w:space="0" w:color="000000"/>
              <w:right w:val="single" w:sz="4" w:space="0" w:color="000000"/>
            </w:tcBorders>
            <w:noWrap/>
            <w:vAlign w:val="center"/>
          </w:tcPr>
          <w:p w14:paraId="1D64FD42"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5</w:t>
            </w:r>
          </w:p>
        </w:tc>
        <w:tc>
          <w:tcPr>
            <w:tcW w:w="648" w:type="dxa"/>
            <w:tcBorders>
              <w:top w:val="single" w:sz="4" w:space="0" w:color="000000"/>
              <w:left w:val="single" w:sz="4" w:space="0" w:color="000000"/>
              <w:bottom w:val="single" w:sz="4" w:space="0" w:color="000000"/>
              <w:right w:val="single" w:sz="4" w:space="0" w:color="000000"/>
            </w:tcBorders>
            <w:noWrap/>
            <w:vAlign w:val="center"/>
          </w:tcPr>
          <w:p w14:paraId="465486BF"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5</w:t>
            </w:r>
          </w:p>
        </w:tc>
      </w:tr>
      <w:tr w:rsidR="00CA1256" w14:paraId="25C10541"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3AA9CAC5"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single" w:sz="4" w:space="0" w:color="000000"/>
              <w:right w:val="single" w:sz="4" w:space="0" w:color="000000"/>
            </w:tcBorders>
            <w:vAlign w:val="center"/>
          </w:tcPr>
          <w:p w14:paraId="1ED4AEE7"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60468465"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社会效益：开展年度小样本交通调查，能</w:t>
            </w:r>
            <w:r>
              <w:rPr>
                <w:rFonts w:ascii="宋体" w:hAnsi="宋体" w:cs="宋体" w:hint="eastAsia"/>
                <w:color w:val="000000"/>
                <w:kern w:val="0"/>
                <w:sz w:val="20"/>
                <w:szCs w:val="20"/>
              </w:rPr>
              <w:lastRenderedPageBreak/>
              <w:t>够掌握居民出行特征等方面的数据，为掌握交通发展规律、交通政策的制定、交通规划的编制提供基础数据，为更新和标定交通模型提供数据基础，为社会公众了解北京交通提供渠道</w:t>
            </w:r>
          </w:p>
        </w:tc>
        <w:tc>
          <w:tcPr>
            <w:tcW w:w="1903" w:type="dxa"/>
            <w:tcBorders>
              <w:top w:val="single" w:sz="4" w:space="0" w:color="000000"/>
              <w:left w:val="single" w:sz="4" w:space="0" w:color="000000"/>
              <w:bottom w:val="single" w:sz="4" w:space="0" w:color="000000"/>
              <w:right w:val="single" w:sz="4" w:space="0" w:color="000000"/>
            </w:tcBorders>
            <w:vAlign w:val="center"/>
          </w:tcPr>
          <w:p w14:paraId="0C52048A"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lastRenderedPageBreak/>
              <w:t>优</w:t>
            </w:r>
          </w:p>
        </w:tc>
        <w:tc>
          <w:tcPr>
            <w:tcW w:w="1928" w:type="dxa"/>
            <w:tcBorders>
              <w:top w:val="single" w:sz="4" w:space="0" w:color="000000"/>
              <w:left w:val="single" w:sz="4" w:space="0" w:color="000000"/>
              <w:bottom w:val="single" w:sz="4" w:space="0" w:color="000000"/>
              <w:right w:val="single" w:sz="4" w:space="0" w:color="000000"/>
            </w:tcBorders>
            <w:vAlign w:val="center"/>
          </w:tcPr>
          <w:p w14:paraId="4184E08C"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通过年度小样本交通调查掌握了居民出行</w:t>
            </w:r>
            <w:r>
              <w:rPr>
                <w:rFonts w:ascii="宋体" w:hAnsi="宋体" w:cs="宋体" w:hint="eastAsia"/>
                <w:color w:val="000000"/>
                <w:kern w:val="0"/>
                <w:sz w:val="20"/>
                <w:szCs w:val="20"/>
              </w:rPr>
              <w:lastRenderedPageBreak/>
              <w:t>特征等方面的数据，为掌握交通发展规律、交通政策的制定、交通规划的编制、更新和标定交通模型提供了较为完善的基础数据。为社会公众了解北京交通提供了便利的渠道</w:t>
            </w:r>
          </w:p>
        </w:tc>
        <w:tc>
          <w:tcPr>
            <w:tcW w:w="531" w:type="dxa"/>
            <w:tcBorders>
              <w:top w:val="single" w:sz="4" w:space="0" w:color="000000"/>
              <w:left w:val="single" w:sz="4" w:space="0" w:color="000000"/>
              <w:bottom w:val="single" w:sz="4" w:space="0" w:color="000000"/>
              <w:right w:val="single" w:sz="4" w:space="0" w:color="000000"/>
            </w:tcBorders>
            <w:noWrap/>
            <w:vAlign w:val="center"/>
          </w:tcPr>
          <w:p w14:paraId="21A74077"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lastRenderedPageBreak/>
              <w:t>5</w:t>
            </w:r>
          </w:p>
        </w:tc>
        <w:tc>
          <w:tcPr>
            <w:tcW w:w="648" w:type="dxa"/>
            <w:tcBorders>
              <w:top w:val="single" w:sz="4" w:space="0" w:color="000000"/>
              <w:left w:val="single" w:sz="4" w:space="0" w:color="000000"/>
              <w:bottom w:val="single" w:sz="4" w:space="0" w:color="000000"/>
              <w:right w:val="single" w:sz="4" w:space="0" w:color="000000"/>
            </w:tcBorders>
            <w:noWrap/>
            <w:vAlign w:val="center"/>
          </w:tcPr>
          <w:p w14:paraId="2860D466"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5</w:t>
            </w:r>
          </w:p>
        </w:tc>
      </w:tr>
      <w:tr w:rsidR="00CA1256" w14:paraId="288E6EC5" w14:textId="77777777">
        <w:trPr>
          <w:jc w:val="center"/>
        </w:trPr>
        <w:tc>
          <w:tcPr>
            <w:tcW w:w="648" w:type="dxa"/>
            <w:gridSpan w:val="7"/>
            <w:tcBorders>
              <w:top w:val="single" w:sz="4" w:space="0" w:color="000000"/>
              <w:left w:val="single" w:sz="4" w:space="0" w:color="000000"/>
              <w:bottom w:val="single" w:sz="4" w:space="0" w:color="000000"/>
              <w:right w:val="single" w:sz="4" w:space="0" w:color="000000"/>
            </w:tcBorders>
            <w:vAlign w:val="center"/>
          </w:tcPr>
          <w:p w14:paraId="78F34AED"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三、预算管理情况（20分）</w:t>
            </w:r>
          </w:p>
        </w:tc>
      </w:tr>
      <w:tr w:rsidR="00CA1256" w14:paraId="4B7D07D1" w14:textId="77777777">
        <w:trPr>
          <w:jc w:val="center"/>
        </w:trPr>
        <w:tc>
          <w:tcPr>
            <w:tcW w:w="2997" w:type="dxa"/>
            <w:tcBorders>
              <w:top w:val="single" w:sz="4" w:space="0" w:color="000000"/>
              <w:left w:val="single" w:sz="4" w:space="0" w:color="000000"/>
              <w:bottom w:val="single" w:sz="4" w:space="0" w:color="000000"/>
              <w:right w:val="single" w:sz="4" w:space="0" w:color="000000"/>
            </w:tcBorders>
            <w:vAlign w:val="center"/>
          </w:tcPr>
          <w:p w14:paraId="7B3C3B07"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一级指标</w:t>
            </w:r>
          </w:p>
        </w:tc>
        <w:tc>
          <w:tcPr>
            <w:tcW w:w="1018" w:type="dxa"/>
            <w:tcBorders>
              <w:top w:val="single" w:sz="4" w:space="0" w:color="000000"/>
              <w:left w:val="single" w:sz="4" w:space="0" w:color="000000"/>
              <w:bottom w:val="single" w:sz="4" w:space="0" w:color="000000"/>
              <w:right w:val="single" w:sz="4" w:space="0" w:color="000000"/>
            </w:tcBorders>
            <w:vAlign w:val="center"/>
          </w:tcPr>
          <w:p w14:paraId="50B175FA"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二级指标</w:t>
            </w:r>
          </w:p>
        </w:tc>
        <w:tc>
          <w:tcPr>
            <w:tcW w:w="1881" w:type="dxa"/>
            <w:tcBorders>
              <w:top w:val="single" w:sz="4" w:space="0" w:color="000000"/>
              <w:left w:val="single" w:sz="4" w:space="0" w:color="000000"/>
              <w:bottom w:val="single" w:sz="4" w:space="0" w:color="000000"/>
              <w:right w:val="single" w:sz="4" w:space="0" w:color="000000"/>
            </w:tcBorders>
            <w:vAlign w:val="center"/>
          </w:tcPr>
          <w:p w14:paraId="4307CA2B"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三级指标</w:t>
            </w:r>
          </w:p>
        </w:tc>
        <w:tc>
          <w:tcPr>
            <w:tcW w:w="1903" w:type="dxa"/>
            <w:tcBorders>
              <w:top w:val="single" w:sz="4" w:space="0" w:color="000000"/>
              <w:left w:val="single" w:sz="4" w:space="0" w:color="000000"/>
              <w:bottom w:val="single" w:sz="4" w:space="0" w:color="000000"/>
              <w:right w:val="single" w:sz="4" w:space="0" w:color="000000"/>
            </w:tcBorders>
            <w:vAlign w:val="center"/>
          </w:tcPr>
          <w:p w14:paraId="1CE39F00"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指标值</w:t>
            </w:r>
          </w:p>
        </w:tc>
        <w:tc>
          <w:tcPr>
            <w:tcW w:w="1928" w:type="dxa"/>
            <w:tcBorders>
              <w:top w:val="single" w:sz="4" w:space="0" w:color="000000"/>
              <w:left w:val="single" w:sz="4" w:space="0" w:color="000000"/>
              <w:bottom w:val="single" w:sz="4" w:space="0" w:color="000000"/>
              <w:right w:val="single" w:sz="4" w:space="0" w:color="000000"/>
            </w:tcBorders>
            <w:vAlign w:val="center"/>
          </w:tcPr>
          <w:p w14:paraId="6357927F"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完成值</w:t>
            </w:r>
          </w:p>
        </w:tc>
        <w:tc>
          <w:tcPr>
            <w:tcW w:w="531" w:type="dxa"/>
            <w:tcBorders>
              <w:top w:val="single" w:sz="4" w:space="0" w:color="000000"/>
              <w:left w:val="single" w:sz="4" w:space="0" w:color="000000"/>
              <w:bottom w:val="single" w:sz="4" w:space="0" w:color="000000"/>
              <w:right w:val="single" w:sz="4" w:space="0" w:color="000000"/>
            </w:tcBorders>
            <w:noWrap/>
            <w:vAlign w:val="center"/>
          </w:tcPr>
          <w:p w14:paraId="319C07A0"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分值</w:t>
            </w:r>
          </w:p>
        </w:tc>
        <w:tc>
          <w:tcPr>
            <w:tcW w:w="648" w:type="dxa"/>
            <w:tcBorders>
              <w:top w:val="single" w:sz="4" w:space="0" w:color="000000"/>
              <w:left w:val="single" w:sz="4" w:space="0" w:color="000000"/>
              <w:bottom w:val="single" w:sz="4" w:space="0" w:color="000000"/>
              <w:right w:val="single" w:sz="4" w:space="0" w:color="000000"/>
            </w:tcBorders>
            <w:noWrap/>
            <w:vAlign w:val="center"/>
          </w:tcPr>
          <w:p w14:paraId="49DD57C5"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得分</w:t>
            </w:r>
          </w:p>
        </w:tc>
      </w:tr>
      <w:tr w:rsidR="00CA1256" w14:paraId="784F1788" w14:textId="77777777">
        <w:trPr>
          <w:jc w:val="center"/>
        </w:trPr>
        <w:tc>
          <w:tcPr>
            <w:tcW w:w="2997" w:type="dxa"/>
            <w:vMerge w:val="restart"/>
            <w:tcBorders>
              <w:top w:val="single" w:sz="4" w:space="0" w:color="000000"/>
              <w:left w:val="single" w:sz="4" w:space="0" w:color="000000"/>
              <w:bottom w:val="single" w:sz="4" w:space="0" w:color="000000"/>
              <w:right w:val="single" w:sz="4" w:space="0" w:color="000000"/>
            </w:tcBorders>
            <w:vAlign w:val="center"/>
          </w:tcPr>
          <w:p w14:paraId="16A1C24E"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预算管理情况（20）</w:t>
            </w:r>
          </w:p>
        </w:tc>
        <w:tc>
          <w:tcPr>
            <w:tcW w:w="1018" w:type="dxa"/>
            <w:vMerge w:val="restart"/>
            <w:tcBorders>
              <w:top w:val="single" w:sz="4" w:space="0" w:color="000000"/>
              <w:left w:val="single" w:sz="4" w:space="0" w:color="000000"/>
              <w:bottom w:val="single" w:sz="4" w:space="0" w:color="000000"/>
              <w:right w:val="single" w:sz="4" w:space="0" w:color="000000"/>
            </w:tcBorders>
            <w:vAlign w:val="center"/>
          </w:tcPr>
          <w:p w14:paraId="56A7FAF5"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财务管理（4）</w:t>
            </w:r>
          </w:p>
        </w:tc>
        <w:tc>
          <w:tcPr>
            <w:tcW w:w="1881" w:type="dxa"/>
            <w:tcBorders>
              <w:top w:val="single" w:sz="4" w:space="0" w:color="000000"/>
              <w:left w:val="single" w:sz="4" w:space="0" w:color="000000"/>
              <w:bottom w:val="single" w:sz="4" w:space="0" w:color="000000"/>
              <w:right w:val="single" w:sz="4" w:space="0" w:color="000000"/>
            </w:tcBorders>
            <w:vAlign w:val="center"/>
          </w:tcPr>
          <w:p w14:paraId="055373EE"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财务管理制度健全性</w:t>
            </w:r>
          </w:p>
        </w:tc>
        <w:tc>
          <w:tcPr>
            <w:tcW w:w="1903" w:type="dxa"/>
            <w:tcBorders>
              <w:top w:val="single" w:sz="4" w:space="0" w:color="000000"/>
              <w:left w:val="single" w:sz="4" w:space="0" w:color="000000"/>
              <w:bottom w:val="single" w:sz="4" w:space="0" w:color="000000"/>
              <w:right w:val="single" w:sz="4" w:space="0" w:color="000000"/>
            </w:tcBorders>
            <w:vAlign w:val="center"/>
          </w:tcPr>
          <w:p w14:paraId="6D932CA7"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建立健全预算资金管理办法、绩效跟踪管理办法、资产管理办法等各项制度。保证部门内部财务管理制度、会计核算制度完整、合规。</w:t>
            </w:r>
          </w:p>
        </w:tc>
        <w:tc>
          <w:tcPr>
            <w:tcW w:w="1928" w:type="dxa"/>
            <w:tcBorders>
              <w:top w:val="single" w:sz="4" w:space="0" w:color="000000"/>
              <w:left w:val="single" w:sz="4" w:space="0" w:color="000000"/>
              <w:bottom w:val="single" w:sz="4" w:space="0" w:color="000000"/>
              <w:right w:val="single" w:sz="4" w:space="0" w:color="000000"/>
            </w:tcBorders>
            <w:vAlign w:val="center"/>
          </w:tcPr>
          <w:p w14:paraId="4224EF8A"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交研院建立了较为完善的财务管理制度体系，制定了《财务管理制度》、《关于调整北京交通发展研究院财务报销审批权限的通知》、《公务卡管理办法》、《北京交通发展研究院预算绩效管理办法》等财务管理制度，内容包括财务管理职责、财务管理基础工作、预算和决算、收入管理、支出管理、资金管理、审计工作等重要环节的进行规范，在制度上保证了财务工作的规范有序开展。交研院制定了《内部控制手册》，手册中明确了预算业务控制、收支业务控制、采购业务控制、资产控制等内容。在制度上保证了财务工作的规范有序开展。</w:t>
            </w:r>
          </w:p>
        </w:tc>
        <w:tc>
          <w:tcPr>
            <w:tcW w:w="531" w:type="dxa"/>
            <w:tcBorders>
              <w:top w:val="single" w:sz="4" w:space="0" w:color="000000"/>
              <w:left w:val="single" w:sz="4" w:space="0" w:color="000000"/>
              <w:bottom w:val="single" w:sz="4" w:space="0" w:color="000000"/>
              <w:right w:val="single" w:sz="4" w:space="0" w:color="000000"/>
            </w:tcBorders>
            <w:noWrap/>
            <w:vAlign w:val="center"/>
          </w:tcPr>
          <w:p w14:paraId="1E065821"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w:t>
            </w:r>
          </w:p>
        </w:tc>
        <w:tc>
          <w:tcPr>
            <w:tcW w:w="648" w:type="dxa"/>
            <w:tcBorders>
              <w:top w:val="single" w:sz="4" w:space="0" w:color="000000"/>
              <w:left w:val="single" w:sz="4" w:space="0" w:color="000000"/>
              <w:bottom w:val="single" w:sz="4" w:space="0" w:color="000000"/>
              <w:right w:val="single" w:sz="4" w:space="0" w:color="000000"/>
            </w:tcBorders>
            <w:noWrap/>
            <w:vAlign w:val="center"/>
          </w:tcPr>
          <w:p w14:paraId="746F990A"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w:t>
            </w:r>
          </w:p>
        </w:tc>
      </w:tr>
      <w:tr w:rsidR="00CA1256" w14:paraId="2CF62CD0"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0D46A2D6"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single" w:sz="4" w:space="0" w:color="000000"/>
              <w:right w:val="single" w:sz="4" w:space="0" w:color="000000"/>
            </w:tcBorders>
            <w:vAlign w:val="center"/>
          </w:tcPr>
          <w:p w14:paraId="69E1AAE8"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116664D8"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资金使用合规性和安全性</w:t>
            </w:r>
          </w:p>
        </w:tc>
        <w:tc>
          <w:tcPr>
            <w:tcW w:w="1903" w:type="dxa"/>
            <w:tcBorders>
              <w:top w:val="single" w:sz="4" w:space="0" w:color="000000"/>
              <w:left w:val="single" w:sz="4" w:space="0" w:color="000000"/>
              <w:bottom w:val="single" w:sz="4" w:space="0" w:color="000000"/>
              <w:right w:val="single" w:sz="4" w:space="0" w:color="000000"/>
            </w:tcBorders>
            <w:vAlign w:val="center"/>
          </w:tcPr>
          <w:p w14:paraId="20376ECA"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资金支出符合预算财务管理制度、专项资金管理办法、政府采购管理办法等相关制度的规定。使用预算资金符合相关规定的开支范围，不超范围列支。资金拨付按照审批程序和手续严格执行，无审</w:t>
            </w:r>
            <w:r>
              <w:rPr>
                <w:rFonts w:ascii="宋体" w:hAnsi="宋体" w:cs="宋体" w:hint="eastAsia"/>
                <w:color w:val="000000"/>
                <w:kern w:val="0"/>
                <w:sz w:val="20"/>
                <w:szCs w:val="20"/>
              </w:rPr>
              <w:lastRenderedPageBreak/>
              <w:t>批不拨付资金。严格杜绝资金被截留、挤占、挪用。</w:t>
            </w:r>
          </w:p>
        </w:tc>
        <w:tc>
          <w:tcPr>
            <w:tcW w:w="1928" w:type="dxa"/>
            <w:tcBorders>
              <w:top w:val="single" w:sz="4" w:space="0" w:color="000000"/>
              <w:left w:val="single" w:sz="4" w:space="0" w:color="000000"/>
              <w:bottom w:val="single" w:sz="4" w:space="0" w:color="000000"/>
              <w:right w:val="single" w:sz="4" w:space="0" w:color="000000"/>
            </w:tcBorders>
            <w:vAlign w:val="center"/>
          </w:tcPr>
          <w:p w14:paraId="09A1F754"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lastRenderedPageBreak/>
              <w:t>严格遵守《预算法》《预算法实施条例》等法律法规和财政部、市财政局有关财政、财务规章制度，并制定了适合本单位的制度，规范财政资金管理，量入为出，统筹兼顾，突出重点，讲究实效，防范风险，</w:t>
            </w:r>
            <w:r>
              <w:rPr>
                <w:rFonts w:ascii="宋体" w:hAnsi="宋体" w:cs="宋体" w:hint="eastAsia"/>
                <w:color w:val="000000"/>
                <w:kern w:val="0"/>
                <w:sz w:val="20"/>
                <w:szCs w:val="20"/>
              </w:rPr>
              <w:lastRenderedPageBreak/>
              <w:t>合理使用各项建设资金，建设项目预算支出整体受控。</w:t>
            </w:r>
          </w:p>
        </w:tc>
        <w:tc>
          <w:tcPr>
            <w:tcW w:w="531" w:type="dxa"/>
            <w:tcBorders>
              <w:top w:val="single" w:sz="4" w:space="0" w:color="000000"/>
              <w:left w:val="single" w:sz="4" w:space="0" w:color="000000"/>
              <w:bottom w:val="single" w:sz="4" w:space="0" w:color="000000"/>
              <w:right w:val="single" w:sz="4" w:space="0" w:color="000000"/>
            </w:tcBorders>
            <w:noWrap/>
            <w:vAlign w:val="center"/>
          </w:tcPr>
          <w:p w14:paraId="259A10FB"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lastRenderedPageBreak/>
              <w:t>2</w:t>
            </w:r>
          </w:p>
        </w:tc>
        <w:tc>
          <w:tcPr>
            <w:tcW w:w="648" w:type="dxa"/>
            <w:tcBorders>
              <w:top w:val="single" w:sz="4" w:space="0" w:color="000000"/>
              <w:left w:val="single" w:sz="4" w:space="0" w:color="000000"/>
              <w:bottom w:val="single" w:sz="4" w:space="0" w:color="000000"/>
              <w:right w:val="single" w:sz="4" w:space="0" w:color="000000"/>
            </w:tcBorders>
            <w:noWrap/>
            <w:vAlign w:val="center"/>
          </w:tcPr>
          <w:p w14:paraId="228A4141"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2</w:t>
            </w:r>
          </w:p>
        </w:tc>
      </w:tr>
      <w:tr w:rsidR="00CA1256" w14:paraId="5378B50D"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7B21E500"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single" w:sz="4" w:space="0" w:color="000000"/>
              <w:right w:val="single" w:sz="4" w:space="0" w:color="000000"/>
            </w:tcBorders>
            <w:vAlign w:val="center"/>
          </w:tcPr>
          <w:p w14:paraId="5E5B2F1A" w14:textId="77777777" w:rsidR="00CA1256" w:rsidRDefault="00CA1256">
            <w:pPr>
              <w:snapToGrid w:val="0"/>
              <w:jc w:val="center"/>
              <w:rPr>
                <w:rFonts w:ascii="宋体" w:hAnsi="宋体" w:cs="宋体" w:hint="eastAsia"/>
                <w:color w:val="000000"/>
                <w:sz w:val="20"/>
                <w:szCs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14:paraId="6B2AED42"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会计基础信息完善性</w:t>
            </w:r>
          </w:p>
        </w:tc>
        <w:tc>
          <w:tcPr>
            <w:tcW w:w="1903" w:type="dxa"/>
            <w:tcBorders>
              <w:top w:val="single" w:sz="4" w:space="0" w:color="000000"/>
              <w:left w:val="single" w:sz="4" w:space="0" w:color="000000"/>
              <w:bottom w:val="single" w:sz="4" w:space="0" w:color="000000"/>
              <w:right w:val="single" w:sz="4" w:space="0" w:color="000000"/>
            </w:tcBorders>
            <w:vAlign w:val="center"/>
          </w:tcPr>
          <w:p w14:paraId="68DCDDA2"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会计基础数据信息和会计信息资料真实、完整、准确</w:t>
            </w:r>
          </w:p>
        </w:tc>
        <w:tc>
          <w:tcPr>
            <w:tcW w:w="1928" w:type="dxa"/>
            <w:tcBorders>
              <w:top w:val="single" w:sz="4" w:space="0" w:color="000000"/>
              <w:left w:val="single" w:sz="4" w:space="0" w:color="000000"/>
              <w:bottom w:val="single" w:sz="4" w:space="0" w:color="000000"/>
              <w:right w:val="single" w:sz="4" w:space="0" w:color="000000"/>
            </w:tcBorders>
            <w:vAlign w:val="center"/>
          </w:tcPr>
          <w:p w14:paraId="7C2F75FA"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严格按照相关法律法规要求进行核算，全面、客观如实反映交研院发生的各项经济业务，基础数据信息和会计信息资料真实、完整、准确。</w:t>
            </w:r>
          </w:p>
        </w:tc>
        <w:tc>
          <w:tcPr>
            <w:tcW w:w="531" w:type="dxa"/>
            <w:tcBorders>
              <w:top w:val="single" w:sz="4" w:space="0" w:color="000000"/>
              <w:left w:val="single" w:sz="4" w:space="0" w:color="000000"/>
              <w:bottom w:val="single" w:sz="4" w:space="0" w:color="000000"/>
              <w:right w:val="single" w:sz="4" w:space="0" w:color="000000"/>
            </w:tcBorders>
            <w:noWrap/>
            <w:vAlign w:val="center"/>
          </w:tcPr>
          <w:p w14:paraId="43CDE7C3"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w:t>
            </w:r>
          </w:p>
        </w:tc>
        <w:tc>
          <w:tcPr>
            <w:tcW w:w="648" w:type="dxa"/>
            <w:tcBorders>
              <w:top w:val="single" w:sz="4" w:space="0" w:color="000000"/>
              <w:left w:val="single" w:sz="4" w:space="0" w:color="000000"/>
              <w:bottom w:val="single" w:sz="4" w:space="0" w:color="000000"/>
              <w:right w:val="single" w:sz="4" w:space="0" w:color="000000"/>
            </w:tcBorders>
            <w:noWrap/>
            <w:vAlign w:val="center"/>
          </w:tcPr>
          <w:p w14:paraId="4D410C11"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w:t>
            </w:r>
          </w:p>
        </w:tc>
      </w:tr>
      <w:tr w:rsidR="00CA1256" w14:paraId="494CDDEA"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58C69B7F" w14:textId="77777777" w:rsidR="00CA1256" w:rsidRDefault="00CA1256">
            <w:pPr>
              <w:snapToGrid w:val="0"/>
              <w:jc w:val="center"/>
              <w:rPr>
                <w:rFonts w:ascii="宋体" w:hAnsi="宋体" w:cs="宋体" w:hint="eastAsia"/>
                <w:color w:val="000000"/>
                <w:sz w:val="20"/>
                <w:szCs w:val="20"/>
              </w:rPr>
            </w:pPr>
          </w:p>
        </w:tc>
        <w:tc>
          <w:tcPr>
            <w:tcW w:w="1018" w:type="dxa"/>
            <w:tcBorders>
              <w:top w:val="single" w:sz="4" w:space="0" w:color="000000"/>
              <w:left w:val="single" w:sz="4" w:space="0" w:color="000000"/>
              <w:bottom w:val="single" w:sz="4" w:space="0" w:color="000000"/>
              <w:right w:val="single" w:sz="4" w:space="0" w:color="000000"/>
            </w:tcBorders>
            <w:vAlign w:val="center"/>
          </w:tcPr>
          <w:p w14:paraId="564846EE"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资产管理（4）</w:t>
            </w:r>
          </w:p>
        </w:tc>
        <w:tc>
          <w:tcPr>
            <w:tcW w:w="1881" w:type="dxa"/>
            <w:tcBorders>
              <w:top w:val="single" w:sz="4" w:space="0" w:color="000000"/>
              <w:left w:val="single" w:sz="4" w:space="0" w:color="000000"/>
              <w:bottom w:val="single" w:sz="4" w:space="0" w:color="000000"/>
              <w:right w:val="single" w:sz="4" w:space="0" w:color="000000"/>
            </w:tcBorders>
            <w:vAlign w:val="center"/>
          </w:tcPr>
          <w:p w14:paraId="2DD5F29A"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资产管理规范性</w:t>
            </w:r>
          </w:p>
        </w:tc>
        <w:tc>
          <w:tcPr>
            <w:tcW w:w="1903" w:type="dxa"/>
            <w:tcBorders>
              <w:top w:val="single" w:sz="4" w:space="0" w:color="000000"/>
              <w:left w:val="single" w:sz="4" w:space="0" w:color="000000"/>
              <w:bottom w:val="single" w:sz="4" w:space="0" w:color="000000"/>
              <w:right w:val="single" w:sz="4" w:space="0" w:color="000000"/>
            </w:tcBorders>
            <w:vAlign w:val="center"/>
          </w:tcPr>
          <w:p w14:paraId="03C8C522"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严格执行资产管理制度，对资产进行规范化管理，防范资产出现损失和丢失的情况出现，无特殊情况不超标准配置资产，资产出租出借履行审批手续。资产处置按照要求履行报批、处置程序。</w:t>
            </w:r>
          </w:p>
        </w:tc>
        <w:tc>
          <w:tcPr>
            <w:tcW w:w="1928" w:type="dxa"/>
            <w:tcBorders>
              <w:top w:val="single" w:sz="4" w:space="0" w:color="000000"/>
              <w:left w:val="single" w:sz="4" w:space="0" w:color="000000"/>
              <w:bottom w:val="single" w:sz="4" w:space="0" w:color="000000"/>
              <w:right w:val="single" w:sz="4" w:space="0" w:color="000000"/>
            </w:tcBorders>
            <w:vAlign w:val="center"/>
          </w:tcPr>
          <w:p w14:paraId="483F4BE5"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制订了《基础设施管理程序》，程序主要规范固定资产的分类、购置、领用和处置，同时《内部控制手册》对固定资产购置管理控制流程、固定资产出入库管理控制流程、固定资产维修管理控制流程、固定资产盘点管理控制流程、固定资产报废管理控制流程等内容也进行了明确规定。在固定资产管理过程中，交研院办公室按部门建立了固定资产领用登记账，登记各部门占有固定资产情况，每年定期对固定资产进行全面资产清查、盘点，保证账账相符，账实相符。同时，固定资产购置申请文件、审批文件及购入验收单等文件较为完备，固定资产的处置较为规范、完整。</w:t>
            </w:r>
          </w:p>
        </w:tc>
        <w:tc>
          <w:tcPr>
            <w:tcW w:w="531" w:type="dxa"/>
            <w:tcBorders>
              <w:top w:val="single" w:sz="4" w:space="0" w:color="000000"/>
              <w:left w:val="single" w:sz="4" w:space="0" w:color="000000"/>
              <w:bottom w:val="single" w:sz="4" w:space="0" w:color="000000"/>
              <w:right w:val="single" w:sz="4" w:space="0" w:color="000000"/>
            </w:tcBorders>
            <w:vAlign w:val="center"/>
          </w:tcPr>
          <w:p w14:paraId="3F4F5FEA"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4</w:t>
            </w:r>
          </w:p>
        </w:tc>
        <w:tc>
          <w:tcPr>
            <w:tcW w:w="648" w:type="dxa"/>
            <w:tcBorders>
              <w:top w:val="single" w:sz="4" w:space="0" w:color="000000"/>
              <w:left w:val="single" w:sz="4" w:space="0" w:color="000000"/>
              <w:bottom w:val="single" w:sz="4" w:space="0" w:color="000000"/>
              <w:right w:val="single" w:sz="4" w:space="0" w:color="000000"/>
            </w:tcBorders>
            <w:vAlign w:val="center"/>
          </w:tcPr>
          <w:p w14:paraId="631F7809"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4</w:t>
            </w:r>
          </w:p>
        </w:tc>
      </w:tr>
      <w:tr w:rsidR="00CA1256" w14:paraId="24CDDA2E"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24EA4263" w14:textId="77777777" w:rsidR="00CA1256" w:rsidRDefault="00CA1256">
            <w:pPr>
              <w:snapToGrid w:val="0"/>
              <w:jc w:val="center"/>
              <w:rPr>
                <w:rFonts w:ascii="宋体" w:hAnsi="宋体" w:cs="宋体" w:hint="eastAsia"/>
                <w:color w:val="000000"/>
                <w:sz w:val="20"/>
                <w:szCs w:val="20"/>
              </w:rPr>
            </w:pPr>
          </w:p>
        </w:tc>
        <w:tc>
          <w:tcPr>
            <w:tcW w:w="1018" w:type="dxa"/>
            <w:tcBorders>
              <w:top w:val="single" w:sz="4" w:space="0" w:color="000000"/>
              <w:left w:val="single" w:sz="4" w:space="0" w:color="000000"/>
              <w:bottom w:val="single" w:sz="4" w:space="0" w:color="000000"/>
              <w:right w:val="single" w:sz="4" w:space="0" w:color="000000"/>
            </w:tcBorders>
            <w:vAlign w:val="center"/>
          </w:tcPr>
          <w:p w14:paraId="4A01846A"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绩效管理（4）</w:t>
            </w:r>
          </w:p>
        </w:tc>
        <w:tc>
          <w:tcPr>
            <w:tcW w:w="1881" w:type="dxa"/>
            <w:tcBorders>
              <w:top w:val="single" w:sz="4" w:space="0" w:color="000000"/>
              <w:left w:val="single" w:sz="4" w:space="0" w:color="000000"/>
              <w:bottom w:val="single" w:sz="4" w:space="0" w:color="000000"/>
              <w:right w:val="single" w:sz="4" w:space="0" w:color="000000"/>
            </w:tcBorders>
            <w:vAlign w:val="center"/>
          </w:tcPr>
          <w:p w14:paraId="3741B60B"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绩效管理情况</w:t>
            </w:r>
          </w:p>
        </w:tc>
        <w:tc>
          <w:tcPr>
            <w:tcW w:w="1903" w:type="dxa"/>
            <w:tcBorders>
              <w:top w:val="single" w:sz="4" w:space="0" w:color="000000"/>
              <w:left w:val="single" w:sz="4" w:space="0" w:color="000000"/>
              <w:bottom w:val="single" w:sz="4" w:space="0" w:color="000000"/>
              <w:right w:val="single" w:sz="4" w:space="0" w:color="000000"/>
            </w:tcBorders>
            <w:vAlign w:val="center"/>
          </w:tcPr>
          <w:p w14:paraId="6EF18E2C"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及时对绩效信息进行汇总分析理，对绩效目标偏离情况及时进行正。</w:t>
            </w:r>
          </w:p>
        </w:tc>
        <w:tc>
          <w:tcPr>
            <w:tcW w:w="1928" w:type="dxa"/>
            <w:tcBorders>
              <w:top w:val="single" w:sz="4" w:space="0" w:color="000000"/>
              <w:left w:val="single" w:sz="4" w:space="0" w:color="000000"/>
              <w:bottom w:val="single" w:sz="4" w:space="0" w:color="000000"/>
              <w:right w:val="single" w:sz="4" w:space="0" w:color="000000"/>
            </w:tcBorders>
            <w:vAlign w:val="center"/>
          </w:tcPr>
          <w:p w14:paraId="43E82771"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交研院严格落实预算绩效管理主体责任，扎实推进北京市在预算绩效管理方面的各类工作要求，开展了一系列部门预算绩效管理相关工作。包括绩效目标编制、绩效运行监控、成本绩效分析、绩效评价等。</w:t>
            </w:r>
          </w:p>
        </w:tc>
        <w:tc>
          <w:tcPr>
            <w:tcW w:w="531" w:type="dxa"/>
            <w:tcBorders>
              <w:top w:val="single" w:sz="4" w:space="0" w:color="000000"/>
              <w:left w:val="single" w:sz="4" w:space="0" w:color="000000"/>
              <w:bottom w:val="single" w:sz="4" w:space="0" w:color="000000"/>
              <w:right w:val="single" w:sz="4" w:space="0" w:color="000000"/>
            </w:tcBorders>
            <w:vAlign w:val="center"/>
          </w:tcPr>
          <w:p w14:paraId="3C3E04D3"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4</w:t>
            </w:r>
          </w:p>
        </w:tc>
        <w:tc>
          <w:tcPr>
            <w:tcW w:w="648" w:type="dxa"/>
            <w:tcBorders>
              <w:top w:val="single" w:sz="4" w:space="0" w:color="000000"/>
              <w:left w:val="single" w:sz="4" w:space="0" w:color="000000"/>
              <w:bottom w:val="single" w:sz="4" w:space="0" w:color="000000"/>
              <w:right w:val="single" w:sz="4" w:space="0" w:color="000000"/>
            </w:tcBorders>
            <w:vAlign w:val="center"/>
          </w:tcPr>
          <w:p w14:paraId="324BE646"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4</w:t>
            </w:r>
          </w:p>
        </w:tc>
      </w:tr>
      <w:tr w:rsidR="00CA1256" w14:paraId="330A0E30"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0837ECE2" w14:textId="77777777" w:rsidR="00CA1256" w:rsidRDefault="00CA1256">
            <w:pPr>
              <w:snapToGrid w:val="0"/>
              <w:jc w:val="center"/>
              <w:rPr>
                <w:rFonts w:ascii="宋体" w:hAnsi="宋体" w:cs="宋体" w:hint="eastAsia"/>
                <w:color w:val="000000"/>
                <w:sz w:val="20"/>
                <w:szCs w:val="20"/>
              </w:rPr>
            </w:pPr>
          </w:p>
        </w:tc>
        <w:tc>
          <w:tcPr>
            <w:tcW w:w="1018" w:type="dxa"/>
            <w:tcBorders>
              <w:top w:val="single" w:sz="4" w:space="0" w:color="000000"/>
              <w:left w:val="single" w:sz="4" w:space="0" w:color="000000"/>
              <w:bottom w:val="single" w:sz="4" w:space="0" w:color="000000"/>
              <w:right w:val="single" w:sz="4" w:space="0" w:color="000000"/>
            </w:tcBorders>
            <w:vAlign w:val="center"/>
          </w:tcPr>
          <w:p w14:paraId="6487493B"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 xml:space="preserve">指标　</w:t>
            </w:r>
          </w:p>
        </w:tc>
        <w:tc>
          <w:tcPr>
            <w:tcW w:w="1903" w:type="dxa"/>
            <w:gridSpan w:val="2"/>
            <w:tcBorders>
              <w:top w:val="single" w:sz="4" w:space="0" w:color="000000"/>
              <w:left w:val="single" w:sz="4" w:space="0" w:color="000000"/>
              <w:bottom w:val="single" w:sz="4" w:space="0" w:color="000000"/>
              <w:right w:val="single" w:sz="4" w:space="0" w:color="000000"/>
            </w:tcBorders>
            <w:vAlign w:val="center"/>
          </w:tcPr>
          <w:p w14:paraId="35113FF0"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2023年</w:t>
            </w:r>
          </w:p>
        </w:tc>
        <w:tc>
          <w:tcPr>
            <w:tcW w:w="1928" w:type="dxa"/>
            <w:tcBorders>
              <w:top w:val="single" w:sz="4" w:space="0" w:color="000000"/>
              <w:left w:val="single" w:sz="4" w:space="0" w:color="000000"/>
              <w:bottom w:val="single" w:sz="4" w:space="0" w:color="000000"/>
              <w:right w:val="single" w:sz="4" w:space="0" w:color="000000"/>
            </w:tcBorders>
            <w:vAlign w:val="center"/>
          </w:tcPr>
          <w:p w14:paraId="71CEBC6A"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2024年</w:t>
            </w:r>
          </w:p>
        </w:tc>
        <w:tc>
          <w:tcPr>
            <w:tcW w:w="531" w:type="dxa"/>
            <w:tcBorders>
              <w:top w:val="single" w:sz="4" w:space="0" w:color="000000"/>
              <w:left w:val="single" w:sz="4" w:space="0" w:color="000000"/>
              <w:bottom w:val="single" w:sz="4" w:space="0" w:color="000000"/>
              <w:right w:val="single" w:sz="4" w:space="0" w:color="000000"/>
            </w:tcBorders>
            <w:vAlign w:val="center"/>
          </w:tcPr>
          <w:p w14:paraId="231F33BB"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分值</w:t>
            </w:r>
          </w:p>
        </w:tc>
        <w:tc>
          <w:tcPr>
            <w:tcW w:w="648" w:type="dxa"/>
            <w:tcBorders>
              <w:top w:val="single" w:sz="4" w:space="0" w:color="000000"/>
              <w:left w:val="single" w:sz="4" w:space="0" w:color="000000"/>
              <w:bottom w:val="single" w:sz="4" w:space="0" w:color="000000"/>
              <w:right w:val="single" w:sz="4" w:space="0" w:color="000000"/>
            </w:tcBorders>
            <w:vAlign w:val="center"/>
          </w:tcPr>
          <w:p w14:paraId="7F106545"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得分</w:t>
            </w:r>
          </w:p>
        </w:tc>
      </w:tr>
      <w:tr w:rsidR="00CA1256" w14:paraId="71D0034C" w14:textId="77777777">
        <w:trPr>
          <w:trHeight w:val="312"/>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23CF26AC" w14:textId="77777777" w:rsidR="00CA1256" w:rsidRDefault="00CA1256">
            <w:pPr>
              <w:snapToGrid w:val="0"/>
              <w:jc w:val="center"/>
              <w:rPr>
                <w:rFonts w:ascii="宋体" w:hAnsi="宋体" w:cs="宋体" w:hint="eastAsia"/>
                <w:color w:val="000000"/>
                <w:sz w:val="20"/>
                <w:szCs w:val="20"/>
              </w:rPr>
            </w:pPr>
          </w:p>
        </w:tc>
        <w:tc>
          <w:tcPr>
            <w:tcW w:w="1018" w:type="dxa"/>
            <w:vMerge w:val="restart"/>
            <w:tcBorders>
              <w:top w:val="single" w:sz="4" w:space="0" w:color="000000"/>
              <w:left w:val="single" w:sz="4" w:space="0" w:color="000000"/>
              <w:bottom w:val="single" w:sz="4" w:space="0" w:color="000000"/>
              <w:right w:val="single" w:sz="4" w:space="0" w:color="000000"/>
            </w:tcBorders>
            <w:vAlign w:val="center"/>
          </w:tcPr>
          <w:p w14:paraId="5D0B6927"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结转结余率（4）</w:t>
            </w:r>
          </w:p>
        </w:tc>
        <w:tc>
          <w:tcPr>
            <w:tcW w:w="1903" w:type="dxa"/>
            <w:gridSpan w:val="2"/>
            <w:vMerge w:val="restart"/>
            <w:tcBorders>
              <w:top w:val="single" w:sz="4" w:space="0" w:color="000000"/>
              <w:left w:val="single" w:sz="4" w:space="0" w:color="000000"/>
              <w:bottom w:val="single" w:sz="4" w:space="0" w:color="000000"/>
              <w:right w:val="single" w:sz="4" w:space="0" w:color="000000"/>
            </w:tcBorders>
            <w:vAlign w:val="center"/>
          </w:tcPr>
          <w:p w14:paraId="19CDE0C0"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55.00%</w:t>
            </w:r>
          </w:p>
        </w:tc>
        <w:tc>
          <w:tcPr>
            <w:tcW w:w="1928" w:type="dxa"/>
            <w:vMerge w:val="restart"/>
            <w:tcBorders>
              <w:top w:val="single" w:sz="4" w:space="0" w:color="000000"/>
              <w:left w:val="single" w:sz="4" w:space="0" w:color="000000"/>
              <w:bottom w:val="single" w:sz="4" w:space="0" w:color="000000"/>
              <w:right w:val="single" w:sz="4" w:space="0" w:color="000000"/>
            </w:tcBorders>
            <w:vAlign w:val="center"/>
          </w:tcPr>
          <w:p w14:paraId="0A33E897"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53.31%</w:t>
            </w:r>
          </w:p>
        </w:tc>
        <w:tc>
          <w:tcPr>
            <w:tcW w:w="531" w:type="dxa"/>
            <w:vMerge w:val="restart"/>
            <w:tcBorders>
              <w:top w:val="single" w:sz="4" w:space="0" w:color="000000"/>
              <w:left w:val="single" w:sz="4" w:space="0" w:color="000000"/>
              <w:bottom w:val="single" w:sz="4" w:space="0" w:color="000000"/>
              <w:right w:val="single" w:sz="4" w:space="0" w:color="000000"/>
            </w:tcBorders>
            <w:vAlign w:val="center"/>
          </w:tcPr>
          <w:p w14:paraId="046E9D3C"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4</w:t>
            </w:r>
          </w:p>
        </w:tc>
        <w:tc>
          <w:tcPr>
            <w:tcW w:w="648" w:type="dxa"/>
            <w:vMerge w:val="restart"/>
            <w:tcBorders>
              <w:top w:val="single" w:sz="4" w:space="0" w:color="000000"/>
              <w:left w:val="single" w:sz="4" w:space="0" w:color="000000"/>
              <w:bottom w:val="single" w:sz="4" w:space="0" w:color="000000"/>
              <w:right w:val="single" w:sz="4" w:space="0" w:color="000000"/>
            </w:tcBorders>
            <w:vAlign w:val="center"/>
          </w:tcPr>
          <w:p w14:paraId="2292B900"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4</w:t>
            </w:r>
          </w:p>
        </w:tc>
      </w:tr>
      <w:tr w:rsidR="00CA1256" w14:paraId="05EE21C7" w14:textId="77777777">
        <w:trPr>
          <w:trHeight w:val="312"/>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541B73B1" w14:textId="77777777" w:rsidR="00CA1256" w:rsidRDefault="00CA1256">
            <w:pPr>
              <w:snapToGrid w:val="0"/>
              <w:jc w:val="center"/>
              <w:rPr>
                <w:rFonts w:ascii="宋体" w:hAnsi="宋体" w:cs="宋体" w:hint="eastAsia"/>
                <w:color w:val="000000"/>
                <w:sz w:val="20"/>
                <w:szCs w:val="20"/>
              </w:rPr>
            </w:pPr>
          </w:p>
        </w:tc>
        <w:tc>
          <w:tcPr>
            <w:tcW w:w="1018" w:type="dxa"/>
            <w:vMerge/>
            <w:tcBorders>
              <w:top w:val="single" w:sz="4" w:space="0" w:color="000000"/>
              <w:left w:val="single" w:sz="4" w:space="0" w:color="000000"/>
              <w:bottom w:val="single" w:sz="4" w:space="0" w:color="000000"/>
              <w:right w:val="single" w:sz="4" w:space="0" w:color="000000"/>
            </w:tcBorders>
            <w:vAlign w:val="center"/>
          </w:tcPr>
          <w:p w14:paraId="3C323B85" w14:textId="77777777" w:rsidR="00CA1256" w:rsidRDefault="00CA1256">
            <w:pPr>
              <w:snapToGrid w:val="0"/>
              <w:jc w:val="center"/>
              <w:rPr>
                <w:rFonts w:ascii="宋体" w:hAnsi="宋体" w:cs="宋体" w:hint="eastAsia"/>
                <w:color w:val="000000"/>
                <w:sz w:val="20"/>
                <w:szCs w:val="20"/>
              </w:rPr>
            </w:pPr>
          </w:p>
        </w:tc>
        <w:tc>
          <w:tcPr>
            <w:tcW w:w="1903" w:type="dxa"/>
            <w:gridSpan w:val="2"/>
            <w:vMerge/>
            <w:tcBorders>
              <w:top w:val="single" w:sz="4" w:space="0" w:color="000000"/>
              <w:left w:val="single" w:sz="4" w:space="0" w:color="000000"/>
              <w:bottom w:val="single" w:sz="4" w:space="0" w:color="000000"/>
              <w:right w:val="single" w:sz="4" w:space="0" w:color="000000"/>
            </w:tcBorders>
            <w:vAlign w:val="center"/>
          </w:tcPr>
          <w:p w14:paraId="6E223E92" w14:textId="77777777" w:rsidR="00CA1256" w:rsidRDefault="00CA1256">
            <w:pPr>
              <w:snapToGrid w:val="0"/>
              <w:jc w:val="center"/>
              <w:rPr>
                <w:rFonts w:ascii="宋体" w:hAnsi="宋体" w:cs="宋体" w:hint="eastAsia"/>
                <w:color w:val="000000"/>
                <w:sz w:val="20"/>
                <w:szCs w:val="20"/>
              </w:rPr>
            </w:pPr>
          </w:p>
        </w:tc>
        <w:tc>
          <w:tcPr>
            <w:tcW w:w="1928" w:type="dxa"/>
            <w:vMerge/>
            <w:tcBorders>
              <w:top w:val="single" w:sz="4" w:space="0" w:color="000000"/>
              <w:left w:val="single" w:sz="4" w:space="0" w:color="000000"/>
              <w:bottom w:val="single" w:sz="4" w:space="0" w:color="000000"/>
              <w:right w:val="single" w:sz="4" w:space="0" w:color="000000"/>
            </w:tcBorders>
            <w:vAlign w:val="center"/>
          </w:tcPr>
          <w:p w14:paraId="32C75E67" w14:textId="77777777" w:rsidR="00CA1256" w:rsidRDefault="00CA1256">
            <w:pPr>
              <w:snapToGrid w:val="0"/>
              <w:jc w:val="center"/>
              <w:rPr>
                <w:rFonts w:ascii="宋体" w:hAnsi="宋体" w:cs="宋体" w:hint="eastAsia"/>
                <w:color w:val="000000"/>
                <w:sz w:val="20"/>
                <w:szCs w:val="20"/>
              </w:rPr>
            </w:pPr>
          </w:p>
        </w:tc>
        <w:tc>
          <w:tcPr>
            <w:tcW w:w="531" w:type="dxa"/>
            <w:vMerge/>
            <w:tcBorders>
              <w:top w:val="single" w:sz="4" w:space="0" w:color="000000"/>
              <w:left w:val="single" w:sz="4" w:space="0" w:color="000000"/>
              <w:bottom w:val="single" w:sz="4" w:space="0" w:color="000000"/>
              <w:right w:val="single" w:sz="4" w:space="0" w:color="000000"/>
            </w:tcBorders>
            <w:vAlign w:val="center"/>
          </w:tcPr>
          <w:p w14:paraId="257D5688" w14:textId="77777777" w:rsidR="00CA1256" w:rsidRDefault="00CA1256">
            <w:pPr>
              <w:snapToGrid w:val="0"/>
              <w:jc w:val="center"/>
              <w:rPr>
                <w:rFonts w:ascii="宋体" w:hAnsi="宋体" w:cs="宋体" w:hint="eastAsia"/>
                <w:color w:val="000000"/>
                <w:sz w:val="20"/>
                <w:szCs w:val="20"/>
              </w:rPr>
            </w:pPr>
          </w:p>
        </w:tc>
        <w:tc>
          <w:tcPr>
            <w:tcW w:w="648" w:type="dxa"/>
            <w:vMerge/>
            <w:tcBorders>
              <w:top w:val="single" w:sz="4" w:space="0" w:color="000000"/>
              <w:left w:val="single" w:sz="4" w:space="0" w:color="000000"/>
              <w:bottom w:val="single" w:sz="4" w:space="0" w:color="000000"/>
              <w:right w:val="single" w:sz="4" w:space="0" w:color="000000"/>
            </w:tcBorders>
            <w:vAlign w:val="center"/>
          </w:tcPr>
          <w:p w14:paraId="546D7353" w14:textId="77777777" w:rsidR="00CA1256" w:rsidRDefault="00CA1256">
            <w:pPr>
              <w:snapToGrid w:val="0"/>
              <w:jc w:val="center"/>
              <w:rPr>
                <w:rFonts w:ascii="宋体" w:hAnsi="宋体" w:cs="宋体" w:hint="eastAsia"/>
                <w:color w:val="000000"/>
                <w:sz w:val="20"/>
                <w:szCs w:val="20"/>
              </w:rPr>
            </w:pPr>
          </w:p>
        </w:tc>
      </w:tr>
      <w:tr w:rsidR="00CA1256" w14:paraId="287302C3" w14:textId="77777777">
        <w:trPr>
          <w:jc w:val="center"/>
        </w:trPr>
        <w:tc>
          <w:tcPr>
            <w:tcW w:w="2997" w:type="dxa"/>
            <w:vMerge/>
            <w:tcBorders>
              <w:top w:val="single" w:sz="4" w:space="0" w:color="000000"/>
              <w:left w:val="single" w:sz="4" w:space="0" w:color="000000"/>
              <w:bottom w:val="single" w:sz="4" w:space="0" w:color="000000"/>
              <w:right w:val="single" w:sz="4" w:space="0" w:color="000000"/>
            </w:tcBorders>
            <w:vAlign w:val="center"/>
          </w:tcPr>
          <w:p w14:paraId="1B9294FB" w14:textId="77777777" w:rsidR="00CA1256" w:rsidRDefault="00CA1256">
            <w:pPr>
              <w:snapToGrid w:val="0"/>
              <w:jc w:val="center"/>
              <w:rPr>
                <w:rFonts w:ascii="宋体" w:hAnsi="宋体" w:cs="宋体" w:hint="eastAsia"/>
                <w:b/>
                <w:color w:val="000000"/>
                <w:sz w:val="20"/>
                <w:szCs w:val="20"/>
              </w:rPr>
            </w:pPr>
          </w:p>
        </w:tc>
        <w:tc>
          <w:tcPr>
            <w:tcW w:w="1018" w:type="dxa"/>
            <w:tcBorders>
              <w:top w:val="single" w:sz="4" w:space="0" w:color="000000"/>
              <w:left w:val="single" w:sz="4" w:space="0" w:color="000000"/>
              <w:bottom w:val="single" w:sz="4" w:space="0" w:color="000000"/>
              <w:right w:val="single" w:sz="4" w:space="0" w:color="000000"/>
            </w:tcBorders>
            <w:vAlign w:val="center"/>
          </w:tcPr>
          <w:p w14:paraId="616A11CF" w14:textId="77777777" w:rsidR="00CA1256" w:rsidRDefault="007F4B67">
            <w:pPr>
              <w:widowControl/>
              <w:snapToGrid w:val="0"/>
              <w:jc w:val="center"/>
              <w:textAlignment w:val="center"/>
              <w:rPr>
                <w:rFonts w:ascii="宋体" w:hAnsi="宋体" w:cs="宋体" w:hint="eastAsia"/>
                <w:b/>
                <w:color w:val="000000"/>
                <w:sz w:val="20"/>
                <w:szCs w:val="20"/>
              </w:rPr>
            </w:pPr>
            <w:r>
              <w:rPr>
                <w:rFonts w:ascii="宋体" w:hAnsi="宋体" w:cs="宋体" w:hint="eastAsia"/>
                <w:b/>
                <w:color w:val="000000"/>
                <w:kern w:val="0"/>
                <w:sz w:val="20"/>
                <w:szCs w:val="20"/>
              </w:rPr>
              <w:t>部门预决算差异率（4）</w:t>
            </w:r>
          </w:p>
        </w:tc>
        <w:tc>
          <w:tcPr>
            <w:tcW w:w="1903" w:type="dxa"/>
            <w:gridSpan w:val="2"/>
            <w:tcBorders>
              <w:top w:val="single" w:sz="4" w:space="0" w:color="000000"/>
              <w:left w:val="single" w:sz="4" w:space="0" w:color="000000"/>
              <w:bottom w:val="single" w:sz="4" w:space="0" w:color="000000"/>
              <w:right w:val="single" w:sz="4" w:space="0" w:color="000000"/>
            </w:tcBorders>
            <w:vAlign w:val="center"/>
          </w:tcPr>
          <w:p w14:paraId="3D3A2DFB" w14:textId="77777777" w:rsidR="00CA1256" w:rsidRDefault="007F4B67">
            <w:pPr>
              <w:widowControl/>
              <w:snapToGrid w:val="0"/>
              <w:jc w:val="center"/>
              <w:textAlignment w:val="center"/>
              <w:rPr>
                <w:rFonts w:ascii="宋体" w:hAnsi="宋体" w:cs="宋体" w:hint="eastAsia"/>
                <w:b/>
                <w:color w:val="000000"/>
                <w:sz w:val="20"/>
                <w:szCs w:val="20"/>
              </w:rPr>
            </w:pPr>
            <w:r>
              <w:rPr>
                <w:rFonts w:ascii="宋体" w:hAnsi="宋体" w:cs="宋体" w:hint="eastAsia"/>
                <w:b/>
                <w:color w:val="000000"/>
                <w:kern w:val="0"/>
                <w:sz w:val="20"/>
                <w:szCs w:val="20"/>
              </w:rPr>
              <w:t>45.00%</w:t>
            </w:r>
          </w:p>
        </w:tc>
        <w:tc>
          <w:tcPr>
            <w:tcW w:w="1928" w:type="dxa"/>
            <w:tcBorders>
              <w:top w:val="single" w:sz="4" w:space="0" w:color="000000"/>
              <w:left w:val="single" w:sz="4" w:space="0" w:color="000000"/>
              <w:bottom w:val="single" w:sz="4" w:space="0" w:color="000000"/>
              <w:right w:val="single" w:sz="4" w:space="0" w:color="000000"/>
            </w:tcBorders>
            <w:vAlign w:val="center"/>
          </w:tcPr>
          <w:p w14:paraId="7C02D2B7" w14:textId="77777777" w:rsidR="00CA1256" w:rsidRDefault="007F4B67">
            <w:pPr>
              <w:widowControl/>
              <w:snapToGrid w:val="0"/>
              <w:jc w:val="center"/>
              <w:textAlignment w:val="center"/>
              <w:rPr>
                <w:rFonts w:ascii="宋体" w:hAnsi="宋体" w:cs="宋体" w:hint="eastAsia"/>
                <w:b/>
                <w:color w:val="000000"/>
                <w:sz w:val="20"/>
                <w:szCs w:val="20"/>
              </w:rPr>
            </w:pPr>
            <w:r>
              <w:rPr>
                <w:rFonts w:ascii="宋体" w:hAnsi="宋体" w:cs="宋体" w:hint="eastAsia"/>
                <w:b/>
                <w:color w:val="000000"/>
                <w:kern w:val="0"/>
                <w:sz w:val="20"/>
                <w:szCs w:val="20"/>
              </w:rPr>
              <w:t>46.69%</w:t>
            </w:r>
          </w:p>
        </w:tc>
        <w:tc>
          <w:tcPr>
            <w:tcW w:w="531" w:type="dxa"/>
            <w:tcBorders>
              <w:top w:val="single" w:sz="4" w:space="0" w:color="000000"/>
              <w:left w:val="single" w:sz="4" w:space="0" w:color="000000"/>
              <w:bottom w:val="single" w:sz="4" w:space="0" w:color="000000"/>
              <w:right w:val="single" w:sz="4" w:space="0" w:color="000000"/>
            </w:tcBorders>
            <w:vAlign w:val="center"/>
          </w:tcPr>
          <w:p w14:paraId="135AC333" w14:textId="77777777" w:rsidR="00CA1256" w:rsidRDefault="007F4B67">
            <w:pPr>
              <w:widowControl/>
              <w:snapToGrid w:val="0"/>
              <w:jc w:val="center"/>
              <w:textAlignment w:val="center"/>
              <w:rPr>
                <w:rFonts w:ascii="宋体" w:hAnsi="宋体" w:cs="宋体" w:hint="eastAsia"/>
                <w:b/>
                <w:color w:val="000000"/>
                <w:sz w:val="20"/>
                <w:szCs w:val="20"/>
              </w:rPr>
            </w:pPr>
            <w:r>
              <w:rPr>
                <w:rFonts w:ascii="宋体" w:hAnsi="宋体" w:cs="宋体" w:hint="eastAsia"/>
                <w:b/>
                <w:color w:val="000000"/>
                <w:kern w:val="0"/>
                <w:sz w:val="20"/>
                <w:szCs w:val="20"/>
              </w:rPr>
              <w:t>4</w:t>
            </w:r>
          </w:p>
        </w:tc>
        <w:tc>
          <w:tcPr>
            <w:tcW w:w="648" w:type="dxa"/>
            <w:tcBorders>
              <w:top w:val="single" w:sz="4" w:space="0" w:color="000000"/>
              <w:left w:val="single" w:sz="4" w:space="0" w:color="000000"/>
              <w:bottom w:val="single" w:sz="4" w:space="0" w:color="000000"/>
              <w:right w:val="single" w:sz="4" w:space="0" w:color="000000"/>
            </w:tcBorders>
            <w:vAlign w:val="center"/>
          </w:tcPr>
          <w:p w14:paraId="1BFF33CD" w14:textId="77777777" w:rsidR="00CA1256" w:rsidRDefault="007F4B67">
            <w:pPr>
              <w:widowControl/>
              <w:snapToGrid w:val="0"/>
              <w:jc w:val="center"/>
              <w:textAlignment w:val="center"/>
              <w:rPr>
                <w:rFonts w:ascii="宋体" w:hAnsi="宋体" w:cs="宋体" w:hint="eastAsia"/>
                <w:b/>
                <w:color w:val="000000"/>
                <w:sz w:val="20"/>
                <w:szCs w:val="20"/>
              </w:rPr>
            </w:pPr>
            <w:r>
              <w:rPr>
                <w:rFonts w:ascii="宋体" w:hAnsi="宋体" w:cs="宋体" w:hint="eastAsia"/>
                <w:b/>
                <w:color w:val="000000"/>
                <w:kern w:val="0"/>
                <w:sz w:val="20"/>
                <w:szCs w:val="20"/>
              </w:rPr>
              <w:t>3.4</w:t>
            </w:r>
          </w:p>
        </w:tc>
      </w:tr>
      <w:tr w:rsidR="00CA1256" w14:paraId="7C5DEEF0" w14:textId="77777777">
        <w:trPr>
          <w:jc w:val="center"/>
        </w:trPr>
        <w:tc>
          <w:tcPr>
            <w:tcW w:w="1928" w:type="dxa"/>
            <w:gridSpan w:val="5"/>
            <w:tcBorders>
              <w:top w:val="single" w:sz="4" w:space="0" w:color="000000"/>
              <w:left w:val="single" w:sz="4" w:space="0" w:color="000000"/>
              <w:bottom w:val="single" w:sz="4" w:space="0" w:color="000000"/>
              <w:right w:val="single" w:sz="4" w:space="0" w:color="000000"/>
            </w:tcBorders>
            <w:vAlign w:val="center"/>
          </w:tcPr>
          <w:p w14:paraId="5F3DAAA9"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合计</w:t>
            </w:r>
          </w:p>
        </w:tc>
        <w:tc>
          <w:tcPr>
            <w:tcW w:w="531" w:type="dxa"/>
            <w:tcBorders>
              <w:top w:val="single" w:sz="4" w:space="0" w:color="000000"/>
              <w:left w:val="single" w:sz="4" w:space="0" w:color="000000"/>
              <w:bottom w:val="single" w:sz="4" w:space="0" w:color="000000"/>
              <w:right w:val="single" w:sz="4" w:space="0" w:color="000000"/>
            </w:tcBorders>
            <w:vAlign w:val="center"/>
          </w:tcPr>
          <w:p w14:paraId="5BC8FB98"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100</w:t>
            </w:r>
          </w:p>
        </w:tc>
        <w:tc>
          <w:tcPr>
            <w:tcW w:w="648" w:type="dxa"/>
            <w:tcBorders>
              <w:top w:val="single" w:sz="4" w:space="0" w:color="000000"/>
              <w:left w:val="single" w:sz="4" w:space="0" w:color="000000"/>
              <w:bottom w:val="single" w:sz="4" w:space="0" w:color="000000"/>
              <w:right w:val="single" w:sz="4" w:space="0" w:color="000000"/>
            </w:tcBorders>
            <w:vAlign w:val="center"/>
          </w:tcPr>
          <w:p w14:paraId="4868ED21" w14:textId="77777777" w:rsidR="00CA1256" w:rsidRDefault="007F4B67">
            <w:pPr>
              <w:widowControl/>
              <w:snapToGrid w:val="0"/>
              <w:jc w:val="center"/>
              <w:textAlignment w:val="center"/>
              <w:rPr>
                <w:rFonts w:ascii="宋体" w:hAnsi="宋体" w:cs="宋体" w:hint="eastAsia"/>
                <w:color w:val="000000"/>
                <w:sz w:val="20"/>
                <w:szCs w:val="20"/>
              </w:rPr>
            </w:pPr>
            <w:r>
              <w:rPr>
                <w:rFonts w:ascii="宋体" w:hAnsi="宋体" w:cs="宋体" w:hint="eastAsia"/>
                <w:color w:val="000000"/>
                <w:kern w:val="0"/>
                <w:sz w:val="20"/>
                <w:szCs w:val="20"/>
              </w:rPr>
              <w:t xml:space="preserve">87.67 </w:t>
            </w:r>
          </w:p>
        </w:tc>
      </w:tr>
    </w:tbl>
    <w:p w14:paraId="3AA4793B" w14:textId="77777777" w:rsidR="00CA1256" w:rsidRDefault="00CA1256">
      <w:pPr>
        <w:pStyle w:val="af3"/>
        <w:outlineLvl w:val="9"/>
        <w:rPr>
          <w:rFonts w:hint="eastAsia"/>
        </w:rPr>
      </w:pPr>
    </w:p>
    <w:sectPr w:rsidR="00CA1256" w:rsidSect="00CA1256">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A13D83" w14:textId="77777777" w:rsidR="007F4B67" w:rsidRDefault="007F4B67" w:rsidP="00CA1256">
      <w:r>
        <w:separator/>
      </w:r>
    </w:p>
  </w:endnote>
  <w:endnote w:type="continuationSeparator" w:id="0">
    <w:p w14:paraId="3B759F31" w14:textId="77777777" w:rsidR="007F4B67" w:rsidRDefault="007F4B67" w:rsidP="00CA1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_GB2312">
    <w:altName w:val="微软雅黑"/>
    <w:charset w:val="86"/>
    <w:family w:val="modern"/>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altName w:val="Arial Unicode MS"/>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0413C" w14:textId="77777777" w:rsidR="00CA1256" w:rsidRDefault="00612396">
    <w:pPr>
      <w:pStyle w:val="a9"/>
      <w:jc w:val="center"/>
    </w:pPr>
    <w:r>
      <w:pict w14:anchorId="5BE62D77">
        <v:shapetype id="_x0000_t202" coordsize="21600,21600" o:spt="202" path="m,l,21600r21600,l21600,xe">
          <v:stroke joinstyle="miter"/>
          <v:path gradientshapeok="t" o:connecttype="rect"/>
        </v:shapetype>
        <v:shape id="文本框 4" o:spid="_x0000_s3073" type="#_x0000_t202" style="position:absolute;left:0;text-align:left;margin-left:0;margin-top:0;width:17.3pt;height:10.35pt;z-index:251659264;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" filled="f" stroked="f" strokeweight=".5pt">
          <v:textbox style="mso-fit-shape-to-text:t" inset="0,0,0,0">
            <w:txbxContent>
              <w:p w14:paraId="286B1509" w14:textId="77777777" w:rsidR="00CA1256" w:rsidRDefault="00CA1256">
                <w:pPr>
                  <w:pStyle w:val="a9"/>
                </w:pPr>
                <w:r>
                  <w:fldChar w:fldCharType="begin"/>
                </w:r>
                <w:r w:rsidR="007F4B67">
                  <w:instrText xml:space="preserve"> PAGE  \* MERGEFORMAT </w:instrText>
                </w:r>
                <w:r>
                  <w:fldChar w:fldCharType="separate"/>
                </w:r>
                <w:r w:rsidR="00EC7FED">
                  <w:rPr>
                    <w:noProof/>
                  </w:rPr>
                  <w:t>3</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615D9" w14:textId="77777777" w:rsidR="007F4B67" w:rsidRDefault="007F4B67" w:rsidP="00CA1256">
      <w:r>
        <w:separator/>
      </w:r>
    </w:p>
  </w:footnote>
  <w:footnote w:type="continuationSeparator" w:id="0">
    <w:p w14:paraId="42EBD253" w14:textId="77777777" w:rsidR="007F4B67" w:rsidRDefault="007F4B67" w:rsidP="00CA12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clean"/>
  <w:trackRevisions/>
  <w:defaultTabStop w:val="420"/>
  <w:drawingGridVerticalSpacing w:val="156"/>
  <w:noPunctuationKerning/>
  <w:characterSpacingControl w:val="compressPunctuation"/>
  <w:hdrShapeDefaults>
    <o:shapedefaults v:ext="edit" spidmax="4098"/>
    <o:shapelayout v:ext="edit">
      <o:idmap v:ext="edit" data="1,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Setting w:name="useWord2013TrackBottomHyphenation" w:uri="http://schemas.microsoft.com/office/word" w:val="1"/>
  </w:compat>
  <w:docVars>
    <w:docVar w:name="commondata" w:val="eyJoZGlkIjoiY2Y1OTc2NTM1MTA1OTJhYmJhYmViMThhNDFmMDIwMjIifQ=="/>
  </w:docVars>
  <w:rsids>
    <w:rsidRoot w:val="009E3C63"/>
    <w:rsid w:val="CB7042CC"/>
    <w:rsid w:val="CD7E060C"/>
    <w:rsid w:val="DDFA829E"/>
    <w:rsid w:val="FFF63B08"/>
    <w:rsid w:val="000002D1"/>
    <w:rsid w:val="00000509"/>
    <w:rsid w:val="00001843"/>
    <w:rsid w:val="0000271B"/>
    <w:rsid w:val="00003047"/>
    <w:rsid w:val="00005E27"/>
    <w:rsid w:val="000071A3"/>
    <w:rsid w:val="0000798C"/>
    <w:rsid w:val="00012F2A"/>
    <w:rsid w:val="00013529"/>
    <w:rsid w:val="000138DF"/>
    <w:rsid w:val="00015C30"/>
    <w:rsid w:val="00016732"/>
    <w:rsid w:val="000200FB"/>
    <w:rsid w:val="00021529"/>
    <w:rsid w:val="00022DED"/>
    <w:rsid w:val="000232CE"/>
    <w:rsid w:val="000254B3"/>
    <w:rsid w:val="00026C1B"/>
    <w:rsid w:val="00026C6E"/>
    <w:rsid w:val="00027A41"/>
    <w:rsid w:val="000319BC"/>
    <w:rsid w:val="00033552"/>
    <w:rsid w:val="00033F52"/>
    <w:rsid w:val="00034BA6"/>
    <w:rsid w:val="00034E36"/>
    <w:rsid w:val="00034FBF"/>
    <w:rsid w:val="00035338"/>
    <w:rsid w:val="000400A0"/>
    <w:rsid w:val="00040737"/>
    <w:rsid w:val="00041A97"/>
    <w:rsid w:val="000421D5"/>
    <w:rsid w:val="00045CB0"/>
    <w:rsid w:val="00045EF3"/>
    <w:rsid w:val="000512FF"/>
    <w:rsid w:val="000514BF"/>
    <w:rsid w:val="00052689"/>
    <w:rsid w:val="00052943"/>
    <w:rsid w:val="00052B84"/>
    <w:rsid w:val="00053082"/>
    <w:rsid w:val="0005541B"/>
    <w:rsid w:val="00057270"/>
    <w:rsid w:val="000671DD"/>
    <w:rsid w:val="000677CE"/>
    <w:rsid w:val="00067F4A"/>
    <w:rsid w:val="00072DA0"/>
    <w:rsid w:val="00072E9B"/>
    <w:rsid w:val="000759A4"/>
    <w:rsid w:val="00075FA3"/>
    <w:rsid w:val="00084B65"/>
    <w:rsid w:val="00090849"/>
    <w:rsid w:val="000908D9"/>
    <w:rsid w:val="000928C2"/>
    <w:rsid w:val="000929A6"/>
    <w:rsid w:val="000934B2"/>
    <w:rsid w:val="000975B5"/>
    <w:rsid w:val="000A0F54"/>
    <w:rsid w:val="000A141F"/>
    <w:rsid w:val="000A17E2"/>
    <w:rsid w:val="000A447D"/>
    <w:rsid w:val="000A482E"/>
    <w:rsid w:val="000A56F2"/>
    <w:rsid w:val="000A71FC"/>
    <w:rsid w:val="000A7628"/>
    <w:rsid w:val="000A7B1A"/>
    <w:rsid w:val="000B2FF3"/>
    <w:rsid w:val="000B31C3"/>
    <w:rsid w:val="000B3DE8"/>
    <w:rsid w:val="000B521A"/>
    <w:rsid w:val="000B54C3"/>
    <w:rsid w:val="000C1DBA"/>
    <w:rsid w:val="000C3C10"/>
    <w:rsid w:val="000D090A"/>
    <w:rsid w:val="000D1276"/>
    <w:rsid w:val="000D4D7B"/>
    <w:rsid w:val="000D5293"/>
    <w:rsid w:val="000D64C7"/>
    <w:rsid w:val="000D6F1A"/>
    <w:rsid w:val="000E088B"/>
    <w:rsid w:val="000E2B43"/>
    <w:rsid w:val="000E52C4"/>
    <w:rsid w:val="000E7DBB"/>
    <w:rsid w:val="000F04F9"/>
    <w:rsid w:val="000F342E"/>
    <w:rsid w:val="000F3813"/>
    <w:rsid w:val="000F476E"/>
    <w:rsid w:val="000F70DC"/>
    <w:rsid w:val="000F71D5"/>
    <w:rsid w:val="001031EF"/>
    <w:rsid w:val="00104094"/>
    <w:rsid w:val="00104473"/>
    <w:rsid w:val="00104798"/>
    <w:rsid w:val="001049AD"/>
    <w:rsid w:val="00104F7F"/>
    <w:rsid w:val="001054BE"/>
    <w:rsid w:val="00105E30"/>
    <w:rsid w:val="001073DC"/>
    <w:rsid w:val="00111B62"/>
    <w:rsid w:val="00113144"/>
    <w:rsid w:val="0011510A"/>
    <w:rsid w:val="00116332"/>
    <w:rsid w:val="0012155A"/>
    <w:rsid w:val="00124F9F"/>
    <w:rsid w:val="00130258"/>
    <w:rsid w:val="001365B9"/>
    <w:rsid w:val="00140502"/>
    <w:rsid w:val="001416A6"/>
    <w:rsid w:val="00144FCB"/>
    <w:rsid w:val="001459B7"/>
    <w:rsid w:val="00150A58"/>
    <w:rsid w:val="00150C93"/>
    <w:rsid w:val="001520EE"/>
    <w:rsid w:val="001537DF"/>
    <w:rsid w:val="001538B1"/>
    <w:rsid w:val="00153DE0"/>
    <w:rsid w:val="00155F5B"/>
    <w:rsid w:val="00161B8D"/>
    <w:rsid w:val="00161BAB"/>
    <w:rsid w:val="00162BDF"/>
    <w:rsid w:val="00164B2B"/>
    <w:rsid w:val="00167B6D"/>
    <w:rsid w:val="00170366"/>
    <w:rsid w:val="00170F48"/>
    <w:rsid w:val="00174E35"/>
    <w:rsid w:val="0017624C"/>
    <w:rsid w:val="0018441C"/>
    <w:rsid w:val="00185FDD"/>
    <w:rsid w:val="0018661E"/>
    <w:rsid w:val="001871E9"/>
    <w:rsid w:val="00190F68"/>
    <w:rsid w:val="00192AF1"/>
    <w:rsid w:val="001947A8"/>
    <w:rsid w:val="001A0ACB"/>
    <w:rsid w:val="001A1E0B"/>
    <w:rsid w:val="001A31DE"/>
    <w:rsid w:val="001A49DC"/>
    <w:rsid w:val="001A6242"/>
    <w:rsid w:val="001A6851"/>
    <w:rsid w:val="001A6E4B"/>
    <w:rsid w:val="001B01B8"/>
    <w:rsid w:val="001B4819"/>
    <w:rsid w:val="001B5D8F"/>
    <w:rsid w:val="001B7737"/>
    <w:rsid w:val="001B7C71"/>
    <w:rsid w:val="001C0594"/>
    <w:rsid w:val="001C059A"/>
    <w:rsid w:val="001C0955"/>
    <w:rsid w:val="001C0F38"/>
    <w:rsid w:val="001C5409"/>
    <w:rsid w:val="001C5D59"/>
    <w:rsid w:val="001C6FC4"/>
    <w:rsid w:val="001C7B59"/>
    <w:rsid w:val="001C7CB7"/>
    <w:rsid w:val="001D1A9F"/>
    <w:rsid w:val="001D1B7E"/>
    <w:rsid w:val="001D30C8"/>
    <w:rsid w:val="001D382C"/>
    <w:rsid w:val="001D64DE"/>
    <w:rsid w:val="001D68F7"/>
    <w:rsid w:val="001D79A3"/>
    <w:rsid w:val="001E088D"/>
    <w:rsid w:val="001E30C8"/>
    <w:rsid w:val="001E3158"/>
    <w:rsid w:val="001E3AB2"/>
    <w:rsid w:val="001E3B5B"/>
    <w:rsid w:val="001E3E1C"/>
    <w:rsid w:val="001E563F"/>
    <w:rsid w:val="001E6782"/>
    <w:rsid w:val="001F4A0E"/>
    <w:rsid w:val="001F6ACF"/>
    <w:rsid w:val="002034A8"/>
    <w:rsid w:val="00206BF0"/>
    <w:rsid w:val="00207607"/>
    <w:rsid w:val="002171D9"/>
    <w:rsid w:val="0022578E"/>
    <w:rsid w:val="00227583"/>
    <w:rsid w:val="00227590"/>
    <w:rsid w:val="00230E0E"/>
    <w:rsid w:val="00232A2E"/>
    <w:rsid w:val="0023396D"/>
    <w:rsid w:val="00234D6C"/>
    <w:rsid w:val="002365C1"/>
    <w:rsid w:val="002406B0"/>
    <w:rsid w:val="0024109A"/>
    <w:rsid w:val="00246438"/>
    <w:rsid w:val="00246B92"/>
    <w:rsid w:val="00247003"/>
    <w:rsid w:val="00250922"/>
    <w:rsid w:val="002529FD"/>
    <w:rsid w:val="00253EE9"/>
    <w:rsid w:val="00257700"/>
    <w:rsid w:val="0025787B"/>
    <w:rsid w:val="00257D22"/>
    <w:rsid w:val="002614EE"/>
    <w:rsid w:val="00261579"/>
    <w:rsid w:val="00262E0F"/>
    <w:rsid w:val="002654DE"/>
    <w:rsid w:val="002658FD"/>
    <w:rsid w:val="00266A8B"/>
    <w:rsid w:val="0026703B"/>
    <w:rsid w:val="00267817"/>
    <w:rsid w:val="00267CB6"/>
    <w:rsid w:val="002709D3"/>
    <w:rsid w:val="00270C54"/>
    <w:rsid w:val="002714C5"/>
    <w:rsid w:val="00280876"/>
    <w:rsid w:val="00281518"/>
    <w:rsid w:val="00283C8E"/>
    <w:rsid w:val="00286BDE"/>
    <w:rsid w:val="00287584"/>
    <w:rsid w:val="00290185"/>
    <w:rsid w:val="0029410A"/>
    <w:rsid w:val="00294197"/>
    <w:rsid w:val="0029773A"/>
    <w:rsid w:val="00297B65"/>
    <w:rsid w:val="002A09CF"/>
    <w:rsid w:val="002A139A"/>
    <w:rsid w:val="002A2E4B"/>
    <w:rsid w:val="002A3825"/>
    <w:rsid w:val="002A44DA"/>
    <w:rsid w:val="002A6E1F"/>
    <w:rsid w:val="002A6FDD"/>
    <w:rsid w:val="002A7E96"/>
    <w:rsid w:val="002B0CFE"/>
    <w:rsid w:val="002B2937"/>
    <w:rsid w:val="002B2BA6"/>
    <w:rsid w:val="002B3208"/>
    <w:rsid w:val="002B3E7E"/>
    <w:rsid w:val="002B6377"/>
    <w:rsid w:val="002B70BC"/>
    <w:rsid w:val="002C04F5"/>
    <w:rsid w:val="002C321C"/>
    <w:rsid w:val="002C366B"/>
    <w:rsid w:val="002C45B2"/>
    <w:rsid w:val="002C775B"/>
    <w:rsid w:val="002D040A"/>
    <w:rsid w:val="002D1748"/>
    <w:rsid w:val="002D2085"/>
    <w:rsid w:val="002D283C"/>
    <w:rsid w:val="002D3FA8"/>
    <w:rsid w:val="002D40F3"/>
    <w:rsid w:val="002D727E"/>
    <w:rsid w:val="002E17C6"/>
    <w:rsid w:val="002E1BD1"/>
    <w:rsid w:val="002E4B42"/>
    <w:rsid w:val="002E66B8"/>
    <w:rsid w:val="002F1558"/>
    <w:rsid w:val="002F1A34"/>
    <w:rsid w:val="002F26BB"/>
    <w:rsid w:val="002F3451"/>
    <w:rsid w:val="002F6366"/>
    <w:rsid w:val="002F6945"/>
    <w:rsid w:val="00303AA1"/>
    <w:rsid w:val="00306504"/>
    <w:rsid w:val="00312DF1"/>
    <w:rsid w:val="00314640"/>
    <w:rsid w:val="00315F0E"/>
    <w:rsid w:val="00317676"/>
    <w:rsid w:val="00317C16"/>
    <w:rsid w:val="00320FA5"/>
    <w:rsid w:val="00322DB5"/>
    <w:rsid w:val="003236DD"/>
    <w:rsid w:val="0033047A"/>
    <w:rsid w:val="0033297E"/>
    <w:rsid w:val="0033667D"/>
    <w:rsid w:val="003372D2"/>
    <w:rsid w:val="003407B0"/>
    <w:rsid w:val="003413B3"/>
    <w:rsid w:val="00342133"/>
    <w:rsid w:val="003430A6"/>
    <w:rsid w:val="00344F9B"/>
    <w:rsid w:val="00347498"/>
    <w:rsid w:val="00350374"/>
    <w:rsid w:val="00350972"/>
    <w:rsid w:val="00350F4F"/>
    <w:rsid w:val="00352C87"/>
    <w:rsid w:val="0035426B"/>
    <w:rsid w:val="00357257"/>
    <w:rsid w:val="00364AF0"/>
    <w:rsid w:val="00366F18"/>
    <w:rsid w:val="00367862"/>
    <w:rsid w:val="00370ADD"/>
    <w:rsid w:val="0038072D"/>
    <w:rsid w:val="003828D8"/>
    <w:rsid w:val="00383092"/>
    <w:rsid w:val="00385F67"/>
    <w:rsid w:val="00386A9A"/>
    <w:rsid w:val="00390609"/>
    <w:rsid w:val="00390EB8"/>
    <w:rsid w:val="00391040"/>
    <w:rsid w:val="00394AEC"/>
    <w:rsid w:val="00394EEB"/>
    <w:rsid w:val="00395A8C"/>
    <w:rsid w:val="003A1874"/>
    <w:rsid w:val="003A72BF"/>
    <w:rsid w:val="003B2917"/>
    <w:rsid w:val="003B3642"/>
    <w:rsid w:val="003B52F4"/>
    <w:rsid w:val="003B60AF"/>
    <w:rsid w:val="003B7E01"/>
    <w:rsid w:val="003C0E72"/>
    <w:rsid w:val="003C475D"/>
    <w:rsid w:val="003C552B"/>
    <w:rsid w:val="003C6EF0"/>
    <w:rsid w:val="003D2A29"/>
    <w:rsid w:val="003D4CC5"/>
    <w:rsid w:val="003D592C"/>
    <w:rsid w:val="003D7BC9"/>
    <w:rsid w:val="003E2266"/>
    <w:rsid w:val="003E4266"/>
    <w:rsid w:val="003E6438"/>
    <w:rsid w:val="003F2036"/>
    <w:rsid w:val="003F3197"/>
    <w:rsid w:val="003F43E7"/>
    <w:rsid w:val="003F478E"/>
    <w:rsid w:val="00403663"/>
    <w:rsid w:val="0040419F"/>
    <w:rsid w:val="004056F6"/>
    <w:rsid w:val="0041368D"/>
    <w:rsid w:val="00414ADD"/>
    <w:rsid w:val="00415FF5"/>
    <w:rsid w:val="0041627D"/>
    <w:rsid w:val="00416E12"/>
    <w:rsid w:val="00417E03"/>
    <w:rsid w:val="00422595"/>
    <w:rsid w:val="00422651"/>
    <w:rsid w:val="0042295C"/>
    <w:rsid w:val="00422A92"/>
    <w:rsid w:val="00423123"/>
    <w:rsid w:val="004245A7"/>
    <w:rsid w:val="00425CB6"/>
    <w:rsid w:val="00425DAD"/>
    <w:rsid w:val="004306A5"/>
    <w:rsid w:val="00433207"/>
    <w:rsid w:val="00433EAA"/>
    <w:rsid w:val="004353D9"/>
    <w:rsid w:val="00435B32"/>
    <w:rsid w:val="00436461"/>
    <w:rsid w:val="00436E1D"/>
    <w:rsid w:val="0044299E"/>
    <w:rsid w:val="00442D0A"/>
    <w:rsid w:val="00445210"/>
    <w:rsid w:val="00445DF8"/>
    <w:rsid w:val="00446FA9"/>
    <w:rsid w:val="00447832"/>
    <w:rsid w:val="00453965"/>
    <w:rsid w:val="00455F6F"/>
    <w:rsid w:val="00456082"/>
    <w:rsid w:val="00457658"/>
    <w:rsid w:val="00457ED9"/>
    <w:rsid w:val="00460EB8"/>
    <w:rsid w:val="004611DA"/>
    <w:rsid w:val="004612DA"/>
    <w:rsid w:val="004634EE"/>
    <w:rsid w:val="0046414B"/>
    <w:rsid w:val="00465612"/>
    <w:rsid w:val="00465D58"/>
    <w:rsid w:val="00465DBD"/>
    <w:rsid w:val="0046787E"/>
    <w:rsid w:val="00467EDF"/>
    <w:rsid w:val="00470546"/>
    <w:rsid w:val="00471067"/>
    <w:rsid w:val="00473786"/>
    <w:rsid w:val="004754FB"/>
    <w:rsid w:val="00475F8E"/>
    <w:rsid w:val="00477320"/>
    <w:rsid w:val="00481DAD"/>
    <w:rsid w:val="004858BB"/>
    <w:rsid w:val="0048692F"/>
    <w:rsid w:val="00490657"/>
    <w:rsid w:val="0049368E"/>
    <w:rsid w:val="00494636"/>
    <w:rsid w:val="00495790"/>
    <w:rsid w:val="004A1579"/>
    <w:rsid w:val="004A2B06"/>
    <w:rsid w:val="004A30BB"/>
    <w:rsid w:val="004A4506"/>
    <w:rsid w:val="004A48EF"/>
    <w:rsid w:val="004A59DA"/>
    <w:rsid w:val="004A727A"/>
    <w:rsid w:val="004B018B"/>
    <w:rsid w:val="004B18C3"/>
    <w:rsid w:val="004B522C"/>
    <w:rsid w:val="004B72FD"/>
    <w:rsid w:val="004B7CA4"/>
    <w:rsid w:val="004C34CE"/>
    <w:rsid w:val="004C5681"/>
    <w:rsid w:val="004D3195"/>
    <w:rsid w:val="004D547E"/>
    <w:rsid w:val="004E0C40"/>
    <w:rsid w:val="004E23D3"/>
    <w:rsid w:val="004E3311"/>
    <w:rsid w:val="004E3C0E"/>
    <w:rsid w:val="004E4ADD"/>
    <w:rsid w:val="004E4EA6"/>
    <w:rsid w:val="004E5AF9"/>
    <w:rsid w:val="004F0B77"/>
    <w:rsid w:val="004F141D"/>
    <w:rsid w:val="004F3FD5"/>
    <w:rsid w:val="004F44D5"/>
    <w:rsid w:val="004F68F0"/>
    <w:rsid w:val="004F6936"/>
    <w:rsid w:val="004F72AF"/>
    <w:rsid w:val="00500A94"/>
    <w:rsid w:val="00500C64"/>
    <w:rsid w:val="005024EA"/>
    <w:rsid w:val="005047E7"/>
    <w:rsid w:val="00510209"/>
    <w:rsid w:val="00510FE6"/>
    <w:rsid w:val="005131B5"/>
    <w:rsid w:val="00514614"/>
    <w:rsid w:val="005155CB"/>
    <w:rsid w:val="0051616F"/>
    <w:rsid w:val="005169C2"/>
    <w:rsid w:val="00521D52"/>
    <w:rsid w:val="00530EC3"/>
    <w:rsid w:val="00531D7F"/>
    <w:rsid w:val="0053252E"/>
    <w:rsid w:val="00535E63"/>
    <w:rsid w:val="00537C14"/>
    <w:rsid w:val="00540E4B"/>
    <w:rsid w:val="00542914"/>
    <w:rsid w:val="0055039E"/>
    <w:rsid w:val="00550B5C"/>
    <w:rsid w:val="005515DD"/>
    <w:rsid w:val="005528AA"/>
    <w:rsid w:val="00553656"/>
    <w:rsid w:val="005564DD"/>
    <w:rsid w:val="0056092D"/>
    <w:rsid w:val="00560CEB"/>
    <w:rsid w:val="0056238B"/>
    <w:rsid w:val="00566E54"/>
    <w:rsid w:val="00570FE6"/>
    <w:rsid w:val="0057347F"/>
    <w:rsid w:val="00573C24"/>
    <w:rsid w:val="00575D74"/>
    <w:rsid w:val="00577996"/>
    <w:rsid w:val="00582438"/>
    <w:rsid w:val="00582636"/>
    <w:rsid w:val="0058309B"/>
    <w:rsid w:val="00584926"/>
    <w:rsid w:val="005849B6"/>
    <w:rsid w:val="005928DA"/>
    <w:rsid w:val="0059471E"/>
    <w:rsid w:val="005951C2"/>
    <w:rsid w:val="00597750"/>
    <w:rsid w:val="00597F54"/>
    <w:rsid w:val="005A0081"/>
    <w:rsid w:val="005A1D9A"/>
    <w:rsid w:val="005A29C0"/>
    <w:rsid w:val="005A32FD"/>
    <w:rsid w:val="005A4558"/>
    <w:rsid w:val="005A5AE2"/>
    <w:rsid w:val="005B15B7"/>
    <w:rsid w:val="005B2E69"/>
    <w:rsid w:val="005B3E52"/>
    <w:rsid w:val="005B5556"/>
    <w:rsid w:val="005B55DF"/>
    <w:rsid w:val="005B5FCD"/>
    <w:rsid w:val="005B64BA"/>
    <w:rsid w:val="005B6604"/>
    <w:rsid w:val="005B6D58"/>
    <w:rsid w:val="005B73D5"/>
    <w:rsid w:val="005C0C45"/>
    <w:rsid w:val="005C3E93"/>
    <w:rsid w:val="005C4A96"/>
    <w:rsid w:val="005C5637"/>
    <w:rsid w:val="005C6C6C"/>
    <w:rsid w:val="005D2489"/>
    <w:rsid w:val="005D378E"/>
    <w:rsid w:val="005D5361"/>
    <w:rsid w:val="005D5B52"/>
    <w:rsid w:val="005D5C22"/>
    <w:rsid w:val="005D7F45"/>
    <w:rsid w:val="005E069C"/>
    <w:rsid w:val="005E0E47"/>
    <w:rsid w:val="005E1AFD"/>
    <w:rsid w:val="005E3A6E"/>
    <w:rsid w:val="005E4634"/>
    <w:rsid w:val="005E4D2E"/>
    <w:rsid w:val="005E63BA"/>
    <w:rsid w:val="005E6A82"/>
    <w:rsid w:val="005E6E4F"/>
    <w:rsid w:val="005F0B0C"/>
    <w:rsid w:val="005F1A5F"/>
    <w:rsid w:val="005F1BBD"/>
    <w:rsid w:val="005F2167"/>
    <w:rsid w:val="005F3543"/>
    <w:rsid w:val="005F384A"/>
    <w:rsid w:val="005F46FD"/>
    <w:rsid w:val="005F4E7E"/>
    <w:rsid w:val="005F7FC8"/>
    <w:rsid w:val="00600CB5"/>
    <w:rsid w:val="00604297"/>
    <w:rsid w:val="006050F7"/>
    <w:rsid w:val="00606AD0"/>
    <w:rsid w:val="00606B7C"/>
    <w:rsid w:val="00606FCC"/>
    <w:rsid w:val="00611F3F"/>
    <w:rsid w:val="00612396"/>
    <w:rsid w:val="00614B69"/>
    <w:rsid w:val="00615A56"/>
    <w:rsid w:val="00616436"/>
    <w:rsid w:val="006217DE"/>
    <w:rsid w:val="00623CE2"/>
    <w:rsid w:val="0062633D"/>
    <w:rsid w:val="00631004"/>
    <w:rsid w:val="006312B9"/>
    <w:rsid w:val="006341A8"/>
    <w:rsid w:val="0063451F"/>
    <w:rsid w:val="00634692"/>
    <w:rsid w:val="006362D3"/>
    <w:rsid w:val="006368BB"/>
    <w:rsid w:val="006369FB"/>
    <w:rsid w:val="006410C0"/>
    <w:rsid w:val="0064361F"/>
    <w:rsid w:val="00650440"/>
    <w:rsid w:val="006519CC"/>
    <w:rsid w:val="00651ECF"/>
    <w:rsid w:val="00653413"/>
    <w:rsid w:val="00654014"/>
    <w:rsid w:val="00655421"/>
    <w:rsid w:val="00660EFD"/>
    <w:rsid w:val="006631B3"/>
    <w:rsid w:val="00664AA5"/>
    <w:rsid w:val="00664D3D"/>
    <w:rsid w:val="006676E9"/>
    <w:rsid w:val="00667850"/>
    <w:rsid w:val="00671F97"/>
    <w:rsid w:val="00674C2B"/>
    <w:rsid w:val="00674F0B"/>
    <w:rsid w:val="00675553"/>
    <w:rsid w:val="00676549"/>
    <w:rsid w:val="00677485"/>
    <w:rsid w:val="00677F8A"/>
    <w:rsid w:val="00680B5A"/>
    <w:rsid w:val="006812BE"/>
    <w:rsid w:val="00684027"/>
    <w:rsid w:val="0068796B"/>
    <w:rsid w:val="006900EC"/>
    <w:rsid w:val="006908E6"/>
    <w:rsid w:val="00693EBF"/>
    <w:rsid w:val="00694395"/>
    <w:rsid w:val="00695923"/>
    <w:rsid w:val="00696BCA"/>
    <w:rsid w:val="00696DA9"/>
    <w:rsid w:val="006A079F"/>
    <w:rsid w:val="006A27F6"/>
    <w:rsid w:val="006A4B07"/>
    <w:rsid w:val="006A5B59"/>
    <w:rsid w:val="006B09BC"/>
    <w:rsid w:val="006B1008"/>
    <w:rsid w:val="006B1E07"/>
    <w:rsid w:val="006B2EB8"/>
    <w:rsid w:val="006C0752"/>
    <w:rsid w:val="006C0DA4"/>
    <w:rsid w:val="006C142C"/>
    <w:rsid w:val="006C2367"/>
    <w:rsid w:val="006C286C"/>
    <w:rsid w:val="006C467B"/>
    <w:rsid w:val="006C57AD"/>
    <w:rsid w:val="006C70AC"/>
    <w:rsid w:val="006C715E"/>
    <w:rsid w:val="006C764A"/>
    <w:rsid w:val="006D26FE"/>
    <w:rsid w:val="006D37D1"/>
    <w:rsid w:val="006D5CCC"/>
    <w:rsid w:val="006D5F91"/>
    <w:rsid w:val="006D6D03"/>
    <w:rsid w:val="006D7DF2"/>
    <w:rsid w:val="006E0791"/>
    <w:rsid w:val="006E158C"/>
    <w:rsid w:val="006E1BCF"/>
    <w:rsid w:val="006E7097"/>
    <w:rsid w:val="006E7098"/>
    <w:rsid w:val="006F044A"/>
    <w:rsid w:val="006F3D89"/>
    <w:rsid w:val="006F42DF"/>
    <w:rsid w:val="006F4560"/>
    <w:rsid w:val="006F7393"/>
    <w:rsid w:val="006F76F4"/>
    <w:rsid w:val="007000AC"/>
    <w:rsid w:val="00702065"/>
    <w:rsid w:val="007022FE"/>
    <w:rsid w:val="0070302D"/>
    <w:rsid w:val="00703158"/>
    <w:rsid w:val="0070318E"/>
    <w:rsid w:val="007070DF"/>
    <w:rsid w:val="00707E2B"/>
    <w:rsid w:val="00714D4F"/>
    <w:rsid w:val="0071610A"/>
    <w:rsid w:val="007169F6"/>
    <w:rsid w:val="00731682"/>
    <w:rsid w:val="00731A54"/>
    <w:rsid w:val="0073218D"/>
    <w:rsid w:val="00733E79"/>
    <w:rsid w:val="007344EA"/>
    <w:rsid w:val="0073485F"/>
    <w:rsid w:val="007359CA"/>
    <w:rsid w:val="0074012A"/>
    <w:rsid w:val="0074157E"/>
    <w:rsid w:val="0074440E"/>
    <w:rsid w:val="00745062"/>
    <w:rsid w:val="00746228"/>
    <w:rsid w:val="007513C0"/>
    <w:rsid w:val="00752FBD"/>
    <w:rsid w:val="0075400F"/>
    <w:rsid w:val="00755C48"/>
    <w:rsid w:val="00757067"/>
    <w:rsid w:val="00757AB1"/>
    <w:rsid w:val="0076054E"/>
    <w:rsid w:val="007624E4"/>
    <w:rsid w:val="00764550"/>
    <w:rsid w:val="007648E7"/>
    <w:rsid w:val="007657EF"/>
    <w:rsid w:val="007665E4"/>
    <w:rsid w:val="0077710A"/>
    <w:rsid w:val="0078026C"/>
    <w:rsid w:val="00781661"/>
    <w:rsid w:val="007872B8"/>
    <w:rsid w:val="007876D7"/>
    <w:rsid w:val="007912D7"/>
    <w:rsid w:val="00791F02"/>
    <w:rsid w:val="00792568"/>
    <w:rsid w:val="007930EA"/>
    <w:rsid w:val="0079415E"/>
    <w:rsid w:val="00794BD7"/>
    <w:rsid w:val="00796A56"/>
    <w:rsid w:val="007A6F3E"/>
    <w:rsid w:val="007B7D2D"/>
    <w:rsid w:val="007C09C8"/>
    <w:rsid w:val="007C0E64"/>
    <w:rsid w:val="007C2875"/>
    <w:rsid w:val="007C3490"/>
    <w:rsid w:val="007C4770"/>
    <w:rsid w:val="007C7ADF"/>
    <w:rsid w:val="007D002B"/>
    <w:rsid w:val="007D1C92"/>
    <w:rsid w:val="007D2A7A"/>
    <w:rsid w:val="007D36CB"/>
    <w:rsid w:val="007D586E"/>
    <w:rsid w:val="007D6F16"/>
    <w:rsid w:val="007D7381"/>
    <w:rsid w:val="007D7A14"/>
    <w:rsid w:val="007E0E22"/>
    <w:rsid w:val="007E3E8A"/>
    <w:rsid w:val="007E4F82"/>
    <w:rsid w:val="007E57D8"/>
    <w:rsid w:val="007E68C4"/>
    <w:rsid w:val="007E7B1D"/>
    <w:rsid w:val="007F104C"/>
    <w:rsid w:val="007F130F"/>
    <w:rsid w:val="007F4271"/>
    <w:rsid w:val="007F469A"/>
    <w:rsid w:val="007F47EA"/>
    <w:rsid w:val="007F4B67"/>
    <w:rsid w:val="007F4D25"/>
    <w:rsid w:val="007F5ADD"/>
    <w:rsid w:val="007F6452"/>
    <w:rsid w:val="007F7867"/>
    <w:rsid w:val="00801DB6"/>
    <w:rsid w:val="008058A0"/>
    <w:rsid w:val="008069BF"/>
    <w:rsid w:val="00806A74"/>
    <w:rsid w:val="0080749F"/>
    <w:rsid w:val="0080769D"/>
    <w:rsid w:val="0081171F"/>
    <w:rsid w:val="00813873"/>
    <w:rsid w:val="008203BD"/>
    <w:rsid w:val="00820873"/>
    <w:rsid w:val="00822CFD"/>
    <w:rsid w:val="00822DF5"/>
    <w:rsid w:val="0082622B"/>
    <w:rsid w:val="008265FB"/>
    <w:rsid w:val="008271F9"/>
    <w:rsid w:val="00833E93"/>
    <w:rsid w:val="008355B6"/>
    <w:rsid w:val="00836836"/>
    <w:rsid w:val="00836DA3"/>
    <w:rsid w:val="00840BC7"/>
    <w:rsid w:val="00840C24"/>
    <w:rsid w:val="00842A3F"/>
    <w:rsid w:val="00842D5E"/>
    <w:rsid w:val="00843299"/>
    <w:rsid w:val="0084355C"/>
    <w:rsid w:val="00843D19"/>
    <w:rsid w:val="0085019D"/>
    <w:rsid w:val="008548C7"/>
    <w:rsid w:val="00854EB8"/>
    <w:rsid w:val="008558D8"/>
    <w:rsid w:val="00856457"/>
    <w:rsid w:val="008569EF"/>
    <w:rsid w:val="00860AFD"/>
    <w:rsid w:val="00862309"/>
    <w:rsid w:val="0086418A"/>
    <w:rsid w:val="00867114"/>
    <w:rsid w:val="008703F1"/>
    <w:rsid w:val="008704DB"/>
    <w:rsid w:val="0087072D"/>
    <w:rsid w:val="00872391"/>
    <w:rsid w:val="008733EE"/>
    <w:rsid w:val="008736C6"/>
    <w:rsid w:val="00873992"/>
    <w:rsid w:val="00881143"/>
    <w:rsid w:val="008822F3"/>
    <w:rsid w:val="00882ACD"/>
    <w:rsid w:val="008832B6"/>
    <w:rsid w:val="00884BBB"/>
    <w:rsid w:val="00884FCA"/>
    <w:rsid w:val="008858A8"/>
    <w:rsid w:val="008860F9"/>
    <w:rsid w:val="00886A02"/>
    <w:rsid w:val="0088751B"/>
    <w:rsid w:val="00890BFF"/>
    <w:rsid w:val="00891992"/>
    <w:rsid w:val="00891D33"/>
    <w:rsid w:val="008928D0"/>
    <w:rsid w:val="00892BA6"/>
    <w:rsid w:val="008950A5"/>
    <w:rsid w:val="008959E7"/>
    <w:rsid w:val="008963DE"/>
    <w:rsid w:val="008A0652"/>
    <w:rsid w:val="008B1CCE"/>
    <w:rsid w:val="008B566C"/>
    <w:rsid w:val="008B6FEA"/>
    <w:rsid w:val="008B73BA"/>
    <w:rsid w:val="008C1D5D"/>
    <w:rsid w:val="008C5B04"/>
    <w:rsid w:val="008D0ACC"/>
    <w:rsid w:val="008D0F22"/>
    <w:rsid w:val="008D3905"/>
    <w:rsid w:val="008D4030"/>
    <w:rsid w:val="008D4B19"/>
    <w:rsid w:val="008D4B74"/>
    <w:rsid w:val="008D4CFD"/>
    <w:rsid w:val="008D56CD"/>
    <w:rsid w:val="008D5A96"/>
    <w:rsid w:val="008E2081"/>
    <w:rsid w:val="008E6DD7"/>
    <w:rsid w:val="008F3CEB"/>
    <w:rsid w:val="008F556A"/>
    <w:rsid w:val="008F55E4"/>
    <w:rsid w:val="008F607A"/>
    <w:rsid w:val="008F659D"/>
    <w:rsid w:val="008F6A5A"/>
    <w:rsid w:val="008F6AF1"/>
    <w:rsid w:val="008F6EDD"/>
    <w:rsid w:val="008F7C79"/>
    <w:rsid w:val="009017EC"/>
    <w:rsid w:val="00901CFF"/>
    <w:rsid w:val="009042B2"/>
    <w:rsid w:val="00904A40"/>
    <w:rsid w:val="00904CA5"/>
    <w:rsid w:val="00907B5C"/>
    <w:rsid w:val="00912683"/>
    <w:rsid w:val="00915779"/>
    <w:rsid w:val="00916978"/>
    <w:rsid w:val="00920CB6"/>
    <w:rsid w:val="00924E45"/>
    <w:rsid w:val="00927690"/>
    <w:rsid w:val="00930A7D"/>
    <w:rsid w:val="00931F96"/>
    <w:rsid w:val="00932FA4"/>
    <w:rsid w:val="009344D4"/>
    <w:rsid w:val="00934E42"/>
    <w:rsid w:val="0093728F"/>
    <w:rsid w:val="009402C8"/>
    <w:rsid w:val="00942011"/>
    <w:rsid w:val="00943FDB"/>
    <w:rsid w:val="009443E5"/>
    <w:rsid w:val="0094446E"/>
    <w:rsid w:val="00945266"/>
    <w:rsid w:val="00945D4A"/>
    <w:rsid w:val="00947E94"/>
    <w:rsid w:val="00955704"/>
    <w:rsid w:val="00955749"/>
    <w:rsid w:val="009560AD"/>
    <w:rsid w:val="0095744A"/>
    <w:rsid w:val="00963D3D"/>
    <w:rsid w:val="009644FA"/>
    <w:rsid w:val="00970529"/>
    <w:rsid w:val="00974744"/>
    <w:rsid w:val="009747DB"/>
    <w:rsid w:val="0097562F"/>
    <w:rsid w:val="009841BD"/>
    <w:rsid w:val="00984460"/>
    <w:rsid w:val="009871A2"/>
    <w:rsid w:val="00987B0B"/>
    <w:rsid w:val="00996B8B"/>
    <w:rsid w:val="00997BE5"/>
    <w:rsid w:val="00997D1C"/>
    <w:rsid w:val="009A0172"/>
    <w:rsid w:val="009A0450"/>
    <w:rsid w:val="009A09B3"/>
    <w:rsid w:val="009A0D6B"/>
    <w:rsid w:val="009A4087"/>
    <w:rsid w:val="009A40F7"/>
    <w:rsid w:val="009A464E"/>
    <w:rsid w:val="009A67EF"/>
    <w:rsid w:val="009B0C46"/>
    <w:rsid w:val="009B1298"/>
    <w:rsid w:val="009B5202"/>
    <w:rsid w:val="009B5C7E"/>
    <w:rsid w:val="009C298F"/>
    <w:rsid w:val="009C3BBE"/>
    <w:rsid w:val="009C471F"/>
    <w:rsid w:val="009C47CF"/>
    <w:rsid w:val="009C5E04"/>
    <w:rsid w:val="009C5FE6"/>
    <w:rsid w:val="009C72D3"/>
    <w:rsid w:val="009D3C93"/>
    <w:rsid w:val="009D3CA3"/>
    <w:rsid w:val="009D59F9"/>
    <w:rsid w:val="009D6B16"/>
    <w:rsid w:val="009D6DB6"/>
    <w:rsid w:val="009D7153"/>
    <w:rsid w:val="009E072C"/>
    <w:rsid w:val="009E0F50"/>
    <w:rsid w:val="009E20BE"/>
    <w:rsid w:val="009E3C63"/>
    <w:rsid w:val="009E5BDE"/>
    <w:rsid w:val="009E7ACE"/>
    <w:rsid w:val="009F2F42"/>
    <w:rsid w:val="009F5979"/>
    <w:rsid w:val="009F7E7E"/>
    <w:rsid w:val="00A01C10"/>
    <w:rsid w:val="00A02217"/>
    <w:rsid w:val="00A026C8"/>
    <w:rsid w:val="00A033D2"/>
    <w:rsid w:val="00A05810"/>
    <w:rsid w:val="00A07360"/>
    <w:rsid w:val="00A1183E"/>
    <w:rsid w:val="00A128A3"/>
    <w:rsid w:val="00A1296B"/>
    <w:rsid w:val="00A129B5"/>
    <w:rsid w:val="00A15CC6"/>
    <w:rsid w:val="00A15F8A"/>
    <w:rsid w:val="00A2248E"/>
    <w:rsid w:val="00A22E81"/>
    <w:rsid w:val="00A25007"/>
    <w:rsid w:val="00A2542A"/>
    <w:rsid w:val="00A26552"/>
    <w:rsid w:val="00A27517"/>
    <w:rsid w:val="00A27E4C"/>
    <w:rsid w:val="00A3206D"/>
    <w:rsid w:val="00A329B2"/>
    <w:rsid w:val="00A354C0"/>
    <w:rsid w:val="00A40C08"/>
    <w:rsid w:val="00A42A10"/>
    <w:rsid w:val="00A42BF6"/>
    <w:rsid w:val="00A42D03"/>
    <w:rsid w:val="00A45463"/>
    <w:rsid w:val="00A513A7"/>
    <w:rsid w:val="00A52638"/>
    <w:rsid w:val="00A52B5B"/>
    <w:rsid w:val="00A53A26"/>
    <w:rsid w:val="00A54389"/>
    <w:rsid w:val="00A56DBA"/>
    <w:rsid w:val="00A577C8"/>
    <w:rsid w:val="00A608A3"/>
    <w:rsid w:val="00A65020"/>
    <w:rsid w:val="00A65523"/>
    <w:rsid w:val="00A6596B"/>
    <w:rsid w:val="00A66D37"/>
    <w:rsid w:val="00A7370F"/>
    <w:rsid w:val="00A746DD"/>
    <w:rsid w:val="00A81AE4"/>
    <w:rsid w:val="00A81FB4"/>
    <w:rsid w:val="00A825FC"/>
    <w:rsid w:val="00A86B79"/>
    <w:rsid w:val="00A912EC"/>
    <w:rsid w:val="00A9600A"/>
    <w:rsid w:val="00A96236"/>
    <w:rsid w:val="00A9683D"/>
    <w:rsid w:val="00AA14AA"/>
    <w:rsid w:val="00AA2B81"/>
    <w:rsid w:val="00AA5D66"/>
    <w:rsid w:val="00AA6057"/>
    <w:rsid w:val="00AA749E"/>
    <w:rsid w:val="00AB08CE"/>
    <w:rsid w:val="00AB2E4F"/>
    <w:rsid w:val="00AB2EA1"/>
    <w:rsid w:val="00AB3424"/>
    <w:rsid w:val="00AB3CBB"/>
    <w:rsid w:val="00AB40D7"/>
    <w:rsid w:val="00AB545D"/>
    <w:rsid w:val="00AB5F80"/>
    <w:rsid w:val="00AC307C"/>
    <w:rsid w:val="00AC4B47"/>
    <w:rsid w:val="00AC6C01"/>
    <w:rsid w:val="00AD008C"/>
    <w:rsid w:val="00AD0FB2"/>
    <w:rsid w:val="00AD262D"/>
    <w:rsid w:val="00AD296D"/>
    <w:rsid w:val="00AD2DF7"/>
    <w:rsid w:val="00AD380B"/>
    <w:rsid w:val="00AD4675"/>
    <w:rsid w:val="00AD60C2"/>
    <w:rsid w:val="00AD6E83"/>
    <w:rsid w:val="00AD7A25"/>
    <w:rsid w:val="00AE1EF0"/>
    <w:rsid w:val="00AE33B2"/>
    <w:rsid w:val="00AF3F64"/>
    <w:rsid w:val="00AF62BA"/>
    <w:rsid w:val="00AF6B57"/>
    <w:rsid w:val="00AF797B"/>
    <w:rsid w:val="00B0157D"/>
    <w:rsid w:val="00B01907"/>
    <w:rsid w:val="00B01E6B"/>
    <w:rsid w:val="00B04215"/>
    <w:rsid w:val="00B06726"/>
    <w:rsid w:val="00B0685C"/>
    <w:rsid w:val="00B0706D"/>
    <w:rsid w:val="00B11B8F"/>
    <w:rsid w:val="00B12285"/>
    <w:rsid w:val="00B12A99"/>
    <w:rsid w:val="00B21DFC"/>
    <w:rsid w:val="00B24AE0"/>
    <w:rsid w:val="00B24E67"/>
    <w:rsid w:val="00B26497"/>
    <w:rsid w:val="00B30310"/>
    <w:rsid w:val="00B3054A"/>
    <w:rsid w:val="00B33AC4"/>
    <w:rsid w:val="00B36270"/>
    <w:rsid w:val="00B3732B"/>
    <w:rsid w:val="00B415CE"/>
    <w:rsid w:val="00B437D6"/>
    <w:rsid w:val="00B43910"/>
    <w:rsid w:val="00B50ADD"/>
    <w:rsid w:val="00B513EB"/>
    <w:rsid w:val="00B5189C"/>
    <w:rsid w:val="00B539CF"/>
    <w:rsid w:val="00B54849"/>
    <w:rsid w:val="00B55002"/>
    <w:rsid w:val="00B5542E"/>
    <w:rsid w:val="00B5559C"/>
    <w:rsid w:val="00B56D36"/>
    <w:rsid w:val="00B605C1"/>
    <w:rsid w:val="00B609F7"/>
    <w:rsid w:val="00B65E0E"/>
    <w:rsid w:val="00B77EB1"/>
    <w:rsid w:val="00B836DE"/>
    <w:rsid w:val="00B85373"/>
    <w:rsid w:val="00B85740"/>
    <w:rsid w:val="00B85B92"/>
    <w:rsid w:val="00B8635F"/>
    <w:rsid w:val="00B865CF"/>
    <w:rsid w:val="00B90D83"/>
    <w:rsid w:val="00B916B8"/>
    <w:rsid w:val="00B93338"/>
    <w:rsid w:val="00B9360C"/>
    <w:rsid w:val="00B960CF"/>
    <w:rsid w:val="00B96789"/>
    <w:rsid w:val="00BA0EE5"/>
    <w:rsid w:val="00BA1436"/>
    <w:rsid w:val="00BA1526"/>
    <w:rsid w:val="00BA28E9"/>
    <w:rsid w:val="00BA588A"/>
    <w:rsid w:val="00BA5AB6"/>
    <w:rsid w:val="00BA61CA"/>
    <w:rsid w:val="00BA7165"/>
    <w:rsid w:val="00BA725E"/>
    <w:rsid w:val="00BA79E1"/>
    <w:rsid w:val="00BB40E4"/>
    <w:rsid w:val="00BC188C"/>
    <w:rsid w:val="00BC337A"/>
    <w:rsid w:val="00BC48D2"/>
    <w:rsid w:val="00BC524A"/>
    <w:rsid w:val="00BC56B4"/>
    <w:rsid w:val="00BD27CC"/>
    <w:rsid w:val="00BD2F34"/>
    <w:rsid w:val="00BD419C"/>
    <w:rsid w:val="00BD4347"/>
    <w:rsid w:val="00BD4971"/>
    <w:rsid w:val="00BD4BF6"/>
    <w:rsid w:val="00BD6B34"/>
    <w:rsid w:val="00BD7A57"/>
    <w:rsid w:val="00BE1E88"/>
    <w:rsid w:val="00BE7829"/>
    <w:rsid w:val="00BF37D2"/>
    <w:rsid w:val="00BF4079"/>
    <w:rsid w:val="00BF4DF8"/>
    <w:rsid w:val="00BF615E"/>
    <w:rsid w:val="00BF7353"/>
    <w:rsid w:val="00BF750B"/>
    <w:rsid w:val="00BF755B"/>
    <w:rsid w:val="00C02EBD"/>
    <w:rsid w:val="00C037CD"/>
    <w:rsid w:val="00C03B79"/>
    <w:rsid w:val="00C05E54"/>
    <w:rsid w:val="00C07DE0"/>
    <w:rsid w:val="00C157F5"/>
    <w:rsid w:val="00C20A00"/>
    <w:rsid w:val="00C20C1E"/>
    <w:rsid w:val="00C20EFD"/>
    <w:rsid w:val="00C228D0"/>
    <w:rsid w:val="00C23287"/>
    <w:rsid w:val="00C23697"/>
    <w:rsid w:val="00C25874"/>
    <w:rsid w:val="00C26C54"/>
    <w:rsid w:val="00C274D1"/>
    <w:rsid w:val="00C30F72"/>
    <w:rsid w:val="00C31199"/>
    <w:rsid w:val="00C31996"/>
    <w:rsid w:val="00C34481"/>
    <w:rsid w:val="00C37FF0"/>
    <w:rsid w:val="00C42898"/>
    <w:rsid w:val="00C433E7"/>
    <w:rsid w:val="00C436C6"/>
    <w:rsid w:val="00C43BB8"/>
    <w:rsid w:val="00C43CF9"/>
    <w:rsid w:val="00C45166"/>
    <w:rsid w:val="00C478BD"/>
    <w:rsid w:val="00C5013F"/>
    <w:rsid w:val="00C52BA4"/>
    <w:rsid w:val="00C530A1"/>
    <w:rsid w:val="00C554E8"/>
    <w:rsid w:val="00C577AB"/>
    <w:rsid w:val="00C60C97"/>
    <w:rsid w:val="00C63796"/>
    <w:rsid w:val="00C67208"/>
    <w:rsid w:val="00C67A14"/>
    <w:rsid w:val="00C67FBF"/>
    <w:rsid w:val="00C70945"/>
    <w:rsid w:val="00C71255"/>
    <w:rsid w:val="00C71778"/>
    <w:rsid w:val="00C730C0"/>
    <w:rsid w:val="00C73B43"/>
    <w:rsid w:val="00C73CBA"/>
    <w:rsid w:val="00C74D24"/>
    <w:rsid w:val="00C75EE0"/>
    <w:rsid w:val="00C76D5C"/>
    <w:rsid w:val="00C85363"/>
    <w:rsid w:val="00C91CB2"/>
    <w:rsid w:val="00C922AC"/>
    <w:rsid w:val="00C9378A"/>
    <w:rsid w:val="00C94C1E"/>
    <w:rsid w:val="00C96BFC"/>
    <w:rsid w:val="00C975E1"/>
    <w:rsid w:val="00C97C0A"/>
    <w:rsid w:val="00CA1256"/>
    <w:rsid w:val="00CA39F5"/>
    <w:rsid w:val="00CA3F32"/>
    <w:rsid w:val="00CA61C7"/>
    <w:rsid w:val="00CA7ED6"/>
    <w:rsid w:val="00CB316A"/>
    <w:rsid w:val="00CB3AC5"/>
    <w:rsid w:val="00CB4564"/>
    <w:rsid w:val="00CB50B2"/>
    <w:rsid w:val="00CB5184"/>
    <w:rsid w:val="00CB5325"/>
    <w:rsid w:val="00CC0555"/>
    <w:rsid w:val="00CC314C"/>
    <w:rsid w:val="00CC3879"/>
    <w:rsid w:val="00CC3DC1"/>
    <w:rsid w:val="00CC415F"/>
    <w:rsid w:val="00CC474B"/>
    <w:rsid w:val="00CC5FDC"/>
    <w:rsid w:val="00CC71CC"/>
    <w:rsid w:val="00CC76CD"/>
    <w:rsid w:val="00CD12BF"/>
    <w:rsid w:val="00CD14F4"/>
    <w:rsid w:val="00CD2BA0"/>
    <w:rsid w:val="00CD6204"/>
    <w:rsid w:val="00CD6A94"/>
    <w:rsid w:val="00CD72B3"/>
    <w:rsid w:val="00CE229C"/>
    <w:rsid w:val="00CE647C"/>
    <w:rsid w:val="00CE653F"/>
    <w:rsid w:val="00CE7050"/>
    <w:rsid w:val="00CE7BF7"/>
    <w:rsid w:val="00CF042E"/>
    <w:rsid w:val="00CF0AB7"/>
    <w:rsid w:val="00CF12A6"/>
    <w:rsid w:val="00CF26D9"/>
    <w:rsid w:val="00CF2A9C"/>
    <w:rsid w:val="00CF6671"/>
    <w:rsid w:val="00CF7E81"/>
    <w:rsid w:val="00D00E4D"/>
    <w:rsid w:val="00D019B1"/>
    <w:rsid w:val="00D056CA"/>
    <w:rsid w:val="00D10760"/>
    <w:rsid w:val="00D1106E"/>
    <w:rsid w:val="00D11932"/>
    <w:rsid w:val="00D13CF3"/>
    <w:rsid w:val="00D1408A"/>
    <w:rsid w:val="00D1533C"/>
    <w:rsid w:val="00D15579"/>
    <w:rsid w:val="00D15920"/>
    <w:rsid w:val="00D15C35"/>
    <w:rsid w:val="00D160BC"/>
    <w:rsid w:val="00D200A3"/>
    <w:rsid w:val="00D227F5"/>
    <w:rsid w:val="00D23D09"/>
    <w:rsid w:val="00D2493A"/>
    <w:rsid w:val="00D25595"/>
    <w:rsid w:val="00D307BE"/>
    <w:rsid w:val="00D315C3"/>
    <w:rsid w:val="00D331DA"/>
    <w:rsid w:val="00D33831"/>
    <w:rsid w:val="00D365C9"/>
    <w:rsid w:val="00D378CD"/>
    <w:rsid w:val="00D41129"/>
    <w:rsid w:val="00D42EF9"/>
    <w:rsid w:val="00D43675"/>
    <w:rsid w:val="00D43CD9"/>
    <w:rsid w:val="00D43EBA"/>
    <w:rsid w:val="00D462EC"/>
    <w:rsid w:val="00D50331"/>
    <w:rsid w:val="00D50554"/>
    <w:rsid w:val="00D50B46"/>
    <w:rsid w:val="00D569E5"/>
    <w:rsid w:val="00D625CD"/>
    <w:rsid w:val="00D6680F"/>
    <w:rsid w:val="00D731BD"/>
    <w:rsid w:val="00D73413"/>
    <w:rsid w:val="00D77813"/>
    <w:rsid w:val="00D809DD"/>
    <w:rsid w:val="00D80FED"/>
    <w:rsid w:val="00D82177"/>
    <w:rsid w:val="00D8224B"/>
    <w:rsid w:val="00D82825"/>
    <w:rsid w:val="00D83E81"/>
    <w:rsid w:val="00D84806"/>
    <w:rsid w:val="00D84B36"/>
    <w:rsid w:val="00D85867"/>
    <w:rsid w:val="00D8677C"/>
    <w:rsid w:val="00D90037"/>
    <w:rsid w:val="00D9017C"/>
    <w:rsid w:val="00D905AA"/>
    <w:rsid w:val="00D92553"/>
    <w:rsid w:val="00D938D1"/>
    <w:rsid w:val="00D954E1"/>
    <w:rsid w:val="00D95A48"/>
    <w:rsid w:val="00D9752E"/>
    <w:rsid w:val="00D97F47"/>
    <w:rsid w:val="00DA043E"/>
    <w:rsid w:val="00DA05E2"/>
    <w:rsid w:val="00DA0675"/>
    <w:rsid w:val="00DA0B1F"/>
    <w:rsid w:val="00DA3B78"/>
    <w:rsid w:val="00DA5210"/>
    <w:rsid w:val="00DB1B48"/>
    <w:rsid w:val="00DB1C03"/>
    <w:rsid w:val="00DB28CA"/>
    <w:rsid w:val="00DB3187"/>
    <w:rsid w:val="00DB360C"/>
    <w:rsid w:val="00DB4144"/>
    <w:rsid w:val="00DC0A43"/>
    <w:rsid w:val="00DC10D2"/>
    <w:rsid w:val="00DC1445"/>
    <w:rsid w:val="00DC151D"/>
    <w:rsid w:val="00DC40CD"/>
    <w:rsid w:val="00DC6C1A"/>
    <w:rsid w:val="00DD3C93"/>
    <w:rsid w:val="00DD438A"/>
    <w:rsid w:val="00DD798D"/>
    <w:rsid w:val="00DE1B11"/>
    <w:rsid w:val="00DE235E"/>
    <w:rsid w:val="00DE713C"/>
    <w:rsid w:val="00DE7405"/>
    <w:rsid w:val="00DE780D"/>
    <w:rsid w:val="00DF0084"/>
    <w:rsid w:val="00DF0163"/>
    <w:rsid w:val="00DF0CEE"/>
    <w:rsid w:val="00DF206A"/>
    <w:rsid w:val="00DF52C5"/>
    <w:rsid w:val="00DF5C4A"/>
    <w:rsid w:val="00DF5D61"/>
    <w:rsid w:val="00DF6051"/>
    <w:rsid w:val="00DF7E3D"/>
    <w:rsid w:val="00E00F83"/>
    <w:rsid w:val="00E03043"/>
    <w:rsid w:val="00E03C67"/>
    <w:rsid w:val="00E06EA3"/>
    <w:rsid w:val="00E0764B"/>
    <w:rsid w:val="00E07D74"/>
    <w:rsid w:val="00E07F6B"/>
    <w:rsid w:val="00E13CA9"/>
    <w:rsid w:val="00E1474D"/>
    <w:rsid w:val="00E1521B"/>
    <w:rsid w:val="00E17670"/>
    <w:rsid w:val="00E20994"/>
    <w:rsid w:val="00E21428"/>
    <w:rsid w:val="00E255C7"/>
    <w:rsid w:val="00E27782"/>
    <w:rsid w:val="00E27A31"/>
    <w:rsid w:val="00E27A9E"/>
    <w:rsid w:val="00E31F7C"/>
    <w:rsid w:val="00E3377C"/>
    <w:rsid w:val="00E33903"/>
    <w:rsid w:val="00E34EDC"/>
    <w:rsid w:val="00E40813"/>
    <w:rsid w:val="00E41D5A"/>
    <w:rsid w:val="00E437F5"/>
    <w:rsid w:val="00E438AC"/>
    <w:rsid w:val="00E44BA2"/>
    <w:rsid w:val="00E45954"/>
    <w:rsid w:val="00E462CE"/>
    <w:rsid w:val="00E47B51"/>
    <w:rsid w:val="00E507F0"/>
    <w:rsid w:val="00E518B9"/>
    <w:rsid w:val="00E518EA"/>
    <w:rsid w:val="00E51F82"/>
    <w:rsid w:val="00E52099"/>
    <w:rsid w:val="00E525BD"/>
    <w:rsid w:val="00E5382B"/>
    <w:rsid w:val="00E54313"/>
    <w:rsid w:val="00E543B3"/>
    <w:rsid w:val="00E57BF4"/>
    <w:rsid w:val="00E608CA"/>
    <w:rsid w:val="00E60CCB"/>
    <w:rsid w:val="00E64626"/>
    <w:rsid w:val="00E659E4"/>
    <w:rsid w:val="00E65CC8"/>
    <w:rsid w:val="00E65E50"/>
    <w:rsid w:val="00E704A1"/>
    <w:rsid w:val="00E706D6"/>
    <w:rsid w:val="00E710B5"/>
    <w:rsid w:val="00E7122D"/>
    <w:rsid w:val="00E75449"/>
    <w:rsid w:val="00E858B1"/>
    <w:rsid w:val="00E85E92"/>
    <w:rsid w:val="00E86B92"/>
    <w:rsid w:val="00E87780"/>
    <w:rsid w:val="00E87845"/>
    <w:rsid w:val="00E9155A"/>
    <w:rsid w:val="00E95FC5"/>
    <w:rsid w:val="00E96264"/>
    <w:rsid w:val="00E970E4"/>
    <w:rsid w:val="00EA32C1"/>
    <w:rsid w:val="00EA4F48"/>
    <w:rsid w:val="00EA5A40"/>
    <w:rsid w:val="00EA5F61"/>
    <w:rsid w:val="00EA7528"/>
    <w:rsid w:val="00EA7A35"/>
    <w:rsid w:val="00EB0798"/>
    <w:rsid w:val="00EB30A6"/>
    <w:rsid w:val="00EB380E"/>
    <w:rsid w:val="00EB40E9"/>
    <w:rsid w:val="00EB46B1"/>
    <w:rsid w:val="00EC1632"/>
    <w:rsid w:val="00EC2848"/>
    <w:rsid w:val="00EC5B3C"/>
    <w:rsid w:val="00EC6F95"/>
    <w:rsid w:val="00EC7FED"/>
    <w:rsid w:val="00ED0B20"/>
    <w:rsid w:val="00ED2572"/>
    <w:rsid w:val="00ED2B6B"/>
    <w:rsid w:val="00ED48F6"/>
    <w:rsid w:val="00ED57BC"/>
    <w:rsid w:val="00ED69F9"/>
    <w:rsid w:val="00EE1B29"/>
    <w:rsid w:val="00EE1E2A"/>
    <w:rsid w:val="00EE3BFC"/>
    <w:rsid w:val="00EE3DD8"/>
    <w:rsid w:val="00EE666C"/>
    <w:rsid w:val="00EE686B"/>
    <w:rsid w:val="00EE6E16"/>
    <w:rsid w:val="00EE6FF5"/>
    <w:rsid w:val="00EE717C"/>
    <w:rsid w:val="00EE7C88"/>
    <w:rsid w:val="00EF08EF"/>
    <w:rsid w:val="00EF288D"/>
    <w:rsid w:val="00EF3877"/>
    <w:rsid w:val="00EF44D9"/>
    <w:rsid w:val="00EF4F27"/>
    <w:rsid w:val="00F01C7B"/>
    <w:rsid w:val="00F06F7F"/>
    <w:rsid w:val="00F10BD5"/>
    <w:rsid w:val="00F10C90"/>
    <w:rsid w:val="00F1127F"/>
    <w:rsid w:val="00F11904"/>
    <w:rsid w:val="00F11E36"/>
    <w:rsid w:val="00F124E4"/>
    <w:rsid w:val="00F14223"/>
    <w:rsid w:val="00F167F5"/>
    <w:rsid w:val="00F17FBD"/>
    <w:rsid w:val="00F2136A"/>
    <w:rsid w:val="00F21AD4"/>
    <w:rsid w:val="00F21BE7"/>
    <w:rsid w:val="00F248A9"/>
    <w:rsid w:val="00F26311"/>
    <w:rsid w:val="00F27BCD"/>
    <w:rsid w:val="00F3062E"/>
    <w:rsid w:val="00F32DDE"/>
    <w:rsid w:val="00F43D21"/>
    <w:rsid w:val="00F45384"/>
    <w:rsid w:val="00F45E1F"/>
    <w:rsid w:val="00F460C6"/>
    <w:rsid w:val="00F46FF1"/>
    <w:rsid w:val="00F51650"/>
    <w:rsid w:val="00F53F71"/>
    <w:rsid w:val="00F5488E"/>
    <w:rsid w:val="00F5779B"/>
    <w:rsid w:val="00F62C97"/>
    <w:rsid w:val="00F6426E"/>
    <w:rsid w:val="00F649B9"/>
    <w:rsid w:val="00F6735B"/>
    <w:rsid w:val="00F676BC"/>
    <w:rsid w:val="00F676F6"/>
    <w:rsid w:val="00F71C53"/>
    <w:rsid w:val="00F72077"/>
    <w:rsid w:val="00F72759"/>
    <w:rsid w:val="00F73E27"/>
    <w:rsid w:val="00F73F7D"/>
    <w:rsid w:val="00F77737"/>
    <w:rsid w:val="00F8400A"/>
    <w:rsid w:val="00F8522B"/>
    <w:rsid w:val="00F854F5"/>
    <w:rsid w:val="00F9258C"/>
    <w:rsid w:val="00F9330D"/>
    <w:rsid w:val="00F9585D"/>
    <w:rsid w:val="00F9708D"/>
    <w:rsid w:val="00FA2D12"/>
    <w:rsid w:val="00FB07F1"/>
    <w:rsid w:val="00FB15CF"/>
    <w:rsid w:val="00FB31F0"/>
    <w:rsid w:val="00FB35B9"/>
    <w:rsid w:val="00FB49A7"/>
    <w:rsid w:val="00FB4DE8"/>
    <w:rsid w:val="00FB5512"/>
    <w:rsid w:val="00FB5E71"/>
    <w:rsid w:val="00FB6CEA"/>
    <w:rsid w:val="00FB7B3F"/>
    <w:rsid w:val="00FC0350"/>
    <w:rsid w:val="00FC47F2"/>
    <w:rsid w:val="00FC4AEC"/>
    <w:rsid w:val="00FC4F2E"/>
    <w:rsid w:val="00FC5D20"/>
    <w:rsid w:val="00FC6BF7"/>
    <w:rsid w:val="00FC73B8"/>
    <w:rsid w:val="00FD0863"/>
    <w:rsid w:val="00FD3149"/>
    <w:rsid w:val="00FD31BA"/>
    <w:rsid w:val="00FD39D8"/>
    <w:rsid w:val="00FD6475"/>
    <w:rsid w:val="00FE199C"/>
    <w:rsid w:val="00FE2719"/>
    <w:rsid w:val="00FE2FBA"/>
    <w:rsid w:val="00FE36BD"/>
    <w:rsid w:val="00FE4663"/>
    <w:rsid w:val="00FE6A64"/>
    <w:rsid w:val="00FF0072"/>
    <w:rsid w:val="00FF1A69"/>
    <w:rsid w:val="00FF2A1A"/>
    <w:rsid w:val="00FF2AB7"/>
    <w:rsid w:val="00FF30C1"/>
    <w:rsid w:val="00FF4C4D"/>
    <w:rsid w:val="00FF644F"/>
    <w:rsid w:val="00FF64E9"/>
    <w:rsid w:val="02512FF3"/>
    <w:rsid w:val="02C415F5"/>
    <w:rsid w:val="091671CB"/>
    <w:rsid w:val="1CE94B07"/>
    <w:rsid w:val="20FC0C50"/>
    <w:rsid w:val="23375383"/>
    <w:rsid w:val="2A5C7DFD"/>
    <w:rsid w:val="2E907A2C"/>
    <w:rsid w:val="37B74EA7"/>
    <w:rsid w:val="3AE22030"/>
    <w:rsid w:val="3E4742B1"/>
    <w:rsid w:val="470B7DB9"/>
    <w:rsid w:val="601A4DE2"/>
    <w:rsid w:val="62F54483"/>
    <w:rsid w:val="64F47875"/>
    <w:rsid w:val="67F53130"/>
    <w:rsid w:val="6B3F63B8"/>
    <w:rsid w:val="72274066"/>
    <w:rsid w:val="75907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4"/>
    </o:shapelayout>
  </w:shapeDefaults>
  <w:decimalSymbol w:val="."/>
  <w:listSeparator w:val=","/>
  <w14:docId w14:val="25207A58"/>
  <w15:docId w15:val="{EFC7FD51-0714-4A0F-A721-ABD6A783C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1256"/>
    <w:pPr>
      <w:widowControl w:val="0"/>
      <w:jc w:val="both"/>
    </w:pPr>
    <w:rPr>
      <w:kern w:val="2"/>
      <w:sz w:val="21"/>
      <w:szCs w:val="24"/>
    </w:rPr>
  </w:style>
  <w:style w:type="paragraph" w:styleId="1">
    <w:name w:val="heading 1"/>
    <w:basedOn w:val="a"/>
    <w:next w:val="a"/>
    <w:link w:val="10"/>
    <w:qFormat/>
    <w:rsid w:val="00CA1256"/>
    <w:pPr>
      <w:keepNext/>
      <w:keepLines/>
      <w:spacing w:line="576" w:lineRule="auto"/>
      <w:ind w:leftChars="200" w:left="200"/>
      <w:outlineLvl w:val="0"/>
    </w:pPr>
    <w:rPr>
      <w:rFonts w:eastAsia="黑体"/>
      <w:b/>
      <w:kern w:val="44"/>
      <w:sz w:val="32"/>
    </w:rPr>
  </w:style>
  <w:style w:type="paragraph" w:styleId="2">
    <w:name w:val="heading 2"/>
    <w:basedOn w:val="a"/>
    <w:next w:val="a"/>
    <w:link w:val="20"/>
    <w:unhideWhenUsed/>
    <w:qFormat/>
    <w:rsid w:val="00CA1256"/>
    <w:pPr>
      <w:keepNext/>
      <w:keepLines/>
      <w:spacing w:line="413" w:lineRule="auto"/>
      <w:ind w:leftChars="200" w:left="200"/>
      <w:outlineLvl w:val="1"/>
    </w:pPr>
    <w:rPr>
      <w:rFonts w:ascii="Arial" w:eastAsia="楷体_GB2312" w:hAnsi="Arial"/>
      <w:sz w:val="32"/>
    </w:rPr>
  </w:style>
  <w:style w:type="paragraph" w:styleId="3">
    <w:name w:val="heading 3"/>
    <w:basedOn w:val="a"/>
    <w:next w:val="a"/>
    <w:link w:val="30"/>
    <w:uiPriority w:val="9"/>
    <w:unhideWhenUsed/>
    <w:qFormat/>
    <w:rsid w:val="00CA1256"/>
    <w:pPr>
      <w:keepNext/>
      <w:keepLines/>
      <w:spacing w:line="360" w:lineRule="auto"/>
      <w:ind w:leftChars="200" w:left="200"/>
      <w:outlineLvl w:val="2"/>
    </w:pPr>
    <w:rPr>
      <w:rFonts w:eastAsia="仿宋_GB2312"/>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sid w:val="00CA1256"/>
    <w:pPr>
      <w:jc w:val="left"/>
    </w:pPr>
  </w:style>
  <w:style w:type="paragraph" w:styleId="a5">
    <w:name w:val="Body Text"/>
    <w:basedOn w:val="a"/>
    <w:link w:val="a6"/>
    <w:uiPriority w:val="99"/>
    <w:qFormat/>
    <w:rsid w:val="00CA1256"/>
    <w:pPr>
      <w:ind w:firstLine="200"/>
    </w:pPr>
    <w:rPr>
      <w:rFonts w:ascii="仿宋_GB2312" w:eastAsia="仿宋_GB2312"/>
      <w:sz w:val="30"/>
      <w:szCs w:val="22"/>
    </w:rPr>
  </w:style>
  <w:style w:type="paragraph" w:styleId="TOC3">
    <w:name w:val="toc 3"/>
    <w:basedOn w:val="a"/>
    <w:next w:val="a"/>
    <w:uiPriority w:val="39"/>
    <w:unhideWhenUsed/>
    <w:qFormat/>
    <w:rsid w:val="00CA1256"/>
    <w:pPr>
      <w:widowControl/>
      <w:tabs>
        <w:tab w:val="right" w:leader="dot" w:pos="8296"/>
      </w:tabs>
      <w:spacing w:line="480" w:lineRule="auto"/>
      <w:ind w:left="440"/>
      <w:jc w:val="left"/>
    </w:pPr>
    <w:rPr>
      <w:rFonts w:asciiTheme="minorHAnsi" w:eastAsiaTheme="minorEastAsia" w:hAnsiTheme="minorHAnsi" w:cstheme="minorBidi"/>
      <w:kern w:val="0"/>
      <w:sz w:val="22"/>
      <w:szCs w:val="22"/>
    </w:rPr>
  </w:style>
  <w:style w:type="paragraph" w:styleId="21">
    <w:name w:val="Body Text Indent 2"/>
    <w:basedOn w:val="a"/>
    <w:link w:val="22"/>
    <w:qFormat/>
    <w:rsid w:val="00CA1256"/>
    <w:pPr>
      <w:spacing w:after="120" w:line="480" w:lineRule="auto"/>
      <w:ind w:leftChars="200" w:left="420"/>
    </w:pPr>
  </w:style>
  <w:style w:type="paragraph" w:styleId="a7">
    <w:name w:val="Balloon Text"/>
    <w:basedOn w:val="a"/>
    <w:link w:val="a8"/>
    <w:uiPriority w:val="99"/>
    <w:semiHidden/>
    <w:unhideWhenUsed/>
    <w:qFormat/>
    <w:rsid w:val="00CA1256"/>
    <w:rPr>
      <w:sz w:val="18"/>
      <w:szCs w:val="18"/>
    </w:rPr>
  </w:style>
  <w:style w:type="paragraph" w:styleId="a9">
    <w:name w:val="footer"/>
    <w:basedOn w:val="a"/>
    <w:link w:val="aa"/>
    <w:qFormat/>
    <w:rsid w:val="00CA1256"/>
    <w:pPr>
      <w:tabs>
        <w:tab w:val="center" w:pos="4153"/>
        <w:tab w:val="right" w:pos="8306"/>
      </w:tabs>
      <w:snapToGrid w:val="0"/>
      <w:jc w:val="left"/>
    </w:pPr>
    <w:rPr>
      <w:sz w:val="18"/>
      <w:szCs w:val="18"/>
    </w:rPr>
  </w:style>
  <w:style w:type="paragraph" w:styleId="ab">
    <w:name w:val="header"/>
    <w:basedOn w:val="a"/>
    <w:link w:val="ac"/>
    <w:uiPriority w:val="99"/>
    <w:unhideWhenUsed/>
    <w:qFormat/>
    <w:rsid w:val="00CA1256"/>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rsid w:val="00CA1256"/>
  </w:style>
  <w:style w:type="paragraph" w:styleId="TOC2">
    <w:name w:val="toc 2"/>
    <w:basedOn w:val="a"/>
    <w:next w:val="a"/>
    <w:uiPriority w:val="39"/>
    <w:qFormat/>
    <w:rsid w:val="00CA1256"/>
    <w:pPr>
      <w:ind w:leftChars="200" w:left="420"/>
    </w:pPr>
  </w:style>
  <w:style w:type="paragraph" w:styleId="ad">
    <w:name w:val="annotation subject"/>
    <w:basedOn w:val="a3"/>
    <w:next w:val="a3"/>
    <w:link w:val="ae"/>
    <w:uiPriority w:val="99"/>
    <w:semiHidden/>
    <w:unhideWhenUsed/>
    <w:qFormat/>
    <w:rsid w:val="00CA1256"/>
    <w:rPr>
      <w:b/>
      <w:bCs/>
    </w:rPr>
  </w:style>
  <w:style w:type="character" w:styleId="af">
    <w:name w:val="page number"/>
    <w:basedOn w:val="a0"/>
    <w:qFormat/>
    <w:rsid w:val="00CA1256"/>
  </w:style>
  <w:style w:type="character" w:styleId="af0">
    <w:name w:val="Hyperlink"/>
    <w:basedOn w:val="a0"/>
    <w:uiPriority w:val="99"/>
    <w:unhideWhenUsed/>
    <w:qFormat/>
    <w:rsid w:val="00CA1256"/>
    <w:rPr>
      <w:color w:val="0000FF" w:themeColor="hyperlink"/>
      <w:u w:val="single"/>
    </w:rPr>
  </w:style>
  <w:style w:type="character" w:styleId="af1">
    <w:name w:val="annotation reference"/>
    <w:basedOn w:val="a0"/>
    <w:uiPriority w:val="99"/>
    <w:semiHidden/>
    <w:unhideWhenUsed/>
    <w:qFormat/>
    <w:rsid w:val="00CA1256"/>
    <w:rPr>
      <w:sz w:val="21"/>
      <w:szCs w:val="21"/>
    </w:rPr>
  </w:style>
  <w:style w:type="character" w:customStyle="1" w:styleId="10">
    <w:name w:val="标题 1 字符"/>
    <w:basedOn w:val="a0"/>
    <w:link w:val="1"/>
    <w:qFormat/>
    <w:rsid w:val="00CA1256"/>
    <w:rPr>
      <w:rFonts w:ascii="Times New Roman" w:eastAsia="黑体" w:hAnsi="Times New Roman" w:cs="Times New Roman"/>
      <w:b/>
      <w:kern w:val="44"/>
      <w:sz w:val="32"/>
      <w:szCs w:val="24"/>
    </w:rPr>
  </w:style>
  <w:style w:type="character" w:customStyle="1" w:styleId="20">
    <w:name w:val="标题 2 字符"/>
    <w:basedOn w:val="a0"/>
    <w:link w:val="2"/>
    <w:qFormat/>
    <w:rsid w:val="00CA1256"/>
    <w:rPr>
      <w:rFonts w:ascii="Arial" w:eastAsia="楷体_GB2312" w:hAnsi="Arial" w:cs="Times New Roman"/>
      <w:kern w:val="2"/>
      <w:sz w:val="32"/>
      <w:szCs w:val="24"/>
    </w:rPr>
  </w:style>
  <w:style w:type="character" w:customStyle="1" w:styleId="a6">
    <w:name w:val="正文文本 字符"/>
    <w:basedOn w:val="a0"/>
    <w:link w:val="a5"/>
    <w:uiPriority w:val="99"/>
    <w:qFormat/>
    <w:rsid w:val="00CA1256"/>
    <w:rPr>
      <w:rFonts w:ascii="仿宋_GB2312" w:eastAsia="仿宋_GB2312" w:hAnsi="Times New Roman" w:cs="Times New Roman"/>
      <w:sz w:val="30"/>
    </w:rPr>
  </w:style>
  <w:style w:type="character" w:customStyle="1" w:styleId="22">
    <w:name w:val="正文文本缩进 2 字符"/>
    <w:basedOn w:val="a0"/>
    <w:link w:val="21"/>
    <w:qFormat/>
    <w:rsid w:val="00CA1256"/>
    <w:rPr>
      <w:rFonts w:ascii="Times New Roman" w:eastAsia="宋体" w:hAnsi="Times New Roman" w:cs="Times New Roman"/>
      <w:szCs w:val="24"/>
    </w:rPr>
  </w:style>
  <w:style w:type="character" w:customStyle="1" w:styleId="aa">
    <w:name w:val="页脚 字符"/>
    <w:basedOn w:val="a0"/>
    <w:link w:val="a9"/>
    <w:qFormat/>
    <w:rsid w:val="00CA1256"/>
    <w:rPr>
      <w:rFonts w:ascii="Times New Roman" w:eastAsia="宋体" w:hAnsi="Times New Roman" w:cs="Times New Roman"/>
      <w:sz w:val="18"/>
      <w:szCs w:val="18"/>
    </w:rPr>
  </w:style>
  <w:style w:type="character" w:customStyle="1" w:styleId="ac">
    <w:name w:val="页眉 字符"/>
    <w:basedOn w:val="a0"/>
    <w:link w:val="ab"/>
    <w:uiPriority w:val="99"/>
    <w:qFormat/>
    <w:rsid w:val="00CA1256"/>
    <w:rPr>
      <w:rFonts w:ascii="Times New Roman" w:eastAsia="宋体" w:hAnsi="Times New Roman" w:cs="Times New Roman"/>
      <w:sz w:val="18"/>
      <w:szCs w:val="18"/>
    </w:rPr>
  </w:style>
  <w:style w:type="paragraph" w:styleId="af2">
    <w:name w:val="List Paragraph"/>
    <w:basedOn w:val="a"/>
    <w:uiPriority w:val="99"/>
    <w:unhideWhenUsed/>
    <w:qFormat/>
    <w:rsid w:val="00CA1256"/>
    <w:pPr>
      <w:ind w:firstLineChars="200" w:firstLine="420"/>
    </w:pPr>
  </w:style>
  <w:style w:type="paragraph" w:customStyle="1" w:styleId="11">
    <w:name w:val="修订1"/>
    <w:hidden/>
    <w:uiPriority w:val="99"/>
    <w:unhideWhenUsed/>
    <w:qFormat/>
    <w:rsid w:val="00CA1256"/>
    <w:rPr>
      <w:kern w:val="2"/>
      <w:sz w:val="21"/>
      <w:szCs w:val="24"/>
    </w:rPr>
  </w:style>
  <w:style w:type="character" w:customStyle="1" w:styleId="a8">
    <w:name w:val="批注框文本 字符"/>
    <w:basedOn w:val="a0"/>
    <w:link w:val="a7"/>
    <w:uiPriority w:val="99"/>
    <w:semiHidden/>
    <w:qFormat/>
    <w:rsid w:val="00CA1256"/>
    <w:rPr>
      <w:rFonts w:ascii="Times New Roman" w:eastAsia="宋体" w:hAnsi="Times New Roman" w:cs="Times New Roman"/>
      <w:kern w:val="2"/>
      <w:sz w:val="18"/>
      <w:szCs w:val="18"/>
    </w:rPr>
  </w:style>
  <w:style w:type="character" w:customStyle="1" w:styleId="a4">
    <w:name w:val="批注文字 字符"/>
    <w:basedOn w:val="a0"/>
    <w:link w:val="a3"/>
    <w:uiPriority w:val="99"/>
    <w:semiHidden/>
    <w:qFormat/>
    <w:rsid w:val="00CA1256"/>
    <w:rPr>
      <w:rFonts w:ascii="Times New Roman" w:eastAsia="宋体" w:hAnsi="Times New Roman" w:cs="Times New Roman"/>
      <w:kern w:val="2"/>
      <w:sz w:val="21"/>
      <w:szCs w:val="24"/>
    </w:rPr>
  </w:style>
  <w:style w:type="character" w:customStyle="1" w:styleId="ae">
    <w:name w:val="批注主题 字符"/>
    <w:basedOn w:val="a4"/>
    <w:link w:val="ad"/>
    <w:uiPriority w:val="99"/>
    <w:semiHidden/>
    <w:qFormat/>
    <w:rsid w:val="00CA1256"/>
    <w:rPr>
      <w:rFonts w:ascii="Times New Roman" w:eastAsia="宋体" w:hAnsi="Times New Roman" w:cs="Times New Roman"/>
      <w:b/>
      <w:bCs/>
      <w:kern w:val="2"/>
      <w:sz w:val="21"/>
      <w:szCs w:val="24"/>
    </w:rPr>
  </w:style>
  <w:style w:type="paragraph" w:customStyle="1" w:styleId="TOC10">
    <w:name w:val="TOC 标题1"/>
    <w:basedOn w:val="1"/>
    <w:next w:val="a"/>
    <w:uiPriority w:val="39"/>
    <w:semiHidden/>
    <w:unhideWhenUsed/>
    <w:qFormat/>
    <w:rsid w:val="00CA1256"/>
    <w:pPr>
      <w:widowControl/>
      <w:spacing w:before="480" w:line="276" w:lineRule="auto"/>
      <w:jc w:val="left"/>
      <w:outlineLvl w:val="9"/>
    </w:pPr>
    <w:rPr>
      <w:rFonts w:asciiTheme="majorHAnsi" w:eastAsiaTheme="majorEastAsia" w:hAnsiTheme="majorHAnsi" w:cstheme="majorBidi"/>
      <w:bCs/>
      <w:color w:val="365F91" w:themeColor="accent1" w:themeShade="BF"/>
      <w:kern w:val="0"/>
      <w:sz w:val="28"/>
      <w:szCs w:val="28"/>
    </w:rPr>
  </w:style>
  <w:style w:type="character" w:customStyle="1" w:styleId="30">
    <w:name w:val="标题 3 字符"/>
    <w:basedOn w:val="a0"/>
    <w:link w:val="3"/>
    <w:uiPriority w:val="9"/>
    <w:qFormat/>
    <w:rsid w:val="00CA1256"/>
    <w:rPr>
      <w:rFonts w:ascii="Times New Roman" w:eastAsia="仿宋_GB2312" w:hAnsi="Times New Roman" w:cs="Times New Roman"/>
      <w:bCs/>
      <w:kern w:val="2"/>
      <w:sz w:val="32"/>
      <w:szCs w:val="32"/>
    </w:rPr>
  </w:style>
  <w:style w:type="paragraph" w:customStyle="1" w:styleId="TOC20">
    <w:name w:val="TOC 标题2"/>
    <w:basedOn w:val="1"/>
    <w:next w:val="a"/>
    <w:uiPriority w:val="39"/>
    <w:semiHidden/>
    <w:unhideWhenUsed/>
    <w:qFormat/>
    <w:rsid w:val="00CA1256"/>
    <w:pPr>
      <w:widowControl/>
      <w:spacing w:before="480" w:line="276" w:lineRule="auto"/>
      <w:jc w:val="left"/>
      <w:outlineLvl w:val="9"/>
    </w:pPr>
    <w:rPr>
      <w:rFonts w:asciiTheme="majorHAnsi" w:eastAsiaTheme="majorEastAsia" w:hAnsiTheme="majorHAnsi" w:cstheme="majorBidi"/>
      <w:bCs/>
      <w:color w:val="365F91" w:themeColor="accent1" w:themeShade="BF"/>
      <w:kern w:val="0"/>
      <w:sz w:val="28"/>
      <w:szCs w:val="28"/>
    </w:rPr>
  </w:style>
  <w:style w:type="paragraph" w:customStyle="1" w:styleId="23">
    <w:name w:val="修订2"/>
    <w:hidden/>
    <w:uiPriority w:val="99"/>
    <w:unhideWhenUsed/>
    <w:qFormat/>
    <w:rsid w:val="00CA1256"/>
    <w:rPr>
      <w:kern w:val="2"/>
      <w:sz w:val="21"/>
      <w:szCs w:val="24"/>
    </w:rPr>
  </w:style>
  <w:style w:type="paragraph" w:customStyle="1" w:styleId="af3">
    <w:name w:val="公文一级标题"/>
    <w:basedOn w:val="1"/>
    <w:qFormat/>
    <w:rsid w:val="00CA1256"/>
    <w:pPr>
      <w:spacing w:line="480" w:lineRule="auto"/>
      <w:ind w:left="420"/>
    </w:pPr>
    <w:rPr>
      <w:rFonts w:ascii="黑体" w:hAnsi="黑体"/>
    </w:rPr>
  </w:style>
  <w:style w:type="paragraph" w:customStyle="1" w:styleId="af4">
    <w:name w:val="公文二级标题"/>
    <w:basedOn w:val="2"/>
    <w:qFormat/>
    <w:rsid w:val="00CA1256"/>
    <w:pPr>
      <w:spacing w:line="480" w:lineRule="auto"/>
      <w:ind w:left="420"/>
    </w:pPr>
    <w:rPr>
      <w:rFonts w:ascii="楷体_GB2312" w:hAnsi="仿宋"/>
      <w:b/>
      <w:bCs/>
    </w:rPr>
  </w:style>
  <w:style w:type="paragraph" w:customStyle="1" w:styleId="af5">
    <w:name w:val="公文三级标题"/>
    <w:basedOn w:val="3"/>
    <w:qFormat/>
    <w:rsid w:val="00CA1256"/>
    <w:pPr>
      <w:spacing w:line="480" w:lineRule="auto"/>
      <w:ind w:left="420"/>
    </w:pPr>
    <w:rPr>
      <w:rFonts w:ascii="仿宋_GB2312" w:hAnsi="仿宋"/>
    </w:rPr>
  </w:style>
  <w:style w:type="character" w:customStyle="1" w:styleId="font21">
    <w:name w:val="font21"/>
    <w:basedOn w:val="a0"/>
    <w:qFormat/>
    <w:rsid w:val="00CA1256"/>
    <w:rPr>
      <w:rFonts w:ascii="宋体" w:eastAsia="宋体" w:hAnsi="宋体" w:cs="宋体" w:hint="eastAsia"/>
      <w:color w:val="000000"/>
      <w:sz w:val="20"/>
      <w:szCs w:val="20"/>
      <w:u w:val="none"/>
    </w:rPr>
  </w:style>
  <w:style w:type="paragraph" w:styleId="af6">
    <w:name w:val="Revision"/>
    <w:hidden/>
    <w:uiPriority w:val="99"/>
    <w:unhideWhenUsed/>
    <w:rsid w:val="0061239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8261</Words>
  <Characters>1108</Characters>
  <Application>Microsoft Office Word</Application>
  <DocSecurity>0</DocSecurity>
  <Lines>110</Lines>
  <Paragraphs>360</Paragraphs>
  <ScaleCrop>false</ScaleCrop>
  <Company>trc</Company>
  <LinksUpToDate>false</LinksUpToDate>
  <CharactersWithSpaces>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王欣宇</dc:creator>
  <cp:lastModifiedBy>496205213@qq.com</cp:lastModifiedBy>
  <cp:revision>247</cp:revision>
  <cp:lastPrinted>2025-08-26T02:46:00Z</cp:lastPrinted>
  <dcterms:created xsi:type="dcterms:W3CDTF">2025-04-10T03:03:00Z</dcterms:created>
  <dcterms:modified xsi:type="dcterms:W3CDTF">2025-08-26T13:21:00Z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2052-11.8.2.11929</vt:lpwstr>
  </property>
  <property fmtid="{D5CDD505-2E9C-101B-9397-08002B2CF9AE}" pid="3" name="ICV">
    <vt:lpwstr>22B8653575AD408F8557F8EB36C89CB7_13</vt:lpwstr>
  </property>
  <property fmtid="{D5CDD505-2E9C-101B-9397-08002B2CF9AE}" pid="4" name="KSOTemplateDocerSaveRecord">
    <vt:lpwstr>eyJoZGlkIjoiNjUzNjViYzk2NWYxNTRkYjRiZmNlZDdkYTg2MTM2NTAiLCJ1c2VySWQiOiI5OTk4NjQyMTEifQ==</vt:lpwstr>
  </property>
</Properties>
</file>