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70EF" w:rsidRDefault="007070EF">
      <w:pPr>
        <w:spacing w:line="560" w:lineRule="exact"/>
        <w:jc w:val="center"/>
        <w:rPr>
          <w:rFonts w:ascii="方正小标宋简体" w:eastAsia="方正小标宋简体" w:hint="eastAsia"/>
          <w:sz w:val="36"/>
          <w:szCs w:val="36"/>
        </w:rPr>
      </w:pPr>
    </w:p>
    <w:p w:rsidR="007070EF" w:rsidRDefault="007070EF">
      <w:pPr>
        <w:adjustRightInd w:val="0"/>
        <w:snapToGrid w:val="0"/>
        <w:spacing w:line="360" w:lineRule="auto"/>
        <w:jc w:val="center"/>
        <w:rPr>
          <w:rFonts w:ascii="黑体" w:eastAsia="黑体" w:hAnsi="黑体"/>
          <w:b/>
          <w:sz w:val="56"/>
          <w:szCs w:val="56"/>
          <w:lang w:val="zh-CN"/>
        </w:rPr>
      </w:pPr>
    </w:p>
    <w:p w:rsidR="007070EF" w:rsidRDefault="00955420">
      <w:pPr>
        <w:adjustRightInd w:val="0"/>
        <w:snapToGrid w:val="0"/>
        <w:spacing w:line="360" w:lineRule="auto"/>
        <w:jc w:val="center"/>
        <w:rPr>
          <w:rFonts w:ascii="黑体" w:eastAsia="黑体" w:hAnsi="黑体"/>
          <w:b/>
          <w:sz w:val="56"/>
          <w:szCs w:val="56"/>
        </w:rPr>
      </w:pPr>
      <w:r>
        <w:rPr>
          <w:rFonts w:ascii="黑体" w:eastAsia="黑体" w:hAnsi="黑体" w:hint="eastAsia"/>
          <w:b/>
          <w:sz w:val="56"/>
          <w:szCs w:val="56"/>
          <w:lang w:val="zh-CN"/>
        </w:rPr>
        <w:t>北京市</w:t>
      </w:r>
      <w:r>
        <w:rPr>
          <w:rFonts w:ascii="黑体" w:eastAsia="黑体" w:hAnsi="黑体" w:hint="eastAsia"/>
          <w:b/>
          <w:sz w:val="56"/>
          <w:szCs w:val="56"/>
        </w:rPr>
        <w:t>档案馆</w:t>
      </w:r>
    </w:p>
    <w:p w:rsidR="007070EF" w:rsidRDefault="00955420">
      <w:pPr>
        <w:adjustRightInd w:val="0"/>
        <w:snapToGrid w:val="0"/>
        <w:spacing w:line="360" w:lineRule="auto"/>
        <w:jc w:val="center"/>
        <w:rPr>
          <w:rFonts w:ascii="黑体" w:eastAsia="黑体" w:hAnsi="黑体"/>
          <w:b/>
          <w:sz w:val="56"/>
          <w:szCs w:val="56"/>
          <w:lang w:val="zh-CN"/>
        </w:rPr>
      </w:pPr>
      <w:r>
        <w:rPr>
          <w:rFonts w:ascii="黑体" w:eastAsia="黑体" w:hAnsi="黑体" w:hint="eastAsia"/>
          <w:b/>
          <w:sz w:val="56"/>
          <w:szCs w:val="56"/>
          <w:lang w:val="zh-CN"/>
        </w:rPr>
        <w:t>2</w:t>
      </w:r>
      <w:r>
        <w:rPr>
          <w:rFonts w:ascii="黑体" w:eastAsia="黑体" w:hAnsi="黑体"/>
          <w:b/>
          <w:sz w:val="56"/>
          <w:szCs w:val="56"/>
          <w:lang w:val="zh-CN"/>
        </w:rPr>
        <w:t>02</w:t>
      </w:r>
      <w:r>
        <w:rPr>
          <w:rFonts w:ascii="黑体" w:eastAsia="黑体" w:hAnsi="黑体" w:hint="eastAsia"/>
          <w:b/>
          <w:sz w:val="56"/>
          <w:szCs w:val="56"/>
        </w:rPr>
        <w:t>4</w:t>
      </w:r>
      <w:r>
        <w:rPr>
          <w:rFonts w:ascii="黑体" w:eastAsia="黑体" w:hAnsi="黑体" w:hint="eastAsia"/>
          <w:b/>
          <w:sz w:val="56"/>
          <w:szCs w:val="56"/>
          <w:lang w:val="zh-CN"/>
        </w:rPr>
        <w:t>年度部门整体绩效评价报告</w:t>
      </w:r>
    </w:p>
    <w:p w:rsidR="007070EF" w:rsidRDefault="007070EF">
      <w:pPr>
        <w:spacing w:line="560" w:lineRule="exact"/>
        <w:jc w:val="center"/>
        <w:rPr>
          <w:rFonts w:ascii="方正小标宋简体" w:eastAsia="方正小标宋简体"/>
          <w:sz w:val="36"/>
          <w:szCs w:val="36"/>
        </w:rPr>
      </w:pPr>
    </w:p>
    <w:p w:rsidR="007070EF" w:rsidRDefault="007070EF">
      <w:pPr>
        <w:spacing w:line="560" w:lineRule="exact"/>
        <w:jc w:val="center"/>
        <w:rPr>
          <w:rFonts w:ascii="方正小标宋简体" w:eastAsia="方正小标宋简体"/>
          <w:sz w:val="36"/>
          <w:szCs w:val="36"/>
        </w:rPr>
      </w:pPr>
    </w:p>
    <w:p w:rsidR="007070EF" w:rsidRDefault="007070EF">
      <w:pPr>
        <w:spacing w:line="560" w:lineRule="exact"/>
        <w:jc w:val="center"/>
        <w:rPr>
          <w:rFonts w:ascii="方正小标宋简体" w:eastAsia="方正小标宋简体"/>
          <w:sz w:val="36"/>
          <w:szCs w:val="36"/>
        </w:rPr>
      </w:pPr>
    </w:p>
    <w:p w:rsidR="007070EF" w:rsidRDefault="007070EF">
      <w:pPr>
        <w:spacing w:line="560" w:lineRule="exact"/>
        <w:jc w:val="center"/>
        <w:rPr>
          <w:rFonts w:ascii="方正小标宋简体" w:eastAsia="方正小标宋简体"/>
          <w:sz w:val="36"/>
          <w:szCs w:val="36"/>
        </w:rPr>
      </w:pPr>
    </w:p>
    <w:p w:rsidR="007070EF" w:rsidRDefault="007070EF">
      <w:pPr>
        <w:spacing w:line="560" w:lineRule="exact"/>
        <w:jc w:val="center"/>
        <w:rPr>
          <w:rFonts w:ascii="方正小标宋简体" w:eastAsia="方正小标宋简体"/>
          <w:sz w:val="36"/>
          <w:szCs w:val="36"/>
        </w:rPr>
      </w:pPr>
    </w:p>
    <w:p w:rsidR="007070EF" w:rsidRDefault="007070EF">
      <w:pPr>
        <w:spacing w:line="560" w:lineRule="exact"/>
        <w:jc w:val="center"/>
        <w:rPr>
          <w:rFonts w:ascii="方正小标宋简体" w:eastAsia="方正小标宋简体"/>
          <w:sz w:val="36"/>
          <w:szCs w:val="36"/>
        </w:rPr>
      </w:pPr>
    </w:p>
    <w:p w:rsidR="007070EF" w:rsidRDefault="007070EF">
      <w:pPr>
        <w:spacing w:line="560" w:lineRule="exact"/>
        <w:jc w:val="center"/>
        <w:rPr>
          <w:rFonts w:ascii="方正小标宋简体" w:eastAsia="方正小标宋简体"/>
          <w:sz w:val="36"/>
          <w:szCs w:val="36"/>
        </w:rPr>
      </w:pPr>
    </w:p>
    <w:p w:rsidR="007070EF" w:rsidRDefault="007070EF">
      <w:pPr>
        <w:spacing w:line="560" w:lineRule="exact"/>
        <w:jc w:val="center"/>
        <w:rPr>
          <w:rFonts w:ascii="方正小标宋简体" w:eastAsia="方正小标宋简体"/>
          <w:sz w:val="36"/>
          <w:szCs w:val="36"/>
        </w:rPr>
      </w:pPr>
    </w:p>
    <w:p w:rsidR="007070EF" w:rsidRDefault="007070EF">
      <w:pPr>
        <w:spacing w:line="560" w:lineRule="exact"/>
        <w:jc w:val="center"/>
        <w:rPr>
          <w:rFonts w:ascii="方正小标宋简体" w:eastAsia="方正小标宋简体"/>
          <w:sz w:val="36"/>
          <w:szCs w:val="36"/>
        </w:rPr>
      </w:pPr>
    </w:p>
    <w:p w:rsidR="007070EF" w:rsidRDefault="007070EF">
      <w:pPr>
        <w:spacing w:line="560" w:lineRule="exact"/>
        <w:jc w:val="center"/>
        <w:rPr>
          <w:rFonts w:ascii="方正小标宋简体" w:eastAsia="方正小标宋简体"/>
          <w:sz w:val="36"/>
          <w:szCs w:val="36"/>
        </w:rPr>
      </w:pPr>
    </w:p>
    <w:p w:rsidR="007070EF" w:rsidRDefault="007070EF">
      <w:pPr>
        <w:spacing w:line="560" w:lineRule="exact"/>
        <w:jc w:val="center"/>
        <w:rPr>
          <w:rFonts w:ascii="方正小标宋简体" w:eastAsia="方正小标宋简体"/>
          <w:sz w:val="36"/>
          <w:szCs w:val="36"/>
        </w:rPr>
      </w:pPr>
    </w:p>
    <w:p w:rsidR="007070EF" w:rsidRDefault="007070EF">
      <w:pPr>
        <w:spacing w:line="560" w:lineRule="exact"/>
        <w:ind w:leftChars="600" w:left="1260"/>
        <w:jc w:val="center"/>
        <w:rPr>
          <w:rFonts w:ascii="方正小标宋简体" w:eastAsia="方正小标宋简体"/>
          <w:sz w:val="36"/>
          <w:szCs w:val="36"/>
        </w:rPr>
      </w:pPr>
    </w:p>
    <w:p w:rsidR="007070EF" w:rsidRDefault="00955420">
      <w:pPr>
        <w:spacing w:line="560" w:lineRule="exact"/>
        <w:jc w:val="center"/>
        <w:rPr>
          <w:rFonts w:ascii="仿宋_GB2312" w:eastAsia="仿宋_GB2312"/>
          <w:b/>
          <w:bCs/>
          <w:sz w:val="32"/>
          <w:szCs w:val="32"/>
        </w:rPr>
      </w:pPr>
      <w:r>
        <w:rPr>
          <w:rFonts w:ascii="仿宋_GB2312" w:eastAsia="仿宋_GB2312" w:hint="eastAsia"/>
          <w:b/>
          <w:bCs/>
          <w:sz w:val="32"/>
          <w:szCs w:val="32"/>
        </w:rPr>
        <w:t>填报时间：2025年5月</w:t>
      </w:r>
    </w:p>
    <w:p w:rsidR="007070EF" w:rsidRDefault="007070EF">
      <w:pPr>
        <w:spacing w:line="560" w:lineRule="exact"/>
        <w:jc w:val="center"/>
        <w:rPr>
          <w:rFonts w:ascii="方正小标宋简体" w:eastAsia="方正小标宋简体"/>
          <w:sz w:val="44"/>
          <w:szCs w:val="44"/>
        </w:rPr>
      </w:pPr>
    </w:p>
    <w:p w:rsidR="007070EF" w:rsidRDefault="007070EF">
      <w:pPr>
        <w:spacing w:line="560" w:lineRule="exact"/>
        <w:jc w:val="center"/>
        <w:rPr>
          <w:rFonts w:ascii="方正小标宋简体" w:eastAsia="方正小标宋简体"/>
          <w:sz w:val="44"/>
          <w:szCs w:val="44"/>
        </w:rPr>
      </w:pPr>
    </w:p>
    <w:p w:rsidR="007070EF" w:rsidRDefault="007070EF">
      <w:pPr>
        <w:spacing w:line="560" w:lineRule="exact"/>
        <w:jc w:val="center"/>
        <w:rPr>
          <w:rFonts w:ascii="方正小标宋简体" w:eastAsia="方正小标宋简体"/>
          <w:sz w:val="44"/>
          <w:szCs w:val="44"/>
        </w:rPr>
      </w:pPr>
    </w:p>
    <w:p w:rsidR="007070EF" w:rsidRDefault="007070EF">
      <w:pPr>
        <w:spacing w:line="560" w:lineRule="exact"/>
        <w:jc w:val="center"/>
        <w:rPr>
          <w:rFonts w:ascii="方正小标宋简体" w:eastAsia="方正小标宋简体"/>
          <w:sz w:val="44"/>
          <w:szCs w:val="44"/>
        </w:rPr>
      </w:pPr>
    </w:p>
    <w:p w:rsidR="007070EF" w:rsidRDefault="007070EF">
      <w:pPr>
        <w:spacing w:line="560" w:lineRule="exact"/>
        <w:rPr>
          <w:rFonts w:ascii="方正小标宋简体" w:eastAsia="方正小标宋简体"/>
          <w:sz w:val="44"/>
          <w:szCs w:val="44"/>
        </w:rPr>
      </w:pPr>
    </w:p>
    <w:p w:rsidR="007070EF" w:rsidRDefault="007070EF">
      <w:pPr>
        <w:spacing w:line="560" w:lineRule="exact"/>
        <w:jc w:val="center"/>
        <w:rPr>
          <w:rFonts w:ascii="方正小标宋简体" w:eastAsia="方正小标宋简体"/>
          <w:sz w:val="44"/>
          <w:szCs w:val="44"/>
        </w:rPr>
        <w:sectPr w:rsidR="007070EF">
          <w:footerReference w:type="default" r:id="rId8"/>
          <w:pgSz w:w="11906" w:h="16838"/>
          <w:pgMar w:top="1440" w:right="1633" w:bottom="1440" w:left="1689" w:header="851" w:footer="992" w:gutter="0"/>
          <w:cols w:space="425"/>
          <w:docGrid w:type="lines" w:linePitch="312"/>
        </w:sectPr>
      </w:pPr>
    </w:p>
    <w:p w:rsidR="007070EF" w:rsidRDefault="00955420">
      <w:pPr>
        <w:spacing w:line="560" w:lineRule="exact"/>
        <w:jc w:val="center"/>
        <w:rPr>
          <w:rFonts w:ascii="方正小标宋简体" w:eastAsia="方正小标宋简体"/>
          <w:sz w:val="44"/>
          <w:szCs w:val="44"/>
        </w:rPr>
      </w:pPr>
      <w:r>
        <w:rPr>
          <w:rFonts w:ascii="方正小标宋简体" w:eastAsia="方正小标宋简体" w:hint="eastAsia"/>
          <w:sz w:val="44"/>
          <w:szCs w:val="44"/>
        </w:rPr>
        <w:lastRenderedPageBreak/>
        <w:t>北京市档案馆</w:t>
      </w:r>
    </w:p>
    <w:p w:rsidR="007070EF" w:rsidRDefault="00955420">
      <w:pPr>
        <w:spacing w:line="560" w:lineRule="exact"/>
        <w:jc w:val="center"/>
        <w:rPr>
          <w:rFonts w:ascii="方正小标宋简体" w:eastAsia="方正小标宋简体"/>
          <w:sz w:val="44"/>
          <w:szCs w:val="44"/>
        </w:rPr>
      </w:pPr>
      <w:r>
        <w:rPr>
          <w:rFonts w:ascii="方正小标宋简体" w:eastAsia="方正小标宋简体" w:hint="eastAsia"/>
          <w:sz w:val="44"/>
          <w:szCs w:val="44"/>
        </w:rPr>
        <w:t>2024年度部门整体绩效评价报告</w:t>
      </w:r>
    </w:p>
    <w:p w:rsidR="007070EF" w:rsidRDefault="007070EF">
      <w:pPr>
        <w:rPr>
          <w:rFonts w:ascii="仿宋_GB2312"/>
          <w:szCs w:val="30"/>
        </w:rPr>
      </w:pPr>
    </w:p>
    <w:p w:rsidR="007070EF" w:rsidRDefault="00955420">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一、部门概况</w:t>
      </w:r>
    </w:p>
    <w:p w:rsidR="007070EF" w:rsidRDefault="00955420">
      <w:pPr>
        <w:spacing w:line="600" w:lineRule="exact"/>
        <w:ind w:firstLineChars="200" w:firstLine="640"/>
        <w:rPr>
          <w:rFonts w:ascii="楷体_GB2312" w:eastAsia="楷体_GB2312"/>
          <w:sz w:val="32"/>
          <w:szCs w:val="32"/>
        </w:rPr>
      </w:pPr>
      <w:r>
        <w:rPr>
          <w:rFonts w:ascii="楷体_GB2312" w:eastAsia="楷体_GB2312" w:hint="eastAsia"/>
          <w:sz w:val="32"/>
          <w:szCs w:val="32"/>
        </w:rPr>
        <w:t>（一）机构设置及职责工作任务情况</w:t>
      </w:r>
    </w:p>
    <w:p w:rsidR="007070EF" w:rsidRDefault="00955420">
      <w:pPr>
        <w:adjustRightInd w:val="0"/>
        <w:snapToGrid w:val="0"/>
        <w:spacing w:line="560" w:lineRule="exact"/>
        <w:ind w:firstLineChars="200" w:firstLine="640"/>
        <w:outlineLvl w:val="2"/>
        <w:rPr>
          <w:rFonts w:eastAsia="仿宋_GB2312"/>
          <w:bCs/>
          <w:sz w:val="32"/>
          <w:szCs w:val="32"/>
        </w:rPr>
      </w:pPr>
      <w:bookmarkStart w:id="0" w:name="_Toc72438576"/>
      <w:bookmarkStart w:id="1" w:name="_Toc72438997"/>
      <w:bookmarkStart w:id="2" w:name="_Toc102158216"/>
      <w:bookmarkStart w:id="3" w:name="_Toc102140635"/>
      <w:r>
        <w:rPr>
          <w:rFonts w:eastAsia="仿宋_GB2312" w:hint="eastAsia"/>
          <w:bCs/>
          <w:sz w:val="32"/>
          <w:szCs w:val="32"/>
        </w:rPr>
        <w:t>1.</w:t>
      </w:r>
      <w:bookmarkEnd w:id="0"/>
      <w:bookmarkEnd w:id="1"/>
      <w:r>
        <w:rPr>
          <w:rFonts w:eastAsia="仿宋_GB2312" w:hint="eastAsia"/>
          <w:bCs/>
          <w:sz w:val="32"/>
          <w:szCs w:val="32"/>
        </w:rPr>
        <w:t>部门职责</w:t>
      </w:r>
      <w:bookmarkEnd w:id="2"/>
      <w:bookmarkEnd w:id="3"/>
    </w:p>
    <w:p w:rsidR="007070EF" w:rsidRDefault="00955420">
      <w:pPr>
        <w:adjustRightInd w:val="0"/>
        <w:snapToGrid w:val="0"/>
        <w:spacing w:line="560" w:lineRule="exact"/>
        <w:ind w:firstLineChars="200" w:firstLine="640"/>
        <w:outlineLvl w:val="2"/>
        <w:rPr>
          <w:rFonts w:eastAsia="仿宋_GB2312"/>
          <w:bCs/>
          <w:sz w:val="32"/>
          <w:szCs w:val="32"/>
        </w:rPr>
      </w:pPr>
      <w:r>
        <w:rPr>
          <w:rFonts w:eastAsia="仿宋_GB2312" w:hint="eastAsia"/>
          <w:bCs/>
          <w:sz w:val="32"/>
          <w:szCs w:val="32"/>
        </w:rPr>
        <w:t>根据中共中央、国务院批准的《北京市机构改革方案》和中共北京市委办公厅印发的关于我馆内设机构和人员编制的相关文件，北京市档案馆（简称市档案馆）是本市集中保存、管理档案的文化事业机构，是市委直属事业单位，相当正局级，归口市委办公厅管理。</w:t>
      </w:r>
    </w:p>
    <w:p w:rsidR="007070EF" w:rsidRDefault="00DA679F">
      <w:pPr>
        <w:adjustRightInd w:val="0"/>
        <w:snapToGrid w:val="0"/>
        <w:spacing w:line="560" w:lineRule="exact"/>
        <w:ind w:firstLineChars="200" w:firstLine="640"/>
        <w:outlineLvl w:val="2"/>
        <w:rPr>
          <w:rFonts w:eastAsia="仿宋_GB2312"/>
          <w:bCs/>
          <w:sz w:val="32"/>
          <w:szCs w:val="32"/>
        </w:rPr>
      </w:pPr>
      <w:r w:rsidRPr="00DA679F">
        <w:rPr>
          <w:rFonts w:eastAsia="仿宋_GB2312" w:hint="eastAsia"/>
          <w:bCs/>
          <w:sz w:val="32"/>
          <w:szCs w:val="32"/>
        </w:rPr>
        <w:t>市档案馆主要职责是：收集和接收本馆保管范围内对国家和社会有保存价值的档案；对所保存的档案严格按照规定整理和保管；采取各种形式开发档案资源，为社会利用档案资源提供服务；承办市委、市政府交办的其他事项。</w:t>
      </w:r>
    </w:p>
    <w:p w:rsidR="007070EF" w:rsidRDefault="00955420">
      <w:pPr>
        <w:adjustRightInd w:val="0"/>
        <w:snapToGrid w:val="0"/>
        <w:spacing w:line="560" w:lineRule="exact"/>
        <w:ind w:firstLineChars="200" w:firstLine="640"/>
        <w:outlineLvl w:val="2"/>
        <w:rPr>
          <w:rFonts w:eastAsia="仿宋_GB2312"/>
          <w:bCs/>
          <w:sz w:val="32"/>
          <w:szCs w:val="32"/>
        </w:rPr>
      </w:pPr>
      <w:bookmarkStart w:id="4" w:name="_Toc72438998"/>
      <w:bookmarkStart w:id="5" w:name="_Toc72438577"/>
      <w:bookmarkStart w:id="6" w:name="_Toc102140636"/>
      <w:bookmarkStart w:id="7" w:name="_Toc102158217"/>
      <w:r>
        <w:rPr>
          <w:rFonts w:eastAsia="仿宋_GB2312"/>
          <w:bCs/>
          <w:sz w:val="32"/>
          <w:szCs w:val="32"/>
        </w:rPr>
        <w:t>2</w:t>
      </w:r>
      <w:r>
        <w:rPr>
          <w:rFonts w:eastAsia="仿宋_GB2312" w:hint="eastAsia"/>
          <w:bCs/>
          <w:sz w:val="32"/>
          <w:szCs w:val="32"/>
        </w:rPr>
        <w:t>.</w:t>
      </w:r>
      <w:bookmarkEnd w:id="4"/>
      <w:bookmarkEnd w:id="5"/>
      <w:r>
        <w:rPr>
          <w:rFonts w:eastAsia="仿宋_GB2312" w:hint="eastAsia"/>
          <w:bCs/>
          <w:sz w:val="32"/>
          <w:szCs w:val="32"/>
        </w:rPr>
        <w:t>年度工作任务</w:t>
      </w:r>
    </w:p>
    <w:bookmarkEnd w:id="6"/>
    <w:bookmarkEnd w:id="7"/>
    <w:p w:rsidR="007070EF" w:rsidRDefault="00955420">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市档案馆坚持以习近平新时代中国特色社会主义思想为指导，全面贯彻落实党的二十大、二十届三中全会精神和习近平总书记关于档案工作一系列重要指示批示精神，聚焦高质量发展主题，推动首都档案事业高质量发展取得新成效。2024年统筹确定“强化政治引领，用党的创新理论成果凝心铸魂”“档案资政全面升级”等</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方面重点工作任务，具体见表2。</w:t>
      </w:r>
    </w:p>
    <w:p w:rsidR="007070EF" w:rsidRDefault="00955420">
      <w:pPr>
        <w:adjustRightInd w:val="0"/>
        <w:snapToGrid w:val="0"/>
        <w:spacing w:line="560" w:lineRule="exact"/>
        <w:jc w:val="center"/>
        <w:rPr>
          <w:rFonts w:ascii="黑体" w:eastAsia="黑体" w:hAnsi="黑体" w:cs="宋体"/>
          <w:color w:val="000000"/>
          <w:kern w:val="0"/>
          <w:sz w:val="28"/>
          <w:szCs w:val="28"/>
        </w:rPr>
      </w:pPr>
      <w:r>
        <w:rPr>
          <w:rFonts w:ascii="黑体" w:eastAsia="黑体" w:hAnsi="黑体" w:cs="宋体" w:hint="eastAsia"/>
          <w:color w:val="000000"/>
          <w:kern w:val="0"/>
          <w:sz w:val="28"/>
          <w:szCs w:val="28"/>
        </w:rPr>
        <w:t>表</w:t>
      </w:r>
      <w:r>
        <w:rPr>
          <w:rFonts w:ascii="黑体" w:eastAsia="黑体" w:hAnsi="黑体" w:cs="宋体"/>
          <w:color w:val="000000"/>
          <w:kern w:val="0"/>
          <w:sz w:val="28"/>
          <w:szCs w:val="28"/>
        </w:rPr>
        <w:t>2</w:t>
      </w:r>
      <w:r>
        <w:rPr>
          <w:rFonts w:ascii="黑体" w:eastAsia="黑体" w:hAnsi="黑体" w:cs="宋体" w:hint="eastAsia"/>
          <w:color w:val="000000"/>
          <w:kern w:val="0"/>
          <w:sz w:val="28"/>
          <w:szCs w:val="28"/>
        </w:rPr>
        <w:t>：2024年度工作任务情况表</w:t>
      </w:r>
    </w:p>
    <w:tbl>
      <w:tblPr>
        <w:tblStyle w:val="aa"/>
        <w:tblW w:w="8296" w:type="dxa"/>
        <w:jc w:val="center"/>
        <w:tblLayout w:type="fixed"/>
        <w:tblCellMar>
          <w:left w:w="28" w:type="dxa"/>
          <w:right w:w="28" w:type="dxa"/>
        </w:tblCellMar>
        <w:tblLook w:val="04A0" w:firstRow="1" w:lastRow="0" w:firstColumn="1" w:lastColumn="0" w:noHBand="0" w:noVBand="1"/>
      </w:tblPr>
      <w:tblGrid>
        <w:gridCol w:w="562"/>
        <w:gridCol w:w="1276"/>
        <w:gridCol w:w="6458"/>
      </w:tblGrid>
      <w:tr w:rsidR="007070EF">
        <w:trPr>
          <w:trHeight w:val="567"/>
          <w:tblHeader/>
          <w:jc w:val="center"/>
        </w:trPr>
        <w:tc>
          <w:tcPr>
            <w:tcW w:w="562" w:type="dxa"/>
            <w:vAlign w:val="center"/>
          </w:tcPr>
          <w:p w:rsidR="007070EF" w:rsidRDefault="00955420">
            <w:pPr>
              <w:pStyle w:val="a9"/>
              <w:widowControl/>
              <w:adjustRightInd w:val="0"/>
              <w:snapToGrid w:val="0"/>
              <w:spacing w:beforeAutospacing="0" w:afterAutospacing="0"/>
              <w:jc w:val="center"/>
              <w:rPr>
                <w:rFonts w:ascii="宋体" w:hAnsi="宋体"/>
                <w:b/>
                <w:bCs/>
                <w:kern w:val="2"/>
                <w:sz w:val="20"/>
                <w:szCs w:val="20"/>
              </w:rPr>
            </w:pPr>
            <w:r>
              <w:rPr>
                <w:rFonts w:ascii="宋体" w:hAnsi="宋体" w:hint="eastAsia"/>
                <w:b/>
                <w:bCs/>
                <w:kern w:val="2"/>
                <w:sz w:val="20"/>
                <w:szCs w:val="20"/>
              </w:rPr>
              <w:t>序号</w:t>
            </w:r>
          </w:p>
        </w:tc>
        <w:tc>
          <w:tcPr>
            <w:tcW w:w="1276" w:type="dxa"/>
            <w:vAlign w:val="center"/>
          </w:tcPr>
          <w:p w:rsidR="007070EF" w:rsidRDefault="00955420">
            <w:pPr>
              <w:pStyle w:val="a9"/>
              <w:widowControl/>
              <w:adjustRightInd w:val="0"/>
              <w:snapToGrid w:val="0"/>
              <w:spacing w:beforeAutospacing="0" w:afterAutospacing="0"/>
              <w:jc w:val="center"/>
              <w:rPr>
                <w:rFonts w:ascii="宋体" w:hAnsi="宋体"/>
                <w:b/>
                <w:bCs/>
                <w:kern w:val="2"/>
                <w:sz w:val="20"/>
                <w:szCs w:val="20"/>
              </w:rPr>
            </w:pPr>
            <w:r>
              <w:rPr>
                <w:rFonts w:ascii="宋体" w:hAnsi="宋体" w:hint="eastAsia"/>
                <w:b/>
                <w:bCs/>
                <w:kern w:val="2"/>
                <w:sz w:val="20"/>
                <w:szCs w:val="20"/>
              </w:rPr>
              <w:t>重点任务</w:t>
            </w:r>
          </w:p>
        </w:tc>
        <w:tc>
          <w:tcPr>
            <w:tcW w:w="6458" w:type="dxa"/>
            <w:vAlign w:val="center"/>
          </w:tcPr>
          <w:p w:rsidR="007070EF" w:rsidRDefault="00955420">
            <w:pPr>
              <w:pStyle w:val="a9"/>
              <w:widowControl/>
              <w:adjustRightInd w:val="0"/>
              <w:snapToGrid w:val="0"/>
              <w:spacing w:beforeAutospacing="0" w:afterAutospacing="0"/>
              <w:jc w:val="center"/>
              <w:rPr>
                <w:rFonts w:ascii="宋体" w:hAnsi="宋体"/>
                <w:b/>
                <w:bCs/>
                <w:kern w:val="2"/>
                <w:sz w:val="20"/>
                <w:szCs w:val="20"/>
              </w:rPr>
            </w:pPr>
            <w:r>
              <w:rPr>
                <w:rFonts w:ascii="宋体" w:hAnsi="宋体" w:hint="eastAsia"/>
                <w:b/>
                <w:bCs/>
                <w:kern w:val="2"/>
                <w:sz w:val="20"/>
                <w:szCs w:val="20"/>
              </w:rPr>
              <w:t>具体工作任务</w:t>
            </w:r>
          </w:p>
        </w:tc>
      </w:tr>
      <w:tr w:rsidR="007070EF">
        <w:trPr>
          <w:trHeight w:val="567"/>
          <w:jc w:val="center"/>
        </w:trPr>
        <w:tc>
          <w:tcPr>
            <w:tcW w:w="562" w:type="dxa"/>
            <w:vAlign w:val="center"/>
          </w:tcPr>
          <w:p w:rsidR="007070EF" w:rsidRDefault="00955420">
            <w:pPr>
              <w:pStyle w:val="a9"/>
              <w:widowControl/>
              <w:adjustRightInd w:val="0"/>
              <w:snapToGrid w:val="0"/>
              <w:spacing w:beforeAutospacing="0" w:afterAutospacing="0"/>
              <w:jc w:val="center"/>
              <w:rPr>
                <w:rFonts w:ascii="宋体" w:hAnsi="宋体"/>
                <w:kern w:val="2"/>
                <w:sz w:val="20"/>
                <w:szCs w:val="20"/>
              </w:rPr>
            </w:pPr>
            <w:r>
              <w:rPr>
                <w:rFonts w:ascii="宋体" w:hAnsi="宋体" w:hint="eastAsia"/>
                <w:kern w:val="2"/>
                <w:sz w:val="20"/>
                <w:szCs w:val="20"/>
              </w:rPr>
              <w:t>1</w:t>
            </w:r>
          </w:p>
        </w:tc>
        <w:tc>
          <w:tcPr>
            <w:tcW w:w="1276" w:type="dxa"/>
            <w:vAlign w:val="center"/>
          </w:tcPr>
          <w:p w:rsidR="007070EF" w:rsidRDefault="00955420">
            <w:pPr>
              <w:pStyle w:val="a9"/>
              <w:widowControl/>
              <w:adjustRightInd w:val="0"/>
              <w:snapToGrid w:val="0"/>
              <w:spacing w:beforeAutospacing="0" w:afterAutospacing="0"/>
              <w:jc w:val="center"/>
              <w:rPr>
                <w:rFonts w:ascii="宋体" w:hAnsi="宋体"/>
                <w:kern w:val="2"/>
                <w:sz w:val="20"/>
                <w:szCs w:val="20"/>
              </w:rPr>
            </w:pPr>
            <w:r>
              <w:rPr>
                <w:rFonts w:ascii="宋体" w:hAnsi="宋体" w:hint="eastAsia"/>
                <w:kern w:val="2"/>
                <w:sz w:val="20"/>
                <w:szCs w:val="20"/>
              </w:rPr>
              <w:t>强化政治引领，用党的创</w:t>
            </w:r>
            <w:r>
              <w:rPr>
                <w:rFonts w:ascii="宋体" w:hAnsi="宋体" w:hint="eastAsia"/>
                <w:kern w:val="2"/>
                <w:sz w:val="20"/>
                <w:szCs w:val="20"/>
              </w:rPr>
              <w:lastRenderedPageBreak/>
              <w:t>新理论成果凝心铸魂</w:t>
            </w:r>
          </w:p>
        </w:tc>
        <w:tc>
          <w:tcPr>
            <w:tcW w:w="6458" w:type="dxa"/>
            <w:vAlign w:val="center"/>
          </w:tcPr>
          <w:p w:rsidR="007070EF" w:rsidRDefault="00955420">
            <w:pPr>
              <w:pStyle w:val="a9"/>
              <w:widowControl/>
              <w:adjustRightInd w:val="0"/>
              <w:snapToGrid w:val="0"/>
              <w:spacing w:beforeAutospacing="0" w:afterAutospacing="0"/>
              <w:rPr>
                <w:rFonts w:ascii="宋体" w:hAnsi="宋体"/>
                <w:kern w:val="2"/>
                <w:sz w:val="20"/>
                <w:szCs w:val="20"/>
              </w:rPr>
            </w:pPr>
            <w:r>
              <w:rPr>
                <w:rFonts w:ascii="宋体" w:hAnsi="宋体" w:hint="eastAsia"/>
                <w:kern w:val="2"/>
                <w:sz w:val="20"/>
                <w:szCs w:val="20"/>
              </w:rPr>
              <w:lastRenderedPageBreak/>
              <w:t>以馆务会第一议题学习、馆班子理论中心组学习、支部书记月度学习会、支部政治理论学习等为载体，及时传达学习习近平总书记重要讲话、重要</w:t>
            </w:r>
            <w:r>
              <w:rPr>
                <w:rFonts w:ascii="宋体" w:hAnsi="宋体" w:hint="eastAsia"/>
                <w:kern w:val="2"/>
                <w:sz w:val="20"/>
                <w:szCs w:val="20"/>
              </w:rPr>
              <w:lastRenderedPageBreak/>
              <w:t>指示批示精神，补足精神之钙。通过举办处科两级专题学习班、邀请中央党校教授做辅导报告等多种形式，持续在学深悟透做实上用力，推动党的二十届三中全会精神和要求落到实处。</w:t>
            </w:r>
          </w:p>
        </w:tc>
      </w:tr>
      <w:tr w:rsidR="007070EF">
        <w:trPr>
          <w:trHeight w:val="567"/>
          <w:jc w:val="center"/>
        </w:trPr>
        <w:tc>
          <w:tcPr>
            <w:tcW w:w="562" w:type="dxa"/>
            <w:vAlign w:val="center"/>
          </w:tcPr>
          <w:p w:rsidR="007070EF" w:rsidRDefault="00955420">
            <w:pPr>
              <w:pStyle w:val="a9"/>
              <w:widowControl/>
              <w:adjustRightInd w:val="0"/>
              <w:snapToGrid w:val="0"/>
              <w:spacing w:beforeAutospacing="0" w:afterAutospacing="0"/>
              <w:jc w:val="center"/>
              <w:rPr>
                <w:rFonts w:ascii="宋体" w:hAnsi="宋体"/>
                <w:kern w:val="2"/>
                <w:sz w:val="20"/>
                <w:szCs w:val="20"/>
              </w:rPr>
            </w:pPr>
            <w:r>
              <w:rPr>
                <w:rFonts w:ascii="宋体" w:hAnsi="宋体" w:hint="eastAsia"/>
                <w:kern w:val="2"/>
                <w:sz w:val="20"/>
                <w:szCs w:val="20"/>
              </w:rPr>
              <w:lastRenderedPageBreak/>
              <w:t>2</w:t>
            </w:r>
          </w:p>
        </w:tc>
        <w:tc>
          <w:tcPr>
            <w:tcW w:w="1276" w:type="dxa"/>
            <w:vAlign w:val="center"/>
          </w:tcPr>
          <w:p w:rsidR="007070EF" w:rsidRDefault="00955420">
            <w:pPr>
              <w:pStyle w:val="a9"/>
              <w:widowControl/>
              <w:adjustRightInd w:val="0"/>
              <w:snapToGrid w:val="0"/>
              <w:spacing w:beforeAutospacing="0" w:afterAutospacing="0"/>
              <w:jc w:val="center"/>
              <w:rPr>
                <w:rFonts w:ascii="宋体" w:hAnsi="宋体"/>
                <w:kern w:val="2"/>
                <w:sz w:val="20"/>
                <w:szCs w:val="20"/>
              </w:rPr>
            </w:pPr>
            <w:r>
              <w:rPr>
                <w:rFonts w:ascii="宋体" w:hAnsi="宋体" w:hint="eastAsia"/>
                <w:kern w:val="2"/>
                <w:sz w:val="20"/>
                <w:szCs w:val="20"/>
              </w:rPr>
              <w:t>档案资政全面升级</w:t>
            </w:r>
          </w:p>
        </w:tc>
        <w:tc>
          <w:tcPr>
            <w:tcW w:w="6458" w:type="dxa"/>
            <w:vAlign w:val="center"/>
          </w:tcPr>
          <w:p w:rsidR="007070EF" w:rsidRDefault="00955420" w:rsidP="006428F5">
            <w:pPr>
              <w:pStyle w:val="a9"/>
              <w:widowControl/>
              <w:adjustRightInd w:val="0"/>
              <w:snapToGrid w:val="0"/>
              <w:spacing w:beforeAutospacing="0" w:afterAutospacing="0"/>
              <w:rPr>
                <w:rFonts w:ascii="宋体" w:hAnsi="宋体"/>
                <w:kern w:val="2"/>
                <w:sz w:val="20"/>
                <w:szCs w:val="20"/>
              </w:rPr>
            </w:pPr>
            <w:r>
              <w:rPr>
                <w:rFonts w:ascii="宋体" w:hAnsi="宋体" w:hint="eastAsia"/>
                <w:kern w:val="2"/>
                <w:sz w:val="20"/>
                <w:szCs w:val="20"/>
              </w:rPr>
              <w:t>聚焦档案职能、吸纳社会资源、严抓保密安全，</w:t>
            </w:r>
            <w:r w:rsidR="00857E74" w:rsidRPr="00D100BC">
              <w:rPr>
                <w:rFonts w:ascii="宋体" w:hAnsi="宋体"/>
                <w:kern w:val="2"/>
                <w:sz w:val="20"/>
                <w:szCs w:val="20"/>
              </w:rPr>
              <w:t>依托</w:t>
            </w:r>
            <w:r w:rsidR="006428F5" w:rsidRPr="00D100BC">
              <w:rPr>
                <w:rFonts w:ascii="宋体" w:hAnsi="宋体" w:hint="eastAsia"/>
                <w:kern w:val="2"/>
                <w:sz w:val="20"/>
                <w:szCs w:val="20"/>
              </w:rPr>
              <w:t>人工智能技术</w:t>
            </w:r>
            <w:r w:rsidR="00857E74" w:rsidRPr="00D100BC">
              <w:rPr>
                <w:rFonts w:ascii="宋体" w:hAnsi="宋体"/>
                <w:kern w:val="2"/>
                <w:sz w:val="20"/>
                <w:szCs w:val="20"/>
              </w:rPr>
              <w:t>，</w:t>
            </w:r>
            <w:r>
              <w:rPr>
                <w:rFonts w:ascii="宋体" w:hAnsi="宋体" w:hint="eastAsia"/>
                <w:kern w:val="2"/>
                <w:sz w:val="20"/>
                <w:szCs w:val="20"/>
              </w:rPr>
              <w:t>充分</w:t>
            </w:r>
            <w:r>
              <w:rPr>
                <w:rFonts w:ascii="宋体" w:hAnsi="宋体"/>
                <w:kern w:val="2"/>
                <w:sz w:val="20"/>
                <w:szCs w:val="20"/>
              </w:rPr>
              <w:t>利用馆藏重特大活动</w:t>
            </w:r>
            <w:r>
              <w:rPr>
                <w:rFonts w:ascii="宋体" w:hAnsi="宋体" w:hint="eastAsia"/>
                <w:kern w:val="2"/>
                <w:sz w:val="20"/>
                <w:szCs w:val="20"/>
              </w:rPr>
              <w:t>文书</w:t>
            </w:r>
            <w:r>
              <w:rPr>
                <w:rFonts w:ascii="宋体" w:hAnsi="宋体"/>
                <w:kern w:val="2"/>
                <w:sz w:val="20"/>
                <w:szCs w:val="20"/>
              </w:rPr>
              <w:t>档案</w:t>
            </w:r>
            <w:r>
              <w:rPr>
                <w:rFonts w:ascii="宋体" w:hAnsi="宋体" w:hint="eastAsia"/>
                <w:kern w:val="2"/>
                <w:sz w:val="20"/>
                <w:szCs w:val="20"/>
              </w:rPr>
              <w:t>、</w:t>
            </w:r>
            <w:r>
              <w:rPr>
                <w:rFonts w:ascii="宋体" w:hAnsi="宋体"/>
                <w:kern w:val="2"/>
                <w:sz w:val="20"/>
                <w:szCs w:val="20"/>
              </w:rPr>
              <w:t>音视频档案，持续以高标准做好资政服务。</w:t>
            </w:r>
          </w:p>
        </w:tc>
      </w:tr>
      <w:tr w:rsidR="007070EF">
        <w:trPr>
          <w:trHeight w:val="567"/>
          <w:jc w:val="center"/>
        </w:trPr>
        <w:tc>
          <w:tcPr>
            <w:tcW w:w="562" w:type="dxa"/>
            <w:vAlign w:val="center"/>
          </w:tcPr>
          <w:p w:rsidR="007070EF" w:rsidRDefault="00955420">
            <w:pPr>
              <w:pStyle w:val="a9"/>
              <w:widowControl/>
              <w:adjustRightInd w:val="0"/>
              <w:snapToGrid w:val="0"/>
              <w:spacing w:beforeAutospacing="0" w:afterAutospacing="0"/>
              <w:jc w:val="center"/>
              <w:rPr>
                <w:rFonts w:ascii="宋体" w:hAnsi="宋体"/>
                <w:kern w:val="2"/>
                <w:sz w:val="20"/>
                <w:szCs w:val="20"/>
              </w:rPr>
            </w:pPr>
            <w:r>
              <w:rPr>
                <w:rFonts w:ascii="宋体" w:hAnsi="宋体" w:hint="eastAsia"/>
                <w:kern w:val="2"/>
                <w:sz w:val="20"/>
                <w:szCs w:val="20"/>
              </w:rPr>
              <w:t>3</w:t>
            </w:r>
          </w:p>
        </w:tc>
        <w:tc>
          <w:tcPr>
            <w:tcW w:w="1276" w:type="dxa"/>
            <w:vAlign w:val="center"/>
          </w:tcPr>
          <w:p w:rsidR="007070EF" w:rsidRDefault="00955420">
            <w:pPr>
              <w:pStyle w:val="a9"/>
              <w:widowControl/>
              <w:adjustRightInd w:val="0"/>
              <w:snapToGrid w:val="0"/>
              <w:spacing w:beforeAutospacing="0" w:afterAutospacing="0"/>
              <w:jc w:val="center"/>
              <w:rPr>
                <w:rFonts w:ascii="宋体" w:hAnsi="宋体"/>
                <w:kern w:val="2"/>
                <w:sz w:val="20"/>
                <w:szCs w:val="20"/>
              </w:rPr>
            </w:pPr>
            <w:r>
              <w:rPr>
                <w:rFonts w:ascii="宋体" w:hAnsi="宋体" w:hint="eastAsia"/>
                <w:kern w:val="2"/>
                <w:sz w:val="20"/>
                <w:szCs w:val="20"/>
              </w:rPr>
              <w:t>高质量服务重大活动和对口支援工作</w:t>
            </w:r>
          </w:p>
        </w:tc>
        <w:tc>
          <w:tcPr>
            <w:tcW w:w="6458" w:type="dxa"/>
            <w:vAlign w:val="center"/>
          </w:tcPr>
          <w:p w:rsidR="007070EF" w:rsidRDefault="00955420">
            <w:pPr>
              <w:pStyle w:val="a9"/>
              <w:widowControl/>
              <w:adjustRightInd w:val="0"/>
              <w:snapToGrid w:val="0"/>
              <w:spacing w:beforeAutospacing="0" w:afterAutospacing="0"/>
              <w:rPr>
                <w:rFonts w:ascii="宋体" w:hAnsi="宋体"/>
                <w:kern w:val="2"/>
                <w:sz w:val="20"/>
                <w:szCs w:val="20"/>
              </w:rPr>
            </w:pPr>
            <w:r>
              <w:rPr>
                <w:rFonts w:ascii="宋体" w:hAnsi="宋体" w:hint="eastAsia"/>
                <w:kern w:val="2"/>
                <w:sz w:val="20"/>
                <w:szCs w:val="20"/>
              </w:rPr>
              <w:t>完成新中国成立75周年、中非合作论坛峰会等重大活动档案的接收工作；赴青海玉树、新疆和田、西藏拉萨三个指挥部开展对口支援档案接收工作，为援建工作留下完整、系统的档案。</w:t>
            </w:r>
          </w:p>
        </w:tc>
      </w:tr>
      <w:tr w:rsidR="007070EF">
        <w:trPr>
          <w:trHeight w:val="567"/>
          <w:jc w:val="center"/>
        </w:trPr>
        <w:tc>
          <w:tcPr>
            <w:tcW w:w="562" w:type="dxa"/>
            <w:vAlign w:val="center"/>
          </w:tcPr>
          <w:p w:rsidR="007070EF" w:rsidRDefault="00955420">
            <w:pPr>
              <w:pStyle w:val="a9"/>
              <w:widowControl/>
              <w:adjustRightInd w:val="0"/>
              <w:snapToGrid w:val="0"/>
              <w:spacing w:beforeAutospacing="0" w:afterAutospacing="0"/>
              <w:jc w:val="center"/>
              <w:rPr>
                <w:rFonts w:ascii="宋体" w:hAnsi="宋体"/>
                <w:kern w:val="2"/>
                <w:sz w:val="20"/>
                <w:szCs w:val="20"/>
              </w:rPr>
            </w:pPr>
            <w:r>
              <w:rPr>
                <w:rFonts w:ascii="宋体" w:hAnsi="宋体" w:hint="eastAsia"/>
                <w:kern w:val="2"/>
                <w:sz w:val="20"/>
                <w:szCs w:val="20"/>
              </w:rPr>
              <w:t>4</w:t>
            </w:r>
          </w:p>
        </w:tc>
        <w:tc>
          <w:tcPr>
            <w:tcW w:w="1276" w:type="dxa"/>
            <w:vAlign w:val="center"/>
          </w:tcPr>
          <w:p w:rsidR="007070EF" w:rsidRDefault="00955420">
            <w:pPr>
              <w:pStyle w:val="a9"/>
              <w:widowControl/>
              <w:adjustRightInd w:val="0"/>
              <w:snapToGrid w:val="0"/>
              <w:spacing w:beforeAutospacing="0" w:afterAutospacing="0"/>
              <w:jc w:val="center"/>
              <w:rPr>
                <w:rFonts w:ascii="宋体" w:hAnsi="宋体"/>
                <w:kern w:val="2"/>
                <w:sz w:val="20"/>
                <w:szCs w:val="20"/>
              </w:rPr>
            </w:pPr>
            <w:r>
              <w:rPr>
                <w:rFonts w:ascii="宋体" w:hAnsi="宋体" w:hint="eastAsia"/>
                <w:kern w:val="2"/>
                <w:sz w:val="20"/>
                <w:szCs w:val="20"/>
              </w:rPr>
              <w:t>推进京津冀档案事业协同发展走向深入</w:t>
            </w:r>
          </w:p>
        </w:tc>
        <w:tc>
          <w:tcPr>
            <w:tcW w:w="6458" w:type="dxa"/>
            <w:vAlign w:val="center"/>
          </w:tcPr>
          <w:p w:rsidR="007070EF" w:rsidRDefault="00955420" w:rsidP="007D34DD">
            <w:pPr>
              <w:pStyle w:val="a9"/>
              <w:widowControl/>
              <w:adjustRightInd w:val="0"/>
              <w:snapToGrid w:val="0"/>
              <w:spacing w:beforeAutospacing="0" w:afterAutospacing="0"/>
              <w:rPr>
                <w:rFonts w:ascii="宋体" w:hAnsi="宋体"/>
                <w:kern w:val="2"/>
                <w:sz w:val="20"/>
                <w:szCs w:val="20"/>
              </w:rPr>
            </w:pPr>
            <w:r>
              <w:rPr>
                <w:rFonts w:ascii="宋体" w:hAnsi="宋体" w:hint="eastAsia"/>
                <w:kern w:val="2"/>
                <w:sz w:val="20"/>
                <w:szCs w:val="20"/>
              </w:rPr>
              <w:t>以京津冀协同发展战略实施十周年为契机，深化与津冀两地档案部门的交流合作。与市档案局共同组织召开2024年京津冀档案事业协同发展会议，签署合作备忘录；牵头召开京津冀档案宣传工作座谈会，推动三地档案宣传深度合作、资源共享。国际档案日期间，联合推出“聆听历史回响 传递档案声音——京津冀兰台读档活动”，共同讲好京畿大地红色故事、历史故事、人文故事。举办“十年京津冀 兰台翰墨香—京津冀编研成果联展”。</w:t>
            </w:r>
          </w:p>
        </w:tc>
      </w:tr>
      <w:tr w:rsidR="007070EF">
        <w:trPr>
          <w:trHeight w:val="567"/>
          <w:jc w:val="center"/>
        </w:trPr>
        <w:tc>
          <w:tcPr>
            <w:tcW w:w="562" w:type="dxa"/>
            <w:vAlign w:val="center"/>
          </w:tcPr>
          <w:p w:rsidR="007070EF" w:rsidRDefault="00955420">
            <w:pPr>
              <w:pStyle w:val="a9"/>
              <w:widowControl/>
              <w:adjustRightInd w:val="0"/>
              <w:snapToGrid w:val="0"/>
              <w:spacing w:beforeAutospacing="0" w:afterAutospacing="0"/>
              <w:jc w:val="center"/>
              <w:rPr>
                <w:rFonts w:ascii="宋体" w:hAnsi="宋体"/>
                <w:kern w:val="2"/>
                <w:sz w:val="20"/>
                <w:szCs w:val="20"/>
              </w:rPr>
            </w:pPr>
            <w:r>
              <w:rPr>
                <w:rFonts w:ascii="宋体" w:hAnsi="宋体" w:hint="eastAsia"/>
                <w:kern w:val="2"/>
                <w:sz w:val="20"/>
                <w:szCs w:val="20"/>
              </w:rPr>
              <w:t>5</w:t>
            </w:r>
          </w:p>
        </w:tc>
        <w:tc>
          <w:tcPr>
            <w:tcW w:w="1276" w:type="dxa"/>
            <w:vAlign w:val="center"/>
          </w:tcPr>
          <w:p w:rsidR="007070EF" w:rsidRDefault="00955420">
            <w:pPr>
              <w:pStyle w:val="a9"/>
              <w:widowControl/>
              <w:adjustRightInd w:val="0"/>
              <w:snapToGrid w:val="0"/>
              <w:spacing w:beforeAutospacing="0" w:afterAutospacing="0"/>
              <w:jc w:val="center"/>
              <w:rPr>
                <w:rFonts w:ascii="宋体" w:hAnsi="宋体"/>
                <w:kern w:val="2"/>
                <w:sz w:val="20"/>
                <w:szCs w:val="20"/>
              </w:rPr>
            </w:pPr>
            <w:r>
              <w:rPr>
                <w:rFonts w:ascii="宋体" w:hAnsi="宋体" w:hint="eastAsia"/>
                <w:kern w:val="2"/>
                <w:sz w:val="20"/>
                <w:szCs w:val="20"/>
              </w:rPr>
              <w:t>推出档案文化精品服务中心工作</w:t>
            </w:r>
          </w:p>
        </w:tc>
        <w:tc>
          <w:tcPr>
            <w:tcW w:w="6458" w:type="dxa"/>
            <w:vAlign w:val="center"/>
          </w:tcPr>
          <w:p w:rsidR="007070EF" w:rsidRDefault="00955420">
            <w:pPr>
              <w:pStyle w:val="a9"/>
              <w:widowControl/>
              <w:adjustRightInd w:val="0"/>
              <w:snapToGrid w:val="0"/>
              <w:spacing w:beforeAutospacing="0" w:afterAutospacing="0"/>
              <w:rPr>
                <w:rFonts w:ascii="宋体" w:hAnsi="宋体"/>
                <w:kern w:val="2"/>
                <w:sz w:val="20"/>
                <w:szCs w:val="20"/>
              </w:rPr>
            </w:pPr>
            <w:r>
              <w:rPr>
                <w:rFonts w:ascii="宋体" w:hAnsi="宋体" w:hint="eastAsia"/>
                <w:kern w:val="2"/>
                <w:sz w:val="20"/>
                <w:szCs w:val="20"/>
              </w:rPr>
              <w:t>为迎接新中国成立75周年，推出“祝福祖国 筑梦前行——国庆彩车模型展”，再现开国大典和历次国庆庆典的精彩瞬间。推出全国文化中心建设重点项目“合院之城—北京古都文化档案史料展”，以北京古都历史文化为主线，系统展现北京城的“传承美、格局美、精神美”。</w:t>
            </w:r>
          </w:p>
        </w:tc>
      </w:tr>
      <w:tr w:rsidR="007070EF">
        <w:trPr>
          <w:trHeight w:val="567"/>
          <w:jc w:val="center"/>
        </w:trPr>
        <w:tc>
          <w:tcPr>
            <w:tcW w:w="562" w:type="dxa"/>
            <w:vAlign w:val="center"/>
          </w:tcPr>
          <w:p w:rsidR="007070EF" w:rsidRDefault="00955420">
            <w:pPr>
              <w:pStyle w:val="a9"/>
              <w:widowControl/>
              <w:adjustRightInd w:val="0"/>
              <w:snapToGrid w:val="0"/>
              <w:spacing w:beforeAutospacing="0" w:afterAutospacing="0"/>
              <w:jc w:val="center"/>
              <w:rPr>
                <w:rFonts w:ascii="宋体" w:hAnsi="宋体"/>
                <w:kern w:val="2"/>
                <w:sz w:val="20"/>
                <w:szCs w:val="20"/>
              </w:rPr>
            </w:pPr>
            <w:r>
              <w:rPr>
                <w:rFonts w:ascii="宋体" w:hAnsi="宋体" w:hint="eastAsia"/>
                <w:kern w:val="2"/>
                <w:sz w:val="20"/>
                <w:szCs w:val="20"/>
              </w:rPr>
              <w:t>6</w:t>
            </w:r>
          </w:p>
        </w:tc>
        <w:tc>
          <w:tcPr>
            <w:tcW w:w="1276" w:type="dxa"/>
            <w:vAlign w:val="center"/>
          </w:tcPr>
          <w:p w:rsidR="007070EF" w:rsidRDefault="00955420">
            <w:pPr>
              <w:pStyle w:val="a9"/>
              <w:widowControl/>
              <w:adjustRightInd w:val="0"/>
              <w:snapToGrid w:val="0"/>
              <w:spacing w:beforeAutospacing="0" w:afterAutospacing="0"/>
              <w:jc w:val="center"/>
              <w:rPr>
                <w:rFonts w:ascii="宋体" w:hAnsi="宋体"/>
                <w:kern w:val="2"/>
                <w:sz w:val="20"/>
                <w:szCs w:val="20"/>
              </w:rPr>
            </w:pPr>
            <w:r>
              <w:rPr>
                <w:rFonts w:ascii="宋体" w:hAnsi="宋体" w:hint="eastAsia"/>
                <w:kern w:val="2"/>
                <w:sz w:val="20"/>
                <w:szCs w:val="20"/>
              </w:rPr>
              <w:t>档案服务民生水平持续提升</w:t>
            </w:r>
          </w:p>
        </w:tc>
        <w:tc>
          <w:tcPr>
            <w:tcW w:w="6458" w:type="dxa"/>
            <w:vAlign w:val="center"/>
          </w:tcPr>
          <w:p w:rsidR="007070EF" w:rsidRDefault="00955420" w:rsidP="00C11669">
            <w:pPr>
              <w:pStyle w:val="a9"/>
              <w:widowControl/>
              <w:adjustRightInd w:val="0"/>
              <w:snapToGrid w:val="0"/>
              <w:spacing w:beforeAutospacing="0" w:afterAutospacing="0"/>
              <w:rPr>
                <w:rFonts w:ascii="宋体" w:hAnsi="宋体"/>
                <w:kern w:val="2"/>
                <w:sz w:val="20"/>
                <w:szCs w:val="20"/>
              </w:rPr>
            </w:pPr>
            <w:r>
              <w:rPr>
                <w:rFonts w:ascii="宋体" w:hAnsi="宋体" w:hint="eastAsia"/>
                <w:kern w:val="2"/>
                <w:sz w:val="20"/>
                <w:szCs w:val="20"/>
              </w:rPr>
              <w:t>不断深化档案便民惠民工作，</w:t>
            </w:r>
            <w:r w:rsidR="007D34DD">
              <w:rPr>
                <w:rFonts w:ascii="宋体" w:hAnsi="宋体" w:hint="eastAsia"/>
                <w:kern w:val="2"/>
                <w:sz w:val="20"/>
                <w:szCs w:val="20"/>
              </w:rPr>
              <w:t>拓展了</w:t>
            </w:r>
            <w:r w:rsidR="00857E74" w:rsidRPr="00D100BC">
              <w:rPr>
                <w:rFonts w:ascii="宋体" w:hAnsi="宋体" w:hint="eastAsia"/>
                <w:kern w:val="2"/>
                <w:sz w:val="20"/>
                <w:szCs w:val="20"/>
              </w:rPr>
              <w:t>跨馆利用档案门类。</w:t>
            </w:r>
            <w:r>
              <w:rPr>
                <w:rFonts w:ascii="宋体" w:hAnsi="宋体" w:hint="eastAsia"/>
                <w:kern w:val="2"/>
                <w:sz w:val="20"/>
                <w:szCs w:val="20"/>
              </w:rPr>
              <w:t>通过“全国档案查询利用服务平台”“北京市档案移动服务平台”“北京市民生档案跨馆利用系统”等各类档案利用平台提供跨馆</w:t>
            </w:r>
            <w:r w:rsidR="00C11669">
              <w:rPr>
                <w:rFonts w:ascii="宋体" w:hAnsi="宋体" w:hint="eastAsia"/>
                <w:kern w:val="2"/>
                <w:sz w:val="20"/>
                <w:szCs w:val="20"/>
              </w:rPr>
              <w:t>利用</w:t>
            </w:r>
            <w:r>
              <w:rPr>
                <w:rFonts w:ascii="宋体" w:hAnsi="宋体" w:hint="eastAsia"/>
                <w:kern w:val="2"/>
                <w:sz w:val="20"/>
                <w:szCs w:val="20"/>
              </w:rPr>
              <w:t>服务。</w:t>
            </w:r>
          </w:p>
        </w:tc>
      </w:tr>
    </w:tbl>
    <w:p w:rsidR="007070EF" w:rsidRDefault="00955420">
      <w:pPr>
        <w:adjustRightInd w:val="0"/>
        <w:snapToGrid w:val="0"/>
        <w:spacing w:line="560" w:lineRule="exact"/>
        <w:ind w:firstLineChars="200" w:firstLine="640"/>
        <w:outlineLvl w:val="1"/>
        <w:rPr>
          <w:rFonts w:ascii="仿宋_GB2312" w:eastAsia="仿宋_GB2312" w:hAnsi="仿宋_GB2312" w:cs="仿宋_GB2312"/>
          <w:sz w:val="32"/>
          <w:szCs w:val="32"/>
        </w:rPr>
      </w:pPr>
      <w:bookmarkStart w:id="8" w:name="_Toc102158218"/>
      <w:r>
        <w:rPr>
          <w:rFonts w:ascii="仿宋_GB2312" w:eastAsia="仿宋_GB2312" w:hAnsi="仿宋_GB2312" w:cs="仿宋_GB2312" w:hint="eastAsia"/>
          <w:sz w:val="32"/>
          <w:szCs w:val="32"/>
        </w:rPr>
        <w:t>（二）部门整体绩效目标设立情况</w:t>
      </w:r>
      <w:bookmarkEnd w:id="8"/>
    </w:p>
    <w:p w:rsidR="007070EF" w:rsidRDefault="00955420">
      <w:pPr>
        <w:adjustRightInd w:val="0"/>
        <w:snapToGrid w:val="0"/>
        <w:spacing w:line="560" w:lineRule="exact"/>
        <w:ind w:firstLineChars="200" w:firstLine="640"/>
        <w:outlineLvl w:val="2"/>
        <w:rPr>
          <w:rFonts w:ascii="仿宋_GB2312" w:eastAsia="仿宋_GB2312" w:hAnsi="仿宋_GB2312" w:cs="仿宋_GB2312"/>
          <w:bCs/>
          <w:sz w:val="32"/>
          <w:szCs w:val="32"/>
        </w:rPr>
      </w:pPr>
      <w:bookmarkStart w:id="9" w:name="_Toc72439000"/>
      <w:bookmarkStart w:id="10" w:name="_Toc102158219"/>
      <w:bookmarkStart w:id="11" w:name="_Toc72438579"/>
      <w:bookmarkStart w:id="12" w:name="_Toc102140638"/>
      <w:r>
        <w:rPr>
          <w:rFonts w:ascii="仿宋_GB2312" w:eastAsia="仿宋_GB2312" w:hAnsi="仿宋_GB2312" w:cs="仿宋_GB2312" w:hint="eastAsia"/>
          <w:bCs/>
          <w:sz w:val="32"/>
          <w:szCs w:val="32"/>
        </w:rPr>
        <w:t>1.</w:t>
      </w:r>
      <w:r>
        <w:rPr>
          <w:rFonts w:ascii="仿宋_GB2312" w:eastAsia="仿宋_GB2312" w:hAnsi="仿宋_GB2312" w:cs="仿宋_GB2312" w:hint="eastAsia"/>
          <w:bCs/>
          <w:color w:val="000000"/>
          <w:kern w:val="0"/>
          <w:sz w:val="32"/>
          <w:szCs w:val="32"/>
        </w:rPr>
        <w:t>绩效目标设立依据</w:t>
      </w:r>
    </w:p>
    <w:p w:rsidR="007070EF" w:rsidRDefault="00955420">
      <w:pPr>
        <w:adjustRightInd w:val="0"/>
        <w:snapToGrid w:val="0"/>
        <w:spacing w:line="560" w:lineRule="exact"/>
        <w:ind w:firstLineChars="200" w:firstLine="640"/>
        <w:outlineLvl w:val="2"/>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按照部门预算编报要求设置了2024年度部门整体绩效目标，主要依据包括：</w:t>
      </w:r>
    </w:p>
    <w:p w:rsidR="007070EF" w:rsidRDefault="00955420">
      <w:pPr>
        <w:adjustRightInd w:val="0"/>
        <w:snapToGrid w:val="0"/>
        <w:spacing w:line="560" w:lineRule="exact"/>
        <w:ind w:firstLineChars="200" w:firstLine="640"/>
        <w:outlineLvl w:val="2"/>
        <w:rPr>
          <w:rFonts w:ascii="仿宋_GB2312" w:eastAsia="仿宋_GB2312" w:hAnsi="仿宋_GB2312" w:cs="仿宋_GB2312"/>
          <w:bCs/>
          <w:sz w:val="32"/>
          <w:szCs w:val="32"/>
        </w:rPr>
      </w:pPr>
      <w:r>
        <w:rPr>
          <w:rFonts w:ascii="仿宋_GB2312" w:eastAsia="仿宋_GB2312" w:hAnsi="仿宋_GB2312" w:cs="仿宋_GB2312" w:hint="eastAsia"/>
          <w:bCs/>
          <w:sz w:val="32"/>
          <w:szCs w:val="32"/>
        </w:rPr>
        <w:t>（1）</w:t>
      </w:r>
      <w:r>
        <w:rPr>
          <w:rFonts w:ascii="仿宋_GB2312" w:eastAsia="仿宋_GB2312" w:hAnsi="仿宋_GB2312" w:cs="仿宋_GB2312" w:hint="eastAsia"/>
          <w:sz w:val="32"/>
          <w:szCs w:val="32"/>
        </w:rPr>
        <w:t>《北京市档案馆“十四五”时期发展规划》</w:t>
      </w:r>
    </w:p>
    <w:p w:rsidR="007070EF" w:rsidRDefault="00955420">
      <w:pPr>
        <w:adjustRightInd w:val="0"/>
        <w:snapToGrid w:val="0"/>
        <w:spacing w:line="560" w:lineRule="exact"/>
        <w:ind w:firstLineChars="200" w:firstLine="640"/>
        <w:outlineLvl w:val="2"/>
        <w:rPr>
          <w:rFonts w:ascii="仿宋_GB2312" w:eastAsia="仿宋_GB2312" w:hAnsi="仿宋_GB2312" w:cs="仿宋_GB2312"/>
          <w:bCs/>
          <w:sz w:val="32"/>
          <w:szCs w:val="32"/>
        </w:rPr>
      </w:pPr>
      <w:r>
        <w:rPr>
          <w:rFonts w:ascii="仿宋_GB2312" w:eastAsia="仿宋_GB2312" w:hAnsi="仿宋_GB2312" w:cs="仿宋_GB2312" w:hint="eastAsia"/>
          <w:bCs/>
          <w:sz w:val="32"/>
          <w:szCs w:val="32"/>
        </w:rPr>
        <w:t>（2）</w:t>
      </w:r>
      <w:r w:rsidR="005A0EAA">
        <w:rPr>
          <w:rFonts w:ascii="仿宋_GB2312" w:eastAsia="仿宋_GB2312" w:hAnsi="仿宋_GB2312" w:cs="仿宋_GB2312" w:hint="eastAsia"/>
          <w:bCs/>
          <w:sz w:val="32"/>
          <w:szCs w:val="32"/>
        </w:rPr>
        <w:t>北京</w:t>
      </w:r>
      <w:r>
        <w:rPr>
          <w:rFonts w:ascii="仿宋_GB2312" w:eastAsia="仿宋_GB2312" w:hAnsi="仿宋_GB2312" w:cs="仿宋_GB2312" w:hint="eastAsia"/>
          <w:bCs/>
          <w:sz w:val="32"/>
          <w:szCs w:val="32"/>
        </w:rPr>
        <w:t>市档案馆内设机构职能配置</w:t>
      </w:r>
    </w:p>
    <w:p w:rsidR="007070EF" w:rsidRDefault="00955420">
      <w:pPr>
        <w:adjustRightInd w:val="0"/>
        <w:snapToGrid w:val="0"/>
        <w:spacing w:line="560" w:lineRule="exact"/>
        <w:ind w:firstLineChars="200" w:firstLine="640"/>
        <w:outlineLvl w:val="2"/>
        <w:rPr>
          <w:rFonts w:ascii="仿宋_GB2312" w:eastAsia="仿宋_GB2312" w:hAnsi="仿宋_GB2312" w:cs="仿宋_GB2312"/>
          <w:sz w:val="32"/>
          <w:szCs w:val="32"/>
        </w:rPr>
      </w:pPr>
      <w:r>
        <w:rPr>
          <w:rFonts w:ascii="仿宋_GB2312" w:eastAsia="仿宋_GB2312" w:hAnsi="仿宋_GB2312" w:cs="仿宋_GB2312" w:hint="eastAsia"/>
          <w:bCs/>
          <w:sz w:val="32"/>
          <w:szCs w:val="32"/>
        </w:rPr>
        <w:t>（3）</w:t>
      </w:r>
      <w:r>
        <w:rPr>
          <w:rFonts w:ascii="仿宋_GB2312" w:eastAsia="仿宋_GB2312" w:hAnsi="仿宋_GB2312" w:cs="仿宋_GB2312" w:hint="eastAsia"/>
          <w:sz w:val="32"/>
          <w:szCs w:val="32"/>
        </w:rPr>
        <w:t>《〈北京市档案馆“十四五”时期发展规划〉重点任务分解方案》</w:t>
      </w:r>
    </w:p>
    <w:p w:rsidR="007070EF" w:rsidRDefault="00955420">
      <w:pPr>
        <w:adjustRightInd w:val="0"/>
        <w:snapToGrid w:val="0"/>
        <w:spacing w:line="560" w:lineRule="exact"/>
        <w:ind w:firstLineChars="200" w:firstLine="640"/>
        <w:outlineLvl w:val="2"/>
        <w:rPr>
          <w:rFonts w:ascii="仿宋_GB2312" w:eastAsia="仿宋_GB2312" w:hAnsi="仿宋_GB2312" w:cs="仿宋_GB2312"/>
          <w:bCs/>
          <w:sz w:val="32"/>
          <w:szCs w:val="32"/>
        </w:rPr>
      </w:pPr>
      <w:r>
        <w:rPr>
          <w:rFonts w:ascii="仿宋_GB2312" w:eastAsia="仿宋_GB2312" w:hAnsi="仿宋_GB2312" w:cs="仿宋_GB2312" w:hint="eastAsia"/>
          <w:bCs/>
          <w:sz w:val="32"/>
          <w:szCs w:val="32"/>
        </w:rPr>
        <w:t>（4）</w:t>
      </w:r>
      <w:r w:rsidR="00C302D0">
        <w:rPr>
          <w:rFonts w:ascii="仿宋_GB2312" w:eastAsia="仿宋_GB2312" w:hAnsi="仿宋_GB2312" w:cs="仿宋_GB2312" w:hint="eastAsia"/>
          <w:bCs/>
          <w:sz w:val="32"/>
          <w:szCs w:val="32"/>
        </w:rPr>
        <w:t>北京</w:t>
      </w:r>
      <w:r w:rsidR="00857E74" w:rsidRPr="00D100BC">
        <w:rPr>
          <w:rFonts w:ascii="仿宋_GB2312" w:eastAsia="仿宋_GB2312" w:hAnsi="仿宋_GB2312" w:cs="仿宋_GB2312" w:hint="eastAsia"/>
          <w:bCs/>
          <w:sz w:val="32"/>
          <w:szCs w:val="32"/>
        </w:rPr>
        <w:t>市档案馆</w:t>
      </w:r>
      <w:r w:rsidR="00857E74" w:rsidRPr="00D100BC">
        <w:rPr>
          <w:rFonts w:ascii="仿宋_GB2312" w:eastAsia="仿宋_GB2312" w:hAnsi="仿宋_GB2312" w:cs="仿宋_GB2312"/>
          <w:bCs/>
          <w:sz w:val="32"/>
          <w:szCs w:val="32"/>
        </w:rPr>
        <w:t>2024年度重点工作</w:t>
      </w:r>
    </w:p>
    <w:p w:rsidR="007070EF" w:rsidRDefault="00955420">
      <w:pPr>
        <w:adjustRightInd w:val="0"/>
        <w:snapToGrid w:val="0"/>
        <w:spacing w:line="560" w:lineRule="exact"/>
        <w:ind w:firstLineChars="200" w:firstLine="640"/>
        <w:outlineLvl w:val="2"/>
        <w:rPr>
          <w:rFonts w:ascii="仿宋_GB2312" w:eastAsia="仿宋_GB2312" w:hAnsi="仿宋_GB2312" w:cs="仿宋_GB2312"/>
          <w:bCs/>
          <w:sz w:val="32"/>
          <w:szCs w:val="32"/>
        </w:rPr>
      </w:pPr>
      <w:r>
        <w:rPr>
          <w:rFonts w:ascii="仿宋_GB2312" w:eastAsia="仿宋_GB2312" w:hAnsi="仿宋_GB2312" w:cs="仿宋_GB2312" w:hint="eastAsia"/>
          <w:bCs/>
          <w:sz w:val="32"/>
          <w:szCs w:val="32"/>
        </w:rPr>
        <w:t>2.绩效目标与职责任务匹配情况及绩效目标合理性</w:t>
      </w:r>
      <w:bookmarkEnd w:id="9"/>
      <w:bookmarkEnd w:id="10"/>
      <w:bookmarkEnd w:id="11"/>
      <w:bookmarkEnd w:id="12"/>
    </w:p>
    <w:p w:rsidR="007070EF" w:rsidRDefault="00955420">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在上述文件依据基础上，市档案馆围绕服务公众用好用活红色档案资源；系统挖掘、保护、传承北京历史文化，丰富首都档案资源，优化馆藏结构；做好区域重点档案保护中心</w:t>
      </w:r>
      <w:r w:rsidR="00FA3F85">
        <w:rPr>
          <w:rFonts w:ascii="仿宋_GB2312" w:eastAsia="仿宋_GB2312" w:hAnsi="仿宋_GB2312" w:cs="仿宋_GB2312" w:hint="eastAsia"/>
          <w:sz w:val="32"/>
          <w:szCs w:val="32"/>
        </w:rPr>
        <w:t>的建</w:t>
      </w:r>
      <w:r w:rsidR="00FA3F85">
        <w:rPr>
          <w:rFonts w:ascii="仿宋_GB2312" w:eastAsia="仿宋_GB2312" w:hAnsi="仿宋_GB2312" w:cs="仿宋_GB2312" w:hint="eastAsia"/>
          <w:sz w:val="32"/>
          <w:szCs w:val="32"/>
        </w:rPr>
        <w:lastRenderedPageBreak/>
        <w:t>设工作</w:t>
      </w:r>
      <w:r>
        <w:rPr>
          <w:rFonts w:ascii="仿宋_GB2312" w:eastAsia="仿宋_GB2312" w:hAnsi="仿宋_GB2312" w:cs="仿宋_GB2312" w:hint="eastAsia"/>
          <w:sz w:val="32"/>
          <w:szCs w:val="32"/>
        </w:rPr>
        <w:t>，按照以下思路制定了部门整体绩效目标：</w:t>
      </w:r>
    </w:p>
    <w:p w:rsidR="007070EF" w:rsidRDefault="00955420">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（1）明确部门工作职责。根据部门职能，明确各项具体工作职责。</w:t>
      </w:r>
    </w:p>
    <w:p w:rsidR="007070EF" w:rsidRDefault="00955420">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（2）确定任务及总目标。结合部门中长期及年度工作计划，明确年度主要工作任务，预计年度内履职所要达到的预期产出及效果，确定部门总体目标。</w:t>
      </w:r>
    </w:p>
    <w:p w:rsidR="007070EF" w:rsidRDefault="00955420">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（3）细化形成绩效指标。结合各内设机构具体工作职责，分解、细化形成各项工作任务的预期产出与效果，</w:t>
      </w:r>
      <w:r w:rsidR="00857E74" w:rsidRPr="00D100BC">
        <w:rPr>
          <w:rFonts w:ascii="仿宋_GB2312" w:eastAsia="仿宋_GB2312" w:hAnsi="仿宋_GB2312" w:cs="仿宋_GB2312" w:hint="eastAsia"/>
          <w:sz w:val="32"/>
          <w:szCs w:val="32"/>
        </w:rPr>
        <w:t>明确绩效指标，</w:t>
      </w:r>
      <w:r>
        <w:rPr>
          <w:rFonts w:ascii="仿宋_GB2312" w:eastAsia="仿宋_GB2312" w:hAnsi="仿宋_GB2312" w:cs="仿宋_GB2312" w:hint="eastAsia"/>
          <w:sz w:val="32"/>
          <w:szCs w:val="32"/>
        </w:rPr>
        <w:t>并梳理与其相对应的重点项目。</w:t>
      </w:r>
    </w:p>
    <w:p w:rsidR="007070EF" w:rsidRDefault="00955420">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（4）确定绩效指标数值。收集相关基准数据，确定绩效标准，结合年度预算安排情况、重点项目情况，确定绩效指标具体数值。</w:t>
      </w:r>
    </w:p>
    <w:p w:rsidR="007070EF" w:rsidRDefault="0095542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绩效目标设置方面。部门绩效目标中明确的“系统挖掘、保护、传承北京历史文化，丰富首都档案资源，优化馆藏结构；研究撰写参考资料；用好用活红色档案资源”等内容均是市档案馆主要职能职责，且分别与各业务处室职能职责相匹配。</w:t>
      </w:r>
    </w:p>
    <w:p w:rsidR="007070EF" w:rsidRDefault="00955420">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绩效指标设置方面。依据部门职能及年度重点工作任务，从</w:t>
      </w:r>
      <w:r>
        <w:rPr>
          <w:rFonts w:ascii="仿宋_GB2312" w:eastAsia="仿宋_GB2312" w:hAnsi="仿宋_GB2312" w:cs="仿宋_GB2312" w:hint="eastAsia"/>
          <w:sz w:val="32"/>
          <w:szCs w:val="32"/>
        </w:rPr>
        <w:t>档案收集和接收、档案整理、档案保护、档案信息化、编研出版、举办档案展览、档案利用服务、华北</w:t>
      </w:r>
      <w:r w:rsidR="00DE44BF">
        <w:rPr>
          <w:rFonts w:ascii="仿宋_GB2312" w:eastAsia="仿宋_GB2312" w:hAnsi="仿宋_GB2312" w:cs="仿宋_GB2312" w:hint="eastAsia"/>
          <w:sz w:val="32"/>
          <w:szCs w:val="32"/>
        </w:rPr>
        <w:t>地区</w:t>
      </w:r>
      <w:r>
        <w:rPr>
          <w:rFonts w:ascii="仿宋_GB2312" w:eastAsia="仿宋_GB2312" w:hAnsi="仿宋_GB2312" w:cs="仿宋_GB2312" w:hint="eastAsia"/>
          <w:sz w:val="32"/>
          <w:szCs w:val="32"/>
        </w:rPr>
        <w:t>国家重点档案保护8</w:t>
      </w:r>
      <w:r>
        <w:rPr>
          <w:rFonts w:ascii="仿宋_GB2312" w:eastAsia="仿宋_GB2312" w:hAnsi="仿宋_GB2312" w:cs="仿宋_GB2312" w:hint="eastAsia"/>
          <w:color w:val="000000"/>
          <w:kern w:val="0"/>
          <w:sz w:val="32"/>
          <w:szCs w:val="32"/>
        </w:rPr>
        <w:t>个方面对绩效目标进行了分解</w:t>
      </w:r>
      <w:bookmarkStart w:id="13" w:name="_GoBack"/>
      <w:bookmarkEnd w:id="13"/>
      <w:r>
        <w:rPr>
          <w:rFonts w:ascii="仿宋_GB2312" w:eastAsia="仿宋_GB2312" w:hAnsi="仿宋_GB2312" w:cs="仿宋_GB2312" w:hint="eastAsia"/>
          <w:color w:val="000000"/>
          <w:kern w:val="0"/>
          <w:sz w:val="32"/>
          <w:szCs w:val="32"/>
        </w:rPr>
        <w:t>与细化，设置了相应的绩效指标。</w:t>
      </w:r>
    </w:p>
    <w:p w:rsidR="007070EF" w:rsidRDefault="00955420">
      <w:pPr>
        <w:adjustRightInd w:val="0"/>
        <w:snapToGrid w:val="0"/>
        <w:spacing w:line="560" w:lineRule="exact"/>
        <w:ind w:firstLineChars="200" w:firstLine="640"/>
        <w:outlineLvl w:val="2"/>
        <w:rPr>
          <w:rFonts w:ascii="仿宋_GB2312" w:eastAsia="仿宋_GB2312" w:hAnsi="仿宋_GB2312" w:cs="仿宋_GB2312"/>
        </w:rPr>
      </w:pPr>
      <w:r>
        <w:rPr>
          <w:rFonts w:ascii="仿宋_GB2312" w:eastAsia="仿宋_GB2312" w:hAnsi="仿宋_GB2312" w:cs="仿宋_GB2312" w:hint="eastAsia"/>
          <w:color w:val="000000"/>
          <w:kern w:val="0"/>
          <w:sz w:val="32"/>
          <w:szCs w:val="32"/>
        </w:rPr>
        <w:t>总体上，部门绩效目标内容较为全面、合理，分解后的绩效指标与市档案馆部门职责、年度重点工作任务匹配性较好。</w:t>
      </w:r>
    </w:p>
    <w:p w:rsidR="007070EF" w:rsidRDefault="00955420">
      <w:pPr>
        <w:numPr>
          <w:ilvl w:val="0"/>
          <w:numId w:val="1"/>
        </w:numPr>
        <w:adjustRightInd w:val="0"/>
        <w:snapToGrid w:val="0"/>
        <w:spacing w:line="560" w:lineRule="exact"/>
        <w:ind w:firstLineChars="200" w:firstLine="640"/>
        <w:outlineLvl w:val="0"/>
        <w:rPr>
          <w:rFonts w:eastAsia="黑体"/>
          <w:bCs/>
          <w:sz w:val="32"/>
          <w:szCs w:val="32"/>
        </w:rPr>
      </w:pPr>
      <w:bookmarkStart w:id="14" w:name="_Toc102158221"/>
      <w:r>
        <w:rPr>
          <w:rFonts w:eastAsia="黑体"/>
          <w:bCs/>
          <w:sz w:val="32"/>
          <w:szCs w:val="32"/>
        </w:rPr>
        <w:t>当年预算执行情况</w:t>
      </w:r>
      <w:bookmarkEnd w:id="14"/>
    </w:p>
    <w:p w:rsidR="007070EF" w:rsidRDefault="00955420">
      <w:pPr>
        <w:adjustRightInd w:val="0"/>
        <w:snapToGrid w:val="0"/>
        <w:spacing w:line="560" w:lineRule="exact"/>
        <w:ind w:firstLine="640"/>
        <w:rPr>
          <w:rFonts w:ascii="仿宋_GB2312" w:eastAsia="仿宋_GB2312" w:hAnsi="仿宋_GB2312" w:cs="仿宋_GB2312"/>
          <w:bCs/>
          <w:sz w:val="32"/>
          <w:szCs w:val="32"/>
        </w:rPr>
      </w:pPr>
      <w:r>
        <w:rPr>
          <w:rFonts w:ascii="仿宋_GB2312" w:eastAsia="仿宋_GB2312" w:hAnsi="仿宋_GB2312" w:cs="仿宋_GB2312"/>
          <w:bCs/>
          <w:sz w:val="32"/>
          <w:szCs w:val="32"/>
        </w:rPr>
        <w:lastRenderedPageBreak/>
        <w:t>2024年全年预算数15,928.60万元，其中，基本支出预算数</w:t>
      </w:r>
      <w:r>
        <w:rPr>
          <w:rFonts w:ascii="仿宋_GB2312" w:eastAsia="仿宋_GB2312" w:hAnsi="仿宋_GB2312" w:cs="仿宋_GB2312" w:hint="eastAsia"/>
          <w:bCs/>
          <w:sz w:val="32"/>
          <w:szCs w:val="32"/>
        </w:rPr>
        <w:t>11,048.22万元，项目支出（含经营支出项目）预算数4,880.38</w:t>
      </w:r>
      <w:r>
        <w:rPr>
          <w:rFonts w:ascii="仿宋_GB2312" w:eastAsia="仿宋_GB2312" w:hAnsi="仿宋_GB2312" w:cs="仿宋_GB2312"/>
          <w:bCs/>
          <w:sz w:val="32"/>
          <w:szCs w:val="32"/>
        </w:rPr>
        <w:t>万元。资金总体支出14,778.68万元，其中，基本支出10,482.66万元，项目支出</w:t>
      </w:r>
      <w:r>
        <w:rPr>
          <w:rFonts w:ascii="仿宋_GB2312" w:eastAsia="仿宋_GB2312" w:hAnsi="仿宋_GB2312" w:cs="仿宋_GB2312" w:hint="eastAsia"/>
          <w:bCs/>
          <w:sz w:val="32"/>
          <w:szCs w:val="32"/>
        </w:rPr>
        <w:t>（含</w:t>
      </w:r>
      <w:r>
        <w:rPr>
          <w:rFonts w:ascii="仿宋_GB2312" w:eastAsia="仿宋_GB2312" w:hAnsi="仿宋_GB2312" w:cs="仿宋_GB2312"/>
          <w:bCs/>
          <w:sz w:val="32"/>
          <w:szCs w:val="32"/>
        </w:rPr>
        <w:t>经营支出项目</w:t>
      </w:r>
      <w:r>
        <w:rPr>
          <w:rFonts w:ascii="仿宋_GB2312" w:eastAsia="仿宋_GB2312" w:hAnsi="仿宋_GB2312" w:cs="仿宋_GB2312" w:hint="eastAsia"/>
          <w:bCs/>
          <w:sz w:val="32"/>
          <w:szCs w:val="32"/>
        </w:rPr>
        <w:t>）</w:t>
      </w:r>
      <w:r>
        <w:rPr>
          <w:rFonts w:ascii="仿宋_GB2312" w:eastAsia="仿宋_GB2312" w:hAnsi="仿宋_GB2312" w:cs="仿宋_GB2312"/>
          <w:bCs/>
          <w:sz w:val="32"/>
          <w:szCs w:val="32"/>
        </w:rPr>
        <w:t>4,296.02万元。部门预算执行率为92.78%。</w:t>
      </w:r>
    </w:p>
    <w:p w:rsidR="007070EF" w:rsidRDefault="00955420">
      <w:pPr>
        <w:adjustRightInd w:val="0"/>
        <w:snapToGrid w:val="0"/>
        <w:spacing w:line="560" w:lineRule="exact"/>
        <w:ind w:firstLineChars="200" w:firstLine="640"/>
        <w:jc w:val="left"/>
        <w:outlineLvl w:val="0"/>
        <w:rPr>
          <w:rFonts w:eastAsia="黑体"/>
          <w:sz w:val="32"/>
          <w:szCs w:val="32"/>
        </w:rPr>
      </w:pPr>
      <w:bookmarkStart w:id="15" w:name="_Toc102158222"/>
      <w:r>
        <w:rPr>
          <w:rFonts w:eastAsia="黑体"/>
          <w:sz w:val="32"/>
          <w:szCs w:val="32"/>
        </w:rPr>
        <w:t>三、整体绩效目标实现情况</w:t>
      </w:r>
      <w:bookmarkEnd w:id="15"/>
    </w:p>
    <w:p w:rsidR="007070EF" w:rsidRDefault="00955420">
      <w:pPr>
        <w:adjustRightInd w:val="0"/>
        <w:snapToGrid w:val="0"/>
        <w:spacing w:line="560" w:lineRule="exact"/>
        <w:ind w:firstLineChars="200" w:firstLine="640"/>
        <w:outlineLvl w:val="1"/>
        <w:rPr>
          <w:rFonts w:ascii="仿宋_GB2312" w:eastAsia="仿宋_GB2312" w:hAnsi="仿宋_GB2312" w:cs="仿宋_GB2312"/>
          <w:sz w:val="32"/>
          <w:szCs w:val="32"/>
        </w:rPr>
      </w:pPr>
      <w:bookmarkStart w:id="16" w:name="_Toc102158223"/>
      <w:r>
        <w:rPr>
          <w:rFonts w:ascii="仿宋_GB2312" w:eastAsia="仿宋_GB2312" w:hAnsi="仿宋_GB2312" w:cs="仿宋_GB2312" w:hint="eastAsia"/>
          <w:sz w:val="32"/>
          <w:szCs w:val="32"/>
        </w:rPr>
        <w:t>（一）产出完成情况分析</w:t>
      </w:r>
      <w:bookmarkEnd w:id="16"/>
    </w:p>
    <w:p w:rsidR="007070EF" w:rsidRPr="00D5738D" w:rsidRDefault="00955420">
      <w:pPr>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2024年,市档案馆坚持以习近平新时代中国特色社会主义思想为指导，全面贯彻落实党的二十大精神，根据《北京市推进全国文化中心建设中长期规划（</w:t>
      </w:r>
      <w:r>
        <w:rPr>
          <w:rFonts w:ascii="仿宋_GB2312" w:eastAsia="仿宋_GB2312" w:hAnsi="仿宋_GB2312" w:cs="仿宋_GB2312"/>
          <w:color w:val="000000"/>
          <w:kern w:val="0"/>
          <w:sz w:val="32"/>
          <w:szCs w:val="32"/>
        </w:rPr>
        <w:t>2019-2035年）》</w:t>
      </w:r>
      <w:r>
        <w:rPr>
          <w:rFonts w:ascii="仿宋_GB2312" w:eastAsia="仿宋_GB2312" w:hAnsi="仿宋_GB2312" w:cs="仿宋_GB2312" w:hint="eastAsia"/>
          <w:color w:val="000000"/>
          <w:kern w:val="0"/>
          <w:sz w:val="32"/>
          <w:szCs w:val="32"/>
        </w:rPr>
        <w:t>，立足馆藏、做好档案资源开发和向社会提供史料利用服务的要求，围绕党和国家事业发展大局，聚焦首都经济社会发展，</w:t>
      </w:r>
      <w:r w:rsidR="00857E74" w:rsidRPr="00D5738D">
        <w:rPr>
          <w:rFonts w:ascii="仿宋_GB2312" w:eastAsia="仿宋_GB2312" w:hAnsi="仿宋_GB2312" w:cs="仿宋_GB2312" w:hint="eastAsia"/>
          <w:color w:val="000000"/>
          <w:kern w:val="0"/>
          <w:sz w:val="32"/>
          <w:szCs w:val="32"/>
        </w:rPr>
        <w:t>履行</w:t>
      </w:r>
      <w:r w:rsidRPr="00D5738D">
        <w:rPr>
          <w:rFonts w:ascii="仿宋_GB2312" w:eastAsia="仿宋_GB2312" w:hAnsi="仿宋_GB2312" w:cs="仿宋_GB2312" w:hint="eastAsia"/>
          <w:color w:val="000000"/>
          <w:kern w:val="0"/>
          <w:sz w:val="32"/>
          <w:szCs w:val="32"/>
        </w:rPr>
        <w:t>档案保管、利用职能，顺利完成《北京档案史料》的编辑出版、用好用活红色档案资源打造全市党史学习教育阵地、</w:t>
      </w:r>
      <w:r w:rsidR="00857E74" w:rsidRPr="00D5738D">
        <w:rPr>
          <w:rFonts w:ascii="仿宋_GB2312" w:eastAsia="仿宋_GB2312" w:hAnsi="仿宋_GB2312" w:cs="仿宋_GB2312" w:hint="eastAsia"/>
          <w:color w:val="000000"/>
          <w:kern w:val="0"/>
          <w:sz w:val="32"/>
          <w:szCs w:val="32"/>
        </w:rPr>
        <w:t>开展档案</w:t>
      </w:r>
      <w:r w:rsidR="00B03C49" w:rsidRPr="00D5738D">
        <w:rPr>
          <w:rFonts w:ascii="仿宋_GB2312" w:eastAsia="仿宋_GB2312" w:hAnsi="仿宋_GB2312" w:cs="仿宋_GB2312" w:hint="eastAsia"/>
          <w:color w:val="000000"/>
          <w:kern w:val="0"/>
          <w:sz w:val="32"/>
          <w:szCs w:val="32"/>
        </w:rPr>
        <w:t>保护工作</w:t>
      </w:r>
      <w:r w:rsidR="00857E74" w:rsidRPr="00D5738D">
        <w:rPr>
          <w:rFonts w:ascii="仿宋_GB2312" w:eastAsia="仿宋_GB2312" w:hAnsi="仿宋_GB2312" w:cs="仿宋_GB2312" w:hint="eastAsia"/>
          <w:color w:val="000000"/>
          <w:kern w:val="0"/>
          <w:sz w:val="32"/>
          <w:szCs w:val="32"/>
        </w:rPr>
        <w:t>等年度工作任务目标</w:t>
      </w:r>
      <w:r w:rsidRPr="00D5738D">
        <w:rPr>
          <w:rFonts w:ascii="仿宋_GB2312" w:eastAsia="仿宋_GB2312" w:hAnsi="仿宋_GB2312" w:cs="仿宋_GB2312" w:hint="eastAsia"/>
          <w:color w:val="000000"/>
          <w:kern w:val="0"/>
          <w:sz w:val="32"/>
          <w:szCs w:val="32"/>
        </w:rPr>
        <w:t>。各项任务具体产出情况如下：</w:t>
      </w:r>
    </w:p>
    <w:p w:rsidR="007070EF" w:rsidRDefault="00955420">
      <w:pPr>
        <w:widowControl/>
        <w:adjustRightInd w:val="0"/>
        <w:snapToGrid w:val="0"/>
        <w:spacing w:line="560" w:lineRule="exact"/>
        <w:ind w:firstLineChars="200" w:firstLine="640"/>
        <w:rPr>
          <w:rFonts w:ascii="仿宋_GB2312" w:eastAsia="仿宋_GB2312" w:hAnsi="仿宋_GB2312" w:cs="仿宋_GB2312"/>
          <w:bCs/>
          <w:sz w:val="32"/>
          <w:szCs w:val="32"/>
        </w:rPr>
      </w:pPr>
      <w:r w:rsidRPr="00D5738D">
        <w:rPr>
          <w:rFonts w:ascii="仿宋_GB2312" w:eastAsia="仿宋_GB2312" w:hAnsi="仿宋_GB2312" w:cs="仿宋_GB2312" w:hint="eastAsia"/>
          <w:bCs/>
          <w:sz w:val="32"/>
          <w:szCs w:val="32"/>
        </w:rPr>
        <w:t>1.产出数量</w:t>
      </w:r>
    </w:p>
    <w:p w:rsidR="007070EF" w:rsidRDefault="00955420">
      <w:p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（1）档案整理方面</w:t>
      </w:r>
    </w:p>
    <w:p w:rsidR="007070EF" w:rsidRDefault="00955420">
      <w:pPr>
        <w:widowControl/>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2024年，数字化</w:t>
      </w:r>
      <w:r w:rsidR="004418DB">
        <w:rPr>
          <w:rFonts w:ascii="仿宋_GB2312" w:eastAsia="仿宋_GB2312" w:hAnsi="仿宋_GB2312" w:cs="仿宋_GB2312" w:hint="eastAsia"/>
          <w:bCs/>
          <w:sz w:val="32"/>
          <w:szCs w:val="32"/>
        </w:rPr>
        <w:t>副本与</w:t>
      </w:r>
      <w:r>
        <w:rPr>
          <w:rFonts w:ascii="仿宋_GB2312" w:eastAsia="仿宋_GB2312" w:hAnsi="仿宋_GB2312" w:cs="仿宋_GB2312" w:hint="eastAsia"/>
          <w:bCs/>
          <w:sz w:val="32"/>
          <w:szCs w:val="32"/>
        </w:rPr>
        <w:t>目录核对实际完成120万张；</w:t>
      </w:r>
      <w:r w:rsidR="004418DB">
        <w:rPr>
          <w:rFonts w:ascii="仿宋_GB2312" w:eastAsia="仿宋_GB2312" w:hAnsi="仿宋_GB2312" w:cs="仿宋_GB2312" w:hint="eastAsia"/>
          <w:bCs/>
          <w:sz w:val="32"/>
          <w:szCs w:val="32"/>
        </w:rPr>
        <w:t>纸质</w:t>
      </w:r>
      <w:r>
        <w:rPr>
          <w:rFonts w:ascii="仿宋_GB2312" w:eastAsia="仿宋_GB2312" w:hAnsi="仿宋_GB2312" w:cs="仿宋_GB2312" w:hint="eastAsia"/>
          <w:bCs/>
          <w:sz w:val="32"/>
          <w:szCs w:val="32"/>
        </w:rPr>
        <w:t>档案数字化实际完成150万张；</w:t>
      </w:r>
      <w:r w:rsidR="00F0635A">
        <w:rPr>
          <w:rFonts w:ascii="仿宋_GB2312" w:eastAsia="仿宋_GB2312" w:hAnsi="仿宋_GB2312" w:cs="仿宋_GB2312" w:hint="eastAsia"/>
          <w:bCs/>
          <w:sz w:val="32"/>
          <w:szCs w:val="32"/>
        </w:rPr>
        <w:t>新中国成立后</w:t>
      </w:r>
      <w:r w:rsidR="0058442F">
        <w:rPr>
          <w:rFonts w:ascii="仿宋_GB2312" w:eastAsia="仿宋_GB2312" w:hAnsi="仿宋_GB2312" w:cs="仿宋_GB2312" w:hint="eastAsia"/>
          <w:bCs/>
          <w:sz w:val="32"/>
          <w:szCs w:val="32"/>
        </w:rPr>
        <w:t>档案</w:t>
      </w:r>
      <w:r>
        <w:rPr>
          <w:rFonts w:ascii="仿宋_GB2312" w:eastAsia="仿宋_GB2312" w:hAnsi="仿宋_GB2312" w:cs="仿宋_GB2312" w:hint="eastAsia"/>
          <w:bCs/>
          <w:sz w:val="32"/>
          <w:szCs w:val="32"/>
        </w:rPr>
        <w:t>目录录入实际完成20万条；</w:t>
      </w:r>
      <w:r w:rsidR="0058442F">
        <w:rPr>
          <w:rFonts w:ascii="仿宋_GB2312" w:eastAsia="仿宋_GB2312" w:hAnsi="仿宋_GB2312" w:cs="仿宋_GB2312" w:hint="eastAsia"/>
          <w:bCs/>
          <w:sz w:val="32"/>
          <w:szCs w:val="32"/>
        </w:rPr>
        <w:t>民国档案文件级</w:t>
      </w:r>
      <w:r>
        <w:rPr>
          <w:rFonts w:ascii="仿宋_GB2312" w:eastAsia="仿宋_GB2312" w:hAnsi="仿宋_GB2312" w:cs="仿宋_GB2312" w:hint="eastAsia"/>
          <w:bCs/>
          <w:sz w:val="32"/>
          <w:szCs w:val="32"/>
        </w:rPr>
        <w:t>目录全检实际完成20万条；</w:t>
      </w:r>
      <w:r w:rsidR="0058442F">
        <w:rPr>
          <w:rFonts w:ascii="仿宋_GB2312" w:eastAsia="仿宋_GB2312" w:hAnsi="仿宋_GB2312" w:cs="仿宋_GB2312" w:hint="eastAsia"/>
          <w:bCs/>
          <w:sz w:val="32"/>
          <w:szCs w:val="32"/>
        </w:rPr>
        <w:t>民国档案文件级</w:t>
      </w:r>
      <w:r>
        <w:rPr>
          <w:rFonts w:ascii="仿宋_GB2312" w:eastAsia="仿宋_GB2312" w:hAnsi="仿宋_GB2312" w:cs="仿宋_GB2312" w:hint="eastAsia"/>
          <w:bCs/>
          <w:sz w:val="32"/>
          <w:szCs w:val="32"/>
        </w:rPr>
        <w:t>目录</w:t>
      </w:r>
      <w:r w:rsidR="0058442F">
        <w:rPr>
          <w:rFonts w:ascii="仿宋_GB2312" w:eastAsia="仿宋_GB2312" w:hAnsi="仿宋_GB2312" w:cs="仿宋_GB2312" w:hint="eastAsia"/>
          <w:bCs/>
          <w:sz w:val="32"/>
          <w:szCs w:val="32"/>
        </w:rPr>
        <w:t>著录</w:t>
      </w:r>
      <w:r>
        <w:rPr>
          <w:rFonts w:ascii="仿宋_GB2312" w:eastAsia="仿宋_GB2312" w:hAnsi="仿宋_GB2312" w:cs="仿宋_GB2312" w:hint="eastAsia"/>
          <w:bCs/>
          <w:sz w:val="32"/>
          <w:szCs w:val="32"/>
        </w:rPr>
        <w:t>实际完成10万条；</w:t>
      </w:r>
      <w:r w:rsidR="0058442F">
        <w:rPr>
          <w:rFonts w:ascii="仿宋_GB2312" w:eastAsia="仿宋_GB2312" w:hAnsi="仿宋_GB2312" w:cs="仿宋_GB2312" w:hint="eastAsia"/>
          <w:bCs/>
          <w:sz w:val="32"/>
          <w:szCs w:val="32"/>
        </w:rPr>
        <w:t>新中国成立后档案文件级</w:t>
      </w:r>
      <w:r w:rsidR="00857E74" w:rsidRPr="00D5738D">
        <w:rPr>
          <w:rFonts w:ascii="仿宋_GB2312" w:eastAsia="仿宋_GB2312" w:hAnsi="仿宋_GB2312" w:cs="仿宋_GB2312" w:hint="eastAsia"/>
          <w:bCs/>
          <w:sz w:val="32"/>
          <w:szCs w:val="32"/>
        </w:rPr>
        <w:t>目录全检实际完成</w:t>
      </w:r>
      <w:r w:rsidR="00857E74" w:rsidRPr="00D5738D">
        <w:rPr>
          <w:rFonts w:ascii="仿宋_GB2312" w:eastAsia="仿宋_GB2312" w:hAnsi="仿宋_GB2312" w:cs="仿宋_GB2312"/>
          <w:bCs/>
          <w:sz w:val="32"/>
          <w:szCs w:val="32"/>
        </w:rPr>
        <w:t>40万条</w:t>
      </w:r>
      <w:r>
        <w:rPr>
          <w:rFonts w:ascii="仿宋_GB2312" w:eastAsia="仿宋_GB2312" w:hAnsi="仿宋_GB2312" w:cs="仿宋_GB2312" w:hint="eastAsia"/>
          <w:bCs/>
          <w:sz w:val="32"/>
          <w:szCs w:val="32"/>
        </w:rPr>
        <w:t>。</w:t>
      </w:r>
    </w:p>
    <w:p w:rsidR="007070EF" w:rsidRDefault="00955420">
      <w:pPr>
        <w:widowControl/>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（2）档案收集和接收方面</w:t>
      </w:r>
    </w:p>
    <w:p w:rsidR="007070EF" w:rsidRDefault="00955420">
      <w:pPr>
        <w:widowControl/>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lastRenderedPageBreak/>
        <w:t>全年共征集档案1943件/套/册。其中：购买图书资料1488册，地图、画册、照片、资料等史料455套/册/张。</w:t>
      </w:r>
    </w:p>
    <w:p w:rsidR="007070EF" w:rsidRDefault="00955420">
      <w:pPr>
        <w:widowControl/>
        <w:numPr>
          <w:ilvl w:val="255"/>
          <w:numId w:val="0"/>
        </w:num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（3）档案保护方面</w:t>
      </w:r>
    </w:p>
    <w:p w:rsidR="007070EF" w:rsidRPr="00D5738D" w:rsidRDefault="00955420">
      <w:pPr>
        <w:widowControl/>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实际完成纸质档案修复100287页、纸质档案脱酸100363页、</w:t>
      </w:r>
      <w:r w:rsidR="009C457E" w:rsidRPr="00D5738D">
        <w:rPr>
          <w:rFonts w:ascii="仿宋_GB2312" w:eastAsia="仿宋_GB2312" w:hAnsi="仿宋_GB2312" w:cs="仿宋_GB2312" w:hint="eastAsia"/>
          <w:bCs/>
          <w:sz w:val="32"/>
          <w:szCs w:val="32"/>
        </w:rPr>
        <w:t>档案破损情况</w:t>
      </w:r>
      <w:r w:rsidR="00857E74" w:rsidRPr="00D5738D">
        <w:rPr>
          <w:rFonts w:ascii="仿宋_GB2312" w:eastAsia="仿宋_GB2312" w:hAnsi="仿宋_GB2312" w:cs="仿宋_GB2312" w:hint="eastAsia"/>
          <w:bCs/>
          <w:sz w:val="32"/>
          <w:szCs w:val="32"/>
        </w:rPr>
        <w:t>调查</w:t>
      </w:r>
      <w:r w:rsidR="00857E74" w:rsidRPr="00D5738D">
        <w:rPr>
          <w:rFonts w:ascii="仿宋_GB2312" w:eastAsia="仿宋_GB2312" w:hAnsi="仿宋_GB2312" w:cs="仿宋_GB2312"/>
          <w:bCs/>
          <w:sz w:val="32"/>
          <w:szCs w:val="32"/>
        </w:rPr>
        <w:t>5260卷、</w:t>
      </w:r>
      <w:r w:rsidRPr="00D5738D">
        <w:rPr>
          <w:rFonts w:ascii="仿宋_GB2312" w:eastAsia="仿宋_GB2312" w:hAnsi="仿宋_GB2312" w:cs="仿宋_GB2312" w:hint="eastAsia"/>
          <w:bCs/>
          <w:sz w:val="32"/>
          <w:szCs w:val="32"/>
        </w:rPr>
        <w:t>纸质和实物档案仿真复制3204件、声像档案数字化及著录834盘、照片档案数字化修复1209张、档案异质备份300盘。</w:t>
      </w:r>
    </w:p>
    <w:p w:rsidR="007070EF" w:rsidRPr="00D5738D" w:rsidRDefault="00955420">
      <w:pPr>
        <w:widowControl/>
        <w:numPr>
          <w:ilvl w:val="0"/>
          <w:numId w:val="2"/>
        </w:numPr>
        <w:adjustRightInd w:val="0"/>
        <w:snapToGrid w:val="0"/>
        <w:spacing w:line="560" w:lineRule="exact"/>
        <w:ind w:firstLineChars="200" w:firstLine="640"/>
        <w:rPr>
          <w:rFonts w:ascii="仿宋_GB2312" w:eastAsia="仿宋_GB2312" w:hAnsi="仿宋_GB2312" w:cs="仿宋_GB2312"/>
          <w:bCs/>
          <w:sz w:val="32"/>
          <w:szCs w:val="32"/>
        </w:rPr>
      </w:pPr>
      <w:r w:rsidRPr="00D5738D">
        <w:rPr>
          <w:rFonts w:ascii="仿宋_GB2312" w:eastAsia="仿宋_GB2312" w:hAnsi="仿宋_GB2312" w:cs="仿宋_GB2312" w:hint="eastAsia"/>
          <w:bCs/>
          <w:sz w:val="32"/>
          <w:szCs w:val="32"/>
        </w:rPr>
        <w:t>档案信息化方面</w:t>
      </w:r>
    </w:p>
    <w:p w:rsidR="007070EF" w:rsidRDefault="00955420">
      <w:pPr>
        <w:widowControl/>
        <w:adjustRightInd w:val="0"/>
        <w:snapToGrid w:val="0"/>
        <w:spacing w:line="560" w:lineRule="exact"/>
        <w:ind w:firstLine="640"/>
        <w:rPr>
          <w:rFonts w:ascii="仿宋_GB2312" w:eastAsia="仿宋_GB2312" w:hAnsi="仿宋_GB2312" w:cs="仿宋_GB2312"/>
          <w:bCs/>
          <w:sz w:val="32"/>
          <w:szCs w:val="32"/>
        </w:rPr>
      </w:pPr>
      <w:r w:rsidRPr="00D5738D">
        <w:rPr>
          <w:rFonts w:ascii="仿宋_GB2312" w:eastAsia="仿宋_GB2312" w:hAnsi="仿宋_GB2312" w:cs="仿宋_GB2312" w:hint="eastAsia"/>
          <w:bCs/>
          <w:sz w:val="32"/>
          <w:szCs w:val="32"/>
        </w:rPr>
        <w:t>2024年，市档案馆进一步发挥数字档案馆（室）建设对全市档案工作的带动和辐射作用，继续深化馆藏档案数字资源治理工作，完成档案语音转写22947.04小时，接收审核从整理库、接收库提交的数据111.31TB，目录补充完善、挂接质检136611条，</w:t>
      </w:r>
      <w:r w:rsidR="00857E74" w:rsidRPr="00D5738D">
        <w:rPr>
          <w:rFonts w:ascii="仿宋_GB2312" w:eastAsia="仿宋_GB2312" w:hAnsi="仿宋_GB2312" w:cs="仿宋_GB2312" w:hint="eastAsia"/>
          <w:bCs/>
          <w:sz w:val="32"/>
          <w:szCs w:val="32"/>
        </w:rPr>
        <w:t>线路连通率</w:t>
      </w:r>
      <w:r w:rsidR="00857E74" w:rsidRPr="00D5738D">
        <w:rPr>
          <w:rFonts w:ascii="仿宋_GB2312" w:eastAsia="仿宋_GB2312" w:hAnsi="仿宋_GB2312" w:cs="仿宋_GB2312"/>
          <w:bCs/>
          <w:sz w:val="32"/>
          <w:szCs w:val="32"/>
        </w:rPr>
        <w:t>98%</w:t>
      </w:r>
      <w:r w:rsidRPr="00D5738D">
        <w:rPr>
          <w:rFonts w:ascii="仿宋_GB2312" w:eastAsia="仿宋_GB2312" w:hAnsi="仿宋_GB2312" w:cs="仿宋_GB2312" w:hint="eastAsia"/>
          <w:bCs/>
          <w:sz w:val="32"/>
          <w:szCs w:val="32"/>
        </w:rPr>
        <w:t>，数据治理126</w:t>
      </w:r>
      <w:r>
        <w:rPr>
          <w:rFonts w:ascii="仿宋_GB2312" w:eastAsia="仿宋_GB2312" w:hAnsi="仿宋_GB2312" w:cs="仿宋_GB2312" w:hint="eastAsia"/>
          <w:bCs/>
          <w:sz w:val="32"/>
          <w:szCs w:val="32"/>
        </w:rPr>
        <w:t>.91TB，运维终端设备数量700台，维护数据容量850TB，维护系统数量10套，音视频转码201291份。</w:t>
      </w:r>
    </w:p>
    <w:p w:rsidR="007070EF" w:rsidRDefault="00955420">
      <w:pPr>
        <w:widowControl/>
        <w:adjustRightInd w:val="0"/>
        <w:snapToGrid w:val="0"/>
        <w:spacing w:line="560" w:lineRule="exact"/>
        <w:ind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（5）编研出版方面</w:t>
      </w:r>
    </w:p>
    <w:p w:rsidR="007070EF" w:rsidRDefault="00955420">
      <w:pPr>
        <w:widowControl/>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为更好贴近全市中心工作，根据《北京市推进全国文化中心建设中长期规划（</w:t>
      </w:r>
      <w:r>
        <w:rPr>
          <w:rFonts w:ascii="仿宋_GB2312" w:eastAsia="仿宋_GB2312" w:hAnsi="仿宋_GB2312" w:cs="仿宋_GB2312"/>
          <w:bCs/>
          <w:sz w:val="32"/>
          <w:szCs w:val="32"/>
        </w:rPr>
        <w:t>2019-2035年）》</w:t>
      </w:r>
      <w:r>
        <w:rPr>
          <w:rFonts w:ascii="仿宋_GB2312" w:eastAsia="仿宋_GB2312" w:hAnsi="仿宋_GB2312" w:cs="仿宋_GB2312" w:hint="eastAsia"/>
          <w:bCs/>
          <w:sz w:val="32"/>
          <w:szCs w:val="32"/>
        </w:rPr>
        <w:t>，立足馆藏，做好档案资源开发和向社会提供史料利用服务，</w:t>
      </w:r>
      <w:r w:rsidR="00F46FD6" w:rsidRPr="00C808E7">
        <w:rPr>
          <w:rFonts w:ascii="仿宋_GB2312" w:eastAsia="仿宋_GB2312" w:hAnsi="仿宋_GB2312" w:cs="仿宋_GB2312"/>
          <w:bCs/>
          <w:sz w:val="32"/>
          <w:szCs w:val="32"/>
        </w:rPr>
        <w:t>2024年完成《北京档案史料》2辑的出版</w:t>
      </w:r>
      <w:r>
        <w:rPr>
          <w:rFonts w:ascii="仿宋_GB2312" w:eastAsia="仿宋_GB2312" w:hAnsi="仿宋_GB2312" w:cs="仿宋_GB2312" w:hint="eastAsia"/>
          <w:bCs/>
          <w:sz w:val="32"/>
          <w:szCs w:val="32"/>
        </w:rPr>
        <w:t>。</w:t>
      </w:r>
    </w:p>
    <w:p w:rsidR="007070EF" w:rsidRDefault="00955420">
      <w:pPr>
        <w:widowControl/>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（6）举办档案展览方面</w:t>
      </w:r>
    </w:p>
    <w:p w:rsidR="007070EF" w:rsidRPr="007070EF" w:rsidRDefault="00261352">
      <w:pPr>
        <w:widowControl/>
        <w:adjustRightInd w:val="0"/>
        <w:snapToGrid w:val="0"/>
        <w:spacing w:line="560" w:lineRule="exact"/>
        <w:ind w:firstLineChars="200" w:firstLine="640"/>
        <w:rPr>
          <w:rFonts w:ascii="仿宋_GB2312" w:eastAsia="仿宋_GB2312" w:hAnsi="仿宋_GB2312" w:cs="仿宋_GB2312"/>
          <w:bCs/>
          <w:sz w:val="32"/>
          <w:szCs w:val="32"/>
          <w:highlight w:val="yellow"/>
        </w:rPr>
      </w:pPr>
      <w:r w:rsidRPr="00D5738D">
        <w:rPr>
          <w:rFonts w:ascii="仿宋_GB2312" w:eastAsia="仿宋_GB2312" w:hAnsi="仿宋_GB2312" w:cs="仿宋_GB2312"/>
          <w:bCs/>
          <w:sz w:val="32"/>
          <w:szCs w:val="32"/>
        </w:rPr>
        <w:t xml:space="preserve">完成“祝福祖国 </w:t>
      </w:r>
      <w:r w:rsidRPr="00D5738D">
        <w:rPr>
          <w:rFonts w:ascii="仿宋_GB2312" w:eastAsia="仿宋_GB2312" w:hAnsi="仿宋_GB2312" w:cs="仿宋_GB2312" w:hint="eastAsia"/>
          <w:bCs/>
          <w:sz w:val="32"/>
          <w:szCs w:val="32"/>
        </w:rPr>
        <w:t>筑梦前行</w:t>
      </w:r>
      <w:r w:rsidRPr="00D5738D">
        <w:rPr>
          <w:rFonts w:ascii="仿宋_GB2312" w:eastAsia="仿宋_GB2312" w:hAnsi="仿宋_GB2312" w:cs="仿宋_GB2312"/>
          <w:bCs/>
          <w:sz w:val="32"/>
          <w:szCs w:val="32"/>
        </w:rPr>
        <w:t>-国庆彩车模型展”</w:t>
      </w:r>
      <w:r w:rsidRPr="00D5738D">
        <w:rPr>
          <w:rFonts w:ascii="仿宋_GB2312" w:eastAsia="仿宋_GB2312" w:hAnsi="仿宋_GB2312" w:cs="仿宋_GB2312" w:hint="eastAsia"/>
          <w:bCs/>
          <w:sz w:val="32"/>
          <w:szCs w:val="32"/>
        </w:rPr>
        <w:t>,</w:t>
      </w:r>
      <w:r w:rsidR="00857E74" w:rsidRPr="00D5738D">
        <w:rPr>
          <w:rFonts w:ascii="仿宋_GB2312" w:eastAsia="仿宋_GB2312" w:hAnsi="仿宋_GB2312" w:cs="仿宋_GB2312" w:hint="eastAsia"/>
          <w:bCs/>
          <w:sz w:val="32"/>
          <w:szCs w:val="32"/>
        </w:rPr>
        <w:t>展出我馆馆藏的国庆</w:t>
      </w:r>
      <w:r w:rsidR="00857E74" w:rsidRPr="00D5738D">
        <w:rPr>
          <w:rFonts w:ascii="仿宋_GB2312" w:eastAsia="仿宋_GB2312" w:hAnsi="仿宋_GB2312" w:cs="仿宋_GB2312"/>
          <w:bCs/>
          <w:sz w:val="32"/>
          <w:szCs w:val="32"/>
        </w:rPr>
        <w:t>50周年、60周年等彩车模型以及相关档案，展览面积超500平方米</w:t>
      </w:r>
      <w:r w:rsidRPr="00D5738D">
        <w:rPr>
          <w:rFonts w:ascii="仿宋_GB2312" w:eastAsia="仿宋_GB2312" w:hAnsi="仿宋_GB2312" w:cs="仿宋_GB2312" w:hint="eastAsia"/>
          <w:bCs/>
          <w:sz w:val="32"/>
          <w:szCs w:val="32"/>
        </w:rPr>
        <w:t>；</w:t>
      </w:r>
      <w:r w:rsidR="00857E74" w:rsidRPr="00D5738D">
        <w:rPr>
          <w:rFonts w:ascii="仿宋_GB2312" w:eastAsia="仿宋_GB2312" w:hAnsi="仿宋_GB2312" w:cs="仿宋_GB2312"/>
          <w:bCs/>
          <w:sz w:val="32"/>
          <w:szCs w:val="32"/>
        </w:rPr>
        <w:t>依托现有展览制作完成“档案见证北京”和“中</w:t>
      </w:r>
      <w:r w:rsidR="00857E74" w:rsidRPr="00D5738D">
        <w:rPr>
          <w:rFonts w:ascii="仿宋_GB2312" w:eastAsia="仿宋_GB2312" w:hAnsi="仿宋_GB2312" w:cs="仿宋_GB2312"/>
          <w:bCs/>
          <w:sz w:val="32"/>
          <w:szCs w:val="32"/>
        </w:rPr>
        <w:lastRenderedPageBreak/>
        <w:t>国档案珍品展”主题短视频45集；</w:t>
      </w:r>
      <w:r w:rsidRPr="00D5738D">
        <w:rPr>
          <w:rFonts w:ascii="仿宋_GB2312" w:eastAsia="仿宋_GB2312" w:hAnsi="仿宋_GB2312" w:cs="仿宋_GB2312" w:hint="eastAsia"/>
          <w:bCs/>
          <w:sz w:val="32"/>
          <w:szCs w:val="32"/>
        </w:rPr>
        <w:t>推出</w:t>
      </w:r>
      <w:r w:rsidR="00857E74" w:rsidRPr="00D5738D">
        <w:rPr>
          <w:rFonts w:ascii="仿宋_GB2312" w:eastAsia="仿宋_GB2312" w:hAnsi="仿宋_GB2312" w:cs="仿宋_GB2312" w:hint="eastAsia"/>
          <w:bCs/>
          <w:sz w:val="32"/>
          <w:szCs w:val="32"/>
        </w:rPr>
        <w:t>“合院之城——北京古都文化档案史料展”</w:t>
      </w:r>
      <w:r w:rsidRPr="00D5738D">
        <w:rPr>
          <w:rFonts w:ascii="仿宋_GB2312" w:eastAsia="仿宋_GB2312" w:hAnsi="仿宋_GB2312" w:cs="仿宋_GB2312" w:hint="eastAsia"/>
          <w:bCs/>
          <w:sz w:val="32"/>
          <w:szCs w:val="32"/>
        </w:rPr>
        <w:t>，</w:t>
      </w:r>
      <w:r w:rsidRPr="00D5738D">
        <w:rPr>
          <w:rFonts w:ascii="仿宋_GB2312" w:eastAsia="仿宋_GB2312" w:hAnsi="仿宋_GB2312" w:cs="仿宋_GB2312"/>
          <w:bCs/>
          <w:sz w:val="32"/>
          <w:szCs w:val="32"/>
        </w:rPr>
        <w:t>展出档案、图片、实物等资料共计3700余件</w:t>
      </w:r>
      <w:r w:rsidRPr="00D5738D">
        <w:rPr>
          <w:rFonts w:ascii="仿宋_GB2312" w:eastAsia="仿宋_GB2312" w:hAnsi="仿宋_GB2312" w:cs="仿宋_GB2312" w:hint="eastAsia"/>
          <w:bCs/>
          <w:sz w:val="32"/>
          <w:szCs w:val="32"/>
        </w:rPr>
        <w:t>，</w:t>
      </w:r>
      <w:r w:rsidR="00857E74" w:rsidRPr="00D5738D">
        <w:rPr>
          <w:rFonts w:ascii="仿宋_GB2312" w:eastAsia="仿宋_GB2312" w:hAnsi="仿宋_GB2312" w:cs="仿宋_GB2312"/>
          <w:bCs/>
          <w:sz w:val="32"/>
          <w:szCs w:val="32"/>
        </w:rPr>
        <w:t>展厅面积</w:t>
      </w:r>
      <w:r w:rsidR="004A16BE" w:rsidRPr="00D5738D">
        <w:rPr>
          <w:rFonts w:ascii="仿宋_GB2312" w:eastAsia="仿宋_GB2312" w:hAnsi="仿宋_GB2312" w:cs="仿宋_GB2312" w:hint="eastAsia"/>
          <w:bCs/>
          <w:sz w:val="32"/>
          <w:szCs w:val="32"/>
        </w:rPr>
        <w:t>1300</w:t>
      </w:r>
      <w:r w:rsidR="00857E74" w:rsidRPr="00D5738D">
        <w:rPr>
          <w:rFonts w:ascii="仿宋_GB2312" w:eastAsia="仿宋_GB2312" w:hAnsi="仿宋_GB2312" w:cs="仿宋_GB2312"/>
          <w:bCs/>
          <w:sz w:val="32"/>
          <w:szCs w:val="32"/>
        </w:rPr>
        <w:t>平</w:t>
      </w:r>
      <w:r w:rsidR="004A16BE" w:rsidRPr="00D5738D">
        <w:rPr>
          <w:rFonts w:ascii="仿宋_GB2312" w:eastAsia="仿宋_GB2312" w:hAnsi="仿宋_GB2312" w:cs="仿宋_GB2312" w:hint="eastAsia"/>
          <w:bCs/>
          <w:sz w:val="32"/>
          <w:szCs w:val="32"/>
        </w:rPr>
        <w:t>方</w:t>
      </w:r>
      <w:r w:rsidR="00857E74" w:rsidRPr="00D5738D">
        <w:rPr>
          <w:rFonts w:ascii="仿宋_GB2312" w:eastAsia="仿宋_GB2312" w:hAnsi="仿宋_GB2312" w:cs="仿宋_GB2312"/>
          <w:bCs/>
          <w:sz w:val="32"/>
          <w:szCs w:val="32"/>
        </w:rPr>
        <w:t>米。</w:t>
      </w:r>
    </w:p>
    <w:p w:rsidR="007070EF" w:rsidRDefault="00955420">
      <w:pPr>
        <w:widowControl/>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（7）档案利用服务方面</w:t>
      </w:r>
    </w:p>
    <w:p w:rsidR="007070EF" w:rsidRDefault="00955420">
      <w:pPr>
        <w:widowControl/>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档案见证北京”“播火——李大钊革命活动档案史料展”“立心铸魂——中国共产党人精神谱系中的北京篇章”“最美中轴线”“中国档案珍品展”等展览持续开放，总展厅面积超过5000平方米，全年线下接待109954人次，提供讲解2380场。</w:t>
      </w:r>
    </w:p>
    <w:p w:rsidR="007070EF" w:rsidRDefault="00955420">
      <w:pPr>
        <w:widowControl/>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（8）华北</w:t>
      </w:r>
      <w:r w:rsidR="004A16BE">
        <w:rPr>
          <w:rFonts w:ascii="仿宋_GB2312" w:eastAsia="仿宋_GB2312" w:hAnsi="仿宋_GB2312" w:cs="仿宋_GB2312" w:hint="eastAsia"/>
          <w:bCs/>
          <w:sz w:val="32"/>
          <w:szCs w:val="32"/>
        </w:rPr>
        <w:t>地区</w:t>
      </w:r>
      <w:r>
        <w:rPr>
          <w:rFonts w:ascii="仿宋_GB2312" w:eastAsia="仿宋_GB2312" w:hAnsi="仿宋_GB2312" w:cs="仿宋_GB2312" w:hint="eastAsia"/>
          <w:bCs/>
          <w:sz w:val="32"/>
          <w:szCs w:val="32"/>
        </w:rPr>
        <w:t>国家重点档案保护方面</w:t>
      </w:r>
    </w:p>
    <w:p w:rsidR="007070EF" w:rsidRDefault="00955420">
      <w:pPr>
        <w:widowControl/>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2024年举办诰命修复、修复实用技能和仿真复制技能培训班3期，举办华北地区档案抢救修复长期培训班1期30天，共计培训85人，制作教学纪实片4支、档案保护短视频10支。</w:t>
      </w:r>
      <w:bookmarkStart w:id="17" w:name="_Toc102140644"/>
      <w:bookmarkStart w:id="18" w:name="_Toc102158225"/>
    </w:p>
    <w:p w:rsidR="007070EF" w:rsidRDefault="00955420">
      <w:pPr>
        <w:widowControl/>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2.产出质量</w:t>
      </w:r>
      <w:bookmarkEnd w:id="17"/>
      <w:bookmarkEnd w:id="18"/>
    </w:p>
    <w:p w:rsidR="007070EF" w:rsidRDefault="00955420">
      <w:pPr>
        <w:widowControl/>
        <w:adjustRightInd w:val="0"/>
        <w:snapToGrid w:val="0"/>
        <w:spacing w:line="560" w:lineRule="exact"/>
        <w:ind w:firstLineChars="200" w:firstLine="640"/>
        <w:rPr>
          <w:rFonts w:ascii="仿宋_GB2312" w:eastAsia="仿宋_GB2312" w:hAnsi="仿宋_GB2312" w:cs="仿宋_GB2312"/>
          <w:bCs/>
          <w:sz w:val="32"/>
          <w:szCs w:val="32"/>
        </w:rPr>
      </w:pPr>
      <w:bookmarkStart w:id="19" w:name="_Toc72438586"/>
      <w:bookmarkStart w:id="20" w:name="_Toc72439007"/>
      <w:r>
        <w:rPr>
          <w:rFonts w:ascii="仿宋_GB2312" w:eastAsia="仿宋_GB2312" w:hAnsi="仿宋_GB2312" w:cs="仿宋_GB2312" w:hint="eastAsia"/>
          <w:bCs/>
          <w:sz w:val="32"/>
          <w:szCs w:val="32"/>
        </w:rPr>
        <w:t>2024年部门工作完成质量较好。档案整理和保管方面，整理质量均达到优良；档案征集方面，经过专家鉴定认为外购资料符合入馆要求；档案资源开发和利用方面，展览服务活动举办得到了参观者的认可，得到了媒体的大量报道，获得公众好评；华北</w:t>
      </w:r>
      <w:r w:rsidR="004A16BE">
        <w:rPr>
          <w:rFonts w:ascii="仿宋_GB2312" w:eastAsia="仿宋_GB2312" w:hAnsi="仿宋_GB2312" w:cs="仿宋_GB2312" w:hint="eastAsia"/>
          <w:bCs/>
          <w:sz w:val="32"/>
          <w:szCs w:val="32"/>
        </w:rPr>
        <w:t>地区</w:t>
      </w:r>
      <w:r>
        <w:rPr>
          <w:rFonts w:ascii="仿宋_GB2312" w:eastAsia="仿宋_GB2312" w:hAnsi="仿宋_GB2312" w:cs="仿宋_GB2312" w:hint="eastAsia"/>
          <w:bCs/>
          <w:sz w:val="32"/>
          <w:szCs w:val="32"/>
        </w:rPr>
        <w:t>国家重点档案保护方面，培训质量较高，获得受训人员的好评。</w:t>
      </w:r>
    </w:p>
    <w:p w:rsidR="007070EF" w:rsidRDefault="00955420">
      <w:pPr>
        <w:widowControl/>
        <w:adjustRightInd w:val="0"/>
        <w:snapToGrid w:val="0"/>
        <w:spacing w:line="560" w:lineRule="exact"/>
        <w:ind w:firstLineChars="200" w:firstLine="640"/>
        <w:rPr>
          <w:rFonts w:ascii="仿宋_GB2312" w:eastAsia="仿宋_GB2312" w:hAnsi="仿宋_GB2312" w:cs="仿宋_GB2312"/>
          <w:bCs/>
          <w:sz w:val="32"/>
          <w:szCs w:val="32"/>
        </w:rPr>
      </w:pPr>
      <w:bookmarkStart w:id="21" w:name="_Toc102140645"/>
      <w:bookmarkStart w:id="22" w:name="_Toc102158226"/>
      <w:bookmarkEnd w:id="19"/>
      <w:bookmarkEnd w:id="20"/>
      <w:r>
        <w:rPr>
          <w:rFonts w:ascii="仿宋_GB2312" w:eastAsia="仿宋_GB2312" w:hAnsi="仿宋_GB2312" w:cs="仿宋_GB2312" w:hint="eastAsia"/>
          <w:bCs/>
          <w:sz w:val="32"/>
          <w:szCs w:val="32"/>
        </w:rPr>
        <w:t>3.产出进度</w:t>
      </w:r>
      <w:bookmarkEnd w:id="21"/>
      <w:bookmarkEnd w:id="22"/>
    </w:p>
    <w:p w:rsidR="007070EF" w:rsidRDefault="004A16BE" w:rsidP="004A16BE">
      <w:pPr>
        <w:widowControl/>
        <w:adjustRightInd w:val="0"/>
        <w:snapToGrid w:val="0"/>
        <w:spacing w:line="560" w:lineRule="exact"/>
        <w:ind w:firstLineChars="200" w:firstLine="640"/>
        <w:rPr>
          <w:rFonts w:ascii="仿宋_GB2312" w:eastAsia="仿宋_GB2312" w:hAnsi="仿宋_GB2312" w:cs="仿宋_GB2312"/>
          <w:bCs/>
          <w:sz w:val="32"/>
          <w:szCs w:val="32"/>
        </w:rPr>
      </w:pPr>
      <w:r w:rsidRPr="004A16BE">
        <w:rPr>
          <w:rFonts w:ascii="仿宋_GB2312" w:eastAsia="仿宋_GB2312" w:hAnsi="仿宋_GB2312" w:cs="仿宋_GB2312" w:hint="eastAsia"/>
          <w:bCs/>
          <w:sz w:val="32"/>
          <w:szCs w:val="32"/>
        </w:rPr>
        <w:t>2024年部门工作任务产出进度总体符合计划要求，仅个别工作受推进过程中不确定因素影响，进度稍有滞后</w:t>
      </w:r>
      <w:r>
        <w:rPr>
          <w:rFonts w:ascii="仿宋_GB2312" w:eastAsia="仿宋_GB2312" w:hAnsi="仿宋_GB2312" w:cs="仿宋_GB2312" w:hint="eastAsia"/>
          <w:bCs/>
          <w:sz w:val="32"/>
          <w:szCs w:val="32"/>
        </w:rPr>
        <w:t>。</w:t>
      </w:r>
    </w:p>
    <w:p w:rsidR="007070EF" w:rsidRDefault="00955420">
      <w:pPr>
        <w:widowControl/>
        <w:adjustRightInd w:val="0"/>
        <w:snapToGrid w:val="0"/>
        <w:spacing w:line="560" w:lineRule="exact"/>
        <w:ind w:firstLineChars="200" w:firstLine="640"/>
        <w:rPr>
          <w:rFonts w:ascii="仿宋_GB2312" w:eastAsia="仿宋_GB2312" w:hAnsi="仿宋_GB2312" w:cs="仿宋_GB2312"/>
          <w:bCs/>
          <w:sz w:val="32"/>
          <w:szCs w:val="32"/>
        </w:rPr>
      </w:pPr>
      <w:bookmarkStart w:id="23" w:name="_Toc72438587"/>
      <w:bookmarkStart w:id="24" w:name="_Toc102140646"/>
      <w:bookmarkStart w:id="25" w:name="_Toc72439008"/>
      <w:bookmarkStart w:id="26" w:name="_Toc102158227"/>
      <w:r>
        <w:rPr>
          <w:rFonts w:ascii="仿宋_GB2312" w:eastAsia="仿宋_GB2312" w:hAnsi="仿宋_GB2312" w:cs="仿宋_GB2312" w:hint="eastAsia"/>
          <w:bCs/>
          <w:sz w:val="32"/>
          <w:szCs w:val="32"/>
        </w:rPr>
        <w:t>4.产出成本</w:t>
      </w:r>
      <w:bookmarkEnd w:id="23"/>
      <w:bookmarkEnd w:id="24"/>
      <w:bookmarkEnd w:id="25"/>
      <w:bookmarkEnd w:id="26"/>
    </w:p>
    <w:p w:rsidR="007070EF" w:rsidRDefault="00955420">
      <w:pPr>
        <w:widowControl/>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lastRenderedPageBreak/>
        <w:t>总体上，市档案馆基本支出及各项目支出均控制在年度预算范围内，年度预算执行中，根据“厉行节约</w:t>
      </w:r>
      <w:r w:rsidR="00FE4F9D">
        <w:rPr>
          <w:rFonts w:ascii="仿宋_GB2312" w:eastAsia="仿宋_GB2312" w:hAnsi="仿宋_GB2312" w:cs="仿宋_GB2312"/>
          <w:bCs/>
          <w:sz w:val="32"/>
          <w:szCs w:val="32"/>
        </w:rPr>
        <w:t>,</w:t>
      </w:r>
      <w:r>
        <w:rPr>
          <w:rFonts w:ascii="仿宋_GB2312" w:eastAsia="仿宋_GB2312" w:hAnsi="仿宋_GB2312" w:cs="仿宋_GB2312" w:hint="eastAsia"/>
          <w:bCs/>
          <w:sz w:val="32"/>
          <w:szCs w:val="32"/>
        </w:rPr>
        <w:t>反对浪费”的原则，严格按照相关制度要求控制运行成本，以无纸化办公、物品循环再利用等方式降低成本支出，以公开招标、比选等竞争性采购方式节约财政资金，未出现单项成本明显高于市场价格的情况。</w:t>
      </w:r>
    </w:p>
    <w:p w:rsidR="007070EF" w:rsidRDefault="00955420">
      <w:pPr>
        <w:widowControl/>
        <w:adjustRightInd w:val="0"/>
        <w:snapToGrid w:val="0"/>
        <w:spacing w:line="560" w:lineRule="exact"/>
        <w:ind w:firstLineChars="200" w:firstLine="640"/>
        <w:rPr>
          <w:rFonts w:ascii="仿宋_GB2312" w:eastAsia="仿宋_GB2312" w:hAnsi="仿宋_GB2312" w:cs="仿宋_GB2312"/>
          <w:bCs/>
          <w:sz w:val="32"/>
          <w:szCs w:val="32"/>
        </w:rPr>
      </w:pPr>
      <w:bookmarkStart w:id="27" w:name="_Toc102158228"/>
      <w:r>
        <w:rPr>
          <w:rFonts w:ascii="仿宋_GB2312" w:eastAsia="仿宋_GB2312" w:hAnsi="仿宋_GB2312" w:cs="仿宋_GB2312" w:hint="eastAsia"/>
          <w:bCs/>
          <w:sz w:val="32"/>
          <w:szCs w:val="32"/>
        </w:rPr>
        <w:t>（二）效果实现情况分析</w:t>
      </w:r>
      <w:bookmarkEnd w:id="27"/>
    </w:p>
    <w:p w:rsidR="007070EF" w:rsidRDefault="00955420">
      <w:pPr>
        <w:widowControl/>
        <w:adjustRightInd w:val="0"/>
        <w:snapToGrid w:val="0"/>
        <w:spacing w:line="560" w:lineRule="exact"/>
        <w:ind w:firstLineChars="200" w:firstLine="640"/>
        <w:rPr>
          <w:rFonts w:eastAsia="仿宋_GB2312"/>
          <w:bCs/>
          <w:sz w:val="32"/>
          <w:szCs w:val="32"/>
        </w:rPr>
      </w:pPr>
      <w:bookmarkStart w:id="28" w:name="_Toc72438589"/>
      <w:bookmarkStart w:id="29" w:name="_Toc72439010"/>
      <w:bookmarkStart w:id="30" w:name="_Toc102140648"/>
      <w:bookmarkStart w:id="31" w:name="_Toc102158229"/>
      <w:r>
        <w:rPr>
          <w:rFonts w:ascii="仿宋_GB2312" w:eastAsia="仿宋_GB2312" w:hAnsi="仿宋_GB2312" w:cs="仿宋_GB2312" w:hint="eastAsia"/>
          <w:color w:val="000000"/>
          <w:kern w:val="0"/>
          <w:sz w:val="32"/>
          <w:szCs w:val="32"/>
        </w:rPr>
        <w:t>2024年度各项工作取得了显著成效，具体如下：</w:t>
      </w:r>
    </w:p>
    <w:p w:rsidR="007070EF" w:rsidRDefault="00955420">
      <w:pPr>
        <w:adjustRightInd w:val="0"/>
        <w:snapToGrid w:val="0"/>
        <w:spacing w:line="560" w:lineRule="exact"/>
        <w:ind w:firstLineChars="200" w:firstLine="643"/>
        <w:outlineLvl w:val="2"/>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1.服务大局精准有效。</w:t>
      </w:r>
      <w:r>
        <w:rPr>
          <w:rFonts w:ascii="仿宋_GB2312" w:eastAsia="仿宋_GB2312" w:hAnsi="宋体" w:cs="宋体" w:hint="eastAsia"/>
          <w:color w:val="000000"/>
          <w:kern w:val="0"/>
          <w:sz w:val="32"/>
          <w:szCs w:val="32"/>
        </w:rPr>
        <w:t>完成新中国成立75周年、中非合作论坛峰会等重大活动、对口支援档案的接收工作。与市档案局共同组织召开京津冀档案事业协同发展</w:t>
      </w:r>
      <w:r w:rsidR="009063CA">
        <w:rPr>
          <w:rFonts w:ascii="仿宋_GB2312" w:eastAsia="仿宋_GB2312" w:hAnsi="宋体" w:cs="宋体" w:hint="eastAsia"/>
          <w:color w:val="000000"/>
          <w:kern w:val="0"/>
          <w:sz w:val="32"/>
          <w:szCs w:val="32"/>
        </w:rPr>
        <w:t>会议</w:t>
      </w:r>
      <w:r>
        <w:rPr>
          <w:rFonts w:ascii="仿宋_GB2312" w:eastAsia="仿宋_GB2312" w:hAnsi="宋体" w:cs="宋体" w:hint="eastAsia"/>
          <w:color w:val="000000"/>
          <w:kern w:val="0"/>
          <w:sz w:val="32"/>
          <w:szCs w:val="32"/>
        </w:rPr>
        <w:t>，签署合作事项备忘录和民生档案共享利用协议。牵头召开京津冀档案宣传工作会，策划推出“聆听历史回响 传递档案声音”京津冀兰台读档活动和“十年京津冀 兰台翰墨香”编研成果联展，共同讲好燕赵大地的红色故事、历史故事。为迎接新中国成立75周年，推出“祝福祖国 筑梦前行——国庆彩车模型展”。为服务全国文化中心建设，推出“合院之城——北京古都文化档案史料展”。编辑出版《档案中的灾害防治》《民族融合·北京地区民族史料研究》史料专辑，为加强和改进自然灾害防范、抢险救灾和灾后恢复重建工作提供参考，为铸牢中华民族共同体意识提供历史凭证。</w:t>
      </w:r>
    </w:p>
    <w:p w:rsidR="007070EF" w:rsidRPr="007070EF" w:rsidRDefault="00955420">
      <w:pPr>
        <w:adjustRightInd w:val="0"/>
        <w:snapToGrid w:val="0"/>
        <w:spacing w:line="560" w:lineRule="exact"/>
        <w:ind w:firstLineChars="200" w:firstLine="643"/>
        <w:outlineLvl w:val="2"/>
        <w:rPr>
          <w:rFonts w:ascii="仿宋_GB2312" w:eastAsia="仿宋_GB2312" w:hAnsi="宋体" w:cs="宋体"/>
          <w:color w:val="000000"/>
          <w:kern w:val="0"/>
          <w:sz w:val="32"/>
          <w:szCs w:val="32"/>
          <w:highlight w:val="yellow"/>
        </w:rPr>
      </w:pPr>
      <w:r>
        <w:rPr>
          <w:rFonts w:ascii="仿宋_GB2312" w:eastAsia="仿宋_GB2312" w:hAnsi="宋体" w:cs="宋体" w:hint="eastAsia"/>
          <w:b/>
          <w:bCs/>
          <w:color w:val="000000"/>
          <w:kern w:val="0"/>
          <w:sz w:val="32"/>
          <w:szCs w:val="32"/>
        </w:rPr>
        <w:t>2.便民惠民突出提升群众获得感。</w:t>
      </w:r>
      <w:r>
        <w:rPr>
          <w:rFonts w:ascii="仿宋_GB2312" w:eastAsia="仿宋_GB2312" w:hAnsi="宋体" w:cs="宋体" w:hint="eastAsia"/>
          <w:color w:val="000000"/>
          <w:kern w:val="0"/>
          <w:sz w:val="32"/>
          <w:szCs w:val="32"/>
        </w:rPr>
        <w:t>对本馆展览深度开发，制作弘扬中华优秀传统文化的53集短视频。“游学堂”品牌活动持续升温，</w:t>
      </w:r>
      <w:r w:rsidR="00857E74" w:rsidRPr="00D5738D">
        <w:rPr>
          <w:rFonts w:ascii="仿宋_GB2312" w:eastAsia="仿宋_GB2312" w:hAnsi="宋体" w:cs="宋体"/>
          <w:color w:val="000000"/>
          <w:kern w:val="0"/>
          <w:sz w:val="32"/>
          <w:szCs w:val="32"/>
        </w:rPr>
        <w:t>“</w:t>
      </w:r>
      <w:r w:rsidR="00857E74" w:rsidRPr="00D5738D">
        <w:rPr>
          <w:rFonts w:ascii="仿宋_GB2312" w:eastAsia="仿宋_GB2312" w:hAnsi="宋体" w:cs="宋体"/>
          <w:color w:val="000000"/>
          <w:kern w:val="0"/>
          <w:sz w:val="32"/>
          <w:szCs w:val="32"/>
        </w:rPr>
        <w:t>游学堂</w:t>
      </w:r>
      <w:r w:rsidR="00857E74" w:rsidRPr="00D5738D">
        <w:rPr>
          <w:rFonts w:ascii="仿宋_GB2312" w:eastAsia="仿宋_GB2312" w:hAnsi="宋体" w:cs="宋体"/>
          <w:color w:val="000000"/>
          <w:kern w:val="0"/>
          <w:sz w:val="32"/>
          <w:szCs w:val="32"/>
        </w:rPr>
        <w:t>·</w:t>
      </w:r>
      <w:r w:rsidR="00857E74" w:rsidRPr="00D5738D">
        <w:rPr>
          <w:rFonts w:ascii="仿宋_GB2312" w:eastAsia="仿宋_GB2312" w:hAnsi="宋体" w:cs="宋体"/>
          <w:color w:val="000000"/>
          <w:kern w:val="0"/>
          <w:sz w:val="32"/>
          <w:szCs w:val="32"/>
        </w:rPr>
        <w:t>档案馆里读北京</w:t>
      </w:r>
      <w:r w:rsidR="00857E74" w:rsidRPr="00D5738D">
        <w:rPr>
          <w:rFonts w:ascii="仿宋_GB2312" w:eastAsia="仿宋_GB2312" w:hAnsi="宋体" w:cs="宋体"/>
          <w:color w:val="000000"/>
          <w:kern w:val="0"/>
          <w:sz w:val="32"/>
          <w:szCs w:val="32"/>
        </w:rPr>
        <w:t>”</w:t>
      </w:r>
      <w:r w:rsidR="00857E74" w:rsidRPr="00D5738D">
        <w:rPr>
          <w:rFonts w:ascii="仿宋_GB2312" w:eastAsia="仿宋_GB2312" w:hAnsi="宋体" w:cs="宋体"/>
          <w:color w:val="000000"/>
          <w:kern w:val="0"/>
          <w:sz w:val="32"/>
          <w:szCs w:val="32"/>
        </w:rPr>
        <w:t>入围中国档案学</w:t>
      </w:r>
      <w:r w:rsidR="00857E74" w:rsidRPr="00D5738D">
        <w:rPr>
          <w:rFonts w:ascii="仿宋_GB2312" w:eastAsia="仿宋_GB2312" w:hAnsi="宋体" w:cs="宋体"/>
          <w:color w:val="000000"/>
          <w:kern w:val="0"/>
          <w:sz w:val="32"/>
          <w:szCs w:val="32"/>
        </w:rPr>
        <w:lastRenderedPageBreak/>
        <w:t>会新时代档案文化建设年度优秀案例。</w:t>
      </w:r>
    </w:p>
    <w:p w:rsidR="007070EF" w:rsidRDefault="00955420">
      <w:pPr>
        <w:adjustRightInd w:val="0"/>
        <w:snapToGrid w:val="0"/>
        <w:spacing w:line="560" w:lineRule="exact"/>
        <w:ind w:firstLineChars="200" w:firstLine="643"/>
        <w:outlineLvl w:val="2"/>
        <w:rPr>
          <w:rFonts w:ascii="仿宋_GB2312" w:eastAsia="仿宋_GB2312" w:hAnsi="宋体" w:cs="宋体"/>
          <w:color w:val="000000"/>
          <w:kern w:val="0"/>
          <w:sz w:val="32"/>
          <w:szCs w:val="32"/>
        </w:rPr>
      </w:pPr>
      <w:r>
        <w:rPr>
          <w:rFonts w:ascii="仿宋_GB2312" w:eastAsia="仿宋_GB2312" w:hAnsi="宋体" w:cs="宋体" w:hint="eastAsia"/>
          <w:b/>
          <w:bCs/>
          <w:color w:val="000000"/>
          <w:kern w:val="0"/>
          <w:sz w:val="32"/>
          <w:szCs w:val="32"/>
        </w:rPr>
        <w:t>3.以首善标准推进业务建设更好更强。</w:t>
      </w:r>
      <w:r>
        <w:rPr>
          <w:rFonts w:ascii="仿宋_GB2312" w:eastAsia="仿宋_GB2312" w:hAnsi="宋体" w:cs="宋体" w:hint="eastAsia"/>
          <w:color w:val="000000"/>
          <w:kern w:val="0"/>
          <w:sz w:val="32"/>
          <w:szCs w:val="32"/>
        </w:rPr>
        <w:t>印发《</w:t>
      </w:r>
      <w:r w:rsidR="009063CA">
        <w:rPr>
          <w:rFonts w:ascii="仿宋_GB2312" w:eastAsia="仿宋_GB2312" w:hAnsi="宋体" w:cs="宋体" w:hint="eastAsia"/>
          <w:color w:val="000000"/>
          <w:kern w:val="0"/>
          <w:sz w:val="32"/>
          <w:szCs w:val="32"/>
        </w:rPr>
        <w:t>北京市档案馆</w:t>
      </w:r>
      <w:r>
        <w:rPr>
          <w:rFonts w:ascii="仿宋_GB2312" w:eastAsia="仿宋_GB2312" w:hAnsi="宋体" w:cs="宋体" w:hint="eastAsia"/>
          <w:color w:val="000000"/>
          <w:kern w:val="0"/>
          <w:sz w:val="32"/>
          <w:szCs w:val="32"/>
        </w:rPr>
        <w:t>接收档案工作规范》。完成41家市属单位档案接收</w:t>
      </w:r>
      <w:r w:rsidR="009063CA">
        <w:rPr>
          <w:rFonts w:ascii="仿宋_GB2312" w:eastAsia="仿宋_GB2312" w:hAnsi="宋体" w:cs="宋体" w:hint="eastAsia"/>
          <w:color w:val="000000"/>
          <w:kern w:val="0"/>
          <w:sz w:val="32"/>
          <w:szCs w:val="32"/>
        </w:rPr>
        <w:t>10</w:t>
      </w:r>
      <w:r>
        <w:rPr>
          <w:rFonts w:ascii="仿宋_GB2312" w:eastAsia="仿宋_GB2312" w:hAnsi="宋体" w:cs="宋体" w:hint="eastAsia"/>
          <w:color w:val="000000"/>
          <w:kern w:val="0"/>
          <w:sz w:val="32"/>
          <w:szCs w:val="32"/>
        </w:rPr>
        <w:t>万</w:t>
      </w:r>
      <w:r w:rsidR="009063CA">
        <w:rPr>
          <w:rFonts w:ascii="仿宋_GB2312" w:eastAsia="仿宋_GB2312" w:hAnsi="宋体" w:cs="宋体" w:hint="eastAsia"/>
          <w:color w:val="000000"/>
          <w:kern w:val="0"/>
          <w:sz w:val="32"/>
          <w:szCs w:val="32"/>
        </w:rPr>
        <w:t>余</w:t>
      </w:r>
      <w:r>
        <w:rPr>
          <w:rFonts w:ascii="仿宋_GB2312" w:eastAsia="仿宋_GB2312" w:hAnsi="宋体" w:cs="宋体" w:hint="eastAsia"/>
          <w:color w:val="000000"/>
          <w:kern w:val="0"/>
          <w:sz w:val="32"/>
          <w:szCs w:val="32"/>
        </w:rPr>
        <w:t>件，征集到国庆庆典档案、著名京剧表演艺术家李玉芙先生档案等各类珍贵档案资料4100余件，馆藏档案增至316.5万卷件。建成“双重”档案专库，馆藏10万余卷件重大活动、重特大事件档案实现集中保管。组织召开华北地区国家重点档案保护中心会</w:t>
      </w:r>
      <w:r w:rsidR="00FC6662">
        <w:rPr>
          <w:rFonts w:ascii="仿宋_GB2312" w:eastAsia="仿宋_GB2312" w:hAnsi="宋体" w:cs="宋体" w:hint="eastAsia"/>
          <w:color w:val="000000"/>
          <w:kern w:val="0"/>
          <w:sz w:val="32"/>
          <w:szCs w:val="32"/>
        </w:rPr>
        <w:t>议</w:t>
      </w:r>
      <w:r>
        <w:rPr>
          <w:rFonts w:ascii="仿宋_GB2312" w:eastAsia="仿宋_GB2312" w:hAnsi="宋体" w:cs="宋体" w:hint="eastAsia"/>
          <w:color w:val="000000"/>
          <w:kern w:val="0"/>
          <w:sz w:val="32"/>
          <w:szCs w:val="32"/>
        </w:rPr>
        <w:t>，举办诰命档案修复等</w:t>
      </w:r>
      <w:r w:rsidR="009063CA">
        <w:rPr>
          <w:rFonts w:ascii="仿宋_GB2312" w:eastAsia="仿宋_GB2312" w:hAnsi="宋体" w:cs="宋体" w:hint="eastAsia"/>
          <w:color w:val="000000"/>
          <w:kern w:val="0"/>
          <w:sz w:val="32"/>
          <w:szCs w:val="32"/>
        </w:rPr>
        <w:t>4</w:t>
      </w:r>
      <w:r>
        <w:rPr>
          <w:rFonts w:ascii="仿宋_GB2312" w:eastAsia="仿宋_GB2312" w:hAnsi="宋体" w:cs="宋体" w:hint="eastAsia"/>
          <w:color w:val="000000"/>
          <w:kern w:val="0"/>
          <w:sz w:val="32"/>
          <w:szCs w:val="32"/>
        </w:rPr>
        <w:t>期培训班，促进区域内档案保护资源整合共享。全年开放近3万件档案，最大程度满足社会各界的利用需求。</w:t>
      </w:r>
    </w:p>
    <w:p w:rsidR="007070EF" w:rsidRDefault="00955420">
      <w:pPr>
        <w:adjustRightInd w:val="0"/>
        <w:snapToGrid w:val="0"/>
        <w:spacing w:line="560" w:lineRule="exact"/>
        <w:ind w:firstLineChars="200" w:firstLine="643"/>
        <w:outlineLvl w:val="2"/>
        <w:rPr>
          <w:rFonts w:ascii="仿宋_GB2312" w:eastAsia="仿宋_GB2312" w:hAnsi="宋体" w:cs="宋体"/>
          <w:color w:val="000000"/>
          <w:kern w:val="0"/>
          <w:sz w:val="32"/>
          <w:szCs w:val="32"/>
        </w:rPr>
      </w:pPr>
      <w:r>
        <w:rPr>
          <w:rFonts w:ascii="仿宋_GB2312" w:eastAsia="仿宋_GB2312" w:hAnsi="宋体" w:cs="宋体" w:hint="eastAsia"/>
          <w:b/>
          <w:bCs/>
          <w:color w:val="000000"/>
          <w:kern w:val="0"/>
          <w:sz w:val="32"/>
          <w:szCs w:val="32"/>
        </w:rPr>
        <w:t>4.档案信息化建设实现新突破</w:t>
      </w:r>
      <w:r>
        <w:rPr>
          <w:rFonts w:ascii="仿宋_GB2312" w:eastAsia="仿宋_GB2312" w:hAnsi="宋体" w:cs="宋体" w:hint="eastAsia"/>
          <w:color w:val="000000"/>
          <w:kern w:val="0"/>
          <w:sz w:val="32"/>
          <w:szCs w:val="32"/>
        </w:rPr>
        <w:t>。研究制定《智慧档案应用方案》。电子文件归档系统研究课题获得优秀科技成果一等奖，推动档案工作迭代升级。在数字档案馆系统中开发档案目录提前审核功能，强化档案资源质量源头管控。在市属单位中推广应用“移交进馆、开放审核和查阅利用”三个远程在线档案应用场景。</w:t>
      </w:r>
    </w:p>
    <w:p w:rsidR="007070EF" w:rsidRDefault="00955420">
      <w:pPr>
        <w:adjustRightInd w:val="0"/>
        <w:snapToGrid w:val="0"/>
        <w:spacing w:line="560" w:lineRule="exact"/>
        <w:ind w:firstLineChars="200" w:firstLine="643"/>
        <w:outlineLvl w:val="2"/>
        <w:rPr>
          <w:rFonts w:ascii="仿宋_GB2312" w:eastAsia="仿宋_GB2312" w:hAnsi="宋体" w:cs="宋体"/>
          <w:color w:val="000000"/>
          <w:kern w:val="0"/>
          <w:sz w:val="32"/>
          <w:szCs w:val="32"/>
        </w:rPr>
      </w:pPr>
      <w:r>
        <w:rPr>
          <w:rFonts w:ascii="仿宋_GB2312" w:eastAsia="仿宋_GB2312" w:hAnsi="宋体" w:cs="宋体" w:hint="eastAsia"/>
          <w:b/>
          <w:bCs/>
          <w:color w:val="000000"/>
          <w:kern w:val="0"/>
          <w:sz w:val="32"/>
          <w:szCs w:val="32"/>
        </w:rPr>
        <w:t>5.档案声音广泛传播</w:t>
      </w:r>
      <w:r>
        <w:rPr>
          <w:rFonts w:ascii="仿宋_GB2312" w:eastAsia="仿宋_GB2312" w:hAnsi="宋体" w:cs="宋体" w:hint="eastAsia"/>
          <w:color w:val="000000"/>
          <w:kern w:val="0"/>
          <w:sz w:val="32"/>
          <w:szCs w:val="32"/>
        </w:rPr>
        <w:t>。国际档案日推出“走进档案 相约兰台”等八大类14项活动，吸引近万名观众现场参与，媒体发布活动稿件200余篇。参与“我为档案工作献一策”活动，荣获最佳组织奖。开通馆视频号，播放短视频95集，观看量超10万人次。</w:t>
      </w:r>
    </w:p>
    <w:p w:rsidR="007070EF" w:rsidRDefault="00955420">
      <w:pPr>
        <w:widowControl/>
        <w:adjustRightInd w:val="0"/>
        <w:snapToGrid w:val="0"/>
        <w:spacing w:line="560" w:lineRule="exact"/>
        <w:ind w:firstLineChars="200" w:firstLine="643"/>
        <w:rPr>
          <w:rFonts w:eastAsia="仿宋_GB2312"/>
          <w:b/>
          <w:bCs/>
          <w:sz w:val="32"/>
          <w:szCs w:val="32"/>
        </w:rPr>
      </w:pPr>
      <w:r>
        <w:rPr>
          <w:rFonts w:eastAsia="仿宋_GB2312" w:hint="eastAsia"/>
          <w:b/>
          <w:bCs/>
          <w:sz w:val="32"/>
          <w:szCs w:val="32"/>
        </w:rPr>
        <w:t>6.</w:t>
      </w:r>
      <w:bookmarkStart w:id="32" w:name="_Toc72438590"/>
      <w:bookmarkStart w:id="33" w:name="_Toc102140649"/>
      <w:bookmarkStart w:id="34" w:name="_Toc102158230"/>
      <w:bookmarkStart w:id="35" w:name="_Toc72439011"/>
      <w:bookmarkEnd w:id="28"/>
      <w:bookmarkEnd w:id="29"/>
      <w:bookmarkEnd w:id="30"/>
      <w:bookmarkEnd w:id="31"/>
      <w:r>
        <w:rPr>
          <w:rFonts w:eastAsia="仿宋_GB2312"/>
          <w:b/>
          <w:bCs/>
          <w:sz w:val="32"/>
          <w:szCs w:val="32"/>
        </w:rPr>
        <w:t>服务对象满意度</w:t>
      </w:r>
      <w:bookmarkEnd w:id="32"/>
      <w:bookmarkEnd w:id="33"/>
      <w:bookmarkEnd w:id="34"/>
      <w:bookmarkEnd w:id="35"/>
    </w:p>
    <w:p w:rsidR="007070EF" w:rsidRDefault="00955420">
      <w:pPr>
        <w:adjustRightInd w:val="0"/>
        <w:snapToGrid w:val="0"/>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经调研了解，社会各界观展人员、档案调阅人员等对市档案馆2024年度工作未提出不满意情况，满意度为90%以上。</w:t>
      </w:r>
    </w:p>
    <w:p w:rsidR="007070EF" w:rsidRDefault="00955420">
      <w:pPr>
        <w:adjustRightInd w:val="0"/>
        <w:snapToGrid w:val="0"/>
        <w:spacing w:line="560" w:lineRule="exact"/>
        <w:ind w:firstLineChars="200" w:firstLine="640"/>
        <w:jc w:val="left"/>
        <w:outlineLvl w:val="0"/>
        <w:rPr>
          <w:rFonts w:eastAsia="黑体"/>
          <w:sz w:val="32"/>
          <w:szCs w:val="32"/>
        </w:rPr>
      </w:pPr>
      <w:bookmarkStart w:id="36" w:name="_Toc102158231"/>
      <w:r>
        <w:rPr>
          <w:rFonts w:eastAsia="黑体"/>
          <w:sz w:val="32"/>
          <w:szCs w:val="32"/>
        </w:rPr>
        <w:lastRenderedPageBreak/>
        <w:t>四、预算管理情况</w:t>
      </w:r>
      <w:bookmarkEnd w:id="36"/>
      <w:r>
        <w:rPr>
          <w:rFonts w:eastAsia="黑体" w:hint="eastAsia"/>
          <w:sz w:val="32"/>
          <w:szCs w:val="32"/>
        </w:rPr>
        <w:t>分析</w:t>
      </w:r>
    </w:p>
    <w:p w:rsidR="007070EF" w:rsidRDefault="00955420">
      <w:pPr>
        <w:adjustRightInd w:val="0"/>
        <w:snapToGrid w:val="0"/>
        <w:spacing w:line="560" w:lineRule="exact"/>
        <w:ind w:firstLineChars="200" w:firstLine="640"/>
        <w:outlineLvl w:val="1"/>
        <w:rPr>
          <w:rFonts w:eastAsia="楷体"/>
          <w:sz w:val="32"/>
          <w:szCs w:val="32"/>
        </w:rPr>
      </w:pPr>
      <w:bookmarkStart w:id="37" w:name="_Toc102158232"/>
      <w:r>
        <w:rPr>
          <w:rFonts w:eastAsia="楷体"/>
          <w:sz w:val="32"/>
          <w:szCs w:val="32"/>
        </w:rPr>
        <w:t>（一）财务管理</w:t>
      </w:r>
      <w:bookmarkEnd w:id="37"/>
    </w:p>
    <w:p w:rsidR="007070EF" w:rsidRDefault="00955420">
      <w:pPr>
        <w:adjustRightInd w:val="0"/>
        <w:snapToGrid w:val="0"/>
        <w:spacing w:line="560" w:lineRule="exact"/>
        <w:ind w:firstLineChars="200" w:firstLine="640"/>
        <w:jc w:val="left"/>
        <w:outlineLvl w:val="2"/>
        <w:rPr>
          <w:rFonts w:eastAsia="仿宋_GB2312"/>
          <w:sz w:val="32"/>
          <w:szCs w:val="32"/>
        </w:rPr>
      </w:pPr>
      <w:bookmarkStart w:id="38" w:name="_Toc72438593"/>
      <w:bookmarkStart w:id="39" w:name="_Toc102140652"/>
      <w:bookmarkStart w:id="40" w:name="_Toc72439014"/>
      <w:bookmarkStart w:id="41" w:name="_Toc102158233"/>
      <w:r>
        <w:rPr>
          <w:rFonts w:eastAsia="仿宋_GB2312"/>
          <w:sz w:val="32"/>
          <w:szCs w:val="32"/>
        </w:rPr>
        <w:t>1.</w:t>
      </w:r>
      <w:r>
        <w:rPr>
          <w:rFonts w:eastAsia="仿宋_GB2312"/>
          <w:sz w:val="32"/>
          <w:szCs w:val="32"/>
        </w:rPr>
        <w:t>财务管理制度健全性</w:t>
      </w:r>
      <w:bookmarkEnd w:id="38"/>
      <w:bookmarkEnd w:id="39"/>
      <w:bookmarkEnd w:id="40"/>
      <w:bookmarkEnd w:id="41"/>
    </w:p>
    <w:p w:rsidR="007070EF" w:rsidRDefault="00955420">
      <w:pPr>
        <w:adjustRightInd w:val="0"/>
        <w:snapToGrid w:val="0"/>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根据《行政事业内部控制规范（试行）》以及相关要求，市档案馆结合单位实际情况，全面梳理单位经济活动，制定了《北京市档案馆内部控制手册（试行）》，以制度形式明确了单位预算管理、绩效跟踪管理、资产管理、收支管理、会计核算等方面要求。总体上，财务管理制度较为健全。</w:t>
      </w:r>
    </w:p>
    <w:p w:rsidR="007070EF" w:rsidRDefault="00955420">
      <w:pPr>
        <w:adjustRightInd w:val="0"/>
        <w:snapToGrid w:val="0"/>
        <w:spacing w:line="560" w:lineRule="exact"/>
        <w:ind w:firstLineChars="200" w:firstLine="643"/>
        <w:rPr>
          <w:rFonts w:ascii="仿宋_GB2312" w:eastAsia="仿宋_GB2312" w:hAnsi="宋体" w:cs="宋体"/>
          <w:color w:val="000000"/>
          <w:kern w:val="0"/>
          <w:sz w:val="32"/>
          <w:szCs w:val="32"/>
        </w:rPr>
      </w:pPr>
      <w:r>
        <w:rPr>
          <w:rFonts w:ascii="仿宋_GB2312" w:eastAsia="仿宋_GB2312" w:hAnsi="仿宋_GB2312" w:cs="仿宋_GB2312" w:hint="eastAsia"/>
          <w:b/>
          <w:bCs/>
          <w:color w:val="000000"/>
          <w:kern w:val="0"/>
          <w:sz w:val="32"/>
          <w:szCs w:val="32"/>
        </w:rPr>
        <w:t>预算管理方面。</w:t>
      </w:r>
      <w:r>
        <w:rPr>
          <w:rFonts w:ascii="仿宋_GB2312" w:eastAsia="仿宋_GB2312" w:hAnsi="仿宋_GB2312" w:cs="仿宋_GB2312" w:hint="eastAsia"/>
          <w:color w:val="000000"/>
          <w:kern w:val="0"/>
          <w:sz w:val="32"/>
          <w:szCs w:val="32"/>
        </w:rPr>
        <w:t>制定了《北京市档案馆预算管理办法》，对预算管理职责、预算编制、预算执行与分析、预算调整、决算与评价等提出</w:t>
      </w:r>
      <w:r>
        <w:rPr>
          <w:rFonts w:ascii="仿宋_GB2312" w:eastAsia="仿宋_GB2312" w:hAnsi="宋体" w:cs="宋体" w:hint="eastAsia"/>
          <w:color w:val="000000"/>
          <w:kern w:val="0"/>
          <w:sz w:val="32"/>
          <w:szCs w:val="32"/>
        </w:rPr>
        <w:t>了具体要求。</w:t>
      </w:r>
    </w:p>
    <w:p w:rsidR="007070EF" w:rsidRDefault="00955420">
      <w:pPr>
        <w:adjustRightInd w:val="0"/>
        <w:snapToGrid w:val="0"/>
        <w:spacing w:line="560" w:lineRule="exact"/>
        <w:ind w:firstLineChars="200" w:firstLine="643"/>
        <w:rPr>
          <w:rFonts w:ascii="仿宋_GB2312" w:eastAsia="仿宋_GB2312" w:hAnsi="宋体" w:cs="宋体"/>
          <w:color w:val="000000"/>
          <w:kern w:val="0"/>
          <w:sz w:val="32"/>
          <w:szCs w:val="32"/>
        </w:rPr>
      </w:pPr>
      <w:r>
        <w:rPr>
          <w:rFonts w:ascii="仿宋_GB2312" w:eastAsia="仿宋_GB2312" w:hAnsi="宋体" w:cs="宋体" w:hint="eastAsia"/>
          <w:b/>
          <w:bCs/>
          <w:color w:val="000000"/>
          <w:kern w:val="0"/>
          <w:sz w:val="32"/>
          <w:szCs w:val="32"/>
        </w:rPr>
        <w:t>绩效跟踪管理方面。</w:t>
      </w:r>
      <w:r>
        <w:rPr>
          <w:rFonts w:ascii="仿宋_GB2312" w:eastAsia="仿宋_GB2312" w:hAnsi="宋体" w:cs="宋体" w:hint="eastAsia"/>
          <w:color w:val="000000"/>
          <w:kern w:val="0"/>
          <w:sz w:val="32"/>
          <w:szCs w:val="32"/>
        </w:rPr>
        <w:t>主要根据预算资金管理工作流程、</w:t>
      </w:r>
      <w:r>
        <w:rPr>
          <w:rFonts w:ascii="仿宋_GB2312" w:eastAsia="仿宋_GB2312" w:hAnsi="仿宋_GB2312" w:cs="仿宋_GB2312" w:hint="eastAsia"/>
          <w:color w:val="000000"/>
          <w:kern w:val="0"/>
          <w:sz w:val="32"/>
          <w:szCs w:val="32"/>
        </w:rPr>
        <w:t>《北京市档案馆预算绩效管理实施细则》</w:t>
      </w:r>
      <w:r>
        <w:rPr>
          <w:rFonts w:ascii="仿宋_GB2312" w:eastAsia="仿宋_GB2312" w:hAnsi="宋体" w:cs="宋体" w:hint="eastAsia"/>
          <w:color w:val="000000"/>
          <w:kern w:val="0"/>
          <w:sz w:val="32"/>
          <w:szCs w:val="32"/>
        </w:rPr>
        <w:t>中关于绩效评价、绩效管理等方面的管理要求，按照《北京市预算绩效管理办法》《北京市市级财政支出事前绩效评估管理办法》《北京市预算绩效目标管理办法》《北京市市级部门预算绩效运行监控管理办法》《北京市项目支出绩效评价管理办法》《北京市市级财政支出成本预算绩效分析操作流程》等制度文件执行。</w:t>
      </w:r>
    </w:p>
    <w:p w:rsidR="007070EF" w:rsidRDefault="00955420">
      <w:pPr>
        <w:adjustRightInd w:val="0"/>
        <w:snapToGrid w:val="0"/>
        <w:spacing w:line="560" w:lineRule="exact"/>
        <w:ind w:firstLineChars="200" w:firstLine="643"/>
        <w:rPr>
          <w:rFonts w:ascii="仿宋_GB2312" w:eastAsia="仿宋_GB2312" w:hAnsi="宋体" w:cs="宋体"/>
          <w:color w:val="000000"/>
          <w:kern w:val="0"/>
          <w:sz w:val="32"/>
          <w:szCs w:val="32"/>
        </w:rPr>
      </w:pPr>
      <w:r>
        <w:rPr>
          <w:rFonts w:ascii="仿宋_GB2312" w:eastAsia="仿宋_GB2312" w:hAnsi="宋体" w:cs="宋体" w:hint="eastAsia"/>
          <w:b/>
          <w:bCs/>
          <w:color w:val="000000"/>
          <w:kern w:val="0"/>
          <w:sz w:val="32"/>
          <w:szCs w:val="32"/>
        </w:rPr>
        <w:t>资产管理方面。</w:t>
      </w:r>
      <w:r>
        <w:rPr>
          <w:rFonts w:ascii="仿宋_GB2312" w:eastAsia="仿宋_GB2312" w:hAnsi="宋体" w:cs="宋体" w:hint="eastAsia"/>
          <w:color w:val="000000"/>
          <w:kern w:val="0"/>
          <w:sz w:val="32"/>
          <w:szCs w:val="32"/>
        </w:rPr>
        <w:t>制定了《北京市档案馆固定资产管理办法》，对固定资产的范围及分类、管理机构和职责、固定资产的增加、领用、日常管理和处置等方面提出了具体要求。同时制定了《北京市档案馆办公用品（耗材）管理办法》《北京市档案馆货币资金管理办法》等系列实物资产管理制度，为各方面实物资产的管理提供了明确依据。</w:t>
      </w:r>
    </w:p>
    <w:p w:rsidR="007070EF" w:rsidRDefault="00955420">
      <w:pPr>
        <w:adjustRightInd w:val="0"/>
        <w:snapToGrid w:val="0"/>
        <w:spacing w:line="560" w:lineRule="exact"/>
        <w:ind w:firstLineChars="200" w:firstLine="643"/>
        <w:rPr>
          <w:rFonts w:eastAsia="仿宋_GB2312"/>
          <w:sz w:val="32"/>
          <w:szCs w:val="32"/>
        </w:rPr>
      </w:pPr>
      <w:r>
        <w:rPr>
          <w:rFonts w:ascii="仿宋_GB2312" w:eastAsia="仿宋_GB2312" w:hAnsi="宋体" w:cs="宋体" w:hint="eastAsia"/>
          <w:b/>
          <w:bCs/>
          <w:color w:val="000000"/>
          <w:kern w:val="0"/>
          <w:sz w:val="32"/>
          <w:szCs w:val="32"/>
        </w:rPr>
        <w:lastRenderedPageBreak/>
        <w:t>财务及资金管理方面。</w:t>
      </w:r>
      <w:r>
        <w:rPr>
          <w:rFonts w:ascii="仿宋_GB2312" w:eastAsia="仿宋_GB2312" w:hAnsi="宋体" w:cs="宋体" w:hint="eastAsia"/>
          <w:color w:val="000000"/>
          <w:kern w:val="0"/>
          <w:sz w:val="32"/>
          <w:szCs w:val="32"/>
        </w:rPr>
        <w:t>制定了《北京市档案馆政府采购管理办法》《北京市档案馆合同管理办法》《北京市档案馆资金使用审批管理办法》《北京市档案馆差旅费管理办法》《北京市档案馆公务卡管理办法》等管理制度，为财务管理工作提供了明确依据。</w:t>
      </w:r>
    </w:p>
    <w:p w:rsidR="007070EF" w:rsidRDefault="00955420">
      <w:pPr>
        <w:adjustRightInd w:val="0"/>
        <w:snapToGrid w:val="0"/>
        <w:spacing w:line="560" w:lineRule="exact"/>
        <w:ind w:firstLineChars="200" w:firstLine="640"/>
        <w:jc w:val="left"/>
        <w:outlineLvl w:val="2"/>
        <w:rPr>
          <w:rFonts w:eastAsia="仿宋_GB2312"/>
          <w:sz w:val="32"/>
          <w:szCs w:val="32"/>
        </w:rPr>
      </w:pPr>
      <w:bookmarkStart w:id="42" w:name="_Toc102158234"/>
      <w:bookmarkStart w:id="43" w:name="_Toc102140653"/>
      <w:bookmarkStart w:id="44" w:name="_Toc72439015"/>
      <w:bookmarkStart w:id="45" w:name="_Toc72438594"/>
      <w:r>
        <w:rPr>
          <w:rFonts w:eastAsia="仿宋_GB2312"/>
          <w:sz w:val="32"/>
          <w:szCs w:val="32"/>
        </w:rPr>
        <w:t>2.</w:t>
      </w:r>
      <w:r>
        <w:rPr>
          <w:rFonts w:eastAsia="仿宋_GB2312"/>
          <w:sz w:val="32"/>
          <w:szCs w:val="32"/>
        </w:rPr>
        <w:t>资金使用合规和安全性</w:t>
      </w:r>
      <w:bookmarkEnd w:id="42"/>
      <w:bookmarkEnd w:id="43"/>
      <w:bookmarkEnd w:id="44"/>
      <w:bookmarkEnd w:id="45"/>
    </w:p>
    <w:p w:rsidR="007070EF" w:rsidRDefault="00955420">
      <w:pPr>
        <w:adjustRightInd w:val="0"/>
        <w:snapToGrid w:val="0"/>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严格按照《北京市档案馆资金使用审批管理办法》的相关规定使用和支出资金。申请使用资金时，须经财务部门签署资金审核意见，依审批权限报馆领导审批。</w:t>
      </w:r>
    </w:p>
    <w:p w:rsidR="007070EF" w:rsidRDefault="00955420">
      <w:pPr>
        <w:adjustRightInd w:val="0"/>
        <w:snapToGrid w:val="0"/>
        <w:spacing w:line="560" w:lineRule="exact"/>
        <w:ind w:firstLineChars="200" w:firstLine="640"/>
        <w:rPr>
          <w:rFonts w:eastAsia="仿宋_GB2312"/>
          <w:sz w:val="32"/>
          <w:szCs w:val="32"/>
        </w:rPr>
      </w:pPr>
      <w:r>
        <w:rPr>
          <w:rFonts w:ascii="仿宋_GB2312" w:eastAsia="仿宋_GB2312" w:hAnsi="宋体" w:cs="宋体" w:hint="eastAsia"/>
          <w:color w:val="000000"/>
          <w:kern w:val="0"/>
          <w:sz w:val="32"/>
          <w:szCs w:val="32"/>
        </w:rPr>
        <w:t>2024年度资金拨付均履行了完整的审批程序和手续，资金支出方向与部门预算批复用途基本一致，不存在截留、挤占、挪用的情况，资金使用符合政府采购程序与流程，符合公务卡结算相关制度和规定。</w:t>
      </w:r>
    </w:p>
    <w:p w:rsidR="007070EF" w:rsidRDefault="00955420">
      <w:pPr>
        <w:spacing w:line="600" w:lineRule="exact"/>
        <w:ind w:firstLine="709"/>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3.</w:t>
      </w:r>
      <w:r>
        <w:rPr>
          <w:rFonts w:ascii="仿宋_GB2312" w:eastAsia="仿宋_GB2312" w:hAnsi="宋体" w:cs="宋体" w:hint="eastAsia"/>
          <w:color w:val="000000"/>
          <w:kern w:val="0"/>
          <w:sz w:val="32"/>
          <w:szCs w:val="32"/>
        </w:rPr>
        <w:t>会计</w:t>
      </w:r>
      <w:r>
        <w:rPr>
          <w:rFonts w:ascii="仿宋_GB2312" w:eastAsia="仿宋_GB2312" w:hAnsi="宋体" w:cs="宋体"/>
          <w:color w:val="000000"/>
          <w:kern w:val="0"/>
          <w:sz w:val="32"/>
          <w:szCs w:val="32"/>
        </w:rPr>
        <w:t>基础信息完善性</w:t>
      </w:r>
    </w:p>
    <w:p w:rsidR="007070EF" w:rsidRDefault="00955420">
      <w:pPr>
        <w:adjustRightInd w:val="0"/>
        <w:snapToGrid w:val="0"/>
        <w:spacing w:line="560" w:lineRule="exact"/>
        <w:ind w:firstLineChars="200" w:firstLine="640"/>
        <w:jc w:val="left"/>
        <w:outlineLvl w:val="2"/>
        <w:rPr>
          <w:rFonts w:eastAsia="仿宋_GB2312"/>
          <w:sz w:val="32"/>
          <w:szCs w:val="32"/>
        </w:rPr>
      </w:pPr>
      <w:r>
        <w:rPr>
          <w:rFonts w:eastAsia="仿宋_GB2312" w:hint="eastAsia"/>
          <w:sz w:val="32"/>
          <w:szCs w:val="32"/>
        </w:rPr>
        <w:t>严格按照《中华人民共和国会计法》《中华人民共和国预算法》《政府会计准则——基本准则》《政府会计制度》等要求，对发生的各项经济业务或事项进行会计核算，具备财务会计与预算会计双重功能。</w:t>
      </w:r>
    </w:p>
    <w:p w:rsidR="007070EF" w:rsidRDefault="00955420">
      <w:pPr>
        <w:adjustRightInd w:val="0"/>
        <w:snapToGrid w:val="0"/>
        <w:spacing w:line="560" w:lineRule="exact"/>
        <w:ind w:firstLineChars="200" w:firstLine="640"/>
        <w:jc w:val="left"/>
        <w:outlineLvl w:val="2"/>
        <w:rPr>
          <w:rFonts w:eastAsia="仿宋_GB2312"/>
          <w:sz w:val="32"/>
          <w:szCs w:val="32"/>
        </w:rPr>
      </w:pPr>
      <w:r>
        <w:rPr>
          <w:rFonts w:eastAsia="仿宋_GB2312" w:hint="eastAsia"/>
          <w:sz w:val="32"/>
          <w:szCs w:val="32"/>
        </w:rPr>
        <w:t>根据开展行政事业单位内部控制报告编制的有关要求，经自查，部门六个业务板块所涉及的基础数据信息和会计信息真实、完整、准确、及时。</w:t>
      </w:r>
    </w:p>
    <w:p w:rsidR="007070EF" w:rsidRDefault="00955420">
      <w:pPr>
        <w:adjustRightInd w:val="0"/>
        <w:snapToGrid w:val="0"/>
        <w:spacing w:line="560" w:lineRule="exact"/>
        <w:ind w:firstLineChars="200" w:firstLine="640"/>
        <w:outlineLvl w:val="1"/>
        <w:rPr>
          <w:rFonts w:eastAsia="楷体"/>
          <w:sz w:val="32"/>
          <w:szCs w:val="32"/>
        </w:rPr>
      </w:pPr>
      <w:bookmarkStart w:id="46" w:name="_Toc102158235"/>
      <w:r>
        <w:rPr>
          <w:rFonts w:eastAsia="楷体" w:hint="eastAsia"/>
          <w:sz w:val="32"/>
          <w:szCs w:val="32"/>
        </w:rPr>
        <w:t>（二）资产管理</w:t>
      </w:r>
      <w:bookmarkEnd w:id="46"/>
    </w:p>
    <w:p w:rsidR="007070EF" w:rsidRDefault="00955420">
      <w:pPr>
        <w:adjustRightInd w:val="0"/>
        <w:snapToGrid w:val="0"/>
        <w:spacing w:line="560" w:lineRule="exact"/>
        <w:ind w:firstLineChars="200" w:firstLine="640"/>
        <w:jc w:val="left"/>
        <w:outlineLvl w:val="2"/>
        <w:rPr>
          <w:rFonts w:eastAsia="仿宋_GB2312"/>
          <w:sz w:val="32"/>
          <w:szCs w:val="32"/>
        </w:rPr>
      </w:pPr>
      <w:r>
        <w:rPr>
          <w:rFonts w:ascii="仿宋_GB2312" w:eastAsia="仿宋_GB2312" w:hAnsi="宋体" w:cs="宋体" w:hint="eastAsia"/>
          <w:color w:val="000000"/>
          <w:kern w:val="0"/>
          <w:sz w:val="32"/>
          <w:szCs w:val="32"/>
        </w:rPr>
        <w:t>严格按照《北京市档案馆固定资产管理办法》等制度要求进行资产管理。</w:t>
      </w:r>
      <w:r>
        <w:rPr>
          <w:rFonts w:eastAsia="仿宋_GB2312" w:hint="eastAsia"/>
          <w:sz w:val="32"/>
          <w:szCs w:val="32"/>
        </w:rPr>
        <w:t>固定资产实行四级管理，即财务部门、资产归</w:t>
      </w:r>
      <w:r>
        <w:rPr>
          <w:rFonts w:eastAsia="仿宋_GB2312" w:hint="eastAsia"/>
          <w:sz w:val="32"/>
          <w:szCs w:val="32"/>
        </w:rPr>
        <w:lastRenderedPageBreak/>
        <w:t>口管理部门、各处室和资产使用人。行政管理处（财务部门）为固定资管理主责部门，对本单位固定资产实施综合管理；资产归口管理部门是资产实物的分类归口管理部门。</w:t>
      </w:r>
    </w:p>
    <w:p w:rsidR="007070EF" w:rsidRDefault="00955420">
      <w:pPr>
        <w:adjustRightInd w:val="0"/>
        <w:snapToGrid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各处室在年度终了前对固定资产进行全面清查，形成固定资产盘点表并对盘亏、盘盈资产查明原因，说明情况，报行政管理处备案。行政管理处资产组汇总单位固定资产清查情况，同时抽取部分固定资产实物进行现场盘点。</w:t>
      </w:r>
    </w:p>
    <w:p w:rsidR="007070EF" w:rsidRDefault="00955420">
      <w:pPr>
        <w:spacing w:line="560" w:lineRule="exact"/>
        <w:ind w:firstLineChars="200" w:firstLine="640"/>
        <w:jc w:val="left"/>
        <w:rPr>
          <w:rFonts w:eastAsia="仿宋_GB2312"/>
          <w:sz w:val="32"/>
          <w:szCs w:val="32"/>
        </w:rPr>
      </w:pPr>
      <w:r>
        <w:rPr>
          <w:rFonts w:ascii="仿宋_GB2312" w:eastAsia="仿宋_GB2312" w:hAnsi="宋体" w:cs="宋体" w:hint="eastAsia"/>
          <w:color w:val="000000"/>
          <w:kern w:val="0"/>
          <w:sz w:val="32"/>
          <w:szCs w:val="32"/>
        </w:rPr>
        <w:t>2024年度资产使用规范，资产账实一致，无盘盈盘亏问题。不存在超标准配置资产，不存在未经批准擅自出租、出借资产行为，不存在不按要求进行报批或资产不公开处置行为，不存在对外投资行为，未因管理不当发生严重资产损失和丢失情况。</w:t>
      </w:r>
    </w:p>
    <w:p w:rsidR="007070EF" w:rsidRDefault="00955420">
      <w:pPr>
        <w:adjustRightInd w:val="0"/>
        <w:snapToGrid w:val="0"/>
        <w:spacing w:line="560" w:lineRule="exact"/>
        <w:ind w:firstLineChars="200" w:firstLine="640"/>
        <w:outlineLvl w:val="1"/>
        <w:rPr>
          <w:rFonts w:eastAsia="楷体"/>
          <w:sz w:val="32"/>
          <w:szCs w:val="32"/>
        </w:rPr>
      </w:pPr>
      <w:bookmarkStart w:id="47" w:name="_Toc102158236"/>
      <w:r>
        <w:rPr>
          <w:rFonts w:eastAsia="楷体" w:hint="eastAsia"/>
          <w:sz w:val="32"/>
          <w:szCs w:val="32"/>
        </w:rPr>
        <w:t>（三）绩效管理</w:t>
      </w:r>
      <w:bookmarkEnd w:id="47"/>
    </w:p>
    <w:p w:rsidR="007070EF" w:rsidRDefault="00955420">
      <w:pPr>
        <w:spacing w:line="560" w:lineRule="exact"/>
        <w:ind w:firstLineChars="200" w:firstLine="640"/>
        <w:jc w:val="left"/>
        <w:rPr>
          <w:rFonts w:ascii="仿宋_GB2312" w:eastAsia="仿宋_GB2312" w:hAnsi="宋体" w:cs="宋体"/>
          <w:color w:val="000000"/>
          <w:kern w:val="0"/>
          <w:sz w:val="32"/>
          <w:szCs w:val="32"/>
        </w:rPr>
      </w:pPr>
      <w:bookmarkStart w:id="48" w:name="_Toc102158237"/>
      <w:r>
        <w:rPr>
          <w:rFonts w:ascii="仿宋_GB2312" w:eastAsia="仿宋_GB2312" w:hAnsi="宋体" w:cs="宋体" w:hint="eastAsia"/>
          <w:color w:val="000000"/>
          <w:kern w:val="0"/>
          <w:sz w:val="32"/>
          <w:szCs w:val="32"/>
        </w:rPr>
        <w:t>2</w:t>
      </w:r>
      <w:r>
        <w:rPr>
          <w:rFonts w:ascii="仿宋_GB2312" w:eastAsia="仿宋_GB2312" w:hAnsi="宋体" w:cs="宋体"/>
          <w:color w:val="000000"/>
          <w:kern w:val="0"/>
          <w:sz w:val="32"/>
          <w:szCs w:val="32"/>
        </w:rPr>
        <w:t>02</w:t>
      </w:r>
      <w:r>
        <w:rPr>
          <w:rFonts w:ascii="仿宋_GB2312" w:eastAsia="仿宋_GB2312" w:hAnsi="宋体" w:cs="宋体" w:hint="eastAsia"/>
          <w:color w:val="000000"/>
          <w:kern w:val="0"/>
          <w:sz w:val="32"/>
          <w:szCs w:val="32"/>
        </w:rPr>
        <w:t>4年，市档案馆根据全面预算绩效管理的相关要求及内部有关制度开展绩效管理工作，及时进行绩效信息汇总分析、绩效目标纠偏工作。具体情况如下：</w:t>
      </w:r>
    </w:p>
    <w:p w:rsidR="007070EF" w:rsidRDefault="00955420">
      <w:pPr>
        <w:spacing w:line="560" w:lineRule="exact"/>
        <w:ind w:firstLineChars="200" w:firstLine="643"/>
        <w:jc w:val="left"/>
        <w:rPr>
          <w:rFonts w:ascii="仿宋_GB2312" w:eastAsia="仿宋_GB2312" w:hAnsi="宋体" w:cs="宋体"/>
          <w:color w:val="000000"/>
          <w:kern w:val="0"/>
          <w:sz w:val="32"/>
          <w:szCs w:val="32"/>
        </w:rPr>
      </w:pPr>
      <w:r>
        <w:rPr>
          <w:rFonts w:ascii="仿宋_GB2312" w:eastAsia="仿宋_GB2312" w:hAnsi="宋体" w:cs="宋体" w:hint="eastAsia"/>
          <w:b/>
          <w:bCs/>
          <w:color w:val="000000"/>
          <w:kern w:val="0"/>
          <w:sz w:val="32"/>
          <w:szCs w:val="32"/>
        </w:rPr>
        <w:t>组织机构设置方面。</w:t>
      </w:r>
      <w:r>
        <w:rPr>
          <w:rFonts w:ascii="仿宋_GB2312" w:eastAsia="仿宋_GB2312" w:hAnsi="宋体" w:cs="宋体" w:hint="eastAsia"/>
          <w:color w:val="000000"/>
          <w:kern w:val="0"/>
          <w:sz w:val="32"/>
          <w:szCs w:val="32"/>
        </w:rPr>
        <w:t>成立绩效评价工作组，制定了实施方案，由主要领导担任工作组组长，负责协调、处理、决定绩效评价工作中的重大事项，研究解决工作中遇到的重大问题。行政管理处及项目实施部门作为成员单位，其中财务部门为牵头部门，负责具体组织绩效评价工作，组织审核相关资料、撰写报告等。项目实施部门负责项目资料的归集和整理，并填写项目支出绩效自评表，由财务部门审核。</w:t>
      </w:r>
    </w:p>
    <w:p w:rsidR="007070EF" w:rsidRDefault="00955420">
      <w:pPr>
        <w:spacing w:line="560" w:lineRule="exact"/>
        <w:ind w:firstLineChars="200" w:firstLine="643"/>
        <w:rPr>
          <w:rFonts w:ascii="仿宋_GB2312" w:eastAsia="仿宋_GB2312" w:hAnsi="宋体" w:cs="宋体"/>
          <w:color w:val="000000"/>
          <w:kern w:val="0"/>
          <w:sz w:val="32"/>
          <w:szCs w:val="32"/>
        </w:rPr>
      </w:pPr>
      <w:r>
        <w:rPr>
          <w:rFonts w:ascii="仿宋_GB2312" w:eastAsia="仿宋_GB2312" w:hAnsi="宋体" w:cs="宋体" w:hint="eastAsia"/>
          <w:b/>
          <w:bCs/>
          <w:color w:val="000000"/>
          <w:kern w:val="0"/>
          <w:sz w:val="32"/>
          <w:szCs w:val="32"/>
        </w:rPr>
        <w:t>绩效管理工作开展方面。</w:t>
      </w:r>
      <w:r>
        <w:rPr>
          <w:rFonts w:ascii="仿宋_GB2312" w:eastAsia="仿宋_GB2312" w:hAnsi="宋体" w:cs="宋体" w:hint="eastAsia"/>
          <w:color w:val="000000"/>
          <w:kern w:val="0"/>
          <w:sz w:val="32"/>
          <w:szCs w:val="32"/>
        </w:rPr>
        <w:t>2024年4月至5月，对2023年度设定绩效目标的项目全部开展了绩效评价，2023年度档案利</w:t>
      </w:r>
      <w:r>
        <w:rPr>
          <w:rFonts w:ascii="仿宋_GB2312" w:eastAsia="仿宋_GB2312" w:hAnsi="宋体" w:cs="宋体" w:hint="eastAsia"/>
          <w:color w:val="000000"/>
          <w:kern w:val="0"/>
          <w:sz w:val="32"/>
          <w:szCs w:val="32"/>
        </w:rPr>
        <w:lastRenderedPageBreak/>
        <w:t>用类项目为部门重点评价（评价得分86分，绩效评定结论为“良”），同步开展了部门整体绩效评价，形成自评表、项目绩效评价报告、部门整体绩效评价报告等成果上报。8月，对2024年部门预算涉及的项目在1至6月份的预算执行和绩效目标实现程度开展绩效监控分析，形成监控报告、监控汇总表上报。10月至11月，梳理拟申报的2025年度部门预算项目，编制了项目申报书、绩效目标申报表等资料，随部门预算上报。</w:t>
      </w:r>
    </w:p>
    <w:p w:rsidR="007070EF" w:rsidRDefault="00955420">
      <w:pPr>
        <w:adjustRightInd w:val="0"/>
        <w:snapToGrid w:val="0"/>
        <w:spacing w:line="560" w:lineRule="exact"/>
        <w:ind w:firstLineChars="200" w:firstLine="643"/>
        <w:jc w:val="left"/>
        <w:outlineLvl w:val="2"/>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（四）结转结余率</w:t>
      </w:r>
      <w:bookmarkEnd w:id="48"/>
    </w:p>
    <w:p w:rsidR="007070EF" w:rsidRDefault="00955420">
      <w:pPr>
        <w:adjustRightInd w:val="0"/>
        <w:snapToGrid w:val="0"/>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2024年度，一般公共预算部门整体结转结余资金1,149.92万元，占</w:t>
      </w:r>
      <w:r>
        <w:rPr>
          <w:rFonts w:ascii="仿宋_GB2312" w:eastAsia="仿宋_GB2312" w:hAnsi="宋体" w:cs="宋体" w:hint="eastAsia"/>
          <w:color w:val="000000"/>
          <w:kern w:val="0"/>
          <w:sz w:val="32"/>
          <w:szCs w:val="32"/>
        </w:rPr>
        <w:t>收入总计</w:t>
      </w:r>
      <w:r>
        <w:rPr>
          <w:rFonts w:ascii="仿宋_GB2312" w:eastAsia="仿宋_GB2312" w:hAnsi="宋体" w:cs="宋体"/>
          <w:color w:val="000000"/>
          <w:kern w:val="0"/>
          <w:sz w:val="32"/>
          <w:szCs w:val="32"/>
        </w:rPr>
        <w:t>的7.22%</w:t>
      </w:r>
      <w:r>
        <w:rPr>
          <w:rFonts w:ascii="仿宋_GB2312" w:eastAsia="仿宋_GB2312" w:hAnsi="宋体" w:cs="宋体" w:hint="eastAsia"/>
          <w:color w:val="000000"/>
          <w:kern w:val="0"/>
          <w:sz w:val="32"/>
          <w:szCs w:val="32"/>
        </w:rPr>
        <w:t>。资金执行情况较好，结转结余率较上年有所上升,主要为档案事业发展中心按政府会计制度转入非财政拨款结余的以前年度经营结余。具体情况见表</w:t>
      </w:r>
      <w:r>
        <w:rPr>
          <w:rFonts w:ascii="仿宋_GB2312" w:eastAsia="仿宋_GB2312" w:hAnsi="宋体" w:cs="宋体"/>
          <w:color w:val="000000"/>
          <w:kern w:val="0"/>
          <w:sz w:val="32"/>
          <w:szCs w:val="32"/>
        </w:rPr>
        <w:t>3。</w:t>
      </w:r>
    </w:p>
    <w:p w:rsidR="007070EF" w:rsidRDefault="00955420">
      <w:pPr>
        <w:adjustRightInd w:val="0"/>
        <w:snapToGrid w:val="0"/>
        <w:spacing w:line="560" w:lineRule="exact"/>
        <w:jc w:val="center"/>
        <w:rPr>
          <w:rFonts w:ascii="黑体" w:eastAsia="黑体" w:hAnsi="黑体" w:cs="宋体"/>
          <w:color w:val="000000"/>
          <w:kern w:val="0"/>
          <w:sz w:val="28"/>
          <w:szCs w:val="28"/>
        </w:rPr>
      </w:pPr>
      <w:r>
        <w:rPr>
          <w:rFonts w:ascii="黑体" w:eastAsia="黑体" w:hAnsi="黑体" w:cs="宋体" w:hint="eastAsia"/>
          <w:color w:val="000000"/>
          <w:kern w:val="0"/>
          <w:sz w:val="28"/>
          <w:szCs w:val="28"/>
        </w:rPr>
        <w:t>表</w:t>
      </w:r>
      <w:r>
        <w:rPr>
          <w:rFonts w:ascii="黑体" w:eastAsia="黑体" w:hAnsi="黑体" w:cs="宋体"/>
          <w:color w:val="000000"/>
          <w:kern w:val="0"/>
          <w:sz w:val="28"/>
          <w:szCs w:val="28"/>
        </w:rPr>
        <w:t>3：2023年度、2024年度一般公共预算结转结余情况对比表</w:t>
      </w:r>
    </w:p>
    <w:p w:rsidR="007070EF" w:rsidRDefault="00955420">
      <w:pPr>
        <w:adjustRightInd w:val="0"/>
        <w:snapToGrid w:val="0"/>
        <w:spacing w:line="560" w:lineRule="exact"/>
        <w:ind w:firstLineChars="200" w:firstLine="440"/>
        <w:jc w:val="right"/>
        <w:rPr>
          <w:rFonts w:ascii="宋体" w:hAnsi="宋体" w:cs="宋体"/>
          <w:color w:val="000000"/>
          <w:kern w:val="0"/>
          <w:sz w:val="22"/>
          <w:szCs w:val="22"/>
        </w:rPr>
      </w:pPr>
      <w:r>
        <w:rPr>
          <w:rFonts w:ascii="宋体" w:hAnsi="宋体" w:cs="宋体" w:hint="eastAsia"/>
          <w:color w:val="000000"/>
          <w:kern w:val="0"/>
          <w:sz w:val="22"/>
          <w:szCs w:val="22"/>
        </w:rPr>
        <w:t>单位：万元</w:t>
      </w:r>
    </w:p>
    <w:tbl>
      <w:tblPr>
        <w:tblStyle w:val="aa"/>
        <w:tblW w:w="8574" w:type="dxa"/>
        <w:jc w:val="center"/>
        <w:tblLayout w:type="fixed"/>
        <w:tblLook w:val="04A0" w:firstRow="1" w:lastRow="0" w:firstColumn="1" w:lastColumn="0" w:noHBand="0" w:noVBand="1"/>
      </w:tblPr>
      <w:tblGrid>
        <w:gridCol w:w="1714"/>
        <w:gridCol w:w="1715"/>
        <w:gridCol w:w="1715"/>
        <w:gridCol w:w="1715"/>
        <w:gridCol w:w="1715"/>
      </w:tblGrid>
      <w:tr w:rsidR="007070EF">
        <w:trPr>
          <w:trHeight w:val="454"/>
          <w:jc w:val="center"/>
        </w:trPr>
        <w:tc>
          <w:tcPr>
            <w:tcW w:w="1714" w:type="dxa"/>
            <w:vAlign w:val="center"/>
          </w:tcPr>
          <w:p w:rsidR="007070EF" w:rsidRDefault="00955420">
            <w:pPr>
              <w:adjustRightInd w:val="0"/>
              <w:snapToGrid w:val="0"/>
              <w:jc w:val="center"/>
              <w:rPr>
                <w:rFonts w:ascii="宋体" w:hAnsi="宋体" w:cs="宋体"/>
                <w:b/>
                <w:bCs/>
                <w:color w:val="000000"/>
                <w:kern w:val="0"/>
                <w:sz w:val="20"/>
                <w:szCs w:val="20"/>
              </w:rPr>
            </w:pPr>
            <w:r>
              <w:rPr>
                <w:rFonts w:ascii="宋体" w:hAnsi="宋体" w:cs="宋体" w:hint="eastAsia"/>
                <w:b/>
                <w:bCs/>
                <w:color w:val="000000"/>
                <w:kern w:val="0"/>
                <w:sz w:val="20"/>
                <w:szCs w:val="20"/>
              </w:rPr>
              <w:t>年度</w:t>
            </w:r>
          </w:p>
        </w:tc>
        <w:tc>
          <w:tcPr>
            <w:tcW w:w="1715" w:type="dxa"/>
            <w:vAlign w:val="center"/>
          </w:tcPr>
          <w:p w:rsidR="007070EF" w:rsidRDefault="00955420">
            <w:pPr>
              <w:adjustRightInd w:val="0"/>
              <w:snapToGrid w:val="0"/>
              <w:jc w:val="center"/>
              <w:rPr>
                <w:rFonts w:ascii="宋体" w:hAnsi="宋体" w:cs="宋体"/>
                <w:b/>
                <w:bCs/>
                <w:color w:val="000000"/>
                <w:kern w:val="0"/>
                <w:sz w:val="20"/>
                <w:szCs w:val="20"/>
              </w:rPr>
            </w:pPr>
            <w:r>
              <w:rPr>
                <w:rFonts w:ascii="宋体" w:hAnsi="宋体" w:cs="宋体" w:hint="eastAsia"/>
                <w:b/>
                <w:bCs/>
                <w:color w:val="000000"/>
                <w:kern w:val="0"/>
                <w:sz w:val="20"/>
                <w:szCs w:val="20"/>
              </w:rPr>
              <w:t>收入总计</w:t>
            </w:r>
          </w:p>
        </w:tc>
        <w:tc>
          <w:tcPr>
            <w:tcW w:w="1715" w:type="dxa"/>
            <w:vAlign w:val="center"/>
          </w:tcPr>
          <w:p w:rsidR="007070EF" w:rsidRDefault="00955420">
            <w:pPr>
              <w:adjustRightInd w:val="0"/>
              <w:snapToGrid w:val="0"/>
              <w:jc w:val="center"/>
              <w:rPr>
                <w:rFonts w:ascii="宋体" w:hAnsi="宋体" w:cs="宋体"/>
                <w:b/>
                <w:bCs/>
                <w:color w:val="000000"/>
                <w:kern w:val="0"/>
                <w:sz w:val="20"/>
                <w:szCs w:val="20"/>
              </w:rPr>
            </w:pPr>
            <w:r>
              <w:rPr>
                <w:rFonts w:ascii="宋体" w:hAnsi="宋体" w:cs="宋体" w:hint="eastAsia"/>
                <w:b/>
                <w:bCs/>
                <w:color w:val="000000"/>
                <w:kern w:val="0"/>
                <w:sz w:val="20"/>
                <w:szCs w:val="20"/>
              </w:rPr>
              <w:t>全年执行数</w:t>
            </w:r>
          </w:p>
        </w:tc>
        <w:tc>
          <w:tcPr>
            <w:tcW w:w="1715" w:type="dxa"/>
            <w:vAlign w:val="center"/>
          </w:tcPr>
          <w:p w:rsidR="007070EF" w:rsidRDefault="00955420">
            <w:pPr>
              <w:adjustRightInd w:val="0"/>
              <w:snapToGrid w:val="0"/>
              <w:jc w:val="center"/>
              <w:rPr>
                <w:rFonts w:ascii="宋体" w:hAnsi="宋体" w:cs="宋体"/>
                <w:b/>
                <w:bCs/>
                <w:color w:val="000000"/>
                <w:kern w:val="0"/>
                <w:sz w:val="20"/>
                <w:szCs w:val="20"/>
              </w:rPr>
            </w:pPr>
            <w:r>
              <w:rPr>
                <w:rFonts w:ascii="宋体" w:hAnsi="宋体" w:cs="宋体" w:hint="eastAsia"/>
                <w:b/>
                <w:bCs/>
                <w:color w:val="000000"/>
                <w:kern w:val="0"/>
                <w:sz w:val="20"/>
                <w:szCs w:val="20"/>
              </w:rPr>
              <w:t>结转结余金额</w:t>
            </w:r>
          </w:p>
        </w:tc>
        <w:tc>
          <w:tcPr>
            <w:tcW w:w="1715" w:type="dxa"/>
            <w:vAlign w:val="center"/>
          </w:tcPr>
          <w:p w:rsidR="007070EF" w:rsidRDefault="00955420">
            <w:pPr>
              <w:adjustRightInd w:val="0"/>
              <w:snapToGrid w:val="0"/>
              <w:jc w:val="center"/>
              <w:rPr>
                <w:rFonts w:ascii="宋体" w:hAnsi="宋体" w:cs="宋体"/>
                <w:b/>
                <w:bCs/>
                <w:color w:val="000000"/>
                <w:kern w:val="0"/>
                <w:sz w:val="20"/>
                <w:szCs w:val="20"/>
              </w:rPr>
            </w:pPr>
            <w:r>
              <w:rPr>
                <w:rFonts w:ascii="宋体" w:hAnsi="宋体" w:cs="宋体" w:hint="eastAsia"/>
                <w:b/>
                <w:bCs/>
                <w:color w:val="000000"/>
                <w:kern w:val="0"/>
                <w:sz w:val="20"/>
                <w:szCs w:val="20"/>
              </w:rPr>
              <w:t>结转结余率</w:t>
            </w:r>
          </w:p>
        </w:tc>
      </w:tr>
      <w:tr w:rsidR="007070EF">
        <w:trPr>
          <w:trHeight w:val="454"/>
          <w:jc w:val="center"/>
        </w:trPr>
        <w:tc>
          <w:tcPr>
            <w:tcW w:w="1714" w:type="dxa"/>
            <w:vAlign w:val="center"/>
          </w:tcPr>
          <w:p w:rsidR="007070EF" w:rsidRDefault="00955420">
            <w:pPr>
              <w:adjustRightInd w:val="0"/>
              <w:snapToGrid w:val="0"/>
              <w:jc w:val="center"/>
              <w:rPr>
                <w:rFonts w:ascii="宋体" w:hAnsi="宋体" w:cs="宋体"/>
                <w:color w:val="000000"/>
                <w:kern w:val="0"/>
                <w:sz w:val="20"/>
                <w:szCs w:val="20"/>
              </w:rPr>
            </w:pPr>
            <w:r>
              <w:rPr>
                <w:rFonts w:ascii="宋体" w:hAnsi="宋体" w:cs="宋体"/>
                <w:color w:val="000000"/>
                <w:kern w:val="0"/>
                <w:sz w:val="20"/>
                <w:szCs w:val="20"/>
              </w:rPr>
              <w:t>2023年</w:t>
            </w:r>
          </w:p>
        </w:tc>
        <w:tc>
          <w:tcPr>
            <w:tcW w:w="1715" w:type="dxa"/>
            <w:vAlign w:val="center"/>
          </w:tcPr>
          <w:p w:rsidR="007070EF" w:rsidRDefault="00955420">
            <w:pPr>
              <w:adjustRightInd w:val="0"/>
              <w:snapToGrid w:val="0"/>
              <w:jc w:val="right"/>
              <w:rPr>
                <w:rFonts w:ascii="宋体" w:hAnsi="宋体" w:cs="宋体"/>
                <w:color w:val="000000"/>
                <w:kern w:val="0"/>
                <w:sz w:val="20"/>
                <w:szCs w:val="20"/>
              </w:rPr>
            </w:pPr>
            <w:r>
              <w:rPr>
                <w:rFonts w:ascii="宋体" w:hAnsi="宋体" w:cs="宋体"/>
                <w:color w:val="000000"/>
                <w:kern w:val="0"/>
                <w:sz w:val="20"/>
                <w:szCs w:val="20"/>
              </w:rPr>
              <w:t>14,592.80</w:t>
            </w:r>
          </w:p>
        </w:tc>
        <w:tc>
          <w:tcPr>
            <w:tcW w:w="1715" w:type="dxa"/>
            <w:vAlign w:val="center"/>
          </w:tcPr>
          <w:p w:rsidR="007070EF" w:rsidRDefault="00955420">
            <w:pPr>
              <w:adjustRightInd w:val="0"/>
              <w:snapToGrid w:val="0"/>
              <w:jc w:val="right"/>
              <w:rPr>
                <w:rFonts w:ascii="宋体" w:hAnsi="宋体" w:cs="宋体"/>
                <w:color w:val="000000"/>
                <w:kern w:val="0"/>
                <w:sz w:val="20"/>
                <w:szCs w:val="20"/>
              </w:rPr>
            </w:pPr>
            <w:r>
              <w:rPr>
                <w:rFonts w:ascii="宋体" w:hAnsi="宋体" w:cs="宋体"/>
                <w:color w:val="000000"/>
                <w:kern w:val="0"/>
                <w:sz w:val="20"/>
                <w:szCs w:val="20"/>
              </w:rPr>
              <w:t>14,199.04</w:t>
            </w:r>
          </w:p>
        </w:tc>
        <w:tc>
          <w:tcPr>
            <w:tcW w:w="1715" w:type="dxa"/>
            <w:vAlign w:val="center"/>
          </w:tcPr>
          <w:p w:rsidR="007070EF" w:rsidRDefault="00955420">
            <w:pPr>
              <w:widowControl/>
              <w:jc w:val="right"/>
              <w:textAlignment w:val="center"/>
              <w:rPr>
                <w:rFonts w:ascii="宋体" w:hAnsi="宋体" w:cs="宋体"/>
                <w:color w:val="000000"/>
                <w:sz w:val="22"/>
                <w:szCs w:val="22"/>
              </w:rPr>
            </w:pPr>
            <w:r>
              <w:rPr>
                <w:rFonts w:ascii="宋体" w:hAnsi="宋体" w:cs="宋体"/>
                <w:color w:val="000000"/>
                <w:kern w:val="0"/>
                <w:sz w:val="20"/>
                <w:szCs w:val="20"/>
              </w:rPr>
              <w:t>393.76</w:t>
            </w:r>
          </w:p>
        </w:tc>
        <w:tc>
          <w:tcPr>
            <w:tcW w:w="1715" w:type="dxa"/>
            <w:vAlign w:val="center"/>
          </w:tcPr>
          <w:p w:rsidR="007070EF" w:rsidRDefault="00955420">
            <w:pPr>
              <w:adjustRightInd w:val="0"/>
              <w:snapToGrid w:val="0"/>
              <w:jc w:val="center"/>
              <w:rPr>
                <w:rFonts w:ascii="宋体" w:hAnsi="宋体" w:cs="宋体"/>
                <w:color w:val="000000"/>
                <w:kern w:val="0"/>
                <w:sz w:val="20"/>
                <w:szCs w:val="20"/>
              </w:rPr>
            </w:pPr>
            <w:r>
              <w:rPr>
                <w:rFonts w:ascii="宋体" w:hAnsi="宋体" w:cs="宋体"/>
                <w:color w:val="000000"/>
                <w:kern w:val="0"/>
                <w:sz w:val="20"/>
                <w:szCs w:val="20"/>
              </w:rPr>
              <w:t>2.70%</w:t>
            </w:r>
          </w:p>
        </w:tc>
      </w:tr>
      <w:tr w:rsidR="007070EF">
        <w:trPr>
          <w:trHeight w:val="454"/>
          <w:jc w:val="center"/>
        </w:trPr>
        <w:tc>
          <w:tcPr>
            <w:tcW w:w="1714" w:type="dxa"/>
            <w:vAlign w:val="center"/>
          </w:tcPr>
          <w:p w:rsidR="007070EF" w:rsidRDefault="00955420">
            <w:pPr>
              <w:adjustRightInd w:val="0"/>
              <w:snapToGrid w:val="0"/>
              <w:jc w:val="center"/>
              <w:rPr>
                <w:rFonts w:ascii="宋体" w:hAnsi="宋体" w:cs="宋体"/>
                <w:color w:val="000000"/>
                <w:kern w:val="0"/>
                <w:sz w:val="20"/>
                <w:szCs w:val="20"/>
              </w:rPr>
            </w:pPr>
            <w:r>
              <w:rPr>
                <w:rFonts w:ascii="宋体" w:hAnsi="宋体" w:cs="宋体"/>
                <w:color w:val="000000"/>
                <w:kern w:val="0"/>
                <w:sz w:val="20"/>
                <w:szCs w:val="20"/>
              </w:rPr>
              <w:t>2024年</w:t>
            </w:r>
          </w:p>
        </w:tc>
        <w:tc>
          <w:tcPr>
            <w:tcW w:w="1715" w:type="dxa"/>
            <w:vAlign w:val="center"/>
          </w:tcPr>
          <w:p w:rsidR="007070EF" w:rsidRDefault="00955420">
            <w:pPr>
              <w:adjustRightInd w:val="0"/>
              <w:snapToGrid w:val="0"/>
              <w:jc w:val="right"/>
              <w:rPr>
                <w:rFonts w:ascii="宋体" w:hAnsi="宋体" w:cs="宋体"/>
                <w:color w:val="000000"/>
                <w:kern w:val="0"/>
                <w:sz w:val="20"/>
                <w:szCs w:val="20"/>
              </w:rPr>
            </w:pPr>
            <w:r>
              <w:rPr>
                <w:rFonts w:ascii="宋体" w:hAnsi="宋体" w:cs="宋体"/>
                <w:color w:val="000000"/>
                <w:kern w:val="0"/>
                <w:sz w:val="20"/>
                <w:szCs w:val="20"/>
              </w:rPr>
              <w:t>15,928.60</w:t>
            </w:r>
          </w:p>
        </w:tc>
        <w:tc>
          <w:tcPr>
            <w:tcW w:w="1715" w:type="dxa"/>
            <w:vAlign w:val="center"/>
          </w:tcPr>
          <w:p w:rsidR="007070EF" w:rsidRDefault="00955420">
            <w:pPr>
              <w:adjustRightInd w:val="0"/>
              <w:snapToGrid w:val="0"/>
              <w:jc w:val="right"/>
              <w:rPr>
                <w:rFonts w:ascii="宋体" w:hAnsi="宋体" w:cs="宋体"/>
                <w:color w:val="000000"/>
                <w:kern w:val="0"/>
                <w:sz w:val="20"/>
                <w:szCs w:val="20"/>
              </w:rPr>
            </w:pPr>
            <w:r>
              <w:rPr>
                <w:rFonts w:ascii="宋体" w:hAnsi="宋体" w:cs="宋体"/>
                <w:color w:val="000000"/>
                <w:kern w:val="0"/>
                <w:sz w:val="20"/>
                <w:szCs w:val="20"/>
              </w:rPr>
              <w:t>14,778.68</w:t>
            </w:r>
          </w:p>
        </w:tc>
        <w:tc>
          <w:tcPr>
            <w:tcW w:w="1715" w:type="dxa"/>
            <w:vAlign w:val="center"/>
          </w:tcPr>
          <w:p w:rsidR="007070EF" w:rsidRDefault="00955420">
            <w:pPr>
              <w:widowControl/>
              <w:jc w:val="right"/>
              <w:textAlignment w:val="center"/>
              <w:rPr>
                <w:rFonts w:ascii="宋体" w:hAnsi="宋体" w:cs="宋体"/>
                <w:color w:val="000000"/>
                <w:sz w:val="22"/>
                <w:szCs w:val="22"/>
              </w:rPr>
            </w:pPr>
            <w:r>
              <w:rPr>
                <w:rFonts w:ascii="宋体" w:hAnsi="宋体" w:cs="宋体"/>
                <w:color w:val="000000"/>
                <w:kern w:val="0"/>
                <w:sz w:val="20"/>
                <w:szCs w:val="20"/>
              </w:rPr>
              <w:t xml:space="preserve">1,149.92 </w:t>
            </w:r>
          </w:p>
        </w:tc>
        <w:tc>
          <w:tcPr>
            <w:tcW w:w="1715" w:type="dxa"/>
            <w:vAlign w:val="center"/>
          </w:tcPr>
          <w:p w:rsidR="007070EF" w:rsidRDefault="00955420">
            <w:pPr>
              <w:adjustRightInd w:val="0"/>
              <w:snapToGrid w:val="0"/>
              <w:jc w:val="center"/>
              <w:rPr>
                <w:rFonts w:ascii="宋体" w:hAnsi="宋体" w:cs="宋体"/>
                <w:color w:val="000000"/>
                <w:kern w:val="0"/>
                <w:sz w:val="20"/>
                <w:szCs w:val="20"/>
              </w:rPr>
            </w:pPr>
            <w:r>
              <w:rPr>
                <w:rFonts w:ascii="宋体" w:hAnsi="宋体" w:cs="宋体"/>
                <w:color w:val="000000"/>
                <w:kern w:val="0"/>
                <w:sz w:val="20"/>
                <w:szCs w:val="20"/>
              </w:rPr>
              <w:t>7.22%</w:t>
            </w:r>
          </w:p>
        </w:tc>
      </w:tr>
    </w:tbl>
    <w:p w:rsidR="007070EF" w:rsidRDefault="00955420">
      <w:pPr>
        <w:adjustRightInd w:val="0"/>
        <w:snapToGrid w:val="0"/>
        <w:spacing w:line="560" w:lineRule="exact"/>
        <w:ind w:firstLineChars="200" w:firstLine="640"/>
        <w:outlineLvl w:val="1"/>
        <w:rPr>
          <w:rFonts w:eastAsia="楷体"/>
          <w:sz w:val="32"/>
          <w:szCs w:val="32"/>
        </w:rPr>
      </w:pPr>
      <w:bookmarkStart w:id="49" w:name="_Toc102158238"/>
      <w:r>
        <w:rPr>
          <w:rFonts w:eastAsia="楷体"/>
          <w:sz w:val="32"/>
          <w:szCs w:val="32"/>
        </w:rPr>
        <w:t>（五）部门预决算差异率</w:t>
      </w:r>
      <w:bookmarkEnd w:id="49"/>
    </w:p>
    <w:p w:rsidR="007070EF" w:rsidRDefault="00955420">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宋体" w:cs="宋体"/>
          <w:color w:val="000000"/>
          <w:kern w:val="0"/>
          <w:sz w:val="32"/>
          <w:szCs w:val="32"/>
        </w:rPr>
        <w:t>2024年初部门总体预算数为</w:t>
      </w:r>
      <w:r>
        <w:rPr>
          <w:rFonts w:ascii="仿宋_GB2312" w:eastAsia="仿宋_GB2312" w:hAnsi="仿宋_GB2312" w:cs="仿宋_GB2312"/>
          <w:sz w:val="32"/>
          <w:szCs w:val="32"/>
        </w:rPr>
        <w:t>14,653.10</w:t>
      </w:r>
      <w:r>
        <w:rPr>
          <w:rFonts w:ascii="仿宋_GB2312" w:eastAsia="仿宋_GB2312" w:hAnsi="宋体" w:cs="宋体" w:hint="eastAsia"/>
          <w:color w:val="000000"/>
          <w:kern w:val="0"/>
          <w:sz w:val="32"/>
          <w:szCs w:val="32"/>
        </w:rPr>
        <w:t>万元，全年执行数为</w:t>
      </w:r>
      <w:r>
        <w:rPr>
          <w:rFonts w:ascii="仿宋_GB2312" w:eastAsia="仿宋_GB2312" w:hAnsi="仿宋_GB2312" w:cs="仿宋_GB2312"/>
          <w:sz w:val="32"/>
          <w:szCs w:val="32"/>
        </w:rPr>
        <w:t>14,778.68</w:t>
      </w:r>
      <w:r>
        <w:rPr>
          <w:rFonts w:ascii="仿宋_GB2312" w:eastAsia="仿宋_GB2312" w:hAnsi="宋体" w:cs="宋体" w:hint="eastAsia"/>
          <w:color w:val="000000"/>
          <w:kern w:val="0"/>
          <w:sz w:val="32"/>
          <w:szCs w:val="32"/>
        </w:rPr>
        <w:t>万元，部门预决算差异率为</w:t>
      </w:r>
      <w:r>
        <w:rPr>
          <w:rFonts w:ascii="仿宋_GB2312" w:eastAsia="仿宋_GB2312" w:hAnsi="仿宋_GB2312" w:cs="仿宋_GB2312"/>
          <w:sz w:val="32"/>
          <w:szCs w:val="32"/>
        </w:rPr>
        <w:t>0.86</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，部门整体预算编制及执行约束情况较好。</w:t>
      </w:r>
    </w:p>
    <w:p w:rsidR="007070EF" w:rsidRDefault="00955420">
      <w:pPr>
        <w:adjustRightInd w:val="0"/>
        <w:snapToGrid w:val="0"/>
        <w:spacing w:line="560" w:lineRule="exact"/>
        <w:ind w:firstLineChars="200" w:firstLine="640"/>
        <w:jc w:val="left"/>
        <w:outlineLvl w:val="0"/>
        <w:rPr>
          <w:rFonts w:eastAsia="黑体"/>
          <w:sz w:val="32"/>
          <w:szCs w:val="32"/>
        </w:rPr>
      </w:pPr>
      <w:bookmarkStart w:id="50" w:name="_Toc102158239"/>
      <w:r>
        <w:rPr>
          <w:rFonts w:eastAsia="黑体"/>
          <w:sz w:val="32"/>
          <w:szCs w:val="32"/>
        </w:rPr>
        <w:t>五、总体评价结论</w:t>
      </w:r>
      <w:bookmarkEnd w:id="50"/>
    </w:p>
    <w:p w:rsidR="007070EF" w:rsidRDefault="00955420">
      <w:pPr>
        <w:adjustRightInd w:val="0"/>
        <w:snapToGrid w:val="0"/>
        <w:spacing w:line="560" w:lineRule="exact"/>
        <w:ind w:firstLineChars="200" w:firstLine="640"/>
        <w:outlineLvl w:val="1"/>
        <w:rPr>
          <w:rFonts w:ascii="仿宋_GB2312" w:eastAsia="仿宋_GB2312" w:hAnsi="仿宋_GB2312" w:cs="仿宋_GB2312"/>
          <w:sz w:val="32"/>
          <w:szCs w:val="32"/>
        </w:rPr>
      </w:pPr>
      <w:bookmarkStart w:id="51" w:name="_Toc102158240"/>
      <w:bookmarkStart w:id="52" w:name="_Hlk72426764"/>
      <w:r>
        <w:rPr>
          <w:rFonts w:ascii="仿宋_GB2312" w:eastAsia="仿宋_GB2312" w:hAnsi="仿宋_GB2312" w:cs="仿宋_GB2312" w:hint="eastAsia"/>
          <w:sz w:val="32"/>
          <w:szCs w:val="32"/>
        </w:rPr>
        <w:t>（一）评价得分情况</w:t>
      </w:r>
      <w:bookmarkEnd w:id="51"/>
    </w:p>
    <w:bookmarkEnd w:id="52"/>
    <w:p w:rsidR="007070EF" w:rsidRDefault="00955420">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2024年，全面落实《“十四五”全国档案事业发展规划》，全面推进档案治理体系和档案资源体系、档案利用体系、档案</w:t>
      </w:r>
      <w:r>
        <w:rPr>
          <w:rFonts w:ascii="仿宋_GB2312" w:eastAsia="仿宋_GB2312" w:hint="eastAsia"/>
          <w:sz w:val="32"/>
          <w:szCs w:val="32"/>
        </w:rPr>
        <w:lastRenderedPageBreak/>
        <w:t>安全体系建设，深化档案信息化战略转型，强化科技和人才支撑，着力推动档案工作走向依法治理、走向开放、走向现代化，围绕年度整体目标有序开展各项工作，工作任务完成度较高，取得新进展与新成效。部门整体综合评价得分</w:t>
      </w:r>
      <w:r>
        <w:rPr>
          <w:rFonts w:ascii="仿宋_GB2312" w:eastAsia="仿宋_GB2312"/>
          <w:sz w:val="32"/>
          <w:szCs w:val="32"/>
        </w:rPr>
        <w:t>9</w:t>
      </w:r>
      <w:r>
        <w:rPr>
          <w:rFonts w:ascii="仿宋_GB2312" w:eastAsia="仿宋_GB2312" w:hint="eastAsia"/>
          <w:sz w:val="32"/>
          <w:szCs w:val="32"/>
        </w:rPr>
        <w:t>1.06分，</w:t>
      </w:r>
      <w:r>
        <w:rPr>
          <w:rFonts w:ascii="仿宋_GB2312" w:eastAsia="仿宋_GB2312"/>
          <w:sz w:val="32"/>
          <w:szCs w:val="32"/>
        </w:rPr>
        <w:t>具体得分情况见</w:t>
      </w:r>
      <w:r>
        <w:rPr>
          <w:rFonts w:ascii="仿宋_GB2312" w:eastAsia="仿宋_GB2312" w:hint="eastAsia"/>
          <w:sz w:val="32"/>
          <w:szCs w:val="32"/>
        </w:rPr>
        <w:t>表4</w:t>
      </w:r>
      <w:r>
        <w:rPr>
          <w:rFonts w:ascii="仿宋_GB2312" w:eastAsia="仿宋_GB2312"/>
          <w:sz w:val="32"/>
          <w:szCs w:val="32"/>
        </w:rPr>
        <w:t>。</w:t>
      </w:r>
    </w:p>
    <w:p w:rsidR="007070EF" w:rsidRDefault="00955420">
      <w:pPr>
        <w:snapToGrid w:val="0"/>
        <w:spacing w:line="560" w:lineRule="exact"/>
        <w:jc w:val="center"/>
        <w:rPr>
          <w:rFonts w:ascii="黑体" w:eastAsia="黑体" w:hAnsi="黑体"/>
          <w:sz w:val="28"/>
          <w:szCs w:val="28"/>
        </w:rPr>
      </w:pPr>
      <w:r>
        <w:rPr>
          <w:rFonts w:ascii="黑体" w:eastAsia="黑体" w:hAnsi="黑体" w:hint="eastAsia"/>
          <w:sz w:val="28"/>
          <w:szCs w:val="28"/>
        </w:rPr>
        <w:t>表4：综合评价得分情况表</w:t>
      </w:r>
    </w:p>
    <w:tbl>
      <w:tblPr>
        <w:tblW w:w="83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127"/>
        <w:gridCol w:w="10"/>
        <w:gridCol w:w="1407"/>
        <w:gridCol w:w="10"/>
        <w:gridCol w:w="1408"/>
        <w:gridCol w:w="10"/>
        <w:gridCol w:w="1549"/>
        <w:gridCol w:w="10"/>
      </w:tblGrid>
      <w:tr w:rsidR="007070EF">
        <w:trPr>
          <w:gridAfter w:val="1"/>
          <w:wAfter w:w="10" w:type="dxa"/>
          <w:trHeight w:val="454"/>
          <w:tblHeader/>
          <w:jc w:val="center"/>
        </w:trPr>
        <w:tc>
          <w:tcPr>
            <w:tcW w:w="1838" w:type="dxa"/>
            <w:vAlign w:val="center"/>
          </w:tcPr>
          <w:p w:rsidR="007070EF" w:rsidRDefault="00955420">
            <w:pPr>
              <w:widowControl/>
              <w:adjustRightInd w:val="0"/>
              <w:snapToGrid w:val="0"/>
              <w:jc w:val="center"/>
              <w:rPr>
                <w:rFonts w:asciiTheme="minorEastAsia" w:eastAsiaTheme="minorEastAsia" w:hAnsiTheme="minorEastAsia" w:cstheme="minorEastAsia"/>
                <w:b/>
                <w:bCs/>
                <w:color w:val="000000"/>
                <w:kern w:val="0"/>
                <w:sz w:val="20"/>
                <w:szCs w:val="20"/>
              </w:rPr>
            </w:pPr>
            <w:r>
              <w:rPr>
                <w:rFonts w:asciiTheme="minorEastAsia" w:eastAsiaTheme="minorEastAsia" w:hAnsiTheme="minorEastAsia" w:cstheme="minorEastAsia" w:hint="eastAsia"/>
                <w:b/>
                <w:bCs/>
                <w:color w:val="000000"/>
                <w:kern w:val="0"/>
                <w:sz w:val="20"/>
                <w:szCs w:val="20"/>
              </w:rPr>
              <w:t>一级指标</w:t>
            </w:r>
          </w:p>
        </w:tc>
        <w:tc>
          <w:tcPr>
            <w:tcW w:w="2127" w:type="dxa"/>
            <w:vAlign w:val="center"/>
          </w:tcPr>
          <w:p w:rsidR="007070EF" w:rsidRDefault="00955420">
            <w:pPr>
              <w:widowControl/>
              <w:adjustRightInd w:val="0"/>
              <w:snapToGrid w:val="0"/>
              <w:jc w:val="center"/>
              <w:rPr>
                <w:rFonts w:asciiTheme="minorEastAsia" w:eastAsiaTheme="minorEastAsia" w:hAnsiTheme="minorEastAsia" w:cstheme="minorEastAsia"/>
                <w:b/>
                <w:bCs/>
                <w:color w:val="000000"/>
                <w:kern w:val="0"/>
                <w:sz w:val="20"/>
                <w:szCs w:val="20"/>
              </w:rPr>
            </w:pPr>
            <w:r>
              <w:rPr>
                <w:rFonts w:asciiTheme="minorEastAsia" w:eastAsiaTheme="minorEastAsia" w:hAnsiTheme="minorEastAsia" w:cstheme="minorEastAsia" w:hint="eastAsia"/>
                <w:b/>
                <w:bCs/>
                <w:color w:val="000000"/>
                <w:kern w:val="0"/>
                <w:sz w:val="20"/>
                <w:szCs w:val="20"/>
              </w:rPr>
              <w:t>二级指标</w:t>
            </w:r>
          </w:p>
        </w:tc>
        <w:tc>
          <w:tcPr>
            <w:tcW w:w="1417" w:type="dxa"/>
            <w:gridSpan w:val="2"/>
            <w:vAlign w:val="center"/>
          </w:tcPr>
          <w:p w:rsidR="007070EF" w:rsidRDefault="00955420">
            <w:pPr>
              <w:widowControl/>
              <w:adjustRightInd w:val="0"/>
              <w:snapToGrid w:val="0"/>
              <w:jc w:val="center"/>
              <w:rPr>
                <w:rFonts w:asciiTheme="minorEastAsia" w:eastAsiaTheme="minorEastAsia" w:hAnsiTheme="minorEastAsia" w:cstheme="minorEastAsia"/>
                <w:b/>
                <w:bCs/>
                <w:color w:val="000000"/>
                <w:kern w:val="0"/>
                <w:sz w:val="20"/>
                <w:szCs w:val="20"/>
              </w:rPr>
            </w:pPr>
            <w:r>
              <w:rPr>
                <w:rFonts w:asciiTheme="minorEastAsia" w:eastAsiaTheme="minorEastAsia" w:hAnsiTheme="minorEastAsia" w:cstheme="minorEastAsia" w:hint="eastAsia"/>
                <w:b/>
                <w:bCs/>
                <w:color w:val="000000"/>
                <w:kern w:val="0"/>
                <w:sz w:val="20"/>
                <w:szCs w:val="20"/>
              </w:rPr>
              <w:t>分值</w:t>
            </w:r>
          </w:p>
        </w:tc>
        <w:tc>
          <w:tcPr>
            <w:tcW w:w="1418" w:type="dxa"/>
            <w:gridSpan w:val="2"/>
            <w:vAlign w:val="center"/>
          </w:tcPr>
          <w:p w:rsidR="007070EF" w:rsidRDefault="00955420">
            <w:pPr>
              <w:widowControl/>
              <w:adjustRightInd w:val="0"/>
              <w:snapToGrid w:val="0"/>
              <w:jc w:val="center"/>
              <w:rPr>
                <w:rFonts w:asciiTheme="minorEastAsia" w:eastAsiaTheme="minorEastAsia" w:hAnsiTheme="minorEastAsia" w:cstheme="minorEastAsia"/>
                <w:b/>
                <w:bCs/>
                <w:color w:val="000000"/>
                <w:kern w:val="0"/>
                <w:sz w:val="20"/>
                <w:szCs w:val="20"/>
              </w:rPr>
            </w:pPr>
            <w:r>
              <w:rPr>
                <w:rFonts w:asciiTheme="minorEastAsia" w:eastAsiaTheme="minorEastAsia" w:hAnsiTheme="minorEastAsia" w:cstheme="minorEastAsia" w:hint="eastAsia"/>
                <w:b/>
                <w:bCs/>
                <w:color w:val="000000"/>
                <w:kern w:val="0"/>
                <w:sz w:val="20"/>
                <w:szCs w:val="20"/>
              </w:rPr>
              <w:t>得分</w:t>
            </w:r>
          </w:p>
        </w:tc>
        <w:tc>
          <w:tcPr>
            <w:tcW w:w="1559" w:type="dxa"/>
            <w:gridSpan w:val="2"/>
            <w:vAlign w:val="center"/>
          </w:tcPr>
          <w:p w:rsidR="007070EF" w:rsidRDefault="00955420">
            <w:pPr>
              <w:widowControl/>
              <w:adjustRightInd w:val="0"/>
              <w:snapToGrid w:val="0"/>
              <w:jc w:val="center"/>
              <w:rPr>
                <w:rFonts w:asciiTheme="minorEastAsia" w:eastAsiaTheme="minorEastAsia" w:hAnsiTheme="minorEastAsia" w:cstheme="minorEastAsia"/>
                <w:b/>
                <w:bCs/>
                <w:color w:val="000000"/>
                <w:kern w:val="0"/>
                <w:sz w:val="20"/>
                <w:szCs w:val="20"/>
              </w:rPr>
            </w:pPr>
            <w:r>
              <w:rPr>
                <w:rFonts w:asciiTheme="minorEastAsia" w:eastAsiaTheme="minorEastAsia" w:hAnsiTheme="minorEastAsia" w:cstheme="minorEastAsia" w:hint="eastAsia"/>
                <w:b/>
                <w:bCs/>
                <w:color w:val="000000"/>
                <w:kern w:val="0"/>
                <w:sz w:val="20"/>
                <w:szCs w:val="20"/>
              </w:rPr>
              <w:t>得分率</w:t>
            </w:r>
          </w:p>
        </w:tc>
      </w:tr>
      <w:tr w:rsidR="007070EF">
        <w:trPr>
          <w:gridAfter w:val="1"/>
          <w:wAfter w:w="10" w:type="dxa"/>
          <w:trHeight w:val="454"/>
          <w:jc w:val="center"/>
        </w:trPr>
        <w:tc>
          <w:tcPr>
            <w:tcW w:w="1838" w:type="dxa"/>
            <w:vAlign w:val="center"/>
          </w:tcPr>
          <w:p w:rsidR="007070EF" w:rsidRDefault="00955420">
            <w:pPr>
              <w:widowControl/>
              <w:adjustRightInd w:val="0"/>
              <w:snapToGrid w:val="0"/>
              <w:jc w:val="center"/>
              <w:rPr>
                <w:rFonts w:asciiTheme="minorEastAsia" w:eastAsiaTheme="minorEastAsia" w:hAnsiTheme="minorEastAsia" w:cstheme="minorEastAsia"/>
                <w:color w:val="000000"/>
                <w:kern w:val="0"/>
                <w:sz w:val="20"/>
                <w:szCs w:val="20"/>
              </w:rPr>
            </w:pPr>
            <w:r>
              <w:rPr>
                <w:rFonts w:asciiTheme="minorEastAsia" w:eastAsiaTheme="minorEastAsia" w:hAnsiTheme="minorEastAsia" w:cstheme="minorEastAsia" w:hint="eastAsia"/>
                <w:color w:val="000000"/>
                <w:kern w:val="0"/>
                <w:sz w:val="20"/>
                <w:szCs w:val="20"/>
              </w:rPr>
              <w:t>当年预算执行情况</w:t>
            </w:r>
          </w:p>
        </w:tc>
        <w:tc>
          <w:tcPr>
            <w:tcW w:w="2127" w:type="dxa"/>
            <w:vAlign w:val="center"/>
          </w:tcPr>
          <w:p w:rsidR="007070EF" w:rsidRDefault="00955420">
            <w:pPr>
              <w:widowControl/>
              <w:adjustRightInd w:val="0"/>
              <w:snapToGrid w:val="0"/>
              <w:jc w:val="center"/>
              <w:rPr>
                <w:rFonts w:asciiTheme="minorEastAsia" w:eastAsiaTheme="minorEastAsia" w:hAnsiTheme="minorEastAsia" w:cstheme="minorEastAsia"/>
                <w:color w:val="000000"/>
                <w:kern w:val="0"/>
                <w:sz w:val="20"/>
                <w:szCs w:val="20"/>
              </w:rPr>
            </w:pPr>
            <w:r>
              <w:rPr>
                <w:rFonts w:asciiTheme="minorEastAsia" w:eastAsiaTheme="minorEastAsia" w:hAnsiTheme="minorEastAsia" w:cstheme="minorEastAsia" w:hint="eastAsia"/>
                <w:color w:val="000000"/>
                <w:kern w:val="0"/>
                <w:sz w:val="20"/>
                <w:szCs w:val="20"/>
              </w:rPr>
              <w:t>——</w:t>
            </w:r>
          </w:p>
        </w:tc>
        <w:tc>
          <w:tcPr>
            <w:tcW w:w="1417" w:type="dxa"/>
            <w:gridSpan w:val="2"/>
            <w:noWrap/>
            <w:vAlign w:val="center"/>
          </w:tcPr>
          <w:p w:rsidR="007070EF" w:rsidRDefault="00955420">
            <w:pPr>
              <w:widowControl/>
              <w:adjustRightInd w:val="0"/>
              <w:snapToGrid w:val="0"/>
              <w:jc w:val="center"/>
              <w:rPr>
                <w:rFonts w:asciiTheme="minorEastAsia" w:eastAsiaTheme="minorEastAsia" w:hAnsiTheme="minorEastAsia" w:cstheme="minorEastAsia"/>
                <w:color w:val="000000"/>
                <w:sz w:val="20"/>
                <w:szCs w:val="20"/>
              </w:rPr>
            </w:pPr>
            <w:r>
              <w:rPr>
                <w:rFonts w:asciiTheme="minorEastAsia" w:eastAsiaTheme="minorEastAsia" w:hAnsiTheme="minorEastAsia" w:cstheme="minorEastAsia" w:hint="eastAsia"/>
                <w:color w:val="000000"/>
                <w:sz w:val="20"/>
                <w:szCs w:val="20"/>
              </w:rPr>
              <w:t>20</w:t>
            </w:r>
          </w:p>
        </w:tc>
        <w:tc>
          <w:tcPr>
            <w:tcW w:w="1418" w:type="dxa"/>
            <w:gridSpan w:val="2"/>
            <w:noWrap/>
            <w:vAlign w:val="center"/>
          </w:tcPr>
          <w:p w:rsidR="007070EF" w:rsidRDefault="00955420">
            <w:pPr>
              <w:widowControl/>
              <w:adjustRightInd w:val="0"/>
              <w:snapToGrid w:val="0"/>
              <w:jc w:val="center"/>
              <w:rPr>
                <w:rFonts w:asciiTheme="minorEastAsia" w:eastAsiaTheme="minorEastAsia" w:hAnsiTheme="minorEastAsia" w:cstheme="minorEastAsia"/>
                <w:color w:val="000000"/>
                <w:sz w:val="20"/>
                <w:szCs w:val="20"/>
              </w:rPr>
            </w:pPr>
            <w:r>
              <w:rPr>
                <w:rFonts w:asciiTheme="minorEastAsia" w:eastAsiaTheme="minorEastAsia" w:hAnsiTheme="minorEastAsia" w:cstheme="minorEastAsia" w:hint="eastAsia"/>
                <w:color w:val="000000"/>
                <w:sz w:val="20"/>
                <w:szCs w:val="20"/>
              </w:rPr>
              <w:t>18.56</w:t>
            </w:r>
          </w:p>
        </w:tc>
        <w:tc>
          <w:tcPr>
            <w:tcW w:w="1559" w:type="dxa"/>
            <w:gridSpan w:val="2"/>
            <w:noWrap/>
            <w:vAlign w:val="center"/>
          </w:tcPr>
          <w:p w:rsidR="007070EF" w:rsidRDefault="00955420">
            <w:pPr>
              <w:widowControl/>
              <w:jc w:val="right"/>
              <w:textAlignment w:val="center"/>
              <w:rPr>
                <w:rFonts w:asciiTheme="minorEastAsia" w:eastAsiaTheme="minorEastAsia" w:hAnsiTheme="minorEastAsia" w:cstheme="minorEastAsia"/>
                <w:color w:val="000000"/>
                <w:sz w:val="20"/>
                <w:szCs w:val="20"/>
              </w:rPr>
            </w:pPr>
            <w:r>
              <w:rPr>
                <w:rFonts w:asciiTheme="minorEastAsia" w:eastAsiaTheme="minorEastAsia" w:hAnsiTheme="minorEastAsia" w:cstheme="minorEastAsia" w:hint="eastAsia"/>
                <w:color w:val="000000"/>
                <w:kern w:val="0"/>
                <w:sz w:val="20"/>
                <w:szCs w:val="20"/>
              </w:rPr>
              <w:t>92.80%</w:t>
            </w:r>
          </w:p>
        </w:tc>
      </w:tr>
      <w:tr w:rsidR="007070EF">
        <w:trPr>
          <w:gridAfter w:val="1"/>
          <w:wAfter w:w="10" w:type="dxa"/>
          <w:trHeight w:val="454"/>
          <w:jc w:val="center"/>
        </w:trPr>
        <w:tc>
          <w:tcPr>
            <w:tcW w:w="1838" w:type="dxa"/>
            <w:vMerge w:val="restart"/>
            <w:vAlign w:val="center"/>
          </w:tcPr>
          <w:p w:rsidR="007070EF" w:rsidRDefault="00955420">
            <w:pPr>
              <w:widowControl/>
              <w:adjustRightInd w:val="0"/>
              <w:snapToGrid w:val="0"/>
              <w:jc w:val="center"/>
              <w:rPr>
                <w:rFonts w:asciiTheme="minorEastAsia" w:eastAsiaTheme="minorEastAsia" w:hAnsiTheme="minorEastAsia" w:cstheme="minorEastAsia"/>
                <w:color w:val="000000"/>
                <w:kern w:val="0"/>
                <w:sz w:val="20"/>
                <w:szCs w:val="20"/>
              </w:rPr>
            </w:pPr>
            <w:r>
              <w:rPr>
                <w:rFonts w:asciiTheme="minorEastAsia" w:eastAsiaTheme="minorEastAsia" w:hAnsiTheme="minorEastAsia" w:cstheme="minorEastAsia" w:hint="eastAsia"/>
                <w:color w:val="000000"/>
                <w:kern w:val="0"/>
                <w:sz w:val="20"/>
                <w:szCs w:val="20"/>
              </w:rPr>
              <w:t>整体绩效目标实现情况</w:t>
            </w:r>
          </w:p>
        </w:tc>
        <w:tc>
          <w:tcPr>
            <w:tcW w:w="2127" w:type="dxa"/>
            <w:vAlign w:val="center"/>
          </w:tcPr>
          <w:p w:rsidR="007070EF" w:rsidRDefault="00955420">
            <w:pPr>
              <w:widowControl/>
              <w:adjustRightInd w:val="0"/>
              <w:snapToGrid w:val="0"/>
              <w:jc w:val="center"/>
              <w:rPr>
                <w:rFonts w:asciiTheme="minorEastAsia" w:eastAsiaTheme="minorEastAsia" w:hAnsiTheme="minorEastAsia" w:cstheme="minorEastAsia"/>
                <w:color w:val="000000"/>
                <w:kern w:val="0"/>
                <w:sz w:val="20"/>
                <w:szCs w:val="20"/>
              </w:rPr>
            </w:pPr>
            <w:r>
              <w:rPr>
                <w:rFonts w:asciiTheme="minorEastAsia" w:eastAsiaTheme="minorEastAsia" w:hAnsiTheme="minorEastAsia" w:cstheme="minorEastAsia" w:hint="eastAsia"/>
                <w:color w:val="000000"/>
                <w:kern w:val="0"/>
                <w:sz w:val="20"/>
                <w:szCs w:val="20"/>
              </w:rPr>
              <w:t>小计</w:t>
            </w:r>
          </w:p>
        </w:tc>
        <w:tc>
          <w:tcPr>
            <w:tcW w:w="1417" w:type="dxa"/>
            <w:gridSpan w:val="2"/>
            <w:noWrap/>
            <w:vAlign w:val="center"/>
          </w:tcPr>
          <w:p w:rsidR="007070EF" w:rsidRDefault="00955420">
            <w:pPr>
              <w:widowControl/>
              <w:adjustRightInd w:val="0"/>
              <w:snapToGrid w:val="0"/>
              <w:jc w:val="center"/>
              <w:rPr>
                <w:rFonts w:asciiTheme="minorEastAsia" w:eastAsiaTheme="minorEastAsia" w:hAnsiTheme="minorEastAsia" w:cstheme="minorEastAsia"/>
                <w:color w:val="000000"/>
                <w:sz w:val="20"/>
                <w:szCs w:val="20"/>
              </w:rPr>
            </w:pPr>
            <w:r>
              <w:rPr>
                <w:rFonts w:asciiTheme="minorEastAsia" w:eastAsiaTheme="minorEastAsia" w:hAnsiTheme="minorEastAsia" w:cstheme="minorEastAsia" w:hint="eastAsia"/>
                <w:color w:val="000000"/>
                <w:sz w:val="20"/>
                <w:szCs w:val="20"/>
              </w:rPr>
              <w:t>60</w:t>
            </w:r>
          </w:p>
        </w:tc>
        <w:tc>
          <w:tcPr>
            <w:tcW w:w="1418" w:type="dxa"/>
            <w:gridSpan w:val="2"/>
            <w:noWrap/>
            <w:vAlign w:val="center"/>
          </w:tcPr>
          <w:p w:rsidR="007070EF" w:rsidRDefault="00955420">
            <w:pPr>
              <w:widowControl/>
              <w:adjustRightInd w:val="0"/>
              <w:snapToGrid w:val="0"/>
              <w:jc w:val="center"/>
              <w:rPr>
                <w:rFonts w:asciiTheme="minorEastAsia" w:eastAsiaTheme="minorEastAsia" w:hAnsiTheme="minorEastAsia" w:cstheme="minorEastAsia"/>
                <w:color w:val="000000"/>
                <w:sz w:val="20"/>
                <w:szCs w:val="20"/>
              </w:rPr>
            </w:pPr>
            <w:r>
              <w:rPr>
                <w:rFonts w:asciiTheme="minorEastAsia" w:eastAsiaTheme="minorEastAsia" w:hAnsiTheme="minorEastAsia" w:cstheme="minorEastAsia" w:hint="eastAsia"/>
                <w:color w:val="000000"/>
                <w:sz w:val="20"/>
                <w:szCs w:val="20"/>
              </w:rPr>
              <w:t>54.5</w:t>
            </w:r>
          </w:p>
        </w:tc>
        <w:tc>
          <w:tcPr>
            <w:tcW w:w="1559" w:type="dxa"/>
            <w:gridSpan w:val="2"/>
            <w:noWrap/>
            <w:vAlign w:val="center"/>
          </w:tcPr>
          <w:p w:rsidR="007070EF" w:rsidRDefault="00955420">
            <w:pPr>
              <w:widowControl/>
              <w:jc w:val="right"/>
              <w:textAlignment w:val="center"/>
              <w:rPr>
                <w:rFonts w:asciiTheme="minorEastAsia" w:eastAsiaTheme="minorEastAsia" w:hAnsiTheme="minorEastAsia" w:cstheme="minorEastAsia"/>
                <w:color w:val="000000"/>
                <w:sz w:val="20"/>
                <w:szCs w:val="20"/>
              </w:rPr>
            </w:pPr>
            <w:r>
              <w:rPr>
                <w:rFonts w:asciiTheme="minorEastAsia" w:eastAsiaTheme="minorEastAsia" w:hAnsiTheme="minorEastAsia" w:cstheme="minorEastAsia" w:hint="eastAsia"/>
                <w:color w:val="000000"/>
                <w:kern w:val="0"/>
                <w:sz w:val="20"/>
                <w:szCs w:val="20"/>
              </w:rPr>
              <w:t>92.50%</w:t>
            </w:r>
          </w:p>
        </w:tc>
      </w:tr>
      <w:tr w:rsidR="007070EF">
        <w:trPr>
          <w:gridAfter w:val="1"/>
          <w:wAfter w:w="10" w:type="dxa"/>
          <w:trHeight w:val="454"/>
          <w:jc w:val="center"/>
        </w:trPr>
        <w:tc>
          <w:tcPr>
            <w:tcW w:w="1838" w:type="dxa"/>
            <w:vMerge/>
            <w:vAlign w:val="center"/>
          </w:tcPr>
          <w:p w:rsidR="007070EF" w:rsidRDefault="007070EF">
            <w:pPr>
              <w:widowControl/>
              <w:adjustRightInd w:val="0"/>
              <w:snapToGrid w:val="0"/>
              <w:jc w:val="center"/>
              <w:rPr>
                <w:rFonts w:asciiTheme="minorEastAsia" w:eastAsiaTheme="minorEastAsia" w:hAnsiTheme="minorEastAsia" w:cstheme="minorEastAsia"/>
                <w:color w:val="000000"/>
                <w:kern w:val="0"/>
                <w:sz w:val="20"/>
                <w:szCs w:val="20"/>
              </w:rPr>
            </w:pPr>
          </w:p>
        </w:tc>
        <w:tc>
          <w:tcPr>
            <w:tcW w:w="2127" w:type="dxa"/>
            <w:noWrap/>
            <w:vAlign w:val="center"/>
          </w:tcPr>
          <w:p w:rsidR="007070EF" w:rsidRDefault="00955420">
            <w:pPr>
              <w:widowControl/>
              <w:adjustRightInd w:val="0"/>
              <w:snapToGrid w:val="0"/>
              <w:jc w:val="center"/>
              <w:rPr>
                <w:rFonts w:asciiTheme="minorEastAsia" w:eastAsiaTheme="minorEastAsia" w:hAnsiTheme="minorEastAsia" w:cstheme="minorEastAsia"/>
                <w:color w:val="000000"/>
                <w:kern w:val="0"/>
                <w:sz w:val="20"/>
                <w:szCs w:val="20"/>
              </w:rPr>
            </w:pPr>
            <w:r>
              <w:rPr>
                <w:rFonts w:asciiTheme="minorEastAsia" w:eastAsiaTheme="minorEastAsia" w:hAnsiTheme="minorEastAsia" w:cstheme="minorEastAsia" w:hint="eastAsia"/>
                <w:color w:val="000000"/>
                <w:kern w:val="0"/>
                <w:sz w:val="20"/>
                <w:szCs w:val="20"/>
              </w:rPr>
              <w:t>产出</w:t>
            </w:r>
          </w:p>
        </w:tc>
        <w:tc>
          <w:tcPr>
            <w:tcW w:w="1417" w:type="dxa"/>
            <w:gridSpan w:val="2"/>
            <w:noWrap/>
            <w:vAlign w:val="center"/>
          </w:tcPr>
          <w:p w:rsidR="007070EF" w:rsidRDefault="00955420">
            <w:pPr>
              <w:widowControl/>
              <w:adjustRightInd w:val="0"/>
              <w:snapToGrid w:val="0"/>
              <w:jc w:val="center"/>
              <w:rPr>
                <w:rFonts w:asciiTheme="minorEastAsia" w:eastAsiaTheme="minorEastAsia" w:hAnsiTheme="minorEastAsia" w:cstheme="minorEastAsia"/>
                <w:color w:val="000000"/>
                <w:sz w:val="20"/>
                <w:szCs w:val="20"/>
              </w:rPr>
            </w:pPr>
            <w:r>
              <w:rPr>
                <w:rFonts w:asciiTheme="minorEastAsia" w:eastAsiaTheme="minorEastAsia" w:hAnsiTheme="minorEastAsia" w:cstheme="minorEastAsia" w:hint="eastAsia"/>
                <w:color w:val="000000"/>
                <w:sz w:val="20"/>
                <w:szCs w:val="20"/>
              </w:rPr>
              <w:t>30</w:t>
            </w:r>
          </w:p>
        </w:tc>
        <w:tc>
          <w:tcPr>
            <w:tcW w:w="1418" w:type="dxa"/>
            <w:gridSpan w:val="2"/>
            <w:noWrap/>
            <w:vAlign w:val="center"/>
          </w:tcPr>
          <w:p w:rsidR="007070EF" w:rsidRDefault="00955420">
            <w:pPr>
              <w:widowControl/>
              <w:adjustRightInd w:val="0"/>
              <w:snapToGrid w:val="0"/>
              <w:jc w:val="center"/>
              <w:rPr>
                <w:rFonts w:asciiTheme="minorEastAsia" w:eastAsiaTheme="minorEastAsia" w:hAnsiTheme="minorEastAsia" w:cstheme="minorEastAsia"/>
                <w:color w:val="000000"/>
                <w:sz w:val="20"/>
                <w:szCs w:val="20"/>
              </w:rPr>
            </w:pPr>
            <w:r>
              <w:rPr>
                <w:rFonts w:asciiTheme="minorEastAsia" w:eastAsiaTheme="minorEastAsia" w:hAnsiTheme="minorEastAsia" w:cstheme="minorEastAsia" w:hint="eastAsia"/>
                <w:color w:val="000000"/>
                <w:sz w:val="20"/>
                <w:szCs w:val="20"/>
              </w:rPr>
              <w:t>28.5</w:t>
            </w:r>
          </w:p>
        </w:tc>
        <w:tc>
          <w:tcPr>
            <w:tcW w:w="1559" w:type="dxa"/>
            <w:gridSpan w:val="2"/>
            <w:noWrap/>
            <w:vAlign w:val="center"/>
          </w:tcPr>
          <w:p w:rsidR="007070EF" w:rsidRDefault="00955420">
            <w:pPr>
              <w:widowControl/>
              <w:jc w:val="right"/>
              <w:textAlignment w:val="center"/>
              <w:rPr>
                <w:rFonts w:asciiTheme="minorEastAsia" w:eastAsiaTheme="minorEastAsia" w:hAnsiTheme="minorEastAsia" w:cstheme="minorEastAsia"/>
                <w:color w:val="000000"/>
                <w:sz w:val="20"/>
                <w:szCs w:val="20"/>
              </w:rPr>
            </w:pPr>
            <w:r>
              <w:rPr>
                <w:rFonts w:asciiTheme="minorEastAsia" w:eastAsiaTheme="minorEastAsia" w:hAnsiTheme="minorEastAsia" w:cstheme="minorEastAsia" w:hint="eastAsia"/>
                <w:color w:val="000000"/>
                <w:kern w:val="0"/>
                <w:sz w:val="20"/>
                <w:szCs w:val="20"/>
              </w:rPr>
              <w:t>95.00%</w:t>
            </w:r>
          </w:p>
        </w:tc>
      </w:tr>
      <w:tr w:rsidR="007070EF">
        <w:trPr>
          <w:gridAfter w:val="1"/>
          <w:wAfter w:w="10" w:type="dxa"/>
          <w:trHeight w:val="454"/>
          <w:jc w:val="center"/>
        </w:trPr>
        <w:tc>
          <w:tcPr>
            <w:tcW w:w="1838" w:type="dxa"/>
            <w:vMerge/>
            <w:vAlign w:val="center"/>
          </w:tcPr>
          <w:p w:rsidR="007070EF" w:rsidRDefault="007070EF">
            <w:pPr>
              <w:widowControl/>
              <w:adjustRightInd w:val="0"/>
              <w:snapToGrid w:val="0"/>
              <w:jc w:val="center"/>
              <w:rPr>
                <w:rFonts w:asciiTheme="minorEastAsia" w:eastAsiaTheme="minorEastAsia" w:hAnsiTheme="minorEastAsia" w:cstheme="minorEastAsia"/>
                <w:color w:val="000000"/>
                <w:kern w:val="0"/>
                <w:sz w:val="20"/>
                <w:szCs w:val="20"/>
              </w:rPr>
            </w:pPr>
          </w:p>
        </w:tc>
        <w:tc>
          <w:tcPr>
            <w:tcW w:w="2127" w:type="dxa"/>
            <w:noWrap/>
            <w:vAlign w:val="center"/>
          </w:tcPr>
          <w:p w:rsidR="007070EF" w:rsidRDefault="00955420">
            <w:pPr>
              <w:widowControl/>
              <w:adjustRightInd w:val="0"/>
              <w:snapToGrid w:val="0"/>
              <w:jc w:val="center"/>
              <w:rPr>
                <w:rFonts w:asciiTheme="minorEastAsia" w:eastAsiaTheme="minorEastAsia" w:hAnsiTheme="minorEastAsia" w:cstheme="minorEastAsia"/>
                <w:color w:val="000000"/>
                <w:kern w:val="0"/>
                <w:sz w:val="20"/>
                <w:szCs w:val="20"/>
              </w:rPr>
            </w:pPr>
            <w:r>
              <w:rPr>
                <w:rFonts w:asciiTheme="minorEastAsia" w:eastAsiaTheme="minorEastAsia" w:hAnsiTheme="minorEastAsia" w:cstheme="minorEastAsia" w:hint="eastAsia"/>
                <w:color w:val="000000"/>
                <w:kern w:val="0"/>
                <w:sz w:val="20"/>
                <w:szCs w:val="20"/>
              </w:rPr>
              <w:t>效果</w:t>
            </w:r>
          </w:p>
        </w:tc>
        <w:tc>
          <w:tcPr>
            <w:tcW w:w="1417" w:type="dxa"/>
            <w:gridSpan w:val="2"/>
            <w:noWrap/>
            <w:vAlign w:val="center"/>
          </w:tcPr>
          <w:p w:rsidR="007070EF" w:rsidRDefault="00955420">
            <w:pPr>
              <w:widowControl/>
              <w:adjustRightInd w:val="0"/>
              <w:snapToGrid w:val="0"/>
              <w:jc w:val="center"/>
              <w:rPr>
                <w:rFonts w:asciiTheme="minorEastAsia" w:eastAsiaTheme="minorEastAsia" w:hAnsiTheme="minorEastAsia" w:cstheme="minorEastAsia"/>
                <w:color w:val="000000"/>
                <w:sz w:val="20"/>
                <w:szCs w:val="20"/>
              </w:rPr>
            </w:pPr>
            <w:r>
              <w:rPr>
                <w:rFonts w:asciiTheme="minorEastAsia" w:eastAsiaTheme="minorEastAsia" w:hAnsiTheme="minorEastAsia" w:cstheme="minorEastAsia" w:hint="eastAsia"/>
                <w:color w:val="000000"/>
                <w:sz w:val="20"/>
                <w:szCs w:val="20"/>
              </w:rPr>
              <w:t>30</w:t>
            </w:r>
          </w:p>
        </w:tc>
        <w:tc>
          <w:tcPr>
            <w:tcW w:w="1418" w:type="dxa"/>
            <w:gridSpan w:val="2"/>
            <w:noWrap/>
            <w:vAlign w:val="center"/>
          </w:tcPr>
          <w:p w:rsidR="007070EF" w:rsidRDefault="00955420">
            <w:pPr>
              <w:widowControl/>
              <w:adjustRightInd w:val="0"/>
              <w:snapToGrid w:val="0"/>
              <w:jc w:val="center"/>
              <w:rPr>
                <w:rFonts w:asciiTheme="minorEastAsia" w:eastAsiaTheme="minorEastAsia" w:hAnsiTheme="minorEastAsia" w:cstheme="minorEastAsia"/>
                <w:color w:val="000000"/>
                <w:sz w:val="20"/>
                <w:szCs w:val="20"/>
              </w:rPr>
            </w:pPr>
            <w:r>
              <w:rPr>
                <w:rFonts w:asciiTheme="minorEastAsia" w:eastAsiaTheme="minorEastAsia" w:hAnsiTheme="minorEastAsia" w:cstheme="minorEastAsia" w:hint="eastAsia"/>
                <w:color w:val="000000"/>
                <w:sz w:val="20"/>
                <w:szCs w:val="20"/>
              </w:rPr>
              <w:t>27</w:t>
            </w:r>
          </w:p>
        </w:tc>
        <w:tc>
          <w:tcPr>
            <w:tcW w:w="1559" w:type="dxa"/>
            <w:gridSpan w:val="2"/>
            <w:noWrap/>
            <w:vAlign w:val="center"/>
          </w:tcPr>
          <w:p w:rsidR="007070EF" w:rsidRDefault="00955420">
            <w:pPr>
              <w:widowControl/>
              <w:jc w:val="right"/>
              <w:textAlignment w:val="center"/>
              <w:rPr>
                <w:rFonts w:asciiTheme="minorEastAsia" w:eastAsiaTheme="minorEastAsia" w:hAnsiTheme="minorEastAsia" w:cstheme="minorEastAsia"/>
                <w:color w:val="000000"/>
                <w:sz w:val="20"/>
                <w:szCs w:val="20"/>
              </w:rPr>
            </w:pPr>
            <w:r>
              <w:rPr>
                <w:rFonts w:asciiTheme="minorEastAsia" w:eastAsiaTheme="minorEastAsia" w:hAnsiTheme="minorEastAsia" w:cstheme="minorEastAsia" w:hint="eastAsia"/>
                <w:color w:val="000000"/>
                <w:kern w:val="0"/>
                <w:sz w:val="20"/>
                <w:szCs w:val="20"/>
              </w:rPr>
              <w:t>90.00%</w:t>
            </w:r>
          </w:p>
        </w:tc>
      </w:tr>
      <w:tr w:rsidR="007070EF">
        <w:trPr>
          <w:gridAfter w:val="1"/>
          <w:wAfter w:w="10" w:type="dxa"/>
          <w:trHeight w:val="454"/>
          <w:jc w:val="center"/>
        </w:trPr>
        <w:tc>
          <w:tcPr>
            <w:tcW w:w="1838" w:type="dxa"/>
            <w:vMerge w:val="restart"/>
            <w:noWrap/>
            <w:vAlign w:val="center"/>
          </w:tcPr>
          <w:p w:rsidR="007070EF" w:rsidRDefault="00955420">
            <w:pPr>
              <w:widowControl/>
              <w:adjustRightInd w:val="0"/>
              <w:snapToGrid w:val="0"/>
              <w:jc w:val="center"/>
              <w:rPr>
                <w:rFonts w:asciiTheme="minorEastAsia" w:eastAsiaTheme="minorEastAsia" w:hAnsiTheme="minorEastAsia" w:cstheme="minorEastAsia"/>
                <w:color w:val="000000"/>
                <w:kern w:val="0"/>
                <w:sz w:val="20"/>
                <w:szCs w:val="20"/>
              </w:rPr>
            </w:pPr>
            <w:r>
              <w:rPr>
                <w:rFonts w:asciiTheme="minorEastAsia" w:eastAsiaTheme="minorEastAsia" w:hAnsiTheme="minorEastAsia" w:cstheme="minorEastAsia" w:hint="eastAsia"/>
                <w:color w:val="000000"/>
                <w:kern w:val="0"/>
                <w:sz w:val="20"/>
                <w:szCs w:val="20"/>
              </w:rPr>
              <w:t>预算管理情况</w:t>
            </w:r>
          </w:p>
        </w:tc>
        <w:tc>
          <w:tcPr>
            <w:tcW w:w="2127" w:type="dxa"/>
            <w:vAlign w:val="center"/>
          </w:tcPr>
          <w:p w:rsidR="007070EF" w:rsidRDefault="00955420">
            <w:pPr>
              <w:widowControl/>
              <w:adjustRightInd w:val="0"/>
              <w:snapToGrid w:val="0"/>
              <w:jc w:val="center"/>
              <w:rPr>
                <w:rFonts w:asciiTheme="minorEastAsia" w:eastAsiaTheme="minorEastAsia" w:hAnsiTheme="minorEastAsia" w:cstheme="minorEastAsia"/>
                <w:color w:val="000000"/>
                <w:kern w:val="0"/>
                <w:sz w:val="20"/>
                <w:szCs w:val="20"/>
              </w:rPr>
            </w:pPr>
            <w:r>
              <w:rPr>
                <w:rFonts w:asciiTheme="minorEastAsia" w:eastAsiaTheme="minorEastAsia" w:hAnsiTheme="minorEastAsia" w:cstheme="minorEastAsia" w:hint="eastAsia"/>
                <w:color w:val="000000"/>
                <w:kern w:val="0"/>
                <w:sz w:val="20"/>
                <w:szCs w:val="20"/>
              </w:rPr>
              <w:t>小计</w:t>
            </w:r>
          </w:p>
        </w:tc>
        <w:tc>
          <w:tcPr>
            <w:tcW w:w="1417" w:type="dxa"/>
            <w:gridSpan w:val="2"/>
            <w:noWrap/>
            <w:vAlign w:val="center"/>
          </w:tcPr>
          <w:p w:rsidR="007070EF" w:rsidRDefault="00955420">
            <w:pPr>
              <w:widowControl/>
              <w:adjustRightInd w:val="0"/>
              <w:snapToGrid w:val="0"/>
              <w:jc w:val="center"/>
              <w:rPr>
                <w:rFonts w:asciiTheme="minorEastAsia" w:eastAsiaTheme="minorEastAsia" w:hAnsiTheme="minorEastAsia" w:cstheme="minorEastAsia"/>
                <w:color w:val="000000"/>
                <w:sz w:val="20"/>
                <w:szCs w:val="20"/>
              </w:rPr>
            </w:pPr>
            <w:r>
              <w:rPr>
                <w:rFonts w:asciiTheme="minorEastAsia" w:eastAsiaTheme="minorEastAsia" w:hAnsiTheme="minorEastAsia" w:cstheme="minorEastAsia" w:hint="eastAsia"/>
                <w:color w:val="000000"/>
                <w:sz w:val="20"/>
                <w:szCs w:val="20"/>
              </w:rPr>
              <w:t>20</w:t>
            </w:r>
          </w:p>
        </w:tc>
        <w:tc>
          <w:tcPr>
            <w:tcW w:w="1418" w:type="dxa"/>
            <w:gridSpan w:val="2"/>
            <w:noWrap/>
            <w:vAlign w:val="center"/>
          </w:tcPr>
          <w:p w:rsidR="007070EF" w:rsidRDefault="00955420">
            <w:pPr>
              <w:widowControl/>
              <w:adjustRightInd w:val="0"/>
              <w:snapToGrid w:val="0"/>
              <w:jc w:val="center"/>
              <w:rPr>
                <w:rFonts w:asciiTheme="minorEastAsia" w:eastAsiaTheme="minorEastAsia" w:hAnsiTheme="minorEastAsia" w:cstheme="minorEastAsia"/>
                <w:color w:val="000000"/>
                <w:sz w:val="20"/>
                <w:szCs w:val="20"/>
              </w:rPr>
            </w:pPr>
            <w:r>
              <w:rPr>
                <w:rFonts w:asciiTheme="minorEastAsia" w:eastAsiaTheme="minorEastAsia" w:hAnsiTheme="minorEastAsia" w:cstheme="minorEastAsia" w:hint="eastAsia"/>
                <w:color w:val="000000"/>
                <w:sz w:val="20"/>
                <w:szCs w:val="20"/>
              </w:rPr>
              <w:t>18</w:t>
            </w:r>
          </w:p>
        </w:tc>
        <w:tc>
          <w:tcPr>
            <w:tcW w:w="1559" w:type="dxa"/>
            <w:gridSpan w:val="2"/>
            <w:noWrap/>
            <w:vAlign w:val="center"/>
          </w:tcPr>
          <w:p w:rsidR="007070EF" w:rsidRDefault="00955420">
            <w:pPr>
              <w:widowControl/>
              <w:jc w:val="right"/>
              <w:textAlignment w:val="center"/>
              <w:rPr>
                <w:rFonts w:asciiTheme="minorEastAsia" w:eastAsiaTheme="minorEastAsia" w:hAnsiTheme="minorEastAsia" w:cstheme="minorEastAsia"/>
                <w:color w:val="000000"/>
                <w:sz w:val="20"/>
                <w:szCs w:val="20"/>
              </w:rPr>
            </w:pPr>
            <w:r>
              <w:rPr>
                <w:rFonts w:asciiTheme="minorEastAsia" w:eastAsiaTheme="minorEastAsia" w:hAnsiTheme="minorEastAsia" w:cstheme="minorEastAsia" w:hint="eastAsia"/>
                <w:color w:val="000000"/>
                <w:kern w:val="0"/>
                <w:sz w:val="20"/>
                <w:szCs w:val="20"/>
              </w:rPr>
              <w:t>85.00%</w:t>
            </w:r>
          </w:p>
        </w:tc>
      </w:tr>
      <w:tr w:rsidR="007070EF">
        <w:trPr>
          <w:gridAfter w:val="1"/>
          <w:wAfter w:w="10" w:type="dxa"/>
          <w:trHeight w:val="452"/>
          <w:jc w:val="center"/>
        </w:trPr>
        <w:tc>
          <w:tcPr>
            <w:tcW w:w="1838" w:type="dxa"/>
            <w:vMerge/>
            <w:vAlign w:val="center"/>
          </w:tcPr>
          <w:p w:rsidR="007070EF" w:rsidRDefault="007070EF">
            <w:pPr>
              <w:widowControl/>
              <w:adjustRightInd w:val="0"/>
              <w:snapToGrid w:val="0"/>
              <w:jc w:val="center"/>
              <w:rPr>
                <w:rFonts w:asciiTheme="minorEastAsia" w:eastAsiaTheme="minorEastAsia" w:hAnsiTheme="minorEastAsia" w:cstheme="minorEastAsia"/>
                <w:color w:val="000000"/>
                <w:kern w:val="0"/>
                <w:sz w:val="20"/>
                <w:szCs w:val="20"/>
              </w:rPr>
            </w:pPr>
          </w:p>
        </w:tc>
        <w:tc>
          <w:tcPr>
            <w:tcW w:w="2127" w:type="dxa"/>
            <w:noWrap/>
            <w:vAlign w:val="center"/>
          </w:tcPr>
          <w:p w:rsidR="007070EF" w:rsidRDefault="00955420">
            <w:pPr>
              <w:widowControl/>
              <w:adjustRightInd w:val="0"/>
              <w:snapToGrid w:val="0"/>
              <w:jc w:val="center"/>
              <w:rPr>
                <w:rFonts w:asciiTheme="minorEastAsia" w:eastAsiaTheme="minorEastAsia" w:hAnsiTheme="minorEastAsia" w:cstheme="minorEastAsia"/>
                <w:color w:val="000000"/>
                <w:kern w:val="0"/>
                <w:sz w:val="20"/>
                <w:szCs w:val="20"/>
              </w:rPr>
            </w:pPr>
            <w:r>
              <w:rPr>
                <w:rFonts w:asciiTheme="minorEastAsia" w:eastAsiaTheme="minorEastAsia" w:hAnsiTheme="minorEastAsia" w:cstheme="minorEastAsia" w:hint="eastAsia"/>
                <w:color w:val="000000"/>
                <w:kern w:val="0"/>
                <w:sz w:val="20"/>
                <w:szCs w:val="20"/>
              </w:rPr>
              <w:t>财务管理</w:t>
            </w:r>
          </w:p>
        </w:tc>
        <w:tc>
          <w:tcPr>
            <w:tcW w:w="1417" w:type="dxa"/>
            <w:gridSpan w:val="2"/>
            <w:noWrap/>
            <w:vAlign w:val="center"/>
          </w:tcPr>
          <w:p w:rsidR="007070EF" w:rsidRDefault="00955420">
            <w:pPr>
              <w:widowControl/>
              <w:adjustRightInd w:val="0"/>
              <w:snapToGrid w:val="0"/>
              <w:jc w:val="center"/>
              <w:rPr>
                <w:rFonts w:asciiTheme="minorEastAsia" w:eastAsiaTheme="minorEastAsia" w:hAnsiTheme="minorEastAsia" w:cstheme="minorEastAsia"/>
                <w:color w:val="000000"/>
                <w:sz w:val="20"/>
                <w:szCs w:val="20"/>
              </w:rPr>
            </w:pPr>
            <w:r>
              <w:rPr>
                <w:rFonts w:asciiTheme="minorEastAsia" w:eastAsiaTheme="minorEastAsia" w:hAnsiTheme="minorEastAsia" w:cstheme="minorEastAsia" w:hint="eastAsia"/>
                <w:color w:val="000000"/>
                <w:sz w:val="20"/>
                <w:szCs w:val="20"/>
              </w:rPr>
              <w:t>4</w:t>
            </w:r>
          </w:p>
        </w:tc>
        <w:tc>
          <w:tcPr>
            <w:tcW w:w="1418" w:type="dxa"/>
            <w:gridSpan w:val="2"/>
            <w:noWrap/>
            <w:vAlign w:val="center"/>
          </w:tcPr>
          <w:p w:rsidR="007070EF" w:rsidRDefault="00955420">
            <w:pPr>
              <w:widowControl/>
              <w:adjustRightInd w:val="0"/>
              <w:snapToGrid w:val="0"/>
              <w:jc w:val="center"/>
              <w:rPr>
                <w:rFonts w:asciiTheme="minorEastAsia" w:eastAsiaTheme="minorEastAsia" w:hAnsiTheme="minorEastAsia" w:cstheme="minorEastAsia"/>
                <w:color w:val="000000"/>
                <w:sz w:val="20"/>
                <w:szCs w:val="20"/>
              </w:rPr>
            </w:pPr>
            <w:r>
              <w:rPr>
                <w:rFonts w:asciiTheme="minorEastAsia" w:eastAsiaTheme="minorEastAsia" w:hAnsiTheme="minorEastAsia" w:cstheme="minorEastAsia" w:hint="eastAsia"/>
                <w:color w:val="000000"/>
                <w:sz w:val="20"/>
                <w:szCs w:val="20"/>
              </w:rPr>
              <w:t>4</w:t>
            </w:r>
          </w:p>
        </w:tc>
        <w:tc>
          <w:tcPr>
            <w:tcW w:w="1559" w:type="dxa"/>
            <w:gridSpan w:val="2"/>
            <w:noWrap/>
            <w:vAlign w:val="center"/>
          </w:tcPr>
          <w:p w:rsidR="007070EF" w:rsidRDefault="00955420">
            <w:pPr>
              <w:widowControl/>
              <w:jc w:val="right"/>
              <w:textAlignment w:val="center"/>
              <w:rPr>
                <w:rFonts w:asciiTheme="minorEastAsia" w:eastAsiaTheme="minorEastAsia" w:hAnsiTheme="minorEastAsia" w:cstheme="minorEastAsia"/>
                <w:color w:val="000000"/>
                <w:sz w:val="20"/>
                <w:szCs w:val="20"/>
              </w:rPr>
            </w:pPr>
            <w:r>
              <w:rPr>
                <w:rFonts w:asciiTheme="minorEastAsia" w:eastAsiaTheme="minorEastAsia" w:hAnsiTheme="minorEastAsia" w:cstheme="minorEastAsia" w:hint="eastAsia"/>
                <w:color w:val="000000"/>
                <w:kern w:val="0"/>
                <w:sz w:val="20"/>
                <w:szCs w:val="20"/>
              </w:rPr>
              <w:t>100.00%</w:t>
            </w:r>
          </w:p>
        </w:tc>
      </w:tr>
      <w:tr w:rsidR="007070EF">
        <w:trPr>
          <w:gridAfter w:val="1"/>
          <w:wAfter w:w="10" w:type="dxa"/>
          <w:trHeight w:val="454"/>
          <w:jc w:val="center"/>
        </w:trPr>
        <w:tc>
          <w:tcPr>
            <w:tcW w:w="1838" w:type="dxa"/>
            <w:vMerge/>
            <w:vAlign w:val="center"/>
          </w:tcPr>
          <w:p w:rsidR="007070EF" w:rsidRDefault="007070EF">
            <w:pPr>
              <w:widowControl/>
              <w:adjustRightInd w:val="0"/>
              <w:snapToGrid w:val="0"/>
              <w:jc w:val="center"/>
              <w:rPr>
                <w:rFonts w:asciiTheme="minorEastAsia" w:eastAsiaTheme="minorEastAsia" w:hAnsiTheme="minorEastAsia" w:cstheme="minorEastAsia"/>
                <w:color w:val="000000"/>
                <w:kern w:val="0"/>
                <w:sz w:val="20"/>
                <w:szCs w:val="20"/>
              </w:rPr>
            </w:pPr>
          </w:p>
        </w:tc>
        <w:tc>
          <w:tcPr>
            <w:tcW w:w="2127" w:type="dxa"/>
            <w:noWrap/>
            <w:vAlign w:val="center"/>
          </w:tcPr>
          <w:p w:rsidR="007070EF" w:rsidRDefault="00955420">
            <w:pPr>
              <w:widowControl/>
              <w:adjustRightInd w:val="0"/>
              <w:snapToGrid w:val="0"/>
              <w:jc w:val="center"/>
              <w:rPr>
                <w:rFonts w:asciiTheme="minorEastAsia" w:eastAsiaTheme="minorEastAsia" w:hAnsiTheme="minorEastAsia" w:cstheme="minorEastAsia"/>
                <w:color w:val="000000"/>
                <w:kern w:val="0"/>
                <w:sz w:val="20"/>
                <w:szCs w:val="20"/>
              </w:rPr>
            </w:pPr>
            <w:r>
              <w:rPr>
                <w:rFonts w:asciiTheme="minorEastAsia" w:eastAsiaTheme="minorEastAsia" w:hAnsiTheme="minorEastAsia" w:cstheme="minorEastAsia" w:hint="eastAsia"/>
                <w:color w:val="000000"/>
                <w:kern w:val="0"/>
                <w:sz w:val="20"/>
                <w:szCs w:val="20"/>
              </w:rPr>
              <w:t>资产管理</w:t>
            </w:r>
          </w:p>
        </w:tc>
        <w:tc>
          <w:tcPr>
            <w:tcW w:w="1417" w:type="dxa"/>
            <w:gridSpan w:val="2"/>
            <w:noWrap/>
            <w:vAlign w:val="center"/>
          </w:tcPr>
          <w:p w:rsidR="007070EF" w:rsidRDefault="00955420">
            <w:pPr>
              <w:widowControl/>
              <w:adjustRightInd w:val="0"/>
              <w:snapToGrid w:val="0"/>
              <w:jc w:val="center"/>
              <w:rPr>
                <w:rFonts w:asciiTheme="minorEastAsia" w:eastAsiaTheme="minorEastAsia" w:hAnsiTheme="minorEastAsia" w:cstheme="minorEastAsia"/>
                <w:color w:val="000000"/>
                <w:sz w:val="20"/>
                <w:szCs w:val="20"/>
              </w:rPr>
            </w:pPr>
            <w:r>
              <w:rPr>
                <w:rFonts w:asciiTheme="minorEastAsia" w:eastAsiaTheme="minorEastAsia" w:hAnsiTheme="minorEastAsia" w:cstheme="minorEastAsia" w:hint="eastAsia"/>
                <w:color w:val="000000"/>
                <w:sz w:val="20"/>
                <w:szCs w:val="20"/>
              </w:rPr>
              <w:t>4</w:t>
            </w:r>
          </w:p>
        </w:tc>
        <w:tc>
          <w:tcPr>
            <w:tcW w:w="1418" w:type="dxa"/>
            <w:gridSpan w:val="2"/>
            <w:noWrap/>
            <w:vAlign w:val="center"/>
          </w:tcPr>
          <w:p w:rsidR="007070EF" w:rsidRDefault="00955420">
            <w:pPr>
              <w:widowControl/>
              <w:adjustRightInd w:val="0"/>
              <w:snapToGrid w:val="0"/>
              <w:jc w:val="center"/>
              <w:rPr>
                <w:rFonts w:asciiTheme="minorEastAsia" w:eastAsiaTheme="minorEastAsia" w:hAnsiTheme="minorEastAsia" w:cstheme="minorEastAsia"/>
                <w:color w:val="000000"/>
                <w:sz w:val="20"/>
                <w:szCs w:val="20"/>
              </w:rPr>
            </w:pPr>
            <w:r>
              <w:rPr>
                <w:rFonts w:asciiTheme="minorEastAsia" w:eastAsiaTheme="minorEastAsia" w:hAnsiTheme="minorEastAsia" w:cstheme="minorEastAsia" w:hint="eastAsia"/>
                <w:color w:val="000000"/>
                <w:sz w:val="20"/>
                <w:szCs w:val="20"/>
              </w:rPr>
              <w:t>4</w:t>
            </w:r>
          </w:p>
        </w:tc>
        <w:tc>
          <w:tcPr>
            <w:tcW w:w="1559" w:type="dxa"/>
            <w:gridSpan w:val="2"/>
            <w:noWrap/>
            <w:vAlign w:val="center"/>
          </w:tcPr>
          <w:p w:rsidR="007070EF" w:rsidRDefault="00955420">
            <w:pPr>
              <w:widowControl/>
              <w:jc w:val="right"/>
              <w:textAlignment w:val="center"/>
              <w:rPr>
                <w:rFonts w:asciiTheme="minorEastAsia" w:eastAsiaTheme="minorEastAsia" w:hAnsiTheme="minorEastAsia" w:cstheme="minorEastAsia"/>
                <w:color w:val="000000"/>
                <w:sz w:val="20"/>
                <w:szCs w:val="20"/>
              </w:rPr>
            </w:pPr>
            <w:r>
              <w:rPr>
                <w:rFonts w:asciiTheme="minorEastAsia" w:eastAsiaTheme="minorEastAsia" w:hAnsiTheme="minorEastAsia" w:cstheme="minorEastAsia" w:hint="eastAsia"/>
                <w:color w:val="000000"/>
                <w:kern w:val="0"/>
                <w:sz w:val="20"/>
                <w:szCs w:val="20"/>
              </w:rPr>
              <w:t>100.00%</w:t>
            </w:r>
          </w:p>
        </w:tc>
      </w:tr>
      <w:tr w:rsidR="007070EF">
        <w:trPr>
          <w:gridAfter w:val="1"/>
          <w:wAfter w:w="10" w:type="dxa"/>
          <w:trHeight w:val="437"/>
          <w:jc w:val="center"/>
        </w:trPr>
        <w:tc>
          <w:tcPr>
            <w:tcW w:w="1838" w:type="dxa"/>
            <w:vMerge/>
            <w:vAlign w:val="center"/>
          </w:tcPr>
          <w:p w:rsidR="007070EF" w:rsidRDefault="007070EF">
            <w:pPr>
              <w:widowControl/>
              <w:adjustRightInd w:val="0"/>
              <w:snapToGrid w:val="0"/>
              <w:jc w:val="center"/>
              <w:rPr>
                <w:rFonts w:asciiTheme="minorEastAsia" w:eastAsiaTheme="minorEastAsia" w:hAnsiTheme="minorEastAsia" w:cstheme="minorEastAsia"/>
                <w:color w:val="000000"/>
                <w:kern w:val="0"/>
                <w:sz w:val="20"/>
                <w:szCs w:val="20"/>
              </w:rPr>
            </w:pPr>
          </w:p>
        </w:tc>
        <w:tc>
          <w:tcPr>
            <w:tcW w:w="2127" w:type="dxa"/>
            <w:noWrap/>
            <w:vAlign w:val="center"/>
          </w:tcPr>
          <w:p w:rsidR="007070EF" w:rsidRDefault="00955420">
            <w:pPr>
              <w:widowControl/>
              <w:adjustRightInd w:val="0"/>
              <w:snapToGrid w:val="0"/>
              <w:jc w:val="center"/>
              <w:rPr>
                <w:rFonts w:asciiTheme="minorEastAsia" w:eastAsiaTheme="minorEastAsia" w:hAnsiTheme="minorEastAsia" w:cstheme="minorEastAsia"/>
                <w:color w:val="000000"/>
                <w:kern w:val="0"/>
                <w:sz w:val="20"/>
                <w:szCs w:val="20"/>
              </w:rPr>
            </w:pPr>
            <w:r>
              <w:rPr>
                <w:rFonts w:asciiTheme="minorEastAsia" w:eastAsiaTheme="minorEastAsia" w:hAnsiTheme="minorEastAsia" w:cstheme="minorEastAsia" w:hint="eastAsia"/>
                <w:color w:val="000000"/>
                <w:kern w:val="0"/>
                <w:sz w:val="20"/>
                <w:szCs w:val="20"/>
              </w:rPr>
              <w:t>绩效管理</w:t>
            </w:r>
          </w:p>
        </w:tc>
        <w:tc>
          <w:tcPr>
            <w:tcW w:w="1417" w:type="dxa"/>
            <w:gridSpan w:val="2"/>
            <w:noWrap/>
            <w:vAlign w:val="center"/>
          </w:tcPr>
          <w:p w:rsidR="007070EF" w:rsidRDefault="00955420">
            <w:pPr>
              <w:widowControl/>
              <w:adjustRightInd w:val="0"/>
              <w:snapToGrid w:val="0"/>
              <w:jc w:val="center"/>
              <w:rPr>
                <w:rFonts w:asciiTheme="minorEastAsia" w:eastAsiaTheme="minorEastAsia" w:hAnsiTheme="minorEastAsia" w:cstheme="minorEastAsia"/>
                <w:color w:val="000000"/>
                <w:sz w:val="20"/>
                <w:szCs w:val="20"/>
              </w:rPr>
            </w:pPr>
            <w:r>
              <w:rPr>
                <w:rFonts w:asciiTheme="minorEastAsia" w:eastAsiaTheme="minorEastAsia" w:hAnsiTheme="minorEastAsia" w:cstheme="minorEastAsia" w:hint="eastAsia"/>
                <w:color w:val="000000"/>
                <w:sz w:val="20"/>
                <w:szCs w:val="20"/>
              </w:rPr>
              <w:t>4</w:t>
            </w:r>
          </w:p>
        </w:tc>
        <w:tc>
          <w:tcPr>
            <w:tcW w:w="1418" w:type="dxa"/>
            <w:gridSpan w:val="2"/>
            <w:noWrap/>
            <w:vAlign w:val="center"/>
          </w:tcPr>
          <w:p w:rsidR="007070EF" w:rsidRDefault="00955420">
            <w:pPr>
              <w:widowControl/>
              <w:adjustRightInd w:val="0"/>
              <w:snapToGrid w:val="0"/>
              <w:jc w:val="center"/>
              <w:rPr>
                <w:rFonts w:asciiTheme="minorEastAsia" w:eastAsiaTheme="minorEastAsia" w:hAnsiTheme="minorEastAsia" w:cstheme="minorEastAsia"/>
                <w:color w:val="000000"/>
                <w:sz w:val="20"/>
                <w:szCs w:val="20"/>
              </w:rPr>
            </w:pPr>
            <w:r>
              <w:rPr>
                <w:rFonts w:asciiTheme="minorEastAsia" w:eastAsiaTheme="minorEastAsia" w:hAnsiTheme="minorEastAsia" w:cstheme="minorEastAsia" w:hint="eastAsia"/>
                <w:color w:val="000000"/>
                <w:sz w:val="20"/>
                <w:szCs w:val="20"/>
              </w:rPr>
              <w:t>2</w:t>
            </w:r>
          </w:p>
        </w:tc>
        <w:tc>
          <w:tcPr>
            <w:tcW w:w="1559" w:type="dxa"/>
            <w:gridSpan w:val="2"/>
            <w:noWrap/>
            <w:vAlign w:val="center"/>
          </w:tcPr>
          <w:p w:rsidR="007070EF" w:rsidRDefault="00955420">
            <w:pPr>
              <w:widowControl/>
              <w:jc w:val="right"/>
              <w:textAlignment w:val="center"/>
              <w:rPr>
                <w:rFonts w:asciiTheme="minorEastAsia" w:eastAsiaTheme="minorEastAsia" w:hAnsiTheme="minorEastAsia" w:cstheme="minorEastAsia"/>
                <w:color w:val="000000"/>
                <w:sz w:val="20"/>
                <w:szCs w:val="20"/>
              </w:rPr>
            </w:pPr>
            <w:r>
              <w:rPr>
                <w:rFonts w:asciiTheme="minorEastAsia" w:eastAsiaTheme="minorEastAsia" w:hAnsiTheme="minorEastAsia" w:cstheme="minorEastAsia" w:hint="eastAsia"/>
                <w:color w:val="000000"/>
                <w:kern w:val="0"/>
                <w:sz w:val="20"/>
                <w:szCs w:val="20"/>
              </w:rPr>
              <w:t>50.00%</w:t>
            </w:r>
          </w:p>
        </w:tc>
      </w:tr>
      <w:tr w:rsidR="007070EF">
        <w:trPr>
          <w:gridAfter w:val="1"/>
          <w:wAfter w:w="10" w:type="dxa"/>
          <w:trHeight w:val="454"/>
          <w:jc w:val="center"/>
        </w:trPr>
        <w:tc>
          <w:tcPr>
            <w:tcW w:w="1838" w:type="dxa"/>
            <w:vMerge/>
            <w:vAlign w:val="center"/>
          </w:tcPr>
          <w:p w:rsidR="007070EF" w:rsidRDefault="007070EF">
            <w:pPr>
              <w:widowControl/>
              <w:adjustRightInd w:val="0"/>
              <w:snapToGrid w:val="0"/>
              <w:jc w:val="center"/>
              <w:rPr>
                <w:rFonts w:asciiTheme="minorEastAsia" w:eastAsiaTheme="minorEastAsia" w:hAnsiTheme="minorEastAsia" w:cstheme="minorEastAsia"/>
                <w:color w:val="000000"/>
                <w:kern w:val="0"/>
                <w:sz w:val="20"/>
                <w:szCs w:val="20"/>
              </w:rPr>
            </w:pPr>
          </w:p>
        </w:tc>
        <w:tc>
          <w:tcPr>
            <w:tcW w:w="2127" w:type="dxa"/>
            <w:noWrap/>
            <w:vAlign w:val="center"/>
          </w:tcPr>
          <w:p w:rsidR="007070EF" w:rsidRDefault="00955420">
            <w:pPr>
              <w:widowControl/>
              <w:adjustRightInd w:val="0"/>
              <w:snapToGrid w:val="0"/>
              <w:jc w:val="center"/>
              <w:rPr>
                <w:rFonts w:asciiTheme="minorEastAsia" w:eastAsiaTheme="minorEastAsia" w:hAnsiTheme="minorEastAsia" w:cstheme="minorEastAsia"/>
                <w:color w:val="000000"/>
                <w:kern w:val="0"/>
                <w:sz w:val="20"/>
                <w:szCs w:val="20"/>
              </w:rPr>
            </w:pPr>
            <w:r>
              <w:rPr>
                <w:rFonts w:asciiTheme="minorEastAsia" w:eastAsiaTheme="minorEastAsia" w:hAnsiTheme="minorEastAsia" w:cstheme="minorEastAsia" w:hint="eastAsia"/>
                <w:color w:val="000000"/>
                <w:kern w:val="0"/>
                <w:sz w:val="20"/>
                <w:szCs w:val="20"/>
              </w:rPr>
              <w:t>结转结余率</w:t>
            </w:r>
          </w:p>
        </w:tc>
        <w:tc>
          <w:tcPr>
            <w:tcW w:w="1417" w:type="dxa"/>
            <w:gridSpan w:val="2"/>
            <w:noWrap/>
            <w:vAlign w:val="center"/>
          </w:tcPr>
          <w:p w:rsidR="007070EF" w:rsidRDefault="00955420">
            <w:pPr>
              <w:widowControl/>
              <w:adjustRightInd w:val="0"/>
              <w:snapToGrid w:val="0"/>
              <w:jc w:val="center"/>
              <w:rPr>
                <w:rFonts w:asciiTheme="minorEastAsia" w:eastAsiaTheme="minorEastAsia" w:hAnsiTheme="minorEastAsia" w:cstheme="minorEastAsia"/>
                <w:color w:val="000000"/>
                <w:sz w:val="20"/>
                <w:szCs w:val="20"/>
              </w:rPr>
            </w:pPr>
            <w:r>
              <w:rPr>
                <w:rFonts w:asciiTheme="minorEastAsia" w:eastAsiaTheme="minorEastAsia" w:hAnsiTheme="minorEastAsia" w:cstheme="minorEastAsia" w:hint="eastAsia"/>
                <w:color w:val="000000"/>
                <w:sz w:val="20"/>
                <w:szCs w:val="20"/>
              </w:rPr>
              <w:t>4</w:t>
            </w:r>
          </w:p>
        </w:tc>
        <w:tc>
          <w:tcPr>
            <w:tcW w:w="1418" w:type="dxa"/>
            <w:gridSpan w:val="2"/>
            <w:noWrap/>
            <w:vAlign w:val="center"/>
          </w:tcPr>
          <w:p w:rsidR="007070EF" w:rsidRDefault="00955420">
            <w:pPr>
              <w:widowControl/>
              <w:adjustRightInd w:val="0"/>
              <w:snapToGrid w:val="0"/>
              <w:jc w:val="center"/>
              <w:rPr>
                <w:rFonts w:asciiTheme="minorEastAsia" w:eastAsiaTheme="minorEastAsia" w:hAnsiTheme="minorEastAsia" w:cstheme="minorEastAsia"/>
                <w:color w:val="000000"/>
                <w:sz w:val="20"/>
                <w:szCs w:val="20"/>
              </w:rPr>
            </w:pPr>
            <w:r>
              <w:rPr>
                <w:rFonts w:asciiTheme="minorEastAsia" w:eastAsiaTheme="minorEastAsia" w:hAnsiTheme="minorEastAsia" w:cstheme="minorEastAsia" w:hint="eastAsia"/>
                <w:color w:val="000000"/>
                <w:sz w:val="20"/>
                <w:szCs w:val="20"/>
              </w:rPr>
              <w:t>3</w:t>
            </w:r>
          </w:p>
        </w:tc>
        <w:tc>
          <w:tcPr>
            <w:tcW w:w="1559" w:type="dxa"/>
            <w:gridSpan w:val="2"/>
            <w:noWrap/>
            <w:vAlign w:val="center"/>
          </w:tcPr>
          <w:p w:rsidR="007070EF" w:rsidRDefault="00955420">
            <w:pPr>
              <w:widowControl/>
              <w:jc w:val="right"/>
              <w:textAlignment w:val="center"/>
              <w:rPr>
                <w:rFonts w:asciiTheme="minorEastAsia" w:eastAsiaTheme="minorEastAsia" w:hAnsiTheme="minorEastAsia" w:cstheme="minorEastAsia"/>
                <w:color w:val="000000"/>
                <w:sz w:val="20"/>
                <w:szCs w:val="20"/>
              </w:rPr>
            </w:pPr>
            <w:r>
              <w:rPr>
                <w:rFonts w:asciiTheme="minorEastAsia" w:eastAsiaTheme="minorEastAsia" w:hAnsiTheme="minorEastAsia" w:cstheme="minorEastAsia" w:hint="eastAsia"/>
                <w:color w:val="000000"/>
                <w:kern w:val="0"/>
                <w:sz w:val="20"/>
                <w:szCs w:val="20"/>
              </w:rPr>
              <w:t>75.00%</w:t>
            </w:r>
          </w:p>
        </w:tc>
      </w:tr>
      <w:tr w:rsidR="007070EF">
        <w:trPr>
          <w:gridAfter w:val="1"/>
          <w:wAfter w:w="10" w:type="dxa"/>
          <w:trHeight w:val="454"/>
          <w:jc w:val="center"/>
        </w:trPr>
        <w:tc>
          <w:tcPr>
            <w:tcW w:w="1838" w:type="dxa"/>
            <w:vMerge/>
            <w:vAlign w:val="center"/>
          </w:tcPr>
          <w:p w:rsidR="007070EF" w:rsidRDefault="007070EF">
            <w:pPr>
              <w:widowControl/>
              <w:adjustRightInd w:val="0"/>
              <w:snapToGrid w:val="0"/>
              <w:jc w:val="center"/>
              <w:rPr>
                <w:rFonts w:asciiTheme="minorEastAsia" w:eastAsiaTheme="minorEastAsia" w:hAnsiTheme="minorEastAsia" w:cstheme="minorEastAsia"/>
                <w:color w:val="000000"/>
                <w:kern w:val="0"/>
                <w:sz w:val="20"/>
                <w:szCs w:val="20"/>
              </w:rPr>
            </w:pPr>
          </w:p>
        </w:tc>
        <w:tc>
          <w:tcPr>
            <w:tcW w:w="2127" w:type="dxa"/>
            <w:noWrap/>
            <w:vAlign w:val="center"/>
          </w:tcPr>
          <w:p w:rsidR="007070EF" w:rsidRDefault="00955420">
            <w:pPr>
              <w:widowControl/>
              <w:adjustRightInd w:val="0"/>
              <w:snapToGrid w:val="0"/>
              <w:jc w:val="center"/>
              <w:rPr>
                <w:rFonts w:asciiTheme="minorEastAsia" w:eastAsiaTheme="minorEastAsia" w:hAnsiTheme="minorEastAsia" w:cstheme="minorEastAsia"/>
                <w:color w:val="000000"/>
                <w:kern w:val="0"/>
                <w:sz w:val="20"/>
                <w:szCs w:val="20"/>
              </w:rPr>
            </w:pPr>
            <w:r>
              <w:rPr>
                <w:rFonts w:asciiTheme="minorEastAsia" w:eastAsiaTheme="minorEastAsia" w:hAnsiTheme="minorEastAsia" w:cstheme="minorEastAsia" w:hint="eastAsia"/>
                <w:color w:val="000000"/>
                <w:kern w:val="0"/>
                <w:sz w:val="20"/>
                <w:szCs w:val="20"/>
              </w:rPr>
              <w:t>部门预决算差异率</w:t>
            </w:r>
          </w:p>
        </w:tc>
        <w:tc>
          <w:tcPr>
            <w:tcW w:w="1417" w:type="dxa"/>
            <w:gridSpan w:val="2"/>
            <w:noWrap/>
            <w:vAlign w:val="center"/>
          </w:tcPr>
          <w:p w:rsidR="007070EF" w:rsidRDefault="00955420">
            <w:pPr>
              <w:widowControl/>
              <w:adjustRightInd w:val="0"/>
              <w:snapToGrid w:val="0"/>
              <w:jc w:val="center"/>
              <w:rPr>
                <w:rFonts w:asciiTheme="minorEastAsia" w:eastAsiaTheme="minorEastAsia" w:hAnsiTheme="minorEastAsia" w:cstheme="minorEastAsia"/>
                <w:color w:val="000000"/>
                <w:sz w:val="20"/>
                <w:szCs w:val="20"/>
              </w:rPr>
            </w:pPr>
            <w:r>
              <w:rPr>
                <w:rFonts w:asciiTheme="minorEastAsia" w:eastAsiaTheme="minorEastAsia" w:hAnsiTheme="minorEastAsia" w:cstheme="minorEastAsia" w:hint="eastAsia"/>
                <w:color w:val="000000"/>
                <w:sz w:val="20"/>
                <w:szCs w:val="20"/>
              </w:rPr>
              <w:t>4</w:t>
            </w:r>
          </w:p>
        </w:tc>
        <w:tc>
          <w:tcPr>
            <w:tcW w:w="1418" w:type="dxa"/>
            <w:gridSpan w:val="2"/>
            <w:noWrap/>
            <w:vAlign w:val="center"/>
          </w:tcPr>
          <w:p w:rsidR="007070EF" w:rsidRDefault="00955420">
            <w:pPr>
              <w:widowControl/>
              <w:adjustRightInd w:val="0"/>
              <w:snapToGrid w:val="0"/>
              <w:jc w:val="center"/>
              <w:rPr>
                <w:rFonts w:asciiTheme="minorEastAsia" w:eastAsiaTheme="minorEastAsia" w:hAnsiTheme="minorEastAsia" w:cstheme="minorEastAsia"/>
                <w:color w:val="000000"/>
                <w:sz w:val="20"/>
                <w:szCs w:val="20"/>
              </w:rPr>
            </w:pPr>
            <w:r>
              <w:rPr>
                <w:rFonts w:asciiTheme="minorEastAsia" w:eastAsiaTheme="minorEastAsia" w:hAnsiTheme="minorEastAsia" w:cstheme="minorEastAsia" w:hint="eastAsia"/>
                <w:color w:val="000000"/>
                <w:sz w:val="20"/>
                <w:szCs w:val="20"/>
              </w:rPr>
              <w:t>4</w:t>
            </w:r>
          </w:p>
        </w:tc>
        <w:tc>
          <w:tcPr>
            <w:tcW w:w="1559" w:type="dxa"/>
            <w:gridSpan w:val="2"/>
            <w:noWrap/>
            <w:vAlign w:val="center"/>
          </w:tcPr>
          <w:p w:rsidR="007070EF" w:rsidRDefault="00955420">
            <w:pPr>
              <w:widowControl/>
              <w:jc w:val="right"/>
              <w:textAlignment w:val="center"/>
              <w:rPr>
                <w:rFonts w:asciiTheme="minorEastAsia" w:eastAsiaTheme="minorEastAsia" w:hAnsiTheme="minorEastAsia" w:cstheme="minorEastAsia"/>
                <w:color w:val="000000"/>
                <w:sz w:val="20"/>
                <w:szCs w:val="20"/>
              </w:rPr>
            </w:pPr>
            <w:r>
              <w:rPr>
                <w:rFonts w:asciiTheme="minorEastAsia" w:eastAsiaTheme="minorEastAsia" w:hAnsiTheme="minorEastAsia" w:cstheme="minorEastAsia" w:hint="eastAsia"/>
                <w:color w:val="000000"/>
                <w:kern w:val="0"/>
                <w:sz w:val="20"/>
                <w:szCs w:val="20"/>
              </w:rPr>
              <w:t>100.00%</w:t>
            </w:r>
          </w:p>
        </w:tc>
      </w:tr>
      <w:tr w:rsidR="007070EF">
        <w:trPr>
          <w:trHeight w:val="454"/>
          <w:jc w:val="center"/>
        </w:trPr>
        <w:tc>
          <w:tcPr>
            <w:tcW w:w="3975" w:type="dxa"/>
            <w:gridSpan w:val="3"/>
            <w:noWrap/>
            <w:vAlign w:val="center"/>
          </w:tcPr>
          <w:p w:rsidR="007070EF" w:rsidRDefault="00955420">
            <w:pPr>
              <w:widowControl/>
              <w:adjustRightInd w:val="0"/>
              <w:snapToGrid w:val="0"/>
              <w:jc w:val="center"/>
              <w:rPr>
                <w:rFonts w:asciiTheme="minorEastAsia" w:eastAsiaTheme="minorEastAsia" w:hAnsiTheme="minorEastAsia" w:cstheme="minorEastAsia"/>
                <w:b/>
                <w:bCs/>
                <w:color w:val="000000"/>
                <w:kern w:val="0"/>
                <w:sz w:val="20"/>
                <w:szCs w:val="20"/>
              </w:rPr>
            </w:pPr>
            <w:r>
              <w:rPr>
                <w:rFonts w:asciiTheme="minorEastAsia" w:eastAsiaTheme="minorEastAsia" w:hAnsiTheme="minorEastAsia" w:cstheme="minorEastAsia" w:hint="eastAsia"/>
                <w:b/>
                <w:bCs/>
                <w:color w:val="000000"/>
                <w:kern w:val="0"/>
                <w:sz w:val="20"/>
                <w:szCs w:val="20"/>
              </w:rPr>
              <w:t>合计</w:t>
            </w:r>
          </w:p>
        </w:tc>
        <w:tc>
          <w:tcPr>
            <w:tcW w:w="1417" w:type="dxa"/>
            <w:gridSpan w:val="2"/>
            <w:noWrap/>
            <w:vAlign w:val="center"/>
          </w:tcPr>
          <w:p w:rsidR="007070EF" w:rsidRDefault="00955420">
            <w:pPr>
              <w:widowControl/>
              <w:adjustRightInd w:val="0"/>
              <w:snapToGrid w:val="0"/>
              <w:jc w:val="center"/>
              <w:rPr>
                <w:rFonts w:asciiTheme="minorEastAsia" w:eastAsiaTheme="minorEastAsia" w:hAnsiTheme="minorEastAsia" w:cstheme="minorEastAsia"/>
                <w:b/>
                <w:bCs/>
                <w:color w:val="000000"/>
                <w:sz w:val="20"/>
                <w:szCs w:val="20"/>
              </w:rPr>
            </w:pPr>
            <w:r>
              <w:rPr>
                <w:rFonts w:asciiTheme="minorEastAsia" w:eastAsiaTheme="minorEastAsia" w:hAnsiTheme="minorEastAsia" w:cstheme="minorEastAsia" w:hint="eastAsia"/>
                <w:b/>
                <w:bCs/>
                <w:color w:val="000000"/>
                <w:sz w:val="20"/>
                <w:szCs w:val="20"/>
              </w:rPr>
              <w:t>100</w:t>
            </w:r>
          </w:p>
        </w:tc>
        <w:tc>
          <w:tcPr>
            <w:tcW w:w="1418" w:type="dxa"/>
            <w:gridSpan w:val="2"/>
            <w:noWrap/>
            <w:vAlign w:val="center"/>
          </w:tcPr>
          <w:p w:rsidR="007070EF" w:rsidRDefault="00955420">
            <w:pPr>
              <w:widowControl/>
              <w:adjustRightInd w:val="0"/>
              <w:snapToGrid w:val="0"/>
              <w:jc w:val="center"/>
              <w:rPr>
                <w:rFonts w:asciiTheme="minorEastAsia" w:eastAsiaTheme="minorEastAsia" w:hAnsiTheme="minorEastAsia" w:cstheme="minorEastAsia"/>
                <w:b/>
                <w:bCs/>
                <w:color w:val="000000"/>
                <w:sz w:val="20"/>
                <w:szCs w:val="20"/>
              </w:rPr>
            </w:pPr>
            <w:r>
              <w:rPr>
                <w:rFonts w:asciiTheme="minorEastAsia" w:eastAsiaTheme="minorEastAsia" w:hAnsiTheme="minorEastAsia" w:cstheme="minorEastAsia" w:hint="eastAsia"/>
                <w:b/>
                <w:bCs/>
                <w:color w:val="000000"/>
                <w:sz w:val="20"/>
                <w:szCs w:val="20"/>
              </w:rPr>
              <w:t>91.06</w:t>
            </w:r>
          </w:p>
        </w:tc>
        <w:tc>
          <w:tcPr>
            <w:tcW w:w="1559" w:type="dxa"/>
            <w:gridSpan w:val="2"/>
            <w:vAlign w:val="center"/>
          </w:tcPr>
          <w:p w:rsidR="007070EF" w:rsidRDefault="00955420">
            <w:pPr>
              <w:widowControl/>
              <w:adjustRightInd w:val="0"/>
              <w:snapToGrid w:val="0"/>
              <w:jc w:val="center"/>
              <w:rPr>
                <w:rFonts w:asciiTheme="minorEastAsia" w:eastAsiaTheme="minorEastAsia" w:hAnsiTheme="minorEastAsia" w:cstheme="minorEastAsia"/>
                <w:b/>
                <w:bCs/>
                <w:color w:val="000000"/>
                <w:sz w:val="20"/>
                <w:szCs w:val="20"/>
              </w:rPr>
            </w:pPr>
            <w:r>
              <w:rPr>
                <w:rFonts w:asciiTheme="minorEastAsia" w:eastAsiaTheme="minorEastAsia" w:hAnsiTheme="minorEastAsia" w:cstheme="minorEastAsia" w:hint="eastAsia"/>
                <w:b/>
                <w:bCs/>
                <w:color w:val="000000"/>
                <w:sz w:val="20"/>
                <w:szCs w:val="20"/>
              </w:rPr>
              <w:t>－</w:t>
            </w:r>
          </w:p>
        </w:tc>
      </w:tr>
    </w:tbl>
    <w:p w:rsidR="007070EF" w:rsidRDefault="00955420" w:rsidP="00D100BC">
      <w:pPr>
        <w:adjustRightInd w:val="0"/>
        <w:snapToGrid w:val="0"/>
        <w:spacing w:beforeLines="30" w:before="93" w:line="560" w:lineRule="exact"/>
        <w:ind w:firstLineChars="200" w:firstLine="640"/>
        <w:outlineLvl w:val="1"/>
        <w:rPr>
          <w:rFonts w:ascii="仿宋_GB2312" w:eastAsia="仿宋_GB2312" w:hAnsi="仿宋_GB2312" w:cs="仿宋_GB2312"/>
          <w:sz w:val="32"/>
          <w:szCs w:val="32"/>
        </w:rPr>
      </w:pPr>
      <w:bookmarkStart w:id="53" w:name="_Toc102158241"/>
      <w:r>
        <w:rPr>
          <w:rFonts w:ascii="仿宋_GB2312" w:eastAsia="仿宋_GB2312" w:hAnsi="仿宋_GB2312" w:cs="仿宋_GB2312" w:hint="eastAsia"/>
          <w:sz w:val="32"/>
          <w:szCs w:val="32"/>
        </w:rPr>
        <w:t>（二）存在的问题及原因分析</w:t>
      </w:r>
      <w:bookmarkEnd w:id="53"/>
    </w:p>
    <w:p w:rsidR="007070EF" w:rsidRDefault="00955420">
      <w:pPr>
        <w:snapToGrid w:val="0"/>
        <w:spacing w:line="560" w:lineRule="exact"/>
        <w:ind w:firstLineChars="221" w:firstLine="707"/>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1.预算绩效管理基础仍有提升空间</w:t>
      </w:r>
    </w:p>
    <w:p w:rsidR="007070EF" w:rsidRDefault="00FC6662">
      <w:pPr>
        <w:snapToGrid w:val="0"/>
        <w:spacing w:line="560" w:lineRule="exact"/>
        <w:ind w:firstLineChars="221" w:firstLine="707"/>
        <w:rPr>
          <w:rFonts w:ascii="仿宋_GB2312" w:eastAsia="仿宋_GB2312" w:hAnsi="仿宋_GB2312" w:cs="仿宋_GB2312"/>
          <w:kern w:val="0"/>
          <w:sz w:val="32"/>
          <w:szCs w:val="32"/>
        </w:rPr>
      </w:pPr>
      <w:r w:rsidRPr="00FC6662">
        <w:rPr>
          <w:rFonts w:ascii="仿宋_GB2312" w:eastAsia="仿宋_GB2312" w:hAnsi="仿宋_GB2312" w:cs="仿宋_GB2312" w:hint="eastAsia"/>
          <w:kern w:val="0"/>
          <w:sz w:val="32"/>
          <w:szCs w:val="32"/>
        </w:rPr>
        <w:t>一是项目绩效目标设定应进一步全面，表述完整性有待提高；二是绩效指标设定不够全面、规范。</w:t>
      </w:r>
    </w:p>
    <w:p w:rsidR="007070EF" w:rsidRDefault="00955420">
      <w:pPr>
        <w:snapToGrid w:val="0"/>
        <w:spacing w:line="560" w:lineRule="exact"/>
        <w:ind w:firstLineChars="221" w:firstLine="707"/>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2.实施效益总结、呈现有待加强</w:t>
      </w:r>
    </w:p>
    <w:p w:rsidR="007070EF" w:rsidRPr="00FC6662" w:rsidRDefault="00955420">
      <w:pPr>
        <w:snapToGrid w:val="0"/>
        <w:spacing w:line="560" w:lineRule="exact"/>
        <w:ind w:firstLineChars="221" w:firstLine="707"/>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一是未实施效益总结、项目绩效展示不够充分，效益呈现有待加强；二是</w:t>
      </w:r>
      <w:r w:rsidR="00FC6662" w:rsidRPr="00FC6662">
        <w:rPr>
          <w:rFonts w:ascii="仿宋_GB2312" w:eastAsia="仿宋_GB2312" w:hAnsi="仿宋_GB2312" w:cs="仿宋_GB2312" w:hint="eastAsia"/>
          <w:kern w:val="0"/>
          <w:sz w:val="32"/>
          <w:szCs w:val="32"/>
        </w:rPr>
        <w:t>满意度调查范围覆盖面</w:t>
      </w:r>
      <w:r w:rsidR="00FC6662">
        <w:rPr>
          <w:rFonts w:ascii="仿宋_GB2312" w:eastAsia="仿宋_GB2312" w:hAnsi="仿宋_GB2312" w:cs="仿宋_GB2312" w:hint="eastAsia"/>
          <w:kern w:val="0"/>
          <w:sz w:val="32"/>
          <w:szCs w:val="32"/>
        </w:rPr>
        <w:t>较</w:t>
      </w:r>
      <w:r w:rsidR="00FC6662" w:rsidRPr="00FC6662">
        <w:rPr>
          <w:rFonts w:ascii="仿宋_GB2312" w:eastAsia="仿宋_GB2312" w:hAnsi="仿宋_GB2312" w:cs="仿宋_GB2312" w:hint="eastAsia"/>
          <w:kern w:val="0"/>
          <w:sz w:val="32"/>
          <w:szCs w:val="32"/>
        </w:rPr>
        <w:t>窄，不利于项目实施的持续改进与提升。</w:t>
      </w:r>
    </w:p>
    <w:p w:rsidR="007070EF" w:rsidRDefault="00955420">
      <w:pPr>
        <w:adjustRightInd w:val="0"/>
        <w:snapToGrid w:val="0"/>
        <w:spacing w:line="560" w:lineRule="exact"/>
        <w:ind w:firstLineChars="200" w:firstLine="640"/>
        <w:jc w:val="left"/>
        <w:outlineLvl w:val="0"/>
        <w:rPr>
          <w:rFonts w:eastAsia="黑体"/>
          <w:sz w:val="32"/>
          <w:szCs w:val="32"/>
        </w:rPr>
      </w:pPr>
      <w:bookmarkStart w:id="54" w:name="_Toc102158242"/>
      <w:bookmarkStart w:id="55" w:name="_Toc72439026"/>
      <w:r>
        <w:rPr>
          <w:rFonts w:eastAsia="黑体"/>
          <w:sz w:val="32"/>
          <w:szCs w:val="32"/>
        </w:rPr>
        <w:lastRenderedPageBreak/>
        <w:t>六、措施建议</w:t>
      </w:r>
      <w:bookmarkEnd w:id="54"/>
      <w:bookmarkEnd w:id="55"/>
    </w:p>
    <w:p w:rsidR="007070EF" w:rsidRDefault="00955420">
      <w:pPr>
        <w:adjustRightInd w:val="0"/>
        <w:snapToGrid w:val="0"/>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1.规范绩效指标设置，提高绩效指标约束作用</w:t>
      </w:r>
    </w:p>
    <w:p w:rsidR="007070EF" w:rsidRDefault="00955420">
      <w:pPr>
        <w:adjustRightInd w:val="0"/>
        <w:snapToGrid w:val="0"/>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预算申报前期，梳理总结以往年度项目自评发现的问题，结合关于项目预算编报的最新政策精神，明确本年度项目预算编报要求及方式方法；编报过程中，基于预算方向合理设置绩效指标内容及指标值，细化量化反映预期产出数量、质量控制标准、工作阶段时效、受益群体满意度标准等考核指标；预算编报结束后，细化项目预算及绩效指标编制审核要求，落实部门负责人对部门内项目预算及绩效指标编制的把关责任，确保项目年度预算编制准确、合理。</w:t>
      </w:r>
    </w:p>
    <w:p w:rsidR="007070EF" w:rsidRDefault="00955420">
      <w:pPr>
        <w:adjustRightInd w:val="0"/>
        <w:snapToGrid w:val="0"/>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2.注重效益总结，完善基于反馈信息的履职效能优化机制</w:t>
      </w:r>
    </w:p>
    <w:p w:rsidR="007070EF" w:rsidRDefault="00955420">
      <w:p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kern w:val="0"/>
          <w:sz w:val="32"/>
          <w:szCs w:val="32"/>
        </w:rPr>
        <w:t>注重各项工作实施后的效益实现程度、发挥效果的总结与分析，采取线上线下相结合的方式，多种渠道进行满意度调查，扩大满意度样本量，为后续项目优化与改进提供有力参考</w:t>
      </w:r>
      <w:r>
        <w:rPr>
          <w:rFonts w:ascii="仿宋_GB2312" w:eastAsia="仿宋_GB2312" w:hAnsi="仿宋_GB2312" w:cs="仿宋_GB2312" w:hint="eastAsia"/>
          <w:sz w:val="32"/>
          <w:szCs w:val="32"/>
        </w:rPr>
        <w:t>。</w:t>
      </w:r>
    </w:p>
    <w:p w:rsidR="007070EF" w:rsidRDefault="00955420">
      <w:pPr>
        <w:pStyle w:val="1"/>
        <w:rPr>
          <w:sz w:val="32"/>
          <w:szCs w:val="32"/>
        </w:rPr>
      </w:pPr>
      <w:bookmarkStart w:id="56" w:name="_Toc103006301"/>
      <w:r>
        <w:rPr>
          <w:rFonts w:hint="eastAsia"/>
          <w:sz w:val="32"/>
          <w:szCs w:val="32"/>
        </w:rPr>
        <w:t>七、附件</w:t>
      </w:r>
      <w:bookmarkEnd w:id="56"/>
    </w:p>
    <w:p w:rsidR="007070EF" w:rsidRDefault="00955420">
      <w:pPr>
        <w:spacing w:line="600" w:lineRule="exact"/>
        <w:ind w:firstLine="641"/>
      </w:pPr>
      <w:r>
        <w:rPr>
          <w:rFonts w:ascii="仿宋_GB2312" w:eastAsia="仿宋_GB2312" w:hAnsi="仿宋_GB2312" w:cs="仿宋_GB2312" w:hint="eastAsia"/>
          <w:sz w:val="32"/>
          <w:szCs w:val="32"/>
        </w:rPr>
        <w:t>2024年部门整体绩效评价指标体系评分表</w:t>
      </w:r>
    </w:p>
    <w:p w:rsidR="007070EF" w:rsidRDefault="007070EF"/>
    <w:sectPr w:rsidR="007070EF" w:rsidSect="00F46FD6">
      <w:footerReference w:type="default" r:id="rId9"/>
      <w:pgSz w:w="11906" w:h="16838"/>
      <w:pgMar w:top="1440" w:right="1633" w:bottom="1440" w:left="1689"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1AF6" w:rsidRDefault="00B41AF6">
      <w:r>
        <w:separator/>
      </w:r>
    </w:p>
  </w:endnote>
  <w:endnote w:type="continuationSeparator" w:id="0">
    <w:p w:rsidR="00B41AF6" w:rsidRDefault="00B41A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GB2312">
    <w:altName w:val="仿宋"/>
    <w:charset w:val="00"/>
    <w:family w:val="auto"/>
    <w:pitch w:val="default"/>
    <w:sig w:usb0="00000000" w:usb1="00000000" w:usb2="00000000" w:usb3="00000000" w:csb0="00040001" w:csb1="00000000"/>
  </w:font>
  <w:font w:name="仿宋_GB2312">
    <w:panose1 w:val="02010609030101010101"/>
    <w:charset w:val="86"/>
    <w:family w:val="modern"/>
    <w:pitch w:val="fixed"/>
    <w:sig w:usb0="00000001" w:usb1="080E0000" w:usb2="00000010" w:usb3="00000000" w:csb0="00040000" w:csb1="00000000"/>
  </w:font>
  <w:font w:name="_x000B__x000C_">
    <w:altName w:val="微软雅黑"/>
    <w:charset w:val="00"/>
    <w:family w:val="roman"/>
    <w:pitch w:val="default"/>
    <w:sig w:usb0="00000000" w:usb1="00000000" w:usb2="00000000"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2010601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70EF" w:rsidRDefault="007070EF">
    <w:pPr>
      <w:pStyle w:val="a7"/>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70EF" w:rsidRDefault="00B41AF6">
    <w:pPr>
      <w:pStyle w:val="a7"/>
      <w:jc w:val="right"/>
    </w:pPr>
    <w:r>
      <w:rPr>
        <w:noProof/>
        <w:sz w:val="28"/>
      </w:rPr>
      <w:pict>
        <v:shapetype id="_x0000_t202" coordsize="21600,21600" o:spt="202" path="m,l,21600r21600,l21600,xe">
          <v:stroke joinstyle="miter"/>
          <v:path gradientshapeok="t" o:connecttype="rect"/>
        </v:shapetype>
        <v:shape id="文本框 1" o:spid="_x0000_s2049" type="#_x0000_t202" style="position:absolute;left:0;text-align:left;margin-left:0;margin-top:0;width:9.05pt;height:10.35pt;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" filled="f" stroked="f" strokeweight=".5pt">
          <v:textbox style="mso-fit-shape-to-text:t" inset="0,0,0,0">
            <w:txbxContent>
              <w:p w:rsidR="007070EF" w:rsidRDefault="00857E74">
                <w:pPr>
                  <w:pStyle w:val="a7"/>
                </w:pPr>
                <w:r>
                  <w:fldChar w:fldCharType="begin"/>
                </w:r>
                <w:r w:rsidR="00955420">
                  <w:instrText xml:space="preserve"> PAGE  \* MERGEFORMAT </w:instrText>
                </w:r>
                <w:r>
                  <w:fldChar w:fldCharType="separate"/>
                </w:r>
                <w:r w:rsidR="00DE44BF">
                  <w:rPr>
                    <w:noProof/>
                  </w:rPr>
                  <w:t>3</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1AF6" w:rsidRDefault="00B41AF6">
      <w:r>
        <w:separator/>
      </w:r>
    </w:p>
  </w:footnote>
  <w:footnote w:type="continuationSeparator" w:id="0">
    <w:p w:rsidR="00B41AF6" w:rsidRDefault="00B41A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97CDE4C"/>
    <w:multiLevelType w:val="singleLevel"/>
    <w:tmpl w:val="897CDE4C"/>
    <w:lvl w:ilvl="0">
      <w:start w:val="4"/>
      <w:numFmt w:val="decimal"/>
      <w:suff w:val="nothing"/>
      <w:lvlText w:val="（%1）"/>
      <w:lvlJc w:val="left"/>
    </w:lvl>
  </w:abstractNum>
  <w:abstractNum w:abstractNumId="1" w15:restartNumberingAfterBreak="0">
    <w:nsid w:val="9FCB2327"/>
    <w:multiLevelType w:val="singleLevel"/>
    <w:tmpl w:val="9FCB2327"/>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trackRevisions/>
  <w:defaultTabStop w:val="420"/>
  <w:drawingGridVerticalSpacing w:val="156"/>
  <w:noPunctuationKerning/>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U5ZWNhMDY0MDYxNzEwNTU1NmQ1OWE5NjQ1NzBlYmIifQ=="/>
    <w:docVar w:name="KSO_WPS_MARK_KEY" w:val="53d2a800-0691-4eab-b58c-bcfb356e3cf4"/>
  </w:docVars>
  <w:rsids>
    <w:rsidRoot w:val="F77F09F4"/>
    <w:rsid w:val="A3AA735E"/>
    <w:rsid w:val="A75D4892"/>
    <w:rsid w:val="AFFFCE02"/>
    <w:rsid w:val="CEFD3F3D"/>
    <w:rsid w:val="D6B22E60"/>
    <w:rsid w:val="EA3F77F2"/>
    <w:rsid w:val="EEFE5989"/>
    <w:rsid w:val="EFCF3EAE"/>
    <w:rsid w:val="F4FDEB06"/>
    <w:rsid w:val="F5B764A2"/>
    <w:rsid w:val="F77F09F4"/>
    <w:rsid w:val="FBFF6E65"/>
    <w:rsid w:val="FEEF6AA0"/>
    <w:rsid w:val="FFB792B8"/>
    <w:rsid w:val="FFD7BFFC"/>
    <w:rsid w:val="FFFA6B0F"/>
    <w:rsid w:val="FFFFB6E6"/>
    <w:rsid w:val="00002BEA"/>
    <w:rsid w:val="00011FDC"/>
    <w:rsid w:val="00031B7D"/>
    <w:rsid w:val="00036861"/>
    <w:rsid w:val="00076EBD"/>
    <w:rsid w:val="00085D7C"/>
    <w:rsid w:val="000B4F41"/>
    <w:rsid w:val="000E6690"/>
    <w:rsid w:val="00130FDE"/>
    <w:rsid w:val="001B3700"/>
    <w:rsid w:val="001C2360"/>
    <w:rsid w:val="001D72DE"/>
    <w:rsid w:val="00204EC7"/>
    <w:rsid w:val="00261352"/>
    <w:rsid w:val="00277741"/>
    <w:rsid w:val="00295061"/>
    <w:rsid w:val="002A56E8"/>
    <w:rsid w:val="002F4279"/>
    <w:rsid w:val="00310467"/>
    <w:rsid w:val="00320C1B"/>
    <w:rsid w:val="0032110D"/>
    <w:rsid w:val="00363EB2"/>
    <w:rsid w:val="00365C5B"/>
    <w:rsid w:val="00372ABC"/>
    <w:rsid w:val="003B09E8"/>
    <w:rsid w:val="003B73C7"/>
    <w:rsid w:val="00423EC4"/>
    <w:rsid w:val="0043685F"/>
    <w:rsid w:val="004372BE"/>
    <w:rsid w:val="004418DB"/>
    <w:rsid w:val="004A16BE"/>
    <w:rsid w:val="004C7407"/>
    <w:rsid w:val="004E7667"/>
    <w:rsid w:val="0053653F"/>
    <w:rsid w:val="005544B2"/>
    <w:rsid w:val="0058442F"/>
    <w:rsid w:val="005A0EAA"/>
    <w:rsid w:val="005A45E2"/>
    <w:rsid w:val="006227F4"/>
    <w:rsid w:val="0063675A"/>
    <w:rsid w:val="00636C1E"/>
    <w:rsid w:val="006428F5"/>
    <w:rsid w:val="00667F23"/>
    <w:rsid w:val="006D5DE5"/>
    <w:rsid w:val="007070EF"/>
    <w:rsid w:val="0071096A"/>
    <w:rsid w:val="00760B08"/>
    <w:rsid w:val="00787798"/>
    <w:rsid w:val="007D34DD"/>
    <w:rsid w:val="00857E74"/>
    <w:rsid w:val="0087523C"/>
    <w:rsid w:val="008A137A"/>
    <w:rsid w:val="008A4426"/>
    <w:rsid w:val="008C10BE"/>
    <w:rsid w:val="008C584F"/>
    <w:rsid w:val="008E6B60"/>
    <w:rsid w:val="009063CA"/>
    <w:rsid w:val="00955420"/>
    <w:rsid w:val="009C457E"/>
    <w:rsid w:val="00A063A4"/>
    <w:rsid w:val="00A34247"/>
    <w:rsid w:val="00A62155"/>
    <w:rsid w:val="00B03C49"/>
    <w:rsid w:val="00B11D51"/>
    <w:rsid w:val="00B135D3"/>
    <w:rsid w:val="00B41AF6"/>
    <w:rsid w:val="00B876C2"/>
    <w:rsid w:val="00BE0022"/>
    <w:rsid w:val="00BE74E1"/>
    <w:rsid w:val="00BF1325"/>
    <w:rsid w:val="00C11669"/>
    <w:rsid w:val="00C26D6F"/>
    <w:rsid w:val="00C302D0"/>
    <w:rsid w:val="00C47D26"/>
    <w:rsid w:val="00C62D83"/>
    <w:rsid w:val="00C808E7"/>
    <w:rsid w:val="00C95927"/>
    <w:rsid w:val="00CA6DD1"/>
    <w:rsid w:val="00CE49D7"/>
    <w:rsid w:val="00D100BC"/>
    <w:rsid w:val="00D3566C"/>
    <w:rsid w:val="00D5738D"/>
    <w:rsid w:val="00D63A09"/>
    <w:rsid w:val="00DA335F"/>
    <w:rsid w:val="00DA679F"/>
    <w:rsid w:val="00DE44BF"/>
    <w:rsid w:val="00DF152D"/>
    <w:rsid w:val="00E27C51"/>
    <w:rsid w:val="00E663C0"/>
    <w:rsid w:val="00EF4358"/>
    <w:rsid w:val="00F0635A"/>
    <w:rsid w:val="00F46FD6"/>
    <w:rsid w:val="00F90268"/>
    <w:rsid w:val="00FA3F85"/>
    <w:rsid w:val="00FB4036"/>
    <w:rsid w:val="00FC6662"/>
    <w:rsid w:val="00FE4F9D"/>
    <w:rsid w:val="02F254D6"/>
    <w:rsid w:val="03FD05D6"/>
    <w:rsid w:val="04025BED"/>
    <w:rsid w:val="04A722F0"/>
    <w:rsid w:val="05B178CA"/>
    <w:rsid w:val="066414C5"/>
    <w:rsid w:val="06976AC0"/>
    <w:rsid w:val="08C90A87"/>
    <w:rsid w:val="09C120A6"/>
    <w:rsid w:val="09DF23D3"/>
    <w:rsid w:val="0A195A3E"/>
    <w:rsid w:val="0A2F7010"/>
    <w:rsid w:val="0A9F4195"/>
    <w:rsid w:val="0AAE0F84"/>
    <w:rsid w:val="0BC1013B"/>
    <w:rsid w:val="0C450D6C"/>
    <w:rsid w:val="0C8C0F26"/>
    <w:rsid w:val="0DA33989"/>
    <w:rsid w:val="0DB37F58"/>
    <w:rsid w:val="0DDD6D83"/>
    <w:rsid w:val="0ED63EFE"/>
    <w:rsid w:val="0EDB32C2"/>
    <w:rsid w:val="0F474DFC"/>
    <w:rsid w:val="0F692FC4"/>
    <w:rsid w:val="0F8C280E"/>
    <w:rsid w:val="0FBA737B"/>
    <w:rsid w:val="108005C5"/>
    <w:rsid w:val="10E24DDC"/>
    <w:rsid w:val="11CC2778"/>
    <w:rsid w:val="12415B32"/>
    <w:rsid w:val="12B61685"/>
    <w:rsid w:val="13D053C0"/>
    <w:rsid w:val="14172FEE"/>
    <w:rsid w:val="14B7657F"/>
    <w:rsid w:val="14BE6935"/>
    <w:rsid w:val="14C50C9C"/>
    <w:rsid w:val="14EF3F6B"/>
    <w:rsid w:val="14F3370C"/>
    <w:rsid w:val="14F52C04"/>
    <w:rsid w:val="16D03928"/>
    <w:rsid w:val="175F53D8"/>
    <w:rsid w:val="17650515"/>
    <w:rsid w:val="187C3D68"/>
    <w:rsid w:val="1909511C"/>
    <w:rsid w:val="199E1ABC"/>
    <w:rsid w:val="1B291859"/>
    <w:rsid w:val="1B4F7512"/>
    <w:rsid w:val="1B7E19C8"/>
    <w:rsid w:val="1B8B6070"/>
    <w:rsid w:val="1BC752FA"/>
    <w:rsid w:val="1C24274C"/>
    <w:rsid w:val="1DDE4B7D"/>
    <w:rsid w:val="1DE40BC0"/>
    <w:rsid w:val="1E89347E"/>
    <w:rsid w:val="1F4629DA"/>
    <w:rsid w:val="1F896D6A"/>
    <w:rsid w:val="1FB75686"/>
    <w:rsid w:val="1FF97D9D"/>
    <w:rsid w:val="20C67996"/>
    <w:rsid w:val="2154787F"/>
    <w:rsid w:val="216058A9"/>
    <w:rsid w:val="218C669E"/>
    <w:rsid w:val="21D50045"/>
    <w:rsid w:val="224D22D1"/>
    <w:rsid w:val="224F6049"/>
    <w:rsid w:val="241A4435"/>
    <w:rsid w:val="259A582D"/>
    <w:rsid w:val="26661BB3"/>
    <w:rsid w:val="26887D7C"/>
    <w:rsid w:val="26A60202"/>
    <w:rsid w:val="274D71B0"/>
    <w:rsid w:val="276E51C4"/>
    <w:rsid w:val="27D86AE1"/>
    <w:rsid w:val="27F76F67"/>
    <w:rsid w:val="29E51041"/>
    <w:rsid w:val="2A0B47BC"/>
    <w:rsid w:val="2C747D26"/>
    <w:rsid w:val="2CE81574"/>
    <w:rsid w:val="2CEC4756"/>
    <w:rsid w:val="2D9B65E7"/>
    <w:rsid w:val="2DC773DC"/>
    <w:rsid w:val="2E8928E3"/>
    <w:rsid w:val="2EC76F67"/>
    <w:rsid w:val="2F5702EB"/>
    <w:rsid w:val="3098505F"/>
    <w:rsid w:val="31197F4E"/>
    <w:rsid w:val="313855C8"/>
    <w:rsid w:val="313C59EB"/>
    <w:rsid w:val="327658F6"/>
    <w:rsid w:val="33174961"/>
    <w:rsid w:val="34C71A6F"/>
    <w:rsid w:val="357E0CC8"/>
    <w:rsid w:val="36932551"/>
    <w:rsid w:val="37173543"/>
    <w:rsid w:val="39CD7B28"/>
    <w:rsid w:val="3A255BB6"/>
    <w:rsid w:val="3BF91BD2"/>
    <w:rsid w:val="3C7544A7"/>
    <w:rsid w:val="3D18555E"/>
    <w:rsid w:val="3D85696B"/>
    <w:rsid w:val="3DDD67A7"/>
    <w:rsid w:val="3DE96EFA"/>
    <w:rsid w:val="3E067AAC"/>
    <w:rsid w:val="3E0B6E71"/>
    <w:rsid w:val="3E0E4BB3"/>
    <w:rsid w:val="3E1D4DF6"/>
    <w:rsid w:val="3E3363C7"/>
    <w:rsid w:val="3E675197"/>
    <w:rsid w:val="3F9335C1"/>
    <w:rsid w:val="3FCE45FA"/>
    <w:rsid w:val="3FDBA076"/>
    <w:rsid w:val="3FDFB3F0"/>
    <w:rsid w:val="3FDFC9A6"/>
    <w:rsid w:val="3FF76880"/>
    <w:rsid w:val="3FFD3288"/>
    <w:rsid w:val="42976F25"/>
    <w:rsid w:val="43B12268"/>
    <w:rsid w:val="479F062A"/>
    <w:rsid w:val="484F2050"/>
    <w:rsid w:val="489D725F"/>
    <w:rsid w:val="4968161B"/>
    <w:rsid w:val="4A744F6C"/>
    <w:rsid w:val="4B6B53F2"/>
    <w:rsid w:val="4D267823"/>
    <w:rsid w:val="4EB112F1"/>
    <w:rsid w:val="4EC15329"/>
    <w:rsid w:val="4F082F58"/>
    <w:rsid w:val="51D04201"/>
    <w:rsid w:val="5248356D"/>
    <w:rsid w:val="528E6EE9"/>
    <w:rsid w:val="53034162"/>
    <w:rsid w:val="55B33C1E"/>
    <w:rsid w:val="56332FB1"/>
    <w:rsid w:val="567F7FA4"/>
    <w:rsid w:val="5697709C"/>
    <w:rsid w:val="57323268"/>
    <w:rsid w:val="578F4217"/>
    <w:rsid w:val="58132BF3"/>
    <w:rsid w:val="582D71E4"/>
    <w:rsid w:val="583F79EB"/>
    <w:rsid w:val="59DD49F0"/>
    <w:rsid w:val="5A2846F5"/>
    <w:rsid w:val="5AB50438"/>
    <w:rsid w:val="5B8D4F11"/>
    <w:rsid w:val="5BFD4AC2"/>
    <w:rsid w:val="5C4952DC"/>
    <w:rsid w:val="5CF3349A"/>
    <w:rsid w:val="5D973E25"/>
    <w:rsid w:val="5E0D2339"/>
    <w:rsid w:val="5E2751A9"/>
    <w:rsid w:val="606326E4"/>
    <w:rsid w:val="60A30D33"/>
    <w:rsid w:val="60D45336"/>
    <w:rsid w:val="61DB74CB"/>
    <w:rsid w:val="61F77588"/>
    <w:rsid w:val="62D96C8E"/>
    <w:rsid w:val="643D33B8"/>
    <w:rsid w:val="64854A03"/>
    <w:rsid w:val="654523B9"/>
    <w:rsid w:val="67759716"/>
    <w:rsid w:val="67D95F2C"/>
    <w:rsid w:val="681542C4"/>
    <w:rsid w:val="68E819D9"/>
    <w:rsid w:val="69A73642"/>
    <w:rsid w:val="69EE1271"/>
    <w:rsid w:val="6A5D01A4"/>
    <w:rsid w:val="6A6E5F0E"/>
    <w:rsid w:val="6AB53B3C"/>
    <w:rsid w:val="6CFC1EF7"/>
    <w:rsid w:val="6F3D6584"/>
    <w:rsid w:val="6F775864"/>
    <w:rsid w:val="6F7ED27B"/>
    <w:rsid w:val="719721EE"/>
    <w:rsid w:val="72005FE5"/>
    <w:rsid w:val="72B90CE0"/>
    <w:rsid w:val="72F25036"/>
    <w:rsid w:val="73104006"/>
    <w:rsid w:val="74D774D1"/>
    <w:rsid w:val="75047B9A"/>
    <w:rsid w:val="758331B5"/>
    <w:rsid w:val="75B17A7C"/>
    <w:rsid w:val="76404C02"/>
    <w:rsid w:val="767D5E56"/>
    <w:rsid w:val="76B4739E"/>
    <w:rsid w:val="76F123A0"/>
    <w:rsid w:val="775D5831"/>
    <w:rsid w:val="77B91110"/>
    <w:rsid w:val="77CB0E43"/>
    <w:rsid w:val="78391507"/>
    <w:rsid w:val="78AA2807"/>
    <w:rsid w:val="796C5D0E"/>
    <w:rsid w:val="799C4845"/>
    <w:rsid w:val="7A371431"/>
    <w:rsid w:val="7AB7FF50"/>
    <w:rsid w:val="7AEAF641"/>
    <w:rsid w:val="7B450F0D"/>
    <w:rsid w:val="7BAD2729"/>
    <w:rsid w:val="7BFEB0DB"/>
    <w:rsid w:val="7D382AD7"/>
    <w:rsid w:val="7D81015C"/>
    <w:rsid w:val="7F983D01"/>
    <w:rsid w:val="7FFF4E81"/>
    <w:rsid w:val="7FFFD0D3"/>
    <w:rsid w:val="8716660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AE762DC"/>
  <w15:docId w15:val="{DEA24A4C-F044-4BC3-AF25-17182DDC2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semiHidden="1" w:unhideWhenUsed="1"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uiPriority="39"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iPriority="99"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uiPriority="99"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6FD6"/>
    <w:pPr>
      <w:widowControl w:val="0"/>
      <w:jc w:val="both"/>
    </w:pPr>
    <w:rPr>
      <w:kern w:val="2"/>
      <w:sz w:val="21"/>
      <w:szCs w:val="24"/>
    </w:rPr>
  </w:style>
  <w:style w:type="paragraph" w:styleId="1">
    <w:name w:val="heading 1"/>
    <w:basedOn w:val="a"/>
    <w:next w:val="a"/>
    <w:uiPriority w:val="9"/>
    <w:qFormat/>
    <w:rsid w:val="00F46FD6"/>
    <w:pPr>
      <w:spacing w:line="600" w:lineRule="exact"/>
      <w:ind w:firstLine="640"/>
      <w:outlineLvl w:val="0"/>
    </w:pPr>
    <w:rPr>
      <w:rFonts w:ascii="黑体" w:eastAsia="黑体" w:hAnsi="黑体" w:cs="宋体"/>
      <w:color w:val="000000"/>
      <w:kern w:val="0"/>
    </w:rPr>
  </w:style>
  <w:style w:type="paragraph" w:styleId="2">
    <w:name w:val="heading 2"/>
    <w:basedOn w:val="a"/>
    <w:next w:val="a"/>
    <w:qFormat/>
    <w:rsid w:val="00F46FD6"/>
    <w:pPr>
      <w:keepNext/>
      <w:keepLines/>
      <w:spacing w:before="260" w:after="260" w:line="413" w:lineRule="auto"/>
      <w:outlineLvl w:val="1"/>
    </w:pPr>
    <w:rPr>
      <w:rFonts w:ascii="Arial" w:eastAsia="黑体" w:hAnsi="Arial"/>
      <w:b/>
      <w:sz w:val="32"/>
    </w:rPr>
  </w:style>
  <w:style w:type="paragraph" w:styleId="4">
    <w:name w:val="heading 4"/>
    <w:basedOn w:val="a"/>
    <w:next w:val="a"/>
    <w:uiPriority w:val="9"/>
    <w:qFormat/>
    <w:rsid w:val="00F46FD6"/>
    <w:pPr>
      <w:keepNext/>
      <w:keepLines/>
      <w:spacing w:line="372" w:lineRule="auto"/>
      <w:ind w:firstLineChars="200" w:firstLine="640"/>
      <w:outlineLvl w:val="3"/>
    </w:pPr>
    <w:rPr>
      <w:rFonts w:ascii="Arial" w:eastAsia="仿宋GB2312" w:hAnsi="Arial"/>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F46FD6"/>
    <w:pPr>
      <w:jc w:val="left"/>
    </w:pPr>
  </w:style>
  <w:style w:type="paragraph" w:styleId="a4">
    <w:name w:val="Body Text Indent"/>
    <w:basedOn w:val="a"/>
    <w:uiPriority w:val="99"/>
    <w:semiHidden/>
    <w:unhideWhenUsed/>
    <w:qFormat/>
    <w:rsid w:val="00F46FD6"/>
    <w:pPr>
      <w:spacing w:after="120"/>
      <w:ind w:leftChars="200" w:left="420"/>
    </w:pPr>
  </w:style>
  <w:style w:type="paragraph" w:styleId="3">
    <w:name w:val="toc 3"/>
    <w:basedOn w:val="a"/>
    <w:next w:val="a"/>
    <w:uiPriority w:val="39"/>
    <w:qFormat/>
    <w:rsid w:val="00F46FD6"/>
    <w:pPr>
      <w:ind w:leftChars="400" w:left="840"/>
    </w:pPr>
  </w:style>
  <w:style w:type="paragraph" w:styleId="a5">
    <w:name w:val="Balloon Text"/>
    <w:basedOn w:val="a"/>
    <w:link w:val="a6"/>
    <w:semiHidden/>
    <w:unhideWhenUsed/>
    <w:qFormat/>
    <w:rsid w:val="00F46FD6"/>
    <w:rPr>
      <w:sz w:val="18"/>
      <w:szCs w:val="18"/>
    </w:rPr>
  </w:style>
  <w:style w:type="paragraph" w:styleId="a7">
    <w:name w:val="footer"/>
    <w:basedOn w:val="a"/>
    <w:uiPriority w:val="99"/>
    <w:qFormat/>
    <w:rsid w:val="00F46FD6"/>
    <w:pPr>
      <w:tabs>
        <w:tab w:val="center" w:pos="4153"/>
        <w:tab w:val="right" w:pos="8306"/>
      </w:tabs>
      <w:snapToGrid w:val="0"/>
      <w:jc w:val="left"/>
    </w:pPr>
    <w:rPr>
      <w:sz w:val="18"/>
      <w:szCs w:val="20"/>
    </w:rPr>
  </w:style>
  <w:style w:type="paragraph" w:styleId="a8">
    <w:name w:val="header"/>
    <w:basedOn w:val="a"/>
    <w:qFormat/>
    <w:rsid w:val="00F46FD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9">
    <w:name w:val="Normal (Web)"/>
    <w:basedOn w:val="a"/>
    <w:qFormat/>
    <w:rsid w:val="00F46FD6"/>
    <w:pPr>
      <w:spacing w:beforeAutospacing="1" w:afterAutospacing="1"/>
      <w:jc w:val="left"/>
    </w:pPr>
    <w:rPr>
      <w:kern w:val="0"/>
      <w:sz w:val="24"/>
    </w:rPr>
  </w:style>
  <w:style w:type="paragraph" w:styleId="20">
    <w:name w:val="Body Text First Indent 2"/>
    <w:basedOn w:val="a4"/>
    <w:uiPriority w:val="99"/>
    <w:qFormat/>
    <w:rsid w:val="00F46FD6"/>
    <w:pPr>
      <w:spacing w:after="0"/>
      <w:ind w:leftChars="0" w:left="0" w:firstLineChars="200" w:firstLine="420"/>
    </w:pPr>
    <w:rPr>
      <w:rFonts w:ascii="仿宋_GB2312" w:eastAsia="仿宋_GB2312" w:hAnsi="_x000B__x000C_" w:cstheme="minorBidi"/>
      <w:sz w:val="28"/>
      <w:szCs w:val="22"/>
    </w:rPr>
  </w:style>
  <w:style w:type="table" w:styleId="aa">
    <w:name w:val="Table Grid"/>
    <w:basedOn w:val="a1"/>
    <w:uiPriority w:val="39"/>
    <w:qFormat/>
    <w:rsid w:val="00F46F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列出段落1"/>
    <w:basedOn w:val="a"/>
    <w:uiPriority w:val="34"/>
    <w:qFormat/>
    <w:rsid w:val="00F46FD6"/>
    <w:pPr>
      <w:ind w:firstLineChars="200" w:firstLine="420"/>
    </w:pPr>
    <w:rPr>
      <w:rFonts w:ascii="Calibri" w:hAnsi="Calibri" w:cs="黑体"/>
      <w:szCs w:val="22"/>
    </w:rPr>
  </w:style>
  <w:style w:type="paragraph" w:styleId="ab">
    <w:name w:val="List Paragraph"/>
    <w:basedOn w:val="a"/>
    <w:uiPriority w:val="1"/>
    <w:qFormat/>
    <w:rsid w:val="00F46FD6"/>
    <w:pPr>
      <w:ind w:firstLineChars="200" w:firstLine="420"/>
    </w:pPr>
  </w:style>
  <w:style w:type="paragraph" w:customStyle="1" w:styleId="ql-align-center">
    <w:name w:val="ql-align-center"/>
    <w:basedOn w:val="a"/>
    <w:qFormat/>
    <w:rsid w:val="00F46FD6"/>
    <w:pPr>
      <w:widowControl/>
      <w:spacing w:before="100" w:beforeAutospacing="1" w:after="100" w:afterAutospacing="1"/>
      <w:jc w:val="left"/>
    </w:pPr>
    <w:rPr>
      <w:rFonts w:ascii="宋体" w:eastAsiaTheme="minorEastAsia" w:hAnsi="宋体" w:cstheme="minorBidi"/>
      <w:kern w:val="0"/>
      <w:sz w:val="24"/>
    </w:rPr>
  </w:style>
  <w:style w:type="character" w:customStyle="1" w:styleId="a6">
    <w:name w:val="批注框文本 字符"/>
    <w:basedOn w:val="a0"/>
    <w:link w:val="a5"/>
    <w:semiHidden/>
    <w:qFormat/>
    <w:rsid w:val="00F46FD6"/>
    <w:rPr>
      <w:kern w:val="2"/>
      <w:sz w:val="18"/>
      <w:szCs w:val="18"/>
    </w:rPr>
  </w:style>
  <w:style w:type="paragraph" w:customStyle="1" w:styleId="11">
    <w:name w:val="修订1"/>
    <w:hidden/>
    <w:uiPriority w:val="99"/>
    <w:unhideWhenUsed/>
    <w:qFormat/>
    <w:rsid w:val="00F46FD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361</TotalTime>
  <Pages>15</Pages>
  <Words>1217</Words>
  <Characters>6939</Characters>
  <Application>Microsoft Office Word</Application>
  <DocSecurity>0</DocSecurity>
  <Lines>57</Lines>
  <Paragraphs>16</Paragraphs>
  <ScaleCrop>false</ScaleCrop>
  <Company>haoxitong.com</Company>
  <LinksUpToDate>false</LinksUpToDate>
  <CharactersWithSpaces>8140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HXT</cp:lastModifiedBy>
  <cp:revision>34</cp:revision>
  <cp:lastPrinted>2023-03-06T01:31:00Z</cp:lastPrinted>
  <dcterms:created xsi:type="dcterms:W3CDTF">2025-08-21T08:45:00Z</dcterms:created>
  <dcterms:modified xsi:type="dcterms:W3CDTF">2025-08-27T02:11:00Z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C5956B1382FF4E5C8ED83D460C23FE82_13</vt:lpwstr>
  </property>
  <property fmtid="{D5CDD505-2E9C-101B-9397-08002B2CF9AE}" pid="4" name="KSOTemplateDocerSaveRecord">
    <vt:lpwstr>eyJoZGlkIjoiYTY5OGRmYmExOWM0ZTI4ZjQxNmUwOGE0Yjk2ODVlYmYiLCJ1c2VySWQiOiI3MjUwNzQ0MzkifQ==</vt:lpwstr>
  </property>
</Properties>
</file>