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华文中宋"/>
          <w:b w:val="0"/>
          <w:bCs w:val="0"/>
          <w:sz w:val="44"/>
          <w:szCs w:val="44"/>
          <w:lang w:val="en-US" w:eastAsia="zh-CN"/>
        </w:rPr>
      </w:pPr>
      <w:r>
        <w:rPr>
          <w:rFonts w:hint="eastAsia" w:ascii="华文中宋" w:hAnsi="华文中宋" w:eastAsia="华文中宋" w:cs="华文中宋"/>
          <w:b w:val="0"/>
          <w:bCs w:val="0"/>
          <w:sz w:val="44"/>
          <w:szCs w:val="44"/>
          <w:lang w:val="en-US" w:eastAsia="zh-CN"/>
        </w:rPr>
        <w:t>北京奥运城市发展促进中心</w:t>
      </w:r>
    </w:p>
    <w:p>
      <w:pPr>
        <w:spacing w:line="560" w:lineRule="exact"/>
        <w:jc w:val="center"/>
        <w:rPr>
          <w:rFonts w:hint="eastAsia" w:ascii="华文中宋" w:hAnsi="华文中宋" w:eastAsia="华文中宋" w:cs="华文中宋"/>
          <w:b w:val="0"/>
          <w:bCs w:val="0"/>
          <w:sz w:val="44"/>
          <w:szCs w:val="44"/>
        </w:rPr>
      </w:pPr>
      <w:r>
        <w:rPr>
          <w:rFonts w:hint="eastAsia" w:ascii="华文中宋" w:hAnsi="华文中宋" w:eastAsia="华文中宋" w:cs="华文中宋"/>
          <w:b w:val="0"/>
          <w:bCs w:val="0"/>
          <w:sz w:val="44"/>
          <w:szCs w:val="44"/>
          <w:lang w:val="en-US" w:eastAsia="zh-CN"/>
        </w:rPr>
        <w:t>2024年度</w:t>
      </w:r>
      <w:r>
        <w:rPr>
          <w:rFonts w:hint="eastAsia" w:ascii="华文中宋" w:hAnsi="华文中宋" w:eastAsia="华文中宋" w:cs="华文中宋"/>
          <w:b w:val="0"/>
          <w:bCs w:val="0"/>
          <w:sz w:val="44"/>
          <w:szCs w:val="44"/>
        </w:rPr>
        <w:t>部门整体绩效</w:t>
      </w:r>
      <w:r>
        <w:rPr>
          <w:rFonts w:hint="eastAsia" w:ascii="华文中宋" w:hAnsi="华文中宋" w:eastAsia="华文中宋" w:cs="华文中宋"/>
          <w:b w:val="0"/>
          <w:bCs w:val="0"/>
          <w:sz w:val="44"/>
          <w:szCs w:val="44"/>
          <w:lang w:eastAsia="zh-CN"/>
        </w:rPr>
        <w:t>评价</w:t>
      </w:r>
      <w:r>
        <w:rPr>
          <w:rFonts w:hint="eastAsia" w:ascii="华文中宋" w:hAnsi="华文中宋" w:eastAsia="华文中宋" w:cs="华文中宋"/>
          <w:b w:val="0"/>
          <w:bCs w:val="0"/>
          <w:sz w:val="44"/>
          <w:szCs w:val="44"/>
        </w:rPr>
        <w:t>报告</w:t>
      </w:r>
    </w:p>
    <w:p>
      <w:pPr>
        <w:jc w:val="center"/>
        <w:rPr>
          <w:rFonts w:ascii="仿宋_GB2312"/>
          <w:szCs w:val="30"/>
        </w:rPr>
      </w:pPr>
    </w:p>
    <w:p>
      <w:pPr>
        <w:pStyle w:val="4"/>
      </w:pP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6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560" w:lineRule="exact"/>
        <w:ind w:left="105" w:leftChars="50" w:firstLine="640" w:firstLineChars="200"/>
        <w:outlineLvl w:val="2"/>
        <w:rPr>
          <w:rFonts w:ascii="仿宋_GB2312" w:hAnsi="宋体" w:eastAsia="仿宋_GB2312" w:cs="宋体"/>
          <w:b w:val="0"/>
          <w:bCs w:val="0"/>
          <w:color w:val="000000"/>
          <w:kern w:val="0"/>
          <w:sz w:val="32"/>
          <w:szCs w:val="32"/>
          <w:highlight w:val="none"/>
        </w:rPr>
      </w:pPr>
      <w:r>
        <w:rPr>
          <w:rFonts w:hint="eastAsia" w:ascii="仿宋_GB2312" w:hAnsi="宋体" w:eastAsia="仿宋_GB2312" w:cs="宋体"/>
          <w:b w:val="0"/>
          <w:bCs w:val="0"/>
          <w:color w:val="000000"/>
          <w:kern w:val="0"/>
          <w:sz w:val="32"/>
          <w:szCs w:val="32"/>
          <w:highlight w:val="none"/>
        </w:rPr>
        <w:t>1.部门机构设置</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jc w:val="left"/>
        <w:rPr>
          <w:rFonts w:hint="eastAsia" w:ascii="仿宋_GB2312" w:hAnsi="宋体" w:eastAsia="仿宋_GB2312" w:cs="宋体"/>
          <w:color w:val="000000"/>
          <w:kern w:val="0"/>
          <w:sz w:val="32"/>
          <w:szCs w:val="32"/>
          <w:highlight w:val="none"/>
          <w:lang w:eastAsia="zh-CN" w:bidi="ar-SA"/>
        </w:rPr>
      </w:pPr>
      <w:r>
        <w:rPr>
          <w:rFonts w:hint="eastAsia" w:ascii="仿宋_GB2312" w:hAnsi="宋体" w:eastAsia="仿宋_GB2312" w:cs="宋体"/>
          <w:color w:val="000000"/>
          <w:kern w:val="0"/>
          <w:sz w:val="32"/>
          <w:szCs w:val="32"/>
          <w:highlight w:val="none"/>
          <w:lang w:eastAsia="zh-CN" w:bidi="ar-SA"/>
        </w:rPr>
        <w:t>根据中共北京市委办公厅、北京市人民政府办公厅关于印发《北京奥运城市发展促进中心职能配置、内设机构和人员编制规定》的通知（京办字</w:t>
      </w:r>
      <w:r>
        <w:rPr>
          <w:rFonts w:hint="eastAsia" w:ascii="仿宋_GB2312" w:hAnsi="宋体" w:eastAsia="仿宋_GB2312" w:cs="宋体"/>
          <w:color w:val="000000"/>
          <w:kern w:val="0"/>
          <w:sz w:val="32"/>
          <w:szCs w:val="32"/>
          <w:highlight w:val="none"/>
          <w:lang w:val="en-US" w:eastAsia="zh-CN" w:bidi="ar-SA"/>
        </w:rPr>
        <w:t>〔2023〕</w:t>
      </w:r>
      <w:r>
        <w:rPr>
          <w:rFonts w:hint="eastAsia" w:ascii="仿宋_GB2312" w:hAnsi="宋体" w:eastAsia="仿宋_GB2312" w:cs="宋体"/>
          <w:color w:val="000000"/>
          <w:kern w:val="0"/>
          <w:sz w:val="32"/>
          <w:szCs w:val="32"/>
          <w:highlight w:val="none"/>
          <w:lang w:eastAsia="zh-CN" w:bidi="ar-SA"/>
        </w:rPr>
        <w:t>9号），北京奥运城市发展促进中心为市政府直属正局级公益二类事业单位，下属1个事业单位，北京奥运博物馆。</w:t>
      </w:r>
    </w:p>
    <w:p>
      <w:pPr>
        <w:spacing w:line="560" w:lineRule="exact"/>
        <w:ind w:left="105" w:leftChars="50" w:firstLine="640" w:firstLineChars="200"/>
        <w:outlineLvl w:val="2"/>
        <w:rPr>
          <w:rFonts w:ascii="仿宋_GB2312" w:hAnsi="宋体" w:eastAsia="仿宋_GB2312" w:cs="宋体"/>
          <w:b w:val="0"/>
          <w:bCs w:val="0"/>
          <w:color w:val="000000"/>
          <w:kern w:val="0"/>
          <w:sz w:val="32"/>
          <w:szCs w:val="32"/>
          <w:highlight w:val="none"/>
        </w:rPr>
      </w:pPr>
      <w:r>
        <w:rPr>
          <w:rFonts w:hint="eastAsia" w:ascii="仿宋_GB2312" w:hAnsi="宋体" w:eastAsia="仿宋_GB2312" w:cs="宋体"/>
          <w:b w:val="0"/>
          <w:bCs w:val="0"/>
          <w:color w:val="000000"/>
          <w:kern w:val="0"/>
          <w:sz w:val="32"/>
          <w:szCs w:val="32"/>
          <w:highlight w:val="none"/>
          <w:lang w:val="en-US" w:eastAsia="zh-CN"/>
        </w:rPr>
        <w:t>2</w:t>
      </w:r>
      <w:r>
        <w:rPr>
          <w:rFonts w:hint="eastAsia" w:ascii="仿宋_GB2312" w:hAnsi="宋体" w:eastAsia="仿宋_GB2312" w:cs="宋体"/>
          <w:b w:val="0"/>
          <w:bCs w:val="0"/>
          <w:color w:val="000000"/>
          <w:kern w:val="0"/>
          <w:sz w:val="32"/>
          <w:szCs w:val="32"/>
          <w:highlight w:val="none"/>
        </w:rPr>
        <w:t>.部门职能</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exact"/>
        <w:ind w:left="0" w:right="0" w:firstLine="640" w:firstLineChars="200"/>
        <w:jc w:val="left"/>
        <w:rPr>
          <w:rFonts w:hint="eastAsia" w:ascii="仿宋_GB2312" w:hAnsi="宋体" w:eastAsia="仿宋_GB2312" w:cs="宋体"/>
          <w:color w:val="000000"/>
          <w:kern w:val="0"/>
          <w:sz w:val="32"/>
          <w:szCs w:val="32"/>
          <w:highlight w:val="none"/>
          <w:lang w:bidi="ar-SA"/>
        </w:rPr>
      </w:pPr>
      <w:r>
        <w:rPr>
          <w:rFonts w:hint="eastAsia" w:ascii="仿宋_GB2312" w:hAnsi="宋体" w:eastAsia="仿宋_GB2312" w:cs="宋体"/>
          <w:color w:val="000000"/>
          <w:kern w:val="0"/>
          <w:sz w:val="32"/>
          <w:szCs w:val="32"/>
          <w:highlight w:val="none"/>
          <w:lang w:val="en-US" w:eastAsia="zh-CN" w:bidi="ar-SA"/>
        </w:rPr>
        <w:t>北京奥促中心主要职责</w:t>
      </w:r>
      <w:r>
        <w:rPr>
          <w:rFonts w:hint="eastAsia" w:ascii="仿宋_GB2312" w:hAnsi="宋体" w:eastAsia="仿宋_GB2312" w:cs="宋体"/>
          <w:color w:val="000000"/>
          <w:kern w:val="0"/>
          <w:sz w:val="32"/>
          <w:szCs w:val="32"/>
          <w:highlight w:val="none"/>
          <w:lang w:bidi="ar-SA"/>
        </w:rPr>
        <w:t>是开展奥运遗产研究，促进研究成果转化。开展与奥运相关国际组织的交流与合作。推动奥林匹克品牌赛后非商业利用。组织开展奥林匹克体育、文化、教育及宣传活动。开展残奥体育文化推广。管理北京奥运会、北京冬奥会结余资金。承担北京奥运城市发展促进会的具体工作。完成市委、市政府交办的其他任务。承担奥运文物征集、保管、研究和爱国主义教育及博物馆运行管理工作。</w:t>
      </w:r>
    </w:p>
    <w:p>
      <w:pPr>
        <w:spacing w:line="560" w:lineRule="exact"/>
        <w:ind w:firstLine="640" w:firstLineChars="200"/>
        <w:outlineLvl w:val="1"/>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w:t>
      </w:r>
    </w:p>
    <w:p>
      <w:pPr>
        <w:numPr>
          <w:ilvl w:val="0"/>
          <w:numId w:val="0"/>
        </w:numPr>
        <w:spacing w:line="560" w:lineRule="exact"/>
        <w:ind w:firstLine="641"/>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北京奥促中心进一步强化打造精品文化体育活动，传播奥林匹克的精神文化遗产，讲好中国故事，协调推动落实习近平总书记重要指示精神和市委、市政府决策部署，实现双奥遗产传承事业的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202</w:t>
      </w:r>
      <w:r>
        <w:rPr>
          <w:rFonts w:hint="eastAsia" w:ascii="仿宋_GB2312" w:hAnsi="宋体" w:eastAsia="仿宋_GB2312" w:cs="宋体"/>
          <w:color w:val="auto"/>
          <w:kern w:val="0"/>
          <w:sz w:val="32"/>
          <w:szCs w:val="32"/>
          <w:highlight w:val="none"/>
          <w:lang w:val="en-US" w:eastAsia="zh-CN"/>
        </w:rPr>
        <w:t>4</w:t>
      </w:r>
      <w:r>
        <w:rPr>
          <w:rFonts w:hint="eastAsia" w:ascii="仿宋_GB2312" w:hAnsi="宋体" w:eastAsia="仿宋_GB2312" w:cs="宋体"/>
          <w:color w:val="auto"/>
          <w:kern w:val="0"/>
          <w:sz w:val="32"/>
          <w:szCs w:val="32"/>
          <w:highlight w:val="none"/>
          <w:lang w:eastAsia="zh-CN"/>
        </w:rPr>
        <w:t>年</w:t>
      </w:r>
      <w:r>
        <w:rPr>
          <w:rFonts w:ascii="仿宋_GB2312" w:hAnsi="宋体" w:eastAsia="仿宋_GB2312" w:cs="宋体"/>
          <w:color w:val="auto"/>
          <w:kern w:val="0"/>
          <w:sz w:val="32"/>
          <w:szCs w:val="32"/>
          <w:highlight w:val="none"/>
        </w:rPr>
        <w:t>全年</w:t>
      </w:r>
      <w:r>
        <w:rPr>
          <w:rFonts w:hint="eastAsia" w:ascii="仿宋_GB2312" w:hAnsi="宋体" w:eastAsia="仿宋_GB2312" w:cs="宋体"/>
          <w:color w:val="auto"/>
          <w:kern w:val="0"/>
          <w:sz w:val="32"/>
          <w:szCs w:val="32"/>
          <w:highlight w:val="none"/>
        </w:rPr>
        <w:t>预算数</w:t>
      </w:r>
      <w:r>
        <w:rPr>
          <w:rFonts w:hint="eastAsia" w:ascii="仿宋_GB2312" w:hAnsi="宋体" w:eastAsia="仿宋_GB2312" w:cs="宋体"/>
          <w:color w:val="auto"/>
          <w:kern w:val="0"/>
          <w:sz w:val="32"/>
          <w:szCs w:val="32"/>
          <w:highlight w:val="none"/>
          <w:lang w:val="en-US" w:eastAsia="zh-CN"/>
        </w:rPr>
        <w:t>20,310.60</w:t>
      </w:r>
      <w:r>
        <w:rPr>
          <w:rFonts w:hint="eastAsia" w:ascii="仿宋_GB2312" w:hAnsi="宋体" w:eastAsia="仿宋_GB2312" w:cs="宋体"/>
          <w:color w:val="auto"/>
          <w:kern w:val="0"/>
          <w:sz w:val="32"/>
          <w:szCs w:val="32"/>
          <w:highlight w:val="none"/>
        </w:rPr>
        <w:t>万元</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其中</w:t>
      </w:r>
      <w:r>
        <w:rPr>
          <w:rFonts w:ascii="仿宋_GB2312" w:hAnsi="宋体" w:eastAsia="仿宋_GB2312" w:cs="宋体"/>
          <w:color w:val="auto"/>
          <w:kern w:val="0"/>
          <w:sz w:val="32"/>
          <w:szCs w:val="32"/>
          <w:highlight w:val="none"/>
        </w:rPr>
        <w:t>，基本</w:t>
      </w:r>
      <w:r>
        <w:rPr>
          <w:rFonts w:hint="eastAsia" w:ascii="仿宋_GB2312" w:hAnsi="宋体" w:eastAsia="仿宋_GB2312" w:cs="宋体"/>
          <w:color w:val="auto"/>
          <w:kern w:val="0"/>
          <w:sz w:val="32"/>
          <w:szCs w:val="32"/>
          <w:highlight w:val="none"/>
        </w:rPr>
        <w:t>支出</w:t>
      </w:r>
      <w:r>
        <w:rPr>
          <w:rFonts w:ascii="仿宋_GB2312" w:hAnsi="宋体" w:eastAsia="仿宋_GB2312" w:cs="宋体"/>
          <w:color w:val="auto"/>
          <w:kern w:val="0"/>
          <w:sz w:val="32"/>
          <w:szCs w:val="32"/>
          <w:highlight w:val="none"/>
        </w:rPr>
        <w:t>预算数</w:t>
      </w:r>
      <w:r>
        <w:rPr>
          <w:rFonts w:hint="eastAsia" w:ascii="仿宋_GB2312" w:hAnsi="宋体" w:eastAsia="仿宋_GB2312" w:cs="宋体"/>
          <w:color w:val="auto"/>
          <w:kern w:val="0"/>
          <w:sz w:val="32"/>
          <w:szCs w:val="32"/>
          <w:highlight w:val="none"/>
          <w:lang w:val="en-US" w:eastAsia="zh-CN"/>
        </w:rPr>
        <w:t>6,010.52</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项目支出预算数</w:t>
      </w:r>
      <w:r>
        <w:rPr>
          <w:rFonts w:hint="eastAsia" w:ascii="仿宋_GB2312" w:hAnsi="宋体" w:eastAsia="仿宋_GB2312" w:cs="宋体"/>
          <w:color w:val="auto"/>
          <w:kern w:val="0"/>
          <w:sz w:val="32"/>
          <w:szCs w:val="32"/>
          <w:highlight w:val="none"/>
          <w:lang w:val="en-US" w:eastAsia="zh-CN"/>
        </w:rPr>
        <w:t>14,300.09</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全年支出19,914.84</w:t>
      </w:r>
      <w:r>
        <w:rPr>
          <w:rFonts w:ascii="仿宋_GB2312" w:hAnsi="宋体" w:eastAsia="仿宋_GB2312" w:cs="宋体"/>
          <w:color w:val="auto"/>
          <w:kern w:val="0"/>
          <w:sz w:val="32"/>
          <w:szCs w:val="32"/>
          <w:highlight w:val="none"/>
        </w:rPr>
        <w:t>万元，其中，基本支出</w:t>
      </w:r>
      <w:r>
        <w:rPr>
          <w:rFonts w:hint="eastAsia" w:ascii="仿宋_GB2312" w:hAnsi="宋体" w:eastAsia="仿宋_GB2312" w:cs="宋体"/>
          <w:color w:val="auto"/>
          <w:kern w:val="0"/>
          <w:sz w:val="32"/>
          <w:szCs w:val="32"/>
          <w:highlight w:val="none"/>
          <w:lang w:val="en-US" w:eastAsia="zh-CN"/>
        </w:rPr>
        <w:t>5,912.87</w:t>
      </w:r>
      <w:r>
        <w:rPr>
          <w:rFonts w:ascii="仿宋_GB2312" w:hAnsi="宋体" w:eastAsia="仿宋_GB2312" w:cs="宋体"/>
          <w:color w:val="auto"/>
          <w:kern w:val="0"/>
          <w:sz w:val="32"/>
          <w:szCs w:val="32"/>
          <w:highlight w:val="none"/>
        </w:rPr>
        <w:t>万元，项目</w:t>
      </w:r>
      <w:r>
        <w:rPr>
          <w:rFonts w:hint="eastAsia" w:ascii="仿宋_GB2312" w:hAnsi="宋体" w:eastAsia="仿宋_GB2312" w:cs="宋体"/>
          <w:color w:val="auto"/>
          <w:kern w:val="0"/>
          <w:sz w:val="32"/>
          <w:szCs w:val="32"/>
          <w:highlight w:val="none"/>
        </w:rPr>
        <w:t>支出</w:t>
      </w:r>
      <w:r>
        <w:rPr>
          <w:rFonts w:hint="eastAsia" w:ascii="仿宋_GB2312" w:hAnsi="宋体" w:eastAsia="仿宋_GB2312" w:cs="宋体"/>
          <w:color w:val="auto"/>
          <w:kern w:val="0"/>
          <w:sz w:val="32"/>
          <w:szCs w:val="32"/>
          <w:highlight w:val="none"/>
          <w:lang w:val="en-US" w:eastAsia="zh-CN"/>
        </w:rPr>
        <w:t>14,001.97</w:t>
      </w:r>
      <w:r>
        <w:rPr>
          <w:rFonts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rPr>
        <w:t>预算</w:t>
      </w:r>
      <w:r>
        <w:rPr>
          <w:rFonts w:ascii="仿宋_GB2312" w:hAnsi="宋体" w:eastAsia="仿宋_GB2312" w:cs="宋体"/>
          <w:color w:val="auto"/>
          <w:kern w:val="0"/>
          <w:sz w:val="32"/>
          <w:szCs w:val="32"/>
          <w:highlight w:val="none"/>
        </w:rPr>
        <w:t>执行率为</w:t>
      </w:r>
      <w:r>
        <w:rPr>
          <w:rFonts w:hint="eastAsia" w:ascii="仿宋_GB2312" w:hAnsi="宋体" w:eastAsia="仿宋_GB2312" w:cs="宋体"/>
          <w:color w:val="auto"/>
          <w:kern w:val="0"/>
          <w:sz w:val="32"/>
          <w:szCs w:val="32"/>
          <w:highlight w:val="none"/>
          <w:lang w:val="en-US" w:eastAsia="zh-CN"/>
        </w:rPr>
        <w:t>98.05%</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firstLine="480" w:firstLineChars="150"/>
        <w:textAlignment w:val="auto"/>
        <w:outlineLvl w:val="1"/>
        <w:rPr>
          <w:rFonts w:ascii="楷体_GB2312" w:eastAsia="楷体_GB2312"/>
          <w:sz w:val="32"/>
          <w:szCs w:val="32"/>
          <w:highlight w:val="none"/>
        </w:rPr>
      </w:pPr>
      <w:r>
        <w:rPr>
          <w:rFonts w:hint="eastAsia" w:ascii="楷体_GB2312" w:eastAsia="楷体_GB2312"/>
          <w:sz w:val="32"/>
          <w:szCs w:val="32"/>
          <w:highlight w:val="none"/>
        </w:rPr>
        <w:t>（一）产出完成情况分析</w:t>
      </w:r>
    </w:p>
    <w:p>
      <w:pPr>
        <w:spacing w:line="600" w:lineRule="exact"/>
        <w:ind w:left="105" w:leftChars="50" w:firstLine="480" w:firstLineChars="150"/>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1.产出数量</w:t>
      </w:r>
    </w:p>
    <w:p>
      <w:pPr>
        <w:spacing w:line="600" w:lineRule="exact"/>
        <w:ind w:left="0" w:leftChars="0" w:firstLine="640" w:firstLineChars="200"/>
        <w:outlineLvl w:val="9"/>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2024年，北京奥促中心项目绩效目标产出数量指标情况如下：</w:t>
      </w:r>
    </w:p>
    <w:p>
      <w:pPr>
        <w:numPr>
          <w:ilvl w:val="0"/>
          <w:numId w:val="0"/>
        </w:numPr>
        <w:spacing w:line="600" w:lineRule="exact"/>
        <w:ind w:left="105" w:leftChars="50" w:firstLine="480" w:firstLineChars="150"/>
        <w:jc w:val="left"/>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lang w:eastAsia="zh-CN"/>
        </w:rPr>
        <w:t>“第十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届北京奥运城市体育文化节</w:t>
      </w:r>
      <w:r>
        <w:rPr>
          <w:rFonts w:hint="eastAsia" w:ascii="仿宋_GB2312" w:hAnsi="仿宋_GB2312" w:eastAsia="仿宋_GB2312" w:cs="仿宋_GB2312"/>
          <w:sz w:val="32"/>
          <w:szCs w:val="32"/>
          <w:lang w:val="en-US" w:eastAsia="zh-CN"/>
        </w:rPr>
        <w:t>活动”项目</w:t>
      </w:r>
      <w:r>
        <w:rPr>
          <w:rFonts w:hint="eastAsia" w:ascii="仿宋_GB2312" w:hAnsi="仿宋_GB2312" w:eastAsia="仿宋_GB2312" w:cs="仿宋_GB2312"/>
          <w:sz w:val="32"/>
          <w:szCs w:val="32"/>
        </w:rPr>
        <w:t>：</w:t>
      </w:r>
    </w:p>
    <w:p>
      <w:pPr>
        <w:numPr>
          <w:ilvl w:val="0"/>
          <w:numId w:val="0"/>
        </w:numPr>
        <w:spacing w:line="560" w:lineRule="exact"/>
        <w:ind w:firstLine="640" w:firstLineChars="200"/>
        <w:jc w:val="left"/>
        <w:outlineLvl w:val="9"/>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该项目主要包括2024年开展第20届北京国际体育电影周活动、国际新兴体育运动推广活动、京张体育文化旅游带建设活动、青少年奥林匹克教育活动、双奥体育文化“大篷车”活动、双奥文化推广活动等六大板块体育活动以及体育文化节总体宣传活动共7项活动，具体开展了下面活动：</w:t>
      </w:r>
    </w:p>
    <w:p>
      <w:pPr>
        <w:numPr>
          <w:ilvl w:val="0"/>
          <w:numId w:val="0"/>
        </w:numPr>
        <w:spacing w:line="560" w:lineRule="exact"/>
        <w:ind w:firstLine="640" w:firstLineChars="200"/>
        <w:jc w:val="left"/>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①第20届北京国际体育电影周活动：第20届北京国际体育电影周活动由北京国际电影节组委会、中国奥林匹克委员会和北京奥运城市发展促进会联合主办，主体活动于2024年4月、8月举办，本届体育电影周通过体育影视作品的力量传播奥林匹克精神，继续围绕体育类型影片举办相关活动，包括作品征集、影视作品展映、论坛及大师班、体育电影+、20周年特别活动、米兰国际体育电影电视节全球总决赛北京站作品征集推荐、优秀作品发布、体育电影周海报展及国际推广等活动，增强中外体育文化交流，助力体育强国建设。</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②国际新兴体育运动推广活动：围绕京张台克球联合推广、台克球世界系列赛北京站及赛事推广,继续加强与国际台克球联合会等国际体育组织的合作，指导建设台克球宣传推广基地，助力张家口等京外城市推广台克球运动，开展举办台克球世界系列赛北京站。2024年9月20日至9月22日在昌平区居庸关长城景区北关广场举办国际台克球巡回赛（北京站）。结合国际新兴体育运动推广项目的举办，全年开展20余场台克球推广培训活动，利用国际台克球联合会官方网站、国内主流媒体、各台克球基地自媒体、其他体育赛事活动平台及北京台克球新媒体矩阵进行广泛推广，展现运动员风采和台克球运动魅力，吸引广大国内外台克球爱好者关注。</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③京张体育文化旅游带建设活动：为积极响应国际奥委会和中国奥委会号召，弘扬奥林匹克精神，京张两地于2024年6月23日在张家口崇礼区国家冬季两项中心举办奥林匹克日京张纪念活动，并同期在张家口市国家跳台滑雪中心进行“协同谱新篇 一起向未来——北京冬奥会带动京津冀协同发展”主题展览，广泛弘扬奥林匹克精神、宣传奥林匹克文化、推广奥林匹克运动。推动京张体育文化旅游带健身步道互联互通，统一线路指引标识系统，依托赛道开展悦行冬奥路系列赛之2024越山向海人车接力山海有友赛和悦行冬奥路系列赛之赤城100骑游赛两项赛事。</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④青少年奥林匹克教育活动：以青少年奥林匹克教育为主要活动内容，开展以北京奥运博物馆之旅和京张奥林匹克冬令营为主要内容的教育活动。2024年6月至12月，北京奥运博物馆之旅项目共接待北京、张家口两地青少年及教师、家长2230余人，共计25期。项目共分为两个阶段，分别是暑期研学和学期综合实践活动；青少年奥林匹克教育--京张奥林匹克冬令营项目于2024年11月开营，分3期在张家口开展，共组织京张两地240名中小学生参与以“重走冠军路”为主题的活动。</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⑤双奥体育文化“大篷车”活动：2024年8月8日，第十五届北京奥运城市体育文化节暨第五届“8·8”北京体育消费节开幕式在北京奥林匹克中心区庆典广场举行。本届体育文化节双奥体育文化“大篷车”项目历时2个月，在此期间举办了体育文化节开幕式、双奥体育文化大本营、双奥主题营地、成长勋章小铁人三项赛、RUN GIRLS女子跑及五环勋章挑战赛等多项体育文化活动。</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⑥开展双奥文化推广活动：2024年下半年开展了双奥文化推广活动：7月在颐和园成功举办双奥文化主题展； 9月至12月进学校、园区、社区、乡村进行主题展览系列巡展；9月和10月进小学、中学、高校开展双奥文化大讲堂活动；7月至8月对四部电影进行了主题展映；冬季相继在颐和园、延庆奥林匹克园区举办青少年冰雪体验活动。</w:t>
      </w:r>
    </w:p>
    <w:p>
      <w:pPr>
        <w:numPr>
          <w:ilvl w:val="0"/>
          <w:numId w:val="0"/>
        </w:numPr>
        <w:spacing w:line="560" w:lineRule="exact"/>
        <w:ind w:firstLine="640" w:firstLineChars="200"/>
        <w:outlineLvl w:val="9"/>
        <w:rPr>
          <w:rFonts w:hint="eastAsia" w:ascii="仿宋_GB2312" w:hAnsi="仿宋_GB2312" w:eastAsia="仿宋_GB2312" w:cs="仿宋_GB2312"/>
          <w:color w:val="auto"/>
          <w:kern w:val="0"/>
          <w:sz w:val="32"/>
          <w:szCs w:val="32"/>
          <w:highlight w:val="yellow"/>
          <w:lang w:val="en-US" w:eastAsia="zh-CN"/>
        </w:rPr>
      </w:pPr>
      <w:r>
        <w:rPr>
          <w:rFonts w:hint="eastAsia" w:ascii="仿宋_GB2312" w:hAnsi="仿宋_GB2312" w:eastAsia="仿宋_GB2312" w:cs="仿宋_GB2312"/>
          <w:color w:val="000000"/>
          <w:kern w:val="0"/>
          <w:sz w:val="32"/>
          <w:szCs w:val="32"/>
          <w:highlight w:val="none"/>
          <w:lang w:val="en-US" w:eastAsia="zh-CN" w:bidi="ar-SA"/>
        </w:rPr>
        <w:t>⑦体育文化节总体宣传活动：体育文化节宣传工作主要包括常规宣传工作和专项报道工作。按照体育文化节各项活动时间节点，配合人民日报、新华社、中央广播电视总台、中新社等中央重要媒体，以及北京日报、北京广播电视台、新京报、北京青年报、千龙网等北京市属重要媒体对活动进行宣传报道，同时，为加大体育文化节宣传力度，同步开展</w:t>
      </w:r>
      <w:r>
        <w:rPr>
          <w:rFonts w:hint="eastAsia" w:ascii="仿宋_GB2312" w:hAnsi="仿宋_GB2312" w:eastAsia="仿宋_GB2312" w:cs="仿宋_GB2312"/>
          <w:color w:val="auto"/>
          <w:kern w:val="0"/>
          <w:sz w:val="32"/>
          <w:szCs w:val="32"/>
          <w:highlight w:val="none"/>
          <w:lang w:val="en-US" w:eastAsia="zh-CN" w:bidi="ar-SA"/>
        </w:rPr>
        <w:t>专项宣传工作，采用多种形式和渠道对文化节进行宣传报道</w:t>
      </w:r>
      <w:r>
        <w:rPr>
          <w:rFonts w:hint="eastAsia" w:ascii="仿宋_GB2312" w:hAnsi="仿宋_GB2312" w:eastAsia="仿宋_GB2312" w:cs="仿宋_GB2312"/>
          <w:color w:val="auto"/>
          <w:kern w:val="2"/>
          <w:sz w:val="32"/>
          <w:szCs w:val="32"/>
          <w:lang w:eastAsia="zh-CN"/>
        </w:rPr>
        <w:t>。</w:t>
      </w:r>
    </w:p>
    <w:p>
      <w:pPr>
        <w:numPr>
          <w:ilvl w:val="0"/>
          <w:numId w:val="0"/>
        </w:numPr>
        <w:spacing w:line="560" w:lineRule="exact"/>
        <w:ind w:left="105" w:leftChars="50" w:firstLine="480" w:firstLineChars="150"/>
        <w:outlineLvl w:val="9"/>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rPr>
        <w:t>“库房租赁”项目：2024年租赁库房用于保管双奥物品。</w:t>
      </w:r>
    </w:p>
    <w:p>
      <w:pPr>
        <w:numPr>
          <w:ilvl w:val="0"/>
          <w:numId w:val="0"/>
        </w:numPr>
        <w:spacing w:line="560" w:lineRule="exact"/>
        <w:ind w:left="105" w:leftChars="50" w:firstLine="480" w:firstLineChars="150"/>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rPr>
        <w:t>“展项设备设施专业外包服务”项目：完成了北京奥运博物馆展项设备的维护工作。</w:t>
      </w:r>
    </w:p>
    <w:p>
      <w:pPr>
        <w:pStyle w:val="13"/>
        <w:numPr>
          <w:ilvl w:val="-1"/>
          <w:numId w:val="0"/>
        </w:numPr>
        <w:spacing w:line="560" w:lineRule="exact"/>
        <w:ind w:left="0" w:leftChars="0" w:firstLine="640" w:firstLineChars="200"/>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（4）“信息系统运维”项目：完成了对北京奥运博物馆设备的运维。</w:t>
      </w:r>
    </w:p>
    <w:p>
      <w:pPr>
        <w:pStyle w:val="13"/>
        <w:numPr>
          <w:ilvl w:val="-1"/>
          <w:numId w:val="0"/>
        </w:numPr>
        <w:spacing w:line="560" w:lineRule="exact"/>
        <w:ind w:left="0" w:leftChars="0" w:firstLine="640" w:firstLineChars="200"/>
        <w:rPr>
          <w:rFonts w:hint="default"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32"/>
          <w:szCs w:val="32"/>
          <w:highlight w:val="none"/>
          <w:lang w:val="en-US" w:eastAsia="zh-CN"/>
        </w:rPr>
        <w:t>（5）“办公设备购置类”项目：2024年</w:t>
      </w:r>
      <w:r>
        <w:rPr>
          <w:rFonts w:hint="eastAsia" w:ascii="仿宋_GB2312" w:hAnsi="仿宋_GB2312" w:eastAsia="仿宋_GB2312" w:cs="仿宋_GB2312"/>
          <w:color w:val="auto"/>
          <w:kern w:val="2"/>
          <w:sz w:val="32"/>
          <w:szCs w:val="32"/>
          <w:highlight w:val="none"/>
          <w:lang w:val="en-US" w:eastAsia="zh-CN"/>
        </w:rPr>
        <w:t>北京奥运博物馆</w:t>
      </w:r>
      <w:r>
        <w:rPr>
          <w:rFonts w:hint="eastAsia" w:ascii="仿宋_GB2312" w:hAnsi="仿宋" w:eastAsia="仿宋_GB2312" w:cs="宋体"/>
          <w:color w:val="auto"/>
          <w:kern w:val="0"/>
          <w:sz w:val="32"/>
          <w:szCs w:val="32"/>
          <w:highlight w:val="none"/>
          <w:lang w:val="en-US" w:eastAsia="zh-CN"/>
        </w:rPr>
        <w:t>更新便携式投影仪、激光A4打印机、扫描仪等设备。</w:t>
      </w:r>
    </w:p>
    <w:p>
      <w:pPr>
        <w:pStyle w:val="13"/>
        <w:numPr>
          <w:ilvl w:val="-1"/>
          <w:numId w:val="0"/>
        </w:numPr>
        <w:spacing w:line="560" w:lineRule="exact"/>
        <w:ind w:left="0" w:leftChars="0" w:firstLine="640" w:firstLineChars="200"/>
        <w:rPr>
          <w:rFonts w:hint="eastAsia"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32"/>
          <w:szCs w:val="32"/>
          <w:highlight w:val="none"/>
          <w:lang w:val="en-US" w:eastAsia="zh-CN"/>
        </w:rPr>
        <w:t>（6）“编外用工管理服务费”项目：北京奥运博物馆与劳务派遣公司签订合同，根据实际需要使用编外用工人员。</w:t>
      </w:r>
    </w:p>
    <w:p>
      <w:pPr>
        <w:pStyle w:val="13"/>
        <w:numPr>
          <w:ilvl w:val="-1"/>
          <w:numId w:val="0"/>
        </w:numPr>
        <w:spacing w:line="560" w:lineRule="exact"/>
        <w:ind w:left="0" w:leftChars="0" w:firstLine="640" w:firstLineChars="200"/>
        <w:rPr>
          <w:rFonts w:hint="default" w:ascii="仿宋_GB2312" w:hAnsi="仿宋" w:eastAsia="仿宋_GB2312" w:cs="宋体"/>
          <w:color w:val="auto"/>
          <w:kern w:val="0"/>
          <w:sz w:val="32"/>
          <w:szCs w:val="32"/>
          <w:highlight w:val="none"/>
          <w:lang w:val="en-US" w:eastAsia="zh-CN"/>
        </w:rPr>
      </w:pPr>
      <w:r>
        <w:rPr>
          <w:rFonts w:hint="eastAsia" w:ascii="仿宋_GB2312" w:hAnsi="仿宋" w:eastAsia="仿宋_GB2312" w:cs="宋体"/>
          <w:color w:val="auto"/>
          <w:kern w:val="0"/>
          <w:sz w:val="32"/>
          <w:szCs w:val="32"/>
          <w:highlight w:val="none"/>
          <w:lang w:val="en-US" w:eastAsia="zh-CN"/>
        </w:rPr>
        <w:t>（7）“‘</w:t>
      </w:r>
      <w:r>
        <w:rPr>
          <w:rFonts w:hint="default" w:ascii="仿宋_GB2312" w:hAnsi="仿宋" w:eastAsia="仿宋_GB2312" w:cs="宋体"/>
          <w:color w:val="auto"/>
          <w:kern w:val="0"/>
          <w:sz w:val="32"/>
          <w:szCs w:val="32"/>
          <w:highlight w:val="none"/>
          <w:lang w:val="en-US" w:eastAsia="zh-CN"/>
        </w:rPr>
        <w:t>奥运圣火重返巴黎</w:t>
      </w:r>
      <w:r>
        <w:rPr>
          <w:rFonts w:hint="eastAsia" w:ascii="仿宋_GB2312" w:hAnsi="仿宋" w:eastAsia="仿宋_GB2312" w:cs="宋体"/>
          <w:color w:val="auto"/>
          <w:kern w:val="0"/>
          <w:sz w:val="32"/>
          <w:szCs w:val="32"/>
          <w:highlight w:val="none"/>
          <w:lang w:val="en-US" w:eastAsia="zh-CN"/>
        </w:rPr>
        <w:t>’</w:t>
      </w:r>
      <w:r>
        <w:rPr>
          <w:rFonts w:hint="default" w:ascii="仿宋_GB2312" w:hAnsi="仿宋" w:eastAsia="仿宋_GB2312" w:cs="宋体"/>
          <w:color w:val="auto"/>
          <w:kern w:val="0"/>
          <w:sz w:val="32"/>
          <w:szCs w:val="32"/>
          <w:highlight w:val="none"/>
          <w:lang w:val="en-US" w:eastAsia="zh-CN"/>
        </w:rPr>
        <w:t>主题巡展</w:t>
      </w:r>
      <w:r>
        <w:rPr>
          <w:rFonts w:hint="eastAsia" w:ascii="仿宋_GB2312" w:hAnsi="仿宋" w:eastAsia="仿宋_GB2312" w:cs="宋体"/>
          <w:color w:val="auto"/>
          <w:kern w:val="0"/>
          <w:sz w:val="32"/>
          <w:szCs w:val="32"/>
          <w:highlight w:val="none"/>
          <w:lang w:val="en-US" w:eastAsia="zh-CN"/>
        </w:rPr>
        <w:t>”</w:t>
      </w:r>
      <w:r>
        <w:rPr>
          <w:rFonts w:hint="default" w:ascii="仿宋_GB2312" w:hAnsi="仿宋" w:eastAsia="仿宋_GB2312" w:cs="宋体"/>
          <w:color w:val="auto"/>
          <w:kern w:val="0"/>
          <w:sz w:val="32"/>
          <w:szCs w:val="32"/>
          <w:highlight w:val="none"/>
          <w:lang w:val="en-US" w:eastAsia="zh-CN"/>
        </w:rPr>
        <w:t>项目</w:t>
      </w:r>
      <w:r>
        <w:rPr>
          <w:rFonts w:hint="eastAsia" w:ascii="仿宋_GB2312" w:hAnsi="仿宋" w:eastAsia="仿宋_GB2312" w:cs="宋体"/>
          <w:color w:val="auto"/>
          <w:kern w:val="0"/>
          <w:sz w:val="32"/>
          <w:szCs w:val="32"/>
          <w:highlight w:val="none"/>
          <w:lang w:val="en-US" w:eastAsia="zh-CN"/>
        </w:rPr>
        <w:t>：2024年走进学校、社区等地开展主题巡展。</w:t>
      </w:r>
    </w:p>
    <w:p>
      <w:pPr>
        <w:spacing w:line="560" w:lineRule="exact"/>
        <w:ind w:firstLine="640"/>
        <w:rPr>
          <w:rFonts w:hint="default" w:ascii="仿宋_GB2312" w:hAnsi="仿宋_GB2312" w:eastAsia="仿宋_GB2312" w:cs="仿宋_GB2312"/>
          <w:kern w:val="2"/>
          <w:sz w:val="32"/>
          <w:szCs w:val="32"/>
          <w:highlight w:val="none"/>
          <w:lang w:val="en-US" w:eastAsia="zh-CN"/>
        </w:rPr>
      </w:pPr>
      <w:r>
        <w:rPr>
          <w:rFonts w:hint="eastAsia" w:ascii="仿宋_GB2312" w:hAnsi="仿宋" w:eastAsia="仿宋_GB2312" w:cs="宋体"/>
          <w:kern w:val="0"/>
          <w:sz w:val="32"/>
          <w:szCs w:val="32"/>
          <w:highlight w:val="none"/>
          <w:lang w:val="en-US" w:eastAsia="zh-CN"/>
        </w:rPr>
        <w:t>（8）“赴法国、日本出席奥运会开幕式及交流项目经费”项目：出访期间，</w:t>
      </w:r>
      <w:bookmarkStart w:id="1" w:name="_GoBack"/>
      <w:bookmarkEnd w:id="1"/>
      <w:r>
        <w:rPr>
          <w:rFonts w:hint="eastAsia" w:ascii="仿宋_GB2312" w:hAnsi="仿宋" w:eastAsia="仿宋_GB2312" w:cs="宋体"/>
          <w:kern w:val="0"/>
          <w:sz w:val="32"/>
          <w:szCs w:val="32"/>
          <w:highlight w:val="none"/>
          <w:lang w:val="en-US" w:eastAsia="zh-CN"/>
        </w:rPr>
        <w:t>出席了国际体育组织、相关城市政府部门、奥林匹克利益相关方等组织的交流活动。</w:t>
      </w:r>
    </w:p>
    <w:p>
      <w:pPr>
        <w:spacing w:line="560" w:lineRule="exact"/>
        <w:ind w:left="0" w:leftChars="0" w:firstLine="838" w:firstLineChars="262"/>
        <w:outlineLvl w:val="2"/>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p>
    <w:p>
      <w:pPr>
        <w:spacing w:line="560" w:lineRule="exact"/>
        <w:ind w:left="0" w:leftChars="0" w:firstLine="838" w:firstLineChars="262"/>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sz w:val="32"/>
          <w:szCs w:val="32"/>
          <w:lang w:eastAsia="zh-CN"/>
        </w:rPr>
        <w:t>“第十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届北京奥运城市体育文化节</w:t>
      </w:r>
      <w:r>
        <w:rPr>
          <w:rFonts w:hint="eastAsia" w:ascii="仿宋_GB2312" w:hAnsi="仿宋_GB2312" w:eastAsia="仿宋_GB2312" w:cs="仿宋_GB2312"/>
          <w:sz w:val="32"/>
          <w:szCs w:val="32"/>
          <w:lang w:val="en-US" w:eastAsia="zh-CN"/>
        </w:rPr>
        <w:t>活动”项目</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按计划高质量完成目标</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lang w:val="en-US" w:eastAsia="zh-CN"/>
        </w:rPr>
        <w:t>活动任务完成率95%</w:t>
      </w:r>
      <w:r>
        <w:rPr>
          <w:rFonts w:hint="eastAsia" w:ascii="仿宋_GB2312" w:hAnsi="宋体" w:eastAsia="仿宋_GB2312" w:cs="宋体"/>
          <w:color w:val="000000"/>
          <w:kern w:val="0"/>
          <w:sz w:val="32"/>
          <w:szCs w:val="32"/>
          <w:highlight w:val="none"/>
        </w:rPr>
        <w:t>。</w:t>
      </w:r>
      <w:r>
        <w:rPr>
          <w:rFonts w:hint="eastAsia" w:ascii="仿宋_GB2312" w:hAnsi="仿宋_GB2312" w:eastAsia="仿宋_GB2312" w:cs="仿宋_GB2312"/>
          <w:b w:val="0"/>
          <w:bCs/>
          <w:color w:val="000000"/>
          <w:kern w:val="0"/>
          <w:sz w:val="32"/>
          <w:szCs w:val="32"/>
          <w:highlight w:val="none"/>
          <w:lang w:val="en-US" w:eastAsia="zh-CN"/>
        </w:rPr>
        <w:t>以2024年巴黎奥运会为契机，坚持以人民为中心，力求实现品牌的创新升级。秉承“传承奥运，促进发展”宗旨，坚持“创新发展、和谐共赢”理念，大力弘扬北京冬奥精神，推动奥运遗产传承事业可持续发展。</w:t>
      </w:r>
    </w:p>
    <w:p>
      <w:pPr>
        <w:spacing w:line="560" w:lineRule="exact"/>
        <w:ind w:left="0" w:leftChars="0" w:firstLine="640" w:firstLineChars="20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（2）</w:t>
      </w:r>
      <w:r>
        <w:rPr>
          <w:rFonts w:hint="eastAsia" w:ascii="仿宋_GB2312" w:hAnsi="仿宋_GB2312" w:eastAsia="仿宋_GB2312" w:cs="仿宋_GB2312"/>
          <w:kern w:val="2"/>
          <w:sz w:val="32"/>
          <w:szCs w:val="32"/>
          <w:highlight w:val="none"/>
          <w:lang w:val="en-US" w:eastAsia="zh-CN"/>
        </w:rPr>
        <w:t>“库房租赁”项目</w:t>
      </w:r>
      <w:r>
        <w:rPr>
          <w:rFonts w:hint="eastAsia" w:ascii="仿宋_GB2312" w:hAnsi="宋体" w:eastAsia="仿宋_GB2312" w:cs="宋体"/>
          <w:color w:val="000000"/>
          <w:kern w:val="0"/>
          <w:sz w:val="32"/>
          <w:szCs w:val="32"/>
          <w:highlight w:val="none"/>
          <w:lang w:eastAsia="zh-CN"/>
        </w:rPr>
        <w:t>：正常使用面积比率</w:t>
      </w:r>
      <w:r>
        <w:rPr>
          <w:rFonts w:hint="eastAsia" w:ascii="仿宋_GB2312" w:hAnsi="宋体" w:eastAsia="仿宋_GB2312" w:cs="宋体"/>
          <w:color w:val="000000"/>
          <w:kern w:val="0"/>
          <w:sz w:val="32"/>
          <w:szCs w:val="32"/>
          <w:highlight w:val="none"/>
          <w:lang w:val="en-US" w:eastAsia="zh-CN"/>
        </w:rPr>
        <w:t>100%，</w:t>
      </w:r>
      <w:r>
        <w:rPr>
          <w:rFonts w:hint="eastAsia" w:ascii="仿宋_GB2312" w:hAnsi="宋体" w:eastAsia="仿宋_GB2312" w:cs="宋体"/>
          <w:color w:val="000000"/>
          <w:kern w:val="0"/>
          <w:sz w:val="32"/>
          <w:szCs w:val="32"/>
          <w:highlight w:val="none"/>
          <w:lang w:eastAsia="zh-CN"/>
        </w:rPr>
        <w:t>使馆藏文物得到妥善安置。</w:t>
      </w:r>
    </w:p>
    <w:p>
      <w:pPr>
        <w:spacing w:line="560" w:lineRule="exact"/>
        <w:ind w:left="0" w:leftChars="0" w:firstLine="640" w:firstLineChars="200"/>
        <w:rPr>
          <w:rFonts w:hint="eastAsia" w:ascii="仿宋_GB2312" w:hAnsi="仿宋_GB2312" w:eastAsia="仿宋_GB2312" w:cs="仿宋_GB2312"/>
          <w:kern w:val="2"/>
          <w:sz w:val="32"/>
          <w:szCs w:val="32"/>
          <w:highlight w:val="none"/>
          <w:lang w:val="en-US" w:eastAsia="zh-CN"/>
        </w:rPr>
      </w:pP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3）</w:t>
      </w:r>
      <w:r>
        <w:rPr>
          <w:rFonts w:hint="eastAsia" w:ascii="仿宋_GB2312" w:hAnsi="仿宋_GB2312" w:eastAsia="仿宋_GB2312" w:cs="仿宋_GB2312"/>
          <w:kern w:val="2"/>
          <w:sz w:val="32"/>
          <w:szCs w:val="32"/>
          <w:highlight w:val="none"/>
          <w:lang w:val="en-US" w:eastAsia="zh-CN"/>
        </w:rPr>
        <w:t>“展项设备设施专业外包服务”项目：定期对展厅服务人员进行设备操作的培训及指导，维护人员考核通过率95%；故障排除率96%，保障专业设施的正常运行，满足展览需求。</w:t>
      </w:r>
    </w:p>
    <w:p>
      <w:pPr>
        <w:spacing w:line="560" w:lineRule="exact"/>
        <w:ind w:left="0" w:leftChars="0" w:firstLine="640" w:firstLineChars="200"/>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（4）“信息系统运维”项目：提供软硬件及基础设施维修及设备更换、人员技术服务工作,保证设备全年无故障运行。故障排除率99%，维护人员考核通过率100%。</w:t>
      </w:r>
    </w:p>
    <w:p>
      <w:pPr>
        <w:spacing w:line="560" w:lineRule="exact"/>
        <w:ind w:left="0" w:leftChars="0" w:firstLine="640" w:firstLineChars="200"/>
        <w:rPr>
          <w:rFonts w:hint="eastAsia" w:ascii="仿宋_GB2312" w:hAnsi="仿宋" w:eastAsia="仿宋_GB2312" w:cs="宋体"/>
          <w:kern w:val="0"/>
          <w:sz w:val="32"/>
          <w:szCs w:val="32"/>
          <w:highlight w:val="none"/>
          <w:lang w:val="en-US" w:eastAsia="zh-CN"/>
        </w:rPr>
      </w:pPr>
      <w:r>
        <w:rPr>
          <w:rFonts w:hint="eastAsia" w:ascii="仿宋_GB2312" w:hAnsi="仿宋" w:eastAsia="仿宋_GB2312" w:cs="宋体"/>
          <w:kern w:val="0"/>
          <w:sz w:val="32"/>
          <w:szCs w:val="32"/>
          <w:highlight w:val="none"/>
          <w:lang w:val="en-US" w:eastAsia="zh-CN"/>
        </w:rPr>
        <w:t>（5）“办公设备购置类”项目：设备验收合格率100%，以满足各部门正常办公的顺利进行。</w:t>
      </w:r>
    </w:p>
    <w:p>
      <w:pPr>
        <w:spacing w:line="56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3.产出</w:t>
      </w:r>
      <w:r>
        <w:rPr>
          <w:rFonts w:ascii="仿宋_GB2312" w:hAnsi="宋体" w:eastAsia="仿宋_GB2312" w:cs="宋体"/>
          <w:color w:val="000000"/>
          <w:kern w:val="0"/>
          <w:sz w:val="32"/>
          <w:szCs w:val="32"/>
          <w:highlight w:val="none"/>
        </w:rPr>
        <w:t>进度</w:t>
      </w:r>
    </w:p>
    <w:p>
      <w:pPr>
        <w:spacing w:line="560" w:lineRule="exact"/>
        <w:ind w:left="105" w:leftChars="50" w:firstLine="480" w:firstLineChars="15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2024年，北京奥促中心各项目均能够按照计划时间开展。</w:t>
      </w:r>
    </w:p>
    <w:p>
      <w:pPr>
        <w:spacing w:line="56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4.</w:t>
      </w:r>
      <w:r>
        <w:rPr>
          <w:rFonts w:hint="eastAsia" w:ascii="仿宋_GB2312" w:hAnsi="宋体" w:eastAsia="仿宋_GB2312" w:cs="宋体"/>
          <w:color w:val="000000"/>
          <w:kern w:val="0"/>
          <w:sz w:val="32"/>
          <w:szCs w:val="32"/>
          <w:highlight w:val="none"/>
        </w:rPr>
        <w:t>产出</w:t>
      </w:r>
      <w:r>
        <w:rPr>
          <w:rFonts w:ascii="仿宋_GB2312" w:hAnsi="宋体" w:eastAsia="仿宋_GB2312" w:cs="宋体"/>
          <w:color w:val="000000"/>
          <w:kern w:val="0"/>
          <w:sz w:val="32"/>
          <w:szCs w:val="32"/>
          <w:highlight w:val="none"/>
        </w:rPr>
        <w:t>成本</w:t>
      </w:r>
    </w:p>
    <w:p>
      <w:pPr>
        <w:spacing w:line="560" w:lineRule="exact"/>
        <w:ind w:left="105" w:leftChars="50" w:firstLine="480" w:firstLineChars="150"/>
        <w:rPr>
          <w:rFonts w:hint="default" w:ascii="楷体_GB2312" w:eastAsia="楷体_GB2312"/>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2024年，北京奥促中心部门整体</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14,300.09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其中财政支出全年预算数为6,543.03万元；</w:t>
      </w:r>
      <w:r>
        <w:rPr>
          <w:rFonts w:ascii="仿宋_GB2312" w:hAnsi="宋体" w:eastAsia="仿宋_GB2312" w:cs="宋体"/>
          <w:color w:val="000000"/>
          <w:kern w:val="0"/>
          <w:sz w:val="32"/>
          <w:szCs w:val="32"/>
          <w:highlight w:val="none"/>
        </w:rPr>
        <w:t>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决算数14,001.97</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其中财政支出全年数为6,244.92万元。项目支出预算执行率为97.92%。</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pPr>
        <w:spacing w:line="560" w:lineRule="exact"/>
        <w:ind w:left="0" w:leftChars="0" w:firstLine="640" w:firstLineChars="200"/>
        <w:rPr>
          <w:rFonts w:hint="eastAsia" w:ascii="仿宋_GB2312" w:hAnsi="宋体" w:eastAsia="仿宋_GB2312" w:cs="宋体"/>
          <w:b w:val="0"/>
          <w:bCs w:val="0"/>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1.“第十五届北京奥运城市体育文化节活动”项目：</w:t>
      </w:r>
      <w:r>
        <w:rPr>
          <w:rFonts w:hint="eastAsia" w:ascii="仿宋_GB2312" w:hAnsi="宋体" w:eastAsia="仿宋_GB2312" w:cs="宋体"/>
          <w:b w:val="0"/>
          <w:bCs w:val="0"/>
          <w:color w:val="000000"/>
          <w:kern w:val="0"/>
          <w:sz w:val="32"/>
          <w:szCs w:val="32"/>
          <w:highlight w:val="none"/>
          <w:lang w:val="en-US" w:eastAsia="zh-CN"/>
        </w:rPr>
        <w:t>各项活动均已高质量完成，秉承“传承奥运，促进发展”宗旨，坚持“创新发展、和谐共赢”理念，大力弘扬北京冬奥精神，促进京张体育文化旅游带建设，推动奥运遗产传承事业可持续发展，持续打造成为极具影响力的全民健身城市体育文化品牌</w:t>
      </w:r>
    </w:p>
    <w:p>
      <w:pPr>
        <w:spacing w:line="560" w:lineRule="exact"/>
        <w:ind w:left="0" w:leftChars="0"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b w:val="0"/>
          <w:bCs w:val="0"/>
          <w:color w:val="000000"/>
          <w:kern w:val="0"/>
          <w:sz w:val="32"/>
          <w:szCs w:val="32"/>
          <w:highlight w:val="none"/>
          <w:lang w:val="en-US" w:eastAsia="zh-CN"/>
        </w:rPr>
        <w:t>2.“</w:t>
      </w:r>
      <w:r>
        <w:rPr>
          <w:rFonts w:hint="eastAsia" w:ascii="仿宋_GB2312" w:hAnsi="宋体" w:eastAsia="仿宋_GB2312" w:cs="宋体"/>
          <w:color w:val="000000"/>
          <w:kern w:val="0"/>
          <w:sz w:val="32"/>
          <w:szCs w:val="32"/>
          <w:highlight w:val="none"/>
          <w:lang w:val="en-US" w:eastAsia="zh-CN"/>
        </w:rPr>
        <w:t>库房租赁”项目：落实关于做好冬奥物品管理工作的相关要求，进一步加强和规范冬奥物品管理工作，妥善保管冬奥物品。</w:t>
      </w:r>
    </w:p>
    <w:p>
      <w:pPr>
        <w:spacing w:line="560" w:lineRule="exact"/>
        <w:ind w:left="0" w:leftChars="0" w:firstLine="640" w:firstLineChars="200"/>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3.“展项设备设施专业外包服务”项目：北京奥运博物馆聘请专业团队负责场馆内科技展项设备的定期巡查，负责对设备的维修、保养、维护和清洁。有效保障展线、展项、机械、灯光、艺术品、展柜等所有展示专业设施的正常运行，满足展览需求。</w:t>
      </w:r>
    </w:p>
    <w:p>
      <w:pPr>
        <w:spacing w:line="560" w:lineRule="exact"/>
        <w:ind w:left="105" w:leftChars="50" w:firstLine="480" w:firstLineChars="150"/>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4.“信息系统运维”项目：北京奥运博物馆请专业团队对信息化系统内已损坏及临界寿命各硬件设备设施进行全部维修，必要时提供设备备件，保障各业务系统、安全系统、数据库等软件达到功能需求。</w:t>
      </w:r>
    </w:p>
    <w:p>
      <w:pPr>
        <w:pStyle w:val="13"/>
        <w:numPr>
          <w:ilvl w:val="-1"/>
          <w:numId w:val="0"/>
        </w:numPr>
        <w:spacing w:line="560" w:lineRule="exact"/>
        <w:ind w:left="0" w:leftChars="0" w:firstLine="640" w:firstLineChars="200"/>
        <w:rPr>
          <w:rFonts w:hint="default" w:ascii="仿宋_GB2312" w:hAnsi="仿宋" w:eastAsia="仿宋_GB2312" w:cs="宋体"/>
          <w:kern w:val="0"/>
          <w:sz w:val="32"/>
          <w:szCs w:val="32"/>
          <w:highlight w:val="none"/>
          <w:lang w:val="en-US" w:eastAsia="zh-CN"/>
        </w:rPr>
      </w:pPr>
      <w:r>
        <w:rPr>
          <w:rFonts w:hint="eastAsia" w:ascii="仿宋_GB2312" w:hAnsi="仿宋" w:eastAsia="仿宋_GB2312" w:cs="宋体"/>
          <w:kern w:val="0"/>
          <w:sz w:val="32"/>
          <w:szCs w:val="32"/>
          <w:highlight w:val="none"/>
          <w:lang w:val="en-US" w:eastAsia="zh-CN"/>
        </w:rPr>
        <w:t>5.“办公设备购置类”项目：</w:t>
      </w:r>
      <w:r>
        <w:rPr>
          <w:rFonts w:hint="eastAsia" w:ascii="仿宋_GB2312" w:hAnsi="Times New Roman" w:eastAsia="仿宋_GB2312" w:cs="Times New Roman"/>
          <w:sz w:val="32"/>
          <w:szCs w:val="32"/>
          <w:highlight w:val="none"/>
          <w:lang w:val="en-US" w:eastAsia="zh-CN"/>
        </w:rPr>
        <w:t>改善了办公环境的需求</w:t>
      </w:r>
      <w:r>
        <w:rPr>
          <w:rFonts w:hint="eastAsia" w:ascii="仿宋_GB2312"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lang w:val="en-US" w:eastAsia="zh-CN"/>
        </w:rPr>
        <w:t>保障</w:t>
      </w:r>
      <w:r>
        <w:rPr>
          <w:rFonts w:hint="eastAsia" w:ascii="仿宋_GB2312" w:hAnsi="仿宋_GB2312" w:eastAsia="仿宋_GB2312" w:cs="仿宋_GB2312"/>
          <w:kern w:val="2"/>
          <w:sz w:val="32"/>
          <w:szCs w:val="32"/>
          <w:highlight w:val="none"/>
          <w:lang w:val="en-US" w:eastAsia="zh-CN"/>
        </w:rPr>
        <w:t>北京奥运博物馆</w:t>
      </w:r>
      <w:r>
        <w:rPr>
          <w:rFonts w:hint="eastAsia" w:ascii="仿宋_GB2312" w:hAnsi="Times New Roman" w:eastAsia="仿宋_GB2312" w:cs="Times New Roman"/>
          <w:sz w:val="32"/>
          <w:szCs w:val="32"/>
          <w:highlight w:val="none"/>
          <w:lang w:val="en-US" w:eastAsia="zh-CN"/>
        </w:rPr>
        <w:t>日常工作的正常开展。</w:t>
      </w:r>
    </w:p>
    <w:p>
      <w:pPr>
        <w:pStyle w:val="13"/>
        <w:numPr>
          <w:ilvl w:val="-1"/>
          <w:numId w:val="0"/>
        </w:numPr>
        <w:spacing w:line="560" w:lineRule="exact"/>
        <w:ind w:left="0" w:leftChars="0" w:firstLine="640" w:firstLineChars="200"/>
        <w:rPr>
          <w:rFonts w:hint="eastAsia" w:ascii="仿宋_GB2312" w:hAnsi="仿宋" w:eastAsia="仿宋_GB2312" w:cs="宋体"/>
          <w:kern w:val="0"/>
          <w:sz w:val="32"/>
          <w:szCs w:val="32"/>
          <w:highlight w:val="none"/>
          <w:lang w:val="en-US" w:eastAsia="zh-CN"/>
        </w:rPr>
      </w:pPr>
      <w:r>
        <w:rPr>
          <w:rFonts w:hint="eastAsia" w:ascii="仿宋_GB2312" w:hAnsi="仿宋" w:eastAsia="仿宋_GB2312" w:cs="宋体"/>
          <w:kern w:val="0"/>
          <w:sz w:val="32"/>
          <w:szCs w:val="32"/>
          <w:highlight w:val="none"/>
          <w:lang w:val="en-US" w:eastAsia="zh-CN"/>
        </w:rPr>
        <w:t>6.“编外用工管理服务费”项目：</w:t>
      </w:r>
      <w:r>
        <w:rPr>
          <w:rFonts w:hint="eastAsia" w:ascii="仿宋_GB2312" w:hAnsi="仿宋_GB2312" w:eastAsia="仿宋_GB2312" w:cs="仿宋_GB2312"/>
          <w:kern w:val="2"/>
          <w:sz w:val="32"/>
          <w:szCs w:val="32"/>
          <w:lang w:val="en-US" w:eastAsia="zh-CN"/>
        </w:rPr>
        <w:t>北京奥运博物馆作为大型开放性博物馆，承担展览展示2008年北京奥运会及残奥会和2022年冬奥会及冬残奥会盛况的重要工作。作为大型开放性博物馆，为了更好的服务于观众，满足观众的多样化需求，展现北京“双奥”之城的魅力，传播好奥林匹克精神。北京奥运博物馆与劳务派遣公司签订合同，</w:t>
      </w:r>
      <w:r>
        <w:rPr>
          <w:rFonts w:hint="eastAsia" w:ascii="仿宋_GB2312" w:hAnsi="仿宋" w:eastAsia="仿宋_GB2312" w:cs="宋体"/>
          <w:kern w:val="0"/>
          <w:sz w:val="32"/>
          <w:szCs w:val="32"/>
          <w:highlight w:val="none"/>
          <w:lang w:val="en-US" w:eastAsia="zh-CN"/>
        </w:rPr>
        <w:t>根据实际需要使用编外用工人员</w:t>
      </w:r>
      <w:r>
        <w:rPr>
          <w:rFonts w:hint="eastAsia" w:ascii="仿宋_GB2312" w:hAnsi="仿宋_GB2312" w:eastAsia="仿宋_GB2312" w:cs="仿宋_GB2312"/>
          <w:kern w:val="2"/>
          <w:sz w:val="32"/>
          <w:szCs w:val="32"/>
          <w:lang w:val="en-US" w:eastAsia="zh-CN"/>
        </w:rPr>
        <w:t>，保障博物馆工作的顺利进行。</w:t>
      </w:r>
    </w:p>
    <w:p>
      <w:pPr>
        <w:pStyle w:val="13"/>
        <w:numPr>
          <w:ilvl w:val="-1"/>
          <w:numId w:val="0"/>
        </w:numPr>
        <w:spacing w:line="560" w:lineRule="exact"/>
        <w:ind w:left="0" w:leftChars="0" w:firstLine="640" w:firstLineChars="200"/>
        <w:rPr>
          <w:rFonts w:hint="default" w:ascii="仿宋_GB2312" w:hAnsi="仿宋" w:eastAsia="仿宋_GB2312" w:cs="宋体"/>
          <w:kern w:val="0"/>
          <w:sz w:val="32"/>
          <w:szCs w:val="32"/>
          <w:highlight w:val="none"/>
          <w:lang w:val="en-US" w:eastAsia="zh-CN"/>
        </w:rPr>
      </w:pPr>
      <w:r>
        <w:rPr>
          <w:rFonts w:hint="eastAsia" w:ascii="仿宋_GB2312" w:hAnsi="仿宋" w:eastAsia="仿宋_GB2312" w:cs="宋体"/>
          <w:kern w:val="0"/>
          <w:sz w:val="32"/>
          <w:szCs w:val="32"/>
          <w:highlight w:val="none"/>
          <w:lang w:val="en-US" w:eastAsia="zh-CN"/>
        </w:rPr>
        <w:t>7.“‘</w:t>
      </w:r>
      <w:r>
        <w:rPr>
          <w:rFonts w:hint="default" w:ascii="仿宋_GB2312" w:hAnsi="仿宋" w:eastAsia="仿宋_GB2312" w:cs="宋体"/>
          <w:kern w:val="0"/>
          <w:sz w:val="32"/>
          <w:szCs w:val="32"/>
          <w:highlight w:val="none"/>
          <w:lang w:val="en-US" w:eastAsia="zh-CN"/>
        </w:rPr>
        <w:t>奥运圣火重返巴黎</w:t>
      </w:r>
      <w:r>
        <w:rPr>
          <w:rFonts w:hint="eastAsia" w:ascii="仿宋_GB2312" w:hAnsi="仿宋" w:eastAsia="仿宋_GB2312" w:cs="宋体"/>
          <w:kern w:val="0"/>
          <w:sz w:val="32"/>
          <w:szCs w:val="32"/>
          <w:highlight w:val="none"/>
          <w:lang w:val="en-US" w:eastAsia="zh-CN"/>
        </w:rPr>
        <w:t>’</w:t>
      </w:r>
      <w:r>
        <w:rPr>
          <w:rFonts w:hint="default" w:ascii="仿宋_GB2312" w:hAnsi="仿宋" w:eastAsia="仿宋_GB2312" w:cs="宋体"/>
          <w:kern w:val="0"/>
          <w:sz w:val="32"/>
          <w:szCs w:val="32"/>
          <w:highlight w:val="none"/>
          <w:lang w:val="en-US" w:eastAsia="zh-CN"/>
        </w:rPr>
        <w:t>主题巡展</w:t>
      </w:r>
      <w:r>
        <w:rPr>
          <w:rFonts w:hint="eastAsia" w:ascii="仿宋_GB2312" w:hAnsi="仿宋" w:eastAsia="仿宋_GB2312" w:cs="宋体"/>
          <w:kern w:val="0"/>
          <w:sz w:val="32"/>
          <w:szCs w:val="32"/>
          <w:highlight w:val="none"/>
          <w:lang w:val="en-US" w:eastAsia="zh-CN"/>
        </w:rPr>
        <w:t>”</w:t>
      </w:r>
      <w:r>
        <w:rPr>
          <w:rFonts w:hint="default" w:ascii="仿宋_GB2312" w:hAnsi="仿宋" w:eastAsia="仿宋_GB2312" w:cs="宋体"/>
          <w:kern w:val="0"/>
          <w:sz w:val="32"/>
          <w:szCs w:val="32"/>
          <w:highlight w:val="none"/>
          <w:lang w:val="en-US" w:eastAsia="zh-CN"/>
        </w:rPr>
        <w:t>项目</w:t>
      </w:r>
      <w:r>
        <w:rPr>
          <w:rFonts w:hint="eastAsia" w:ascii="仿宋_GB2312" w:hAnsi="仿宋" w:eastAsia="仿宋_GB2312" w:cs="宋体"/>
          <w:kern w:val="0"/>
          <w:sz w:val="32"/>
          <w:szCs w:val="32"/>
          <w:highlight w:val="none"/>
          <w:lang w:val="en-US" w:eastAsia="zh-CN"/>
        </w:rPr>
        <w:t>：走进学校、社区等地，进行主题展演，保证观众参观体验，</w:t>
      </w:r>
      <w:r>
        <w:rPr>
          <w:rFonts w:hint="eastAsia" w:ascii="仿宋_GB2312" w:hAnsi="宋体" w:eastAsia="仿宋_GB2312" w:cs="宋体"/>
          <w:color w:val="000000"/>
          <w:kern w:val="0"/>
          <w:sz w:val="32"/>
          <w:szCs w:val="32"/>
          <w:highlight w:val="none"/>
          <w:lang w:eastAsia="zh-CN"/>
        </w:rPr>
        <w:t>提升北京奥运博物馆</w:t>
      </w:r>
      <w:r>
        <w:rPr>
          <w:rFonts w:hint="eastAsia" w:ascii="仿宋_GB2312" w:hAnsi="宋体" w:eastAsia="仿宋_GB2312" w:cs="宋体"/>
          <w:color w:val="000000"/>
          <w:kern w:val="0"/>
          <w:sz w:val="32"/>
          <w:szCs w:val="32"/>
          <w:highlight w:val="none"/>
          <w:lang w:val="en-US" w:eastAsia="zh-CN"/>
        </w:rPr>
        <w:t>的</w:t>
      </w:r>
      <w:r>
        <w:rPr>
          <w:rFonts w:hint="eastAsia" w:ascii="仿宋_GB2312" w:hAnsi="宋体" w:eastAsia="仿宋_GB2312" w:cs="宋体"/>
          <w:color w:val="000000"/>
          <w:kern w:val="0"/>
          <w:sz w:val="32"/>
          <w:szCs w:val="32"/>
          <w:highlight w:val="none"/>
          <w:lang w:eastAsia="zh-CN"/>
        </w:rPr>
        <w:t>影响力。</w:t>
      </w:r>
    </w:p>
    <w:p>
      <w:pPr>
        <w:spacing w:line="560" w:lineRule="exact"/>
        <w:ind w:left="0" w:leftChars="0" w:firstLine="640" w:firstLineChars="200"/>
        <w:rPr>
          <w:rFonts w:hint="default" w:ascii="仿宋_GB2312" w:hAnsi="仿宋" w:eastAsia="仿宋_GB2312" w:cs="宋体"/>
          <w:kern w:val="0"/>
          <w:sz w:val="32"/>
          <w:szCs w:val="32"/>
          <w:highlight w:val="none"/>
          <w:lang w:val="en-US" w:eastAsia="zh-CN"/>
        </w:rPr>
      </w:pPr>
      <w:r>
        <w:rPr>
          <w:rFonts w:hint="eastAsia" w:ascii="仿宋_GB2312" w:hAnsi="仿宋" w:eastAsia="仿宋_GB2312" w:cs="宋体"/>
          <w:kern w:val="0"/>
          <w:sz w:val="32"/>
          <w:szCs w:val="32"/>
          <w:highlight w:val="none"/>
          <w:lang w:val="en-US" w:eastAsia="zh-CN"/>
        </w:rPr>
        <w:t>8.“赴法国、日本出席奥运会开幕式及交流项目经费”项目：有助于加强奥运城市间合作、奥运带动当地经济发展、奥运遗产赛后利用等方面事项。</w:t>
      </w:r>
    </w:p>
    <w:p>
      <w:pPr>
        <w:spacing w:line="560" w:lineRule="exact"/>
        <w:ind w:left="0" w:leftChars="0" w:firstLine="640" w:firstLineChars="200"/>
        <w:outlineLvl w:val="0"/>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56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1.财务管理制度健全性</w:t>
      </w:r>
    </w:p>
    <w:p>
      <w:pPr>
        <w:spacing w:line="56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北京奥促中心建立了《北京奥运城市发展促进中心财务管理制度》、《北京奥运城市发展促进中心财务管理办法》、《北京奥运城市发展促进中心预算管理办法》、《北京奥运城市发展促进中心经费支出管理办法》等制度，</w:t>
      </w:r>
      <w:r>
        <w:rPr>
          <w:rFonts w:hint="eastAsia" w:ascii="仿宋_GB2312" w:hAnsi="宋体" w:eastAsia="仿宋_GB2312" w:cs="宋体"/>
          <w:color w:val="000000"/>
          <w:kern w:val="0"/>
          <w:sz w:val="32"/>
          <w:szCs w:val="32"/>
        </w:rPr>
        <w:t>财务</w:t>
      </w:r>
      <w:r>
        <w:rPr>
          <w:rFonts w:ascii="仿宋_GB2312" w:hAnsi="宋体" w:eastAsia="仿宋_GB2312" w:cs="宋体"/>
          <w:color w:val="000000"/>
          <w:kern w:val="0"/>
          <w:sz w:val="32"/>
          <w:szCs w:val="32"/>
        </w:rPr>
        <w:t>管理制度健全</w:t>
      </w:r>
      <w:r>
        <w:rPr>
          <w:rFonts w:hint="eastAsia" w:ascii="仿宋_GB2312" w:hAnsi="宋体" w:eastAsia="仿宋_GB2312" w:cs="宋体"/>
          <w:color w:val="000000"/>
          <w:kern w:val="0"/>
          <w:sz w:val="32"/>
          <w:szCs w:val="32"/>
          <w:lang w:eastAsia="zh-CN"/>
        </w:rPr>
        <w:t>。</w:t>
      </w:r>
    </w:p>
    <w:p>
      <w:pPr>
        <w:spacing w:line="56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2.资金使用合规性和安全性</w:t>
      </w:r>
    </w:p>
    <w:p>
      <w:pPr>
        <w:numPr>
          <w:ilvl w:val="0"/>
          <w:numId w:val="0"/>
        </w:numPr>
        <w:spacing w:line="56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北京奥促中心各项</w:t>
      </w:r>
      <w:r>
        <w:rPr>
          <w:rFonts w:hint="eastAsia" w:ascii="仿宋_GB2312" w:hAnsi="宋体" w:eastAsia="仿宋_GB2312" w:cs="宋体"/>
          <w:color w:val="000000"/>
          <w:kern w:val="0"/>
          <w:sz w:val="32"/>
          <w:szCs w:val="32"/>
        </w:rPr>
        <w:t>资金</w:t>
      </w:r>
      <w:r>
        <w:rPr>
          <w:rFonts w:hint="eastAsia" w:ascii="仿宋_GB2312" w:hAnsi="宋体" w:eastAsia="仿宋_GB2312" w:cs="宋体"/>
          <w:color w:val="000000"/>
          <w:kern w:val="0"/>
          <w:sz w:val="32"/>
          <w:szCs w:val="32"/>
          <w:lang w:val="en-US" w:eastAsia="zh-CN"/>
        </w:rPr>
        <w:t>支出均参照国家、北京市相关制度及本单位已制定的财务制度执行，资金支出审批程序齐全，资金使用</w:t>
      </w:r>
      <w:r>
        <w:rPr>
          <w:rFonts w:hint="eastAsia" w:ascii="仿宋_GB2312" w:hAnsi="宋体" w:eastAsia="仿宋_GB2312" w:cs="宋体"/>
          <w:color w:val="000000"/>
          <w:kern w:val="0"/>
          <w:sz w:val="32"/>
          <w:szCs w:val="32"/>
        </w:rPr>
        <w:t>合规</w:t>
      </w:r>
      <w:r>
        <w:rPr>
          <w:rFonts w:hint="eastAsia" w:ascii="仿宋_GB2312" w:hAnsi="宋体" w:eastAsia="仿宋_GB2312" w:cs="宋体"/>
          <w:color w:val="000000"/>
          <w:kern w:val="0"/>
          <w:sz w:val="32"/>
          <w:szCs w:val="32"/>
          <w:lang w:eastAsia="zh-CN"/>
        </w:rPr>
        <w:t>、</w:t>
      </w:r>
      <w:r>
        <w:rPr>
          <w:rFonts w:ascii="仿宋_GB2312" w:hAnsi="宋体" w:eastAsia="仿宋_GB2312" w:cs="宋体"/>
          <w:color w:val="000000"/>
          <w:kern w:val="0"/>
          <w:sz w:val="32"/>
          <w:szCs w:val="32"/>
        </w:rPr>
        <w:t>安全</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会计信息准确、完整。同时，积极开展项目监管检查、绩效评价等相关工作，加强资金使用效果的监督、落实。</w:t>
      </w:r>
    </w:p>
    <w:p>
      <w:pPr>
        <w:spacing w:line="56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3.会计基础信息完善性</w:t>
      </w:r>
    </w:p>
    <w:p>
      <w:pPr>
        <w:spacing w:line="560" w:lineRule="exact"/>
        <w:ind w:left="105" w:leftChars="50" w:firstLine="480" w:firstLineChars="150"/>
        <w:rPr>
          <w:rFonts w:hint="eastAsia"/>
          <w:lang w:val="en-US" w:eastAsia="zh-CN"/>
        </w:rPr>
      </w:pPr>
      <w:r>
        <w:rPr>
          <w:rFonts w:hint="eastAsia" w:ascii="仿宋_GB2312" w:hAnsi="宋体" w:eastAsia="仿宋_GB2312" w:cs="宋体"/>
          <w:color w:val="000000"/>
          <w:kern w:val="0"/>
          <w:sz w:val="32"/>
          <w:szCs w:val="32"/>
          <w:lang w:val="en-US" w:eastAsia="zh-CN"/>
        </w:rPr>
        <w:t>北京奥促中心</w:t>
      </w:r>
      <w:r>
        <w:rPr>
          <w:rFonts w:hint="eastAsia" w:ascii="仿宋_GB2312" w:hAnsi="宋体" w:eastAsia="仿宋_GB2312" w:cs="宋体"/>
          <w:kern w:val="0"/>
          <w:sz w:val="32"/>
          <w:szCs w:val="32"/>
        </w:rPr>
        <w:t>严格按照《中华人民共和国会计法》《中华人民共和国预算法》《政府会计准则——基本准则》《政府会计制度》等要求，</w:t>
      </w:r>
      <w:r>
        <w:rPr>
          <w:rFonts w:hint="eastAsia" w:ascii="仿宋_GB2312" w:hAnsi="宋体" w:eastAsia="仿宋_GB2312" w:cs="宋体"/>
          <w:color w:val="000000"/>
          <w:kern w:val="0"/>
          <w:sz w:val="32"/>
          <w:szCs w:val="32"/>
          <w:highlight w:val="none"/>
        </w:rPr>
        <w:t>不断完善财务制度</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rPr>
        <w:t>规范会计核算、加强会计监督，以提高会计基础工作水平，</w:t>
      </w:r>
      <w:r>
        <w:rPr>
          <w:rFonts w:hint="eastAsia" w:ascii="仿宋_GB2312" w:hAnsi="宋体" w:eastAsia="仿宋_GB2312" w:cs="宋体"/>
          <w:color w:val="000000"/>
          <w:kern w:val="0"/>
          <w:sz w:val="32"/>
          <w:szCs w:val="32"/>
          <w:highlight w:val="none"/>
          <w:lang w:val="en-US" w:eastAsia="zh-CN"/>
        </w:rPr>
        <w:t>确保</w:t>
      </w:r>
      <w:r>
        <w:rPr>
          <w:rFonts w:hint="eastAsia" w:ascii="仿宋_GB2312" w:hAnsi="宋体" w:eastAsia="仿宋_GB2312" w:cs="宋体"/>
          <w:kern w:val="0"/>
          <w:sz w:val="32"/>
          <w:szCs w:val="32"/>
        </w:rPr>
        <w:t>基础数据信息和会计信息资料的真实、完整和准确。</w:t>
      </w:r>
      <w:r>
        <w:rPr>
          <w:rFonts w:hint="eastAsia" w:ascii="仿宋_GB2312" w:hAnsi="仿宋_GB2312" w:eastAsia="仿宋_GB2312" w:cs="仿宋_GB2312"/>
          <w:sz w:val="32"/>
          <w:lang w:val="en-US" w:eastAsia="zh-CN"/>
        </w:rPr>
        <w:t>单位财务人员注重财务、采购、审计等各类知识的学习与培训，积极参加预算、决算、财务报告等网上培训，保证了预决算及日常会计核算的规范性。北京</w:t>
      </w:r>
      <w:r>
        <w:rPr>
          <w:rFonts w:hint="eastAsia" w:ascii="仿宋_GB2312" w:hAnsi="宋体" w:eastAsia="仿宋_GB2312" w:cs="宋体"/>
          <w:color w:val="000000"/>
          <w:kern w:val="0"/>
          <w:sz w:val="32"/>
          <w:szCs w:val="32"/>
          <w:lang w:val="en-US" w:eastAsia="zh-CN"/>
        </w:rPr>
        <w:t>奥促中心</w:t>
      </w:r>
      <w:r>
        <w:rPr>
          <w:rFonts w:hint="eastAsia" w:ascii="仿宋_GB2312" w:hAnsi="仿宋_GB2312" w:eastAsia="仿宋_GB2312" w:cs="仿宋_GB2312"/>
          <w:sz w:val="32"/>
          <w:lang w:val="en-US" w:eastAsia="zh-CN"/>
        </w:rPr>
        <w:t>会计基础数据信息和会计信息资料真实、完整、准确，相关管理工作较为规范。</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（二）资产管理</w:t>
      </w:r>
    </w:p>
    <w:p>
      <w:pPr>
        <w:spacing w:line="56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1.北京奥促中心建立了《北京奥运城市发展促进中心资产管理办法》、《北京奥运城市发展促进中心固定资产管理办法》等制度，资产</w:t>
      </w:r>
      <w:r>
        <w:rPr>
          <w:rFonts w:ascii="仿宋_GB2312" w:hAnsi="宋体" w:eastAsia="仿宋_GB2312" w:cs="宋体"/>
          <w:color w:val="000000"/>
          <w:kern w:val="0"/>
          <w:sz w:val="32"/>
          <w:szCs w:val="32"/>
        </w:rPr>
        <w:t>管理制度健全</w:t>
      </w:r>
      <w:r>
        <w:rPr>
          <w:rFonts w:hint="eastAsia" w:ascii="仿宋_GB2312" w:hAnsi="宋体" w:eastAsia="仿宋_GB2312" w:cs="宋体"/>
          <w:color w:val="000000"/>
          <w:kern w:val="0"/>
          <w:sz w:val="32"/>
          <w:szCs w:val="32"/>
          <w:lang w:eastAsia="zh-CN"/>
        </w:rPr>
        <w:t>。</w:t>
      </w:r>
    </w:p>
    <w:p>
      <w:pPr>
        <w:numPr>
          <w:ilvl w:val="-1"/>
          <w:numId w:val="0"/>
        </w:numPr>
        <w:spacing w:line="560" w:lineRule="exact"/>
        <w:ind w:left="0" w:leftChars="0"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2.北京奥促中心在资产管理方面能够按照现有制度执行，科学合理做好资产配置，加强资产的日常管理维护，挖掘资产使用价值，规范和完善资产的处置流程，充分发挥资产在单位履行职能方面的物质基础作用。</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（三）绩效</w:t>
      </w:r>
      <w:r>
        <w:rPr>
          <w:rFonts w:ascii="楷体_GB2312" w:eastAsia="楷体_GB2312"/>
          <w:sz w:val="32"/>
          <w:szCs w:val="32"/>
          <w:highlight w:val="none"/>
        </w:rPr>
        <w:t>管理</w:t>
      </w:r>
    </w:p>
    <w:p>
      <w:pPr>
        <w:spacing w:line="560" w:lineRule="exact"/>
        <w:ind w:firstLine="640" w:firstLineChars="200"/>
        <w:rPr>
          <w:rFonts w:hint="eastAsia" w:ascii="仿宋_GB2312" w:hAnsi="仿宋_GB2312" w:eastAsia="仿宋_GB2312" w:cs="仿宋_GB2312"/>
          <w:sz w:val="32"/>
          <w:lang w:val="en-US" w:eastAsia="zh-CN"/>
        </w:rPr>
      </w:pPr>
      <w:r>
        <w:rPr>
          <w:rFonts w:hint="eastAsia" w:ascii="仿宋_GB2312" w:hAnsi="宋体" w:eastAsia="仿宋_GB2312" w:cs="宋体"/>
          <w:color w:val="000000"/>
          <w:kern w:val="0"/>
          <w:sz w:val="32"/>
          <w:szCs w:val="32"/>
          <w:lang w:val="en-US" w:eastAsia="zh-CN"/>
        </w:rPr>
        <w:t>北京奥促中心</w:t>
      </w:r>
      <w:r>
        <w:rPr>
          <w:rFonts w:hint="eastAsia" w:ascii="仿宋_GB2312" w:hAnsi="仿宋_GB2312" w:eastAsia="仿宋_GB2312" w:cs="仿宋_GB2312"/>
          <w:sz w:val="32"/>
          <w:lang w:val="en-US" w:eastAsia="zh-CN"/>
        </w:rPr>
        <w:t>根据“预算编制有目标、预算执行有监控、预算完成有评价、评价结果有反馈、反馈结果有应用”的预算绩效管理要求，</w:t>
      </w:r>
      <w:r>
        <w:rPr>
          <w:rFonts w:hint="eastAsia" w:ascii="仿宋_GB2312" w:hAnsi="仿宋_GB2312" w:eastAsia="仿宋_GB2312" w:cs="仿宋_GB2312"/>
          <w:sz w:val="32"/>
          <w:szCs w:val="32"/>
          <w:highlight w:val="none"/>
        </w:rPr>
        <w:t>实行全过程绩效管理。</w:t>
      </w:r>
      <w:r>
        <w:rPr>
          <w:rFonts w:hint="eastAsia" w:ascii="仿宋_GB2312" w:hAnsi="仿宋_GB2312" w:eastAsia="仿宋_GB2312" w:cs="仿宋_GB2312"/>
          <w:sz w:val="32"/>
          <w:lang w:val="en-US" w:eastAsia="zh-CN"/>
        </w:rPr>
        <w:t>不断推进全面预算绩效管理工作，按要求开展预算绩效目标填报、预算绩效监控、预算绩效评价等工作。</w:t>
      </w:r>
    </w:p>
    <w:p>
      <w:pPr>
        <w:spacing w:line="56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北京奥促中心建立了预算管理办法，在部门预算绩效管理工作中，对具体项目的决策、执行、产出及效益等方面进行综合评价，评价结果经单位主要领导审批，确保评价结果的真实、准确、客观。通过绩效评价进一步强化了对项目资金的绩效管理意识，提高了财政资金的使用效益。建立科学、合理的部门支出绩效评价管理体系，提高财政资金使用效益。</w:t>
      </w:r>
    </w:p>
    <w:p>
      <w:pPr>
        <w:spacing w:line="560" w:lineRule="exact"/>
        <w:ind w:left="105" w:leftChars="50" w:firstLine="534" w:firstLineChars="167"/>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北京奥促中心部门支出绩效评价依据设定的绩效目标，运用科学、合理的绩效评价指标、评价标准和评价方法，对部门支出的经济性、效率性、效益性和公平性以及预算资金的投入、使用过程、产出和效果进行客观、公正的测量、分析和评判进一步加强预算绩效管理。</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（四）结转结余率</w:t>
      </w:r>
    </w:p>
    <w:p>
      <w:pPr>
        <w:spacing w:line="56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2024年</w:t>
      </w:r>
      <w:r>
        <w:rPr>
          <w:rFonts w:hint="eastAsia" w:ascii="仿宋_GB2312" w:hAnsi="仿宋_GB2312" w:eastAsia="仿宋_GB2312" w:cs="仿宋_GB2312"/>
          <w:sz w:val="32"/>
          <w:highlight w:val="none"/>
          <w:lang w:val="en-US" w:eastAsia="zh-CN"/>
        </w:rPr>
        <w:t>末</w:t>
      </w:r>
      <w:r>
        <w:rPr>
          <w:rFonts w:hint="eastAsia" w:ascii="仿宋_GB2312" w:hAnsi="宋体" w:eastAsia="仿宋_GB2312" w:cs="宋体"/>
          <w:color w:val="000000"/>
          <w:kern w:val="0"/>
          <w:sz w:val="32"/>
          <w:szCs w:val="32"/>
          <w:highlight w:val="none"/>
          <w:lang w:val="en-US" w:eastAsia="zh-CN"/>
        </w:rPr>
        <w:t>结转结余资金总额为2,971.65万元，</w:t>
      </w:r>
      <w:r>
        <w:rPr>
          <w:rFonts w:hint="eastAsia" w:ascii="仿宋_GB2312" w:hAnsi="仿宋_GB2312" w:eastAsia="仿宋_GB2312" w:cs="仿宋_GB2312"/>
          <w:sz w:val="32"/>
          <w:highlight w:val="none"/>
          <w:lang w:val="en-US" w:eastAsia="zh-CN"/>
        </w:rPr>
        <w:t>全年支出预算数</w:t>
      </w:r>
      <w:r>
        <w:rPr>
          <w:rFonts w:hint="eastAsia" w:ascii="仿宋_GB2312" w:hAnsi="宋体" w:eastAsia="仿宋_GB2312" w:cs="宋体"/>
          <w:color w:val="000000"/>
          <w:kern w:val="0"/>
          <w:sz w:val="32"/>
          <w:szCs w:val="32"/>
          <w:highlight w:val="none"/>
          <w:lang w:val="en-US" w:eastAsia="zh-CN"/>
        </w:rPr>
        <w:t>20,310.60万元，结转结余率为14.63%，高于上年</w:t>
      </w:r>
      <w:r>
        <w:rPr>
          <w:rFonts w:hint="eastAsia" w:ascii="仿宋_GB2312" w:hAnsi="仿宋_GB2312" w:eastAsia="仿宋_GB2312" w:cs="仿宋_GB2312"/>
          <w:sz w:val="32"/>
          <w:highlight w:val="none"/>
          <w:lang w:val="en-US" w:eastAsia="zh-CN"/>
        </w:rPr>
        <w:t>结转结余率</w:t>
      </w:r>
      <w:r>
        <w:rPr>
          <w:rFonts w:hint="eastAsia" w:ascii="仿宋_GB2312" w:hAnsi="宋体" w:eastAsia="仿宋_GB2312" w:cs="宋体"/>
          <w:color w:val="000000"/>
          <w:kern w:val="0"/>
          <w:sz w:val="32"/>
          <w:szCs w:val="32"/>
          <w:highlight w:val="none"/>
          <w:lang w:val="en-US" w:eastAsia="zh-CN"/>
        </w:rPr>
        <w:t>。</w:t>
      </w:r>
    </w:p>
    <w:p>
      <w:pPr>
        <w:spacing w:line="56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pPr>
        <w:widowControl/>
        <w:spacing w:line="560" w:lineRule="exact"/>
        <w:ind w:firstLine="640"/>
        <w:rPr>
          <w:rFonts w:hint="eastAsia" w:ascii="仿宋_GB2312" w:hAnsi="宋体" w:eastAsia="仿宋_GB2312" w:cs="宋体"/>
          <w:color w:val="000000"/>
          <w:kern w:val="0"/>
          <w:sz w:val="32"/>
          <w:szCs w:val="32"/>
          <w:highlight w:val="none"/>
          <w:lang w:eastAsia="zh-CN"/>
        </w:rPr>
      </w:pPr>
      <w:r>
        <w:rPr>
          <w:rFonts w:hint="eastAsia" w:ascii="仿宋_GB2312" w:hAnsi="宋体" w:eastAsia="仿宋_GB2312" w:cs="宋体"/>
          <w:color w:val="000000"/>
          <w:kern w:val="0"/>
          <w:sz w:val="32"/>
          <w:szCs w:val="32"/>
          <w:highlight w:val="none"/>
          <w:lang w:eastAsia="zh-CN"/>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lang w:eastAsia="zh-CN"/>
        </w:rPr>
        <w:t>年，</w:t>
      </w:r>
      <w:r>
        <w:rPr>
          <w:rFonts w:hint="eastAsia" w:ascii="仿宋_GB2312" w:hAnsi="仿宋_GB2312" w:eastAsia="仿宋_GB2312" w:cs="仿宋_GB2312"/>
          <w:sz w:val="32"/>
          <w:highlight w:val="none"/>
          <w:lang w:val="en-US" w:eastAsia="zh-CN"/>
        </w:rPr>
        <w:t>部门全年</w:t>
      </w:r>
      <w:r>
        <w:rPr>
          <w:rFonts w:hint="eastAsia" w:ascii="仿宋_GB2312" w:hAnsi="宋体" w:eastAsia="仿宋_GB2312" w:cs="宋体"/>
          <w:color w:val="000000"/>
          <w:kern w:val="0"/>
          <w:sz w:val="32"/>
          <w:szCs w:val="32"/>
          <w:highlight w:val="none"/>
        </w:rPr>
        <w:t>预算数20,310.60万元</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sz w:val="32"/>
          <w:highlight w:val="none"/>
          <w:lang w:val="en-US" w:eastAsia="zh-CN"/>
        </w:rPr>
        <w:t>年度部门支出决算</w:t>
      </w:r>
      <w:r>
        <w:rPr>
          <w:rFonts w:hint="eastAsia" w:ascii="仿宋_GB2312" w:hAnsi="宋体" w:eastAsia="仿宋_GB2312" w:cs="宋体"/>
          <w:color w:val="000000"/>
          <w:kern w:val="0"/>
          <w:sz w:val="32"/>
          <w:szCs w:val="32"/>
          <w:highlight w:val="none"/>
          <w:lang w:val="en-US" w:eastAsia="zh-CN"/>
        </w:rPr>
        <w:t>数19,914.84</w:t>
      </w:r>
      <w:r>
        <w:rPr>
          <w:rFonts w:hint="eastAsia"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eastAsia="zh-CN"/>
        </w:rPr>
        <w:t>。</w:t>
      </w:r>
    </w:p>
    <w:p>
      <w:pPr>
        <w:widowControl/>
        <w:spacing w:line="560" w:lineRule="exact"/>
        <w:ind w:firstLine="640"/>
        <w:rPr>
          <w:rFonts w:hint="eastAsia"/>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年部门预决算差异=（实际完成数据</w:t>
      </w:r>
      <w:r>
        <w:rPr>
          <w:rFonts w:hint="eastAsia" w:ascii="仿宋_GB2312" w:hAnsi="仿宋_GB2312" w:eastAsia="仿宋_GB2312" w:cs="仿宋_GB2312"/>
          <w:sz w:val="32"/>
          <w:szCs w:val="32"/>
          <w:highlight w:val="none"/>
          <w:lang w:val="en-US" w:eastAsia="zh-CN"/>
        </w:rPr>
        <w:t>—全年</w:t>
      </w:r>
      <w:r>
        <w:rPr>
          <w:rFonts w:hint="eastAsia" w:ascii="仿宋_GB2312" w:hAnsi="仿宋_GB2312" w:eastAsia="仿宋_GB2312" w:cs="仿宋_GB2312"/>
          <w:sz w:val="32"/>
          <w:szCs w:val="32"/>
          <w:highlight w:val="none"/>
        </w:rPr>
        <w:t>预算数）/</w:t>
      </w:r>
      <w:r>
        <w:rPr>
          <w:rFonts w:hint="eastAsia" w:ascii="仿宋_GB2312" w:hAnsi="仿宋_GB2312" w:eastAsia="仿宋_GB2312" w:cs="仿宋_GB2312"/>
          <w:sz w:val="32"/>
          <w:szCs w:val="32"/>
          <w:highlight w:val="none"/>
          <w:lang w:val="en-US" w:eastAsia="zh-CN"/>
        </w:rPr>
        <w:t>批复</w:t>
      </w:r>
      <w:r>
        <w:rPr>
          <w:rFonts w:hint="eastAsia" w:ascii="仿宋_GB2312" w:hAnsi="仿宋_GB2312" w:eastAsia="仿宋_GB2312" w:cs="仿宋_GB2312"/>
          <w:sz w:val="32"/>
          <w:szCs w:val="32"/>
          <w:highlight w:val="none"/>
        </w:rPr>
        <w:t>预算数据*100%=</w:t>
      </w:r>
      <w:r>
        <w:rPr>
          <w:rFonts w:hint="eastAsia" w:ascii="仿宋_GB2312" w:hAnsi="仿宋_GB2312" w:eastAsia="仿宋_GB2312" w:cs="仿宋_GB2312"/>
          <w:sz w:val="32"/>
          <w:highlight w:val="none"/>
          <w:lang w:val="en-US" w:eastAsia="zh-CN"/>
        </w:rPr>
        <w:t>(</w:t>
      </w:r>
      <w:r>
        <w:rPr>
          <w:rFonts w:hint="eastAsia" w:ascii="仿宋_GB2312" w:hAnsi="宋体" w:eastAsia="仿宋_GB2312" w:cs="宋体"/>
          <w:color w:val="000000"/>
          <w:kern w:val="0"/>
          <w:sz w:val="32"/>
          <w:szCs w:val="32"/>
          <w:highlight w:val="none"/>
          <w:lang w:val="en-US" w:eastAsia="zh-CN"/>
        </w:rPr>
        <w:t>19,914.84</w:t>
      </w:r>
      <w:r>
        <w:rPr>
          <w:rFonts w:hint="eastAsia" w:ascii="仿宋_GB2312" w:hAnsi="仿宋_GB2312" w:eastAsia="仿宋_GB2312" w:cs="仿宋_GB2312"/>
          <w:sz w:val="32"/>
          <w:szCs w:val="32"/>
          <w:highlight w:val="none"/>
        </w:rPr>
        <w:t>-</w:t>
      </w:r>
      <w:r>
        <w:rPr>
          <w:rFonts w:hint="eastAsia" w:ascii="仿宋_GB2312" w:hAnsi="宋体" w:eastAsia="仿宋_GB2312" w:cs="宋体"/>
          <w:color w:val="000000"/>
          <w:kern w:val="0"/>
          <w:sz w:val="32"/>
          <w:szCs w:val="32"/>
          <w:highlight w:val="none"/>
        </w:rPr>
        <w:t>20,310.60</w:t>
      </w:r>
      <w:r>
        <w:rPr>
          <w:rFonts w:hint="eastAsia" w:ascii="仿宋_GB2312" w:hAnsi="仿宋_GB2312" w:eastAsia="仿宋_GB2312" w:cs="仿宋_GB2312"/>
          <w:sz w:val="32"/>
          <w:highlight w:val="none"/>
          <w:lang w:val="en-US" w:eastAsia="zh-CN"/>
        </w:rPr>
        <w:t>)</w:t>
      </w:r>
      <w:r>
        <w:rPr>
          <w:rFonts w:hint="eastAsia" w:ascii="仿宋_GB2312" w:hAnsi="仿宋_GB2312" w:eastAsia="仿宋_GB2312" w:cs="仿宋_GB2312"/>
          <w:sz w:val="32"/>
          <w:szCs w:val="32"/>
          <w:highlight w:val="none"/>
        </w:rPr>
        <w:t>/</w:t>
      </w:r>
      <w:r>
        <w:rPr>
          <w:rFonts w:hint="eastAsia" w:ascii="仿宋_GB2312" w:hAnsi="宋体" w:eastAsia="仿宋_GB2312" w:cs="宋体"/>
          <w:color w:val="000000"/>
          <w:kern w:val="0"/>
          <w:sz w:val="32"/>
          <w:szCs w:val="32"/>
          <w:highlight w:val="none"/>
          <w:lang w:val="en-US" w:eastAsia="zh-CN"/>
        </w:rPr>
        <w:t xml:space="preserve">20,310.60 </w:t>
      </w:r>
      <w:r>
        <w:rPr>
          <w:rFonts w:hint="eastAsia" w:ascii="仿宋_GB2312" w:hAnsi="仿宋_GB2312" w:eastAsia="仿宋_GB2312" w:cs="仿宋_GB2312"/>
          <w:sz w:val="32"/>
          <w:szCs w:val="32"/>
          <w:highlight w:val="none"/>
        </w:rPr>
        <w:t>*100%=</w:t>
      </w:r>
      <w:r>
        <w:rPr>
          <w:rFonts w:hint="eastAsia" w:ascii="仿宋_GB2312" w:hAnsi="仿宋_GB2312" w:eastAsia="仿宋_GB2312" w:cs="仿宋_GB2312"/>
          <w:sz w:val="32"/>
          <w:highlight w:val="none"/>
          <w:lang w:val="en-US" w:eastAsia="zh-CN"/>
        </w:rPr>
        <w:t>-1.95%。</w:t>
      </w:r>
    </w:p>
    <w:p>
      <w:pPr>
        <w:spacing w:line="600" w:lineRule="exact"/>
        <w:ind w:left="105" w:leftChars="50" w:firstLine="480" w:firstLineChars="150"/>
        <w:outlineLvl w:val="0"/>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spacing w:line="56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keepNext w:val="0"/>
        <w:keepLines w:val="0"/>
        <w:pageBreakBefore w:val="0"/>
        <w:widowControl w:val="0"/>
        <w:kinsoku/>
        <w:wordWrap/>
        <w:overflowPunct/>
        <w:topLinePunct w:val="0"/>
        <w:bidi w:val="0"/>
        <w:snapToGrid/>
        <w:spacing w:line="560" w:lineRule="exact"/>
        <w:ind w:left="105" w:leftChars="50" w:firstLine="480" w:firstLineChars="1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1.项目自评情况</w:t>
      </w:r>
    </w:p>
    <w:p>
      <w:pPr>
        <w:numPr>
          <w:ilvl w:val="0"/>
          <w:numId w:val="1"/>
        </w:numPr>
        <w:spacing w:line="56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eastAsia="zh-CN"/>
        </w:rPr>
        <w:t>北京</w:t>
      </w:r>
      <w:r>
        <w:rPr>
          <w:rFonts w:hint="eastAsia" w:ascii="仿宋_GB2312" w:hAnsi="宋体" w:eastAsia="仿宋_GB2312" w:cs="宋体"/>
          <w:color w:val="000000"/>
          <w:kern w:val="0"/>
          <w:sz w:val="32"/>
          <w:szCs w:val="32"/>
          <w:lang w:val="en-US" w:eastAsia="zh-CN"/>
        </w:rPr>
        <w:t>奥促中心</w:t>
      </w:r>
      <w:r>
        <w:rPr>
          <w:rFonts w:hint="eastAsia" w:ascii="仿宋_GB2312" w:hAnsi="仿宋_GB2312" w:eastAsia="仿宋_GB2312" w:cs="仿宋_GB2312"/>
          <w:sz w:val="32"/>
          <w:szCs w:val="32"/>
          <w:highlight w:val="none"/>
        </w:rPr>
        <w:t>对202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年度部门</w:t>
      </w:r>
      <w:r>
        <w:rPr>
          <w:rFonts w:hint="eastAsia" w:ascii="仿宋_GB2312" w:hAnsi="仿宋_GB2312" w:eastAsia="仿宋_GB2312" w:cs="仿宋_GB2312"/>
          <w:sz w:val="32"/>
          <w:szCs w:val="32"/>
          <w:highlight w:val="none"/>
          <w:lang w:val="en-US" w:eastAsia="zh-CN"/>
        </w:rPr>
        <w:t>8个项目</w:t>
      </w:r>
      <w:r>
        <w:rPr>
          <w:rFonts w:hint="eastAsia" w:ascii="仿宋_GB2312" w:hAnsi="仿宋_GB2312" w:eastAsia="仿宋_GB2312" w:cs="仿宋_GB2312"/>
          <w:sz w:val="32"/>
          <w:szCs w:val="32"/>
          <w:highlight w:val="none"/>
        </w:rPr>
        <w:t>实施了绩效</w:t>
      </w:r>
      <w:r>
        <w:rPr>
          <w:rFonts w:hint="eastAsia" w:ascii="仿宋_GB2312" w:hAnsi="仿宋_GB2312" w:eastAsia="仿宋_GB2312" w:cs="仿宋_GB2312"/>
          <w:sz w:val="32"/>
          <w:szCs w:val="32"/>
          <w:highlight w:val="none"/>
          <w:lang w:eastAsia="zh-CN"/>
        </w:rPr>
        <w:t>自评</w:t>
      </w:r>
      <w:r>
        <w:rPr>
          <w:rFonts w:hint="eastAsia" w:ascii="仿宋_GB2312" w:hAnsi="仿宋_GB2312" w:eastAsia="仿宋_GB2312" w:cs="仿宋_GB2312"/>
          <w:sz w:val="32"/>
          <w:szCs w:val="32"/>
          <w:highlight w:val="none"/>
          <w:lang w:val="en-US" w:eastAsia="zh-CN"/>
        </w:rPr>
        <w:t>，</w:t>
      </w:r>
      <w:r>
        <w:rPr>
          <w:rFonts w:hint="eastAsia" w:ascii="仿宋_GB2312" w:hAnsi="宋体" w:eastAsia="仿宋_GB2312" w:cs="宋体"/>
          <w:color w:val="000000"/>
          <w:kern w:val="0"/>
          <w:sz w:val="32"/>
          <w:szCs w:val="32"/>
          <w:lang w:val="en-US" w:eastAsia="zh-CN"/>
        </w:rPr>
        <w:t>全部评价得分在90（含）—100分之间。如下图：</w:t>
      </w:r>
    </w:p>
    <w:tbl>
      <w:tblPr>
        <w:tblStyle w:val="11"/>
        <w:tblW w:w="43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4040"/>
        <w:gridCol w:w="1275"/>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719" w:type="pct"/>
            <w:shd w:val="clear" w:color="000000" w:fill="auto"/>
            <w:noWrap w:val="0"/>
            <w:vAlign w:val="center"/>
          </w:tcPr>
          <w:p>
            <w:pPr>
              <w:widowControl/>
              <w:spacing w:line="240" w:lineRule="auto"/>
              <w:jc w:val="center"/>
              <w:textAlignment w:val="center"/>
              <w:rPr>
                <w:rFonts w:hint="eastAsia" w:ascii="宋体" w:hAnsi="宋体" w:eastAsia="宋体" w:cs="宋体"/>
                <w:b/>
                <w:bCs/>
                <w:color w:val="000000"/>
                <w:kern w:val="0"/>
                <w:sz w:val="24"/>
                <w:szCs w:val="24"/>
                <w:u w:val="none"/>
                <w:lang w:bidi="ar"/>
              </w:rPr>
            </w:pPr>
            <w:r>
              <w:rPr>
                <w:rFonts w:hint="eastAsia" w:ascii="宋体" w:hAnsi="宋体" w:eastAsia="宋体" w:cs="宋体"/>
                <w:b/>
                <w:bCs/>
                <w:color w:val="000000"/>
                <w:kern w:val="0"/>
                <w:sz w:val="24"/>
                <w:szCs w:val="24"/>
                <w:u w:val="none"/>
                <w:lang w:bidi="ar"/>
              </w:rPr>
              <w:t>评价</w:t>
            </w:r>
            <w:r>
              <w:rPr>
                <w:rFonts w:hint="eastAsia" w:ascii="宋体" w:hAnsi="宋体" w:eastAsia="宋体" w:cs="宋体"/>
                <w:b/>
                <w:bCs/>
                <w:color w:val="000000"/>
                <w:kern w:val="0"/>
                <w:sz w:val="24"/>
                <w:szCs w:val="24"/>
                <w:u w:val="none"/>
                <w:lang w:val="en-US" w:eastAsia="zh-CN" w:bidi="ar"/>
              </w:rPr>
              <w:t>项目名称</w:t>
            </w:r>
          </w:p>
        </w:tc>
        <w:tc>
          <w:tcPr>
            <w:tcW w:w="858" w:type="pct"/>
            <w:shd w:val="clear" w:color="000000" w:fill="auto"/>
            <w:noWrap w:val="0"/>
            <w:vAlign w:val="center"/>
          </w:tcPr>
          <w:p>
            <w:pPr>
              <w:widowControl/>
              <w:spacing w:line="240" w:lineRule="auto"/>
              <w:jc w:val="center"/>
              <w:textAlignment w:val="center"/>
              <w:rPr>
                <w:rFonts w:hint="eastAsia" w:ascii="宋体" w:hAnsi="宋体" w:eastAsia="宋体" w:cs="宋体"/>
                <w:b/>
                <w:bCs/>
                <w:color w:val="000000"/>
                <w:kern w:val="0"/>
                <w:sz w:val="24"/>
                <w:szCs w:val="24"/>
                <w:u w:val="none"/>
                <w:lang w:bidi="ar"/>
              </w:rPr>
            </w:pPr>
            <w:r>
              <w:rPr>
                <w:rFonts w:hint="eastAsia" w:ascii="宋体" w:hAnsi="宋体" w:eastAsia="宋体" w:cs="宋体"/>
                <w:b/>
                <w:bCs/>
                <w:color w:val="000000"/>
                <w:kern w:val="0"/>
                <w:sz w:val="24"/>
                <w:szCs w:val="24"/>
                <w:u w:val="none"/>
                <w:lang w:bidi="ar"/>
              </w:rPr>
              <w:t>分值</w:t>
            </w:r>
          </w:p>
        </w:tc>
        <w:tc>
          <w:tcPr>
            <w:tcW w:w="1422" w:type="pct"/>
            <w:shd w:val="clear" w:color="000000" w:fill="auto"/>
            <w:noWrap w:val="0"/>
            <w:vAlign w:val="center"/>
          </w:tcPr>
          <w:p>
            <w:pPr>
              <w:widowControl/>
              <w:spacing w:line="240" w:lineRule="auto"/>
              <w:jc w:val="center"/>
              <w:textAlignment w:val="center"/>
              <w:rPr>
                <w:rFonts w:hint="eastAsia" w:ascii="宋体" w:hAnsi="宋体" w:eastAsia="宋体" w:cs="宋体"/>
                <w:b/>
                <w:bCs/>
                <w:color w:val="000000"/>
                <w:kern w:val="0"/>
                <w:sz w:val="24"/>
                <w:szCs w:val="24"/>
                <w:u w:val="none"/>
                <w:lang w:bidi="ar"/>
              </w:rPr>
            </w:pPr>
            <w:r>
              <w:rPr>
                <w:rFonts w:hint="eastAsia" w:ascii="宋体" w:hAnsi="宋体" w:eastAsia="宋体" w:cs="宋体"/>
                <w:b/>
                <w:bCs/>
                <w:color w:val="000000"/>
                <w:kern w:val="0"/>
                <w:sz w:val="24"/>
                <w:szCs w:val="24"/>
                <w:u w:val="none"/>
                <w:lang w:bidi="ar"/>
              </w:rPr>
              <w:t>绩效评定级别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400"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北京奥运城市体育文化节活动</w:t>
            </w:r>
          </w:p>
        </w:tc>
        <w:tc>
          <w:tcPr>
            <w:tcW w:w="858" w:type="pct"/>
            <w:shd w:val="clear" w:color="000000"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95.5</w:t>
            </w:r>
            <w:r>
              <w:rPr>
                <w:rFonts w:hint="eastAsia" w:ascii="宋体" w:hAnsi="宋体" w:cs="宋体"/>
                <w:i w:val="0"/>
                <w:iCs w:val="0"/>
                <w:color w:val="000000"/>
                <w:kern w:val="0"/>
                <w:sz w:val="24"/>
                <w:szCs w:val="24"/>
                <w:u w:val="none"/>
                <w:lang w:val="en-US" w:eastAsia="zh-CN" w:bidi="ar"/>
              </w:rPr>
              <w:t>0</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库房租赁</w:t>
            </w:r>
          </w:p>
        </w:tc>
        <w:tc>
          <w:tcPr>
            <w:tcW w:w="858" w:type="pct"/>
            <w:shd w:val="clear" w:color="000000"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100.00</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北京奥运博物馆展项设备设施专业外包服务项目</w:t>
            </w:r>
          </w:p>
        </w:tc>
        <w:tc>
          <w:tcPr>
            <w:tcW w:w="858" w:type="pct"/>
            <w:shd w:val="clear" w:color="000000"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99.00</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信息系统运维类项目</w:t>
            </w:r>
          </w:p>
        </w:tc>
        <w:tc>
          <w:tcPr>
            <w:tcW w:w="858" w:type="pct"/>
            <w:shd w:val="clear" w:color="000000"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99.80</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办公设备购置类项目</w:t>
            </w:r>
          </w:p>
        </w:tc>
        <w:tc>
          <w:tcPr>
            <w:tcW w:w="858" w:type="pct"/>
            <w:shd w:val="clear" w:color="000000" w:fill="auto"/>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yellow"/>
                <w:u w:val="none"/>
                <w:lang w:val="en-US" w:eastAsia="zh-CN" w:bidi="ar"/>
              </w:rPr>
            </w:pPr>
            <w:r>
              <w:rPr>
                <w:rFonts w:hint="eastAsia" w:ascii="宋体" w:hAnsi="宋体" w:cs="宋体"/>
                <w:i w:val="0"/>
                <w:iCs w:val="0"/>
                <w:color w:val="000000"/>
                <w:kern w:val="0"/>
                <w:sz w:val="24"/>
                <w:szCs w:val="24"/>
                <w:highlight w:val="none"/>
                <w:u w:val="none"/>
                <w:lang w:val="en-US" w:eastAsia="zh-CN" w:bidi="ar"/>
              </w:rPr>
              <w:t>98.70</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编外用工管理服务费</w:t>
            </w:r>
          </w:p>
        </w:tc>
        <w:tc>
          <w:tcPr>
            <w:tcW w:w="858" w:type="pct"/>
            <w:shd w:val="clear" w:color="000000" w:fill="auto"/>
            <w:noWrap w:val="0"/>
            <w:vAlign w:val="center"/>
          </w:tcPr>
          <w:p>
            <w:pPr>
              <w:jc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100.00</w:t>
            </w:r>
          </w:p>
        </w:tc>
        <w:tc>
          <w:tcPr>
            <w:tcW w:w="1422" w:type="pct"/>
            <w:shd w:val="clear" w:color="000000" w:fill="auto"/>
            <w:noWrap w:val="0"/>
            <w:vAlign w:val="center"/>
          </w:tcPr>
          <w:p>
            <w:pPr>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“奥运圣火重返巴黎”主题巡展项目</w:t>
            </w:r>
          </w:p>
        </w:tc>
        <w:tc>
          <w:tcPr>
            <w:tcW w:w="858"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98.65</w:t>
            </w:r>
          </w:p>
        </w:tc>
        <w:tc>
          <w:tcPr>
            <w:tcW w:w="1422" w:type="pct"/>
            <w:shd w:val="clear" w:color="000000"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719" w:type="pct"/>
            <w:shd w:val="clear" w:color="000000" w:fill="auto"/>
            <w:noWrap w:val="0"/>
            <w:vAlign w:val="center"/>
          </w:tcPr>
          <w:p>
            <w:pPr>
              <w:keepNext w:val="0"/>
              <w:keepLines w:val="0"/>
              <w:widowControl/>
              <w:suppressLineNumbers w:val="0"/>
              <w:jc w:val="left"/>
              <w:textAlignment w:val="center"/>
              <w:rPr>
                <w:rFonts w:hint="eastAsia" w:ascii="宋体" w:hAnsi="宋体" w:eastAsia="宋体" w:cs="宋体"/>
                <w:color w:val="000000"/>
                <w:kern w:val="0"/>
                <w:sz w:val="24"/>
                <w:szCs w:val="24"/>
                <w:lang w:val="en-US" w:eastAsia="zh-CN"/>
              </w:rPr>
            </w:pPr>
            <w:r>
              <w:rPr>
                <w:rFonts w:hint="eastAsia" w:ascii="宋体" w:hAnsi="宋体" w:eastAsia="宋体" w:cs="宋体"/>
                <w:i w:val="0"/>
                <w:iCs w:val="0"/>
                <w:color w:val="000000"/>
                <w:kern w:val="0"/>
                <w:sz w:val="24"/>
                <w:szCs w:val="24"/>
                <w:u w:val="none"/>
                <w:lang w:val="en-US" w:eastAsia="zh-CN" w:bidi="ar"/>
              </w:rPr>
              <w:t>赴法国、日本出席奥运会开幕式及交流项目经费</w:t>
            </w:r>
          </w:p>
        </w:tc>
        <w:tc>
          <w:tcPr>
            <w:tcW w:w="858" w:type="pct"/>
            <w:shd w:val="clear" w:color="000000" w:fill="auto"/>
            <w:noWrap w:val="0"/>
            <w:vAlign w:val="center"/>
          </w:tcPr>
          <w:p>
            <w:pPr>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100.00</w:t>
            </w:r>
          </w:p>
        </w:tc>
        <w:tc>
          <w:tcPr>
            <w:tcW w:w="1422" w:type="pct"/>
            <w:shd w:val="clear" w:color="000000" w:fill="auto"/>
            <w:noWrap w:val="0"/>
            <w:vAlign w:val="center"/>
          </w:tcPr>
          <w:p>
            <w:pPr>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优</w:t>
            </w:r>
          </w:p>
        </w:tc>
      </w:tr>
    </w:tbl>
    <w:p>
      <w:pPr>
        <w:spacing w:line="560" w:lineRule="exact"/>
        <w:ind w:firstLine="640" w:firstLineChars="200"/>
        <w:rPr>
          <w:rFonts w:hint="default"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2.部门整体支出绩效评价情况</w:t>
      </w:r>
    </w:p>
    <w:p>
      <w:pPr>
        <w:spacing w:line="560" w:lineRule="exact"/>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经评价，北京奥促中心2024年度部门整体支出绩效评价总得分92.51分，评价结果为“优秀”。其中当年预算执行情况得分为19.61分；整体绩效目标实现情况得分为57.90分；预算管理情况得分15.00分。</w:t>
      </w:r>
    </w:p>
    <w:p>
      <w:pPr>
        <w:spacing w:line="56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（二）存在的问题及原因分析</w:t>
      </w:r>
    </w:p>
    <w:p>
      <w:pPr>
        <w:spacing w:line="560" w:lineRule="exact"/>
        <w:ind w:firstLine="640" w:firstLineChars="200"/>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1.</w:t>
      </w:r>
      <w:r>
        <w:rPr>
          <w:rFonts w:hint="eastAsia" w:ascii="仿宋_GB2312" w:hAnsi="仿宋_GB2312" w:eastAsia="仿宋_GB2312" w:cs="仿宋_GB2312"/>
          <w:sz w:val="32"/>
          <w:szCs w:val="32"/>
          <w:highlight w:val="none"/>
        </w:rPr>
        <w:t>部门整体绩效目标设定不够细化，分解到数量指标、质量指标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效果指标的</w:t>
      </w:r>
      <w:r>
        <w:rPr>
          <w:rFonts w:hint="eastAsia" w:ascii="仿宋_GB2312" w:hAnsi="仿宋_GB2312" w:eastAsia="仿宋_GB2312" w:cs="仿宋_GB2312"/>
          <w:sz w:val="32"/>
          <w:szCs w:val="32"/>
          <w:highlight w:val="none"/>
        </w:rPr>
        <w:t>对应性不足。</w:t>
      </w:r>
      <w:r>
        <w:rPr>
          <w:rFonts w:hint="eastAsia" w:ascii="仿宋_GB2312" w:hAnsi="仿宋_GB2312" w:eastAsia="仿宋_GB2312" w:cs="仿宋_GB2312"/>
          <w:sz w:val="32"/>
          <w:szCs w:val="32"/>
          <w:highlight w:val="none"/>
          <w:lang w:val="en-US" w:eastAsia="zh-CN"/>
        </w:rPr>
        <w:t>个别项目绩效指标</w:t>
      </w:r>
      <w:r>
        <w:rPr>
          <w:rFonts w:hint="eastAsia" w:ascii="仿宋_GB2312" w:hAnsi="仿宋_GB2312" w:eastAsia="仿宋_GB2312" w:cs="仿宋_GB2312"/>
          <w:sz w:val="32"/>
          <w:szCs w:val="32"/>
          <w:highlight w:val="none"/>
        </w:rPr>
        <w:t>未准确设置预算绩效目标及指标权重，缺少可衡量性和可比性</w:t>
      </w:r>
      <w:r>
        <w:rPr>
          <w:rFonts w:hint="eastAsia" w:ascii="仿宋_GB2312" w:hAnsi="宋体" w:eastAsia="仿宋_GB2312" w:cs="宋体"/>
          <w:color w:val="000000"/>
          <w:kern w:val="0"/>
          <w:sz w:val="32"/>
          <w:szCs w:val="32"/>
          <w:highlight w:val="none"/>
          <w:lang w:val="en-US" w:eastAsia="zh-CN"/>
        </w:rPr>
        <w:t>；主要原因是对预算绩效评价指标体系设定政策要求掌握不全面、理解不强。</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kern w:val="0"/>
          <w:sz w:val="32"/>
          <w:szCs w:val="32"/>
          <w:highlight w:val="none"/>
          <w:lang w:val="en-US" w:eastAsia="zh-CN"/>
        </w:rPr>
        <w:t>2.个别</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实施效果对应的效益资料归集不够全面，项目过程资料留痕不足，部分项目满意度调查</w:t>
      </w:r>
      <w:r>
        <w:rPr>
          <w:rFonts w:hint="eastAsia" w:ascii="仿宋_GB2312" w:hAnsi="仿宋_GB2312" w:eastAsia="仿宋_GB2312" w:cs="仿宋_GB2312"/>
          <w:sz w:val="32"/>
          <w:szCs w:val="32"/>
          <w:highlight w:val="none"/>
          <w:lang w:val="en-US" w:eastAsia="zh-CN"/>
        </w:rPr>
        <w:t>留痕资料不足</w:t>
      </w:r>
      <w:r>
        <w:rPr>
          <w:rFonts w:hint="eastAsia" w:ascii="仿宋_GB2312" w:hAnsi="仿宋_GB2312" w:eastAsia="仿宋_GB2312" w:cs="仿宋_GB2312"/>
          <w:sz w:val="32"/>
          <w:szCs w:val="32"/>
          <w:highlight w:val="none"/>
        </w:rPr>
        <w:t>，绩效信息</w:t>
      </w:r>
      <w:r>
        <w:rPr>
          <w:rFonts w:hint="eastAsia" w:ascii="仿宋_GB2312" w:hAnsi="仿宋_GB2312" w:eastAsia="仿宋_GB2312" w:cs="仿宋_GB2312"/>
          <w:sz w:val="32"/>
          <w:szCs w:val="32"/>
          <w:highlight w:val="none"/>
          <w:lang w:val="en-US" w:eastAsia="zh-CN"/>
        </w:rPr>
        <w:t>不完</w:t>
      </w:r>
      <w:r>
        <w:rPr>
          <w:rFonts w:hint="eastAsia" w:ascii="仿宋_GB2312" w:hAnsi="仿宋_GB2312" w:eastAsia="仿宋_GB2312" w:cs="仿宋_GB2312"/>
          <w:sz w:val="32"/>
          <w:szCs w:val="32"/>
          <w:highlight w:val="none"/>
        </w:rPr>
        <w:t>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不能充分体现项目实施效果</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项目满意度水平。</w:t>
      </w:r>
    </w:p>
    <w:p>
      <w:pPr>
        <w:spacing w:line="600" w:lineRule="exact"/>
        <w:ind w:firstLine="640" w:firstLineChars="200"/>
        <w:outlineLvl w:val="0"/>
        <w:rPr>
          <w:rFonts w:hint="eastAsia" w:ascii="仿宋_GB2312" w:hAnsi="宋体" w:eastAsia="仿宋_GB2312"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0"/>
          <w:sz w:val="32"/>
          <w:szCs w:val="32"/>
          <w:highlight w:val="none"/>
          <w:lang w:val="en-US" w:eastAsia="zh-CN"/>
        </w:rPr>
      </w:pPr>
      <w:bookmarkStart w:id="0" w:name="_Toc103006301"/>
      <w:r>
        <w:rPr>
          <w:rFonts w:hint="eastAsia" w:ascii="仿宋_GB2312" w:hAnsi="仿宋_GB2312" w:eastAsia="仿宋_GB2312" w:cs="仿宋_GB2312"/>
          <w:color w:val="auto"/>
          <w:kern w:val="0"/>
          <w:sz w:val="32"/>
          <w:szCs w:val="32"/>
          <w:highlight w:val="none"/>
          <w:lang w:val="en-US" w:eastAsia="zh-CN"/>
        </w:rPr>
        <w:t>(一）进一步</w:t>
      </w:r>
      <w:r>
        <w:rPr>
          <w:rFonts w:hint="eastAsia" w:ascii="仿宋_GB2312" w:hAnsi="仿宋_GB2312" w:eastAsia="仿宋_GB2312"/>
          <w:snapToGrid w:val="0"/>
          <w:color w:val="auto"/>
          <w:sz w:val="32"/>
          <w:szCs w:val="32"/>
          <w:highlight w:val="none"/>
          <w:lang w:val="en-US" w:eastAsia="zh-CN"/>
        </w:rPr>
        <w:t>提升预算绩效管理意识</w:t>
      </w:r>
      <w:r>
        <w:rPr>
          <w:rFonts w:hint="eastAsia" w:ascii="仿宋_GB2312" w:hAnsi="仿宋_GB2312" w:eastAsia="仿宋_GB2312"/>
          <w:snapToGrid w:val="0"/>
          <w:color w:val="auto"/>
          <w:sz w:val="32"/>
          <w:szCs w:val="32"/>
          <w:highlight w:val="none"/>
        </w:rPr>
        <w:t>，</w:t>
      </w:r>
      <w:r>
        <w:rPr>
          <w:rFonts w:hint="eastAsia" w:ascii="仿宋_GB2312" w:hAnsi="仿宋_GB2312" w:eastAsia="仿宋_GB2312" w:cs="仿宋_GB2312"/>
          <w:sz w:val="32"/>
          <w:szCs w:val="32"/>
          <w:highlight w:val="none"/>
        </w:rPr>
        <w:t>完善绩效目标指标体系设定的完整性和合理性，</w:t>
      </w:r>
      <w:r>
        <w:rPr>
          <w:rFonts w:hint="eastAsia" w:ascii="仿宋_GB2312" w:hAnsi="仿宋_GB2312" w:eastAsia="仿宋_GB2312" w:cs="仿宋_GB2312"/>
          <w:color w:val="auto"/>
          <w:kern w:val="0"/>
          <w:sz w:val="32"/>
          <w:szCs w:val="32"/>
          <w:highlight w:val="none"/>
          <w:lang w:val="en-US" w:eastAsia="zh-CN"/>
        </w:rPr>
        <w:t>充分考虑年度不确定因素，结合往年实际情况设置绩效目标，或根据项目完成情况在每年年中进行调整，说明调整原因，保障绩效目标合理可行。</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kern w:val="0"/>
          <w:sz w:val="32"/>
          <w:szCs w:val="32"/>
          <w:highlight w:val="none"/>
          <w:lang w:val="en-US" w:eastAsia="zh-CN"/>
        </w:rPr>
        <w:t>(二）注</w:t>
      </w:r>
      <w:r>
        <w:rPr>
          <w:rFonts w:hint="eastAsia" w:ascii="仿宋_GB2312" w:hAnsi="仿宋_GB2312" w:eastAsia="仿宋_GB2312" w:cs="仿宋_GB2312"/>
          <w:sz w:val="32"/>
          <w:szCs w:val="32"/>
          <w:highlight w:val="none"/>
        </w:rPr>
        <w:t>重项目效益资料收集，落实服务对象满意度调查，结合项目服务对象，选择适当的方式、方法，全面开展服务对象满意度调查及分析，充分反映项目服务对象满意度效果，全面客观地呈现财政资金的使用效益。</w:t>
      </w:r>
    </w:p>
    <w:p>
      <w:pPr>
        <w:pStyle w:val="3"/>
        <w:rPr>
          <w:sz w:val="32"/>
          <w:szCs w:val="32"/>
          <w:highlight w:val="none"/>
        </w:rPr>
      </w:pPr>
      <w:r>
        <w:rPr>
          <w:rFonts w:hint="eastAsia"/>
          <w:sz w:val="32"/>
          <w:szCs w:val="32"/>
          <w:highlight w:val="none"/>
        </w:rPr>
        <w:t>七、附件</w:t>
      </w:r>
      <w:bookmarkEnd w:id="0"/>
    </w:p>
    <w:p>
      <w:pPr>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rPr>
        <w:t>部门整体绩效评价指标体系评分</w:t>
      </w:r>
      <w:r>
        <w:rPr>
          <w:rFonts w:hint="eastAsia" w:ascii="仿宋_GB2312" w:hAnsi="仿宋_GB2312" w:eastAsia="仿宋_GB2312" w:cs="仿宋_GB2312"/>
          <w:sz w:val="32"/>
          <w:szCs w:val="32"/>
          <w:highlight w:val="none"/>
          <w:lang w:eastAsia="zh-CN"/>
        </w:rPr>
        <w:t>表</w:t>
      </w:r>
    </w:p>
    <w:p>
      <w:pPr>
        <w:rPr>
          <w:rFonts w:hint="eastAsia" w:ascii="仿宋_GB2312" w:hAnsi="仿宋_GB2312" w:eastAsia="仿宋_GB2312" w:cs="仿宋_GB2312"/>
          <w:sz w:val="32"/>
          <w:szCs w:val="32"/>
          <w:highlight w:val="none"/>
          <w:lang w:eastAsia="zh-CN"/>
        </w:rPr>
      </w:pPr>
    </w:p>
    <w:p>
      <w:pPr>
        <w:pStyle w:val="2"/>
        <w:rPr>
          <w:rFonts w:hint="eastAsia" w:ascii="仿宋_GB2312" w:hAnsi="仿宋_GB2312" w:eastAsia="仿宋_GB2312" w:cs="仿宋_GB2312"/>
          <w:sz w:val="32"/>
          <w:szCs w:val="32"/>
          <w:highlight w:val="none"/>
          <w:lang w:eastAsia="zh-CN"/>
        </w:rPr>
      </w:pPr>
    </w:p>
    <w:p>
      <w:pPr>
        <w:rPr>
          <w:rFonts w:hint="eastAsia" w:ascii="仿宋_GB2312" w:hAnsi="仿宋_GB2312" w:eastAsia="仿宋_GB2312" w:cs="仿宋_GB2312"/>
          <w:sz w:val="32"/>
          <w:szCs w:val="32"/>
          <w:highlight w:val="none"/>
          <w:lang w:eastAsia="zh-CN"/>
        </w:rPr>
      </w:pPr>
    </w:p>
    <w:p>
      <w:pPr>
        <w:rPr>
          <w:rFonts w:hint="eastAsia" w:ascii="仿宋_GB2312" w:hAnsi="仿宋_GB2312" w:eastAsia="仿宋_GB2312" w:cs="仿宋_GB2312"/>
          <w:sz w:val="32"/>
          <w:szCs w:val="32"/>
          <w:highlight w:val="none"/>
          <w:lang w:eastAsia="zh-CN"/>
        </w:rPr>
      </w:pPr>
    </w:p>
    <w:p>
      <w:pPr>
        <w:pStyle w:val="2"/>
        <w:rPr>
          <w:rFonts w:hint="eastAsia" w:ascii="仿宋_GB2312" w:hAnsi="仿宋_GB2312" w:eastAsia="仿宋_GB2312" w:cs="仿宋_GB2312"/>
          <w:sz w:val="32"/>
          <w:szCs w:val="32"/>
          <w:highlight w:val="none"/>
          <w:lang w:eastAsia="zh-CN"/>
        </w:rPr>
      </w:pPr>
    </w:p>
    <w:p>
      <w:pPr>
        <w:rPr>
          <w:rFonts w:hint="eastAsia"/>
          <w:lang w:eastAsia="zh-CN"/>
        </w:rPr>
        <w:sectPr>
          <w:footerReference r:id="rId3" w:type="default"/>
          <w:pgSz w:w="11906" w:h="16838"/>
          <w:pgMar w:top="1440" w:right="1800" w:bottom="1440" w:left="1800" w:header="851" w:footer="850" w:gutter="0"/>
          <w:pgNumType w:fmt="decimal" w:start="1"/>
          <w:cols w:space="425" w:num="1"/>
          <w:docGrid w:type="lines" w:linePitch="435" w:charSpace="0"/>
        </w:sectPr>
      </w:pPr>
    </w:p>
    <w:p>
      <w:pPr>
        <w:spacing w:line="560" w:lineRule="exact"/>
        <w:jc w:val="left"/>
        <w:outlineLvl w:val="2"/>
        <w:rPr>
          <w:rFonts w:hint="eastAsia" w:ascii="方正黑体_GBK" w:hAnsi="方正黑体_GBK" w:eastAsia="方正黑体_GBK" w:cs="方正黑体_GBK"/>
          <w:sz w:val="32"/>
          <w:highlight w:val="none"/>
          <w:lang w:val="en-US" w:eastAsia="zh-CN"/>
        </w:rPr>
      </w:pPr>
      <w:r>
        <w:rPr>
          <w:rFonts w:hint="eastAsia" w:ascii="方正黑体_GBK" w:hAnsi="方正黑体_GBK" w:eastAsia="方正黑体_GBK" w:cs="方正黑体_GBK"/>
          <w:sz w:val="32"/>
          <w:highlight w:val="none"/>
          <w:lang w:eastAsia="zh-CN"/>
        </w:rPr>
        <w:t>附件</w:t>
      </w:r>
    </w:p>
    <w:p>
      <w:pPr>
        <w:pStyle w:val="4"/>
        <w:ind w:firstLine="0" w:firstLineChars="0"/>
        <w:jc w:val="center"/>
        <w:rPr>
          <w:rFonts w:hint="default"/>
          <w:sz w:val="44"/>
          <w:szCs w:val="44"/>
          <w:highlight w:val="none"/>
          <w:lang w:val="en-US" w:eastAsia="zh-CN"/>
        </w:rPr>
      </w:pPr>
      <w:r>
        <w:rPr>
          <w:rFonts w:hint="eastAsia" w:ascii="仿宋" w:hAnsi="仿宋" w:eastAsia="仿宋" w:cs="仿宋"/>
          <w:b/>
          <w:bCs/>
          <w:color w:val="000000"/>
          <w:kern w:val="0"/>
          <w:sz w:val="44"/>
          <w:szCs w:val="44"/>
          <w:highlight w:val="none"/>
          <w:lang w:eastAsia="zh-CN"/>
        </w:rPr>
        <w:t>202</w:t>
      </w:r>
      <w:r>
        <w:rPr>
          <w:rFonts w:hint="eastAsia" w:ascii="仿宋" w:hAnsi="仿宋" w:eastAsia="仿宋" w:cs="仿宋"/>
          <w:b/>
          <w:bCs/>
          <w:color w:val="000000"/>
          <w:kern w:val="0"/>
          <w:sz w:val="44"/>
          <w:szCs w:val="44"/>
          <w:highlight w:val="none"/>
          <w:lang w:val="en-US" w:eastAsia="zh-CN"/>
        </w:rPr>
        <w:t>4</w:t>
      </w:r>
      <w:r>
        <w:rPr>
          <w:rFonts w:hint="eastAsia" w:ascii="仿宋" w:hAnsi="仿宋" w:eastAsia="仿宋" w:cs="仿宋"/>
          <w:b/>
          <w:bCs/>
          <w:color w:val="000000"/>
          <w:kern w:val="0"/>
          <w:sz w:val="44"/>
          <w:szCs w:val="44"/>
          <w:highlight w:val="none"/>
          <w:lang w:eastAsia="zh-CN"/>
        </w:rPr>
        <w:t>年</w:t>
      </w:r>
      <w:r>
        <w:rPr>
          <w:rFonts w:hint="eastAsia" w:ascii="仿宋" w:hAnsi="仿宋" w:eastAsia="仿宋" w:cs="仿宋"/>
          <w:b/>
          <w:bCs/>
          <w:color w:val="000000"/>
          <w:kern w:val="0"/>
          <w:sz w:val="44"/>
          <w:szCs w:val="44"/>
          <w:highlight w:val="none"/>
        </w:rPr>
        <w:t>部门整体绩效评价指标体系评分表</w:t>
      </w:r>
    </w:p>
    <w:tbl>
      <w:tblPr>
        <w:tblStyle w:val="11"/>
        <w:tblW w:w="3635" w:type="pct"/>
        <w:jc w:val="center"/>
        <w:tblLayout w:type="fixed"/>
        <w:tblCellMar>
          <w:top w:w="0" w:type="dxa"/>
          <w:left w:w="108" w:type="dxa"/>
          <w:bottom w:w="0" w:type="dxa"/>
          <w:right w:w="108" w:type="dxa"/>
        </w:tblCellMar>
      </w:tblPr>
      <w:tblGrid>
        <w:gridCol w:w="1956"/>
        <w:gridCol w:w="1018"/>
        <w:gridCol w:w="1726"/>
        <w:gridCol w:w="1665"/>
        <w:gridCol w:w="1705"/>
        <w:gridCol w:w="1065"/>
        <w:gridCol w:w="1170"/>
      </w:tblGrid>
      <w:tr>
        <w:tblPrEx>
          <w:tblCellMar>
            <w:top w:w="0" w:type="dxa"/>
            <w:left w:w="108" w:type="dxa"/>
            <w:bottom w:w="0" w:type="dxa"/>
            <w:right w:w="108" w:type="dxa"/>
          </w:tblCellMar>
        </w:tblPrEx>
        <w:trPr>
          <w:cantSplit/>
          <w:trHeight w:val="470" w:hRule="atLeast"/>
          <w:jc w:val="center"/>
        </w:trPr>
        <w:tc>
          <w:tcPr>
            <w:tcW w:w="5000" w:type="pct"/>
            <w:gridSpan w:val="7"/>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cantSplit/>
          <w:trHeight w:val="660" w:hRule="atLeast"/>
          <w:jc w:val="center"/>
        </w:trPr>
        <w:tc>
          <w:tcPr>
            <w:tcW w:w="94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80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8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5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6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1118" w:hRule="atLeast"/>
          <w:jc w:val="center"/>
        </w:trPr>
        <w:tc>
          <w:tcPr>
            <w:tcW w:w="949"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4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8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20,310.60</w:t>
            </w:r>
          </w:p>
        </w:tc>
        <w:tc>
          <w:tcPr>
            <w:tcW w:w="8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19,914.84</w:t>
            </w:r>
          </w:p>
        </w:tc>
        <w:tc>
          <w:tcPr>
            <w:tcW w:w="8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98.05%</w:t>
            </w:r>
          </w:p>
        </w:tc>
        <w:tc>
          <w:tcPr>
            <w:tcW w:w="516"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567"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19.61</w:t>
            </w:r>
          </w:p>
        </w:tc>
      </w:tr>
      <w:tr>
        <w:tblPrEx>
          <w:tblCellMar>
            <w:top w:w="0" w:type="dxa"/>
            <w:left w:w="108" w:type="dxa"/>
            <w:bottom w:w="0" w:type="dxa"/>
            <w:right w:w="108" w:type="dxa"/>
          </w:tblCellMar>
        </w:tblPrEx>
        <w:trPr>
          <w:cantSplit/>
          <w:trHeight w:val="1020"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8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6,010.52</w:t>
            </w:r>
          </w:p>
        </w:tc>
        <w:tc>
          <w:tcPr>
            <w:tcW w:w="80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5,912.87</w:t>
            </w:r>
          </w:p>
        </w:tc>
        <w:tc>
          <w:tcPr>
            <w:tcW w:w="82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5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67" w:type="pct"/>
            <w:vMerge w:val="continue"/>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914"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83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14,300.09</w:t>
            </w:r>
          </w:p>
        </w:tc>
        <w:tc>
          <w:tcPr>
            <w:tcW w:w="80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14,001.97</w:t>
            </w:r>
          </w:p>
        </w:tc>
        <w:tc>
          <w:tcPr>
            <w:tcW w:w="82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67" w:type="pct"/>
            <w:vMerge w:val="continue"/>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1056"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83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80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82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1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567" w:type="pct"/>
            <w:vMerge w:val="continue"/>
            <w:tcBorders>
              <w:top w:val="single" w:color="auto" w:sz="4" w:space="0"/>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r>
      <w:tr>
        <w:tblPrEx>
          <w:tblCellMar>
            <w:top w:w="0" w:type="dxa"/>
            <w:left w:w="108" w:type="dxa"/>
            <w:bottom w:w="0" w:type="dxa"/>
            <w:right w:w="108" w:type="dxa"/>
          </w:tblCellMar>
        </w:tblPrEx>
        <w:trPr>
          <w:cantSplit/>
          <w:trHeight w:val="479" w:hRule="atLeast"/>
          <w:jc w:val="center"/>
        </w:trPr>
        <w:tc>
          <w:tcPr>
            <w:tcW w:w="5000" w:type="pct"/>
            <w:gridSpan w:val="7"/>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jc w:val="center"/>
        </w:trPr>
        <w:tc>
          <w:tcPr>
            <w:tcW w:w="94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3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0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8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51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56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r>
      <w:tr>
        <w:tblPrEx>
          <w:tblCellMar>
            <w:top w:w="0" w:type="dxa"/>
            <w:left w:w="108" w:type="dxa"/>
            <w:bottom w:w="0" w:type="dxa"/>
            <w:right w:w="108" w:type="dxa"/>
          </w:tblCellMar>
        </w:tblPrEx>
        <w:trPr>
          <w:cantSplit/>
          <w:trHeight w:val="1034" w:hRule="atLeast"/>
          <w:jc w:val="center"/>
        </w:trPr>
        <w:tc>
          <w:tcPr>
            <w:tcW w:w="94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4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数量</w:t>
            </w:r>
            <w:r>
              <w:rPr>
                <w:rFonts w:hint="eastAsia" w:ascii="宋体" w:hAnsi="宋体" w:cs="宋体"/>
                <w:color w:val="000000"/>
                <w:kern w:val="0"/>
                <w:sz w:val="20"/>
                <w:szCs w:val="20"/>
              </w:rPr>
              <w:t>指标　</w:t>
            </w:r>
          </w:p>
        </w:tc>
        <w:tc>
          <w:tcPr>
            <w:tcW w:w="807"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各项活动正常开展，各项工作按计划完成</w:t>
            </w:r>
          </w:p>
        </w:tc>
        <w:tc>
          <w:tcPr>
            <w:tcW w:w="827"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基本达到预期目标</w:t>
            </w:r>
          </w:p>
        </w:tc>
        <w:tc>
          <w:tcPr>
            <w:tcW w:w="51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c>
          <w:tcPr>
            <w:tcW w:w="567"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tblPrEx>
          <w:tblCellMar>
            <w:top w:w="0" w:type="dxa"/>
            <w:left w:w="108" w:type="dxa"/>
            <w:bottom w:w="0" w:type="dxa"/>
            <w:right w:w="108" w:type="dxa"/>
          </w:tblCellMar>
        </w:tblPrEx>
        <w:trPr>
          <w:cantSplit/>
          <w:trHeight w:val="993" w:hRule="atLeast"/>
          <w:jc w:val="center"/>
        </w:trPr>
        <w:tc>
          <w:tcPr>
            <w:tcW w:w="94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质量指标　</w:t>
            </w:r>
          </w:p>
        </w:tc>
        <w:tc>
          <w:tcPr>
            <w:tcW w:w="80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各项活动均已高质量完成</w:t>
            </w:r>
          </w:p>
        </w:tc>
        <w:tc>
          <w:tcPr>
            <w:tcW w:w="82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基本达到预期目标</w:t>
            </w:r>
          </w:p>
        </w:tc>
        <w:tc>
          <w:tcPr>
            <w:tcW w:w="516"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c>
          <w:tcPr>
            <w:tcW w:w="567" w:type="pct"/>
            <w:tcBorders>
              <w:top w:val="single" w:color="auto" w:sz="4" w:space="0"/>
              <w:left w:val="single" w:color="auto" w:sz="4" w:space="0"/>
              <w:bottom w:val="single" w:color="auto" w:sz="4" w:space="0"/>
              <w:right w:val="single" w:color="auto" w:sz="4" w:space="0"/>
            </w:tcBorders>
            <w:noWrap/>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10</w:t>
            </w:r>
          </w:p>
        </w:tc>
      </w:tr>
      <w:tr>
        <w:tblPrEx>
          <w:tblCellMar>
            <w:top w:w="0" w:type="dxa"/>
            <w:left w:w="108" w:type="dxa"/>
            <w:bottom w:w="0" w:type="dxa"/>
            <w:right w:w="108" w:type="dxa"/>
          </w:tblCellMar>
        </w:tblPrEx>
        <w:trPr>
          <w:cantSplit/>
          <w:trHeight w:val="90" w:hRule="atLeast"/>
          <w:jc w:val="center"/>
        </w:trPr>
        <w:tc>
          <w:tcPr>
            <w:tcW w:w="94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时效指标</w:t>
            </w:r>
          </w:p>
        </w:tc>
        <w:tc>
          <w:tcPr>
            <w:tcW w:w="80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各项目均能够按照计划时间开展</w:t>
            </w:r>
            <w:r>
              <w:rPr>
                <w:rFonts w:hint="eastAsia" w:ascii="宋体" w:hAnsi="宋体" w:cs="宋体"/>
                <w:color w:val="000000"/>
                <w:kern w:val="0"/>
                <w:sz w:val="20"/>
                <w:szCs w:val="20"/>
              </w:rPr>
              <w:t>　</w:t>
            </w:r>
          </w:p>
        </w:tc>
        <w:tc>
          <w:tcPr>
            <w:tcW w:w="8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基本达到预期目标</w:t>
            </w:r>
            <w:r>
              <w:rPr>
                <w:rFonts w:hint="eastAsia" w:ascii="宋体" w:hAnsi="宋体" w:cs="宋体"/>
                <w:color w:val="000000"/>
                <w:kern w:val="0"/>
                <w:sz w:val="18"/>
                <w:szCs w:val="18"/>
              </w:rPr>
              <w:t>　</w:t>
            </w:r>
          </w:p>
        </w:tc>
        <w:tc>
          <w:tcPr>
            <w:tcW w:w="51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567"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r>
      <w:tr>
        <w:tblPrEx>
          <w:tblCellMar>
            <w:top w:w="0" w:type="dxa"/>
            <w:left w:w="108" w:type="dxa"/>
            <w:bottom w:w="0" w:type="dxa"/>
            <w:right w:w="108" w:type="dxa"/>
          </w:tblCellMar>
        </w:tblPrEx>
        <w:trPr>
          <w:cantSplit/>
          <w:trHeight w:val="848" w:hRule="atLeast"/>
          <w:jc w:val="center"/>
        </w:trPr>
        <w:tc>
          <w:tcPr>
            <w:tcW w:w="94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pPr>
          </w:p>
        </w:tc>
        <w:tc>
          <w:tcPr>
            <w:tcW w:w="4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pP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成本</w:t>
            </w:r>
            <w:r>
              <w:rPr>
                <w:rFonts w:hint="eastAsia" w:ascii="宋体" w:hAnsi="宋体" w:cs="宋体"/>
                <w:color w:val="000000"/>
                <w:kern w:val="0"/>
                <w:sz w:val="20"/>
                <w:szCs w:val="20"/>
              </w:rPr>
              <w:t>指标</w:t>
            </w:r>
          </w:p>
        </w:tc>
        <w:tc>
          <w:tcPr>
            <w:tcW w:w="8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cs="宋体"/>
                <w:color w:val="000000"/>
                <w:kern w:val="0"/>
                <w:sz w:val="20"/>
                <w:szCs w:val="20"/>
              </w:rPr>
            </w:pPr>
            <w:r>
              <w:rPr>
                <w:rFonts w:hint="eastAsia" w:cs="宋体" w:asciiTheme="minorEastAsia" w:hAnsiTheme="minorEastAsia" w:eastAsiaTheme="minorEastAsia"/>
                <w:color w:val="000000"/>
                <w:kern w:val="0"/>
                <w:sz w:val="20"/>
                <w:szCs w:val="20"/>
              </w:rPr>
              <w:t>部门预算控制在</w:t>
            </w:r>
            <w:r>
              <w:rPr>
                <w:rFonts w:hint="eastAsia" w:ascii="宋体" w:hAnsi="宋体" w:cs="宋体"/>
                <w:color w:val="000000"/>
                <w:kern w:val="0"/>
                <w:sz w:val="20"/>
                <w:szCs w:val="20"/>
                <w:lang w:val="en-US" w:eastAsia="zh-CN"/>
              </w:rPr>
              <w:t>财政预算批复</w:t>
            </w:r>
            <w:r>
              <w:rPr>
                <w:rFonts w:hint="eastAsia" w:cs="宋体" w:asciiTheme="minorEastAsia" w:hAnsiTheme="minorEastAsia" w:eastAsiaTheme="minorEastAsia"/>
                <w:color w:val="000000"/>
                <w:kern w:val="0"/>
                <w:sz w:val="20"/>
                <w:szCs w:val="20"/>
              </w:rPr>
              <w:t>内</w:t>
            </w:r>
          </w:p>
        </w:tc>
        <w:tc>
          <w:tcPr>
            <w:tcW w:w="8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宋体" w:hAnsi="宋体" w:eastAsia="宋体" w:cs="宋体"/>
                <w:color w:val="000000"/>
                <w:kern w:val="0"/>
                <w:sz w:val="20"/>
                <w:szCs w:val="20"/>
                <w:lang w:val="en-US" w:eastAsia="zh-CN"/>
              </w:rPr>
            </w:pPr>
            <w:r>
              <w:rPr>
                <w:rFonts w:hint="eastAsia" w:ascii="宋体" w:hAnsi="宋体" w:cs="宋体"/>
                <w:color w:val="000000"/>
                <w:kern w:val="0"/>
                <w:sz w:val="18"/>
                <w:szCs w:val="18"/>
              </w:rPr>
              <w:t>项目支出预算数14300.09万元，项目支出决算数14001.97万元</w:t>
            </w:r>
            <w:r>
              <w:rPr>
                <w:rFonts w:hint="eastAsia" w:ascii="宋体" w:hAnsi="宋体" w:cs="宋体"/>
                <w:color w:val="000000"/>
                <w:kern w:val="0"/>
                <w:sz w:val="18"/>
                <w:szCs w:val="18"/>
                <w:lang w:eastAsia="zh-CN"/>
              </w:rPr>
              <w:t>。</w:t>
            </w:r>
          </w:p>
        </w:tc>
        <w:tc>
          <w:tcPr>
            <w:tcW w:w="51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567" w:type="pct"/>
            <w:tcBorders>
              <w:top w:val="single" w:color="auto" w:sz="4" w:space="0"/>
              <w:left w:val="single" w:color="auto" w:sz="4" w:space="0"/>
              <w:bottom w:val="single" w:color="auto" w:sz="4" w:space="0"/>
              <w:right w:val="single" w:color="auto" w:sz="4" w:space="0"/>
            </w:tcBorders>
            <w:noWrap/>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4.9</w:t>
            </w:r>
          </w:p>
        </w:tc>
      </w:tr>
      <w:tr>
        <w:tblPrEx>
          <w:tblCellMar>
            <w:top w:w="0" w:type="dxa"/>
            <w:left w:w="108" w:type="dxa"/>
            <w:bottom w:w="0" w:type="dxa"/>
            <w:right w:w="108" w:type="dxa"/>
          </w:tblCellMar>
        </w:tblPrEx>
        <w:trPr>
          <w:cantSplit/>
          <w:trHeight w:val="675" w:hRule="atLeast"/>
          <w:jc w:val="center"/>
        </w:trPr>
        <w:tc>
          <w:tcPr>
            <w:tcW w:w="94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社会效益</w:t>
            </w:r>
          </w:p>
        </w:tc>
        <w:tc>
          <w:tcPr>
            <w:tcW w:w="8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宋体" w:hAnsi="宋体" w:cs="宋体"/>
                <w:color w:val="000000"/>
                <w:kern w:val="0"/>
                <w:sz w:val="20"/>
                <w:szCs w:val="20"/>
              </w:rPr>
            </w:pPr>
            <w:r>
              <w:rPr>
                <w:rFonts w:hint="eastAsia" w:ascii="宋体" w:hAnsi="宋体" w:cs="宋体"/>
                <w:color w:val="000000"/>
                <w:kern w:val="0"/>
                <w:sz w:val="20"/>
                <w:szCs w:val="20"/>
                <w:lang w:eastAsia="zh-CN"/>
              </w:rPr>
              <w:t>进一步强化打造精品文化体育活动，传播奥林匹克的精神文化遗产，讲好中国故事方面，协调推动落实习近平总书记重要指示精神和市委、市政府决策部署，实现双奥遗产传承事业的高质量发展。</w:t>
            </w:r>
          </w:p>
        </w:tc>
        <w:tc>
          <w:tcPr>
            <w:tcW w:w="8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基本达到预期目标</w:t>
            </w:r>
          </w:p>
        </w:tc>
        <w:tc>
          <w:tcPr>
            <w:tcW w:w="51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20</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19</w:t>
            </w:r>
          </w:p>
        </w:tc>
      </w:tr>
      <w:tr>
        <w:tblPrEx>
          <w:tblCellMar>
            <w:top w:w="0" w:type="dxa"/>
            <w:left w:w="108" w:type="dxa"/>
            <w:bottom w:w="0" w:type="dxa"/>
            <w:right w:w="108" w:type="dxa"/>
          </w:tblCellMar>
        </w:tblPrEx>
        <w:trPr>
          <w:cantSplit/>
          <w:trHeight w:val="784" w:hRule="atLeast"/>
          <w:jc w:val="center"/>
        </w:trPr>
        <w:tc>
          <w:tcPr>
            <w:tcW w:w="94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服务对象满意程度</w:t>
            </w:r>
          </w:p>
        </w:tc>
        <w:tc>
          <w:tcPr>
            <w:tcW w:w="80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宋体" w:hAnsi="宋体" w:cs="宋体"/>
                <w:color w:val="000000"/>
                <w:kern w:val="0"/>
                <w:sz w:val="20"/>
                <w:szCs w:val="20"/>
              </w:rPr>
            </w:pPr>
            <w:r>
              <w:rPr>
                <w:rFonts w:hint="eastAsia" w:ascii="宋体" w:hAnsi="宋体" w:cs="宋体"/>
                <w:color w:val="000000"/>
                <w:kern w:val="0"/>
                <w:sz w:val="20"/>
                <w:szCs w:val="20"/>
                <w:highlight w:val="none"/>
                <w:lang w:val="en-US" w:eastAsia="zh-CN"/>
              </w:rPr>
              <w:t>参与活动人员满意度达100%。</w:t>
            </w:r>
          </w:p>
        </w:tc>
        <w:tc>
          <w:tcPr>
            <w:tcW w:w="8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宋体" w:hAnsi="宋体" w:cs="宋体"/>
                <w:color w:val="000000"/>
                <w:kern w:val="0"/>
                <w:sz w:val="20"/>
                <w:szCs w:val="20"/>
                <w:lang w:val="en-US"/>
              </w:rPr>
            </w:pPr>
            <w:r>
              <w:rPr>
                <w:rFonts w:hint="eastAsia" w:ascii="宋体" w:hAnsi="宋体" w:cs="宋体"/>
                <w:color w:val="000000"/>
                <w:kern w:val="0"/>
                <w:sz w:val="20"/>
                <w:szCs w:val="20"/>
              </w:rPr>
              <w:t>满意度全面调查需进一步落实</w:t>
            </w:r>
          </w:p>
        </w:tc>
        <w:tc>
          <w:tcPr>
            <w:tcW w:w="5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10</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9</w:t>
            </w:r>
          </w:p>
        </w:tc>
      </w:tr>
      <w:tr>
        <w:tblPrEx>
          <w:tblCellMar>
            <w:top w:w="0" w:type="dxa"/>
            <w:left w:w="108" w:type="dxa"/>
            <w:bottom w:w="0" w:type="dxa"/>
            <w:right w:w="108" w:type="dxa"/>
          </w:tblCellMar>
        </w:tblPrEx>
        <w:trPr>
          <w:cantSplit/>
          <w:trHeight w:val="487" w:hRule="atLeast"/>
          <w:jc w:val="center"/>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cantSplit/>
          <w:trHeight w:val="702" w:hRule="atLeast"/>
          <w:jc w:val="center"/>
        </w:trPr>
        <w:tc>
          <w:tcPr>
            <w:tcW w:w="94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80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8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51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56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r>
      <w:tr>
        <w:tblPrEx>
          <w:tblCellMar>
            <w:top w:w="0" w:type="dxa"/>
            <w:left w:w="108" w:type="dxa"/>
            <w:bottom w:w="0" w:type="dxa"/>
            <w:right w:w="108" w:type="dxa"/>
          </w:tblCellMar>
        </w:tblPrEx>
        <w:trPr>
          <w:cantSplit/>
          <w:trHeight w:val="1230" w:hRule="atLeast"/>
          <w:jc w:val="center"/>
        </w:trPr>
        <w:tc>
          <w:tcPr>
            <w:tcW w:w="94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49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83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80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各项制度健全</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完整、合规</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会计核算制度完整、合规</w:t>
            </w:r>
          </w:p>
        </w:tc>
        <w:tc>
          <w:tcPr>
            <w:tcW w:w="8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北京奥促中心</w:t>
            </w:r>
            <w:r>
              <w:rPr>
                <w:rFonts w:hint="eastAsia" w:ascii="宋体" w:hAnsi="宋体" w:cs="宋体"/>
                <w:color w:val="000000"/>
                <w:kern w:val="0"/>
                <w:sz w:val="20"/>
                <w:szCs w:val="20"/>
              </w:rPr>
              <w:t>资金管理办法、资产管理办法等各项制度健全</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部门内部财务管理制度</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会计核算制度完整、合规</w:t>
            </w:r>
            <w:r>
              <w:rPr>
                <w:rFonts w:hint="eastAsia" w:ascii="宋体" w:hAnsi="宋体" w:cs="宋体"/>
                <w:color w:val="000000"/>
                <w:kern w:val="0"/>
                <w:sz w:val="20"/>
                <w:szCs w:val="20"/>
                <w:lang w:eastAsia="zh-CN"/>
              </w:rPr>
              <w:t>。</w:t>
            </w:r>
          </w:p>
        </w:tc>
        <w:tc>
          <w:tcPr>
            <w:tcW w:w="51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67"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cantSplit/>
          <w:trHeight w:val="2220" w:hRule="atLeast"/>
          <w:jc w:val="center"/>
        </w:trPr>
        <w:tc>
          <w:tcPr>
            <w:tcW w:w="949"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83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80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财政</w:t>
            </w:r>
            <w:r>
              <w:rPr>
                <w:rFonts w:hint="eastAsia" w:ascii="宋体" w:hAnsi="宋体" w:cs="宋体"/>
                <w:color w:val="000000"/>
                <w:kern w:val="0"/>
                <w:sz w:val="20"/>
                <w:szCs w:val="20"/>
              </w:rPr>
              <w:t>资金</w:t>
            </w:r>
            <w:r>
              <w:rPr>
                <w:rFonts w:hint="eastAsia" w:ascii="宋体" w:hAnsi="宋体" w:cs="宋体"/>
                <w:color w:val="000000"/>
                <w:kern w:val="0"/>
                <w:sz w:val="20"/>
                <w:szCs w:val="20"/>
                <w:lang w:val="en-US" w:eastAsia="zh-CN"/>
              </w:rPr>
              <w:t>支出</w:t>
            </w:r>
            <w:r>
              <w:rPr>
                <w:rFonts w:hint="eastAsia" w:ascii="宋体" w:hAnsi="宋体" w:cs="宋体"/>
                <w:color w:val="000000"/>
                <w:kern w:val="0"/>
                <w:sz w:val="20"/>
                <w:szCs w:val="20"/>
              </w:rPr>
              <w:t>合规</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安全</w:t>
            </w:r>
          </w:p>
        </w:tc>
        <w:tc>
          <w:tcPr>
            <w:tcW w:w="82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18"/>
                <w:szCs w:val="18"/>
                <w:lang w:val="en-US" w:eastAsia="zh-CN"/>
              </w:rPr>
              <w:t>北京奥促中心2024年度资金支出</w:t>
            </w:r>
            <w:r>
              <w:rPr>
                <w:rFonts w:hint="eastAsia" w:ascii="宋体" w:hAnsi="宋体" w:cs="宋体"/>
                <w:color w:val="000000"/>
                <w:kern w:val="0"/>
                <w:sz w:val="18"/>
                <w:szCs w:val="18"/>
              </w:rPr>
              <w:t>符合国家财经法规和财务管理制度规定以及有关专项资金管理办法的规定</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资金的拨付审批程序和手续</w:t>
            </w:r>
            <w:r>
              <w:rPr>
                <w:rFonts w:hint="eastAsia" w:ascii="宋体" w:hAnsi="宋体" w:cs="宋体"/>
                <w:color w:val="000000"/>
                <w:kern w:val="0"/>
                <w:sz w:val="18"/>
                <w:szCs w:val="18"/>
                <w:lang w:val="en-US" w:eastAsia="zh-CN"/>
              </w:rPr>
              <w:t>齐全；各项支出均</w:t>
            </w:r>
            <w:r>
              <w:rPr>
                <w:rFonts w:hint="eastAsia" w:ascii="宋体" w:hAnsi="宋体" w:cs="宋体"/>
                <w:color w:val="000000"/>
                <w:kern w:val="0"/>
                <w:sz w:val="18"/>
                <w:szCs w:val="18"/>
              </w:rPr>
              <w:t>符合部门预算批复的用途</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存在截留、挤占、挪用情况</w:t>
            </w:r>
            <w:r>
              <w:rPr>
                <w:rFonts w:hint="eastAsia" w:ascii="宋体" w:hAnsi="宋体" w:cs="宋体"/>
                <w:color w:val="000000"/>
                <w:kern w:val="0"/>
                <w:sz w:val="18"/>
                <w:szCs w:val="18"/>
                <w:lang w:eastAsia="zh-CN"/>
              </w:rPr>
              <w:t>。</w:t>
            </w:r>
          </w:p>
        </w:tc>
        <w:tc>
          <w:tcPr>
            <w:tcW w:w="516"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567"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r>
      <w:tr>
        <w:tblPrEx>
          <w:tblCellMar>
            <w:top w:w="0" w:type="dxa"/>
            <w:left w:w="108" w:type="dxa"/>
            <w:bottom w:w="0" w:type="dxa"/>
            <w:right w:w="108" w:type="dxa"/>
          </w:tblCellMar>
        </w:tblPrEx>
        <w:trPr>
          <w:cantSplit/>
          <w:trHeight w:val="410"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837"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807"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w:t>
            </w:r>
            <w:r>
              <w:rPr>
                <w:rFonts w:hint="eastAsia" w:ascii="宋体" w:hAnsi="宋体" w:cs="宋体"/>
                <w:color w:val="000000"/>
                <w:kern w:val="0"/>
                <w:sz w:val="20"/>
                <w:szCs w:val="20"/>
                <w:lang w:val="en-US" w:eastAsia="zh-CN"/>
              </w:rPr>
              <w:t>程度</w:t>
            </w:r>
            <w:r>
              <w:rPr>
                <w:rFonts w:hint="eastAsia" w:ascii="宋体" w:hAnsi="宋体" w:cs="宋体"/>
                <w:color w:val="000000"/>
                <w:kern w:val="0"/>
                <w:sz w:val="20"/>
                <w:szCs w:val="20"/>
              </w:rPr>
              <w:t>　</w:t>
            </w:r>
          </w:p>
        </w:tc>
        <w:tc>
          <w:tcPr>
            <w:tcW w:w="82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基础数据信息和会计信息资料真实</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完整、准确</w:t>
            </w:r>
            <w:r>
              <w:rPr>
                <w:rFonts w:hint="eastAsia" w:ascii="宋体" w:hAnsi="宋体" w:cs="宋体"/>
                <w:color w:val="000000"/>
                <w:kern w:val="0"/>
                <w:sz w:val="20"/>
                <w:szCs w:val="20"/>
                <w:lang w:eastAsia="zh-CN"/>
              </w:rPr>
              <w:t>。</w:t>
            </w:r>
          </w:p>
        </w:tc>
        <w:tc>
          <w:tcPr>
            <w:tcW w:w="516"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67"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cantSplit/>
          <w:trHeight w:val="2220"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83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80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国有资产使用、保管、处置程序合规性</w:t>
            </w:r>
          </w:p>
        </w:tc>
        <w:tc>
          <w:tcPr>
            <w:tcW w:w="82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18"/>
                <w:szCs w:val="18"/>
              </w:rPr>
              <w:t>资产管理制度</w:t>
            </w:r>
            <w:r>
              <w:rPr>
                <w:rFonts w:hint="eastAsia" w:ascii="宋体" w:hAnsi="宋体" w:cs="宋体"/>
                <w:color w:val="000000"/>
                <w:kern w:val="0"/>
                <w:sz w:val="18"/>
                <w:szCs w:val="18"/>
                <w:lang w:val="en-US" w:eastAsia="zh-CN"/>
              </w:rPr>
              <w:t>健全；各项</w:t>
            </w:r>
            <w:r>
              <w:rPr>
                <w:rFonts w:hint="eastAsia" w:ascii="宋体" w:hAnsi="宋体" w:cs="宋体"/>
                <w:color w:val="000000"/>
                <w:kern w:val="0"/>
                <w:sz w:val="18"/>
                <w:szCs w:val="18"/>
              </w:rPr>
              <w:t>资产使用规范，</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存在未经批准擅自出租、出借资产行为；</w:t>
            </w:r>
            <w:r>
              <w:rPr>
                <w:rFonts w:hint="eastAsia" w:ascii="宋体" w:hAnsi="宋体" w:cs="宋体"/>
                <w:color w:val="000000"/>
                <w:kern w:val="0"/>
                <w:sz w:val="18"/>
                <w:szCs w:val="18"/>
                <w:lang w:val="en-US" w:eastAsia="zh-CN"/>
              </w:rPr>
              <w:t>国有</w:t>
            </w:r>
            <w:r>
              <w:rPr>
                <w:rFonts w:hint="eastAsia" w:ascii="宋体" w:hAnsi="宋体" w:cs="宋体"/>
                <w:color w:val="000000"/>
                <w:kern w:val="0"/>
                <w:sz w:val="18"/>
                <w:szCs w:val="18"/>
              </w:rPr>
              <w:t>资产处置</w:t>
            </w:r>
            <w:r>
              <w:rPr>
                <w:rFonts w:hint="eastAsia" w:ascii="宋体" w:hAnsi="宋体" w:cs="宋体"/>
                <w:color w:val="000000"/>
                <w:kern w:val="0"/>
                <w:sz w:val="18"/>
                <w:szCs w:val="18"/>
                <w:lang w:val="en-US" w:eastAsia="zh-CN"/>
              </w:rPr>
              <w:t>均按照北京市财政相关要求办理</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不</w:t>
            </w:r>
            <w:r>
              <w:rPr>
                <w:rFonts w:hint="eastAsia" w:ascii="宋体" w:hAnsi="宋体" w:cs="宋体"/>
                <w:color w:val="000000"/>
                <w:kern w:val="0"/>
                <w:sz w:val="18"/>
                <w:szCs w:val="18"/>
              </w:rPr>
              <w:t>存在不按要求进行报批或资产不公开处置行为</w:t>
            </w:r>
            <w:r>
              <w:rPr>
                <w:rFonts w:hint="eastAsia" w:ascii="宋体" w:hAnsi="宋体" w:cs="宋体"/>
                <w:color w:val="000000"/>
                <w:kern w:val="0"/>
                <w:sz w:val="18"/>
                <w:szCs w:val="18"/>
                <w:lang w:eastAsia="zh-CN"/>
              </w:rPr>
              <w:t>。</w:t>
            </w:r>
          </w:p>
        </w:tc>
        <w:tc>
          <w:tcPr>
            <w:tcW w:w="51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56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r>
      <w:tr>
        <w:tblPrEx>
          <w:tblCellMar>
            <w:top w:w="0" w:type="dxa"/>
            <w:left w:w="108" w:type="dxa"/>
            <w:bottom w:w="0" w:type="dxa"/>
            <w:right w:w="108" w:type="dxa"/>
          </w:tblCellMar>
        </w:tblPrEx>
        <w:trPr>
          <w:cantSplit/>
          <w:trHeight w:val="1210"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83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80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绩效管理信息的汇总和应用情况</w:t>
            </w:r>
          </w:p>
        </w:tc>
        <w:tc>
          <w:tcPr>
            <w:tcW w:w="827" w:type="pct"/>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北京奥促中心对绩效信息及时进行了汇总分析整理。</w:t>
            </w:r>
          </w:p>
        </w:tc>
        <w:tc>
          <w:tcPr>
            <w:tcW w:w="51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56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cantSplit/>
          <w:trHeight w:val="394"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645" w:type="pct"/>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2023年</w:t>
            </w:r>
          </w:p>
        </w:tc>
        <w:tc>
          <w:tcPr>
            <w:tcW w:w="82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宋体" w:hAnsi="宋体" w:eastAsia="宋体" w:cs="宋体"/>
                <w:i w:val="0"/>
                <w:iCs w:val="0"/>
                <w:color w:val="000000"/>
                <w:kern w:val="0"/>
                <w:sz w:val="20"/>
                <w:szCs w:val="20"/>
                <w:u w:val="none"/>
                <w:lang w:val="en-US" w:eastAsia="zh-CN" w:bidi="ar"/>
              </w:rPr>
              <w:t>2024年</w:t>
            </w:r>
          </w:p>
        </w:tc>
        <w:tc>
          <w:tcPr>
            <w:tcW w:w="51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分值</w:t>
            </w:r>
          </w:p>
        </w:tc>
        <w:tc>
          <w:tcPr>
            <w:tcW w:w="567"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得分</w:t>
            </w:r>
          </w:p>
        </w:tc>
      </w:tr>
      <w:tr>
        <w:tblPrEx>
          <w:tblCellMar>
            <w:top w:w="0" w:type="dxa"/>
            <w:left w:w="108" w:type="dxa"/>
            <w:bottom w:w="0" w:type="dxa"/>
            <w:right w:w="108" w:type="dxa"/>
          </w:tblCellMar>
        </w:tblPrEx>
        <w:trPr>
          <w:cantSplit/>
          <w:trHeight w:val="1074"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645" w:type="pct"/>
            <w:gridSpan w:val="2"/>
            <w:tcBorders>
              <w:top w:val="single" w:color="auto" w:sz="4" w:space="0"/>
              <w:left w:val="nil"/>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2.25%</w:t>
            </w:r>
          </w:p>
        </w:tc>
        <w:tc>
          <w:tcPr>
            <w:tcW w:w="82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14.63%</w:t>
            </w:r>
          </w:p>
        </w:tc>
        <w:tc>
          <w:tcPr>
            <w:tcW w:w="51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6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auto"/>
                <w:kern w:val="0"/>
                <w:sz w:val="20"/>
                <w:szCs w:val="20"/>
                <w:u w:val="none"/>
                <w:lang w:val="en-US" w:eastAsia="zh-CN" w:bidi="ar"/>
              </w:rPr>
              <w:t>0</w:t>
            </w:r>
          </w:p>
        </w:tc>
      </w:tr>
      <w:tr>
        <w:tblPrEx>
          <w:tblCellMar>
            <w:top w:w="0" w:type="dxa"/>
            <w:left w:w="108" w:type="dxa"/>
            <w:bottom w:w="0" w:type="dxa"/>
            <w:right w:w="108" w:type="dxa"/>
          </w:tblCellMar>
        </w:tblPrEx>
        <w:trPr>
          <w:cantSplit/>
          <w:trHeight w:val="1108" w:hRule="atLeast"/>
          <w:jc w:val="center"/>
        </w:trPr>
        <w:tc>
          <w:tcPr>
            <w:tcW w:w="949"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493"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645" w:type="pct"/>
            <w:gridSpan w:val="2"/>
            <w:tcBorders>
              <w:top w:val="single" w:color="auto" w:sz="4" w:space="0"/>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-2.25%</w:t>
            </w:r>
          </w:p>
        </w:tc>
        <w:tc>
          <w:tcPr>
            <w:tcW w:w="827" w:type="pc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-1.95%</w:t>
            </w:r>
          </w:p>
        </w:tc>
        <w:tc>
          <w:tcPr>
            <w:tcW w:w="51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67"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宋体" w:hAnsi="宋体" w:eastAsia="宋体" w:cs="宋体"/>
                <w:i w:val="0"/>
                <w:iCs w:val="0"/>
                <w:color w:val="000000"/>
                <w:kern w:val="0"/>
                <w:sz w:val="20"/>
                <w:szCs w:val="20"/>
                <w:u w:val="none"/>
                <w:lang w:val="en-US" w:eastAsia="zh-CN" w:bidi="ar"/>
              </w:rPr>
              <w:t>4</w:t>
            </w:r>
          </w:p>
        </w:tc>
      </w:tr>
      <w:tr>
        <w:tblPrEx>
          <w:tblCellMar>
            <w:top w:w="0" w:type="dxa"/>
            <w:left w:w="108" w:type="dxa"/>
            <w:bottom w:w="0" w:type="dxa"/>
            <w:right w:w="108" w:type="dxa"/>
          </w:tblCellMar>
        </w:tblPrEx>
        <w:trPr>
          <w:cantSplit/>
          <w:trHeight w:val="484" w:hRule="atLeast"/>
          <w:jc w:val="center"/>
        </w:trPr>
        <w:tc>
          <w:tcPr>
            <w:tcW w:w="3915"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51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100</w:t>
            </w:r>
          </w:p>
        </w:tc>
        <w:tc>
          <w:tcPr>
            <w:tcW w:w="56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b/>
                <w:bCs/>
                <w:color w:val="000000"/>
                <w:kern w:val="0"/>
                <w:sz w:val="20"/>
                <w:szCs w:val="20"/>
                <w:lang w:val="en-US" w:eastAsia="zh-CN"/>
              </w:rPr>
            </w:pPr>
            <w:r>
              <w:rPr>
                <w:rFonts w:hint="eastAsia" w:ascii="宋体" w:hAnsi="宋体" w:cs="宋体"/>
                <w:b/>
                <w:bCs/>
                <w:color w:val="000000"/>
                <w:kern w:val="0"/>
                <w:sz w:val="20"/>
                <w:szCs w:val="20"/>
                <w:lang w:val="en-US" w:eastAsia="zh-CN"/>
              </w:rPr>
              <w:t>92.51</w:t>
            </w:r>
          </w:p>
        </w:tc>
      </w:tr>
    </w:tbl>
    <w:p/>
    <w:sectPr>
      <w:footerReference r:id="rId4"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3C877A"/>
    <w:multiLevelType w:val="singleLevel"/>
    <w:tmpl w:val="1E3C877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F77F09F4"/>
    <w:rsid w:val="00CD79DA"/>
    <w:rsid w:val="013875BE"/>
    <w:rsid w:val="02CD7738"/>
    <w:rsid w:val="02E515EB"/>
    <w:rsid w:val="03C12BF5"/>
    <w:rsid w:val="03D16945"/>
    <w:rsid w:val="05636FA9"/>
    <w:rsid w:val="058F7F3F"/>
    <w:rsid w:val="0607239F"/>
    <w:rsid w:val="060D55C3"/>
    <w:rsid w:val="06373C7E"/>
    <w:rsid w:val="071B7A42"/>
    <w:rsid w:val="08830F88"/>
    <w:rsid w:val="099537FB"/>
    <w:rsid w:val="09BB6E1E"/>
    <w:rsid w:val="0A9E379F"/>
    <w:rsid w:val="0B8D2D14"/>
    <w:rsid w:val="0BAA59B0"/>
    <w:rsid w:val="0C235020"/>
    <w:rsid w:val="0E1461FA"/>
    <w:rsid w:val="0EAB2347"/>
    <w:rsid w:val="0FA6149D"/>
    <w:rsid w:val="105877B8"/>
    <w:rsid w:val="11122A8B"/>
    <w:rsid w:val="11986461"/>
    <w:rsid w:val="11B37B88"/>
    <w:rsid w:val="11EF7C34"/>
    <w:rsid w:val="12700C3F"/>
    <w:rsid w:val="12A7674F"/>
    <w:rsid w:val="13CB3A9F"/>
    <w:rsid w:val="15CA5B13"/>
    <w:rsid w:val="175F53D8"/>
    <w:rsid w:val="17AC2B0F"/>
    <w:rsid w:val="188B7B07"/>
    <w:rsid w:val="188E010C"/>
    <w:rsid w:val="198050B2"/>
    <w:rsid w:val="1B077E50"/>
    <w:rsid w:val="1BE20386"/>
    <w:rsid w:val="1BE85270"/>
    <w:rsid w:val="1BEC6B0F"/>
    <w:rsid w:val="1CFA3671"/>
    <w:rsid w:val="1D595A2D"/>
    <w:rsid w:val="1E2D28F7"/>
    <w:rsid w:val="1F9542DF"/>
    <w:rsid w:val="1FC401C2"/>
    <w:rsid w:val="20D07D2B"/>
    <w:rsid w:val="2225345A"/>
    <w:rsid w:val="22555084"/>
    <w:rsid w:val="22857DD6"/>
    <w:rsid w:val="22DA61A6"/>
    <w:rsid w:val="23CC3852"/>
    <w:rsid w:val="24C55340"/>
    <w:rsid w:val="24D677B0"/>
    <w:rsid w:val="24F146ED"/>
    <w:rsid w:val="26612471"/>
    <w:rsid w:val="26B16DC3"/>
    <w:rsid w:val="272D67BA"/>
    <w:rsid w:val="27E55E0F"/>
    <w:rsid w:val="28A15C80"/>
    <w:rsid w:val="2934131F"/>
    <w:rsid w:val="29BD2C5C"/>
    <w:rsid w:val="2A12612D"/>
    <w:rsid w:val="2A9B3590"/>
    <w:rsid w:val="2AD55662"/>
    <w:rsid w:val="2B73142D"/>
    <w:rsid w:val="2D186051"/>
    <w:rsid w:val="2DA06AE3"/>
    <w:rsid w:val="2DB717FA"/>
    <w:rsid w:val="2DCD2266"/>
    <w:rsid w:val="2E2F2B51"/>
    <w:rsid w:val="2E343BBC"/>
    <w:rsid w:val="2EC81659"/>
    <w:rsid w:val="2F471C45"/>
    <w:rsid w:val="302428C3"/>
    <w:rsid w:val="303206A9"/>
    <w:rsid w:val="31B47B8E"/>
    <w:rsid w:val="31E340B8"/>
    <w:rsid w:val="32735B9B"/>
    <w:rsid w:val="349F262A"/>
    <w:rsid w:val="3561293C"/>
    <w:rsid w:val="36EB7B4F"/>
    <w:rsid w:val="37173543"/>
    <w:rsid w:val="37F4C3AE"/>
    <w:rsid w:val="393A1342"/>
    <w:rsid w:val="393F2C2C"/>
    <w:rsid w:val="39BA40FD"/>
    <w:rsid w:val="3CD807CA"/>
    <w:rsid w:val="3F2F0931"/>
    <w:rsid w:val="3F4C6CE8"/>
    <w:rsid w:val="3F7FDAB5"/>
    <w:rsid w:val="3FDBA076"/>
    <w:rsid w:val="3FDFB3F0"/>
    <w:rsid w:val="3FDFC9A6"/>
    <w:rsid w:val="3FF76880"/>
    <w:rsid w:val="40D1225F"/>
    <w:rsid w:val="40F5481E"/>
    <w:rsid w:val="42E02626"/>
    <w:rsid w:val="43112046"/>
    <w:rsid w:val="431B74D3"/>
    <w:rsid w:val="439A75F8"/>
    <w:rsid w:val="43FE66C5"/>
    <w:rsid w:val="44D52F65"/>
    <w:rsid w:val="477343BA"/>
    <w:rsid w:val="4950672E"/>
    <w:rsid w:val="4A080545"/>
    <w:rsid w:val="4B9E7824"/>
    <w:rsid w:val="4BC158BB"/>
    <w:rsid w:val="4CBB3F51"/>
    <w:rsid w:val="4CC34AE1"/>
    <w:rsid w:val="4D6049C7"/>
    <w:rsid w:val="4DD1630D"/>
    <w:rsid w:val="4E0D3302"/>
    <w:rsid w:val="4E9C25A4"/>
    <w:rsid w:val="4EEF00E8"/>
    <w:rsid w:val="511A37EE"/>
    <w:rsid w:val="516C06F2"/>
    <w:rsid w:val="531563C3"/>
    <w:rsid w:val="535F5122"/>
    <w:rsid w:val="5443218E"/>
    <w:rsid w:val="54502F3A"/>
    <w:rsid w:val="54A8765F"/>
    <w:rsid w:val="54C00101"/>
    <w:rsid w:val="55B945C2"/>
    <w:rsid w:val="563A3766"/>
    <w:rsid w:val="5679550D"/>
    <w:rsid w:val="570B7A8A"/>
    <w:rsid w:val="572A2EDB"/>
    <w:rsid w:val="572F77DF"/>
    <w:rsid w:val="599E3BD7"/>
    <w:rsid w:val="59BF4A36"/>
    <w:rsid w:val="5BFD4AC2"/>
    <w:rsid w:val="5C087F4D"/>
    <w:rsid w:val="5C406869"/>
    <w:rsid w:val="5C6245A4"/>
    <w:rsid w:val="5D206FB1"/>
    <w:rsid w:val="5D372FDE"/>
    <w:rsid w:val="5D4948BA"/>
    <w:rsid w:val="5D8E3E73"/>
    <w:rsid w:val="5EF24F20"/>
    <w:rsid w:val="5F1A40DE"/>
    <w:rsid w:val="5F8F74AA"/>
    <w:rsid w:val="5FCC6EA3"/>
    <w:rsid w:val="60901057"/>
    <w:rsid w:val="61CD3482"/>
    <w:rsid w:val="62325DC0"/>
    <w:rsid w:val="62C2132D"/>
    <w:rsid w:val="64F40706"/>
    <w:rsid w:val="65BE7968"/>
    <w:rsid w:val="66EC2352"/>
    <w:rsid w:val="67759716"/>
    <w:rsid w:val="67BFBBF4"/>
    <w:rsid w:val="68221F33"/>
    <w:rsid w:val="68613F4D"/>
    <w:rsid w:val="68C47577"/>
    <w:rsid w:val="69E94088"/>
    <w:rsid w:val="6A865BAD"/>
    <w:rsid w:val="6A933D48"/>
    <w:rsid w:val="6B760363"/>
    <w:rsid w:val="6BCC5A5E"/>
    <w:rsid w:val="6BE50451"/>
    <w:rsid w:val="6C5D55DF"/>
    <w:rsid w:val="6DEB22CB"/>
    <w:rsid w:val="6E257998"/>
    <w:rsid w:val="6F084B83"/>
    <w:rsid w:val="6F7ED27B"/>
    <w:rsid w:val="702A1E44"/>
    <w:rsid w:val="7098121B"/>
    <w:rsid w:val="70A510AF"/>
    <w:rsid w:val="71076E84"/>
    <w:rsid w:val="710B0F6A"/>
    <w:rsid w:val="72C73AFA"/>
    <w:rsid w:val="73A0500E"/>
    <w:rsid w:val="749552AC"/>
    <w:rsid w:val="74E8577D"/>
    <w:rsid w:val="75551519"/>
    <w:rsid w:val="756E6420"/>
    <w:rsid w:val="75B17A7C"/>
    <w:rsid w:val="75BB6432"/>
    <w:rsid w:val="75BC0C10"/>
    <w:rsid w:val="75EA0360"/>
    <w:rsid w:val="75FDE7B4"/>
    <w:rsid w:val="76E61150"/>
    <w:rsid w:val="77887F8F"/>
    <w:rsid w:val="779A5141"/>
    <w:rsid w:val="78325FD4"/>
    <w:rsid w:val="78B949AA"/>
    <w:rsid w:val="78FB7F25"/>
    <w:rsid w:val="79422394"/>
    <w:rsid w:val="79C05A35"/>
    <w:rsid w:val="7A202DEA"/>
    <w:rsid w:val="7A2B7779"/>
    <w:rsid w:val="7AA50774"/>
    <w:rsid w:val="7AB7FF50"/>
    <w:rsid w:val="7AC1797A"/>
    <w:rsid w:val="7AE23385"/>
    <w:rsid w:val="7AEAF641"/>
    <w:rsid w:val="7AEBF387"/>
    <w:rsid w:val="7BAD2729"/>
    <w:rsid w:val="7BF915BD"/>
    <w:rsid w:val="7BFEB0DB"/>
    <w:rsid w:val="7C130F07"/>
    <w:rsid w:val="7C1467FD"/>
    <w:rsid w:val="7CEA0C8F"/>
    <w:rsid w:val="7D7A5DC6"/>
    <w:rsid w:val="7DA4228F"/>
    <w:rsid w:val="7E7B6D6C"/>
    <w:rsid w:val="7FE65642"/>
    <w:rsid w:val="7FFF4E81"/>
    <w:rsid w:val="7FFFD0D3"/>
    <w:rsid w:val="8716660E"/>
    <w:rsid w:val="997712D4"/>
    <w:rsid w:val="9F6BA992"/>
    <w:rsid w:val="A3AA735E"/>
    <w:rsid w:val="A75D4892"/>
    <w:rsid w:val="AFFFCE02"/>
    <w:rsid w:val="BEBD032E"/>
    <w:rsid w:val="BF8C115A"/>
    <w:rsid w:val="BFF76EBE"/>
    <w:rsid w:val="CDB3C084"/>
    <w:rsid w:val="CEFD3F3D"/>
    <w:rsid w:val="CF7F6AEA"/>
    <w:rsid w:val="D6B22E60"/>
    <w:rsid w:val="DA6F3048"/>
    <w:rsid w:val="EA3F77F2"/>
    <w:rsid w:val="EBED39D4"/>
    <w:rsid w:val="EE7C043D"/>
    <w:rsid w:val="EEFE5989"/>
    <w:rsid w:val="EFCF3EAE"/>
    <w:rsid w:val="EFFDE88A"/>
    <w:rsid w:val="F4FDEB06"/>
    <w:rsid w:val="F5B764A2"/>
    <w:rsid w:val="F5BD01C6"/>
    <w:rsid w:val="F77F09F4"/>
    <w:rsid w:val="F9CD5167"/>
    <w:rsid w:val="FBEF1A99"/>
    <w:rsid w:val="FBFF6E65"/>
    <w:rsid w:val="FCFFADD1"/>
    <w:rsid w:val="FEEF6AA0"/>
    <w:rsid w:val="FFAF66D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ody Text Indent"/>
    <w:basedOn w:val="1"/>
    <w:qFormat/>
    <w:uiPriority w:val="0"/>
    <w:pPr>
      <w:spacing w:after="360"/>
      <w:ind w:firstLine="840"/>
    </w:pPr>
    <w:rPr>
      <w:rFonts w:eastAsia="仿宋_GB2312"/>
      <w:kern w:val="1"/>
      <w:sz w:val="32"/>
      <w:szCs w:val="20"/>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qFormat/>
    <w:uiPriority w:val="99"/>
    <w:pPr>
      <w:ind w:firstLine="420" w:firstLineChars="200"/>
    </w:p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4">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6629</Words>
  <Characters>7143</Characters>
  <Lines>0</Lines>
  <Paragraphs>0</Paragraphs>
  <TotalTime>0</TotalTime>
  <ScaleCrop>false</ScaleCrop>
  <LinksUpToDate>false</LinksUpToDate>
  <CharactersWithSpaces>7162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2022-03-20T03:16:00Z</dcterms:created>
  <dc:creator>user</dc:creator>
  <cp:lastModifiedBy>uos</cp:lastModifiedBy>
  <cp:lastPrinted>2024-05-21T16:54:00Z</cp:lastPrinted>
  <dcterms:modified xsi:type="dcterms:W3CDTF">2025-08-26T14:33:44Z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41012298077846D49769696D770AA327_13</vt:lpwstr>
  </property>
  <property fmtid="{D5CDD505-2E9C-101B-9397-08002B2CF9AE}" pid="4" name="KSOTemplateDocerSaveRecord">
    <vt:lpwstr>eyJoZGlkIjoiNTM0YjdkNzdhMDk3ZGY3MTJmZjJkMTg0OTE1MTkxYzQifQ==</vt:lpwstr>
  </property>
</Properties>
</file>