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8D8D0">
      <w:pPr>
        <w:jc w:val="center"/>
        <w:rPr>
          <w:rFonts w:hint="default" w:ascii="黑体" w:eastAsia="黑体"/>
          <w:sz w:val="32"/>
          <w:szCs w:val="32"/>
          <w:lang w:val="en-US" w:eastAsia="zh-CN"/>
        </w:rPr>
      </w:pPr>
      <w:r>
        <w:rPr>
          <w:rFonts w:hint="eastAsia" w:ascii="黑体" w:eastAsia="黑体"/>
          <w:sz w:val="32"/>
          <w:szCs w:val="32"/>
          <w:lang w:val="en-US" w:eastAsia="zh-CN"/>
        </w:rPr>
        <w:t>北京北燃实业集团有限公司</w:t>
      </w:r>
    </w:p>
    <w:p w14:paraId="22D6014A">
      <w:pPr>
        <w:jc w:val="center"/>
        <w:rPr>
          <w:rFonts w:hint="eastAsia" w:ascii="黑体" w:eastAsia="黑体"/>
          <w:sz w:val="32"/>
          <w:szCs w:val="32"/>
        </w:rPr>
      </w:pPr>
      <w:r>
        <w:rPr>
          <w:rFonts w:hint="eastAsia" w:ascii="黑体" w:eastAsia="黑体"/>
          <w:sz w:val="32"/>
          <w:szCs w:val="32"/>
          <w:lang w:eastAsia="zh-CN"/>
        </w:rPr>
        <w:t>2024年</w:t>
      </w:r>
      <w:r>
        <w:rPr>
          <w:rFonts w:hint="eastAsia" w:ascii="黑体" w:eastAsia="黑体"/>
          <w:sz w:val="32"/>
          <w:szCs w:val="32"/>
        </w:rPr>
        <w:t>度</w:t>
      </w:r>
    </w:p>
    <w:p w14:paraId="05A79B34">
      <w:pPr>
        <w:jc w:val="center"/>
        <w:rPr>
          <w:rFonts w:hint="eastAsia" w:ascii="黑体" w:eastAsia="仿宋"/>
          <w:sz w:val="32"/>
          <w:szCs w:val="32"/>
          <w:lang w:val="en-US" w:eastAsia="zh-CN"/>
        </w:rPr>
      </w:pPr>
      <w:r>
        <w:rPr>
          <w:rFonts w:hint="eastAsia" w:ascii="黑体" w:eastAsia="黑体"/>
          <w:sz w:val="32"/>
          <w:szCs w:val="32"/>
          <w:lang w:val="en-US" w:eastAsia="zh-CN"/>
        </w:rPr>
        <w:t>改革过渡期政策保障经费项目</w:t>
      </w:r>
    </w:p>
    <w:p w14:paraId="1233EFD6">
      <w:pPr>
        <w:jc w:val="center"/>
        <w:rPr>
          <w:rFonts w:hint="eastAsia" w:ascii="黑体" w:eastAsia="黑体"/>
          <w:sz w:val="32"/>
          <w:szCs w:val="32"/>
          <w:lang w:val="en-US" w:eastAsia="zh-CN"/>
        </w:rPr>
      </w:pPr>
      <w:r>
        <w:rPr>
          <w:rFonts w:hint="eastAsia" w:ascii="黑体" w:eastAsia="黑体"/>
          <w:sz w:val="32"/>
          <w:szCs w:val="32"/>
        </w:rPr>
        <w:t>绩效评价</w:t>
      </w:r>
      <w:r>
        <w:rPr>
          <w:rFonts w:hint="eastAsia" w:ascii="黑体" w:eastAsia="黑体"/>
          <w:sz w:val="32"/>
          <w:szCs w:val="32"/>
          <w:lang w:val="en-US" w:eastAsia="zh-CN"/>
        </w:rPr>
        <w:t>报告</w:t>
      </w:r>
    </w:p>
    <w:p w14:paraId="6D43F77B">
      <w:pPr>
        <w:pStyle w:val="3"/>
        <w:ind w:firstLine="0" w:firstLineChars="0"/>
      </w:pPr>
    </w:p>
    <w:p w14:paraId="205A2A38">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w:t>
      </w:r>
      <w:r>
        <w:rPr>
          <w:rFonts w:hint="eastAsia" w:ascii="宋体" w:hAnsi="宋体" w:eastAsia="宋体" w:cs="宋体"/>
          <w:sz w:val="28"/>
          <w:szCs w:val="28"/>
          <w:lang w:eastAsia="zh-CN"/>
        </w:rPr>
        <w:t>、</w:t>
      </w:r>
      <w:r>
        <w:rPr>
          <w:rFonts w:hint="eastAsia" w:ascii="宋体" w:hAnsi="宋体" w:eastAsia="宋体" w:cs="宋体"/>
          <w:sz w:val="28"/>
          <w:szCs w:val="28"/>
        </w:rPr>
        <w:t>基本情况</w:t>
      </w:r>
    </w:p>
    <w:p w14:paraId="1930C385">
      <w:pPr>
        <w:spacing w:line="360" w:lineRule="auto"/>
        <w:ind w:firstLine="560" w:firstLineChars="200"/>
        <w:rPr>
          <w:rFonts w:hint="eastAsia" w:ascii="宋体" w:hAnsi="宋体" w:eastAsia="宋体" w:cs="宋体"/>
          <w:sz w:val="28"/>
          <w:szCs w:val="28"/>
        </w:rPr>
      </w:pPr>
      <w:r>
        <w:rPr>
          <w:rFonts w:hint="eastAsia" w:ascii="宋体" w:hAnsi="宋体" w:cs="宋体"/>
          <w:sz w:val="28"/>
          <w:szCs w:val="28"/>
          <w:lang w:eastAsia="zh-CN"/>
        </w:rPr>
        <w:t>（</w:t>
      </w:r>
      <w:r>
        <w:rPr>
          <w:rFonts w:hint="eastAsia" w:ascii="宋体" w:hAnsi="宋体" w:cs="宋体"/>
          <w:sz w:val="28"/>
          <w:szCs w:val="28"/>
          <w:lang w:val="en-US" w:eastAsia="zh-CN"/>
        </w:rPr>
        <w:t>一</w:t>
      </w:r>
      <w:r>
        <w:rPr>
          <w:rFonts w:hint="eastAsia" w:ascii="宋体" w:hAnsi="宋体" w:cs="宋体"/>
          <w:sz w:val="28"/>
          <w:szCs w:val="28"/>
          <w:lang w:eastAsia="zh-CN"/>
        </w:rPr>
        <w:t>）</w:t>
      </w:r>
      <w:r>
        <w:rPr>
          <w:rFonts w:hint="eastAsia" w:ascii="宋体" w:hAnsi="宋体" w:eastAsia="宋体" w:cs="宋体"/>
          <w:sz w:val="28"/>
          <w:szCs w:val="28"/>
        </w:rPr>
        <w:t>项目背景</w:t>
      </w:r>
    </w:p>
    <w:p w14:paraId="6327602A">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rPr>
        <w:t>北京北燃实业集团有</w:t>
      </w:r>
      <w:r>
        <w:rPr>
          <w:rFonts w:hint="eastAsia" w:ascii="宋体" w:hAnsi="宋体" w:eastAsia="宋体" w:cs="宋体"/>
          <w:sz w:val="28"/>
          <w:szCs w:val="28"/>
          <w:highlight w:val="none"/>
        </w:rPr>
        <w:t>限公司所属2个部门预算单位分别为北京北燃特种设备检验检测有限公司（</w:t>
      </w:r>
      <w:r>
        <w:rPr>
          <w:rFonts w:hint="eastAsia" w:ascii="宋体" w:hAnsi="宋体" w:eastAsia="宋体" w:cs="宋体"/>
          <w:sz w:val="28"/>
          <w:szCs w:val="28"/>
          <w:highlight w:val="none"/>
          <w:lang w:val="en-US" w:eastAsia="zh-CN"/>
        </w:rPr>
        <w:t>以下</w:t>
      </w:r>
      <w:r>
        <w:rPr>
          <w:rFonts w:hint="eastAsia" w:ascii="宋体" w:hAnsi="宋体" w:eastAsia="宋体" w:cs="宋体"/>
          <w:sz w:val="28"/>
          <w:szCs w:val="28"/>
          <w:highlight w:val="none"/>
        </w:rPr>
        <w:t>简称北燃特检）。和北京市公用事业科学研究所有限公司有限公司（以下简称</w:t>
      </w:r>
      <w:r>
        <w:rPr>
          <w:rFonts w:hint="eastAsia" w:ascii="宋体" w:hAnsi="宋体" w:eastAsia="宋体" w:cs="宋体"/>
          <w:sz w:val="28"/>
          <w:szCs w:val="28"/>
          <w:highlight w:val="none"/>
          <w:lang w:eastAsia="zh-CN"/>
        </w:rPr>
        <w:t>科研所公司</w:t>
      </w:r>
      <w:r>
        <w:rPr>
          <w:rFonts w:hint="eastAsia" w:ascii="宋体" w:hAnsi="宋体" w:eastAsia="宋体" w:cs="宋体"/>
          <w:sz w:val="28"/>
          <w:szCs w:val="28"/>
          <w:highlight w:val="none"/>
        </w:rPr>
        <w:t>）。</w:t>
      </w:r>
    </w:p>
    <w:p w14:paraId="558B3EB0">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根据《北京市关于从事生产经营活动事业单位改革的实施意见》、《中共北京市委机构编制委员会关于深化市属事业单位改革试点实施方案》、《深化市属事业单位改革试点实施方案》、《中共北京市机构编制委员会关于北京控股集团有限公司所属事业单位改革有关事项的批复》（京编委 (2021) 59号）等文件的要求，</w:t>
      </w:r>
      <w:r>
        <w:rPr>
          <w:rFonts w:hint="eastAsia" w:ascii="宋体" w:hAnsi="宋体" w:eastAsia="宋体" w:cs="宋体"/>
          <w:sz w:val="28"/>
          <w:szCs w:val="28"/>
          <w:highlight w:val="none"/>
          <w:lang w:eastAsia="zh-CN"/>
        </w:rPr>
        <w:t>科研所公司</w:t>
      </w:r>
      <w:r>
        <w:rPr>
          <w:rFonts w:hint="eastAsia" w:ascii="宋体" w:hAnsi="宋体" w:eastAsia="宋体" w:cs="宋体"/>
          <w:sz w:val="28"/>
          <w:szCs w:val="28"/>
          <w:highlight w:val="none"/>
        </w:rPr>
        <w:t>和</w:t>
      </w:r>
      <w:r>
        <w:rPr>
          <w:rFonts w:hint="eastAsia" w:ascii="宋体" w:hAnsi="宋体" w:eastAsia="宋体" w:cs="宋体"/>
          <w:sz w:val="28"/>
          <w:szCs w:val="28"/>
          <w:highlight w:val="none"/>
          <w:lang w:eastAsia="zh-CN"/>
        </w:rPr>
        <w:t>北燃特检</w:t>
      </w:r>
      <w:r>
        <w:rPr>
          <w:rFonts w:hint="eastAsia" w:ascii="宋体" w:hAnsi="宋体" w:eastAsia="宋体" w:cs="宋体"/>
          <w:sz w:val="28"/>
          <w:szCs w:val="28"/>
          <w:highlight w:val="none"/>
        </w:rPr>
        <w:t>进行转企改制，在此背景下，编制了</w:t>
      </w:r>
      <w:r>
        <w:rPr>
          <w:rFonts w:hint="eastAsia" w:ascii="宋体" w:hAnsi="宋体" w:eastAsia="宋体" w:cs="宋体"/>
          <w:sz w:val="28"/>
          <w:szCs w:val="28"/>
          <w:highlight w:val="none"/>
          <w:lang w:eastAsia="zh-CN"/>
        </w:rPr>
        <w:t>2024年</w:t>
      </w:r>
      <w:r>
        <w:rPr>
          <w:rFonts w:hint="eastAsia" w:ascii="宋体" w:hAnsi="宋体" w:eastAsia="宋体" w:cs="宋体"/>
          <w:sz w:val="28"/>
          <w:szCs w:val="28"/>
          <w:highlight w:val="none"/>
        </w:rPr>
        <w:t>项目支出预算。</w:t>
      </w:r>
    </w:p>
    <w:p w14:paraId="7F7C15AA">
      <w:pPr>
        <w:spacing w:line="360" w:lineRule="auto"/>
        <w:ind w:firstLine="560" w:firstLineChars="200"/>
        <w:rPr>
          <w:rFonts w:hint="eastAsia" w:ascii="宋体" w:hAnsi="宋体" w:eastAsia="宋体" w:cs="宋体"/>
          <w:sz w:val="28"/>
          <w:szCs w:val="28"/>
          <w:highlight w:val="none"/>
        </w:rPr>
      </w:pPr>
      <w:r>
        <w:rPr>
          <w:rFonts w:hint="eastAsia" w:ascii="宋体" w:hAnsi="宋体" w:cs="宋体"/>
          <w:sz w:val="28"/>
          <w:szCs w:val="28"/>
          <w:highlight w:val="none"/>
          <w:lang w:val="en-US" w:eastAsia="zh-CN"/>
        </w:rPr>
        <w:t>（二）</w:t>
      </w:r>
      <w:r>
        <w:rPr>
          <w:rFonts w:hint="eastAsia" w:ascii="宋体" w:hAnsi="宋体" w:eastAsia="宋体" w:cs="宋体"/>
          <w:sz w:val="28"/>
          <w:szCs w:val="28"/>
          <w:highlight w:val="none"/>
          <w:lang w:val="en-US" w:eastAsia="zh-CN"/>
        </w:rPr>
        <w:t>项目</w:t>
      </w:r>
      <w:r>
        <w:rPr>
          <w:rFonts w:hint="eastAsia" w:ascii="宋体" w:hAnsi="宋体" w:eastAsia="宋体" w:cs="宋体"/>
          <w:sz w:val="28"/>
          <w:szCs w:val="28"/>
          <w:highlight w:val="none"/>
        </w:rPr>
        <w:t>内容：改革过渡期政策保障经费</w:t>
      </w:r>
    </w:p>
    <w:p w14:paraId="346C6DAE">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资金投入：</w:t>
      </w:r>
      <w:r>
        <w:rPr>
          <w:rFonts w:hint="eastAsia" w:ascii="宋体" w:hAnsi="宋体" w:cs="宋体"/>
          <w:sz w:val="28"/>
          <w:szCs w:val="28"/>
          <w:highlight w:val="none"/>
          <w:lang w:val="en-US" w:eastAsia="zh-CN"/>
        </w:rPr>
        <w:t>按照</w:t>
      </w:r>
      <w:r>
        <w:rPr>
          <w:rFonts w:hint="eastAsia" w:ascii="宋体" w:hAnsi="宋体" w:eastAsia="宋体" w:cs="宋体"/>
          <w:sz w:val="28"/>
          <w:szCs w:val="28"/>
          <w:highlight w:val="none"/>
        </w:rPr>
        <w:t>转企改制前三年基本经费平均数</w:t>
      </w:r>
      <w:r>
        <w:rPr>
          <w:rFonts w:hint="eastAsia" w:ascii="宋体" w:hAnsi="宋体" w:cs="宋体"/>
          <w:sz w:val="28"/>
          <w:szCs w:val="28"/>
          <w:highlight w:val="none"/>
          <w:lang w:val="en-US" w:eastAsia="zh-CN"/>
        </w:rPr>
        <w:t>计算，</w:t>
      </w:r>
      <w:r>
        <w:rPr>
          <w:rFonts w:hint="eastAsia" w:ascii="宋体" w:hAnsi="宋体" w:eastAsia="宋体" w:cs="宋体"/>
          <w:sz w:val="28"/>
          <w:szCs w:val="28"/>
          <w:highlight w:val="none"/>
        </w:rPr>
        <w:t>经费总额为3169.98万元，其中</w:t>
      </w:r>
      <w:r>
        <w:rPr>
          <w:rFonts w:hint="eastAsia" w:ascii="宋体" w:hAnsi="宋体" w:eastAsia="宋体" w:cs="宋体"/>
          <w:sz w:val="28"/>
          <w:szCs w:val="28"/>
          <w:highlight w:val="none"/>
          <w:lang w:eastAsia="zh-CN"/>
        </w:rPr>
        <w:t>北燃特检</w:t>
      </w:r>
      <w:r>
        <w:rPr>
          <w:rFonts w:hint="eastAsia" w:ascii="宋体" w:hAnsi="宋体" w:eastAsia="宋体" w:cs="宋体"/>
          <w:sz w:val="28"/>
          <w:szCs w:val="28"/>
          <w:highlight w:val="none"/>
        </w:rPr>
        <w:t>为827.80万元，</w:t>
      </w:r>
      <w:r>
        <w:rPr>
          <w:rFonts w:hint="eastAsia" w:ascii="宋体" w:hAnsi="宋体" w:eastAsia="宋体" w:cs="宋体"/>
          <w:sz w:val="28"/>
          <w:szCs w:val="28"/>
          <w:highlight w:val="none"/>
          <w:lang w:eastAsia="zh-CN"/>
        </w:rPr>
        <w:t>科研所公司</w:t>
      </w:r>
      <w:r>
        <w:rPr>
          <w:rFonts w:hint="eastAsia" w:ascii="宋体" w:hAnsi="宋体" w:eastAsia="宋体" w:cs="宋体"/>
          <w:sz w:val="28"/>
          <w:szCs w:val="28"/>
          <w:highlight w:val="none"/>
        </w:rPr>
        <w:t>为2342.18万元。</w:t>
      </w:r>
    </w:p>
    <w:tbl>
      <w:tblPr>
        <w:tblStyle w:val="10"/>
        <w:tblW w:w="8364" w:type="dxa"/>
        <w:jc w:val="center"/>
        <w:tblLayout w:type="autofit"/>
        <w:tblCellMar>
          <w:top w:w="0" w:type="dxa"/>
          <w:left w:w="108" w:type="dxa"/>
          <w:bottom w:w="0" w:type="dxa"/>
          <w:right w:w="108" w:type="dxa"/>
        </w:tblCellMar>
      </w:tblPr>
      <w:tblGrid>
        <w:gridCol w:w="4892"/>
        <w:gridCol w:w="3472"/>
      </w:tblGrid>
      <w:tr w14:paraId="036E2069">
        <w:tblPrEx>
          <w:tblCellMar>
            <w:top w:w="0" w:type="dxa"/>
            <w:left w:w="108" w:type="dxa"/>
            <w:bottom w:w="0" w:type="dxa"/>
            <w:right w:w="108" w:type="dxa"/>
          </w:tblCellMar>
        </w:tblPrEx>
        <w:trPr>
          <w:trHeight w:val="390" w:hRule="atLeast"/>
          <w:jc w:val="center"/>
        </w:trPr>
        <w:tc>
          <w:tcPr>
            <w:tcW w:w="4892" w:type="dxa"/>
            <w:tcBorders>
              <w:top w:val="nil"/>
              <w:left w:val="nil"/>
              <w:bottom w:val="nil"/>
              <w:right w:val="nil"/>
            </w:tcBorders>
            <w:shd w:val="clear" w:color="FFFFCC" w:fill="FFFFFF"/>
            <w:noWrap/>
          </w:tcPr>
          <w:p w14:paraId="6E2F8679">
            <w:pPr>
              <w:widowControl/>
              <w:jc w:val="left"/>
              <w:rPr>
                <w:rFonts w:hint="eastAsia" w:ascii="宋体" w:hAnsi="宋体" w:eastAsia="宋体" w:cs="宋体"/>
                <w:color w:val="000000"/>
                <w:kern w:val="0"/>
                <w:sz w:val="24"/>
                <w:szCs w:val="36"/>
                <w:highlight w:val="none"/>
              </w:rPr>
            </w:pPr>
          </w:p>
        </w:tc>
        <w:tc>
          <w:tcPr>
            <w:tcW w:w="3472" w:type="dxa"/>
            <w:tcBorders>
              <w:top w:val="nil"/>
              <w:left w:val="nil"/>
              <w:bottom w:val="nil"/>
              <w:right w:val="nil"/>
            </w:tcBorders>
            <w:shd w:val="clear" w:color="FFFFCC" w:fill="FFFFFF"/>
            <w:noWrap/>
          </w:tcPr>
          <w:p w14:paraId="1E35905E">
            <w:pPr>
              <w:widowControl/>
              <w:jc w:val="left"/>
              <w:rPr>
                <w:rFonts w:hint="eastAsia" w:ascii="宋体" w:hAnsi="宋体" w:eastAsia="宋体" w:cs="宋体"/>
                <w:color w:val="000000"/>
                <w:kern w:val="0"/>
                <w:sz w:val="24"/>
                <w:szCs w:val="36"/>
                <w:highlight w:val="none"/>
              </w:rPr>
            </w:pPr>
            <w:r>
              <w:rPr>
                <w:rFonts w:hint="eastAsia" w:ascii="宋体" w:hAnsi="宋体" w:eastAsia="宋体" w:cs="宋体"/>
                <w:color w:val="000000"/>
                <w:kern w:val="0"/>
                <w:sz w:val="24"/>
                <w:szCs w:val="36"/>
                <w:highlight w:val="none"/>
              </w:rPr>
              <w:t xml:space="preserve">                  单位：万元</w:t>
            </w:r>
          </w:p>
        </w:tc>
      </w:tr>
      <w:tr w14:paraId="0EBE1A97">
        <w:tblPrEx>
          <w:tblCellMar>
            <w:top w:w="0" w:type="dxa"/>
            <w:left w:w="108" w:type="dxa"/>
            <w:bottom w:w="0" w:type="dxa"/>
            <w:right w:w="108" w:type="dxa"/>
          </w:tblCellMar>
        </w:tblPrEx>
        <w:trPr>
          <w:trHeight w:val="300" w:hRule="atLeast"/>
          <w:jc w:val="center"/>
        </w:trPr>
        <w:tc>
          <w:tcPr>
            <w:tcW w:w="4892" w:type="dxa"/>
            <w:tcBorders>
              <w:top w:val="single" w:color="auto" w:sz="4" w:space="0"/>
              <w:left w:val="single" w:color="auto" w:sz="4" w:space="0"/>
              <w:bottom w:val="single" w:color="auto" w:sz="4" w:space="0"/>
              <w:right w:val="single" w:color="auto" w:sz="4" w:space="0"/>
            </w:tcBorders>
            <w:shd w:val="clear" w:color="FFFFCC" w:fill="FFFFFF"/>
            <w:vAlign w:val="center"/>
          </w:tcPr>
          <w:p w14:paraId="2DB96B9D">
            <w:pPr>
              <w:widowControl/>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明细项目名称</w:t>
            </w:r>
          </w:p>
        </w:tc>
        <w:tc>
          <w:tcPr>
            <w:tcW w:w="3472" w:type="dxa"/>
            <w:tcBorders>
              <w:top w:val="single" w:color="auto" w:sz="4" w:space="0"/>
              <w:left w:val="nil"/>
              <w:bottom w:val="single" w:color="auto" w:sz="4" w:space="0"/>
              <w:right w:val="single" w:color="auto" w:sz="4" w:space="0"/>
            </w:tcBorders>
            <w:shd w:val="clear" w:color="FFFFCC" w:fill="FFFFFF"/>
            <w:vAlign w:val="center"/>
          </w:tcPr>
          <w:p w14:paraId="4E9BC1EC">
            <w:pPr>
              <w:widowControl/>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lang w:eastAsia="zh-CN"/>
              </w:rPr>
              <w:t>2024年</w:t>
            </w:r>
            <w:r>
              <w:rPr>
                <w:rFonts w:hint="eastAsia" w:ascii="宋体" w:hAnsi="宋体" w:eastAsia="宋体" w:cs="宋体"/>
                <w:b/>
                <w:sz w:val="28"/>
                <w:szCs w:val="28"/>
                <w:highlight w:val="none"/>
              </w:rPr>
              <w:t>预算</w:t>
            </w:r>
          </w:p>
        </w:tc>
      </w:tr>
      <w:tr w14:paraId="109F15A8">
        <w:tblPrEx>
          <w:tblCellMar>
            <w:top w:w="0" w:type="dxa"/>
            <w:left w:w="108" w:type="dxa"/>
            <w:bottom w:w="0" w:type="dxa"/>
            <w:right w:w="108" w:type="dxa"/>
          </w:tblCellMar>
        </w:tblPrEx>
        <w:trPr>
          <w:trHeight w:val="300" w:hRule="atLeast"/>
          <w:jc w:val="center"/>
        </w:trPr>
        <w:tc>
          <w:tcPr>
            <w:tcW w:w="4892" w:type="dxa"/>
            <w:tcBorders>
              <w:top w:val="nil"/>
              <w:left w:val="single" w:color="auto" w:sz="4" w:space="0"/>
              <w:bottom w:val="single" w:color="auto" w:sz="4" w:space="0"/>
              <w:right w:val="single" w:color="auto" w:sz="4" w:space="0"/>
            </w:tcBorders>
            <w:shd w:val="clear" w:color="auto" w:fill="auto"/>
            <w:vAlign w:val="center"/>
          </w:tcPr>
          <w:p w14:paraId="2E37BDC5">
            <w:pPr>
              <w:widowControl/>
              <w:jc w:val="left"/>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北燃特检</w:t>
            </w:r>
            <w:r>
              <w:rPr>
                <w:rFonts w:hint="eastAsia" w:ascii="宋体" w:hAnsi="宋体" w:eastAsia="宋体" w:cs="宋体"/>
                <w:sz w:val="28"/>
                <w:szCs w:val="28"/>
                <w:highlight w:val="none"/>
              </w:rPr>
              <w:t>：改革过渡期政策保障经费</w:t>
            </w:r>
          </w:p>
        </w:tc>
        <w:tc>
          <w:tcPr>
            <w:tcW w:w="3472" w:type="dxa"/>
            <w:tcBorders>
              <w:top w:val="nil"/>
              <w:left w:val="nil"/>
              <w:bottom w:val="single" w:color="auto" w:sz="4" w:space="0"/>
              <w:right w:val="single" w:color="auto" w:sz="4" w:space="0"/>
            </w:tcBorders>
            <w:shd w:val="clear" w:color="FFFFCC" w:fill="FFFFFF"/>
            <w:vAlign w:val="center"/>
          </w:tcPr>
          <w:p w14:paraId="65512767">
            <w:pPr>
              <w:widowControl/>
              <w:jc w:val="right"/>
              <w:rPr>
                <w:rFonts w:hint="eastAsia" w:ascii="宋体" w:hAnsi="宋体" w:eastAsia="宋体" w:cs="宋体"/>
                <w:sz w:val="28"/>
                <w:szCs w:val="28"/>
                <w:highlight w:val="none"/>
              </w:rPr>
            </w:pPr>
            <w:r>
              <w:rPr>
                <w:rFonts w:hint="eastAsia" w:ascii="宋体" w:hAnsi="宋体" w:eastAsia="宋体" w:cs="宋体"/>
                <w:sz w:val="28"/>
                <w:szCs w:val="28"/>
                <w:highlight w:val="none"/>
              </w:rPr>
              <w:t>827.80</w:t>
            </w:r>
          </w:p>
        </w:tc>
      </w:tr>
      <w:tr w14:paraId="76AE6C8A">
        <w:tblPrEx>
          <w:tblCellMar>
            <w:top w:w="0" w:type="dxa"/>
            <w:left w:w="108" w:type="dxa"/>
            <w:bottom w:w="0" w:type="dxa"/>
            <w:right w:w="108" w:type="dxa"/>
          </w:tblCellMar>
        </w:tblPrEx>
        <w:trPr>
          <w:trHeight w:val="300" w:hRule="atLeast"/>
          <w:jc w:val="center"/>
        </w:trPr>
        <w:tc>
          <w:tcPr>
            <w:tcW w:w="4892" w:type="dxa"/>
            <w:tcBorders>
              <w:top w:val="nil"/>
              <w:left w:val="single" w:color="auto" w:sz="4" w:space="0"/>
              <w:bottom w:val="single" w:color="auto" w:sz="4" w:space="0"/>
              <w:right w:val="single" w:color="auto" w:sz="4" w:space="0"/>
            </w:tcBorders>
            <w:shd w:val="clear" w:color="auto" w:fill="auto"/>
            <w:vAlign w:val="center"/>
          </w:tcPr>
          <w:p w14:paraId="030F1087">
            <w:pPr>
              <w:widowControl/>
              <w:jc w:val="left"/>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科研所公司</w:t>
            </w:r>
            <w:r>
              <w:rPr>
                <w:rFonts w:hint="eastAsia" w:ascii="宋体" w:hAnsi="宋体" w:eastAsia="宋体" w:cs="宋体"/>
                <w:sz w:val="28"/>
                <w:szCs w:val="28"/>
                <w:highlight w:val="none"/>
              </w:rPr>
              <w:t>：改革过渡期政策保障经费</w:t>
            </w:r>
          </w:p>
        </w:tc>
        <w:tc>
          <w:tcPr>
            <w:tcW w:w="3472" w:type="dxa"/>
            <w:tcBorders>
              <w:top w:val="nil"/>
              <w:left w:val="nil"/>
              <w:bottom w:val="single" w:color="auto" w:sz="4" w:space="0"/>
              <w:right w:val="single" w:color="auto" w:sz="4" w:space="0"/>
            </w:tcBorders>
            <w:shd w:val="clear" w:color="FFFFCC" w:fill="FFFFFF"/>
            <w:vAlign w:val="center"/>
          </w:tcPr>
          <w:p w14:paraId="660456EE">
            <w:pPr>
              <w:widowControl/>
              <w:jc w:val="right"/>
              <w:rPr>
                <w:rFonts w:hint="eastAsia" w:ascii="宋体" w:hAnsi="宋体" w:eastAsia="宋体" w:cs="宋体"/>
                <w:sz w:val="28"/>
                <w:szCs w:val="28"/>
                <w:highlight w:val="none"/>
              </w:rPr>
            </w:pPr>
            <w:r>
              <w:rPr>
                <w:rFonts w:hint="eastAsia" w:ascii="宋体" w:hAnsi="宋体" w:eastAsia="宋体" w:cs="宋体"/>
                <w:sz w:val="28"/>
                <w:szCs w:val="28"/>
                <w:highlight w:val="none"/>
              </w:rPr>
              <w:t>2342.18</w:t>
            </w:r>
          </w:p>
        </w:tc>
      </w:tr>
      <w:tr w14:paraId="095572E1">
        <w:tblPrEx>
          <w:tblCellMar>
            <w:top w:w="0" w:type="dxa"/>
            <w:left w:w="108" w:type="dxa"/>
            <w:bottom w:w="0" w:type="dxa"/>
            <w:right w:w="108" w:type="dxa"/>
          </w:tblCellMar>
        </w:tblPrEx>
        <w:trPr>
          <w:trHeight w:val="300" w:hRule="atLeast"/>
          <w:jc w:val="center"/>
        </w:trPr>
        <w:tc>
          <w:tcPr>
            <w:tcW w:w="4892" w:type="dxa"/>
            <w:tcBorders>
              <w:top w:val="nil"/>
              <w:left w:val="single" w:color="auto" w:sz="4" w:space="0"/>
              <w:bottom w:val="single" w:color="auto" w:sz="4" w:space="0"/>
              <w:right w:val="single" w:color="auto" w:sz="4" w:space="0"/>
            </w:tcBorders>
            <w:shd w:val="clear" w:color="auto" w:fill="auto"/>
            <w:vAlign w:val="center"/>
          </w:tcPr>
          <w:p w14:paraId="4DB9B89F">
            <w:pPr>
              <w:widowControl/>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合计</w:t>
            </w:r>
          </w:p>
        </w:tc>
        <w:tc>
          <w:tcPr>
            <w:tcW w:w="3472" w:type="dxa"/>
            <w:tcBorders>
              <w:top w:val="nil"/>
              <w:left w:val="nil"/>
              <w:bottom w:val="single" w:color="auto" w:sz="4" w:space="0"/>
              <w:right w:val="single" w:color="auto" w:sz="4" w:space="0"/>
            </w:tcBorders>
            <w:shd w:val="clear" w:color="FFFFCC" w:fill="FFFFFF"/>
            <w:vAlign w:val="center"/>
          </w:tcPr>
          <w:p w14:paraId="20FA68F4">
            <w:pPr>
              <w:widowControl/>
              <w:jc w:val="right"/>
              <w:rPr>
                <w:rFonts w:hint="eastAsia" w:ascii="宋体" w:hAnsi="宋体" w:eastAsia="宋体" w:cs="宋体"/>
                <w:sz w:val="28"/>
                <w:szCs w:val="28"/>
                <w:highlight w:val="none"/>
              </w:rPr>
            </w:pPr>
            <w:r>
              <w:rPr>
                <w:rFonts w:hint="eastAsia" w:ascii="宋体" w:hAnsi="宋体" w:eastAsia="宋体" w:cs="宋体"/>
                <w:sz w:val="28"/>
                <w:szCs w:val="28"/>
                <w:highlight w:val="none"/>
              </w:rPr>
              <w:t>3169.98</w:t>
            </w:r>
          </w:p>
        </w:tc>
      </w:tr>
    </w:tbl>
    <w:p w14:paraId="29712E35">
      <w:pPr>
        <w:spacing w:line="360" w:lineRule="auto"/>
        <w:ind w:firstLine="560" w:firstLineChars="200"/>
        <w:rPr>
          <w:rFonts w:hint="eastAsia" w:ascii="宋体" w:hAnsi="宋体" w:eastAsia="宋体" w:cs="宋体"/>
          <w:color w:val="000000"/>
          <w:kern w:val="2"/>
          <w:sz w:val="28"/>
          <w:szCs w:val="28"/>
          <w:highlight w:val="none"/>
          <w:lang w:val="en-US" w:eastAsia="zh-CN" w:bidi="ar-SA"/>
          <w14:ligatures w14:val="none"/>
        </w:rPr>
      </w:pPr>
      <w:r>
        <w:rPr>
          <w:rFonts w:hint="eastAsia" w:ascii="宋体" w:hAnsi="宋体" w:eastAsia="宋体" w:cs="宋体"/>
          <w:color w:val="000000"/>
          <w:kern w:val="2"/>
          <w:sz w:val="28"/>
          <w:szCs w:val="28"/>
          <w:highlight w:val="none"/>
          <w:lang w:val="en-US" w:eastAsia="zh-CN" w:bidi="ar-SA"/>
          <w14:ligatures w14:val="none"/>
        </w:rPr>
        <w:t>（三）项目绩效目标</w:t>
      </w:r>
    </w:p>
    <w:p w14:paraId="2755A720">
      <w:pPr>
        <w:pStyle w:val="3"/>
        <w:spacing w:line="360" w:lineRule="auto"/>
        <w:ind w:firstLine="560"/>
        <w:rPr>
          <w:rFonts w:hint="eastAsia" w:ascii="宋体" w:hAnsi="宋体" w:eastAsia="宋体" w:cs="宋体"/>
          <w:highlight w:val="none"/>
        </w:rPr>
      </w:pPr>
      <w:r>
        <w:rPr>
          <w:rFonts w:hint="eastAsia" w:ascii="宋体" w:hAnsi="宋体" w:eastAsia="宋体" w:cs="宋体"/>
          <w:color w:val="000000"/>
          <w:kern w:val="2"/>
          <w:sz w:val="28"/>
          <w:szCs w:val="28"/>
          <w:highlight w:val="none"/>
          <w:lang w:val="en-US" w:eastAsia="zh-CN" w:bidi="ar-SA"/>
          <w14:ligatures w14:val="none"/>
        </w:rPr>
        <w:t>为锅炉、压力容器与管道</w:t>
      </w:r>
      <w:r>
        <w:rPr>
          <w:rFonts w:hint="eastAsia" w:ascii="宋体" w:hAnsi="宋体" w:eastAsia="宋体" w:cs="宋体"/>
          <w:color w:val="000000"/>
          <w:sz w:val="28"/>
          <w:szCs w:val="28"/>
          <w:highlight w:val="none"/>
        </w:rPr>
        <w:t>安全提供监督检验保障，为政府部门对特种设备的监管提供技术服务；为所辖各单位的锅炉、压力容器、压力管道等特种设备提供满意的定期检验服务，保证特种设备定期检验的按时完成；为特种设备使用单位提供支持，为特种设备的安全运行提供检验技术保障与服务。 努力提高财政资金使用效率，使财政的投入为改制后企业持续经营、平稳过渡和科技创新服务，全面提升北京市公用事业领域装备现代化。</w:t>
      </w:r>
      <w:r>
        <w:rPr>
          <w:rFonts w:hint="eastAsia" w:ascii="宋体" w:hAnsi="宋体" w:eastAsia="宋体" w:cs="宋体"/>
          <w:color w:val="FF0000"/>
          <w:sz w:val="28"/>
          <w:szCs w:val="28"/>
          <w:highlight w:val="none"/>
        </w:rPr>
        <w:tab/>
      </w:r>
      <w:r>
        <w:rPr>
          <w:rFonts w:hint="eastAsia" w:ascii="宋体" w:hAnsi="宋体" w:eastAsia="宋体" w:cs="宋体"/>
          <w:sz w:val="28"/>
          <w:szCs w:val="28"/>
          <w:highlight w:val="none"/>
        </w:rPr>
        <w:tab/>
      </w:r>
      <w:r>
        <w:rPr>
          <w:rFonts w:hint="eastAsia" w:ascii="宋体" w:hAnsi="宋体" w:eastAsia="宋体" w:cs="宋体"/>
          <w:sz w:val="28"/>
          <w:szCs w:val="28"/>
          <w:highlight w:val="none"/>
        </w:rPr>
        <w:tab/>
      </w:r>
      <w:r>
        <w:rPr>
          <w:rFonts w:hint="eastAsia" w:ascii="宋体" w:hAnsi="宋体" w:eastAsia="宋体" w:cs="宋体"/>
          <w:sz w:val="28"/>
          <w:szCs w:val="28"/>
          <w:highlight w:val="none"/>
        </w:rPr>
        <w:tab/>
      </w:r>
      <w:r>
        <w:rPr>
          <w:rFonts w:hint="eastAsia" w:ascii="宋体" w:hAnsi="宋体" w:eastAsia="宋体" w:cs="宋体"/>
          <w:sz w:val="28"/>
          <w:szCs w:val="28"/>
          <w:highlight w:val="none"/>
        </w:rPr>
        <w:tab/>
      </w:r>
      <w:r>
        <w:rPr>
          <w:rFonts w:hint="eastAsia" w:ascii="宋体" w:hAnsi="宋体" w:eastAsia="宋体" w:cs="宋体"/>
          <w:sz w:val="28"/>
          <w:szCs w:val="28"/>
          <w:highlight w:val="none"/>
        </w:rPr>
        <w:tab/>
      </w:r>
    </w:p>
    <w:p w14:paraId="78055E79">
      <w:pPr>
        <w:spacing w:line="580" w:lineRule="exact"/>
        <w:ind w:firstLine="560" w:firstLineChars="200"/>
        <w:rPr>
          <w:rFonts w:hint="eastAsia" w:ascii="宋体" w:hAnsi="宋体" w:eastAsia="宋体" w:cs="宋体"/>
          <w:sz w:val="28"/>
          <w:szCs w:val="28"/>
          <w:highlight w:val="none"/>
          <w:lang w:val="en-US" w:eastAsia="zh-CN"/>
        </w:rPr>
      </w:pPr>
    </w:p>
    <w:p w14:paraId="7CC35470">
      <w:pPr>
        <w:spacing w:line="58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二、</w:t>
      </w:r>
      <w:r>
        <w:rPr>
          <w:rFonts w:hint="eastAsia" w:ascii="宋体" w:hAnsi="宋体" w:eastAsia="宋体" w:cs="宋体"/>
          <w:sz w:val="28"/>
          <w:szCs w:val="28"/>
          <w:highlight w:val="none"/>
        </w:rPr>
        <w:t>绩效评价工作开展情况</w:t>
      </w:r>
    </w:p>
    <w:p w14:paraId="41BE9171">
      <w:pPr>
        <w:spacing w:line="580" w:lineRule="exact"/>
        <w:ind w:firstLine="560" w:firstLineChars="200"/>
        <w:rPr>
          <w:rFonts w:hint="eastAsia" w:ascii="宋体" w:hAnsi="宋体" w:eastAsia="宋体" w:cs="宋体"/>
          <w:sz w:val="28"/>
          <w:szCs w:val="28"/>
          <w:highlight w:val="none"/>
        </w:rPr>
      </w:pP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一</w:t>
      </w:r>
      <w:r>
        <w:rPr>
          <w:rFonts w:hint="eastAsia" w:ascii="宋体" w:hAnsi="宋体" w:cs="宋体"/>
          <w:sz w:val="28"/>
          <w:szCs w:val="28"/>
          <w:highlight w:val="none"/>
          <w:lang w:eastAsia="zh-CN"/>
        </w:rPr>
        <w:t>）</w:t>
      </w:r>
      <w:r>
        <w:rPr>
          <w:rFonts w:hint="eastAsia" w:ascii="宋体" w:hAnsi="宋体" w:eastAsia="宋体" w:cs="宋体"/>
          <w:sz w:val="28"/>
          <w:szCs w:val="28"/>
          <w:highlight w:val="none"/>
        </w:rPr>
        <w:t>绩效评价目的、对象和范围</w:t>
      </w:r>
    </w:p>
    <w:p w14:paraId="667D1F49">
      <w:pPr>
        <w:pStyle w:val="3"/>
        <w:spacing w:line="360" w:lineRule="auto"/>
        <w:ind w:firstLine="560"/>
        <w:rPr>
          <w:rFonts w:hint="eastAsia" w:ascii="宋体" w:hAnsi="宋体" w:eastAsia="宋体" w:cs="宋体"/>
          <w:color w:val="000000"/>
          <w:sz w:val="28"/>
          <w:szCs w:val="28"/>
          <w:highlight w:val="none"/>
          <w:lang w:val="en-US" w:eastAsia="zh-CN"/>
        </w:rPr>
      </w:pPr>
      <w:r>
        <w:rPr>
          <w:rFonts w:hint="eastAsia" w:ascii="宋体" w:hAnsi="宋体" w:eastAsia="宋体" w:cs="宋体"/>
          <w:color w:val="000000"/>
          <w:sz w:val="28"/>
          <w:szCs w:val="28"/>
          <w:highlight w:val="none"/>
          <w:lang w:val="en-US" w:eastAsia="zh-CN"/>
        </w:rPr>
        <w:t>1、评价的目的</w:t>
      </w:r>
    </w:p>
    <w:p w14:paraId="7F1807EB">
      <w:pPr>
        <w:spacing w:line="60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为进一步加强财政预算绩效管理，强化支出责任，提高财政资金使用效益和部门管理水平，依据《中共北京市委北京市人民政府关于全面实施预算绩效管理的实施意见》（京发〔2019〕12号）、《北京市预算绩效管理办法》（京财绩效〔2019〕2129号）和《北京市项目支出绩效评价管理办法》（京财绩效〔2020〕2146号），结合《</w:t>
      </w:r>
      <w:r>
        <w:rPr>
          <w:rFonts w:hint="eastAsia" w:ascii="宋体" w:hAnsi="宋体" w:eastAsia="宋体" w:cs="宋体"/>
          <w:bCs/>
          <w:sz w:val="28"/>
          <w:szCs w:val="28"/>
          <w:highlight w:val="none"/>
        </w:rPr>
        <w:t>北京市财政局关于开展</w:t>
      </w:r>
      <w:r>
        <w:rPr>
          <w:rFonts w:hint="eastAsia" w:ascii="宋体" w:hAnsi="宋体" w:eastAsia="宋体" w:cs="宋体"/>
          <w:bCs/>
          <w:sz w:val="28"/>
          <w:szCs w:val="28"/>
          <w:highlight w:val="none"/>
          <w:lang w:eastAsia="zh-CN"/>
        </w:rPr>
        <w:t>2024年</w:t>
      </w:r>
      <w:r>
        <w:rPr>
          <w:rFonts w:hint="eastAsia" w:ascii="宋体" w:hAnsi="宋体" w:eastAsia="宋体" w:cs="宋体"/>
          <w:bCs/>
          <w:sz w:val="28"/>
          <w:szCs w:val="28"/>
          <w:highlight w:val="none"/>
        </w:rPr>
        <w:t>全面预算绩效管理工作的通知</w:t>
      </w:r>
      <w:r>
        <w:rPr>
          <w:rFonts w:hint="eastAsia" w:ascii="宋体" w:hAnsi="宋体" w:eastAsia="宋体" w:cs="宋体"/>
          <w:sz w:val="28"/>
          <w:szCs w:val="28"/>
          <w:highlight w:val="none"/>
        </w:rPr>
        <w:t>》（京财绩效〔2022〕669号）的具体工作要求，</w:t>
      </w:r>
      <w:r>
        <w:rPr>
          <w:rFonts w:hint="eastAsia" w:ascii="宋体" w:hAnsi="宋体" w:cs="宋体"/>
          <w:sz w:val="28"/>
          <w:szCs w:val="28"/>
          <w:highlight w:val="none"/>
          <w:lang w:val="en-US" w:eastAsia="zh-CN"/>
        </w:rPr>
        <w:t>我部门</w:t>
      </w:r>
      <w:r>
        <w:rPr>
          <w:rFonts w:hint="eastAsia" w:ascii="宋体" w:hAnsi="宋体" w:eastAsia="宋体" w:cs="宋体"/>
          <w:sz w:val="28"/>
          <w:szCs w:val="28"/>
          <w:highlight w:val="none"/>
        </w:rPr>
        <w:t>开展</w:t>
      </w:r>
      <w:r>
        <w:rPr>
          <w:rFonts w:hint="eastAsia" w:ascii="宋体" w:hAnsi="宋体" w:cs="宋体"/>
          <w:sz w:val="28"/>
          <w:szCs w:val="28"/>
          <w:highlight w:val="none"/>
          <w:lang w:val="en-US" w:eastAsia="zh-CN"/>
        </w:rPr>
        <w:t>了</w:t>
      </w:r>
      <w:r>
        <w:rPr>
          <w:rFonts w:hint="eastAsia" w:ascii="宋体" w:hAnsi="宋体" w:eastAsia="宋体" w:cs="宋体"/>
          <w:sz w:val="28"/>
          <w:szCs w:val="28"/>
          <w:highlight w:val="none"/>
          <w:lang w:eastAsia="zh-CN"/>
        </w:rPr>
        <w:t>2024年</w:t>
      </w:r>
      <w:r>
        <w:rPr>
          <w:rFonts w:hint="eastAsia" w:ascii="宋体" w:hAnsi="宋体" w:eastAsia="宋体" w:cs="宋体"/>
          <w:sz w:val="28"/>
          <w:szCs w:val="28"/>
          <w:highlight w:val="none"/>
        </w:rPr>
        <w:t>度绩效自评工作。</w:t>
      </w:r>
    </w:p>
    <w:p w14:paraId="23869CE0">
      <w:pPr>
        <w:spacing w:line="600" w:lineRule="exact"/>
        <w:ind w:firstLine="560" w:firstLineChars="200"/>
        <w:rPr>
          <w:rFonts w:hint="eastAsia" w:ascii="宋体" w:hAnsi="宋体" w:eastAsia="宋体" w:cs="宋体"/>
          <w:sz w:val="28"/>
          <w:szCs w:val="28"/>
          <w:highlight w:val="cyan"/>
        </w:rPr>
      </w:pPr>
      <w:r>
        <w:rPr>
          <w:rFonts w:hint="eastAsia" w:ascii="宋体" w:hAnsi="宋体" w:eastAsia="宋体" w:cs="宋体"/>
          <w:sz w:val="28"/>
          <w:szCs w:val="28"/>
          <w:highlight w:val="none"/>
        </w:rPr>
        <w:t>财政支出绩效评价旨在通过评价改善预算部门的财政支出管理，优化资源配置及提高公共服务水平。本次绩效评价的目的是对该项目的财政资金使用效率和效益进行评价分析，从中总结出项目管理部门在项目实施过程中的经验和不足之处，提出改善项目管理的建议和措施，帮助提高项目实施单位的管理水平。</w:t>
      </w:r>
    </w:p>
    <w:p w14:paraId="0B50ACDC">
      <w:pPr>
        <w:spacing w:line="600" w:lineRule="exact"/>
        <w:ind w:firstLine="560" w:firstLineChars="200"/>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2、评价的对象和范围</w:t>
      </w:r>
    </w:p>
    <w:p w14:paraId="5043560E">
      <w:pPr>
        <w:spacing w:line="600" w:lineRule="exact"/>
        <w:ind w:firstLine="560" w:firstLineChars="200"/>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绩效评价的对象是</w:t>
      </w:r>
      <w:r>
        <w:rPr>
          <w:rFonts w:hint="eastAsia" w:ascii="宋体" w:hAnsi="宋体" w:eastAsia="宋体" w:cs="宋体"/>
          <w:sz w:val="28"/>
          <w:szCs w:val="28"/>
          <w:highlight w:val="none"/>
        </w:rPr>
        <w:t>改革过渡期政策保障经费</w:t>
      </w:r>
      <w:r>
        <w:rPr>
          <w:rFonts w:hint="eastAsia" w:ascii="宋体" w:hAnsi="宋体" w:cs="宋体"/>
          <w:sz w:val="28"/>
          <w:szCs w:val="28"/>
          <w:highlight w:val="none"/>
          <w:lang w:val="en-US" w:eastAsia="zh-CN"/>
        </w:rPr>
        <w:t>项目，资金范围是2024年财政安排的全部资金。</w:t>
      </w:r>
    </w:p>
    <w:p w14:paraId="519B1DD7">
      <w:pPr>
        <w:spacing w:line="580" w:lineRule="exact"/>
        <w:ind w:firstLine="560" w:firstLineChars="200"/>
        <w:rPr>
          <w:rFonts w:hint="eastAsia" w:ascii="宋体" w:hAnsi="宋体" w:eastAsia="宋体" w:cs="宋体"/>
          <w:sz w:val="28"/>
          <w:szCs w:val="28"/>
          <w:highlight w:val="none"/>
        </w:rPr>
      </w:pP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二</w:t>
      </w:r>
      <w:r>
        <w:rPr>
          <w:rFonts w:hint="eastAsia" w:ascii="宋体" w:hAnsi="宋体" w:cs="宋体"/>
          <w:sz w:val="28"/>
          <w:szCs w:val="28"/>
          <w:highlight w:val="none"/>
          <w:lang w:eastAsia="zh-CN"/>
        </w:rPr>
        <w:t>）</w:t>
      </w:r>
      <w:r>
        <w:rPr>
          <w:rFonts w:hint="eastAsia" w:ascii="宋体" w:hAnsi="宋体" w:eastAsia="宋体" w:cs="宋体"/>
          <w:sz w:val="28"/>
          <w:szCs w:val="28"/>
          <w:highlight w:val="none"/>
        </w:rPr>
        <w:t>评价原则、方法、指标体系</w:t>
      </w:r>
    </w:p>
    <w:p w14:paraId="04660C6E">
      <w:pPr>
        <w:spacing w:line="600" w:lineRule="exact"/>
        <w:ind w:firstLine="840" w:firstLineChars="300"/>
        <w:rPr>
          <w:rFonts w:hint="eastAsia" w:ascii="宋体" w:hAnsi="宋体" w:eastAsia="宋体" w:cs="宋体"/>
          <w:sz w:val="28"/>
          <w:szCs w:val="28"/>
          <w:highlight w:val="none"/>
        </w:rPr>
      </w:pPr>
      <w:r>
        <w:rPr>
          <w:rFonts w:hint="eastAsia" w:ascii="宋体" w:hAnsi="宋体" w:cs="宋体"/>
          <w:sz w:val="28"/>
          <w:szCs w:val="28"/>
          <w:highlight w:val="none"/>
          <w:lang w:val="en-US" w:eastAsia="zh-CN"/>
        </w:rPr>
        <w:t>1、</w:t>
      </w:r>
      <w:r>
        <w:rPr>
          <w:rFonts w:hint="eastAsia" w:ascii="宋体" w:hAnsi="宋体" w:eastAsia="宋体" w:cs="宋体"/>
          <w:sz w:val="28"/>
          <w:szCs w:val="28"/>
          <w:highlight w:val="none"/>
        </w:rPr>
        <w:t>评价原则：</w:t>
      </w:r>
    </w:p>
    <w:p w14:paraId="48BC9B31">
      <w:pPr>
        <w:spacing w:line="60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（1）科学公正。绩效评价应当运用科学合理的方法，按照规范的程序，对项目绩效进行客观、公正的反映。</w:t>
      </w:r>
    </w:p>
    <w:p w14:paraId="384EB8F0">
      <w:pPr>
        <w:spacing w:line="60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（2）统筹兼顾。单位自评、部门评价和财政评价应职责明确，各有侧重，相互衔接。单位自评应由项目单位自主实施,即“谁支出,谁自评”。部门评价和财政评价应在单位自评的基础上开展。</w:t>
      </w:r>
    </w:p>
    <w:p w14:paraId="3A756A00">
      <w:pPr>
        <w:spacing w:line="60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（3）激励约束。绩效评价结果应用与预算安排、政策调整、改进管理实质性挂钩，体现奖优罚劣和激励相容导向，有效要安排、低效要减压、无效要问责。</w:t>
      </w:r>
    </w:p>
    <w:p w14:paraId="179A8EC2">
      <w:pPr>
        <w:spacing w:line="60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（4）公开透明。绩效评价结果应依法依规公开，并自觉接受社会监督。</w:t>
      </w:r>
    </w:p>
    <w:p w14:paraId="5C6202FA">
      <w:pPr>
        <w:spacing w:line="600" w:lineRule="exact"/>
        <w:ind w:firstLine="840" w:firstLineChars="300"/>
        <w:rPr>
          <w:rFonts w:hint="eastAsia" w:ascii="宋体" w:hAnsi="宋体" w:eastAsia="宋体" w:cs="宋体"/>
          <w:sz w:val="28"/>
          <w:szCs w:val="28"/>
          <w:highlight w:val="none"/>
        </w:rPr>
      </w:pPr>
      <w:r>
        <w:rPr>
          <w:rFonts w:hint="eastAsia" w:ascii="宋体" w:hAnsi="宋体" w:cs="宋体"/>
          <w:sz w:val="28"/>
          <w:szCs w:val="28"/>
          <w:highlight w:val="none"/>
          <w:lang w:val="en-US" w:eastAsia="zh-CN"/>
        </w:rPr>
        <w:t>2、</w:t>
      </w:r>
      <w:r>
        <w:rPr>
          <w:rFonts w:hint="eastAsia" w:ascii="宋体" w:hAnsi="宋体" w:eastAsia="宋体" w:cs="宋体"/>
          <w:sz w:val="28"/>
          <w:szCs w:val="28"/>
          <w:highlight w:val="none"/>
        </w:rPr>
        <w:t xml:space="preserve">评价方法： </w:t>
      </w:r>
    </w:p>
    <w:p w14:paraId="55C54ECE">
      <w:pPr>
        <w:spacing w:line="60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本次绩效评价工作遵循点与面评价相结合、定性评价和定量评价相结合的原则，在评价过程中，通过自上而下地收集评价资料，以保障本次绩效评价的全面性、科学性和有效性。本次绩效评价将以定性与定量相结合为主要原则，对绩效评价采用比较法、因素分析法、专家评议法等进行评价工作。</w:t>
      </w:r>
    </w:p>
    <w:p w14:paraId="372E6C80">
      <w:pPr>
        <w:spacing w:line="600" w:lineRule="exact"/>
        <w:ind w:firstLine="560" w:firstLineChars="200"/>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3、评价指标体系：</w:t>
      </w:r>
    </w:p>
    <w:p w14:paraId="33872D64">
      <w:pPr>
        <w:pStyle w:val="3"/>
        <w:ind w:left="0" w:leftChars="0" w:firstLine="560" w:firstLineChars="200"/>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（1）科研所公司：</w:t>
      </w:r>
    </w:p>
    <w:p w14:paraId="1DBCF292">
      <w:pPr>
        <w:pStyle w:val="3"/>
        <w:ind w:left="0" w:leftChars="0" w:firstLine="560" w:firstLineChars="200"/>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选择2项一级指标，4项二级指标，4项三级指标，满分合计100分。</w:t>
      </w:r>
    </w:p>
    <w:p w14:paraId="543B8375">
      <w:pPr>
        <w:pStyle w:val="3"/>
        <w:numPr>
          <w:ilvl w:val="0"/>
          <w:numId w:val="1"/>
        </w:numPr>
        <w:ind w:left="0" w:leftChars="0" w:firstLine="560" w:firstLineChars="200"/>
        <w:rPr>
          <w:rFonts w:hint="default" w:ascii="宋体" w:hAnsi="宋体" w:cs="宋体"/>
          <w:sz w:val="28"/>
          <w:szCs w:val="28"/>
          <w:highlight w:val="none"/>
          <w:lang w:val="en-US" w:eastAsia="zh-CN"/>
        </w:rPr>
      </w:pPr>
      <w:r>
        <w:rPr>
          <w:rFonts w:hint="eastAsia" w:ascii="宋体" w:hAnsi="宋体" w:cs="宋体"/>
          <w:sz w:val="28"/>
          <w:szCs w:val="28"/>
          <w:highlight w:val="none"/>
          <w:lang w:val="en-US" w:eastAsia="zh-CN"/>
        </w:rPr>
        <w:t>北燃特检</w:t>
      </w:r>
    </w:p>
    <w:p w14:paraId="37393D87">
      <w:pPr>
        <w:pStyle w:val="3"/>
        <w:numPr>
          <w:ilvl w:val="0"/>
          <w:numId w:val="0"/>
        </w:numPr>
        <w:rPr>
          <w:rFonts w:hint="default" w:ascii="宋体" w:hAnsi="宋体" w:cs="宋体"/>
          <w:sz w:val="28"/>
          <w:szCs w:val="28"/>
          <w:highlight w:val="none"/>
          <w:lang w:val="en-US" w:eastAsia="zh-CN"/>
        </w:rPr>
      </w:pPr>
      <w:r>
        <w:rPr>
          <w:rFonts w:hint="eastAsia" w:ascii="宋体" w:hAnsi="宋体" w:cs="宋体"/>
          <w:sz w:val="28"/>
          <w:szCs w:val="28"/>
          <w:highlight w:val="none"/>
          <w:lang w:val="en-US" w:eastAsia="zh-CN"/>
        </w:rPr>
        <w:t xml:space="preserve">    选择3项一级指标，6项二级指标，7项三级指标，满分合计100分。</w:t>
      </w:r>
    </w:p>
    <w:p w14:paraId="73D3EC32">
      <w:pPr>
        <w:pStyle w:val="3"/>
        <w:rPr>
          <w:rFonts w:hint="default" w:ascii="宋体" w:hAnsi="宋体" w:cs="宋体"/>
          <w:sz w:val="28"/>
          <w:szCs w:val="28"/>
          <w:highlight w:val="none"/>
          <w:lang w:val="en-US" w:eastAsia="zh-CN"/>
        </w:rPr>
      </w:pPr>
    </w:p>
    <w:p w14:paraId="0D7DA0B0">
      <w:pPr>
        <w:numPr>
          <w:ilvl w:val="0"/>
          <w:numId w:val="2"/>
        </w:numPr>
        <w:spacing w:line="580" w:lineRule="exact"/>
        <w:ind w:firstLine="560" w:firstLineChars="200"/>
        <w:rPr>
          <w:rFonts w:hint="eastAsia" w:ascii="宋体" w:hAnsi="宋体" w:eastAsia="宋体" w:cs="宋体"/>
          <w:kern w:val="2"/>
          <w:sz w:val="28"/>
          <w:szCs w:val="28"/>
          <w:highlight w:val="none"/>
          <w:lang w:val="en-US" w:eastAsia="zh-CN" w:bidi="ar-SA"/>
          <w14:ligatures w14:val="none"/>
        </w:rPr>
      </w:pPr>
      <w:r>
        <w:rPr>
          <w:rFonts w:hint="eastAsia" w:ascii="宋体" w:hAnsi="宋体" w:eastAsia="宋体" w:cs="宋体"/>
          <w:sz w:val="28"/>
          <w:szCs w:val="28"/>
          <w:highlight w:val="none"/>
        </w:rPr>
        <w:t>绩效评价工作过程</w:t>
      </w:r>
    </w:p>
    <w:p w14:paraId="70A6E3FC">
      <w:pPr>
        <w:pStyle w:val="3"/>
        <w:numPr>
          <w:ilvl w:val="0"/>
          <w:numId w:val="0"/>
        </w:numPr>
        <w:rPr>
          <w:rFonts w:hint="default" w:ascii="宋体" w:hAnsi="宋体" w:eastAsia="宋体" w:cs="宋体"/>
          <w:kern w:val="2"/>
          <w:sz w:val="28"/>
          <w:szCs w:val="28"/>
          <w:highlight w:val="none"/>
          <w:lang w:val="en-US" w:eastAsia="zh-CN" w:bidi="ar-SA"/>
          <w14:ligatures w14:val="none"/>
        </w:rPr>
      </w:pPr>
      <w:r>
        <w:rPr>
          <w:rFonts w:hint="eastAsia" w:ascii="宋体" w:hAnsi="宋体" w:cs="宋体"/>
          <w:kern w:val="2"/>
          <w:sz w:val="28"/>
          <w:szCs w:val="28"/>
          <w:highlight w:val="none"/>
          <w:lang w:val="en-US" w:eastAsia="zh-CN" w:bidi="ar-SA"/>
          <w14:ligatures w14:val="none"/>
        </w:rPr>
        <w:t xml:space="preserve">    本次绩效评价工作共经历前期准备、评价实施、报告撰写三个阶段。</w:t>
      </w:r>
    </w:p>
    <w:p w14:paraId="7860DEAE">
      <w:pPr>
        <w:spacing w:line="60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w:t>
      </w:r>
      <w:r>
        <w:rPr>
          <w:rFonts w:hint="eastAsia" w:ascii="宋体" w:hAnsi="宋体" w:cs="宋体"/>
          <w:sz w:val="28"/>
          <w:szCs w:val="28"/>
          <w:highlight w:val="none"/>
          <w:lang w:val="en-US" w:eastAsia="zh-CN"/>
        </w:rPr>
        <w:t>一</w:t>
      </w:r>
      <w:r>
        <w:rPr>
          <w:rFonts w:hint="eastAsia" w:ascii="宋体" w:hAnsi="宋体" w:eastAsia="宋体" w:cs="宋体"/>
          <w:sz w:val="28"/>
          <w:szCs w:val="28"/>
          <w:highlight w:val="none"/>
        </w:rPr>
        <w:t>）前期准备</w:t>
      </w:r>
    </w:p>
    <w:p w14:paraId="7FA5F9E8">
      <w:pPr>
        <w:spacing w:line="60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科研所公司</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北燃特检分别</w:t>
      </w:r>
      <w:r>
        <w:rPr>
          <w:rFonts w:hint="eastAsia" w:ascii="宋体" w:hAnsi="宋体" w:eastAsia="宋体" w:cs="宋体"/>
          <w:sz w:val="28"/>
          <w:szCs w:val="28"/>
          <w:highlight w:val="none"/>
        </w:rPr>
        <w:t>负责组建</w:t>
      </w:r>
      <w:r>
        <w:rPr>
          <w:rFonts w:hint="eastAsia" w:ascii="宋体" w:hAnsi="宋体" w:cs="宋体"/>
          <w:sz w:val="28"/>
          <w:szCs w:val="28"/>
          <w:highlight w:val="none"/>
          <w:lang w:val="en-US" w:eastAsia="zh-CN"/>
        </w:rPr>
        <w:t>本单位</w:t>
      </w:r>
      <w:r>
        <w:rPr>
          <w:rFonts w:hint="eastAsia" w:ascii="宋体" w:hAnsi="宋体" w:eastAsia="宋体" w:cs="宋体"/>
          <w:sz w:val="28"/>
          <w:szCs w:val="28"/>
          <w:highlight w:val="none"/>
        </w:rPr>
        <w:t>评价工作组，由</w:t>
      </w:r>
      <w:r>
        <w:rPr>
          <w:rFonts w:hint="eastAsia" w:ascii="宋体" w:hAnsi="宋体" w:cs="宋体"/>
          <w:sz w:val="28"/>
          <w:szCs w:val="28"/>
          <w:highlight w:val="none"/>
          <w:lang w:val="en-US" w:eastAsia="zh-CN"/>
        </w:rPr>
        <w:t>两单位</w:t>
      </w:r>
      <w:r>
        <w:rPr>
          <w:rFonts w:hint="eastAsia" w:ascii="宋体" w:hAnsi="宋体" w:eastAsia="宋体" w:cs="宋体"/>
          <w:sz w:val="28"/>
          <w:szCs w:val="28"/>
          <w:highlight w:val="none"/>
        </w:rPr>
        <w:t>主管领导负责，成员包括财务</w:t>
      </w:r>
      <w:r>
        <w:rPr>
          <w:rFonts w:hint="eastAsia" w:ascii="宋体" w:hAnsi="宋体" w:eastAsia="宋体" w:cs="宋体"/>
          <w:sz w:val="28"/>
          <w:szCs w:val="28"/>
          <w:highlight w:val="none"/>
          <w:lang w:val="en-US" w:eastAsia="zh-CN"/>
        </w:rPr>
        <w:t>管理</w:t>
      </w:r>
      <w:r>
        <w:rPr>
          <w:rFonts w:hint="eastAsia" w:ascii="宋体" w:hAnsi="宋体" w:eastAsia="宋体" w:cs="宋体"/>
          <w:sz w:val="28"/>
          <w:szCs w:val="28"/>
          <w:highlight w:val="none"/>
        </w:rPr>
        <w:t>、科研管理、设备管理、安全管理和专业技术人员组成。在明确评价目的及要求的前提下，组建绩效评价工作组，拟定资料清单，并进行资料收集。在收集和审核资料的基础上，初步拟定绩效评价工作方案。通过领导班子集体决策，确定该项目预算并向财政申报。</w:t>
      </w:r>
    </w:p>
    <w:p w14:paraId="309BA2D1">
      <w:pPr>
        <w:numPr>
          <w:ilvl w:val="0"/>
          <w:numId w:val="3"/>
        </w:numPr>
        <w:spacing w:line="600" w:lineRule="exact"/>
        <w:ind w:firstLine="560" w:firstLineChars="200"/>
        <w:rPr>
          <w:rFonts w:hint="eastAsia" w:ascii="宋体" w:hAnsi="宋体" w:cs="宋体"/>
          <w:sz w:val="28"/>
          <w:szCs w:val="28"/>
          <w:highlight w:val="none"/>
          <w:lang w:val="en-US" w:eastAsia="zh-CN"/>
        </w:rPr>
      </w:pPr>
      <w:r>
        <w:rPr>
          <w:rFonts w:hint="eastAsia" w:ascii="宋体" w:hAnsi="宋体" w:eastAsia="宋体" w:cs="宋体"/>
          <w:sz w:val="28"/>
          <w:szCs w:val="28"/>
          <w:highlight w:val="none"/>
        </w:rPr>
        <w:t>评价</w:t>
      </w:r>
      <w:r>
        <w:rPr>
          <w:rFonts w:hint="eastAsia" w:ascii="宋体" w:hAnsi="宋体" w:cs="宋体"/>
          <w:sz w:val="28"/>
          <w:szCs w:val="28"/>
          <w:highlight w:val="none"/>
          <w:lang w:val="en-US" w:eastAsia="zh-CN"/>
        </w:rPr>
        <w:t>实施</w:t>
      </w:r>
    </w:p>
    <w:p w14:paraId="4E81EFDA">
      <w:pPr>
        <w:spacing w:line="360" w:lineRule="auto"/>
        <w:ind w:firstLine="560" w:firstLineChars="200"/>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评价工作组开展项目评价，制定并完善绩效评价指标体系，依据评价标准进行初步分析，了解项目实际执行效果，得出初步评价结论。</w:t>
      </w:r>
    </w:p>
    <w:p w14:paraId="4485E942">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w:t>
      </w:r>
      <w:r>
        <w:rPr>
          <w:rFonts w:hint="eastAsia" w:ascii="宋体" w:hAnsi="宋体" w:cs="宋体"/>
          <w:sz w:val="28"/>
          <w:szCs w:val="28"/>
          <w:highlight w:val="none"/>
          <w:lang w:val="en-US" w:eastAsia="zh-CN"/>
        </w:rPr>
        <w:t>三</w:t>
      </w:r>
      <w:r>
        <w:rPr>
          <w:rFonts w:hint="eastAsia" w:ascii="宋体" w:hAnsi="宋体" w:eastAsia="宋体" w:cs="宋体"/>
          <w:sz w:val="28"/>
          <w:szCs w:val="28"/>
          <w:highlight w:val="none"/>
        </w:rPr>
        <w:t>）</w:t>
      </w:r>
      <w:r>
        <w:rPr>
          <w:rFonts w:hint="eastAsia" w:ascii="宋体" w:hAnsi="宋体" w:cs="宋体"/>
          <w:sz w:val="28"/>
          <w:szCs w:val="28"/>
          <w:highlight w:val="none"/>
          <w:lang w:val="en-US" w:eastAsia="zh-CN"/>
        </w:rPr>
        <w:t>撰写</w:t>
      </w:r>
      <w:r>
        <w:rPr>
          <w:rFonts w:hint="eastAsia" w:ascii="宋体" w:hAnsi="宋体" w:eastAsia="宋体" w:cs="宋体"/>
          <w:sz w:val="28"/>
          <w:szCs w:val="28"/>
          <w:highlight w:val="none"/>
        </w:rPr>
        <w:t>评价报告</w:t>
      </w:r>
    </w:p>
    <w:p w14:paraId="34D5211B">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综合前期收集并审核的资料、现场调研结果，按照规定的文本格式和相关要求撰写绩效评价报告，并与项目部门和主管部门沟通、修改和完善报告，最后</w:t>
      </w:r>
      <w:r>
        <w:rPr>
          <w:rFonts w:hint="eastAsia" w:ascii="宋体" w:hAnsi="宋体" w:cs="宋体"/>
          <w:sz w:val="28"/>
          <w:szCs w:val="28"/>
          <w:highlight w:val="none"/>
          <w:lang w:val="en-US" w:eastAsia="zh-CN"/>
        </w:rPr>
        <w:t>报出</w:t>
      </w:r>
      <w:r>
        <w:rPr>
          <w:rFonts w:hint="eastAsia" w:ascii="宋体" w:hAnsi="宋体" w:eastAsia="宋体" w:cs="宋体"/>
          <w:sz w:val="28"/>
          <w:szCs w:val="28"/>
          <w:highlight w:val="none"/>
        </w:rPr>
        <w:t>绩效评价报告。</w:t>
      </w:r>
    </w:p>
    <w:p w14:paraId="1FD9326D">
      <w:pPr>
        <w:spacing w:line="360" w:lineRule="auto"/>
        <w:ind w:firstLine="560" w:firstLineChars="200"/>
        <w:rPr>
          <w:rFonts w:hint="eastAsia" w:ascii="宋体" w:hAnsi="宋体" w:eastAsia="宋体" w:cs="宋体"/>
          <w:sz w:val="28"/>
          <w:szCs w:val="28"/>
          <w:highlight w:val="none"/>
        </w:rPr>
      </w:pPr>
    </w:p>
    <w:p w14:paraId="30B1CFC5">
      <w:pPr>
        <w:numPr>
          <w:ilvl w:val="0"/>
          <w:numId w:val="2"/>
        </w:numPr>
        <w:spacing w:line="360" w:lineRule="auto"/>
        <w:ind w:left="0" w:leftChars="0"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综合评价结论及指标分析</w:t>
      </w:r>
    </w:p>
    <w:p w14:paraId="3AE8A292">
      <w:pPr>
        <w:numPr>
          <w:numId w:val="0"/>
        </w:numPr>
        <w:spacing w:line="360" w:lineRule="auto"/>
        <w:ind w:firstLine="560" w:firstLineChars="200"/>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（一）总体评价结论</w:t>
      </w:r>
    </w:p>
    <w:p w14:paraId="1E1DDE6F">
      <w:pPr>
        <w:numPr>
          <w:numId w:val="0"/>
        </w:numPr>
        <w:spacing w:line="360" w:lineRule="auto"/>
        <w:ind w:firstLine="560"/>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根据评价指标体系和评分标准对每个指标分别评分，下属两个单位均100%完成预期目标，汇总后最终得分100分。</w:t>
      </w:r>
    </w:p>
    <w:p w14:paraId="750BBE40">
      <w:pPr>
        <w:numPr>
          <w:numId w:val="0"/>
        </w:numPr>
        <w:spacing w:line="360" w:lineRule="auto"/>
        <w:ind w:leftChars="200"/>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（二）指标分析</w:t>
      </w:r>
    </w:p>
    <w:p w14:paraId="5539FF67">
      <w:pPr>
        <w:numPr>
          <w:numId w:val="0"/>
        </w:numPr>
        <w:spacing w:line="360" w:lineRule="auto"/>
        <w:ind w:firstLine="560"/>
        <w:rPr>
          <w:rFonts w:hint="default" w:ascii="宋体" w:hAnsi="宋体" w:cs="宋体"/>
          <w:sz w:val="28"/>
          <w:szCs w:val="28"/>
          <w:highlight w:val="none"/>
          <w:lang w:val="en-US" w:eastAsia="zh-CN"/>
        </w:rPr>
      </w:pPr>
      <w:r>
        <w:rPr>
          <w:rFonts w:hint="eastAsia" w:ascii="宋体" w:hAnsi="宋体" w:cs="宋体"/>
          <w:sz w:val="28"/>
          <w:szCs w:val="28"/>
          <w:highlight w:val="none"/>
          <w:lang w:val="en-US" w:eastAsia="zh-CN"/>
        </w:rPr>
        <w:t>1、科研所公司指标</w:t>
      </w:r>
    </w:p>
    <w:p w14:paraId="1ABB59EF">
      <w:pPr>
        <w:numPr>
          <w:numId w:val="0"/>
        </w:numPr>
        <w:spacing w:line="360" w:lineRule="auto"/>
        <w:ind w:firstLine="560"/>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预期目标为努力提高财政资金使用效率，使财政的投入为改制后企业持续经营、平稳过渡和科技创新服务，全面提升北京市公用事业领域装备现代化，设定：1)质量指标：工作完成率100%；2）时效指标：按年度工作计划按时完成；3）成本指标：成本控制在预算合理范围内；4）服务对象满意度指标。</w:t>
      </w:r>
    </w:p>
    <w:p w14:paraId="28F77DC0">
      <w:pPr>
        <w:numPr>
          <w:ilvl w:val="0"/>
          <w:numId w:val="4"/>
        </w:numPr>
        <w:spacing w:line="360" w:lineRule="auto"/>
        <w:ind w:firstLine="560"/>
        <w:rPr>
          <w:rFonts w:hint="default" w:ascii="宋体" w:hAnsi="宋体" w:cs="宋体"/>
          <w:sz w:val="28"/>
          <w:szCs w:val="28"/>
          <w:highlight w:val="none"/>
          <w:lang w:val="en-US" w:eastAsia="zh-CN"/>
        </w:rPr>
      </w:pPr>
      <w:r>
        <w:rPr>
          <w:rFonts w:hint="eastAsia" w:ascii="宋体" w:hAnsi="宋体" w:cs="宋体"/>
          <w:sz w:val="28"/>
          <w:szCs w:val="28"/>
          <w:highlight w:val="none"/>
          <w:lang w:val="en-US" w:eastAsia="zh-CN"/>
        </w:rPr>
        <w:t>北燃特检指标</w:t>
      </w:r>
    </w:p>
    <w:p w14:paraId="7A089935">
      <w:pPr>
        <w:widowControl w:val="0"/>
        <w:numPr>
          <w:numId w:val="0"/>
        </w:numPr>
        <w:spacing w:line="360" w:lineRule="auto"/>
        <w:jc w:val="both"/>
        <w:rPr>
          <w:rFonts w:hint="default" w:ascii="宋体" w:hAnsi="宋体" w:cs="宋体"/>
          <w:sz w:val="28"/>
          <w:szCs w:val="28"/>
          <w:highlight w:val="none"/>
          <w:lang w:val="en-US" w:eastAsia="zh-CN"/>
        </w:rPr>
      </w:pPr>
      <w:r>
        <w:rPr>
          <w:rFonts w:hint="eastAsia" w:ascii="宋体" w:hAnsi="宋体" w:cs="宋体"/>
          <w:sz w:val="28"/>
          <w:szCs w:val="28"/>
          <w:highlight w:val="none"/>
          <w:lang w:val="en-US" w:eastAsia="zh-CN"/>
        </w:rPr>
        <w:t xml:space="preserve">    预期目标是为锅炉、压力容器与管道安全提供监督检验保障，为政府部门对特种设备的监管提供技术服务；为所辖各单位的锅炉、压力容器、压力管道等特种设备提供满意的定期检验服务，保证特种设备定期检验的按时完成；为特种设备使用单位提供支持，为特种设备的安全运行提供检验技术保障与服务。设定：1）数量指标：管道检测风险评估600公里，安全阀测试9000台；2）质量指标：技术服务工作完成率100%；3）时效指标：按年度工作计划按时完成；4）成本指标：成本控制在预算合理范围；5）时效指标：按年度工作计划按时完成。</w:t>
      </w:r>
    </w:p>
    <w:p w14:paraId="430AE36E">
      <w:pPr>
        <w:widowControl w:val="0"/>
        <w:numPr>
          <w:numId w:val="0"/>
        </w:numPr>
        <w:spacing w:line="360" w:lineRule="auto"/>
        <w:ind w:firstLine="560"/>
        <w:jc w:val="both"/>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两单位在</w:t>
      </w:r>
      <w:r>
        <w:rPr>
          <w:rFonts w:hint="eastAsia" w:ascii="宋体" w:hAnsi="宋体" w:eastAsia="宋体" w:cs="宋体"/>
          <w:sz w:val="28"/>
          <w:szCs w:val="28"/>
          <w:highlight w:val="none"/>
        </w:rPr>
        <w:t>年初</w:t>
      </w:r>
      <w:r>
        <w:rPr>
          <w:rFonts w:hint="eastAsia" w:ascii="宋体" w:hAnsi="宋体" w:cs="宋体"/>
          <w:sz w:val="28"/>
          <w:szCs w:val="28"/>
          <w:highlight w:val="none"/>
          <w:lang w:val="en-US" w:eastAsia="zh-CN"/>
        </w:rPr>
        <w:t>即</w:t>
      </w:r>
      <w:r>
        <w:rPr>
          <w:rFonts w:hint="eastAsia" w:ascii="宋体" w:hAnsi="宋体" w:eastAsia="宋体" w:cs="宋体"/>
          <w:sz w:val="28"/>
          <w:szCs w:val="28"/>
          <w:highlight w:val="none"/>
        </w:rPr>
        <w:t>要求项目负责人根据今年的工作情况对指标进行分解，编制了分月用款计划，明确个人的任务和责任，财务</w:t>
      </w:r>
      <w:r>
        <w:rPr>
          <w:rFonts w:hint="eastAsia" w:ascii="宋体" w:hAnsi="宋体" w:cs="宋体"/>
          <w:sz w:val="28"/>
          <w:szCs w:val="28"/>
          <w:highlight w:val="none"/>
          <w:lang w:val="en-US" w:eastAsia="zh-CN"/>
        </w:rPr>
        <w:t>部门</w:t>
      </w:r>
      <w:r>
        <w:rPr>
          <w:rFonts w:hint="eastAsia" w:ascii="宋体" w:hAnsi="宋体" w:eastAsia="宋体" w:cs="宋体"/>
          <w:sz w:val="28"/>
          <w:szCs w:val="28"/>
          <w:highlight w:val="none"/>
        </w:rPr>
        <w:t>根据每月用款计划申报用款额度，</w:t>
      </w:r>
      <w:r>
        <w:rPr>
          <w:rFonts w:hint="eastAsia" w:ascii="宋体" w:hAnsi="宋体" w:cs="宋体"/>
          <w:sz w:val="28"/>
          <w:szCs w:val="28"/>
          <w:highlight w:val="none"/>
          <w:lang w:val="en-US" w:eastAsia="zh-CN"/>
        </w:rPr>
        <w:t>对项目进程</w:t>
      </w:r>
      <w:r>
        <w:rPr>
          <w:rFonts w:hint="eastAsia" w:ascii="宋体" w:hAnsi="宋体" w:eastAsia="宋体" w:cs="宋体"/>
          <w:sz w:val="28"/>
          <w:szCs w:val="28"/>
          <w:highlight w:val="none"/>
        </w:rPr>
        <w:t>进行全程实时跟踪，保证预算的完成进度</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在各方努力下，两单位设定各项指标均顺利完成。</w:t>
      </w:r>
    </w:p>
    <w:p w14:paraId="1C2D5673">
      <w:pPr>
        <w:pStyle w:val="3"/>
        <w:ind w:firstLine="560"/>
        <w:rPr>
          <w:rFonts w:hint="eastAsia" w:ascii="宋体" w:hAnsi="宋体" w:eastAsia="宋体" w:cs="宋体"/>
          <w:highlight w:val="none"/>
        </w:rPr>
      </w:pPr>
      <w:r>
        <w:rPr>
          <w:rFonts w:hint="eastAsia" w:ascii="宋体" w:hAnsi="宋体" w:eastAsia="宋体" w:cs="宋体"/>
          <w:sz w:val="28"/>
          <w:szCs w:val="28"/>
          <w:highlight w:val="none"/>
        </w:rPr>
        <w:t>通过项目的实施，保障了离退人员的基本待遇，</w:t>
      </w:r>
      <w:r>
        <w:rPr>
          <w:rFonts w:hint="eastAsia" w:ascii="宋体" w:hAnsi="宋体" w:eastAsia="宋体" w:cs="宋体"/>
          <w:sz w:val="28"/>
          <w:szCs w:val="28"/>
          <w:highlight w:val="none"/>
          <w:lang w:val="en-US" w:eastAsia="zh-CN"/>
        </w:rPr>
        <w:t>转企改制必要经费</w:t>
      </w:r>
      <w:r>
        <w:rPr>
          <w:rFonts w:hint="eastAsia" w:ascii="宋体" w:hAnsi="宋体" w:eastAsia="宋体" w:cs="宋体"/>
          <w:sz w:val="28"/>
          <w:szCs w:val="28"/>
          <w:highlight w:val="none"/>
        </w:rPr>
        <w:t>，确保</w:t>
      </w:r>
      <w:r>
        <w:rPr>
          <w:rFonts w:hint="eastAsia" w:ascii="宋体" w:hAnsi="宋体" w:eastAsia="宋体" w:cs="宋体"/>
          <w:sz w:val="28"/>
          <w:szCs w:val="28"/>
          <w:highlight w:val="none"/>
          <w:lang w:eastAsia="zh-CN"/>
        </w:rPr>
        <w:t>科研所公司</w:t>
      </w:r>
      <w:r>
        <w:rPr>
          <w:rFonts w:hint="eastAsia" w:ascii="宋体" w:hAnsi="宋体" w:eastAsia="宋体" w:cs="宋体"/>
          <w:sz w:val="28"/>
          <w:szCs w:val="28"/>
          <w:highlight w:val="none"/>
        </w:rPr>
        <w:t>和</w:t>
      </w:r>
      <w:r>
        <w:rPr>
          <w:rFonts w:hint="eastAsia" w:ascii="宋体" w:hAnsi="宋体" w:eastAsia="宋体" w:cs="宋体"/>
          <w:sz w:val="28"/>
          <w:szCs w:val="28"/>
          <w:highlight w:val="none"/>
          <w:lang w:eastAsia="zh-CN"/>
        </w:rPr>
        <w:t>北燃特检</w:t>
      </w:r>
      <w:r>
        <w:rPr>
          <w:rFonts w:hint="eastAsia" w:ascii="宋体" w:hAnsi="宋体" w:eastAsia="宋体" w:cs="宋体"/>
          <w:sz w:val="28"/>
          <w:szCs w:val="28"/>
          <w:highlight w:val="none"/>
        </w:rPr>
        <w:t>平稳完成事业单位转企改制，</w:t>
      </w:r>
      <w:r>
        <w:rPr>
          <w:rFonts w:hint="eastAsia" w:ascii="宋体" w:hAnsi="宋体" w:eastAsia="宋体" w:cs="宋体"/>
          <w:sz w:val="28"/>
          <w:szCs w:val="28"/>
          <w:highlight w:val="none"/>
          <w:lang w:eastAsia="zh-CN"/>
        </w:rPr>
        <w:t>科研所公司</w:t>
      </w:r>
      <w:r>
        <w:rPr>
          <w:rFonts w:hint="eastAsia" w:ascii="宋体" w:hAnsi="宋体" w:eastAsia="宋体" w:cs="宋体"/>
          <w:sz w:val="28"/>
          <w:szCs w:val="28"/>
          <w:highlight w:val="none"/>
        </w:rPr>
        <w:t>和</w:t>
      </w:r>
      <w:r>
        <w:rPr>
          <w:rFonts w:hint="eastAsia" w:ascii="宋体" w:hAnsi="宋体" w:eastAsia="宋体" w:cs="宋体"/>
          <w:sz w:val="28"/>
          <w:szCs w:val="28"/>
          <w:highlight w:val="none"/>
          <w:lang w:eastAsia="zh-CN"/>
        </w:rPr>
        <w:t>北燃特检</w:t>
      </w:r>
      <w:r>
        <w:rPr>
          <w:rFonts w:hint="eastAsia" w:ascii="宋体" w:hAnsi="宋体" w:eastAsia="宋体" w:cs="宋体"/>
          <w:sz w:val="28"/>
          <w:szCs w:val="28"/>
          <w:highlight w:val="none"/>
        </w:rPr>
        <w:t>得以正常运营，持续开展科研及检测业务，推进人才队伍建设和现代企业制度、市场化机制建立，为两个单位转企以后，参与市场竞争，提供了长期、可靠的资金保障。</w:t>
      </w:r>
    </w:p>
    <w:p w14:paraId="6D24120F">
      <w:pPr>
        <w:widowControl w:val="0"/>
        <w:numPr>
          <w:numId w:val="0"/>
        </w:numPr>
        <w:spacing w:line="360" w:lineRule="auto"/>
        <w:jc w:val="both"/>
        <w:rPr>
          <w:rFonts w:hint="default" w:ascii="宋体" w:hAnsi="宋体" w:cs="宋体"/>
          <w:sz w:val="28"/>
          <w:szCs w:val="28"/>
          <w:highlight w:val="none"/>
          <w:lang w:val="en-US" w:eastAsia="zh-CN"/>
        </w:rPr>
      </w:pPr>
    </w:p>
    <w:p w14:paraId="6E2089A7">
      <w:pPr>
        <w:spacing w:line="360" w:lineRule="auto"/>
        <w:ind w:firstLine="560" w:firstLineChars="200"/>
        <w:rPr>
          <w:rFonts w:hint="eastAsia" w:ascii="宋体" w:hAnsi="宋体" w:eastAsia="宋体" w:cs="宋体"/>
          <w:sz w:val="28"/>
          <w:szCs w:val="28"/>
          <w:highlight w:val="none"/>
        </w:rPr>
      </w:pPr>
      <w:r>
        <w:rPr>
          <w:rFonts w:hint="eastAsia" w:ascii="宋体" w:hAnsi="宋体" w:cs="宋体"/>
          <w:sz w:val="28"/>
          <w:szCs w:val="28"/>
          <w:highlight w:val="none"/>
          <w:lang w:val="en-US" w:eastAsia="zh-CN"/>
        </w:rPr>
        <w:t>五、</w:t>
      </w:r>
      <w:r>
        <w:rPr>
          <w:rFonts w:hint="eastAsia" w:ascii="宋体" w:hAnsi="宋体" w:eastAsia="宋体" w:cs="宋体"/>
          <w:sz w:val="28"/>
          <w:szCs w:val="28"/>
          <w:highlight w:val="none"/>
        </w:rPr>
        <w:t>主要经验及做法、存在的问题及原因分析</w:t>
      </w:r>
    </w:p>
    <w:p w14:paraId="744AAE4B">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无</w:t>
      </w:r>
    </w:p>
    <w:p w14:paraId="42D4BA91">
      <w:pPr>
        <w:spacing w:line="360" w:lineRule="auto"/>
        <w:ind w:firstLine="560" w:firstLineChars="200"/>
        <w:rPr>
          <w:rFonts w:hint="eastAsia" w:ascii="宋体" w:hAnsi="宋体" w:eastAsia="宋体" w:cs="宋体"/>
          <w:sz w:val="28"/>
          <w:szCs w:val="28"/>
          <w:highlight w:val="none"/>
        </w:rPr>
      </w:pPr>
      <w:r>
        <w:rPr>
          <w:rFonts w:hint="eastAsia" w:ascii="宋体" w:hAnsi="宋体" w:cs="宋体"/>
          <w:sz w:val="28"/>
          <w:szCs w:val="28"/>
          <w:highlight w:val="none"/>
          <w:lang w:val="en-US" w:eastAsia="zh-CN"/>
        </w:rPr>
        <w:t>六、</w:t>
      </w:r>
      <w:r>
        <w:rPr>
          <w:rFonts w:hint="eastAsia" w:ascii="宋体" w:hAnsi="宋体" w:eastAsia="宋体" w:cs="宋体"/>
          <w:sz w:val="28"/>
          <w:szCs w:val="28"/>
          <w:highlight w:val="none"/>
        </w:rPr>
        <w:t>有关建议</w:t>
      </w:r>
    </w:p>
    <w:p w14:paraId="4DF0DF52">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无</w:t>
      </w:r>
    </w:p>
    <w:p w14:paraId="0A669397">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七</w:t>
      </w:r>
      <w:r>
        <w:rPr>
          <w:rFonts w:hint="eastAsia" w:ascii="宋体" w:hAnsi="宋体" w:cs="宋体"/>
          <w:sz w:val="28"/>
          <w:szCs w:val="28"/>
          <w:highlight w:val="none"/>
          <w:lang w:eastAsia="zh-CN"/>
        </w:rPr>
        <w:t>、</w:t>
      </w:r>
      <w:bookmarkStart w:id="0" w:name="_GoBack"/>
      <w:bookmarkEnd w:id="0"/>
      <w:r>
        <w:rPr>
          <w:rFonts w:hint="eastAsia" w:ascii="宋体" w:hAnsi="宋体" w:eastAsia="宋体" w:cs="宋体"/>
          <w:sz w:val="28"/>
          <w:szCs w:val="28"/>
          <w:highlight w:val="none"/>
        </w:rPr>
        <w:t>其他需要说明的问题</w:t>
      </w:r>
    </w:p>
    <w:p w14:paraId="16119263">
      <w:pPr>
        <w:spacing w:line="360" w:lineRule="auto"/>
        <w:ind w:firstLine="560" w:firstLineChars="200"/>
        <w:outlineLvl w:val="0"/>
        <w:rPr>
          <w:rFonts w:hint="eastAsia" w:ascii="宋体" w:hAnsi="宋体" w:eastAsia="宋体" w:cs="宋体"/>
          <w:sz w:val="28"/>
          <w:szCs w:val="28"/>
          <w:highlight w:val="none"/>
        </w:rPr>
      </w:pPr>
      <w:r>
        <w:rPr>
          <w:rFonts w:hint="eastAsia" w:ascii="宋体" w:hAnsi="宋体" w:eastAsia="宋体" w:cs="宋体"/>
          <w:sz w:val="28"/>
          <w:szCs w:val="28"/>
          <w:highlight w:val="none"/>
        </w:rPr>
        <w:t>无</w:t>
      </w:r>
    </w:p>
    <w:p w14:paraId="3CC6A3E9">
      <w:pPr>
        <w:pStyle w:val="3"/>
        <w:ind w:firstLine="0" w:firstLineChars="0"/>
        <w:rPr>
          <w:rFonts w:hint="eastAsia" w:ascii="宋体" w:hAnsi="宋体" w:eastAsia="宋体" w:cs="宋体"/>
          <w:highlight w:val="none"/>
        </w:rPr>
      </w:pPr>
    </w:p>
    <w:sectPr>
      <w:footerReference r:id="rId3" w:type="default"/>
      <w:footerReference r:id="rId4" w:type="even"/>
      <w:pgSz w:w="16838" w:h="11906" w:orient="landscape"/>
      <w:pgMar w:top="1134" w:right="1134" w:bottom="1134" w:left="1134" w:header="851" w:footer="680"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PMingLiU">
    <w:altName w:val="Microsoft JhengHei UI"/>
    <w:panose1 w:val="02010601000101010101"/>
    <w:charset w:val="88"/>
    <w:family w:val="roman"/>
    <w:pitch w:val="default"/>
    <w:sig w:usb0="00000000" w:usb1="00000000" w:usb2="00000016" w:usb3="00000000" w:csb0="00100001" w:csb1="00000000"/>
  </w:font>
  <w:font w:name="Arial Narrow">
    <w:altName w:val="Arial"/>
    <w:panose1 w:val="020B0606020202030204"/>
    <w:charset w:val="00"/>
    <w:family w:val="swiss"/>
    <w:pitch w:val="default"/>
    <w:sig w:usb0="00000000" w:usb1="00000000" w:usb2="00000000" w:usb3="00000000" w:csb0="2000009F" w:csb1="DFD7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3901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28</w:t>
    </w:r>
    <w:r>
      <w:fldChar w:fldCharType="end"/>
    </w:r>
  </w:p>
  <w:p w14:paraId="6B73D7BA">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9C1A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7C5F4ED">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9CB686"/>
    <w:multiLevelType w:val="singleLevel"/>
    <w:tmpl w:val="809CB686"/>
    <w:lvl w:ilvl="0" w:tentative="0">
      <w:start w:val="2"/>
      <w:numFmt w:val="decimal"/>
      <w:suff w:val="nothing"/>
      <w:lvlText w:val="%1、"/>
      <w:lvlJc w:val="left"/>
    </w:lvl>
  </w:abstractNum>
  <w:abstractNum w:abstractNumId="1">
    <w:nsid w:val="92616345"/>
    <w:multiLevelType w:val="singleLevel"/>
    <w:tmpl w:val="92616345"/>
    <w:lvl w:ilvl="0" w:tentative="0">
      <w:start w:val="3"/>
      <w:numFmt w:val="chineseCounting"/>
      <w:suff w:val="nothing"/>
      <w:lvlText w:val="%1、"/>
      <w:lvlJc w:val="left"/>
      <w:rPr>
        <w:rFonts w:hint="eastAsia"/>
      </w:rPr>
    </w:lvl>
  </w:abstractNum>
  <w:abstractNum w:abstractNumId="2">
    <w:nsid w:val="144B4CFB"/>
    <w:multiLevelType w:val="singleLevel"/>
    <w:tmpl w:val="144B4CFB"/>
    <w:lvl w:ilvl="0" w:tentative="0">
      <w:start w:val="2"/>
      <w:numFmt w:val="decimal"/>
      <w:suff w:val="nothing"/>
      <w:lvlText w:val="（%1）"/>
      <w:lvlJc w:val="left"/>
    </w:lvl>
  </w:abstractNum>
  <w:abstractNum w:abstractNumId="3">
    <w:nsid w:val="24A9F7C8"/>
    <w:multiLevelType w:val="singleLevel"/>
    <w:tmpl w:val="24A9F7C8"/>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c0MjZlODQ0MDQyMTMyZjViNzNlMzQzMzhiODkyMmMifQ=="/>
  </w:docVars>
  <w:rsids>
    <w:rsidRoot w:val="009016A3"/>
    <w:rsid w:val="001F0BC6"/>
    <w:rsid w:val="00516642"/>
    <w:rsid w:val="005F42D4"/>
    <w:rsid w:val="0070636D"/>
    <w:rsid w:val="007B1CAC"/>
    <w:rsid w:val="008611A6"/>
    <w:rsid w:val="00872D49"/>
    <w:rsid w:val="009016A3"/>
    <w:rsid w:val="00931E21"/>
    <w:rsid w:val="00961311"/>
    <w:rsid w:val="00B51165"/>
    <w:rsid w:val="00C13EA3"/>
    <w:rsid w:val="00C24A8D"/>
    <w:rsid w:val="00C753E2"/>
    <w:rsid w:val="00D8658C"/>
    <w:rsid w:val="00F247AF"/>
    <w:rsid w:val="036638C0"/>
    <w:rsid w:val="213A0410"/>
    <w:rsid w:val="260F3A96"/>
    <w:rsid w:val="272B6D79"/>
    <w:rsid w:val="4CB37F73"/>
    <w:rsid w:val="58DC464A"/>
    <w:rsid w:val="5BBA17DB"/>
    <w:rsid w:val="670C0F1C"/>
    <w:rsid w:val="7B3B4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14:ligatures w14:val="none"/>
    </w:rPr>
  </w:style>
  <w:style w:type="paragraph" w:styleId="2">
    <w:name w:val="heading 2"/>
    <w:basedOn w:val="1"/>
    <w:next w:val="1"/>
    <w:link w:val="16"/>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link w:val="17"/>
    <w:qFormat/>
    <w:uiPriority w:val="0"/>
    <w:pPr>
      <w:ind w:firstLine="645"/>
    </w:pPr>
    <w:rPr>
      <w:rFonts w:ascii="仿宋_GB2312" w:hAnsi="Calibri" w:eastAsia="仿宋_GB2312"/>
      <w:sz w:val="32"/>
      <w:szCs w:val="32"/>
    </w:rPr>
  </w:style>
  <w:style w:type="paragraph" w:styleId="5">
    <w:name w:val="Date"/>
    <w:basedOn w:val="1"/>
    <w:next w:val="1"/>
    <w:link w:val="18"/>
    <w:qFormat/>
    <w:uiPriority w:val="0"/>
    <w:pPr>
      <w:ind w:left="100" w:leftChars="2500"/>
    </w:pPr>
  </w:style>
  <w:style w:type="paragraph" w:styleId="6">
    <w:name w:val="Balloon Text"/>
    <w:basedOn w:val="1"/>
    <w:link w:val="19"/>
    <w:semiHidden/>
    <w:qFormat/>
    <w:uiPriority w:val="0"/>
    <w:rPr>
      <w:sz w:val="18"/>
      <w:szCs w:val="18"/>
    </w:rPr>
  </w:style>
  <w:style w:type="paragraph" w:styleId="7">
    <w:name w:val="footer"/>
    <w:basedOn w:val="1"/>
    <w:link w:val="15"/>
    <w:unhideWhenUsed/>
    <w:qFormat/>
    <w:uiPriority w:val="0"/>
    <w:pPr>
      <w:tabs>
        <w:tab w:val="center" w:pos="4153"/>
        <w:tab w:val="right" w:pos="8306"/>
      </w:tabs>
      <w:snapToGrid w:val="0"/>
      <w:jc w:val="left"/>
    </w:pPr>
    <w:rPr>
      <w:sz w:val="18"/>
      <w:szCs w:val="18"/>
    </w:rPr>
  </w:style>
  <w:style w:type="paragraph" w:styleId="8">
    <w:name w:val="header"/>
    <w:basedOn w:val="1"/>
    <w:link w:val="14"/>
    <w:unhideWhenUsed/>
    <w:qFormat/>
    <w:uiPriority w:val="0"/>
    <w:pPr>
      <w:tabs>
        <w:tab w:val="center" w:pos="4153"/>
        <w:tab w:val="right" w:pos="8306"/>
      </w:tabs>
      <w:snapToGrid w:val="0"/>
      <w:jc w:val="center"/>
    </w:pPr>
    <w:rPr>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眉 字符"/>
    <w:basedOn w:val="11"/>
    <w:link w:val="8"/>
    <w:qFormat/>
    <w:uiPriority w:val="99"/>
    <w:rPr>
      <w:sz w:val="18"/>
      <w:szCs w:val="18"/>
    </w:rPr>
  </w:style>
  <w:style w:type="character" w:customStyle="1" w:styleId="15">
    <w:name w:val="页脚 字符"/>
    <w:basedOn w:val="11"/>
    <w:link w:val="7"/>
    <w:qFormat/>
    <w:uiPriority w:val="99"/>
    <w:rPr>
      <w:sz w:val="18"/>
      <w:szCs w:val="18"/>
    </w:rPr>
  </w:style>
  <w:style w:type="character" w:customStyle="1" w:styleId="16">
    <w:name w:val="标题 2 字符"/>
    <w:basedOn w:val="11"/>
    <w:link w:val="2"/>
    <w:qFormat/>
    <w:uiPriority w:val="0"/>
    <w:rPr>
      <w:rFonts w:ascii="Cambria" w:hAnsi="Cambria" w:eastAsia="黑体" w:cs="Times New Roman"/>
      <w:b/>
      <w:bCs/>
      <w:kern w:val="0"/>
      <w:sz w:val="36"/>
      <w:szCs w:val="32"/>
      <w14:ligatures w14:val="none"/>
    </w:rPr>
  </w:style>
  <w:style w:type="character" w:customStyle="1" w:styleId="17">
    <w:name w:val="正文文本缩进 字符"/>
    <w:basedOn w:val="11"/>
    <w:link w:val="4"/>
    <w:qFormat/>
    <w:uiPriority w:val="0"/>
    <w:rPr>
      <w:rFonts w:ascii="仿宋_GB2312" w:hAnsi="Calibri" w:eastAsia="仿宋_GB2312" w:cs="Times New Roman"/>
      <w:sz w:val="32"/>
      <w:szCs w:val="32"/>
      <w14:ligatures w14:val="none"/>
    </w:rPr>
  </w:style>
  <w:style w:type="character" w:customStyle="1" w:styleId="18">
    <w:name w:val="日期 字符"/>
    <w:basedOn w:val="11"/>
    <w:link w:val="5"/>
    <w:qFormat/>
    <w:uiPriority w:val="0"/>
    <w:rPr>
      <w:rFonts w:ascii="Times New Roman" w:hAnsi="Times New Roman" w:eastAsia="宋体" w:cs="Times New Roman"/>
      <w:szCs w:val="24"/>
      <w14:ligatures w14:val="none"/>
    </w:rPr>
  </w:style>
  <w:style w:type="character" w:customStyle="1" w:styleId="19">
    <w:name w:val="批注框文本 字符"/>
    <w:basedOn w:val="11"/>
    <w:link w:val="6"/>
    <w:semiHidden/>
    <w:qFormat/>
    <w:uiPriority w:val="0"/>
    <w:rPr>
      <w:rFonts w:ascii="Times New Roman" w:hAnsi="Times New Roman" w:eastAsia="宋体" w:cs="Times New Roman"/>
      <w:sz w:val="18"/>
      <w:szCs w:val="18"/>
      <w14:ligatures w14:val="none"/>
    </w:rPr>
  </w:style>
  <w:style w:type="character" w:customStyle="1" w:styleId="20">
    <w:name w:val="页脚 Char"/>
    <w:qFormat/>
    <w:uiPriority w:val="0"/>
    <w:rPr>
      <w:rFonts w:eastAsia="宋体"/>
      <w:kern w:val="2"/>
      <w:sz w:val="18"/>
      <w:szCs w:val="18"/>
      <w:lang w:val="en-US" w:eastAsia="zh-CN" w:bidi="ar-SA"/>
    </w:rPr>
  </w:style>
  <w:style w:type="character" w:customStyle="1" w:styleId="21">
    <w:name w:val="页眉 Char"/>
    <w:qFormat/>
    <w:uiPriority w:val="0"/>
    <w:rPr>
      <w:rFonts w:ascii="Calibri" w:hAnsi="Calibri" w:eastAsia="宋体"/>
      <w:kern w:val="2"/>
      <w:sz w:val="18"/>
      <w:szCs w:val="18"/>
      <w:lang w:val="en-US" w:eastAsia="zh-CN" w:bidi="ar-SA"/>
    </w:rPr>
  </w:style>
  <w:style w:type="paragraph" w:customStyle="1" w:styleId="22">
    <w:name w:val="Char Char Char Char Char Char Char"/>
    <w:basedOn w:val="1"/>
    <w:qFormat/>
    <w:uiPriority w:val="0"/>
    <w:rPr>
      <w:rFonts w:ascii="Tahoma" w:hAnsi="Tahoma"/>
      <w:sz w:val="24"/>
      <w:szCs w:val="20"/>
    </w:rPr>
  </w:style>
  <w:style w:type="paragraph" w:customStyle="1" w:styleId="23">
    <w:name w:val="Char1 Char Char Char"/>
    <w:basedOn w:val="1"/>
    <w:qFormat/>
    <w:uiPriority w:val="0"/>
    <w:pPr>
      <w:widowControl/>
      <w:spacing w:after="160" w:line="240" w:lineRule="exact"/>
      <w:jc w:val="left"/>
    </w:pPr>
    <w:rPr>
      <w:szCs w:val="20"/>
    </w:rPr>
  </w:style>
  <w:style w:type="paragraph" w:customStyle="1" w:styleId="24">
    <w:name w:val="Char"/>
    <w:basedOn w:val="1"/>
    <w:qFormat/>
    <w:uiPriority w:val="0"/>
    <w:rPr>
      <w:rFonts w:ascii="Tahoma" w:hAnsi="Tahoma"/>
      <w:sz w:val="24"/>
      <w:szCs w:val="20"/>
    </w:rPr>
  </w:style>
  <w:style w:type="paragraph" w:customStyle="1" w:styleId="25">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3170</Words>
  <Characters>3273</Characters>
  <Lines>22</Lines>
  <Paragraphs>6</Paragraphs>
  <TotalTime>1</TotalTime>
  <ScaleCrop>false</ScaleCrop>
  <LinksUpToDate>false</LinksUpToDate>
  <CharactersWithSpaces>3311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2023-06-14T09:10:00Z</dcterms:created>
  <dc:creator>ych</dc:creator>
  <cp:lastModifiedBy>WPS_1663051590</cp:lastModifiedBy>
  <dcterms:modified xsi:type="dcterms:W3CDTF">2025-08-25T12:43:06Z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2324CA5AA8C8405BB1F69F858B78D507_13</vt:lpwstr>
  </property>
  <property fmtid="{D5CDD505-2E9C-101B-9397-08002B2CF9AE}" pid="4" name="KSOTemplateDocerSaveRecord">
    <vt:lpwstr>eyJoZGlkIjoiNmYwMWY0MWY3ZDU0MWZjYjM1MTA0MjNlNmI2NTU5MDAiLCJ1c2VySWQiOiIxNDEwMDA0MjQ3In0=</vt:lpwstr>
  </property>
</Properties>
</file>