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年度中央财政困难群众救助补助资金</w:t>
      </w:r>
    </w:p>
    <w:p>
      <w:pPr>
        <w:spacing w:line="560" w:lineRule="exact"/>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eastAsia="zh-CN"/>
        </w:rPr>
        <w:t>（</w:t>
      </w:r>
      <w:r>
        <w:rPr>
          <w:rFonts w:hint="eastAsia" w:ascii="方正小标宋简体" w:hAnsi="方正小标宋简体" w:eastAsia="方正小标宋简体" w:cs="方正小标宋简体"/>
          <w:sz w:val="44"/>
          <w:szCs w:val="44"/>
          <w:highlight w:val="none"/>
          <w:lang w:val="en-US" w:eastAsia="zh-CN"/>
        </w:rPr>
        <w:t>支持低保、特困人员救助供养等方向）</w:t>
      </w:r>
    </w:p>
    <w:p>
      <w:pPr>
        <w:spacing w:line="560" w:lineRule="exact"/>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val="en-US" w:eastAsia="zh-CN"/>
        </w:rPr>
        <w:t>转移支付</w:t>
      </w:r>
      <w:r>
        <w:rPr>
          <w:rFonts w:hint="eastAsia" w:ascii="方正小标宋简体" w:hAnsi="方正小标宋简体" w:eastAsia="方正小标宋简体" w:cs="方正小标宋简体"/>
          <w:sz w:val="44"/>
          <w:szCs w:val="44"/>
          <w:highlight w:val="none"/>
          <w:lang w:eastAsia="zh-CN"/>
        </w:rPr>
        <w:t>预算执行情况</w:t>
      </w:r>
      <w:r>
        <w:rPr>
          <w:rFonts w:hint="eastAsia" w:ascii="方正小标宋简体" w:hAnsi="方正小标宋简体" w:eastAsia="方正小标宋简体" w:cs="方正小标宋简体"/>
          <w:sz w:val="44"/>
          <w:szCs w:val="44"/>
          <w:highlight w:val="none"/>
        </w:rPr>
        <w:t>绩效自评报告</w:t>
      </w:r>
      <w:bookmarkStart w:id="0" w:name="_GoBack"/>
      <w:bookmarkEnd w:id="0"/>
    </w:p>
    <w:p>
      <w:pPr>
        <w:pStyle w:val="2"/>
        <w:ind w:left="4800"/>
        <w:rPr>
          <w:highlight w:val="none"/>
        </w:rPr>
      </w:pPr>
    </w:p>
    <w:p>
      <w:pPr>
        <w:spacing w:before="0" w:beforeLines="0" w:line="560" w:lineRule="exact"/>
        <w:ind w:firstLine="640" w:firstLineChars="200"/>
        <w:rPr>
          <w:rFonts w:eastAsia="黑体"/>
          <w:sz w:val="32"/>
          <w:szCs w:val="32"/>
          <w:highlight w:val="none"/>
        </w:rPr>
      </w:pPr>
      <w:r>
        <w:rPr>
          <w:rFonts w:eastAsia="黑体"/>
          <w:sz w:val="32"/>
          <w:szCs w:val="32"/>
          <w:highlight w:val="none"/>
        </w:rPr>
        <w:t>一、</w:t>
      </w:r>
      <w:r>
        <w:rPr>
          <w:rFonts w:hint="eastAsia" w:eastAsia="黑体"/>
          <w:sz w:val="32"/>
          <w:szCs w:val="32"/>
          <w:highlight w:val="none"/>
          <w:lang w:val="en-US" w:eastAsia="zh-CN"/>
        </w:rPr>
        <w:t>转移支付基本</w:t>
      </w:r>
      <w:r>
        <w:rPr>
          <w:rFonts w:eastAsia="黑体"/>
          <w:sz w:val="32"/>
          <w:szCs w:val="32"/>
          <w:highlight w:val="none"/>
        </w:rPr>
        <w:t>情况</w:t>
      </w:r>
    </w:p>
    <w:p>
      <w:pPr>
        <w:spacing w:beforeLines="0" w:line="560" w:lineRule="exact"/>
        <w:ind w:firstLine="640" w:firstLineChars="200"/>
        <w:outlineLvl w:val="0"/>
        <w:rPr>
          <w:rFonts w:eastAsia="楷体_GB2312"/>
          <w:b w:val="0"/>
          <w:bCs w:val="0"/>
          <w:sz w:val="32"/>
          <w:szCs w:val="32"/>
          <w:highlight w:val="none"/>
        </w:rPr>
      </w:pPr>
      <w:r>
        <w:rPr>
          <w:rFonts w:eastAsia="楷体_GB2312"/>
          <w:b w:val="0"/>
          <w:bCs w:val="0"/>
          <w:sz w:val="32"/>
          <w:szCs w:val="32"/>
          <w:highlight w:val="none"/>
        </w:rPr>
        <w:t>（一）中央困难群众救助补助资金</w:t>
      </w:r>
      <w:r>
        <w:rPr>
          <w:rFonts w:hint="eastAsia" w:eastAsia="楷体_GB2312"/>
          <w:b w:val="0"/>
          <w:bCs w:val="0"/>
          <w:sz w:val="32"/>
          <w:szCs w:val="32"/>
          <w:highlight w:val="none"/>
          <w:lang w:val="en-US" w:eastAsia="zh-CN"/>
        </w:rPr>
        <w:t>概</w:t>
      </w:r>
      <w:r>
        <w:rPr>
          <w:rFonts w:eastAsia="楷体_GB2312"/>
          <w:b w:val="0"/>
          <w:bCs w:val="0"/>
          <w:sz w:val="32"/>
          <w:szCs w:val="32"/>
          <w:highlight w:val="none"/>
        </w:rPr>
        <w:t>况</w:t>
      </w:r>
    </w:p>
    <w:p>
      <w:pPr>
        <w:spacing w:beforeLines="0" w:line="560" w:lineRule="exact"/>
        <w:ind w:firstLine="640" w:firstLineChars="200"/>
        <w:outlineLvl w:val="0"/>
        <w:rPr>
          <w:rFonts w:hint="eastAsia" w:ascii="仿宋_GB2312" w:hAnsi="仿宋_GB2312" w:cs="仿宋_GB2312"/>
          <w:sz w:val="32"/>
          <w:szCs w:val="32"/>
          <w:highlight w:val="none"/>
        </w:rPr>
      </w:pPr>
      <w:r>
        <w:rPr>
          <w:rFonts w:hint="eastAsia" w:ascii="仿宋_GB2312" w:hAnsi="仿宋_GB2312" w:cs="仿宋_GB2312"/>
          <w:sz w:val="32"/>
          <w:szCs w:val="32"/>
          <w:highlight w:val="none"/>
        </w:rPr>
        <w:t>根据《财政部 民政部关于提前下达202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年中央财政困难群众救助补助资金预算的通知》（财社〔202</w:t>
      </w:r>
      <w:r>
        <w:rPr>
          <w:rFonts w:hint="eastAsia" w:ascii="仿宋_GB2312" w:hAnsi="仿宋_GB2312" w:cs="仿宋_GB2312"/>
          <w:sz w:val="32"/>
          <w:szCs w:val="32"/>
          <w:highlight w:val="none"/>
          <w:lang w:val="en-US" w:eastAsia="zh-CN"/>
        </w:rPr>
        <w:t>2</w:t>
      </w:r>
      <w:r>
        <w:rPr>
          <w:rFonts w:hint="eastAsia" w:ascii="仿宋_GB2312" w:hAnsi="仿宋_GB2312" w:cs="仿宋_GB2312"/>
          <w:sz w:val="32"/>
          <w:szCs w:val="32"/>
          <w:highlight w:val="none"/>
        </w:rPr>
        <w:t>〕1</w:t>
      </w:r>
      <w:r>
        <w:rPr>
          <w:rFonts w:hint="eastAsia" w:ascii="仿宋_GB2312" w:hAnsi="仿宋_GB2312" w:cs="仿宋_GB2312"/>
          <w:sz w:val="32"/>
          <w:szCs w:val="32"/>
          <w:highlight w:val="none"/>
          <w:lang w:val="en-US" w:eastAsia="zh-CN"/>
        </w:rPr>
        <w:t>44</w:t>
      </w:r>
      <w:r>
        <w:rPr>
          <w:rFonts w:hint="eastAsia" w:ascii="仿宋_GB2312" w:hAnsi="仿宋_GB2312" w:cs="仿宋_GB2312"/>
          <w:sz w:val="32"/>
          <w:szCs w:val="32"/>
          <w:highlight w:val="none"/>
        </w:rPr>
        <w:t>号）、《财政部 民政部关于下达202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年中央财政困难群众救助补助资金预算的通知》（财社〔202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w:t>
      </w:r>
      <w:r>
        <w:rPr>
          <w:rFonts w:hint="eastAsia" w:ascii="仿宋_GB2312" w:hAnsi="仿宋_GB2312" w:cs="仿宋_GB2312"/>
          <w:sz w:val="32"/>
          <w:szCs w:val="32"/>
          <w:highlight w:val="none"/>
          <w:lang w:val="en-US" w:eastAsia="zh-CN"/>
        </w:rPr>
        <w:t>38</w:t>
      </w:r>
      <w:r>
        <w:rPr>
          <w:rFonts w:hint="eastAsia" w:ascii="仿宋_GB2312" w:hAnsi="仿宋_GB2312" w:cs="仿宋_GB2312"/>
          <w:sz w:val="32"/>
          <w:szCs w:val="32"/>
          <w:highlight w:val="none"/>
        </w:rPr>
        <w:t>号）</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rPr>
        <w:t>《财政部 民政部关于提前下达202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年中央财政困难群众救助补助资金预算</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第二批）</w:t>
      </w:r>
      <w:r>
        <w:rPr>
          <w:rFonts w:hint="eastAsia" w:ascii="仿宋_GB2312" w:hAnsi="仿宋_GB2312" w:cs="仿宋_GB2312"/>
          <w:sz w:val="32"/>
          <w:szCs w:val="32"/>
          <w:highlight w:val="none"/>
        </w:rPr>
        <w:t>的通知》（财社〔202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w:t>
      </w:r>
      <w:r>
        <w:rPr>
          <w:rFonts w:hint="eastAsia" w:ascii="仿宋_GB2312" w:hAnsi="仿宋_GB2312" w:cs="仿宋_GB2312"/>
          <w:sz w:val="32"/>
          <w:szCs w:val="32"/>
          <w:highlight w:val="none"/>
          <w:lang w:val="en-US" w:eastAsia="zh-CN"/>
        </w:rPr>
        <w:t>89</w:t>
      </w:r>
      <w:r>
        <w:rPr>
          <w:rFonts w:hint="eastAsia" w:ascii="仿宋_GB2312" w:hAnsi="仿宋_GB2312" w:cs="仿宋_GB2312"/>
          <w:sz w:val="32"/>
          <w:szCs w:val="32"/>
          <w:highlight w:val="none"/>
        </w:rPr>
        <w:t>号），202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年中央累计下达北京市困难群众救助补助资金10</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8</w:t>
      </w:r>
      <w:r>
        <w:rPr>
          <w:rFonts w:hint="eastAsia" w:ascii="仿宋_GB2312" w:hAnsi="仿宋_GB2312" w:cs="仿宋_GB2312"/>
          <w:sz w:val="32"/>
          <w:szCs w:val="32"/>
          <w:highlight w:val="none"/>
          <w:lang w:val="en-US" w:eastAsia="zh-CN"/>
        </w:rPr>
        <w:t>0</w:t>
      </w:r>
      <w:r>
        <w:rPr>
          <w:rFonts w:hint="eastAsia" w:ascii="仿宋_GB2312" w:hAnsi="仿宋_GB2312" w:cs="仿宋_GB2312"/>
          <w:sz w:val="32"/>
          <w:szCs w:val="32"/>
          <w:highlight w:val="none"/>
        </w:rPr>
        <w:t>万元，整体绩效目标随预算一并下达。</w:t>
      </w:r>
    </w:p>
    <w:p>
      <w:pPr>
        <w:spacing w:beforeLines="0"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在充分考虑市级及各区救助需求、财力等因素的基础上，根据《北京市财政局关于提前下达202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年中央财政困难群众救助补助资金预算的通知》（京财社指〔202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2575</w:t>
      </w:r>
      <w:r>
        <w:rPr>
          <w:rFonts w:hint="eastAsia" w:ascii="仿宋_GB2312" w:hAnsi="仿宋_GB2312" w:eastAsia="仿宋_GB2312" w:cs="仿宋_GB2312"/>
          <w:sz w:val="32"/>
          <w:szCs w:val="32"/>
          <w:highlight w:val="none"/>
        </w:rPr>
        <w:t>号）、《北京市财政局关于</w:t>
      </w:r>
      <w:r>
        <w:rPr>
          <w:rFonts w:hint="eastAsia" w:ascii="仿宋_GB2312" w:hAnsi="仿宋_GB2312" w:eastAsia="仿宋_GB2312" w:cs="仿宋_GB2312"/>
          <w:sz w:val="32"/>
          <w:szCs w:val="32"/>
          <w:highlight w:val="none"/>
          <w:lang w:val="en-US" w:eastAsia="zh-CN"/>
        </w:rPr>
        <w:t>拨付</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年中央财政困难群众补助资金的通知》（京财社指〔202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1241</w:t>
      </w:r>
      <w:r>
        <w:rPr>
          <w:rFonts w:hint="eastAsia" w:ascii="仿宋_GB2312" w:hAnsi="仿宋_GB2312" w:eastAsia="仿宋_GB2312" w:cs="仿宋_GB2312"/>
          <w:sz w:val="32"/>
          <w:szCs w:val="32"/>
          <w:highlight w:val="none"/>
        </w:rPr>
        <w:t>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北京市财政局</w:t>
      </w:r>
      <w:r>
        <w:rPr>
          <w:rFonts w:hint="eastAsia" w:ascii="仿宋_GB2312" w:hAnsi="仿宋_GB2312" w:eastAsia="仿宋_GB2312" w:cs="仿宋_GB2312"/>
          <w:sz w:val="32"/>
          <w:szCs w:val="32"/>
          <w:highlight w:val="none"/>
          <w:lang w:eastAsia="zh-CN"/>
        </w:rPr>
        <w:t>关于下达阶段性价格补贴垫付资金预算的通知》（京财社指</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1536号）</w:t>
      </w:r>
      <w:r>
        <w:rPr>
          <w:rFonts w:hint="eastAsia" w:ascii="仿宋_GB2312" w:hAnsi="仿宋_GB2312" w:eastAsia="仿宋_GB2312" w:cs="仿宋_GB2312"/>
          <w:sz w:val="32"/>
          <w:szCs w:val="32"/>
          <w:highlight w:val="none"/>
        </w:rPr>
        <w:t>等文件要求，中央财政困难群众救助补助资金10</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8</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按时</w:t>
      </w:r>
      <w:r>
        <w:rPr>
          <w:rFonts w:hint="eastAsia" w:ascii="仿宋_GB2312" w:hAnsi="仿宋_GB2312" w:eastAsia="仿宋_GB2312" w:cs="仿宋_GB2312"/>
          <w:sz w:val="32"/>
          <w:szCs w:val="32"/>
          <w:highlight w:val="none"/>
        </w:rPr>
        <w:t>下达至市级预算单位及各区，绩效目标随预算一并</w:t>
      </w:r>
      <w:r>
        <w:rPr>
          <w:rFonts w:hint="eastAsia" w:ascii="仿宋_GB2312" w:hAnsi="仿宋_GB2312" w:eastAsia="仿宋_GB2312" w:cs="仿宋_GB2312"/>
          <w:sz w:val="32"/>
          <w:szCs w:val="32"/>
          <w:highlight w:val="none"/>
          <w:lang w:eastAsia="zh-CN"/>
        </w:rPr>
        <w:t>下达</w:t>
      </w:r>
      <w:r>
        <w:rPr>
          <w:rFonts w:hint="eastAsia" w:ascii="仿宋_GB2312" w:hAnsi="仿宋_GB2312" w:eastAsia="仿宋_GB2312" w:cs="仿宋_GB2312"/>
          <w:sz w:val="32"/>
          <w:szCs w:val="32"/>
          <w:highlight w:val="none"/>
        </w:rPr>
        <w:t>。</w:t>
      </w:r>
    </w:p>
    <w:p>
      <w:pPr>
        <w:spacing w:beforeLines="0" w:line="560" w:lineRule="exact"/>
        <w:ind w:firstLine="640" w:firstLineChars="200"/>
        <w:outlineLvl w:val="0"/>
        <w:rPr>
          <w:rFonts w:eastAsia="楷体_GB2312"/>
          <w:b w:val="0"/>
          <w:bCs w:val="0"/>
          <w:sz w:val="32"/>
          <w:szCs w:val="32"/>
          <w:highlight w:val="none"/>
        </w:rPr>
      </w:pPr>
      <w:r>
        <w:rPr>
          <w:rFonts w:eastAsia="楷体_GB2312"/>
          <w:b w:val="0"/>
          <w:bCs w:val="0"/>
          <w:sz w:val="32"/>
          <w:szCs w:val="32"/>
          <w:highlight w:val="none"/>
        </w:rPr>
        <w:t>（</w:t>
      </w:r>
      <w:r>
        <w:rPr>
          <w:rFonts w:hint="eastAsia" w:eastAsia="楷体_GB2312"/>
          <w:b w:val="0"/>
          <w:bCs w:val="0"/>
          <w:sz w:val="32"/>
          <w:szCs w:val="32"/>
          <w:highlight w:val="none"/>
          <w:lang w:val="en-US" w:eastAsia="zh-CN"/>
        </w:rPr>
        <w:t>二</w:t>
      </w:r>
      <w:r>
        <w:rPr>
          <w:rFonts w:eastAsia="楷体_GB2312"/>
          <w:b w:val="0"/>
          <w:bCs w:val="0"/>
          <w:sz w:val="32"/>
          <w:szCs w:val="32"/>
          <w:highlight w:val="none"/>
        </w:rPr>
        <w:t>）资金投入情况分析</w:t>
      </w:r>
    </w:p>
    <w:p>
      <w:pPr>
        <w:spacing w:beforeLines="0" w:line="560" w:lineRule="exact"/>
        <w:ind w:firstLine="642"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1.项目资金到位情况分析</w:t>
      </w:r>
      <w:r>
        <w:rPr>
          <w:rFonts w:hint="eastAsia" w:ascii="仿宋_GB2312" w:hAnsi="仿宋_GB2312" w:eastAsia="仿宋_GB2312" w:cs="仿宋_GB2312"/>
          <w:sz w:val="32"/>
          <w:szCs w:val="32"/>
          <w:highlight w:val="none"/>
        </w:rPr>
        <w:t>。北京市下达202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年度中央财政困难群众救助补助资金10</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8</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地方财政</w:t>
      </w:r>
      <w:r>
        <w:rPr>
          <w:rFonts w:hint="eastAsia" w:ascii="仿宋_GB2312" w:hAnsi="仿宋_GB2312" w:eastAsia="仿宋_GB2312" w:cs="仿宋_GB2312"/>
          <w:sz w:val="32"/>
          <w:szCs w:val="32"/>
          <w:highlight w:val="none"/>
        </w:rPr>
        <w:t>配套资金</w:t>
      </w:r>
      <w:r>
        <w:rPr>
          <w:rFonts w:hint="eastAsia" w:ascii="仿宋_GB2312" w:hAnsi="仿宋_GB2312" w:eastAsia="仿宋_GB2312" w:cs="仿宋_GB2312"/>
          <w:sz w:val="32"/>
          <w:szCs w:val="32"/>
          <w:highlight w:val="none"/>
          <w:lang w:val="en-US" w:eastAsia="zh-CN"/>
        </w:rPr>
        <w:t>186692.57万元，以前年度结转资金121.34万元，</w:t>
      </w:r>
      <w:r>
        <w:rPr>
          <w:rFonts w:hint="eastAsia" w:ascii="仿宋_GB2312" w:hAnsi="仿宋_GB2312" w:eastAsia="仿宋_GB2312" w:cs="仿宋_GB2312"/>
          <w:sz w:val="32"/>
          <w:szCs w:val="32"/>
          <w:highlight w:val="none"/>
        </w:rPr>
        <w:t>合计197</w:t>
      </w:r>
      <w:r>
        <w:rPr>
          <w:rFonts w:hint="eastAsia" w:ascii="仿宋_GB2312" w:hAnsi="仿宋_GB2312" w:eastAsia="仿宋_GB2312" w:cs="仿宋_GB2312"/>
          <w:sz w:val="32"/>
          <w:szCs w:val="32"/>
          <w:highlight w:val="none"/>
          <w:lang w:val="en-US" w:eastAsia="zh-CN"/>
        </w:rPr>
        <w:t>193.91</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资金到位率100%。</w:t>
      </w:r>
    </w:p>
    <w:p>
      <w:pPr>
        <w:spacing w:beforeLines="0" w:line="560" w:lineRule="exact"/>
        <w:ind w:firstLine="642" w:firstLineChars="200"/>
        <w:rPr>
          <w:rFonts w:hint="eastAsia" w:ascii="仿宋_GB2312" w:hAnsi="仿宋_GB2312" w:eastAsia="仿宋_GB2312" w:cs="仿宋_GB2312"/>
          <w:bCs/>
          <w:sz w:val="32"/>
          <w:szCs w:val="32"/>
          <w:highlight w:val="none"/>
        </w:rPr>
        <w:sectPr>
          <w:headerReference r:id="rId4" w:type="default"/>
          <w:footerReference r:id="rId5" w:type="default"/>
          <w:pgSz w:w="11906" w:h="16838"/>
          <w:pgMar w:top="2098" w:right="1474" w:bottom="1984" w:left="1587" w:header="851" w:footer="992" w:gutter="0"/>
          <w:cols w:space="720" w:num="1"/>
          <w:docGrid w:type="lines" w:linePitch="411" w:charSpace="0"/>
        </w:sectPr>
      </w:pPr>
      <w:r>
        <w:rPr>
          <w:rFonts w:hint="eastAsia" w:ascii="仿宋_GB2312" w:hAnsi="仿宋_GB2312" w:eastAsia="仿宋_GB2312" w:cs="仿宋_GB2312"/>
          <w:b/>
          <w:sz w:val="32"/>
          <w:szCs w:val="32"/>
          <w:highlight w:val="none"/>
        </w:rPr>
        <w:t>2.项目资金执行情况分析</w:t>
      </w:r>
      <w:r>
        <w:rPr>
          <w:rFonts w:hint="eastAsia" w:ascii="仿宋_GB2312" w:hAnsi="仿宋_GB2312" w:eastAsia="仿宋_GB2312" w:cs="仿宋_GB2312"/>
          <w:bCs/>
          <w:sz w:val="32"/>
          <w:szCs w:val="32"/>
          <w:highlight w:val="none"/>
        </w:rPr>
        <w:t>。截至202</w:t>
      </w:r>
      <w:r>
        <w:rPr>
          <w:rFonts w:hint="eastAsia" w:ascii="仿宋_GB2312" w:hAnsi="仿宋_GB2312" w:eastAsia="仿宋_GB2312" w:cs="仿宋_GB2312"/>
          <w:bCs/>
          <w:sz w:val="32"/>
          <w:szCs w:val="32"/>
          <w:highlight w:val="none"/>
          <w:lang w:val="en-US" w:eastAsia="zh-CN"/>
        </w:rPr>
        <w:t>3</w:t>
      </w:r>
      <w:r>
        <w:rPr>
          <w:rFonts w:hint="eastAsia" w:ascii="仿宋_GB2312" w:hAnsi="仿宋_GB2312" w:eastAsia="仿宋_GB2312" w:cs="仿宋_GB2312"/>
          <w:bCs/>
          <w:sz w:val="32"/>
          <w:szCs w:val="32"/>
          <w:highlight w:val="none"/>
        </w:rPr>
        <w:t>年12月，共支出1962</w:t>
      </w:r>
      <w:r>
        <w:rPr>
          <w:rFonts w:hint="eastAsia" w:ascii="仿宋_GB2312" w:hAnsi="仿宋_GB2312" w:eastAsia="仿宋_GB2312" w:cs="仿宋_GB2312"/>
          <w:bCs/>
          <w:sz w:val="32"/>
          <w:szCs w:val="32"/>
          <w:highlight w:val="none"/>
          <w:lang w:val="en-US" w:eastAsia="zh-CN"/>
        </w:rPr>
        <w:t>66.86</w:t>
      </w:r>
      <w:r>
        <w:rPr>
          <w:rFonts w:hint="eastAsia" w:ascii="仿宋_GB2312" w:hAnsi="仿宋_GB2312" w:eastAsia="仿宋_GB2312" w:cs="仿宋_GB2312"/>
          <w:bCs/>
          <w:sz w:val="32"/>
          <w:szCs w:val="32"/>
          <w:highlight w:val="none"/>
        </w:rPr>
        <w:t>万元，预算执行率为</w:t>
      </w:r>
      <w:r>
        <w:rPr>
          <w:rFonts w:hint="eastAsia" w:ascii="仿宋_GB2312" w:hAnsi="仿宋_GB2312" w:eastAsia="仿宋_GB2312" w:cs="仿宋_GB2312"/>
          <w:bCs/>
          <w:sz w:val="32"/>
          <w:szCs w:val="32"/>
          <w:highlight w:val="none"/>
          <w:lang w:eastAsia="zh-CN"/>
        </w:rPr>
        <w:t>9</w:t>
      </w:r>
      <w:r>
        <w:rPr>
          <w:rFonts w:hint="eastAsia" w:ascii="仿宋_GB2312" w:hAnsi="仿宋_GB2312" w:eastAsia="仿宋_GB2312" w:cs="仿宋_GB2312"/>
          <w:bCs/>
          <w:sz w:val="32"/>
          <w:szCs w:val="32"/>
          <w:highlight w:val="none"/>
          <w:lang w:val="en-US" w:eastAsia="zh-CN"/>
        </w:rPr>
        <w:t>9.53</w:t>
      </w:r>
      <w:r>
        <w:rPr>
          <w:rFonts w:hint="eastAsia" w:ascii="仿宋_GB2312" w:hAnsi="仿宋_GB2312" w:eastAsia="仿宋_GB2312" w:cs="仿宋_GB2312"/>
          <w:bCs/>
          <w:sz w:val="32"/>
          <w:szCs w:val="32"/>
          <w:highlight w:val="none"/>
        </w:rPr>
        <w:t>%，其中，中央资金支出10249.26万元，预算执行率为9</w:t>
      </w:r>
      <w:r>
        <w:rPr>
          <w:rFonts w:hint="eastAsia" w:ascii="仿宋_GB2312" w:hAnsi="仿宋_GB2312" w:eastAsia="仿宋_GB2312" w:cs="仿宋_GB2312"/>
          <w:bCs/>
          <w:sz w:val="32"/>
          <w:szCs w:val="32"/>
          <w:highlight w:val="none"/>
          <w:lang w:eastAsia="zh-CN"/>
        </w:rPr>
        <w:t>8</w:t>
      </w:r>
      <w:r>
        <w:rPr>
          <w:rFonts w:hint="eastAsia" w:ascii="仿宋_GB2312" w:hAnsi="仿宋_GB2312" w:eastAsia="仿宋_GB2312" w:cs="仿宋_GB2312"/>
          <w:bCs/>
          <w:sz w:val="32"/>
          <w:szCs w:val="32"/>
          <w:highlight w:val="none"/>
          <w:lang w:val="en-US" w:eastAsia="zh-CN"/>
        </w:rPr>
        <w:t>.74</w:t>
      </w:r>
      <w:r>
        <w:rPr>
          <w:rFonts w:hint="eastAsia" w:ascii="仿宋_GB2312" w:hAnsi="仿宋_GB2312" w:eastAsia="仿宋_GB2312" w:cs="仿宋_GB2312"/>
          <w:bCs/>
          <w:sz w:val="32"/>
          <w:szCs w:val="32"/>
          <w:highlight w:val="none"/>
        </w:rPr>
        <w:t>%，地方</w:t>
      </w:r>
      <w:r>
        <w:rPr>
          <w:rFonts w:hint="eastAsia" w:ascii="仿宋_GB2312" w:hAnsi="仿宋_GB2312" w:eastAsia="仿宋_GB2312" w:cs="仿宋_GB2312"/>
          <w:bCs/>
          <w:sz w:val="32"/>
          <w:szCs w:val="32"/>
          <w:highlight w:val="none"/>
          <w:lang w:eastAsia="zh-CN"/>
        </w:rPr>
        <w:t>财政配套</w:t>
      </w:r>
      <w:r>
        <w:rPr>
          <w:rFonts w:hint="eastAsia" w:ascii="仿宋_GB2312" w:hAnsi="仿宋_GB2312" w:eastAsia="仿宋_GB2312" w:cs="仿宋_GB2312"/>
          <w:bCs/>
          <w:sz w:val="32"/>
          <w:szCs w:val="32"/>
          <w:highlight w:val="none"/>
        </w:rPr>
        <w:t>资金支出185896.50万元，预算执行率为</w:t>
      </w:r>
      <w:r>
        <w:rPr>
          <w:rFonts w:hint="eastAsia" w:ascii="仿宋_GB2312" w:hAnsi="仿宋_GB2312" w:eastAsia="仿宋_GB2312" w:cs="仿宋_GB2312"/>
          <w:bCs/>
          <w:sz w:val="32"/>
          <w:szCs w:val="32"/>
          <w:highlight w:val="none"/>
          <w:lang w:eastAsia="zh-CN"/>
        </w:rPr>
        <w:t>9</w:t>
      </w:r>
      <w:r>
        <w:rPr>
          <w:rFonts w:hint="eastAsia" w:ascii="仿宋_GB2312" w:hAnsi="仿宋_GB2312" w:eastAsia="仿宋_GB2312" w:cs="仿宋_GB2312"/>
          <w:bCs/>
          <w:sz w:val="32"/>
          <w:szCs w:val="32"/>
          <w:highlight w:val="none"/>
          <w:lang w:val="en-US" w:eastAsia="zh-CN"/>
        </w:rPr>
        <w:t>9.57</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bCs/>
          <w:sz w:val="32"/>
          <w:szCs w:val="32"/>
          <w:highlight w:val="none"/>
          <w:lang w:eastAsia="zh-CN"/>
        </w:rPr>
        <w:t>，</w:t>
      </w:r>
      <w:r>
        <w:rPr>
          <w:rFonts w:hint="eastAsia" w:ascii="仿宋_GB2312" w:hAnsi="仿宋_GB2312" w:eastAsia="仿宋_GB2312" w:cs="仿宋_GB2312"/>
          <w:bCs/>
          <w:sz w:val="32"/>
          <w:szCs w:val="32"/>
          <w:highlight w:val="none"/>
          <w:lang w:val="en-US" w:eastAsia="zh-CN"/>
        </w:rPr>
        <w:t>以前年度</w:t>
      </w:r>
      <w:r>
        <w:rPr>
          <w:rFonts w:hint="eastAsia" w:ascii="仿宋_GB2312" w:hAnsi="仿宋_GB2312" w:eastAsia="仿宋_GB2312" w:cs="仿宋_GB2312"/>
          <w:bCs/>
          <w:sz w:val="32"/>
          <w:szCs w:val="32"/>
          <w:highlight w:val="none"/>
        </w:rPr>
        <w:t>结转资金</w:t>
      </w:r>
      <w:r>
        <w:rPr>
          <w:rFonts w:hint="eastAsia" w:ascii="仿宋_GB2312" w:hAnsi="仿宋_GB2312" w:eastAsia="仿宋_GB2312" w:cs="仿宋_GB2312"/>
          <w:bCs/>
          <w:sz w:val="32"/>
          <w:szCs w:val="32"/>
          <w:highlight w:val="none"/>
          <w:lang w:val="en-US" w:eastAsia="zh-CN"/>
        </w:rPr>
        <w:t>支出</w:t>
      </w:r>
      <w:r>
        <w:rPr>
          <w:rFonts w:hint="eastAsia" w:ascii="仿宋_GB2312" w:hAnsi="仿宋_GB2312" w:eastAsia="仿宋_GB2312" w:cs="仿宋_GB2312"/>
          <w:sz w:val="32"/>
          <w:szCs w:val="32"/>
          <w:highlight w:val="none"/>
          <w:lang w:val="en-US" w:eastAsia="zh-CN"/>
        </w:rPr>
        <w:t>121.10</w:t>
      </w:r>
      <w:r>
        <w:rPr>
          <w:rFonts w:hint="eastAsia" w:ascii="仿宋_GB2312" w:hAnsi="仿宋_GB2312" w:eastAsia="仿宋_GB2312" w:cs="仿宋_GB2312"/>
          <w:bCs/>
          <w:sz w:val="32"/>
          <w:szCs w:val="32"/>
          <w:highlight w:val="none"/>
          <w:lang w:val="en-US" w:eastAsia="zh-CN"/>
        </w:rPr>
        <w:t>万元，结转资金执行率为99.80%</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bCs/>
          <w:sz w:val="32"/>
          <w:szCs w:val="32"/>
          <w:highlight w:val="none"/>
          <w:lang w:val="en-US" w:eastAsia="zh-CN"/>
        </w:rPr>
        <w:t>北京市2023年度中央财政</w:t>
      </w:r>
      <w:r>
        <w:rPr>
          <w:rFonts w:hint="eastAsia" w:ascii="仿宋_GB2312" w:hAnsi="仿宋_GB2312" w:eastAsia="仿宋_GB2312" w:cs="仿宋_GB2312"/>
          <w:bCs/>
          <w:sz w:val="32"/>
          <w:szCs w:val="32"/>
          <w:highlight w:val="none"/>
        </w:rPr>
        <w:t>困难群众救助补助资金执行情况如下表。</w:t>
      </w:r>
    </w:p>
    <w:p>
      <w:pPr>
        <w:pStyle w:val="2"/>
        <w:ind w:left="0" w:leftChars="0"/>
        <w:jc w:val="center"/>
        <w:rPr>
          <w:rFonts w:eastAsia="黑体"/>
          <w:sz w:val="28"/>
          <w:szCs w:val="28"/>
          <w:highlight w:val="none"/>
        </w:rPr>
      </w:pPr>
      <w:r>
        <w:rPr>
          <w:rFonts w:eastAsia="黑体"/>
          <w:sz w:val="28"/>
          <w:szCs w:val="28"/>
          <w:highlight w:val="none"/>
        </w:rPr>
        <w:t>表1 北京市</w:t>
      </w:r>
      <w:r>
        <w:rPr>
          <w:rFonts w:hint="eastAsia" w:eastAsia="黑体"/>
          <w:sz w:val="28"/>
          <w:szCs w:val="28"/>
          <w:highlight w:val="none"/>
        </w:rPr>
        <w:t>2023年度</w:t>
      </w:r>
      <w:r>
        <w:rPr>
          <w:rFonts w:eastAsia="黑体"/>
          <w:sz w:val="28"/>
          <w:szCs w:val="28"/>
          <w:highlight w:val="none"/>
        </w:rPr>
        <w:t>中央财政困难群众救助补助资金执行情况表</w:t>
      </w:r>
      <w:r>
        <w:rPr>
          <w:rStyle w:val="12"/>
          <w:highlight w:val="none"/>
        </w:rPr>
        <w:footnoteReference w:id="0"/>
      </w:r>
    </w:p>
    <w:p>
      <w:pPr>
        <w:jc w:val="right"/>
        <w:rPr>
          <w:rFonts w:eastAsia="黑体"/>
          <w:sz w:val="24"/>
          <w:highlight w:val="none"/>
        </w:rPr>
      </w:pPr>
      <w:r>
        <w:rPr>
          <w:rFonts w:eastAsia="黑体"/>
          <w:sz w:val="24"/>
          <w:highlight w:val="none"/>
        </w:rPr>
        <w:t>单位：万元</w:t>
      </w:r>
    </w:p>
    <w:tbl>
      <w:tblPr>
        <w:tblStyle w:val="9"/>
        <w:tblW w:w="143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7"/>
        <w:gridCol w:w="1460"/>
        <w:gridCol w:w="1086"/>
        <w:gridCol w:w="1138"/>
        <w:gridCol w:w="965"/>
        <w:gridCol w:w="1035"/>
        <w:gridCol w:w="982"/>
        <w:gridCol w:w="1000"/>
        <w:gridCol w:w="1087"/>
        <w:gridCol w:w="1138"/>
        <w:gridCol w:w="931"/>
        <w:gridCol w:w="879"/>
        <w:gridCol w:w="914"/>
        <w:gridCol w:w="10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blHeader/>
          <w:jc w:val="center"/>
        </w:trPr>
        <w:tc>
          <w:tcPr>
            <w:tcW w:w="737"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序号</w:t>
            </w:r>
          </w:p>
        </w:tc>
        <w:tc>
          <w:tcPr>
            <w:tcW w:w="146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预算单位</w:t>
            </w: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资金整体使用情况</w:t>
            </w:r>
          </w:p>
        </w:tc>
        <w:tc>
          <w:tcPr>
            <w:tcW w:w="3017"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中央资金使用情况</w:t>
            </w:r>
          </w:p>
        </w:tc>
        <w:tc>
          <w:tcPr>
            <w:tcW w:w="315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地方资金使用情况</w:t>
            </w:r>
          </w:p>
        </w:tc>
        <w:tc>
          <w:tcPr>
            <w:tcW w:w="2806"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其他资金使用情况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blHeader/>
          <w:jc w:val="center"/>
        </w:trPr>
        <w:tc>
          <w:tcPr>
            <w:tcW w:w="73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suppressLineNumbers w:val="0"/>
              <w:spacing w:before="0" w:beforeAutospacing="0" w:after="0" w:afterAutospacing="0"/>
              <w:ind w:left="0" w:right="0"/>
              <w:jc w:val="center"/>
              <w:rPr>
                <w:rFonts w:hint="default" w:ascii="宋体" w:hAnsi="宋体" w:eastAsia="宋体" w:cs="宋体"/>
                <w:b/>
                <w:bCs/>
                <w:i w:val="0"/>
                <w:iCs w:val="0"/>
                <w:color w:val="000000"/>
                <w:sz w:val="18"/>
                <w:szCs w:val="18"/>
                <w:highlight w:val="none"/>
                <w:u w:val="none"/>
              </w:rPr>
            </w:pPr>
          </w:p>
        </w:tc>
        <w:tc>
          <w:tcPr>
            <w:tcW w:w="146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suppressLineNumbers w:val="0"/>
              <w:spacing w:before="0" w:beforeAutospacing="0" w:after="0" w:afterAutospacing="0"/>
              <w:ind w:left="0" w:right="0"/>
              <w:jc w:val="center"/>
              <w:rPr>
                <w:rFonts w:hint="default" w:ascii="宋体" w:hAnsi="宋体" w:eastAsia="宋体" w:cs="宋体"/>
                <w:b/>
                <w:bCs/>
                <w:i w:val="0"/>
                <w:iCs w:val="0"/>
                <w:color w:val="000000"/>
                <w:sz w:val="18"/>
                <w:szCs w:val="18"/>
                <w:highlight w:val="none"/>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预算数</w:t>
            </w:r>
          </w:p>
        </w:tc>
        <w:tc>
          <w:tcPr>
            <w:tcW w:w="113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支出数</w:t>
            </w:r>
          </w:p>
        </w:tc>
        <w:tc>
          <w:tcPr>
            <w:tcW w:w="96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执行率</w:t>
            </w:r>
          </w:p>
        </w:tc>
        <w:tc>
          <w:tcPr>
            <w:tcW w:w="10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预算数</w:t>
            </w:r>
          </w:p>
        </w:tc>
        <w:tc>
          <w:tcPr>
            <w:tcW w:w="98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支出数</w:t>
            </w:r>
          </w:p>
        </w:tc>
        <w:tc>
          <w:tcPr>
            <w:tcW w:w="10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执行率</w:t>
            </w:r>
          </w:p>
        </w:tc>
        <w:tc>
          <w:tcPr>
            <w:tcW w:w="108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预算数</w:t>
            </w:r>
          </w:p>
        </w:tc>
        <w:tc>
          <w:tcPr>
            <w:tcW w:w="113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支出数</w:t>
            </w:r>
          </w:p>
        </w:tc>
        <w:tc>
          <w:tcPr>
            <w:tcW w:w="93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执行率</w:t>
            </w:r>
          </w:p>
        </w:tc>
        <w:tc>
          <w:tcPr>
            <w:tcW w:w="87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预算数</w:t>
            </w:r>
          </w:p>
        </w:tc>
        <w:tc>
          <w:tcPr>
            <w:tcW w:w="9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支出数</w:t>
            </w:r>
          </w:p>
        </w:tc>
        <w:tc>
          <w:tcPr>
            <w:tcW w:w="101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21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合计</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197193.91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196266.86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99.53%</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10380.00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10249.26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98.74%</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186692.57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185896.50 </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99.57%</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121.34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121.10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99.80%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(一)</w:t>
            </w:r>
          </w:p>
        </w:tc>
        <w:tc>
          <w:tcPr>
            <w:tcW w:w="1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市级层面</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1547.83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1534.20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99.12%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198.72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198.72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100.00%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1349.11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1335.48 </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98.99%</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0.00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0.00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市社会福利事务管理中心</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1547.83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1534.20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99.12%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198.72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198.72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1349.11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1335.48 </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98.99%</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（二)</w:t>
            </w:r>
          </w:p>
        </w:tc>
        <w:tc>
          <w:tcPr>
            <w:tcW w:w="1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区级层面</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195646.09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194732.66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99.53%</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10181.28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10050.54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98.72%</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185343.47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184561.02 </w:t>
            </w:r>
          </w:p>
        </w:tc>
        <w:tc>
          <w:tcPr>
            <w:tcW w:w="9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99.58%</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121.34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121.10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99.80%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东城区 </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18102.72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18102.72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897.11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897.11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17201.07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17201.07 </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4.54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4.54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西城区 </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26149.77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26117.82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99.88%</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1167.43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1167.25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99.98%</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24936.19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24904.66 </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99.87%</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46.15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45.91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99.48%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朝阳区 </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20379.35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19811.79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97.22%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942.39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942.39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19436.66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18869.10 </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97.08%</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0.30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0.30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海淀区 </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10945.49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10844.59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99.08%</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713.47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713.47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10232.02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10131.12 </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99.01%</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丰台区 </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18440.41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18277.33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99.12%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912.21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781.65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85.69%</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17507.82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17475.29 </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99.81%</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20.38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20.38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石景山区 </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12450.29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12425.28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99.80%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467.78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467.78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11967.48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11942.47 </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99.79%</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15.03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15.03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门头沟区 </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13224.21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13224.21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659.26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659.26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12564.95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12564.95 </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房山区 </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8963.99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8963.99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510.38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510.38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8418.67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8418.67 </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34.94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34.94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通州区 </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5869.89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5869.89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459.23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459.23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5410.66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5410.66 </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顺义区 </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5797.00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5797.00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330.38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330.38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5466.62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5466.62 </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昌平区 </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4058.37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4058.37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325.88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325.88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3732.49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3732.49 </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大兴区 </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4363.74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4363.74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317.25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317.25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4046.49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4046.49 </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怀柔区 </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10955.35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10955.35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497.59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497.59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10457.76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10457.76 </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平谷区 </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9186.65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9185.20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99.98%</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518.01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518.01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8668.64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8667.19 </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99.98%</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密云区 </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18469.04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18469.04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987.20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987.20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17481.84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17481.84 </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延庆区 </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8289.82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8266.35 </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99.72%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475.71 </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475.71 </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100.00%</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7814.11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7790.64 </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99.70%</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0.00 </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bl>
    <w:p>
      <w:pPr>
        <w:jc w:val="both"/>
        <w:rPr>
          <w:rFonts w:eastAsia="黑体"/>
          <w:sz w:val="24"/>
          <w:highlight w:val="none"/>
        </w:rPr>
      </w:pPr>
    </w:p>
    <w:p>
      <w:pPr>
        <w:rPr>
          <w:highlight w:val="none"/>
        </w:rPr>
        <w:sectPr>
          <w:pgSz w:w="16838" w:h="11906" w:orient="landscape"/>
          <w:pgMar w:top="1474" w:right="1984" w:bottom="1587" w:left="2098" w:header="851" w:footer="992" w:gutter="0"/>
          <w:cols w:space="720" w:num="1"/>
          <w:docGrid w:type="lines" w:linePitch="411" w:charSpace="0"/>
        </w:sectPr>
      </w:pPr>
    </w:p>
    <w:p>
      <w:pPr>
        <w:spacing w:line="560" w:lineRule="exact"/>
        <w:ind w:firstLine="640" w:firstLineChars="200"/>
        <w:outlineLvl w:val="0"/>
        <w:rPr>
          <w:rFonts w:eastAsia="楷体_GB2312"/>
          <w:b w:val="0"/>
          <w:bCs w:val="0"/>
          <w:sz w:val="32"/>
          <w:szCs w:val="32"/>
          <w:highlight w:val="none"/>
        </w:rPr>
      </w:pPr>
      <w:r>
        <w:rPr>
          <w:rFonts w:eastAsia="楷体_GB2312"/>
          <w:b w:val="0"/>
          <w:bCs w:val="0"/>
          <w:sz w:val="32"/>
          <w:szCs w:val="32"/>
          <w:highlight w:val="none"/>
        </w:rPr>
        <w:t>（</w:t>
      </w:r>
      <w:r>
        <w:rPr>
          <w:rFonts w:hint="eastAsia" w:eastAsia="楷体_GB2312"/>
          <w:b w:val="0"/>
          <w:bCs w:val="0"/>
          <w:sz w:val="32"/>
          <w:szCs w:val="32"/>
          <w:highlight w:val="none"/>
          <w:lang w:val="en-US" w:eastAsia="zh-CN"/>
        </w:rPr>
        <w:t>三</w:t>
      </w:r>
      <w:r>
        <w:rPr>
          <w:rFonts w:eastAsia="楷体_GB2312"/>
          <w:b w:val="0"/>
          <w:bCs w:val="0"/>
          <w:sz w:val="32"/>
          <w:szCs w:val="32"/>
          <w:highlight w:val="none"/>
        </w:rPr>
        <w:t>）资金管理情况分析</w:t>
      </w:r>
    </w:p>
    <w:p>
      <w:pPr>
        <w:widowControl/>
        <w:spacing w:line="560" w:lineRule="exact"/>
        <w:ind w:firstLine="642"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1.资金分配科学性。</w:t>
      </w:r>
      <w:r>
        <w:rPr>
          <w:rFonts w:hint="eastAsia" w:ascii="仿宋_GB2312" w:hAnsi="仿宋_GB2312" w:eastAsia="仿宋_GB2312" w:cs="仿宋_GB2312"/>
          <w:sz w:val="32"/>
          <w:szCs w:val="32"/>
          <w:highlight w:val="none"/>
        </w:rPr>
        <w:t>严格按照转移支付管理制度以及资金管理办法规定的范围和标准分配</w:t>
      </w:r>
      <w:r>
        <w:rPr>
          <w:rFonts w:hint="eastAsia" w:ascii="仿宋_GB2312" w:hAnsi="仿宋_GB2312" w:eastAsia="仿宋_GB2312" w:cs="仿宋_GB2312"/>
          <w:sz w:val="32"/>
          <w:szCs w:val="32"/>
          <w:highlight w:val="none"/>
          <w:lang w:eastAsia="zh-CN"/>
        </w:rPr>
        <w:t>中央财政困难群众救助补助资金，</w:t>
      </w:r>
      <w:r>
        <w:rPr>
          <w:rFonts w:hint="eastAsia" w:ascii="仿宋_GB2312" w:hAnsi="仿宋_GB2312" w:eastAsia="仿宋_GB2312" w:cs="仿宋_GB2312"/>
          <w:sz w:val="32"/>
          <w:szCs w:val="32"/>
          <w:highlight w:val="none"/>
        </w:rPr>
        <w:t>资金</w:t>
      </w:r>
      <w:r>
        <w:rPr>
          <w:rFonts w:hint="eastAsia" w:ascii="仿宋_GB2312" w:hAnsi="仿宋_GB2312" w:eastAsia="仿宋_GB2312" w:cs="仿宋_GB2312"/>
          <w:i w:val="0"/>
          <w:caps w:val="0"/>
          <w:color w:val="000000"/>
          <w:spacing w:val="0"/>
          <w:kern w:val="2"/>
          <w:sz w:val="32"/>
          <w:szCs w:val="32"/>
          <w:highlight w:val="none"/>
          <w:lang w:val="en-US" w:eastAsia="zh-CN" w:bidi="ar"/>
        </w:rPr>
        <w:t>统筹用于低保、特困人员救助供养、临时救助、流浪乞讨人员救助和孤儿基本生活保障支出。</w:t>
      </w:r>
    </w:p>
    <w:p>
      <w:pPr>
        <w:tabs>
          <w:tab w:val="left" w:pos="312"/>
        </w:tabs>
        <w:spacing w:line="560" w:lineRule="exact"/>
        <w:ind w:firstLine="642"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2.资金下达及时性。</w:t>
      </w:r>
      <w:r>
        <w:rPr>
          <w:rFonts w:hint="eastAsia" w:ascii="仿宋_GB2312" w:hAnsi="仿宋_GB2312" w:eastAsia="仿宋_GB2312" w:cs="仿宋_GB2312"/>
          <w:sz w:val="32"/>
          <w:szCs w:val="32"/>
          <w:highlight w:val="none"/>
        </w:rPr>
        <w:t>按照</w:t>
      </w:r>
      <w:r>
        <w:rPr>
          <w:rFonts w:hint="eastAsia" w:ascii="仿宋_GB2312" w:hAnsi="仿宋_GB2312" w:eastAsia="仿宋_GB2312" w:cs="仿宋_GB2312"/>
          <w:sz w:val="32"/>
          <w:szCs w:val="32"/>
          <w:highlight w:val="none"/>
          <w:lang w:eastAsia="zh-CN"/>
        </w:rPr>
        <w:t>《中华人民共和国</w:t>
      </w:r>
      <w:r>
        <w:rPr>
          <w:rFonts w:hint="eastAsia" w:ascii="仿宋_GB2312" w:hAnsi="仿宋_GB2312" w:eastAsia="仿宋_GB2312" w:cs="仿宋_GB2312"/>
          <w:sz w:val="32"/>
          <w:szCs w:val="32"/>
          <w:highlight w:val="none"/>
        </w:rPr>
        <w:t>预算法</w:t>
      </w:r>
      <w:r>
        <w:rPr>
          <w:rFonts w:hint="eastAsia" w:ascii="仿宋_GB2312" w:hAnsi="仿宋_GB2312" w:eastAsia="仿宋_GB2312" w:cs="仿宋_GB2312"/>
          <w:sz w:val="32"/>
          <w:szCs w:val="32"/>
          <w:highlight w:val="none"/>
          <w:lang w:eastAsia="zh-CN"/>
        </w:rPr>
        <w:t>》等规定，</w:t>
      </w:r>
      <w:r>
        <w:rPr>
          <w:rFonts w:hint="eastAsia" w:ascii="仿宋_GB2312" w:hAnsi="仿宋_GB2312" w:eastAsia="仿宋_GB2312" w:cs="仿宋_GB2312"/>
          <w:sz w:val="32"/>
          <w:szCs w:val="32"/>
          <w:highlight w:val="none"/>
        </w:rPr>
        <w:t>在</w:t>
      </w:r>
      <w:r>
        <w:rPr>
          <w:rFonts w:hint="eastAsia" w:ascii="仿宋_GB2312" w:hAnsi="仿宋_GB2312" w:eastAsia="仿宋_GB2312" w:cs="仿宋_GB2312"/>
          <w:sz w:val="32"/>
          <w:szCs w:val="32"/>
          <w:highlight w:val="none"/>
          <w:lang w:val="en-US" w:eastAsia="zh-CN"/>
        </w:rPr>
        <w:t>收到</w:t>
      </w:r>
      <w:r>
        <w:rPr>
          <w:rFonts w:hint="eastAsia" w:ascii="仿宋_GB2312" w:hAnsi="仿宋_GB2312" w:eastAsia="仿宋_GB2312" w:cs="仿宋_GB2312"/>
          <w:sz w:val="32"/>
          <w:szCs w:val="32"/>
          <w:highlight w:val="none"/>
        </w:rPr>
        <w:t>中央财政困难群众救助补助资金后，三十日内正式下达至市级预算单位及各区。</w:t>
      </w:r>
    </w:p>
    <w:p>
      <w:pPr>
        <w:tabs>
          <w:tab w:val="left" w:pos="312"/>
        </w:tabs>
        <w:spacing w:line="560" w:lineRule="exact"/>
        <w:ind w:firstLine="642"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3.资金拨付合规性。</w:t>
      </w:r>
      <w:r>
        <w:rPr>
          <w:rFonts w:hint="eastAsia" w:ascii="仿宋_GB2312" w:hAnsi="仿宋_GB2312" w:eastAsia="仿宋_GB2312" w:cs="仿宋_GB2312"/>
          <w:sz w:val="32"/>
          <w:szCs w:val="32"/>
          <w:highlight w:val="none"/>
        </w:rPr>
        <w:t>严格按照国库集中支付制度有关规定支付，未发现将资金从国库转入财政专户或支付到预算单位实有资金账户等问题。</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b/>
          <w:bCs/>
          <w:sz w:val="32"/>
          <w:szCs w:val="32"/>
          <w:highlight w:val="none"/>
        </w:rPr>
        <w:t>资金使用规范性。</w:t>
      </w:r>
      <w:r>
        <w:rPr>
          <w:rFonts w:hint="eastAsia" w:ascii="仿宋_GB2312" w:hAnsi="仿宋_GB2312" w:eastAsia="仿宋_GB2312" w:cs="仿宋_GB2312"/>
          <w:sz w:val="32"/>
          <w:szCs w:val="32"/>
          <w:highlight w:val="none"/>
        </w:rPr>
        <w:t>严格按照下达预算的科目和项目执行，补助资金专款专用，按支出方向单独记账，分别核算，未发现擅自扩大支出范围，或以任何形式截留、挤占、挪用或擅自调整等问题。</w:t>
      </w:r>
    </w:p>
    <w:p>
      <w:pPr>
        <w:tabs>
          <w:tab w:val="left" w:pos="312"/>
        </w:tabs>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333333"/>
          <w:sz w:val="32"/>
          <w:szCs w:val="32"/>
          <w:highlight w:val="none"/>
        </w:rPr>
        <w:t>5.</w:t>
      </w:r>
      <w:r>
        <w:rPr>
          <w:rFonts w:hint="eastAsia" w:ascii="仿宋_GB2312" w:hAnsi="仿宋_GB2312" w:eastAsia="仿宋_GB2312" w:cs="仿宋_GB2312"/>
          <w:b/>
          <w:bCs/>
          <w:sz w:val="32"/>
          <w:szCs w:val="32"/>
          <w:highlight w:val="none"/>
        </w:rPr>
        <w:t>资金执行准确性。</w:t>
      </w:r>
      <w:r>
        <w:rPr>
          <w:rFonts w:hint="eastAsia" w:ascii="仿宋_GB2312" w:hAnsi="仿宋_GB2312" w:eastAsia="仿宋_GB2312" w:cs="仿宋_GB2312"/>
          <w:sz w:val="32"/>
          <w:szCs w:val="32"/>
          <w:highlight w:val="none"/>
        </w:rPr>
        <w:t>按照上级下达和本级预算安排的金额执行，不存在执行数偏离预算数较多的问题。</w:t>
      </w:r>
    </w:p>
    <w:p>
      <w:pPr>
        <w:tabs>
          <w:tab w:val="left" w:pos="312"/>
        </w:tabs>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b/>
          <w:bCs/>
          <w:sz w:val="32"/>
          <w:szCs w:val="32"/>
          <w:highlight w:val="none"/>
        </w:rPr>
        <w:t>预算绩效管理情况。</w:t>
      </w:r>
      <w:r>
        <w:rPr>
          <w:rFonts w:hint="eastAsia" w:ascii="仿宋_GB2312" w:hAnsi="仿宋_GB2312" w:eastAsia="仿宋_GB2312" w:cs="仿宋_GB2312"/>
          <w:sz w:val="32"/>
          <w:szCs w:val="32"/>
          <w:highlight w:val="none"/>
        </w:rPr>
        <w:t>印发《加强困难群众救助补助资金转移支付管理的实施意见》，</w:t>
      </w:r>
      <w:r>
        <w:rPr>
          <w:rFonts w:hint="eastAsia" w:ascii="仿宋_GB2312" w:hAnsi="仿宋_GB2312" w:eastAsia="仿宋_GB2312" w:cs="仿宋_GB2312"/>
          <w:sz w:val="32"/>
          <w:szCs w:val="32"/>
          <w:highlight w:val="none"/>
          <w:lang w:eastAsia="zh-CN"/>
        </w:rPr>
        <w:t>强化市区两级民政部门在绩效管理各环节工作中的主体责任</w:t>
      </w:r>
      <w:r>
        <w:rPr>
          <w:rFonts w:hint="eastAsia" w:ascii="仿宋_GB2312" w:hAnsi="仿宋_GB2312" w:eastAsia="仿宋_GB2312" w:cs="仿宋_GB2312"/>
          <w:sz w:val="32"/>
          <w:szCs w:val="32"/>
          <w:highlight w:val="none"/>
        </w:rPr>
        <w:t>。2023年在开展中央财政困难群众救助补助资金全覆盖绩效自评基础上，同步开展重点绩效评价，进一步提高资金使用效益。</w:t>
      </w:r>
    </w:p>
    <w:p>
      <w:pPr>
        <w:tabs>
          <w:tab w:val="left" w:pos="312"/>
        </w:tabs>
        <w:spacing w:line="560" w:lineRule="exact"/>
        <w:ind w:firstLine="642"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rPr>
        <w:t>7.支出责任履行情况。</w:t>
      </w:r>
      <w:r>
        <w:rPr>
          <w:rFonts w:hint="eastAsia" w:ascii="仿宋_GB2312" w:hAnsi="仿宋_GB2312" w:eastAsia="仿宋_GB2312" w:cs="仿宋_GB2312"/>
          <w:b w:val="0"/>
          <w:bCs w:val="0"/>
          <w:sz w:val="32"/>
          <w:szCs w:val="32"/>
          <w:highlight w:val="none"/>
          <w:lang w:eastAsia="zh-CN"/>
        </w:rPr>
        <w:t>按照财政事权</w:t>
      </w:r>
      <w:r>
        <w:rPr>
          <w:rFonts w:hint="eastAsia" w:ascii="仿宋_GB2312" w:hAnsi="仿宋_GB2312" w:eastAsia="仿宋_GB2312" w:cs="仿宋_GB2312"/>
          <w:sz w:val="32"/>
          <w:szCs w:val="32"/>
          <w:highlight w:val="none"/>
        </w:rPr>
        <w:t>和支出责任划分有关规定</w:t>
      </w:r>
      <w:r>
        <w:rPr>
          <w:rFonts w:hint="eastAsia" w:ascii="仿宋_GB2312" w:hAnsi="仿宋_GB2312" w:eastAsia="仿宋_GB2312" w:cs="仿宋_GB2312"/>
          <w:sz w:val="32"/>
          <w:szCs w:val="32"/>
          <w:highlight w:val="none"/>
          <w:lang w:eastAsia="zh-CN"/>
        </w:rPr>
        <w:t>，足额安排资金履行本级支出责任。</w:t>
      </w:r>
    </w:p>
    <w:p>
      <w:pPr>
        <w:spacing w:line="560" w:lineRule="exact"/>
        <w:ind w:firstLine="640" w:firstLineChars="200"/>
        <w:rPr>
          <w:rFonts w:hint="eastAsia"/>
          <w:lang w:eastAsia="zh-CN"/>
        </w:rPr>
      </w:pPr>
      <w:r>
        <w:rPr>
          <w:rFonts w:hint="eastAsia" w:ascii="黑体" w:hAnsi="黑体" w:eastAsia="黑体" w:cs="黑体"/>
          <w:bCs/>
          <w:sz w:val="32"/>
          <w:szCs w:val="32"/>
          <w:highlight w:val="none"/>
          <w:lang w:eastAsia="zh-CN"/>
        </w:rPr>
        <w:t>二、绩效目标实现情况</w:t>
      </w:r>
    </w:p>
    <w:p>
      <w:pPr>
        <w:spacing w:line="560" w:lineRule="exact"/>
        <w:ind w:firstLine="640" w:firstLineChars="200"/>
        <w:outlineLvl w:val="0"/>
        <w:rPr>
          <w:rFonts w:eastAsia="楷体_GB2312"/>
          <w:b w:val="0"/>
          <w:bCs w:val="0"/>
          <w:sz w:val="32"/>
          <w:szCs w:val="32"/>
          <w:highlight w:val="none"/>
        </w:rPr>
      </w:pPr>
      <w:r>
        <w:rPr>
          <w:rFonts w:eastAsia="楷体_GB2312"/>
          <w:b w:val="0"/>
          <w:bCs w:val="0"/>
          <w:sz w:val="32"/>
          <w:szCs w:val="32"/>
          <w:highlight w:val="none"/>
        </w:rPr>
        <w:t>（</w:t>
      </w:r>
      <w:r>
        <w:rPr>
          <w:rFonts w:hint="eastAsia" w:eastAsia="楷体_GB2312"/>
          <w:b w:val="0"/>
          <w:bCs w:val="0"/>
          <w:sz w:val="32"/>
          <w:szCs w:val="32"/>
          <w:highlight w:val="none"/>
          <w:lang w:val="en-US" w:eastAsia="zh-CN"/>
        </w:rPr>
        <w:t>一</w:t>
      </w:r>
      <w:r>
        <w:rPr>
          <w:rFonts w:eastAsia="楷体_GB2312"/>
          <w:b w:val="0"/>
          <w:bCs w:val="0"/>
          <w:sz w:val="32"/>
          <w:szCs w:val="32"/>
          <w:highlight w:val="none"/>
        </w:rPr>
        <w:t>）总体绩效目标完成情况分析</w:t>
      </w:r>
    </w:p>
    <w:p>
      <w:pPr>
        <w:spacing w:line="560" w:lineRule="exact"/>
        <w:ind w:firstLine="640" w:firstLineChars="200"/>
        <w:outlineLvl w:val="0"/>
        <w:rPr>
          <w:sz w:val="32"/>
          <w:szCs w:val="32"/>
          <w:highlight w:val="none"/>
        </w:rPr>
      </w:pPr>
      <w:r>
        <w:rPr>
          <w:rFonts w:hint="eastAsia"/>
          <w:sz w:val="32"/>
          <w:szCs w:val="32"/>
          <w:highlight w:val="none"/>
          <w:lang w:val="en-US" w:eastAsia="zh-CN"/>
        </w:rPr>
        <w:t>北京市</w:t>
      </w:r>
      <w:r>
        <w:rPr>
          <w:rFonts w:hint="default"/>
          <w:sz w:val="32"/>
          <w:szCs w:val="32"/>
          <w:highlight w:val="none"/>
        </w:rPr>
        <w:t>规范实施城乡低保、城乡特困人员救助供养、临时救助相关政策，合理确定保障标准，及时高效开展救助工作，实现了应保尽保、应救尽救，使救助对象的基本生活得到了有效保障，达到了救急解难的目标。通过政策引导各区提高孤儿生活保障水平，为生活无着儿童提供综合保障，规范高效实施儿童救助相关政策，为困境儿童提供更加精准化的专业服务，有效保障了孤儿、艾滋病病毒感染儿童和事实无人抚养儿童基本生活，提高了生活无着儿童的生活水平。按要求对符合条件的流浪乞讨对象按标准实施救助，有效保障流浪乞讨人员获得了及时的救助救治与保障安置，维护了流浪乞讨人员基本权益。</w:t>
      </w:r>
    </w:p>
    <w:p>
      <w:pPr>
        <w:spacing w:line="560" w:lineRule="exact"/>
        <w:ind w:firstLine="640" w:firstLineChars="200"/>
        <w:outlineLvl w:val="0"/>
        <w:rPr>
          <w:b w:val="0"/>
          <w:bCs w:val="0"/>
          <w:color w:val="C00000"/>
          <w:sz w:val="32"/>
          <w:szCs w:val="32"/>
          <w:highlight w:val="none"/>
        </w:rPr>
      </w:pPr>
      <w:r>
        <w:rPr>
          <w:rFonts w:eastAsia="楷体_GB2312"/>
          <w:b w:val="0"/>
          <w:bCs w:val="0"/>
          <w:sz w:val="32"/>
          <w:szCs w:val="32"/>
          <w:highlight w:val="none"/>
        </w:rPr>
        <w:t>（</w:t>
      </w:r>
      <w:r>
        <w:rPr>
          <w:rFonts w:hint="eastAsia" w:eastAsia="楷体_GB2312"/>
          <w:b w:val="0"/>
          <w:bCs w:val="0"/>
          <w:sz w:val="32"/>
          <w:szCs w:val="32"/>
          <w:highlight w:val="none"/>
          <w:lang w:val="en-US" w:eastAsia="zh-CN"/>
        </w:rPr>
        <w:t>二</w:t>
      </w:r>
      <w:r>
        <w:rPr>
          <w:rFonts w:eastAsia="楷体_GB2312"/>
          <w:b w:val="0"/>
          <w:bCs w:val="0"/>
          <w:sz w:val="32"/>
          <w:szCs w:val="32"/>
          <w:highlight w:val="none"/>
        </w:rPr>
        <w:t>）绩效指标完成情况分析</w:t>
      </w:r>
    </w:p>
    <w:p>
      <w:pPr>
        <w:spacing w:line="560" w:lineRule="exact"/>
        <w:ind w:firstLine="642"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1.产出指标完成情况分析</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highlight w:val="none"/>
        </w:rPr>
        <w:t>（1）数量指标。</w:t>
      </w:r>
      <w:r>
        <w:rPr>
          <w:rFonts w:hint="eastAsia" w:ascii="仿宋_GB2312" w:hAnsi="仿宋_GB2312" w:eastAsia="仿宋_GB2312" w:cs="仿宋_GB2312"/>
          <w:b w:val="0"/>
          <w:bCs w:val="0"/>
          <w:sz w:val="32"/>
          <w:szCs w:val="32"/>
          <w:highlight w:val="none"/>
          <w:lang w:eastAsia="zh-CN"/>
        </w:rPr>
        <w:t>经汇总各区报送情况，</w:t>
      </w:r>
      <w:r>
        <w:rPr>
          <w:rFonts w:hint="eastAsia" w:ascii="仿宋_GB2312" w:hAnsi="仿宋_GB2312" w:eastAsia="仿宋_GB2312" w:cs="仿宋_GB2312"/>
          <w:sz w:val="32"/>
          <w:szCs w:val="32"/>
          <w:highlight w:val="none"/>
          <w:lang w:eastAsia="zh-CN"/>
        </w:rPr>
        <w:t>中央财政困难群众救助补助资金及地方配套资金累计</w:t>
      </w:r>
      <w:r>
        <w:rPr>
          <w:rFonts w:hint="eastAsia" w:ascii="仿宋_GB2312" w:hAnsi="仿宋_GB2312" w:eastAsia="仿宋_GB2312" w:cs="仿宋_GB2312"/>
          <w:sz w:val="32"/>
          <w:szCs w:val="32"/>
          <w:highlight w:val="none"/>
          <w:lang w:val="en-US" w:eastAsia="zh-CN"/>
        </w:rPr>
        <w:t>为8069人次提供临时救助</w:t>
      </w:r>
      <w:r>
        <w:rPr>
          <w:rFonts w:hint="eastAsia" w:ascii="仿宋_GB2312" w:hAnsi="仿宋_GB2312" w:cs="仿宋_GB2312"/>
          <w:sz w:val="32"/>
          <w:szCs w:val="32"/>
          <w:highlight w:val="none"/>
          <w:lang w:val="en-US" w:eastAsia="zh-CN"/>
        </w:rPr>
        <w:t>、低保对象救助实现应保尽保</w:t>
      </w:r>
      <w:r>
        <w:rPr>
          <w:rFonts w:hint="eastAsia" w:ascii="仿宋_GB2312" w:hAnsi="仿宋_GB2312" w:eastAsia="仿宋_GB2312" w:cs="仿宋_GB2312"/>
          <w:sz w:val="32"/>
          <w:szCs w:val="32"/>
          <w:highlight w:val="none"/>
        </w:rPr>
        <w:t>；救助</w:t>
      </w:r>
      <w:r>
        <w:rPr>
          <w:rFonts w:hint="eastAsia" w:ascii="仿宋_GB2312" w:hAnsi="仿宋_GB2312" w:eastAsia="仿宋_GB2312" w:cs="仿宋_GB2312"/>
          <w:sz w:val="32"/>
          <w:szCs w:val="32"/>
          <w:highlight w:val="none"/>
          <w:lang w:val="en-US" w:eastAsia="zh-CN"/>
        </w:rPr>
        <w:t>3047</w:t>
      </w:r>
      <w:r>
        <w:rPr>
          <w:rFonts w:hint="eastAsia" w:ascii="仿宋_GB2312" w:hAnsi="仿宋_GB2312" w:eastAsia="仿宋_GB2312" w:cs="仿宋_GB2312"/>
          <w:sz w:val="32"/>
          <w:szCs w:val="32"/>
          <w:highlight w:val="none"/>
        </w:rPr>
        <w:t>名流浪乞讨人员；为</w:t>
      </w:r>
      <w:r>
        <w:rPr>
          <w:rFonts w:hint="eastAsia" w:ascii="仿宋_GB2312" w:hAnsi="仿宋_GB2312" w:eastAsia="仿宋_GB2312" w:cs="仿宋_GB2312"/>
          <w:sz w:val="32"/>
          <w:szCs w:val="32"/>
          <w:highlight w:val="none"/>
          <w:lang w:val="en-US" w:eastAsia="zh-CN"/>
        </w:rPr>
        <w:t>171</w:t>
      </w:r>
      <w:r>
        <w:rPr>
          <w:rFonts w:hint="eastAsia" w:ascii="仿宋_GB2312" w:hAnsi="仿宋_GB2312" w:eastAsia="仿宋_GB2312" w:cs="仿宋_GB2312"/>
          <w:sz w:val="32"/>
          <w:szCs w:val="32"/>
          <w:highlight w:val="none"/>
        </w:rPr>
        <w:t>名生活无着儿童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1815名</w:t>
      </w:r>
      <w:r>
        <w:rPr>
          <w:rFonts w:hint="eastAsia" w:ascii="仿宋_GB2312" w:hAnsi="仿宋_GB2312" w:eastAsia="仿宋_GB2312" w:cs="仿宋_GB2312"/>
          <w:sz w:val="32"/>
          <w:szCs w:val="32"/>
          <w:highlight w:val="none"/>
        </w:rPr>
        <w:t>孤儿（含艾滋病病毒感染儿童、生活困难家庭中的事实无人抚养儿童）提供基本生活费补助</w:t>
      </w:r>
      <w:r>
        <w:rPr>
          <w:rFonts w:hint="eastAsia" w:ascii="仿宋_GB2312" w:hAnsi="仿宋_GB2312" w:eastAsia="仿宋_GB2312" w:cs="仿宋_GB2312"/>
          <w:sz w:val="32"/>
          <w:szCs w:val="32"/>
          <w:highlight w:val="none"/>
          <w:lang w:eastAsia="zh-CN"/>
        </w:rPr>
        <w:t>。求助的流浪乞讨人员救助率等</w:t>
      </w:r>
      <w:r>
        <w:rPr>
          <w:rFonts w:hint="eastAsia" w:ascii="仿宋_GB2312" w:hAnsi="仿宋_GB2312" w:eastAsia="仿宋_GB2312" w:cs="仿宋_GB2312"/>
          <w:sz w:val="32"/>
          <w:szCs w:val="32"/>
          <w:highlight w:val="none"/>
          <w:lang w:val="en-US" w:eastAsia="zh-CN"/>
        </w:rPr>
        <w:t>均达预期目标</w:t>
      </w:r>
      <w:r>
        <w:rPr>
          <w:rFonts w:hint="eastAsia" w:ascii="仿宋_GB2312" w:hAnsi="仿宋_GB2312" w:eastAsia="仿宋_GB2312" w:cs="仿宋_GB2312"/>
          <w:sz w:val="32"/>
          <w:szCs w:val="32"/>
          <w:highlight w:val="none"/>
        </w:rPr>
        <w:t>。</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highlight w:val="none"/>
        </w:rPr>
        <w:t>（2）质量指标。</w:t>
      </w:r>
      <w:r>
        <w:rPr>
          <w:rFonts w:hint="eastAsia" w:ascii="仿宋_GB2312" w:hAnsi="仿宋_GB2312" w:eastAsia="仿宋_GB2312" w:cs="仿宋_GB2312"/>
          <w:b w:val="0"/>
          <w:bCs w:val="0"/>
          <w:sz w:val="32"/>
          <w:szCs w:val="32"/>
          <w:highlight w:val="none"/>
          <w:lang w:eastAsia="zh-CN"/>
        </w:rPr>
        <w:t>低保、特困人员救助供养、临时</w:t>
      </w:r>
      <w:r>
        <w:rPr>
          <w:rFonts w:hint="eastAsia" w:ascii="仿宋_GB2312" w:hAnsi="仿宋_GB2312" w:eastAsia="仿宋_GB2312" w:cs="仿宋_GB2312"/>
          <w:sz w:val="32"/>
          <w:szCs w:val="32"/>
          <w:highlight w:val="none"/>
          <w:lang w:eastAsia="zh-CN"/>
        </w:rPr>
        <w:t>救助等</w:t>
      </w:r>
      <w:r>
        <w:rPr>
          <w:rFonts w:hint="eastAsia" w:ascii="仿宋_GB2312" w:hAnsi="仿宋_GB2312" w:eastAsia="仿宋_GB2312" w:cs="仿宋_GB2312"/>
          <w:sz w:val="32"/>
          <w:szCs w:val="32"/>
          <w:highlight w:val="none"/>
        </w:rPr>
        <w:t>工作严格按照文件要求执行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社会救助家庭覆盖</w:t>
      </w:r>
      <w:r>
        <w:rPr>
          <w:rFonts w:hint="eastAsia" w:ascii="仿宋_GB2312" w:hAnsi="仿宋_GB2312" w:eastAsia="仿宋_GB2312" w:cs="仿宋_GB2312"/>
          <w:sz w:val="32"/>
          <w:szCs w:val="32"/>
          <w:highlight w:val="none"/>
          <w:lang w:eastAsia="zh-CN"/>
        </w:rPr>
        <w:t>率</w:t>
      </w:r>
      <w:r>
        <w:rPr>
          <w:rFonts w:hint="eastAsia" w:ascii="仿宋_GB2312" w:hAnsi="仿宋_GB2312" w:eastAsia="仿宋_GB2312" w:cs="仿宋_GB2312"/>
          <w:sz w:val="32"/>
          <w:szCs w:val="32"/>
          <w:highlight w:val="none"/>
        </w:rPr>
        <w:t>达到100%，救助标准</w:t>
      </w:r>
      <w:r>
        <w:rPr>
          <w:rFonts w:hint="eastAsia" w:ascii="仿宋_GB2312" w:hAnsi="仿宋_GB2312" w:eastAsia="仿宋_GB2312" w:cs="仿宋_GB2312"/>
          <w:sz w:val="32"/>
          <w:szCs w:val="32"/>
          <w:highlight w:val="none"/>
          <w:lang w:val="en-US" w:eastAsia="zh-CN"/>
        </w:rPr>
        <w:t>不低于上年</w:t>
      </w:r>
      <w:r>
        <w:rPr>
          <w:rFonts w:hint="eastAsia" w:ascii="仿宋_GB2312" w:hAnsi="仿宋_GB2312" w:eastAsia="仿宋_GB2312" w:cs="仿宋_GB2312"/>
          <w:sz w:val="32"/>
          <w:szCs w:val="32"/>
          <w:highlight w:val="none"/>
        </w:rPr>
        <w:t>，社会化发放率达到9</w:t>
      </w:r>
      <w:r>
        <w:rPr>
          <w:rFonts w:hint="eastAsia" w:ascii="仿宋_GB2312" w:hAnsi="仿宋_GB2312" w:eastAsia="仿宋_GB2312" w:cs="仿宋_GB2312"/>
          <w:sz w:val="32"/>
          <w:szCs w:val="32"/>
          <w:highlight w:val="none"/>
          <w:lang w:val="en-US" w:eastAsia="zh-CN"/>
        </w:rPr>
        <w:t>8.54</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受助流浪乞讨精神病人基本生活保障率、医疗及安全保障覆盖率达100%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全市各区均建立了社会救助家庭经济状况核对机制，</w:t>
      </w:r>
      <w:r>
        <w:rPr>
          <w:rFonts w:hint="eastAsia" w:ascii="仿宋_GB2312" w:hAnsi="仿宋_GB2312" w:eastAsia="仿宋_GB2312" w:cs="仿宋_GB2312"/>
          <w:sz w:val="32"/>
          <w:szCs w:val="32"/>
          <w:highlight w:val="none"/>
        </w:rPr>
        <w:t>孤儿、艾滋病病毒感染儿童、事实无人抚养儿童</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认定准确率</w:t>
      </w:r>
      <w:r>
        <w:rPr>
          <w:rFonts w:hint="eastAsia" w:ascii="仿宋_GB2312" w:hAnsi="仿宋_GB2312" w:eastAsia="仿宋_GB2312" w:cs="仿宋_GB2312"/>
          <w:sz w:val="32"/>
          <w:szCs w:val="32"/>
          <w:highlight w:val="none"/>
          <w:lang w:val="en-US" w:eastAsia="zh-CN"/>
        </w:rPr>
        <w:t>不低于上年</w:t>
      </w:r>
      <w:r>
        <w:rPr>
          <w:rFonts w:hint="eastAsia" w:ascii="仿宋_GB2312" w:hAnsi="仿宋_GB2312" w:eastAsia="仿宋_GB2312" w:cs="仿宋_GB2312"/>
          <w:sz w:val="32"/>
          <w:szCs w:val="32"/>
          <w:highlight w:val="none"/>
        </w:rPr>
        <w:t>。</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highlight w:val="none"/>
        </w:rPr>
        <w:t>（3）时效指标。</w:t>
      </w:r>
      <w:r>
        <w:rPr>
          <w:rFonts w:hint="eastAsia" w:ascii="仿宋_GB2312" w:hAnsi="仿宋_GB2312" w:eastAsia="仿宋_GB2312" w:cs="仿宋_GB2312"/>
          <w:b w:val="0"/>
          <w:bCs w:val="0"/>
          <w:sz w:val="32"/>
          <w:szCs w:val="32"/>
          <w:highlight w:val="none"/>
          <w:lang w:val="en-US" w:eastAsia="zh-CN"/>
        </w:rPr>
        <w:t>按照政策要求及时下达中央财政困难群众救助补助资金。受助人员救助情况在当日录入救助管理信息系统率达98.36%。按照政策要求，按月向社会救助对象发放资金，困难群众基本生活救助和孤儿基本生活费按时发放率和流浪乞讨人员救助及时率均达到预期目标。</w:t>
      </w:r>
    </w:p>
    <w:p>
      <w:pPr>
        <w:spacing w:line="560" w:lineRule="exact"/>
        <w:ind w:firstLine="642"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2.效益指标完成情况分析</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充分发挥中央财政困难群众救助补助资金“保基本、兜底线、补短板、惠民生”的重要作用，扎实开展低保、特困人员救助供养、临时救助、流浪乞讨人员救助等各项工作，进一步完善了孤儿基本生活保障制度、生活无着儿童基本生活保障制度、流浪乞讨人员基本生活救助制度，提高了流浪乞讨人员对相关政策的知晓率。总体来看，困难群众基本生活保障效果显著，建立“物质+服务”的社会救助模式，有效满足了困难群众的多元需求；通过对流浪乞讨人员及时救助，帮助其摆脱困境，有效保障其基本生存权益，通过对儿童进行救助补助，提升了孤儿基本生活水平，维护了生活无着儿童合法权益，保障其健康成长。</w:t>
      </w:r>
    </w:p>
    <w:p>
      <w:pPr>
        <w:spacing w:line="560" w:lineRule="exact"/>
        <w:ind w:firstLine="642"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3.满意度指标完成情况分析</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highlight w:val="none"/>
          <w:lang w:eastAsia="zh-CN"/>
        </w:rPr>
        <w:t>经汇总各区报送情况，</w:t>
      </w:r>
      <w:r>
        <w:rPr>
          <w:rFonts w:hint="eastAsia" w:ascii="仿宋_GB2312" w:hAnsi="仿宋_GB2312" w:eastAsia="仿宋_GB2312" w:cs="仿宋_GB2312"/>
          <w:sz w:val="32"/>
          <w:szCs w:val="32"/>
          <w:highlight w:val="none"/>
          <w:lang w:val="en-US" w:eastAsia="zh-CN"/>
        </w:rPr>
        <w:t>救助对象对社会救助实施的满意度达到预期目标</w:t>
      </w:r>
      <w:r>
        <w:rPr>
          <w:rFonts w:hint="eastAsia" w:ascii="仿宋_GB2312" w:hAnsi="仿宋_GB2312" w:eastAsia="仿宋_GB2312" w:cs="仿宋_GB2312"/>
          <w:sz w:val="32"/>
          <w:szCs w:val="32"/>
          <w:highlight w:val="none"/>
        </w:rPr>
        <w:t>。</w:t>
      </w:r>
    </w:p>
    <w:p>
      <w:pPr>
        <w:spacing w:line="560" w:lineRule="exact"/>
        <w:ind w:firstLine="640" w:firstLineChars="200"/>
        <w:rPr>
          <w:rFonts w:hint="default" w:eastAsia="黑体"/>
          <w:sz w:val="32"/>
          <w:szCs w:val="32"/>
          <w:highlight w:val="none"/>
          <w:lang w:val="en-US" w:eastAsia="zh-CN"/>
        </w:rPr>
      </w:pPr>
      <w:r>
        <w:rPr>
          <w:rFonts w:eastAsia="黑体"/>
          <w:bCs/>
          <w:sz w:val="32"/>
          <w:szCs w:val="32"/>
          <w:highlight w:val="none"/>
        </w:rPr>
        <w:t>三、</w:t>
      </w:r>
      <w:r>
        <w:rPr>
          <w:rFonts w:hint="eastAsia" w:eastAsia="黑体"/>
          <w:bCs/>
          <w:sz w:val="32"/>
          <w:szCs w:val="32"/>
          <w:highlight w:val="none"/>
          <w:lang w:val="en-US" w:eastAsia="zh-CN"/>
        </w:rPr>
        <w:t>绩效自评结论</w:t>
      </w:r>
    </w:p>
    <w:p>
      <w:pPr>
        <w:spacing w:line="560" w:lineRule="exact"/>
        <w:ind w:firstLine="640" w:firstLineChars="200"/>
        <w:outlineLvl w:val="0"/>
        <w:rPr>
          <w:rFonts w:eastAsia="楷体_GB2312"/>
          <w:b w:val="0"/>
          <w:bCs w:val="0"/>
          <w:sz w:val="32"/>
          <w:szCs w:val="32"/>
          <w:highlight w:val="none"/>
        </w:rPr>
      </w:pPr>
      <w:r>
        <w:rPr>
          <w:rFonts w:eastAsia="楷体_GB2312"/>
          <w:b w:val="0"/>
          <w:bCs w:val="0"/>
          <w:sz w:val="32"/>
          <w:szCs w:val="32"/>
          <w:highlight w:val="none"/>
        </w:rPr>
        <w:t>（一）存在问题</w:t>
      </w:r>
    </w:p>
    <w:p>
      <w:pPr>
        <w:spacing w:line="560" w:lineRule="exact"/>
        <w:ind w:firstLine="640" w:firstLineChars="200"/>
        <w:rPr>
          <w:sz w:val="32"/>
          <w:szCs w:val="32"/>
          <w:highlight w:val="none"/>
        </w:rPr>
      </w:pPr>
      <w:r>
        <w:rPr>
          <w:sz w:val="32"/>
          <w:szCs w:val="32"/>
          <w:highlight w:val="none"/>
        </w:rPr>
        <w:t>随着预算绩效管理工作全面推进，中央财政困难群众救助补助资金绩效评价工作持续深入，各区、各单位绩效管理意识明显提升。但仍存在</w:t>
      </w:r>
      <w:r>
        <w:rPr>
          <w:rFonts w:hint="eastAsia"/>
          <w:sz w:val="32"/>
          <w:szCs w:val="32"/>
          <w:highlight w:val="none"/>
          <w:lang w:eastAsia="zh-CN"/>
        </w:rPr>
        <w:t>绩效目标指标设置结合工作实际不够紧密、</w:t>
      </w:r>
      <w:r>
        <w:rPr>
          <w:sz w:val="32"/>
          <w:szCs w:val="32"/>
          <w:highlight w:val="none"/>
        </w:rPr>
        <w:t>效益</w:t>
      </w:r>
      <w:r>
        <w:rPr>
          <w:rFonts w:hint="eastAsia"/>
          <w:sz w:val="32"/>
          <w:szCs w:val="32"/>
          <w:highlight w:val="none"/>
          <w:lang w:eastAsia="zh-CN"/>
        </w:rPr>
        <w:t>呈现总结</w:t>
      </w:r>
      <w:r>
        <w:rPr>
          <w:sz w:val="32"/>
          <w:szCs w:val="32"/>
          <w:highlight w:val="none"/>
        </w:rPr>
        <w:t>不够充分的</w:t>
      </w:r>
      <w:r>
        <w:rPr>
          <w:rFonts w:hint="eastAsia"/>
          <w:sz w:val="32"/>
          <w:szCs w:val="32"/>
          <w:highlight w:val="none"/>
          <w:lang w:eastAsia="zh-CN"/>
        </w:rPr>
        <w:t>情况</w:t>
      </w:r>
      <w:r>
        <w:rPr>
          <w:sz w:val="32"/>
          <w:szCs w:val="32"/>
          <w:highlight w:val="none"/>
        </w:rPr>
        <w:t>，一定程度影响</w:t>
      </w:r>
      <w:r>
        <w:rPr>
          <w:rFonts w:hint="eastAsia"/>
          <w:sz w:val="32"/>
          <w:szCs w:val="32"/>
          <w:highlight w:val="none"/>
          <w:lang w:eastAsia="zh-CN"/>
        </w:rPr>
        <w:t>了</w:t>
      </w:r>
      <w:r>
        <w:rPr>
          <w:sz w:val="32"/>
          <w:szCs w:val="32"/>
          <w:highlight w:val="none"/>
        </w:rPr>
        <w:t>资金使用效益效果。</w:t>
      </w:r>
    </w:p>
    <w:p>
      <w:pPr>
        <w:spacing w:line="560" w:lineRule="exact"/>
        <w:ind w:firstLine="640" w:firstLineChars="200"/>
        <w:outlineLvl w:val="0"/>
        <w:rPr>
          <w:rFonts w:eastAsia="楷体_GB2312"/>
          <w:b w:val="0"/>
          <w:bCs w:val="0"/>
          <w:sz w:val="32"/>
          <w:szCs w:val="32"/>
          <w:highlight w:val="none"/>
        </w:rPr>
      </w:pPr>
      <w:r>
        <w:rPr>
          <w:rFonts w:eastAsia="楷体_GB2312"/>
          <w:b w:val="0"/>
          <w:bCs w:val="0"/>
          <w:sz w:val="32"/>
          <w:szCs w:val="32"/>
          <w:highlight w:val="none"/>
        </w:rPr>
        <w:t>（二）下一步改进措施</w:t>
      </w:r>
    </w:p>
    <w:p>
      <w:pPr>
        <w:spacing w:line="560" w:lineRule="exact"/>
        <w:ind w:firstLine="640" w:firstLineChars="200"/>
        <w:rPr>
          <w:rFonts w:hint="default" w:ascii="仿宋_GB2312" w:hAnsi="仿宋_GB2312" w:eastAsia="仿宋_GB2312" w:cs="仿宋_GB2312"/>
          <w:highlight w:val="none"/>
          <w:lang w:eastAsia="zh-CN"/>
        </w:rPr>
      </w:pPr>
      <w:r>
        <w:rPr>
          <w:rFonts w:hint="eastAsia" w:ascii="仿宋_GB2312" w:hAnsi="仿宋_GB2312" w:cs="仿宋_GB2312"/>
          <w:sz w:val="32"/>
          <w:szCs w:val="32"/>
          <w:highlight w:val="none"/>
          <w:lang w:val="en-US" w:eastAsia="zh-CN"/>
        </w:rPr>
        <w:t>修订印发</w:t>
      </w:r>
      <w:r>
        <w:rPr>
          <w:rFonts w:hint="eastAsia"/>
          <w:sz w:val="32"/>
          <w:szCs w:val="32"/>
          <w:highlight w:val="none"/>
        </w:rPr>
        <w:t>《加强困难群众救助补助资金转移支付管理的实施意见》</w:t>
      </w:r>
      <w:r>
        <w:rPr>
          <w:rFonts w:hint="eastAsia"/>
          <w:sz w:val="32"/>
          <w:szCs w:val="32"/>
          <w:highlight w:val="none"/>
          <w:lang w:eastAsia="zh-CN"/>
        </w:rPr>
        <w:t>等政策文件，夯实市、区两级民政部门在转移支付</w:t>
      </w:r>
      <w:r>
        <w:rPr>
          <w:sz w:val="32"/>
          <w:szCs w:val="32"/>
          <w:highlight w:val="none"/>
        </w:rPr>
        <w:t>预算绩效管理中的</w:t>
      </w:r>
      <w:r>
        <w:rPr>
          <w:rFonts w:hint="eastAsia"/>
          <w:sz w:val="32"/>
          <w:szCs w:val="32"/>
          <w:highlight w:val="none"/>
          <w:lang w:eastAsia="zh-CN"/>
        </w:rPr>
        <w:t>职责任务</w:t>
      </w:r>
      <w:r>
        <w:rPr>
          <w:sz w:val="32"/>
          <w:szCs w:val="32"/>
          <w:highlight w:val="none"/>
        </w:rPr>
        <w:t>，</w:t>
      </w:r>
      <w:r>
        <w:rPr>
          <w:rFonts w:hint="eastAsia"/>
          <w:sz w:val="32"/>
          <w:szCs w:val="32"/>
          <w:highlight w:val="none"/>
          <w:lang w:eastAsia="zh-CN"/>
        </w:rPr>
        <w:t>细化转移支付预算绩效管理各环节工作流程，促进绩效管理意识持续提升和绩效管理方式不断优化。</w:t>
      </w:r>
    </w:p>
    <w:p>
      <w:pPr>
        <w:pStyle w:val="2"/>
        <w:ind w:left="0" w:leftChars="0" w:firstLine="0" w:firstLineChars="0"/>
      </w:pPr>
    </w:p>
    <w:sectPr>
      <w:pgSz w:w="11906" w:h="16838"/>
      <w:pgMar w:top="2098" w:right="1474" w:bottom="1984" w:left="1587" w:header="851" w:footer="992" w:gutter="0"/>
      <w:cols w:space="720" w:num="1"/>
      <w:docGrid w:type="lines" w:linePitch="41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宋体-简">
    <w:altName w:val="方正书宋_GBK"/>
    <w:panose1 w:val="02010800040101010101"/>
    <w:charset w:val="86"/>
    <w:family w:val="auto"/>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posOffset>2775585</wp:posOffset>
              </wp:positionH>
              <wp:positionV relativeFrom="paragraph">
                <wp:posOffset>1905</wp:posOffset>
              </wp:positionV>
              <wp:extent cx="269240" cy="131445"/>
              <wp:effectExtent l="0" t="0" r="0" b="0"/>
              <wp:wrapNone/>
              <wp:docPr id="1" name="文本框 1"/>
              <wp:cNvGraphicFramePr/>
              <a:graphic xmlns:a="http://schemas.openxmlformats.org/drawingml/2006/main">
                <a:graphicData uri="http://schemas.microsoft.com/office/word/2010/wordprocessingShape">
                  <wps:wsp>
                    <wps:cNvSpPr/>
                    <wps:spPr>
                      <a:xfrm>
                        <a:off x="0" y="0"/>
                        <a:ext cx="269240" cy="131445"/>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square" lIns="0" tIns="0" rIns="0" bIns="0" anchor="t" anchorCtr="false" upright="true">
                      <a:spAutoFit/>
                    </wps:bodyPr>
                  </wps:wsp>
                </a:graphicData>
              </a:graphic>
            </wp:anchor>
          </w:drawing>
        </mc:Choice>
        <mc:Fallback>
          <w:pict>
            <v:rect id="文本框 1" o:spid="_x0000_s1026" o:spt="1" style="position:absolute;left:0pt;margin-left:218.55pt;margin-top:0.15pt;height:10.35pt;width:21.2pt;mso-position-horizontal-relative:margin;z-index:251659264;mso-width-relative:page;mso-height-relative:page;" filled="f" stroked="f" coordsize="21600,21600" o:gfxdata="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aV2lPXAAAABwEAAA8AAAAAAAAAAQAg&#10;AAAAOAAAAGRycy9kb3ducmV2LnhtbFBLAQIUABQAAAAIAIdO4kAIOvCGwAEAAGEDAAAOAAAAAAAA&#10;AAEAIAAAADwBAABkcnMvZTJvRG9jLnhtbFBLBQYAAAAABgAGAFkBAABu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7"/>
        <w:rPr>
          <w:highlight w:val="none"/>
        </w:rPr>
      </w:pPr>
      <w:r>
        <w:rPr>
          <w:rStyle w:val="12"/>
          <w:highlight w:val="none"/>
        </w:rPr>
        <w:footnoteRef/>
      </w:r>
      <w:r>
        <w:rPr>
          <w:highlight w:val="none"/>
        </w:rPr>
        <w:t xml:space="preserve"> </w:t>
      </w:r>
      <w:r>
        <w:rPr>
          <w:rFonts w:hint="eastAsia"/>
          <w:color w:val="000000"/>
          <w:highlight w:val="none"/>
        </w:rPr>
        <w:t>按照四舍五入原则保留两位小数，导致表内数据的和与合计数存在</w:t>
      </w:r>
      <w:r>
        <w:rPr>
          <w:color w:val="000000"/>
          <w:highlight w:val="none"/>
        </w:rPr>
        <w:t>0</w:t>
      </w:r>
      <w:r>
        <w:rPr>
          <w:rFonts w:hint="eastAsia"/>
          <w:color w:val="000000"/>
          <w:highlight w:val="none"/>
        </w:rPr>
        <w:t>.</w:t>
      </w:r>
      <w:r>
        <w:rPr>
          <w:color w:val="000000"/>
          <w:highlight w:val="none"/>
        </w:rPr>
        <w:t>01</w:t>
      </w:r>
      <w:r>
        <w:rPr>
          <w:rFonts w:hint="eastAsia"/>
          <w:color w:val="000000"/>
          <w:highlight w:val="none"/>
        </w:rPr>
        <w:t>的差值。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NotTrackMoves/>
  <w:revisionView w:markup="0"/>
  <w:trackRevisions w:val="true"/>
  <w:documentProtection w:enforcement="0"/>
  <w:defaultTabStop w:val="0"/>
  <w:drawingGridHorizontalSpacing w:val="150"/>
  <w:drawingGridVerticalSpacing w:val="411"/>
  <w:displayHorizontalDrawingGridEvery w:val="1"/>
  <w:displayVerticalDrawingGridEvery w:val="1"/>
  <w:noPunctuationKerning w:val="true"/>
  <w:characterSpacingControl w:val="compressPunctuation"/>
  <w:hdrShapeDefaults>
    <o:shapelayout v:ext="edit">
      <o:idmap v:ext="edit" data="1"/>
    </o:shapelayout>
  </w:hdrShapeDefaults>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82"/>
    <w:rsid w:val="00005FD3"/>
    <w:rsid w:val="000101E1"/>
    <w:rsid w:val="00015046"/>
    <w:rsid w:val="00017645"/>
    <w:rsid w:val="00024D06"/>
    <w:rsid w:val="00032539"/>
    <w:rsid w:val="000326C2"/>
    <w:rsid w:val="00033C7D"/>
    <w:rsid w:val="00034CC3"/>
    <w:rsid w:val="00035B1D"/>
    <w:rsid w:val="00036C45"/>
    <w:rsid w:val="000370D0"/>
    <w:rsid w:val="00040C68"/>
    <w:rsid w:val="00041A35"/>
    <w:rsid w:val="00041ACC"/>
    <w:rsid w:val="00041E17"/>
    <w:rsid w:val="00042341"/>
    <w:rsid w:val="00045B85"/>
    <w:rsid w:val="0005174E"/>
    <w:rsid w:val="00052C7B"/>
    <w:rsid w:val="0005766B"/>
    <w:rsid w:val="00060A52"/>
    <w:rsid w:val="00062848"/>
    <w:rsid w:val="00063D0E"/>
    <w:rsid w:val="0006495A"/>
    <w:rsid w:val="000704F3"/>
    <w:rsid w:val="00072415"/>
    <w:rsid w:val="000732DA"/>
    <w:rsid w:val="00073E8F"/>
    <w:rsid w:val="00075CDC"/>
    <w:rsid w:val="000760F1"/>
    <w:rsid w:val="00076845"/>
    <w:rsid w:val="0008448F"/>
    <w:rsid w:val="00085FCB"/>
    <w:rsid w:val="00086144"/>
    <w:rsid w:val="0008673C"/>
    <w:rsid w:val="00094380"/>
    <w:rsid w:val="000A56C0"/>
    <w:rsid w:val="000A63EE"/>
    <w:rsid w:val="000B1E8F"/>
    <w:rsid w:val="000B1FDB"/>
    <w:rsid w:val="000B6CC0"/>
    <w:rsid w:val="000B6CC4"/>
    <w:rsid w:val="000C4890"/>
    <w:rsid w:val="000C52D3"/>
    <w:rsid w:val="000C6D20"/>
    <w:rsid w:val="000C6D62"/>
    <w:rsid w:val="000C74FA"/>
    <w:rsid w:val="000D22FC"/>
    <w:rsid w:val="000D28A1"/>
    <w:rsid w:val="000D71E1"/>
    <w:rsid w:val="000E2146"/>
    <w:rsid w:val="000E258B"/>
    <w:rsid w:val="000E26F2"/>
    <w:rsid w:val="000E515D"/>
    <w:rsid w:val="000E699A"/>
    <w:rsid w:val="000E7AA5"/>
    <w:rsid w:val="000F0670"/>
    <w:rsid w:val="000F7BC9"/>
    <w:rsid w:val="00101F7E"/>
    <w:rsid w:val="00103D16"/>
    <w:rsid w:val="00104C71"/>
    <w:rsid w:val="00105C4F"/>
    <w:rsid w:val="00110138"/>
    <w:rsid w:val="0011666B"/>
    <w:rsid w:val="00117228"/>
    <w:rsid w:val="00124B37"/>
    <w:rsid w:val="001259E7"/>
    <w:rsid w:val="0013537F"/>
    <w:rsid w:val="001418B8"/>
    <w:rsid w:val="001513A9"/>
    <w:rsid w:val="00152ADD"/>
    <w:rsid w:val="00153659"/>
    <w:rsid w:val="001609FA"/>
    <w:rsid w:val="0016121E"/>
    <w:rsid w:val="00161BA0"/>
    <w:rsid w:val="00164676"/>
    <w:rsid w:val="00164D84"/>
    <w:rsid w:val="001702B5"/>
    <w:rsid w:val="00180A5D"/>
    <w:rsid w:val="0018135E"/>
    <w:rsid w:val="00181BC5"/>
    <w:rsid w:val="001845EF"/>
    <w:rsid w:val="0018528C"/>
    <w:rsid w:val="001878FA"/>
    <w:rsid w:val="00190B97"/>
    <w:rsid w:val="001A0987"/>
    <w:rsid w:val="001A12BD"/>
    <w:rsid w:val="001A181D"/>
    <w:rsid w:val="001A27D6"/>
    <w:rsid w:val="001A3542"/>
    <w:rsid w:val="001A58ED"/>
    <w:rsid w:val="001B2511"/>
    <w:rsid w:val="001B7ADB"/>
    <w:rsid w:val="001C0177"/>
    <w:rsid w:val="001C0EFA"/>
    <w:rsid w:val="001C2E3A"/>
    <w:rsid w:val="001C2E3E"/>
    <w:rsid w:val="001C2E96"/>
    <w:rsid w:val="001C3B73"/>
    <w:rsid w:val="001C7AF4"/>
    <w:rsid w:val="001D0BA6"/>
    <w:rsid w:val="001D1537"/>
    <w:rsid w:val="001D313C"/>
    <w:rsid w:val="001D3A18"/>
    <w:rsid w:val="001D6420"/>
    <w:rsid w:val="001D64EF"/>
    <w:rsid w:val="001D6E9C"/>
    <w:rsid w:val="001E032C"/>
    <w:rsid w:val="001E37FD"/>
    <w:rsid w:val="001E3D86"/>
    <w:rsid w:val="001E5034"/>
    <w:rsid w:val="001E6A77"/>
    <w:rsid w:val="001E738A"/>
    <w:rsid w:val="001E7C4E"/>
    <w:rsid w:val="001F151A"/>
    <w:rsid w:val="001F1A6A"/>
    <w:rsid w:val="001F3873"/>
    <w:rsid w:val="002019FD"/>
    <w:rsid w:val="002020D9"/>
    <w:rsid w:val="00205CC5"/>
    <w:rsid w:val="002074B7"/>
    <w:rsid w:val="00207A86"/>
    <w:rsid w:val="00212F8C"/>
    <w:rsid w:val="002151AB"/>
    <w:rsid w:val="002201B7"/>
    <w:rsid w:val="00223EE7"/>
    <w:rsid w:val="00227825"/>
    <w:rsid w:val="002317EB"/>
    <w:rsid w:val="00235949"/>
    <w:rsid w:val="00237C8F"/>
    <w:rsid w:val="00240FF7"/>
    <w:rsid w:val="00241801"/>
    <w:rsid w:val="00246E8B"/>
    <w:rsid w:val="00246EEC"/>
    <w:rsid w:val="00247AA2"/>
    <w:rsid w:val="00250053"/>
    <w:rsid w:val="00251C3B"/>
    <w:rsid w:val="00253CE8"/>
    <w:rsid w:val="00254380"/>
    <w:rsid w:val="00255DF0"/>
    <w:rsid w:val="00256041"/>
    <w:rsid w:val="00257C95"/>
    <w:rsid w:val="00267FAD"/>
    <w:rsid w:val="002701C7"/>
    <w:rsid w:val="0027168A"/>
    <w:rsid w:val="0027424D"/>
    <w:rsid w:val="00280776"/>
    <w:rsid w:val="00284A57"/>
    <w:rsid w:val="00296B56"/>
    <w:rsid w:val="002A0093"/>
    <w:rsid w:val="002A14DF"/>
    <w:rsid w:val="002A1A9C"/>
    <w:rsid w:val="002A275E"/>
    <w:rsid w:val="002A5155"/>
    <w:rsid w:val="002A6CDF"/>
    <w:rsid w:val="002B18A9"/>
    <w:rsid w:val="002B2DA2"/>
    <w:rsid w:val="002B3A06"/>
    <w:rsid w:val="002B3C4A"/>
    <w:rsid w:val="002B5992"/>
    <w:rsid w:val="002B71D9"/>
    <w:rsid w:val="002C31F4"/>
    <w:rsid w:val="002C3464"/>
    <w:rsid w:val="002D202F"/>
    <w:rsid w:val="002D6522"/>
    <w:rsid w:val="002D65EB"/>
    <w:rsid w:val="002D6E70"/>
    <w:rsid w:val="002E271B"/>
    <w:rsid w:val="002E2C47"/>
    <w:rsid w:val="002E4419"/>
    <w:rsid w:val="002E5A0B"/>
    <w:rsid w:val="002E5D24"/>
    <w:rsid w:val="002E61A9"/>
    <w:rsid w:val="002E6C28"/>
    <w:rsid w:val="002F1CB6"/>
    <w:rsid w:val="002F285D"/>
    <w:rsid w:val="002F3B6F"/>
    <w:rsid w:val="002F5FBF"/>
    <w:rsid w:val="002F6705"/>
    <w:rsid w:val="002F71D9"/>
    <w:rsid w:val="002F73E8"/>
    <w:rsid w:val="003001FB"/>
    <w:rsid w:val="0030155C"/>
    <w:rsid w:val="00301FC0"/>
    <w:rsid w:val="003066AB"/>
    <w:rsid w:val="003067BC"/>
    <w:rsid w:val="00307276"/>
    <w:rsid w:val="003153DD"/>
    <w:rsid w:val="003157A2"/>
    <w:rsid w:val="00316BBF"/>
    <w:rsid w:val="0031754B"/>
    <w:rsid w:val="003234FC"/>
    <w:rsid w:val="003238B1"/>
    <w:rsid w:val="00324320"/>
    <w:rsid w:val="0032454B"/>
    <w:rsid w:val="00327246"/>
    <w:rsid w:val="00327758"/>
    <w:rsid w:val="003352AE"/>
    <w:rsid w:val="00335AA6"/>
    <w:rsid w:val="00335F40"/>
    <w:rsid w:val="003407B7"/>
    <w:rsid w:val="00342EF4"/>
    <w:rsid w:val="003548DC"/>
    <w:rsid w:val="00356B62"/>
    <w:rsid w:val="003577A6"/>
    <w:rsid w:val="00360491"/>
    <w:rsid w:val="003622C7"/>
    <w:rsid w:val="00363197"/>
    <w:rsid w:val="00363DB8"/>
    <w:rsid w:val="00371BE4"/>
    <w:rsid w:val="003723B4"/>
    <w:rsid w:val="0037452F"/>
    <w:rsid w:val="00387DD5"/>
    <w:rsid w:val="00390C41"/>
    <w:rsid w:val="003944DA"/>
    <w:rsid w:val="003A0433"/>
    <w:rsid w:val="003A2C2C"/>
    <w:rsid w:val="003A2E4C"/>
    <w:rsid w:val="003A2FCB"/>
    <w:rsid w:val="003A5DFC"/>
    <w:rsid w:val="003B0C7B"/>
    <w:rsid w:val="003B5991"/>
    <w:rsid w:val="003B69D0"/>
    <w:rsid w:val="003C21DC"/>
    <w:rsid w:val="003C549D"/>
    <w:rsid w:val="003C6243"/>
    <w:rsid w:val="003C6374"/>
    <w:rsid w:val="003D02D5"/>
    <w:rsid w:val="003E3F48"/>
    <w:rsid w:val="003E4184"/>
    <w:rsid w:val="003F085F"/>
    <w:rsid w:val="003F2C1D"/>
    <w:rsid w:val="003F3ABE"/>
    <w:rsid w:val="003F6795"/>
    <w:rsid w:val="00400730"/>
    <w:rsid w:val="00400748"/>
    <w:rsid w:val="0040164D"/>
    <w:rsid w:val="004030D0"/>
    <w:rsid w:val="004059FE"/>
    <w:rsid w:val="0040623D"/>
    <w:rsid w:val="00407003"/>
    <w:rsid w:val="00407F63"/>
    <w:rsid w:val="00410C83"/>
    <w:rsid w:val="0041206A"/>
    <w:rsid w:val="0041446F"/>
    <w:rsid w:val="00416A6D"/>
    <w:rsid w:val="0041784A"/>
    <w:rsid w:val="00421F95"/>
    <w:rsid w:val="00423092"/>
    <w:rsid w:val="00424C68"/>
    <w:rsid w:val="00431155"/>
    <w:rsid w:val="004426CD"/>
    <w:rsid w:val="00444D62"/>
    <w:rsid w:val="00453496"/>
    <w:rsid w:val="00453C05"/>
    <w:rsid w:val="00455C68"/>
    <w:rsid w:val="00457EA4"/>
    <w:rsid w:val="00461942"/>
    <w:rsid w:val="004642B5"/>
    <w:rsid w:val="0047416E"/>
    <w:rsid w:val="00476A71"/>
    <w:rsid w:val="00482470"/>
    <w:rsid w:val="004848ED"/>
    <w:rsid w:val="0049235D"/>
    <w:rsid w:val="00493012"/>
    <w:rsid w:val="00493166"/>
    <w:rsid w:val="0049547A"/>
    <w:rsid w:val="00497523"/>
    <w:rsid w:val="004A37A6"/>
    <w:rsid w:val="004A3851"/>
    <w:rsid w:val="004A438B"/>
    <w:rsid w:val="004A6EC8"/>
    <w:rsid w:val="004A7145"/>
    <w:rsid w:val="004B10B4"/>
    <w:rsid w:val="004B3BD3"/>
    <w:rsid w:val="004B563B"/>
    <w:rsid w:val="004B58D1"/>
    <w:rsid w:val="004C15DA"/>
    <w:rsid w:val="004C2BA4"/>
    <w:rsid w:val="004C384C"/>
    <w:rsid w:val="004C7EC7"/>
    <w:rsid w:val="004D1495"/>
    <w:rsid w:val="004D2693"/>
    <w:rsid w:val="004D76A4"/>
    <w:rsid w:val="004E426E"/>
    <w:rsid w:val="004E47A9"/>
    <w:rsid w:val="004E49FF"/>
    <w:rsid w:val="004E5D24"/>
    <w:rsid w:val="004E5F17"/>
    <w:rsid w:val="005005FD"/>
    <w:rsid w:val="0050184A"/>
    <w:rsid w:val="0050291C"/>
    <w:rsid w:val="00504ED4"/>
    <w:rsid w:val="005069DA"/>
    <w:rsid w:val="00506C29"/>
    <w:rsid w:val="005100DE"/>
    <w:rsid w:val="00512397"/>
    <w:rsid w:val="00513D35"/>
    <w:rsid w:val="0051565E"/>
    <w:rsid w:val="00515EEB"/>
    <w:rsid w:val="005210CB"/>
    <w:rsid w:val="00522954"/>
    <w:rsid w:val="00524BF2"/>
    <w:rsid w:val="0052590C"/>
    <w:rsid w:val="00531927"/>
    <w:rsid w:val="005321FD"/>
    <w:rsid w:val="005324EB"/>
    <w:rsid w:val="00532D11"/>
    <w:rsid w:val="00537839"/>
    <w:rsid w:val="00540A2B"/>
    <w:rsid w:val="0054135E"/>
    <w:rsid w:val="00545972"/>
    <w:rsid w:val="0054671D"/>
    <w:rsid w:val="00551273"/>
    <w:rsid w:val="00552F6E"/>
    <w:rsid w:val="005536EE"/>
    <w:rsid w:val="00553FDA"/>
    <w:rsid w:val="00554995"/>
    <w:rsid w:val="00556CBE"/>
    <w:rsid w:val="005606EE"/>
    <w:rsid w:val="0056185E"/>
    <w:rsid w:val="00562AA2"/>
    <w:rsid w:val="00565114"/>
    <w:rsid w:val="005678E0"/>
    <w:rsid w:val="005743F5"/>
    <w:rsid w:val="005745EC"/>
    <w:rsid w:val="00574B0C"/>
    <w:rsid w:val="00580EC5"/>
    <w:rsid w:val="00582992"/>
    <w:rsid w:val="00584AE4"/>
    <w:rsid w:val="00584F70"/>
    <w:rsid w:val="0059297A"/>
    <w:rsid w:val="005970ED"/>
    <w:rsid w:val="005A0A67"/>
    <w:rsid w:val="005A5550"/>
    <w:rsid w:val="005B145F"/>
    <w:rsid w:val="005B1E51"/>
    <w:rsid w:val="005B2CDB"/>
    <w:rsid w:val="005B363B"/>
    <w:rsid w:val="005B7A65"/>
    <w:rsid w:val="005C5DB9"/>
    <w:rsid w:val="005C7EED"/>
    <w:rsid w:val="005D1AA6"/>
    <w:rsid w:val="005D511B"/>
    <w:rsid w:val="005D5C38"/>
    <w:rsid w:val="005D7CC3"/>
    <w:rsid w:val="005E056B"/>
    <w:rsid w:val="005E3210"/>
    <w:rsid w:val="005E45A4"/>
    <w:rsid w:val="005E4B5F"/>
    <w:rsid w:val="005E52DC"/>
    <w:rsid w:val="005E76C3"/>
    <w:rsid w:val="005F42C0"/>
    <w:rsid w:val="005F6E99"/>
    <w:rsid w:val="006032C4"/>
    <w:rsid w:val="00606568"/>
    <w:rsid w:val="00610A78"/>
    <w:rsid w:val="00610D58"/>
    <w:rsid w:val="0061109E"/>
    <w:rsid w:val="006136AE"/>
    <w:rsid w:val="00613863"/>
    <w:rsid w:val="00621C10"/>
    <w:rsid w:val="00622D10"/>
    <w:rsid w:val="00624DEA"/>
    <w:rsid w:val="00633A99"/>
    <w:rsid w:val="00634F5C"/>
    <w:rsid w:val="00641B00"/>
    <w:rsid w:val="00641E11"/>
    <w:rsid w:val="00644A57"/>
    <w:rsid w:val="006459B4"/>
    <w:rsid w:val="00645B84"/>
    <w:rsid w:val="0065066D"/>
    <w:rsid w:val="00653E46"/>
    <w:rsid w:val="00656186"/>
    <w:rsid w:val="00656375"/>
    <w:rsid w:val="00656FAF"/>
    <w:rsid w:val="0066049B"/>
    <w:rsid w:val="00660951"/>
    <w:rsid w:val="00661D85"/>
    <w:rsid w:val="00663821"/>
    <w:rsid w:val="0066793F"/>
    <w:rsid w:val="00672846"/>
    <w:rsid w:val="00680EF3"/>
    <w:rsid w:val="00684440"/>
    <w:rsid w:val="00684D94"/>
    <w:rsid w:val="0068692A"/>
    <w:rsid w:val="00691A30"/>
    <w:rsid w:val="00691C80"/>
    <w:rsid w:val="00691DFC"/>
    <w:rsid w:val="0069203E"/>
    <w:rsid w:val="00693D62"/>
    <w:rsid w:val="00696936"/>
    <w:rsid w:val="006A07C3"/>
    <w:rsid w:val="006A3481"/>
    <w:rsid w:val="006A3865"/>
    <w:rsid w:val="006C0539"/>
    <w:rsid w:val="006C329D"/>
    <w:rsid w:val="006C33C5"/>
    <w:rsid w:val="006C45DC"/>
    <w:rsid w:val="006D1AE5"/>
    <w:rsid w:val="006D1CBD"/>
    <w:rsid w:val="006E00B7"/>
    <w:rsid w:val="006E04B5"/>
    <w:rsid w:val="006E511F"/>
    <w:rsid w:val="006E7414"/>
    <w:rsid w:val="006E7B88"/>
    <w:rsid w:val="006F3CAB"/>
    <w:rsid w:val="006F6441"/>
    <w:rsid w:val="006F69DE"/>
    <w:rsid w:val="006F6C76"/>
    <w:rsid w:val="00702BD2"/>
    <w:rsid w:val="007037D7"/>
    <w:rsid w:val="007040C3"/>
    <w:rsid w:val="00705BFC"/>
    <w:rsid w:val="00705CE8"/>
    <w:rsid w:val="007062F3"/>
    <w:rsid w:val="007112E4"/>
    <w:rsid w:val="00724A6B"/>
    <w:rsid w:val="0072794A"/>
    <w:rsid w:val="007309A2"/>
    <w:rsid w:val="007310AD"/>
    <w:rsid w:val="00731959"/>
    <w:rsid w:val="007324AA"/>
    <w:rsid w:val="007333DB"/>
    <w:rsid w:val="00733EE7"/>
    <w:rsid w:val="00734077"/>
    <w:rsid w:val="00736C3D"/>
    <w:rsid w:val="00737AC9"/>
    <w:rsid w:val="00744ACB"/>
    <w:rsid w:val="007464CD"/>
    <w:rsid w:val="007508DB"/>
    <w:rsid w:val="00750A46"/>
    <w:rsid w:val="007529C9"/>
    <w:rsid w:val="00760F3E"/>
    <w:rsid w:val="00765661"/>
    <w:rsid w:val="00766252"/>
    <w:rsid w:val="0076783A"/>
    <w:rsid w:val="007704B1"/>
    <w:rsid w:val="00771EF2"/>
    <w:rsid w:val="00774363"/>
    <w:rsid w:val="00775338"/>
    <w:rsid w:val="007827A4"/>
    <w:rsid w:val="007845E7"/>
    <w:rsid w:val="0078524F"/>
    <w:rsid w:val="00792182"/>
    <w:rsid w:val="007928A2"/>
    <w:rsid w:val="007948EA"/>
    <w:rsid w:val="00795481"/>
    <w:rsid w:val="00796552"/>
    <w:rsid w:val="00796A74"/>
    <w:rsid w:val="007A1840"/>
    <w:rsid w:val="007A4B3C"/>
    <w:rsid w:val="007B03B2"/>
    <w:rsid w:val="007B1164"/>
    <w:rsid w:val="007B32B1"/>
    <w:rsid w:val="007B3729"/>
    <w:rsid w:val="007B3B5E"/>
    <w:rsid w:val="007B5439"/>
    <w:rsid w:val="007B5B43"/>
    <w:rsid w:val="007B7717"/>
    <w:rsid w:val="007C0252"/>
    <w:rsid w:val="007C7A4D"/>
    <w:rsid w:val="007E08D6"/>
    <w:rsid w:val="007E3634"/>
    <w:rsid w:val="007E65FE"/>
    <w:rsid w:val="007F008C"/>
    <w:rsid w:val="007F1062"/>
    <w:rsid w:val="007F23CF"/>
    <w:rsid w:val="007F3DC8"/>
    <w:rsid w:val="007F5C2B"/>
    <w:rsid w:val="007F7DB6"/>
    <w:rsid w:val="00804346"/>
    <w:rsid w:val="008048F3"/>
    <w:rsid w:val="00813465"/>
    <w:rsid w:val="00813A29"/>
    <w:rsid w:val="008161D4"/>
    <w:rsid w:val="00816E71"/>
    <w:rsid w:val="00817A4D"/>
    <w:rsid w:val="00831F87"/>
    <w:rsid w:val="00840D6F"/>
    <w:rsid w:val="00840EEB"/>
    <w:rsid w:val="00852071"/>
    <w:rsid w:val="0085286F"/>
    <w:rsid w:val="00852A86"/>
    <w:rsid w:val="008566BA"/>
    <w:rsid w:val="00862D48"/>
    <w:rsid w:val="00863502"/>
    <w:rsid w:val="00863B93"/>
    <w:rsid w:val="00863BDD"/>
    <w:rsid w:val="00871EE6"/>
    <w:rsid w:val="00874D11"/>
    <w:rsid w:val="00875931"/>
    <w:rsid w:val="00875D33"/>
    <w:rsid w:val="00881BB2"/>
    <w:rsid w:val="008907BA"/>
    <w:rsid w:val="0089792F"/>
    <w:rsid w:val="008A79E2"/>
    <w:rsid w:val="008B1F87"/>
    <w:rsid w:val="008B6239"/>
    <w:rsid w:val="008C01B9"/>
    <w:rsid w:val="008C01ED"/>
    <w:rsid w:val="008C05B4"/>
    <w:rsid w:val="008C5888"/>
    <w:rsid w:val="008C6CB3"/>
    <w:rsid w:val="008C747E"/>
    <w:rsid w:val="008D2CAD"/>
    <w:rsid w:val="008E091D"/>
    <w:rsid w:val="008E1ABB"/>
    <w:rsid w:val="008E282D"/>
    <w:rsid w:val="008E327A"/>
    <w:rsid w:val="008F00D2"/>
    <w:rsid w:val="008F51E4"/>
    <w:rsid w:val="009024C5"/>
    <w:rsid w:val="00905F14"/>
    <w:rsid w:val="00906EB9"/>
    <w:rsid w:val="00907A75"/>
    <w:rsid w:val="00911DBA"/>
    <w:rsid w:val="00922D66"/>
    <w:rsid w:val="009248C5"/>
    <w:rsid w:val="00926085"/>
    <w:rsid w:val="00930542"/>
    <w:rsid w:val="009319BC"/>
    <w:rsid w:val="00937811"/>
    <w:rsid w:val="009404F9"/>
    <w:rsid w:val="0095210B"/>
    <w:rsid w:val="0095498E"/>
    <w:rsid w:val="00961CBF"/>
    <w:rsid w:val="009621EE"/>
    <w:rsid w:val="009733A5"/>
    <w:rsid w:val="00983F25"/>
    <w:rsid w:val="00984477"/>
    <w:rsid w:val="00984B3A"/>
    <w:rsid w:val="0098526C"/>
    <w:rsid w:val="00992B8B"/>
    <w:rsid w:val="00992CDC"/>
    <w:rsid w:val="0099319D"/>
    <w:rsid w:val="009959D7"/>
    <w:rsid w:val="009A02B0"/>
    <w:rsid w:val="009A0529"/>
    <w:rsid w:val="009A57CF"/>
    <w:rsid w:val="009A6D2E"/>
    <w:rsid w:val="009A724F"/>
    <w:rsid w:val="009B10E8"/>
    <w:rsid w:val="009B39E9"/>
    <w:rsid w:val="009B3F8A"/>
    <w:rsid w:val="009B7302"/>
    <w:rsid w:val="009C1C52"/>
    <w:rsid w:val="009C4306"/>
    <w:rsid w:val="009C4F10"/>
    <w:rsid w:val="009C55F4"/>
    <w:rsid w:val="009C5656"/>
    <w:rsid w:val="009C63DC"/>
    <w:rsid w:val="009D3331"/>
    <w:rsid w:val="009D3761"/>
    <w:rsid w:val="009E230B"/>
    <w:rsid w:val="009E33C5"/>
    <w:rsid w:val="009E5835"/>
    <w:rsid w:val="009E61D4"/>
    <w:rsid w:val="009E64CF"/>
    <w:rsid w:val="009E6A6B"/>
    <w:rsid w:val="009E7334"/>
    <w:rsid w:val="009E7C42"/>
    <w:rsid w:val="009F052D"/>
    <w:rsid w:val="009F40A1"/>
    <w:rsid w:val="00A01240"/>
    <w:rsid w:val="00A01CB9"/>
    <w:rsid w:val="00A0311A"/>
    <w:rsid w:val="00A06AE5"/>
    <w:rsid w:val="00A06C29"/>
    <w:rsid w:val="00A10101"/>
    <w:rsid w:val="00A1488B"/>
    <w:rsid w:val="00A16165"/>
    <w:rsid w:val="00A21D91"/>
    <w:rsid w:val="00A22413"/>
    <w:rsid w:val="00A23612"/>
    <w:rsid w:val="00A253A4"/>
    <w:rsid w:val="00A26D9F"/>
    <w:rsid w:val="00A31F5E"/>
    <w:rsid w:val="00A32F4A"/>
    <w:rsid w:val="00A33AA7"/>
    <w:rsid w:val="00A364AE"/>
    <w:rsid w:val="00A369CD"/>
    <w:rsid w:val="00A36C70"/>
    <w:rsid w:val="00A37413"/>
    <w:rsid w:val="00A40E50"/>
    <w:rsid w:val="00A423BE"/>
    <w:rsid w:val="00A43DB9"/>
    <w:rsid w:val="00A47F86"/>
    <w:rsid w:val="00A5480D"/>
    <w:rsid w:val="00A549CA"/>
    <w:rsid w:val="00A54C70"/>
    <w:rsid w:val="00A60B73"/>
    <w:rsid w:val="00A615E9"/>
    <w:rsid w:val="00A61E49"/>
    <w:rsid w:val="00A6352F"/>
    <w:rsid w:val="00A63CB8"/>
    <w:rsid w:val="00A648C1"/>
    <w:rsid w:val="00A64ECF"/>
    <w:rsid w:val="00A67094"/>
    <w:rsid w:val="00A724FC"/>
    <w:rsid w:val="00A74762"/>
    <w:rsid w:val="00A753A1"/>
    <w:rsid w:val="00A755C1"/>
    <w:rsid w:val="00A76C5B"/>
    <w:rsid w:val="00A81990"/>
    <w:rsid w:val="00A820B9"/>
    <w:rsid w:val="00A87A66"/>
    <w:rsid w:val="00A92363"/>
    <w:rsid w:val="00A92C8F"/>
    <w:rsid w:val="00AA5310"/>
    <w:rsid w:val="00AB10C0"/>
    <w:rsid w:val="00AB15E9"/>
    <w:rsid w:val="00AB1EBD"/>
    <w:rsid w:val="00AB64FC"/>
    <w:rsid w:val="00AC19E4"/>
    <w:rsid w:val="00AC2724"/>
    <w:rsid w:val="00AC327D"/>
    <w:rsid w:val="00AC6698"/>
    <w:rsid w:val="00AC68E3"/>
    <w:rsid w:val="00AD140F"/>
    <w:rsid w:val="00AD23B9"/>
    <w:rsid w:val="00AD32B0"/>
    <w:rsid w:val="00AD7D83"/>
    <w:rsid w:val="00AD7ED9"/>
    <w:rsid w:val="00AE16F8"/>
    <w:rsid w:val="00AE1A95"/>
    <w:rsid w:val="00AE634A"/>
    <w:rsid w:val="00AE674C"/>
    <w:rsid w:val="00AE6CFF"/>
    <w:rsid w:val="00AF54F1"/>
    <w:rsid w:val="00AF67E8"/>
    <w:rsid w:val="00B03F66"/>
    <w:rsid w:val="00B0511F"/>
    <w:rsid w:val="00B06C3A"/>
    <w:rsid w:val="00B14AA1"/>
    <w:rsid w:val="00B17E86"/>
    <w:rsid w:val="00B21E2E"/>
    <w:rsid w:val="00B22074"/>
    <w:rsid w:val="00B30ECB"/>
    <w:rsid w:val="00B33B3C"/>
    <w:rsid w:val="00B4346A"/>
    <w:rsid w:val="00B53561"/>
    <w:rsid w:val="00B60149"/>
    <w:rsid w:val="00B61641"/>
    <w:rsid w:val="00B65701"/>
    <w:rsid w:val="00B66C58"/>
    <w:rsid w:val="00B6734A"/>
    <w:rsid w:val="00B67EE4"/>
    <w:rsid w:val="00B7078D"/>
    <w:rsid w:val="00B711E5"/>
    <w:rsid w:val="00B75655"/>
    <w:rsid w:val="00B7615C"/>
    <w:rsid w:val="00B7693C"/>
    <w:rsid w:val="00B80F4E"/>
    <w:rsid w:val="00B81537"/>
    <w:rsid w:val="00B85410"/>
    <w:rsid w:val="00B86BCD"/>
    <w:rsid w:val="00B906D8"/>
    <w:rsid w:val="00B912E2"/>
    <w:rsid w:val="00BB0E7F"/>
    <w:rsid w:val="00BB370E"/>
    <w:rsid w:val="00BB3C02"/>
    <w:rsid w:val="00BB640D"/>
    <w:rsid w:val="00BB6552"/>
    <w:rsid w:val="00BC043B"/>
    <w:rsid w:val="00BC0759"/>
    <w:rsid w:val="00BC0A1F"/>
    <w:rsid w:val="00BC406E"/>
    <w:rsid w:val="00BC7539"/>
    <w:rsid w:val="00BC7C57"/>
    <w:rsid w:val="00BD3656"/>
    <w:rsid w:val="00BD6B89"/>
    <w:rsid w:val="00BE1DF8"/>
    <w:rsid w:val="00BE58CF"/>
    <w:rsid w:val="00BE7CDB"/>
    <w:rsid w:val="00BF048B"/>
    <w:rsid w:val="00BF053F"/>
    <w:rsid w:val="00BF2ED1"/>
    <w:rsid w:val="00BF70E8"/>
    <w:rsid w:val="00C002B3"/>
    <w:rsid w:val="00C02B52"/>
    <w:rsid w:val="00C040CD"/>
    <w:rsid w:val="00C07484"/>
    <w:rsid w:val="00C15233"/>
    <w:rsid w:val="00C20AC6"/>
    <w:rsid w:val="00C22251"/>
    <w:rsid w:val="00C23B27"/>
    <w:rsid w:val="00C2794C"/>
    <w:rsid w:val="00C32346"/>
    <w:rsid w:val="00C41AA9"/>
    <w:rsid w:val="00C46DED"/>
    <w:rsid w:val="00C47A75"/>
    <w:rsid w:val="00C52380"/>
    <w:rsid w:val="00C5245E"/>
    <w:rsid w:val="00C5304F"/>
    <w:rsid w:val="00C54518"/>
    <w:rsid w:val="00C54ADF"/>
    <w:rsid w:val="00C614E2"/>
    <w:rsid w:val="00C66A5E"/>
    <w:rsid w:val="00C66C8F"/>
    <w:rsid w:val="00C7037D"/>
    <w:rsid w:val="00C73A6F"/>
    <w:rsid w:val="00C7545E"/>
    <w:rsid w:val="00C80853"/>
    <w:rsid w:val="00C954F5"/>
    <w:rsid w:val="00C95B9C"/>
    <w:rsid w:val="00C96F9A"/>
    <w:rsid w:val="00CA2AAA"/>
    <w:rsid w:val="00CA5BA8"/>
    <w:rsid w:val="00CB17D9"/>
    <w:rsid w:val="00CB3E98"/>
    <w:rsid w:val="00CB5D1E"/>
    <w:rsid w:val="00CC0698"/>
    <w:rsid w:val="00CC0AF0"/>
    <w:rsid w:val="00CC1285"/>
    <w:rsid w:val="00CC140F"/>
    <w:rsid w:val="00CC1FD5"/>
    <w:rsid w:val="00CC269E"/>
    <w:rsid w:val="00CC3AF9"/>
    <w:rsid w:val="00CC3E42"/>
    <w:rsid w:val="00CC7BA0"/>
    <w:rsid w:val="00CD18AA"/>
    <w:rsid w:val="00CD18D4"/>
    <w:rsid w:val="00CD5E55"/>
    <w:rsid w:val="00CD72B9"/>
    <w:rsid w:val="00CE0E6A"/>
    <w:rsid w:val="00CE1010"/>
    <w:rsid w:val="00CE1744"/>
    <w:rsid w:val="00CE1F0D"/>
    <w:rsid w:val="00CE4D61"/>
    <w:rsid w:val="00CE6447"/>
    <w:rsid w:val="00CE7212"/>
    <w:rsid w:val="00CF1282"/>
    <w:rsid w:val="00CF336F"/>
    <w:rsid w:val="00CF597F"/>
    <w:rsid w:val="00D00ABF"/>
    <w:rsid w:val="00D0284F"/>
    <w:rsid w:val="00D0394F"/>
    <w:rsid w:val="00D05E74"/>
    <w:rsid w:val="00D117B4"/>
    <w:rsid w:val="00D12A89"/>
    <w:rsid w:val="00D1367B"/>
    <w:rsid w:val="00D14E86"/>
    <w:rsid w:val="00D20A0E"/>
    <w:rsid w:val="00D23360"/>
    <w:rsid w:val="00D23903"/>
    <w:rsid w:val="00D23C43"/>
    <w:rsid w:val="00D31412"/>
    <w:rsid w:val="00D362DE"/>
    <w:rsid w:val="00D371B6"/>
    <w:rsid w:val="00D42A22"/>
    <w:rsid w:val="00D4342D"/>
    <w:rsid w:val="00D43A78"/>
    <w:rsid w:val="00D47B76"/>
    <w:rsid w:val="00D51BDD"/>
    <w:rsid w:val="00D54287"/>
    <w:rsid w:val="00D57CF8"/>
    <w:rsid w:val="00D60C0B"/>
    <w:rsid w:val="00D60E76"/>
    <w:rsid w:val="00D63320"/>
    <w:rsid w:val="00D6344E"/>
    <w:rsid w:val="00D63908"/>
    <w:rsid w:val="00D63FDF"/>
    <w:rsid w:val="00D6408B"/>
    <w:rsid w:val="00D64CEA"/>
    <w:rsid w:val="00D67D67"/>
    <w:rsid w:val="00D73C9C"/>
    <w:rsid w:val="00D741F6"/>
    <w:rsid w:val="00D814B3"/>
    <w:rsid w:val="00D92268"/>
    <w:rsid w:val="00D9282D"/>
    <w:rsid w:val="00D95006"/>
    <w:rsid w:val="00DA6A68"/>
    <w:rsid w:val="00DB0228"/>
    <w:rsid w:val="00DB1F41"/>
    <w:rsid w:val="00DC6A0F"/>
    <w:rsid w:val="00DC7D5B"/>
    <w:rsid w:val="00DD19CE"/>
    <w:rsid w:val="00DD31F6"/>
    <w:rsid w:val="00DD3357"/>
    <w:rsid w:val="00DD6007"/>
    <w:rsid w:val="00DD7095"/>
    <w:rsid w:val="00DD7D27"/>
    <w:rsid w:val="00DE0E4B"/>
    <w:rsid w:val="00DE4CEB"/>
    <w:rsid w:val="00DE4FDA"/>
    <w:rsid w:val="00DE53F7"/>
    <w:rsid w:val="00DF03F8"/>
    <w:rsid w:val="00DF12C2"/>
    <w:rsid w:val="00DF3549"/>
    <w:rsid w:val="00E03D35"/>
    <w:rsid w:val="00E0738B"/>
    <w:rsid w:val="00E10B4F"/>
    <w:rsid w:val="00E15092"/>
    <w:rsid w:val="00E164B1"/>
    <w:rsid w:val="00E17FE7"/>
    <w:rsid w:val="00E20BE0"/>
    <w:rsid w:val="00E22E2F"/>
    <w:rsid w:val="00E272BA"/>
    <w:rsid w:val="00E27E0B"/>
    <w:rsid w:val="00E34CCA"/>
    <w:rsid w:val="00E34D9F"/>
    <w:rsid w:val="00E35A8D"/>
    <w:rsid w:val="00E404D2"/>
    <w:rsid w:val="00E42445"/>
    <w:rsid w:val="00E4491D"/>
    <w:rsid w:val="00E44AA8"/>
    <w:rsid w:val="00E469A9"/>
    <w:rsid w:val="00E50ED0"/>
    <w:rsid w:val="00E55549"/>
    <w:rsid w:val="00E61529"/>
    <w:rsid w:val="00E636F4"/>
    <w:rsid w:val="00E71084"/>
    <w:rsid w:val="00E753ED"/>
    <w:rsid w:val="00E76D7A"/>
    <w:rsid w:val="00E81B62"/>
    <w:rsid w:val="00E84F7D"/>
    <w:rsid w:val="00E859CC"/>
    <w:rsid w:val="00E93ABC"/>
    <w:rsid w:val="00E9702A"/>
    <w:rsid w:val="00EA0B99"/>
    <w:rsid w:val="00EA1625"/>
    <w:rsid w:val="00EA38D9"/>
    <w:rsid w:val="00EA3B0A"/>
    <w:rsid w:val="00EB1312"/>
    <w:rsid w:val="00EC20D9"/>
    <w:rsid w:val="00EC3226"/>
    <w:rsid w:val="00ED0C22"/>
    <w:rsid w:val="00ED2D67"/>
    <w:rsid w:val="00ED3150"/>
    <w:rsid w:val="00EE1B56"/>
    <w:rsid w:val="00EE2249"/>
    <w:rsid w:val="00EE3340"/>
    <w:rsid w:val="00EE3D85"/>
    <w:rsid w:val="00EE3FEC"/>
    <w:rsid w:val="00EE4BD9"/>
    <w:rsid w:val="00EF0005"/>
    <w:rsid w:val="00EF004B"/>
    <w:rsid w:val="00EF2EAF"/>
    <w:rsid w:val="00EF315C"/>
    <w:rsid w:val="00EF6659"/>
    <w:rsid w:val="00F00424"/>
    <w:rsid w:val="00F01FC9"/>
    <w:rsid w:val="00F0348E"/>
    <w:rsid w:val="00F1047F"/>
    <w:rsid w:val="00F1240A"/>
    <w:rsid w:val="00F12B4C"/>
    <w:rsid w:val="00F14AE9"/>
    <w:rsid w:val="00F17968"/>
    <w:rsid w:val="00F22C16"/>
    <w:rsid w:val="00F23701"/>
    <w:rsid w:val="00F273A9"/>
    <w:rsid w:val="00F313E1"/>
    <w:rsid w:val="00F362D2"/>
    <w:rsid w:val="00F433D4"/>
    <w:rsid w:val="00F43A9F"/>
    <w:rsid w:val="00F46E4A"/>
    <w:rsid w:val="00F4708C"/>
    <w:rsid w:val="00F57F82"/>
    <w:rsid w:val="00F65F64"/>
    <w:rsid w:val="00F66FC4"/>
    <w:rsid w:val="00F7081E"/>
    <w:rsid w:val="00F734E8"/>
    <w:rsid w:val="00F73D3D"/>
    <w:rsid w:val="00F74882"/>
    <w:rsid w:val="00F74BC3"/>
    <w:rsid w:val="00F875A5"/>
    <w:rsid w:val="00F87A84"/>
    <w:rsid w:val="00F87F70"/>
    <w:rsid w:val="00F91736"/>
    <w:rsid w:val="00F92859"/>
    <w:rsid w:val="00F934AE"/>
    <w:rsid w:val="00F96604"/>
    <w:rsid w:val="00F97CE5"/>
    <w:rsid w:val="00F97E1F"/>
    <w:rsid w:val="00FA06E9"/>
    <w:rsid w:val="00FA357A"/>
    <w:rsid w:val="00FA4BF3"/>
    <w:rsid w:val="00FA6AFC"/>
    <w:rsid w:val="00FA7294"/>
    <w:rsid w:val="00FB1456"/>
    <w:rsid w:val="00FB36B0"/>
    <w:rsid w:val="00FB4DC2"/>
    <w:rsid w:val="00FC1C56"/>
    <w:rsid w:val="00FC258E"/>
    <w:rsid w:val="00FC421D"/>
    <w:rsid w:val="00FC6DF3"/>
    <w:rsid w:val="00FD14E0"/>
    <w:rsid w:val="00FD1BA1"/>
    <w:rsid w:val="00FD1D29"/>
    <w:rsid w:val="00FD7FCF"/>
    <w:rsid w:val="00FE324D"/>
    <w:rsid w:val="00FE6254"/>
    <w:rsid w:val="00FE68E1"/>
    <w:rsid w:val="00FE692D"/>
    <w:rsid w:val="00FF0B12"/>
    <w:rsid w:val="00FF0B73"/>
    <w:rsid w:val="00FF2567"/>
    <w:rsid w:val="037D0BC8"/>
    <w:rsid w:val="03FCA087"/>
    <w:rsid w:val="07A71631"/>
    <w:rsid w:val="07C1CDEB"/>
    <w:rsid w:val="0845082D"/>
    <w:rsid w:val="09E965F2"/>
    <w:rsid w:val="0A5AC0C6"/>
    <w:rsid w:val="0B7BB7D1"/>
    <w:rsid w:val="0E35C29E"/>
    <w:rsid w:val="0E66764E"/>
    <w:rsid w:val="0E972280"/>
    <w:rsid w:val="0EE3107B"/>
    <w:rsid w:val="0EF28F2A"/>
    <w:rsid w:val="0FDB1A7D"/>
    <w:rsid w:val="0FF74C92"/>
    <w:rsid w:val="0FF77D6F"/>
    <w:rsid w:val="0FFFC8A6"/>
    <w:rsid w:val="139840D3"/>
    <w:rsid w:val="13E703AC"/>
    <w:rsid w:val="143E091F"/>
    <w:rsid w:val="14865FC8"/>
    <w:rsid w:val="150C2DB0"/>
    <w:rsid w:val="156F4749"/>
    <w:rsid w:val="167A0763"/>
    <w:rsid w:val="1A9C7EF7"/>
    <w:rsid w:val="1AFD47E5"/>
    <w:rsid w:val="1AFDD1BF"/>
    <w:rsid w:val="1B107C60"/>
    <w:rsid w:val="1B73D063"/>
    <w:rsid w:val="1BCD4242"/>
    <w:rsid w:val="1BFDCA2C"/>
    <w:rsid w:val="1BFFBB4E"/>
    <w:rsid w:val="1C375E68"/>
    <w:rsid w:val="1DF363B1"/>
    <w:rsid w:val="1DFFA829"/>
    <w:rsid w:val="1DFFFBC0"/>
    <w:rsid w:val="1E3E31C7"/>
    <w:rsid w:val="1E54348D"/>
    <w:rsid w:val="1E761F05"/>
    <w:rsid w:val="1E93A986"/>
    <w:rsid w:val="1EF15F00"/>
    <w:rsid w:val="1F756648"/>
    <w:rsid w:val="1F7BD0D9"/>
    <w:rsid w:val="1F7DF23B"/>
    <w:rsid w:val="1FA7E3FD"/>
    <w:rsid w:val="1FB7ED4C"/>
    <w:rsid w:val="1FBB104E"/>
    <w:rsid w:val="1FBF0C4B"/>
    <w:rsid w:val="1FC7205C"/>
    <w:rsid w:val="1FCFF8F3"/>
    <w:rsid w:val="1FE73162"/>
    <w:rsid w:val="1FE902CA"/>
    <w:rsid w:val="1FFA3F8C"/>
    <w:rsid w:val="1FFDB575"/>
    <w:rsid w:val="1FFDCDA5"/>
    <w:rsid w:val="1FFEC917"/>
    <w:rsid w:val="1FFFAF1F"/>
    <w:rsid w:val="1FFFFEB1"/>
    <w:rsid w:val="20E99681"/>
    <w:rsid w:val="21848B63"/>
    <w:rsid w:val="228B3D05"/>
    <w:rsid w:val="23275F66"/>
    <w:rsid w:val="2350337E"/>
    <w:rsid w:val="255C0561"/>
    <w:rsid w:val="26DCE732"/>
    <w:rsid w:val="26FB539C"/>
    <w:rsid w:val="26FDB64B"/>
    <w:rsid w:val="27B2E04E"/>
    <w:rsid w:val="27B70B4D"/>
    <w:rsid w:val="27B75216"/>
    <w:rsid w:val="27D711A4"/>
    <w:rsid w:val="2BBFBE66"/>
    <w:rsid w:val="2BF6967E"/>
    <w:rsid w:val="2DFCB892"/>
    <w:rsid w:val="2DFF9800"/>
    <w:rsid w:val="2EDF21AA"/>
    <w:rsid w:val="2EFEF5AC"/>
    <w:rsid w:val="2F1D4ACB"/>
    <w:rsid w:val="2F7F5C2B"/>
    <w:rsid w:val="2F97E300"/>
    <w:rsid w:val="2FDB35D4"/>
    <w:rsid w:val="2FFB095A"/>
    <w:rsid w:val="2FFC49E0"/>
    <w:rsid w:val="337CDBF3"/>
    <w:rsid w:val="33F5E08C"/>
    <w:rsid w:val="33FFB66F"/>
    <w:rsid w:val="34FFB640"/>
    <w:rsid w:val="359F689D"/>
    <w:rsid w:val="35EC5F20"/>
    <w:rsid w:val="35FF807B"/>
    <w:rsid w:val="36767569"/>
    <w:rsid w:val="368E2C57"/>
    <w:rsid w:val="369F4638"/>
    <w:rsid w:val="36EF2551"/>
    <w:rsid w:val="36F57D06"/>
    <w:rsid w:val="36F7200D"/>
    <w:rsid w:val="36FE0D45"/>
    <w:rsid w:val="371BAD0D"/>
    <w:rsid w:val="372EBB3B"/>
    <w:rsid w:val="3796FD1B"/>
    <w:rsid w:val="38D69CF7"/>
    <w:rsid w:val="38EF7AD8"/>
    <w:rsid w:val="390F6AAA"/>
    <w:rsid w:val="394F3583"/>
    <w:rsid w:val="39DBEB0E"/>
    <w:rsid w:val="39E36FCD"/>
    <w:rsid w:val="39EBB2E2"/>
    <w:rsid w:val="3A250F74"/>
    <w:rsid w:val="3AB77495"/>
    <w:rsid w:val="3AD76819"/>
    <w:rsid w:val="3B77B6A9"/>
    <w:rsid w:val="3B7BB8F6"/>
    <w:rsid w:val="3BEBCDDC"/>
    <w:rsid w:val="3BFAA9DA"/>
    <w:rsid w:val="3BFF8306"/>
    <w:rsid w:val="3BFFA4FF"/>
    <w:rsid w:val="3C69C4A1"/>
    <w:rsid w:val="3CD817E2"/>
    <w:rsid w:val="3DB73D40"/>
    <w:rsid w:val="3DBFBCD8"/>
    <w:rsid w:val="3DEF417C"/>
    <w:rsid w:val="3DF75E78"/>
    <w:rsid w:val="3E1672E6"/>
    <w:rsid w:val="3E3696C8"/>
    <w:rsid w:val="3E78611A"/>
    <w:rsid w:val="3E7D1697"/>
    <w:rsid w:val="3E7DFDA4"/>
    <w:rsid w:val="3E7F21A2"/>
    <w:rsid w:val="3EDFF427"/>
    <w:rsid w:val="3EEA0578"/>
    <w:rsid w:val="3EF39BAF"/>
    <w:rsid w:val="3F2332B5"/>
    <w:rsid w:val="3F2F2095"/>
    <w:rsid w:val="3F3F40EF"/>
    <w:rsid w:val="3F4763E0"/>
    <w:rsid w:val="3F5BC01A"/>
    <w:rsid w:val="3F6DDB47"/>
    <w:rsid w:val="3F7B05D5"/>
    <w:rsid w:val="3F7FC1EB"/>
    <w:rsid w:val="3F851677"/>
    <w:rsid w:val="3F9132B6"/>
    <w:rsid w:val="3F9EBDCE"/>
    <w:rsid w:val="3FB7F325"/>
    <w:rsid w:val="3FB7FC26"/>
    <w:rsid w:val="3FBD454E"/>
    <w:rsid w:val="3FBD97CD"/>
    <w:rsid w:val="3FCF5E8B"/>
    <w:rsid w:val="3FD67F09"/>
    <w:rsid w:val="3FDB0672"/>
    <w:rsid w:val="3FE670FA"/>
    <w:rsid w:val="3FE7E5DD"/>
    <w:rsid w:val="3FEEF53C"/>
    <w:rsid w:val="3FF713A6"/>
    <w:rsid w:val="3FF9C952"/>
    <w:rsid w:val="3FFBCAB0"/>
    <w:rsid w:val="3FFD637F"/>
    <w:rsid w:val="3FFE28EE"/>
    <w:rsid w:val="3FFF0643"/>
    <w:rsid w:val="3FFF2DF1"/>
    <w:rsid w:val="3FFFD8AC"/>
    <w:rsid w:val="40FBB4E1"/>
    <w:rsid w:val="415F08D8"/>
    <w:rsid w:val="44E2230F"/>
    <w:rsid w:val="44FF5870"/>
    <w:rsid w:val="47B3358F"/>
    <w:rsid w:val="47F3D4CD"/>
    <w:rsid w:val="47FD483F"/>
    <w:rsid w:val="48B51347"/>
    <w:rsid w:val="4A55216A"/>
    <w:rsid w:val="4BE7311F"/>
    <w:rsid w:val="4BFF9F1D"/>
    <w:rsid w:val="4CEFF190"/>
    <w:rsid w:val="4CF900E7"/>
    <w:rsid w:val="4DFF0E4A"/>
    <w:rsid w:val="4DFF6494"/>
    <w:rsid w:val="4EAFE807"/>
    <w:rsid w:val="4ECB3051"/>
    <w:rsid w:val="4ED5B009"/>
    <w:rsid w:val="4F6B227A"/>
    <w:rsid w:val="4F6B7885"/>
    <w:rsid w:val="4FE0696A"/>
    <w:rsid w:val="4FE9D7B6"/>
    <w:rsid w:val="4FEAD752"/>
    <w:rsid w:val="4FEF4CE1"/>
    <w:rsid w:val="4FEF7B61"/>
    <w:rsid w:val="4FF62B5D"/>
    <w:rsid w:val="4FFF8AB3"/>
    <w:rsid w:val="51BF2A0B"/>
    <w:rsid w:val="5215D8EE"/>
    <w:rsid w:val="524D5914"/>
    <w:rsid w:val="52BFC652"/>
    <w:rsid w:val="539B6FDD"/>
    <w:rsid w:val="53BF1539"/>
    <w:rsid w:val="53FAAE5C"/>
    <w:rsid w:val="545F2D68"/>
    <w:rsid w:val="547A7A76"/>
    <w:rsid w:val="54FF59A8"/>
    <w:rsid w:val="5510379B"/>
    <w:rsid w:val="55673508"/>
    <w:rsid w:val="556EE2F9"/>
    <w:rsid w:val="55EBA829"/>
    <w:rsid w:val="57551296"/>
    <w:rsid w:val="57ADE45F"/>
    <w:rsid w:val="57AF225E"/>
    <w:rsid w:val="57C7EBB3"/>
    <w:rsid w:val="57D7FD53"/>
    <w:rsid w:val="57DEC2AD"/>
    <w:rsid w:val="57E6DD66"/>
    <w:rsid w:val="57F325DA"/>
    <w:rsid w:val="57FB5226"/>
    <w:rsid w:val="57FE1EE5"/>
    <w:rsid w:val="57FF0D59"/>
    <w:rsid w:val="57FF1E51"/>
    <w:rsid w:val="57FFF1B3"/>
    <w:rsid w:val="58163776"/>
    <w:rsid w:val="586BE32F"/>
    <w:rsid w:val="59595A6F"/>
    <w:rsid w:val="599330CA"/>
    <w:rsid w:val="59E62DE9"/>
    <w:rsid w:val="59FF85DF"/>
    <w:rsid w:val="5A798336"/>
    <w:rsid w:val="5AF707DD"/>
    <w:rsid w:val="5B158AF5"/>
    <w:rsid w:val="5B7BFF31"/>
    <w:rsid w:val="5BA78356"/>
    <w:rsid w:val="5BDA3182"/>
    <w:rsid w:val="5BDF6BFF"/>
    <w:rsid w:val="5BDFF5C8"/>
    <w:rsid w:val="5BF408BB"/>
    <w:rsid w:val="5BFBD0A1"/>
    <w:rsid w:val="5BFFCD10"/>
    <w:rsid w:val="5CFFA4BB"/>
    <w:rsid w:val="5DD751FE"/>
    <w:rsid w:val="5DDFBCCD"/>
    <w:rsid w:val="5DF70099"/>
    <w:rsid w:val="5DFEABD1"/>
    <w:rsid w:val="5DFF5B03"/>
    <w:rsid w:val="5E5622D4"/>
    <w:rsid w:val="5E656D95"/>
    <w:rsid w:val="5E77316A"/>
    <w:rsid w:val="5EFBFB8A"/>
    <w:rsid w:val="5F4EBDDD"/>
    <w:rsid w:val="5F6F2F43"/>
    <w:rsid w:val="5F7F09BA"/>
    <w:rsid w:val="5F7F3D7D"/>
    <w:rsid w:val="5FB22A59"/>
    <w:rsid w:val="5FB71FBF"/>
    <w:rsid w:val="5FBBB80C"/>
    <w:rsid w:val="5FBCAD33"/>
    <w:rsid w:val="5FBEFE1A"/>
    <w:rsid w:val="5FCB05D6"/>
    <w:rsid w:val="5FCF19C3"/>
    <w:rsid w:val="5FDCDEFA"/>
    <w:rsid w:val="5FDE6A7C"/>
    <w:rsid w:val="5FECD4CA"/>
    <w:rsid w:val="5FFADC51"/>
    <w:rsid w:val="5FFD130A"/>
    <w:rsid w:val="5FFE3860"/>
    <w:rsid w:val="5FFF35F8"/>
    <w:rsid w:val="5FFF4947"/>
    <w:rsid w:val="60D5009F"/>
    <w:rsid w:val="62BE594F"/>
    <w:rsid w:val="644E642A"/>
    <w:rsid w:val="64617795"/>
    <w:rsid w:val="65174716"/>
    <w:rsid w:val="65586FD2"/>
    <w:rsid w:val="65F631AE"/>
    <w:rsid w:val="65FA38F0"/>
    <w:rsid w:val="660721C9"/>
    <w:rsid w:val="661E6C75"/>
    <w:rsid w:val="66842654"/>
    <w:rsid w:val="66DE451B"/>
    <w:rsid w:val="66F849F0"/>
    <w:rsid w:val="673F9B81"/>
    <w:rsid w:val="675B51FB"/>
    <w:rsid w:val="675B98AB"/>
    <w:rsid w:val="677BB149"/>
    <w:rsid w:val="67845964"/>
    <w:rsid w:val="679F8A7D"/>
    <w:rsid w:val="67BF8678"/>
    <w:rsid w:val="67DE7F6E"/>
    <w:rsid w:val="67F6C8FA"/>
    <w:rsid w:val="67F75FF5"/>
    <w:rsid w:val="67FE5F85"/>
    <w:rsid w:val="67FF582D"/>
    <w:rsid w:val="681D4831"/>
    <w:rsid w:val="68F6A4F6"/>
    <w:rsid w:val="692E4B19"/>
    <w:rsid w:val="69513EF7"/>
    <w:rsid w:val="69FDB707"/>
    <w:rsid w:val="6A1EFA46"/>
    <w:rsid w:val="6AD300AA"/>
    <w:rsid w:val="6AFB3E07"/>
    <w:rsid w:val="6AFFF86B"/>
    <w:rsid w:val="6B1E24AB"/>
    <w:rsid w:val="6B93A9A4"/>
    <w:rsid w:val="6BD749E5"/>
    <w:rsid w:val="6BD79DF0"/>
    <w:rsid w:val="6BDFF67B"/>
    <w:rsid w:val="6BF3256F"/>
    <w:rsid w:val="6BFF468E"/>
    <w:rsid w:val="6C1F249E"/>
    <w:rsid w:val="6C72CD87"/>
    <w:rsid w:val="6CE7018A"/>
    <w:rsid w:val="6CFE1872"/>
    <w:rsid w:val="6D7EF211"/>
    <w:rsid w:val="6DB766E3"/>
    <w:rsid w:val="6DD77CE4"/>
    <w:rsid w:val="6DF36095"/>
    <w:rsid w:val="6E3E3F2D"/>
    <w:rsid w:val="6E7F0996"/>
    <w:rsid w:val="6E9DAFE3"/>
    <w:rsid w:val="6EB5E516"/>
    <w:rsid w:val="6EE3C14E"/>
    <w:rsid w:val="6EF7D205"/>
    <w:rsid w:val="6F694D58"/>
    <w:rsid w:val="6F77AB88"/>
    <w:rsid w:val="6F78EA3F"/>
    <w:rsid w:val="6F7AC3BF"/>
    <w:rsid w:val="6F7B3DFF"/>
    <w:rsid w:val="6F7B5A75"/>
    <w:rsid w:val="6F7F1DD3"/>
    <w:rsid w:val="6F7FE920"/>
    <w:rsid w:val="6FAF3898"/>
    <w:rsid w:val="6FBCC786"/>
    <w:rsid w:val="6FBF03EF"/>
    <w:rsid w:val="6FC5BB63"/>
    <w:rsid w:val="6FD54F13"/>
    <w:rsid w:val="6FD5B717"/>
    <w:rsid w:val="6FDBD04C"/>
    <w:rsid w:val="6FDF835F"/>
    <w:rsid w:val="6FE37A2C"/>
    <w:rsid w:val="6FE9006E"/>
    <w:rsid w:val="6FEBBCEA"/>
    <w:rsid w:val="6FEBD726"/>
    <w:rsid w:val="6FECD4EA"/>
    <w:rsid w:val="6FEEFC90"/>
    <w:rsid w:val="6FEFDA1C"/>
    <w:rsid w:val="6FF3F2E9"/>
    <w:rsid w:val="6FFB55ED"/>
    <w:rsid w:val="6FFC2C2C"/>
    <w:rsid w:val="6FFE9024"/>
    <w:rsid w:val="6FFEBBAF"/>
    <w:rsid w:val="6FFFB2B0"/>
    <w:rsid w:val="715B2F02"/>
    <w:rsid w:val="717B0A3E"/>
    <w:rsid w:val="717C64BF"/>
    <w:rsid w:val="71AFCC60"/>
    <w:rsid w:val="71CF9BCE"/>
    <w:rsid w:val="71FE8AEF"/>
    <w:rsid w:val="72492390"/>
    <w:rsid w:val="72EF2A61"/>
    <w:rsid w:val="7361E995"/>
    <w:rsid w:val="737F46FA"/>
    <w:rsid w:val="73CD3467"/>
    <w:rsid w:val="74BFEA55"/>
    <w:rsid w:val="75555E0F"/>
    <w:rsid w:val="7563778E"/>
    <w:rsid w:val="7569F74E"/>
    <w:rsid w:val="757F08EA"/>
    <w:rsid w:val="758FF801"/>
    <w:rsid w:val="75BFAC01"/>
    <w:rsid w:val="75D77094"/>
    <w:rsid w:val="75DAA688"/>
    <w:rsid w:val="75EF12F6"/>
    <w:rsid w:val="75FF7A6C"/>
    <w:rsid w:val="766F312C"/>
    <w:rsid w:val="767F83D1"/>
    <w:rsid w:val="76A548F2"/>
    <w:rsid w:val="7702C47B"/>
    <w:rsid w:val="7707CCBF"/>
    <w:rsid w:val="771EEEFA"/>
    <w:rsid w:val="7765772E"/>
    <w:rsid w:val="7777DA2F"/>
    <w:rsid w:val="777B68B0"/>
    <w:rsid w:val="777EA293"/>
    <w:rsid w:val="777F5314"/>
    <w:rsid w:val="77867685"/>
    <w:rsid w:val="778FCAE3"/>
    <w:rsid w:val="77AF9395"/>
    <w:rsid w:val="77BD3ACF"/>
    <w:rsid w:val="77DE43A9"/>
    <w:rsid w:val="77E5BFD9"/>
    <w:rsid w:val="77E6A913"/>
    <w:rsid w:val="77EA4585"/>
    <w:rsid w:val="77ED3ADF"/>
    <w:rsid w:val="77F7F199"/>
    <w:rsid w:val="77FD758F"/>
    <w:rsid w:val="77FF053F"/>
    <w:rsid w:val="77FF98B0"/>
    <w:rsid w:val="781F36B6"/>
    <w:rsid w:val="78FF1B48"/>
    <w:rsid w:val="790627AD"/>
    <w:rsid w:val="797833FA"/>
    <w:rsid w:val="797F009D"/>
    <w:rsid w:val="797FC07B"/>
    <w:rsid w:val="798FBEB4"/>
    <w:rsid w:val="799F2D75"/>
    <w:rsid w:val="79BC4326"/>
    <w:rsid w:val="7A7A8708"/>
    <w:rsid w:val="7ABEB542"/>
    <w:rsid w:val="7ADC59FA"/>
    <w:rsid w:val="7ADD4086"/>
    <w:rsid w:val="7AF6CC69"/>
    <w:rsid w:val="7AF90803"/>
    <w:rsid w:val="7AFD4D37"/>
    <w:rsid w:val="7AFF015F"/>
    <w:rsid w:val="7AFF93C0"/>
    <w:rsid w:val="7B0D9E0B"/>
    <w:rsid w:val="7B3F19B7"/>
    <w:rsid w:val="7B3F538D"/>
    <w:rsid w:val="7B76C63E"/>
    <w:rsid w:val="7B7924DD"/>
    <w:rsid w:val="7B7E0287"/>
    <w:rsid w:val="7B7FB243"/>
    <w:rsid w:val="7B8EBC5C"/>
    <w:rsid w:val="7BAF77CA"/>
    <w:rsid w:val="7BBB8041"/>
    <w:rsid w:val="7BDF50EF"/>
    <w:rsid w:val="7BE7803A"/>
    <w:rsid w:val="7BEF9BD3"/>
    <w:rsid w:val="7BEFEFE8"/>
    <w:rsid w:val="7BF77DE5"/>
    <w:rsid w:val="7BF80EEF"/>
    <w:rsid w:val="7BFD106C"/>
    <w:rsid w:val="7BFDE238"/>
    <w:rsid w:val="7BFE13DD"/>
    <w:rsid w:val="7BFF9DAA"/>
    <w:rsid w:val="7C6BED60"/>
    <w:rsid w:val="7CB9AFCA"/>
    <w:rsid w:val="7CD68C36"/>
    <w:rsid w:val="7CDECA35"/>
    <w:rsid w:val="7CFBE1F4"/>
    <w:rsid w:val="7D2CAD53"/>
    <w:rsid w:val="7D3FDDFA"/>
    <w:rsid w:val="7D5C5DCD"/>
    <w:rsid w:val="7D5FBBE4"/>
    <w:rsid w:val="7D601260"/>
    <w:rsid w:val="7D72AC33"/>
    <w:rsid w:val="7D77647F"/>
    <w:rsid w:val="7D7D67B1"/>
    <w:rsid w:val="7D7F0851"/>
    <w:rsid w:val="7D7FEA67"/>
    <w:rsid w:val="7D8E4650"/>
    <w:rsid w:val="7DAFF4E6"/>
    <w:rsid w:val="7DB395F2"/>
    <w:rsid w:val="7DBDE31C"/>
    <w:rsid w:val="7DBF8A0C"/>
    <w:rsid w:val="7DCF5E3F"/>
    <w:rsid w:val="7DD27B75"/>
    <w:rsid w:val="7DDD794F"/>
    <w:rsid w:val="7DDF0730"/>
    <w:rsid w:val="7DDFC995"/>
    <w:rsid w:val="7DDFF68C"/>
    <w:rsid w:val="7DE578EC"/>
    <w:rsid w:val="7DE70E3F"/>
    <w:rsid w:val="7DF20B8C"/>
    <w:rsid w:val="7DF5726B"/>
    <w:rsid w:val="7DF96FAB"/>
    <w:rsid w:val="7DFCA2CD"/>
    <w:rsid w:val="7DFDFDB5"/>
    <w:rsid w:val="7DFE20EB"/>
    <w:rsid w:val="7DFFA0A0"/>
    <w:rsid w:val="7DFFAAE4"/>
    <w:rsid w:val="7E13BB63"/>
    <w:rsid w:val="7E5F1578"/>
    <w:rsid w:val="7E64A146"/>
    <w:rsid w:val="7E6DBEC7"/>
    <w:rsid w:val="7E9FC1E8"/>
    <w:rsid w:val="7EBB25D7"/>
    <w:rsid w:val="7EBD6006"/>
    <w:rsid w:val="7EBF5B24"/>
    <w:rsid w:val="7ED95F84"/>
    <w:rsid w:val="7EDF2707"/>
    <w:rsid w:val="7EEF814B"/>
    <w:rsid w:val="7EEFCAD4"/>
    <w:rsid w:val="7EFB0BF6"/>
    <w:rsid w:val="7EFB3DF4"/>
    <w:rsid w:val="7EFBB99F"/>
    <w:rsid w:val="7EFEAB86"/>
    <w:rsid w:val="7F1E9DBE"/>
    <w:rsid w:val="7F1FA01D"/>
    <w:rsid w:val="7F27EB4E"/>
    <w:rsid w:val="7F2D4BE6"/>
    <w:rsid w:val="7F53F363"/>
    <w:rsid w:val="7F5A9126"/>
    <w:rsid w:val="7F5BD0FB"/>
    <w:rsid w:val="7F698F70"/>
    <w:rsid w:val="7F6DF193"/>
    <w:rsid w:val="7F776F5C"/>
    <w:rsid w:val="7F77AA19"/>
    <w:rsid w:val="7F7D48A0"/>
    <w:rsid w:val="7F7F5D99"/>
    <w:rsid w:val="7F7FF3BE"/>
    <w:rsid w:val="7F9DE183"/>
    <w:rsid w:val="7F9F105B"/>
    <w:rsid w:val="7F9F9112"/>
    <w:rsid w:val="7FA90759"/>
    <w:rsid w:val="7FB2AC56"/>
    <w:rsid w:val="7FB3783A"/>
    <w:rsid w:val="7FB9F394"/>
    <w:rsid w:val="7FBE57AC"/>
    <w:rsid w:val="7FBF2F07"/>
    <w:rsid w:val="7FBFE555"/>
    <w:rsid w:val="7FC7860F"/>
    <w:rsid w:val="7FD5D505"/>
    <w:rsid w:val="7FD6EA0E"/>
    <w:rsid w:val="7FD94B11"/>
    <w:rsid w:val="7FDC014B"/>
    <w:rsid w:val="7FDE192B"/>
    <w:rsid w:val="7FEA8A71"/>
    <w:rsid w:val="7FEEDAD3"/>
    <w:rsid w:val="7FEF5678"/>
    <w:rsid w:val="7FEF638E"/>
    <w:rsid w:val="7FF24C48"/>
    <w:rsid w:val="7FF3AFB6"/>
    <w:rsid w:val="7FF45E94"/>
    <w:rsid w:val="7FF70972"/>
    <w:rsid w:val="7FF72E24"/>
    <w:rsid w:val="7FF75B68"/>
    <w:rsid w:val="7FF791E3"/>
    <w:rsid w:val="7FF7B483"/>
    <w:rsid w:val="7FF7FC3D"/>
    <w:rsid w:val="7FFB64FD"/>
    <w:rsid w:val="7FFB953E"/>
    <w:rsid w:val="7FFBAAAF"/>
    <w:rsid w:val="7FFBD6D2"/>
    <w:rsid w:val="7FFC0A38"/>
    <w:rsid w:val="7FFD38AB"/>
    <w:rsid w:val="7FFD5DFB"/>
    <w:rsid w:val="7FFDA1BC"/>
    <w:rsid w:val="7FFDE83D"/>
    <w:rsid w:val="7FFE07C0"/>
    <w:rsid w:val="7FFE4B6E"/>
    <w:rsid w:val="7FFE4E91"/>
    <w:rsid w:val="7FFEBB4F"/>
    <w:rsid w:val="7FFEF200"/>
    <w:rsid w:val="7FFF7856"/>
    <w:rsid w:val="7FFFF9E4"/>
    <w:rsid w:val="7FFFFD66"/>
    <w:rsid w:val="87FD60D6"/>
    <w:rsid w:val="87FFE0B1"/>
    <w:rsid w:val="8BFFC856"/>
    <w:rsid w:val="8FCEDD7E"/>
    <w:rsid w:val="8FFEBFFD"/>
    <w:rsid w:val="8FFEF411"/>
    <w:rsid w:val="8FFF651A"/>
    <w:rsid w:val="8FFFBC80"/>
    <w:rsid w:val="91EDCBA1"/>
    <w:rsid w:val="927E05C4"/>
    <w:rsid w:val="95378FC8"/>
    <w:rsid w:val="96BF6E03"/>
    <w:rsid w:val="96F34FEA"/>
    <w:rsid w:val="9767375C"/>
    <w:rsid w:val="9ABF1D7B"/>
    <w:rsid w:val="9AD7A7D1"/>
    <w:rsid w:val="9BFDFDAD"/>
    <w:rsid w:val="9BFF2351"/>
    <w:rsid w:val="9CFB77AF"/>
    <w:rsid w:val="9D7EDC04"/>
    <w:rsid w:val="9DDBC474"/>
    <w:rsid w:val="9EF20060"/>
    <w:rsid w:val="9F3A27FA"/>
    <w:rsid w:val="9F7FE370"/>
    <w:rsid w:val="9F9F5862"/>
    <w:rsid w:val="9FAF92AD"/>
    <w:rsid w:val="9FB96D4C"/>
    <w:rsid w:val="9FBE9FAF"/>
    <w:rsid w:val="9FDA7BC4"/>
    <w:rsid w:val="9FDC9BB1"/>
    <w:rsid w:val="9FE7C3C5"/>
    <w:rsid w:val="9FEE5019"/>
    <w:rsid w:val="9FEF5784"/>
    <w:rsid w:val="9FF255D3"/>
    <w:rsid w:val="9FF74254"/>
    <w:rsid w:val="A39ED560"/>
    <w:rsid w:val="A3FEDE12"/>
    <w:rsid w:val="A3FF2A18"/>
    <w:rsid w:val="A3FFD1AC"/>
    <w:rsid w:val="A55B6C6A"/>
    <w:rsid w:val="A5F62003"/>
    <w:rsid w:val="A6F25818"/>
    <w:rsid w:val="A6F7040F"/>
    <w:rsid w:val="A7BD8CA1"/>
    <w:rsid w:val="A9BE88C2"/>
    <w:rsid w:val="AB7BA749"/>
    <w:rsid w:val="AD4FA5ED"/>
    <w:rsid w:val="AD56724F"/>
    <w:rsid w:val="AE47D2E4"/>
    <w:rsid w:val="AEF76D25"/>
    <w:rsid w:val="AEFE293A"/>
    <w:rsid w:val="AF1B20DE"/>
    <w:rsid w:val="AF6F7DA0"/>
    <w:rsid w:val="AFFB4B6C"/>
    <w:rsid w:val="AFFC5F41"/>
    <w:rsid w:val="AFFCAB7D"/>
    <w:rsid w:val="AFFFAFA6"/>
    <w:rsid w:val="B1FBA695"/>
    <w:rsid w:val="B25B38DB"/>
    <w:rsid w:val="B2F6689F"/>
    <w:rsid w:val="B3944EED"/>
    <w:rsid w:val="B5AF8845"/>
    <w:rsid w:val="B5E7E75D"/>
    <w:rsid w:val="B5EB4DC4"/>
    <w:rsid w:val="B631B2E8"/>
    <w:rsid w:val="B74B2636"/>
    <w:rsid w:val="B77D2540"/>
    <w:rsid w:val="B7A7F531"/>
    <w:rsid w:val="B7B36DF4"/>
    <w:rsid w:val="B7D799DD"/>
    <w:rsid w:val="B7F3BE45"/>
    <w:rsid w:val="B7F7E885"/>
    <w:rsid w:val="B7FD217D"/>
    <w:rsid w:val="B87E8177"/>
    <w:rsid w:val="B9AE4065"/>
    <w:rsid w:val="B9FF8B00"/>
    <w:rsid w:val="BA1E0C9F"/>
    <w:rsid w:val="BA6EB73B"/>
    <w:rsid w:val="BAECB0FB"/>
    <w:rsid w:val="BAFA033C"/>
    <w:rsid w:val="BBCFB60F"/>
    <w:rsid w:val="BBE76297"/>
    <w:rsid w:val="BBEE87E0"/>
    <w:rsid w:val="BD2A5EF2"/>
    <w:rsid w:val="BD7A3B33"/>
    <w:rsid w:val="BDA3978C"/>
    <w:rsid w:val="BDBD4B16"/>
    <w:rsid w:val="BDCF534C"/>
    <w:rsid w:val="BDDFDBC6"/>
    <w:rsid w:val="BDFF2A37"/>
    <w:rsid w:val="BDFF3BC0"/>
    <w:rsid w:val="BDFF66B3"/>
    <w:rsid w:val="BE7B2D01"/>
    <w:rsid w:val="BE8F2156"/>
    <w:rsid w:val="BEA7F647"/>
    <w:rsid w:val="BEDD5DD6"/>
    <w:rsid w:val="BEDE699C"/>
    <w:rsid w:val="BEDFE54B"/>
    <w:rsid w:val="BEE66A2B"/>
    <w:rsid w:val="BEFB61EF"/>
    <w:rsid w:val="BEFD5598"/>
    <w:rsid w:val="BEFDB8E0"/>
    <w:rsid w:val="BF3F50D0"/>
    <w:rsid w:val="BF4F2BCD"/>
    <w:rsid w:val="BF6A9D2F"/>
    <w:rsid w:val="BF7BF71E"/>
    <w:rsid w:val="BF7D6855"/>
    <w:rsid w:val="BF7D8E90"/>
    <w:rsid w:val="BF7FB0F1"/>
    <w:rsid w:val="BF9B2C61"/>
    <w:rsid w:val="BF9E070F"/>
    <w:rsid w:val="BFADFE2B"/>
    <w:rsid w:val="BFB729D2"/>
    <w:rsid w:val="BFBF1DB6"/>
    <w:rsid w:val="BFCC9BA5"/>
    <w:rsid w:val="BFD7A70A"/>
    <w:rsid w:val="BFDFC12B"/>
    <w:rsid w:val="BFE59083"/>
    <w:rsid w:val="BFEF382B"/>
    <w:rsid w:val="BFEFAFF3"/>
    <w:rsid w:val="BFEFEF97"/>
    <w:rsid w:val="BFF2CD88"/>
    <w:rsid w:val="BFF73FB4"/>
    <w:rsid w:val="BFF783F6"/>
    <w:rsid w:val="BFF8FF53"/>
    <w:rsid w:val="BFFBFC2C"/>
    <w:rsid w:val="BFFD4849"/>
    <w:rsid w:val="C1FFE09A"/>
    <w:rsid w:val="C7DA0819"/>
    <w:rsid w:val="C7EF773E"/>
    <w:rsid w:val="C93D166F"/>
    <w:rsid w:val="C9B778E8"/>
    <w:rsid w:val="CABF9067"/>
    <w:rsid w:val="CBB5AF94"/>
    <w:rsid w:val="CBDEE07A"/>
    <w:rsid w:val="CCBE42D1"/>
    <w:rsid w:val="CCFF01FF"/>
    <w:rsid w:val="CD6F9CEA"/>
    <w:rsid w:val="CEB82573"/>
    <w:rsid w:val="CF1DF7FC"/>
    <w:rsid w:val="CF3D88DD"/>
    <w:rsid w:val="CF7CE955"/>
    <w:rsid w:val="CFB76329"/>
    <w:rsid w:val="CFBF5915"/>
    <w:rsid w:val="CFBF687F"/>
    <w:rsid w:val="CFEB394B"/>
    <w:rsid w:val="CFF4C38A"/>
    <w:rsid w:val="CFF5EE96"/>
    <w:rsid w:val="CFFA5AA8"/>
    <w:rsid w:val="D34F3197"/>
    <w:rsid w:val="D37C3CB9"/>
    <w:rsid w:val="D3870C19"/>
    <w:rsid w:val="D387F013"/>
    <w:rsid w:val="D3EE083B"/>
    <w:rsid w:val="D3F4DCCF"/>
    <w:rsid w:val="D5D24163"/>
    <w:rsid w:val="D5FC5CED"/>
    <w:rsid w:val="D64CB9C1"/>
    <w:rsid w:val="D6AC0E50"/>
    <w:rsid w:val="D71F2212"/>
    <w:rsid w:val="D76806FD"/>
    <w:rsid w:val="D7BDD525"/>
    <w:rsid w:val="D7E5DAED"/>
    <w:rsid w:val="D7F77573"/>
    <w:rsid w:val="D7F9A84A"/>
    <w:rsid w:val="D7FB3419"/>
    <w:rsid w:val="D7FEBC3F"/>
    <w:rsid w:val="D7FFFAE1"/>
    <w:rsid w:val="D88FA35B"/>
    <w:rsid w:val="D8EC6933"/>
    <w:rsid w:val="D93DE8E6"/>
    <w:rsid w:val="D9DB27A5"/>
    <w:rsid w:val="DAB647C5"/>
    <w:rsid w:val="DAC70AA4"/>
    <w:rsid w:val="DAED7F54"/>
    <w:rsid w:val="DAEDBE13"/>
    <w:rsid w:val="DB9DD64E"/>
    <w:rsid w:val="DBD42B7C"/>
    <w:rsid w:val="DBDCC029"/>
    <w:rsid w:val="DBEE958E"/>
    <w:rsid w:val="DBEF0795"/>
    <w:rsid w:val="DBF43B0F"/>
    <w:rsid w:val="DBFB088F"/>
    <w:rsid w:val="DBFC9978"/>
    <w:rsid w:val="DBFE0D14"/>
    <w:rsid w:val="DC6E18C1"/>
    <w:rsid w:val="DCFFEE5E"/>
    <w:rsid w:val="DD7F1E9D"/>
    <w:rsid w:val="DDB24782"/>
    <w:rsid w:val="DDBD00D4"/>
    <w:rsid w:val="DDBD9B1A"/>
    <w:rsid w:val="DE5BDCA9"/>
    <w:rsid w:val="DE7FA1B4"/>
    <w:rsid w:val="DEBF3054"/>
    <w:rsid w:val="DED7D60F"/>
    <w:rsid w:val="DEF7CDBF"/>
    <w:rsid w:val="DEFE9378"/>
    <w:rsid w:val="DEFE9ECB"/>
    <w:rsid w:val="DF5FF991"/>
    <w:rsid w:val="DF77ABF6"/>
    <w:rsid w:val="DF7D1604"/>
    <w:rsid w:val="DF7F38DC"/>
    <w:rsid w:val="DFAC7EC1"/>
    <w:rsid w:val="DFB4875F"/>
    <w:rsid w:val="DFB6539A"/>
    <w:rsid w:val="DFB71CDC"/>
    <w:rsid w:val="DFB7226C"/>
    <w:rsid w:val="DFB7A126"/>
    <w:rsid w:val="DFBB9EC5"/>
    <w:rsid w:val="DFCE247E"/>
    <w:rsid w:val="DFD7EF02"/>
    <w:rsid w:val="DFD80766"/>
    <w:rsid w:val="DFDD030F"/>
    <w:rsid w:val="DFDE3233"/>
    <w:rsid w:val="DFDF1A6F"/>
    <w:rsid w:val="DFDFC920"/>
    <w:rsid w:val="DFEB2DD4"/>
    <w:rsid w:val="DFED3148"/>
    <w:rsid w:val="DFEE888F"/>
    <w:rsid w:val="DFF73FEC"/>
    <w:rsid w:val="DFF78A7F"/>
    <w:rsid w:val="DFF7AD2A"/>
    <w:rsid w:val="DFFD093A"/>
    <w:rsid w:val="DFFE8E4D"/>
    <w:rsid w:val="DFFF8771"/>
    <w:rsid w:val="DFFF8B12"/>
    <w:rsid w:val="DFFFC28D"/>
    <w:rsid w:val="DFFFDE1B"/>
    <w:rsid w:val="DFFFFE70"/>
    <w:rsid w:val="E1772D81"/>
    <w:rsid w:val="E1CBC1F8"/>
    <w:rsid w:val="E3ABF7DF"/>
    <w:rsid w:val="E3BF41A0"/>
    <w:rsid w:val="E46B9202"/>
    <w:rsid w:val="E49BF46C"/>
    <w:rsid w:val="E5EFC960"/>
    <w:rsid w:val="E5F2CB27"/>
    <w:rsid w:val="E6BE1089"/>
    <w:rsid w:val="E77B6567"/>
    <w:rsid w:val="E77C6C7E"/>
    <w:rsid w:val="E7976457"/>
    <w:rsid w:val="E7BDA510"/>
    <w:rsid w:val="E7BF47B1"/>
    <w:rsid w:val="E7D6154E"/>
    <w:rsid w:val="E7D740F5"/>
    <w:rsid w:val="E7EA617D"/>
    <w:rsid w:val="E96E05F7"/>
    <w:rsid w:val="E97F413B"/>
    <w:rsid w:val="E9CBA587"/>
    <w:rsid w:val="E9EF2CCF"/>
    <w:rsid w:val="EB6F44F7"/>
    <w:rsid w:val="EB7947AD"/>
    <w:rsid w:val="EB7BF672"/>
    <w:rsid w:val="EBBF9F26"/>
    <w:rsid w:val="EBFE024C"/>
    <w:rsid w:val="EBFF2DCB"/>
    <w:rsid w:val="EBFF46CB"/>
    <w:rsid w:val="EBFFF865"/>
    <w:rsid w:val="EC6D60F5"/>
    <w:rsid w:val="ECBDA3C4"/>
    <w:rsid w:val="ECC6A566"/>
    <w:rsid w:val="ECCFF241"/>
    <w:rsid w:val="ECFF9528"/>
    <w:rsid w:val="ECFFC35B"/>
    <w:rsid w:val="ED35BEAD"/>
    <w:rsid w:val="EDBDD479"/>
    <w:rsid w:val="EDF6A899"/>
    <w:rsid w:val="EDFFAD75"/>
    <w:rsid w:val="EE9BAC96"/>
    <w:rsid w:val="EEAA31F0"/>
    <w:rsid w:val="EEB7953D"/>
    <w:rsid w:val="EEDD82C9"/>
    <w:rsid w:val="EEFFB9C6"/>
    <w:rsid w:val="EF7D2133"/>
    <w:rsid w:val="EF7E4610"/>
    <w:rsid w:val="EF7F5F86"/>
    <w:rsid w:val="EF7FDA92"/>
    <w:rsid w:val="EF8657AF"/>
    <w:rsid w:val="EF9E08D7"/>
    <w:rsid w:val="EFD1D7CF"/>
    <w:rsid w:val="EFDFBBA2"/>
    <w:rsid w:val="EFE7FFCC"/>
    <w:rsid w:val="EFEA1B7E"/>
    <w:rsid w:val="EFEB6DBD"/>
    <w:rsid w:val="EFEDF10E"/>
    <w:rsid w:val="EFF6013F"/>
    <w:rsid w:val="EFFBA34E"/>
    <w:rsid w:val="EFFE9F53"/>
    <w:rsid w:val="EFFEF537"/>
    <w:rsid w:val="EFFFBFE5"/>
    <w:rsid w:val="F07D4979"/>
    <w:rsid w:val="F0F8E174"/>
    <w:rsid w:val="F0FDE9FC"/>
    <w:rsid w:val="F1271329"/>
    <w:rsid w:val="F16CB6F1"/>
    <w:rsid w:val="F2EBD97A"/>
    <w:rsid w:val="F37FE28B"/>
    <w:rsid w:val="F3B6DDDB"/>
    <w:rsid w:val="F3EF4BCE"/>
    <w:rsid w:val="F3FF1338"/>
    <w:rsid w:val="F470118B"/>
    <w:rsid w:val="F475A449"/>
    <w:rsid w:val="F4799EBA"/>
    <w:rsid w:val="F4DDA239"/>
    <w:rsid w:val="F4FF7259"/>
    <w:rsid w:val="F56FC575"/>
    <w:rsid w:val="F5B88290"/>
    <w:rsid w:val="F5BF701E"/>
    <w:rsid w:val="F5ED1315"/>
    <w:rsid w:val="F5EF6338"/>
    <w:rsid w:val="F5F0A347"/>
    <w:rsid w:val="F5F8DC0D"/>
    <w:rsid w:val="F5FE7064"/>
    <w:rsid w:val="F67E21E2"/>
    <w:rsid w:val="F6CFDB65"/>
    <w:rsid w:val="F6D5D7F8"/>
    <w:rsid w:val="F6DDA33C"/>
    <w:rsid w:val="F6EBDD01"/>
    <w:rsid w:val="F6F73CA3"/>
    <w:rsid w:val="F6FB59A3"/>
    <w:rsid w:val="F6FF5B2C"/>
    <w:rsid w:val="F6FFA7CD"/>
    <w:rsid w:val="F75E3A5A"/>
    <w:rsid w:val="F7758902"/>
    <w:rsid w:val="F7786B17"/>
    <w:rsid w:val="F7796B14"/>
    <w:rsid w:val="F77C0B5B"/>
    <w:rsid w:val="F7B3A30E"/>
    <w:rsid w:val="F7BB848E"/>
    <w:rsid w:val="F7BD4739"/>
    <w:rsid w:val="F7BF832C"/>
    <w:rsid w:val="F7DA3741"/>
    <w:rsid w:val="F7DF4BA7"/>
    <w:rsid w:val="F7DF6758"/>
    <w:rsid w:val="F7EEC818"/>
    <w:rsid w:val="F7EFDFB5"/>
    <w:rsid w:val="F7F456CC"/>
    <w:rsid w:val="F7F85EA0"/>
    <w:rsid w:val="F7F9572A"/>
    <w:rsid w:val="F7FD5579"/>
    <w:rsid w:val="F7FDAEB4"/>
    <w:rsid w:val="F7FE478E"/>
    <w:rsid w:val="F7FF67EB"/>
    <w:rsid w:val="F7FFBFFE"/>
    <w:rsid w:val="F8BF4409"/>
    <w:rsid w:val="F8E5E8C9"/>
    <w:rsid w:val="F8F497EA"/>
    <w:rsid w:val="F9072985"/>
    <w:rsid w:val="F95F44F7"/>
    <w:rsid w:val="F97399E2"/>
    <w:rsid w:val="F97ECCEF"/>
    <w:rsid w:val="F98F040D"/>
    <w:rsid w:val="F994C8EB"/>
    <w:rsid w:val="F9EEA43D"/>
    <w:rsid w:val="F9F5F217"/>
    <w:rsid w:val="F9FDCC68"/>
    <w:rsid w:val="FA1FBE80"/>
    <w:rsid w:val="FA6F10F7"/>
    <w:rsid w:val="FA7F0193"/>
    <w:rsid w:val="FA7FAB18"/>
    <w:rsid w:val="FA7FEC6F"/>
    <w:rsid w:val="FACA9DD6"/>
    <w:rsid w:val="FAFF5DF6"/>
    <w:rsid w:val="FAFFB16A"/>
    <w:rsid w:val="FB1BF831"/>
    <w:rsid w:val="FB2B03AB"/>
    <w:rsid w:val="FB3DFA12"/>
    <w:rsid w:val="FB5D5B6B"/>
    <w:rsid w:val="FB7FF320"/>
    <w:rsid w:val="FB9BFD0E"/>
    <w:rsid w:val="FB9E6885"/>
    <w:rsid w:val="FB9FA663"/>
    <w:rsid w:val="FBA5372A"/>
    <w:rsid w:val="FBAFAE23"/>
    <w:rsid w:val="FBBE819A"/>
    <w:rsid w:val="FBBF4DF4"/>
    <w:rsid w:val="FBDB223C"/>
    <w:rsid w:val="FBDBC769"/>
    <w:rsid w:val="FBDF1556"/>
    <w:rsid w:val="FBE93658"/>
    <w:rsid w:val="FBEFEA71"/>
    <w:rsid w:val="FBF79A2F"/>
    <w:rsid w:val="FBF95518"/>
    <w:rsid w:val="FBFAB9E7"/>
    <w:rsid w:val="FBFAD63B"/>
    <w:rsid w:val="FBFD7DA9"/>
    <w:rsid w:val="FBFEF34F"/>
    <w:rsid w:val="FBFF4AAA"/>
    <w:rsid w:val="FC5DAD22"/>
    <w:rsid w:val="FCE32A6C"/>
    <w:rsid w:val="FCE675DB"/>
    <w:rsid w:val="FCED8CC0"/>
    <w:rsid w:val="FCF5893C"/>
    <w:rsid w:val="FCF67C59"/>
    <w:rsid w:val="FCFD7D84"/>
    <w:rsid w:val="FD56E7A3"/>
    <w:rsid w:val="FD5B8836"/>
    <w:rsid w:val="FD65F106"/>
    <w:rsid w:val="FD6CB825"/>
    <w:rsid w:val="FD77EDB0"/>
    <w:rsid w:val="FD7F038F"/>
    <w:rsid w:val="FD7FA4C5"/>
    <w:rsid w:val="FDB21EE3"/>
    <w:rsid w:val="FDB78B1A"/>
    <w:rsid w:val="FDBA5092"/>
    <w:rsid w:val="FDBB6E22"/>
    <w:rsid w:val="FDCF35EF"/>
    <w:rsid w:val="FDDD345C"/>
    <w:rsid w:val="FDEBF25D"/>
    <w:rsid w:val="FDEFB387"/>
    <w:rsid w:val="FDF62EA9"/>
    <w:rsid w:val="FDF65CE1"/>
    <w:rsid w:val="FDF9E321"/>
    <w:rsid w:val="FDFCD655"/>
    <w:rsid w:val="FDFD06ED"/>
    <w:rsid w:val="FDFEE5FA"/>
    <w:rsid w:val="FDFF14B9"/>
    <w:rsid w:val="FDFF4D0D"/>
    <w:rsid w:val="FDFF687D"/>
    <w:rsid w:val="FDFF8508"/>
    <w:rsid w:val="FDFFAD12"/>
    <w:rsid w:val="FE5E0CCE"/>
    <w:rsid w:val="FE5ED83A"/>
    <w:rsid w:val="FE6FB9DF"/>
    <w:rsid w:val="FE7A3060"/>
    <w:rsid w:val="FEAC7C84"/>
    <w:rsid w:val="FEB7C89E"/>
    <w:rsid w:val="FEBF379A"/>
    <w:rsid w:val="FEEBB167"/>
    <w:rsid w:val="FEF0CCA3"/>
    <w:rsid w:val="FEF163A0"/>
    <w:rsid w:val="FEF663DE"/>
    <w:rsid w:val="FEF66F1D"/>
    <w:rsid w:val="FEF71542"/>
    <w:rsid w:val="FEF7DE70"/>
    <w:rsid w:val="FEFF26C3"/>
    <w:rsid w:val="FEFF5EF2"/>
    <w:rsid w:val="FEFFE926"/>
    <w:rsid w:val="FEFFE95F"/>
    <w:rsid w:val="FF3B830C"/>
    <w:rsid w:val="FF3F356E"/>
    <w:rsid w:val="FF3F86E2"/>
    <w:rsid w:val="FF5F8269"/>
    <w:rsid w:val="FF5F83E4"/>
    <w:rsid w:val="FF635104"/>
    <w:rsid w:val="FF668A68"/>
    <w:rsid w:val="FF6F4231"/>
    <w:rsid w:val="FF7E2D20"/>
    <w:rsid w:val="FF7E58F6"/>
    <w:rsid w:val="FF7E8D3E"/>
    <w:rsid w:val="FF7FABD0"/>
    <w:rsid w:val="FF7FFFEF"/>
    <w:rsid w:val="FF86CD69"/>
    <w:rsid w:val="FF87766C"/>
    <w:rsid w:val="FF8FE35C"/>
    <w:rsid w:val="FF990718"/>
    <w:rsid w:val="FF9CFA72"/>
    <w:rsid w:val="FF9D04A5"/>
    <w:rsid w:val="FF9FF3EB"/>
    <w:rsid w:val="FFAE5789"/>
    <w:rsid w:val="FFAEABA4"/>
    <w:rsid w:val="FFAFFAC0"/>
    <w:rsid w:val="FFB71796"/>
    <w:rsid w:val="FFB8B2C6"/>
    <w:rsid w:val="FFB9D0E3"/>
    <w:rsid w:val="FFBE4F0D"/>
    <w:rsid w:val="FFC6A4B5"/>
    <w:rsid w:val="FFD64AD9"/>
    <w:rsid w:val="FFD7DC7A"/>
    <w:rsid w:val="FFD8089F"/>
    <w:rsid w:val="FFDAD67D"/>
    <w:rsid w:val="FFDBC974"/>
    <w:rsid w:val="FFDD7CDE"/>
    <w:rsid w:val="FFDF0860"/>
    <w:rsid w:val="FFDF457E"/>
    <w:rsid w:val="FFE33824"/>
    <w:rsid w:val="FFE746CB"/>
    <w:rsid w:val="FFEDC1F1"/>
    <w:rsid w:val="FFEE848E"/>
    <w:rsid w:val="FFEF5FF5"/>
    <w:rsid w:val="FFEFC59C"/>
    <w:rsid w:val="FFEFE035"/>
    <w:rsid w:val="FFF227FE"/>
    <w:rsid w:val="FFF56927"/>
    <w:rsid w:val="FFF592AE"/>
    <w:rsid w:val="FFF77AE7"/>
    <w:rsid w:val="FFF7CB86"/>
    <w:rsid w:val="FFF84A96"/>
    <w:rsid w:val="FFF9F34F"/>
    <w:rsid w:val="FFF9F755"/>
    <w:rsid w:val="FFFA9D85"/>
    <w:rsid w:val="FFFBCEB0"/>
    <w:rsid w:val="FFFCB387"/>
    <w:rsid w:val="FFFD327A"/>
    <w:rsid w:val="FFFD5D91"/>
    <w:rsid w:val="FFFDDA2F"/>
    <w:rsid w:val="FFFE5B12"/>
    <w:rsid w:val="FFFE97E7"/>
    <w:rsid w:val="FFFEDDEC"/>
    <w:rsid w:val="FFFEE5EF"/>
    <w:rsid w:val="FFFEF0AA"/>
    <w:rsid w:val="FFFF2BAA"/>
    <w:rsid w:val="FFFF4296"/>
    <w:rsid w:val="FFFF4C76"/>
    <w:rsid w:val="FFFF6A95"/>
    <w:rsid w:val="FFFF9563"/>
    <w:rsid w:val="FFFFAFD9"/>
    <w:rsid w:val="FFFFDBCF"/>
    <w:rsid w:val="FFFFF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qFormat="1" w:unhideWhenUsed="0" w:uiPriority="99" w:semiHidden="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semiHidden="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index 9"/>
    <w:basedOn w:val="1"/>
    <w:next w:val="1"/>
    <w:qFormat/>
    <w:uiPriority w:val="99"/>
    <w:pPr>
      <w:ind w:left="1600" w:leftChars="1600"/>
    </w:pPr>
  </w:style>
  <w:style w:type="paragraph" w:styleId="3">
    <w:name w:val="annotation text"/>
    <w:basedOn w:val="1"/>
    <w:unhideWhenUsed/>
    <w:qFormat/>
    <w:uiPriority w:val="0"/>
    <w:pPr>
      <w:jc w:val="left"/>
    </w:pPr>
  </w:style>
  <w:style w:type="paragraph" w:styleId="4">
    <w:name w:val="Balloon Text"/>
    <w:basedOn w:val="1"/>
    <w:link w:val="19"/>
    <w:qFormat/>
    <w:uiPriority w:val="0"/>
    <w:rPr>
      <w:sz w:val="18"/>
      <w:szCs w:val="18"/>
    </w:rPr>
  </w:style>
  <w:style w:type="paragraph" w:styleId="5">
    <w:name w:val="footer"/>
    <w:basedOn w:val="1"/>
    <w:link w:val="17"/>
    <w:qFormat/>
    <w:uiPriority w:val="0"/>
    <w:pPr>
      <w:tabs>
        <w:tab w:val="center" w:pos="4153"/>
        <w:tab w:val="right" w:pos="8306"/>
      </w:tabs>
      <w:snapToGrid w:val="0"/>
      <w:jc w:val="left"/>
    </w:pPr>
    <w:rPr>
      <w:sz w:val="18"/>
      <w:szCs w:val="18"/>
    </w:rPr>
  </w:style>
  <w:style w:type="paragraph" w:styleId="6">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22"/>
    <w:unhideWhenUsed/>
    <w:qFormat/>
    <w:uiPriority w:val="0"/>
    <w:pPr>
      <w:snapToGrid w:val="0"/>
      <w:jc w:val="left"/>
    </w:pPr>
    <w:rPr>
      <w:sz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11">
    <w:name w:val="Strong"/>
    <w:qFormat/>
    <w:uiPriority w:val="0"/>
    <w:rPr>
      <w:b/>
    </w:rPr>
  </w:style>
  <w:style w:type="character" w:styleId="12">
    <w:name w:val="footnote reference"/>
    <w:unhideWhenUsed/>
    <w:qFormat/>
    <w:uiPriority w:val="0"/>
    <w:rPr>
      <w:vertAlign w:val="superscript"/>
    </w:rPr>
  </w:style>
  <w:style w:type="paragraph" w:customStyle="1" w:styleId="13">
    <w:name w:val="修订1"/>
    <w:hidden/>
    <w:semiHidden/>
    <w:qFormat/>
    <w:uiPriority w:val="99"/>
    <w:rPr>
      <w:rFonts w:ascii="Times New Roman" w:hAnsi="Times New Roman" w:eastAsia="仿宋_GB2312" w:cs="Times New Roman"/>
      <w:kern w:val="2"/>
      <w:sz w:val="30"/>
      <w:szCs w:val="24"/>
      <w:lang w:val="en-US" w:eastAsia="zh-CN" w:bidi="ar-SA"/>
    </w:rPr>
  </w:style>
  <w:style w:type="paragraph" w:customStyle="1" w:styleId="14">
    <w:name w:val="列表段落1"/>
    <w:basedOn w:val="1"/>
    <w:qFormat/>
    <w:uiPriority w:val="99"/>
    <w:pPr>
      <w:ind w:firstLine="420" w:firstLineChars="200"/>
    </w:pPr>
  </w:style>
  <w:style w:type="paragraph" w:customStyle="1" w:styleId="15">
    <w:name w:val="修订2"/>
    <w:hidden/>
    <w:semiHidden/>
    <w:qFormat/>
    <w:uiPriority w:val="99"/>
    <w:rPr>
      <w:rFonts w:ascii="Times New Roman" w:hAnsi="Times New Roman" w:eastAsia="仿宋_GB2312" w:cs="Times New Roman"/>
      <w:kern w:val="2"/>
      <w:sz w:val="30"/>
      <w:szCs w:val="24"/>
      <w:lang w:val="en-US" w:eastAsia="zh-CN" w:bidi="ar-SA"/>
    </w:rPr>
  </w:style>
  <w:style w:type="paragraph" w:customStyle="1" w:styleId="16">
    <w:name w:val="列表段落2"/>
    <w:basedOn w:val="1"/>
    <w:qFormat/>
    <w:uiPriority w:val="99"/>
    <w:pPr>
      <w:ind w:firstLine="420" w:firstLineChars="200"/>
    </w:pPr>
  </w:style>
  <w:style w:type="character" w:customStyle="1" w:styleId="17">
    <w:name w:val="页脚 字符"/>
    <w:link w:val="5"/>
    <w:qFormat/>
    <w:uiPriority w:val="0"/>
    <w:rPr>
      <w:rFonts w:eastAsia="仿宋_GB2312"/>
      <w:kern w:val="2"/>
      <w:sz w:val="18"/>
      <w:szCs w:val="18"/>
    </w:rPr>
  </w:style>
  <w:style w:type="character" w:customStyle="1" w:styleId="18">
    <w:name w:val="页眉 字符"/>
    <w:link w:val="6"/>
    <w:qFormat/>
    <w:uiPriority w:val="0"/>
    <w:rPr>
      <w:rFonts w:eastAsia="仿宋_GB2312"/>
      <w:kern w:val="2"/>
      <w:sz w:val="18"/>
      <w:szCs w:val="18"/>
    </w:rPr>
  </w:style>
  <w:style w:type="character" w:customStyle="1" w:styleId="19">
    <w:name w:val="批注框文本 字符"/>
    <w:link w:val="4"/>
    <w:qFormat/>
    <w:uiPriority w:val="0"/>
    <w:rPr>
      <w:rFonts w:eastAsia="仿宋_GB2312"/>
      <w:kern w:val="2"/>
      <w:sz w:val="18"/>
      <w:szCs w:val="18"/>
    </w:rPr>
  </w:style>
  <w:style w:type="character" w:customStyle="1" w:styleId="20">
    <w:name w:val="font01"/>
    <w:qFormat/>
    <w:uiPriority w:val="0"/>
    <w:rPr>
      <w:rFonts w:ascii="宋体-简" w:hAnsi="宋体-简" w:eastAsia="宋体-简" w:cs="宋体-简"/>
      <w:color w:val="000000"/>
      <w:sz w:val="24"/>
      <w:szCs w:val="24"/>
      <w:u w:val="none"/>
    </w:rPr>
  </w:style>
  <w:style w:type="character" w:customStyle="1" w:styleId="21">
    <w:name w:val="font11"/>
    <w:qFormat/>
    <w:uiPriority w:val="0"/>
    <w:rPr>
      <w:rFonts w:hint="eastAsia" w:ascii="宋体" w:hAnsi="宋体" w:eastAsia="宋体" w:cs="宋体"/>
      <w:color w:val="000000"/>
      <w:sz w:val="24"/>
      <w:szCs w:val="24"/>
      <w:u w:val="none"/>
    </w:rPr>
  </w:style>
  <w:style w:type="character" w:customStyle="1" w:styleId="22">
    <w:name w:val="脚注文本 字符"/>
    <w:link w:val="7"/>
    <w:semiHidden/>
    <w:qFormat/>
    <w:uiPriority w:val="0"/>
    <w:rPr>
      <w:rFonts w:eastAsia="仿宋_GB2312"/>
      <w:kern w:val="2"/>
      <w:sz w:val="18"/>
      <w:szCs w:val="24"/>
    </w:rPr>
  </w:style>
  <w:style w:type="paragraph" w:customStyle="1" w:styleId="23">
    <w:name w:val="Revision"/>
    <w:hidden/>
    <w:semiHidden/>
    <w:qFormat/>
    <w:uiPriority w:val="99"/>
    <w:rPr>
      <w:rFonts w:ascii="Times New Roman" w:hAnsi="Times New Roman" w:eastAsia="仿宋_GB2312" w:cs="Times New Roman"/>
      <w:kern w:val="2"/>
      <w:sz w:val="30"/>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916</Words>
  <Characters>5225</Characters>
  <Lines>43</Lines>
  <Paragraphs>12</Paragraphs>
  <TotalTime>2</TotalTime>
  <ScaleCrop>false</ScaleCrop>
  <LinksUpToDate>false</LinksUpToDate>
  <CharactersWithSpaces>6129</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2023-05-10T07:26:00Z</dcterms:created>
  <dc:creator>lhn</dc:creator>
  <cp:lastModifiedBy>uos</cp:lastModifiedBy>
  <cp:lastPrinted>2024-03-27T17:42:00Z</cp:lastPrinted>
  <dcterms:modified xsi:type="dcterms:W3CDTF">2024-06-05T11:06:42Z</dcterms:modified>
  <dc:title>财政支出绩效评价报告</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C23C3198A95E15500EDC5E667A97B289_43</vt:lpwstr>
  </property>
</Properties>
</file>