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Cs/>
          <w:sz w:val="44"/>
          <w:szCs w:val="44"/>
          <w:highlight w:val="none"/>
          <w:lang w:eastAsia="zh-CN"/>
        </w:rPr>
      </w:pPr>
      <w:bookmarkStart w:id="0" w:name="_GoBack"/>
      <w:r>
        <w:rPr>
          <w:rFonts w:hint="eastAsia" w:ascii="方正小标宋简体" w:hAnsi="方正小标宋简体" w:eastAsia="方正小标宋简体" w:cs="方正小标宋简体"/>
          <w:bCs/>
          <w:sz w:val="44"/>
          <w:szCs w:val="44"/>
          <w:highlight w:val="none"/>
          <w:lang w:val="en-US" w:eastAsia="zh-CN"/>
        </w:rPr>
        <w:t>2023年度</w:t>
      </w:r>
      <w:r>
        <w:rPr>
          <w:rFonts w:hint="eastAsia" w:ascii="方正小标宋简体" w:hAnsi="方正小标宋简体" w:eastAsia="方正小标宋简体" w:cs="方正小标宋简体"/>
          <w:bCs/>
          <w:sz w:val="44"/>
          <w:szCs w:val="44"/>
          <w:highlight w:val="none"/>
        </w:rPr>
        <w:t>中央</w:t>
      </w:r>
      <w:r>
        <w:rPr>
          <w:rFonts w:hint="eastAsia" w:ascii="方正小标宋简体" w:hAnsi="方正小标宋简体" w:eastAsia="方正小标宋简体" w:cs="方正小标宋简体"/>
          <w:bCs/>
          <w:sz w:val="44"/>
          <w:szCs w:val="44"/>
          <w:highlight w:val="none"/>
          <w:lang w:val="en-US" w:eastAsia="zh-CN"/>
        </w:rPr>
        <w:t>集中</w:t>
      </w:r>
      <w:r>
        <w:rPr>
          <w:rFonts w:hint="eastAsia" w:ascii="方正小标宋简体" w:hAnsi="方正小标宋简体" w:eastAsia="方正小标宋简体" w:cs="方正小标宋简体"/>
          <w:bCs/>
          <w:sz w:val="44"/>
          <w:szCs w:val="44"/>
          <w:highlight w:val="none"/>
        </w:rPr>
        <w:t>彩票公益金</w:t>
      </w:r>
      <w:r>
        <w:rPr>
          <w:rFonts w:hint="eastAsia" w:ascii="方正小标宋简体" w:hAnsi="方正小标宋简体" w:eastAsia="方正小标宋简体" w:cs="方正小标宋简体"/>
          <w:bCs/>
          <w:sz w:val="44"/>
          <w:szCs w:val="44"/>
          <w:highlight w:val="none"/>
          <w:lang w:eastAsia="zh-CN"/>
        </w:rPr>
        <w:t>支持</w:t>
      </w:r>
    </w:p>
    <w:p>
      <w:pPr>
        <w:spacing w:line="560" w:lineRule="exact"/>
        <w:jc w:val="center"/>
        <w:rPr>
          <w:rFonts w:hint="eastAsia" w:ascii="方正小标宋简体" w:hAnsi="方正小标宋简体" w:eastAsia="方正小标宋简体" w:cs="方正小标宋简体"/>
          <w:bCs/>
          <w:sz w:val="44"/>
          <w:szCs w:val="44"/>
          <w:highlight w:val="none"/>
          <w:lang w:val="en-US" w:eastAsia="zh-CN"/>
        </w:rPr>
      </w:pPr>
      <w:r>
        <w:rPr>
          <w:rFonts w:hint="eastAsia" w:ascii="方正小标宋简体" w:hAnsi="方正小标宋简体" w:eastAsia="方正小标宋简体" w:cs="方正小标宋简体"/>
          <w:bCs/>
          <w:sz w:val="44"/>
          <w:szCs w:val="44"/>
          <w:highlight w:val="none"/>
          <w:lang w:eastAsia="zh-CN"/>
        </w:rPr>
        <w:t>福利事业专项资金转移支付</w:t>
      </w:r>
      <w:r>
        <w:rPr>
          <w:rFonts w:hint="eastAsia" w:ascii="方正小标宋简体" w:hAnsi="方正小标宋简体" w:eastAsia="方正小标宋简体" w:cs="方正小标宋简体"/>
          <w:bCs/>
          <w:sz w:val="44"/>
          <w:szCs w:val="44"/>
          <w:highlight w:val="none"/>
          <w:lang w:val="en-US" w:eastAsia="zh-CN"/>
        </w:rPr>
        <w:t>预算执行情况</w:t>
      </w:r>
    </w:p>
    <w:p>
      <w:pPr>
        <w:spacing w:line="560" w:lineRule="exact"/>
        <w:jc w:val="center"/>
        <w:rPr>
          <w:rFonts w:ascii="黑体" w:hAnsi="黑体" w:eastAsia="黑体" w:cs="黑体"/>
          <w:bCs/>
          <w:sz w:val="32"/>
          <w:szCs w:val="32"/>
          <w:highlight w:val="none"/>
        </w:rPr>
      </w:pPr>
      <w:r>
        <w:rPr>
          <w:rFonts w:hint="eastAsia" w:ascii="方正小标宋简体" w:hAnsi="方正小标宋简体" w:eastAsia="方正小标宋简体" w:cs="方正小标宋简体"/>
          <w:bCs/>
          <w:sz w:val="44"/>
          <w:szCs w:val="44"/>
          <w:highlight w:val="none"/>
        </w:rPr>
        <w:t>绩效自评报告</w:t>
      </w:r>
    </w:p>
    <w:bookmarkEnd w:id="0"/>
    <w:p>
      <w:pPr>
        <w:spacing w:line="560" w:lineRule="exact"/>
        <w:ind w:firstLine="640" w:firstLineChars="200"/>
        <w:rPr>
          <w:rFonts w:hint="eastAsia" w:ascii="黑体" w:hAnsi="黑体" w:eastAsia="黑体" w:cs="黑体"/>
          <w:bCs/>
          <w:sz w:val="32"/>
          <w:szCs w:val="32"/>
          <w:highlight w:val="none"/>
        </w:rPr>
      </w:pPr>
    </w:p>
    <w:p>
      <w:pPr>
        <w:spacing w:line="560" w:lineRule="exact"/>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一、</w:t>
      </w:r>
      <w:r>
        <w:rPr>
          <w:rFonts w:hint="eastAsia" w:ascii="黑体" w:hAnsi="黑体" w:eastAsia="黑体" w:cs="黑体"/>
          <w:bCs/>
          <w:sz w:val="32"/>
          <w:szCs w:val="32"/>
          <w:highlight w:val="none"/>
          <w:lang w:val="en-US" w:eastAsia="zh-CN"/>
        </w:rPr>
        <w:t>转移支付基本</w:t>
      </w:r>
      <w:r>
        <w:rPr>
          <w:rFonts w:hint="eastAsia" w:ascii="黑体" w:hAnsi="黑体" w:eastAsia="黑体" w:cs="黑体"/>
          <w:bCs/>
          <w:sz w:val="32"/>
          <w:szCs w:val="32"/>
          <w:highlight w:val="none"/>
        </w:rPr>
        <w:t>情况</w:t>
      </w:r>
    </w:p>
    <w:p>
      <w:pPr>
        <w:spacing w:line="560" w:lineRule="exact"/>
        <w:ind w:firstLine="642" w:firstLineChars="200"/>
        <w:outlineLvl w:val="0"/>
        <w:rPr>
          <w:rFonts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（一）中央集中彩票公益金</w:t>
      </w:r>
      <w:r>
        <w:rPr>
          <w:rFonts w:hint="eastAsia" w:ascii="楷体_GB2312" w:hAnsi="楷体_GB2312" w:eastAsia="楷体_GB2312" w:cs="楷体_GB2312"/>
          <w:b/>
          <w:bCs/>
          <w:sz w:val="32"/>
          <w:szCs w:val="32"/>
          <w:highlight w:val="none"/>
          <w:lang w:val="en-US" w:eastAsia="zh-CN"/>
        </w:rPr>
        <w:t>概</w:t>
      </w:r>
      <w:r>
        <w:rPr>
          <w:rFonts w:hint="eastAsia" w:ascii="楷体_GB2312" w:hAnsi="楷体_GB2312" w:eastAsia="楷体_GB2312" w:cs="楷体_GB2312"/>
          <w:b/>
          <w:bCs/>
          <w:sz w:val="32"/>
          <w:szCs w:val="32"/>
          <w:highlight w:val="none"/>
        </w:rPr>
        <w:t>况</w:t>
      </w:r>
    </w:p>
    <w:p>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根据《财政部 民政部关于提前下达202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年中央集中彩票公益金支持社会福利事业专项资金预算的通知》（财社〔20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rPr>
        <w:t>〕1</w:t>
      </w:r>
      <w:r>
        <w:rPr>
          <w:rFonts w:hint="eastAsia" w:ascii="仿宋_GB2312" w:hAnsi="仿宋_GB2312" w:cs="仿宋_GB2312"/>
          <w:sz w:val="32"/>
          <w:szCs w:val="32"/>
          <w:highlight w:val="none"/>
          <w:lang w:val="en-US" w:eastAsia="zh-CN"/>
        </w:rPr>
        <w:t>30</w:t>
      </w:r>
      <w:r>
        <w:rPr>
          <w:rFonts w:hint="eastAsia" w:ascii="仿宋_GB2312" w:hAnsi="仿宋_GB2312" w:cs="仿宋_GB2312"/>
          <w:sz w:val="32"/>
          <w:szCs w:val="32"/>
          <w:highlight w:val="none"/>
        </w:rPr>
        <w:t>号）</w:t>
      </w:r>
      <w:r>
        <w:rPr>
          <w:rFonts w:ascii="仿宋_GB2312" w:hAnsi="仿宋_GB2312" w:cs="仿宋_GB2312"/>
          <w:sz w:val="32"/>
          <w:szCs w:val="32"/>
          <w:highlight w:val="none"/>
        </w:rPr>
        <w:t>、</w:t>
      </w:r>
      <w:r>
        <w:rPr>
          <w:rFonts w:hint="eastAsia" w:ascii="仿宋_GB2312" w:hAnsi="仿宋_GB2312" w:cs="仿宋_GB2312"/>
          <w:sz w:val="32"/>
          <w:szCs w:val="32"/>
          <w:highlight w:val="none"/>
        </w:rPr>
        <w:t>《财政部</w:t>
      </w:r>
      <w:r>
        <w:rPr>
          <w:rFonts w:ascii="仿宋_GB2312" w:hAnsi="仿宋_GB2312" w:cs="仿宋_GB2312"/>
          <w:sz w:val="32"/>
          <w:szCs w:val="32"/>
          <w:highlight w:val="none"/>
        </w:rPr>
        <w:t xml:space="preserve"> </w:t>
      </w:r>
      <w:r>
        <w:rPr>
          <w:rFonts w:hint="eastAsia" w:ascii="仿宋_GB2312" w:hAnsi="仿宋_GB2312" w:cs="仿宋_GB2312"/>
          <w:sz w:val="32"/>
          <w:szCs w:val="32"/>
          <w:highlight w:val="none"/>
        </w:rPr>
        <w:t>民政部关于下达202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年中央集中彩票公益金支持社会福利事业专项资金预算的通知》（财社〔202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62</w:t>
      </w:r>
      <w:r>
        <w:rPr>
          <w:rFonts w:hint="eastAsia" w:ascii="仿宋_GB2312" w:hAnsi="仿宋_GB2312" w:cs="仿宋_GB2312"/>
          <w:sz w:val="32"/>
          <w:szCs w:val="32"/>
          <w:highlight w:val="none"/>
        </w:rPr>
        <w:t>号），202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eastAsia="zh-CN"/>
        </w:rPr>
        <w:t>累计下达</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lang w:eastAsia="zh-CN"/>
        </w:rPr>
        <w:t>福利彩票公益金</w:t>
      </w:r>
      <w:r>
        <w:rPr>
          <w:rFonts w:hint="eastAsia" w:ascii="仿宋_GB2312" w:hAnsi="仿宋_GB2312" w:cs="仿宋_GB2312"/>
          <w:sz w:val="32"/>
          <w:szCs w:val="32"/>
          <w:highlight w:val="none"/>
        </w:rPr>
        <w:t>共</w:t>
      </w:r>
      <w:r>
        <w:rPr>
          <w:rFonts w:hint="eastAsia" w:ascii="仿宋_GB2312" w:hAnsi="仿宋_GB2312" w:cs="仿宋_GB2312"/>
          <w:sz w:val="32"/>
          <w:szCs w:val="32"/>
          <w:highlight w:val="none"/>
          <w:lang w:eastAsia="zh-CN"/>
        </w:rPr>
        <w:t>计</w:t>
      </w:r>
      <w:r>
        <w:rPr>
          <w:rFonts w:hint="eastAsia" w:ascii="仿宋_GB2312" w:hAnsi="仿宋_GB2312" w:cs="仿宋_GB2312"/>
          <w:sz w:val="32"/>
          <w:szCs w:val="32"/>
          <w:highlight w:val="none"/>
          <w:lang w:val="en-US" w:eastAsia="zh-CN"/>
        </w:rPr>
        <w:t>876</w:t>
      </w:r>
      <w:r>
        <w:rPr>
          <w:rFonts w:hint="eastAsia" w:ascii="仿宋_GB2312" w:hAnsi="仿宋_GB2312" w:cs="仿宋_GB2312"/>
          <w:sz w:val="32"/>
          <w:szCs w:val="32"/>
          <w:highlight w:val="none"/>
        </w:rPr>
        <w:t>万元，其中老年人福利类项目</w:t>
      </w:r>
      <w:r>
        <w:rPr>
          <w:rFonts w:hint="eastAsia" w:ascii="仿宋_GB2312" w:hAnsi="仿宋_GB2312" w:cs="仿宋_GB2312"/>
          <w:sz w:val="32"/>
          <w:szCs w:val="32"/>
          <w:highlight w:val="none"/>
          <w:lang w:val="en-US" w:eastAsia="zh-CN"/>
        </w:rPr>
        <w:t>528</w:t>
      </w:r>
      <w:r>
        <w:rPr>
          <w:rFonts w:hint="eastAsia" w:ascii="仿宋_GB2312" w:hAnsi="仿宋_GB2312" w:cs="仿宋_GB2312"/>
          <w:sz w:val="32"/>
          <w:szCs w:val="32"/>
          <w:highlight w:val="none"/>
        </w:rPr>
        <w:t>万元，残疾人福利类项目</w:t>
      </w:r>
      <w:r>
        <w:rPr>
          <w:rFonts w:ascii="仿宋_GB2312" w:hAnsi="仿宋_GB2312" w:cs="仿宋_GB2312"/>
          <w:sz w:val="32"/>
          <w:szCs w:val="32"/>
          <w:highlight w:val="none"/>
        </w:rPr>
        <w:t>18</w:t>
      </w:r>
      <w:r>
        <w:rPr>
          <w:rFonts w:hint="eastAsia" w:ascii="仿宋_GB2312" w:hAnsi="仿宋_GB2312" w:cs="仿宋_GB2312"/>
          <w:sz w:val="32"/>
          <w:szCs w:val="32"/>
          <w:highlight w:val="none"/>
          <w:lang w:val="en-US" w:eastAsia="zh-CN"/>
        </w:rPr>
        <w:t>0</w:t>
      </w:r>
      <w:r>
        <w:rPr>
          <w:rFonts w:hint="eastAsia" w:ascii="仿宋_GB2312" w:hAnsi="仿宋_GB2312" w:cs="仿宋_GB2312"/>
          <w:sz w:val="32"/>
          <w:szCs w:val="32"/>
          <w:highlight w:val="none"/>
        </w:rPr>
        <w:t>万元，儿童福利类项目</w:t>
      </w:r>
      <w:r>
        <w:rPr>
          <w:rFonts w:ascii="仿宋_GB2312" w:hAnsi="仿宋_GB2312" w:cs="仿宋_GB2312"/>
          <w:sz w:val="32"/>
          <w:szCs w:val="32"/>
          <w:highlight w:val="none"/>
        </w:rPr>
        <w:t>1</w:t>
      </w:r>
      <w:r>
        <w:rPr>
          <w:rFonts w:hint="eastAsia" w:ascii="仿宋_GB2312" w:hAnsi="仿宋_GB2312" w:cs="仿宋_GB2312"/>
          <w:sz w:val="32"/>
          <w:szCs w:val="32"/>
          <w:highlight w:val="none"/>
          <w:lang w:val="en-US" w:eastAsia="zh-CN"/>
        </w:rPr>
        <w:t>68</w:t>
      </w:r>
      <w:r>
        <w:rPr>
          <w:rFonts w:hint="eastAsia" w:ascii="仿宋_GB2312" w:hAnsi="仿宋_GB2312" w:cs="仿宋_GB2312"/>
          <w:sz w:val="32"/>
          <w:szCs w:val="32"/>
          <w:highlight w:val="none"/>
        </w:rPr>
        <w:t>万元。中央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福利彩票公益金整体绩效目标随预算一并下达。</w:t>
      </w:r>
    </w:p>
    <w:p>
      <w:pPr>
        <w:spacing w:line="560" w:lineRule="exact"/>
        <w:ind w:firstLine="640" w:firstLineChars="200"/>
        <w:rPr>
          <w:rFonts w:ascii="仿宋_GB2312" w:hAnsi="仿宋_GB2312" w:cs="仿宋_GB2312"/>
          <w:sz w:val="32"/>
          <w:szCs w:val="32"/>
          <w:highlight w:val="none"/>
        </w:rPr>
      </w:pPr>
      <w:r>
        <w:rPr>
          <w:rFonts w:hint="eastAsia" w:ascii="仿宋_GB2312" w:hAnsi="仿宋_GB2312" w:cs="仿宋_GB2312"/>
          <w:sz w:val="32"/>
          <w:szCs w:val="32"/>
          <w:highlight w:val="none"/>
        </w:rPr>
        <w:t>按照“扶老、助残、救孤、济困”的宗旨和中央文件精神，根据</w:t>
      </w:r>
      <w:r>
        <w:rPr>
          <w:rFonts w:ascii="仿宋_GB2312" w:hAnsi="仿宋_GB2312" w:cs="仿宋_GB2312"/>
          <w:sz w:val="32"/>
          <w:szCs w:val="32"/>
          <w:highlight w:val="none"/>
        </w:rPr>
        <w:t>《</w:t>
      </w:r>
      <w:r>
        <w:rPr>
          <w:rFonts w:hint="eastAsia" w:ascii="仿宋_GB2312" w:hAnsi="仿宋_GB2312" w:cs="仿宋_GB2312"/>
          <w:sz w:val="32"/>
          <w:szCs w:val="32"/>
          <w:highlight w:val="none"/>
        </w:rPr>
        <w:t>北京市财政局关于提前下达各区</w:t>
      </w:r>
      <w:r>
        <w:rPr>
          <w:rFonts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年中央集中彩票公益金支持社会福利事业专项资金预算的通知</w:t>
      </w:r>
      <w:r>
        <w:rPr>
          <w:rFonts w:ascii="仿宋_GB2312" w:hAnsi="仿宋_GB2312" w:cs="仿宋_GB2312"/>
          <w:sz w:val="32"/>
          <w:szCs w:val="32"/>
          <w:highlight w:val="none"/>
        </w:rPr>
        <w:t>》</w:t>
      </w:r>
      <w:r>
        <w:rPr>
          <w:rFonts w:hint="eastAsia" w:ascii="仿宋_GB2312" w:hAnsi="仿宋_GB2312" w:cs="仿宋_GB2312"/>
          <w:sz w:val="32"/>
          <w:szCs w:val="32"/>
          <w:highlight w:val="none"/>
        </w:rPr>
        <w:t>（京财社指〔20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rPr>
        <w:t>〕</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480</w:t>
      </w:r>
      <w:r>
        <w:rPr>
          <w:rFonts w:hint="eastAsia" w:ascii="仿宋_GB2312" w:hAnsi="仿宋_GB2312" w:cs="仿宋_GB2312"/>
          <w:sz w:val="32"/>
          <w:szCs w:val="32"/>
          <w:highlight w:val="none"/>
        </w:rPr>
        <w:t>号）、</w:t>
      </w:r>
      <w:r>
        <w:rPr>
          <w:rFonts w:ascii="仿宋_GB2312" w:hAnsi="仿宋_GB2312" w:cs="仿宋_GB2312"/>
          <w:sz w:val="32"/>
          <w:szCs w:val="32"/>
          <w:highlight w:val="none"/>
        </w:rPr>
        <w:t>《</w:t>
      </w:r>
      <w:r>
        <w:rPr>
          <w:rFonts w:hint="eastAsia" w:ascii="仿宋_GB2312" w:hAnsi="仿宋_GB2312" w:cs="仿宋_GB2312"/>
          <w:sz w:val="32"/>
          <w:szCs w:val="32"/>
          <w:highlight w:val="none"/>
        </w:rPr>
        <w:t>北京市财政局关于下达</w:t>
      </w:r>
      <w:r>
        <w:rPr>
          <w:rFonts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年中央集中彩票公益金支持社会福利事业专项资金预算的通知</w:t>
      </w:r>
      <w:r>
        <w:rPr>
          <w:rFonts w:ascii="仿宋_GB2312" w:hAnsi="仿宋_GB2312" w:cs="仿宋_GB2312"/>
          <w:sz w:val="32"/>
          <w:szCs w:val="32"/>
          <w:highlight w:val="none"/>
        </w:rPr>
        <w:t>》</w:t>
      </w:r>
      <w:r>
        <w:rPr>
          <w:rFonts w:hint="eastAsia" w:ascii="仿宋_GB2312" w:hAnsi="仿宋_GB2312" w:cs="仿宋_GB2312"/>
          <w:sz w:val="32"/>
          <w:szCs w:val="32"/>
          <w:highlight w:val="none"/>
        </w:rPr>
        <w:t>（京财社指〔20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1373</w:t>
      </w:r>
      <w:r>
        <w:rPr>
          <w:rFonts w:hint="eastAsia" w:ascii="仿宋_GB2312" w:hAnsi="仿宋_GB2312" w:cs="仿宋_GB2312"/>
          <w:sz w:val="32"/>
          <w:szCs w:val="32"/>
          <w:highlight w:val="none"/>
        </w:rPr>
        <w:t>号），中央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福利彩票公益金按时下达至各区，绩效目标随预算一并批复下达。</w:t>
      </w:r>
    </w:p>
    <w:p>
      <w:pPr>
        <w:spacing w:line="560" w:lineRule="exact"/>
        <w:ind w:firstLine="642"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）资金投入情况分析</w:t>
      </w:r>
    </w:p>
    <w:p>
      <w:pPr>
        <w:spacing w:line="560" w:lineRule="exact"/>
        <w:ind w:firstLine="642" w:firstLineChars="200"/>
        <w:rPr>
          <w:rFonts w:ascii="仿宋_GB2312" w:hAnsi="仿宋_GB2312" w:cs="仿宋_GB2312"/>
          <w:sz w:val="32"/>
          <w:szCs w:val="32"/>
          <w:highlight w:val="none"/>
        </w:rPr>
      </w:pPr>
      <w:r>
        <w:rPr>
          <w:rFonts w:hint="eastAsia" w:ascii="仿宋_GB2312"/>
          <w:b/>
          <w:sz w:val="32"/>
          <w:szCs w:val="32"/>
          <w:highlight w:val="none"/>
        </w:rPr>
        <w:t>1.项目资金到位情况分析。</w:t>
      </w: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年累计下达中央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val="en-US" w:eastAsia="zh-CN"/>
        </w:rPr>
        <w:t>876</w:t>
      </w:r>
      <w:r>
        <w:rPr>
          <w:rFonts w:hint="eastAsia" w:ascii="仿宋_GB2312" w:hAnsi="仿宋_GB2312" w:cs="仿宋_GB2312"/>
          <w:sz w:val="32"/>
          <w:szCs w:val="32"/>
          <w:highlight w:val="none"/>
        </w:rPr>
        <w:t>万元，截至202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年7月，中央资金全部分解下达至各区，资金到位率100%</w:t>
      </w:r>
      <w:r>
        <w:rPr>
          <w:rFonts w:ascii="仿宋_GB2312" w:hAnsi="仿宋_GB2312" w:cs="仿宋_GB2312"/>
          <w:sz w:val="32"/>
          <w:szCs w:val="32"/>
          <w:highlight w:val="none"/>
        </w:rPr>
        <w:t>。</w:t>
      </w:r>
    </w:p>
    <w:p>
      <w:pPr>
        <w:spacing w:line="560" w:lineRule="exact"/>
        <w:ind w:firstLine="642" w:firstLineChars="200"/>
        <w:jc w:val="both"/>
        <w:rPr>
          <w:rFonts w:hint="default" w:ascii="仿宋_GB2312" w:hAnsi="仿宋_GB2312" w:cs="仿宋_GB2312"/>
          <w:sz w:val="32"/>
          <w:szCs w:val="32"/>
          <w:highlight w:val="none"/>
        </w:rPr>
      </w:pPr>
      <w:r>
        <w:rPr>
          <w:rFonts w:hint="eastAsia" w:ascii="仿宋_GB2312"/>
          <w:b/>
          <w:sz w:val="32"/>
          <w:szCs w:val="32"/>
          <w:highlight w:val="none"/>
        </w:rPr>
        <w:t>2.项目资金执行情况分析。</w:t>
      </w:r>
      <w:r>
        <w:rPr>
          <w:rFonts w:hint="eastAsia" w:ascii="仿宋_GB2312" w:hAnsi="仿宋_GB2312" w:cs="仿宋_GB2312"/>
          <w:sz w:val="32"/>
          <w:szCs w:val="32"/>
          <w:highlight w:val="none"/>
        </w:rPr>
        <w:t>彩票公益金执行期两年</w:t>
      </w:r>
      <w:r>
        <w:rPr>
          <w:rFonts w:ascii="仿宋_GB2312" w:hAnsi="仿宋_GB2312" w:cs="仿宋_GB2312"/>
          <w:sz w:val="32"/>
          <w:szCs w:val="32"/>
          <w:highlight w:val="none"/>
        </w:rPr>
        <w:t>，</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w:t>
      </w:r>
      <w:r>
        <w:rPr>
          <w:rFonts w:ascii="仿宋_GB2312" w:hAnsi="仿宋_GB2312" w:cs="仿宋_GB2312"/>
          <w:sz w:val="32"/>
          <w:szCs w:val="32"/>
          <w:highlight w:val="none"/>
        </w:rPr>
        <w:t>12</w:t>
      </w:r>
      <w:r>
        <w:rPr>
          <w:rFonts w:hint="eastAsia" w:ascii="仿宋_GB2312" w:hAnsi="仿宋_GB2312" w:cs="仿宋_GB2312"/>
          <w:sz w:val="32"/>
          <w:szCs w:val="32"/>
          <w:highlight w:val="none"/>
        </w:rPr>
        <w:t>月底，中央资金累计支出</w:t>
      </w:r>
      <w:r>
        <w:rPr>
          <w:rFonts w:hint="eastAsia" w:ascii="仿宋_GB2312" w:hAnsi="仿宋_GB2312" w:cs="仿宋_GB2312"/>
          <w:sz w:val="32"/>
          <w:szCs w:val="32"/>
          <w:highlight w:val="none"/>
          <w:lang w:val="en-US" w:eastAsia="zh-CN"/>
        </w:rPr>
        <w:t>627</w:t>
      </w:r>
      <w:r>
        <w:rPr>
          <w:rFonts w:hint="eastAsia" w:ascii="仿宋_GB2312" w:hAnsi="仿宋_GB2312" w:cs="仿宋_GB2312"/>
          <w:sz w:val="32"/>
          <w:szCs w:val="32"/>
          <w:highlight w:val="none"/>
        </w:rPr>
        <w:t>.</w:t>
      </w:r>
      <w:r>
        <w:rPr>
          <w:rFonts w:ascii="仿宋_GB2312" w:hAnsi="仿宋_GB2312" w:cs="仿宋_GB2312"/>
          <w:sz w:val="32"/>
          <w:szCs w:val="32"/>
          <w:highlight w:val="none"/>
        </w:rPr>
        <w:t>4</w:t>
      </w:r>
      <w:r>
        <w:rPr>
          <w:rFonts w:hint="eastAsia" w:ascii="仿宋_GB2312" w:hAnsi="仿宋_GB2312" w:cs="仿宋_GB2312"/>
          <w:sz w:val="32"/>
          <w:szCs w:val="32"/>
          <w:highlight w:val="none"/>
          <w:lang w:val="en-US" w:eastAsia="zh-CN"/>
        </w:rPr>
        <w:t>8</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71</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63</w:t>
      </w:r>
      <w:r>
        <w:rPr>
          <w:rFonts w:hint="eastAsia" w:ascii="仿宋_GB2312" w:hAnsi="仿宋_GB2312" w:cs="仿宋_GB2312"/>
          <w:sz w:val="32"/>
          <w:szCs w:val="32"/>
          <w:highlight w:val="none"/>
        </w:rPr>
        <w:t>%</w:t>
      </w:r>
      <w:r>
        <w:rPr>
          <w:rFonts w:hint="default" w:ascii="仿宋_GB2312" w:hAnsi="仿宋_GB2312" w:cs="仿宋_GB2312"/>
          <w:sz w:val="32"/>
          <w:szCs w:val="32"/>
          <w:highlight w:val="none"/>
        </w:rPr>
        <w:t>，中央资金预算执行情况详见表1</w:t>
      </w:r>
      <w:r>
        <w:rPr>
          <w:rFonts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年使用中央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福利彩票公益金以前年度结转资金</w:t>
      </w:r>
      <w:r>
        <w:rPr>
          <w:rFonts w:hint="eastAsia" w:ascii="仿宋_GB2312" w:hAnsi="仿宋_GB2312" w:cs="仿宋_GB2312"/>
          <w:sz w:val="32"/>
          <w:szCs w:val="32"/>
          <w:highlight w:val="none"/>
          <w:lang w:val="en-US" w:eastAsia="zh-CN"/>
        </w:rPr>
        <w:t>630</w:t>
      </w:r>
      <w:r>
        <w:rPr>
          <w:rFonts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63</w:t>
      </w:r>
      <w:r>
        <w:rPr>
          <w:rFonts w:hint="eastAsia" w:ascii="仿宋_GB2312" w:hAnsi="仿宋_GB2312" w:cs="仿宋_GB2312"/>
          <w:sz w:val="32"/>
          <w:szCs w:val="32"/>
          <w:highlight w:val="none"/>
        </w:rPr>
        <w:t>万元，累计支出</w:t>
      </w:r>
      <w:r>
        <w:rPr>
          <w:rFonts w:hint="eastAsia" w:ascii="仿宋_GB2312" w:hAnsi="仿宋_GB2312" w:cs="仿宋_GB2312"/>
          <w:sz w:val="32"/>
          <w:szCs w:val="32"/>
          <w:highlight w:val="none"/>
          <w:lang w:val="en-US" w:eastAsia="zh-CN"/>
        </w:rPr>
        <w:t>629</w:t>
      </w:r>
      <w:r>
        <w:rPr>
          <w:rFonts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88</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99.88</w:t>
      </w:r>
      <w:r>
        <w:rPr>
          <w:rFonts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val="en-US" w:eastAsia="zh-Hans"/>
        </w:rPr>
        <w:t>整体</w:t>
      </w:r>
      <w:r>
        <w:rPr>
          <w:rFonts w:ascii="仿宋_GB2312" w:hAnsi="仿宋_GB2312" w:cs="仿宋_GB2312"/>
          <w:sz w:val="32"/>
          <w:szCs w:val="32"/>
          <w:highlight w:val="none"/>
        </w:rPr>
        <w:t>预算执行情况详见表</w:t>
      </w:r>
      <w:r>
        <w:rPr>
          <w:rFonts w:hint="default" w:ascii="仿宋_GB2312" w:hAnsi="仿宋_GB2312" w:cs="仿宋_GB2312"/>
          <w:sz w:val="32"/>
          <w:szCs w:val="32"/>
          <w:highlight w:val="none"/>
        </w:rPr>
        <w:t>2。</w:t>
      </w:r>
    </w:p>
    <w:p>
      <w:pPr>
        <w:spacing w:line="580" w:lineRule="exact"/>
        <w:jc w:val="center"/>
        <w:rPr>
          <w:rFonts w:hint="eastAsia" w:ascii="黑体" w:hAnsi="黑体" w:eastAsia="黑体" w:cs="Times New Roman"/>
          <w:sz w:val="24"/>
          <w:szCs w:val="24"/>
          <w:highlight w:val="none"/>
          <w:lang w:val="en-US" w:eastAsia="zh-Hans"/>
        </w:rPr>
      </w:pPr>
      <w:r>
        <w:rPr>
          <w:rFonts w:hint="eastAsia" w:ascii="黑体" w:hAnsi="黑体" w:eastAsia="黑体" w:cs="Times New Roman"/>
          <w:sz w:val="24"/>
          <w:szCs w:val="24"/>
          <w:highlight w:val="none"/>
          <w:lang w:val="en-US" w:eastAsia="zh-Hans"/>
        </w:rPr>
        <w:t>表1 北京市202</w:t>
      </w:r>
      <w:r>
        <w:rPr>
          <w:rFonts w:hint="eastAsia" w:ascii="黑体" w:hAnsi="黑体" w:eastAsia="黑体" w:cs="Times New Roman"/>
          <w:sz w:val="24"/>
          <w:szCs w:val="24"/>
          <w:highlight w:val="none"/>
          <w:lang w:val="en-US" w:eastAsia="zh-CN"/>
        </w:rPr>
        <w:t>3</w:t>
      </w:r>
      <w:r>
        <w:rPr>
          <w:rFonts w:hint="eastAsia" w:ascii="黑体" w:hAnsi="黑体" w:eastAsia="黑体" w:cs="Times New Roman"/>
          <w:sz w:val="24"/>
          <w:szCs w:val="24"/>
          <w:highlight w:val="none"/>
          <w:lang w:val="en-US" w:eastAsia="zh-Hans"/>
        </w:rPr>
        <w:t>年度</w:t>
      </w:r>
      <w:r>
        <w:rPr>
          <w:rFonts w:hint="eastAsia" w:ascii="黑体" w:hAnsi="黑体" w:eastAsia="黑体" w:cs="Times New Roman"/>
          <w:sz w:val="24"/>
          <w:szCs w:val="24"/>
          <w:highlight w:val="none"/>
          <w:lang w:val="en-US" w:eastAsia="zh-CN"/>
        </w:rPr>
        <w:t>集中</w:t>
      </w:r>
      <w:r>
        <w:rPr>
          <w:rFonts w:hint="eastAsia" w:ascii="黑体" w:hAnsi="黑体" w:eastAsia="黑体" w:cs="Times New Roman"/>
          <w:sz w:val="24"/>
          <w:szCs w:val="24"/>
          <w:highlight w:val="none"/>
          <w:lang w:val="en-US" w:eastAsia="zh-Hans"/>
        </w:rPr>
        <w:t>彩票公益金中央资金预算执行情况表</w:t>
      </w:r>
    </w:p>
    <w:p>
      <w:pPr>
        <w:spacing w:line="550" w:lineRule="exact"/>
        <w:ind w:firstLine="480" w:firstLineChars="200"/>
        <w:jc w:val="right"/>
        <w:rPr>
          <w:rFonts w:hint="eastAsia" w:ascii="黑体" w:hAnsi="黑体" w:eastAsia="黑体" w:cs="黑体"/>
          <w:sz w:val="24"/>
          <w:highlight w:val="none"/>
        </w:rPr>
      </w:pPr>
      <w:r>
        <w:rPr>
          <w:rFonts w:hint="eastAsia" w:ascii="黑体" w:hAnsi="黑体" w:eastAsia="黑体" w:cs="黑体"/>
          <w:sz w:val="24"/>
          <w:highlight w:val="none"/>
        </w:rPr>
        <w:t>单位：万元</w:t>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4"/>
        <w:gridCol w:w="937"/>
        <w:gridCol w:w="3938"/>
        <w:gridCol w:w="1109"/>
        <w:gridCol w:w="1109"/>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blHeader/>
        </w:trPr>
        <w:tc>
          <w:tcPr>
            <w:tcW w:w="472"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517"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区</w:t>
            </w:r>
          </w:p>
        </w:tc>
        <w:tc>
          <w:tcPr>
            <w:tcW w:w="2172" w:type="pct"/>
            <w:vMerge w:val="restar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项目类别/名称</w:t>
            </w:r>
          </w:p>
        </w:tc>
        <w:tc>
          <w:tcPr>
            <w:tcW w:w="1836" w:type="pct"/>
            <w:gridSpan w:val="3"/>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中央财政资金使用情况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blHeader/>
        </w:trPr>
        <w:tc>
          <w:tcPr>
            <w:tcW w:w="472"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jc w:val="center"/>
              <w:rPr>
                <w:rFonts w:hint="eastAsia" w:ascii="宋体" w:hAnsi="宋体" w:eastAsia="宋体" w:cs="宋体"/>
                <w:b/>
                <w:bCs/>
                <w:i w:val="0"/>
                <w:iCs w:val="0"/>
                <w:color w:val="000000"/>
                <w:sz w:val="20"/>
                <w:szCs w:val="20"/>
                <w:highlight w:val="none"/>
                <w:u w:val="none"/>
              </w:rPr>
            </w:pPr>
          </w:p>
        </w:tc>
        <w:tc>
          <w:tcPr>
            <w:tcW w:w="517"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jc w:val="center"/>
              <w:rPr>
                <w:rFonts w:hint="eastAsia" w:ascii="宋体" w:hAnsi="宋体" w:eastAsia="宋体" w:cs="宋体"/>
                <w:b/>
                <w:bCs/>
                <w:i w:val="0"/>
                <w:iCs w:val="0"/>
                <w:color w:val="000000"/>
                <w:sz w:val="20"/>
                <w:szCs w:val="20"/>
                <w:highlight w:val="none"/>
                <w:u w:val="none"/>
              </w:rPr>
            </w:pPr>
          </w:p>
        </w:tc>
        <w:tc>
          <w:tcPr>
            <w:tcW w:w="2172" w:type="pct"/>
            <w:vMerge w:val="continue"/>
            <w:tcBorders>
              <w:top w:val="single" w:color="000000" w:sz="4" w:space="0"/>
              <w:left w:val="single" w:color="000000" w:sz="4" w:space="0"/>
              <w:bottom w:val="single" w:color="000000" w:sz="4" w:space="0"/>
              <w:right w:val="single" w:color="000000" w:sz="4" w:space="0"/>
            </w:tcBorders>
            <w:shd w:val="clear" w:color="auto" w:fill="BFBFBF"/>
            <w:vAlign w:val="center"/>
          </w:tcPr>
          <w:p>
            <w:pPr>
              <w:jc w:val="center"/>
              <w:rPr>
                <w:rFonts w:hint="eastAsia" w:ascii="宋体" w:hAnsi="宋体" w:eastAsia="宋体" w:cs="宋体"/>
                <w:b/>
                <w:bCs/>
                <w:i w:val="0"/>
                <w:iCs w:val="0"/>
                <w:color w:val="000000"/>
                <w:sz w:val="20"/>
                <w:szCs w:val="20"/>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预算数</w:t>
            </w:r>
          </w:p>
        </w:tc>
        <w:tc>
          <w:tcPr>
            <w:tcW w:w="612" w:type="pc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支出数</w:t>
            </w:r>
          </w:p>
        </w:tc>
        <w:tc>
          <w:tcPr>
            <w:tcW w:w="612" w:type="pct"/>
            <w:tcBorders>
              <w:top w:val="single" w:color="000000" w:sz="4" w:space="0"/>
              <w:left w:val="single" w:color="000000" w:sz="4" w:space="0"/>
              <w:bottom w:val="single" w:color="000000" w:sz="4" w:space="0"/>
              <w:right w:val="single" w:color="000000" w:sz="4" w:space="0"/>
            </w:tcBorders>
            <w:shd w:val="clear" w:color="auto" w:fill="BFBF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3163"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  计</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876.00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627.48</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71.63%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w:t>
            </w:r>
          </w:p>
        </w:tc>
        <w:tc>
          <w:tcPr>
            <w:tcW w:w="269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老年人福利类</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528.00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290.58</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55.03%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昌平</w:t>
            </w:r>
          </w:p>
        </w:tc>
        <w:tc>
          <w:tcPr>
            <w:tcW w:w="217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敬老院升级改造及设备配置项目</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406.75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169.33</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延庆</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养老机构消防升级改造项目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121.25</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121.25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w:t>
            </w:r>
          </w:p>
        </w:tc>
        <w:tc>
          <w:tcPr>
            <w:tcW w:w="269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残疾人福利类</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180.00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179.90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99.94%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西城</w:t>
            </w:r>
          </w:p>
        </w:tc>
        <w:tc>
          <w:tcPr>
            <w:tcW w:w="2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精神卫生福利机构设施设备购置项目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130.00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129.90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99.92%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房山</w:t>
            </w:r>
          </w:p>
        </w:tc>
        <w:tc>
          <w:tcPr>
            <w:tcW w:w="217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仙栖谷精神障碍托养中心修缮及设施设备配置项目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（三）</w:t>
            </w:r>
          </w:p>
        </w:tc>
        <w:tc>
          <w:tcPr>
            <w:tcW w:w="269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儿童福利类</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168.00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157.00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93.45%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东城</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西城</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0.50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朝阳</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13.50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13.50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海淀</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丰台</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门头沟</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517" w:type="pct"/>
            <w:vMerge w:val="restar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房山</w:t>
            </w:r>
          </w:p>
        </w:tc>
        <w:tc>
          <w:tcPr>
            <w:tcW w:w="217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儿童福利院儿童学习设施购置项目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517" w:type="pct"/>
            <w:vMerge w:val="continue"/>
            <w:tcBorders>
              <w:top w:val="single" w:color="000000" w:sz="4" w:space="0"/>
              <w:left w:val="single" w:color="000000" w:sz="4" w:space="0"/>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highlight w:val="none"/>
                <w:u w:val="none"/>
              </w:rPr>
            </w:pP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12.00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11.75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通州</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4.00</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3.75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顺义</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昌平</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10.25</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8.50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大兴</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怀柔</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12.00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517" w:type="pct"/>
            <w:vMerge w:val="restar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平谷</w:t>
            </w:r>
          </w:p>
        </w:tc>
        <w:tc>
          <w:tcPr>
            <w:tcW w:w="217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儿童福利院院内升级改造项目</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49.75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49.75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517" w:type="pct"/>
            <w:vMerge w:val="continue"/>
            <w:tcBorders>
              <w:top w:val="single" w:color="000000" w:sz="4" w:space="0"/>
              <w:left w:val="single" w:color="000000" w:sz="4" w:space="0"/>
              <w:bottom w:val="single" w:color="000000" w:sz="4" w:space="0"/>
              <w:right w:val="nil"/>
            </w:tcBorders>
            <w:shd w:val="clear" w:color="auto" w:fill="FFFFFF"/>
            <w:noWrap/>
            <w:vAlign w:val="center"/>
          </w:tcPr>
          <w:p>
            <w:pPr>
              <w:jc w:val="center"/>
              <w:rPr>
                <w:rFonts w:hint="eastAsia" w:ascii="宋体" w:hAnsi="宋体" w:eastAsia="宋体" w:cs="宋体"/>
                <w:i w:val="0"/>
                <w:iCs w:val="0"/>
                <w:color w:val="000000"/>
                <w:sz w:val="20"/>
                <w:szCs w:val="20"/>
                <w:highlight w:val="none"/>
                <w:u w:val="none"/>
              </w:rPr>
            </w:pP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5.25</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517"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密云</w:t>
            </w:r>
          </w:p>
        </w:tc>
        <w:tc>
          <w:tcPr>
            <w:tcW w:w="21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福彩圆梦·孤儿助学工程项目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8.50</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8.00</w:t>
            </w:r>
          </w:p>
        </w:tc>
        <w:tc>
          <w:tcPr>
            <w:tcW w:w="6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94.12%</w:t>
            </w:r>
          </w:p>
        </w:tc>
      </w:tr>
    </w:tbl>
    <w:p>
      <w:pPr>
        <w:spacing w:line="550" w:lineRule="exact"/>
        <w:ind w:firstLine="480" w:firstLineChars="200"/>
        <w:jc w:val="right"/>
        <w:rPr>
          <w:rFonts w:hint="eastAsia" w:ascii="宋体" w:hAnsi="宋体" w:eastAsia="宋体"/>
          <w:sz w:val="24"/>
          <w:highlight w:val="none"/>
          <w:lang w:val="en-US" w:eastAsia="zh-CN"/>
        </w:rPr>
      </w:pPr>
    </w:p>
    <w:p>
      <w:pPr>
        <w:spacing w:line="550" w:lineRule="exact"/>
        <w:rPr>
          <w:rFonts w:ascii="仿宋_GB2312" w:hAnsi="仿宋_GB2312" w:cs="仿宋_GB2312"/>
          <w:sz w:val="32"/>
          <w:szCs w:val="32"/>
          <w:highlight w:val="none"/>
        </w:rPr>
        <w:sectPr>
          <w:headerReference r:id="rId3" w:type="default"/>
          <w:footerReference r:id="rId4" w:type="default"/>
          <w:pgSz w:w="11906" w:h="16838"/>
          <w:pgMar w:top="2098" w:right="1474" w:bottom="1984" w:left="1587" w:header="851" w:footer="992" w:gutter="0"/>
          <w:cols w:space="720" w:num="1"/>
          <w:docGrid w:type="lines" w:linePitch="421" w:charSpace="0"/>
        </w:sectPr>
      </w:pPr>
    </w:p>
    <w:p>
      <w:pPr>
        <w:spacing w:line="580" w:lineRule="exact"/>
        <w:jc w:val="center"/>
        <w:rPr>
          <w:rFonts w:ascii="黑体" w:hAnsi="黑体" w:eastAsia="黑体"/>
          <w:sz w:val="24"/>
          <w:highlight w:val="none"/>
        </w:rPr>
      </w:pPr>
      <w:r>
        <w:rPr>
          <w:rFonts w:hint="eastAsia" w:ascii="黑体" w:hAnsi="黑体" w:eastAsia="黑体"/>
          <w:sz w:val="24"/>
          <w:highlight w:val="none"/>
        </w:rPr>
        <w:t>表</w:t>
      </w:r>
      <w:r>
        <w:rPr>
          <w:rFonts w:hint="default" w:ascii="黑体" w:hAnsi="黑体" w:eastAsia="黑体"/>
          <w:sz w:val="24"/>
          <w:highlight w:val="none"/>
        </w:rPr>
        <w:t>2</w:t>
      </w:r>
      <w:r>
        <w:rPr>
          <w:rFonts w:hint="eastAsia" w:ascii="黑体" w:hAnsi="黑体" w:eastAsia="黑体"/>
          <w:sz w:val="24"/>
          <w:highlight w:val="none"/>
        </w:rPr>
        <w:t xml:space="preserve"> 北京市20</w:t>
      </w:r>
      <w:r>
        <w:rPr>
          <w:rFonts w:ascii="黑体" w:hAnsi="黑体" w:eastAsia="黑体"/>
          <w:sz w:val="24"/>
          <w:highlight w:val="none"/>
        </w:rPr>
        <w:t>2</w:t>
      </w:r>
      <w:r>
        <w:rPr>
          <w:rFonts w:hint="eastAsia" w:ascii="黑体" w:hAnsi="黑体" w:eastAsia="黑体"/>
          <w:sz w:val="24"/>
          <w:highlight w:val="none"/>
          <w:lang w:val="en-US" w:eastAsia="zh-CN"/>
        </w:rPr>
        <w:t>3</w:t>
      </w:r>
      <w:r>
        <w:rPr>
          <w:rFonts w:hint="eastAsia" w:ascii="黑体" w:hAnsi="黑体" w:eastAsia="黑体"/>
          <w:sz w:val="24"/>
          <w:highlight w:val="none"/>
        </w:rPr>
        <w:t>年度</w:t>
      </w:r>
      <w:r>
        <w:rPr>
          <w:rFonts w:hint="eastAsia" w:ascii="黑体" w:hAnsi="黑体" w:eastAsia="黑体"/>
          <w:sz w:val="24"/>
          <w:highlight w:val="none"/>
          <w:lang w:val="en-US" w:eastAsia="zh-CN"/>
        </w:rPr>
        <w:t>集中</w:t>
      </w:r>
      <w:r>
        <w:rPr>
          <w:rFonts w:hint="eastAsia" w:ascii="黑体" w:hAnsi="黑体" w:eastAsia="黑体"/>
          <w:sz w:val="24"/>
          <w:highlight w:val="none"/>
        </w:rPr>
        <w:t>彩票公益金</w:t>
      </w:r>
      <w:r>
        <w:rPr>
          <w:rFonts w:hint="eastAsia" w:ascii="黑体" w:hAnsi="黑体" w:eastAsia="黑体"/>
          <w:sz w:val="24"/>
          <w:highlight w:val="none"/>
          <w:lang w:val="en-US" w:eastAsia="zh-Hans"/>
        </w:rPr>
        <w:t>整体</w:t>
      </w:r>
      <w:r>
        <w:rPr>
          <w:rFonts w:hint="eastAsia" w:ascii="黑体" w:hAnsi="黑体" w:eastAsia="黑体"/>
          <w:sz w:val="24"/>
          <w:highlight w:val="none"/>
        </w:rPr>
        <w:t>预算执行情况表</w:t>
      </w:r>
    </w:p>
    <w:p>
      <w:pPr>
        <w:spacing w:line="550" w:lineRule="exact"/>
        <w:ind w:firstLine="480" w:firstLineChars="200"/>
        <w:jc w:val="right"/>
        <w:rPr>
          <w:rFonts w:hint="eastAsia" w:ascii="黑体" w:hAnsi="黑体" w:eastAsia="黑体" w:cs="黑体"/>
          <w:sz w:val="24"/>
          <w:highlight w:val="none"/>
        </w:rPr>
      </w:pPr>
      <w:r>
        <w:rPr>
          <w:rFonts w:hint="eastAsia" w:ascii="黑体" w:hAnsi="黑体" w:eastAsia="黑体" w:cs="黑体"/>
          <w:sz w:val="24"/>
          <w:highlight w:val="none"/>
        </w:rPr>
        <w:t>单位：万元</w:t>
      </w:r>
    </w:p>
    <w:tbl>
      <w:tblPr>
        <w:tblStyle w:val="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74"/>
        <w:gridCol w:w="2758"/>
        <w:gridCol w:w="1274"/>
        <w:gridCol w:w="1276"/>
        <w:gridCol w:w="1279"/>
        <w:gridCol w:w="1276"/>
        <w:gridCol w:w="1276"/>
        <w:gridCol w:w="1277"/>
        <w:gridCol w:w="1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blHeader/>
        </w:trPr>
        <w:tc>
          <w:tcPr>
            <w:tcW w:w="491" w:type="pct"/>
            <w:vMerge w:val="restart"/>
            <w:tcBorders>
              <w:top w:val="single" w:color="000000" w:sz="8" w:space="0"/>
              <w:left w:val="single" w:color="000000" w:sz="8" w:space="0"/>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序号</w:t>
            </w:r>
          </w:p>
        </w:tc>
        <w:tc>
          <w:tcPr>
            <w:tcW w:w="1063" w:type="pct"/>
            <w:vMerge w:val="restart"/>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区/单位</w:t>
            </w:r>
          </w:p>
        </w:tc>
        <w:tc>
          <w:tcPr>
            <w:tcW w:w="1476" w:type="pct"/>
            <w:gridSpan w:val="3"/>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资金整体使用情况</w:t>
            </w:r>
          </w:p>
        </w:tc>
        <w:tc>
          <w:tcPr>
            <w:tcW w:w="984" w:type="pct"/>
            <w:gridSpan w:val="2"/>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中央资金使用情况</w:t>
            </w:r>
          </w:p>
        </w:tc>
        <w:tc>
          <w:tcPr>
            <w:tcW w:w="984" w:type="pct"/>
            <w:gridSpan w:val="2"/>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其它资金使用情况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blHeader/>
        </w:trPr>
        <w:tc>
          <w:tcPr>
            <w:tcW w:w="491" w:type="pct"/>
            <w:vMerge w:val="continue"/>
            <w:tcBorders>
              <w:top w:val="single" w:color="000000" w:sz="8" w:space="0"/>
              <w:left w:val="single" w:color="000000" w:sz="8" w:space="0"/>
              <w:bottom w:val="single" w:color="000000" w:sz="8" w:space="0"/>
              <w:right w:val="single" w:color="000000" w:sz="8" w:space="0"/>
            </w:tcBorders>
            <w:shd w:val="clear" w:color="auto" w:fill="D9D9D9"/>
            <w:vAlign w:val="center"/>
          </w:tcPr>
          <w:p>
            <w:pPr>
              <w:jc w:val="center"/>
              <w:rPr>
                <w:rFonts w:hint="eastAsia" w:ascii="宋体" w:hAnsi="宋体" w:eastAsia="宋体" w:cs="宋体"/>
                <w:b/>
                <w:bCs/>
                <w:i w:val="0"/>
                <w:iCs w:val="0"/>
                <w:color w:val="000000"/>
                <w:sz w:val="21"/>
                <w:szCs w:val="21"/>
                <w:highlight w:val="none"/>
                <w:u w:val="none"/>
              </w:rPr>
            </w:pPr>
          </w:p>
        </w:tc>
        <w:tc>
          <w:tcPr>
            <w:tcW w:w="1063" w:type="pct"/>
            <w:vMerge w:val="continue"/>
            <w:tcBorders>
              <w:top w:val="single" w:color="000000" w:sz="8" w:space="0"/>
              <w:left w:val="nil"/>
              <w:bottom w:val="single" w:color="000000" w:sz="8" w:space="0"/>
              <w:right w:val="single" w:color="000000" w:sz="8" w:space="0"/>
            </w:tcBorders>
            <w:shd w:val="clear" w:color="auto" w:fill="D9D9D9"/>
            <w:vAlign w:val="center"/>
          </w:tcPr>
          <w:p>
            <w:pPr>
              <w:jc w:val="center"/>
              <w:rPr>
                <w:rFonts w:hint="eastAsia" w:ascii="宋体" w:hAnsi="宋体" w:eastAsia="宋体" w:cs="宋体"/>
                <w:b/>
                <w:bCs/>
                <w:i w:val="0"/>
                <w:iCs w:val="0"/>
                <w:color w:val="000000"/>
                <w:sz w:val="21"/>
                <w:szCs w:val="21"/>
                <w:highlight w:val="none"/>
                <w:u w:val="none"/>
              </w:rPr>
            </w:pPr>
          </w:p>
        </w:tc>
        <w:tc>
          <w:tcPr>
            <w:tcW w:w="491" w:type="pct"/>
            <w:tcBorders>
              <w:top w:val="nil"/>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预算数</w:t>
            </w:r>
          </w:p>
        </w:tc>
        <w:tc>
          <w:tcPr>
            <w:tcW w:w="492" w:type="pct"/>
            <w:tcBorders>
              <w:top w:val="nil"/>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支出数</w:t>
            </w:r>
          </w:p>
        </w:tc>
        <w:tc>
          <w:tcPr>
            <w:tcW w:w="493" w:type="pct"/>
            <w:tcBorders>
              <w:top w:val="nil"/>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执行率</w:t>
            </w:r>
          </w:p>
        </w:tc>
        <w:tc>
          <w:tcPr>
            <w:tcW w:w="492" w:type="pct"/>
            <w:tcBorders>
              <w:top w:val="nil"/>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预算数</w:t>
            </w:r>
          </w:p>
        </w:tc>
        <w:tc>
          <w:tcPr>
            <w:tcW w:w="492" w:type="pct"/>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支出数</w:t>
            </w:r>
          </w:p>
        </w:tc>
        <w:tc>
          <w:tcPr>
            <w:tcW w:w="492" w:type="pct"/>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预算数</w:t>
            </w:r>
          </w:p>
        </w:tc>
        <w:tc>
          <w:tcPr>
            <w:tcW w:w="492" w:type="pct"/>
            <w:tcBorders>
              <w:top w:val="single" w:color="000000" w:sz="8" w:space="0"/>
              <w:left w:val="nil"/>
              <w:bottom w:val="single" w:color="000000" w:sz="8" w:space="0"/>
              <w:right w:val="single" w:color="000000" w:sz="8" w:space="0"/>
            </w:tcBorders>
            <w:shd w:val="clear" w:color="auto" w:fill="D9D9D9"/>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支出数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1554"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合计</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1506.63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1257.35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83.45%</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876.00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627.48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630.63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629.88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（一）</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市级层面</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23.50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23.25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98.94%</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0.00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23.50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23.25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市福利事务管理中心</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23.50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23.25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98.94%</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23.50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23.25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（二）</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Style w:val="22"/>
                <w:highlight w:val="none"/>
                <w:lang w:val="en-US" w:eastAsia="zh-CN" w:bidi="ar"/>
              </w:rPr>
              <w:t>区级层面</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1483.13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1234.10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83.21%</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876.00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627.48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607.13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 xml:space="preserve">606.63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东城区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西城区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132.75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131.15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98.79%</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132.00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130.40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0.75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朝阳区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13.50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海淀区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丰台区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6.00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4.00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66.67%</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石景山区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43.50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43.50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43.50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43.50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门头沟区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房山区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146.50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146.25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99.83%</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65.00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64.75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81.50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81.50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通州区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42.00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41.75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99.40%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3.75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38.00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顺义区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12.25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9.25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75.51%</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10.00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7.00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2.25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昌平区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417.00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177.83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42.64%</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417.00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177.83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大兴区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25.00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25.00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25.00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25.00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怀柔区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359.23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358.23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99.72%</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12.00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11.00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347.23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347.23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平谷区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56.25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55.50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98.67%</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55.75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55.00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0.50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密云区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45.83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45.33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98.91%</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8.50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8.00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37.33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37.33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06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Style w:val="23"/>
                <w:highlight w:val="none"/>
                <w:lang w:val="en-US" w:eastAsia="zh-CN" w:bidi="ar"/>
              </w:rPr>
              <w:t>延庆区</w:t>
            </w:r>
          </w:p>
        </w:tc>
        <w:tc>
          <w:tcPr>
            <w:tcW w:w="1274"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175.32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174.82 </w:t>
            </w:r>
          </w:p>
        </w:tc>
        <w:tc>
          <w:tcPr>
            <w:tcW w:w="127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99.71%</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121.25 </w:t>
            </w:r>
          </w:p>
        </w:tc>
        <w:tc>
          <w:tcPr>
            <w:tcW w:w="127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121.25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54.07 </w:t>
            </w:r>
          </w:p>
        </w:tc>
        <w:tc>
          <w:tcPr>
            <w:tcW w:w="127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53.57 </w:t>
            </w:r>
          </w:p>
        </w:tc>
      </w:tr>
    </w:tbl>
    <w:p>
      <w:pPr>
        <w:spacing w:line="550" w:lineRule="exact"/>
        <w:ind w:firstLine="480" w:firstLineChars="200"/>
        <w:jc w:val="right"/>
        <w:rPr>
          <w:rFonts w:hint="eastAsia" w:ascii="黑体" w:hAnsi="黑体" w:eastAsia="黑体" w:cs="黑体"/>
          <w:sz w:val="24"/>
          <w:highlight w:val="none"/>
        </w:rPr>
      </w:pPr>
    </w:p>
    <w:p>
      <w:pPr>
        <w:spacing w:line="550" w:lineRule="exact"/>
        <w:rPr>
          <w:rFonts w:ascii="仿宋_GB2312" w:hAnsi="仿宋_GB2312" w:cs="仿宋_GB2312"/>
          <w:sz w:val="32"/>
          <w:szCs w:val="32"/>
          <w:highlight w:val="none"/>
        </w:rPr>
        <w:sectPr>
          <w:pgSz w:w="16838" w:h="11906" w:orient="landscape"/>
          <w:pgMar w:top="1587" w:right="2098" w:bottom="1474" w:left="1984" w:header="851" w:footer="992" w:gutter="0"/>
          <w:cols w:space="720" w:num="1"/>
          <w:docGrid w:type="lines" w:linePitch="421" w:charSpace="0"/>
        </w:sectPr>
      </w:pPr>
    </w:p>
    <w:p>
      <w:pPr>
        <w:numPr>
          <w:ilvl w:val="-1"/>
          <w:numId w:val="0"/>
        </w:numPr>
        <w:spacing w:line="560" w:lineRule="exact"/>
        <w:ind w:firstLine="642"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lang w:eastAsia="zh-CN"/>
        </w:rPr>
        <w:t>（</w:t>
      </w:r>
      <w:r>
        <w:rPr>
          <w:rFonts w:hint="eastAsia" w:ascii="楷体_GB2312" w:hAnsi="楷体_GB2312" w:eastAsia="楷体_GB2312" w:cs="楷体_GB2312"/>
          <w:b/>
          <w:sz w:val="32"/>
          <w:szCs w:val="32"/>
          <w:highlight w:val="none"/>
          <w:lang w:val="en-US" w:eastAsia="zh-CN"/>
        </w:rPr>
        <w:t>三）</w:t>
      </w:r>
      <w:r>
        <w:rPr>
          <w:rFonts w:hint="eastAsia" w:ascii="楷体_GB2312" w:hAnsi="楷体_GB2312" w:eastAsia="楷体_GB2312" w:cs="楷体_GB2312"/>
          <w:b/>
          <w:sz w:val="32"/>
          <w:szCs w:val="32"/>
          <w:highlight w:val="none"/>
        </w:rPr>
        <w:t>资金管理情况分析</w:t>
      </w:r>
    </w:p>
    <w:p>
      <w:pPr>
        <w:spacing w:line="560" w:lineRule="exact"/>
        <w:ind w:firstLine="642" w:firstLineChars="200"/>
        <w:rPr>
          <w:rFonts w:hint="eastAsia" w:ascii="仿宋_GB2312" w:hAnsi="仿宋_GB2312" w:cs="仿宋_GB2312"/>
          <w:b/>
          <w:bCs/>
          <w:sz w:val="32"/>
          <w:szCs w:val="32"/>
          <w:highlight w:val="none"/>
        </w:rPr>
      </w:pPr>
      <w:r>
        <w:rPr>
          <w:rFonts w:hint="eastAsia" w:ascii="仿宋_GB2312" w:hAnsi="仿宋_GB2312" w:cs="仿宋_GB2312"/>
          <w:b/>
          <w:bCs/>
          <w:sz w:val="32"/>
          <w:szCs w:val="32"/>
          <w:highlight w:val="none"/>
        </w:rPr>
        <w:t>1.资金分配科学性。</w:t>
      </w:r>
      <w:r>
        <w:rPr>
          <w:rFonts w:hint="eastAsia" w:ascii="仿宋_GB2312" w:hAnsi="仿宋_GB2312" w:cs="仿宋_GB2312"/>
          <w:sz w:val="32"/>
          <w:szCs w:val="32"/>
          <w:highlight w:val="none"/>
        </w:rPr>
        <w:t>按照福利彩票“扶老、助残、救孤、济困”的使用宗旨，严格按照转移支付管理制度以及资金管理办法规定的范围和标准分配资金。</w:t>
      </w:r>
      <w:r>
        <w:rPr>
          <w:rFonts w:hint="eastAsia" w:ascii="仿宋_GB2312" w:hAnsi="仿宋_GB2312" w:cs="仿宋_GB2312"/>
          <w:b/>
          <w:bCs/>
          <w:sz w:val="32"/>
          <w:szCs w:val="32"/>
          <w:highlight w:val="none"/>
        </w:rPr>
        <w:t>老年人福利方面</w:t>
      </w:r>
      <w:r>
        <w:rPr>
          <w:rFonts w:hint="eastAsia" w:ascii="仿宋_GB2312" w:hAnsi="仿宋_GB2312" w:cs="仿宋_GB2312"/>
          <w:sz w:val="32"/>
          <w:szCs w:val="32"/>
          <w:highlight w:val="none"/>
        </w:rPr>
        <w:t>，依据《北京市养老服务机构分类推进设施改造达标工程实施方案》（京民养老发〔2020〕48号）等文件要求，按照集中力量打好歼灭战，适当向基层农村、生态涵养区倾斜的原则，并考虑项目的成熟度，尽快形成支出且有政策支撑等因素，分配</w:t>
      </w:r>
      <w:r>
        <w:rPr>
          <w:rFonts w:hint="eastAsia" w:ascii="仿宋_GB2312" w:hAnsi="仿宋_GB2312" w:cs="仿宋_GB2312"/>
          <w:sz w:val="32"/>
          <w:szCs w:val="32"/>
          <w:highlight w:val="none"/>
          <w:lang w:eastAsia="zh-CN"/>
        </w:rPr>
        <w:t>资金支持养老机构消防改造、</w:t>
      </w:r>
      <w:r>
        <w:rPr>
          <w:rFonts w:hint="eastAsia" w:ascii="仿宋_GB2312" w:hAnsi="仿宋_GB2312" w:cs="仿宋_GB2312"/>
          <w:sz w:val="32"/>
          <w:szCs w:val="32"/>
          <w:highlight w:val="none"/>
          <w:lang w:val="en-US" w:eastAsia="zh-CN"/>
        </w:rPr>
        <w:t>设施设备配置</w:t>
      </w:r>
      <w:r>
        <w:rPr>
          <w:rFonts w:hint="eastAsia" w:ascii="仿宋_GB2312" w:hAnsi="仿宋_GB2312" w:cs="仿宋_GB2312"/>
          <w:sz w:val="32"/>
          <w:szCs w:val="32"/>
          <w:highlight w:val="none"/>
        </w:rPr>
        <w:t>；</w:t>
      </w:r>
      <w:r>
        <w:rPr>
          <w:rFonts w:hint="eastAsia" w:ascii="仿宋_GB2312" w:hAnsi="仿宋_GB2312" w:cs="仿宋_GB2312"/>
          <w:b/>
          <w:bCs/>
          <w:sz w:val="32"/>
          <w:szCs w:val="32"/>
          <w:highlight w:val="none"/>
        </w:rPr>
        <w:t>残疾人福利方面，</w:t>
      </w:r>
      <w:r>
        <w:rPr>
          <w:rFonts w:hint="eastAsia" w:ascii="仿宋_GB2312" w:hAnsi="仿宋_GB2312" w:cs="仿宋_GB2312"/>
          <w:sz w:val="32"/>
          <w:szCs w:val="32"/>
          <w:highlight w:val="none"/>
        </w:rPr>
        <w:t>根据《北京市民政局关于开展残疾人社会福利机构建设试点工作的通知》（京民福发〔2017〕458号）等要求，综合考虑试点工作成效、民政兜底精残人数康复需求、区财政负担能力等因素，分配资金</w:t>
      </w:r>
      <w:r>
        <w:rPr>
          <w:rFonts w:hint="eastAsia" w:ascii="仿宋_GB2312" w:hAnsi="仿宋_GB2312" w:cs="仿宋_GB2312"/>
          <w:sz w:val="32"/>
          <w:szCs w:val="32"/>
          <w:highlight w:val="none"/>
          <w:lang w:eastAsia="zh-CN"/>
        </w:rPr>
        <w:t>用于残疾人服务机构改造和设施设备配置</w:t>
      </w:r>
      <w:r>
        <w:rPr>
          <w:rFonts w:hint="eastAsia" w:ascii="仿宋_GB2312" w:hAnsi="仿宋_GB2312" w:cs="仿宋_GB2312"/>
          <w:sz w:val="32"/>
          <w:szCs w:val="32"/>
          <w:highlight w:val="none"/>
        </w:rPr>
        <w:t>；</w:t>
      </w:r>
      <w:r>
        <w:rPr>
          <w:rFonts w:hint="eastAsia" w:ascii="仿宋_GB2312" w:hAnsi="仿宋_GB2312" w:cs="仿宋_GB2312"/>
          <w:b/>
          <w:bCs/>
          <w:sz w:val="32"/>
          <w:szCs w:val="32"/>
          <w:highlight w:val="none"/>
        </w:rPr>
        <w:t>儿童福利方面，</w:t>
      </w:r>
      <w:r>
        <w:rPr>
          <w:rFonts w:hint="eastAsia" w:ascii="仿宋_GB2312" w:hAnsi="仿宋_GB2312" w:cs="仿宋_GB2312"/>
          <w:sz w:val="32"/>
          <w:szCs w:val="32"/>
          <w:highlight w:val="none"/>
        </w:rPr>
        <w:t>根据《北京市民政局关于做好“福彩圆梦</w:t>
      </w:r>
      <w:r>
        <w:rPr>
          <w:rFonts w:hint="eastAsia" w:ascii="仿宋_GB2312" w:hAnsi="仿宋_GB2312" w:cs="仿宋_GB2312"/>
          <w:sz w:val="32"/>
          <w:szCs w:val="32"/>
          <w:highlight w:val="none"/>
          <w:lang w:val="en-US" w:eastAsia="zh-CN"/>
        </w:rPr>
        <w:t>·</w:t>
      </w:r>
      <w:r>
        <w:rPr>
          <w:rFonts w:hint="eastAsia" w:ascii="仿宋_GB2312" w:hAnsi="仿宋_GB2312" w:cs="仿宋_GB2312"/>
          <w:sz w:val="32"/>
          <w:szCs w:val="32"/>
          <w:highlight w:val="none"/>
        </w:rPr>
        <w:t>孤儿助学工程”实施工作的通知》（京民儿福发〔2019〕187号）、《关于进一步推进儿童福利机构优化提质和创新转型高质量发展的意见》（民发〔2021〕44号）要求，</w:t>
      </w:r>
      <w:r>
        <w:rPr>
          <w:rFonts w:hint="eastAsia" w:ascii="仿宋_GB2312" w:hAnsi="仿宋_GB2312" w:cs="仿宋_GB2312"/>
          <w:sz w:val="32"/>
          <w:szCs w:val="32"/>
          <w:highlight w:val="none"/>
          <w:lang w:eastAsia="zh-CN"/>
        </w:rPr>
        <w:t>对符合条件的孤儿给予补贴，并</w:t>
      </w:r>
      <w:r>
        <w:rPr>
          <w:rFonts w:hint="eastAsia" w:ascii="仿宋_GB2312" w:hAnsi="仿宋_GB2312" w:cs="仿宋_GB2312"/>
          <w:sz w:val="32"/>
          <w:szCs w:val="32"/>
          <w:highlight w:val="none"/>
        </w:rPr>
        <w:t>结合区级儿童福利机构、未成年人救助保护机构建设进度和资金需求，综合考虑项目成熟度等因素，</w:t>
      </w:r>
      <w:r>
        <w:rPr>
          <w:rFonts w:hint="eastAsia" w:ascii="仿宋_GB2312" w:hAnsi="仿宋_GB2312" w:cs="仿宋_GB2312"/>
          <w:sz w:val="32"/>
          <w:szCs w:val="32"/>
          <w:highlight w:val="none"/>
          <w:lang w:eastAsia="zh-CN"/>
        </w:rPr>
        <w:t>支持儿童福利院机构装修改造和设施设备购置</w:t>
      </w:r>
      <w:r>
        <w:rPr>
          <w:rFonts w:hint="eastAsia" w:ascii="仿宋_GB2312" w:hAnsi="仿宋_GB2312" w:cs="仿宋_GB2312"/>
          <w:sz w:val="32"/>
          <w:szCs w:val="32"/>
          <w:highlight w:val="none"/>
        </w:rPr>
        <w:t>。</w:t>
      </w:r>
    </w:p>
    <w:p>
      <w:pPr>
        <w:spacing w:line="560" w:lineRule="exact"/>
        <w:ind w:firstLine="642"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2.资金下达及时性。</w:t>
      </w:r>
      <w:r>
        <w:rPr>
          <w:rFonts w:hint="eastAsia" w:ascii="仿宋_GB2312" w:hAnsi="仿宋_GB2312" w:cs="仿宋_GB2312"/>
          <w:sz w:val="32"/>
          <w:szCs w:val="32"/>
          <w:highlight w:val="none"/>
        </w:rPr>
        <w:t>按照</w:t>
      </w:r>
      <w:r>
        <w:rPr>
          <w:rFonts w:hint="eastAsia" w:ascii="仿宋_GB2312" w:hAnsi="仿宋_GB2312" w:cs="仿宋_GB2312"/>
          <w:sz w:val="32"/>
          <w:szCs w:val="32"/>
          <w:highlight w:val="none"/>
          <w:lang w:eastAsia="zh-CN"/>
        </w:rPr>
        <w:t>《中华人民共和国</w:t>
      </w:r>
      <w:r>
        <w:rPr>
          <w:rFonts w:hint="eastAsia" w:ascii="仿宋_GB2312" w:hAnsi="仿宋_GB2312" w:cs="仿宋_GB2312"/>
          <w:sz w:val="32"/>
          <w:szCs w:val="32"/>
          <w:highlight w:val="none"/>
        </w:rPr>
        <w:t>预算法</w:t>
      </w:r>
      <w:r>
        <w:rPr>
          <w:rFonts w:hint="eastAsia" w:ascii="仿宋_GB2312" w:hAnsi="仿宋_GB2312" w:cs="仿宋_GB2312"/>
          <w:sz w:val="32"/>
          <w:szCs w:val="32"/>
          <w:highlight w:val="none"/>
          <w:lang w:eastAsia="zh-CN"/>
        </w:rPr>
        <w:t>》等规定，在收到中央</w:t>
      </w:r>
      <w:r>
        <w:rPr>
          <w:rFonts w:hint="eastAsia" w:ascii="仿宋_GB2312" w:hAnsi="仿宋_GB2312" w:cs="仿宋_GB2312"/>
          <w:sz w:val="32"/>
          <w:szCs w:val="32"/>
          <w:highlight w:val="none"/>
          <w:lang w:val="en-US" w:eastAsia="zh-CN"/>
        </w:rPr>
        <w:t>集中</w:t>
      </w:r>
      <w:r>
        <w:rPr>
          <w:rFonts w:hint="eastAsia" w:ascii="仿宋_GB2312" w:hAnsi="仿宋_GB2312" w:cs="仿宋_GB2312"/>
          <w:sz w:val="32"/>
          <w:szCs w:val="32"/>
          <w:highlight w:val="none"/>
          <w:lang w:eastAsia="zh-CN"/>
        </w:rPr>
        <w:t>福彩公益金后，</w:t>
      </w:r>
      <w:r>
        <w:rPr>
          <w:rFonts w:hint="eastAsia" w:ascii="仿宋_GB2312" w:hAnsi="仿宋_GB2312" w:cs="仿宋_GB2312"/>
          <w:sz w:val="32"/>
          <w:szCs w:val="32"/>
          <w:highlight w:val="none"/>
        </w:rPr>
        <w:t>三十日内正式下达</w:t>
      </w:r>
      <w:r>
        <w:rPr>
          <w:rFonts w:hint="eastAsia" w:ascii="仿宋_GB2312" w:hAnsi="仿宋_GB2312" w:cs="仿宋_GB2312"/>
          <w:sz w:val="32"/>
          <w:szCs w:val="32"/>
          <w:highlight w:val="none"/>
          <w:lang w:eastAsia="zh-CN"/>
        </w:rPr>
        <w:t>至各区。</w:t>
      </w:r>
    </w:p>
    <w:p>
      <w:pPr>
        <w:keepNext/>
        <w:keepLines/>
        <w:widowControl/>
        <w:spacing w:line="560" w:lineRule="exact"/>
        <w:ind w:firstLine="642"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3.资金拨付合规性。</w:t>
      </w:r>
      <w:r>
        <w:rPr>
          <w:rFonts w:hint="eastAsia" w:ascii="仿宋_GB2312" w:hAnsi="仿宋_GB2312" w:cs="仿宋_GB2312"/>
          <w:sz w:val="32"/>
          <w:szCs w:val="32"/>
          <w:highlight w:val="none"/>
        </w:rPr>
        <w:t>严格按照国库集中支付制度有关规定支付资金，未</w:t>
      </w:r>
      <w:r>
        <w:rPr>
          <w:rFonts w:hint="eastAsia" w:ascii="仿宋_GB2312" w:hAnsi="仿宋_GB2312" w:cs="仿宋_GB2312"/>
          <w:sz w:val="32"/>
          <w:szCs w:val="32"/>
          <w:highlight w:val="none"/>
          <w:lang w:eastAsia="zh-CN"/>
        </w:rPr>
        <w:t>发现</w:t>
      </w:r>
      <w:r>
        <w:rPr>
          <w:rFonts w:hint="eastAsia" w:ascii="仿宋_GB2312" w:hAnsi="仿宋_GB2312" w:cs="仿宋_GB2312"/>
          <w:sz w:val="32"/>
          <w:szCs w:val="32"/>
          <w:highlight w:val="none"/>
        </w:rPr>
        <w:t>将资金从国库转入财政专户或支付到预算单位实有资金账户等问题。</w:t>
      </w:r>
    </w:p>
    <w:p>
      <w:pPr>
        <w:spacing w:line="560" w:lineRule="exact"/>
        <w:ind w:firstLine="642" w:firstLineChars="200"/>
        <w:rPr>
          <w:rFonts w:hint="eastAsia" w:ascii="仿宋_GB2312" w:hAnsi="仿宋_GB2312" w:cs="仿宋_GB2312"/>
          <w:sz w:val="32"/>
          <w:szCs w:val="32"/>
          <w:highlight w:val="none"/>
        </w:rPr>
      </w:pPr>
      <w:r>
        <w:rPr>
          <w:rFonts w:hint="eastAsia" w:ascii="仿宋_GB2312" w:hAnsi="仿宋_GB2312" w:cs="仿宋_GB2312"/>
          <w:b/>
          <w:bCs/>
          <w:sz w:val="32"/>
          <w:szCs w:val="32"/>
          <w:highlight w:val="none"/>
        </w:rPr>
        <w:t>4.资金使用规范性。</w:t>
      </w:r>
      <w:r>
        <w:rPr>
          <w:rFonts w:hint="eastAsia" w:ascii="仿宋_GB2312" w:hAnsi="仿宋_GB2312" w:cs="仿宋_GB2312"/>
          <w:sz w:val="32"/>
          <w:szCs w:val="32"/>
          <w:highlight w:val="none"/>
        </w:rPr>
        <w:t>严格按照下达预算的科目和项目执行，未</w:t>
      </w:r>
      <w:r>
        <w:rPr>
          <w:rFonts w:hint="eastAsia" w:ascii="仿宋_GB2312" w:hAnsi="仿宋_GB2312" w:cs="仿宋_GB2312"/>
          <w:sz w:val="32"/>
          <w:szCs w:val="32"/>
          <w:highlight w:val="none"/>
          <w:lang w:eastAsia="zh-CN"/>
        </w:rPr>
        <w:t>发现</w:t>
      </w:r>
      <w:r>
        <w:rPr>
          <w:rFonts w:hint="eastAsia" w:ascii="仿宋_GB2312" w:hAnsi="仿宋_GB2312" w:cs="仿宋_GB2312"/>
          <w:sz w:val="32"/>
          <w:szCs w:val="32"/>
          <w:highlight w:val="none"/>
        </w:rPr>
        <w:t>截留、挤占、挪用或擅自调整等问题。</w:t>
      </w:r>
    </w:p>
    <w:p>
      <w:pPr>
        <w:spacing w:line="560" w:lineRule="exact"/>
        <w:ind w:firstLine="642" w:firstLineChars="200"/>
        <w:rPr>
          <w:rFonts w:ascii="仿宋_GB2312"/>
          <w:sz w:val="32"/>
          <w:szCs w:val="32"/>
          <w:highlight w:val="none"/>
        </w:rPr>
      </w:pPr>
      <w:r>
        <w:rPr>
          <w:rFonts w:hint="eastAsia" w:ascii="仿宋_GB2312" w:hAnsi="仿宋_GB2312" w:cs="仿宋_GB2312"/>
          <w:b/>
          <w:bCs/>
          <w:sz w:val="32"/>
          <w:szCs w:val="32"/>
          <w:highlight w:val="none"/>
        </w:rPr>
        <w:t>5.资金执行准确性。</w:t>
      </w:r>
      <w:r>
        <w:rPr>
          <w:rFonts w:hint="eastAsia" w:ascii="仿宋_GB2312" w:hAnsi="仿宋_GB2312" w:cs="仿宋_GB2312"/>
          <w:sz w:val="32"/>
          <w:szCs w:val="32"/>
          <w:highlight w:val="none"/>
        </w:rPr>
        <w:t>按照上级下达和本级预算安排的金额执行，</w:t>
      </w:r>
      <w:r>
        <w:rPr>
          <w:rFonts w:hint="eastAsia" w:ascii="仿宋_GB2312" w:hAnsi="仿宋_GB2312" w:cs="仿宋_GB2312"/>
          <w:sz w:val="32"/>
          <w:szCs w:val="32"/>
          <w:highlight w:val="none"/>
          <w:lang w:eastAsia="zh-CN"/>
        </w:rPr>
        <w:t>不存在执行数偏离预算数较多的问题</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eastAsia="zh-CN"/>
        </w:rPr>
        <w:t>因资金为</w:t>
      </w:r>
      <w:r>
        <w:rPr>
          <w:rFonts w:hint="eastAsia" w:ascii="仿宋_GB2312"/>
          <w:sz w:val="32"/>
          <w:szCs w:val="32"/>
          <w:highlight w:val="none"/>
          <w:lang w:eastAsia="zh-CN"/>
        </w:rPr>
        <w:t>两年执行期，</w:t>
      </w:r>
      <w:r>
        <w:rPr>
          <w:rFonts w:hint="eastAsia" w:ascii="仿宋_GB2312"/>
          <w:sz w:val="32"/>
          <w:szCs w:val="32"/>
          <w:highlight w:val="none"/>
          <w:lang w:val="en-US" w:eastAsia="zh-CN"/>
        </w:rPr>
        <w:t>个别项目</w:t>
      </w:r>
      <w:r>
        <w:rPr>
          <w:rFonts w:hint="eastAsia" w:ascii="仿宋_GB2312"/>
          <w:sz w:val="32"/>
          <w:szCs w:val="32"/>
          <w:highlight w:val="none"/>
          <w:lang w:eastAsia="zh-CN"/>
        </w:rPr>
        <w:t>尚在推进中</w:t>
      </w:r>
      <w:r>
        <w:rPr>
          <w:rFonts w:ascii="仿宋_GB2312"/>
          <w:sz w:val="32"/>
          <w:szCs w:val="32"/>
          <w:highlight w:val="none"/>
        </w:rPr>
        <w:t>。</w:t>
      </w:r>
    </w:p>
    <w:p>
      <w:pPr>
        <w:spacing w:line="560" w:lineRule="exact"/>
        <w:ind w:firstLine="642" w:firstLineChars="200"/>
        <w:rPr>
          <w:rFonts w:hint="eastAsia" w:ascii="仿宋_GB2312"/>
          <w:sz w:val="32"/>
          <w:szCs w:val="32"/>
          <w:highlight w:val="none"/>
        </w:rPr>
      </w:pPr>
      <w:r>
        <w:rPr>
          <w:rFonts w:ascii="仿宋_GB2312"/>
          <w:b/>
          <w:bCs/>
          <w:sz w:val="32"/>
          <w:szCs w:val="32"/>
          <w:highlight w:val="none"/>
        </w:rPr>
        <w:t>6.</w:t>
      </w:r>
      <w:r>
        <w:rPr>
          <w:rFonts w:hint="eastAsia" w:ascii="仿宋_GB2312"/>
          <w:b/>
          <w:bCs/>
          <w:sz w:val="32"/>
          <w:szCs w:val="32"/>
          <w:highlight w:val="none"/>
        </w:rPr>
        <w:t>预算绩效管理情况。</w:t>
      </w:r>
      <w:r>
        <w:rPr>
          <w:rFonts w:hint="eastAsia" w:ascii="仿宋_GB2312"/>
          <w:sz w:val="32"/>
          <w:szCs w:val="32"/>
          <w:highlight w:val="none"/>
          <w:lang w:eastAsia="zh-CN"/>
        </w:rPr>
        <w:t>落实</w:t>
      </w:r>
      <w:r>
        <w:rPr>
          <w:rFonts w:ascii="仿宋_GB2312"/>
          <w:sz w:val="32"/>
          <w:szCs w:val="32"/>
          <w:highlight w:val="none"/>
        </w:rPr>
        <w:t>《北京市福利彩票公益金绩效管理办法》，</w:t>
      </w:r>
      <w:r>
        <w:rPr>
          <w:rFonts w:hint="eastAsia" w:ascii="仿宋_GB2312"/>
          <w:sz w:val="32"/>
          <w:szCs w:val="32"/>
          <w:highlight w:val="none"/>
          <w:lang w:eastAsia="zh-CN"/>
        </w:rPr>
        <w:t>强化绩效目标管理，在下达中央福利彩票公益金预算的同时下达绩效目标。层层压实绩效监督主体责任，按要求由各预算单位主责开展绩效监控</w:t>
      </w:r>
      <w:r>
        <w:rPr>
          <w:rFonts w:hint="eastAsia" w:ascii="仿宋_GB2312"/>
          <w:sz w:val="32"/>
          <w:szCs w:val="32"/>
          <w:highlight w:val="none"/>
        </w:rPr>
        <w:t>。</w:t>
      </w:r>
      <w:r>
        <w:rPr>
          <w:rFonts w:hint="eastAsia" w:ascii="仿宋_GB2312"/>
          <w:sz w:val="32"/>
          <w:szCs w:val="32"/>
          <w:highlight w:val="none"/>
          <w:lang w:eastAsia="zh-CN"/>
        </w:rPr>
        <w:t>组织</w:t>
      </w:r>
      <w:r>
        <w:rPr>
          <w:rFonts w:hint="eastAsia" w:ascii="仿宋_GB2312"/>
          <w:sz w:val="32"/>
          <w:szCs w:val="32"/>
          <w:highlight w:val="none"/>
          <w:lang w:val="en-US" w:eastAsia="zh-CN"/>
        </w:rPr>
        <w:t>对20</w:t>
      </w:r>
      <w:r>
        <w:rPr>
          <w:rFonts w:hint="default" w:ascii="仿宋_GB2312"/>
          <w:sz w:val="32"/>
          <w:szCs w:val="32"/>
          <w:highlight w:val="none"/>
          <w:lang w:eastAsia="zh-CN"/>
        </w:rPr>
        <w:t>2</w:t>
      </w:r>
      <w:r>
        <w:rPr>
          <w:rFonts w:hint="eastAsia" w:ascii="仿宋_GB2312"/>
          <w:sz w:val="32"/>
          <w:szCs w:val="32"/>
          <w:highlight w:val="none"/>
          <w:lang w:val="en-US" w:eastAsia="zh-CN"/>
        </w:rPr>
        <w:t>3年中央福利彩票公益金</w:t>
      </w:r>
      <w:r>
        <w:rPr>
          <w:rFonts w:hint="eastAsia" w:ascii="仿宋_GB2312"/>
          <w:sz w:val="32"/>
          <w:szCs w:val="32"/>
          <w:highlight w:val="none"/>
          <w:lang w:eastAsia="zh-CN"/>
        </w:rPr>
        <w:t>开展全覆盖绩效自评。</w:t>
      </w:r>
    </w:p>
    <w:p>
      <w:pPr>
        <w:spacing w:line="560" w:lineRule="exact"/>
        <w:ind w:firstLine="642" w:firstLineChars="200"/>
        <w:rPr>
          <w:rFonts w:hint="eastAsia" w:ascii="仿宋_GB2312"/>
          <w:sz w:val="32"/>
          <w:szCs w:val="32"/>
          <w:highlight w:val="none"/>
          <w:lang w:eastAsia="zh-CN"/>
        </w:rPr>
      </w:pPr>
      <w:r>
        <w:rPr>
          <w:rFonts w:ascii="仿宋_GB2312"/>
          <w:b/>
          <w:bCs/>
          <w:sz w:val="32"/>
          <w:szCs w:val="32"/>
          <w:highlight w:val="none"/>
        </w:rPr>
        <w:t>7.</w:t>
      </w:r>
      <w:r>
        <w:rPr>
          <w:rFonts w:hint="eastAsia" w:ascii="仿宋_GB2312"/>
          <w:b/>
          <w:bCs/>
          <w:sz w:val="32"/>
          <w:szCs w:val="32"/>
          <w:highlight w:val="none"/>
        </w:rPr>
        <w:t>支出责任履行情况。</w:t>
      </w:r>
      <w:r>
        <w:rPr>
          <w:rFonts w:hint="eastAsia" w:ascii="仿宋_GB2312"/>
          <w:sz w:val="32"/>
          <w:szCs w:val="32"/>
          <w:highlight w:val="none"/>
          <w:lang w:eastAsia="zh-CN"/>
        </w:rPr>
        <w:t>按照</w:t>
      </w:r>
      <w:r>
        <w:rPr>
          <w:rFonts w:hint="eastAsia" w:ascii="仿宋_GB2312"/>
          <w:sz w:val="32"/>
          <w:szCs w:val="32"/>
          <w:highlight w:val="none"/>
        </w:rPr>
        <w:t>财政事权和支出责任划分有关规定</w:t>
      </w:r>
      <w:r>
        <w:rPr>
          <w:rFonts w:hint="eastAsia" w:ascii="仿宋_GB2312"/>
          <w:sz w:val="32"/>
          <w:szCs w:val="32"/>
          <w:highlight w:val="none"/>
          <w:lang w:eastAsia="zh-CN"/>
        </w:rPr>
        <w:t>执行。</w:t>
      </w:r>
    </w:p>
    <w:p>
      <w:pPr>
        <w:spacing w:line="560" w:lineRule="exact"/>
        <w:ind w:firstLine="640" w:firstLineChars="200"/>
        <w:rPr>
          <w:rFonts w:hint="eastAsia" w:ascii="仿宋_GB2312"/>
          <w:sz w:val="32"/>
          <w:szCs w:val="32"/>
          <w:highlight w:val="none"/>
          <w:lang w:eastAsia="zh-CN"/>
        </w:rPr>
      </w:pPr>
      <w:r>
        <w:rPr>
          <w:rFonts w:hint="eastAsia" w:ascii="黑体" w:hAnsi="黑体" w:eastAsia="黑体" w:cs="黑体"/>
          <w:bCs/>
          <w:sz w:val="32"/>
          <w:szCs w:val="32"/>
          <w:highlight w:val="none"/>
          <w:lang w:eastAsia="zh-CN"/>
        </w:rPr>
        <w:t>二、绩效目标实现情况</w:t>
      </w:r>
    </w:p>
    <w:p>
      <w:pPr>
        <w:spacing w:line="560" w:lineRule="exact"/>
        <w:ind w:firstLine="642" w:firstLineChars="200"/>
        <w:rPr>
          <w:rFonts w:ascii="楷体_GB2312" w:hAnsi="楷体_GB2312" w:eastAsia="楷体_GB2312" w:cs="楷体_GB2312"/>
          <w:bCs/>
          <w:sz w:val="32"/>
          <w:szCs w:val="32"/>
          <w:highlight w:val="none"/>
        </w:rPr>
      </w:pPr>
      <w:r>
        <w:rPr>
          <w:rFonts w:hint="eastAsia" w:ascii="楷体_GB2312" w:hAnsi="楷体_GB2312" w:eastAsia="楷体_GB2312" w:cs="楷体_GB2312"/>
          <w:b/>
          <w:sz w:val="32"/>
          <w:szCs w:val="32"/>
          <w:highlight w:val="none"/>
        </w:rPr>
        <w:t>（</w:t>
      </w:r>
      <w:r>
        <w:rPr>
          <w:rFonts w:hint="eastAsia" w:ascii="楷体_GB2312" w:hAnsi="楷体_GB2312" w:eastAsia="楷体_GB2312" w:cs="楷体_GB2312"/>
          <w:b/>
          <w:sz w:val="32"/>
          <w:szCs w:val="32"/>
          <w:highlight w:val="none"/>
          <w:lang w:val="en-US" w:eastAsia="zh-CN"/>
        </w:rPr>
        <w:t>一</w:t>
      </w:r>
      <w:r>
        <w:rPr>
          <w:rFonts w:hint="eastAsia" w:ascii="楷体_GB2312" w:hAnsi="楷体_GB2312" w:eastAsia="楷体_GB2312" w:cs="楷体_GB2312"/>
          <w:b/>
          <w:sz w:val="32"/>
          <w:szCs w:val="32"/>
          <w:highlight w:val="none"/>
        </w:rPr>
        <w:t>）总体绩效目标完成情况分析</w:t>
      </w:r>
    </w:p>
    <w:p>
      <w:pPr>
        <w:spacing w:line="560" w:lineRule="exact"/>
        <w:ind w:firstLine="640" w:firstLineChars="200"/>
        <w:rPr>
          <w:rFonts w:ascii="仿宋_GB2312"/>
          <w:sz w:val="32"/>
          <w:szCs w:val="32"/>
          <w:highlight w:val="none"/>
        </w:rPr>
      </w:pPr>
      <w:r>
        <w:rPr>
          <w:rFonts w:ascii="仿宋_GB2312"/>
          <w:sz w:val="32"/>
          <w:szCs w:val="32"/>
          <w:highlight w:val="none"/>
        </w:rPr>
        <w:t>1</w:t>
      </w:r>
      <w:r>
        <w:rPr>
          <w:rFonts w:hint="eastAsia" w:ascii="仿宋_GB2312"/>
          <w:sz w:val="32"/>
          <w:szCs w:val="32"/>
          <w:highlight w:val="none"/>
        </w:rPr>
        <w:t>.我市</w:t>
      </w:r>
      <w:r>
        <w:rPr>
          <w:rFonts w:ascii="仿宋_GB2312"/>
          <w:sz w:val="32"/>
          <w:szCs w:val="32"/>
          <w:highlight w:val="none"/>
        </w:rPr>
        <w:t>202</w:t>
      </w:r>
      <w:r>
        <w:rPr>
          <w:rFonts w:hint="eastAsia" w:ascii="仿宋_GB2312"/>
          <w:sz w:val="32"/>
          <w:szCs w:val="32"/>
          <w:highlight w:val="none"/>
          <w:lang w:val="en-US" w:eastAsia="zh-CN"/>
        </w:rPr>
        <w:t>3</w:t>
      </w:r>
      <w:r>
        <w:rPr>
          <w:rFonts w:hint="eastAsia" w:ascii="仿宋_GB2312"/>
          <w:sz w:val="32"/>
          <w:szCs w:val="32"/>
          <w:highlight w:val="none"/>
        </w:rPr>
        <w:t>年支持</w:t>
      </w:r>
      <w:r>
        <w:rPr>
          <w:rFonts w:ascii="仿宋_GB2312"/>
          <w:sz w:val="32"/>
          <w:szCs w:val="32"/>
          <w:highlight w:val="none"/>
        </w:rPr>
        <w:t>1</w:t>
      </w:r>
      <w:r>
        <w:rPr>
          <w:rFonts w:hint="eastAsia" w:ascii="仿宋_GB2312"/>
          <w:sz w:val="32"/>
          <w:szCs w:val="32"/>
          <w:highlight w:val="none"/>
        </w:rPr>
        <w:t>家</w:t>
      </w:r>
      <w:r>
        <w:rPr>
          <w:rFonts w:hint="eastAsia" w:ascii="仿宋_GB2312"/>
          <w:sz w:val="32"/>
          <w:szCs w:val="32"/>
          <w:highlight w:val="none"/>
          <w:lang w:val="en-US" w:eastAsia="zh-CN"/>
        </w:rPr>
        <w:t>公办</w:t>
      </w:r>
      <w:r>
        <w:rPr>
          <w:rFonts w:hint="eastAsia" w:ascii="仿宋_GB2312"/>
          <w:sz w:val="32"/>
          <w:szCs w:val="32"/>
          <w:highlight w:val="none"/>
        </w:rPr>
        <w:t>养老服务机构</w:t>
      </w:r>
      <w:r>
        <w:rPr>
          <w:rFonts w:hint="eastAsia" w:ascii="仿宋_GB2312"/>
          <w:sz w:val="32"/>
          <w:szCs w:val="32"/>
          <w:highlight w:val="none"/>
          <w:lang w:val="en-US" w:eastAsia="zh-CN"/>
        </w:rPr>
        <w:t>进行设施改造及设备配置</w:t>
      </w:r>
      <w:r>
        <w:rPr>
          <w:rFonts w:hint="eastAsia" w:ascii="仿宋_GB2312"/>
          <w:sz w:val="32"/>
          <w:szCs w:val="32"/>
          <w:highlight w:val="none"/>
        </w:rPr>
        <w:t>，支持</w:t>
      </w:r>
      <w:r>
        <w:rPr>
          <w:rFonts w:hint="eastAsia" w:ascii="仿宋_GB2312"/>
          <w:sz w:val="32"/>
          <w:szCs w:val="32"/>
          <w:highlight w:val="none"/>
          <w:lang w:val="en-US" w:eastAsia="zh-CN"/>
        </w:rPr>
        <w:t>2</w:t>
      </w:r>
      <w:r>
        <w:rPr>
          <w:rFonts w:hint="eastAsia" w:ascii="仿宋_GB2312"/>
          <w:sz w:val="32"/>
          <w:szCs w:val="32"/>
          <w:highlight w:val="none"/>
        </w:rPr>
        <w:t>家养老服务机构进行消防</w:t>
      </w:r>
      <w:r>
        <w:rPr>
          <w:rFonts w:hint="eastAsia" w:ascii="仿宋_GB2312"/>
          <w:sz w:val="32"/>
          <w:szCs w:val="32"/>
          <w:highlight w:val="none"/>
          <w:lang w:val="en-US" w:eastAsia="zh-CN"/>
        </w:rPr>
        <w:t>设施升级</w:t>
      </w:r>
      <w:r>
        <w:rPr>
          <w:rFonts w:hint="eastAsia" w:ascii="仿宋_GB2312"/>
          <w:sz w:val="32"/>
          <w:szCs w:val="32"/>
          <w:highlight w:val="none"/>
        </w:rPr>
        <w:t>改造</w:t>
      </w:r>
      <w:r>
        <w:rPr>
          <w:rFonts w:ascii="仿宋_GB2312"/>
          <w:sz w:val="32"/>
          <w:szCs w:val="32"/>
          <w:highlight w:val="none"/>
        </w:rPr>
        <w:t>，</w:t>
      </w:r>
      <w:r>
        <w:rPr>
          <w:rFonts w:hint="eastAsia" w:ascii="仿宋_GB2312"/>
          <w:sz w:val="32"/>
          <w:szCs w:val="32"/>
          <w:highlight w:val="none"/>
          <w:lang w:val="en-US" w:eastAsia="zh-CN"/>
        </w:rPr>
        <w:t>新增养老机构护理型床位560个。消除了机构安全隐患</w:t>
      </w:r>
      <w:r>
        <w:rPr>
          <w:rFonts w:hint="eastAsia" w:ascii="仿宋_GB2312"/>
          <w:sz w:val="32"/>
          <w:szCs w:val="32"/>
          <w:highlight w:val="none"/>
        </w:rPr>
        <w:t>，提升了养老服务设施服务能力</w:t>
      </w:r>
      <w:r>
        <w:rPr>
          <w:rFonts w:ascii="仿宋_GB2312"/>
          <w:sz w:val="32"/>
          <w:szCs w:val="32"/>
          <w:highlight w:val="none"/>
        </w:rPr>
        <w:t>。</w:t>
      </w:r>
    </w:p>
    <w:p>
      <w:pPr>
        <w:spacing w:line="560" w:lineRule="exact"/>
        <w:ind w:firstLine="640" w:firstLineChars="200"/>
        <w:rPr>
          <w:rFonts w:ascii="仿宋_GB2312"/>
          <w:sz w:val="32"/>
          <w:szCs w:val="32"/>
          <w:highlight w:val="none"/>
        </w:rPr>
      </w:pPr>
      <w:r>
        <w:rPr>
          <w:rFonts w:ascii="仿宋_GB2312"/>
          <w:sz w:val="32"/>
          <w:szCs w:val="32"/>
          <w:highlight w:val="none"/>
        </w:rPr>
        <w:t>2</w:t>
      </w:r>
      <w:r>
        <w:rPr>
          <w:rFonts w:hint="eastAsia" w:ascii="仿宋_GB2312"/>
          <w:sz w:val="32"/>
          <w:szCs w:val="32"/>
          <w:highlight w:val="none"/>
        </w:rPr>
        <w:t>.我市</w:t>
      </w:r>
      <w:r>
        <w:rPr>
          <w:rFonts w:ascii="仿宋_GB2312"/>
          <w:sz w:val="32"/>
          <w:szCs w:val="32"/>
          <w:highlight w:val="none"/>
        </w:rPr>
        <w:t>202</w:t>
      </w:r>
      <w:r>
        <w:rPr>
          <w:rFonts w:hint="eastAsia" w:ascii="仿宋_GB2312"/>
          <w:sz w:val="32"/>
          <w:szCs w:val="32"/>
          <w:highlight w:val="none"/>
          <w:lang w:val="en-US" w:eastAsia="zh-CN"/>
        </w:rPr>
        <w:t>3</w:t>
      </w:r>
      <w:r>
        <w:rPr>
          <w:rFonts w:hint="eastAsia" w:ascii="仿宋_GB2312"/>
          <w:sz w:val="32"/>
          <w:szCs w:val="32"/>
          <w:highlight w:val="none"/>
        </w:rPr>
        <w:t>年支持精神卫生社会福利机构设施设备配置</w:t>
      </w:r>
      <w:r>
        <w:rPr>
          <w:rFonts w:hint="eastAsia" w:ascii="仿宋_GB2312"/>
          <w:sz w:val="32"/>
          <w:szCs w:val="32"/>
          <w:highlight w:val="none"/>
          <w:lang w:val="en-US" w:eastAsia="zh-CN"/>
        </w:rPr>
        <w:t>4</w:t>
      </w:r>
      <w:r>
        <w:rPr>
          <w:rFonts w:hint="eastAsia" w:ascii="仿宋_GB2312"/>
          <w:sz w:val="32"/>
          <w:szCs w:val="32"/>
          <w:highlight w:val="none"/>
        </w:rPr>
        <w:t>台套，</w:t>
      </w:r>
      <w:r>
        <w:rPr>
          <w:rFonts w:hint="eastAsia" w:ascii="仿宋_GB2312" w:hAnsi="仿宋_GB2312" w:cs="楷体_GB2312"/>
          <w:bCs/>
          <w:sz w:val="32"/>
          <w:szCs w:val="32"/>
          <w:highlight w:val="none"/>
        </w:rPr>
        <w:t>进一步提升机构服务水平和服务能力，为服务对象康复创设良好环境</w:t>
      </w:r>
      <w:r>
        <w:rPr>
          <w:rFonts w:hint="eastAsia" w:ascii="仿宋_GB2312"/>
          <w:sz w:val="32"/>
          <w:szCs w:val="32"/>
          <w:highlight w:val="none"/>
        </w:rPr>
        <w:t>。</w:t>
      </w:r>
    </w:p>
    <w:p>
      <w:pPr>
        <w:spacing w:line="560" w:lineRule="exact"/>
        <w:ind w:firstLine="640" w:firstLineChars="200"/>
        <w:rPr>
          <w:rFonts w:hint="eastAsia" w:ascii="仿宋_GB2312" w:eastAsia="仿宋_GB2312"/>
          <w:sz w:val="32"/>
          <w:szCs w:val="32"/>
          <w:highlight w:val="none"/>
          <w:lang w:eastAsia="zh-CN"/>
        </w:rPr>
      </w:pPr>
      <w:r>
        <w:rPr>
          <w:rFonts w:ascii="仿宋_GB2312"/>
          <w:sz w:val="32"/>
          <w:szCs w:val="32"/>
          <w:highlight w:val="none"/>
        </w:rPr>
        <w:t>3</w:t>
      </w:r>
      <w:r>
        <w:rPr>
          <w:rFonts w:hint="eastAsia" w:ascii="仿宋_GB2312"/>
          <w:sz w:val="32"/>
          <w:szCs w:val="32"/>
          <w:highlight w:val="none"/>
        </w:rPr>
        <w:t>.支持“福彩圆梦·孤儿助学工程”，我市</w:t>
      </w:r>
      <w:r>
        <w:rPr>
          <w:rFonts w:ascii="仿宋_GB2312"/>
          <w:sz w:val="32"/>
          <w:szCs w:val="32"/>
          <w:highlight w:val="none"/>
        </w:rPr>
        <w:t>202</w:t>
      </w:r>
      <w:r>
        <w:rPr>
          <w:rFonts w:hint="eastAsia" w:ascii="仿宋_GB2312"/>
          <w:sz w:val="32"/>
          <w:szCs w:val="32"/>
          <w:highlight w:val="none"/>
          <w:lang w:val="en-US" w:eastAsia="zh-CN"/>
        </w:rPr>
        <w:t>3</w:t>
      </w:r>
      <w:r>
        <w:rPr>
          <w:rFonts w:hint="eastAsia" w:ascii="仿宋_GB2312"/>
          <w:sz w:val="32"/>
          <w:szCs w:val="32"/>
          <w:highlight w:val="none"/>
        </w:rPr>
        <w:t>年</w:t>
      </w:r>
      <w:r>
        <w:rPr>
          <w:rFonts w:hint="eastAsia" w:ascii="仿宋_GB2312"/>
          <w:sz w:val="32"/>
          <w:szCs w:val="32"/>
          <w:highlight w:val="none"/>
          <w:lang w:val="en-US" w:eastAsia="zh-CN"/>
        </w:rPr>
        <w:t>共</w:t>
      </w:r>
      <w:r>
        <w:rPr>
          <w:rFonts w:hint="eastAsia" w:ascii="仿宋_GB2312"/>
          <w:sz w:val="32"/>
          <w:szCs w:val="32"/>
          <w:highlight w:val="none"/>
        </w:rPr>
        <w:t>为</w:t>
      </w:r>
      <w:r>
        <w:rPr>
          <w:rFonts w:ascii="仿宋_GB2312"/>
          <w:sz w:val="32"/>
          <w:szCs w:val="32"/>
          <w:highlight w:val="none"/>
        </w:rPr>
        <w:t>1</w:t>
      </w:r>
      <w:r>
        <w:rPr>
          <w:rFonts w:hint="eastAsia" w:ascii="仿宋_GB2312"/>
          <w:sz w:val="32"/>
          <w:szCs w:val="32"/>
          <w:highlight w:val="none"/>
          <w:lang w:val="en-US" w:eastAsia="zh-CN"/>
        </w:rPr>
        <w:t>60</w:t>
      </w:r>
      <w:r>
        <w:rPr>
          <w:rFonts w:hint="eastAsia" w:ascii="仿宋_GB2312"/>
          <w:sz w:val="32"/>
          <w:szCs w:val="32"/>
          <w:highlight w:val="none"/>
        </w:rPr>
        <w:t>名年满18周岁考入普通全日制本科、专科等学校的孤儿提供助学金，资助孤儿完成学业</w:t>
      </w:r>
      <w:r>
        <w:rPr>
          <w:rFonts w:hint="eastAsia" w:ascii="仿宋_GB2312"/>
          <w:sz w:val="32"/>
          <w:szCs w:val="32"/>
          <w:highlight w:val="none"/>
          <w:lang w:eastAsia="zh-CN"/>
        </w:rPr>
        <w:t>，</w:t>
      </w:r>
      <w:r>
        <w:rPr>
          <w:rFonts w:hint="eastAsia" w:ascii="仿宋_GB2312"/>
          <w:sz w:val="32"/>
          <w:szCs w:val="32"/>
          <w:highlight w:val="none"/>
          <w:lang w:val="en-US" w:eastAsia="zh-CN"/>
        </w:rPr>
        <w:t>其中，当年中央资金保障116人，以前年度结转资金保障44人；</w:t>
      </w:r>
      <w:r>
        <w:rPr>
          <w:rFonts w:hint="eastAsia" w:ascii="仿宋_GB2312"/>
          <w:sz w:val="32"/>
          <w:szCs w:val="32"/>
          <w:highlight w:val="none"/>
          <w:lang w:eastAsia="zh-CN"/>
        </w:rPr>
        <w:t>支持</w:t>
      </w:r>
      <w:r>
        <w:rPr>
          <w:rFonts w:hint="eastAsia" w:ascii="仿宋_GB2312"/>
          <w:sz w:val="32"/>
          <w:szCs w:val="32"/>
          <w:highlight w:val="none"/>
          <w:lang w:val="en-US" w:eastAsia="zh-CN"/>
        </w:rPr>
        <w:t>3家</w:t>
      </w:r>
      <w:r>
        <w:rPr>
          <w:rFonts w:hint="eastAsia" w:ascii="仿宋_GB2312"/>
          <w:sz w:val="32"/>
          <w:szCs w:val="32"/>
          <w:highlight w:val="none"/>
          <w:lang w:eastAsia="zh-CN"/>
        </w:rPr>
        <w:t>儿童福利机构设施设备配置、</w:t>
      </w:r>
      <w:r>
        <w:rPr>
          <w:rFonts w:hint="eastAsia" w:ascii="仿宋_GB2312"/>
          <w:sz w:val="32"/>
          <w:szCs w:val="32"/>
          <w:highlight w:val="none"/>
          <w:lang w:val="en-US" w:eastAsia="zh-CN"/>
        </w:rPr>
        <w:t>环境升级改造</w:t>
      </w:r>
      <w:r>
        <w:rPr>
          <w:rFonts w:hint="eastAsia" w:ascii="仿宋_GB2312"/>
          <w:sz w:val="32"/>
          <w:szCs w:val="32"/>
          <w:highlight w:val="none"/>
          <w:lang w:eastAsia="zh-CN"/>
        </w:rPr>
        <w:t>，提高机构服务</w:t>
      </w:r>
      <w:r>
        <w:rPr>
          <w:rFonts w:hint="eastAsia" w:ascii="仿宋_GB2312"/>
          <w:sz w:val="32"/>
          <w:szCs w:val="32"/>
          <w:highlight w:val="none"/>
          <w:lang w:val="en-US" w:eastAsia="zh-CN"/>
        </w:rPr>
        <w:t>保障</w:t>
      </w:r>
      <w:r>
        <w:rPr>
          <w:rFonts w:hint="eastAsia" w:ascii="仿宋_GB2312"/>
          <w:sz w:val="32"/>
          <w:szCs w:val="32"/>
          <w:highlight w:val="none"/>
          <w:lang w:eastAsia="zh-CN"/>
        </w:rPr>
        <w:t>能力，</w:t>
      </w:r>
      <w:r>
        <w:rPr>
          <w:rFonts w:hint="eastAsia" w:ascii="仿宋_GB2312"/>
          <w:sz w:val="32"/>
          <w:szCs w:val="32"/>
          <w:highlight w:val="none"/>
          <w:lang w:val="en-US" w:eastAsia="zh-CN"/>
        </w:rPr>
        <w:t>其中，当年中央资金保障2家机构，以前年度结转资金保障1家机构</w:t>
      </w:r>
      <w:r>
        <w:rPr>
          <w:rFonts w:hint="eastAsia" w:ascii="仿宋_GB2312"/>
          <w:sz w:val="32"/>
          <w:szCs w:val="32"/>
          <w:highlight w:val="none"/>
          <w:lang w:eastAsia="zh-CN"/>
        </w:rPr>
        <w:t>。</w:t>
      </w:r>
    </w:p>
    <w:p>
      <w:pPr>
        <w:spacing w:line="560" w:lineRule="exact"/>
        <w:ind w:firstLine="642" w:firstLineChars="200"/>
        <w:outlineLvl w:val="0"/>
        <w:rPr>
          <w:rFonts w:ascii="仿宋_GB2312"/>
          <w:color w:val="C00000"/>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）绩效指标完成情况分析</w:t>
      </w:r>
    </w:p>
    <w:p>
      <w:pPr>
        <w:spacing w:line="560" w:lineRule="exact"/>
        <w:ind w:firstLine="642" w:firstLineChars="200"/>
        <w:rPr>
          <w:rFonts w:ascii="仿宋_GB2312"/>
          <w:sz w:val="32"/>
          <w:szCs w:val="32"/>
          <w:highlight w:val="none"/>
        </w:rPr>
      </w:pPr>
      <w:r>
        <w:rPr>
          <w:rFonts w:hint="eastAsia" w:ascii="仿宋_GB2312"/>
          <w:b/>
          <w:bCs/>
          <w:sz w:val="32"/>
          <w:szCs w:val="32"/>
          <w:highlight w:val="none"/>
        </w:rPr>
        <w:t>1.产出指标完成情况分析</w:t>
      </w:r>
    </w:p>
    <w:p>
      <w:pPr>
        <w:spacing w:line="560" w:lineRule="exact"/>
        <w:ind w:firstLine="642" w:firstLineChars="200"/>
        <w:rPr>
          <w:rFonts w:ascii="仿宋_GB2312"/>
          <w:sz w:val="32"/>
          <w:szCs w:val="32"/>
          <w:highlight w:val="none"/>
        </w:rPr>
      </w:pPr>
      <w:r>
        <w:rPr>
          <w:rFonts w:hint="eastAsia" w:ascii="仿宋_GB2312"/>
          <w:b/>
          <w:bCs/>
          <w:sz w:val="32"/>
          <w:szCs w:val="32"/>
          <w:highlight w:val="none"/>
        </w:rPr>
        <w:t>（1）数量指标。老年人福利方面</w:t>
      </w:r>
      <w:r>
        <w:rPr>
          <w:rFonts w:hint="eastAsia" w:ascii="仿宋_GB2312"/>
          <w:sz w:val="32"/>
          <w:szCs w:val="32"/>
          <w:highlight w:val="none"/>
        </w:rPr>
        <w:t>，完成</w:t>
      </w:r>
      <w:r>
        <w:rPr>
          <w:rFonts w:ascii="仿宋_GB2312"/>
          <w:sz w:val="32"/>
          <w:szCs w:val="32"/>
          <w:highlight w:val="none"/>
        </w:rPr>
        <w:t>1</w:t>
      </w:r>
      <w:r>
        <w:rPr>
          <w:rFonts w:hint="eastAsia" w:ascii="仿宋_GB2312"/>
          <w:sz w:val="32"/>
          <w:szCs w:val="32"/>
          <w:highlight w:val="none"/>
        </w:rPr>
        <w:t>家</w:t>
      </w:r>
      <w:r>
        <w:rPr>
          <w:rFonts w:hint="eastAsia" w:ascii="仿宋_GB2312"/>
          <w:sz w:val="32"/>
          <w:szCs w:val="32"/>
          <w:highlight w:val="none"/>
          <w:lang w:val="en-US" w:eastAsia="zh-CN"/>
        </w:rPr>
        <w:t>公办</w:t>
      </w:r>
      <w:r>
        <w:rPr>
          <w:rFonts w:hint="eastAsia" w:ascii="仿宋_GB2312"/>
          <w:sz w:val="32"/>
          <w:szCs w:val="32"/>
          <w:highlight w:val="none"/>
        </w:rPr>
        <w:t>养老服务</w:t>
      </w:r>
      <w:r>
        <w:rPr>
          <w:rFonts w:hint="eastAsia" w:ascii="仿宋_GB2312"/>
          <w:sz w:val="32"/>
          <w:szCs w:val="32"/>
          <w:highlight w:val="none"/>
          <w:lang w:val="en-US" w:eastAsia="zh-CN"/>
        </w:rPr>
        <w:t>机构</w:t>
      </w:r>
      <w:r>
        <w:rPr>
          <w:rFonts w:hint="eastAsia" w:ascii="仿宋_GB2312"/>
          <w:sz w:val="32"/>
          <w:szCs w:val="32"/>
          <w:highlight w:val="none"/>
        </w:rPr>
        <w:t>设施</w:t>
      </w:r>
      <w:r>
        <w:rPr>
          <w:rFonts w:hint="eastAsia" w:ascii="仿宋_GB2312"/>
          <w:sz w:val="32"/>
          <w:szCs w:val="32"/>
          <w:highlight w:val="none"/>
          <w:lang w:val="en-US" w:eastAsia="zh-CN"/>
        </w:rPr>
        <w:t>改造及</w:t>
      </w:r>
      <w:r>
        <w:rPr>
          <w:rFonts w:hint="eastAsia" w:ascii="仿宋_GB2312"/>
          <w:sz w:val="32"/>
          <w:szCs w:val="32"/>
          <w:highlight w:val="none"/>
        </w:rPr>
        <w:t>设备配置</w:t>
      </w:r>
      <w:r>
        <w:rPr>
          <w:rFonts w:hint="eastAsia" w:ascii="仿宋_GB2312"/>
          <w:sz w:val="32"/>
          <w:szCs w:val="32"/>
          <w:highlight w:val="none"/>
          <w:lang w:eastAsia="zh-CN"/>
        </w:rPr>
        <w:t>；</w:t>
      </w:r>
      <w:r>
        <w:rPr>
          <w:rFonts w:hint="eastAsia" w:ascii="仿宋_GB2312"/>
          <w:sz w:val="32"/>
          <w:szCs w:val="32"/>
          <w:highlight w:val="none"/>
          <w:lang w:val="en-US" w:eastAsia="zh-CN"/>
        </w:rPr>
        <w:t>完成2</w:t>
      </w:r>
      <w:r>
        <w:rPr>
          <w:rFonts w:hint="eastAsia" w:ascii="仿宋_GB2312"/>
          <w:sz w:val="32"/>
          <w:szCs w:val="32"/>
          <w:highlight w:val="none"/>
        </w:rPr>
        <w:t>家养老</w:t>
      </w:r>
      <w:r>
        <w:rPr>
          <w:rFonts w:hint="eastAsia" w:ascii="仿宋_GB2312"/>
          <w:sz w:val="32"/>
          <w:szCs w:val="32"/>
          <w:highlight w:val="none"/>
          <w:lang w:val="en-US" w:eastAsia="zh-CN"/>
        </w:rPr>
        <w:t>服务</w:t>
      </w:r>
      <w:r>
        <w:rPr>
          <w:rFonts w:hint="eastAsia" w:ascii="仿宋_GB2312"/>
          <w:sz w:val="32"/>
          <w:szCs w:val="32"/>
          <w:highlight w:val="none"/>
        </w:rPr>
        <w:t>机构的消防系统升级改造</w:t>
      </w:r>
      <w:r>
        <w:rPr>
          <w:rFonts w:ascii="仿宋_GB2312"/>
          <w:sz w:val="32"/>
          <w:szCs w:val="32"/>
          <w:highlight w:val="none"/>
        </w:rPr>
        <w:t>；</w:t>
      </w:r>
      <w:r>
        <w:rPr>
          <w:rFonts w:hint="eastAsia" w:ascii="仿宋_GB2312"/>
          <w:sz w:val="32"/>
          <w:szCs w:val="32"/>
          <w:highlight w:val="none"/>
          <w:lang w:val="en-US" w:eastAsia="zh-CN"/>
        </w:rPr>
        <w:t>新增养老机构护理型床位560个</w:t>
      </w:r>
      <w:r>
        <w:rPr>
          <w:rFonts w:hint="eastAsia" w:ascii="仿宋_GB2312"/>
          <w:sz w:val="32"/>
          <w:szCs w:val="32"/>
          <w:highlight w:val="none"/>
        </w:rPr>
        <w:t>。</w:t>
      </w:r>
      <w:r>
        <w:rPr>
          <w:rFonts w:hint="eastAsia" w:ascii="仿宋_GB2312"/>
          <w:b/>
          <w:bCs/>
          <w:sz w:val="32"/>
          <w:szCs w:val="32"/>
          <w:highlight w:val="none"/>
        </w:rPr>
        <w:t>残疾人福利方面，</w:t>
      </w:r>
      <w:r>
        <w:rPr>
          <w:rFonts w:hint="eastAsia" w:ascii="仿宋_GB2312"/>
          <w:sz w:val="32"/>
          <w:szCs w:val="32"/>
          <w:highlight w:val="none"/>
        </w:rPr>
        <w:t>完成精神卫生社会福利机构设施设备配置</w:t>
      </w:r>
      <w:r>
        <w:rPr>
          <w:rFonts w:hint="eastAsia" w:ascii="仿宋_GB2312"/>
          <w:sz w:val="32"/>
          <w:szCs w:val="32"/>
          <w:highlight w:val="none"/>
          <w:lang w:val="en-US" w:eastAsia="zh-CN"/>
        </w:rPr>
        <w:t>4台</w:t>
      </w:r>
      <w:r>
        <w:rPr>
          <w:rFonts w:hint="eastAsia" w:ascii="仿宋_GB2312"/>
          <w:sz w:val="32"/>
          <w:szCs w:val="32"/>
          <w:highlight w:val="none"/>
        </w:rPr>
        <w:t>套</w:t>
      </w:r>
      <w:r>
        <w:rPr>
          <w:rFonts w:hint="eastAsia" w:ascii="仿宋_GB2312"/>
          <w:sz w:val="32"/>
          <w:szCs w:val="32"/>
          <w:highlight w:val="none"/>
          <w:lang w:eastAsia="zh-CN"/>
        </w:rPr>
        <w:t>，精神卫生福利机构设施设备服务</w:t>
      </w:r>
      <w:r>
        <w:rPr>
          <w:rFonts w:hint="eastAsia" w:ascii="仿宋_GB2312"/>
          <w:sz w:val="32"/>
          <w:szCs w:val="32"/>
          <w:highlight w:val="none"/>
          <w:lang w:val="en-US" w:eastAsia="zh-CN"/>
        </w:rPr>
        <w:t>82</w:t>
      </w:r>
      <w:r>
        <w:rPr>
          <w:rFonts w:hint="eastAsia" w:ascii="仿宋_GB2312"/>
          <w:sz w:val="32"/>
          <w:szCs w:val="32"/>
          <w:highlight w:val="none"/>
          <w:lang w:eastAsia="zh-CN"/>
        </w:rPr>
        <w:t>人次</w:t>
      </w:r>
      <w:r>
        <w:rPr>
          <w:rFonts w:hint="eastAsia" w:ascii="仿宋_GB2312"/>
          <w:sz w:val="32"/>
          <w:szCs w:val="32"/>
          <w:highlight w:val="none"/>
        </w:rPr>
        <w:t>。</w:t>
      </w:r>
      <w:r>
        <w:rPr>
          <w:rFonts w:hint="eastAsia" w:ascii="仿宋_GB2312"/>
          <w:b/>
          <w:bCs/>
          <w:sz w:val="32"/>
          <w:szCs w:val="32"/>
          <w:highlight w:val="none"/>
        </w:rPr>
        <w:t>儿童福利方面</w:t>
      </w:r>
      <w:r>
        <w:rPr>
          <w:rFonts w:hint="eastAsia" w:ascii="仿宋_GB2312"/>
          <w:sz w:val="32"/>
          <w:szCs w:val="32"/>
          <w:highlight w:val="none"/>
        </w:rPr>
        <w:t>，</w:t>
      </w:r>
      <w:r>
        <w:rPr>
          <w:rFonts w:hint="eastAsia" w:ascii="仿宋_GB2312"/>
          <w:sz w:val="32"/>
          <w:szCs w:val="32"/>
          <w:highlight w:val="none"/>
          <w:lang w:val="en-US" w:eastAsia="zh-CN"/>
        </w:rPr>
        <w:t>共</w:t>
      </w:r>
      <w:r>
        <w:rPr>
          <w:rFonts w:hint="eastAsia" w:ascii="仿宋_GB2312"/>
          <w:sz w:val="32"/>
          <w:szCs w:val="32"/>
          <w:highlight w:val="none"/>
        </w:rPr>
        <w:t>为</w:t>
      </w:r>
      <w:r>
        <w:rPr>
          <w:rFonts w:ascii="仿宋_GB2312"/>
          <w:sz w:val="32"/>
          <w:szCs w:val="32"/>
          <w:highlight w:val="none"/>
        </w:rPr>
        <w:t>1</w:t>
      </w:r>
      <w:r>
        <w:rPr>
          <w:rFonts w:hint="eastAsia" w:ascii="仿宋_GB2312"/>
          <w:sz w:val="32"/>
          <w:szCs w:val="32"/>
          <w:highlight w:val="none"/>
          <w:lang w:val="en-US" w:eastAsia="zh-CN"/>
        </w:rPr>
        <w:t>60</w:t>
      </w:r>
      <w:r>
        <w:rPr>
          <w:rFonts w:hint="eastAsia" w:ascii="仿宋_GB2312"/>
          <w:sz w:val="32"/>
          <w:szCs w:val="32"/>
          <w:highlight w:val="none"/>
        </w:rPr>
        <w:t>名年满18周岁考入普通全日制本科、专科等学校的孤儿提供助学金，资助孤儿完成学业</w:t>
      </w:r>
      <w:r>
        <w:rPr>
          <w:rFonts w:hint="eastAsia" w:ascii="仿宋_GB2312"/>
          <w:sz w:val="32"/>
          <w:szCs w:val="32"/>
          <w:highlight w:val="none"/>
          <w:lang w:eastAsia="zh-CN"/>
        </w:rPr>
        <w:t>，</w:t>
      </w:r>
      <w:r>
        <w:rPr>
          <w:rFonts w:hint="eastAsia" w:ascii="仿宋_GB2312"/>
          <w:sz w:val="32"/>
          <w:szCs w:val="32"/>
          <w:highlight w:val="none"/>
          <w:lang w:val="en-US" w:eastAsia="zh-CN"/>
        </w:rPr>
        <w:t>其中，当年中央资金保障116人，以前年度结转资金保障44人；共</w:t>
      </w:r>
      <w:r>
        <w:rPr>
          <w:rFonts w:hint="eastAsia" w:ascii="仿宋_GB2312"/>
          <w:sz w:val="32"/>
          <w:szCs w:val="32"/>
          <w:highlight w:val="none"/>
          <w:lang w:eastAsia="zh-CN"/>
        </w:rPr>
        <w:t>支持</w:t>
      </w:r>
      <w:r>
        <w:rPr>
          <w:rFonts w:hint="eastAsia" w:ascii="仿宋_GB2312"/>
          <w:sz w:val="32"/>
          <w:szCs w:val="32"/>
          <w:highlight w:val="none"/>
          <w:lang w:val="en-US" w:eastAsia="zh-CN"/>
        </w:rPr>
        <w:t>3家</w:t>
      </w:r>
      <w:r>
        <w:rPr>
          <w:rFonts w:hint="eastAsia" w:ascii="仿宋_GB2312"/>
          <w:sz w:val="32"/>
          <w:szCs w:val="32"/>
          <w:highlight w:val="none"/>
          <w:lang w:eastAsia="zh-CN"/>
        </w:rPr>
        <w:t>儿童福利机构设施设备配置、</w:t>
      </w:r>
      <w:r>
        <w:rPr>
          <w:rFonts w:hint="eastAsia" w:ascii="仿宋_GB2312"/>
          <w:sz w:val="32"/>
          <w:szCs w:val="32"/>
          <w:highlight w:val="none"/>
          <w:lang w:val="en-US" w:eastAsia="zh-CN"/>
        </w:rPr>
        <w:t>环境升级改造</w:t>
      </w:r>
      <w:r>
        <w:rPr>
          <w:rFonts w:hint="eastAsia" w:ascii="仿宋_GB2312"/>
          <w:sz w:val="32"/>
          <w:szCs w:val="32"/>
          <w:highlight w:val="none"/>
          <w:lang w:eastAsia="zh-CN"/>
        </w:rPr>
        <w:t>，提高机构服务</w:t>
      </w:r>
      <w:r>
        <w:rPr>
          <w:rFonts w:hint="eastAsia" w:ascii="仿宋_GB2312"/>
          <w:sz w:val="32"/>
          <w:szCs w:val="32"/>
          <w:highlight w:val="none"/>
          <w:lang w:val="en-US" w:eastAsia="zh-CN"/>
        </w:rPr>
        <w:t>保障</w:t>
      </w:r>
      <w:r>
        <w:rPr>
          <w:rFonts w:hint="eastAsia" w:ascii="仿宋_GB2312"/>
          <w:sz w:val="32"/>
          <w:szCs w:val="32"/>
          <w:highlight w:val="none"/>
          <w:lang w:eastAsia="zh-CN"/>
        </w:rPr>
        <w:t>能力，</w:t>
      </w:r>
      <w:r>
        <w:rPr>
          <w:rFonts w:hint="eastAsia" w:ascii="仿宋_GB2312"/>
          <w:sz w:val="32"/>
          <w:szCs w:val="32"/>
          <w:highlight w:val="none"/>
          <w:lang w:val="en-US" w:eastAsia="zh-CN"/>
        </w:rPr>
        <w:t>其中，当年中央资金保障2家机构，以前年度结转资金保障1家机构</w:t>
      </w:r>
      <w:r>
        <w:rPr>
          <w:rFonts w:hint="eastAsia" w:ascii="仿宋_GB2312"/>
          <w:sz w:val="32"/>
          <w:szCs w:val="32"/>
          <w:highlight w:val="none"/>
          <w:lang w:eastAsia="zh-CN"/>
        </w:rPr>
        <w:t>。</w:t>
      </w:r>
    </w:p>
    <w:p>
      <w:pPr>
        <w:spacing w:line="560" w:lineRule="exact"/>
        <w:ind w:firstLine="642" w:firstLineChars="200"/>
        <w:rPr>
          <w:rFonts w:ascii="仿宋_GB2312"/>
          <w:sz w:val="32"/>
          <w:szCs w:val="32"/>
          <w:highlight w:val="none"/>
        </w:rPr>
      </w:pPr>
      <w:r>
        <w:rPr>
          <w:rFonts w:hint="eastAsia" w:ascii="仿宋_GB2312"/>
          <w:b/>
          <w:bCs/>
          <w:sz w:val="32"/>
          <w:szCs w:val="32"/>
          <w:highlight w:val="none"/>
        </w:rPr>
        <w:t>（2）质量指标。</w:t>
      </w:r>
      <w:r>
        <w:rPr>
          <w:rFonts w:hint="eastAsia" w:ascii="仿宋_GB2312" w:hAnsi="仿宋_GB2312" w:cs="仿宋_GB2312"/>
          <w:b/>
          <w:bCs/>
          <w:sz w:val="32"/>
          <w:szCs w:val="32"/>
          <w:highlight w:val="none"/>
        </w:rPr>
        <w:t>老年人福利方面</w:t>
      </w:r>
      <w:r>
        <w:rPr>
          <w:rFonts w:ascii="仿宋_GB2312" w:hAnsi="仿宋_GB2312" w:cs="仿宋_GB2312"/>
          <w:b/>
          <w:bCs/>
          <w:sz w:val="32"/>
          <w:szCs w:val="32"/>
          <w:highlight w:val="none"/>
        </w:rPr>
        <w:t>，</w:t>
      </w:r>
      <w:r>
        <w:rPr>
          <w:rFonts w:hint="eastAsia" w:ascii="仿宋_GB2312" w:hAnsi="仿宋_GB2312" w:cs="仿宋_GB2312"/>
          <w:sz w:val="32"/>
          <w:szCs w:val="32"/>
          <w:highlight w:val="none"/>
        </w:rPr>
        <w:t>养老</w:t>
      </w:r>
      <w:r>
        <w:rPr>
          <w:rFonts w:hint="eastAsia" w:ascii="仿宋_GB2312" w:hAnsi="仿宋_GB2312" w:cs="仿宋_GB2312"/>
          <w:sz w:val="32"/>
          <w:szCs w:val="32"/>
          <w:highlight w:val="none"/>
          <w:lang w:val="en-US" w:eastAsia="zh-CN"/>
        </w:rPr>
        <w:t>服务机构</w:t>
      </w:r>
      <w:r>
        <w:rPr>
          <w:rFonts w:hint="eastAsia" w:ascii="仿宋_GB2312" w:hAnsi="仿宋_GB2312" w:cs="仿宋_GB2312"/>
          <w:sz w:val="32"/>
          <w:szCs w:val="32"/>
          <w:highlight w:val="none"/>
        </w:rPr>
        <w:t>的</w:t>
      </w:r>
      <w:r>
        <w:rPr>
          <w:rFonts w:hint="eastAsia" w:ascii="仿宋_GB2312" w:hAnsi="仿宋_GB2312" w:cs="仿宋_GB2312"/>
          <w:sz w:val="32"/>
          <w:szCs w:val="32"/>
          <w:highlight w:val="none"/>
          <w:lang w:val="en-US" w:eastAsia="zh-CN"/>
        </w:rPr>
        <w:t>升级改造、消防改造及</w:t>
      </w:r>
      <w:r>
        <w:rPr>
          <w:rFonts w:hint="eastAsia" w:ascii="仿宋_GB2312"/>
          <w:sz w:val="32"/>
          <w:szCs w:val="32"/>
          <w:highlight w:val="none"/>
          <w:lang w:val="en-US" w:eastAsia="zh-CN"/>
        </w:rPr>
        <w:t>护理型床位的验收合格率均为100%</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残疾人福利方面</w:t>
      </w:r>
      <w:r>
        <w:rPr>
          <w:rFonts w:ascii="仿宋_GB2312" w:hAnsi="仿宋_GB2312" w:cs="仿宋_GB2312"/>
          <w:b/>
          <w:bCs/>
          <w:sz w:val="32"/>
          <w:szCs w:val="32"/>
          <w:highlight w:val="none"/>
        </w:rPr>
        <w:t>，</w:t>
      </w:r>
      <w:r>
        <w:rPr>
          <w:rFonts w:ascii="仿宋_GB2312" w:hAnsi="仿宋_GB2312" w:cs="仿宋_GB2312"/>
          <w:sz w:val="32"/>
          <w:szCs w:val="32"/>
          <w:highlight w:val="none"/>
        </w:rPr>
        <w:t>精神卫生福利机构设施设备配置验收合格率</w:t>
      </w:r>
      <w:r>
        <w:rPr>
          <w:rFonts w:hint="eastAsia" w:ascii="仿宋_GB2312" w:hAnsi="仿宋_GB2312" w:cs="仿宋_GB2312"/>
          <w:sz w:val="32"/>
          <w:szCs w:val="32"/>
          <w:highlight w:val="none"/>
          <w:lang w:val="en-US" w:eastAsia="zh-CN"/>
        </w:rPr>
        <w:t>100%</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儿童福利方面</w:t>
      </w:r>
      <w:r>
        <w:rPr>
          <w:rFonts w:hint="eastAsia" w:ascii="仿宋_GB2312" w:hAnsi="仿宋_GB2312" w:cs="仿宋_GB2312"/>
          <w:sz w:val="32"/>
          <w:szCs w:val="32"/>
          <w:highlight w:val="none"/>
        </w:rPr>
        <w:t>，接受教育资助孤儿与政策符合度</w:t>
      </w:r>
      <w:r>
        <w:rPr>
          <w:rFonts w:hint="eastAsia" w:ascii="仿宋_GB2312" w:hAnsi="仿宋_GB2312" w:cs="仿宋_GB2312"/>
          <w:sz w:val="32"/>
          <w:szCs w:val="32"/>
          <w:highlight w:val="none"/>
          <w:lang w:val="en-US" w:eastAsia="zh-CN"/>
        </w:rPr>
        <w:t>100%</w:t>
      </w:r>
      <w:r>
        <w:rPr>
          <w:rFonts w:hint="eastAsia" w:ascii="仿宋_GB2312" w:hAnsi="仿宋_GB2312" w:cs="仿宋_GB2312"/>
          <w:sz w:val="32"/>
          <w:szCs w:val="32"/>
          <w:highlight w:val="none"/>
        </w:rPr>
        <w:t>，实现了应保尽保</w:t>
      </w:r>
      <w:r>
        <w:rPr>
          <w:rFonts w:hint="eastAsia" w:ascii="仿宋_GB2312" w:hAnsi="仿宋_GB2312" w:cs="仿宋_GB2312"/>
          <w:sz w:val="32"/>
          <w:szCs w:val="32"/>
          <w:highlight w:val="none"/>
          <w:lang w:eastAsia="zh-CN"/>
        </w:rPr>
        <w:t>，</w:t>
      </w:r>
      <w:r>
        <w:rPr>
          <w:rFonts w:ascii="仿宋_GB2312" w:hAnsi="仿宋_GB2312" w:cs="仿宋_GB2312"/>
          <w:sz w:val="32"/>
          <w:szCs w:val="32"/>
          <w:highlight w:val="none"/>
        </w:rPr>
        <w:t>教育</w:t>
      </w:r>
      <w:r>
        <w:rPr>
          <w:rFonts w:hint="eastAsia" w:ascii="仿宋_GB2312" w:hAnsi="仿宋_GB2312" w:cs="仿宋_GB2312"/>
          <w:sz w:val="32"/>
          <w:szCs w:val="32"/>
          <w:highlight w:val="none"/>
        </w:rPr>
        <w:t>资助孤儿</w:t>
      </w:r>
      <w:r>
        <w:rPr>
          <w:rFonts w:hint="eastAsia" w:ascii="仿宋_GB2312" w:hAnsi="仿宋_GB2312" w:cs="仿宋_GB2312"/>
          <w:sz w:val="32"/>
          <w:szCs w:val="32"/>
          <w:highlight w:val="none"/>
          <w:lang w:val="en-US" w:eastAsia="zh-CN"/>
        </w:rPr>
        <w:t>覆盖率100%；儿童福利机构设施设备验收合格率100%</w:t>
      </w:r>
      <w:r>
        <w:rPr>
          <w:rFonts w:ascii="仿宋_GB2312" w:hAnsi="仿宋_GB2312" w:cs="仿宋_GB2312"/>
          <w:sz w:val="32"/>
          <w:szCs w:val="32"/>
          <w:highlight w:val="none"/>
        </w:rPr>
        <w:t>。</w:t>
      </w:r>
    </w:p>
    <w:p>
      <w:pPr>
        <w:spacing w:line="560" w:lineRule="exact"/>
        <w:ind w:firstLine="642" w:firstLineChars="200"/>
        <w:rPr>
          <w:rFonts w:ascii="仿宋_GB2312" w:hAnsi="仿宋_GB2312" w:cs="仿宋_GB2312"/>
          <w:sz w:val="32"/>
          <w:szCs w:val="32"/>
          <w:highlight w:val="none"/>
        </w:rPr>
      </w:pPr>
      <w:r>
        <w:rPr>
          <w:rFonts w:hint="eastAsia" w:ascii="仿宋_GB2312"/>
          <w:b/>
          <w:bCs/>
          <w:sz w:val="32"/>
          <w:szCs w:val="32"/>
          <w:highlight w:val="none"/>
        </w:rPr>
        <w:t>（3）时效指标。</w:t>
      </w:r>
      <w:r>
        <w:rPr>
          <w:rFonts w:hint="eastAsia" w:ascii="仿宋_GB2312" w:hAnsi="仿宋_GB2312" w:cs="仿宋_GB2312"/>
          <w:sz w:val="32"/>
          <w:szCs w:val="32"/>
          <w:highlight w:val="none"/>
        </w:rPr>
        <w:t>截至</w:t>
      </w:r>
      <w:r>
        <w:rPr>
          <w:rFonts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年底，</w:t>
      </w:r>
      <w:r>
        <w:rPr>
          <w:rFonts w:hint="eastAsia" w:ascii="仿宋_GB2312" w:hAnsi="仿宋_GB2312" w:cs="仿宋_GB2312"/>
          <w:sz w:val="32"/>
          <w:szCs w:val="32"/>
          <w:highlight w:val="none"/>
          <w:lang w:val="en-US" w:eastAsia="zh-CN"/>
        </w:rPr>
        <w:t>已</w:t>
      </w:r>
      <w:r>
        <w:rPr>
          <w:rFonts w:hint="eastAsia" w:ascii="仿宋_GB2312" w:hAnsi="仿宋_GB2312" w:cs="仿宋_GB2312"/>
          <w:sz w:val="32"/>
          <w:szCs w:val="32"/>
          <w:highlight w:val="none"/>
        </w:rPr>
        <w:t>完成孤儿助学金发放工作</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儿童福利机构设施设备配置、</w:t>
      </w:r>
      <w:r>
        <w:rPr>
          <w:rFonts w:hint="eastAsia" w:ascii="仿宋_GB2312" w:hAnsi="仿宋_GB2312" w:cs="仿宋_GB2312"/>
          <w:sz w:val="32"/>
          <w:szCs w:val="32"/>
          <w:highlight w:val="none"/>
        </w:rPr>
        <w:t>养老机构消防升级改造</w:t>
      </w:r>
      <w:r>
        <w:rPr>
          <w:rFonts w:ascii="仿宋_GB2312" w:hAnsi="仿宋_GB2312" w:cs="仿宋_GB2312"/>
          <w:sz w:val="32"/>
          <w:szCs w:val="32"/>
          <w:highlight w:val="none"/>
        </w:rPr>
        <w:t>、</w:t>
      </w:r>
      <w:r>
        <w:rPr>
          <w:rFonts w:hint="eastAsia" w:ascii="仿宋_GB2312" w:hAnsi="仿宋_GB2312" w:cs="仿宋_GB2312"/>
          <w:sz w:val="32"/>
          <w:szCs w:val="32"/>
          <w:highlight w:val="none"/>
        </w:rPr>
        <w:t>养老机构护理型床位建设</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西城区</w:t>
      </w:r>
      <w:r>
        <w:rPr>
          <w:rFonts w:ascii="仿宋_GB2312" w:hAnsi="仿宋_GB2312" w:cs="仿宋_GB2312"/>
          <w:sz w:val="32"/>
          <w:szCs w:val="32"/>
          <w:highlight w:val="none"/>
        </w:rPr>
        <w:t>精神卫生社会福利机构设备购置</w:t>
      </w:r>
      <w:r>
        <w:rPr>
          <w:rFonts w:hint="eastAsia" w:ascii="仿宋_GB2312" w:hAnsi="仿宋_GB2312" w:cs="仿宋_GB2312"/>
          <w:sz w:val="32"/>
          <w:szCs w:val="32"/>
          <w:highlight w:val="none"/>
          <w:lang w:val="en-US" w:eastAsia="zh-CN"/>
        </w:rPr>
        <w:t>工作已完成并通过验收，但机构防火设施施工未完成，导致精神卫生福利机构尚未投入使用</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昌平区敬老院升级改造及设备配置项目，由于</w:t>
      </w:r>
      <w:r>
        <w:rPr>
          <w:rFonts w:hint="eastAsia" w:ascii="仿宋_GB2312"/>
          <w:sz w:val="32"/>
          <w:szCs w:val="32"/>
          <w:highlight w:val="none"/>
          <w:lang w:val="en-US" w:eastAsia="zh-CN"/>
        </w:rPr>
        <w:t>消防验收、竣工备案、项目资金评审等环节滞后，</w:t>
      </w:r>
      <w:r>
        <w:rPr>
          <w:rFonts w:hint="eastAsia" w:ascii="仿宋_GB2312" w:hAnsi="仿宋_GB2312" w:cs="仿宋_GB2312"/>
          <w:sz w:val="32"/>
          <w:szCs w:val="32"/>
          <w:highlight w:val="none"/>
        </w:rPr>
        <w:t>正在推进</w:t>
      </w:r>
      <w:r>
        <w:rPr>
          <w:rFonts w:hint="eastAsia" w:ascii="仿宋_GB2312" w:hAnsi="仿宋_GB2312" w:cs="仿宋_GB2312"/>
          <w:sz w:val="32"/>
          <w:szCs w:val="32"/>
          <w:highlight w:val="none"/>
          <w:lang w:val="en-US" w:eastAsia="zh-CN"/>
        </w:rPr>
        <w:t>中。</w:t>
      </w:r>
    </w:p>
    <w:p>
      <w:pPr>
        <w:spacing w:line="560" w:lineRule="exact"/>
        <w:ind w:firstLine="642" w:firstLineChars="200"/>
        <w:rPr>
          <w:rFonts w:ascii="仿宋_GB2312" w:hAnsi="仿宋_GB2312" w:cs="仿宋_GB2312"/>
          <w:sz w:val="32"/>
          <w:szCs w:val="32"/>
          <w:highlight w:val="none"/>
        </w:rPr>
      </w:pPr>
      <w:r>
        <w:rPr>
          <w:rFonts w:hint="eastAsia" w:ascii="仿宋_GB2312" w:hAnsi="仿宋_GB2312" w:cs="仿宋_GB2312"/>
          <w:b/>
          <w:bCs/>
          <w:sz w:val="32"/>
          <w:szCs w:val="32"/>
          <w:highlight w:val="none"/>
        </w:rPr>
        <w:t>（4）成本指标。</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年底，中央福利彩票公益金累计支出</w:t>
      </w:r>
      <w:r>
        <w:rPr>
          <w:rFonts w:hint="eastAsia" w:ascii="仿宋_GB2312" w:hAnsi="仿宋_GB2312" w:cs="仿宋_GB2312"/>
          <w:sz w:val="32"/>
          <w:szCs w:val="32"/>
          <w:highlight w:val="none"/>
          <w:lang w:val="en-US" w:eastAsia="zh-CN"/>
        </w:rPr>
        <w:t>627</w:t>
      </w:r>
      <w:r>
        <w:rPr>
          <w:rFonts w:hint="eastAsia" w:ascii="仿宋_GB2312" w:hAnsi="仿宋_GB2312" w:cs="仿宋_GB2312"/>
          <w:sz w:val="32"/>
          <w:szCs w:val="32"/>
          <w:highlight w:val="none"/>
        </w:rPr>
        <w:t>.</w:t>
      </w:r>
      <w:r>
        <w:rPr>
          <w:rFonts w:ascii="仿宋_GB2312" w:hAnsi="仿宋_GB2312" w:cs="仿宋_GB2312"/>
          <w:sz w:val="32"/>
          <w:szCs w:val="32"/>
          <w:highlight w:val="none"/>
        </w:rPr>
        <w:t>4</w:t>
      </w:r>
      <w:r>
        <w:rPr>
          <w:rFonts w:hint="eastAsia" w:ascii="仿宋_GB2312" w:hAnsi="仿宋_GB2312" w:cs="仿宋_GB2312"/>
          <w:sz w:val="32"/>
          <w:szCs w:val="32"/>
          <w:highlight w:val="none"/>
          <w:lang w:val="en-US" w:eastAsia="zh-CN"/>
        </w:rPr>
        <w:t>8</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71</w:t>
      </w:r>
      <w:r>
        <w:rPr>
          <w:rFonts w:hint="eastAsia" w:ascii="仿宋_GB2312" w:hAnsi="仿宋_GB2312" w:cs="仿宋_GB2312"/>
          <w:sz w:val="32"/>
          <w:szCs w:val="32"/>
          <w:highlight w:val="none"/>
        </w:rPr>
        <w:t>.</w:t>
      </w:r>
      <w:r>
        <w:rPr>
          <w:rFonts w:ascii="仿宋_GB2312" w:hAnsi="仿宋_GB2312" w:cs="仿宋_GB2312"/>
          <w:sz w:val="32"/>
          <w:szCs w:val="32"/>
          <w:highlight w:val="none"/>
        </w:rPr>
        <w:t>6</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%。各项成本控制在预算范围内。</w:t>
      </w:r>
    </w:p>
    <w:p>
      <w:pPr>
        <w:spacing w:line="560" w:lineRule="exact"/>
        <w:ind w:firstLine="642" w:firstLineChars="200"/>
        <w:rPr>
          <w:rFonts w:ascii="仿宋_GB2312"/>
          <w:sz w:val="32"/>
          <w:szCs w:val="32"/>
          <w:highlight w:val="none"/>
        </w:rPr>
      </w:pPr>
      <w:r>
        <w:rPr>
          <w:rFonts w:hint="eastAsia" w:ascii="仿宋_GB2312"/>
          <w:b/>
          <w:bCs/>
          <w:sz w:val="32"/>
          <w:szCs w:val="32"/>
          <w:highlight w:val="none"/>
        </w:rPr>
        <w:t>2.效益指标完成情况分析。</w:t>
      </w:r>
      <w:r>
        <w:rPr>
          <w:rFonts w:hint="eastAsia" w:ascii="仿宋_GB2312" w:hAnsi="仿宋_GB2312" w:cs="仿宋_GB2312"/>
          <w:b/>
          <w:bCs/>
          <w:sz w:val="32"/>
          <w:szCs w:val="32"/>
          <w:highlight w:val="none"/>
        </w:rPr>
        <w:t>老年人福利</w:t>
      </w:r>
      <w:r>
        <w:rPr>
          <w:rFonts w:ascii="仿宋_GB2312" w:hAnsi="仿宋_GB2312" w:cs="仿宋_GB2312"/>
          <w:b/>
          <w:bCs/>
          <w:sz w:val="32"/>
          <w:szCs w:val="32"/>
          <w:highlight w:val="none"/>
        </w:rPr>
        <w:t>方面</w:t>
      </w:r>
      <w:r>
        <w:rPr>
          <w:rFonts w:ascii="仿宋_GB2312" w:hAnsi="仿宋_GB2312" w:cs="仿宋_GB2312"/>
          <w:sz w:val="32"/>
          <w:szCs w:val="32"/>
          <w:highlight w:val="none"/>
        </w:rPr>
        <w:t>，</w:t>
      </w:r>
      <w:r>
        <w:rPr>
          <w:rFonts w:hint="eastAsia" w:ascii="仿宋_GB2312" w:hAnsi="仿宋_GB2312" w:cs="仿宋_GB2312"/>
          <w:sz w:val="32"/>
          <w:szCs w:val="32"/>
          <w:highlight w:val="none"/>
        </w:rPr>
        <w:t>支持养老机构服务设施改造及设备设施配置，</w:t>
      </w:r>
      <w:r>
        <w:rPr>
          <w:rFonts w:ascii="仿宋_GB2312" w:hAnsi="仿宋_GB2312" w:cs="仿宋_GB2312"/>
          <w:sz w:val="32"/>
          <w:szCs w:val="32"/>
          <w:highlight w:val="none"/>
        </w:rPr>
        <w:t>有效</w:t>
      </w:r>
      <w:r>
        <w:rPr>
          <w:rFonts w:hint="eastAsia" w:ascii="仿宋_GB2312" w:hAnsi="仿宋_GB2312" w:cs="仿宋_GB2312"/>
          <w:sz w:val="32"/>
          <w:szCs w:val="32"/>
          <w:highlight w:val="none"/>
        </w:rPr>
        <w:t>化解</w:t>
      </w:r>
      <w:r>
        <w:rPr>
          <w:rFonts w:ascii="仿宋_GB2312" w:hAnsi="仿宋_GB2312" w:cs="仿宋_GB2312"/>
          <w:sz w:val="32"/>
          <w:szCs w:val="32"/>
          <w:highlight w:val="none"/>
        </w:rPr>
        <w:t>消防安全隐患，</w:t>
      </w:r>
      <w:r>
        <w:rPr>
          <w:rFonts w:hint="eastAsia" w:ascii="仿宋_GB2312" w:hAnsi="仿宋_GB2312" w:cs="仿宋_GB2312"/>
          <w:sz w:val="32"/>
          <w:szCs w:val="32"/>
          <w:highlight w:val="none"/>
        </w:rPr>
        <w:t>提升养老</w:t>
      </w:r>
      <w:r>
        <w:rPr>
          <w:rFonts w:hint="eastAsia" w:ascii="仿宋_GB2312" w:hAnsi="仿宋_GB2312" w:cs="仿宋_GB2312"/>
          <w:sz w:val="32"/>
          <w:szCs w:val="32"/>
          <w:highlight w:val="none"/>
          <w:lang w:val="en-US" w:eastAsia="zh-CN"/>
        </w:rPr>
        <w:t>机构应急救援</w:t>
      </w:r>
      <w:r>
        <w:rPr>
          <w:rFonts w:hint="eastAsia" w:ascii="仿宋_GB2312" w:hAnsi="仿宋_GB2312" w:cs="仿宋_GB2312"/>
          <w:sz w:val="32"/>
          <w:szCs w:val="32"/>
          <w:highlight w:val="none"/>
        </w:rPr>
        <w:t>能力</w:t>
      </w:r>
      <w:r>
        <w:rPr>
          <w:rFonts w:hint="eastAsia" w:ascii="仿宋_GB2312" w:hAnsi="仿宋_GB2312" w:cs="仿宋_GB2312"/>
          <w:sz w:val="32"/>
          <w:szCs w:val="32"/>
          <w:highlight w:val="none"/>
          <w:lang w:val="en-US" w:eastAsia="zh-CN"/>
        </w:rPr>
        <w:t>及保障水平</w:t>
      </w:r>
      <w:r>
        <w:rPr>
          <w:rFonts w:hint="eastAsia" w:ascii="仿宋_GB2312" w:hAnsi="仿宋_GB2312" w:cs="仿宋_GB2312"/>
          <w:sz w:val="32"/>
          <w:szCs w:val="32"/>
          <w:highlight w:val="none"/>
        </w:rPr>
        <w:t>。</w:t>
      </w:r>
      <w:r>
        <w:rPr>
          <w:rFonts w:hint="eastAsia" w:ascii="仿宋_GB2312" w:hAnsi="仿宋_GB2312" w:cs="仿宋_GB2312"/>
          <w:b/>
          <w:bCs/>
          <w:sz w:val="32"/>
          <w:szCs w:val="32"/>
          <w:highlight w:val="none"/>
        </w:rPr>
        <w:t>残疾人福利方面</w:t>
      </w:r>
      <w:r>
        <w:rPr>
          <w:rFonts w:ascii="仿宋_GB2312" w:hAnsi="仿宋_GB2312" w:cs="仿宋_GB2312"/>
          <w:b/>
          <w:bCs/>
          <w:sz w:val="32"/>
          <w:szCs w:val="32"/>
          <w:highlight w:val="none"/>
        </w:rPr>
        <w:t>，</w:t>
      </w:r>
      <w:r>
        <w:rPr>
          <w:rFonts w:hint="eastAsia" w:ascii="仿宋_GB2312" w:hAnsi="仿宋_GB2312" w:cs="仿宋_GB2312"/>
          <w:sz w:val="32"/>
          <w:szCs w:val="32"/>
          <w:highlight w:val="none"/>
        </w:rPr>
        <w:t>通过支持精神卫生社会福利机构设备购置，推动残疾人服务机构行业发展</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但个别区的</w:t>
      </w:r>
      <w:r>
        <w:rPr>
          <w:rFonts w:hint="eastAsia" w:ascii="仿宋_GB2312" w:hAnsi="仿宋_GB2312" w:cs="仿宋_GB2312"/>
          <w:sz w:val="32"/>
          <w:szCs w:val="32"/>
          <w:highlight w:val="none"/>
        </w:rPr>
        <w:t>精神卫生社会福利机构</w:t>
      </w:r>
      <w:r>
        <w:rPr>
          <w:rFonts w:hint="eastAsia" w:ascii="仿宋_GB2312" w:hAnsi="仿宋_GB2312" w:cs="仿宋_GB2312"/>
          <w:sz w:val="32"/>
          <w:szCs w:val="32"/>
          <w:highlight w:val="none"/>
          <w:lang w:val="en-US" w:eastAsia="zh-CN"/>
        </w:rPr>
        <w:t>尚未投入使用，一定程度影响了困难精神障碍患者的获得感</w:t>
      </w:r>
      <w:r>
        <w:rPr>
          <w:rFonts w:ascii="仿宋_GB2312" w:hAnsi="仿宋_GB2312" w:cs="仿宋_GB2312"/>
          <w:sz w:val="32"/>
          <w:szCs w:val="32"/>
          <w:highlight w:val="none"/>
        </w:rPr>
        <w:t>。</w:t>
      </w:r>
      <w:r>
        <w:rPr>
          <w:rFonts w:hint="eastAsia" w:ascii="仿宋_GB2312" w:hAnsi="仿宋_GB2312" w:cs="仿宋_GB2312"/>
          <w:b/>
          <w:bCs/>
          <w:sz w:val="32"/>
          <w:szCs w:val="32"/>
          <w:highlight w:val="none"/>
        </w:rPr>
        <w:t>儿童福利方面</w:t>
      </w:r>
      <w:r>
        <w:rPr>
          <w:rFonts w:hint="eastAsia" w:ascii="仿宋_GB2312" w:hAnsi="仿宋_GB2312" w:cs="仿宋_GB2312"/>
          <w:sz w:val="32"/>
          <w:szCs w:val="32"/>
          <w:highlight w:val="none"/>
        </w:rPr>
        <w:t>，通过为符合资助条件的孤儿提供助学金，资助孤儿完成学业</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保障孤儿受教育权利；通过支持儿童福利机构设施设备配置，提高了儿童福利机构养育服务能力</w:t>
      </w:r>
      <w:r>
        <w:rPr>
          <w:rFonts w:ascii="仿宋_GB2312" w:hAnsi="仿宋_GB2312" w:cs="仿宋_GB2312"/>
          <w:sz w:val="32"/>
          <w:szCs w:val="32"/>
          <w:highlight w:val="none"/>
        </w:rPr>
        <w:t>。</w:t>
      </w:r>
    </w:p>
    <w:p>
      <w:pPr>
        <w:spacing w:line="560" w:lineRule="exact"/>
        <w:ind w:firstLine="642" w:firstLineChars="200"/>
        <w:rPr>
          <w:rFonts w:ascii="仿宋_GB2312" w:hAnsi="仿宋_GB2312" w:cs="仿宋_GB2312"/>
          <w:sz w:val="32"/>
          <w:szCs w:val="32"/>
          <w:highlight w:val="none"/>
        </w:rPr>
      </w:pPr>
      <w:r>
        <w:rPr>
          <w:rFonts w:hint="eastAsia" w:ascii="仿宋_GB2312"/>
          <w:b/>
          <w:bCs/>
          <w:sz w:val="32"/>
          <w:szCs w:val="32"/>
          <w:highlight w:val="none"/>
        </w:rPr>
        <w:t>3.满意度指标完成情况分析。</w:t>
      </w:r>
      <w:r>
        <w:rPr>
          <w:rFonts w:hint="eastAsia" w:ascii="仿宋_GB2312" w:hAnsi="仿宋_GB2312" w:cs="仿宋_GB2312"/>
          <w:sz w:val="32"/>
          <w:szCs w:val="32"/>
          <w:highlight w:val="none"/>
        </w:rPr>
        <w:t>根据各区及项目单位统计数据反馈，</w:t>
      </w:r>
      <w:r>
        <w:rPr>
          <w:rFonts w:hint="eastAsia" w:ascii="仿宋_GB2312" w:hAnsi="仿宋_GB2312" w:cs="仿宋_GB2312"/>
          <w:sz w:val="32"/>
          <w:szCs w:val="32"/>
          <w:highlight w:val="none"/>
          <w:lang w:val="en-US" w:eastAsia="zh-CN"/>
        </w:rPr>
        <w:t>入住老年人</w:t>
      </w:r>
      <w:r>
        <w:rPr>
          <w:rFonts w:hint="eastAsia" w:ascii="仿宋_GB2312" w:hAnsi="仿宋_GB2312" w:cs="仿宋_GB2312"/>
          <w:sz w:val="32"/>
          <w:szCs w:val="32"/>
          <w:highlight w:val="none"/>
        </w:rPr>
        <w:t>满意度</w:t>
      </w:r>
      <w:r>
        <w:rPr>
          <w:rFonts w:hint="eastAsia" w:ascii="仿宋_GB2312" w:hAnsi="仿宋_GB2312" w:cs="仿宋_GB2312"/>
          <w:sz w:val="32"/>
          <w:szCs w:val="32"/>
          <w:highlight w:val="none"/>
          <w:lang w:val="en-US" w:eastAsia="zh-CN"/>
        </w:rPr>
        <w:t>100</w:t>
      </w:r>
      <w:r>
        <w:rPr>
          <w:rFonts w:hint="eastAsia" w:ascii="仿宋_GB2312" w:hAnsi="仿宋_GB2312" w:cs="仿宋_GB2312"/>
          <w:sz w:val="32"/>
          <w:szCs w:val="32"/>
          <w:highlight w:val="none"/>
        </w:rPr>
        <w:t>%，养老机构内老年人抽样满意度</w:t>
      </w:r>
      <w:r>
        <w:rPr>
          <w:rFonts w:hint="eastAsia" w:ascii="仿宋_GB2312" w:hAnsi="仿宋_GB2312" w:cs="仿宋_GB2312"/>
          <w:sz w:val="32"/>
          <w:szCs w:val="32"/>
          <w:highlight w:val="none"/>
          <w:lang w:val="en-US" w:eastAsia="zh-CN"/>
        </w:rPr>
        <w:t>100%，</w:t>
      </w:r>
      <w:r>
        <w:rPr>
          <w:rFonts w:hint="eastAsia" w:ascii="仿宋_GB2312" w:hAnsi="仿宋_GB2312" w:cs="仿宋_GB2312"/>
          <w:sz w:val="32"/>
          <w:szCs w:val="32"/>
          <w:highlight w:val="none"/>
        </w:rPr>
        <w:t>接受孤儿助学项目资助的孤儿满意度</w:t>
      </w:r>
      <w:r>
        <w:rPr>
          <w:rFonts w:ascii="仿宋_GB2312" w:hAnsi="仿宋_GB2312" w:cs="仿宋_GB2312"/>
          <w:sz w:val="32"/>
          <w:szCs w:val="32"/>
          <w:highlight w:val="none"/>
        </w:rPr>
        <w:t>9</w:t>
      </w:r>
      <w:r>
        <w:rPr>
          <w:rFonts w:hint="eastAsia" w:ascii="仿宋_GB2312" w:hAnsi="仿宋_GB2312" w:cs="仿宋_GB2312"/>
          <w:sz w:val="32"/>
          <w:szCs w:val="32"/>
          <w:highlight w:val="none"/>
          <w:lang w:val="en-US" w:eastAsia="zh-CN"/>
        </w:rPr>
        <w:t>9</w:t>
      </w:r>
      <w:r>
        <w:rPr>
          <w:rFonts w:hint="eastAsia" w:ascii="仿宋_GB2312" w:hAnsi="仿宋_GB2312" w:cs="仿宋_GB2312"/>
          <w:sz w:val="32"/>
          <w:szCs w:val="32"/>
          <w:highlight w:val="none"/>
        </w:rPr>
        <w:t>.</w:t>
      </w:r>
      <w:r>
        <w:rPr>
          <w:rFonts w:ascii="仿宋_GB2312" w:hAnsi="仿宋_GB2312" w:cs="仿宋_GB2312"/>
          <w:sz w:val="32"/>
          <w:szCs w:val="32"/>
          <w:highlight w:val="none"/>
        </w:rPr>
        <w:t>1</w:t>
      </w:r>
      <w:r>
        <w:rPr>
          <w:rFonts w:hint="eastAsia" w:ascii="仿宋_GB2312" w:hAnsi="仿宋_GB2312" w:cs="仿宋_GB2312"/>
          <w:sz w:val="32"/>
          <w:szCs w:val="32"/>
          <w:highlight w:val="none"/>
          <w:lang w:val="en-US" w:eastAsia="zh-CN"/>
        </w:rPr>
        <w:t>9</w:t>
      </w:r>
      <w:r>
        <w:rPr>
          <w:rFonts w:hint="eastAsia" w:ascii="仿宋_GB2312" w:hAnsi="仿宋_GB2312" w:cs="仿宋_GB2312"/>
          <w:sz w:val="32"/>
          <w:szCs w:val="32"/>
          <w:highlight w:val="none"/>
        </w:rPr>
        <w:t>%</w:t>
      </w:r>
      <w:r>
        <w:rPr>
          <w:rFonts w:ascii="仿宋_GB2312" w:hAnsi="仿宋_GB2312" w:cs="仿宋_GB2312"/>
          <w:sz w:val="32"/>
          <w:szCs w:val="32"/>
          <w:highlight w:val="none"/>
        </w:rPr>
        <w:t>，</w:t>
      </w:r>
      <w:r>
        <w:rPr>
          <w:rFonts w:hint="eastAsia" w:ascii="仿宋_GB2312" w:hAnsi="仿宋_GB2312" w:cs="仿宋_GB2312"/>
          <w:sz w:val="32"/>
          <w:szCs w:val="32"/>
          <w:highlight w:val="none"/>
        </w:rPr>
        <w:t>机构内养育儿童满意率</w:t>
      </w:r>
      <w:r>
        <w:rPr>
          <w:rFonts w:hint="eastAsia" w:ascii="仿宋_GB2312" w:hAnsi="仿宋_GB2312" w:cs="仿宋_GB2312"/>
          <w:sz w:val="32"/>
          <w:szCs w:val="32"/>
          <w:highlight w:val="none"/>
          <w:lang w:val="en-US" w:eastAsia="zh-CN"/>
        </w:rPr>
        <w:t>96.13%，</w:t>
      </w:r>
      <w:r>
        <w:rPr>
          <w:rFonts w:hint="eastAsia" w:ascii="仿宋_GB2312" w:hAnsi="仿宋_GB2312" w:cs="仿宋_GB2312"/>
          <w:sz w:val="32"/>
          <w:szCs w:val="32"/>
          <w:highlight w:val="none"/>
        </w:rPr>
        <w:t>精神卫生福利机构工作人员满意度</w:t>
      </w:r>
      <w:r>
        <w:rPr>
          <w:rFonts w:ascii="仿宋_GB2312" w:hAnsi="仿宋_GB2312" w:cs="仿宋_GB2312"/>
          <w:sz w:val="32"/>
          <w:szCs w:val="32"/>
          <w:highlight w:val="none"/>
        </w:rPr>
        <w:t>9</w:t>
      </w:r>
      <w:r>
        <w:rPr>
          <w:rFonts w:hint="eastAsia" w:ascii="仿宋_GB2312" w:hAnsi="仿宋_GB2312" w:cs="仿宋_GB2312"/>
          <w:sz w:val="32"/>
          <w:szCs w:val="32"/>
          <w:highlight w:val="none"/>
          <w:lang w:val="en-US" w:eastAsia="zh-CN"/>
        </w:rPr>
        <w:t>0</w:t>
      </w:r>
      <w:r>
        <w:rPr>
          <w:rFonts w:ascii="仿宋_GB2312" w:hAnsi="仿宋_GB2312" w:cs="仿宋_GB2312"/>
          <w:sz w:val="32"/>
          <w:szCs w:val="32"/>
          <w:highlight w:val="none"/>
        </w:rPr>
        <w:t>%</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以上满意度数据均达预期绩效</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精神卫生福利机构设施设备使用对象满意度相关数据涉及房山区及西城区，其中，房山区满意度统计数据为80%；西城区项目正在推进中，尚未统计设施设备使用对象满意度情况。</w:t>
      </w:r>
      <w:r>
        <w:rPr>
          <w:rFonts w:hint="eastAsia" w:ascii="仿宋_GB2312" w:hAnsi="仿宋_GB2312" w:cs="仿宋_GB2312"/>
          <w:sz w:val="32"/>
          <w:szCs w:val="32"/>
          <w:highlight w:val="none"/>
        </w:rPr>
        <w:t>由于</w:t>
      </w:r>
      <w:r>
        <w:rPr>
          <w:rFonts w:hint="eastAsia" w:ascii="仿宋_GB2312"/>
          <w:sz w:val="32"/>
          <w:szCs w:val="32"/>
          <w:highlight w:val="none"/>
        </w:rPr>
        <w:t>居家和社区基本养老服务提升行动项目</w:t>
      </w:r>
      <w:r>
        <w:rPr>
          <w:rFonts w:hint="eastAsia" w:ascii="仿宋_GB2312"/>
          <w:sz w:val="32"/>
          <w:szCs w:val="32"/>
          <w:highlight w:val="none"/>
          <w:lang w:val="en-US" w:eastAsia="zh-CN"/>
        </w:rPr>
        <w:t>正</w:t>
      </w:r>
      <w:r>
        <w:rPr>
          <w:rFonts w:hint="eastAsia" w:ascii="仿宋_GB2312" w:hAnsi="仿宋_GB2312" w:cs="仿宋_GB2312"/>
          <w:sz w:val="32"/>
          <w:szCs w:val="32"/>
          <w:highlight w:val="none"/>
        </w:rPr>
        <w:t>在推进</w:t>
      </w:r>
      <w:r>
        <w:rPr>
          <w:rFonts w:hint="eastAsia" w:ascii="仿宋_GB2312" w:hAnsi="仿宋_GB2312" w:cs="仿宋_GB2312"/>
          <w:sz w:val="32"/>
          <w:szCs w:val="32"/>
          <w:highlight w:val="none"/>
          <w:lang w:val="en-US" w:eastAsia="zh-CN"/>
        </w:rPr>
        <w:t>中</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尚未统计</w:t>
      </w:r>
      <w:r>
        <w:rPr>
          <w:rFonts w:hint="eastAsia" w:ascii="仿宋_GB2312" w:hAnsi="仿宋_GB2312" w:cs="仿宋_GB2312"/>
          <w:sz w:val="32"/>
          <w:szCs w:val="32"/>
          <w:highlight w:val="none"/>
        </w:rPr>
        <w:t>接受服务的特殊困难老年人满意度</w:t>
      </w:r>
      <w:r>
        <w:rPr>
          <w:rFonts w:hint="eastAsia" w:ascii="仿宋_GB2312" w:hAnsi="仿宋_GB2312" w:cs="仿宋_GB2312"/>
          <w:sz w:val="32"/>
          <w:szCs w:val="32"/>
          <w:highlight w:val="none"/>
          <w:lang w:val="en-US" w:eastAsia="zh-CN"/>
        </w:rPr>
        <w:t>情况</w:t>
      </w:r>
      <w:r>
        <w:rPr>
          <w:rFonts w:hint="eastAsia" w:ascii="仿宋_GB2312" w:hAnsi="仿宋_GB2312" w:cs="仿宋_GB2312"/>
          <w:sz w:val="32"/>
          <w:szCs w:val="32"/>
          <w:highlight w:val="none"/>
        </w:rPr>
        <w:t>。</w:t>
      </w:r>
    </w:p>
    <w:p>
      <w:pPr>
        <w:spacing w:line="560" w:lineRule="exact"/>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三、</w:t>
      </w:r>
      <w:r>
        <w:rPr>
          <w:rFonts w:hint="eastAsia" w:ascii="黑体" w:hAnsi="黑体" w:eastAsia="黑体" w:cs="黑体"/>
          <w:bCs/>
          <w:sz w:val="32"/>
          <w:szCs w:val="32"/>
          <w:highlight w:val="none"/>
          <w:lang w:val="en-US" w:eastAsia="zh-CN"/>
        </w:rPr>
        <w:t>绩效自评结论</w:t>
      </w:r>
    </w:p>
    <w:p>
      <w:pPr>
        <w:numPr>
          <w:ilvl w:val="0"/>
          <w:numId w:val="1"/>
        </w:numPr>
        <w:spacing w:line="560" w:lineRule="exact"/>
        <w:ind w:left="0" w:firstLine="642" w:firstLineChars="200"/>
        <w:rPr>
          <w:rFonts w:ascii="仿宋_GB2312" w:hAnsi="仿宋_GB2312" w:cs="仿宋_GB2312"/>
          <w:b/>
          <w:sz w:val="32"/>
          <w:szCs w:val="32"/>
          <w:highlight w:val="none"/>
        </w:rPr>
      </w:pPr>
      <w:r>
        <w:rPr>
          <w:rFonts w:hint="eastAsia" w:ascii="楷体_GB2312" w:hAnsi="楷体_GB2312" w:eastAsia="楷体_GB2312" w:cs="楷体_GB2312"/>
          <w:b/>
          <w:sz w:val="32"/>
          <w:szCs w:val="32"/>
          <w:highlight w:val="none"/>
        </w:rPr>
        <w:t>存在问题</w:t>
      </w:r>
      <w:r>
        <w:rPr>
          <w:rFonts w:hint="eastAsia" w:ascii="楷体_GB2312" w:hAnsi="楷体_GB2312" w:eastAsia="楷体_GB2312" w:cs="楷体_GB2312"/>
          <w:b/>
          <w:sz w:val="32"/>
          <w:szCs w:val="32"/>
          <w:highlight w:val="none"/>
          <w:lang w:val="en-US" w:eastAsia="zh-CN"/>
        </w:rPr>
        <w:t>及原因分析</w:t>
      </w:r>
    </w:p>
    <w:p>
      <w:pPr>
        <w:spacing w:line="560" w:lineRule="exact"/>
        <w:ind w:firstLine="642"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cs="仿宋_GB2312"/>
          <w:b/>
          <w:sz w:val="32"/>
          <w:szCs w:val="32"/>
          <w:highlight w:val="none"/>
          <w:lang w:eastAsia="zh-CN"/>
        </w:rPr>
        <w:t>一是</w:t>
      </w:r>
      <w:r>
        <w:rPr>
          <w:rFonts w:hint="eastAsia" w:ascii="仿宋_GB2312" w:hAnsi="仿宋_GB2312" w:cs="仿宋_GB2312"/>
          <w:b/>
          <w:sz w:val="32"/>
          <w:szCs w:val="32"/>
          <w:highlight w:val="none"/>
          <w:lang w:val="en-US" w:eastAsia="zh-CN"/>
        </w:rPr>
        <w:t>个别区</w:t>
      </w:r>
      <w:r>
        <w:rPr>
          <w:rFonts w:hint="eastAsia" w:ascii="仿宋_GB2312" w:hAnsi="仿宋_GB2312" w:cs="仿宋_GB2312"/>
          <w:b/>
          <w:sz w:val="32"/>
          <w:szCs w:val="32"/>
          <w:highlight w:val="none"/>
        </w:rPr>
        <w:t>资金执行进度滞后。</w:t>
      </w:r>
      <w:r>
        <w:rPr>
          <w:rFonts w:hint="eastAsia" w:ascii="仿宋_GB2312" w:hAnsi="仿宋_GB2312" w:cs="仿宋_GB2312"/>
          <w:b w:val="0"/>
          <w:bCs/>
          <w:sz w:val="32"/>
          <w:szCs w:val="32"/>
          <w:highlight w:val="none"/>
          <w:lang w:val="en-US" w:eastAsia="zh-CN"/>
        </w:rPr>
        <w:t>因</w:t>
      </w:r>
      <w:r>
        <w:rPr>
          <w:rFonts w:hint="eastAsia" w:ascii="仿宋_GB2312"/>
          <w:sz w:val="32"/>
          <w:szCs w:val="32"/>
          <w:highlight w:val="none"/>
          <w:lang w:val="en-US" w:eastAsia="zh-CN"/>
        </w:rPr>
        <w:t>消防验收、竣工备案以及资金评审等环节推进滞后，以</w:t>
      </w:r>
      <w:r>
        <w:rPr>
          <w:rFonts w:hint="eastAsia" w:ascii="仿宋_GB2312" w:hAnsi="仿宋_GB2312" w:cs="仿宋_GB2312"/>
          <w:sz w:val="32"/>
          <w:szCs w:val="32"/>
          <w:highlight w:val="none"/>
          <w:lang w:val="en-US" w:eastAsia="zh-CN"/>
        </w:rPr>
        <w:t>及优先使用以前年度结转资金等因素，个别区2023年度中央集中福利彩票公益金</w:t>
      </w:r>
      <w:r>
        <w:rPr>
          <w:rFonts w:hint="eastAsia" w:ascii="仿宋_GB2312" w:hAnsi="仿宋_GB2312" w:cs="仿宋_GB2312"/>
          <w:sz w:val="32"/>
          <w:szCs w:val="32"/>
          <w:highlight w:val="none"/>
        </w:rPr>
        <w:t>资金执行进度相对滞后。</w:t>
      </w:r>
    </w:p>
    <w:p>
      <w:pPr>
        <w:spacing w:line="560" w:lineRule="exact"/>
        <w:ind w:firstLine="642" w:firstLineChars="200"/>
        <w:rPr>
          <w:rFonts w:ascii="仿宋_GB2312" w:hAnsi="仿宋_GB2312" w:cs="仿宋_GB2312"/>
          <w:sz w:val="32"/>
          <w:szCs w:val="32"/>
          <w:highlight w:val="none"/>
        </w:rPr>
      </w:pPr>
      <w:r>
        <w:rPr>
          <w:rFonts w:hint="eastAsia" w:ascii="仿宋_GB2312" w:hAnsi="仿宋_GB2312" w:cs="仿宋_GB2312"/>
          <w:b/>
          <w:sz w:val="32"/>
          <w:szCs w:val="32"/>
          <w:highlight w:val="none"/>
          <w:lang w:eastAsia="zh-CN"/>
        </w:rPr>
        <w:t>二是个别产出指标值设定偏低</w:t>
      </w:r>
      <w:r>
        <w:rPr>
          <w:rFonts w:hint="eastAsia" w:ascii="仿宋_GB2312" w:hAnsi="仿宋_GB2312" w:cs="仿宋_GB2312"/>
          <w:b/>
          <w:sz w:val="32"/>
          <w:szCs w:val="32"/>
          <w:highlight w:val="none"/>
        </w:rPr>
        <w:t>。</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rPr>
        <w:t>精神卫生福利机构设施设备服务人次数</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等产出</w:t>
      </w:r>
      <w:r>
        <w:rPr>
          <w:rFonts w:hint="eastAsia" w:ascii="仿宋_GB2312" w:hAnsi="仿宋_GB2312" w:cs="仿宋_GB2312"/>
          <w:sz w:val="32"/>
          <w:szCs w:val="32"/>
          <w:highlight w:val="none"/>
          <w:lang w:val="en-US" w:eastAsia="zh-Hans"/>
        </w:rPr>
        <w:t>指标</w:t>
      </w:r>
      <w:r>
        <w:rPr>
          <w:rFonts w:hint="eastAsia" w:ascii="仿宋_GB2312" w:hAnsi="仿宋_GB2312" w:cs="仿宋_GB2312"/>
          <w:sz w:val="32"/>
          <w:szCs w:val="32"/>
          <w:highlight w:val="none"/>
          <w:lang w:eastAsia="zh-CN"/>
        </w:rPr>
        <w:t>设定偏低，</w:t>
      </w:r>
      <w:r>
        <w:rPr>
          <w:rFonts w:hint="eastAsia" w:ascii="仿宋_GB2312" w:hAnsi="仿宋_GB2312" w:cs="仿宋_GB2312"/>
          <w:sz w:val="32"/>
          <w:szCs w:val="32"/>
          <w:highlight w:val="none"/>
        </w:rPr>
        <w:t>一定程度上影响了资金使用效益的提升。</w:t>
      </w:r>
    </w:p>
    <w:p>
      <w:pPr>
        <w:spacing w:line="560" w:lineRule="exact"/>
        <w:ind w:firstLine="642"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（二）下一步改进措施</w:t>
      </w:r>
    </w:p>
    <w:p>
      <w:pPr>
        <w:spacing w:line="560" w:lineRule="exact"/>
        <w:ind w:firstLine="642" w:firstLineChars="200"/>
        <w:rPr>
          <w:rFonts w:ascii="仿宋_GB2312" w:hAnsi="仿宋_GB2312" w:cs="仿宋_GB2312"/>
          <w:b/>
          <w:sz w:val="32"/>
          <w:szCs w:val="32"/>
          <w:highlight w:val="none"/>
        </w:rPr>
      </w:pPr>
      <w:r>
        <w:rPr>
          <w:rFonts w:hint="eastAsia" w:ascii="仿宋_GB2312" w:hAnsi="仿宋_GB2312" w:cs="仿宋_GB2312"/>
          <w:b/>
          <w:sz w:val="32"/>
          <w:szCs w:val="32"/>
          <w:highlight w:val="none"/>
          <w:lang w:eastAsia="zh-CN"/>
        </w:rPr>
        <w:t>一是</w:t>
      </w:r>
      <w:r>
        <w:rPr>
          <w:rFonts w:hint="eastAsia" w:ascii="仿宋_GB2312" w:hAnsi="仿宋_GB2312" w:cs="仿宋_GB2312"/>
          <w:b/>
          <w:sz w:val="32"/>
          <w:szCs w:val="32"/>
          <w:highlight w:val="none"/>
        </w:rPr>
        <w:t>压实主体责任。</w:t>
      </w:r>
      <w:r>
        <w:rPr>
          <w:rFonts w:hint="eastAsia" w:ascii="仿宋_GB2312" w:hAnsi="仿宋_GB2312" w:cs="仿宋_GB2312"/>
          <w:sz w:val="32"/>
          <w:szCs w:val="32"/>
          <w:highlight w:val="none"/>
        </w:rPr>
        <w:t>根据《中央对地方专项转移支付管理办法》（财预〔2015〕230号），中央转移支付资金原则上可使用两年。下一步，将层层压实监管责任，指导项目单位做好分析研判，同时提前谋划</w:t>
      </w:r>
      <w:r>
        <w:rPr>
          <w:rFonts w:hint="eastAsia" w:ascii="仿宋_GB2312" w:hAnsi="仿宋_GB2312" w:cs="仿宋_GB2312"/>
          <w:sz w:val="32"/>
          <w:szCs w:val="32"/>
          <w:highlight w:val="none"/>
          <w:lang w:eastAsia="zh-CN"/>
        </w:rPr>
        <w:t>项目实施期各阶段进度安排</w:t>
      </w:r>
      <w:r>
        <w:rPr>
          <w:rFonts w:hint="eastAsia" w:ascii="仿宋_GB2312" w:hAnsi="仿宋_GB2312" w:cs="仿宋_GB2312"/>
          <w:sz w:val="32"/>
          <w:szCs w:val="32"/>
          <w:highlight w:val="none"/>
        </w:rPr>
        <w:t>，科学申报项目预算及绩效目标，保障预算执行有序推进。同时，强化福利彩票公益金结余资金统筹管理，对结余资金逐级上缴市财政，按照福利彩票公益金资金用途，统筹规划使用。</w:t>
      </w:r>
    </w:p>
    <w:p>
      <w:pPr>
        <w:spacing w:line="560" w:lineRule="exact"/>
        <w:ind w:firstLine="642" w:firstLineChars="200"/>
        <w:rPr>
          <w:rFonts w:ascii="仿宋_GB2312" w:hAnsi="仿宋_GB2312" w:cs="仿宋_GB2312"/>
          <w:sz w:val="32"/>
          <w:szCs w:val="32"/>
          <w:highlight w:val="none"/>
        </w:rPr>
      </w:pPr>
      <w:r>
        <w:rPr>
          <w:rFonts w:hint="eastAsia" w:ascii="仿宋_GB2312" w:hAnsi="仿宋_GB2312" w:cs="仿宋_GB2312"/>
          <w:b/>
          <w:sz w:val="32"/>
          <w:szCs w:val="32"/>
          <w:highlight w:val="none"/>
          <w:lang w:eastAsia="zh-CN"/>
        </w:rPr>
        <w:t>二是</w:t>
      </w:r>
      <w:r>
        <w:rPr>
          <w:rFonts w:hint="eastAsia" w:ascii="仿宋_GB2312" w:hAnsi="仿宋_GB2312" w:cs="仿宋_GB2312"/>
          <w:b/>
          <w:sz w:val="32"/>
          <w:szCs w:val="32"/>
          <w:highlight w:val="none"/>
        </w:rPr>
        <w:t>强化绩效管理。</w:t>
      </w:r>
      <w:r>
        <w:rPr>
          <w:rFonts w:hint="eastAsia" w:ascii="仿宋_GB2312" w:hAnsi="仿宋_GB2312" w:cs="仿宋_GB2312"/>
          <w:bCs/>
          <w:sz w:val="32"/>
          <w:szCs w:val="32"/>
          <w:highlight w:val="none"/>
        </w:rPr>
        <w:t>提高绩效目标编制的科学性、规范性和有效性，充分发挥绩效目标对预算资金执行的导向指引、评价衡量作用。加强绩效自评结果的分析应用，推进绩效评价结果与福利彩票公益金预算安排相挂钩，进一步提高资金使用效益。</w:t>
      </w:r>
    </w:p>
    <w:p>
      <w:pPr>
        <w:spacing w:line="560" w:lineRule="exact"/>
        <w:ind w:firstLine="640" w:firstLineChars="200"/>
        <w:rPr>
          <w:rFonts w:ascii="仿宋_GB2312" w:hAnsi="仿宋_GB2312" w:cs="仿宋_GB2312"/>
          <w:bCs/>
          <w:sz w:val="32"/>
          <w:szCs w:val="32"/>
          <w:highlight w:val="none"/>
        </w:rPr>
      </w:pPr>
    </w:p>
    <w:p>
      <w:pPr>
        <w:spacing w:line="560" w:lineRule="exact"/>
        <w:ind w:firstLine="640" w:firstLineChars="200"/>
        <w:rPr>
          <w:rFonts w:ascii="仿宋_GB2312" w:hAnsi="仿宋_GB2312" w:cs="仿宋_GB2312"/>
          <w:bCs/>
          <w:sz w:val="32"/>
          <w:szCs w:val="32"/>
          <w:highlight w:val="none"/>
        </w:rPr>
      </w:pPr>
    </w:p>
    <w:p>
      <w:pPr>
        <w:spacing w:line="560" w:lineRule="exact"/>
        <w:ind w:firstLine="640" w:firstLineChars="200"/>
        <w:rPr>
          <w:rFonts w:ascii="仿宋_GB2312" w:hAnsi="仿宋_GB2312" w:cs="仿宋_GB2312"/>
          <w:bCs/>
          <w:sz w:val="32"/>
          <w:szCs w:val="32"/>
          <w:highlight w:val="none"/>
        </w:rPr>
      </w:pPr>
    </w:p>
    <w:p>
      <w:pPr>
        <w:spacing w:line="560" w:lineRule="exact"/>
        <w:ind w:firstLine="640" w:firstLineChars="200"/>
        <w:rPr>
          <w:rFonts w:ascii="仿宋_GB2312" w:hAnsi="仿宋_GB2312" w:cs="仿宋_GB2312"/>
          <w:bCs/>
          <w:sz w:val="32"/>
          <w:szCs w:val="32"/>
          <w:highlight w:val="none"/>
        </w:rPr>
      </w:pPr>
    </w:p>
    <w:p>
      <w:pPr>
        <w:spacing w:line="560" w:lineRule="exact"/>
        <w:ind w:firstLine="640" w:firstLineChars="200"/>
        <w:rPr>
          <w:rFonts w:ascii="仿宋_GB2312" w:hAnsi="仿宋_GB2312" w:cs="仿宋_GB2312"/>
          <w:bCs/>
          <w:sz w:val="32"/>
          <w:szCs w:val="32"/>
          <w:highlight w:val="none"/>
        </w:rPr>
      </w:pPr>
    </w:p>
    <w:p>
      <w:pPr>
        <w:spacing w:line="560" w:lineRule="exact"/>
        <w:ind w:firstLine="640" w:firstLineChars="200"/>
        <w:rPr>
          <w:rFonts w:ascii="仿宋_GB2312" w:hAnsi="仿宋_GB2312" w:cs="仿宋_GB2312"/>
          <w:bCs/>
          <w:sz w:val="32"/>
          <w:szCs w:val="32"/>
          <w:highlight w:val="none"/>
        </w:rPr>
      </w:pPr>
    </w:p>
    <w:p>
      <w:pPr>
        <w:spacing w:line="560" w:lineRule="exact"/>
        <w:rPr>
          <w:rFonts w:ascii="仿宋_GB2312" w:hAnsi="仿宋_GB2312" w:cs="仿宋_GB2312"/>
          <w:bCs/>
          <w:sz w:val="32"/>
          <w:szCs w:val="32"/>
          <w:highlight w:val="none"/>
        </w:rPr>
      </w:pPr>
    </w:p>
    <w:p>
      <w:pPr>
        <w:spacing w:line="560" w:lineRule="exact"/>
        <w:rPr>
          <w:rFonts w:ascii="仿宋_GB2312" w:hAnsi="仿宋_GB2312" w:cs="仿宋_GB2312"/>
          <w:bCs/>
          <w:color w:val="C00000"/>
          <w:sz w:val="32"/>
          <w:szCs w:val="32"/>
          <w:highlight w:val="none"/>
        </w:rPr>
      </w:pPr>
    </w:p>
    <w:sectPr>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false">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uXW5UtAAAAAFAQAADwAAAAAAAAABACAAAAA4AAAAZHJzL2Rvd25yZXYueG1sUEsBAhQA&#10;FAAAAAgAh07iQGTX/IGrAQAARQMAAA4AAAAAAAAAAQAgAAAANQ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5E39E"/>
    <w:multiLevelType w:val="singleLevel"/>
    <w:tmpl w:val="8985E39E"/>
    <w:lvl w:ilvl="0" w:tentative="0">
      <w:start w:val="1"/>
      <w:numFmt w:val="chineseCounting"/>
      <w:suff w:val="nothing"/>
      <w:lvlText w:val="（%1）"/>
      <w:lvlJc w:val="left"/>
      <w:pPr>
        <w:ind w:left="48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0"/>
  <w:drawingGridHorizontalSpacing w:val="150"/>
  <w:drawingGridVerticalSpacing w:val="210"/>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9c94cd1d-a488-40cc-8a5f-77853ca16ade"/>
  </w:docVars>
  <w:rsids>
    <w:rsidRoot w:val="00F57F82"/>
    <w:rsid w:val="000101E1"/>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705CE8"/>
    <w:rsid w:val="00706C04"/>
    <w:rsid w:val="00724A6B"/>
    <w:rsid w:val="0072794A"/>
    <w:rsid w:val="007333DB"/>
    <w:rsid w:val="00775338"/>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37D0BC8"/>
    <w:rsid w:val="03FCA087"/>
    <w:rsid w:val="068D77FB"/>
    <w:rsid w:val="07A71631"/>
    <w:rsid w:val="0845082D"/>
    <w:rsid w:val="096E3588"/>
    <w:rsid w:val="09E965F2"/>
    <w:rsid w:val="0A5AC0C6"/>
    <w:rsid w:val="0B7BB7D1"/>
    <w:rsid w:val="0C1A0C5A"/>
    <w:rsid w:val="0E66764E"/>
    <w:rsid w:val="0E972280"/>
    <w:rsid w:val="0EE3107B"/>
    <w:rsid w:val="0EF28F2A"/>
    <w:rsid w:val="100940BC"/>
    <w:rsid w:val="11FE6C02"/>
    <w:rsid w:val="139840D3"/>
    <w:rsid w:val="143E091F"/>
    <w:rsid w:val="14865FC8"/>
    <w:rsid w:val="150C2DB0"/>
    <w:rsid w:val="156F4749"/>
    <w:rsid w:val="167A0763"/>
    <w:rsid w:val="174DC502"/>
    <w:rsid w:val="1A9C7EF7"/>
    <w:rsid w:val="1BE38DD5"/>
    <w:rsid w:val="1BFDCA2C"/>
    <w:rsid w:val="1BFFBB4E"/>
    <w:rsid w:val="1DF363B1"/>
    <w:rsid w:val="1DFFFBC0"/>
    <w:rsid w:val="1E761F05"/>
    <w:rsid w:val="1F7DF23B"/>
    <w:rsid w:val="1FA7E3FD"/>
    <w:rsid w:val="1FC7205C"/>
    <w:rsid w:val="1FE73162"/>
    <w:rsid w:val="1FFEC917"/>
    <w:rsid w:val="1FFFAF1F"/>
    <w:rsid w:val="1FFFFEB1"/>
    <w:rsid w:val="21848B63"/>
    <w:rsid w:val="228B3D05"/>
    <w:rsid w:val="23275F66"/>
    <w:rsid w:val="2350337E"/>
    <w:rsid w:val="255C0561"/>
    <w:rsid w:val="256B10EF"/>
    <w:rsid w:val="26FDB64B"/>
    <w:rsid w:val="27B70B4D"/>
    <w:rsid w:val="27B75216"/>
    <w:rsid w:val="27D711A4"/>
    <w:rsid w:val="2BBFBE66"/>
    <w:rsid w:val="2F1D4ACB"/>
    <w:rsid w:val="2F7F5C2B"/>
    <w:rsid w:val="2FBFBCE0"/>
    <w:rsid w:val="2FDB35D4"/>
    <w:rsid w:val="2FFB095A"/>
    <w:rsid w:val="2FFC49E0"/>
    <w:rsid w:val="2FFF15EC"/>
    <w:rsid w:val="2FFFF8C4"/>
    <w:rsid w:val="337CDBF3"/>
    <w:rsid w:val="33F5E08C"/>
    <w:rsid w:val="341DE811"/>
    <w:rsid w:val="359F689D"/>
    <w:rsid w:val="35EC5F20"/>
    <w:rsid w:val="35EE47B6"/>
    <w:rsid w:val="35FF807B"/>
    <w:rsid w:val="36767569"/>
    <w:rsid w:val="36EF2551"/>
    <w:rsid w:val="36F57D06"/>
    <w:rsid w:val="377AFFF1"/>
    <w:rsid w:val="3796FD1B"/>
    <w:rsid w:val="385E740A"/>
    <w:rsid w:val="38EF7AD8"/>
    <w:rsid w:val="390F6AAA"/>
    <w:rsid w:val="394F3583"/>
    <w:rsid w:val="395F1F4A"/>
    <w:rsid w:val="39BE2072"/>
    <w:rsid w:val="3AB77495"/>
    <w:rsid w:val="3AD76819"/>
    <w:rsid w:val="3BFF8306"/>
    <w:rsid w:val="3C69C4A1"/>
    <w:rsid w:val="3CCFC069"/>
    <w:rsid w:val="3CD817E2"/>
    <w:rsid w:val="3D7FC91E"/>
    <w:rsid w:val="3DB73D40"/>
    <w:rsid w:val="3DEE52F0"/>
    <w:rsid w:val="3DF75E78"/>
    <w:rsid w:val="3DF7A7E6"/>
    <w:rsid w:val="3E1672E6"/>
    <w:rsid w:val="3E3696C8"/>
    <w:rsid w:val="3E7D1697"/>
    <w:rsid w:val="3E7DFDA4"/>
    <w:rsid w:val="3E9B11D2"/>
    <w:rsid w:val="3EAF8BE0"/>
    <w:rsid w:val="3EDFF427"/>
    <w:rsid w:val="3EFFF68F"/>
    <w:rsid w:val="3F3F40EF"/>
    <w:rsid w:val="3F9132B6"/>
    <w:rsid w:val="3F9A09D4"/>
    <w:rsid w:val="3FAD0614"/>
    <w:rsid w:val="3FB7F325"/>
    <w:rsid w:val="3FB7FC26"/>
    <w:rsid w:val="3FBD97CD"/>
    <w:rsid w:val="3FCF5E8B"/>
    <w:rsid w:val="3FDB0672"/>
    <w:rsid w:val="3FE7E5DD"/>
    <w:rsid w:val="3FEF2C90"/>
    <w:rsid w:val="3FF713A6"/>
    <w:rsid w:val="3FF9C952"/>
    <w:rsid w:val="3FFFD8AC"/>
    <w:rsid w:val="40FBB4E1"/>
    <w:rsid w:val="415F08D8"/>
    <w:rsid w:val="425D6554"/>
    <w:rsid w:val="443D4582"/>
    <w:rsid w:val="44E2230F"/>
    <w:rsid w:val="477F2500"/>
    <w:rsid w:val="47BF08BB"/>
    <w:rsid w:val="47F3D4CD"/>
    <w:rsid w:val="48B51347"/>
    <w:rsid w:val="494F667F"/>
    <w:rsid w:val="49FE38C2"/>
    <w:rsid w:val="4A55216A"/>
    <w:rsid w:val="4BE7311F"/>
    <w:rsid w:val="4CF900E7"/>
    <w:rsid w:val="4DFF0E4A"/>
    <w:rsid w:val="4F6B7885"/>
    <w:rsid w:val="4FE0696A"/>
    <w:rsid w:val="4FE9D7B6"/>
    <w:rsid w:val="4FEF4CE1"/>
    <w:rsid w:val="4FEF7B61"/>
    <w:rsid w:val="4FF7C840"/>
    <w:rsid w:val="5215D8EE"/>
    <w:rsid w:val="539B6FDD"/>
    <w:rsid w:val="53F76722"/>
    <w:rsid w:val="53FAAE5C"/>
    <w:rsid w:val="547A7A76"/>
    <w:rsid w:val="55673508"/>
    <w:rsid w:val="556EE2F9"/>
    <w:rsid w:val="55EBA829"/>
    <w:rsid w:val="561E3959"/>
    <w:rsid w:val="56D770F9"/>
    <w:rsid w:val="57551296"/>
    <w:rsid w:val="57ADE45F"/>
    <w:rsid w:val="57C7EBB3"/>
    <w:rsid w:val="57DEC2AD"/>
    <w:rsid w:val="57E6DD66"/>
    <w:rsid w:val="57F325DA"/>
    <w:rsid w:val="57FB8B02"/>
    <w:rsid w:val="57FE1EE5"/>
    <w:rsid w:val="57FF0D59"/>
    <w:rsid w:val="57FF1E51"/>
    <w:rsid w:val="57FF2608"/>
    <w:rsid w:val="57FFF1B3"/>
    <w:rsid w:val="58163776"/>
    <w:rsid w:val="586BE32F"/>
    <w:rsid w:val="59595A6F"/>
    <w:rsid w:val="599330CA"/>
    <w:rsid w:val="59E62DE9"/>
    <w:rsid w:val="59F5976A"/>
    <w:rsid w:val="59FF85DF"/>
    <w:rsid w:val="59FF94D5"/>
    <w:rsid w:val="5A798336"/>
    <w:rsid w:val="5B158AF5"/>
    <w:rsid w:val="5B7BFF31"/>
    <w:rsid w:val="5BAF0143"/>
    <w:rsid w:val="5BDA3182"/>
    <w:rsid w:val="5BDFF5C8"/>
    <w:rsid w:val="5BFBD0A1"/>
    <w:rsid w:val="5BFF10BE"/>
    <w:rsid w:val="5CAFB08F"/>
    <w:rsid w:val="5CFFA4BB"/>
    <w:rsid w:val="5DBF2D13"/>
    <w:rsid w:val="5DCA6517"/>
    <w:rsid w:val="5DDFBCCD"/>
    <w:rsid w:val="5DF70099"/>
    <w:rsid w:val="5DFEABD1"/>
    <w:rsid w:val="5E5622D4"/>
    <w:rsid w:val="5EFBFB8A"/>
    <w:rsid w:val="5F1E0601"/>
    <w:rsid w:val="5F4EBDDD"/>
    <w:rsid w:val="5F7B01A0"/>
    <w:rsid w:val="5F7F3D7D"/>
    <w:rsid w:val="5FBCAD33"/>
    <w:rsid w:val="5FBEFE1A"/>
    <w:rsid w:val="5FCB05D6"/>
    <w:rsid w:val="5FCF19C3"/>
    <w:rsid w:val="5FDCDEFA"/>
    <w:rsid w:val="5FDD8502"/>
    <w:rsid w:val="5FDE6A7C"/>
    <w:rsid w:val="5FEF611D"/>
    <w:rsid w:val="5FFE3860"/>
    <w:rsid w:val="5FFF35F8"/>
    <w:rsid w:val="5FFF4947"/>
    <w:rsid w:val="5FFF8ED1"/>
    <w:rsid w:val="60D5009F"/>
    <w:rsid w:val="62FCCD3D"/>
    <w:rsid w:val="64617795"/>
    <w:rsid w:val="65174716"/>
    <w:rsid w:val="65FA38F0"/>
    <w:rsid w:val="660721C9"/>
    <w:rsid w:val="661E6C75"/>
    <w:rsid w:val="675B51FB"/>
    <w:rsid w:val="675B98AB"/>
    <w:rsid w:val="6772AC4E"/>
    <w:rsid w:val="677BB149"/>
    <w:rsid w:val="67845964"/>
    <w:rsid w:val="67EF6CB7"/>
    <w:rsid w:val="67F75FF5"/>
    <w:rsid w:val="681D4831"/>
    <w:rsid w:val="68760770"/>
    <w:rsid w:val="68F6A4F6"/>
    <w:rsid w:val="692E4B19"/>
    <w:rsid w:val="69513EF7"/>
    <w:rsid w:val="69FF9CC9"/>
    <w:rsid w:val="6AD300AA"/>
    <w:rsid w:val="6AFFF86B"/>
    <w:rsid w:val="6B1E24AB"/>
    <w:rsid w:val="6B3F3F5E"/>
    <w:rsid w:val="6BDFF67B"/>
    <w:rsid w:val="6BF3256F"/>
    <w:rsid w:val="6C72CD87"/>
    <w:rsid w:val="6CE7018A"/>
    <w:rsid w:val="6DD77CE4"/>
    <w:rsid w:val="6DF9B657"/>
    <w:rsid w:val="6E3E3F2D"/>
    <w:rsid w:val="6E7F0996"/>
    <w:rsid w:val="6E9DAFE3"/>
    <w:rsid w:val="6EBB19CF"/>
    <w:rsid w:val="6EF23EF0"/>
    <w:rsid w:val="6F7AC3BF"/>
    <w:rsid w:val="6F7B5A75"/>
    <w:rsid w:val="6F7C7938"/>
    <w:rsid w:val="6F7FE920"/>
    <w:rsid w:val="6F9E32AE"/>
    <w:rsid w:val="6FBCC786"/>
    <w:rsid w:val="6FC5BB63"/>
    <w:rsid w:val="6FE37A2C"/>
    <w:rsid w:val="6FECD4EA"/>
    <w:rsid w:val="6FEEFC90"/>
    <w:rsid w:val="6FEFCDB6"/>
    <w:rsid w:val="6FFB55ED"/>
    <w:rsid w:val="6FFB8A89"/>
    <w:rsid w:val="6FFC2C2C"/>
    <w:rsid w:val="6FFE9024"/>
    <w:rsid w:val="6FFEBBAF"/>
    <w:rsid w:val="6FFFB2B0"/>
    <w:rsid w:val="715B2F02"/>
    <w:rsid w:val="717B0A3E"/>
    <w:rsid w:val="717C64BF"/>
    <w:rsid w:val="71FFDA89"/>
    <w:rsid w:val="72492390"/>
    <w:rsid w:val="72EF2A61"/>
    <w:rsid w:val="7361E995"/>
    <w:rsid w:val="737F46FA"/>
    <w:rsid w:val="73A61B70"/>
    <w:rsid w:val="73AFAE96"/>
    <w:rsid w:val="7409326A"/>
    <w:rsid w:val="74DA74D9"/>
    <w:rsid w:val="75555E0F"/>
    <w:rsid w:val="7563778E"/>
    <w:rsid w:val="7569F74E"/>
    <w:rsid w:val="757F08EA"/>
    <w:rsid w:val="75BFAC01"/>
    <w:rsid w:val="75DAA688"/>
    <w:rsid w:val="75DBF316"/>
    <w:rsid w:val="75FF7A6C"/>
    <w:rsid w:val="766F312C"/>
    <w:rsid w:val="76A548F2"/>
    <w:rsid w:val="76B382D7"/>
    <w:rsid w:val="76F9BA7B"/>
    <w:rsid w:val="76FFA411"/>
    <w:rsid w:val="7702C47B"/>
    <w:rsid w:val="771D50C7"/>
    <w:rsid w:val="771EEEFA"/>
    <w:rsid w:val="7765772E"/>
    <w:rsid w:val="77867685"/>
    <w:rsid w:val="77AF9395"/>
    <w:rsid w:val="77B6D1F1"/>
    <w:rsid w:val="77BD3ACF"/>
    <w:rsid w:val="77DE43A9"/>
    <w:rsid w:val="77E5BFD9"/>
    <w:rsid w:val="77EA4585"/>
    <w:rsid w:val="77EBEB9F"/>
    <w:rsid w:val="77F7F199"/>
    <w:rsid w:val="77FAD0E5"/>
    <w:rsid w:val="781F36B6"/>
    <w:rsid w:val="78FF1B48"/>
    <w:rsid w:val="78FF3A33"/>
    <w:rsid w:val="790627AD"/>
    <w:rsid w:val="796A4F1B"/>
    <w:rsid w:val="797F009D"/>
    <w:rsid w:val="797FC07B"/>
    <w:rsid w:val="798FBEB4"/>
    <w:rsid w:val="79D2BC81"/>
    <w:rsid w:val="79DA1F85"/>
    <w:rsid w:val="7A77288F"/>
    <w:rsid w:val="7ABEB542"/>
    <w:rsid w:val="7ADC59FA"/>
    <w:rsid w:val="7ADF155B"/>
    <w:rsid w:val="7AFF015F"/>
    <w:rsid w:val="7AFF93C0"/>
    <w:rsid w:val="7B2F4DE0"/>
    <w:rsid w:val="7B3F538D"/>
    <w:rsid w:val="7B76C63E"/>
    <w:rsid w:val="7B7FB243"/>
    <w:rsid w:val="7B8EBC5C"/>
    <w:rsid w:val="7B9FA442"/>
    <w:rsid w:val="7BAA72E3"/>
    <w:rsid w:val="7BBB0497"/>
    <w:rsid w:val="7BBB8041"/>
    <w:rsid w:val="7BDF50EF"/>
    <w:rsid w:val="7BF80EEF"/>
    <w:rsid w:val="7BFB7986"/>
    <w:rsid w:val="7C16FD15"/>
    <w:rsid w:val="7CD68C36"/>
    <w:rsid w:val="7CFBE1F4"/>
    <w:rsid w:val="7D3FDDFA"/>
    <w:rsid w:val="7D5C5DCD"/>
    <w:rsid w:val="7D5FBBE4"/>
    <w:rsid w:val="7D72AC33"/>
    <w:rsid w:val="7D7FEA67"/>
    <w:rsid w:val="7DB395F2"/>
    <w:rsid w:val="7DBDE31C"/>
    <w:rsid w:val="7DBF8A0C"/>
    <w:rsid w:val="7DDD794F"/>
    <w:rsid w:val="7DE70E3F"/>
    <w:rsid w:val="7DF5E8DD"/>
    <w:rsid w:val="7DFCA2CD"/>
    <w:rsid w:val="7DFE20EB"/>
    <w:rsid w:val="7DFFA0A0"/>
    <w:rsid w:val="7DFFD224"/>
    <w:rsid w:val="7E13BB63"/>
    <w:rsid w:val="7E39C8DE"/>
    <w:rsid w:val="7E7BEEB7"/>
    <w:rsid w:val="7E7F7690"/>
    <w:rsid w:val="7E8FA3B2"/>
    <w:rsid w:val="7EBB25D7"/>
    <w:rsid w:val="7ED304D0"/>
    <w:rsid w:val="7EFB0BF6"/>
    <w:rsid w:val="7EFB3DF4"/>
    <w:rsid w:val="7F1E9DBE"/>
    <w:rsid w:val="7F1FA01D"/>
    <w:rsid w:val="7F27EB4E"/>
    <w:rsid w:val="7F2D4BE6"/>
    <w:rsid w:val="7F776F5C"/>
    <w:rsid w:val="7F7BDC69"/>
    <w:rsid w:val="7F7C5678"/>
    <w:rsid w:val="7F7F10ED"/>
    <w:rsid w:val="7F7FA734"/>
    <w:rsid w:val="7F7FF3BE"/>
    <w:rsid w:val="7F9F105B"/>
    <w:rsid w:val="7FA90759"/>
    <w:rsid w:val="7FB2AC56"/>
    <w:rsid w:val="7FBEC6E3"/>
    <w:rsid w:val="7FBFE555"/>
    <w:rsid w:val="7FCF20E3"/>
    <w:rsid w:val="7FD6EA0E"/>
    <w:rsid w:val="7FD94B11"/>
    <w:rsid w:val="7FD9E5A8"/>
    <w:rsid w:val="7FDC014B"/>
    <w:rsid w:val="7FDE192B"/>
    <w:rsid w:val="7FEEDAD3"/>
    <w:rsid w:val="7FEF638E"/>
    <w:rsid w:val="7FEF783E"/>
    <w:rsid w:val="7FF24C48"/>
    <w:rsid w:val="7FF3AFB6"/>
    <w:rsid w:val="7FF72E24"/>
    <w:rsid w:val="7FFB953E"/>
    <w:rsid w:val="7FFBAAAF"/>
    <w:rsid w:val="7FFC0A38"/>
    <w:rsid w:val="7FFD38AB"/>
    <w:rsid w:val="7FFDE83D"/>
    <w:rsid w:val="7FFE4B6E"/>
    <w:rsid w:val="7FFE4E91"/>
    <w:rsid w:val="7FFEBB4F"/>
    <w:rsid w:val="7FFFEF9E"/>
    <w:rsid w:val="87FF07CE"/>
    <w:rsid w:val="87FFE0B1"/>
    <w:rsid w:val="8BFFC856"/>
    <w:rsid w:val="8CFD3290"/>
    <w:rsid w:val="8FFEF411"/>
    <w:rsid w:val="8FFF651A"/>
    <w:rsid w:val="95378FC8"/>
    <w:rsid w:val="95F745E4"/>
    <w:rsid w:val="9767375C"/>
    <w:rsid w:val="9AD7A7D1"/>
    <w:rsid w:val="9CFB77AF"/>
    <w:rsid w:val="9EF20060"/>
    <w:rsid w:val="9F9F5862"/>
    <w:rsid w:val="9FB96D4C"/>
    <w:rsid w:val="9FDA7BC4"/>
    <w:rsid w:val="9FDC9BB1"/>
    <w:rsid w:val="9FEF5784"/>
    <w:rsid w:val="9FF255D3"/>
    <w:rsid w:val="A3FEDE12"/>
    <w:rsid w:val="A3FF2A18"/>
    <w:rsid w:val="A3FFD1AC"/>
    <w:rsid w:val="A55B6C6A"/>
    <w:rsid w:val="A5D62988"/>
    <w:rsid w:val="A5F62003"/>
    <w:rsid w:val="A9BE88C2"/>
    <w:rsid w:val="A9D98530"/>
    <w:rsid w:val="AB7BA749"/>
    <w:rsid w:val="ABFF3298"/>
    <w:rsid w:val="AD4FA5ED"/>
    <w:rsid w:val="AD8B9F2E"/>
    <w:rsid w:val="AFFC5F41"/>
    <w:rsid w:val="B3944EED"/>
    <w:rsid w:val="B5AF8845"/>
    <w:rsid w:val="B631B2E8"/>
    <w:rsid w:val="B6F7A72F"/>
    <w:rsid w:val="B74B2636"/>
    <w:rsid w:val="B7ED5B72"/>
    <w:rsid w:val="B7F3BE45"/>
    <w:rsid w:val="B7F7E885"/>
    <w:rsid w:val="B7FD217D"/>
    <w:rsid w:val="B87E8177"/>
    <w:rsid w:val="BA1E0C9F"/>
    <w:rsid w:val="BA6EB73B"/>
    <w:rsid w:val="BACFF041"/>
    <w:rsid w:val="BB5BF0BB"/>
    <w:rsid w:val="BD2A5EF2"/>
    <w:rsid w:val="BDA3978C"/>
    <w:rsid w:val="BDFF2A37"/>
    <w:rsid w:val="BE0EB65D"/>
    <w:rsid w:val="BE6DF320"/>
    <w:rsid w:val="BEA7F647"/>
    <w:rsid w:val="BEE721C3"/>
    <w:rsid w:val="BEFB61EF"/>
    <w:rsid w:val="BF3F50D0"/>
    <w:rsid w:val="BF7D6855"/>
    <w:rsid w:val="BF7D8E90"/>
    <w:rsid w:val="BF7FB0F1"/>
    <w:rsid w:val="BFB729D2"/>
    <w:rsid w:val="BFBFF366"/>
    <w:rsid w:val="BFD7A70A"/>
    <w:rsid w:val="BFE59083"/>
    <w:rsid w:val="BFEFEF97"/>
    <w:rsid w:val="BFF2CD88"/>
    <w:rsid w:val="BFF783F6"/>
    <w:rsid w:val="BFF8FF53"/>
    <w:rsid w:val="BFFBFC2C"/>
    <w:rsid w:val="BFFE98BD"/>
    <w:rsid w:val="BFFF7E92"/>
    <w:rsid w:val="C9B778E8"/>
    <w:rsid w:val="CABF9067"/>
    <w:rsid w:val="CB6D3155"/>
    <w:rsid w:val="CBDEE07A"/>
    <w:rsid w:val="CCBE42D1"/>
    <w:rsid w:val="CD6F9CEA"/>
    <w:rsid w:val="CDF7C5FE"/>
    <w:rsid w:val="CF1DF7FC"/>
    <w:rsid w:val="CF3D88DD"/>
    <w:rsid w:val="CFBF687F"/>
    <w:rsid w:val="CFEB394B"/>
    <w:rsid w:val="CFF4C38A"/>
    <w:rsid w:val="CFFF7923"/>
    <w:rsid w:val="D37C3CB9"/>
    <w:rsid w:val="D3EE083B"/>
    <w:rsid w:val="D57B1C89"/>
    <w:rsid w:val="D76806FD"/>
    <w:rsid w:val="D7CFCF64"/>
    <w:rsid w:val="D7DB9DC8"/>
    <w:rsid w:val="D7EE50FE"/>
    <w:rsid w:val="D7FB3419"/>
    <w:rsid w:val="D7FFFAE1"/>
    <w:rsid w:val="D93DE8E6"/>
    <w:rsid w:val="D97F6EFC"/>
    <w:rsid w:val="D9DB27A5"/>
    <w:rsid w:val="DB53001F"/>
    <w:rsid w:val="DB991B7C"/>
    <w:rsid w:val="DB9DD64E"/>
    <w:rsid w:val="DBDCC029"/>
    <w:rsid w:val="DCEBC1F1"/>
    <w:rsid w:val="DD7F1E9D"/>
    <w:rsid w:val="DDBD00D4"/>
    <w:rsid w:val="DDBD9B1A"/>
    <w:rsid w:val="DDFFF33C"/>
    <w:rsid w:val="DE5BDCA9"/>
    <w:rsid w:val="DE7F7E49"/>
    <w:rsid w:val="DEBF3054"/>
    <w:rsid w:val="DEF7CDBF"/>
    <w:rsid w:val="DF7D1604"/>
    <w:rsid w:val="DFAC7EC1"/>
    <w:rsid w:val="DFB4875F"/>
    <w:rsid w:val="DFB71CDC"/>
    <w:rsid w:val="DFBF4884"/>
    <w:rsid w:val="DFCB4943"/>
    <w:rsid w:val="DFD3A193"/>
    <w:rsid w:val="DFD80766"/>
    <w:rsid w:val="DFDF1A6F"/>
    <w:rsid w:val="DFDFC920"/>
    <w:rsid w:val="DFEB2DD4"/>
    <w:rsid w:val="DFF78A7F"/>
    <w:rsid w:val="DFFD4B13"/>
    <w:rsid w:val="E1772D81"/>
    <w:rsid w:val="E1CBC1F8"/>
    <w:rsid w:val="E3ABF7DF"/>
    <w:rsid w:val="E3BF41A0"/>
    <w:rsid w:val="E46B9202"/>
    <w:rsid w:val="E49BF46C"/>
    <w:rsid w:val="E5F2CB27"/>
    <w:rsid w:val="E77B6567"/>
    <w:rsid w:val="E7976457"/>
    <w:rsid w:val="E7D6154E"/>
    <w:rsid w:val="E97F413B"/>
    <w:rsid w:val="EB6F44F7"/>
    <w:rsid w:val="EB7BF672"/>
    <w:rsid w:val="EBFFF865"/>
    <w:rsid w:val="EC6D60F5"/>
    <w:rsid w:val="EC7DA204"/>
    <w:rsid w:val="EDEF3F7C"/>
    <w:rsid w:val="EE9BAC96"/>
    <w:rsid w:val="EEB7953D"/>
    <w:rsid w:val="EEDD82C9"/>
    <w:rsid w:val="EEFFA833"/>
    <w:rsid w:val="EEFFB9C6"/>
    <w:rsid w:val="EF3A42D8"/>
    <w:rsid w:val="EF7F5F86"/>
    <w:rsid w:val="EF7FDA92"/>
    <w:rsid w:val="EF83F225"/>
    <w:rsid w:val="EF9E08D7"/>
    <w:rsid w:val="EFB6CAB2"/>
    <w:rsid w:val="EFBF60A4"/>
    <w:rsid w:val="EFD1D7CF"/>
    <w:rsid w:val="EFE5EAA0"/>
    <w:rsid w:val="EFE7FFCC"/>
    <w:rsid w:val="EFEA1B7E"/>
    <w:rsid w:val="EFEF6297"/>
    <w:rsid w:val="EFFBA34E"/>
    <w:rsid w:val="EFFEF537"/>
    <w:rsid w:val="F0FDE9FC"/>
    <w:rsid w:val="F3B6DDDB"/>
    <w:rsid w:val="F3B748A2"/>
    <w:rsid w:val="F4799EBA"/>
    <w:rsid w:val="F5E7C645"/>
    <w:rsid w:val="F5F0A347"/>
    <w:rsid w:val="F5F8DC0D"/>
    <w:rsid w:val="F5FE7064"/>
    <w:rsid w:val="F6DDA33C"/>
    <w:rsid w:val="F6EBDD01"/>
    <w:rsid w:val="F6F73CA3"/>
    <w:rsid w:val="F6FF5B2C"/>
    <w:rsid w:val="F7758902"/>
    <w:rsid w:val="F7796B14"/>
    <w:rsid w:val="F77BC66E"/>
    <w:rsid w:val="F77C0B5B"/>
    <w:rsid w:val="F7AF0593"/>
    <w:rsid w:val="F7B95F6D"/>
    <w:rsid w:val="F7BF832C"/>
    <w:rsid w:val="F7EEC818"/>
    <w:rsid w:val="F7EFDFB5"/>
    <w:rsid w:val="F7F9572A"/>
    <w:rsid w:val="F7FB30AA"/>
    <w:rsid w:val="F7FD5579"/>
    <w:rsid w:val="F7FFBFFE"/>
    <w:rsid w:val="F9072985"/>
    <w:rsid w:val="F95F44F7"/>
    <w:rsid w:val="F97ECCEF"/>
    <w:rsid w:val="FA7F0193"/>
    <w:rsid w:val="FA7FEC6F"/>
    <w:rsid w:val="FACA9DD6"/>
    <w:rsid w:val="FAFFB16A"/>
    <w:rsid w:val="FB1FCCF2"/>
    <w:rsid w:val="FB3DFA12"/>
    <w:rsid w:val="FB5D5B6B"/>
    <w:rsid w:val="FB7B66EA"/>
    <w:rsid w:val="FB7F535F"/>
    <w:rsid w:val="FB7FF320"/>
    <w:rsid w:val="FB9BFD0E"/>
    <w:rsid w:val="FBA5372A"/>
    <w:rsid w:val="FBDBC769"/>
    <w:rsid w:val="FBDE55CB"/>
    <w:rsid w:val="FBDF1556"/>
    <w:rsid w:val="FBF79A2F"/>
    <w:rsid w:val="FBFAD63B"/>
    <w:rsid w:val="FBFD7DA9"/>
    <w:rsid w:val="FC5DAD22"/>
    <w:rsid w:val="FCE675DB"/>
    <w:rsid w:val="FCED8CC0"/>
    <w:rsid w:val="FCF67C59"/>
    <w:rsid w:val="FCFD6517"/>
    <w:rsid w:val="FCFD7D84"/>
    <w:rsid w:val="FD65F106"/>
    <w:rsid w:val="FD6CB825"/>
    <w:rsid w:val="FD6E93E1"/>
    <w:rsid w:val="FD6FB688"/>
    <w:rsid w:val="FD77EDB0"/>
    <w:rsid w:val="FDB21EE3"/>
    <w:rsid w:val="FDBA5092"/>
    <w:rsid w:val="FDBB6E22"/>
    <w:rsid w:val="FDD9469F"/>
    <w:rsid w:val="FDE874DE"/>
    <w:rsid w:val="FDEFB387"/>
    <w:rsid w:val="FDF65CE1"/>
    <w:rsid w:val="FDF9E321"/>
    <w:rsid w:val="FDFCD655"/>
    <w:rsid w:val="FDFEE5FA"/>
    <w:rsid w:val="FDFF687D"/>
    <w:rsid w:val="FDFFE022"/>
    <w:rsid w:val="FE5E0CCE"/>
    <w:rsid w:val="FE7A3060"/>
    <w:rsid w:val="FEAC7C84"/>
    <w:rsid w:val="FEAD3CD0"/>
    <w:rsid w:val="FEDFF78F"/>
    <w:rsid w:val="FEEBB167"/>
    <w:rsid w:val="FEEF25E1"/>
    <w:rsid w:val="FEF66F1D"/>
    <w:rsid w:val="FEF71542"/>
    <w:rsid w:val="FEF7DE70"/>
    <w:rsid w:val="FEFF26C3"/>
    <w:rsid w:val="FEFF5EF2"/>
    <w:rsid w:val="FEFFE926"/>
    <w:rsid w:val="FF13DC81"/>
    <w:rsid w:val="FF3F356E"/>
    <w:rsid w:val="FF635104"/>
    <w:rsid w:val="FF734D11"/>
    <w:rsid w:val="FF7FABD0"/>
    <w:rsid w:val="FF7FFFEF"/>
    <w:rsid w:val="FF86CD69"/>
    <w:rsid w:val="FF87766C"/>
    <w:rsid w:val="FF97B604"/>
    <w:rsid w:val="FF990718"/>
    <w:rsid w:val="FFAE5789"/>
    <w:rsid w:val="FFBDFCBD"/>
    <w:rsid w:val="FFBE4F0D"/>
    <w:rsid w:val="FFC6A4B5"/>
    <w:rsid w:val="FFD64AD9"/>
    <w:rsid w:val="FFD7DC7A"/>
    <w:rsid w:val="FFDAD67D"/>
    <w:rsid w:val="FFDBFB8B"/>
    <w:rsid w:val="FFDD7CDE"/>
    <w:rsid w:val="FFE69BEE"/>
    <w:rsid w:val="FFEB3FD9"/>
    <w:rsid w:val="FFEDE002"/>
    <w:rsid w:val="FFEDEC60"/>
    <w:rsid w:val="FFEFE035"/>
    <w:rsid w:val="FFF56927"/>
    <w:rsid w:val="FFF7CB86"/>
    <w:rsid w:val="FFF9F34F"/>
    <w:rsid w:val="FFFA9D85"/>
    <w:rsid w:val="FFFD327A"/>
    <w:rsid w:val="FFFD5D91"/>
    <w:rsid w:val="FFFDDA2F"/>
    <w:rsid w:val="FFFE5B12"/>
    <w:rsid w:val="FFFEE5EF"/>
    <w:rsid w:val="FFFF4C76"/>
    <w:rsid w:val="FFFF5B72"/>
    <w:rsid w:val="FFFF6A95"/>
    <w:rsid w:val="FFFF811E"/>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pPr>
      <w:jc w:val="left"/>
    </w:pPr>
  </w:style>
  <w:style w:type="paragraph" w:styleId="3">
    <w:name w:val="Balloon Text"/>
    <w:basedOn w:val="1"/>
    <w:link w:val="18"/>
    <w:qFormat/>
    <w:uiPriority w:val="0"/>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unhideWhenUsed/>
    <w:qFormat/>
    <w:uiPriority w:val="0"/>
    <w:pPr>
      <w:snapToGrid w:val="0"/>
      <w:jc w:val="left"/>
    </w:pPr>
    <w:rPr>
      <w:sz w:val="18"/>
    </w:rPr>
  </w:style>
  <w:style w:type="paragraph" w:styleId="7">
    <w:name w:val="index 9"/>
    <w:basedOn w:val="1"/>
    <w:next w:val="1"/>
    <w:qFormat/>
    <w:uiPriority w:val="99"/>
    <w:pPr>
      <w:ind w:left="1600" w:leftChars="1600"/>
    </w:pPr>
  </w:style>
  <w:style w:type="paragraph" w:styleId="8">
    <w:name w:val="annotation subject"/>
    <w:basedOn w:val="2"/>
    <w:next w:val="2"/>
    <w:link w:val="21"/>
    <w:unhideWhenUsed/>
    <w:qFormat/>
    <w:uiPriority w:val="0"/>
    <w:rPr>
      <w:b/>
      <w:bCs/>
    </w:rPr>
  </w:style>
  <w:style w:type="character" w:styleId="11">
    <w:name w:val="annotation reference"/>
    <w:basedOn w:val="10"/>
    <w:unhideWhenUsed/>
    <w:qFormat/>
    <w:uiPriority w:val="0"/>
    <w:rPr>
      <w:sz w:val="21"/>
      <w:szCs w:val="21"/>
    </w:rPr>
  </w:style>
  <w:style w:type="character" w:styleId="12">
    <w:name w:val="footnote reference"/>
    <w:basedOn w:val="10"/>
    <w:unhideWhenUsed/>
    <w:qFormat/>
    <w:uiPriority w:val="0"/>
    <w:rPr>
      <w:vertAlign w:val="superscript"/>
    </w:rPr>
  </w:style>
  <w:style w:type="paragraph" w:customStyle="1" w:styleId="13">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6">
    <w:name w:val="页脚 字符"/>
    <w:link w:val="4"/>
    <w:qFormat/>
    <w:uiPriority w:val="0"/>
    <w:rPr>
      <w:rFonts w:eastAsia="仿宋_GB2312"/>
      <w:kern w:val="2"/>
      <w:sz w:val="18"/>
      <w:szCs w:val="18"/>
    </w:rPr>
  </w:style>
  <w:style w:type="character" w:customStyle="1" w:styleId="17">
    <w:name w:val="页眉 字符"/>
    <w:link w:val="5"/>
    <w:qFormat/>
    <w:uiPriority w:val="0"/>
    <w:rPr>
      <w:rFonts w:eastAsia="仿宋_GB2312"/>
      <w:kern w:val="2"/>
      <w:sz w:val="18"/>
      <w:szCs w:val="18"/>
    </w:rPr>
  </w:style>
  <w:style w:type="character" w:customStyle="1" w:styleId="18">
    <w:name w:val="批注框文本 字符"/>
    <w:link w:val="3"/>
    <w:qFormat/>
    <w:uiPriority w:val="0"/>
    <w:rPr>
      <w:rFonts w:eastAsia="仿宋_GB2312"/>
      <w:kern w:val="2"/>
      <w:sz w:val="18"/>
      <w:szCs w:val="18"/>
    </w:rPr>
  </w:style>
  <w:style w:type="character" w:customStyle="1" w:styleId="19">
    <w:name w:val="CharAttribute3"/>
    <w:qFormat/>
    <w:uiPriority w:val="0"/>
    <w:rPr>
      <w:rFonts w:ascii="仿宋_GB2312" w:eastAsia="仿宋_GB2312"/>
      <w:sz w:val="32"/>
    </w:rPr>
  </w:style>
  <w:style w:type="character" w:customStyle="1" w:styleId="20">
    <w:name w:val="批注文字 字符"/>
    <w:basedOn w:val="10"/>
    <w:link w:val="2"/>
    <w:semiHidden/>
    <w:qFormat/>
    <w:uiPriority w:val="0"/>
    <w:rPr>
      <w:rFonts w:eastAsia="仿宋_GB2312"/>
      <w:kern w:val="2"/>
      <w:sz w:val="30"/>
      <w:szCs w:val="24"/>
    </w:rPr>
  </w:style>
  <w:style w:type="character" w:customStyle="1" w:styleId="21">
    <w:name w:val="批注主题 字符"/>
    <w:basedOn w:val="20"/>
    <w:link w:val="8"/>
    <w:semiHidden/>
    <w:qFormat/>
    <w:uiPriority w:val="0"/>
    <w:rPr>
      <w:rFonts w:eastAsia="仿宋_GB2312"/>
      <w:b/>
      <w:bCs/>
      <w:kern w:val="2"/>
      <w:sz w:val="30"/>
      <w:szCs w:val="24"/>
    </w:rPr>
  </w:style>
  <w:style w:type="character" w:customStyle="1" w:styleId="22">
    <w:name w:val="font11"/>
    <w:basedOn w:val="10"/>
    <w:qFormat/>
    <w:uiPriority w:val="0"/>
    <w:rPr>
      <w:rFonts w:hint="eastAsia" w:ascii="宋体" w:hAnsi="宋体" w:eastAsia="宋体" w:cs="宋体"/>
      <w:b/>
      <w:bCs/>
      <w:color w:val="000000"/>
      <w:sz w:val="21"/>
      <w:szCs w:val="21"/>
      <w:u w:val="none"/>
    </w:rPr>
  </w:style>
  <w:style w:type="character" w:customStyle="1" w:styleId="23">
    <w:name w:val="font21"/>
    <w:basedOn w:val="1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6519</Words>
  <Characters>7907</Characters>
  <Lines>46</Lines>
  <Paragraphs>13</Paragraphs>
  <TotalTime>0</TotalTime>
  <ScaleCrop>false</ScaleCrop>
  <LinksUpToDate>false</LinksUpToDate>
  <CharactersWithSpaces>8040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2023-03-07T20:38:00Z</dcterms:created>
  <dc:creator>lhn</dc:creator>
  <cp:lastModifiedBy>uos</cp:lastModifiedBy>
  <cp:lastPrinted>2024-03-26T18:28:00Z</cp:lastPrinted>
  <dcterms:modified xsi:type="dcterms:W3CDTF">2024-06-05T11:08:12Z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9E48D2969CD0CDEAC5DB5E66C17284CE_43</vt:lpwstr>
  </property>
</Properties>
</file>