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bCs/>
          <w:sz w:val="44"/>
          <w:szCs w:val="44"/>
          <w:highlight w:val="none"/>
        </w:rPr>
      </w:pPr>
      <w:r>
        <w:rPr>
          <w:rFonts w:hint="eastAsia" w:ascii="方正小标宋简体" w:hAnsi="方正小标宋简体" w:eastAsia="方正小标宋简体" w:cs="方正小标宋简体"/>
          <w:bCs/>
          <w:sz w:val="44"/>
          <w:szCs w:val="44"/>
          <w:highlight w:val="none"/>
          <w:lang w:val="en-US" w:eastAsia="zh-CN"/>
        </w:rPr>
        <w:t xml:space="preserve"> </w:t>
      </w:r>
      <w:r>
        <w:rPr>
          <w:rFonts w:hint="eastAsia" w:ascii="方正小标宋简体" w:hAnsi="方正小标宋简体" w:eastAsia="方正小标宋简体" w:cs="方正小标宋简体"/>
          <w:bCs/>
          <w:sz w:val="44"/>
          <w:szCs w:val="44"/>
          <w:highlight w:val="none"/>
        </w:rPr>
        <w:t>202</w:t>
      </w:r>
      <w:r>
        <w:rPr>
          <w:rFonts w:hint="eastAsia" w:ascii="方正小标宋简体" w:hAnsi="方正小标宋简体" w:eastAsia="方正小标宋简体" w:cs="方正小标宋简体"/>
          <w:bCs/>
          <w:sz w:val="44"/>
          <w:szCs w:val="44"/>
          <w:highlight w:val="none"/>
          <w:lang w:val="en-US" w:eastAsia="zh-CN"/>
        </w:rPr>
        <w:t>3</w:t>
      </w:r>
      <w:r>
        <w:rPr>
          <w:rFonts w:hint="eastAsia" w:ascii="方正小标宋简体" w:hAnsi="方正小标宋简体" w:eastAsia="方正小标宋简体" w:cs="方正小标宋简体"/>
          <w:bCs/>
          <w:sz w:val="44"/>
          <w:szCs w:val="44"/>
          <w:highlight w:val="none"/>
        </w:rPr>
        <w:t>年度中央</w:t>
      </w:r>
      <w:r>
        <w:rPr>
          <w:rFonts w:hint="eastAsia" w:ascii="方正小标宋简体" w:hAnsi="方正小标宋简体" w:eastAsia="方正小标宋简体" w:cs="方正小标宋简体"/>
          <w:bCs/>
          <w:sz w:val="44"/>
          <w:szCs w:val="44"/>
          <w:highlight w:val="none"/>
          <w:lang w:val="en-US" w:eastAsia="zh-CN"/>
        </w:rPr>
        <w:t>专项</w:t>
      </w:r>
      <w:r>
        <w:rPr>
          <w:rFonts w:hint="eastAsia" w:ascii="方正小标宋简体" w:hAnsi="方正小标宋简体" w:eastAsia="方正小标宋简体" w:cs="方正小标宋简体"/>
          <w:bCs/>
          <w:sz w:val="44"/>
          <w:szCs w:val="44"/>
          <w:highlight w:val="none"/>
        </w:rPr>
        <w:t>彩票公益金</w:t>
      </w:r>
    </w:p>
    <w:p>
      <w:pPr>
        <w:spacing w:line="560" w:lineRule="exact"/>
        <w:jc w:val="center"/>
        <w:rPr>
          <w:rFonts w:hint="eastAsia" w:ascii="方正小标宋简体" w:hAnsi="方正小标宋简体" w:eastAsia="方正小标宋简体" w:cs="方正小标宋简体"/>
          <w:bCs/>
          <w:sz w:val="44"/>
          <w:szCs w:val="44"/>
          <w:highlight w:val="none"/>
          <w:lang w:val="en-US" w:eastAsia="zh-CN"/>
        </w:rPr>
      </w:pPr>
      <w:r>
        <w:rPr>
          <w:rFonts w:hint="eastAsia" w:ascii="方正小标宋简体" w:hAnsi="方正小标宋简体" w:eastAsia="方正小标宋简体" w:cs="方正小标宋简体"/>
          <w:bCs/>
          <w:sz w:val="44"/>
          <w:szCs w:val="44"/>
          <w:highlight w:val="none"/>
        </w:rPr>
        <w:t>支持居家和社区基本养老服务提升行动</w:t>
      </w:r>
      <w:r>
        <w:rPr>
          <w:rFonts w:hint="eastAsia" w:ascii="方正小标宋简体" w:hAnsi="方正小标宋简体" w:eastAsia="方正小标宋简体" w:cs="方正小标宋简体"/>
          <w:bCs/>
          <w:sz w:val="44"/>
          <w:szCs w:val="44"/>
          <w:highlight w:val="none"/>
          <w:lang w:val="en-US" w:eastAsia="zh-CN"/>
        </w:rPr>
        <w:t>项目</w:t>
      </w:r>
    </w:p>
    <w:p>
      <w:pPr>
        <w:spacing w:line="560" w:lineRule="exact"/>
        <w:jc w:val="center"/>
        <w:rPr>
          <w:rFonts w:ascii="黑体" w:hAnsi="黑体" w:eastAsia="黑体" w:cs="黑体"/>
          <w:bCs/>
          <w:sz w:val="32"/>
          <w:szCs w:val="32"/>
          <w:highlight w:val="none"/>
        </w:rPr>
      </w:pPr>
      <w:r>
        <w:rPr>
          <w:rFonts w:hint="eastAsia" w:ascii="方正小标宋简体" w:hAnsi="方正小标宋简体" w:eastAsia="方正小标宋简体" w:cs="方正小标宋简体"/>
          <w:bCs/>
          <w:sz w:val="44"/>
          <w:szCs w:val="44"/>
          <w:highlight w:val="none"/>
          <w:lang w:val="en-US" w:eastAsia="zh-CN"/>
        </w:rPr>
        <w:t>转移支付</w:t>
      </w:r>
      <w:bookmarkStart w:id="0" w:name="_GoBack"/>
      <w:bookmarkEnd w:id="0"/>
      <w:r>
        <w:rPr>
          <w:rFonts w:hint="eastAsia" w:ascii="方正小标宋简体" w:hAnsi="方正小标宋简体" w:eastAsia="方正小标宋简体" w:cs="方正小标宋简体"/>
          <w:bCs/>
          <w:sz w:val="44"/>
          <w:szCs w:val="44"/>
          <w:highlight w:val="none"/>
          <w:lang w:val="en-US" w:eastAsia="zh-CN"/>
        </w:rPr>
        <w:t>预算执行情况</w:t>
      </w:r>
      <w:r>
        <w:rPr>
          <w:rFonts w:hint="eastAsia" w:ascii="方正小标宋简体" w:hAnsi="方正小标宋简体" w:eastAsia="方正小标宋简体" w:cs="方正小标宋简体"/>
          <w:bCs/>
          <w:sz w:val="44"/>
          <w:szCs w:val="44"/>
          <w:highlight w:val="none"/>
        </w:rPr>
        <w:t>绩效自评报告</w:t>
      </w:r>
    </w:p>
    <w:p>
      <w:pPr>
        <w:spacing w:line="560" w:lineRule="exact"/>
        <w:ind w:firstLine="640" w:firstLineChars="200"/>
        <w:rPr>
          <w:rFonts w:hint="eastAsia" w:ascii="黑体" w:hAnsi="黑体" w:eastAsia="黑体" w:cs="黑体"/>
          <w:bCs/>
          <w:sz w:val="32"/>
          <w:szCs w:val="32"/>
          <w:highlight w:val="none"/>
        </w:rPr>
      </w:pPr>
    </w:p>
    <w:p>
      <w:pPr>
        <w:spacing w:line="560" w:lineRule="exact"/>
        <w:ind w:firstLine="640" w:firstLineChars="200"/>
        <w:rPr>
          <w:rFonts w:ascii="黑体" w:hAnsi="黑体" w:eastAsia="黑体" w:cs="黑体"/>
          <w:bCs/>
          <w:sz w:val="32"/>
          <w:szCs w:val="32"/>
          <w:highlight w:val="none"/>
        </w:rPr>
      </w:pPr>
      <w:r>
        <w:rPr>
          <w:rFonts w:hint="eastAsia" w:ascii="黑体" w:hAnsi="黑体" w:eastAsia="黑体" w:cs="黑体"/>
          <w:bCs/>
          <w:sz w:val="32"/>
          <w:szCs w:val="32"/>
          <w:highlight w:val="none"/>
        </w:rPr>
        <w:t>一、</w:t>
      </w:r>
      <w:r>
        <w:rPr>
          <w:rFonts w:hint="eastAsia" w:ascii="黑体" w:hAnsi="黑体" w:eastAsia="黑体" w:cs="黑体"/>
          <w:bCs/>
          <w:sz w:val="32"/>
          <w:szCs w:val="32"/>
          <w:highlight w:val="none"/>
          <w:lang w:val="en-US" w:eastAsia="zh-CN"/>
        </w:rPr>
        <w:t>转移支付基本</w:t>
      </w:r>
      <w:r>
        <w:rPr>
          <w:rFonts w:hint="eastAsia" w:ascii="黑体" w:hAnsi="黑体" w:eastAsia="黑体" w:cs="黑体"/>
          <w:bCs/>
          <w:sz w:val="32"/>
          <w:szCs w:val="32"/>
          <w:highlight w:val="none"/>
        </w:rPr>
        <w:t>情况</w:t>
      </w:r>
    </w:p>
    <w:p>
      <w:pPr>
        <w:spacing w:line="560" w:lineRule="exact"/>
        <w:ind w:firstLine="642" w:firstLineChars="200"/>
        <w:outlineLvl w:val="0"/>
        <w:rPr>
          <w:rFonts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（一）中央</w:t>
      </w:r>
      <w:r>
        <w:rPr>
          <w:rFonts w:hint="eastAsia" w:ascii="楷体_GB2312" w:hAnsi="楷体_GB2312" w:eastAsia="楷体_GB2312" w:cs="楷体_GB2312"/>
          <w:b/>
          <w:bCs/>
          <w:sz w:val="32"/>
          <w:szCs w:val="32"/>
          <w:highlight w:val="none"/>
          <w:lang w:val="en-US" w:eastAsia="zh-CN"/>
        </w:rPr>
        <w:t>专项</w:t>
      </w:r>
      <w:r>
        <w:rPr>
          <w:rFonts w:hint="eastAsia" w:ascii="楷体_GB2312" w:hAnsi="楷体_GB2312" w:eastAsia="楷体_GB2312" w:cs="楷体_GB2312"/>
          <w:b/>
          <w:bCs/>
          <w:sz w:val="32"/>
          <w:szCs w:val="32"/>
          <w:highlight w:val="none"/>
        </w:rPr>
        <w:t>彩票公益金</w:t>
      </w:r>
      <w:r>
        <w:rPr>
          <w:rFonts w:hint="eastAsia" w:ascii="楷体_GB2312" w:hAnsi="楷体_GB2312" w:eastAsia="楷体_GB2312" w:cs="楷体_GB2312"/>
          <w:b/>
          <w:bCs/>
          <w:sz w:val="32"/>
          <w:szCs w:val="32"/>
          <w:highlight w:val="none"/>
          <w:lang w:val="en-US" w:eastAsia="zh-CN"/>
        </w:rPr>
        <w:t>概</w:t>
      </w:r>
      <w:r>
        <w:rPr>
          <w:rFonts w:hint="eastAsia" w:ascii="楷体_GB2312" w:hAnsi="楷体_GB2312" w:eastAsia="楷体_GB2312" w:cs="楷体_GB2312"/>
          <w:b/>
          <w:bCs/>
          <w:sz w:val="32"/>
          <w:szCs w:val="32"/>
          <w:highlight w:val="none"/>
        </w:rPr>
        <w:t>况</w:t>
      </w:r>
    </w:p>
    <w:p>
      <w:pPr>
        <w:spacing w:line="560" w:lineRule="exact"/>
        <w:ind w:firstLine="640" w:firstLineChars="200"/>
        <w:rPr>
          <w:rFonts w:hint="eastAsia" w:ascii="仿宋_GB2312" w:hAnsi="仿宋_GB2312" w:cs="仿宋_GB2312"/>
          <w:sz w:val="32"/>
          <w:szCs w:val="32"/>
          <w:highlight w:val="none"/>
        </w:rPr>
      </w:pPr>
      <w:r>
        <w:rPr>
          <w:rFonts w:hint="eastAsia" w:ascii="仿宋_GB2312" w:hAnsi="仿宋_GB2312" w:cs="仿宋_GB2312"/>
          <w:sz w:val="32"/>
          <w:szCs w:val="32"/>
          <w:highlight w:val="none"/>
        </w:rPr>
        <w:t>根据《财政部 民政部关于下达202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年中央</w:t>
      </w:r>
      <w:r>
        <w:rPr>
          <w:rFonts w:hint="eastAsia" w:ascii="仿宋_GB2312" w:hAnsi="仿宋_GB2312" w:cs="仿宋_GB2312"/>
          <w:sz w:val="32"/>
          <w:szCs w:val="32"/>
          <w:highlight w:val="none"/>
          <w:lang w:eastAsia="zh-CN"/>
        </w:rPr>
        <w:t>专项</w:t>
      </w:r>
      <w:r>
        <w:rPr>
          <w:rFonts w:hint="eastAsia" w:ascii="仿宋_GB2312" w:hAnsi="仿宋_GB2312" w:cs="仿宋_GB2312"/>
          <w:sz w:val="32"/>
          <w:szCs w:val="32"/>
          <w:highlight w:val="none"/>
        </w:rPr>
        <w:t>彩票公益金支持</w:t>
      </w:r>
      <w:r>
        <w:rPr>
          <w:rFonts w:hint="eastAsia" w:ascii="仿宋_GB2312" w:hAnsi="仿宋_GB2312" w:cs="仿宋_GB2312"/>
          <w:sz w:val="32"/>
          <w:szCs w:val="32"/>
          <w:highlight w:val="none"/>
          <w:lang w:val="en-US" w:eastAsia="zh-CN"/>
        </w:rPr>
        <w:t>居家和社区基本养老服务提升行动项目</w:t>
      </w:r>
      <w:r>
        <w:rPr>
          <w:rFonts w:hint="eastAsia" w:ascii="仿宋_GB2312" w:hAnsi="仿宋_GB2312" w:cs="仿宋_GB2312"/>
          <w:sz w:val="32"/>
          <w:szCs w:val="32"/>
          <w:highlight w:val="none"/>
        </w:rPr>
        <w:t>资金预算的通知》（财社〔20</w:t>
      </w:r>
      <w:r>
        <w:rPr>
          <w:rFonts w:ascii="仿宋_GB2312" w:hAnsi="仿宋_GB2312" w:cs="仿宋_GB2312"/>
          <w:sz w:val="32"/>
          <w:szCs w:val="32"/>
          <w:highlight w:val="none"/>
        </w:rPr>
        <w:t>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val="en-US" w:eastAsia="zh-CN"/>
        </w:rPr>
        <w:t>6</w:t>
      </w:r>
      <w:r>
        <w:rPr>
          <w:rFonts w:hint="eastAsia" w:ascii="仿宋_GB2312" w:hAnsi="仿宋_GB2312" w:cs="仿宋_GB2312"/>
          <w:sz w:val="32"/>
          <w:szCs w:val="32"/>
          <w:highlight w:val="none"/>
        </w:rPr>
        <w:t>1号）</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rPr>
        <w:t>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w:t>
      </w:r>
      <w:r>
        <w:rPr>
          <w:rFonts w:hint="eastAsia" w:ascii="仿宋_GB2312" w:hAnsi="仿宋_GB2312" w:cs="仿宋_GB2312"/>
          <w:sz w:val="32"/>
          <w:szCs w:val="32"/>
          <w:highlight w:val="none"/>
          <w:lang w:eastAsia="zh-CN"/>
        </w:rPr>
        <w:t>下达</w:t>
      </w:r>
      <w:r>
        <w:rPr>
          <w:rFonts w:hint="eastAsia" w:ascii="仿宋_GB2312" w:hAnsi="仿宋_GB2312" w:cs="仿宋_GB2312"/>
          <w:sz w:val="32"/>
          <w:szCs w:val="32"/>
          <w:highlight w:val="none"/>
        </w:rPr>
        <w:t>中央</w:t>
      </w:r>
      <w:r>
        <w:rPr>
          <w:rFonts w:hint="eastAsia" w:ascii="仿宋_GB2312" w:hAnsi="仿宋_GB2312" w:cs="仿宋_GB2312"/>
          <w:sz w:val="32"/>
          <w:szCs w:val="32"/>
          <w:highlight w:val="none"/>
          <w:lang w:val="en-US" w:eastAsia="zh-CN"/>
        </w:rPr>
        <w:t>专项</w:t>
      </w:r>
      <w:r>
        <w:rPr>
          <w:rFonts w:hint="eastAsia" w:ascii="仿宋_GB2312" w:hAnsi="仿宋_GB2312" w:cs="仿宋_GB2312"/>
          <w:sz w:val="32"/>
          <w:szCs w:val="32"/>
          <w:highlight w:val="none"/>
          <w:lang w:eastAsia="zh-CN"/>
        </w:rPr>
        <w:t>福利彩票公益金</w:t>
      </w:r>
      <w:r>
        <w:rPr>
          <w:rFonts w:hint="eastAsia" w:ascii="仿宋_GB2312" w:hAnsi="仿宋_GB2312" w:cs="仿宋_GB2312"/>
          <w:sz w:val="32"/>
          <w:szCs w:val="32"/>
          <w:highlight w:val="none"/>
        </w:rPr>
        <w:t>共</w:t>
      </w:r>
      <w:r>
        <w:rPr>
          <w:rFonts w:hint="eastAsia" w:ascii="仿宋_GB2312" w:hAnsi="仿宋_GB2312" w:cs="仿宋_GB2312"/>
          <w:sz w:val="32"/>
          <w:szCs w:val="32"/>
          <w:highlight w:val="none"/>
          <w:lang w:eastAsia="zh-CN"/>
        </w:rPr>
        <w:t>计</w:t>
      </w:r>
      <w:r>
        <w:rPr>
          <w:rFonts w:hint="eastAsia" w:ascii="仿宋_GB2312" w:hAnsi="仿宋_GB2312" w:cs="仿宋_GB2312"/>
          <w:sz w:val="32"/>
          <w:szCs w:val="32"/>
          <w:highlight w:val="none"/>
          <w:lang w:val="en-US" w:eastAsia="zh-CN"/>
        </w:rPr>
        <w:t>748</w:t>
      </w:r>
      <w:r>
        <w:rPr>
          <w:rFonts w:hint="eastAsia" w:ascii="仿宋_GB2312" w:hAnsi="仿宋_GB2312" w:cs="仿宋_GB2312"/>
          <w:sz w:val="32"/>
          <w:szCs w:val="32"/>
          <w:highlight w:val="none"/>
        </w:rPr>
        <w:t>万元，</w:t>
      </w:r>
      <w:r>
        <w:rPr>
          <w:rFonts w:hint="eastAsia" w:ascii="仿宋_GB2312" w:hAnsi="仿宋_GB2312" w:cs="仿宋_GB2312"/>
          <w:sz w:val="32"/>
          <w:szCs w:val="32"/>
          <w:highlight w:val="none"/>
          <w:lang w:val="en-US" w:eastAsia="zh-CN"/>
        </w:rPr>
        <w:t>用于居家和社区基本养老服务提升行动</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rPr>
        <w:t>中央</w:t>
      </w:r>
      <w:r>
        <w:rPr>
          <w:rFonts w:hint="eastAsia" w:ascii="仿宋_GB2312" w:hAnsi="仿宋_GB2312" w:cs="仿宋_GB2312"/>
          <w:sz w:val="32"/>
          <w:szCs w:val="32"/>
          <w:highlight w:val="none"/>
          <w:lang w:val="en-US" w:eastAsia="zh-CN"/>
        </w:rPr>
        <w:t>专项</w:t>
      </w:r>
      <w:r>
        <w:rPr>
          <w:rFonts w:hint="eastAsia" w:ascii="仿宋_GB2312" w:hAnsi="仿宋_GB2312" w:cs="仿宋_GB2312"/>
          <w:sz w:val="32"/>
          <w:szCs w:val="32"/>
          <w:highlight w:val="none"/>
        </w:rPr>
        <w:t>福利彩票公益金整体绩效目标随预算一并下达。</w:t>
      </w:r>
    </w:p>
    <w:p>
      <w:pPr>
        <w:spacing w:line="560" w:lineRule="exact"/>
        <w:ind w:firstLine="640" w:firstLineChars="200"/>
        <w:rPr>
          <w:rFonts w:hint="eastAsia" w:ascii="仿宋_GB2312" w:hAnsi="仿宋_GB2312" w:cs="仿宋_GB2312"/>
          <w:sz w:val="32"/>
          <w:szCs w:val="32"/>
          <w:highlight w:val="none"/>
        </w:rPr>
      </w:pPr>
      <w:r>
        <w:rPr>
          <w:rFonts w:hint="eastAsia" w:ascii="仿宋_GB2312" w:hAnsi="仿宋_GB2312" w:cs="仿宋_GB2312"/>
          <w:sz w:val="32"/>
          <w:szCs w:val="32"/>
          <w:highlight w:val="none"/>
        </w:rPr>
        <w:t>按照</w:t>
      </w:r>
      <w:r>
        <w:rPr>
          <w:rFonts w:hint="eastAsia"/>
          <w:sz w:val="32"/>
          <w:szCs w:val="32"/>
          <w:highlight w:val="none"/>
        </w:rPr>
        <w:t>福利彩票</w:t>
      </w:r>
      <w:r>
        <w:rPr>
          <w:rFonts w:hint="eastAsia"/>
          <w:sz w:val="32"/>
          <w:szCs w:val="32"/>
          <w:highlight w:val="none"/>
          <w:lang w:eastAsia="zh-CN"/>
        </w:rPr>
        <w:t>公益金</w:t>
      </w:r>
      <w:r>
        <w:rPr>
          <w:rFonts w:hint="eastAsia" w:ascii="仿宋_GB2312" w:hAnsi="仿宋_GB2312" w:cs="仿宋_GB2312"/>
          <w:sz w:val="32"/>
          <w:szCs w:val="32"/>
          <w:highlight w:val="none"/>
        </w:rPr>
        <w:t>“扶老、助残、救孤、济困”的宗旨和中央文件精神，根据</w:t>
      </w:r>
      <w:r>
        <w:rPr>
          <w:rFonts w:ascii="仿宋_GB2312" w:hAnsi="仿宋_GB2312" w:cs="仿宋_GB2312"/>
          <w:sz w:val="32"/>
          <w:szCs w:val="32"/>
          <w:highlight w:val="none"/>
        </w:rPr>
        <w:t>《</w:t>
      </w:r>
      <w:r>
        <w:rPr>
          <w:rFonts w:hint="eastAsia" w:ascii="仿宋_GB2312" w:hAnsi="仿宋_GB2312" w:cs="仿宋_GB2312"/>
          <w:sz w:val="32"/>
          <w:szCs w:val="32"/>
          <w:highlight w:val="none"/>
        </w:rPr>
        <w:t>北京市财政局关于下达昌平区2023年中央专项彩票公益金支持居家和社区基本养老服务提升项目资金的通知</w:t>
      </w:r>
      <w:r>
        <w:rPr>
          <w:rFonts w:ascii="仿宋_GB2312" w:hAnsi="仿宋_GB2312" w:cs="仿宋_GB2312"/>
          <w:sz w:val="32"/>
          <w:szCs w:val="32"/>
          <w:highlight w:val="none"/>
        </w:rPr>
        <w:t>》</w:t>
      </w:r>
      <w:r>
        <w:rPr>
          <w:rFonts w:hint="eastAsia" w:ascii="仿宋_GB2312" w:hAnsi="仿宋_GB2312" w:cs="仿宋_GB2312"/>
          <w:sz w:val="32"/>
          <w:szCs w:val="32"/>
          <w:highlight w:val="none"/>
        </w:rPr>
        <w:t>（京财社指〔20</w:t>
      </w:r>
      <w:r>
        <w:rPr>
          <w:rFonts w:ascii="仿宋_GB2312" w:hAnsi="仿宋_GB2312" w:cs="仿宋_GB2312"/>
          <w:sz w:val="32"/>
          <w:szCs w:val="32"/>
          <w:highlight w:val="none"/>
        </w:rPr>
        <w:t>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val="en-US" w:eastAsia="zh-CN"/>
        </w:rPr>
        <w:t>1361</w:t>
      </w:r>
      <w:r>
        <w:rPr>
          <w:rFonts w:hint="eastAsia" w:ascii="仿宋_GB2312" w:hAnsi="仿宋_GB2312" w:cs="仿宋_GB2312"/>
          <w:sz w:val="32"/>
          <w:szCs w:val="32"/>
          <w:highlight w:val="none"/>
        </w:rPr>
        <w:t>号），中央</w:t>
      </w:r>
      <w:r>
        <w:rPr>
          <w:rFonts w:hint="eastAsia" w:ascii="仿宋_GB2312" w:hAnsi="仿宋_GB2312" w:cs="仿宋_GB2312"/>
          <w:sz w:val="32"/>
          <w:szCs w:val="32"/>
          <w:highlight w:val="none"/>
          <w:lang w:val="en-US" w:eastAsia="zh-CN"/>
        </w:rPr>
        <w:t>专项</w:t>
      </w:r>
      <w:r>
        <w:rPr>
          <w:rFonts w:hint="eastAsia" w:ascii="仿宋_GB2312" w:hAnsi="仿宋_GB2312" w:cs="仿宋_GB2312"/>
          <w:sz w:val="32"/>
          <w:szCs w:val="32"/>
          <w:highlight w:val="none"/>
        </w:rPr>
        <w:t>福利彩票公益金按时下达至</w:t>
      </w:r>
      <w:r>
        <w:rPr>
          <w:rFonts w:hint="eastAsia" w:ascii="仿宋_GB2312" w:hAnsi="仿宋_GB2312" w:cs="仿宋_GB2312"/>
          <w:sz w:val="32"/>
          <w:szCs w:val="32"/>
          <w:highlight w:val="none"/>
          <w:lang w:val="en-US" w:eastAsia="zh-CN"/>
        </w:rPr>
        <w:t>昌平</w:t>
      </w:r>
      <w:r>
        <w:rPr>
          <w:rFonts w:hint="eastAsia" w:ascii="仿宋_GB2312" w:hAnsi="仿宋_GB2312" w:cs="仿宋_GB2312"/>
          <w:sz w:val="32"/>
          <w:szCs w:val="32"/>
          <w:highlight w:val="none"/>
        </w:rPr>
        <w:t>区，绩效目标随预算一并批复下达。</w:t>
      </w:r>
    </w:p>
    <w:p>
      <w:pPr>
        <w:spacing w:line="560" w:lineRule="exact"/>
        <w:ind w:firstLine="642" w:firstLineChars="200"/>
        <w:outlineLvl w:val="0"/>
        <w:rPr>
          <w:rFonts w:ascii="楷体_GB2312" w:hAnsi="楷体_GB2312" w:eastAsia="楷体_GB2312" w:cs="楷体_GB2312"/>
          <w:sz w:val="32"/>
          <w:szCs w:val="32"/>
          <w:highlight w:val="none"/>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val="en-US" w:eastAsia="zh-CN"/>
        </w:rPr>
        <w:t>二</w:t>
      </w:r>
      <w:r>
        <w:rPr>
          <w:rFonts w:hint="eastAsia" w:ascii="楷体_GB2312" w:hAnsi="楷体_GB2312" w:eastAsia="楷体_GB2312" w:cs="楷体_GB2312"/>
          <w:b/>
          <w:bCs/>
          <w:sz w:val="32"/>
          <w:szCs w:val="32"/>
          <w:highlight w:val="none"/>
        </w:rPr>
        <w:t>）资金投入情况分析</w:t>
      </w:r>
    </w:p>
    <w:p>
      <w:pPr>
        <w:spacing w:line="560" w:lineRule="exact"/>
        <w:ind w:firstLine="642" w:firstLineChars="200"/>
        <w:rPr>
          <w:rFonts w:ascii="仿宋_GB2312" w:hAnsi="仿宋_GB2312" w:cs="仿宋_GB2312"/>
          <w:sz w:val="32"/>
          <w:szCs w:val="32"/>
          <w:highlight w:val="none"/>
        </w:rPr>
      </w:pPr>
      <w:r>
        <w:rPr>
          <w:rFonts w:hint="eastAsia" w:ascii="仿宋_GB2312"/>
          <w:b/>
          <w:sz w:val="32"/>
          <w:szCs w:val="32"/>
          <w:highlight w:val="none"/>
        </w:rPr>
        <w:t>1.项目资金到位情况分析。</w:t>
      </w:r>
      <w:r>
        <w:rPr>
          <w:rFonts w:hint="eastAsia" w:ascii="仿宋_GB2312" w:hAnsi="仿宋_GB2312" w:cs="仿宋_GB2312"/>
          <w:sz w:val="32"/>
          <w:szCs w:val="32"/>
          <w:highlight w:val="none"/>
        </w:rPr>
        <w:t>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年累计下达中央</w:t>
      </w:r>
      <w:r>
        <w:rPr>
          <w:rFonts w:hint="eastAsia" w:ascii="仿宋_GB2312" w:hAnsi="仿宋_GB2312" w:cs="仿宋_GB2312"/>
          <w:sz w:val="32"/>
          <w:szCs w:val="32"/>
          <w:highlight w:val="none"/>
          <w:lang w:val="en-US" w:eastAsia="zh-CN"/>
        </w:rPr>
        <w:t>专项</w:t>
      </w:r>
      <w:r>
        <w:rPr>
          <w:rFonts w:hint="eastAsia" w:ascii="仿宋_GB2312" w:hAnsi="仿宋_GB2312" w:cs="仿宋_GB2312"/>
          <w:sz w:val="32"/>
          <w:szCs w:val="32"/>
          <w:highlight w:val="none"/>
        </w:rPr>
        <w:t>福利彩票公益金支持居家和社区基本养老服务提升项目</w:t>
      </w:r>
      <w:r>
        <w:rPr>
          <w:rFonts w:hint="eastAsia" w:ascii="仿宋_GB2312" w:hAnsi="仿宋_GB2312" w:cs="仿宋_GB2312"/>
          <w:sz w:val="32"/>
          <w:szCs w:val="32"/>
          <w:highlight w:val="none"/>
          <w:lang w:val="en-US" w:eastAsia="zh-CN"/>
        </w:rPr>
        <w:t>资金748</w:t>
      </w:r>
      <w:r>
        <w:rPr>
          <w:rFonts w:hint="eastAsia" w:ascii="仿宋_GB2312" w:hAnsi="仿宋_GB2312" w:cs="仿宋_GB2312"/>
          <w:sz w:val="32"/>
          <w:szCs w:val="32"/>
          <w:highlight w:val="none"/>
        </w:rPr>
        <w:t>万元，截至202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年7月，中央资金全部分解下达至</w:t>
      </w:r>
      <w:r>
        <w:rPr>
          <w:rFonts w:hint="eastAsia" w:ascii="仿宋_GB2312" w:hAnsi="仿宋_GB2312" w:cs="仿宋_GB2312"/>
          <w:sz w:val="32"/>
          <w:szCs w:val="32"/>
          <w:highlight w:val="none"/>
          <w:lang w:val="en-US" w:eastAsia="zh-CN"/>
        </w:rPr>
        <w:t>昌平</w:t>
      </w:r>
      <w:r>
        <w:rPr>
          <w:rFonts w:hint="eastAsia" w:ascii="仿宋_GB2312" w:hAnsi="仿宋_GB2312" w:cs="仿宋_GB2312"/>
          <w:sz w:val="32"/>
          <w:szCs w:val="32"/>
          <w:highlight w:val="none"/>
        </w:rPr>
        <w:t>区财政局，资金到位率100%</w:t>
      </w:r>
      <w:r>
        <w:rPr>
          <w:rFonts w:ascii="仿宋_GB2312" w:hAnsi="仿宋_GB2312" w:cs="仿宋_GB2312"/>
          <w:sz w:val="32"/>
          <w:szCs w:val="32"/>
          <w:highlight w:val="none"/>
        </w:rPr>
        <w:t>。</w:t>
      </w:r>
    </w:p>
    <w:p>
      <w:pPr>
        <w:spacing w:line="560" w:lineRule="exact"/>
        <w:ind w:firstLine="642" w:firstLineChars="200"/>
        <w:jc w:val="both"/>
        <w:rPr>
          <w:rFonts w:hint="default" w:ascii="仿宋_GB2312" w:hAnsi="仿宋_GB2312" w:cs="仿宋_GB2312"/>
          <w:sz w:val="32"/>
          <w:szCs w:val="32"/>
          <w:highlight w:val="none"/>
        </w:rPr>
      </w:pPr>
      <w:r>
        <w:rPr>
          <w:rFonts w:hint="eastAsia" w:ascii="仿宋_GB2312"/>
          <w:b/>
          <w:sz w:val="32"/>
          <w:szCs w:val="32"/>
          <w:highlight w:val="none"/>
        </w:rPr>
        <w:t>2.项目资金执行情况分析。</w:t>
      </w:r>
      <w:r>
        <w:rPr>
          <w:rFonts w:hint="eastAsia" w:ascii="仿宋_GB2312" w:hAnsi="仿宋_GB2312" w:cs="仿宋_GB2312"/>
          <w:sz w:val="32"/>
          <w:szCs w:val="32"/>
          <w:highlight w:val="none"/>
        </w:rPr>
        <w:t>彩票公益金执行期两年</w:t>
      </w:r>
      <w:r>
        <w:rPr>
          <w:rFonts w:ascii="仿宋_GB2312" w:hAnsi="仿宋_GB2312" w:cs="仿宋_GB2312"/>
          <w:sz w:val="32"/>
          <w:szCs w:val="32"/>
          <w:highlight w:val="none"/>
        </w:rPr>
        <w:t>，</w:t>
      </w:r>
      <w:r>
        <w:rPr>
          <w:rFonts w:hint="eastAsia" w:ascii="仿宋_GB2312" w:hAnsi="仿宋_GB2312" w:cs="仿宋_GB2312"/>
          <w:sz w:val="32"/>
          <w:szCs w:val="32"/>
          <w:highlight w:val="none"/>
        </w:rPr>
        <w:t>截至20</w:t>
      </w:r>
      <w:r>
        <w:rPr>
          <w:rFonts w:ascii="仿宋_GB2312" w:hAnsi="仿宋_GB2312" w:cs="仿宋_GB2312"/>
          <w:sz w:val="32"/>
          <w:szCs w:val="32"/>
          <w:highlight w:val="none"/>
        </w:rPr>
        <w:t>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w:t>
      </w:r>
      <w:r>
        <w:rPr>
          <w:rFonts w:ascii="仿宋_GB2312" w:hAnsi="仿宋_GB2312" w:cs="仿宋_GB2312"/>
          <w:sz w:val="32"/>
          <w:szCs w:val="32"/>
          <w:highlight w:val="none"/>
        </w:rPr>
        <w:t>12</w:t>
      </w:r>
      <w:r>
        <w:rPr>
          <w:rFonts w:hint="eastAsia" w:ascii="仿宋_GB2312" w:hAnsi="仿宋_GB2312" w:cs="仿宋_GB2312"/>
          <w:sz w:val="32"/>
          <w:szCs w:val="32"/>
          <w:highlight w:val="none"/>
        </w:rPr>
        <w:t>月底，中央资金累计支出</w:t>
      </w:r>
      <w:r>
        <w:rPr>
          <w:rFonts w:hint="eastAsia" w:ascii="仿宋_GB2312" w:hAnsi="仿宋_GB2312" w:cs="仿宋_GB2312"/>
          <w:sz w:val="32"/>
          <w:szCs w:val="32"/>
          <w:highlight w:val="none"/>
          <w:lang w:val="en-US" w:eastAsia="zh-CN"/>
        </w:rPr>
        <w:t>255</w:t>
      </w:r>
      <w:r>
        <w:rPr>
          <w:rFonts w:hint="eastAsia" w:ascii="仿宋_GB2312" w:hAnsi="仿宋_GB2312" w:cs="仿宋_GB2312"/>
          <w:sz w:val="32"/>
          <w:szCs w:val="32"/>
          <w:highlight w:val="none"/>
        </w:rPr>
        <w:t>.</w:t>
      </w:r>
      <w:r>
        <w:rPr>
          <w:rFonts w:ascii="仿宋_GB2312" w:hAnsi="仿宋_GB2312" w:cs="仿宋_GB2312"/>
          <w:sz w:val="32"/>
          <w:szCs w:val="32"/>
          <w:highlight w:val="none"/>
        </w:rPr>
        <w:t>4</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rPr>
        <w:t>万元，预算执行率</w:t>
      </w:r>
      <w:r>
        <w:rPr>
          <w:rFonts w:hint="eastAsia" w:ascii="仿宋_GB2312" w:hAnsi="仿宋_GB2312" w:cs="仿宋_GB2312"/>
          <w:sz w:val="32"/>
          <w:szCs w:val="32"/>
          <w:highlight w:val="none"/>
          <w:lang w:val="en-US" w:eastAsia="zh-CN"/>
        </w:rPr>
        <w:t>34</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val="en-US" w:eastAsia="zh-CN"/>
        </w:rPr>
        <w:t>15</w:t>
      </w:r>
      <w:r>
        <w:rPr>
          <w:rFonts w:hint="eastAsia" w:ascii="仿宋_GB2312" w:hAnsi="仿宋_GB2312" w:cs="仿宋_GB2312"/>
          <w:sz w:val="32"/>
          <w:szCs w:val="32"/>
          <w:highlight w:val="none"/>
        </w:rPr>
        <w:t>%</w:t>
      </w:r>
      <w:r>
        <w:rPr>
          <w:rFonts w:ascii="仿宋_GB2312" w:hAnsi="仿宋_GB2312" w:cs="仿宋_GB2312"/>
          <w:sz w:val="32"/>
          <w:szCs w:val="32"/>
          <w:highlight w:val="none"/>
        </w:rPr>
        <w:t>；202</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rPr>
        <w:t>年使用中央</w:t>
      </w:r>
      <w:r>
        <w:rPr>
          <w:rFonts w:hint="eastAsia" w:ascii="仿宋_GB2312" w:hAnsi="仿宋_GB2312" w:cs="仿宋_GB2312"/>
          <w:sz w:val="32"/>
          <w:szCs w:val="32"/>
          <w:highlight w:val="none"/>
          <w:lang w:val="en-US" w:eastAsia="zh-CN"/>
        </w:rPr>
        <w:t>专项</w:t>
      </w:r>
      <w:r>
        <w:rPr>
          <w:rFonts w:hint="eastAsia" w:ascii="仿宋_GB2312" w:hAnsi="仿宋_GB2312" w:cs="仿宋_GB2312"/>
          <w:sz w:val="32"/>
          <w:szCs w:val="32"/>
          <w:highlight w:val="none"/>
        </w:rPr>
        <w:t>福利彩票公益金支持居家和社区基本养老服务提升项目以前年度结转资金</w:t>
      </w:r>
      <w:r>
        <w:rPr>
          <w:rFonts w:hint="eastAsia" w:ascii="仿宋_GB2312" w:hAnsi="仿宋_GB2312" w:cs="仿宋_GB2312"/>
          <w:sz w:val="32"/>
          <w:szCs w:val="32"/>
          <w:highlight w:val="none"/>
          <w:lang w:val="en-US" w:eastAsia="zh-CN"/>
        </w:rPr>
        <w:t>868</w:t>
      </w:r>
      <w:r>
        <w:rPr>
          <w:rFonts w:hint="eastAsia" w:ascii="仿宋_GB2312" w:hAnsi="仿宋_GB2312" w:cs="仿宋_GB2312"/>
          <w:sz w:val="32"/>
          <w:szCs w:val="32"/>
          <w:highlight w:val="none"/>
        </w:rPr>
        <w:t>万元，累计支出</w:t>
      </w:r>
      <w:r>
        <w:rPr>
          <w:rFonts w:hint="eastAsia" w:ascii="仿宋_GB2312" w:hAnsi="仿宋_GB2312" w:cs="仿宋_GB2312"/>
          <w:sz w:val="32"/>
          <w:szCs w:val="32"/>
          <w:highlight w:val="none"/>
          <w:lang w:val="en-US" w:eastAsia="zh-CN"/>
        </w:rPr>
        <w:t>731.01</w:t>
      </w:r>
      <w:r>
        <w:rPr>
          <w:rFonts w:hint="eastAsia" w:ascii="仿宋_GB2312" w:hAnsi="仿宋_GB2312" w:cs="仿宋_GB2312"/>
          <w:sz w:val="32"/>
          <w:szCs w:val="32"/>
          <w:highlight w:val="none"/>
        </w:rPr>
        <w:t>万元，预算执行率</w:t>
      </w:r>
      <w:r>
        <w:rPr>
          <w:rFonts w:hint="eastAsia" w:ascii="仿宋_GB2312" w:hAnsi="仿宋_GB2312" w:cs="仿宋_GB2312"/>
          <w:sz w:val="32"/>
          <w:szCs w:val="32"/>
          <w:highlight w:val="none"/>
          <w:lang w:val="en-US" w:eastAsia="zh-CN"/>
        </w:rPr>
        <w:t>84.22</w:t>
      </w:r>
      <w:r>
        <w:rPr>
          <w:rFonts w:ascii="仿宋_GB2312" w:hAnsi="仿宋_GB2312" w:cs="仿宋_GB2312"/>
          <w:sz w:val="32"/>
          <w:szCs w:val="32"/>
          <w:highlight w:val="none"/>
        </w:rPr>
        <w:t>%。</w:t>
      </w:r>
      <w:r>
        <w:rPr>
          <w:rFonts w:hint="eastAsia" w:ascii="仿宋_GB2312" w:hAnsi="仿宋_GB2312" w:cs="仿宋_GB2312"/>
          <w:sz w:val="32"/>
          <w:szCs w:val="32"/>
          <w:highlight w:val="none"/>
          <w:lang w:val="en-US" w:eastAsia="zh-CN"/>
        </w:rPr>
        <w:t>专项</w:t>
      </w:r>
      <w:r>
        <w:rPr>
          <w:rFonts w:hint="eastAsia" w:ascii="仿宋_GB2312" w:hAnsi="仿宋_GB2312" w:cs="仿宋_GB2312"/>
          <w:sz w:val="32"/>
          <w:szCs w:val="32"/>
          <w:highlight w:val="none"/>
        </w:rPr>
        <w:t>福利彩票公益金</w:t>
      </w:r>
      <w:r>
        <w:rPr>
          <w:rFonts w:hint="eastAsia" w:ascii="仿宋_GB2312" w:hAnsi="仿宋_GB2312" w:cs="仿宋_GB2312"/>
          <w:sz w:val="32"/>
          <w:szCs w:val="32"/>
          <w:highlight w:val="none"/>
          <w:lang w:val="en-US" w:eastAsia="zh-Hans"/>
        </w:rPr>
        <w:t>整体</w:t>
      </w:r>
      <w:r>
        <w:rPr>
          <w:rFonts w:ascii="仿宋_GB2312" w:hAnsi="仿宋_GB2312" w:cs="仿宋_GB2312"/>
          <w:sz w:val="32"/>
          <w:szCs w:val="32"/>
          <w:highlight w:val="none"/>
        </w:rPr>
        <w:t>预算执行情况详见表</w:t>
      </w:r>
      <w:r>
        <w:rPr>
          <w:rFonts w:hint="eastAsia" w:ascii="仿宋_GB2312" w:hAnsi="仿宋_GB2312" w:cs="仿宋_GB2312"/>
          <w:sz w:val="32"/>
          <w:szCs w:val="32"/>
          <w:highlight w:val="none"/>
          <w:lang w:val="en-US" w:eastAsia="zh-CN"/>
        </w:rPr>
        <w:t>1</w:t>
      </w:r>
      <w:r>
        <w:rPr>
          <w:rFonts w:hint="default" w:ascii="仿宋_GB2312" w:hAnsi="仿宋_GB2312" w:cs="仿宋_GB2312"/>
          <w:sz w:val="32"/>
          <w:szCs w:val="32"/>
          <w:highlight w:val="none"/>
        </w:rPr>
        <w:t>。</w:t>
      </w:r>
    </w:p>
    <w:p>
      <w:pPr>
        <w:spacing w:line="550" w:lineRule="exact"/>
        <w:ind w:firstLine="480" w:firstLineChars="200"/>
        <w:jc w:val="right"/>
        <w:rPr>
          <w:rFonts w:hint="eastAsia" w:ascii="宋体" w:hAnsi="宋体" w:eastAsia="宋体"/>
          <w:sz w:val="24"/>
          <w:highlight w:val="none"/>
          <w:lang w:val="en-US" w:eastAsia="zh-CN"/>
        </w:rPr>
      </w:pPr>
    </w:p>
    <w:p>
      <w:pPr>
        <w:spacing w:line="550" w:lineRule="exact"/>
        <w:rPr>
          <w:rFonts w:ascii="仿宋_GB2312" w:hAnsi="仿宋_GB2312" w:cs="仿宋_GB2312"/>
          <w:sz w:val="32"/>
          <w:szCs w:val="32"/>
          <w:highlight w:val="none"/>
        </w:rPr>
        <w:sectPr>
          <w:headerReference r:id="rId4" w:type="default"/>
          <w:footerReference r:id="rId5" w:type="default"/>
          <w:pgSz w:w="11906" w:h="16838"/>
          <w:pgMar w:top="2098" w:right="1474" w:bottom="1984" w:left="1587" w:header="851" w:footer="992" w:gutter="0"/>
          <w:cols w:space="720" w:num="1"/>
          <w:docGrid w:type="lines" w:linePitch="421" w:charSpace="0"/>
        </w:sectPr>
      </w:pPr>
    </w:p>
    <w:p>
      <w:pPr>
        <w:spacing w:line="550" w:lineRule="exact"/>
        <w:ind w:firstLine="480" w:firstLineChars="200"/>
        <w:jc w:val="center"/>
        <w:rPr>
          <w:rFonts w:hint="eastAsia" w:ascii="黑体" w:hAnsi="黑体" w:eastAsia="黑体"/>
          <w:sz w:val="24"/>
          <w:highlight w:val="none"/>
        </w:rPr>
      </w:pPr>
      <w:r>
        <w:rPr>
          <w:rFonts w:hint="eastAsia" w:ascii="黑体" w:hAnsi="黑体" w:eastAsia="黑体"/>
          <w:sz w:val="24"/>
          <w:highlight w:val="none"/>
        </w:rPr>
        <w:t>表</w:t>
      </w:r>
      <w:r>
        <w:rPr>
          <w:rFonts w:hint="eastAsia" w:ascii="黑体" w:hAnsi="黑体" w:eastAsia="黑体"/>
          <w:sz w:val="24"/>
          <w:highlight w:val="none"/>
          <w:lang w:val="en-US" w:eastAsia="zh-CN"/>
        </w:rPr>
        <w:t>1</w:t>
      </w:r>
      <w:r>
        <w:rPr>
          <w:rFonts w:hint="eastAsia" w:ascii="黑体" w:hAnsi="黑体" w:eastAsia="黑体"/>
          <w:sz w:val="24"/>
          <w:highlight w:val="none"/>
        </w:rPr>
        <w:t xml:space="preserve"> 北京市20</w:t>
      </w:r>
      <w:r>
        <w:rPr>
          <w:rFonts w:ascii="黑体" w:hAnsi="黑体" w:eastAsia="黑体"/>
          <w:sz w:val="24"/>
          <w:highlight w:val="none"/>
        </w:rPr>
        <w:t>2</w:t>
      </w:r>
      <w:r>
        <w:rPr>
          <w:rFonts w:hint="eastAsia" w:ascii="黑体" w:hAnsi="黑体" w:eastAsia="黑体"/>
          <w:sz w:val="24"/>
          <w:highlight w:val="none"/>
          <w:lang w:val="en-US" w:eastAsia="zh-CN"/>
        </w:rPr>
        <w:t>3</w:t>
      </w:r>
      <w:r>
        <w:rPr>
          <w:rFonts w:hint="eastAsia" w:ascii="黑体" w:hAnsi="黑体" w:eastAsia="黑体"/>
          <w:sz w:val="24"/>
          <w:highlight w:val="none"/>
        </w:rPr>
        <w:t>年度</w:t>
      </w:r>
      <w:r>
        <w:rPr>
          <w:rFonts w:hint="eastAsia" w:ascii="黑体" w:hAnsi="黑体" w:eastAsia="黑体"/>
          <w:sz w:val="24"/>
          <w:highlight w:val="none"/>
          <w:lang w:val="en-US" w:eastAsia="zh-CN"/>
        </w:rPr>
        <w:t>中央专项</w:t>
      </w:r>
      <w:r>
        <w:rPr>
          <w:rFonts w:hint="eastAsia" w:ascii="黑体" w:hAnsi="黑体" w:eastAsia="黑体"/>
          <w:sz w:val="24"/>
          <w:highlight w:val="none"/>
        </w:rPr>
        <w:t>彩票公益金支持居家和社区基本养老服务提升项目</w:t>
      </w:r>
      <w:r>
        <w:rPr>
          <w:rFonts w:hint="eastAsia" w:ascii="黑体" w:hAnsi="黑体" w:eastAsia="黑体"/>
          <w:sz w:val="24"/>
          <w:highlight w:val="none"/>
          <w:lang w:val="en-US" w:eastAsia="zh-Hans"/>
        </w:rPr>
        <w:t>整体</w:t>
      </w:r>
      <w:r>
        <w:rPr>
          <w:rFonts w:hint="eastAsia" w:ascii="黑体" w:hAnsi="黑体" w:eastAsia="黑体"/>
          <w:sz w:val="24"/>
          <w:highlight w:val="none"/>
        </w:rPr>
        <w:t>预算执行情况表</w:t>
      </w:r>
      <w:r>
        <w:rPr>
          <w:rStyle w:val="12"/>
          <w:rFonts w:hint="eastAsia" w:ascii="黑体" w:hAnsi="黑体" w:eastAsia="黑体"/>
          <w:sz w:val="24"/>
          <w:highlight w:val="none"/>
        </w:rPr>
        <w:footnoteReference w:id="0"/>
      </w:r>
    </w:p>
    <w:p>
      <w:pPr>
        <w:spacing w:line="550" w:lineRule="exact"/>
        <w:ind w:firstLine="480" w:firstLineChars="200"/>
        <w:jc w:val="right"/>
        <w:rPr>
          <w:rFonts w:hint="eastAsia" w:ascii="黑体" w:hAnsi="黑体" w:eastAsia="黑体"/>
          <w:sz w:val="24"/>
          <w:highlight w:val="none"/>
        </w:rPr>
      </w:pPr>
      <w:r>
        <w:rPr>
          <w:rFonts w:hint="eastAsia" w:ascii="黑体" w:hAnsi="黑体" w:eastAsia="黑体" w:cs="黑体"/>
          <w:sz w:val="24"/>
          <w:highlight w:val="none"/>
        </w:rPr>
        <w:t>单位：万元</w:t>
      </w:r>
    </w:p>
    <w:tbl>
      <w:tblPr>
        <w:tblStyle w:val="9"/>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7"/>
        <w:gridCol w:w="2799"/>
        <w:gridCol w:w="1321"/>
        <w:gridCol w:w="1326"/>
        <w:gridCol w:w="1336"/>
        <w:gridCol w:w="1326"/>
        <w:gridCol w:w="1328"/>
        <w:gridCol w:w="1326"/>
        <w:gridCol w:w="13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338" w:type="pct"/>
            <w:vMerge w:val="restart"/>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1079" w:type="pct"/>
            <w:vMerge w:val="restart"/>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区/项目名称</w:t>
            </w:r>
          </w:p>
        </w:tc>
        <w:tc>
          <w:tcPr>
            <w:tcW w:w="1535" w:type="pct"/>
            <w:gridSpan w:val="3"/>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资金整体使用情况</w:t>
            </w:r>
          </w:p>
        </w:tc>
        <w:tc>
          <w:tcPr>
            <w:tcW w:w="1023" w:type="pct"/>
            <w:gridSpan w:val="2"/>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中央资金使用情况</w:t>
            </w:r>
          </w:p>
        </w:tc>
        <w:tc>
          <w:tcPr>
            <w:tcW w:w="1023" w:type="pct"/>
            <w:gridSpan w:val="2"/>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其它资金使用情况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kinsoku/>
              <w:wordWrap/>
              <w:overflowPunct/>
              <w:topLinePunct w:val="0"/>
              <w:autoSpaceDE/>
              <w:autoSpaceDN/>
              <w:bidi w:val="0"/>
              <w:adjustRightInd w:val="0"/>
              <w:snapToGrid w:val="0"/>
              <w:jc w:val="center"/>
              <w:rPr>
                <w:rFonts w:hint="eastAsia" w:ascii="宋体" w:hAnsi="宋体" w:eastAsia="宋体" w:cs="宋体"/>
                <w:b/>
                <w:bCs/>
                <w:i w:val="0"/>
                <w:iCs w:val="0"/>
                <w:color w:val="000000"/>
                <w:sz w:val="21"/>
                <w:szCs w:val="21"/>
                <w:highlight w:val="none"/>
                <w:u w:val="none"/>
              </w:rPr>
            </w:pPr>
          </w:p>
        </w:tc>
        <w:tc>
          <w:tcPr>
            <w:tcW w:w="1079" w:type="pct"/>
            <w:vMerge w:val="continue"/>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kinsoku/>
              <w:wordWrap/>
              <w:overflowPunct/>
              <w:topLinePunct w:val="0"/>
              <w:autoSpaceDE/>
              <w:autoSpaceDN/>
              <w:bidi w:val="0"/>
              <w:adjustRightInd w:val="0"/>
              <w:snapToGrid w:val="0"/>
              <w:jc w:val="center"/>
              <w:rPr>
                <w:rFonts w:hint="eastAsia" w:ascii="宋体" w:hAnsi="宋体" w:eastAsia="宋体" w:cs="宋体"/>
                <w:b/>
                <w:bCs/>
                <w:i w:val="0"/>
                <w:iCs w:val="0"/>
                <w:color w:val="000000"/>
                <w:sz w:val="21"/>
                <w:szCs w:val="21"/>
                <w:highlight w:val="none"/>
                <w:u w:val="none"/>
              </w:rPr>
            </w:pPr>
          </w:p>
        </w:tc>
        <w:tc>
          <w:tcPr>
            <w:tcW w:w="509" w:type="pct"/>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w:t>
            </w:r>
          </w:p>
        </w:tc>
        <w:tc>
          <w:tcPr>
            <w:tcW w:w="511" w:type="pct"/>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支出数</w:t>
            </w:r>
          </w:p>
        </w:tc>
        <w:tc>
          <w:tcPr>
            <w:tcW w:w="515" w:type="pct"/>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执行率</w:t>
            </w:r>
          </w:p>
        </w:tc>
        <w:tc>
          <w:tcPr>
            <w:tcW w:w="511" w:type="pct"/>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w:t>
            </w:r>
          </w:p>
        </w:tc>
        <w:tc>
          <w:tcPr>
            <w:tcW w:w="512" w:type="pct"/>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支出数</w:t>
            </w:r>
          </w:p>
        </w:tc>
        <w:tc>
          <w:tcPr>
            <w:tcW w:w="511" w:type="pct"/>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w:t>
            </w:r>
          </w:p>
        </w:tc>
        <w:tc>
          <w:tcPr>
            <w:tcW w:w="512" w:type="pct"/>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支出数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4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1616.00 </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986.42 </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61.04%</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748.00 </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255.42 </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868.00 </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731.01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w:t>
            </w:r>
          </w:p>
        </w:tc>
        <w:tc>
          <w:tcPr>
            <w:tcW w:w="10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昌平区</w:t>
            </w:r>
          </w:p>
        </w:tc>
        <w:tc>
          <w:tcPr>
            <w:tcW w:w="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748.00 </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255.42 </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34.15%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748.00 </w:t>
            </w:r>
          </w:p>
        </w:tc>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255.42 </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0.00 </w:t>
            </w:r>
          </w:p>
        </w:tc>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居家和社区基本养老服务提升行动项目</w:t>
            </w:r>
          </w:p>
        </w:tc>
        <w:tc>
          <w:tcPr>
            <w:tcW w:w="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748.00 </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255.42 </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34.15%</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748.00 </w:t>
            </w:r>
          </w:p>
        </w:tc>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255.42 </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0.00 </w:t>
            </w:r>
          </w:p>
        </w:tc>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w:t>
            </w:r>
          </w:p>
        </w:tc>
        <w:tc>
          <w:tcPr>
            <w:tcW w:w="10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西城区</w:t>
            </w:r>
          </w:p>
        </w:tc>
        <w:tc>
          <w:tcPr>
            <w:tcW w:w="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868.00 </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731.01 </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84.22%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0.00 </w:t>
            </w:r>
          </w:p>
        </w:tc>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0.00 </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868.00 </w:t>
            </w:r>
          </w:p>
        </w:tc>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 xml:space="preserve">731.01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0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居家和社区基本养老服务提升行动项目</w:t>
            </w:r>
          </w:p>
        </w:tc>
        <w:tc>
          <w:tcPr>
            <w:tcW w:w="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868.00 </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731.01 </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84.22%</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0.00 </w:t>
            </w:r>
          </w:p>
        </w:tc>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0.00 </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868.00 </w:t>
            </w:r>
          </w:p>
        </w:tc>
        <w:tc>
          <w:tcPr>
            <w:tcW w:w="5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731.01 </w:t>
            </w:r>
          </w:p>
        </w:tc>
      </w:tr>
    </w:tbl>
    <w:p>
      <w:pPr>
        <w:spacing w:line="550" w:lineRule="exact"/>
        <w:ind w:firstLine="480" w:firstLineChars="200"/>
        <w:jc w:val="right"/>
        <w:rPr>
          <w:rFonts w:hint="eastAsia" w:ascii="黑体" w:hAnsi="黑体" w:eastAsia="黑体" w:cs="黑体"/>
          <w:sz w:val="24"/>
          <w:highlight w:val="none"/>
        </w:rPr>
      </w:pPr>
    </w:p>
    <w:p>
      <w:pPr>
        <w:spacing w:line="550" w:lineRule="exact"/>
        <w:rPr>
          <w:rFonts w:ascii="仿宋_GB2312" w:hAnsi="仿宋_GB2312" w:cs="仿宋_GB2312"/>
          <w:sz w:val="32"/>
          <w:szCs w:val="32"/>
          <w:highlight w:val="none"/>
        </w:rPr>
        <w:sectPr>
          <w:pgSz w:w="16838" w:h="11906" w:orient="landscape"/>
          <w:pgMar w:top="1587" w:right="2098" w:bottom="1474" w:left="1984" w:header="851" w:footer="992" w:gutter="0"/>
          <w:cols w:space="720" w:num="1"/>
          <w:docGrid w:type="lines" w:linePitch="421" w:charSpace="0"/>
        </w:sectPr>
      </w:pPr>
    </w:p>
    <w:p>
      <w:pPr>
        <w:numPr>
          <w:ilvl w:val="-1"/>
          <w:numId w:val="0"/>
        </w:numPr>
        <w:spacing w:line="560" w:lineRule="exact"/>
        <w:ind w:firstLine="642" w:firstLineChars="200"/>
        <w:rPr>
          <w:rFonts w:ascii="楷体_GB2312" w:hAnsi="楷体_GB2312" w:eastAsia="楷体_GB2312" w:cs="楷体_GB2312"/>
          <w:b/>
          <w:sz w:val="32"/>
          <w:szCs w:val="32"/>
          <w:highlight w:val="none"/>
        </w:rPr>
      </w:pPr>
      <w:r>
        <w:rPr>
          <w:rFonts w:hint="eastAsia" w:ascii="楷体_GB2312" w:hAnsi="楷体_GB2312" w:eastAsia="楷体_GB2312" w:cs="楷体_GB2312"/>
          <w:b/>
          <w:sz w:val="32"/>
          <w:szCs w:val="32"/>
          <w:highlight w:val="none"/>
          <w:lang w:eastAsia="zh-CN"/>
        </w:rPr>
        <w:t>（</w:t>
      </w:r>
      <w:r>
        <w:rPr>
          <w:rFonts w:hint="eastAsia" w:ascii="楷体_GB2312" w:hAnsi="楷体_GB2312" w:eastAsia="楷体_GB2312" w:cs="楷体_GB2312"/>
          <w:b/>
          <w:sz w:val="32"/>
          <w:szCs w:val="32"/>
          <w:highlight w:val="none"/>
          <w:lang w:val="en-US" w:eastAsia="zh-CN"/>
        </w:rPr>
        <w:t>三）</w:t>
      </w:r>
      <w:r>
        <w:rPr>
          <w:rFonts w:hint="eastAsia" w:ascii="楷体_GB2312" w:hAnsi="楷体_GB2312" w:eastAsia="楷体_GB2312" w:cs="楷体_GB2312"/>
          <w:b/>
          <w:sz w:val="32"/>
          <w:szCs w:val="32"/>
          <w:highlight w:val="none"/>
        </w:rPr>
        <w:t>资金管理情况分析</w:t>
      </w:r>
    </w:p>
    <w:p>
      <w:pPr>
        <w:spacing w:line="560" w:lineRule="exact"/>
        <w:ind w:firstLine="642" w:firstLineChars="200"/>
        <w:rPr>
          <w:sz w:val="32"/>
          <w:szCs w:val="32"/>
          <w:highlight w:val="none"/>
        </w:rPr>
      </w:pPr>
      <w:r>
        <w:rPr>
          <w:rFonts w:ascii="仿宋_GB2312"/>
          <w:b/>
          <w:bCs/>
          <w:sz w:val="32"/>
          <w:szCs w:val="32"/>
          <w:highlight w:val="none"/>
        </w:rPr>
        <w:t>1.</w:t>
      </w:r>
      <w:r>
        <w:rPr>
          <w:rFonts w:hint="eastAsia" w:ascii="仿宋_GB2312"/>
          <w:b/>
          <w:bCs/>
          <w:sz w:val="32"/>
          <w:szCs w:val="32"/>
          <w:highlight w:val="none"/>
        </w:rPr>
        <w:t>资金分配科学性。</w:t>
      </w:r>
      <w:r>
        <w:rPr>
          <w:rFonts w:hint="eastAsia"/>
          <w:sz w:val="32"/>
          <w:szCs w:val="32"/>
          <w:highlight w:val="none"/>
        </w:rPr>
        <w:t>按照福利彩票</w:t>
      </w:r>
      <w:r>
        <w:rPr>
          <w:rFonts w:hint="eastAsia"/>
          <w:sz w:val="32"/>
          <w:szCs w:val="32"/>
          <w:highlight w:val="none"/>
          <w:lang w:eastAsia="zh-CN"/>
        </w:rPr>
        <w:t>公益金</w:t>
      </w:r>
      <w:r>
        <w:rPr>
          <w:rFonts w:hint="eastAsia"/>
          <w:sz w:val="32"/>
          <w:szCs w:val="32"/>
          <w:highlight w:val="none"/>
        </w:rPr>
        <w:t>“扶老、助残、救孤、济困”的宗旨，</w:t>
      </w:r>
      <w:r>
        <w:rPr>
          <w:rFonts w:hint="eastAsia" w:ascii="仿宋_GB2312"/>
          <w:sz w:val="32"/>
          <w:szCs w:val="32"/>
          <w:highlight w:val="none"/>
        </w:rPr>
        <w:t>严格按照</w:t>
      </w:r>
      <w:r>
        <w:rPr>
          <w:rFonts w:hint="eastAsia" w:ascii="仿宋_GB2312" w:hAnsi="仿宋_GB2312" w:cs="仿宋_GB2312"/>
          <w:sz w:val="32"/>
          <w:szCs w:val="32"/>
          <w:highlight w:val="none"/>
        </w:rPr>
        <w:t>《中央专项彩票公益金支持居家和社区基本养老服务提升行动项目资金管理办法》(财社〔2021〕</w:t>
      </w:r>
      <w:r>
        <w:rPr>
          <w:rFonts w:hint="eastAsia" w:ascii="仿宋_GB2312" w:hAnsi="仿宋_GB2312" w:cs="仿宋_GB2312"/>
          <w:sz w:val="32"/>
          <w:szCs w:val="32"/>
          <w:highlight w:val="none"/>
          <w:lang w:val="en-US" w:eastAsia="zh-CN"/>
        </w:rPr>
        <w:t>56</w:t>
      </w:r>
      <w:r>
        <w:rPr>
          <w:rFonts w:hint="eastAsia" w:ascii="仿宋_GB2312" w:hAnsi="仿宋_GB2312" w:cs="仿宋_GB2312"/>
          <w:sz w:val="32"/>
          <w:szCs w:val="32"/>
          <w:highlight w:val="none"/>
        </w:rPr>
        <w:t>号)</w:t>
      </w:r>
      <w:r>
        <w:rPr>
          <w:rFonts w:hint="eastAsia" w:ascii="仿宋_GB2312" w:hAnsi="仿宋_GB2312" w:cs="仿宋_GB2312"/>
          <w:sz w:val="32"/>
          <w:szCs w:val="32"/>
          <w:highlight w:val="none"/>
          <w:lang w:val="en-US" w:eastAsia="zh-CN"/>
        </w:rPr>
        <w:t>等</w:t>
      </w:r>
      <w:r>
        <w:rPr>
          <w:rFonts w:hint="eastAsia" w:ascii="仿宋_GB2312"/>
          <w:sz w:val="32"/>
          <w:szCs w:val="32"/>
          <w:highlight w:val="none"/>
        </w:rPr>
        <w:t>转移支付管理制度以及资金管理办法规定的范围和标准分配资金</w:t>
      </w:r>
      <w:r>
        <w:rPr>
          <w:rFonts w:ascii="仿宋_GB2312"/>
          <w:sz w:val="32"/>
          <w:szCs w:val="32"/>
          <w:highlight w:val="none"/>
        </w:rPr>
        <w:t>。</w:t>
      </w:r>
    </w:p>
    <w:p>
      <w:pPr>
        <w:spacing w:line="560" w:lineRule="exact"/>
        <w:ind w:firstLine="642" w:firstLineChars="200"/>
        <w:rPr>
          <w:rFonts w:ascii="仿宋_GB2312"/>
          <w:sz w:val="32"/>
          <w:szCs w:val="32"/>
          <w:highlight w:val="none"/>
        </w:rPr>
      </w:pPr>
      <w:r>
        <w:rPr>
          <w:rFonts w:ascii="仿宋_GB2312"/>
          <w:b/>
          <w:bCs/>
          <w:sz w:val="32"/>
          <w:szCs w:val="32"/>
          <w:highlight w:val="none"/>
        </w:rPr>
        <w:t>2.</w:t>
      </w:r>
      <w:r>
        <w:rPr>
          <w:rFonts w:hint="eastAsia" w:ascii="仿宋_GB2312"/>
          <w:b/>
          <w:bCs/>
          <w:sz w:val="32"/>
          <w:szCs w:val="32"/>
          <w:highlight w:val="none"/>
        </w:rPr>
        <w:t>资金下达及时性。</w:t>
      </w:r>
      <w:r>
        <w:rPr>
          <w:rFonts w:hint="eastAsia" w:ascii="仿宋_GB2312"/>
          <w:sz w:val="32"/>
          <w:szCs w:val="32"/>
          <w:highlight w:val="none"/>
        </w:rPr>
        <w:t>按照</w:t>
      </w:r>
      <w:r>
        <w:rPr>
          <w:rFonts w:hint="eastAsia" w:ascii="仿宋_GB2312"/>
          <w:sz w:val="32"/>
          <w:szCs w:val="32"/>
          <w:highlight w:val="none"/>
          <w:lang w:eastAsia="zh-CN"/>
        </w:rPr>
        <w:t>《中华人民共和国</w:t>
      </w:r>
      <w:r>
        <w:rPr>
          <w:rFonts w:hint="eastAsia" w:ascii="仿宋_GB2312"/>
          <w:sz w:val="32"/>
          <w:szCs w:val="32"/>
          <w:highlight w:val="none"/>
        </w:rPr>
        <w:t>预算法</w:t>
      </w:r>
      <w:r>
        <w:rPr>
          <w:rFonts w:hint="eastAsia" w:ascii="仿宋_GB2312"/>
          <w:sz w:val="32"/>
          <w:szCs w:val="32"/>
          <w:highlight w:val="none"/>
          <w:lang w:eastAsia="zh-CN"/>
        </w:rPr>
        <w:t>》等规定，在收到中央</w:t>
      </w:r>
      <w:r>
        <w:rPr>
          <w:rFonts w:hint="eastAsia" w:ascii="仿宋_GB2312"/>
          <w:sz w:val="32"/>
          <w:szCs w:val="32"/>
          <w:highlight w:val="none"/>
          <w:lang w:val="en-US" w:eastAsia="zh-CN"/>
        </w:rPr>
        <w:t>专项</w:t>
      </w:r>
      <w:r>
        <w:rPr>
          <w:rFonts w:hint="eastAsia" w:ascii="仿宋_GB2312"/>
          <w:sz w:val="32"/>
          <w:szCs w:val="32"/>
          <w:highlight w:val="none"/>
          <w:lang w:eastAsia="zh-CN"/>
        </w:rPr>
        <w:t>福彩公益金</w:t>
      </w:r>
      <w:r>
        <w:rPr>
          <w:rFonts w:hint="eastAsia" w:ascii="仿宋_GB2312" w:hAnsi="仿宋_GB2312" w:cs="仿宋_GB2312"/>
          <w:sz w:val="32"/>
          <w:szCs w:val="32"/>
          <w:highlight w:val="none"/>
        </w:rPr>
        <w:t>支持居家和社区基本养老服务提升项目</w:t>
      </w:r>
      <w:r>
        <w:rPr>
          <w:rFonts w:hint="eastAsia" w:ascii="仿宋_GB2312" w:hAnsi="仿宋_GB2312" w:cs="仿宋_GB2312"/>
          <w:sz w:val="32"/>
          <w:szCs w:val="32"/>
          <w:highlight w:val="none"/>
          <w:lang w:val="en-US" w:eastAsia="zh-CN"/>
        </w:rPr>
        <w:t>资金</w:t>
      </w:r>
      <w:r>
        <w:rPr>
          <w:rFonts w:hint="eastAsia" w:ascii="仿宋_GB2312"/>
          <w:sz w:val="32"/>
          <w:szCs w:val="32"/>
          <w:highlight w:val="none"/>
          <w:lang w:eastAsia="zh-CN"/>
        </w:rPr>
        <w:t>后，</w:t>
      </w:r>
      <w:r>
        <w:rPr>
          <w:rFonts w:hint="eastAsia" w:ascii="仿宋_GB2312"/>
          <w:sz w:val="32"/>
          <w:szCs w:val="32"/>
          <w:highlight w:val="none"/>
        </w:rPr>
        <w:t>三十日内正式下达</w:t>
      </w:r>
      <w:r>
        <w:rPr>
          <w:rFonts w:hint="eastAsia" w:ascii="仿宋_GB2312"/>
          <w:sz w:val="32"/>
          <w:szCs w:val="32"/>
          <w:highlight w:val="none"/>
          <w:lang w:eastAsia="zh-CN"/>
        </w:rPr>
        <w:t>至相关区。</w:t>
      </w:r>
    </w:p>
    <w:p>
      <w:pPr>
        <w:keepNext/>
        <w:keepLines/>
        <w:widowControl/>
        <w:spacing w:line="560" w:lineRule="exact"/>
        <w:ind w:firstLine="642" w:firstLineChars="200"/>
        <w:rPr>
          <w:rFonts w:ascii="仿宋_GB2312"/>
          <w:sz w:val="32"/>
          <w:szCs w:val="32"/>
          <w:highlight w:val="none"/>
        </w:rPr>
      </w:pPr>
      <w:r>
        <w:rPr>
          <w:rFonts w:ascii="仿宋_GB2312"/>
          <w:b/>
          <w:bCs/>
          <w:sz w:val="32"/>
          <w:szCs w:val="32"/>
          <w:highlight w:val="none"/>
        </w:rPr>
        <w:t>3.</w:t>
      </w:r>
      <w:r>
        <w:rPr>
          <w:rFonts w:hint="eastAsia" w:ascii="仿宋_GB2312"/>
          <w:b/>
          <w:bCs/>
          <w:sz w:val="32"/>
          <w:szCs w:val="32"/>
          <w:highlight w:val="none"/>
        </w:rPr>
        <w:t>资金拨付合规性。</w:t>
      </w:r>
      <w:r>
        <w:rPr>
          <w:rFonts w:hint="eastAsia" w:ascii="仿宋_GB2312"/>
          <w:sz w:val="32"/>
          <w:szCs w:val="32"/>
          <w:highlight w:val="none"/>
        </w:rPr>
        <w:t>严格按照国库</w:t>
      </w:r>
      <w:r>
        <w:rPr>
          <w:rFonts w:hint="eastAsia" w:ascii="仿宋_GB2312"/>
          <w:sz w:val="32"/>
          <w:szCs w:val="32"/>
          <w:highlight w:val="none"/>
          <w:lang w:eastAsia="zh-CN"/>
        </w:rPr>
        <w:t>专项</w:t>
      </w:r>
      <w:r>
        <w:rPr>
          <w:rFonts w:hint="eastAsia" w:ascii="仿宋_GB2312"/>
          <w:sz w:val="32"/>
          <w:szCs w:val="32"/>
          <w:highlight w:val="none"/>
        </w:rPr>
        <w:t>支付制度有关规定支付资金，未</w:t>
      </w:r>
      <w:r>
        <w:rPr>
          <w:rFonts w:hint="eastAsia" w:ascii="仿宋_GB2312"/>
          <w:sz w:val="32"/>
          <w:szCs w:val="32"/>
          <w:highlight w:val="none"/>
          <w:lang w:eastAsia="zh-CN"/>
        </w:rPr>
        <w:t>发现</w:t>
      </w:r>
      <w:r>
        <w:rPr>
          <w:rFonts w:hint="eastAsia" w:ascii="仿宋_GB2312"/>
          <w:sz w:val="32"/>
          <w:szCs w:val="32"/>
          <w:highlight w:val="none"/>
        </w:rPr>
        <w:t>将资金从国库转入财政专户或支付到预算单位实有资金账户等问题</w:t>
      </w:r>
      <w:r>
        <w:rPr>
          <w:rFonts w:ascii="仿宋_GB2312"/>
          <w:sz w:val="32"/>
          <w:szCs w:val="32"/>
          <w:highlight w:val="none"/>
        </w:rPr>
        <w:t>。</w:t>
      </w:r>
    </w:p>
    <w:p>
      <w:pPr>
        <w:spacing w:line="560" w:lineRule="exact"/>
        <w:ind w:firstLine="642" w:firstLineChars="200"/>
        <w:rPr>
          <w:rFonts w:ascii="仿宋_GB2312"/>
          <w:sz w:val="32"/>
          <w:szCs w:val="32"/>
          <w:highlight w:val="none"/>
        </w:rPr>
      </w:pPr>
      <w:r>
        <w:rPr>
          <w:rFonts w:ascii="仿宋_GB2312"/>
          <w:b/>
          <w:bCs/>
          <w:sz w:val="32"/>
          <w:szCs w:val="32"/>
          <w:highlight w:val="none"/>
        </w:rPr>
        <w:t>4.</w:t>
      </w:r>
      <w:r>
        <w:rPr>
          <w:rFonts w:hint="eastAsia" w:ascii="仿宋_GB2312"/>
          <w:b/>
          <w:bCs/>
          <w:sz w:val="32"/>
          <w:szCs w:val="32"/>
          <w:highlight w:val="none"/>
        </w:rPr>
        <w:t>资金使用规范性。</w:t>
      </w:r>
      <w:r>
        <w:rPr>
          <w:rFonts w:hint="eastAsia" w:ascii="仿宋_GB2312"/>
          <w:sz w:val="32"/>
          <w:szCs w:val="32"/>
          <w:highlight w:val="none"/>
        </w:rPr>
        <w:t>严格按照下达预算的科目和项目执行，未</w:t>
      </w:r>
      <w:r>
        <w:rPr>
          <w:rFonts w:hint="eastAsia" w:ascii="仿宋_GB2312"/>
          <w:sz w:val="32"/>
          <w:szCs w:val="32"/>
          <w:highlight w:val="none"/>
          <w:lang w:eastAsia="zh-CN"/>
        </w:rPr>
        <w:t>发现</w:t>
      </w:r>
      <w:r>
        <w:rPr>
          <w:rFonts w:hint="eastAsia" w:ascii="仿宋_GB2312"/>
          <w:sz w:val="32"/>
          <w:szCs w:val="32"/>
          <w:highlight w:val="none"/>
        </w:rPr>
        <w:t>截留、挤占、挪用或擅自调整等问题</w:t>
      </w:r>
      <w:r>
        <w:rPr>
          <w:rFonts w:ascii="仿宋_GB2312"/>
          <w:sz w:val="32"/>
          <w:szCs w:val="32"/>
          <w:highlight w:val="none"/>
        </w:rPr>
        <w:t>。</w:t>
      </w:r>
    </w:p>
    <w:p>
      <w:pPr>
        <w:spacing w:line="560" w:lineRule="exact"/>
        <w:ind w:firstLine="642" w:firstLineChars="200"/>
        <w:rPr>
          <w:rFonts w:ascii="仿宋_GB2312"/>
          <w:sz w:val="32"/>
          <w:szCs w:val="32"/>
          <w:highlight w:val="none"/>
        </w:rPr>
      </w:pPr>
      <w:r>
        <w:rPr>
          <w:rFonts w:ascii="仿宋_GB2312"/>
          <w:b/>
          <w:bCs/>
          <w:sz w:val="32"/>
          <w:szCs w:val="32"/>
          <w:highlight w:val="none"/>
        </w:rPr>
        <w:t>5.</w:t>
      </w:r>
      <w:r>
        <w:rPr>
          <w:rFonts w:hint="eastAsia" w:ascii="仿宋_GB2312"/>
          <w:b/>
          <w:bCs/>
          <w:sz w:val="32"/>
          <w:szCs w:val="32"/>
          <w:highlight w:val="none"/>
        </w:rPr>
        <w:t>资金执行准确性。</w:t>
      </w:r>
      <w:r>
        <w:rPr>
          <w:rFonts w:hint="eastAsia" w:ascii="仿宋_GB2312"/>
          <w:sz w:val="32"/>
          <w:szCs w:val="32"/>
          <w:highlight w:val="none"/>
        </w:rPr>
        <w:t>按照上级下达和本级预算安排的金额执行，</w:t>
      </w:r>
      <w:r>
        <w:rPr>
          <w:rFonts w:hint="eastAsia" w:ascii="仿宋_GB2312"/>
          <w:sz w:val="32"/>
          <w:szCs w:val="32"/>
          <w:highlight w:val="none"/>
          <w:lang w:eastAsia="zh-CN"/>
        </w:rPr>
        <w:t>不存在执行数偏离预算数较多的问题</w:t>
      </w:r>
      <w:r>
        <w:rPr>
          <w:rFonts w:ascii="仿宋_GB2312"/>
          <w:sz w:val="32"/>
          <w:szCs w:val="32"/>
          <w:highlight w:val="none"/>
        </w:rPr>
        <w:t>。</w:t>
      </w:r>
    </w:p>
    <w:p>
      <w:pPr>
        <w:spacing w:line="560" w:lineRule="exact"/>
        <w:ind w:firstLine="642" w:firstLineChars="200"/>
        <w:rPr>
          <w:rFonts w:hint="eastAsia" w:ascii="仿宋_GB2312"/>
          <w:sz w:val="32"/>
          <w:szCs w:val="32"/>
          <w:highlight w:val="none"/>
        </w:rPr>
      </w:pPr>
      <w:r>
        <w:rPr>
          <w:rFonts w:ascii="仿宋_GB2312"/>
          <w:b/>
          <w:bCs/>
          <w:sz w:val="32"/>
          <w:szCs w:val="32"/>
          <w:highlight w:val="none"/>
        </w:rPr>
        <w:t>6.</w:t>
      </w:r>
      <w:r>
        <w:rPr>
          <w:rFonts w:hint="eastAsia" w:ascii="仿宋_GB2312"/>
          <w:b/>
          <w:bCs/>
          <w:sz w:val="32"/>
          <w:szCs w:val="32"/>
          <w:highlight w:val="none"/>
        </w:rPr>
        <w:t>预算绩效管理情况。</w:t>
      </w:r>
      <w:r>
        <w:rPr>
          <w:rFonts w:hint="eastAsia" w:ascii="仿宋_GB2312"/>
          <w:sz w:val="32"/>
          <w:szCs w:val="32"/>
          <w:highlight w:val="none"/>
          <w:lang w:eastAsia="zh-CN"/>
        </w:rPr>
        <w:t>落实</w:t>
      </w:r>
      <w:r>
        <w:rPr>
          <w:rFonts w:ascii="仿宋_GB2312"/>
          <w:sz w:val="32"/>
          <w:szCs w:val="32"/>
          <w:highlight w:val="none"/>
        </w:rPr>
        <w:t>《北京市福利彩票公益金绩效管理办法》，</w:t>
      </w:r>
      <w:r>
        <w:rPr>
          <w:rFonts w:hint="eastAsia" w:ascii="仿宋_GB2312"/>
          <w:sz w:val="32"/>
          <w:szCs w:val="32"/>
          <w:highlight w:val="none"/>
          <w:lang w:eastAsia="zh-CN"/>
        </w:rPr>
        <w:t>强化绩效目标管理，在下达中央福利彩票公益金预算的同时下达绩效目标。层层压实绩效管理主体责任，按要求由各预算单位主责开展绩效监控</w:t>
      </w:r>
      <w:r>
        <w:rPr>
          <w:rFonts w:hint="eastAsia" w:ascii="仿宋_GB2312"/>
          <w:sz w:val="32"/>
          <w:szCs w:val="32"/>
          <w:highlight w:val="none"/>
        </w:rPr>
        <w:t>。</w:t>
      </w:r>
      <w:r>
        <w:rPr>
          <w:rFonts w:hint="eastAsia" w:ascii="仿宋_GB2312"/>
          <w:sz w:val="32"/>
          <w:szCs w:val="32"/>
          <w:highlight w:val="none"/>
          <w:lang w:eastAsia="zh-CN"/>
        </w:rPr>
        <w:t>组织</w:t>
      </w:r>
      <w:r>
        <w:rPr>
          <w:rFonts w:hint="eastAsia" w:ascii="仿宋_GB2312"/>
          <w:sz w:val="32"/>
          <w:szCs w:val="32"/>
          <w:highlight w:val="none"/>
          <w:lang w:val="en-US" w:eastAsia="zh-CN"/>
        </w:rPr>
        <w:t>对20</w:t>
      </w:r>
      <w:r>
        <w:rPr>
          <w:rFonts w:hint="default" w:ascii="仿宋_GB2312"/>
          <w:sz w:val="32"/>
          <w:szCs w:val="32"/>
          <w:highlight w:val="none"/>
          <w:lang w:eastAsia="zh-CN"/>
        </w:rPr>
        <w:t>2</w:t>
      </w:r>
      <w:r>
        <w:rPr>
          <w:rFonts w:hint="eastAsia" w:ascii="仿宋_GB2312"/>
          <w:sz w:val="32"/>
          <w:szCs w:val="32"/>
          <w:highlight w:val="none"/>
          <w:lang w:val="en-US" w:eastAsia="zh-CN"/>
        </w:rPr>
        <w:t>3年中央福利彩票公益金</w:t>
      </w:r>
      <w:r>
        <w:rPr>
          <w:rFonts w:hint="eastAsia" w:ascii="仿宋_GB2312"/>
          <w:sz w:val="32"/>
          <w:szCs w:val="32"/>
          <w:highlight w:val="none"/>
          <w:lang w:eastAsia="zh-CN"/>
        </w:rPr>
        <w:t>开展全覆盖绩效自评。</w:t>
      </w:r>
    </w:p>
    <w:p>
      <w:pPr>
        <w:spacing w:line="560" w:lineRule="exact"/>
        <w:ind w:firstLine="642" w:firstLineChars="200"/>
        <w:rPr>
          <w:rFonts w:ascii="仿宋_GB2312"/>
          <w:sz w:val="32"/>
          <w:szCs w:val="32"/>
          <w:highlight w:val="none"/>
        </w:rPr>
      </w:pPr>
      <w:r>
        <w:rPr>
          <w:rFonts w:ascii="仿宋_GB2312"/>
          <w:b/>
          <w:bCs/>
          <w:sz w:val="32"/>
          <w:szCs w:val="32"/>
          <w:highlight w:val="none"/>
        </w:rPr>
        <w:t>7.</w:t>
      </w:r>
      <w:r>
        <w:rPr>
          <w:rFonts w:hint="eastAsia" w:ascii="仿宋_GB2312"/>
          <w:b/>
          <w:bCs/>
          <w:sz w:val="32"/>
          <w:szCs w:val="32"/>
          <w:highlight w:val="none"/>
        </w:rPr>
        <w:t>支出责任履行情况。</w:t>
      </w:r>
      <w:r>
        <w:rPr>
          <w:rFonts w:hint="eastAsia" w:ascii="仿宋_GB2312"/>
          <w:sz w:val="32"/>
          <w:szCs w:val="32"/>
          <w:highlight w:val="none"/>
          <w:lang w:eastAsia="zh-CN"/>
        </w:rPr>
        <w:t>按照</w:t>
      </w:r>
      <w:r>
        <w:rPr>
          <w:rFonts w:hint="eastAsia" w:ascii="仿宋_GB2312"/>
          <w:sz w:val="32"/>
          <w:szCs w:val="32"/>
          <w:highlight w:val="none"/>
        </w:rPr>
        <w:t>财政事权和支出责任划分有关规定</w:t>
      </w:r>
      <w:r>
        <w:rPr>
          <w:rFonts w:hint="eastAsia" w:ascii="仿宋_GB2312"/>
          <w:sz w:val="32"/>
          <w:szCs w:val="32"/>
          <w:highlight w:val="none"/>
          <w:lang w:eastAsia="zh-CN"/>
        </w:rPr>
        <w:t>执行。</w:t>
      </w:r>
    </w:p>
    <w:p>
      <w:pPr>
        <w:spacing w:line="560" w:lineRule="exact"/>
        <w:ind w:firstLine="640" w:firstLineChars="200"/>
        <w:rPr>
          <w:rFonts w:hint="eastAsia" w:ascii="楷体_GB2312" w:hAnsi="楷体_GB2312" w:eastAsia="楷体_GB2312" w:cs="楷体_GB2312"/>
          <w:b/>
          <w:sz w:val="32"/>
          <w:szCs w:val="32"/>
          <w:highlight w:val="none"/>
        </w:rPr>
      </w:pPr>
      <w:r>
        <w:rPr>
          <w:rFonts w:hint="eastAsia" w:ascii="黑体" w:hAnsi="黑体" w:eastAsia="黑体" w:cs="黑体"/>
          <w:bCs/>
          <w:sz w:val="32"/>
          <w:szCs w:val="32"/>
          <w:highlight w:val="none"/>
          <w:lang w:eastAsia="zh-CN"/>
        </w:rPr>
        <w:t>二、绩效目标实现情况</w:t>
      </w:r>
    </w:p>
    <w:p>
      <w:pPr>
        <w:spacing w:line="560" w:lineRule="exact"/>
        <w:ind w:firstLine="642" w:firstLineChars="200"/>
        <w:rPr>
          <w:rFonts w:ascii="楷体_GB2312" w:hAnsi="楷体_GB2312" w:eastAsia="楷体_GB2312" w:cs="楷体_GB2312"/>
          <w:bCs/>
          <w:sz w:val="32"/>
          <w:szCs w:val="32"/>
          <w:highlight w:val="none"/>
        </w:rPr>
      </w:pPr>
      <w:r>
        <w:rPr>
          <w:rFonts w:hint="eastAsia" w:ascii="楷体_GB2312" w:hAnsi="楷体_GB2312" w:eastAsia="楷体_GB2312" w:cs="楷体_GB2312"/>
          <w:b/>
          <w:sz w:val="32"/>
          <w:szCs w:val="32"/>
          <w:highlight w:val="none"/>
        </w:rPr>
        <w:t>（</w:t>
      </w:r>
      <w:r>
        <w:rPr>
          <w:rFonts w:hint="eastAsia" w:ascii="楷体_GB2312" w:hAnsi="楷体_GB2312" w:eastAsia="楷体_GB2312" w:cs="楷体_GB2312"/>
          <w:b/>
          <w:sz w:val="32"/>
          <w:szCs w:val="32"/>
          <w:highlight w:val="none"/>
          <w:lang w:val="en-US" w:eastAsia="zh-CN"/>
        </w:rPr>
        <w:t>一</w:t>
      </w:r>
      <w:r>
        <w:rPr>
          <w:rFonts w:hint="eastAsia" w:ascii="楷体_GB2312" w:hAnsi="楷体_GB2312" w:eastAsia="楷体_GB2312" w:cs="楷体_GB2312"/>
          <w:b/>
          <w:sz w:val="32"/>
          <w:szCs w:val="32"/>
          <w:highlight w:val="none"/>
        </w:rPr>
        <w:t>）总体绩效目标完成情况分析</w:t>
      </w:r>
    </w:p>
    <w:p>
      <w:pPr>
        <w:spacing w:line="560" w:lineRule="exact"/>
        <w:ind w:firstLine="640" w:firstLineChars="200"/>
        <w:rPr>
          <w:rFonts w:hint="eastAsia" w:ascii="仿宋_GB2312"/>
          <w:sz w:val="32"/>
          <w:szCs w:val="32"/>
          <w:highlight w:val="none"/>
          <w:lang w:val="en-US" w:eastAsia="zh-CN"/>
        </w:rPr>
      </w:pPr>
      <w:r>
        <w:rPr>
          <w:rFonts w:hint="eastAsia" w:ascii="仿宋_GB2312"/>
          <w:sz w:val="32"/>
          <w:szCs w:val="32"/>
          <w:highlight w:val="none"/>
          <w:lang w:val="en-US" w:eastAsia="zh-CN"/>
        </w:rPr>
        <w:t>通过为经济困难的失能和部分失能老年人建设家庭养老床位、提供居家养老上门服务，推动形成成本可负担、方便可及的基本养老服务，提升失能和部分失能老年人生活幸福感。2023年，补贴家庭养老床位建设</w:t>
      </w:r>
      <w:r>
        <w:rPr>
          <w:rFonts w:hint="eastAsia" w:ascii="仿宋_GB2312"/>
          <w:sz w:val="32"/>
          <w:szCs w:val="32"/>
          <w:highlight w:val="none"/>
          <w:lang w:val="en-US" w:eastAsia="zh-CN"/>
        </w:rPr>
        <w:tab/>
      </w:r>
      <w:r>
        <w:rPr>
          <w:rFonts w:hint="eastAsia" w:ascii="仿宋_GB2312"/>
          <w:sz w:val="32"/>
          <w:szCs w:val="32"/>
          <w:highlight w:val="none"/>
          <w:lang w:val="en-US" w:eastAsia="zh-CN"/>
        </w:rPr>
        <w:t>609张，上门服务失能和部分失能老年人</w:t>
      </w:r>
      <w:r>
        <w:rPr>
          <w:rFonts w:hint="eastAsia" w:ascii="仿宋_GB2312"/>
          <w:sz w:val="32"/>
          <w:szCs w:val="32"/>
          <w:highlight w:val="none"/>
          <w:lang w:val="en-US" w:eastAsia="zh-CN"/>
        </w:rPr>
        <w:tab/>
      </w:r>
      <w:r>
        <w:rPr>
          <w:rFonts w:hint="eastAsia" w:ascii="仿宋_GB2312"/>
          <w:sz w:val="32"/>
          <w:szCs w:val="32"/>
          <w:highlight w:val="none"/>
          <w:lang w:val="en-US" w:eastAsia="zh-CN"/>
        </w:rPr>
        <w:t>1039人次。</w:t>
      </w:r>
    </w:p>
    <w:p>
      <w:pPr>
        <w:spacing w:line="560" w:lineRule="exact"/>
        <w:ind w:firstLine="642" w:firstLineChars="200"/>
        <w:outlineLvl w:val="0"/>
        <w:rPr>
          <w:rFonts w:ascii="仿宋_GB2312"/>
          <w:color w:val="C00000"/>
          <w:sz w:val="32"/>
          <w:szCs w:val="32"/>
          <w:highlight w:val="none"/>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val="en-US" w:eastAsia="zh-CN"/>
        </w:rPr>
        <w:t>二</w:t>
      </w:r>
      <w:r>
        <w:rPr>
          <w:rFonts w:hint="eastAsia" w:ascii="楷体_GB2312" w:hAnsi="楷体_GB2312" w:eastAsia="楷体_GB2312" w:cs="楷体_GB2312"/>
          <w:b/>
          <w:bCs/>
          <w:sz w:val="32"/>
          <w:szCs w:val="32"/>
          <w:highlight w:val="none"/>
        </w:rPr>
        <w:t>）绩效指标完成情况分析</w:t>
      </w:r>
    </w:p>
    <w:p>
      <w:pPr>
        <w:spacing w:line="560" w:lineRule="exact"/>
        <w:ind w:firstLine="642" w:firstLineChars="200"/>
        <w:rPr>
          <w:rFonts w:ascii="仿宋_GB2312"/>
          <w:sz w:val="32"/>
          <w:szCs w:val="32"/>
          <w:highlight w:val="none"/>
        </w:rPr>
      </w:pPr>
      <w:r>
        <w:rPr>
          <w:rFonts w:hint="eastAsia" w:ascii="仿宋_GB2312"/>
          <w:b/>
          <w:bCs/>
          <w:sz w:val="32"/>
          <w:szCs w:val="32"/>
          <w:highlight w:val="none"/>
        </w:rPr>
        <w:t>1.产出指标完成情况分析</w:t>
      </w:r>
    </w:p>
    <w:p>
      <w:pPr>
        <w:spacing w:line="560" w:lineRule="exact"/>
        <w:ind w:firstLine="642" w:firstLineChars="200"/>
        <w:rPr>
          <w:rFonts w:hint="eastAsia" w:ascii="仿宋_GB2312"/>
          <w:b w:val="0"/>
          <w:bCs w:val="0"/>
          <w:sz w:val="32"/>
          <w:szCs w:val="32"/>
          <w:highlight w:val="none"/>
        </w:rPr>
      </w:pPr>
      <w:r>
        <w:rPr>
          <w:rFonts w:hint="eastAsia" w:ascii="仿宋_GB2312"/>
          <w:b/>
          <w:bCs/>
          <w:sz w:val="32"/>
          <w:szCs w:val="32"/>
          <w:highlight w:val="none"/>
        </w:rPr>
        <w:t>（1）数量指标。</w:t>
      </w:r>
      <w:r>
        <w:rPr>
          <w:rFonts w:hint="eastAsia" w:ascii="仿宋_GB2312"/>
          <w:b w:val="0"/>
          <w:bCs w:val="0"/>
          <w:sz w:val="32"/>
          <w:szCs w:val="32"/>
          <w:highlight w:val="none"/>
          <w:lang w:val="en-US" w:eastAsia="zh-CN"/>
        </w:rPr>
        <w:t>2023年</w:t>
      </w:r>
      <w:r>
        <w:rPr>
          <w:rFonts w:hint="eastAsia" w:ascii="仿宋_GB2312"/>
          <w:b w:val="0"/>
          <w:bCs w:val="0"/>
          <w:sz w:val="32"/>
          <w:szCs w:val="32"/>
          <w:highlight w:val="none"/>
        </w:rPr>
        <w:t>已建成家庭</w:t>
      </w:r>
      <w:r>
        <w:rPr>
          <w:rFonts w:hint="eastAsia" w:ascii="仿宋_GB2312"/>
          <w:b w:val="0"/>
          <w:bCs w:val="0"/>
          <w:sz w:val="32"/>
          <w:szCs w:val="32"/>
          <w:highlight w:val="none"/>
          <w:lang w:val="en-US" w:eastAsia="zh-CN"/>
        </w:rPr>
        <w:t>养老</w:t>
      </w:r>
      <w:r>
        <w:rPr>
          <w:rFonts w:hint="eastAsia" w:ascii="仿宋_GB2312"/>
          <w:b w:val="0"/>
          <w:bCs w:val="0"/>
          <w:sz w:val="32"/>
          <w:szCs w:val="32"/>
          <w:highlight w:val="none"/>
        </w:rPr>
        <w:t>床位</w:t>
      </w:r>
      <w:r>
        <w:rPr>
          <w:rFonts w:hint="eastAsia" w:ascii="仿宋_GB2312"/>
          <w:b w:val="0"/>
          <w:bCs w:val="0"/>
          <w:sz w:val="32"/>
          <w:szCs w:val="32"/>
          <w:highlight w:val="none"/>
          <w:lang w:val="en-US" w:eastAsia="zh-CN"/>
        </w:rPr>
        <w:t>共609</w:t>
      </w:r>
      <w:r>
        <w:rPr>
          <w:rFonts w:hint="eastAsia" w:ascii="仿宋_GB2312"/>
          <w:b w:val="0"/>
          <w:bCs w:val="0"/>
          <w:sz w:val="32"/>
          <w:szCs w:val="32"/>
          <w:highlight w:val="none"/>
        </w:rPr>
        <w:t>张</w:t>
      </w:r>
      <w:r>
        <w:rPr>
          <w:rFonts w:hint="eastAsia" w:ascii="仿宋_GB2312"/>
          <w:b w:val="0"/>
          <w:bCs w:val="0"/>
          <w:sz w:val="32"/>
          <w:szCs w:val="32"/>
          <w:highlight w:val="none"/>
          <w:lang w:eastAsia="zh-CN"/>
        </w:rPr>
        <w:t>，</w:t>
      </w:r>
      <w:r>
        <w:rPr>
          <w:rFonts w:hint="eastAsia" w:ascii="仿宋_GB2312"/>
          <w:b w:val="0"/>
          <w:bCs w:val="0"/>
          <w:sz w:val="32"/>
          <w:szCs w:val="32"/>
          <w:highlight w:val="none"/>
          <w:lang w:val="en-US" w:eastAsia="zh-CN"/>
        </w:rPr>
        <w:t>其中，当年资金保障数量为215张，以前年度结转资金保障数量为394张</w:t>
      </w:r>
      <w:r>
        <w:rPr>
          <w:rFonts w:hint="eastAsia" w:ascii="仿宋_GB2312"/>
          <w:b w:val="0"/>
          <w:bCs w:val="0"/>
          <w:sz w:val="32"/>
          <w:szCs w:val="32"/>
          <w:highlight w:val="none"/>
          <w:lang w:eastAsia="zh-CN"/>
        </w:rPr>
        <w:t>；</w:t>
      </w:r>
      <w:r>
        <w:rPr>
          <w:rFonts w:hint="eastAsia" w:ascii="仿宋_GB2312"/>
          <w:b w:val="0"/>
          <w:bCs w:val="0"/>
          <w:sz w:val="32"/>
          <w:szCs w:val="32"/>
          <w:highlight w:val="none"/>
          <w:lang w:val="en-US" w:eastAsia="zh-CN"/>
        </w:rPr>
        <w:t>完成上门服务</w:t>
      </w:r>
      <w:r>
        <w:rPr>
          <w:rFonts w:hint="eastAsia" w:ascii="仿宋_GB2312"/>
          <w:sz w:val="32"/>
          <w:szCs w:val="32"/>
          <w:highlight w:val="none"/>
          <w:lang w:val="en-US" w:eastAsia="zh-CN"/>
        </w:rPr>
        <w:t>失能和部分失能老年人共</w:t>
      </w:r>
      <w:r>
        <w:rPr>
          <w:rFonts w:hint="eastAsia" w:ascii="仿宋_GB2312"/>
          <w:sz w:val="32"/>
          <w:szCs w:val="32"/>
          <w:highlight w:val="none"/>
          <w:lang w:val="en-US" w:eastAsia="zh-CN"/>
        </w:rPr>
        <w:tab/>
      </w:r>
      <w:r>
        <w:rPr>
          <w:rFonts w:hint="eastAsia" w:ascii="仿宋_GB2312"/>
          <w:sz w:val="32"/>
          <w:szCs w:val="32"/>
          <w:highlight w:val="none"/>
          <w:lang w:val="en-US" w:eastAsia="zh-CN"/>
        </w:rPr>
        <w:t>1039人次，其中，当年资金对应完成值为0人次，以前年度结转资金对应完成值为1039人次</w:t>
      </w:r>
      <w:r>
        <w:rPr>
          <w:rFonts w:hint="eastAsia" w:ascii="仿宋_GB2312"/>
          <w:b w:val="0"/>
          <w:bCs w:val="0"/>
          <w:sz w:val="32"/>
          <w:szCs w:val="32"/>
          <w:highlight w:val="none"/>
        </w:rPr>
        <w:t>。</w:t>
      </w:r>
    </w:p>
    <w:p>
      <w:pPr>
        <w:spacing w:line="560" w:lineRule="exact"/>
        <w:ind w:firstLine="642" w:firstLineChars="200"/>
        <w:rPr>
          <w:rFonts w:hint="eastAsia" w:ascii="仿宋_GB2312" w:hAnsi="仿宋_GB2312" w:eastAsia="仿宋_GB2312" w:cs="仿宋_GB2312"/>
          <w:b w:val="0"/>
          <w:bCs w:val="0"/>
          <w:sz w:val="32"/>
          <w:szCs w:val="32"/>
          <w:highlight w:val="none"/>
          <w:lang w:eastAsia="zh-CN"/>
        </w:rPr>
      </w:pPr>
      <w:r>
        <w:rPr>
          <w:rFonts w:hint="eastAsia" w:ascii="仿宋_GB2312"/>
          <w:b/>
          <w:bCs/>
          <w:sz w:val="32"/>
          <w:szCs w:val="32"/>
          <w:highlight w:val="none"/>
        </w:rPr>
        <w:t>（2）质量指标。</w:t>
      </w:r>
      <w:r>
        <w:rPr>
          <w:rFonts w:hint="eastAsia" w:ascii="仿宋_GB2312" w:hAnsi="仿宋_GB2312" w:cs="仿宋_GB2312"/>
          <w:b w:val="0"/>
          <w:bCs w:val="0"/>
          <w:sz w:val="32"/>
          <w:szCs w:val="32"/>
          <w:highlight w:val="none"/>
        </w:rPr>
        <w:t>为经济困难失能和部分失能老年人提供家庭养老床位建设或提供居家养老上门服务</w:t>
      </w:r>
      <w:r>
        <w:rPr>
          <w:rFonts w:hint="eastAsia" w:ascii="仿宋_GB2312" w:hAnsi="仿宋_GB2312" w:cs="仿宋_GB2312"/>
          <w:b w:val="0"/>
          <w:bCs w:val="0"/>
          <w:sz w:val="32"/>
          <w:szCs w:val="32"/>
          <w:highlight w:val="none"/>
          <w:lang w:eastAsia="zh-CN"/>
        </w:rPr>
        <w:t>，</w:t>
      </w:r>
      <w:r>
        <w:rPr>
          <w:rFonts w:hint="eastAsia" w:ascii="仿宋_GB2312" w:hAnsi="仿宋_GB2312" w:cs="仿宋_GB2312"/>
          <w:b w:val="0"/>
          <w:bCs w:val="0"/>
          <w:sz w:val="32"/>
          <w:szCs w:val="32"/>
          <w:highlight w:val="none"/>
          <w:lang w:val="en-US" w:eastAsia="zh-CN"/>
        </w:rPr>
        <w:t>所开展的工作</w:t>
      </w:r>
      <w:r>
        <w:rPr>
          <w:rFonts w:hint="eastAsia" w:ascii="仿宋_GB2312" w:hAnsi="仿宋_GB2312" w:cs="仿宋_GB2312"/>
          <w:b w:val="0"/>
          <w:bCs w:val="0"/>
          <w:sz w:val="32"/>
          <w:szCs w:val="32"/>
          <w:highlight w:val="none"/>
        </w:rPr>
        <w:t>符合2023年民政部发布的《家庭养老床位建设和居家养老上门服务实施标准》有关要求</w:t>
      </w:r>
      <w:r>
        <w:rPr>
          <w:rFonts w:hint="eastAsia" w:ascii="仿宋_GB2312" w:hAnsi="仿宋_GB2312" w:cs="仿宋_GB2312"/>
          <w:b w:val="0"/>
          <w:bCs w:val="0"/>
          <w:sz w:val="32"/>
          <w:szCs w:val="32"/>
          <w:highlight w:val="none"/>
          <w:lang w:eastAsia="zh-CN"/>
        </w:rPr>
        <w:t>。</w:t>
      </w:r>
    </w:p>
    <w:p>
      <w:pPr>
        <w:spacing w:line="560" w:lineRule="exact"/>
        <w:ind w:firstLine="642" w:firstLineChars="200"/>
        <w:rPr>
          <w:rFonts w:ascii="仿宋_GB2312" w:hAnsi="仿宋_GB2312" w:cs="仿宋_GB2312"/>
          <w:sz w:val="32"/>
          <w:szCs w:val="32"/>
          <w:highlight w:val="none"/>
        </w:rPr>
      </w:pPr>
      <w:r>
        <w:rPr>
          <w:rFonts w:hint="eastAsia" w:ascii="仿宋_GB2312"/>
          <w:b/>
          <w:bCs/>
          <w:sz w:val="32"/>
          <w:szCs w:val="32"/>
          <w:highlight w:val="none"/>
        </w:rPr>
        <w:t>（3）时效指标。</w:t>
      </w:r>
      <w:r>
        <w:rPr>
          <w:rFonts w:hint="eastAsia" w:ascii="仿宋_GB2312"/>
          <w:sz w:val="32"/>
          <w:szCs w:val="32"/>
          <w:highlight w:val="none"/>
          <w:lang w:val="en-US" w:eastAsia="zh-CN"/>
        </w:rPr>
        <w:t>居家和社区基本养老服务提升行动</w:t>
      </w:r>
      <w:r>
        <w:rPr>
          <w:rFonts w:hint="eastAsia" w:ascii="仿宋_GB2312" w:eastAsia="仿宋_GB2312"/>
          <w:sz w:val="32"/>
          <w:szCs w:val="32"/>
          <w:highlight w:val="none"/>
          <w:lang w:eastAsia="zh-CN"/>
        </w:rPr>
        <w:t>项目</w:t>
      </w:r>
      <w:r>
        <w:rPr>
          <w:rFonts w:hint="eastAsia" w:ascii="仿宋_GB2312"/>
          <w:sz w:val="32"/>
          <w:szCs w:val="32"/>
          <w:highlight w:val="none"/>
          <w:lang w:val="en-US" w:eastAsia="zh-CN"/>
        </w:rPr>
        <w:t>正在推进中</w:t>
      </w:r>
      <w:r>
        <w:rPr>
          <w:rFonts w:hint="eastAsia" w:ascii="仿宋_GB2312" w:hAnsi="仿宋_GB2312" w:cs="仿宋_GB2312"/>
          <w:sz w:val="32"/>
          <w:szCs w:val="32"/>
          <w:highlight w:val="none"/>
          <w:lang w:val="en-US" w:eastAsia="zh-CN"/>
        </w:rPr>
        <w:t>；省级财政在收到资金后于30日内下发试点地区财政部门。</w:t>
      </w:r>
    </w:p>
    <w:p>
      <w:pPr>
        <w:spacing w:line="560" w:lineRule="exact"/>
        <w:ind w:firstLine="642" w:firstLineChars="200"/>
        <w:rPr>
          <w:rFonts w:hint="eastAsia" w:ascii="仿宋_GB2312" w:eastAsia="仿宋_GB2312"/>
          <w:b/>
          <w:bCs/>
          <w:sz w:val="32"/>
          <w:szCs w:val="32"/>
          <w:highlight w:val="none"/>
          <w:lang w:eastAsia="zh-CN"/>
        </w:rPr>
      </w:pPr>
      <w:r>
        <w:rPr>
          <w:rFonts w:hint="eastAsia" w:ascii="仿宋_GB2312"/>
          <w:b/>
          <w:bCs/>
          <w:sz w:val="32"/>
          <w:szCs w:val="32"/>
          <w:highlight w:val="none"/>
        </w:rPr>
        <w:t>2.效益指标完成情况分析。</w:t>
      </w:r>
      <w:r>
        <w:rPr>
          <w:rFonts w:hint="eastAsia" w:ascii="仿宋_GB2312"/>
          <w:b w:val="0"/>
          <w:bCs w:val="0"/>
          <w:sz w:val="32"/>
          <w:szCs w:val="32"/>
          <w:highlight w:val="none"/>
        </w:rPr>
        <w:t>通过为经济困难的失能和部分失能老年人建设家庭养老床位、提供居家养老上门服务，推动形成成本可负担、方便可及的基本养老服务，提升</w:t>
      </w:r>
      <w:r>
        <w:rPr>
          <w:rFonts w:hint="eastAsia" w:ascii="仿宋_GB2312"/>
          <w:b w:val="0"/>
          <w:bCs w:val="0"/>
          <w:sz w:val="32"/>
          <w:szCs w:val="32"/>
          <w:highlight w:val="none"/>
          <w:lang w:val="en-US" w:eastAsia="zh-CN"/>
        </w:rPr>
        <w:t>了</w:t>
      </w:r>
      <w:r>
        <w:rPr>
          <w:rFonts w:hint="eastAsia" w:ascii="仿宋_GB2312"/>
          <w:b w:val="0"/>
          <w:bCs w:val="0"/>
          <w:sz w:val="32"/>
          <w:szCs w:val="32"/>
          <w:highlight w:val="none"/>
        </w:rPr>
        <w:t>居家和社区养老服务能力和品质</w:t>
      </w:r>
      <w:r>
        <w:rPr>
          <w:rFonts w:hint="eastAsia" w:ascii="仿宋_GB2312"/>
          <w:b w:val="0"/>
          <w:bCs w:val="0"/>
          <w:sz w:val="32"/>
          <w:szCs w:val="32"/>
          <w:highlight w:val="none"/>
          <w:lang w:eastAsia="zh-CN"/>
        </w:rPr>
        <w:t>，</w:t>
      </w:r>
      <w:r>
        <w:rPr>
          <w:rFonts w:hint="eastAsia" w:ascii="仿宋_GB2312"/>
          <w:b w:val="0"/>
          <w:bCs w:val="0"/>
          <w:sz w:val="32"/>
          <w:szCs w:val="32"/>
          <w:highlight w:val="none"/>
          <w:lang w:val="en-US" w:eastAsia="zh-CN"/>
        </w:rPr>
        <w:t>增强了</w:t>
      </w:r>
      <w:r>
        <w:rPr>
          <w:rFonts w:hint="eastAsia" w:ascii="仿宋_GB2312"/>
          <w:b w:val="0"/>
          <w:bCs w:val="0"/>
          <w:sz w:val="32"/>
          <w:szCs w:val="32"/>
          <w:highlight w:val="none"/>
        </w:rPr>
        <w:t>失能和部分失能老年人生活幸福感</w:t>
      </w:r>
      <w:r>
        <w:rPr>
          <w:rFonts w:hint="eastAsia" w:ascii="仿宋_GB2312"/>
          <w:b w:val="0"/>
          <w:bCs w:val="0"/>
          <w:sz w:val="32"/>
          <w:szCs w:val="32"/>
          <w:highlight w:val="none"/>
          <w:lang w:eastAsia="zh-CN"/>
        </w:rPr>
        <w:t>。</w:t>
      </w:r>
    </w:p>
    <w:p>
      <w:pPr>
        <w:spacing w:line="560" w:lineRule="exact"/>
        <w:ind w:firstLine="642" w:firstLineChars="200"/>
        <w:rPr>
          <w:rFonts w:hint="default" w:ascii="仿宋_GB2312" w:hAnsi="仿宋_GB2312" w:eastAsia="仿宋_GB2312" w:cs="仿宋_GB2312"/>
          <w:sz w:val="32"/>
          <w:szCs w:val="32"/>
          <w:highlight w:val="none"/>
          <w:lang w:val="en-US" w:eastAsia="zh-CN"/>
        </w:rPr>
      </w:pPr>
      <w:r>
        <w:rPr>
          <w:rFonts w:hint="eastAsia" w:ascii="仿宋_GB2312"/>
          <w:b/>
          <w:bCs/>
          <w:sz w:val="32"/>
          <w:szCs w:val="32"/>
          <w:highlight w:val="none"/>
        </w:rPr>
        <w:t>3.满意度指标完成情况分析。</w:t>
      </w:r>
      <w:r>
        <w:rPr>
          <w:rFonts w:hint="eastAsia" w:ascii="仿宋_GB2312" w:hAnsi="仿宋_GB2312" w:cs="仿宋_GB2312"/>
          <w:sz w:val="32"/>
          <w:szCs w:val="32"/>
          <w:highlight w:val="none"/>
        </w:rPr>
        <w:t>根据区</w:t>
      </w:r>
      <w:r>
        <w:rPr>
          <w:rFonts w:hint="eastAsia" w:ascii="仿宋_GB2312" w:hAnsi="仿宋_GB2312" w:cs="仿宋_GB2312"/>
          <w:sz w:val="32"/>
          <w:szCs w:val="32"/>
          <w:highlight w:val="none"/>
          <w:lang w:val="en-US" w:eastAsia="zh-CN"/>
        </w:rPr>
        <w:t>级</w:t>
      </w:r>
      <w:r>
        <w:rPr>
          <w:rFonts w:hint="eastAsia" w:ascii="仿宋_GB2312" w:hAnsi="仿宋_GB2312" w:cs="仿宋_GB2312"/>
          <w:sz w:val="32"/>
          <w:szCs w:val="32"/>
          <w:highlight w:val="none"/>
        </w:rPr>
        <w:t>统计数据反馈，</w:t>
      </w:r>
      <w:r>
        <w:rPr>
          <w:rFonts w:hint="eastAsia" w:ascii="仿宋_GB2312" w:hAnsi="仿宋_GB2312" w:cs="仿宋_GB2312"/>
          <w:sz w:val="32"/>
          <w:szCs w:val="32"/>
          <w:highlight w:val="none"/>
          <w:lang w:val="en-US" w:eastAsia="zh-CN"/>
        </w:rPr>
        <w:t>受益家庭对居家和社区基本养老服务的满意度100%。</w:t>
      </w:r>
    </w:p>
    <w:p>
      <w:pPr>
        <w:spacing w:line="560" w:lineRule="exact"/>
        <w:ind w:firstLine="640" w:firstLineChars="200"/>
        <w:rPr>
          <w:rFonts w:hint="default" w:ascii="黑体" w:hAnsi="黑体" w:eastAsia="黑体" w:cs="黑体"/>
          <w:bCs/>
          <w:sz w:val="32"/>
          <w:szCs w:val="32"/>
          <w:highlight w:val="none"/>
          <w:lang w:val="en-US" w:eastAsia="zh-CN"/>
        </w:rPr>
      </w:pPr>
      <w:r>
        <w:rPr>
          <w:rFonts w:hint="eastAsia" w:ascii="黑体" w:hAnsi="黑体" w:eastAsia="黑体" w:cs="黑体"/>
          <w:bCs/>
          <w:sz w:val="32"/>
          <w:szCs w:val="32"/>
          <w:highlight w:val="none"/>
        </w:rPr>
        <w:t>三、</w:t>
      </w:r>
      <w:r>
        <w:rPr>
          <w:rFonts w:hint="eastAsia" w:ascii="黑体" w:hAnsi="黑体" w:eastAsia="黑体" w:cs="黑体"/>
          <w:bCs/>
          <w:sz w:val="32"/>
          <w:szCs w:val="32"/>
          <w:highlight w:val="none"/>
          <w:lang w:val="en-US" w:eastAsia="zh-CN"/>
        </w:rPr>
        <w:t>绩效自评结论</w:t>
      </w:r>
    </w:p>
    <w:p>
      <w:pPr>
        <w:numPr>
          <w:ilvl w:val="0"/>
          <w:numId w:val="1"/>
        </w:numPr>
        <w:spacing w:line="560" w:lineRule="exact"/>
        <w:ind w:left="0" w:firstLine="642" w:firstLineChars="200"/>
        <w:rPr>
          <w:rFonts w:ascii="仿宋_GB2312" w:hAnsi="仿宋_GB2312" w:cs="仿宋_GB2312"/>
          <w:b/>
          <w:sz w:val="32"/>
          <w:szCs w:val="32"/>
          <w:highlight w:val="none"/>
        </w:rPr>
      </w:pPr>
      <w:r>
        <w:rPr>
          <w:rFonts w:hint="eastAsia" w:ascii="楷体_GB2312" w:hAnsi="楷体_GB2312" w:eastAsia="楷体_GB2312" w:cs="楷体_GB2312"/>
          <w:b/>
          <w:sz w:val="32"/>
          <w:szCs w:val="32"/>
          <w:highlight w:val="none"/>
        </w:rPr>
        <w:t>存在问题</w:t>
      </w:r>
      <w:r>
        <w:rPr>
          <w:rFonts w:hint="eastAsia" w:ascii="楷体_GB2312" w:hAnsi="楷体_GB2312" w:eastAsia="楷体_GB2312" w:cs="楷体_GB2312"/>
          <w:b/>
          <w:sz w:val="32"/>
          <w:szCs w:val="32"/>
          <w:highlight w:val="none"/>
          <w:lang w:val="en-US" w:eastAsia="zh-CN"/>
        </w:rPr>
        <w:t>及原因分析</w:t>
      </w:r>
    </w:p>
    <w:p>
      <w:pPr>
        <w:spacing w:line="560" w:lineRule="exact"/>
        <w:ind w:firstLine="642" w:firstLineChars="200"/>
        <w:rPr>
          <w:rFonts w:ascii="仿宋_GB2312"/>
          <w:sz w:val="32"/>
          <w:szCs w:val="32"/>
          <w:highlight w:val="none"/>
        </w:rPr>
      </w:pPr>
      <w:r>
        <w:rPr>
          <w:rFonts w:hint="eastAsia" w:ascii="仿宋_GB2312" w:hAnsi="仿宋_GB2312" w:cs="仿宋_GB2312"/>
          <w:b/>
          <w:sz w:val="32"/>
          <w:szCs w:val="32"/>
          <w:highlight w:val="none"/>
          <w:lang w:val="en-US" w:eastAsia="zh-CN"/>
        </w:rPr>
        <w:t>个别区</w:t>
      </w:r>
      <w:r>
        <w:rPr>
          <w:rFonts w:hint="eastAsia" w:ascii="仿宋_GB2312" w:hAnsi="仿宋_GB2312" w:cs="仿宋_GB2312"/>
          <w:b/>
          <w:sz w:val="32"/>
          <w:szCs w:val="32"/>
          <w:highlight w:val="none"/>
        </w:rPr>
        <w:t>资金执行进度滞后。</w:t>
      </w:r>
      <w:r>
        <w:rPr>
          <w:rFonts w:hint="eastAsia" w:ascii="仿宋_GB2312" w:eastAsia="仿宋_GB2312"/>
          <w:sz w:val="32"/>
          <w:szCs w:val="32"/>
          <w:highlight w:val="none"/>
          <w:lang w:eastAsia="zh-CN"/>
        </w:rPr>
        <w:t>中央福彩公益金项目实施周期为2年，</w:t>
      </w:r>
      <w:r>
        <w:rPr>
          <w:rFonts w:hint="eastAsia" w:ascii="仿宋_GB2312"/>
          <w:sz w:val="32"/>
          <w:szCs w:val="32"/>
          <w:highlight w:val="none"/>
          <w:lang w:val="en-US" w:eastAsia="zh-CN"/>
        </w:rPr>
        <w:t>昌平区居家和社区基本养老服务提升行动</w:t>
      </w:r>
      <w:r>
        <w:rPr>
          <w:rFonts w:hint="eastAsia" w:ascii="仿宋_GB2312" w:eastAsia="仿宋_GB2312"/>
          <w:sz w:val="32"/>
          <w:szCs w:val="32"/>
          <w:highlight w:val="none"/>
          <w:lang w:eastAsia="zh-CN"/>
        </w:rPr>
        <w:t>项目实施周期为2023年7月至2024年6月，</w:t>
      </w:r>
      <w:r>
        <w:rPr>
          <w:rFonts w:hint="eastAsia" w:ascii="仿宋_GB2312"/>
          <w:sz w:val="32"/>
          <w:szCs w:val="32"/>
          <w:highlight w:val="none"/>
          <w:lang w:val="en-US" w:eastAsia="zh-CN"/>
        </w:rPr>
        <w:t>目前正按照计划进度推进中，预计可于2024年6月底前完成全部绩效目标；西城区居家和社区基本养老服务提升行动项目资金为2022年度结转资金，执行进度滞后的主要原因一是区级实施方案初稿与民政部、财政部政策要求不符，启动时间较晚，二是实际符合支出标准的床位数、接受服务的老年人数低于所设定的目标值</w:t>
      </w:r>
      <w:r>
        <w:rPr>
          <w:rFonts w:ascii="仿宋_GB2312"/>
          <w:sz w:val="32"/>
          <w:szCs w:val="32"/>
          <w:highlight w:val="none"/>
        </w:rPr>
        <w:t>。</w:t>
      </w:r>
    </w:p>
    <w:p>
      <w:pPr>
        <w:spacing w:line="560" w:lineRule="exact"/>
        <w:ind w:firstLine="642" w:firstLineChars="200"/>
        <w:rPr>
          <w:rFonts w:ascii="楷体_GB2312" w:hAnsi="楷体_GB2312" w:eastAsia="楷体_GB2312" w:cs="楷体_GB2312"/>
          <w:b/>
          <w:sz w:val="32"/>
          <w:szCs w:val="32"/>
          <w:highlight w:val="none"/>
        </w:rPr>
      </w:pPr>
      <w:r>
        <w:rPr>
          <w:rFonts w:hint="eastAsia" w:ascii="楷体_GB2312" w:hAnsi="楷体_GB2312" w:eastAsia="楷体_GB2312" w:cs="楷体_GB2312"/>
          <w:b/>
          <w:sz w:val="32"/>
          <w:szCs w:val="32"/>
          <w:highlight w:val="none"/>
        </w:rPr>
        <w:t>（二）下一步改进措施</w:t>
      </w:r>
    </w:p>
    <w:p>
      <w:pPr>
        <w:spacing w:line="560" w:lineRule="exact"/>
        <w:ind w:firstLine="640" w:firstLineChars="200"/>
        <w:rPr>
          <w:rFonts w:hint="default" w:ascii="仿宋_GB2312"/>
          <w:sz w:val="32"/>
          <w:szCs w:val="32"/>
          <w:highlight w:val="none"/>
          <w:lang w:val="en-US"/>
        </w:rPr>
      </w:pPr>
      <w:r>
        <w:rPr>
          <w:rFonts w:hint="eastAsia" w:ascii="仿宋_GB2312" w:hAnsi="仿宋_GB2312" w:cs="仿宋_GB2312"/>
          <w:sz w:val="32"/>
          <w:szCs w:val="32"/>
          <w:highlight w:val="none"/>
        </w:rPr>
        <w:t>根据《中央对地方专项转移支付管理办法》（财预〔2015〕230号），中央转移支付资金原则上可使用两年。下一步，将层层压实监管责任，指导项目单位做好分析研判，提前谋划项目</w:t>
      </w:r>
      <w:r>
        <w:rPr>
          <w:rFonts w:hint="eastAsia" w:ascii="仿宋_GB2312" w:hAnsi="仿宋_GB2312" w:cs="仿宋_GB2312"/>
          <w:sz w:val="32"/>
          <w:szCs w:val="32"/>
          <w:highlight w:val="none"/>
          <w:lang w:eastAsia="zh-CN"/>
        </w:rPr>
        <w:t>实施方案编制</w:t>
      </w:r>
      <w:r>
        <w:rPr>
          <w:rFonts w:hint="eastAsia" w:ascii="仿宋_GB2312" w:hAnsi="仿宋_GB2312" w:cs="仿宋_GB2312"/>
          <w:sz w:val="32"/>
          <w:szCs w:val="32"/>
          <w:highlight w:val="none"/>
        </w:rPr>
        <w:t>等工作，科学申报项目预算及绩效目标，保障预算执行有序推进。同时，强化福利彩票公益金结余资金统筹管理，对结余资金逐级上缴市财政，按照福利彩票公益金资金用途，统筹规划使用。</w:t>
      </w:r>
    </w:p>
    <w:p>
      <w:pPr>
        <w:spacing w:line="560" w:lineRule="exact"/>
        <w:ind w:firstLine="640" w:firstLineChars="200"/>
        <w:rPr>
          <w:rFonts w:hint="eastAsia" w:ascii="仿宋_GB2312" w:hAnsi="仿宋_GB2312" w:cs="仿宋_GB2312"/>
          <w:bCs/>
          <w:sz w:val="32"/>
          <w:szCs w:val="32"/>
          <w:highlight w:val="none"/>
        </w:rPr>
      </w:pPr>
    </w:p>
    <w:p>
      <w:pPr>
        <w:spacing w:line="560" w:lineRule="exact"/>
        <w:ind w:firstLine="640" w:firstLineChars="200"/>
        <w:rPr>
          <w:rFonts w:hint="eastAsia" w:ascii="仿宋_GB2312" w:hAnsi="仿宋_GB2312" w:cs="仿宋_GB2312"/>
          <w:bCs/>
          <w:sz w:val="32"/>
          <w:szCs w:val="32"/>
          <w:highlight w:val="none"/>
        </w:rPr>
      </w:pPr>
    </w:p>
    <w:p>
      <w:pPr>
        <w:spacing w:line="560" w:lineRule="exact"/>
        <w:ind w:firstLine="640" w:firstLineChars="200"/>
        <w:rPr>
          <w:rFonts w:hint="eastAsia" w:ascii="仿宋_GB2312" w:hAnsi="仿宋_GB2312" w:cs="仿宋_GB2312"/>
          <w:bCs/>
          <w:sz w:val="32"/>
          <w:szCs w:val="32"/>
          <w:highlight w:val="none"/>
        </w:rPr>
      </w:pPr>
    </w:p>
    <w:p>
      <w:pPr>
        <w:spacing w:line="560" w:lineRule="exact"/>
        <w:ind w:firstLine="640" w:firstLineChars="200"/>
        <w:rPr>
          <w:rFonts w:hint="eastAsia" w:ascii="仿宋_GB2312" w:hAnsi="仿宋_GB2312" w:cs="仿宋_GB2312"/>
          <w:bCs/>
          <w:sz w:val="32"/>
          <w:szCs w:val="32"/>
          <w:highlight w:val="none"/>
        </w:rPr>
      </w:pPr>
    </w:p>
    <w:p>
      <w:pPr>
        <w:spacing w:line="560" w:lineRule="exact"/>
        <w:ind w:firstLine="640" w:firstLineChars="200"/>
        <w:rPr>
          <w:rFonts w:hint="eastAsia" w:ascii="仿宋_GB2312" w:hAnsi="仿宋_GB2312" w:cs="仿宋_GB2312"/>
          <w:bCs/>
          <w:sz w:val="32"/>
          <w:szCs w:val="32"/>
          <w:highlight w:val="none"/>
        </w:rPr>
      </w:pPr>
    </w:p>
    <w:p>
      <w:pPr>
        <w:spacing w:line="560" w:lineRule="exact"/>
        <w:ind w:firstLine="640" w:firstLineChars="200"/>
        <w:rPr>
          <w:rFonts w:hint="eastAsia" w:ascii="仿宋_GB2312" w:hAnsi="仿宋_GB2312" w:cs="仿宋_GB2312"/>
          <w:bCs/>
          <w:sz w:val="32"/>
          <w:szCs w:val="32"/>
          <w:highlight w:val="none"/>
        </w:rPr>
      </w:pPr>
    </w:p>
    <w:p>
      <w:pPr>
        <w:spacing w:line="560" w:lineRule="exact"/>
        <w:ind w:firstLine="640" w:firstLineChars="200"/>
        <w:rPr>
          <w:rFonts w:hint="eastAsia" w:ascii="仿宋_GB2312" w:hAnsi="仿宋_GB2312" w:cs="仿宋_GB2312"/>
          <w:bCs/>
          <w:sz w:val="32"/>
          <w:szCs w:val="32"/>
          <w:highlight w:val="none"/>
        </w:rPr>
      </w:pPr>
    </w:p>
    <w:p>
      <w:pPr>
        <w:spacing w:line="560" w:lineRule="exact"/>
        <w:ind w:firstLine="640" w:firstLineChars="200"/>
        <w:rPr>
          <w:rFonts w:hint="eastAsia" w:ascii="仿宋_GB2312" w:hAnsi="仿宋_GB2312" w:cs="仿宋_GB2312"/>
          <w:bCs/>
          <w:sz w:val="32"/>
          <w:szCs w:val="32"/>
          <w:highlight w:val="none"/>
        </w:rPr>
      </w:pPr>
    </w:p>
    <w:p>
      <w:pPr>
        <w:spacing w:line="560" w:lineRule="exact"/>
        <w:ind w:firstLine="640" w:firstLineChars="200"/>
        <w:rPr>
          <w:rFonts w:hint="eastAsia" w:ascii="仿宋_GB2312" w:hAnsi="仿宋_GB2312" w:cs="仿宋_GB2312"/>
          <w:bCs/>
          <w:sz w:val="32"/>
          <w:szCs w:val="32"/>
          <w:highlight w:val="none"/>
        </w:rPr>
      </w:pPr>
    </w:p>
    <w:p>
      <w:pPr>
        <w:spacing w:line="560" w:lineRule="exact"/>
        <w:ind w:firstLine="640" w:firstLineChars="200"/>
        <w:rPr>
          <w:rFonts w:hint="eastAsia" w:ascii="仿宋_GB2312" w:hAnsi="仿宋_GB2312" w:cs="仿宋_GB2312"/>
          <w:bCs/>
          <w:sz w:val="32"/>
          <w:szCs w:val="32"/>
          <w:highlight w:val="none"/>
        </w:rPr>
      </w:pPr>
    </w:p>
    <w:p>
      <w:pPr>
        <w:spacing w:line="560" w:lineRule="exact"/>
        <w:ind w:firstLine="640" w:firstLineChars="200"/>
        <w:rPr>
          <w:rFonts w:hint="eastAsia" w:ascii="仿宋_GB2312" w:hAnsi="仿宋_GB2312" w:cs="仿宋_GB2312"/>
          <w:bCs/>
          <w:sz w:val="32"/>
          <w:szCs w:val="32"/>
          <w:highlight w:val="none"/>
        </w:rPr>
      </w:pPr>
    </w:p>
    <w:p>
      <w:pPr>
        <w:spacing w:line="560" w:lineRule="exact"/>
        <w:ind w:firstLine="640" w:firstLineChars="200"/>
        <w:rPr>
          <w:rFonts w:hint="eastAsia" w:ascii="仿宋_GB2312" w:hAnsi="仿宋_GB2312" w:cs="仿宋_GB2312"/>
          <w:bCs/>
          <w:sz w:val="32"/>
          <w:szCs w:val="32"/>
          <w:highlight w:val="none"/>
        </w:rPr>
      </w:pPr>
    </w:p>
    <w:p>
      <w:pPr>
        <w:spacing w:line="560" w:lineRule="exact"/>
        <w:rPr>
          <w:rFonts w:hint="eastAsia" w:ascii="仿宋_GB2312" w:hAnsi="仿宋_GB2312" w:cs="仿宋_GB2312"/>
          <w:bCs/>
          <w:sz w:val="32"/>
          <w:szCs w:val="32"/>
          <w:highlight w:val="none"/>
        </w:rPr>
      </w:pPr>
    </w:p>
    <w:p>
      <w:pPr>
        <w:tabs>
          <w:tab w:val="left" w:pos="1271"/>
        </w:tabs>
        <w:spacing w:line="560" w:lineRule="exact"/>
        <w:rPr>
          <w:rFonts w:hint="eastAsia" w:ascii="仿宋_GB2312" w:hAnsi="仿宋_GB2312" w:eastAsia="仿宋_GB2312" w:cs="仿宋_GB2312"/>
          <w:bCs/>
          <w:sz w:val="32"/>
          <w:szCs w:val="32"/>
          <w:highlight w:val="none"/>
          <w:lang w:eastAsia="zh-CN"/>
        </w:rPr>
      </w:pPr>
    </w:p>
    <w:sectPr>
      <w:pgSz w:w="11906" w:h="16838"/>
      <w:pgMar w:top="2098" w:right="1474" w:bottom="1984" w:left="1587" w:header="851" w:footer="992" w:gutter="0"/>
      <w:cols w:space="720" w:num="1"/>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Times New Roman" w:hAnsi="Times New Roman" w:eastAsia="仿宋_GB2312"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false">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FgAAAGRycy9QSwECFAAUAAAA&#10;CACHTuJAuXW5UtAAAAAFAQAADwAAAAAAAAABACAAAAA4AAAAZHJzL2Rvd25yZXYueG1sUEsBAhQA&#10;FAAAAAgAh07iQGTX/IGrAQAARQMAAA4AAAAAAAAAAQAgAAAANQEAAGRycy9lMm9Eb2MueG1sUEsF&#10;BgAAAAAGAAYAWQEAAFI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snapToGrid w:val="0"/>
      </w:pPr>
      <w:r>
        <w:rPr>
          <w:rStyle w:val="12"/>
        </w:rPr>
        <w:footnoteRef/>
      </w:r>
      <w:r>
        <w:t xml:space="preserve"> </w:t>
      </w:r>
      <w:r>
        <w:rPr>
          <w:rFonts w:hint="eastAsia"/>
          <w:color w:val="000000"/>
          <w:highlight w:val="none"/>
        </w:rPr>
        <w:t>按照四舍五入原则保留两位小数，导致表内数据的和与合计数存在</w:t>
      </w:r>
      <w:r>
        <w:rPr>
          <w:color w:val="000000"/>
          <w:highlight w:val="none"/>
        </w:rPr>
        <w:t>0</w:t>
      </w:r>
      <w:r>
        <w:rPr>
          <w:rFonts w:hint="eastAsia"/>
          <w:color w:val="000000"/>
          <w:highlight w:val="none"/>
        </w:rPr>
        <w:t>.</w:t>
      </w:r>
      <w:r>
        <w:rPr>
          <w:color w:val="000000"/>
          <w:highlight w:val="none"/>
        </w:rPr>
        <w:t>01</w:t>
      </w:r>
      <w:r>
        <w:rPr>
          <w:rFonts w:hint="eastAsia"/>
          <w:color w:val="000000"/>
          <w:highlight w:val="none"/>
        </w:rPr>
        <w:t>的差值。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85E39E"/>
    <w:multiLevelType w:val="singleLevel"/>
    <w:tmpl w:val="8985E39E"/>
    <w:lvl w:ilvl="0" w:tentative="0">
      <w:start w:val="1"/>
      <w:numFmt w:val="chineseCounting"/>
      <w:suff w:val="nothing"/>
      <w:lvlText w:val="（%1）"/>
      <w:lvlJc w:val="left"/>
      <w:pPr>
        <w:ind w:left="48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revisionView w:markup="0"/>
  <w:trackRevisions w:val="true"/>
  <w:documentProtection w:enforcement="0"/>
  <w:defaultTabStop w:val="0"/>
  <w:drawingGridHorizontalSpacing w:val="150"/>
  <w:drawingGridVerticalSpacing w:val="210"/>
  <w:displayHorizontalDrawingGridEvery w:val="1"/>
  <w:displayVerticalDrawingGridEvery w:val="1"/>
  <w:noPunctuationKerning w:val="true"/>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OTYzYjQ5ZWNmMTA5YTEzZjJiMTFkZmFiM2U3ZmEifQ=="/>
    <w:docVar w:name="KSO_WPS_MARK_KEY" w:val="2220a264-76b8-45ed-b366-6f917b9627be"/>
  </w:docVars>
  <w:rsids>
    <w:rsidRoot w:val="00F57F82"/>
    <w:rsid w:val="000101E1"/>
    <w:rsid w:val="000732DA"/>
    <w:rsid w:val="00075CDC"/>
    <w:rsid w:val="000A7651"/>
    <w:rsid w:val="000B1E8F"/>
    <w:rsid w:val="00101F7E"/>
    <w:rsid w:val="00103D16"/>
    <w:rsid w:val="0011146E"/>
    <w:rsid w:val="0011666B"/>
    <w:rsid w:val="0013537F"/>
    <w:rsid w:val="00164D84"/>
    <w:rsid w:val="001C2E3E"/>
    <w:rsid w:val="001E37FD"/>
    <w:rsid w:val="001F151A"/>
    <w:rsid w:val="00201B79"/>
    <w:rsid w:val="00235949"/>
    <w:rsid w:val="00250053"/>
    <w:rsid w:val="002E61A9"/>
    <w:rsid w:val="002E6C28"/>
    <w:rsid w:val="002F6705"/>
    <w:rsid w:val="00301FC0"/>
    <w:rsid w:val="00320011"/>
    <w:rsid w:val="00363197"/>
    <w:rsid w:val="00387DD5"/>
    <w:rsid w:val="003A2E4C"/>
    <w:rsid w:val="003C6374"/>
    <w:rsid w:val="003E3F48"/>
    <w:rsid w:val="00493012"/>
    <w:rsid w:val="004B563B"/>
    <w:rsid w:val="0050184A"/>
    <w:rsid w:val="00534D80"/>
    <w:rsid w:val="00537839"/>
    <w:rsid w:val="00545972"/>
    <w:rsid w:val="00556CBE"/>
    <w:rsid w:val="00562AA2"/>
    <w:rsid w:val="005C7EED"/>
    <w:rsid w:val="005D7CC3"/>
    <w:rsid w:val="006136AE"/>
    <w:rsid w:val="006158E6"/>
    <w:rsid w:val="00641B00"/>
    <w:rsid w:val="00663821"/>
    <w:rsid w:val="00684A9A"/>
    <w:rsid w:val="00705CE8"/>
    <w:rsid w:val="00706C04"/>
    <w:rsid w:val="00724A6B"/>
    <w:rsid w:val="0072794A"/>
    <w:rsid w:val="007333DB"/>
    <w:rsid w:val="00775338"/>
    <w:rsid w:val="00813465"/>
    <w:rsid w:val="00840D6F"/>
    <w:rsid w:val="008B1206"/>
    <w:rsid w:val="008F60A3"/>
    <w:rsid w:val="00937811"/>
    <w:rsid w:val="00992CDC"/>
    <w:rsid w:val="009A02B0"/>
    <w:rsid w:val="009A0529"/>
    <w:rsid w:val="009E61D4"/>
    <w:rsid w:val="00A1488B"/>
    <w:rsid w:val="00A30F95"/>
    <w:rsid w:val="00A31F5E"/>
    <w:rsid w:val="00A32F4A"/>
    <w:rsid w:val="00A5546D"/>
    <w:rsid w:val="00A92C8F"/>
    <w:rsid w:val="00B316AD"/>
    <w:rsid w:val="00B4346A"/>
    <w:rsid w:val="00B7078D"/>
    <w:rsid w:val="00BB0E7F"/>
    <w:rsid w:val="00BD3656"/>
    <w:rsid w:val="00BE58CF"/>
    <w:rsid w:val="00BF2E74"/>
    <w:rsid w:val="00CE1744"/>
    <w:rsid w:val="00CE1F0D"/>
    <w:rsid w:val="00CF336F"/>
    <w:rsid w:val="00D23C43"/>
    <w:rsid w:val="00D23FB3"/>
    <w:rsid w:val="00D63908"/>
    <w:rsid w:val="00D95006"/>
    <w:rsid w:val="00DA29EC"/>
    <w:rsid w:val="00DD6007"/>
    <w:rsid w:val="00DE4FDA"/>
    <w:rsid w:val="00E22E2F"/>
    <w:rsid w:val="00ED0C22"/>
    <w:rsid w:val="00EE2249"/>
    <w:rsid w:val="00EE3FEC"/>
    <w:rsid w:val="00EE4BD9"/>
    <w:rsid w:val="00EF3698"/>
    <w:rsid w:val="00F22C16"/>
    <w:rsid w:val="00F312A6"/>
    <w:rsid w:val="00F362D2"/>
    <w:rsid w:val="00F433D4"/>
    <w:rsid w:val="00F57F82"/>
    <w:rsid w:val="00F72C1A"/>
    <w:rsid w:val="00FA357A"/>
    <w:rsid w:val="00FC1C56"/>
    <w:rsid w:val="00FD14E0"/>
    <w:rsid w:val="037D0BC8"/>
    <w:rsid w:val="03FCA087"/>
    <w:rsid w:val="068D77FB"/>
    <w:rsid w:val="07A71631"/>
    <w:rsid w:val="0845082D"/>
    <w:rsid w:val="096E3588"/>
    <w:rsid w:val="09E965F2"/>
    <w:rsid w:val="0A5AC0C6"/>
    <w:rsid w:val="0B7BB7D1"/>
    <w:rsid w:val="0C1A0C5A"/>
    <w:rsid w:val="0E66764E"/>
    <w:rsid w:val="0E972280"/>
    <w:rsid w:val="0EE3107B"/>
    <w:rsid w:val="0EF28F2A"/>
    <w:rsid w:val="100940BC"/>
    <w:rsid w:val="11FE6C02"/>
    <w:rsid w:val="139840D3"/>
    <w:rsid w:val="143E091F"/>
    <w:rsid w:val="14865FC8"/>
    <w:rsid w:val="150C2DB0"/>
    <w:rsid w:val="156F4749"/>
    <w:rsid w:val="167A0763"/>
    <w:rsid w:val="174DC502"/>
    <w:rsid w:val="1A9C7EF7"/>
    <w:rsid w:val="1BFDCA2C"/>
    <w:rsid w:val="1BFFBB4E"/>
    <w:rsid w:val="1DF2E342"/>
    <w:rsid w:val="1DF363B1"/>
    <w:rsid w:val="1DFFFBC0"/>
    <w:rsid w:val="1E761F05"/>
    <w:rsid w:val="1F7DF23B"/>
    <w:rsid w:val="1FA7E3FD"/>
    <w:rsid w:val="1FC7205C"/>
    <w:rsid w:val="1FE73162"/>
    <w:rsid w:val="1FFEC917"/>
    <w:rsid w:val="1FFFAF1F"/>
    <w:rsid w:val="1FFFFEB1"/>
    <w:rsid w:val="21848B63"/>
    <w:rsid w:val="228B3D05"/>
    <w:rsid w:val="23275F66"/>
    <w:rsid w:val="2350337E"/>
    <w:rsid w:val="255C0561"/>
    <w:rsid w:val="256B10EF"/>
    <w:rsid w:val="26FDB64B"/>
    <w:rsid w:val="27B70B4D"/>
    <w:rsid w:val="27B75216"/>
    <w:rsid w:val="27D711A4"/>
    <w:rsid w:val="2A9FF631"/>
    <w:rsid w:val="2BBBE144"/>
    <w:rsid w:val="2BBFBE66"/>
    <w:rsid w:val="2F1D4ACB"/>
    <w:rsid w:val="2F7F5C2B"/>
    <w:rsid w:val="2FBFBCE0"/>
    <w:rsid w:val="2FDB35D4"/>
    <w:rsid w:val="2FFB095A"/>
    <w:rsid w:val="2FFC49E0"/>
    <w:rsid w:val="337CDBF3"/>
    <w:rsid w:val="33F5E08C"/>
    <w:rsid w:val="359F689D"/>
    <w:rsid w:val="35EC5F20"/>
    <w:rsid w:val="35EE47B6"/>
    <w:rsid w:val="35FF807B"/>
    <w:rsid w:val="36767569"/>
    <w:rsid w:val="36E7EF4A"/>
    <w:rsid w:val="36EF2551"/>
    <w:rsid w:val="36F57D06"/>
    <w:rsid w:val="377AFFF1"/>
    <w:rsid w:val="3796FD1B"/>
    <w:rsid w:val="385E740A"/>
    <w:rsid w:val="38EF7AD8"/>
    <w:rsid w:val="390F6AAA"/>
    <w:rsid w:val="394F3583"/>
    <w:rsid w:val="395F1F4A"/>
    <w:rsid w:val="39BE2072"/>
    <w:rsid w:val="3AB77495"/>
    <w:rsid w:val="3AD76819"/>
    <w:rsid w:val="3BFF8306"/>
    <w:rsid w:val="3C69C4A1"/>
    <w:rsid w:val="3C9EE62F"/>
    <w:rsid w:val="3CCFC069"/>
    <w:rsid w:val="3CD817E2"/>
    <w:rsid w:val="3DB73D40"/>
    <w:rsid w:val="3DEE52F0"/>
    <w:rsid w:val="3DF75E78"/>
    <w:rsid w:val="3E1672E6"/>
    <w:rsid w:val="3E3696C8"/>
    <w:rsid w:val="3E7D1697"/>
    <w:rsid w:val="3E7DFDA4"/>
    <w:rsid w:val="3E9B11D2"/>
    <w:rsid w:val="3EDFF427"/>
    <w:rsid w:val="3F3F40EF"/>
    <w:rsid w:val="3F9132B6"/>
    <w:rsid w:val="3F9A09D4"/>
    <w:rsid w:val="3FAD0614"/>
    <w:rsid w:val="3FB7F325"/>
    <w:rsid w:val="3FB7FC26"/>
    <w:rsid w:val="3FBD97CD"/>
    <w:rsid w:val="3FCF5E8B"/>
    <w:rsid w:val="3FDB0672"/>
    <w:rsid w:val="3FDFD10F"/>
    <w:rsid w:val="3FE7E5DD"/>
    <w:rsid w:val="3FF713A6"/>
    <w:rsid w:val="3FF996CB"/>
    <w:rsid w:val="3FF9C952"/>
    <w:rsid w:val="3FFFD8AC"/>
    <w:rsid w:val="40FBB4E1"/>
    <w:rsid w:val="415F08D8"/>
    <w:rsid w:val="425D6554"/>
    <w:rsid w:val="430D2CDF"/>
    <w:rsid w:val="432C1A7D"/>
    <w:rsid w:val="443D4582"/>
    <w:rsid w:val="44E2230F"/>
    <w:rsid w:val="477F2500"/>
    <w:rsid w:val="47F3D4CD"/>
    <w:rsid w:val="48A8494B"/>
    <w:rsid w:val="48B51347"/>
    <w:rsid w:val="494F667F"/>
    <w:rsid w:val="4A55216A"/>
    <w:rsid w:val="4AEE3B1B"/>
    <w:rsid w:val="4BE7311F"/>
    <w:rsid w:val="4CF900E7"/>
    <w:rsid w:val="4DFF0E4A"/>
    <w:rsid w:val="4EDB8491"/>
    <w:rsid w:val="4F6B7885"/>
    <w:rsid w:val="4FE0696A"/>
    <w:rsid w:val="4FE9D7B6"/>
    <w:rsid w:val="4FEF4CE1"/>
    <w:rsid w:val="4FEF7B61"/>
    <w:rsid w:val="5215D8EE"/>
    <w:rsid w:val="539B6FDD"/>
    <w:rsid w:val="53F76722"/>
    <w:rsid w:val="53FAAE5C"/>
    <w:rsid w:val="547A7A76"/>
    <w:rsid w:val="55673508"/>
    <w:rsid w:val="556EE2F9"/>
    <w:rsid w:val="55EBA829"/>
    <w:rsid w:val="561E3959"/>
    <w:rsid w:val="56CEFE6E"/>
    <w:rsid w:val="56D770F9"/>
    <w:rsid w:val="57551296"/>
    <w:rsid w:val="57ADE45F"/>
    <w:rsid w:val="57C7EBB3"/>
    <w:rsid w:val="57DEC2AD"/>
    <w:rsid w:val="57E6DD66"/>
    <w:rsid w:val="57F325DA"/>
    <w:rsid w:val="57FB8B02"/>
    <w:rsid w:val="57FD2B2E"/>
    <w:rsid w:val="57FE1EE5"/>
    <w:rsid w:val="57FF0D59"/>
    <w:rsid w:val="57FF1E51"/>
    <w:rsid w:val="57FF2608"/>
    <w:rsid w:val="57FFF1B3"/>
    <w:rsid w:val="58163776"/>
    <w:rsid w:val="586BE32F"/>
    <w:rsid w:val="59595A6F"/>
    <w:rsid w:val="599330CA"/>
    <w:rsid w:val="59E62DE9"/>
    <w:rsid w:val="59FF85DF"/>
    <w:rsid w:val="59FF94D5"/>
    <w:rsid w:val="5A798336"/>
    <w:rsid w:val="5B158AF5"/>
    <w:rsid w:val="5B7BFF31"/>
    <w:rsid w:val="5BAF0143"/>
    <w:rsid w:val="5BDA3182"/>
    <w:rsid w:val="5BDFF5C8"/>
    <w:rsid w:val="5BFBD0A1"/>
    <w:rsid w:val="5BFF10BE"/>
    <w:rsid w:val="5CFFA4BB"/>
    <w:rsid w:val="5DDFBCCD"/>
    <w:rsid w:val="5DF70099"/>
    <w:rsid w:val="5DFEABD1"/>
    <w:rsid w:val="5E5622D4"/>
    <w:rsid w:val="5EFBFB8A"/>
    <w:rsid w:val="5F4EBDDD"/>
    <w:rsid w:val="5F7F3D7D"/>
    <w:rsid w:val="5F7FA49B"/>
    <w:rsid w:val="5FBCAD33"/>
    <w:rsid w:val="5FBEFE1A"/>
    <w:rsid w:val="5FCB05D6"/>
    <w:rsid w:val="5FCF19C3"/>
    <w:rsid w:val="5FDCDEFA"/>
    <w:rsid w:val="5FDD8502"/>
    <w:rsid w:val="5FDE6A7C"/>
    <w:rsid w:val="5FEE9929"/>
    <w:rsid w:val="5FFE3860"/>
    <w:rsid w:val="5FFF35F8"/>
    <w:rsid w:val="5FFF4947"/>
    <w:rsid w:val="5FFFFAD9"/>
    <w:rsid w:val="60D5009F"/>
    <w:rsid w:val="62FCCD3D"/>
    <w:rsid w:val="64617795"/>
    <w:rsid w:val="65174716"/>
    <w:rsid w:val="65FA38F0"/>
    <w:rsid w:val="660721C9"/>
    <w:rsid w:val="661E6C75"/>
    <w:rsid w:val="675B51FB"/>
    <w:rsid w:val="675B98AB"/>
    <w:rsid w:val="6772AC4E"/>
    <w:rsid w:val="677BB149"/>
    <w:rsid w:val="67845964"/>
    <w:rsid w:val="67EF6CB7"/>
    <w:rsid w:val="67F75FF5"/>
    <w:rsid w:val="681D4831"/>
    <w:rsid w:val="68760770"/>
    <w:rsid w:val="68F6A4F6"/>
    <w:rsid w:val="692E4B19"/>
    <w:rsid w:val="69513EF7"/>
    <w:rsid w:val="6AD300AA"/>
    <w:rsid w:val="6ADB5FA5"/>
    <w:rsid w:val="6AFFF86B"/>
    <w:rsid w:val="6B1E24AB"/>
    <w:rsid w:val="6B9B527B"/>
    <w:rsid w:val="6BDFF67B"/>
    <w:rsid w:val="6BF3256F"/>
    <w:rsid w:val="6BFD47DA"/>
    <w:rsid w:val="6C72CD87"/>
    <w:rsid w:val="6CE7018A"/>
    <w:rsid w:val="6DD77CE4"/>
    <w:rsid w:val="6DF9B657"/>
    <w:rsid w:val="6E3E3F2D"/>
    <w:rsid w:val="6E7F0996"/>
    <w:rsid w:val="6E9DAFE3"/>
    <w:rsid w:val="6EBB19CF"/>
    <w:rsid w:val="6EF23EF0"/>
    <w:rsid w:val="6F7AC3BF"/>
    <w:rsid w:val="6F7B5A75"/>
    <w:rsid w:val="6F7FE920"/>
    <w:rsid w:val="6FBCC786"/>
    <w:rsid w:val="6FC5BB63"/>
    <w:rsid w:val="6FE37A2C"/>
    <w:rsid w:val="6FECD4EA"/>
    <w:rsid w:val="6FEEFC90"/>
    <w:rsid w:val="6FEFCDB6"/>
    <w:rsid w:val="6FFB55ED"/>
    <w:rsid w:val="6FFB8A89"/>
    <w:rsid w:val="6FFC2C2C"/>
    <w:rsid w:val="6FFE9024"/>
    <w:rsid w:val="6FFEBBAF"/>
    <w:rsid w:val="6FFFB2B0"/>
    <w:rsid w:val="715B2F02"/>
    <w:rsid w:val="717B0A3E"/>
    <w:rsid w:val="717C64BF"/>
    <w:rsid w:val="72492390"/>
    <w:rsid w:val="72EF2A61"/>
    <w:rsid w:val="7361E995"/>
    <w:rsid w:val="737F46FA"/>
    <w:rsid w:val="73AFAE96"/>
    <w:rsid w:val="73FF2DD4"/>
    <w:rsid w:val="7409326A"/>
    <w:rsid w:val="74751CC8"/>
    <w:rsid w:val="75555E0F"/>
    <w:rsid w:val="7563778E"/>
    <w:rsid w:val="7569F74E"/>
    <w:rsid w:val="757F08EA"/>
    <w:rsid w:val="75BFAC01"/>
    <w:rsid w:val="75DAA688"/>
    <w:rsid w:val="75DBF316"/>
    <w:rsid w:val="75FF7A6C"/>
    <w:rsid w:val="766F312C"/>
    <w:rsid w:val="76A548F2"/>
    <w:rsid w:val="76FFA411"/>
    <w:rsid w:val="7702C47B"/>
    <w:rsid w:val="771D50C7"/>
    <w:rsid w:val="771EEEFA"/>
    <w:rsid w:val="7765772E"/>
    <w:rsid w:val="77867685"/>
    <w:rsid w:val="77AB330C"/>
    <w:rsid w:val="77AF9395"/>
    <w:rsid w:val="77B6D1F1"/>
    <w:rsid w:val="77BD3ACF"/>
    <w:rsid w:val="77DE43A9"/>
    <w:rsid w:val="77E5BFD9"/>
    <w:rsid w:val="77EA4585"/>
    <w:rsid w:val="77F7F199"/>
    <w:rsid w:val="781F36B6"/>
    <w:rsid w:val="78FF1B48"/>
    <w:rsid w:val="78FF3A33"/>
    <w:rsid w:val="790627AD"/>
    <w:rsid w:val="797F009D"/>
    <w:rsid w:val="797FC07B"/>
    <w:rsid w:val="798FBEB4"/>
    <w:rsid w:val="79A1748D"/>
    <w:rsid w:val="79DA1F85"/>
    <w:rsid w:val="7ABEB542"/>
    <w:rsid w:val="7ADC59FA"/>
    <w:rsid w:val="7ADF155B"/>
    <w:rsid w:val="7AFF015F"/>
    <w:rsid w:val="7AFF93C0"/>
    <w:rsid w:val="7B3F538D"/>
    <w:rsid w:val="7B76C63E"/>
    <w:rsid w:val="7B7FB243"/>
    <w:rsid w:val="7B8EBC5C"/>
    <w:rsid w:val="7B9FA442"/>
    <w:rsid w:val="7BB74F87"/>
    <w:rsid w:val="7BBB8041"/>
    <w:rsid w:val="7BC3B0B4"/>
    <w:rsid w:val="7BDF50EF"/>
    <w:rsid w:val="7BF80EEF"/>
    <w:rsid w:val="7C16FD15"/>
    <w:rsid w:val="7CD68C36"/>
    <w:rsid w:val="7CFBE1F4"/>
    <w:rsid w:val="7D3FDDFA"/>
    <w:rsid w:val="7D5C5DCD"/>
    <w:rsid w:val="7D5FBBE4"/>
    <w:rsid w:val="7D72AC33"/>
    <w:rsid w:val="7D7EC91C"/>
    <w:rsid w:val="7D7FEA67"/>
    <w:rsid w:val="7DB395F2"/>
    <w:rsid w:val="7DBDE31C"/>
    <w:rsid w:val="7DBF8A0C"/>
    <w:rsid w:val="7DDD794F"/>
    <w:rsid w:val="7DE70E3F"/>
    <w:rsid w:val="7DF9CC46"/>
    <w:rsid w:val="7DFA5F41"/>
    <w:rsid w:val="7DFCA2CD"/>
    <w:rsid w:val="7DFE20EB"/>
    <w:rsid w:val="7DFFA0A0"/>
    <w:rsid w:val="7DFFD224"/>
    <w:rsid w:val="7E13BB63"/>
    <w:rsid w:val="7E7BEEB7"/>
    <w:rsid w:val="7E8FA3B2"/>
    <w:rsid w:val="7EBB25D7"/>
    <w:rsid w:val="7ED304D0"/>
    <w:rsid w:val="7EFB0BF6"/>
    <w:rsid w:val="7EFB3DF4"/>
    <w:rsid w:val="7F1E9DBE"/>
    <w:rsid w:val="7F1FA01D"/>
    <w:rsid w:val="7F27EB4E"/>
    <w:rsid w:val="7F2D4BE6"/>
    <w:rsid w:val="7F636B44"/>
    <w:rsid w:val="7F776F5C"/>
    <w:rsid w:val="7F7C5678"/>
    <w:rsid w:val="7F7F10ED"/>
    <w:rsid w:val="7F7F4AA0"/>
    <w:rsid w:val="7F7FF3BE"/>
    <w:rsid w:val="7F9F105B"/>
    <w:rsid w:val="7FA90759"/>
    <w:rsid w:val="7FB2AC56"/>
    <w:rsid w:val="7FBFE555"/>
    <w:rsid w:val="7FD35AB5"/>
    <w:rsid w:val="7FD6EA0E"/>
    <w:rsid w:val="7FD94B11"/>
    <w:rsid w:val="7FDC014B"/>
    <w:rsid w:val="7FDE192B"/>
    <w:rsid w:val="7FEEDAD3"/>
    <w:rsid w:val="7FEF638E"/>
    <w:rsid w:val="7FF24C48"/>
    <w:rsid w:val="7FF3AFB6"/>
    <w:rsid w:val="7FF72E24"/>
    <w:rsid w:val="7FFB953E"/>
    <w:rsid w:val="7FFBAAAF"/>
    <w:rsid w:val="7FFC0A38"/>
    <w:rsid w:val="7FFD38AB"/>
    <w:rsid w:val="7FFDE83D"/>
    <w:rsid w:val="7FFE4B6E"/>
    <w:rsid w:val="7FFE4E91"/>
    <w:rsid w:val="7FFEBB4F"/>
    <w:rsid w:val="87FFE0B1"/>
    <w:rsid w:val="8BD5A538"/>
    <w:rsid w:val="8BFFC856"/>
    <w:rsid w:val="8CFD3290"/>
    <w:rsid w:val="8EFC1FA5"/>
    <w:rsid w:val="8FFEF411"/>
    <w:rsid w:val="8FFF651A"/>
    <w:rsid w:val="95378FC8"/>
    <w:rsid w:val="95F745E4"/>
    <w:rsid w:val="9767375C"/>
    <w:rsid w:val="9AD7A7D1"/>
    <w:rsid w:val="9CFB77AF"/>
    <w:rsid w:val="9EF20060"/>
    <w:rsid w:val="9F9F5862"/>
    <w:rsid w:val="9FB96D4C"/>
    <w:rsid w:val="9FDA7BC4"/>
    <w:rsid w:val="9FDC9BB1"/>
    <w:rsid w:val="9FEF5784"/>
    <w:rsid w:val="9FF255D3"/>
    <w:rsid w:val="A3FEDE12"/>
    <w:rsid w:val="A3FF2A18"/>
    <w:rsid w:val="A3FFD1AC"/>
    <w:rsid w:val="A55B6C6A"/>
    <w:rsid w:val="A5F62003"/>
    <w:rsid w:val="A9BE88C2"/>
    <w:rsid w:val="AB7BA749"/>
    <w:rsid w:val="ABFF3298"/>
    <w:rsid w:val="AD4FA5ED"/>
    <w:rsid w:val="AFFC5F41"/>
    <w:rsid w:val="B3944EED"/>
    <w:rsid w:val="B5AF8845"/>
    <w:rsid w:val="B631B2E8"/>
    <w:rsid w:val="B74B2636"/>
    <w:rsid w:val="B7ED5B72"/>
    <w:rsid w:val="B7F3BE45"/>
    <w:rsid w:val="B7F7E885"/>
    <w:rsid w:val="B7FD217D"/>
    <w:rsid w:val="B87E8177"/>
    <w:rsid w:val="B9F57045"/>
    <w:rsid w:val="BA1E0C9F"/>
    <w:rsid w:val="BA6EB73B"/>
    <w:rsid w:val="BB5BF0BB"/>
    <w:rsid w:val="BBFDD544"/>
    <w:rsid w:val="BD2A5EF2"/>
    <w:rsid w:val="BDA3978C"/>
    <w:rsid w:val="BDFF2A37"/>
    <w:rsid w:val="BE0EB65D"/>
    <w:rsid w:val="BE6DF320"/>
    <w:rsid w:val="BEA7F647"/>
    <w:rsid w:val="BEBB23A8"/>
    <w:rsid w:val="BEE721C3"/>
    <w:rsid w:val="BEFB61EF"/>
    <w:rsid w:val="BEFFB94E"/>
    <w:rsid w:val="BF3F50D0"/>
    <w:rsid w:val="BF7D6855"/>
    <w:rsid w:val="BF7D8E90"/>
    <w:rsid w:val="BF7FB0F1"/>
    <w:rsid w:val="BFB729D2"/>
    <w:rsid w:val="BFBFF366"/>
    <w:rsid w:val="BFD7A70A"/>
    <w:rsid w:val="BFE59083"/>
    <w:rsid w:val="BFEFEF97"/>
    <w:rsid w:val="BFF2CD88"/>
    <w:rsid w:val="BFF783F6"/>
    <w:rsid w:val="BFF8FF53"/>
    <w:rsid w:val="BFFBFC2C"/>
    <w:rsid w:val="BFFE98BD"/>
    <w:rsid w:val="BFFF7E92"/>
    <w:rsid w:val="C9B778E8"/>
    <w:rsid w:val="CABF9067"/>
    <w:rsid w:val="CBDEE07A"/>
    <w:rsid w:val="CCBE42D1"/>
    <w:rsid w:val="CD6F9CEA"/>
    <w:rsid w:val="CDF7C5FE"/>
    <w:rsid w:val="CF1DF7FC"/>
    <w:rsid w:val="CF3D88DD"/>
    <w:rsid w:val="CFBF687F"/>
    <w:rsid w:val="CFEB394B"/>
    <w:rsid w:val="CFEE3833"/>
    <w:rsid w:val="CFF4C38A"/>
    <w:rsid w:val="CFF73D0F"/>
    <w:rsid w:val="D37C3CB9"/>
    <w:rsid w:val="D3EE083B"/>
    <w:rsid w:val="D57B1C89"/>
    <w:rsid w:val="D76806FD"/>
    <w:rsid w:val="D76E75EE"/>
    <w:rsid w:val="D7CFCF64"/>
    <w:rsid w:val="D7DB9DC8"/>
    <w:rsid w:val="D7FB3419"/>
    <w:rsid w:val="D7FFFAE1"/>
    <w:rsid w:val="D93DE8E6"/>
    <w:rsid w:val="D97F6EFC"/>
    <w:rsid w:val="D9DB27A5"/>
    <w:rsid w:val="D9FE841A"/>
    <w:rsid w:val="DB9DD64E"/>
    <w:rsid w:val="DBDCC029"/>
    <w:rsid w:val="DCEBC1F1"/>
    <w:rsid w:val="DD7F1E9D"/>
    <w:rsid w:val="DDBD00D4"/>
    <w:rsid w:val="DDBD9B1A"/>
    <w:rsid w:val="DDDF61AD"/>
    <w:rsid w:val="DDF549E9"/>
    <w:rsid w:val="DE5BDCA9"/>
    <w:rsid w:val="DEBF3054"/>
    <w:rsid w:val="DEF7CDBF"/>
    <w:rsid w:val="DF7D1604"/>
    <w:rsid w:val="DFAC7EC1"/>
    <w:rsid w:val="DFB4875F"/>
    <w:rsid w:val="DFB71CDC"/>
    <w:rsid w:val="DFBF4884"/>
    <w:rsid w:val="DFCB4943"/>
    <w:rsid w:val="DFD3A193"/>
    <w:rsid w:val="DFD80766"/>
    <w:rsid w:val="DFDF1A6F"/>
    <w:rsid w:val="DFDFC920"/>
    <w:rsid w:val="DFEB2DD4"/>
    <w:rsid w:val="DFF78A7F"/>
    <w:rsid w:val="E1772D81"/>
    <w:rsid w:val="E1CBC1F8"/>
    <w:rsid w:val="E3ABF7DF"/>
    <w:rsid w:val="E3BF41A0"/>
    <w:rsid w:val="E46B9202"/>
    <w:rsid w:val="E49BF46C"/>
    <w:rsid w:val="E5F2CB27"/>
    <w:rsid w:val="E77B6567"/>
    <w:rsid w:val="E7976457"/>
    <w:rsid w:val="E7D6154E"/>
    <w:rsid w:val="E97F413B"/>
    <w:rsid w:val="EB6F44F7"/>
    <w:rsid w:val="EB7BF672"/>
    <w:rsid w:val="EBFFF865"/>
    <w:rsid w:val="EC6D60F5"/>
    <w:rsid w:val="EC7DA204"/>
    <w:rsid w:val="ECDA4945"/>
    <w:rsid w:val="EDEF3F7C"/>
    <w:rsid w:val="EE9BAC96"/>
    <w:rsid w:val="EEB7953D"/>
    <w:rsid w:val="EEDD82C9"/>
    <w:rsid w:val="EEEFE7B0"/>
    <w:rsid w:val="EEFFB9C6"/>
    <w:rsid w:val="EF7F5F86"/>
    <w:rsid w:val="EF7FDA92"/>
    <w:rsid w:val="EF9E08D7"/>
    <w:rsid w:val="EFD1D7CF"/>
    <w:rsid w:val="EFE5EAA0"/>
    <w:rsid w:val="EFE7FFCC"/>
    <w:rsid w:val="EFEA1B7E"/>
    <w:rsid w:val="EFED9864"/>
    <w:rsid w:val="EFEF6297"/>
    <w:rsid w:val="EFFBA34E"/>
    <w:rsid w:val="EFFEF537"/>
    <w:rsid w:val="F0FDE9FC"/>
    <w:rsid w:val="F3B6DDDB"/>
    <w:rsid w:val="F4799EBA"/>
    <w:rsid w:val="F5F0A347"/>
    <w:rsid w:val="F5F8DC0D"/>
    <w:rsid w:val="F5FE7064"/>
    <w:rsid w:val="F68A85E9"/>
    <w:rsid w:val="F6B85F21"/>
    <w:rsid w:val="F6DDA33C"/>
    <w:rsid w:val="F6EBDD01"/>
    <w:rsid w:val="F6F73CA3"/>
    <w:rsid w:val="F6FF5B2C"/>
    <w:rsid w:val="F766A661"/>
    <w:rsid w:val="F7758902"/>
    <w:rsid w:val="F7796B14"/>
    <w:rsid w:val="F77C0B5B"/>
    <w:rsid w:val="F7BF45D8"/>
    <w:rsid w:val="F7BF832C"/>
    <w:rsid w:val="F7EEC818"/>
    <w:rsid w:val="F7EFDFB5"/>
    <w:rsid w:val="F7F9572A"/>
    <w:rsid w:val="F7FB30AA"/>
    <w:rsid w:val="F7FB33CD"/>
    <w:rsid w:val="F7FD5579"/>
    <w:rsid w:val="F7FFBFFE"/>
    <w:rsid w:val="F9072985"/>
    <w:rsid w:val="F95F44F7"/>
    <w:rsid w:val="F97ECCEF"/>
    <w:rsid w:val="FA7F0193"/>
    <w:rsid w:val="FA7FEC6F"/>
    <w:rsid w:val="FACA9DD6"/>
    <w:rsid w:val="FAFFB16A"/>
    <w:rsid w:val="FB3DFA12"/>
    <w:rsid w:val="FB5D5B6B"/>
    <w:rsid w:val="FB7F535F"/>
    <w:rsid w:val="FB7FF320"/>
    <w:rsid w:val="FB9BFD0E"/>
    <w:rsid w:val="FBA5372A"/>
    <w:rsid w:val="FBDBC769"/>
    <w:rsid w:val="FBDF1556"/>
    <w:rsid w:val="FBDF5AEB"/>
    <w:rsid w:val="FBF79A2F"/>
    <w:rsid w:val="FBFAD63B"/>
    <w:rsid w:val="FBFD7DA9"/>
    <w:rsid w:val="FBFE1BCE"/>
    <w:rsid w:val="FC5DAD22"/>
    <w:rsid w:val="FCE675DB"/>
    <w:rsid w:val="FCED8CC0"/>
    <w:rsid w:val="FCF67C59"/>
    <w:rsid w:val="FCFD7D84"/>
    <w:rsid w:val="FD65F106"/>
    <w:rsid w:val="FD6CB825"/>
    <w:rsid w:val="FD6E0E53"/>
    <w:rsid w:val="FD6E93E1"/>
    <w:rsid w:val="FD6FB688"/>
    <w:rsid w:val="FD77EDB0"/>
    <w:rsid w:val="FDB21EE3"/>
    <w:rsid w:val="FDBA5092"/>
    <w:rsid w:val="FDBB6E22"/>
    <w:rsid w:val="FDE874DE"/>
    <w:rsid w:val="FDEFB387"/>
    <w:rsid w:val="FDF65CE1"/>
    <w:rsid w:val="FDF9E321"/>
    <w:rsid w:val="FDFCD655"/>
    <w:rsid w:val="FDFEE5FA"/>
    <w:rsid w:val="FDFF0157"/>
    <w:rsid w:val="FDFF687D"/>
    <w:rsid w:val="FDFFE022"/>
    <w:rsid w:val="FE5E0CCE"/>
    <w:rsid w:val="FE7A3060"/>
    <w:rsid w:val="FEAC7C84"/>
    <w:rsid w:val="FECED998"/>
    <w:rsid w:val="FEEBB167"/>
    <w:rsid w:val="FEEF25E1"/>
    <w:rsid w:val="FEF66F1D"/>
    <w:rsid w:val="FEF71542"/>
    <w:rsid w:val="FEF7DE70"/>
    <w:rsid w:val="FEFF26C3"/>
    <w:rsid w:val="FEFF5EF2"/>
    <w:rsid w:val="FEFFE926"/>
    <w:rsid w:val="FF13DC81"/>
    <w:rsid w:val="FF3F356E"/>
    <w:rsid w:val="FF635104"/>
    <w:rsid w:val="FF734D11"/>
    <w:rsid w:val="FF7FABD0"/>
    <w:rsid w:val="FF7FFFEF"/>
    <w:rsid w:val="FF86CD69"/>
    <w:rsid w:val="FF87766C"/>
    <w:rsid w:val="FF97B604"/>
    <w:rsid w:val="FF990718"/>
    <w:rsid w:val="FFAE5789"/>
    <w:rsid w:val="FFBDFCBD"/>
    <w:rsid w:val="FFBE4F0D"/>
    <w:rsid w:val="FFC6A4B5"/>
    <w:rsid w:val="FFCF008F"/>
    <w:rsid w:val="FFD64AD9"/>
    <w:rsid w:val="FFD7DC7A"/>
    <w:rsid w:val="FFDAD67D"/>
    <w:rsid w:val="FFDBFB8B"/>
    <w:rsid w:val="FFDD7CDE"/>
    <w:rsid w:val="FFEB3FD9"/>
    <w:rsid w:val="FFEFE035"/>
    <w:rsid w:val="FFF56927"/>
    <w:rsid w:val="FFF7CB86"/>
    <w:rsid w:val="FFF9F34F"/>
    <w:rsid w:val="FFFA9D85"/>
    <w:rsid w:val="FFFD327A"/>
    <w:rsid w:val="FFFD5D91"/>
    <w:rsid w:val="FFFDDA2F"/>
    <w:rsid w:val="FFFE5B12"/>
    <w:rsid w:val="FFFEE5EF"/>
    <w:rsid w:val="FFFF4C76"/>
    <w:rsid w:val="FFFF6A95"/>
    <w:rsid w:val="FFFF811E"/>
    <w:rsid w:val="FFFF956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link w:val="20"/>
    <w:unhideWhenUsed/>
    <w:qFormat/>
    <w:uiPriority w:val="0"/>
    <w:pPr>
      <w:jc w:val="left"/>
    </w:pPr>
  </w:style>
  <w:style w:type="paragraph" w:styleId="4">
    <w:name w:val="Balloon Text"/>
    <w:basedOn w:val="1"/>
    <w:link w:val="18"/>
    <w:qFormat/>
    <w:uiPriority w:val="0"/>
    <w:rPr>
      <w:sz w:val="18"/>
      <w:szCs w:val="18"/>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unhideWhenUsed/>
    <w:qFormat/>
    <w:uiPriority w:val="0"/>
    <w:pPr>
      <w:snapToGrid w:val="0"/>
      <w:jc w:val="left"/>
    </w:pPr>
    <w:rPr>
      <w:sz w:val="18"/>
    </w:rPr>
  </w:style>
  <w:style w:type="paragraph" w:styleId="8">
    <w:name w:val="annotation subject"/>
    <w:basedOn w:val="3"/>
    <w:next w:val="3"/>
    <w:link w:val="21"/>
    <w:unhideWhenUsed/>
    <w:qFormat/>
    <w:uiPriority w:val="0"/>
    <w:rPr>
      <w:b/>
      <w:bCs/>
    </w:rPr>
  </w:style>
  <w:style w:type="character" w:styleId="11">
    <w:name w:val="annotation reference"/>
    <w:basedOn w:val="10"/>
    <w:unhideWhenUsed/>
    <w:qFormat/>
    <w:uiPriority w:val="0"/>
    <w:rPr>
      <w:sz w:val="21"/>
      <w:szCs w:val="21"/>
    </w:rPr>
  </w:style>
  <w:style w:type="character" w:styleId="12">
    <w:name w:val="footnote reference"/>
    <w:basedOn w:val="10"/>
    <w:unhideWhenUsed/>
    <w:qFormat/>
    <w:uiPriority w:val="0"/>
    <w:rPr>
      <w:vertAlign w:val="superscript"/>
    </w:rPr>
  </w:style>
  <w:style w:type="paragraph" w:customStyle="1" w:styleId="13">
    <w:name w:val="修订1"/>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4">
    <w:name w:val="列表段落1"/>
    <w:basedOn w:val="1"/>
    <w:qFormat/>
    <w:uiPriority w:val="99"/>
    <w:pPr>
      <w:ind w:firstLine="420" w:firstLineChars="200"/>
    </w:pPr>
  </w:style>
  <w:style w:type="paragraph" w:customStyle="1" w:styleId="15">
    <w:name w:val="Revision"/>
    <w:hidden/>
    <w:semiHidden/>
    <w:qFormat/>
    <w:uiPriority w:val="99"/>
    <w:rPr>
      <w:rFonts w:ascii="Times New Roman" w:hAnsi="Times New Roman" w:eastAsia="仿宋_GB2312" w:cs="Times New Roman"/>
      <w:kern w:val="2"/>
      <w:sz w:val="30"/>
      <w:szCs w:val="24"/>
      <w:lang w:val="en-US" w:eastAsia="zh-CN" w:bidi="ar-SA"/>
    </w:rPr>
  </w:style>
  <w:style w:type="character" w:customStyle="1" w:styleId="16">
    <w:name w:val="页脚 字符"/>
    <w:link w:val="5"/>
    <w:qFormat/>
    <w:uiPriority w:val="0"/>
    <w:rPr>
      <w:rFonts w:eastAsia="仿宋_GB2312"/>
      <w:kern w:val="2"/>
      <w:sz w:val="18"/>
      <w:szCs w:val="18"/>
    </w:rPr>
  </w:style>
  <w:style w:type="character" w:customStyle="1" w:styleId="17">
    <w:name w:val="页眉 字符"/>
    <w:link w:val="6"/>
    <w:qFormat/>
    <w:uiPriority w:val="0"/>
    <w:rPr>
      <w:rFonts w:eastAsia="仿宋_GB2312"/>
      <w:kern w:val="2"/>
      <w:sz w:val="18"/>
      <w:szCs w:val="18"/>
    </w:rPr>
  </w:style>
  <w:style w:type="character" w:customStyle="1" w:styleId="18">
    <w:name w:val="批注框文本 字符"/>
    <w:link w:val="4"/>
    <w:qFormat/>
    <w:uiPriority w:val="0"/>
    <w:rPr>
      <w:rFonts w:eastAsia="仿宋_GB2312"/>
      <w:kern w:val="2"/>
      <w:sz w:val="18"/>
      <w:szCs w:val="18"/>
    </w:rPr>
  </w:style>
  <w:style w:type="character" w:customStyle="1" w:styleId="19">
    <w:name w:val="CharAttribute3"/>
    <w:qFormat/>
    <w:uiPriority w:val="0"/>
    <w:rPr>
      <w:rFonts w:ascii="仿宋_GB2312" w:eastAsia="仿宋_GB2312"/>
      <w:sz w:val="32"/>
    </w:rPr>
  </w:style>
  <w:style w:type="character" w:customStyle="1" w:styleId="20">
    <w:name w:val="批注文字 字符"/>
    <w:basedOn w:val="10"/>
    <w:link w:val="3"/>
    <w:semiHidden/>
    <w:qFormat/>
    <w:uiPriority w:val="0"/>
    <w:rPr>
      <w:rFonts w:eastAsia="仿宋_GB2312"/>
      <w:kern w:val="2"/>
      <w:sz w:val="30"/>
      <w:szCs w:val="24"/>
    </w:rPr>
  </w:style>
  <w:style w:type="character" w:customStyle="1" w:styleId="21">
    <w:name w:val="批注主题 字符"/>
    <w:basedOn w:val="20"/>
    <w:link w:val="8"/>
    <w:semiHidden/>
    <w:qFormat/>
    <w:uiPriority w:val="0"/>
    <w:rPr>
      <w:rFonts w:eastAsia="仿宋_GB2312"/>
      <w:b/>
      <w:bCs/>
      <w:kern w:val="2"/>
      <w:sz w:val="30"/>
      <w:szCs w:val="24"/>
    </w:rPr>
  </w:style>
  <w:style w:type="character" w:customStyle="1" w:styleId="22">
    <w:name w:val="font11"/>
    <w:basedOn w:val="10"/>
    <w:qFormat/>
    <w:uiPriority w:val="0"/>
    <w:rPr>
      <w:rFonts w:hint="eastAsia" w:ascii="宋体" w:hAnsi="宋体" w:eastAsia="宋体" w:cs="宋体"/>
      <w:b/>
      <w:bCs/>
      <w:color w:val="000000"/>
      <w:sz w:val="21"/>
      <w:szCs w:val="21"/>
      <w:u w:val="none"/>
    </w:rPr>
  </w:style>
  <w:style w:type="character" w:customStyle="1" w:styleId="23">
    <w:name w:val="font21"/>
    <w:basedOn w:val="10"/>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3894</Words>
  <Characters>4319</Characters>
  <Lines>46</Lines>
  <Paragraphs>13</Paragraphs>
  <TotalTime>0</TotalTime>
  <ScaleCrop>false</ScaleCrop>
  <LinksUpToDate>false</LinksUpToDate>
  <CharactersWithSpaces>4360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2023-03-08T12:38:00Z</dcterms:created>
  <dc:creator>lhn</dc:creator>
  <cp:lastModifiedBy>uos</cp:lastModifiedBy>
  <cp:lastPrinted>2024-03-26T19:01:00Z</cp:lastPrinted>
  <dcterms:modified xsi:type="dcterms:W3CDTF">2024-06-05T11:09:01Z</dcterms:modified>
  <dc:title>财政支出绩效评价报告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F134E0BC1EC41105FBDB5E66D0008CDD_43</vt:lpwstr>
  </property>
</Properties>
</file>