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000000" w:fill="auto"/>
        <w:adjustRightInd w:val="0"/>
        <w:snapToGrid w:val="0"/>
        <w:spacing w:line="580" w:lineRule="exact"/>
        <w:jc w:val="center"/>
        <w:rPr>
          <w:rFonts w:hint="eastAsia" w:ascii="方正小标宋简体" w:hAnsi="方正小标宋简体" w:eastAsia="方正小标宋简体" w:cs="方正小标宋简体"/>
          <w:bCs/>
          <w:w w:val="100"/>
          <w:sz w:val="44"/>
          <w:szCs w:val="44"/>
          <w:lang w:eastAsia="zh-CN"/>
        </w:rPr>
      </w:pPr>
      <w:bookmarkStart w:id="3" w:name="_GoBack"/>
      <w:bookmarkEnd w:id="3"/>
      <w:r>
        <w:rPr>
          <w:rFonts w:hint="eastAsia" w:ascii="方正小标宋简体" w:hAnsi="方正小标宋简体" w:eastAsia="方正小标宋简体" w:cs="方正小标宋简体"/>
          <w:bCs/>
          <w:w w:val="100"/>
          <w:sz w:val="44"/>
          <w:szCs w:val="44"/>
          <w:lang w:eastAsia="zh-CN"/>
        </w:rPr>
        <w:t>北京市民政局</w:t>
      </w:r>
    </w:p>
    <w:p>
      <w:pPr>
        <w:shd w:val="clear" w:color="000000" w:fill="auto"/>
        <w:adjustRightInd w:val="0"/>
        <w:snapToGrid w:val="0"/>
        <w:spacing w:line="580" w:lineRule="exact"/>
        <w:jc w:val="center"/>
        <w:rPr>
          <w:rFonts w:hint="default" w:ascii="Times New Roman Regular" w:hAnsi="Times New Roman Regular" w:eastAsia="方正小标宋简体" w:cs="Times New Roman Regular"/>
          <w:bCs/>
          <w:sz w:val="44"/>
          <w:szCs w:val="44"/>
        </w:rPr>
      </w:pPr>
      <w:r>
        <w:rPr>
          <w:rFonts w:hint="eastAsia" w:ascii="方正小标宋简体" w:hAnsi="方正小标宋简体" w:eastAsia="方正小标宋简体" w:cs="方正小标宋简体"/>
          <w:bCs/>
          <w:sz w:val="44"/>
          <w:szCs w:val="44"/>
        </w:rPr>
        <w:t>2023年度部门整体绩效评价报告</w:t>
      </w:r>
    </w:p>
    <w:p>
      <w:pPr>
        <w:jc w:val="center"/>
        <w:rPr>
          <w:rFonts w:hint="default" w:ascii="Times New Roman Regular" w:hAnsi="Times New Roman Regular" w:cs="Times New Roman Regular"/>
          <w:szCs w:val="30"/>
        </w:rPr>
      </w:pPr>
    </w:p>
    <w:p>
      <w:pPr>
        <w:pStyle w:val="2"/>
        <w:keepNext/>
        <w:keepLines/>
        <w:shd w:val="clear" w:color="010000" w:fill="auto"/>
        <w:spacing w:line="560" w:lineRule="exact"/>
        <w:ind w:firstLineChars="200"/>
        <w:rPr>
          <w:rFonts w:hint="eastAsia" w:ascii="黑体" w:hAnsi="黑体" w:eastAsia="黑体" w:cs="黑体"/>
          <w:bCs/>
          <w:color w:val="auto"/>
          <w:kern w:val="44"/>
          <w:szCs w:val="32"/>
        </w:rPr>
      </w:pPr>
      <w:r>
        <w:rPr>
          <w:rFonts w:hint="eastAsia" w:ascii="黑体" w:hAnsi="黑体" w:eastAsia="黑体" w:cs="黑体"/>
          <w:bCs/>
          <w:color w:val="auto"/>
          <w:kern w:val="44"/>
          <w:szCs w:val="32"/>
        </w:rPr>
        <w:t>一、</w:t>
      </w:r>
      <w:r>
        <w:rPr>
          <w:rFonts w:hint="eastAsia" w:ascii="黑体" w:hAnsi="黑体" w:eastAsia="黑体" w:cs="黑体"/>
          <w:bCs/>
          <w:color w:val="auto"/>
          <w:kern w:val="44"/>
          <w:szCs w:val="32"/>
          <w:lang w:val="en-US" w:eastAsia="zh-CN"/>
        </w:rPr>
        <w:t>2023年度</w:t>
      </w:r>
      <w:r>
        <w:rPr>
          <w:rFonts w:hint="eastAsia" w:ascii="黑体" w:hAnsi="黑体" w:eastAsia="黑体" w:cs="黑体"/>
          <w:bCs/>
          <w:color w:val="auto"/>
          <w:kern w:val="44"/>
          <w:szCs w:val="32"/>
        </w:rPr>
        <w:t>部门概况</w:t>
      </w:r>
    </w:p>
    <w:p>
      <w:pPr>
        <w:pStyle w:val="3"/>
        <w:shd w:val="clear" w:color="010000" w:fill="auto"/>
        <w:ind w:firstLine="640"/>
        <w:rPr>
          <w:rFonts w:hint="eastAsia" w:ascii="楷体_GB2312" w:hAnsi="楷体_GB2312" w:eastAsia="楷体_GB2312" w:cs="楷体_GB2312"/>
        </w:rPr>
      </w:pPr>
      <w:r>
        <w:rPr>
          <w:rFonts w:hint="eastAsia" w:ascii="楷体_GB2312" w:hAnsi="楷体_GB2312" w:eastAsia="楷体_GB2312" w:cs="楷体_GB2312"/>
        </w:rPr>
        <w:t>（一）机构设置及职责工作任务情况</w:t>
      </w:r>
    </w:p>
    <w:p>
      <w:pPr>
        <w:pStyle w:val="4"/>
        <w:shd w:val="clear" w:color="010000" w:fill="auto"/>
        <w:spacing w:before="0" w:after="0" w:line="560" w:lineRule="exact"/>
        <w:ind w:firstLine="640" w:firstLineChars="200"/>
        <w:rPr>
          <w:rFonts w:hint="eastAsia" w:ascii="仿宋_GB2312" w:hAnsi="仿宋_GB2312" w:cs="仿宋_GB2312"/>
          <w:b w:val="0"/>
        </w:rPr>
      </w:pPr>
      <w:bookmarkStart w:id="0" w:name="_Toc72438997"/>
      <w:bookmarkStart w:id="1" w:name="_Toc72438576"/>
      <w:r>
        <w:rPr>
          <w:rFonts w:hint="eastAsia" w:ascii="仿宋_GB2312" w:hAnsi="仿宋_GB2312" w:cs="仿宋_GB2312"/>
          <w:b w:val="0"/>
        </w:rPr>
        <w:t>1.</w:t>
      </w:r>
      <w:bookmarkEnd w:id="0"/>
      <w:bookmarkEnd w:id="1"/>
      <w:r>
        <w:rPr>
          <w:rFonts w:hint="eastAsia" w:ascii="仿宋_GB2312" w:hAnsi="仿宋_GB2312" w:cs="仿宋_GB2312"/>
          <w:b w:val="0"/>
        </w:rPr>
        <w:t>部门职责及机构设置情况</w:t>
      </w:r>
    </w:p>
    <w:p>
      <w:pPr>
        <w:shd w:val="clear" w:color="000000" w:fill="auto"/>
        <w:spacing w:line="560" w:lineRule="exact"/>
        <w:ind w:firstLine="640" w:firstLineChars="200"/>
        <w:rPr>
          <w:rFonts w:hint="eastAsia" w:ascii="仿宋_GB2312" w:hAnsi="仿宋_GB2312" w:cs="仿宋_GB2312"/>
        </w:rPr>
      </w:pPr>
      <w:r>
        <w:rPr>
          <w:rFonts w:hint="eastAsia" w:ascii="仿宋_GB2312" w:hAnsi="仿宋_GB2312" w:cs="仿宋_GB2312"/>
        </w:rPr>
        <w:t>中共北京市委社会工作委员会（简称市委社会工委）是市委派出机构，北京市民政局（简称市民政局）是市政府组成部门。市委社会工委与市民政局合署办公，为正局级。市委社会工委、市民政局贯彻落实党中央关于社会建设、民政工作的方针政策、决策部署和市委有关工作要求，在履行职责过程中坚持和加强党对社会建设、民政工作的集中统一领导。</w:t>
      </w:r>
    </w:p>
    <w:p>
      <w:pPr>
        <w:shd w:val="clear" w:color="000000" w:fill="auto"/>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cs="仿宋_GB2312"/>
        </w:rPr>
        <w:t>市委社会工委、市民政局的主要职责具体如下：</w:t>
      </w:r>
    </w:p>
    <w:p>
      <w:pPr>
        <w:keepNext w:val="0"/>
        <w:keepLines w:val="0"/>
        <w:pageBreakBefore w:val="0"/>
        <w:widowControl w:val="0"/>
        <w:shd w:val="clear" w:color="000000" w:fill="auto"/>
        <w:kinsoku/>
        <w:wordWrap/>
        <w:overflowPunct/>
        <w:topLinePunct w:val="0"/>
        <w:autoSpaceDE/>
        <w:autoSpaceDN/>
        <w:bidi w:val="0"/>
        <w:adjustRightInd/>
        <w:snapToGrid/>
        <w:spacing w:before="221" w:beforeLines="50" w:after="221" w:afterLines="50" w:line="0" w:lineRule="atLeast"/>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表1 市委社工委</w:t>
      </w:r>
      <w:r>
        <w:rPr>
          <w:rFonts w:hint="eastAsia" w:ascii="宋体" w:hAnsi="宋体" w:eastAsia="宋体" w:cs="宋体"/>
          <w:color w:val="000000"/>
          <w:sz w:val="21"/>
          <w:szCs w:val="21"/>
        </w:rPr>
        <w:t>主要职责</w:t>
      </w:r>
    </w:p>
    <w:tbl>
      <w:tblPr>
        <w:tblStyle w:val="12"/>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7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99" w:type="dxa"/>
            <w:vAlign w:val="center"/>
          </w:tcPr>
          <w:p>
            <w:pPr>
              <w:shd w:val="clear" w:color="000000" w:fill="auto"/>
              <w:spacing w:line="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7801" w:type="dxa"/>
            <w:vAlign w:val="center"/>
          </w:tcPr>
          <w:p>
            <w:pPr>
              <w:shd w:val="clear" w:color="000000" w:fill="auto"/>
              <w:spacing w:line="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贯彻落实党中央关于社会建设工作的方针政策、决策部署和市委有关工作要求，研究提出工作意见并组织实施。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研究提出本市社会建设的总体规划、重要政策和方案，为市委宏观决策服务。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宏观指导、统筹协调和督促检查本市社会建设重点任务的落实。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拟订本市社会管理体制改革和社会领域社会动员体制机制建设的规划和政策措施并组织实施。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负责研究推进本市街道管理体制改革工作。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协调指导各区、各有关单位开展社区党建工作；协调指导社会组织开展党建工作。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协调指导本市社会工作人才队伍建设工作，拟订社会工作人才队伍建设的规划和政策措施并组织实施，建立健全以培养、评价、使用、激励为主要内容的制度和机制。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7801" w:type="dxa"/>
            <w:vAlign w:val="center"/>
          </w:tcPr>
          <w:p>
            <w:pPr>
              <w:shd w:val="clear" w:color="000000" w:fill="auto"/>
              <w:spacing w:line="0" w:lineRule="atLeast"/>
              <w:rPr>
                <w:rFonts w:hint="eastAsia" w:ascii="宋体" w:hAnsi="宋体" w:eastAsia="宋体" w:cs="宋体"/>
                <w:color w:val="333333"/>
                <w:kern w:val="0"/>
                <w:sz w:val="21"/>
                <w:szCs w:val="21"/>
                <w:shd w:val="clear" w:color="auto" w:fill="FFFFFF"/>
              </w:rPr>
            </w:pPr>
            <w:r>
              <w:rPr>
                <w:rFonts w:hint="eastAsia" w:ascii="宋体" w:hAnsi="宋体" w:eastAsia="宋体" w:cs="宋体"/>
                <w:color w:val="333333"/>
                <w:kern w:val="0"/>
                <w:sz w:val="21"/>
                <w:szCs w:val="21"/>
                <w:shd w:val="clear" w:color="auto" w:fill="FFFFFF"/>
              </w:rPr>
              <w:t>负责对各区社会建设工作进行指导和督促检查。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完成市委交办的其他任务。</w:t>
            </w:r>
          </w:p>
        </w:tc>
      </w:tr>
    </w:tbl>
    <w:p>
      <w:pPr>
        <w:keepNext w:val="0"/>
        <w:keepLines w:val="0"/>
        <w:pageBreakBefore w:val="0"/>
        <w:widowControl w:val="0"/>
        <w:shd w:val="clear" w:color="000000" w:fill="auto"/>
        <w:kinsoku/>
        <w:wordWrap/>
        <w:overflowPunct/>
        <w:topLinePunct w:val="0"/>
        <w:autoSpaceDE/>
        <w:autoSpaceDN/>
        <w:bidi w:val="0"/>
        <w:adjustRightInd/>
        <w:snapToGrid/>
        <w:spacing w:before="221" w:beforeLines="50" w:after="221" w:afterLines="50"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表2 市民政局主要职责</w:t>
      </w:r>
    </w:p>
    <w:tbl>
      <w:tblPr>
        <w:tblStyle w:val="12"/>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7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699" w:type="dxa"/>
            <w:vAlign w:val="center"/>
          </w:tcPr>
          <w:p>
            <w:pPr>
              <w:shd w:val="clear" w:color="000000" w:fill="auto"/>
              <w:spacing w:line="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7801" w:type="dxa"/>
            <w:vAlign w:val="center"/>
          </w:tcPr>
          <w:p>
            <w:pPr>
              <w:shd w:val="clear" w:color="000000" w:fill="auto"/>
              <w:spacing w:line="0" w:lineRule="atLeas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贯彻落实国家关于民政事业方面的法律法规、规章和政策，起草本市相关地方性法规草案、政府规章草案并组织实施。拟订民政事业中长期发展规划和政策并监督实施。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承担依法对本市社会团体、社会服务机构、基金会进行登记和监督管理责任。指导各区社会团体、社会服务机构的登记管理工作。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7801" w:type="dxa"/>
            <w:vAlign w:val="center"/>
          </w:tcPr>
          <w:p>
            <w:pPr>
              <w:shd w:val="clear" w:color="000000" w:fill="auto"/>
              <w:spacing w:line="0" w:lineRule="atLeast"/>
              <w:rPr>
                <w:rFonts w:hint="eastAsia" w:ascii="宋体" w:hAnsi="宋体" w:eastAsia="宋体" w:cs="宋体"/>
                <w:color w:val="333333"/>
                <w:kern w:val="0"/>
                <w:sz w:val="21"/>
                <w:szCs w:val="21"/>
                <w:shd w:val="clear" w:color="auto" w:fill="FFFFFF"/>
              </w:rPr>
            </w:pPr>
            <w:r>
              <w:rPr>
                <w:rFonts w:hint="eastAsia" w:ascii="宋体" w:hAnsi="宋体" w:eastAsia="宋体" w:cs="宋体"/>
                <w:color w:val="333333"/>
                <w:kern w:val="0"/>
                <w:sz w:val="21"/>
                <w:szCs w:val="21"/>
                <w:shd w:val="clear" w:color="auto" w:fill="FFFFFF"/>
              </w:rPr>
              <w:t>拟订本市社会福利事业发展规划、政策和标准；拟订社会福利机构管理办法和福利彩票销售管理办法。指导福利彩票销售及彩票公益金的使用管理。组织拟订促进慈善事业发展的政策，组织、指导社会捐助工作。组织拟订老年人、孤儿和残疾人等特殊困难群体的社会福利政策，指导相关权益保护工作。负责建设征地超转人员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负责统筹推进、督促指导、监督管理养老服务工作。拟订养老服务体系建设政策、法规草案、标准和规划并组织实施。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提出加强和改进城乡基层政权建设的建议。联系街道办事处工作。推动基层民主政治建设。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统筹推进本市城乡社区建设，拟订城乡社区建设的规划和政策措施并组织实施。拟订本市城乡基层群众自治建设具体办法并组织实施。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组织拟订本市城乡社会救助规划、政策和标准；健全城乡社会救助体系，负责城乡居民最低生活保障、临时救助、城市生活无着的流浪乞讨人员救助工作。负责特困人员供养工作。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拟订本市对见义勇为人员的奖励和保护政策，负责组织实施见义勇为人员的奖励和保护工作。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拟订本市婚姻管理、殡葬管理和儿童收养的政策，负责推进婚俗和殡葬改革，指导婚姻、殡葬、收养、救助服务机构管理工作。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承担外地来京上访人员和非正常上访人员的接济服务管理工作。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拟订本市行政区划管理政策。负责本市行政区域的设立、命名、变更和政府驻地迁移的审核工作。负责全市行政区域界线的管理工作。负责各区边界争议调处工作。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7801" w:type="dxa"/>
            <w:vAlign w:val="center"/>
          </w:tcPr>
          <w:p>
            <w:pPr>
              <w:shd w:val="clear" w:color="000000" w:fill="auto"/>
              <w:spacing w:line="0" w:lineRule="atLeast"/>
              <w:rPr>
                <w:rFonts w:hint="eastAsia" w:ascii="宋体" w:hAnsi="宋体" w:eastAsia="宋体" w:cs="宋体"/>
                <w:kern w:val="0"/>
                <w:sz w:val="21"/>
                <w:szCs w:val="21"/>
              </w:rPr>
            </w:pPr>
            <w:r>
              <w:rPr>
                <w:rFonts w:hint="eastAsia" w:ascii="宋体" w:hAnsi="宋体" w:eastAsia="宋体" w:cs="宋体"/>
                <w:color w:val="333333"/>
                <w:kern w:val="0"/>
                <w:sz w:val="21"/>
                <w:szCs w:val="21"/>
                <w:shd w:val="clear" w:color="auto" w:fill="FFFFFF"/>
              </w:rPr>
              <w:t>负责本市社会工作人才登记管理和继续教育工作。负责本市志愿服务行政管理工作。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9" w:type="dxa"/>
            <w:vAlign w:val="center"/>
          </w:tcPr>
          <w:p>
            <w:pPr>
              <w:shd w:val="clear" w:color="000000" w:fill="auto"/>
              <w:spacing w:line="0" w:lineRule="atLeast"/>
              <w:jc w:val="center"/>
              <w:rPr>
                <w:rFonts w:hint="eastAsia" w:ascii="宋体" w:hAnsi="宋体" w:eastAsia="宋体" w:cs="宋体"/>
                <w:color w:val="333333"/>
                <w:kern w:val="0"/>
                <w:sz w:val="21"/>
                <w:szCs w:val="21"/>
                <w:shd w:val="clear" w:color="auto" w:fill="FFFFFF"/>
              </w:rPr>
            </w:pPr>
            <w:r>
              <w:rPr>
                <w:rFonts w:hint="eastAsia" w:ascii="宋体" w:hAnsi="宋体" w:eastAsia="宋体" w:cs="宋体"/>
                <w:kern w:val="0"/>
                <w:sz w:val="21"/>
                <w:szCs w:val="21"/>
              </w:rPr>
              <w:t>13</w:t>
            </w:r>
          </w:p>
        </w:tc>
        <w:tc>
          <w:tcPr>
            <w:tcW w:w="7801" w:type="dxa"/>
            <w:vAlign w:val="center"/>
          </w:tcPr>
          <w:p>
            <w:pPr>
              <w:shd w:val="clear" w:color="000000" w:fill="auto"/>
              <w:spacing w:line="0" w:lineRule="atLeast"/>
              <w:rPr>
                <w:rFonts w:hint="eastAsia" w:ascii="宋体" w:hAnsi="宋体" w:eastAsia="宋体" w:cs="宋体"/>
                <w:color w:val="333333"/>
                <w:kern w:val="0"/>
                <w:sz w:val="21"/>
                <w:szCs w:val="21"/>
                <w:shd w:val="clear" w:color="auto" w:fill="FFFFFF"/>
              </w:rPr>
            </w:pPr>
            <w:r>
              <w:rPr>
                <w:rFonts w:hint="eastAsia" w:ascii="宋体" w:hAnsi="宋体" w:eastAsia="宋体" w:cs="宋体"/>
                <w:color w:val="333333"/>
                <w:kern w:val="0"/>
                <w:sz w:val="21"/>
                <w:szCs w:val="21"/>
                <w:shd w:val="clear" w:color="auto" w:fill="FFFFFF"/>
              </w:rPr>
              <w:t>完成市委、市政府交办的其他任务。</w:t>
            </w:r>
          </w:p>
        </w:tc>
      </w:tr>
    </w:tbl>
    <w:p>
      <w:pPr>
        <w:shd w:val="clear" w:color="000000" w:fill="auto"/>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委局内设31个职能处室，分别为办公室、研究室、政策法规处、规划建设处、行政审批处、社会建设综合协调处、基层政权和社区建设处、社区党建工作处、社会组织工作处、社会工作队伍建设处（志愿者和社会动员工作处）、社会福利管理处、养老工作处、儿童福利和保护处、慈善工作处（福利彩票管理处）、社会救助处、社会事务管理处、区划管理处、见义勇为权益保护处、标准与信息化处、宣传教育处、信访处、行政保卫处、计划财务处、审计处、组织处、人事处、机关党委、机关纪委（工委巡察工作办公室）、工会、团委、离退休干部处。</w:t>
      </w:r>
    </w:p>
    <w:p>
      <w:pPr>
        <w:shd w:val="clear" w:color="000000" w:fill="auto"/>
        <w:spacing w:line="560" w:lineRule="exact"/>
        <w:ind w:firstLine="640" w:firstLineChars="200"/>
        <w:rPr>
          <w:rFonts w:hint="eastAsia" w:ascii="仿宋_GB2312" w:hAnsi="仿宋_GB2312" w:cs="仿宋_GB2312"/>
          <w:highlight w:val="none"/>
        </w:rPr>
      </w:pPr>
      <w:r>
        <w:rPr>
          <w:rFonts w:hint="eastAsia" w:ascii="仿宋_GB2312" w:hAnsi="仿宋_GB2312" w:eastAsia="仿宋_GB2312" w:cs="仿宋_GB2312"/>
          <w:highlight w:val="none"/>
        </w:rPr>
        <w:t>下属15</w:t>
      </w:r>
      <w:r>
        <w:rPr>
          <w:rFonts w:hint="eastAsia" w:ascii="仿宋_GB2312" w:hAnsi="仿宋_GB2312" w:eastAsia="仿宋_GB2312" w:cs="仿宋_GB2312"/>
          <w:highlight w:val="none"/>
          <w:lang w:eastAsia="zh-CN"/>
        </w:rPr>
        <w:t>家</w:t>
      </w:r>
      <w:r>
        <w:rPr>
          <w:rFonts w:hint="eastAsia" w:ascii="仿宋_GB2312" w:hAnsi="仿宋_GB2312" w:eastAsia="仿宋_GB2312" w:cs="仿宋_GB2312"/>
          <w:highlight w:val="none"/>
        </w:rPr>
        <w:t>预算单位，分别是北京市社会组织管理中心、北京市民政教育管理学院、北京市接受捐赠事务管理中心、北京市接济救助管理事务中心系统、北京市养老服务事务中心等。</w:t>
      </w:r>
    </w:p>
    <w:p>
      <w:pPr>
        <w:shd w:val="clear" w:color="000000" w:fill="auto"/>
        <w:spacing w:line="560" w:lineRule="exact"/>
        <w:ind w:firstLine="640" w:firstLineChars="200"/>
        <w:outlineLvl w:val="2"/>
        <w:rPr>
          <w:rFonts w:hint="eastAsia" w:ascii="仿宋_GB2312" w:hAnsi="仿宋_GB2312" w:eastAsia="仿宋_GB2312" w:cs="仿宋_GB2312"/>
        </w:rPr>
      </w:pPr>
      <w:r>
        <w:rPr>
          <w:rFonts w:hint="eastAsia" w:ascii="仿宋_GB2312" w:hAnsi="仿宋_GB2312" w:eastAsia="仿宋_GB2312" w:cs="仿宋_GB2312"/>
        </w:rPr>
        <w:t>2.年度工作任务</w:t>
      </w:r>
    </w:p>
    <w:p>
      <w:pPr>
        <w:shd w:val="clear" w:color="000000" w:fill="auto"/>
        <w:spacing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制定2023年北京市社会建设和民政工作要点，围绕加强党对社会建设和民政事业的全面领导</w:t>
      </w:r>
      <w:r>
        <w:rPr>
          <w:rFonts w:hint="eastAsia" w:ascii="仿宋_GB2312" w:hAnsi="仿宋_GB2312" w:eastAsia="仿宋_GB2312" w:cs="仿宋_GB2312"/>
          <w:lang w:eastAsia="zh-CN"/>
        </w:rPr>
        <w:t>、完善养老服务体系、</w:t>
      </w:r>
      <w:r>
        <w:rPr>
          <w:rFonts w:hint="eastAsia" w:ascii="仿宋_GB2312" w:hAnsi="仿宋_GB2312" w:eastAsia="仿宋_GB2312" w:cs="仿宋_GB2312"/>
          <w:sz w:val="32"/>
          <w:szCs w:val="32"/>
        </w:rPr>
        <w:t>健全基本民生保障体系</w:t>
      </w:r>
      <w:r>
        <w:rPr>
          <w:rFonts w:hint="eastAsia" w:ascii="仿宋_GB2312" w:hAnsi="仿宋_GB2312" w:eastAsia="仿宋_GB2312" w:cs="仿宋_GB2312"/>
          <w:sz w:val="32"/>
          <w:szCs w:val="32"/>
          <w:lang w:eastAsia="zh-CN"/>
        </w:rPr>
        <w:t>、健全完善基层社会治理体系、优化基本社会服务供给、培育发展多元治理主体、加强基础支撑体系建设</w:t>
      </w:r>
      <w:r>
        <w:rPr>
          <w:rFonts w:hint="eastAsia" w:ascii="仿宋_GB2312" w:hAnsi="仿宋_GB2312" w:eastAsia="仿宋_GB2312" w:cs="仿宋_GB2312"/>
        </w:rPr>
        <w:t>等方面，设置了</w:t>
      </w:r>
      <w:r>
        <w:rPr>
          <w:rFonts w:hint="eastAsia" w:ascii="仿宋_GB2312" w:hAnsi="仿宋_GB2312" w:eastAsia="仿宋_GB2312" w:cs="仿宋_GB2312"/>
          <w:lang w:val="en-US" w:eastAsia="zh-CN"/>
        </w:rPr>
        <w:t>7</w:t>
      </w:r>
      <w:r>
        <w:rPr>
          <w:rFonts w:hint="eastAsia" w:ascii="仿宋_GB2312" w:hAnsi="仿宋_GB2312" w:eastAsia="仿宋_GB2312" w:cs="仿宋_GB2312"/>
        </w:rPr>
        <w:t>大重点工作任务，具体</w:t>
      </w:r>
      <w:r>
        <w:rPr>
          <w:rFonts w:hint="eastAsia" w:ascii="仿宋_GB2312" w:hAnsi="仿宋_GB2312" w:eastAsia="仿宋_GB2312" w:cs="仿宋_GB2312"/>
          <w:lang w:val="en-US" w:eastAsia="zh-CN"/>
        </w:rPr>
        <w:t>工作任务和主要内容</w:t>
      </w:r>
      <w:r>
        <w:rPr>
          <w:rFonts w:hint="eastAsia" w:ascii="仿宋_GB2312" w:hAnsi="仿宋_GB2312" w:eastAsia="仿宋_GB2312" w:cs="仿宋_GB2312"/>
        </w:rPr>
        <w:t>如下：</w:t>
      </w:r>
    </w:p>
    <w:p>
      <w:pPr>
        <w:keepNext/>
        <w:shd w:val="clear" w:color="000000" w:fill="auto"/>
        <w:spacing w:before="221" w:beforeLines="50" w:after="221" w:afterLines="50" w:line="0" w:lineRule="atLeast"/>
        <w:jc w:val="center"/>
        <w:rPr>
          <w:rFonts w:hint="eastAsia" w:ascii="宋体" w:hAnsi="宋体" w:eastAsia="宋体" w:cs="宋体"/>
          <w:sz w:val="21"/>
          <w:szCs w:val="21"/>
        </w:rPr>
      </w:pPr>
      <w:r>
        <w:rPr>
          <w:rFonts w:hint="eastAsia" w:ascii="宋体" w:hAnsi="宋体" w:eastAsia="宋体" w:cs="宋体"/>
          <w:sz w:val="21"/>
          <w:szCs w:val="21"/>
        </w:rPr>
        <w:t>表3  2023年重点工作安排</w:t>
      </w:r>
    </w:p>
    <w:tbl>
      <w:tblPr>
        <w:tblStyle w:val="12"/>
        <w:tblW w:w="4999" w:type="pct"/>
        <w:jc w:val="center"/>
        <w:tblLayout w:type="autofit"/>
        <w:tblCellMar>
          <w:top w:w="0" w:type="dxa"/>
          <w:left w:w="108" w:type="dxa"/>
          <w:bottom w:w="0" w:type="dxa"/>
          <w:right w:w="108" w:type="dxa"/>
        </w:tblCellMar>
      </w:tblPr>
      <w:tblGrid>
        <w:gridCol w:w="1134"/>
        <w:gridCol w:w="2485"/>
        <w:gridCol w:w="5440"/>
      </w:tblGrid>
      <w:tr>
        <w:tblPrEx>
          <w:tblCellMar>
            <w:top w:w="0" w:type="dxa"/>
            <w:left w:w="108" w:type="dxa"/>
            <w:bottom w:w="0" w:type="dxa"/>
            <w:right w:w="108" w:type="dxa"/>
          </w:tblCellMar>
        </w:tblPrEx>
        <w:trPr>
          <w:trHeight w:val="340" w:hRule="atLeast"/>
          <w:tblHeader/>
          <w:jc w:val="center"/>
        </w:trPr>
        <w:tc>
          <w:tcPr>
            <w:tcW w:w="626" w:type="pct"/>
            <w:tcBorders>
              <w:top w:val="single" w:color="auto" w:sz="4" w:space="0"/>
              <w:left w:val="single" w:color="auto" w:sz="4" w:space="0"/>
              <w:bottom w:val="single" w:color="auto" w:sz="4" w:space="0"/>
              <w:right w:val="single" w:color="auto" w:sz="4" w:space="0"/>
            </w:tcBorders>
            <w:vAlign w:val="center"/>
          </w:tcPr>
          <w:p>
            <w:pPr>
              <w:keepNext/>
              <w:widowControl/>
              <w:spacing w:line="0" w:lineRule="atLeast"/>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序号</w:t>
            </w:r>
          </w:p>
        </w:tc>
        <w:tc>
          <w:tcPr>
            <w:tcW w:w="1371" w:type="pct"/>
            <w:tcBorders>
              <w:top w:val="single" w:color="auto" w:sz="4" w:space="0"/>
              <w:left w:val="nil"/>
              <w:bottom w:val="single" w:color="auto" w:sz="4" w:space="0"/>
              <w:right w:val="single" w:color="auto" w:sz="4" w:space="0"/>
            </w:tcBorders>
            <w:vAlign w:val="center"/>
          </w:tcPr>
          <w:p>
            <w:pPr>
              <w:keepNext/>
              <w:spacing w:line="0" w:lineRule="atLeast"/>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工作任务</w:t>
            </w:r>
          </w:p>
        </w:tc>
        <w:tc>
          <w:tcPr>
            <w:tcW w:w="3002" w:type="pct"/>
            <w:tcBorders>
              <w:top w:val="single" w:color="auto" w:sz="4" w:space="0"/>
              <w:left w:val="nil"/>
              <w:bottom w:val="single" w:color="auto" w:sz="4" w:space="0"/>
              <w:right w:val="single" w:color="auto" w:sz="4" w:space="0"/>
            </w:tcBorders>
            <w:vAlign w:val="center"/>
          </w:tcPr>
          <w:p>
            <w:pPr>
              <w:keepNext/>
              <w:spacing w:line="0" w:lineRule="atLeast"/>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主要内容</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keepNext/>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371" w:type="pct"/>
            <w:tcBorders>
              <w:top w:val="nil"/>
              <w:left w:val="nil"/>
              <w:bottom w:val="single" w:color="auto" w:sz="4" w:space="0"/>
              <w:right w:val="single" w:color="auto" w:sz="4" w:space="0"/>
            </w:tcBorders>
            <w:vAlign w:val="center"/>
          </w:tcPr>
          <w:p>
            <w:pPr>
              <w:keepNext/>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加强党对社会建设和民政事业的全面领导</w:t>
            </w:r>
          </w:p>
        </w:tc>
        <w:tc>
          <w:tcPr>
            <w:tcW w:w="3002" w:type="pct"/>
            <w:tcBorders>
              <w:top w:val="nil"/>
              <w:left w:val="nil"/>
              <w:bottom w:val="single" w:color="auto" w:sz="4" w:space="0"/>
              <w:right w:val="single" w:color="auto" w:sz="4" w:space="0"/>
            </w:tcBorders>
            <w:vAlign w:val="center"/>
          </w:tcPr>
          <w:p>
            <w:pPr>
              <w:keepNext/>
              <w:numPr>
                <w:ilvl w:val="0"/>
                <w:numId w:val="1"/>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加强全市社会建设工作统筹协调</w:t>
            </w:r>
          </w:p>
          <w:p>
            <w:pPr>
              <w:keepNext/>
              <w:numPr>
                <w:ilvl w:val="0"/>
                <w:numId w:val="1"/>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加强社区党建基础工作</w:t>
            </w:r>
          </w:p>
          <w:p>
            <w:pPr>
              <w:keepNext/>
              <w:numPr>
                <w:ilvl w:val="0"/>
                <w:numId w:val="1"/>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深化社会组织党建工作</w:t>
            </w:r>
          </w:p>
          <w:p>
            <w:pPr>
              <w:keepNext/>
              <w:numPr>
                <w:ilvl w:val="0"/>
                <w:numId w:val="1"/>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深入推进京津冀社会建设和民政事业协同发展</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sz w:val="21"/>
                <w:szCs w:val="21"/>
              </w:rPr>
              <w:t>完善养老服务体系</w:t>
            </w:r>
          </w:p>
        </w:tc>
        <w:tc>
          <w:tcPr>
            <w:tcW w:w="3002" w:type="pct"/>
            <w:tcBorders>
              <w:top w:val="nil"/>
              <w:left w:val="nil"/>
              <w:bottom w:val="single" w:color="auto" w:sz="4" w:space="0"/>
              <w:right w:val="single" w:color="auto" w:sz="4" w:space="0"/>
            </w:tcBorders>
            <w:vAlign w:val="center"/>
          </w:tcPr>
          <w:p>
            <w:pPr>
              <w:numPr>
                <w:ilvl w:val="0"/>
                <w:numId w:val="2"/>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健全“三边四级”养老服务体系</w:t>
            </w:r>
          </w:p>
          <w:p>
            <w:pPr>
              <w:numPr>
                <w:ilvl w:val="0"/>
                <w:numId w:val="2"/>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推广创新居家养老服务模式试点。</w:t>
            </w:r>
          </w:p>
          <w:p>
            <w:pPr>
              <w:numPr>
                <w:ilvl w:val="0"/>
                <w:numId w:val="2"/>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优化基本养老服务供给</w:t>
            </w:r>
          </w:p>
          <w:p>
            <w:pPr>
              <w:numPr>
                <w:ilvl w:val="0"/>
                <w:numId w:val="2"/>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完善养老服务政策体系</w:t>
            </w:r>
          </w:p>
          <w:p>
            <w:pPr>
              <w:numPr>
                <w:ilvl w:val="0"/>
                <w:numId w:val="2"/>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加强养老服务综合监管</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健全基本民生保障体系</w:t>
            </w:r>
          </w:p>
        </w:tc>
        <w:tc>
          <w:tcPr>
            <w:tcW w:w="3002" w:type="pct"/>
            <w:tcBorders>
              <w:top w:val="nil"/>
              <w:left w:val="nil"/>
              <w:bottom w:val="single" w:color="auto" w:sz="4" w:space="0"/>
              <w:right w:val="single" w:color="auto" w:sz="4" w:space="0"/>
            </w:tcBorders>
            <w:vAlign w:val="center"/>
          </w:tcPr>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完善分层分类的社会救助制度。</w:t>
            </w:r>
          </w:p>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完善未成年人保护工作体制机制。</w:t>
            </w:r>
          </w:p>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加强儿童福利保障体系建设</w:t>
            </w:r>
          </w:p>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加强残疾人福利保障工作</w:t>
            </w:r>
          </w:p>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提升接济救助管理服务质量</w:t>
            </w:r>
          </w:p>
          <w:p>
            <w:pPr>
              <w:numPr>
                <w:ilvl w:val="0"/>
                <w:numId w:val="3"/>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做好征地超转人员服务保障工作</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健全完善基层社会治理体系</w:t>
            </w:r>
          </w:p>
        </w:tc>
        <w:tc>
          <w:tcPr>
            <w:tcW w:w="3002" w:type="pct"/>
            <w:tcBorders>
              <w:top w:val="nil"/>
              <w:left w:val="nil"/>
              <w:bottom w:val="single" w:color="auto" w:sz="4" w:space="0"/>
              <w:right w:val="single" w:color="auto" w:sz="4" w:space="0"/>
            </w:tcBorders>
            <w:vAlign w:val="center"/>
          </w:tcPr>
          <w:p>
            <w:pPr>
              <w:numPr>
                <w:ilvl w:val="0"/>
                <w:numId w:val="4"/>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深化街道社区管理体制改革</w:t>
            </w:r>
          </w:p>
          <w:p>
            <w:pPr>
              <w:numPr>
                <w:ilvl w:val="0"/>
                <w:numId w:val="4"/>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夯实基层治理基础</w:t>
            </w:r>
          </w:p>
          <w:p>
            <w:pPr>
              <w:numPr>
                <w:ilvl w:val="0"/>
                <w:numId w:val="4"/>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提升社区服务能力</w:t>
            </w:r>
          </w:p>
          <w:p>
            <w:pPr>
              <w:numPr>
                <w:ilvl w:val="0"/>
                <w:numId w:val="4"/>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加强行政区划管理</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优化基本社会服务供给</w:t>
            </w:r>
          </w:p>
        </w:tc>
        <w:tc>
          <w:tcPr>
            <w:tcW w:w="3002" w:type="pct"/>
            <w:tcBorders>
              <w:top w:val="nil"/>
              <w:left w:val="nil"/>
              <w:bottom w:val="single" w:color="auto" w:sz="4" w:space="0"/>
              <w:right w:val="single" w:color="auto" w:sz="4" w:space="0"/>
            </w:tcBorders>
            <w:vAlign w:val="center"/>
          </w:tcPr>
          <w:p>
            <w:pPr>
              <w:numPr>
                <w:ilvl w:val="0"/>
                <w:numId w:val="5"/>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提升婚姻登记服务品质</w:t>
            </w:r>
          </w:p>
          <w:p>
            <w:pPr>
              <w:numPr>
                <w:ilvl w:val="0"/>
                <w:numId w:val="5"/>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深入推进殡葬系统改革</w:t>
            </w:r>
          </w:p>
          <w:p>
            <w:pPr>
              <w:numPr>
                <w:ilvl w:val="0"/>
                <w:numId w:val="5"/>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加强见义勇为权益保护</w:t>
            </w:r>
          </w:p>
          <w:p>
            <w:pPr>
              <w:numPr>
                <w:ilvl w:val="0"/>
                <w:numId w:val="5"/>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加强社会心理服务研究</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培育发展多元治理主体</w:t>
            </w:r>
          </w:p>
        </w:tc>
        <w:tc>
          <w:tcPr>
            <w:tcW w:w="3002" w:type="pct"/>
            <w:tcBorders>
              <w:top w:val="nil"/>
              <w:left w:val="nil"/>
              <w:bottom w:val="single" w:color="auto" w:sz="4" w:space="0"/>
              <w:right w:val="single" w:color="auto" w:sz="4" w:space="0"/>
            </w:tcBorders>
            <w:vAlign w:val="center"/>
          </w:tcPr>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充分激发社会组织内生动力</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积极引导社会组织发挥作用</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提升社会组织监管效能</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推动慈善事业健康发展</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完善社会工作体系</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加强社会工作人才培养</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推动志愿服务规范发展</w:t>
            </w:r>
          </w:p>
          <w:p>
            <w:pPr>
              <w:numPr>
                <w:ilvl w:val="0"/>
                <w:numId w:val="6"/>
              </w:num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引导社会企业创新发展</w:t>
            </w:r>
          </w:p>
        </w:tc>
      </w:tr>
      <w:tr>
        <w:tblPrEx>
          <w:tblCellMar>
            <w:top w:w="0" w:type="dxa"/>
            <w:left w:w="108" w:type="dxa"/>
            <w:bottom w:w="0" w:type="dxa"/>
            <w:right w:w="108" w:type="dxa"/>
          </w:tblCellMar>
        </w:tblPrEx>
        <w:trPr>
          <w:trHeight w:val="340" w:hRule="atLeast"/>
          <w:jc w:val="center"/>
        </w:trPr>
        <w:tc>
          <w:tcPr>
            <w:tcW w:w="626" w:type="pct"/>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371" w:type="pct"/>
            <w:tcBorders>
              <w:top w:val="nil"/>
              <w:left w:val="nil"/>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加强基础支撑体系建设</w:t>
            </w:r>
          </w:p>
        </w:tc>
        <w:tc>
          <w:tcPr>
            <w:tcW w:w="3002" w:type="pct"/>
            <w:tcBorders>
              <w:top w:val="nil"/>
              <w:left w:val="nil"/>
              <w:bottom w:val="single" w:color="auto" w:sz="4" w:space="0"/>
              <w:right w:val="single" w:color="auto" w:sz="4" w:space="0"/>
            </w:tcBorders>
            <w:vAlign w:val="center"/>
          </w:tcPr>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提高法治建设水平</w:t>
            </w:r>
          </w:p>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加强基础设施建设</w:t>
            </w:r>
          </w:p>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规范财政资金管理</w:t>
            </w:r>
          </w:p>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推进标准化信息化建设</w:t>
            </w:r>
          </w:p>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抓实内部监管和安全风险防范</w:t>
            </w:r>
          </w:p>
          <w:p>
            <w:pPr>
              <w:numPr>
                <w:ilvl w:val="0"/>
                <w:numId w:val="7"/>
              </w:numPr>
              <w:spacing w:line="0" w:lineRule="atLeast"/>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加强信访和接诉即办工作</w:t>
            </w:r>
          </w:p>
        </w:tc>
      </w:tr>
    </w:tbl>
    <w:p>
      <w:pPr>
        <w:pStyle w:val="3"/>
        <w:shd w:val="clear" w:color="010000" w:fill="auto"/>
        <w:spacing w:before="0" w:beforeLines="0"/>
        <w:ind w:firstLine="640"/>
        <w:jc w:val="both"/>
        <w:rPr>
          <w:rFonts w:hint="eastAsia" w:ascii="楷体_GB2312" w:hAnsi="楷体_GB2312" w:eastAsia="楷体_GB2312" w:cs="楷体_GB2312"/>
        </w:rPr>
      </w:pPr>
      <w:r>
        <w:rPr>
          <w:rFonts w:hint="eastAsia" w:ascii="楷体_GB2312" w:hAnsi="楷体_GB2312" w:eastAsia="楷体_GB2312" w:cs="楷体_GB2312"/>
        </w:rPr>
        <w:t>（二）部门整体绩效目标设立情况</w:t>
      </w:r>
    </w:p>
    <w:p>
      <w:pPr>
        <w:pStyle w:val="4"/>
        <w:shd w:val="clear" w:color="010000" w:fill="auto"/>
        <w:spacing w:before="0" w:beforeLines="0" w:after="0" w:line="560" w:lineRule="exact"/>
        <w:ind w:firstLine="640" w:firstLineChars="200"/>
        <w:rPr>
          <w:rFonts w:hint="eastAsia" w:ascii="仿宋_GB2312" w:hAnsi="仿宋_GB2312" w:cs="仿宋_GB2312"/>
          <w:b w:val="0"/>
        </w:rPr>
      </w:pPr>
      <w:r>
        <w:rPr>
          <w:rFonts w:hint="eastAsia" w:ascii="仿宋_GB2312" w:hAnsi="仿宋_GB2312" w:cs="仿宋_GB2312"/>
          <w:b w:val="0"/>
        </w:rPr>
        <w:t>1.绩效目标与职责任务匹配性</w:t>
      </w:r>
    </w:p>
    <w:p>
      <w:pPr>
        <w:shd w:val="clear" w:color="000000" w:fill="auto"/>
        <w:spacing w:beforeLines="0" w:line="560" w:lineRule="exact"/>
        <w:ind w:firstLine="640" w:firstLineChars="200"/>
        <w:jc w:val="both"/>
        <w:rPr>
          <w:rFonts w:hint="eastAsia" w:ascii="仿宋_GB2312" w:hAnsi="仿宋_GB2312" w:cs="仿宋_GB2312"/>
        </w:rPr>
      </w:pPr>
      <w:r>
        <w:rPr>
          <w:rFonts w:hint="eastAsia" w:ascii="仿宋_GB2312" w:hAnsi="仿宋_GB2312" w:cs="仿宋_GB2312"/>
        </w:rPr>
        <w:t>2023年度部门整体绩效目标围绕部门职能及2023年度工作计划设置，绩效内容与部门职责履行、年度工作任务相符。绩效目标与部门职责及年度重点工作匹配情况如下：</w:t>
      </w:r>
    </w:p>
    <w:p>
      <w:pPr>
        <w:keepNext/>
        <w:keepLines w:val="0"/>
        <w:pageBreakBefore w:val="0"/>
        <w:widowControl w:val="0"/>
        <w:shd w:val="clear" w:color="000000" w:fill="auto"/>
        <w:kinsoku/>
        <w:wordWrap/>
        <w:overflowPunct/>
        <w:topLinePunct w:val="0"/>
        <w:autoSpaceDE/>
        <w:autoSpaceDN/>
        <w:bidi w:val="0"/>
        <w:adjustRightInd/>
        <w:snapToGrid/>
        <w:spacing w:before="221" w:beforeLines="50" w:after="221" w:afterLines="50"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表4  2023年度部门整体绩效目标与职责及年度任务对应情况表</w:t>
      </w:r>
    </w:p>
    <w:tbl>
      <w:tblPr>
        <w:tblStyle w:val="12"/>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3843"/>
        <w:gridCol w:w="1312"/>
        <w:gridCol w:w="3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77"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序号</w:t>
            </w:r>
          </w:p>
        </w:tc>
        <w:tc>
          <w:tcPr>
            <w:tcW w:w="3843"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部门职责</w:t>
            </w:r>
          </w:p>
        </w:tc>
        <w:tc>
          <w:tcPr>
            <w:tcW w:w="1312"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年度任务</w:t>
            </w:r>
          </w:p>
        </w:tc>
        <w:tc>
          <w:tcPr>
            <w:tcW w:w="3732"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具体任务指标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3843" w:type="dxa"/>
            <w:vAlign w:val="center"/>
          </w:tcPr>
          <w:p>
            <w:pPr>
              <w:keepNext/>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协调指导各区、各有关单位开展社区党建工作；协调指导社会组织开展党建工作；宏观指导、统筹协调和督促检查本市社会建设重点任务的落实。</w:t>
            </w:r>
          </w:p>
        </w:tc>
        <w:tc>
          <w:tcPr>
            <w:tcW w:w="1312" w:type="dxa"/>
            <w:vAlign w:val="center"/>
          </w:tcPr>
          <w:p>
            <w:pPr>
              <w:keepNext/>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加强党对社会建设和民政事业的全面领导</w:t>
            </w:r>
          </w:p>
        </w:tc>
        <w:tc>
          <w:tcPr>
            <w:tcW w:w="3732" w:type="dxa"/>
            <w:vAlign w:val="center"/>
          </w:tcPr>
          <w:p>
            <w:pPr>
              <w:keepNext/>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支持联合党委（行业党委）数量≥44个</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支持社会组织党建管理岗位数量≥333个</w:t>
            </w:r>
          </w:p>
          <w:p>
            <w:pPr>
              <w:keepNext/>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3843" w:type="dxa"/>
            <w:vAlign w:val="center"/>
          </w:tcPr>
          <w:p>
            <w:pPr>
              <w:spacing w:line="0" w:lineRule="atLeast"/>
              <w:rPr>
                <w:rFonts w:hint="eastAsia" w:ascii="宋体" w:hAnsi="宋体" w:eastAsia="宋体" w:cs="宋体"/>
                <w:color w:val="000000"/>
                <w:sz w:val="21"/>
                <w:szCs w:val="21"/>
              </w:rPr>
            </w:pPr>
            <w:r>
              <w:rPr>
                <w:rFonts w:hint="eastAsia" w:ascii="宋体" w:hAnsi="宋体" w:eastAsia="宋体" w:cs="宋体"/>
                <w:color w:val="000000"/>
                <w:sz w:val="21"/>
                <w:szCs w:val="21"/>
              </w:rPr>
              <w:t>负责统筹推进、督促指导、监督管理养老服务工作。拟订养老服务体系建设政策、法规草案、标准和规划并组织实施。</w:t>
            </w:r>
          </w:p>
        </w:tc>
        <w:tc>
          <w:tcPr>
            <w:tcW w:w="1312"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完善养老服务体系</w:t>
            </w:r>
          </w:p>
        </w:tc>
        <w:tc>
          <w:tcPr>
            <w:tcW w:w="3732" w:type="dxa"/>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机构、居家养老及家庭照护养老投保床位数量≥140000床</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制修订养老政策数量≥4项</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养老服务体系不断完善，养老服务模式不断创新，养老政策体系建设持续优化，养老服务质量稳步提升，养老服务综合监管持续加强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3843" w:type="dxa"/>
            <w:vAlign w:val="center"/>
          </w:tcPr>
          <w:p>
            <w:pPr>
              <w:spacing w:line="0" w:lineRule="atLeast"/>
              <w:rPr>
                <w:rFonts w:hint="eastAsia" w:ascii="宋体" w:hAnsi="宋体" w:eastAsia="宋体" w:cs="宋体"/>
                <w:color w:val="000000"/>
                <w:sz w:val="21"/>
                <w:szCs w:val="21"/>
              </w:rPr>
            </w:pPr>
            <w:r>
              <w:rPr>
                <w:rFonts w:hint="eastAsia" w:ascii="宋体" w:hAnsi="宋体" w:eastAsia="宋体" w:cs="宋体"/>
                <w:color w:val="000000"/>
                <w:sz w:val="21"/>
                <w:szCs w:val="21"/>
              </w:rPr>
              <w:t>组织拟订本市城乡社会救助规划、政策和标准；健全城乡社会救助体系，负责城乡居民最低生活保障、临时救助、城市生活无着的流浪乞讨人员救助工作。负责特困人员供养工作。</w:t>
            </w:r>
          </w:p>
          <w:p>
            <w:pPr>
              <w:spacing w:line="0" w:lineRule="atLeast"/>
              <w:rPr>
                <w:rFonts w:hint="eastAsia" w:ascii="宋体" w:hAnsi="宋体" w:eastAsia="宋体" w:cs="宋体"/>
                <w:color w:val="000000"/>
                <w:sz w:val="21"/>
                <w:szCs w:val="21"/>
              </w:rPr>
            </w:pPr>
            <w:r>
              <w:rPr>
                <w:rFonts w:hint="eastAsia" w:ascii="宋体" w:hAnsi="宋体" w:eastAsia="宋体" w:cs="宋体"/>
                <w:color w:val="000000"/>
                <w:sz w:val="21"/>
                <w:szCs w:val="21"/>
              </w:rPr>
              <w:t>组织拟订老年人、孤儿和残疾人等特殊困难群体的社会福利政策，指导相关权益保护工作。拟订本市社会福利事业发展规划、政策和标准；</w:t>
            </w:r>
          </w:p>
        </w:tc>
        <w:tc>
          <w:tcPr>
            <w:tcW w:w="1312"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健全基本民生保障体系</w:t>
            </w:r>
          </w:p>
        </w:tc>
        <w:tc>
          <w:tcPr>
            <w:tcW w:w="3732" w:type="dxa"/>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社会救助标准调整与相关法规匹配度＝100%</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修订出台《北京市未成年人保护条例》＝1项</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健全完善救助管理工作体制机制，高质量做好接济救助工作</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促进分层分类社会救助有效实施，强化社会救助兜底保障作用</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儿童福利和保护体系进一步完善</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残疾人福利保障持续推进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3843" w:type="dxa"/>
            <w:vAlign w:val="center"/>
          </w:tcPr>
          <w:p>
            <w:pPr>
              <w:spacing w:line="0" w:lineRule="atLeast"/>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拟订本市婚姻管理、殡葬管理和儿童收养的政策，负责推进婚俗和殡葬改革，指导婚姻、殡葬、收养、救助服务机构管理工作。统筹推进本市城乡社区建设，拟订城乡社区建设的规划和政策措施并组织实施。</w:t>
            </w:r>
          </w:p>
        </w:tc>
        <w:tc>
          <w:tcPr>
            <w:tcW w:w="1312" w:type="dxa"/>
            <w:vAlign w:val="center"/>
          </w:tcPr>
          <w:p>
            <w:pPr>
              <w:spacing w:line="0" w:lineRule="atLeast"/>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优化基本社会服务供给</w:t>
            </w:r>
          </w:p>
        </w:tc>
        <w:tc>
          <w:tcPr>
            <w:tcW w:w="3732" w:type="dxa"/>
            <w:vAlign w:val="center"/>
          </w:tcPr>
          <w:p>
            <w:pPr>
              <w:spacing w:line="0" w:lineRule="atLeast"/>
              <w:jc w:val="left"/>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持续优化基本社会服务供给，提升婚姻登记服务水平，强化殡葬服务管理，加快慈善和福利彩票事业发展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77"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p>
        </w:tc>
        <w:tc>
          <w:tcPr>
            <w:tcW w:w="3843" w:type="dxa"/>
            <w:vAlign w:val="center"/>
          </w:tcPr>
          <w:p>
            <w:pPr>
              <w:spacing w:line="0" w:lineRule="atLeast"/>
              <w:rPr>
                <w:rFonts w:hint="eastAsia" w:ascii="宋体" w:hAnsi="宋体" w:eastAsia="宋体" w:cs="宋体"/>
                <w:color w:val="000000"/>
                <w:sz w:val="21"/>
                <w:szCs w:val="21"/>
              </w:rPr>
            </w:pPr>
            <w:r>
              <w:rPr>
                <w:rFonts w:hint="eastAsia" w:ascii="宋体" w:hAnsi="宋体" w:eastAsia="宋体" w:cs="宋体"/>
                <w:color w:val="000000"/>
                <w:sz w:val="21"/>
                <w:szCs w:val="21"/>
              </w:rPr>
              <w:t>拟订本市城乡基层群众自治建设具体办法并组织实施。提出加强和改进城乡基层政权建设的建议。联系街道办事处工作。推动基层民主政治建设。推动基层民主政治建设。负责全市行政区域界线的管理工作。</w:t>
            </w:r>
          </w:p>
        </w:tc>
        <w:tc>
          <w:tcPr>
            <w:tcW w:w="1312"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健全完善基层社会治理体系</w:t>
            </w:r>
          </w:p>
        </w:tc>
        <w:tc>
          <w:tcPr>
            <w:tcW w:w="3732" w:type="dxa"/>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测量各区界线长度≥1253公里</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实现各区界线坐标矢量化数量≥35条</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依法依规推进全市行政区划优化调整</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持续加强和创新基层社会治理，强化基层治理政策体系建设，深化基层治理改革，提升社区精治共治水平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577" w:type="dxa"/>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3843" w:type="dxa"/>
            <w:vAlign w:val="center"/>
          </w:tcPr>
          <w:p>
            <w:pPr>
              <w:spacing w:line="0" w:lineRule="atLeast"/>
              <w:rPr>
                <w:rFonts w:hint="eastAsia" w:ascii="宋体" w:hAnsi="宋体" w:eastAsia="宋体" w:cs="宋体"/>
                <w:color w:val="000000"/>
                <w:sz w:val="21"/>
                <w:szCs w:val="21"/>
              </w:rPr>
            </w:pPr>
            <w:r>
              <w:rPr>
                <w:rFonts w:hint="eastAsia" w:ascii="宋体" w:hAnsi="宋体" w:eastAsia="宋体" w:cs="宋体"/>
                <w:color w:val="000000"/>
                <w:sz w:val="21"/>
                <w:szCs w:val="21"/>
              </w:rPr>
              <w:t>承担依法对本市社会团体、社会服务机构、基金会进行登记和监督管理责任。指导各区社会团体、社会服务机构的登记管理工作。协调指导本市社会工作人才队伍建设工作，拟订社会工作人才队伍建设的规划和政策措施并组织实施，建立健全以培养、评价、使用、激励为主要内容的制度和机制。负责本市志愿服务行政管理工作。组织拟订促进慈善事业发展的政策，组织、指导社会捐助工作</w:t>
            </w:r>
          </w:p>
        </w:tc>
        <w:tc>
          <w:tcPr>
            <w:tcW w:w="1312" w:type="dxa"/>
            <w:vAlign w:val="center"/>
          </w:tcPr>
          <w:p>
            <w:pPr>
              <w:spacing w:line="0" w:lineRule="atLeast"/>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rPr>
              <w:t>培育发展多元治理主体</w:t>
            </w:r>
          </w:p>
        </w:tc>
        <w:tc>
          <w:tcPr>
            <w:tcW w:w="3732" w:type="dxa"/>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实名注册志愿者占全市常住人口比例≥20.5%</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推进社会工作人才队伍建设，社会工作更加有序发展</w:t>
            </w:r>
          </w:p>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强化社会组织综合监管，推动社会组织高质量发展</w:t>
            </w:r>
          </w:p>
        </w:tc>
      </w:tr>
    </w:tbl>
    <w:p>
      <w:pPr>
        <w:pStyle w:val="4"/>
        <w:shd w:val="clear" w:color="010000" w:fill="auto"/>
        <w:spacing w:before="0" w:beforeLines="0" w:after="0" w:line="560" w:lineRule="exact"/>
        <w:ind w:firstLine="640" w:firstLineChars="200"/>
        <w:rPr>
          <w:rFonts w:hint="eastAsia" w:ascii="仿宋_GB2312" w:hAnsi="仿宋_GB2312" w:eastAsia="仿宋_GB2312" w:cs="仿宋_GB2312"/>
          <w:b w:val="0"/>
          <w:highlight w:val="none"/>
        </w:rPr>
      </w:pPr>
      <w:r>
        <w:rPr>
          <w:rFonts w:hint="eastAsia" w:ascii="仿宋_GB2312" w:hAnsi="仿宋_GB2312" w:eastAsia="仿宋_GB2312" w:cs="仿宋_GB2312"/>
          <w:b w:val="0"/>
          <w:highlight w:val="none"/>
        </w:rPr>
        <w:t>2.绩效目标合理性</w:t>
      </w:r>
    </w:p>
    <w:p>
      <w:pPr>
        <w:shd w:val="clear" w:color="000000" w:fill="auto"/>
        <w:spacing w:beforeLines="0" w:line="560" w:lineRule="exact"/>
        <w:ind w:firstLine="64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2023年度部门整体绩效目标较为明确，符合部门职能及年度工作总体方向，且根据部门整体绩效目标细化设置了绩效指标，绩效指标较为量化，能够有效覆盖重点领域、重点工作。</w:t>
      </w:r>
    </w:p>
    <w:p>
      <w:pPr>
        <w:pStyle w:val="2"/>
        <w:keepNext/>
        <w:keepLines/>
        <w:shd w:val="clear" w:color="010000" w:fill="auto"/>
        <w:spacing w:beforeLines="0" w:line="560" w:lineRule="exact"/>
        <w:ind w:firstLineChars="200"/>
        <w:rPr>
          <w:rFonts w:hint="eastAsia" w:ascii="黑体" w:hAnsi="黑体" w:eastAsia="黑体" w:cs="黑体"/>
          <w:bCs/>
          <w:color w:val="auto"/>
          <w:kern w:val="44"/>
          <w:szCs w:val="32"/>
        </w:rPr>
      </w:pPr>
      <w:r>
        <w:rPr>
          <w:rFonts w:hint="eastAsia" w:ascii="黑体" w:hAnsi="黑体" w:eastAsia="黑体" w:cs="黑体"/>
          <w:bCs/>
          <w:color w:val="auto"/>
          <w:kern w:val="44"/>
          <w:szCs w:val="32"/>
        </w:rPr>
        <w:t>二、</w:t>
      </w:r>
      <w:r>
        <w:rPr>
          <w:rFonts w:hint="eastAsia" w:ascii="黑体" w:hAnsi="黑体" w:eastAsia="黑体" w:cs="黑体"/>
          <w:bCs/>
          <w:color w:val="auto"/>
          <w:kern w:val="44"/>
          <w:szCs w:val="32"/>
          <w:lang w:val="en-US" w:eastAsia="zh-CN"/>
        </w:rPr>
        <w:t>2023</w:t>
      </w:r>
      <w:r>
        <w:rPr>
          <w:rFonts w:hint="eastAsia" w:ascii="黑体" w:hAnsi="黑体" w:eastAsia="黑体" w:cs="黑体"/>
          <w:bCs/>
          <w:color w:val="auto"/>
          <w:kern w:val="44"/>
          <w:szCs w:val="32"/>
        </w:rPr>
        <w:t>年</w:t>
      </w:r>
      <w:r>
        <w:rPr>
          <w:rFonts w:hint="eastAsia" w:ascii="黑体" w:hAnsi="黑体" w:eastAsia="黑体" w:cs="黑体"/>
          <w:bCs/>
          <w:color w:val="auto"/>
          <w:kern w:val="44"/>
          <w:szCs w:val="32"/>
          <w:lang w:eastAsia="zh-CN"/>
        </w:rPr>
        <w:t>度</w:t>
      </w:r>
      <w:r>
        <w:rPr>
          <w:rFonts w:hint="eastAsia" w:ascii="黑体" w:hAnsi="黑体" w:eastAsia="黑体" w:cs="黑体"/>
          <w:bCs/>
          <w:color w:val="auto"/>
          <w:kern w:val="44"/>
          <w:szCs w:val="32"/>
        </w:rPr>
        <w:t>预算执行情况</w:t>
      </w:r>
    </w:p>
    <w:p>
      <w:pPr>
        <w:shd w:val="clear" w:color="000000" w:fill="auto"/>
        <w:spacing w:beforeLines="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2023年全年预算数76,646.09万元，其中，基本支出预算数44,721.14万元，项目支出预算数31,028.15万元，其他支出预算数896.80万元。</w:t>
      </w:r>
    </w:p>
    <w:p>
      <w:pPr>
        <w:shd w:val="clear" w:color="000000" w:fill="auto"/>
        <w:spacing w:beforeLines="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截止2023年12月31日，委局预算资金实际支出71,049.18万元，其中，基本支出42,262.70万元，项目支出27,814.57万元，其他支出971.90万元。预算执行率92.70%。</w:t>
      </w:r>
    </w:p>
    <w:p>
      <w:pPr>
        <w:keepNext/>
        <w:widowControl/>
        <w:shd w:val="clear" w:color="000000" w:fill="auto"/>
        <w:adjustRightInd w:val="0"/>
        <w:snapToGrid w:val="0"/>
        <w:spacing w:before="219" w:beforeLines="50"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表5  2023年部门预算执行情况表</w:t>
      </w:r>
    </w:p>
    <w:p>
      <w:pPr>
        <w:keepNext/>
        <w:widowControl/>
        <w:shd w:val="clear" w:color="000000" w:fill="auto"/>
        <w:adjustRightInd w:val="0"/>
        <w:snapToGrid w:val="0"/>
        <w:spacing w:line="0" w:lineRule="atLeast"/>
        <w:ind w:leftChars="1700"/>
        <w:jc w:val="center"/>
        <w:rPr>
          <w:rFonts w:hint="eastAsia" w:ascii="宋体" w:hAnsi="宋体" w:eastAsia="宋体" w:cs="宋体"/>
          <w:sz w:val="21"/>
          <w:szCs w:val="21"/>
        </w:rPr>
      </w:pPr>
      <w:r>
        <w:rPr>
          <w:rFonts w:hint="eastAsia" w:ascii="宋体" w:hAnsi="宋体" w:eastAsia="宋体" w:cs="宋体"/>
          <w:sz w:val="21"/>
          <w:szCs w:val="21"/>
        </w:rPr>
        <w:t>单位：万元</w:t>
      </w:r>
    </w:p>
    <w:tbl>
      <w:tblPr>
        <w:tblStyle w:val="12"/>
        <w:tblW w:w="0" w:type="auto"/>
        <w:jc w:val="center"/>
        <w:tblLayout w:type="fixed"/>
        <w:tblCellMar>
          <w:top w:w="0" w:type="dxa"/>
          <w:left w:w="108" w:type="dxa"/>
          <w:bottom w:w="0" w:type="dxa"/>
          <w:right w:w="108" w:type="dxa"/>
        </w:tblCellMar>
      </w:tblPr>
      <w:tblGrid>
        <w:gridCol w:w="1837"/>
        <w:gridCol w:w="1365"/>
        <w:gridCol w:w="1372"/>
        <w:gridCol w:w="1294"/>
        <w:gridCol w:w="1328"/>
      </w:tblGrid>
      <w:tr>
        <w:tblPrEx>
          <w:tblCellMar>
            <w:top w:w="0" w:type="dxa"/>
            <w:left w:w="108" w:type="dxa"/>
            <w:bottom w:w="0" w:type="dxa"/>
            <w:right w:w="108" w:type="dxa"/>
          </w:tblCellMar>
        </w:tblPrEx>
        <w:trPr>
          <w:trHeight w:val="340" w:hRule="atLeast"/>
          <w:tblHeader/>
          <w:jc w:val="center"/>
        </w:trPr>
        <w:tc>
          <w:tcPr>
            <w:tcW w:w="1837" w:type="dxa"/>
            <w:tcBorders>
              <w:top w:val="single" w:color="auto" w:sz="4" w:space="0"/>
              <w:left w:val="single" w:color="auto" w:sz="4" w:space="0"/>
              <w:bottom w:val="single" w:color="auto" w:sz="4" w:space="0"/>
              <w:right w:val="single" w:color="auto" w:sz="4" w:space="0"/>
            </w:tcBorders>
            <w:shd w:val="clear" w:color="000000" w:fill="D0CECE"/>
            <w:vAlign w:val="center"/>
          </w:tcPr>
          <w:p>
            <w:pPr>
              <w:keepNext/>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类别</w:t>
            </w:r>
          </w:p>
        </w:tc>
        <w:tc>
          <w:tcPr>
            <w:tcW w:w="1365" w:type="dxa"/>
            <w:tcBorders>
              <w:top w:val="single" w:color="auto" w:sz="4" w:space="0"/>
              <w:left w:val="nil"/>
              <w:bottom w:val="single" w:color="auto" w:sz="4" w:space="0"/>
              <w:right w:val="single" w:color="auto" w:sz="4" w:space="0"/>
            </w:tcBorders>
            <w:shd w:val="clear" w:color="000000" w:fill="D0CECE"/>
            <w:vAlign w:val="center"/>
          </w:tcPr>
          <w:p>
            <w:pPr>
              <w:keepNext/>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年初预算数</w:t>
            </w:r>
          </w:p>
        </w:tc>
        <w:tc>
          <w:tcPr>
            <w:tcW w:w="1372" w:type="dxa"/>
            <w:tcBorders>
              <w:top w:val="single" w:color="auto" w:sz="4" w:space="0"/>
              <w:left w:val="nil"/>
              <w:bottom w:val="single" w:color="auto" w:sz="4" w:space="0"/>
              <w:right w:val="single" w:color="auto" w:sz="4" w:space="0"/>
            </w:tcBorders>
            <w:shd w:val="clear" w:color="000000" w:fill="D0CECE"/>
            <w:vAlign w:val="center"/>
          </w:tcPr>
          <w:p>
            <w:pPr>
              <w:keepNext/>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全年预算数</w:t>
            </w:r>
          </w:p>
        </w:tc>
        <w:tc>
          <w:tcPr>
            <w:tcW w:w="1294" w:type="dxa"/>
            <w:tcBorders>
              <w:top w:val="single" w:color="auto" w:sz="4" w:space="0"/>
              <w:left w:val="nil"/>
              <w:bottom w:val="single" w:color="auto" w:sz="4" w:space="0"/>
              <w:right w:val="single" w:color="auto" w:sz="4" w:space="0"/>
            </w:tcBorders>
            <w:shd w:val="clear" w:color="000000" w:fill="D0CECE"/>
            <w:vAlign w:val="center"/>
          </w:tcPr>
          <w:p>
            <w:pPr>
              <w:keepNext/>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决算数</w:t>
            </w:r>
          </w:p>
        </w:tc>
        <w:tc>
          <w:tcPr>
            <w:tcW w:w="1328" w:type="dxa"/>
            <w:tcBorders>
              <w:top w:val="single" w:color="auto" w:sz="4" w:space="0"/>
              <w:left w:val="nil"/>
              <w:bottom w:val="single" w:color="auto" w:sz="4" w:space="0"/>
              <w:right w:val="single" w:color="auto" w:sz="4" w:space="0"/>
            </w:tcBorders>
            <w:shd w:val="clear" w:color="000000" w:fill="D0CECE"/>
            <w:vAlign w:val="center"/>
          </w:tcPr>
          <w:p>
            <w:pPr>
              <w:keepNext/>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预算执行率</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基本支出</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45,343.82</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44,721.14</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42,262.70</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94.50%</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ind w:firstLine="210" w:firstLineChars="100"/>
              <w:jc w:val="left"/>
              <w:rPr>
                <w:rFonts w:hint="eastAsia" w:ascii="宋体" w:hAnsi="宋体" w:eastAsia="宋体" w:cs="宋体"/>
                <w:color w:val="000000"/>
                <w:sz w:val="21"/>
                <w:szCs w:val="21"/>
              </w:rPr>
            </w:pPr>
            <w:r>
              <w:rPr>
                <w:rFonts w:hint="eastAsia" w:ascii="宋体" w:hAnsi="宋体" w:eastAsia="宋体" w:cs="宋体"/>
                <w:color w:val="000000"/>
                <w:sz w:val="21"/>
                <w:szCs w:val="21"/>
              </w:rPr>
              <w:t>人员经费</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39,001.29</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38,542.62</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37,002.44</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96.00%</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ind w:firstLine="210" w:firstLineChars="100"/>
              <w:jc w:val="left"/>
              <w:rPr>
                <w:rFonts w:hint="eastAsia" w:ascii="宋体" w:hAnsi="宋体" w:eastAsia="宋体" w:cs="宋体"/>
                <w:color w:val="000000"/>
                <w:sz w:val="21"/>
                <w:szCs w:val="21"/>
              </w:rPr>
            </w:pPr>
            <w:r>
              <w:rPr>
                <w:rFonts w:hint="eastAsia" w:ascii="宋体" w:hAnsi="宋体" w:eastAsia="宋体" w:cs="宋体"/>
                <w:color w:val="000000"/>
                <w:sz w:val="21"/>
                <w:szCs w:val="21"/>
              </w:rPr>
              <w:t>公用经费</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6,342.53</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6,178.52</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5,260.26</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85.14%</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项目支出</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34,575.99</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31,028.15</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27,814.57</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000000"/>
                <w:sz w:val="21"/>
                <w:szCs w:val="21"/>
              </w:rPr>
            </w:pPr>
            <w:r>
              <w:rPr>
                <w:rFonts w:hint="eastAsia" w:ascii="宋体" w:hAnsi="宋体" w:eastAsia="宋体" w:cs="宋体"/>
                <w:color w:val="000000"/>
                <w:sz w:val="21"/>
                <w:szCs w:val="21"/>
              </w:rPr>
              <w:t>89.64%</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其他支出</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0.00</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896.80</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971.90</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108.37%</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本年支出合计</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auto"/>
                <w:sz w:val="21"/>
                <w:szCs w:val="21"/>
              </w:rPr>
            </w:pPr>
            <w:r>
              <w:rPr>
                <w:rFonts w:hint="eastAsia" w:ascii="宋体" w:hAnsi="宋体" w:eastAsia="宋体" w:cs="宋体"/>
                <w:b/>
                <w:bCs/>
                <w:color w:val="auto"/>
                <w:sz w:val="21"/>
                <w:szCs w:val="21"/>
              </w:rPr>
              <w:t>79,919.81</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76,646.09  </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auto"/>
                <w:sz w:val="21"/>
                <w:szCs w:val="21"/>
              </w:rPr>
            </w:pPr>
            <w:r>
              <w:rPr>
                <w:rFonts w:hint="eastAsia" w:ascii="宋体" w:hAnsi="宋体" w:eastAsia="宋体" w:cs="宋体"/>
                <w:b/>
                <w:bCs/>
                <w:color w:val="auto"/>
                <w:sz w:val="21"/>
                <w:szCs w:val="21"/>
              </w:rPr>
              <w:t>71,049.18</w:t>
            </w:r>
            <w:r>
              <w:rPr>
                <w:rStyle w:val="17"/>
                <w:rFonts w:hint="eastAsia" w:ascii="宋体" w:hAnsi="宋体" w:eastAsia="宋体" w:cs="宋体"/>
                <w:b/>
                <w:bCs/>
                <w:color w:val="auto"/>
                <w:sz w:val="21"/>
                <w:szCs w:val="21"/>
              </w:rPr>
              <w:footnoteReference w:id="0"/>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auto"/>
                <w:sz w:val="21"/>
                <w:szCs w:val="21"/>
              </w:rPr>
            </w:pPr>
            <w:r>
              <w:rPr>
                <w:rFonts w:hint="eastAsia" w:ascii="宋体" w:hAnsi="宋体" w:eastAsia="宋体" w:cs="宋体"/>
                <w:b/>
                <w:bCs/>
                <w:color w:val="auto"/>
                <w:sz w:val="21"/>
                <w:szCs w:val="21"/>
              </w:rPr>
              <w:t>92.70%</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left"/>
              <w:rPr>
                <w:rFonts w:hint="eastAsia" w:ascii="宋体" w:hAnsi="宋体" w:eastAsia="宋体" w:cs="宋体"/>
                <w:color w:val="000000"/>
                <w:sz w:val="21"/>
                <w:szCs w:val="21"/>
              </w:rPr>
            </w:pPr>
            <w:r>
              <w:rPr>
                <w:rFonts w:hint="eastAsia" w:ascii="宋体" w:hAnsi="宋体" w:eastAsia="宋体" w:cs="宋体"/>
                <w:color w:val="000000"/>
                <w:sz w:val="21"/>
                <w:szCs w:val="21"/>
              </w:rPr>
              <w:t>年末结转和结余</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rPr>
            </w:pPr>
            <w:r>
              <w:rPr>
                <w:rFonts w:hint="eastAsia" w:ascii="宋体" w:hAnsi="宋体" w:eastAsia="宋体" w:cs="宋体"/>
                <w:color w:val="auto"/>
                <w:sz w:val="21"/>
                <w:szCs w:val="21"/>
              </w:rPr>
              <w:t>0</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rPr>
            </w:pPr>
            <w:r>
              <w:rPr>
                <w:rFonts w:hint="eastAsia" w:ascii="宋体" w:hAnsi="宋体" w:eastAsia="宋体" w:cs="宋体"/>
                <w:color w:val="auto"/>
                <w:sz w:val="21"/>
                <w:szCs w:val="21"/>
              </w:rPr>
              <w:t>0</w:t>
            </w:r>
          </w:p>
        </w:tc>
        <w:tc>
          <w:tcPr>
            <w:tcW w:w="1294" w:type="dxa"/>
            <w:tcBorders>
              <w:top w:val="nil"/>
              <w:left w:val="nil"/>
              <w:bottom w:val="single" w:color="auto" w:sz="4" w:space="0"/>
              <w:right w:val="single" w:color="auto" w:sz="4" w:space="0"/>
            </w:tcBorders>
            <w:vAlign w:val="center"/>
          </w:tcPr>
          <w:p>
            <w:pPr>
              <w:widowControl/>
              <w:spacing w:line="0" w:lineRule="atLeast"/>
              <w:jc w:val="right"/>
              <w:rPr>
                <w:rFonts w:hint="eastAsia" w:ascii="宋体" w:hAnsi="宋体" w:eastAsia="宋体" w:cs="宋体"/>
                <w:color w:val="auto"/>
                <w:sz w:val="21"/>
                <w:szCs w:val="21"/>
              </w:rPr>
            </w:pPr>
            <w:r>
              <w:rPr>
                <w:rFonts w:hint="eastAsia" w:ascii="宋体" w:hAnsi="宋体" w:eastAsia="宋体" w:cs="宋体"/>
                <w:color w:val="auto"/>
                <w:sz w:val="21"/>
                <w:szCs w:val="21"/>
              </w:rPr>
              <w:t>5,071.80</w:t>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color w:val="auto"/>
                <w:sz w:val="21"/>
                <w:szCs w:val="21"/>
              </w:rPr>
            </w:pPr>
            <w:r>
              <w:rPr>
                <w:rFonts w:hint="eastAsia" w:ascii="宋体" w:hAnsi="宋体" w:eastAsia="宋体" w:cs="宋体"/>
                <w:color w:val="auto"/>
                <w:sz w:val="21"/>
                <w:szCs w:val="21"/>
              </w:rPr>
              <w:t>-</w:t>
            </w:r>
          </w:p>
        </w:tc>
      </w:tr>
      <w:tr>
        <w:tblPrEx>
          <w:tblCellMar>
            <w:top w:w="0" w:type="dxa"/>
            <w:left w:w="108" w:type="dxa"/>
            <w:bottom w:w="0" w:type="dxa"/>
            <w:right w:w="108" w:type="dxa"/>
          </w:tblCellMar>
        </w:tblPrEx>
        <w:trPr>
          <w:trHeight w:val="340" w:hRule="atLeast"/>
          <w:jc w:val="center"/>
        </w:trPr>
        <w:tc>
          <w:tcPr>
            <w:tcW w:w="1837" w:type="dxa"/>
            <w:tcBorders>
              <w:top w:val="nil"/>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总计</w:t>
            </w:r>
          </w:p>
        </w:tc>
        <w:tc>
          <w:tcPr>
            <w:tcW w:w="1365"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 xml:space="preserve">79,919.81 </w:t>
            </w:r>
          </w:p>
        </w:tc>
        <w:tc>
          <w:tcPr>
            <w:tcW w:w="1372"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76,646.09</w:t>
            </w:r>
          </w:p>
        </w:tc>
        <w:tc>
          <w:tcPr>
            <w:tcW w:w="1294"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76,120.97</w:t>
            </w:r>
            <w:r>
              <w:rPr>
                <w:rStyle w:val="17"/>
                <w:rFonts w:hint="eastAsia" w:ascii="宋体" w:hAnsi="宋体" w:eastAsia="宋体" w:cs="宋体"/>
                <w:b/>
                <w:bCs/>
                <w:color w:val="000000"/>
                <w:sz w:val="21"/>
                <w:szCs w:val="21"/>
              </w:rPr>
              <w:footnoteReference w:id="1"/>
            </w:r>
          </w:p>
        </w:tc>
        <w:tc>
          <w:tcPr>
            <w:tcW w:w="1328" w:type="dxa"/>
            <w:tcBorders>
              <w:top w:val="nil"/>
              <w:left w:val="nil"/>
              <w:bottom w:val="single" w:color="auto" w:sz="4" w:space="0"/>
              <w:right w:val="single" w:color="auto" w:sz="4" w:space="0"/>
            </w:tcBorders>
            <w:vAlign w:val="center"/>
          </w:tcPr>
          <w:p>
            <w:pPr>
              <w:spacing w:line="0" w:lineRule="atLeast"/>
              <w:jc w:val="righ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w:t>
            </w:r>
          </w:p>
        </w:tc>
      </w:tr>
    </w:tbl>
    <w:p>
      <w:pPr>
        <w:pStyle w:val="2"/>
        <w:keepNext/>
        <w:keepLines/>
        <w:shd w:val="clear" w:color="010000" w:fill="auto"/>
        <w:spacing w:before="0" w:beforeLines="0" w:line="560" w:lineRule="exact"/>
        <w:ind w:firstLineChars="200"/>
        <w:rPr>
          <w:rFonts w:hint="eastAsia" w:ascii="黑体" w:hAnsi="黑体" w:cs="黑体"/>
          <w:bCs/>
          <w:color w:val="auto"/>
          <w:kern w:val="44"/>
          <w:szCs w:val="44"/>
        </w:rPr>
      </w:pPr>
      <w:r>
        <w:rPr>
          <w:rFonts w:hint="eastAsia" w:ascii="黑体" w:hAnsi="黑体" w:cs="黑体"/>
          <w:bCs/>
          <w:color w:val="auto"/>
          <w:kern w:val="44"/>
          <w:szCs w:val="44"/>
        </w:rPr>
        <w:t>三、</w:t>
      </w:r>
      <w:r>
        <w:rPr>
          <w:rFonts w:hint="eastAsia" w:ascii="黑体" w:hAnsi="黑体" w:cs="黑体"/>
          <w:bCs/>
          <w:color w:val="auto"/>
          <w:kern w:val="44"/>
          <w:szCs w:val="44"/>
          <w:lang w:val="en-US" w:eastAsia="zh-CN"/>
        </w:rPr>
        <w:t>2023年</w:t>
      </w:r>
      <w:r>
        <w:rPr>
          <w:rFonts w:hint="eastAsia" w:cs="黑体"/>
          <w:bCs/>
          <w:color w:val="auto"/>
          <w:kern w:val="44"/>
          <w:szCs w:val="44"/>
          <w:lang w:val="en-US" w:eastAsia="zh-CN"/>
        </w:rPr>
        <w:t>度</w:t>
      </w:r>
      <w:r>
        <w:rPr>
          <w:rFonts w:hint="eastAsia" w:ascii="黑体" w:hAnsi="黑体" w:cs="黑体"/>
          <w:bCs/>
          <w:color w:val="auto"/>
          <w:kern w:val="44"/>
          <w:szCs w:val="44"/>
        </w:rPr>
        <w:t>整体绩效目标实现情况</w:t>
      </w:r>
    </w:p>
    <w:p>
      <w:pPr>
        <w:pStyle w:val="3"/>
        <w:shd w:val="clear" w:color="010000" w:fill="auto"/>
        <w:spacing w:beforeLines="0"/>
        <w:ind w:firstLine="640"/>
        <w:rPr>
          <w:rFonts w:hint="eastAsia" w:ascii="楷体_GB2312" w:hAnsi="楷体_GB2312" w:eastAsia="楷体_GB2312" w:cs="楷体_GB2312"/>
        </w:rPr>
      </w:pPr>
      <w:r>
        <w:rPr>
          <w:rFonts w:hint="eastAsia" w:ascii="楷体_GB2312" w:hAnsi="楷体_GB2312" w:eastAsia="楷体_GB2312" w:cs="楷体_GB2312"/>
        </w:rPr>
        <w:t>（一）产出完成情况分析</w:t>
      </w:r>
    </w:p>
    <w:p>
      <w:pPr>
        <w:pStyle w:val="4"/>
        <w:shd w:val="clear" w:color="010000" w:fill="auto"/>
        <w:spacing w:before="0" w:beforeLines="0" w:after="0" w:line="560" w:lineRule="exact"/>
        <w:ind w:firstLine="640" w:firstLineChars="200"/>
        <w:rPr>
          <w:rFonts w:hint="eastAsia" w:ascii="仿宋_GB2312" w:hAnsi="仿宋_GB2312" w:cs="仿宋_GB2312"/>
          <w:b w:val="0"/>
        </w:rPr>
      </w:pPr>
      <w:r>
        <w:rPr>
          <w:rFonts w:hint="eastAsia" w:ascii="仿宋_GB2312" w:hAnsi="仿宋_GB2312" w:cs="仿宋_GB2312"/>
          <w:b w:val="0"/>
        </w:rPr>
        <w:t>1.产出数量</w:t>
      </w:r>
    </w:p>
    <w:p>
      <w:pPr>
        <w:shd w:val="clear" w:color="000000" w:fill="auto"/>
        <w:spacing w:beforeLines="0" w:line="560" w:lineRule="exact"/>
        <w:ind w:firstLine="640" w:firstLineChars="200"/>
        <w:rPr>
          <w:rFonts w:hint="eastAsia" w:ascii="仿宋_GB2312" w:hAnsi="仿宋_GB2312" w:cs="仿宋_GB2312"/>
        </w:rPr>
      </w:pPr>
      <w:r>
        <w:rPr>
          <w:rFonts w:hint="eastAsia" w:ascii="仿宋_GB2312" w:hAnsi="仿宋_GB2312" w:cs="仿宋_GB2312"/>
        </w:rPr>
        <w:t>2023年积极落实市政府重点任务及部门年度重点工作，各项产出指标完成情况如下表所示：</w:t>
      </w:r>
    </w:p>
    <w:p>
      <w:pPr>
        <w:keepNext/>
        <w:widowControl/>
        <w:shd w:val="clear" w:color="000000" w:fill="auto"/>
        <w:adjustRightInd w:val="0"/>
        <w:snapToGrid w:val="0"/>
        <w:spacing w:before="219" w:beforeLines="50" w:after="0" w:afterLines="-2147483648"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表6  2023年部门产出数量指标完成情况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4416"/>
        <w:gridCol w:w="1319"/>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序号</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绩效指标</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目标值</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支持联合党委（行业党委）数量</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≥44个</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52个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支持社会组织党建管理岗位数量</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≥333个</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412个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制修订养老政策数量</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≥4项</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7项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机构、居家养老及家庭照护养老投保床位数量</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≥140000床</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170517床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5</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修订出台《北京市未成年人保护条例》</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＝1项</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测量各区界线长度</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≥1253公里</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0" w:lineRule="atLeast"/>
              <w:jc w:val="center"/>
              <w:textAlignment w:val="auto"/>
              <w:rPr>
                <w:rFonts w:hint="eastAsia" w:ascii="宋体" w:hAnsi="宋体" w:eastAsia="宋体" w:cs="宋体"/>
                <w:color w:val="000000"/>
                <w:sz w:val="21"/>
                <w:szCs w:val="21"/>
                <w:highlight w:val="none"/>
              </w:rPr>
            </w:pPr>
            <w:r>
              <w:rPr>
                <w:rFonts w:hint="eastAsia" w:ascii="宋体" w:hAnsi="宋体" w:eastAsia="宋体" w:cs="宋体"/>
                <w:i w:val="0"/>
                <w:iCs w:val="0"/>
                <w:color w:val="000000"/>
                <w:kern w:val="2"/>
                <w:sz w:val="21"/>
                <w:szCs w:val="21"/>
                <w:highlight w:val="none"/>
                <w:u w:val="none"/>
                <w:lang w:val="en-US" w:eastAsia="zh-CN" w:bidi="ar"/>
              </w:rPr>
              <w:t>1209.7公里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实现各区界线坐标矢量化数量</w:t>
            </w:r>
          </w:p>
        </w:tc>
        <w:tc>
          <w:tcPr>
            <w:tcW w:w="0" w:type="auto"/>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宋体"/>
                <w:color w:val="000000"/>
                <w:sz w:val="21"/>
                <w:szCs w:val="21"/>
              </w:rPr>
            </w:pPr>
            <w:r>
              <w:rPr>
                <w:rFonts w:hint="eastAsia" w:ascii="宋体" w:hAnsi="宋体" w:eastAsia="宋体" w:cs="宋体"/>
                <w:color w:val="000000"/>
                <w:sz w:val="21"/>
                <w:szCs w:val="21"/>
              </w:rPr>
              <w:t>≥35条</w:t>
            </w:r>
          </w:p>
        </w:tc>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0" w:lineRule="atLeast"/>
              <w:jc w:val="center"/>
              <w:textAlignment w:val="auto"/>
              <w:rPr>
                <w:rFonts w:hint="eastAsia" w:ascii="宋体" w:hAnsi="宋体" w:eastAsia="宋体" w:cs="宋体"/>
                <w:color w:val="000000"/>
                <w:sz w:val="21"/>
                <w:szCs w:val="21"/>
                <w:highlight w:val="none"/>
              </w:rPr>
            </w:pPr>
            <w:r>
              <w:rPr>
                <w:rFonts w:hint="eastAsia" w:ascii="宋体" w:hAnsi="宋体" w:eastAsia="宋体" w:cs="宋体"/>
                <w:i w:val="0"/>
                <w:iCs w:val="0"/>
                <w:color w:val="000000"/>
                <w:kern w:val="2"/>
                <w:sz w:val="21"/>
                <w:szCs w:val="21"/>
                <w:highlight w:val="none"/>
                <w:u w:val="none"/>
                <w:lang w:val="en-US" w:eastAsia="zh-CN" w:bidi="ar"/>
              </w:rPr>
              <w:t>34条</w:t>
            </w:r>
          </w:p>
        </w:tc>
      </w:tr>
    </w:tbl>
    <w:p>
      <w:pPr>
        <w:pageBreakBefore w:val="0"/>
        <w:widowControl/>
        <w:shd w:val="clear"/>
        <w:kinsoku/>
        <w:wordWrap/>
        <w:overflowPunct/>
        <w:topLinePunct w:val="0"/>
        <w:autoSpaceDN/>
        <w:bidi w:val="0"/>
        <w:spacing w:line="560" w:lineRule="exact"/>
        <w:ind w:firstLine="640" w:firstLineChars="200"/>
        <w:jc w:val="left"/>
        <w:textAlignment w:val="auto"/>
        <w:rPr>
          <w:rFonts w:hint="eastAsia" w:ascii="仿宋_GB2312" w:hAnsi="仿宋_GB2312" w:eastAsia="仿宋_GB2312" w:cs="仿宋_GB2312"/>
          <w:color w:val="000000"/>
          <w:kern w:val="0"/>
          <w:highlight w:val="none"/>
          <w:lang w:bidi="ar"/>
        </w:rPr>
      </w:pPr>
      <w:r>
        <w:rPr>
          <w:rFonts w:hint="eastAsia" w:ascii="仿宋_GB2312" w:hAnsi="仿宋_GB2312" w:eastAsia="仿宋_GB2312" w:cs="仿宋_GB2312"/>
          <w:highlight w:val="none"/>
        </w:rPr>
        <w:t>在加强社会领域党的领导、</w:t>
      </w:r>
      <w:r>
        <w:rPr>
          <w:rFonts w:hint="eastAsia" w:ascii="仿宋_GB2312" w:hAnsi="仿宋_GB2312" w:eastAsia="仿宋_GB2312" w:cs="仿宋_GB2312"/>
          <w:highlight w:val="none"/>
          <w:lang w:val="en-US" w:eastAsia="zh-CN"/>
        </w:rPr>
        <w:t>完善养老服务体系、健全基本民生保障体系</w:t>
      </w:r>
      <w:r>
        <w:rPr>
          <w:rFonts w:hint="eastAsia" w:ascii="仿宋_GB2312" w:hAnsi="仿宋_GB2312" w:eastAsia="仿宋_GB2312" w:cs="仿宋_GB2312"/>
          <w:highlight w:val="none"/>
        </w:rPr>
        <w:t>等方面</w:t>
      </w:r>
      <w:r>
        <w:rPr>
          <w:rFonts w:hint="eastAsia" w:ascii="仿宋_GB2312" w:hAnsi="仿宋_GB2312" w:eastAsia="仿宋_GB2312" w:cs="仿宋_GB2312"/>
          <w:highlight w:val="none"/>
          <w:lang w:val="en-US" w:eastAsia="zh-CN"/>
        </w:rPr>
        <w:t>完成了产出数量指标，</w:t>
      </w:r>
      <w:r>
        <w:rPr>
          <w:rFonts w:hint="eastAsia" w:ascii="仿宋_GB2312" w:hAnsi="仿宋_GB2312" w:eastAsia="仿宋_GB2312" w:cs="仿宋_GB2312"/>
          <w:i w:val="0"/>
          <w:caps w:val="0"/>
          <w:color w:val="000000"/>
          <w:spacing w:val="0"/>
          <w:kern w:val="0"/>
          <w:sz w:val="32"/>
          <w:szCs w:val="32"/>
          <w:highlight w:val="none"/>
          <w:lang w:val="en-US" w:eastAsia="zh-CN" w:bidi="ar"/>
        </w:rPr>
        <w:t>但在加强行政区划管理方面，行政区域界</w:t>
      </w:r>
      <w:r>
        <w:rPr>
          <w:rFonts w:hint="eastAsia" w:ascii="仿宋_GB2312" w:hAnsi="仿宋_GB2312" w:eastAsia="仿宋_GB2312" w:cs="仿宋_GB2312"/>
          <w:i w:val="0"/>
          <w:caps w:val="0"/>
          <w:color w:val="000000"/>
          <w:spacing w:val="0"/>
          <w:kern w:val="0"/>
          <w:sz w:val="32"/>
          <w:szCs w:val="32"/>
          <w:highlight w:val="none"/>
          <w:shd w:val="clear" w:fill="auto"/>
          <w:lang w:val="en-US" w:eastAsia="zh-CN" w:bidi="ar"/>
        </w:rPr>
        <w:t>线</w:t>
      </w:r>
      <w:r>
        <w:rPr>
          <w:rFonts w:hint="eastAsia" w:ascii="仿宋_GB2312" w:hAnsi="仿宋_GB2312" w:eastAsia="仿宋_GB2312" w:cs="仿宋_GB2312"/>
          <w:i w:val="0"/>
          <w:caps w:val="0"/>
          <w:color w:val="000000"/>
          <w:spacing w:val="0"/>
          <w:kern w:val="0"/>
          <w:sz w:val="32"/>
          <w:szCs w:val="32"/>
          <w:highlight w:val="none"/>
          <w:lang w:val="en-US" w:eastAsia="zh-CN" w:bidi="ar"/>
        </w:rPr>
        <w:t>详图编制工作相关产出指标未完成，主要原因是朝阳顺义线首都机场段</w:t>
      </w:r>
      <w:r>
        <w:rPr>
          <w:rFonts w:hint="eastAsia" w:cs="仿宋_GB2312"/>
          <w:i w:val="0"/>
          <w:caps w:val="0"/>
          <w:color w:val="000000"/>
          <w:spacing w:val="0"/>
          <w:kern w:val="0"/>
          <w:sz w:val="32"/>
          <w:szCs w:val="32"/>
          <w:highlight w:val="none"/>
          <w:lang w:val="en-US" w:eastAsia="zh-CN" w:bidi="ar"/>
        </w:rPr>
        <w:t>在全面勘界期间</w:t>
      </w:r>
      <w:r>
        <w:rPr>
          <w:rFonts w:hint="eastAsia" w:ascii="仿宋_GB2312" w:hAnsi="仿宋_GB2312" w:eastAsia="仿宋_GB2312" w:cs="仿宋_GB2312"/>
          <w:i w:val="0"/>
          <w:caps w:val="0"/>
          <w:color w:val="000000"/>
          <w:spacing w:val="0"/>
          <w:kern w:val="0"/>
          <w:sz w:val="32"/>
          <w:szCs w:val="32"/>
          <w:highlight w:val="none"/>
          <w:lang w:val="en-US" w:eastAsia="zh-CN" w:bidi="ar"/>
        </w:rPr>
        <w:t>未形成最终的勘</w:t>
      </w:r>
      <w:r>
        <w:rPr>
          <w:rFonts w:hint="eastAsia" w:cs="仿宋_GB2312"/>
          <w:i w:val="0"/>
          <w:caps w:val="0"/>
          <w:color w:val="000000"/>
          <w:spacing w:val="0"/>
          <w:kern w:val="0"/>
          <w:sz w:val="32"/>
          <w:szCs w:val="32"/>
          <w:highlight w:val="none"/>
          <w:lang w:val="en-US" w:eastAsia="zh-CN" w:bidi="ar"/>
        </w:rPr>
        <w:t>定</w:t>
      </w:r>
      <w:r>
        <w:rPr>
          <w:rFonts w:hint="eastAsia" w:ascii="仿宋_GB2312" w:hAnsi="仿宋_GB2312" w:eastAsia="仿宋_GB2312" w:cs="仿宋_GB2312"/>
          <w:i w:val="0"/>
          <w:caps w:val="0"/>
          <w:color w:val="000000"/>
          <w:spacing w:val="0"/>
          <w:kern w:val="0"/>
          <w:sz w:val="32"/>
          <w:szCs w:val="32"/>
          <w:highlight w:val="none"/>
          <w:lang w:val="en-US" w:eastAsia="zh-CN" w:bidi="ar"/>
        </w:rPr>
        <w:t>成果。</w:t>
      </w:r>
      <w:r>
        <w:rPr>
          <w:rFonts w:hint="eastAsia" w:ascii="仿宋_GB2312" w:hAnsi="仿宋_GB2312" w:eastAsia="仿宋_GB2312" w:cs="仿宋_GB2312"/>
          <w:i w:val="0"/>
          <w:caps w:val="0"/>
          <w:color w:val="000000"/>
          <w:spacing w:val="0"/>
          <w:kern w:val="0"/>
          <w:sz w:val="32"/>
          <w:szCs w:val="32"/>
          <w:highlight w:val="none"/>
          <w:shd w:val="clear" w:fill="auto"/>
          <w:lang w:val="en-US" w:eastAsia="zh-CN" w:bidi="ar"/>
        </w:rPr>
        <w:t>目前，两区</w:t>
      </w:r>
      <w:r>
        <w:rPr>
          <w:rFonts w:hint="eastAsia" w:cs="仿宋_GB2312"/>
          <w:i w:val="0"/>
          <w:caps w:val="0"/>
          <w:color w:val="000000"/>
          <w:spacing w:val="0"/>
          <w:kern w:val="0"/>
          <w:sz w:val="32"/>
          <w:szCs w:val="32"/>
          <w:highlight w:val="none"/>
          <w:shd w:val="clear" w:fill="auto"/>
          <w:lang w:val="en-US" w:eastAsia="zh-CN" w:bidi="ar"/>
        </w:rPr>
        <w:t>拟对朝阳顺义线</w:t>
      </w:r>
      <w:r>
        <w:rPr>
          <w:rFonts w:hint="eastAsia" w:ascii="仿宋_GB2312" w:hAnsi="仿宋_GB2312" w:eastAsia="仿宋_GB2312" w:cs="仿宋_GB2312"/>
          <w:i w:val="0"/>
          <w:caps w:val="0"/>
          <w:color w:val="000000"/>
          <w:spacing w:val="0"/>
          <w:kern w:val="0"/>
          <w:sz w:val="32"/>
          <w:szCs w:val="32"/>
          <w:highlight w:val="none"/>
          <w:shd w:val="clear" w:fill="auto"/>
          <w:lang w:val="en-US" w:eastAsia="zh-CN" w:bidi="ar"/>
        </w:rPr>
        <w:t>首都机场</w:t>
      </w:r>
      <w:r>
        <w:rPr>
          <w:rFonts w:hint="eastAsia" w:cs="仿宋_GB2312"/>
          <w:i w:val="0"/>
          <w:caps w:val="0"/>
          <w:color w:val="000000"/>
          <w:spacing w:val="0"/>
          <w:kern w:val="0"/>
          <w:sz w:val="32"/>
          <w:szCs w:val="32"/>
          <w:highlight w:val="none"/>
          <w:shd w:val="clear" w:fill="auto"/>
          <w:lang w:val="en-US" w:eastAsia="zh-CN" w:bidi="ar"/>
        </w:rPr>
        <w:t>段</w:t>
      </w:r>
      <w:r>
        <w:rPr>
          <w:rFonts w:hint="eastAsia" w:ascii="仿宋_GB2312" w:hAnsi="仿宋_GB2312" w:eastAsia="仿宋_GB2312" w:cs="仿宋_GB2312"/>
          <w:i w:val="0"/>
          <w:caps w:val="0"/>
          <w:color w:val="000000"/>
          <w:spacing w:val="0"/>
          <w:kern w:val="0"/>
          <w:sz w:val="32"/>
          <w:szCs w:val="32"/>
          <w:highlight w:val="none"/>
          <w:shd w:val="clear" w:fill="auto"/>
          <w:lang w:val="en-US" w:eastAsia="zh-CN" w:bidi="ar"/>
        </w:rPr>
        <w:t>现状管辖线开展</w:t>
      </w:r>
      <w:r>
        <w:rPr>
          <w:rFonts w:hint="eastAsia" w:cs="仿宋_GB2312"/>
          <w:i w:val="0"/>
          <w:caps w:val="0"/>
          <w:color w:val="000000"/>
          <w:spacing w:val="0"/>
          <w:kern w:val="0"/>
          <w:sz w:val="32"/>
          <w:szCs w:val="32"/>
          <w:highlight w:val="none"/>
          <w:shd w:val="clear" w:fill="auto"/>
          <w:lang w:val="en-US" w:eastAsia="zh-CN" w:bidi="ar"/>
        </w:rPr>
        <w:t>测绘及</w:t>
      </w:r>
      <w:r>
        <w:rPr>
          <w:rFonts w:hint="eastAsia" w:ascii="仿宋_GB2312" w:hAnsi="仿宋_GB2312" w:eastAsia="仿宋_GB2312" w:cs="仿宋_GB2312"/>
          <w:i w:val="0"/>
          <w:caps w:val="0"/>
          <w:color w:val="000000"/>
          <w:spacing w:val="0"/>
          <w:kern w:val="0"/>
          <w:sz w:val="32"/>
          <w:szCs w:val="32"/>
          <w:highlight w:val="none"/>
          <w:shd w:val="clear" w:fill="auto"/>
          <w:lang w:val="en-US" w:eastAsia="zh-CN" w:bidi="ar"/>
        </w:rPr>
        <w:t>详图编制工作。</w:t>
      </w:r>
    </w:p>
    <w:p>
      <w:pPr>
        <w:pageBreakBefore w:val="0"/>
        <w:widowControl/>
        <w:shd w:val="clear"/>
        <w:kinsoku/>
        <w:wordWrap/>
        <w:overflowPunct/>
        <w:topLinePunct w:val="0"/>
        <w:autoSpaceDN/>
        <w:bidi w:val="0"/>
        <w:spacing w:line="560" w:lineRule="exact"/>
        <w:ind w:firstLine="0" w:firstLineChars="0"/>
        <w:jc w:val="left"/>
        <w:textAlignment w:val="auto"/>
        <w:rPr>
          <w:rFonts w:hint="eastAsia" w:ascii="仿宋_GB2312" w:hAnsi="仿宋_GB2312" w:eastAsia="仿宋_GB2312" w:cs="仿宋_GB2312"/>
          <w:color w:val="000000"/>
          <w:kern w:val="0"/>
          <w:highlight w:val="none"/>
          <w:lang w:bidi="ar"/>
        </w:rPr>
      </w:pPr>
    </w:p>
    <w:p>
      <w:pPr>
        <w:pStyle w:val="4"/>
        <w:pageBreakBefore w:val="0"/>
        <w:shd w:val="clear" w:color="010000" w:fill="auto"/>
        <w:kinsoku/>
        <w:wordWrap/>
        <w:overflowPunct/>
        <w:topLinePunct w:val="0"/>
        <w:autoSpaceDN/>
        <w:bidi w:val="0"/>
        <w:spacing w:before="0" w:after="0" w:line="560" w:lineRule="exact"/>
        <w:ind w:firstLine="640" w:firstLineChars="200"/>
        <w:textAlignment w:val="auto"/>
        <w:rPr>
          <w:rFonts w:hint="eastAsia" w:ascii="仿宋_GB2312" w:hAnsi="仿宋_GB2312" w:eastAsia="仿宋_GB2312" w:cs="仿宋_GB2312"/>
          <w:b w:val="0"/>
        </w:rPr>
      </w:pPr>
      <w:r>
        <w:rPr>
          <w:rFonts w:hint="eastAsia" w:ascii="仿宋_GB2312" w:hAnsi="仿宋_GB2312" w:eastAsia="仿宋_GB2312" w:cs="仿宋_GB2312"/>
          <w:b w:val="0"/>
        </w:rPr>
        <w:t>2.产出质量</w:t>
      </w:r>
    </w:p>
    <w:p>
      <w:pPr>
        <w:pStyle w:val="2"/>
        <w:pageBreakBefore w:val="0"/>
        <w:widowControl/>
        <w:shd w:val="clear" w:color="auto" w:fill="FFFFFF"/>
        <w:kinsoku/>
        <w:wordWrap/>
        <w:overflowPunct/>
        <w:topLinePunct w:val="0"/>
        <w:autoSpaceDN/>
        <w:bidi w:val="0"/>
        <w:spacing w:line="560" w:lineRule="exact"/>
        <w:ind w:firstLine="640" w:firstLineChars="200"/>
        <w:jc w:val="both"/>
        <w:textAlignment w:val="auto"/>
        <w:rPr>
          <w:rFonts w:hint="eastAsia" w:ascii="仿宋_GB2312" w:hAnsi="仿宋_GB2312" w:eastAsia="仿宋_GB2312" w:cs="仿宋_GB2312"/>
          <w:i/>
          <w:iCs/>
          <w:color w:val="FF0000"/>
          <w:highlight w:val="none"/>
        </w:rPr>
      </w:pPr>
      <w:r>
        <w:rPr>
          <w:rFonts w:hint="eastAsia" w:ascii="仿宋_GB2312" w:hAnsi="仿宋_GB2312" w:eastAsia="仿宋_GB2312" w:cs="仿宋_GB2312"/>
          <w:i w:val="0"/>
          <w:caps w:val="0"/>
          <w:color w:val="000000"/>
          <w:spacing w:val="0"/>
          <w:sz w:val="32"/>
          <w:szCs w:val="32"/>
          <w:highlight w:val="none"/>
        </w:rPr>
        <w:t>2023年度按照《社会救助暂行办法》（国务院令649号）、《北京市社会救助实施办法》（政府令282号）等文件的要求，调整社会救助标准，社会救助标准调整与相关法规匹配度达100%；</w:t>
      </w:r>
      <w:r>
        <w:rPr>
          <w:rFonts w:hint="eastAsia" w:ascii="仿宋_GB2312" w:hAnsi="仿宋_GB2312" w:eastAsia="仿宋_GB2312" w:cs="仿宋_GB2312"/>
          <w:highlight w:val="none"/>
          <w:lang w:val="en-US" w:eastAsia="zh-CN"/>
        </w:rPr>
        <w:t>积极开展志愿服务主题日活动，弘扬志愿服务精神，营造良好的社会氛围，动员更多人加入志愿者行列，参与志愿服务活动，2023年全市实名注册志愿者占全市常住人口比例达21%，超过预期目标。总体来看，部门工作</w:t>
      </w:r>
      <w:r>
        <w:rPr>
          <w:rFonts w:hint="eastAsia" w:ascii="仿宋_GB2312" w:hAnsi="仿宋_GB2312" w:eastAsia="仿宋_GB2312" w:cs="仿宋_GB2312"/>
          <w:highlight w:val="none"/>
        </w:rPr>
        <w:t>产出质量</w:t>
      </w:r>
      <w:r>
        <w:rPr>
          <w:rFonts w:hint="eastAsia" w:ascii="仿宋_GB2312" w:hAnsi="仿宋_GB2312" w:eastAsia="仿宋_GB2312" w:cs="仿宋_GB2312"/>
          <w:highlight w:val="none"/>
          <w:lang w:val="en-US" w:eastAsia="zh-CN"/>
        </w:rPr>
        <w:t>较好</w:t>
      </w:r>
      <w:r>
        <w:rPr>
          <w:rFonts w:hint="eastAsia" w:ascii="仿宋_GB2312" w:hAnsi="仿宋_GB2312" w:eastAsia="仿宋_GB2312" w:cs="仿宋_GB2312"/>
          <w:highlight w:val="none"/>
        </w:rPr>
        <w:t>。</w:t>
      </w:r>
    </w:p>
    <w:p>
      <w:pPr>
        <w:pStyle w:val="4"/>
        <w:pageBreakBefore w:val="0"/>
        <w:shd w:val="clear" w:color="010000" w:fill="auto"/>
        <w:kinsoku/>
        <w:wordWrap/>
        <w:overflowPunct/>
        <w:topLinePunct w:val="0"/>
        <w:autoSpaceDN/>
        <w:bidi w:val="0"/>
        <w:spacing w:before="0" w:after="0" w:line="560" w:lineRule="exact"/>
        <w:ind w:firstLine="640" w:firstLineChars="200"/>
        <w:textAlignment w:val="auto"/>
        <w:rPr>
          <w:rFonts w:hint="eastAsia" w:ascii="仿宋_GB2312" w:hAnsi="仿宋_GB2312" w:eastAsia="仿宋_GB2312" w:cs="仿宋_GB2312"/>
          <w:b w:val="0"/>
        </w:rPr>
      </w:pPr>
      <w:r>
        <w:rPr>
          <w:rFonts w:hint="eastAsia" w:ascii="仿宋_GB2312" w:hAnsi="仿宋_GB2312" w:eastAsia="仿宋_GB2312" w:cs="仿宋_GB2312"/>
          <w:b w:val="0"/>
        </w:rPr>
        <w:t>3.产出进度</w:t>
      </w:r>
    </w:p>
    <w:p>
      <w:pPr>
        <w:pageBreakBefore w:val="0"/>
        <w:shd w:val="clear" w:color="000000" w:fill="auto"/>
        <w:kinsoku/>
        <w:wordWrap/>
        <w:overflowPunct/>
        <w:topLinePunct w:val="0"/>
        <w:autoSpaceDN/>
        <w:bidi w:val="0"/>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根据部门整体产出目标完成情况分析，</w:t>
      </w:r>
      <w:r>
        <w:rPr>
          <w:rFonts w:hint="eastAsia" w:ascii="仿宋_GB2312" w:hAnsi="仿宋_GB2312" w:eastAsia="仿宋_GB2312" w:cs="仿宋_GB2312"/>
          <w:lang w:val="en-US" w:eastAsia="zh-CN"/>
        </w:rPr>
        <w:t>2023年度</w:t>
      </w:r>
      <w:r>
        <w:rPr>
          <w:rFonts w:hint="eastAsia" w:ascii="仿宋_GB2312" w:hAnsi="仿宋_GB2312" w:eastAsia="仿宋_GB2312" w:cs="仿宋_GB2312"/>
        </w:rPr>
        <w:t>重点工作均按照计划有序推进落实，</w:t>
      </w:r>
      <w:r>
        <w:rPr>
          <w:rFonts w:hint="eastAsia" w:ascii="仿宋_GB2312" w:hAnsi="仿宋_GB2312" w:eastAsia="仿宋_GB2312" w:cs="仿宋_GB2312"/>
          <w:lang w:val="en-US" w:eastAsia="zh-CN"/>
        </w:rPr>
        <w:t>部门年度工作完成及时。</w:t>
      </w:r>
    </w:p>
    <w:p>
      <w:pPr>
        <w:pStyle w:val="4"/>
        <w:pageBreakBefore w:val="0"/>
        <w:shd w:val="clear" w:color="010000" w:fill="auto"/>
        <w:kinsoku/>
        <w:wordWrap/>
        <w:overflowPunct/>
        <w:topLinePunct w:val="0"/>
        <w:autoSpaceDN/>
        <w:bidi w:val="0"/>
        <w:spacing w:before="0" w:after="0" w:line="560" w:lineRule="exact"/>
        <w:ind w:firstLine="640" w:firstLineChars="200"/>
        <w:textAlignment w:val="auto"/>
        <w:rPr>
          <w:rFonts w:hint="eastAsia" w:ascii="仿宋_GB2312" w:hAnsi="仿宋_GB2312" w:eastAsia="仿宋_GB2312" w:cs="仿宋_GB2312"/>
          <w:b w:val="0"/>
        </w:rPr>
      </w:pPr>
      <w:r>
        <w:rPr>
          <w:rFonts w:hint="eastAsia" w:ascii="仿宋_GB2312" w:hAnsi="仿宋_GB2312" w:eastAsia="仿宋_GB2312" w:cs="仿宋_GB2312"/>
          <w:b w:val="0"/>
        </w:rPr>
        <w:t>4.产出成本</w:t>
      </w:r>
    </w:p>
    <w:p>
      <w:pPr>
        <w:pageBreakBefore w:val="0"/>
        <w:shd w:val="clear" w:color="000000" w:fill="auto"/>
        <w:kinsoku/>
        <w:wordWrap/>
        <w:overflowPunct/>
        <w:topLinePunct w:val="0"/>
        <w:autoSpaceDN/>
        <w:bidi w:val="0"/>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w:t>
      </w:r>
      <w:r>
        <w:rPr>
          <w:rFonts w:hint="eastAsia" w:ascii="仿宋_GB2312" w:hAnsi="仿宋_GB2312" w:eastAsia="仿宋_GB2312" w:cs="仿宋_GB2312"/>
          <w:highlight w:val="none"/>
          <w:lang w:val="en-US" w:eastAsia="zh-CN"/>
        </w:rPr>
        <w:t>持续</w:t>
      </w:r>
      <w:r>
        <w:rPr>
          <w:rFonts w:hint="eastAsia" w:ascii="仿宋_GB2312" w:hAnsi="仿宋_GB2312" w:eastAsia="仿宋_GB2312" w:cs="仿宋_GB2312"/>
          <w:highlight w:val="none"/>
        </w:rPr>
        <w:t>厉行节约、严控成本，强化</w:t>
      </w:r>
      <w:r>
        <w:rPr>
          <w:rFonts w:hint="eastAsia" w:ascii="仿宋_GB2312" w:hAnsi="仿宋_GB2312" w:eastAsia="仿宋_GB2312" w:cs="仿宋_GB2312"/>
          <w:highlight w:val="none"/>
          <w:lang w:val="en-US" w:eastAsia="zh-CN"/>
        </w:rPr>
        <w:t>资金</w:t>
      </w:r>
      <w:r>
        <w:rPr>
          <w:rFonts w:hint="eastAsia" w:ascii="仿宋_GB2312" w:hAnsi="仿宋_GB2312" w:eastAsia="仿宋_GB2312" w:cs="仿宋_GB2312"/>
          <w:highlight w:val="none"/>
        </w:rPr>
        <w:t>统筹、保障</w:t>
      </w:r>
      <w:r>
        <w:rPr>
          <w:rFonts w:hint="eastAsia" w:ascii="仿宋_GB2312" w:hAnsi="仿宋_GB2312" w:eastAsia="仿宋_GB2312" w:cs="仿宋_GB2312"/>
          <w:highlight w:val="none"/>
          <w:lang w:val="en-US" w:eastAsia="zh-CN"/>
        </w:rPr>
        <w:t>工作</w:t>
      </w:r>
      <w:r>
        <w:rPr>
          <w:rFonts w:hint="eastAsia" w:ascii="仿宋_GB2312" w:hAnsi="仿宋_GB2312" w:eastAsia="仿宋_GB2312" w:cs="仿宋_GB2312"/>
          <w:highlight w:val="none"/>
        </w:rPr>
        <w:t>重点</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具体</w:t>
      </w:r>
      <w:r>
        <w:rPr>
          <w:rFonts w:hint="eastAsia" w:ascii="仿宋_GB2312" w:hAnsi="仿宋_GB2312" w:eastAsia="仿宋_GB2312" w:cs="仿宋_GB2312"/>
          <w:highlight w:val="none"/>
          <w:lang w:eastAsia="zh-CN"/>
        </w:rPr>
        <w:t>落实了如下成本控制举措：</w:t>
      </w:r>
      <w:r>
        <w:rPr>
          <w:rFonts w:hint="eastAsia" w:ascii="仿宋_GB2312" w:hAnsi="仿宋_GB2312" w:eastAsia="仿宋_GB2312" w:cs="仿宋_GB2312"/>
          <w:highlight w:val="none"/>
          <w:lang w:val="en-US" w:eastAsia="zh-CN"/>
        </w:rPr>
        <w:t>一是对2023年具备评审条件的75个项目开展部门预算评审，将因预算评审等形成的结余资金用于专项工作；二是压减委局一般性支出698万元，全力支持防汛救灾和支持重建工作。三是</w:t>
      </w:r>
      <w:r>
        <w:rPr>
          <w:rFonts w:hint="eastAsia" w:ascii="仿宋_GB2312" w:hAnsi="仿宋_GB2312" w:eastAsia="仿宋_GB2312" w:cs="仿宋_GB2312"/>
          <w:highlight w:val="none"/>
        </w:rPr>
        <w:t>开展“全成本”预算绩效分析工作，</w:t>
      </w:r>
      <w:r>
        <w:rPr>
          <w:rFonts w:hint="eastAsia" w:ascii="仿宋_GB2312" w:hAnsi="仿宋_GB2312" w:eastAsia="仿宋_GB2312" w:cs="仿宋_GB2312"/>
          <w:highlight w:val="none"/>
          <w:lang w:eastAsia="zh-CN"/>
        </w:rPr>
        <w:t>进一步探索民生政策优化空间</w:t>
      </w:r>
      <w:r>
        <w:rPr>
          <w:rFonts w:hint="eastAsia" w:ascii="仿宋_GB2312" w:hAnsi="仿宋_GB2312" w:eastAsia="仿宋_GB2312" w:cs="仿宋_GB2312"/>
          <w:highlight w:val="none"/>
        </w:rPr>
        <w:t>。总体来看，部门整体成本控制情况较好</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提高了财政资金的使用效益</w:t>
      </w:r>
      <w:r>
        <w:rPr>
          <w:rFonts w:hint="eastAsia" w:ascii="仿宋_GB2312" w:hAnsi="仿宋_GB2312" w:eastAsia="仿宋_GB2312" w:cs="仿宋_GB2312"/>
          <w:highlight w:val="none"/>
        </w:rPr>
        <w:t>。</w:t>
      </w:r>
    </w:p>
    <w:p>
      <w:pPr>
        <w:pStyle w:val="3"/>
        <w:pageBreakBefore w:val="0"/>
        <w:shd w:val="clear" w:color="010000" w:fill="auto"/>
        <w:kinsoku/>
        <w:wordWrap/>
        <w:overflowPunct/>
        <w:topLinePunct w:val="0"/>
        <w:autoSpaceDN/>
        <w:bidi w:val="0"/>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（二）效果实现情况分析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2023年委局通过推动养老服务体系创新发展、加强基本民生保障、优化基本社会服务供给</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提升基层</w:t>
      </w:r>
      <w:r>
        <w:rPr>
          <w:rFonts w:hint="eastAsia" w:ascii="仿宋_GB2312" w:hAnsi="仿宋_GB2312" w:eastAsia="仿宋_GB2312" w:cs="仿宋_GB2312"/>
          <w:highlight w:val="none"/>
          <w:lang w:val="en-US" w:eastAsia="zh-CN"/>
        </w:rPr>
        <w:t>社会治理能力</w:t>
      </w:r>
      <w:r>
        <w:rPr>
          <w:rFonts w:hint="eastAsia" w:ascii="仿宋_GB2312" w:hAnsi="仿宋_GB2312" w:eastAsia="仿宋_GB2312" w:cs="仿宋_GB2312"/>
          <w:highlight w:val="none"/>
        </w:rPr>
        <w:t>等，有效提升了民生保障水平和基本社会服务能力。具体表现如下：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（1）养老服务体系</w:t>
      </w:r>
      <w:r>
        <w:rPr>
          <w:rFonts w:hint="eastAsia" w:ascii="仿宋_GB2312" w:hAnsi="仿宋_GB2312" w:eastAsia="仿宋_GB2312" w:cs="仿宋_GB2312"/>
          <w:b/>
          <w:bCs/>
          <w:highlight w:val="none"/>
          <w:lang w:val="en-US" w:eastAsia="zh-CN"/>
        </w:rPr>
        <w:t>创新发展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一是</w:t>
      </w:r>
      <w:r>
        <w:rPr>
          <w:rFonts w:hint="eastAsia" w:ascii="仿宋_GB2312" w:hAnsi="仿宋_GB2312" w:eastAsia="仿宋_GB2312" w:cs="仿宋_GB2312"/>
          <w:highlight w:val="none"/>
        </w:rPr>
        <w:t>印发《关于完善北京市养老服务体系的实施意见》等“1+N”政策文件，系统设计、优化调整我市养老服务体系，加强</w:t>
      </w:r>
      <w:r>
        <w:rPr>
          <w:rFonts w:hint="eastAsia" w:ascii="仿宋_GB2312" w:hAnsi="仿宋_GB2312" w:eastAsia="仿宋_GB2312" w:cs="仿宋_GB2312"/>
          <w:highlight w:val="none"/>
          <w:lang w:val="en-US" w:eastAsia="zh-CN"/>
        </w:rPr>
        <w:t>了</w:t>
      </w:r>
      <w:r>
        <w:rPr>
          <w:rFonts w:hint="eastAsia" w:ascii="仿宋_GB2312" w:hAnsi="仿宋_GB2312" w:eastAsia="仿宋_GB2312" w:cs="仿宋_GB2312"/>
          <w:highlight w:val="none"/>
        </w:rPr>
        <w:t>基本养老服务保障，创新</w:t>
      </w:r>
      <w:r>
        <w:rPr>
          <w:rFonts w:hint="eastAsia" w:ascii="仿宋_GB2312" w:hAnsi="仿宋_GB2312" w:eastAsia="仿宋_GB2312" w:cs="仿宋_GB2312"/>
          <w:highlight w:val="none"/>
          <w:lang w:val="en-US" w:eastAsia="zh-CN"/>
        </w:rPr>
        <w:t>了</w:t>
      </w:r>
      <w:r>
        <w:rPr>
          <w:rFonts w:hint="eastAsia" w:ascii="仿宋_GB2312" w:hAnsi="仿宋_GB2312" w:eastAsia="仿宋_GB2312" w:cs="仿宋_GB2312"/>
          <w:highlight w:val="none"/>
        </w:rPr>
        <w:t>居家养老服务模式。</w:t>
      </w:r>
      <w:r>
        <w:rPr>
          <w:rFonts w:hint="eastAsia" w:ascii="仿宋_GB2312" w:hAnsi="仿宋_GB2312" w:eastAsia="仿宋_GB2312" w:cs="仿宋_GB2312"/>
          <w:highlight w:val="none"/>
          <w:lang w:val="en-US" w:eastAsia="zh-CN"/>
        </w:rPr>
        <w:t>二是按照“培育一类主体、构建两种模式、实现全面覆盖”的总体思路，积极</w:t>
      </w:r>
      <w:r>
        <w:rPr>
          <w:rFonts w:hint="eastAsia" w:ascii="仿宋_GB2312" w:hAnsi="仿宋_GB2312" w:eastAsia="仿宋_GB2312" w:cs="仿宋_GB2312"/>
          <w:highlight w:val="none"/>
        </w:rPr>
        <w:t>在西城区广内街道开展居家养老服务服务创新试点，累计签约长期居家照护服务</w:t>
      </w:r>
      <w:r>
        <w:rPr>
          <w:rFonts w:hint="eastAsia" w:cs="仿宋_GB2312"/>
          <w:highlight w:val="none"/>
          <w:lang w:val="en-US" w:eastAsia="zh-CN"/>
        </w:rPr>
        <w:t>约900</w:t>
      </w:r>
      <w:r>
        <w:rPr>
          <w:rFonts w:hint="eastAsia" w:ascii="仿宋_GB2312" w:hAnsi="仿宋_GB2312" w:eastAsia="仿宋_GB2312" w:cs="仿宋_GB2312"/>
          <w:highlight w:val="none"/>
        </w:rPr>
        <w:t>单，有效解决</w:t>
      </w:r>
      <w:r>
        <w:rPr>
          <w:rFonts w:hint="eastAsia" w:cs="仿宋_GB2312"/>
          <w:highlight w:val="none"/>
          <w:lang w:val="en-US" w:eastAsia="zh-CN"/>
        </w:rPr>
        <w:t>约900</w:t>
      </w:r>
      <w:r>
        <w:rPr>
          <w:rFonts w:hint="eastAsia" w:ascii="仿宋_GB2312" w:hAnsi="仿宋_GB2312" w:eastAsia="仿宋_GB2312" w:cs="仿宋_GB2312"/>
          <w:highlight w:val="none"/>
        </w:rPr>
        <w:t>个家庭的失能老年人居家照护问题，居家养老服务模式创新取得新进展。</w:t>
      </w:r>
      <w:r>
        <w:rPr>
          <w:rFonts w:hint="eastAsia" w:ascii="仿宋_GB2312" w:hAnsi="仿宋_GB2312" w:eastAsia="仿宋_GB2312" w:cs="仿宋_GB2312"/>
          <w:highlight w:val="none"/>
          <w:lang w:val="en-US" w:eastAsia="zh-CN"/>
        </w:rPr>
        <w:t>三是研究制定居家养老服务网络建设工作方案，加强普惠型养老机构建设，</w:t>
      </w:r>
      <w:r>
        <w:rPr>
          <w:rFonts w:hint="eastAsia" w:ascii="仿宋_GB2312" w:hAnsi="仿宋_GB2312" w:eastAsia="仿宋_GB2312" w:cs="仿宋_GB2312"/>
          <w:highlight w:val="none"/>
        </w:rPr>
        <w:t>织密养老助餐服务网络建设</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新建养老家庭照护床位</w:t>
      </w:r>
      <w:r>
        <w:rPr>
          <w:rFonts w:hint="eastAsia" w:cs="仿宋_GB2312"/>
          <w:highlight w:val="none"/>
          <w:lang w:val="en-US" w:eastAsia="zh-CN"/>
        </w:rPr>
        <w:t>5702</w:t>
      </w:r>
      <w:r>
        <w:rPr>
          <w:rFonts w:hint="eastAsia" w:ascii="仿宋_GB2312" w:hAnsi="仿宋_GB2312" w:eastAsia="仿宋_GB2312" w:cs="仿宋_GB2312"/>
          <w:highlight w:val="none"/>
        </w:rPr>
        <w:t>张，新增养老助餐点</w:t>
      </w:r>
      <w:r>
        <w:rPr>
          <w:rFonts w:hint="eastAsia" w:cs="仿宋_GB2312"/>
          <w:highlight w:val="none"/>
          <w:lang w:val="en-US" w:eastAsia="zh-CN"/>
        </w:rPr>
        <w:t>243</w:t>
      </w:r>
      <w:r>
        <w:rPr>
          <w:rFonts w:hint="eastAsia" w:ascii="仿宋_GB2312" w:hAnsi="仿宋_GB2312" w:eastAsia="仿宋_GB2312" w:cs="仿宋_GB2312"/>
          <w:highlight w:val="none"/>
        </w:rPr>
        <w:t>个，新建农村邻里互助养老服务点232个</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统筹推进智慧养老工作，上线北京养老服务网，实现了养老服务“一网通查”</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完善</w:t>
      </w:r>
      <w:r>
        <w:rPr>
          <w:rFonts w:hint="eastAsia" w:ascii="仿宋_GB2312" w:hAnsi="仿宋_GB2312" w:eastAsia="仿宋_GB2312" w:cs="仿宋_GB2312"/>
          <w:highlight w:val="none"/>
          <w:lang w:val="en-US" w:eastAsia="zh-CN"/>
        </w:rPr>
        <w:t>了</w:t>
      </w:r>
      <w:r>
        <w:rPr>
          <w:rFonts w:hint="eastAsia" w:ascii="仿宋_GB2312" w:hAnsi="仿宋_GB2312" w:eastAsia="仿宋_GB2312" w:cs="仿宋_GB2312"/>
          <w:highlight w:val="none"/>
        </w:rPr>
        <w:t>养老服务设施网络。</w:t>
      </w:r>
      <w:r>
        <w:rPr>
          <w:rFonts w:hint="eastAsia" w:ascii="仿宋_GB2312" w:hAnsi="仿宋_GB2312" w:eastAsia="仿宋_GB2312" w:cs="仿宋_GB2312"/>
          <w:highlight w:val="none"/>
          <w:lang w:val="en-US" w:eastAsia="zh-CN"/>
        </w:rPr>
        <w:t>四是开展养老机构安全生产大排查大整治，细化安全风险隐患管控清单，建立“6+4”综合监管工作模式，常态化开展飞行检查，</w:t>
      </w:r>
      <w:r>
        <w:rPr>
          <w:rFonts w:hint="eastAsia" w:ascii="仿宋_GB2312" w:hAnsi="仿宋_GB2312" w:eastAsia="仿宋_GB2312" w:cs="仿宋_GB2312"/>
          <w:highlight w:val="none"/>
        </w:rPr>
        <w:t>深入开展“养老服务监管效能提升年”活动</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加强了养老服务综合监管</w:t>
      </w:r>
      <w:r>
        <w:rPr>
          <w:rFonts w:hint="eastAsia" w:ascii="仿宋_GB2312" w:hAnsi="仿宋_GB2312" w:eastAsia="仿宋_GB2312" w:cs="仿宋_GB231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（2）基本民生保障不断加强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一是按相关法规、政策要求调整</w:t>
      </w:r>
      <w:r>
        <w:rPr>
          <w:rFonts w:hint="eastAsia" w:ascii="仿宋_GB2312" w:hAnsi="仿宋_GB2312" w:eastAsia="仿宋_GB2312" w:cs="仿宋_GB2312"/>
          <w:highlight w:val="none"/>
        </w:rPr>
        <w:t>低保、低收入家庭、特困人员的救助标准，开展低收入人口动态监测和常态化帮扶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社会救助保障加强</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二是修订</w:t>
      </w:r>
      <w:r>
        <w:rPr>
          <w:rFonts w:hint="eastAsia" w:ascii="仿宋_GB2312" w:hAnsi="仿宋_GB2312" w:eastAsia="仿宋_GB2312" w:cs="仿宋_GB2312"/>
          <w:highlight w:val="none"/>
        </w:rPr>
        <w:t>完成《北京市未成年人保护条例》，</w:t>
      </w:r>
      <w:r>
        <w:rPr>
          <w:rFonts w:hint="eastAsia" w:ascii="仿宋_GB2312" w:hAnsi="仿宋_GB2312" w:eastAsia="仿宋_GB2312" w:cs="仿宋_GB2312"/>
          <w:highlight w:val="none"/>
          <w:lang w:val="en-US" w:eastAsia="zh-CN"/>
        </w:rPr>
        <w:t>调整</w:t>
      </w:r>
      <w:r>
        <w:rPr>
          <w:rFonts w:hint="eastAsia" w:ascii="仿宋_GB2312" w:hAnsi="仿宋_GB2312" w:eastAsia="仿宋_GB2312" w:cs="仿宋_GB2312"/>
          <w:highlight w:val="none"/>
        </w:rPr>
        <w:t>困境儿童保障标准，全市建立未成年人保护工作站84家，儿童福利保障</w:t>
      </w:r>
      <w:r>
        <w:rPr>
          <w:rFonts w:hint="eastAsia" w:ascii="仿宋_GB2312" w:hAnsi="仿宋_GB2312" w:eastAsia="仿宋_GB2312" w:cs="仿宋_GB2312"/>
          <w:highlight w:val="none"/>
          <w:lang w:val="en-US" w:eastAsia="zh-CN"/>
        </w:rPr>
        <w:t>进一步加强</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三是</w:t>
      </w:r>
      <w:r>
        <w:rPr>
          <w:rFonts w:hint="eastAsia" w:ascii="仿宋_GB2312" w:hAnsi="仿宋_GB2312" w:eastAsia="仿宋_GB2312" w:cs="仿宋_GB2312"/>
          <w:highlight w:val="none"/>
        </w:rPr>
        <w:t>依托市残疾人“两项补贴”信息管理系统实现“主动服务预警”，全面推广康复辅助器具社区租赁服务，残疾人服务体系</w:t>
      </w:r>
      <w:r>
        <w:rPr>
          <w:rFonts w:hint="eastAsia" w:ascii="仿宋_GB2312" w:hAnsi="仿宋_GB2312" w:eastAsia="仿宋_GB2312" w:cs="仿宋_GB2312"/>
          <w:highlight w:val="none"/>
          <w:lang w:val="en-US" w:eastAsia="zh-CN"/>
        </w:rPr>
        <w:t>进一步</w:t>
      </w:r>
      <w:r>
        <w:rPr>
          <w:rFonts w:hint="eastAsia" w:ascii="仿宋_GB2312" w:hAnsi="仿宋_GB2312" w:eastAsia="仿宋_GB2312" w:cs="仿宋_GB2312"/>
          <w:highlight w:val="none"/>
        </w:rPr>
        <w:t>完善。</w:t>
      </w:r>
      <w:r>
        <w:rPr>
          <w:rFonts w:hint="eastAsia" w:ascii="仿宋_GB2312" w:hAnsi="仿宋_GB2312" w:eastAsia="仿宋_GB2312" w:cs="仿宋_GB2312"/>
          <w:highlight w:val="none"/>
          <w:lang w:val="en-US" w:eastAsia="zh-CN"/>
        </w:rPr>
        <w:t>四是2023年新增备案慈善信托事项20单，总规模累计超7.7亿元，备案单数、备案金额在全国保持领先地位，慈善事业得到进一步发展。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（3）基本社会服务供给持续优化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2023年全面统筹优化殡葬服务保障</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一是</w:t>
      </w:r>
      <w:r>
        <w:rPr>
          <w:rFonts w:hint="eastAsia" w:ascii="仿宋_GB2312" w:hAnsi="仿宋_GB2312" w:eastAsia="仿宋_GB2312" w:cs="仿宋_GB2312"/>
          <w:highlight w:val="none"/>
        </w:rPr>
        <w:t>成立工作专班，统一调配全市殡葬服务资源，建立健全殡葬服务资源统筹调度机制。推出殡葬“放心办”服务，开发上线殡葬服务预约平台，实现电话、网络等多途径预约，协调医疗机构前端提供正规服务联络渠道，强化了殡葬服务的公益属性。</w:t>
      </w:r>
      <w:r>
        <w:rPr>
          <w:rFonts w:hint="eastAsia" w:ascii="仿宋_GB2312" w:hAnsi="仿宋_GB2312" w:eastAsia="仿宋_GB2312" w:cs="仿宋_GB2312"/>
          <w:highlight w:val="none"/>
          <w:lang w:val="en-US" w:eastAsia="zh-CN"/>
        </w:rPr>
        <w:t>二是</w:t>
      </w:r>
      <w:r>
        <w:rPr>
          <w:rFonts w:hint="eastAsia" w:ascii="仿宋_GB2312" w:hAnsi="仿宋_GB2312" w:eastAsia="仿宋_GB2312" w:cs="仿宋_GB2312"/>
          <w:highlight w:val="none"/>
        </w:rPr>
        <w:t>编印包括全市殡仪馆信息和丧事办理流程的《民政服务全知道》便民手册。落实殡葬惠民政策和收费公开公示制度，建立经营性公墓墓位（格位）每周价格监测机制，明确经营性公墓低价位墓位供应总体比例</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并</w:t>
      </w:r>
      <w:r>
        <w:rPr>
          <w:rFonts w:hint="eastAsia" w:ascii="仿宋_GB2312" w:hAnsi="仿宋_GB2312" w:eastAsia="仿宋_GB2312" w:cs="仿宋_GB2312"/>
          <w:highlight w:val="none"/>
        </w:rPr>
        <w:t>实施市属殡仪馆综合改造提升工程，优化殡葬服务环境。</w:t>
      </w:r>
      <w:r>
        <w:rPr>
          <w:rFonts w:hint="eastAsia" w:ascii="仿宋_GB2312" w:hAnsi="仿宋_GB2312" w:eastAsia="仿宋_GB2312" w:cs="仿宋_GB2312"/>
          <w:highlight w:val="none"/>
          <w:lang w:val="en-US" w:eastAsia="zh-CN"/>
        </w:rPr>
        <w:t>三是</w:t>
      </w:r>
      <w:r>
        <w:rPr>
          <w:rFonts w:hint="eastAsia" w:ascii="仿宋_GB2312" w:hAnsi="仿宋_GB2312" w:eastAsia="仿宋_GB2312" w:cs="仿宋_GB2312"/>
          <w:highlight w:val="none"/>
        </w:rPr>
        <w:t>加快推进八宝山革命公墓骨灰廊二期项目1.2万个骨灰格位建设，缓解革命公墓格位紧缺现状。持续推进骨灰海葬自然葬</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全市已完成7693份骨灰撒海、2115份骨灰自然葬。</w:t>
      </w:r>
      <w:r>
        <w:rPr>
          <w:rFonts w:hint="eastAsia" w:ascii="仿宋_GB2312" w:hAnsi="仿宋_GB2312" w:eastAsia="仿宋_GB2312" w:cs="仿宋_GB2312"/>
          <w:highlight w:val="none"/>
          <w:lang w:val="en-US" w:eastAsia="zh-CN"/>
        </w:rPr>
        <w:t>四是</w:t>
      </w:r>
      <w:r>
        <w:rPr>
          <w:rFonts w:hint="eastAsia" w:ascii="仿宋_GB2312" w:hAnsi="仿宋_GB2312" w:eastAsia="仿宋_GB2312" w:cs="仿宋_GB2312"/>
          <w:highlight w:val="none"/>
        </w:rPr>
        <w:t>全面加强殡葬领域综合监管，针对经营性公墓、殡仪馆、医疗机构太平间、殡葬用品销售网点等开展联合执法。</w:t>
      </w:r>
      <w:r>
        <w:rPr>
          <w:rFonts w:hint="eastAsia" w:ascii="仿宋_GB2312" w:hAnsi="仿宋_GB2312" w:eastAsia="仿宋_GB2312" w:cs="仿宋_GB2312"/>
          <w:highlight w:val="none"/>
          <w:lang w:val="en-US" w:eastAsia="zh-CN"/>
        </w:rPr>
        <w:t>此外，</w:t>
      </w:r>
      <w:r>
        <w:rPr>
          <w:rFonts w:hint="eastAsia" w:ascii="仿宋_GB2312" w:hAnsi="仿宋_GB2312" w:eastAsia="仿宋_GB2312" w:cs="仿宋_GB2312"/>
          <w:highlight w:val="none"/>
        </w:rPr>
        <w:t>积极稳妥推进婚姻登记“跨省通办”、接济救助管理、征地超转人员保障、见义勇为人员认定、社会心理服务等工作，为保持首都大局稳定和社会安定作出贡献。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（4）基层治理水平不断提高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szCs w:val="24"/>
          <w:highlight w:val="none"/>
          <w:lang w:val="en-US" w:eastAsia="zh-CN"/>
        </w:rPr>
        <w:t>一是通过</w:t>
      </w:r>
      <w:r>
        <w:rPr>
          <w:rFonts w:hint="eastAsia" w:ascii="仿宋_GB2312" w:hAnsi="仿宋_GB2312" w:eastAsia="仿宋_GB2312" w:cs="仿宋_GB2312"/>
          <w:szCs w:val="24"/>
          <w:highlight w:val="none"/>
        </w:rPr>
        <w:t>持续推进《北京市街道办事处条例》实施三年情况评估</w:t>
      </w:r>
      <w:r>
        <w:rPr>
          <w:rFonts w:hint="eastAsia" w:ascii="仿宋_GB2312" w:hAnsi="仿宋_GB2312" w:eastAsia="仿宋_GB2312" w:cs="仿宋_GB2312"/>
          <w:szCs w:val="24"/>
          <w:highlight w:val="none"/>
          <w:lang w:eastAsia="zh-CN"/>
        </w:rPr>
        <w:t>，</w:t>
      </w:r>
      <w:r>
        <w:rPr>
          <w:rFonts w:hint="eastAsia" w:ascii="仿宋_GB2312" w:hAnsi="仿宋_GB2312" w:eastAsia="仿宋_GB2312" w:cs="仿宋_GB2312"/>
          <w:szCs w:val="24"/>
          <w:highlight w:val="none"/>
        </w:rPr>
        <w:t>做实社区党建工作协调委员会机制，完成30个街道（乡镇）协商试点、120个社区议事厅协商示范点和100个楼门院（村组）治理示范点建设，农村议事厅覆盖率达到85%</w:t>
      </w:r>
      <w:r>
        <w:rPr>
          <w:rFonts w:hint="eastAsia" w:ascii="仿宋_GB2312" w:hAnsi="仿宋_GB2312" w:eastAsia="仿宋_GB2312" w:cs="仿宋_GB2312"/>
          <w:szCs w:val="24"/>
          <w:highlight w:val="none"/>
          <w:lang w:eastAsia="zh-CN"/>
        </w:rPr>
        <w:t>，</w:t>
      </w:r>
      <w:r>
        <w:rPr>
          <w:rFonts w:hint="eastAsia" w:ascii="仿宋_GB2312" w:hAnsi="仿宋_GB2312" w:eastAsia="仿宋_GB2312" w:cs="仿宋_GB2312"/>
          <w:szCs w:val="24"/>
          <w:highlight w:val="none"/>
        </w:rPr>
        <w:t>夯实</w:t>
      </w:r>
      <w:r>
        <w:rPr>
          <w:rFonts w:hint="eastAsia" w:ascii="仿宋_GB2312" w:hAnsi="仿宋_GB2312" w:eastAsia="仿宋_GB2312" w:cs="仿宋_GB2312"/>
          <w:szCs w:val="24"/>
          <w:highlight w:val="none"/>
          <w:lang w:val="en-US" w:eastAsia="zh-CN"/>
        </w:rPr>
        <w:t>了</w:t>
      </w:r>
      <w:r>
        <w:rPr>
          <w:rFonts w:hint="eastAsia" w:ascii="仿宋_GB2312" w:hAnsi="仿宋_GB2312" w:eastAsia="仿宋_GB2312" w:cs="仿宋_GB2312"/>
          <w:szCs w:val="24"/>
          <w:highlight w:val="none"/>
        </w:rPr>
        <w:t>基层治理基础。</w:t>
      </w:r>
      <w:r>
        <w:rPr>
          <w:rFonts w:hint="eastAsia" w:ascii="仿宋_GB2312" w:hAnsi="仿宋_GB2312" w:eastAsia="仿宋_GB2312" w:cs="仿宋_GB2312"/>
          <w:szCs w:val="24"/>
          <w:highlight w:val="none"/>
          <w:lang w:val="en-US" w:eastAsia="zh-CN"/>
        </w:rPr>
        <w:t>二是</w:t>
      </w:r>
      <w:r>
        <w:rPr>
          <w:rFonts w:hint="eastAsia" w:ascii="仿宋_GB2312" w:hAnsi="仿宋_GB2312" w:eastAsia="仿宋_GB2312" w:cs="仿宋_GB2312"/>
          <w:szCs w:val="24"/>
          <w:highlight w:val="none"/>
        </w:rPr>
        <w:t>出台《北京市基层社会工作服务体系建设指导细则》，统筹推进社会建设和民政领域基层服务站点整合</w:t>
      </w:r>
      <w:r>
        <w:rPr>
          <w:rFonts w:hint="eastAsia" w:ascii="仿宋_GB2312" w:hAnsi="仿宋_GB2312" w:eastAsia="仿宋_GB2312" w:cs="仿宋_GB2312"/>
          <w:szCs w:val="24"/>
          <w:highlight w:val="none"/>
          <w:lang w:eastAsia="zh-CN"/>
        </w:rPr>
        <w:t>，</w:t>
      </w:r>
      <w:r>
        <w:rPr>
          <w:rFonts w:hint="eastAsia" w:ascii="仿宋_GB2312" w:hAnsi="仿宋_GB2312" w:eastAsia="仿宋_GB2312" w:cs="仿宋_GB2312"/>
          <w:szCs w:val="24"/>
          <w:highlight w:val="none"/>
        </w:rPr>
        <w:t>全市共建成社会工作服务平台1811个，实现</w:t>
      </w:r>
      <w:r>
        <w:rPr>
          <w:rFonts w:hint="eastAsia" w:ascii="仿宋_GB2312" w:hAnsi="仿宋_GB2312" w:eastAsia="仿宋_GB2312" w:cs="仿宋_GB2312"/>
          <w:szCs w:val="24"/>
          <w:highlight w:val="none"/>
          <w:lang w:val="en-US" w:eastAsia="zh-CN"/>
        </w:rPr>
        <w:t>了</w:t>
      </w:r>
      <w:r>
        <w:rPr>
          <w:rFonts w:hint="eastAsia" w:ascii="仿宋_GB2312" w:hAnsi="仿宋_GB2312" w:eastAsia="仿宋_GB2312" w:cs="仿宋_GB2312"/>
          <w:szCs w:val="24"/>
          <w:highlight w:val="none"/>
        </w:rPr>
        <w:t>区级社会工作指导中心全覆盖、街乡覆盖率达到85.7%</w:t>
      </w:r>
      <w:r>
        <w:rPr>
          <w:rFonts w:hint="eastAsia" w:ascii="仿宋_GB2312" w:hAnsi="仿宋_GB2312" w:eastAsia="仿宋_GB2312" w:cs="仿宋_GB2312"/>
          <w:szCs w:val="24"/>
          <w:highlight w:val="none"/>
          <w:lang w:eastAsia="zh-CN"/>
        </w:rPr>
        <w:t>，</w:t>
      </w:r>
      <w:r>
        <w:rPr>
          <w:rFonts w:hint="eastAsia" w:ascii="仿宋_GB2312" w:hAnsi="仿宋_GB2312" w:eastAsia="仿宋_GB2312" w:cs="仿宋_GB2312"/>
          <w:szCs w:val="24"/>
          <w:highlight w:val="none"/>
          <w:lang w:val="en-US" w:eastAsia="zh-CN"/>
        </w:rPr>
        <w:t>同时，</w:t>
      </w:r>
      <w:r>
        <w:rPr>
          <w:rFonts w:hint="eastAsia" w:ascii="仿宋_GB2312" w:hAnsi="仿宋_GB2312" w:eastAsia="仿宋_GB2312" w:cs="仿宋_GB2312"/>
          <w:szCs w:val="24"/>
          <w:highlight w:val="none"/>
        </w:rPr>
        <w:t>推进基层协商和楼门院治理示范点建设、3000户以上大型社区规模优化调整以及“回天地区”社区</w:t>
      </w:r>
      <w:r>
        <w:rPr>
          <w:rFonts w:hint="eastAsia" w:ascii="仿宋_GB2312" w:hAnsi="仿宋_GB2312" w:eastAsia="仿宋_GB2312" w:cs="仿宋_GB2312"/>
          <w:highlight w:val="none"/>
        </w:rPr>
        <w:t>服务</w:t>
      </w:r>
      <w:r>
        <w:rPr>
          <w:rFonts w:hint="eastAsia" w:ascii="仿宋_GB2312" w:hAnsi="仿宋_GB2312" w:eastAsia="仿宋_GB2312" w:cs="仿宋_GB2312"/>
          <w:szCs w:val="24"/>
          <w:highlight w:val="none"/>
        </w:rPr>
        <w:t>空间开放式改造等工作，提升</w:t>
      </w:r>
      <w:r>
        <w:rPr>
          <w:rFonts w:hint="eastAsia" w:ascii="仿宋_GB2312" w:hAnsi="仿宋_GB2312" w:eastAsia="仿宋_GB2312" w:cs="仿宋_GB2312"/>
          <w:szCs w:val="24"/>
          <w:highlight w:val="none"/>
          <w:lang w:val="en-US" w:eastAsia="zh-CN"/>
        </w:rPr>
        <w:t>了</w:t>
      </w:r>
      <w:r>
        <w:rPr>
          <w:rFonts w:hint="eastAsia" w:ascii="仿宋_GB2312" w:hAnsi="仿宋_GB2312" w:eastAsia="仿宋_GB2312" w:cs="仿宋_GB2312"/>
          <w:szCs w:val="24"/>
          <w:highlight w:val="none"/>
        </w:rPr>
        <w:t>社区服务能力。</w:t>
      </w:r>
      <w:r>
        <w:rPr>
          <w:rFonts w:hint="eastAsia" w:ascii="仿宋_GB2312" w:hAnsi="仿宋_GB2312" w:eastAsia="仿宋_GB2312" w:cs="仿宋_GB2312"/>
          <w:szCs w:val="24"/>
          <w:highlight w:val="none"/>
          <w:lang w:val="en-US" w:eastAsia="zh-CN"/>
        </w:rPr>
        <w:t>三是</w:t>
      </w:r>
      <w:r>
        <w:rPr>
          <w:rFonts w:hint="eastAsia" w:ascii="仿宋_GB2312" w:hAnsi="仿宋_GB2312" w:eastAsia="仿宋_GB2312" w:cs="仿宋_GB2312"/>
          <w:szCs w:val="24"/>
          <w:highlight w:val="none"/>
        </w:rPr>
        <w:t>持续推进“京民通”社区治理信息化项目，</w:t>
      </w:r>
      <w:r>
        <w:rPr>
          <w:rFonts w:hint="eastAsia" w:ascii="仿宋_GB2312" w:hAnsi="仿宋_GB2312" w:eastAsia="仿宋_GB2312" w:cs="仿宋_GB2312"/>
          <w:szCs w:val="24"/>
          <w:highlight w:val="none"/>
          <w:lang w:val="en-US" w:eastAsia="zh-CN"/>
        </w:rPr>
        <w:t>已在</w:t>
      </w:r>
      <w:r>
        <w:rPr>
          <w:rFonts w:hint="eastAsia" w:ascii="仿宋_GB2312" w:hAnsi="仿宋_GB2312" w:eastAsia="仿宋_GB2312" w:cs="仿宋_GB2312"/>
          <w:szCs w:val="24"/>
          <w:highlight w:val="none"/>
        </w:rPr>
        <w:t>30个社区试点工作全面铺开，覆盖七大应用场景，开发200余个功能模块，形成11.58万余人的居民台账</w:t>
      </w:r>
      <w:r>
        <w:rPr>
          <w:rFonts w:hint="eastAsia" w:ascii="仿宋_GB2312" w:hAnsi="仿宋_GB2312" w:eastAsia="仿宋_GB2312" w:cs="仿宋_GB2312"/>
          <w:szCs w:val="24"/>
          <w:highlight w:val="none"/>
          <w:lang w:eastAsia="zh-CN"/>
        </w:rPr>
        <w:t>，</w:t>
      </w:r>
      <w:r>
        <w:rPr>
          <w:rFonts w:hint="eastAsia" w:ascii="仿宋_GB2312" w:hAnsi="仿宋_GB2312" w:eastAsia="仿宋_GB2312" w:cs="仿宋_GB2312"/>
          <w:szCs w:val="24"/>
          <w:highlight w:val="none"/>
          <w:lang w:val="en-US" w:eastAsia="zh-CN"/>
        </w:rPr>
        <w:t>为基层治理提供了支撑；四是培育发展多元治理主体，</w:t>
      </w:r>
      <w:r>
        <w:rPr>
          <w:rFonts w:hint="eastAsia" w:ascii="仿宋_GB2312" w:hAnsi="仿宋_GB2312" w:eastAsia="仿宋_GB2312" w:cs="仿宋_GB2312"/>
          <w:highlight w:val="none"/>
        </w:rPr>
        <w:t>研究</w:t>
      </w:r>
      <w:r>
        <w:rPr>
          <w:rFonts w:hint="eastAsia" w:cs="仿宋_GB2312"/>
          <w:highlight w:val="none"/>
          <w:lang w:eastAsia="zh-CN"/>
        </w:rPr>
        <w:t>起草</w:t>
      </w:r>
      <w:r>
        <w:rPr>
          <w:rFonts w:hint="eastAsia" w:ascii="仿宋_GB2312" w:hAnsi="仿宋_GB2312" w:eastAsia="仿宋_GB2312" w:cs="仿宋_GB2312"/>
          <w:highlight w:val="none"/>
        </w:rPr>
        <w:t>《关于党建引领社会组织高质量发展的若干措施》</w:t>
      </w:r>
      <w:r>
        <w:rPr>
          <w:rFonts w:hint="eastAsia" w:cs="仿宋_GB2312"/>
          <w:highlight w:val="none"/>
          <w:lang w:eastAsia="zh-CN"/>
        </w:rPr>
        <w:t>，出台</w:t>
      </w:r>
      <w:r>
        <w:rPr>
          <w:rFonts w:hint="eastAsia" w:ascii="仿宋_GB2312" w:hAnsi="仿宋_GB2312" w:eastAsia="仿宋_GB2312" w:cs="仿宋_GB2312"/>
          <w:highlight w:val="none"/>
        </w:rPr>
        <w:t>《北京市社会组织信用监管办法（试行）》，通过发挥党建引领作用、加强信用评价结果运用，推进社会组织生态建设，强化社会组织综合监管，推动社会组织高质量发展</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进一步提升社会治理水平</w:t>
      </w:r>
      <w:r>
        <w:rPr>
          <w:rFonts w:hint="eastAsia" w:ascii="仿宋_GB2312" w:hAnsi="仿宋_GB2312" w:eastAsia="仿宋_GB2312" w:cs="仿宋_GB2312"/>
          <w:highlight w:val="none"/>
        </w:rPr>
        <w:t>。</w:t>
      </w:r>
    </w:p>
    <w:p>
      <w:pPr>
        <w:pStyle w:val="4"/>
        <w:keepNext w:val="0"/>
        <w:keepLines w:val="0"/>
        <w:pageBreakBefore w:val="0"/>
        <w:widowControl w:val="0"/>
        <w:shd w:val="clear" w:color="010000" w:fill="auto"/>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highlight w:val="none"/>
        </w:rPr>
      </w:pPr>
      <w:r>
        <w:rPr>
          <w:rFonts w:hint="eastAsia" w:ascii="仿宋_GB2312" w:hAnsi="仿宋_GB2312" w:eastAsia="仿宋_GB2312" w:cs="仿宋_GB2312"/>
          <w:b w:val="0"/>
          <w:highlight w:val="none"/>
        </w:rPr>
        <w:t>2.服务对象满意度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根据部门各预算项目的服务对象满意度结果显示，公众的满意度程度较好。其中，</w:t>
      </w:r>
      <w:r>
        <w:rPr>
          <w:rFonts w:hint="eastAsia" w:ascii="仿宋_GB2312" w:hAnsi="仿宋_GB2312" w:eastAsia="仿宋_GB2312" w:cs="仿宋_GB2312"/>
          <w:highlight w:val="none"/>
          <w:lang w:val="en-US" w:eastAsia="zh-CN"/>
        </w:rPr>
        <w:t>联合党委的满意度100%；受培养社工满意度100%，被评估的市级社会组织满意度99.60%，志愿服务组织满意度95%，</w:t>
      </w:r>
      <w:r>
        <w:rPr>
          <w:rFonts w:hint="eastAsia" w:ascii="仿宋_GB2312" w:hAnsi="仿宋_GB2312" w:eastAsia="仿宋_GB2312" w:cs="仿宋_GB2312"/>
          <w:highlight w:val="none"/>
        </w:rPr>
        <w:t>投保老年人意外伤害保险的老年人综合满意度</w:t>
      </w:r>
      <w:r>
        <w:rPr>
          <w:rFonts w:hint="eastAsia" w:ascii="仿宋_GB2312" w:hAnsi="仿宋_GB2312" w:eastAsia="仿宋_GB2312" w:cs="仿宋_GB2312"/>
          <w:highlight w:val="none"/>
          <w:lang w:val="en-US" w:eastAsia="zh-CN"/>
        </w:rPr>
        <w:t>为100%</w:t>
      </w:r>
      <w:r>
        <w:rPr>
          <w:rFonts w:hint="eastAsia" w:ascii="仿宋_GB2312" w:hAnsi="仿宋_GB2312" w:eastAsia="仿宋_GB2312" w:cs="仿宋_GB2312"/>
          <w:highlight w:val="none"/>
          <w:lang w:eastAsia="zh-CN"/>
        </w:rPr>
        <w:t>。</w:t>
      </w:r>
    </w:p>
    <w:p>
      <w:pPr>
        <w:pStyle w:val="2"/>
        <w:keepNext/>
        <w:keepLines/>
        <w:pageBreakBefore w:val="0"/>
        <w:shd w:val="clear" w:color="010000" w:fill="auto"/>
        <w:kinsoku/>
        <w:wordWrap/>
        <w:overflowPunct/>
        <w:topLinePunct w:val="0"/>
        <w:autoSpaceDN/>
        <w:bidi w:val="0"/>
        <w:spacing w:line="560" w:lineRule="exact"/>
        <w:ind w:firstLine="640" w:firstLineChars="200"/>
        <w:textAlignment w:val="auto"/>
        <w:rPr>
          <w:rFonts w:hint="eastAsia" w:ascii="黑体" w:hAnsi="黑体" w:cs="黑体"/>
          <w:bCs/>
          <w:color w:val="auto"/>
          <w:kern w:val="44"/>
          <w:szCs w:val="44"/>
          <w:highlight w:val="none"/>
        </w:rPr>
      </w:pPr>
      <w:r>
        <w:rPr>
          <w:rFonts w:hint="eastAsia" w:ascii="黑体" w:hAnsi="黑体" w:cs="黑体"/>
          <w:bCs/>
          <w:color w:val="auto"/>
          <w:kern w:val="44"/>
          <w:szCs w:val="44"/>
          <w:highlight w:val="none"/>
        </w:rPr>
        <w:t>四、</w:t>
      </w:r>
      <w:r>
        <w:rPr>
          <w:rFonts w:hint="eastAsia" w:ascii="黑体" w:hAnsi="黑体" w:cs="黑体"/>
          <w:bCs/>
          <w:color w:val="auto"/>
          <w:kern w:val="44"/>
          <w:szCs w:val="44"/>
          <w:highlight w:val="none"/>
          <w:lang w:val="en-US" w:eastAsia="zh-CN"/>
        </w:rPr>
        <w:t>2023年</w:t>
      </w:r>
      <w:r>
        <w:rPr>
          <w:rFonts w:hint="eastAsia" w:cs="黑体"/>
          <w:bCs/>
          <w:color w:val="auto"/>
          <w:kern w:val="44"/>
          <w:szCs w:val="44"/>
          <w:highlight w:val="none"/>
          <w:lang w:val="en-US" w:eastAsia="zh-CN"/>
        </w:rPr>
        <w:t>度</w:t>
      </w:r>
      <w:r>
        <w:rPr>
          <w:rFonts w:hint="eastAsia" w:ascii="黑体" w:hAnsi="黑体" w:cs="黑体"/>
          <w:bCs/>
          <w:color w:val="auto"/>
          <w:kern w:val="44"/>
          <w:szCs w:val="44"/>
          <w:highlight w:val="none"/>
        </w:rPr>
        <w:t>预算管理情况分析</w:t>
      </w:r>
    </w:p>
    <w:p>
      <w:pPr>
        <w:pStyle w:val="3"/>
        <w:keepNext w:val="0"/>
        <w:keepLines w:val="0"/>
        <w:pageBreakBefore w:val="0"/>
        <w:widowControl w:val="0"/>
        <w:shd w:val="clear" w:color="010000" w:fill="auto"/>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highlight w:val="none"/>
        </w:rPr>
      </w:pPr>
      <w:r>
        <w:rPr>
          <w:rFonts w:hint="eastAsia" w:ascii="楷体_GB2312" w:hAnsi="楷体_GB2312" w:eastAsia="楷体_GB2312" w:cs="楷体_GB2312"/>
          <w:highlight w:val="none"/>
        </w:rPr>
        <w:t>（一）财务管理</w:t>
      </w:r>
    </w:p>
    <w:p>
      <w:pPr>
        <w:pStyle w:val="4"/>
        <w:keepNext w:val="0"/>
        <w:keepLines w:val="0"/>
        <w:pageBreakBefore w:val="0"/>
        <w:widowControl w:val="0"/>
        <w:shd w:val="clear" w:color="010000" w:fill="auto"/>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highlight w:val="none"/>
        </w:rPr>
      </w:pPr>
      <w:r>
        <w:rPr>
          <w:rFonts w:hint="eastAsia" w:ascii="仿宋_GB2312" w:hAnsi="仿宋_GB2312" w:eastAsia="仿宋_GB2312" w:cs="仿宋_GB2312"/>
          <w:b w:val="0"/>
          <w:highlight w:val="none"/>
        </w:rPr>
        <w:t>1.财务管理制度健全性</w:t>
      </w:r>
    </w:p>
    <w:p>
      <w:pPr>
        <w:pageBreakBefore w:val="0"/>
        <w:shd w:val="clear" w:color="000000" w:fill="auto"/>
        <w:kinsoku/>
        <w:wordWrap/>
        <w:overflowPunct/>
        <w:topLinePunct w:val="0"/>
        <w:autoSpaceDN/>
        <w:bidi w:val="0"/>
        <w:spacing w:line="560" w:lineRule="exact"/>
        <w:ind w:firstLine="642" w:firstLineChars="200"/>
        <w:textAlignment w:val="auto"/>
        <w:rPr>
          <w:rFonts w:hint="eastAsia" w:ascii="仿宋_GB2312" w:hAnsi="仿宋_GB2312" w:eastAsia="仿宋_GB2312" w:cs="仿宋_GB2312"/>
        </w:rPr>
      </w:pPr>
      <w:r>
        <w:rPr>
          <w:rFonts w:hint="eastAsia" w:ascii="仿宋_GB2312" w:hAnsi="仿宋_GB2312" w:eastAsia="仿宋_GB2312" w:cs="仿宋_GB2312"/>
          <w:b/>
          <w:bCs/>
          <w:highlight w:val="none"/>
          <w:lang w:val="en-US" w:eastAsia="zh-CN"/>
        </w:rPr>
        <w:t>预算资金管理方面</w:t>
      </w:r>
      <w:r>
        <w:rPr>
          <w:rFonts w:hint="eastAsia" w:ascii="仿宋_GB2312" w:hAnsi="仿宋_GB2312" w:eastAsia="仿宋_GB2312" w:cs="仿宋_GB2312"/>
          <w:b w:val="0"/>
          <w:bCs w:val="0"/>
          <w:highlight w:val="none"/>
          <w:lang w:val="en-US" w:eastAsia="zh-CN"/>
        </w:rPr>
        <w:t>，出台《委局预算主体资金管理责任制实施办法》，将资金使用权责明确到项目负责人，建立预算主体资金支付确认机制，强化过程控制。</w:t>
      </w:r>
      <w:r>
        <w:rPr>
          <w:rFonts w:hint="eastAsia" w:ascii="仿宋_GB2312" w:hAnsi="仿宋_GB2312" w:eastAsia="仿宋_GB2312" w:cs="仿宋_GB2312"/>
          <w:b/>
          <w:bCs/>
          <w:highlight w:val="none"/>
          <w:lang w:val="en-US" w:eastAsia="zh-CN"/>
        </w:rPr>
        <w:t>财务管理方面</w:t>
      </w:r>
      <w:r>
        <w:rPr>
          <w:rFonts w:hint="eastAsia" w:ascii="仿宋_GB2312" w:hAnsi="仿宋_GB2312" w:eastAsia="仿宋_GB2312" w:cs="仿宋_GB2312"/>
          <w:b w:val="0"/>
          <w:bCs w:val="0"/>
          <w:highlight w:val="none"/>
          <w:lang w:val="en-US" w:eastAsia="zh-CN"/>
        </w:rPr>
        <w:t>，落实财政政策，强化政府采购管理，整合构建制度体系，修订《委</w:t>
      </w:r>
      <w:r>
        <w:rPr>
          <w:rFonts w:hint="eastAsia" w:ascii="仿宋_GB2312" w:hAnsi="仿宋_GB2312" w:eastAsia="仿宋_GB2312" w:cs="仿宋_GB2312"/>
          <w:b w:val="0"/>
          <w:bCs w:val="0"/>
          <w:lang w:val="en-US" w:eastAsia="zh-CN"/>
        </w:rPr>
        <w:t>局政府采购管理办法（暂行）》，完善借鉴制度有关内容，增加财政制度重点规则，纳入委局制度主要条款；整合构建12项配套制度，新出台委局政府采购代理机构工作纪实，货物项目、服务项目实施办法3项制度，新修订委局政府采购需求管理制度，将需求调查、需求编制、需求审查等工作制式模版、工作标准规范正式纳入制度范畴，归集委局落实集中采购目录及标准等8项制度</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并组织开展有关预算执行、项目流程、预算绩效、委托外包、平台操作等内容的专题培训，整体提升了</w:t>
      </w:r>
      <w:r>
        <w:rPr>
          <w:rFonts w:hint="eastAsia" w:ascii="仿宋_GB2312" w:hAnsi="仿宋_GB2312" w:eastAsia="仿宋_GB2312" w:cs="仿宋_GB2312"/>
        </w:rPr>
        <w:t>财务管理</w:t>
      </w:r>
      <w:r>
        <w:rPr>
          <w:rFonts w:hint="eastAsia" w:ascii="仿宋_GB2312" w:hAnsi="仿宋_GB2312" w:eastAsia="仿宋_GB2312" w:cs="仿宋_GB2312"/>
          <w:lang w:val="en-US" w:eastAsia="zh-CN"/>
        </w:rPr>
        <w:t>水平，</w:t>
      </w:r>
      <w:r>
        <w:rPr>
          <w:rFonts w:hint="eastAsia" w:ascii="仿宋_GB2312" w:hAnsi="仿宋_GB2312" w:eastAsia="仿宋_GB2312" w:cs="仿宋_GB2312"/>
        </w:rPr>
        <w:t>规范</w:t>
      </w:r>
      <w:r>
        <w:rPr>
          <w:rFonts w:hint="eastAsia" w:ascii="仿宋_GB2312" w:hAnsi="仿宋_GB2312" w:eastAsia="仿宋_GB2312" w:cs="仿宋_GB2312"/>
          <w:lang w:val="en-US" w:eastAsia="zh-CN"/>
        </w:rPr>
        <w:t>了预算和财务收支</w:t>
      </w:r>
      <w:r>
        <w:rPr>
          <w:rFonts w:hint="eastAsia" w:ascii="仿宋_GB2312" w:hAnsi="仿宋_GB2312" w:eastAsia="仿宋_GB2312" w:cs="仿宋_GB2312"/>
        </w:rPr>
        <w:t>行为</w:t>
      </w:r>
      <w:r>
        <w:rPr>
          <w:rFonts w:hint="eastAsia" w:ascii="仿宋_GB2312" w:hAnsi="仿宋_GB2312" w:eastAsia="仿宋_GB2312" w:cs="仿宋_GB2312"/>
          <w:lang w:eastAsia="zh-CN"/>
        </w:rPr>
        <w:t>。</w:t>
      </w:r>
    </w:p>
    <w:p>
      <w:pPr>
        <w:pStyle w:val="4"/>
        <w:pageBreakBefore w:val="0"/>
        <w:shd w:val="clear" w:color="010000" w:fill="auto"/>
        <w:kinsoku/>
        <w:wordWrap/>
        <w:overflowPunct/>
        <w:topLinePunct w:val="0"/>
        <w:autoSpaceDN/>
        <w:bidi w:val="0"/>
        <w:spacing w:before="0" w:after="0" w:line="560" w:lineRule="exact"/>
        <w:ind w:firstLine="640" w:firstLineChars="200"/>
        <w:textAlignment w:val="auto"/>
        <w:rPr>
          <w:rFonts w:hint="eastAsia" w:ascii="仿宋_GB2312" w:hAnsi="仿宋_GB2312" w:eastAsia="仿宋_GB2312" w:cs="仿宋_GB2312"/>
          <w:b w:val="0"/>
        </w:rPr>
      </w:pPr>
      <w:r>
        <w:rPr>
          <w:rFonts w:hint="eastAsia" w:ascii="仿宋_GB2312" w:hAnsi="仿宋_GB2312" w:eastAsia="仿宋_GB2312" w:cs="仿宋_GB2312"/>
          <w:b w:val="0"/>
        </w:rPr>
        <w:t>2.资金使用合规性和安全性</w:t>
      </w:r>
    </w:p>
    <w:p>
      <w:pPr>
        <w:pageBreakBefore w:val="0"/>
        <w:shd w:val="clear"/>
        <w:kinsoku/>
        <w:wordWrap/>
        <w:overflowPunct/>
        <w:topLinePunct w:val="0"/>
        <w:autoSpaceDN/>
        <w:bidi w:val="0"/>
        <w:spacing w:line="560" w:lineRule="exact"/>
        <w:ind w:firstLine="642"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bCs/>
        </w:rPr>
        <w:t>资金使用和监管方面</w:t>
      </w:r>
      <w:r>
        <w:rPr>
          <w:rFonts w:hint="eastAsia" w:ascii="仿宋_GB2312" w:hAnsi="仿宋_GB2312" w:eastAsia="仿宋_GB2312" w:cs="仿宋_GB2312"/>
          <w:b/>
          <w:bCs/>
          <w:lang w:eastAsia="zh-CN"/>
        </w:rPr>
        <w:t>，</w:t>
      </w:r>
      <w:r>
        <w:rPr>
          <w:rFonts w:hint="eastAsia" w:ascii="仿宋_GB2312" w:hAnsi="仿宋_GB2312" w:eastAsia="仿宋_GB2312" w:cs="仿宋_GB2312"/>
          <w:b/>
          <w:bCs/>
          <w:lang w:val="en-US" w:eastAsia="zh-CN"/>
        </w:rPr>
        <w:t>一是</w:t>
      </w:r>
      <w:r>
        <w:rPr>
          <w:rFonts w:hint="eastAsia" w:ascii="仿宋_GB2312" w:hAnsi="仿宋_GB2312" w:eastAsia="仿宋_GB2312" w:cs="仿宋_GB2312"/>
        </w:rPr>
        <w:t>严格落实委局《预算资金管理办法》和重大支出集体研究制度，年度资金分配履行了相关报批手续，针对专项资金使用建立了专户核算、统一管理制度</w:t>
      </w:r>
      <w:r>
        <w:rPr>
          <w:rFonts w:hint="eastAsia" w:ascii="仿宋_GB2312" w:hAnsi="仿宋_GB2312" w:eastAsia="仿宋_GB2312" w:cs="仿宋_GB2312"/>
          <w:lang w:eastAsia="zh-CN"/>
        </w:rPr>
        <w:t>。</w:t>
      </w:r>
      <w:r>
        <w:rPr>
          <w:rFonts w:hint="eastAsia" w:ascii="仿宋_GB2312" w:hAnsi="仿宋_GB2312" w:eastAsia="仿宋_GB2312" w:cs="仿宋_GB2312"/>
          <w:b/>
          <w:bCs/>
          <w:lang w:val="en-US" w:eastAsia="zh-CN"/>
        </w:rPr>
        <w:t>二是</w:t>
      </w:r>
      <w:r>
        <w:rPr>
          <w:rFonts w:hint="eastAsia" w:ascii="仿宋_GB2312" w:hAnsi="仿宋_GB2312" w:eastAsia="仿宋_GB2312" w:cs="仿宋_GB2312"/>
          <w:i w:val="0"/>
          <w:iCs w:val="0"/>
          <w:caps w:val="0"/>
          <w:spacing w:val="0"/>
          <w:kern w:val="0"/>
          <w:sz w:val="32"/>
          <w:szCs w:val="32"/>
          <w:lang w:val="en-US" w:eastAsia="zh-CN" w:bidi="ar"/>
        </w:rPr>
        <w:t>强化转移支付管理，召开中央福彩公益金执行进度调度会，开展转移支付资金管理使用调研，督促各区压实项目执行主体责任。</w:t>
      </w:r>
      <w:r>
        <w:rPr>
          <w:rFonts w:hint="eastAsia" w:ascii="仿宋_GB2312" w:hAnsi="仿宋_GB2312" w:eastAsia="仿宋_GB2312" w:cs="仿宋_GB2312"/>
          <w:b/>
          <w:bCs/>
          <w:i w:val="0"/>
          <w:iCs w:val="0"/>
          <w:caps w:val="0"/>
          <w:spacing w:val="0"/>
          <w:kern w:val="0"/>
          <w:sz w:val="32"/>
          <w:szCs w:val="32"/>
          <w:lang w:val="en-US" w:eastAsia="zh-CN" w:bidi="ar"/>
        </w:rPr>
        <w:t>三是</w:t>
      </w:r>
      <w:r>
        <w:rPr>
          <w:rFonts w:hint="eastAsia" w:ascii="仿宋_GB2312" w:hAnsi="仿宋_GB2312" w:eastAsia="仿宋_GB2312" w:cs="仿宋_GB2312"/>
          <w:i w:val="0"/>
          <w:iCs w:val="0"/>
          <w:caps w:val="0"/>
          <w:spacing w:val="0"/>
          <w:kern w:val="0"/>
          <w:sz w:val="32"/>
          <w:szCs w:val="32"/>
          <w:lang w:val="en-US" w:eastAsia="zh-CN" w:bidi="ar"/>
        </w:rPr>
        <w:t>对政府购买服务、“三保”工作等开展自查自纠，夯实规范化管理基础。</w:t>
      </w:r>
      <w:r>
        <w:rPr>
          <w:rFonts w:hint="eastAsia" w:ascii="仿宋_GB2312" w:hAnsi="仿宋_GB2312" w:eastAsia="仿宋_GB2312" w:cs="仿宋_GB2312"/>
          <w:b/>
          <w:bCs/>
          <w:lang w:val="en-US" w:eastAsia="zh-CN"/>
        </w:rPr>
        <w:t>会计核算方面，</w:t>
      </w:r>
      <w:r>
        <w:rPr>
          <w:rFonts w:hint="eastAsia" w:ascii="仿宋_GB2312" w:hAnsi="仿宋_GB2312" w:eastAsia="仿宋_GB2312" w:cs="仿宋_GB2312"/>
          <w:lang w:val="en-US" w:eastAsia="zh-CN"/>
        </w:rPr>
        <w:t>对项目资金独立核算，各项会计凭证资料保存完整、装订规范。</w:t>
      </w:r>
    </w:p>
    <w:p>
      <w:pPr>
        <w:pStyle w:val="4"/>
        <w:pageBreakBefore w:val="0"/>
        <w:shd w:val="clear" w:color="010000" w:fill="auto"/>
        <w:kinsoku/>
        <w:wordWrap/>
        <w:overflowPunct/>
        <w:topLinePunct w:val="0"/>
        <w:autoSpaceDN/>
        <w:bidi w:val="0"/>
        <w:spacing w:before="0" w:after="0" w:line="560" w:lineRule="exact"/>
        <w:ind w:firstLine="640" w:firstLineChars="200"/>
        <w:textAlignment w:val="auto"/>
        <w:rPr>
          <w:rFonts w:hint="eastAsia" w:ascii="仿宋_GB2312" w:hAnsi="仿宋_GB2312" w:eastAsia="仿宋_GB2312" w:cs="仿宋_GB2312"/>
          <w:b w:val="0"/>
        </w:rPr>
      </w:pPr>
      <w:r>
        <w:rPr>
          <w:rFonts w:hint="eastAsia" w:ascii="仿宋_GB2312" w:hAnsi="仿宋_GB2312" w:eastAsia="仿宋_GB2312" w:cs="仿宋_GB2312"/>
          <w:b w:val="0"/>
        </w:rPr>
        <w:t>3.会计基础信息完善性</w:t>
      </w:r>
    </w:p>
    <w:p>
      <w:pPr>
        <w:pageBreakBefore w:val="0"/>
        <w:shd w:val="clear" w:color="000000" w:fill="auto"/>
        <w:kinsoku/>
        <w:wordWrap/>
        <w:overflowPunct/>
        <w:topLinePunct w:val="0"/>
        <w:autoSpaceDN/>
        <w:bidi w:val="0"/>
        <w:spacing w:line="560" w:lineRule="exact"/>
        <w:ind w:firstLine="642"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b/>
          <w:bCs/>
          <w:color w:val="000000"/>
          <w:highlight w:val="none"/>
        </w:rPr>
        <w:t>一是</w:t>
      </w:r>
      <w:r>
        <w:rPr>
          <w:rFonts w:hint="eastAsia" w:ascii="仿宋_GB2312" w:hAnsi="仿宋_GB2312" w:eastAsia="仿宋_GB2312" w:cs="仿宋_GB2312"/>
          <w:color w:val="000000"/>
          <w:highlight w:val="none"/>
        </w:rPr>
        <w:t>委局严格按照《行政单位会计制度》等要求编制财务资料，部门决算报表、会计记账凭证等基础数据信息和会计信息资料较为完整，未发现基础数据、会计资料不准确、不真实的情况，会计基础信息对预算管理工作能够起到支撑作用。</w:t>
      </w:r>
      <w:r>
        <w:rPr>
          <w:rFonts w:hint="eastAsia" w:ascii="仿宋_GB2312" w:hAnsi="仿宋_GB2312" w:eastAsia="仿宋_GB2312" w:cs="仿宋_GB2312"/>
          <w:b/>
          <w:bCs/>
          <w:highlight w:val="none"/>
        </w:rPr>
        <w:t>二是</w:t>
      </w:r>
      <w:r>
        <w:rPr>
          <w:rFonts w:hint="eastAsia" w:ascii="仿宋_GB2312" w:hAnsi="仿宋_GB2312" w:eastAsia="仿宋_GB2312" w:cs="仿宋_GB2312"/>
          <w:highlight w:val="none"/>
        </w:rPr>
        <w:t>为夯实财务基础，提升财务处理精准度，</w:t>
      </w:r>
      <w:r>
        <w:rPr>
          <w:rFonts w:hint="eastAsia" w:ascii="仿宋_GB2312" w:hAnsi="仿宋_GB2312" w:eastAsia="仿宋_GB2312" w:cs="仿宋_GB2312"/>
          <w:highlight w:val="none"/>
          <w:lang w:val="en-US" w:eastAsia="zh-CN"/>
        </w:rPr>
        <w:t>委局</w:t>
      </w:r>
      <w:r>
        <w:rPr>
          <w:rFonts w:hint="eastAsia" w:ascii="仿宋_GB2312" w:hAnsi="仿宋_GB2312" w:eastAsia="仿宋_GB2312" w:cs="仿宋_GB2312"/>
          <w:highlight w:val="none"/>
        </w:rPr>
        <w:t>组织所属单位于2023年1月1日正式启用市财政局预算管理一体化系统会计核算模块，开展账务处理工作，提升财务信息化水平。</w:t>
      </w:r>
    </w:p>
    <w:p>
      <w:pPr>
        <w:pStyle w:val="3"/>
        <w:pageBreakBefore w:val="0"/>
        <w:shd w:val="clear" w:color="010000" w:fill="auto"/>
        <w:kinsoku/>
        <w:wordWrap/>
        <w:overflowPunct/>
        <w:topLinePunct w:val="0"/>
        <w:autoSpaceDN/>
        <w:bidi w:val="0"/>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为加强资产管理，</w:t>
      </w:r>
      <w:r>
        <w:rPr>
          <w:rFonts w:hint="eastAsia" w:ascii="仿宋_GB2312" w:hAnsi="仿宋_GB2312" w:eastAsia="仿宋_GB2312" w:cs="仿宋_GB2312"/>
          <w:lang w:val="en-US" w:eastAsia="zh-CN"/>
        </w:rPr>
        <w:t>委局</w:t>
      </w:r>
      <w:r>
        <w:rPr>
          <w:rFonts w:hint="eastAsia" w:ascii="仿宋_GB2312" w:hAnsi="仿宋_GB2312" w:eastAsia="仿宋_GB2312" w:cs="仿宋_GB2312"/>
        </w:rPr>
        <w:t>制定了《国有资产管理暂行办法》，明确了资产管理部门及职责、资产配置、资产管理、资产处置、资产出租出借、资产评估与清查、资产信息管理与报告等相关要求。其中，计划财务处负责全局所属单位资产购置计划和购置预算及本级资产财务账的设置与管理；行政保卫处负责委局所属土地、房屋及构筑物、车辆等国有资产配置、管理、处置的审核和监督，以及全局所属单位利用土地、房屋及构筑物等资产对外投资、出租、出借等事项的审核和监督；标准与信息化处负责委局所属单位信息化项目建设过程中产生的国有资产配置、管理、处置等事项的审核与监督。</w:t>
      </w:r>
      <w:r>
        <w:rPr>
          <w:rFonts w:hint="eastAsia" w:ascii="仿宋_GB2312" w:hAnsi="仿宋_GB2312" w:eastAsia="仿宋_GB2312" w:cs="仿宋_GB2312"/>
          <w:lang w:val="en-US" w:eastAsia="zh-CN"/>
        </w:rPr>
        <w:t>2023年委局进一步细化资产管理，</w:t>
      </w:r>
      <w:r>
        <w:rPr>
          <w:rFonts w:hint="eastAsia" w:ascii="仿宋_GB2312" w:hAnsi="仿宋_GB2312" w:eastAsia="仿宋_GB2312" w:cs="仿宋_GB2312"/>
        </w:rPr>
        <w:t>会同委局综合事务中心，完成委局机关及所属7家驻楼单位的资产清查盘点</w:t>
      </w:r>
      <w:r>
        <w:rPr>
          <w:rFonts w:hint="eastAsia" w:ascii="仿宋_GB2312" w:hAnsi="仿宋_GB2312" w:eastAsia="仿宋_GB2312" w:cs="仿宋_GB2312"/>
          <w:lang w:eastAsia="zh-CN"/>
        </w:rPr>
        <w:t>，</w:t>
      </w:r>
      <w:r>
        <w:rPr>
          <w:rFonts w:hint="eastAsia" w:ascii="仿宋_GB2312" w:hAnsi="仿宋_GB2312" w:eastAsia="仿宋_GB2312" w:cs="仿宋_GB2312"/>
        </w:rPr>
        <w:t>在</w:t>
      </w:r>
      <w:r>
        <w:rPr>
          <w:rFonts w:hint="eastAsia" w:ascii="仿宋_GB2312" w:hAnsi="仿宋_GB2312" w:eastAsia="仿宋_GB2312" w:cs="仿宋_GB2312"/>
          <w:lang w:val="en-US" w:eastAsia="zh-CN"/>
        </w:rPr>
        <w:t>此</w:t>
      </w:r>
      <w:r>
        <w:rPr>
          <w:rFonts w:hint="eastAsia" w:ascii="仿宋_GB2312" w:hAnsi="仿宋_GB2312" w:eastAsia="仿宋_GB2312" w:cs="仿宋_GB2312"/>
        </w:rPr>
        <w:t>基础上，对资产进行全面梳理、分类，按照搬迁资产、调拨资产及处置资产三类进行分类管理</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提高了资产管理、使用的合规性、安全性。</w:t>
      </w:r>
    </w:p>
    <w:p>
      <w:pPr>
        <w:pStyle w:val="3"/>
        <w:keepNext w:val="0"/>
        <w:keepLines w:val="0"/>
        <w:pageBreakBefore w:val="0"/>
        <w:widowControl w:val="0"/>
        <w:kinsoku/>
        <w:wordWrap/>
        <w:overflowPunct/>
        <w:topLinePunct w:val="0"/>
        <w:autoSpaceDN/>
        <w:bidi w:val="0"/>
        <w:adjustRightInd/>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rPr>
      </w:pPr>
      <w:r>
        <w:rPr>
          <w:rFonts w:hint="eastAsia" w:ascii="仿宋_GB2312" w:hAnsi="仿宋_GB2312" w:eastAsia="仿宋_GB2312" w:cs="仿宋_GB2312"/>
        </w:rPr>
        <w:t>2023年委局</w:t>
      </w:r>
      <w:r>
        <w:rPr>
          <w:rFonts w:hint="eastAsia" w:ascii="仿宋_GB2312" w:hAnsi="仿宋_GB2312" w:eastAsia="仿宋_GB2312" w:cs="仿宋_GB2312"/>
          <w:lang w:val="en-US" w:eastAsia="zh-CN"/>
        </w:rPr>
        <w:t>进一步</w:t>
      </w:r>
      <w:r>
        <w:rPr>
          <w:rFonts w:hint="eastAsia" w:ascii="仿宋_GB2312" w:hAnsi="仿宋_GB2312" w:eastAsia="仿宋_GB2312" w:cs="仿宋_GB2312"/>
        </w:rPr>
        <w:t>压实绩效监督责任</w:t>
      </w:r>
      <w:r>
        <w:rPr>
          <w:rFonts w:hint="eastAsia" w:ascii="仿宋_GB2312" w:hAnsi="仿宋_GB2312" w:eastAsia="仿宋_GB2312" w:cs="仿宋_GB2312"/>
          <w:lang w:eastAsia="zh-CN"/>
        </w:rPr>
        <w:t>，深化绩效管理。</w:t>
      </w:r>
      <w:r>
        <w:rPr>
          <w:rFonts w:hint="eastAsia" w:ascii="仿宋_GB2312" w:hAnsi="仿宋_GB2312" w:eastAsia="仿宋_GB2312" w:cs="仿宋_GB2312"/>
          <w:b/>
          <w:bCs/>
          <w:spacing w:val="-4"/>
        </w:rPr>
        <w:t>一是完成部门整体“全方位”绩效评价。</w:t>
      </w:r>
      <w:r>
        <w:rPr>
          <w:rFonts w:hint="eastAsia" w:ascii="仿宋_GB2312" w:hAnsi="仿宋_GB2312" w:eastAsia="仿宋_GB2312" w:cs="仿宋_GB2312"/>
        </w:rPr>
        <w:t>围绕2022年部门预算执行、整体绩效目标实现和预算管理情况开展整体自评，范围覆盖委局机关31个职能处室及所属15家预算单位。</w:t>
      </w:r>
      <w:r>
        <w:rPr>
          <w:rFonts w:hint="eastAsia" w:ascii="仿宋_GB2312" w:hAnsi="仿宋_GB2312" w:eastAsia="仿宋_GB2312" w:cs="仿宋_GB2312"/>
          <w:b/>
          <w:bCs/>
        </w:rPr>
        <w:t>二是加强项目支出“全过程”绩效评价。</w:t>
      </w:r>
      <w:r>
        <w:rPr>
          <w:rFonts w:hint="eastAsia" w:ascii="仿宋_GB2312" w:hAnsi="仿宋_GB2312" w:eastAsia="仿宋_GB2312" w:cs="仿宋_GB2312"/>
        </w:rPr>
        <w:t>完成委局2023年预算项目绩效目标审核；对委局2022年128个符合条件的</w:t>
      </w:r>
      <w:r>
        <w:rPr>
          <w:rFonts w:hint="eastAsia" w:ascii="仿宋_GB2312" w:hAnsi="仿宋_GB2312" w:eastAsia="仿宋_GB2312" w:cs="仿宋_GB2312"/>
          <w:spacing w:val="-4"/>
        </w:rPr>
        <w:t>预算项目开展“全覆盖”绩效自评，并对“社会办养老机构床位运营补贴项目”开展重点绩效评价。</w:t>
      </w:r>
      <w:r>
        <w:rPr>
          <w:rFonts w:hint="eastAsia" w:ascii="仿宋_GB2312" w:hAnsi="仿宋_GB2312" w:eastAsia="仿宋_GB2312" w:cs="仿宋_GB2312"/>
          <w:b/>
          <w:bCs/>
        </w:rPr>
        <w:t>三是深化转移支付资金“全覆盖”绩效管理。</w:t>
      </w:r>
      <w:r>
        <w:rPr>
          <w:rFonts w:hint="eastAsia" w:ascii="仿宋_GB2312" w:hAnsi="仿宋_GB2312" w:eastAsia="仿宋_GB2312" w:cs="仿宋_GB2312"/>
          <w:spacing w:val="-4"/>
        </w:rPr>
        <w:t>组织对覆盖16区的2022年“中央财政困难群众救助补助资金”以及“中央福利彩票公益金”开展绩效自评；完成2022年“养老服务事业补助、市级福利彩票公益金、残疾人事业补助、民政等应急救济补助”市对区转移支付资金绩效自评；强化中央直达资金管理，对东城、房山等5个区中央困难群众救助补助资金开展重点绩效评价。</w:t>
      </w:r>
      <w:r>
        <w:rPr>
          <w:rFonts w:hint="eastAsia" w:ascii="仿宋_GB2312" w:hAnsi="仿宋_GB2312" w:eastAsia="仿宋_GB2312" w:cs="仿宋_GB2312"/>
          <w:b/>
        </w:rPr>
        <w:t>四是推进</w:t>
      </w:r>
      <w:r>
        <w:rPr>
          <w:rFonts w:hint="eastAsia" w:ascii="仿宋_GB2312" w:hAnsi="仿宋_GB2312" w:eastAsia="仿宋_GB2312" w:cs="仿宋_GB2312"/>
          <w:b/>
          <w:bCs/>
          <w:spacing w:val="-4"/>
        </w:rPr>
        <w:t>控本增效的“全成本”绩效分析。</w:t>
      </w:r>
      <w:r>
        <w:rPr>
          <w:rFonts w:hint="eastAsia" w:ascii="仿宋_GB2312" w:hAnsi="仿宋_GB2312" w:eastAsia="仿宋_GB2312" w:cs="仿宋_GB2312"/>
          <w:kern w:val="0"/>
        </w:rPr>
        <w:t>按照</w:t>
      </w:r>
      <w:r>
        <w:rPr>
          <w:rFonts w:hint="eastAsia" w:ascii="仿宋_GB2312" w:hAnsi="仿宋_GB2312" w:eastAsia="仿宋_GB2312" w:cs="仿宋_GB2312"/>
        </w:rPr>
        <w:t>市财政局</w:t>
      </w:r>
      <w:r>
        <w:rPr>
          <w:rFonts w:hint="eastAsia" w:ascii="仿宋_GB2312" w:hAnsi="仿宋_GB2312" w:eastAsia="仿宋_GB2312" w:cs="仿宋_GB2312"/>
          <w:kern w:val="0"/>
        </w:rPr>
        <w:t>要求，配合福利处对残疾人两项补贴政策开展成本绩效分析，为下一步政策优化提供借鉴。</w:t>
      </w:r>
    </w:p>
    <w:p>
      <w:pPr>
        <w:pStyle w:val="3"/>
        <w:bidi w:val="0"/>
        <w:rPr>
          <w:rFonts w:hint="eastAsia" w:ascii="楷体_GB2312" w:hAnsi="楷体_GB2312" w:eastAsia="楷体_GB2312" w:cs="楷体_GB2312"/>
          <w:highlight w:val="none"/>
        </w:rPr>
      </w:pPr>
      <w:r>
        <w:rPr>
          <w:rFonts w:hint="eastAsia" w:ascii="楷体_GB2312" w:hAnsi="楷体_GB2312" w:eastAsia="楷体_GB2312" w:cs="楷体_GB2312"/>
          <w:highlight w:val="none"/>
        </w:rPr>
        <w:t>（四）结转结余率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2023年部门年末结转结余资金总额为5,071.80万元，全年支出预算数为76,646.09万元，资金结转结余率为6.62%。</w:t>
      </w:r>
    </w:p>
    <w:p>
      <w:pPr>
        <w:pStyle w:val="3"/>
        <w:keepNext w:val="0"/>
        <w:keepLines w:val="0"/>
        <w:pageBreakBefore w:val="0"/>
        <w:widowControl w:val="0"/>
        <w:kinsoku/>
        <w:wordWrap/>
        <w:overflowPunct/>
        <w:topLinePunct w:val="0"/>
        <w:autoSpaceDE/>
        <w:autoSpaceDN/>
        <w:bidi w:val="0"/>
        <w:adjustRightInd/>
        <w:snapToGrid/>
        <w:textAlignment w:val="auto"/>
        <w:rPr>
          <w:rFonts w:hint="eastAsia" w:ascii="楷体_GB2312" w:hAnsi="楷体_GB2312" w:eastAsia="楷体_GB2312" w:cs="楷体_GB2312"/>
          <w:highlight w:val="none"/>
        </w:rPr>
      </w:pPr>
      <w:r>
        <w:rPr>
          <w:rFonts w:hint="eastAsia" w:ascii="楷体_GB2312" w:hAnsi="楷体_GB2312" w:eastAsia="楷体_GB2312" w:cs="楷体_GB2312"/>
          <w:highlight w:val="none"/>
        </w:rPr>
        <w:t>（五）部门预决算差异率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2023年部门年初预算数为79,919.81万元，年度决算数为76,120.97万元，预决算差异率为4.75%，低于全市平均水平。</w:t>
      </w:r>
    </w:p>
    <w:p>
      <w:pPr>
        <w:pStyle w:val="2"/>
        <w:keepNext w:val="0"/>
        <w:keepLines w:val="0"/>
        <w:pageBreakBefore w:val="0"/>
        <w:widowControl w:val="0"/>
        <w:shd w:val="clear" w:color="010000" w:fill="auto"/>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cs="Times New Roman Regular"/>
          <w:bCs/>
          <w:color w:val="auto"/>
          <w:kern w:val="44"/>
          <w:szCs w:val="44"/>
          <w:highlight w:val="none"/>
        </w:rPr>
      </w:pPr>
      <w:r>
        <w:rPr>
          <w:rFonts w:hint="default" w:ascii="Times New Roman Regular" w:hAnsi="Times New Roman Regular" w:cs="Times New Roman Regular"/>
          <w:bCs/>
          <w:color w:val="auto"/>
          <w:kern w:val="44"/>
          <w:szCs w:val="44"/>
          <w:highlight w:val="none"/>
        </w:rPr>
        <w:t>五、总体评价结论</w:t>
      </w:r>
    </w:p>
    <w:p>
      <w:pPr>
        <w:pStyle w:val="3"/>
        <w:keepNext w:val="0"/>
        <w:keepLines w:val="0"/>
        <w:pageBreakBefore w:val="0"/>
        <w:widowControl w:val="0"/>
        <w:shd w:val="clear" w:color="010000" w:fill="auto"/>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rPr>
      </w:pPr>
      <w:r>
        <w:rPr>
          <w:rFonts w:hint="eastAsia" w:ascii="楷体_GB2312" w:hAnsi="楷体_GB2312" w:eastAsia="楷体_GB2312" w:cs="楷体_GB2312"/>
        </w:rPr>
        <w:t>（一）评价得分情况</w:t>
      </w:r>
    </w:p>
    <w:p>
      <w:pPr>
        <w:keepNext w:val="0"/>
        <w:keepLines w:val="0"/>
        <w:pageBreakBefore w:val="0"/>
        <w:widowControl w:val="0"/>
        <w:shd w:val="clear" w:color="000000" w:fill="auto"/>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rPr>
        <w:t>2023年委局部门整体绩效评价得分</w:t>
      </w:r>
      <w:r>
        <w:rPr>
          <w:rFonts w:hint="eastAsia" w:ascii="仿宋_GB2312" w:hAnsi="仿宋_GB2312" w:eastAsia="仿宋_GB2312" w:cs="仿宋_GB2312"/>
          <w:color w:val="auto"/>
          <w:highlight w:val="none"/>
        </w:rPr>
        <w:t>为</w:t>
      </w:r>
      <w:r>
        <w:rPr>
          <w:rFonts w:hint="eastAsia" w:ascii="仿宋_GB2312" w:hAnsi="仿宋_GB2312" w:eastAsia="仿宋_GB2312" w:cs="仿宋_GB2312"/>
          <w:color w:val="auto"/>
          <w:highlight w:val="none"/>
          <w:lang w:val="en-US" w:eastAsia="zh-CN"/>
        </w:rPr>
        <w:t>96.94</w:t>
      </w:r>
      <w:r>
        <w:rPr>
          <w:rFonts w:hint="eastAsia" w:ascii="仿宋_GB2312" w:hAnsi="仿宋_GB2312" w:eastAsia="仿宋_GB2312" w:cs="仿宋_GB2312"/>
          <w:color w:val="auto"/>
          <w:highlight w:val="none"/>
        </w:rPr>
        <w:t>分，综合评价等级为“优”，各一级指标得分情况如下表所示：</w:t>
      </w:r>
    </w:p>
    <w:p>
      <w:pPr>
        <w:shd w:val="clear" w:color="000000" w:fill="auto"/>
        <w:adjustRightInd w:val="0"/>
        <w:snapToGrid w:val="0"/>
        <w:spacing w:before="219" w:beforeLines="50" w:after="221" w:afterLines="50" w:line="0" w:lineRule="atLeas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表7  2023年部门整体绩效得分情况表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4"/>
        <w:gridCol w:w="1377"/>
        <w:gridCol w:w="1344"/>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Header/>
          <w:jc w:val="center"/>
        </w:trPr>
        <w:tc>
          <w:tcPr>
            <w:tcW w:w="2874" w:type="dxa"/>
            <w:vAlign w:val="center"/>
          </w:tcPr>
          <w:p>
            <w:pPr>
              <w:widowControl/>
              <w:shd w:val="clear" w:color="010000" w:fill="auto"/>
              <w:spacing w:line="0" w:lineRule="atLeast"/>
              <w:jc w:val="center"/>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一级指标</w:t>
            </w:r>
          </w:p>
        </w:tc>
        <w:tc>
          <w:tcPr>
            <w:tcW w:w="1377" w:type="dxa"/>
            <w:vAlign w:val="center"/>
          </w:tcPr>
          <w:p>
            <w:pPr>
              <w:widowControl/>
              <w:shd w:val="clear" w:color="010000" w:fill="auto"/>
              <w:spacing w:line="0" w:lineRule="atLeast"/>
              <w:jc w:val="center"/>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分值</w:t>
            </w:r>
          </w:p>
        </w:tc>
        <w:tc>
          <w:tcPr>
            <w:tcW w:w="1344" w:type="dxa"/>
            <w:vAlign w:val="center"/>
          </w:tcPr>
          <w:p>
            <w:pPr>
              <w:widowControl/>
              <w:shd w:val="clear" w:color="010000" w:fill="auto"/>
              <w:spacing w:line="0" w:lineRule="atLeast"/>
              <w:jc w:val="center"/>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得分</w:t>
            </w:r>
          </w:p>
        </w:tc>
        <w:tc>
          <w:tcPr>
            <w:tcW w:w="1395" w:type="dxa"/>
            <w:vAlign w:val="center"/>
          </w:tcPr>
          <w:p>
            <w:pPr>
              <w:widowControl/>
              <w:shd w:val="clear" w:color="010000" w:fill="auto"/>
              <w:spacing w:line="0" w:lineRule="atLeast"/>
              <w:jc w:val="center"/>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当年预算执行情况</w:t>
            </w:r>
          </w:p>
        </w:tc>
        <w:tc>
          <w:tcPr>
            <w:tcW w:w="1377"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20</w:t>
            </w:r>
          </w:p>
        </w:tc>
        <w:tc>
          <w:tcPr>
            <w:tcW w:w="134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18.54</w:t>
            </w:r>
          </w:p>
        </w:tc>
        <w:tc>
          <w:tcPr>
            <w:tcW w:w="1395" w:type="dxa"/>
            <w:vAlign w:val="center"/>
          </w:tcPr>
          <w:p>
            <w:pPr>
              <w:keepNext w:val="0"/>
              <w:keepLines w:val="0"/>
              <w:widowControl/>
              <w:suppressLineNumbers w:val="0"/>
              <w:spacing w:line="0" w:lineRule="atLeast"/>
              <w:jc w:val="center"/>
              <w:textAlignment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整体绩效目标实现情况</w:t>
            </w:r>
          </w:p>
        </w:tc>
        <w:tc>
          <w:tcPr>
            <w:tcW w:w="1377"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60</w:t>
            </w:r>
          </w:p>
        </w:tc>
        <w:tc>
          <w:tcPr>
            <w:tcW w:w="134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59.51</w:t>
            </w:r>
          </w:p>
        </w:tc>
        <w:tc>
          <w:tcPr>
            <w:tcW w:w="1395" w:type="dxa"/>
            <w:vAlign w:val="center"/>
          </w:tcPr>
          <w:p>
            <w:pPr>
              <w:keepNext w:val="0"/>
              <w:keepLines w:val="0"/>
              <w:widowControl/>
              <w:suppressLineNumbers w:val="0"/>
              <w:spacing w:line="0" w:lineRule="atLeast"/>
              <w:jc w:val="center"/>
              <w:textAlignment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预算管理情况</w:t>
            </w:r>
          </w:p>
        </w:tc>
        <w:tc>
          <w:tcPr>
            <w:tcW w:w="1377"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20</w:t>
            </w:r>
          </w:p>
        </w:tc>
        <w:tc>
          <w:tcPr>
            <w:tcW w:w="134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18.89</w:t>
            </w:r>
          </w:p>
        </w:tc>
        <w:tc>
          <w:tcPr>
            <w:tcW w:w="1395" w:type="dxa"/>
            <w:vAlign w:val="center"/>
          </w:tcPr>
          <w:p>
            <w:pPr>
              <w:keepNext w:val="0"/>
              <w:keepLines w:val="0"/>
              <w:widowControl/>
              <w:suppressLineNumbers w:val="0"/>
              <w:spacing w:line="0" w:lineRule="atLeast"/>
              <w:jc w:val="center"/>
              <w:textAlignment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合计</w:t>
            </w:r>
          </w:p>
        </w:tc>
        <w:tc>
          <w:tcPr>
            <w:tcW w:w="1377"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100</w:t>
            </w:r>
          </w:p>
        </w:tc>
        <w:tc>
          <w:tcPr>
            <w:tcW w:w="1344" w:type="dxa"/>
            <w:vAlign w:val="center"/>
          </w:tcPr>
          <w:p>
            <w:pPr>
              <w:widowControl/>
              <w:shd w:val="clear" w:color="010000" w:fill="auto"/>
              <w:spacing w:line="0" w:lineRule="atLeast"/>
              <w:jc w:val="center"/>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96.94</w:t>
            </w:r>
          </w:p>
        </w:tc>
        <w:tc>
          <w:tcPr>
            <w:tcW w:w="1395" w:type="dxa"/>
            <w:vAlign w:val="center"/>
          </w:tcPr>
          <w:p>
            <w:pPr>
              <w:keepNext w:val="0"/>
              <w:keepLines w:val="0"/>
              <w:widowControl/>
              <w:suppressLineNumbers w:val="0"/>
              <w:spacing w:line="0" w:lineRule="atLeast"/>
              <w:jc w:val="center"/>
              <w:textAlignment w:val="cente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96.94%</w:t>
            </w:r>
          </w:p>
        </w:tc>
      </w:tr>
    </w:tbl>
    <w:p>
      <w:pPr>
        <w:pStyle w:val="3"/>
        <w:keepNext/>
        <w:keepLines/>
        <w:pageBreakBefore w:val="0"/>
        <w:widowControl w:val="0"/>
        <w:shd w:val="clear" w:color="010000" w:fill="auto"/>
        <w:kinsoku/>
        <w:wordWrap/>
        <w:overflowPunct/>
        <w:topLinePunct w:val="0"/>
        <w:autoSpaceDE/>
        <w:autoSpaceDN/>
        <w:bidi w:val="0"/>
        <w:adjustRightInd/>
        <w:snapToGrid/>
        <w:spacing w:before="0" w:beforeLines="0"/>
        <w:ind w:firstLine="640"/>
        <w:textAlignment w:val="auto"/>
        <w:rPr>
          <w:rFonts w:hint="eastAsia" w:ascii="楷体_GB2312" w:hAnsi="楷体_GB2312" w:eastAsia="楷体_GB2312" w:cs="楷体_GB2312"/>
          <w:highlight w:val="none"/>
        </w:rPr>
      </w:pPr>
      <w:r>
        <w:rPr>
          <w:rFonts w:hint="eastAsia" w:ascii="楷体_GB2312" w:hAnsi="楷体_GB2312" w:eastAsia="楷体_GB2312" w:cs="楷体_GB2312"/>
          <w:highlight w:val="none"/>
        </w:rPr>
        <w:t>（二）存在的问题及原因分析</w:t>
      </w:r>
    </w:p>
    <w:p>
      <w:pPr>
        <w:keepNext w:val="0"/>
        <w:keepLines w:val="0"/>
        <w:widowControl w:val="0"/>
        <w:suppressLineNumbers w:val="0"/>
        <w:spacing w:before="0" w:beforeLines="0" w:beforeAutospacing="0" w:after="0" w:afterAutospacing="0" w:line="560" w:lineRule="exact"/>
        <w:ind w:left="0" w:leftChars="0" w:right="0" w:firstLine="640" w:firstLineChars="200"/>
        <w:jc w:val="both"/>
        <w:rPr>
          <w:rFonts w:hint="eastAsia" w:ascii="仿宋_GB2312" w:hAnsi="仿宋_GB2312" w:eastAsia="仿宋_GB2312" w:cs="仿宋_GB2312"/>
          <w:b w:val="0"/>
          <w:bCs w:val="0"/>
          <w:kern w:val="2"/>
          <w:sz w:val="32"/>
          <w:szCs w:val="32"/>
          <w:lang w:val="en-US" w:eastAsia="zh-CN" w:bidi="ar"/>
        </w:rPr>
      </w:pPr>
      <w:r>
        <w:rPr>
          <w:rFonts w:hint="eastAsia" w:ascii="仿宋_GB2312" w:hAnsi="仿宋_GB2312" w:eastAsia="仿宋_GB2312" w:cs="仿宋_GB2312"/>
          <w:b w:val="0"/>
          <w:bCs w:val="0"/>
          <w:highlight w:val="none"/>
          <w:lang w:val="en-US" w:eastAsia="zh-CN"/>
        </w:rPr>
        <w:t>资金结转结余率较上一年度</w:t>
      </w:r>
      <w:r>
        <w:rPr>
          <w:rFonts w:hint="eastAsia" w:ascii="仿宋_GB2312" w:hAnsi="仿宋_GB2312" w:eastAsia="仿宋_GB2312" w:cs="仿宋_GB2312"/>
          <w:b w:val="0"/>
          <w:bCs w:val="0"/>
          <w:lang w:val="en-US" w:eastAsia="zh-CN"/>
        </w:rPr>
        <w:t>有所</w:t>
      </w:r>
      <w:r>
        <w:rPr>
          <w:rFonts w:hint="eastAsia" w:ascii="仿宋_GB2312" w:hAnsi="仿宋_GB2312" w:eastAsia="仿宋_GB2312" w:cs="仿宋_GB2312"/>
          <w:b w:val="0"/>
          <w:bCs w:val="0"/>
          <w:highlight w:val="none"/>
          <w:lang w:val="en-US" w:eastAsia="zh-CN"/>
        </w:rPr>
        <w:t>增加。</w:t>
      </w:r>
      <w:r>
        <w:rPr>
          <w:rFonts w:hint="eastAsia" w:ascii="仿宋_GB2312" w:hAnsi="仿宋_GB2312" w:eastAsia="仿宋_GB2312" w:cs="仿宋_GB2312"/>
          <w:b w:val="0"/>
          <w:bCs w:val="0"/>
          <w:highlight w:val="none"/>
          <w:lang w:val="en-US" w:eastAsia="zh-CN" w:bidi="ar"/>
        </w:rPr>
        <w:t>主要原因：一是</w:t>
      </w:r>
      <w:r>
        <w:rPr>
          <w:rFonts w:hint="eastAsia" w:cs="仿宋_GB2312"/>
          <w:b w:val="0"/>
          <w:bCs w:val="0"/>
          <w:highlight w:val="none"/>
          <w:lang w:val="en-US" w:eastAsia="zh-CN" w:bidi="ar"/>
        </w:rPr>
        <w:t>落实政府过紧日子要求，严控三公经费等一般性支出，形成结余。</w:t>
      </w:r>
      <w:r>
        <w:rPr>
          <w:rFonts w:hint="eastAsia" w:ascii="仿宋_GB2312" w:hAnsi="仿宋_GB2312" w:eastAsia="仿宋_GB2312" w:cs="仿宋_GB2312"/>
          <w:b w:val="0"/>
          <w:bCs w:val="0"/>
          <w:lang w:val="en-US" w:eastAsia="zh-CN" w:bidi="ar"/>
        </w:rPr>
        <w:t>二是</w:t>
      </w:r>
      <w:r>
        <w:rPr>
          <w:rFonts w:hint="eastAsia" w:cs="仿宋_GB2312"/>
          <w:b w:val="0"/>
          <w:bCs w:val="0"/>
          <w:lang w:val="en-US" w:eastAsia="zh-CN" w:bidi="ar"/>
        </w:rPr>
        <w:t>受人员调整变动等客观因素影响，基本经费、应急保障经费具有不确定性和临时性。三是个别项目因工作任务调整、业务发生变化等，不具备执行条件。</w:t>
      </w:r>
    </w:p>
    <w:p>
      <w:pPr>
        <w:pStyle w:val="2"/>
        <w:shd w:val="clear" w:color="010000" w:fill="auto"/>
        <w:spacing w:beforeLines="0" w:line="560" w:lineRule="exact"/>
        <w:ind w:firstLineChars="200"/>
        <w:rPr>
          <w:rFonts w:hint="default" w:ascii="Times New Roman Regular" w:hAnsi="Times New Roman Regular" w:cs="Times New Roman Regular"/>
          <w:bCs/>
          <w:color w:val="auto"/>
          <w:kern w:val="44"/>
          <w:szCs w:val="44"/>
        </w:rPr>
      </w:pPr>
      <w:r>
        <w:rPr>
          <w:rFonts w:hint="default" w:ascii="Times New Roman Regular" w:hAnsi="Times New Roman Regular" w:cs="Times New Roman Regular"/>
          <w:bCs/>
          <w:color w:val="auto"/>
          <w:kern w:val="44"/>
          <w:szCs w:val="44"/>
        </w:rPr>
        <w:t>六、措施建议</w:t>
      </w:r>
    </w:p>
    <w:p>
      <w:pPr>
        <w:keepNext w:val="0"/>
        <w:keepLines w:val="0"/>
        <w:shd w:val="clear" w:color="000000" w:fill="auto"/>
        <w:spacing w:beforeLines="0" w:line="560" w:lineRule="exact"/>
        <w:ind w:firstLine="640" w:firstLineChars="200"/>
        <w:rPr>
          <w:rFonts w:hint="eastAsia" w:ascii="仿宋_GB2312" w:hAnsi="仿宋_GB2312" w:eastAsia="仿宋_GB2312" w:cs="仿宋_GB2312"/>
          <w:b w:val="0"/>
          <w:bCs w:val="0"/>
          <w:u w:val="none"/>
        </w:rPr>
      </w:pPr>
      <w:bookmarkStart w:id="2" w:name="_Toc103006301"/>
      <w:r>
        <w:rPr>
          <w:rFonts w:hint="eastAsia" w:ascii="仿宋_GB2312" w:hAnsi="仿宋_GB2312" w:eastAsia="仿宋_GB2312" w:cs="仿宋_GB2312"/>
          <w:b w:val="0"/>
          <w:bCs w:val="0"/>
          <w:u w:val="none"/>
          <w:lang w:eastAsia="zh-CN"/>
        </w:rPr>
        <w:t>持续</w:t>
      </w:r>
      <w:r>
        <w:rPr>
          <w:rFonts w:hint="eastAsia" w:ascii="仿宋_GB2312" w:hAnsi="仿宋_GB2312" w:eastAsia="仿宋_GB2312" w:cs="仿宋_GB2312"/>
          <w:b w:val="0"/>
          <w:bCs w:val="0"/>
          <w:u w:val="none"/>
        </w:rPr>
        <w:t>引导项目</w:t>
      </w:r>
      <w:r>
        <w:rPr>
          <w:rFonts w:hint="eastAsia" w:ascii="仿宋_GB2312" w:hAnsi="仿宋_GB2312" w:eastAsia="仿宋_GB2312" w:cs="仿宋_GB2312"/>
          <w:b w:val="0"/>
          <w:bCs w:val="0"/>
          <w:u w:val="none"/>
          <w:lang w:eastAsia="zh-CN"/>
        </w:rPr>
        <w:t>处室（</w:t>
      </w:r>
      <w:r>
        <w:rPr>
          <w:rFonts w:hint="eastAsia" w:ascii="仿宋_GB2312" w:hAnsi="仿宋_GB2312" w:eastAsia="仿宋_GB2312" w:cs="仿宋_GB2312"/>
          <w:b w:val="0"/>
          <w:bCs w:val="0"/>
          <w:u w:val="none"/>
        </w:rPr>
        <w:t>单位</w:t>
      </w:r>
      <w:r>
        <w:rPr>
          <w:rFonts w:hint="eastAsia" w:ascii="仿宋_GB2312" w:hAnsi="仿宋_GB2312" w:eastAsia="仿宋_GB2312" w:cs="仿宋_GB2312"/>
          <w:b w:val="0"/>
          <w:bCs w:val="0"/>
          <w:u w:val="none"/>
          <w:lang w:eastAsia="zh-CN"/>
        </w:rPr>
        <w:t>）</w:t>
      </w:r>
      <w:r>
        <w:rPr>
          <w:rFonts w:hint="eastAsia" w:ascii="仿宋_GB2312" w:hAnsi="仿宋_GB2312" w:eastAsia="仿宋_GB2312" w:cs="仿宋_GB2312"/>
          <w:b w:val="0"/>
          <w:bCs w:val="0"/>
          <w:u w:val="none"/>
        </w:rPr>
        <w:t>进一步履行</w:t>
      </w:r>
      <w:r>
        <w:rPr>
          <w:rFonts w:hint="eastAsia" w:ascii="仿宋_GB2312" w:hAnsi="仿宋_GB2312" w:eastAsia="仿宋_GB2312" w:cs="仿宋_GB2312"/>
          <w:b w:val="0"/>
          <w:bCs w:val="0"/>
          <w:u w:val="none"/>
          <w:lang w:eastAsia="zh-CN"/>
        </w:rPr>
        <w:t>预算绩效管理</w:t>
      </w:r>
      <w:r>
        <w:rPr>
          <w:rFonts w:hint="eastAsia" w:ascii="仿宋_GB2312" w:hAnsi="仿宋_GB2312" w:eastAsia="仿宋_GB2312" w:cs="仿宋_GB2312"/>
          <w:b w:val="0"/>
          <w:bCs w:val="0"/>
          <w:u w:val="none"/>
        </w:rPr>
        <w:t>主体责任</w:t>
      </w:r>
      <w:r>
        <w:rPr>
          <w:rFonts w:hint="eastAsia" w:ascii="仿宋_GB2312" w:hAnsi="仿宋_GB2312" w:eastAsia="仿宋_GB2312" w:cs="仿宋_GB2312"/>
          <w:b w:val="0"/>
          <w:bCs w:val="0"/>
          <w:u w:val="none"/>
          <w:lang w:eastAsia="zh-CN"/>
        </w:rPr>
        <w:t>，结合工作实际，</w:t>
      </w:r>
      <w:r>
        <w:rPr>
          <w:rFonts w:hint="eastAsia" w:ascii="仿宋_GB2312" w:hAnsi="仿宋_GB2312" w:eastAsia="仿宋_GB2312" w:cs="仿宋_GB2312"/>
          <w:b w:val="0"/>
          <w:bCs w:val="0"/>
        </w:rPr>
        <w:t>对遇</w:t>
      </w:r>
      <w:r>
        <w:rPr>
          <w:rFonts w:hint="eastAsia" w:cs="仿宋_GB2312"/>
          <w:b w:val="0"/>
          <w:bCs w:val="0"/>
          <w:lang w:eastAsia="zh-CN"/>
        </w:rPr>
        <w:t>客观因素确</w:t>
      </w:r>
      <w:r>
        <w:rPr>
          <w:rFonts w:hint="eastAsia" w:ascii="仿宋_GB2312" w:hAnsi="仿宋_GB2312" w:eastAsia="仿宋_GB2312" w:cs="仿宋_GB2312"/>
          <w:b w:val="0"/>
          <w:bCs w:val="0"/>
        </w:rPr>
        <w:t>需调整</w:t>
      </w:r>
      <w:r>
        <w:rPr>
          <w:rFonts w:hint="eastAsia" w:cs="仿宋_GB2312"/>
          <w:b w:val="0"/>
          <w:bCs w:val="0"/>
          <w:lang w:eastAsia="zh-CN"/>
        </w:rPr>
        <w:t>的</w:t>
      </w:r>
      <w:r>
        <w:rPr>
          <w:rFonts w:hint="eastAsia" w:ascii="仿宋_GB2312" w:hAnsi="仿宋_GB2312" w:eastAsia="仿宋_GB2312" w:cs="仿宋_GB2312"/>
          <w:b w:val="0"/>
          <w:bCs w:val="0"/>
        </w:rPr>
        <w:t>，由项目单位提出申请，</w:t>
      </w:r>
      <w:r>
        <w:rPr>
          <w:rFonts w:hint="eastAsia" w:ascii="仿宋_GB2312" w:hAnsi="仿宋_GB2312" w:eastAsia="仿宋_GB2312" w:cs="仿宋_GB2312"/>
          <w:b w:val="0"/>
          <w:bCs w:val="0"/>
          <w:u w:val="none"/>
        </w:rPr>
        <w:t>及时履行</w:t>
      </w:r>
      <w:r>
        <w:rPr>
          <w:rFonts w:hint="eastAsia" w:ascii="仿宋_GB2312" w:hAnsi="仿宋_GB2312" w:eastAsia="仿宋_GB2312" w:cs="仿宋_GB2312"/>
          <w:b w:val="0"/>
          <w:bCs w:val="0"/>
          <w:u w:val="none"/>
          <w:lang w:eastAsia="zh-CN"/>
        </w:rPr>
        <w:t>项目预算和绩效目标</w:t>
      </w:r>
      <w:r>
        <w:rPr>
          <w:rFonts w:hint="eastAsia" w:ascii="仿宋_GB2312" w:hAnsi="仿宋_GB2312" w:eastAsia="仿宋_GB2312" w:cs="仿宋_GB2312"/>
          <w:b w:val="0"/>
          <w:bCs w:val="0"/>
          <w:u w:val="none"/>
        </w:rPr>
        <w:t>调整程序，</w:t>
      </w:r>
      <w:r>
        <w:rPr>
          <w:rFonts w:hint="eastAsia" w:ascii="仿宋_GB2312" w:hAnsi="仿宋_GB2312" w:eastAsia="仿宋_GB2312" w:cs="仿宋_GB2312"/>
          <w:b w:val="0"/>
          <w:bCs w:val="0"/>
          <w:u w:val="none"/>
          <w:lang w:eastAsia="zh-CN"/>
        </w:rPr>
        <w:t>提升资金使用效率和效益，</w:t>
      </w:r>
      <w:r>
        <w:rPr>
          <w:rFonts w:hint="eastAsia" w:ascii="仿宋_GB2312" w:hAnsi="仿宋_GB2312" w:eastAsia="仿宋_GB2312" w:cs="仿宋_GB2312"/>
          <w:b w:val="0"/>
          <w:bCs w:val="0"/>
          <w:u w:val="none"/>
        </w:rPr>
        <w:t>确保财政资金高质量运转。</w:t>
      </w:r>
    </w:p>
    <w:p>
      <w:pPr>
        <w:pStyle w:val="2"/>
        <w:keepNext/>
        <w:keepLines/>
        <w:shd w:val="clear" w:color="010000" w:fill="auto"/>
        <w:spacing w:beforeLines="0" w:line="560" w:lineRule="exact"/>
        <w:ind w:firstLineChars="200"/>
        <w:rPr>
          <w:rFonts w:hint="default" w:ascii="Times New Roman Regular" w:hAnsi="Times New Roman Regular" w:cs="Times New Roman Regular"/>
          <w:bCs/>
          <w:color w:val="auto"/>
          <w:kern w:val="44"/>
          <w:szCs w:val="44"/>
        </w:rPr>
      </w:pPr>
      <w:r>
        <w:rPr>
          <w:rFonts w:hint="default" w:ascii="Times New Roman Regular" w:hAnsi="Times New Roman Regular" w:cs="Times New Roman Regular"/>
          <w:bCs/>
          <w:color w:val="auto"/>
          <w:kern w:val="44"/>
          <w:szCs w:val="44"/>
        </w:rPr>
        <w:t>七、附件</w:t>
      </w:r>
      <w:bookmarkEnd w:id="2"/>
    </w:p>
    <w:p>
      <w:pPr>
        <w:shd w:val="clear" w:color="000000" w:fill="auto"/>
        <w:spacing w:beforeLines="0" w:line="560" w:lineRule="exact"/>
        <w:ind w:firstLine="640" w:firstLineChars="200"/>
        <w:rPr>
          <w:rFonts w:hint="eastAsia" w:ascii="仿宋_GB2312" w:hAnsi="仿宋_GB2312" w:eastAsia="仿宋_GB2312" w:cs="仿宋_GB2312"/>
          <w:szCs w:val="24"/>
        </w:rPr>
      </w:pPr>
      <w:r>
        <w:rPr>
          <w:rFonts w:hint="eastAsia" w:ascii="仿宋_GB2312" w:hAnsi="仿宋_GB2312" w:eastAsia="仿宋_GB2312" w:cs="仿宋_GB2312"/>
          <w:szCs w:val="24"/>
        </w:rPr>
        <w:t>202</w:t>
      </w:r>
      <w:r>
        <w:rPr>
          <w:rFonts w:hint="eastAsia" w:ascii="仿宋_GB2312" w:hAnsi="仿宋_GB2312" w:eastAsia="仿宋_GB2312" w:cs="仿宋_GB2312"/>
          <w:szCs w:val="24"/>
          <w:lang w:val="en-US" w:eastAsia="zh-CN"/>
        </w:rPr>
        <w:t>3</w:t>
      </w:r>
      <w:r>
        <w:rPr>
          <w:rFonts w:hint="eastAsia" w:ascii="仿宋_GB2312" w:hAnsi="仿宋_GB2312" w:eastAsia="仿宋_GB2312" w:cs="仿宋_GB2312"/>
          <w:szCs w:val="24"/>
        </w:rPr>
        <w:t>年部门整体绩效评价指标体系评分表</w:t>
      </w:r>
    </w:p>
    <w:p>
      <w:pPr>
        <w:pStyle w:val="5"/>
        <w:rPr>
          <w:rFonts w:hint="eastAsia"/>
        </w:rPr>
      </w:pPr>
    </w:p>
    <w:p>
      <w:pPr>
        <w:pStyle w:val="5"/>
        <w:spacing w:beforeLines="0" w:line="560" w:lineRule="exact"/>
        <w:rPr>
          <w:rFonts w:hint="eastAsia" w:cs="仿宋_GB2312"/>
          <w:szCs w:val="24"/>
          <w:lang w:val="en-US" w:eastAsia="zh-CN"/>
        </w:rPr>
        <w:sectPr>
          <w:footerReference r:id="rId4" w:type="default"/>
          <w:footerReference r:id="rId5" w:type="even"/>
          <w:pgSz w:w="11906" w:h="16838"/>
          <w:pgMar w:top="2098" w:right="1474" w:bottom="1984" w:left="1587" w:header="851" w:footer="992" w:gutter="0"/>
          <w:cols w:space="0" w:num="1"/>
          <w:rtlGutter w:val="0"/>
          <w:docGrid w:type="lines" w:linePitch="439" w:charSpace="0"/>
        </w:sectPr>
      </w:pPr>
      <w:r>
        <w:rPr>
          <w:rFonts w:hint="eastAsia" w:cs="仿宋_GB2312"/>
          <w:szCs w:val="24"/>
          <w:lang w:val="en-US" w:eastAsia="zh-CN"/>
        </w:rPr>
        <w:t xml:space="preserve">                                </w:t>
      </w:r>
    </w:p>
    <w:p>
      <w:pPr>
        <w:pStyle w:val="5"/>
        <w:spacing w:line="560" w:lineRule="exact"/>
        <w:ind w:left="0" w:lef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pStyle w:val="5"/>
        <w:spacing w:line="560" w:lineRule="exact"/>
        <w:ind w:left="0" w:leftChars="0" w:firstLine="0" w:firstLineChars="0"/>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2023年部门整体绩效评价指标体系评分表</w:t>
      </w:r>
    </w:p>
    <w:tbl>
      <w:tblPr>
        <w:tblStyle w:val="12"/>
        <w:tblW w:w="534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1"/>
        <w:gridCol w:w="937"/>
        <w:gridCol w:w="1938"/>
        <w:gridCol w:w="1068"/>
        <w:gridCol w:w="934"/>
        <w:gridCol w:w="819"/>
        <w:gridCol w:w="721"/>
        <w:gridCol w:w="2893"/>
        <w:gridCol w:w="3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预算数（万元）</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执行数（万元）</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预算执行率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当年预算执行情况（20）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资金总体</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76646.09</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71049.17</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92.70%</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20</w:t>
            </w: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18.54</w:t>
            </w:r>
          </w:p>
        </w:tc>
        <w:tc>
          <w:tcPr>
            <w:tcW w:w="10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部门全年执行数与全年预算数的比率。资金总体=基本支出+项目支出+其他</w:t>
            </w:r>
          </w:p>
        </w:tc>
        <w:tc>
          <w:tcPr>
            <w:tcW w:w="1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基本支出</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44,721.14</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42,262.70</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w:t>
            </w: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项目支出</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31,028.15</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27,814.57</w:t>
            </w: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其他</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896.8</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971.9</w:t>
            </w: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整体绩效目标实现情况（60）</w:t>
            </w:r>
          </w:p>
        </w:tc>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产出（30）</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机构、居家养老及家庭照护养老投保床位数量</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≥140000床</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170517床</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1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制修订养老政策数量</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≥4项</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7项</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修订出台《北京市未成年人保护条例》</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＝1项</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1项</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测量各区界线长度</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≥1253公里</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1209.7公里</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2.90</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实现各区界线坐标矢量化数量</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≥35条</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34条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2.91</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支持社会组织党建管理岗位数量</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≥333个</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412个</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支持联合党委（行业党委）数量</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≥44个</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52个</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社会救助标准调整与相关法规匹配度</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实名注册志愿者占全市常住人口比例</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≥20.5%</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21%</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效果（30）</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养老服务体系不断完善，养老服务模式不断创新，养老政策体系建设持续优化，养老服务质量稳步提升，养老服务综合监管持续加强</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经济效益</w:t>
            </w:r>
            <w:r>
              <w:rPr>
                <w:rStyle w:val="31"/>
                <w:rFonts w:hint="eastAsia" w:ascii="宋体" w:hAnsi="宋体" w:eastAsia="宋体" w:cs="宋体"/>
                <w:b w:val="0"/>
                <w:bCs w:val="0"/>
                <w:sz w:val="18"/>
                <w:szCs w:val="18"/>
                <w:lang w:val="en-US" w:eastAsia="zh-CN" w:bidi="ar"/>
              </w:rPr>
              <w:t>：部门（单位）履行职责对经济发展所带来的直接或间接影响。</w:t>
            </w:r>
            <w:r>
              <w:rPr>
                <w:rStyle w:val="30"/>
                <w:rFonts w:hint="eastAsia" w:ascii="宋体" w:hAnsi="宋体" w:eastAsia="宋体" w:cs="宋体"/>
                <w:b w:val="0"/>
                <w:bCs w:val="0"/>
                <w:sz w:val="18"/>
                <w:szCs w:val="18"/>
                <w:lang w:val="en-US" w:eastAsia="zh-CN" w:bidi="ar"/>
              </w:rPr>
              <w:t>社会效益</w:t>
            </w:r>
            <w:r>
              <w:rPr>
                <w:rStyle w:val="31"/>
                <w:rFonts w:hint="eastAsia" w:ascii="宋体" w:hAnsi="宋体" w:eastAsia="宋体" w:cs="宋体"/>
                <w:b w:val="0"/>
                <w:bCs w:val="0"/>
                <w:sz w:val="18"/>
                <w:szCs w:val="18"/>
                <w:lang w:val="en-US" w:eastAsia="zh-CN" w:bidi="ar"/>
              </w:rPr>
              <w:t>：部门（单位）履行职责对社会发展所带来的直接或间接影响。</w:t>
            </w:r>
            <w:r>
              <w:rPr>
                <w:rStyle w:val="30"/>
                <w:rFonts w:hint="eastAsia" w:ascii="宋体" w:hAnsi="宋体" w:eastAsia="宋体" w:cs="宋体"/>
                <w:b w:val="0"/>
                <w:bCs w:val="0"/>
                <w:sz w:val="18"/>
                <w:szCs w:val="18"/>
                <w:lang w:val="en-US" w:eastAsia="zh-CN" w:bidi="ar"/>
              </w:rPr>
              <w:t>环境效益</w:t>
            </w:r>
            <w:r>
              <w:rPr>
                <w:rStyle w:val="31"/>
                <w:rFonts w:hint="eastAsia" w:ascii="宋体" w:hAnsi="宋体" w:eastAsia="宋体" w:cs="宋体"/>
                <w:b w:val="0"/>
                <w:bCs w:val="0"/>
                <w:sz w:val="18"/>
                <w:szCs w:val="18"/>
                <w:lang w:val="en-US" w:eastAsia="zh-CN" w:bidi="ar"/>
              </w:rPr>
              <w:t>：部门（单位）履行职责对环境所带来的直接或间接影响。</w:t>
            </w:r>
            <w:r>
              <w:rPr>
                <w:rStyle w:val="30"/>
                <w:rFonts w:hint="eastAsia" w:ascii="宋体" w:hAnsi="宋体" w:eastAsia="宋体" w:cs="宋体"/>
                <w:b w:val="0"/>
                <w:bCs w:val="0"/>
                <w:sz w:val="18"/>
                <w:szCs w:val="18"/>
                <w:lang w:val="en-US" w:eastAsia="zh-CN" w:bidi="ar"/>
              </w:rPr>
              <w:t>可持续性影响：</w:t>
            </w:r>
            <w:r>
              <w:rPr>
                <w:rStyle w:val="31"/>
                <w:rFonts w:hint="eastAsia" w:ascii="宋体" w:hAnsi="宋体" w:eastAsia="宋体" w:cs="宋体"/>
                <w:b w:val="0"/>
                <w:bCs w:val="0"/>
                <w:sz w:val="18"/>
                <w:szCs w:val="18"/>
                <w:lang w:val="en-US" w:eastAsia="zh-CN" w:bidi="ar"/>
              </w:rPr>
              <w:t>部门绩效目标实现的长效机制建设情况，部门工作效率提升措施的创新。</w:t>
            </w:r>
            <w:r>
              <w:rPr>
                <w:rStyle w:val="30"/>
                <w:rFonts w:hint="eastAsia" w:ascii="宋体" w:hAnsi="宋体" w:eastAsia="宋体" w:cs="宋体"/>
                <w:b w:val="0"/>
                <w:bCs w:val="0"/>
                <w:sz w:val="18"/>
                <w:szCs w:val="18"/>
                <w:lang w:val="en-US" w:eastAsia="zh-CN" w:bidi="ar"/>
              </w:rPr>
              <w:t>服务对象满意度</w:t>
            </w:r>
            <w:r>
              <w:rPr>
                <w:rStyle w:val="31"/>
                <w:rFonts w:hint="eastAsia" w:ascii="宋体" w:hAnsi="宋体" w:eastAsia="宋体" w:cs="宋体"/>
                <w:b w:val="0"/>
                <w:bCs w:val="0"/>
                <w:sz w:val="18"/>
                <w:szCs w:val="18"/>
                <w:lang w:val="en-US" w:eastAsia="zh-CN" w:bidi="ar"/>
              </w:rPr>
              <w:t>：部门（单位）的服务对象对部门履职效果的满意程度。</w:t>
            </w:r>
          </w:p>
        </w:tc>
        <w:tc>
          <w:tcPr>
            <w:tcW w:w="1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健全完善救助管理工作体制机制，高质量做好接济救助工作</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促进分层分类社会救助有效实施，强化社会救助兜底保障作用</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儿童福利和保护体系进一步完善</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残疾人福利保障持续推进</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持续优化基本社会服务供给，提升婚姻登记服务水平，强化殡葬服务管理，加快慈善和福利彩票事业发展</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依法依规推进全市行政区划优化调整</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持续加强和创新基层社会治理，强化基层治理政策体系建设，深化基层治理改革，提升社区精治共治水平</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强化社会组织综合监管，推动社会组织高质量发展</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2.70</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推进社会工作人才队伍建设，社会工作更加有序发展</w:t>
            </w:r>
          </w:p>
        </w:tc>
        <w:tc>
          <w:tcPr>
            <w:tcW w:w="3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w:t>
            </w:r>
          </w:p>
        </w:tc>
        <w:tc>
          <w:tcPr>
            <w:tcW w:w="10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预算管理情况（20）</w:t>
            </w:r>
          </w:p>
        </w:tc>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财务管理</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（4）</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财务管理制度健全性</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健全</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健全</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财务管理制度健全性:</w:t>
            </w:r>
            <w:r>
              <w:rPr>
                <w:rStyle w:val="31"/>
                <w:rFonts w:hint="eastAsia" w:ascii="宋体" w:hAnsi="宋体" w:eastAsia="宋体" w:cs="宋体"/>
                <w:b w:val="0"/>
                <w:bCs w:val="0"/>
                <w:sz w:val="18"/>
                <w:szCs w:val="18"/>
                <w:lang w:val="en-US" w:eastAsia="zh-CN" w:bidi="ar"/>
              </w:rPr>
              <w:t>部门（单位）为加强财务管理、规范财务行为而制定的管理制度。</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资金使用合规性和安全性</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合规、安全</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合规、安全</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资金使用合规性和安全性:</w:t>
            </w:r>
            <w:r>
              <w:rPr>
                <w:rStyle w:val="31"/>
                <w:rFonts w:hint="eastAsia" w:ascii="宋体" w:hAnsi="宋体" w:eastAsia="宋体" w:cs="宋体"/>
                <w:b w:val="0"/>
                <w:bCs w:val="0"/>
                <w:sz w:val="18"/>
                <w:szCs w:val="18"/>
                <w:lang w:val="en-US" w:eastAsia="zh-CN" w:bidi="ar"/>
              </w:rPr>
              <w:t>部门（单位）使用预算资金是否符合相关的预算财务管理制度的规定，是否符合相关规定的开支范围，用以反映考核部门（单位）预算资金的规范运行和安全运行情况。</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会计基础信息完善性</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完善</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完善</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1</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会计基础信息完善性:</w:t>
            </w:r>
            <w:r>
              <w:rPr>
                <w:rStyle w:val="31"/>
                <w:rFonts w:hint="eastAsia" w:ascii="宋体" w:hAnsi="宋体" w:eastAsia="宋体" w:cs="宋体"/>
                <w:b w:val="0"/>
                <w:bCs w:val="0"/>
                <w:sz w:val="18"/>
                <w:szCs w:val="18"/>
                <w:lang w:val="en-US" w:eastAsia="zh-CN" w:bidi="ar"/>
              </w:rPr>
              <w:t>部门（单位）会计基础信息情况。</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资产管理</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（4）</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资产管理规范性</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规范</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规范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资产管理规范性:</w:t>
            </w:r>
            <w:r>
              <w:rPr>
                <w:rStyle w:val="31"/>
                <w:rFonts w:hint="eastAsia" w:ascii="宋体" w:hAnsi="宋体" w:eastAsia="宋体" w:cs="宋体"/>
                <w:b w:val="0"/>
                <w:bCs w:val="0"/>
                <w:sz w:val="18"/>
                <w:szCs w:val="18"/>
                <w:lang w:val="en-US" w:eastAsia="zh-CN" w:bidi="ar"/>
              </w:rPr>
              <w:t>部门（单位）的资产是否保持安全完整，资产配置是否合理，资产使用和资产处理是否规范，用以反映和考核部门（单位）资产管理的整体水平。</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绩效管理</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（4）</w:t>
            </w:r>
          </w:p>
        </w:tc>
        <w:tc>
          <w:tcPr>
            <w:tcW w:w="6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绩效管理情况</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有效</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Style w:val="31"/>
                <w:rFonts w:hint="eastAsia" w:ascii="宋体" w:hAnsi="宋体" w:eastAsia="宋体" w:cs="宋体"/>
                <w:b w:val="0"/>
                <w:bCs w:val="0"/>
                <w:sz w:val="18"/>
                <w:szCs w:val="18"/>
                <w:lang w:val="en-US" w:eastAsia="zh-CN" w:bidi="ar"/>
              </w:rPr>
              <w:t>有效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Style w:val="30"/>
                <w:rFonts w:hint="eastAsia" w:ascii="宋体" w:hAnsi="宋体" w:eastAsia="宋体" w:cs="宋体"/>
                <w:b w:val="0"/>
                <w:bCs w:val="0"/>
                <w:sz w:val="18"/>
                <w:szCs w:val="18"/>
                <w:lang w:val="en-US" w:eastAsia="zh-CN" w:bidi="ar"/>
              </w:rPr>
              <w:t>绩效管理情况:</w:t>
            </w:r>
            <w:r>
              <w:rPr>
                <w:rStyle w:val="31"/>
                <w:rFonts w:hint="eastAsia" w:ascii="宋体" w:hAnsi="宋体" w:eastAsia="宋体" w:cs="宋体"/>
                <w:b w:val="0"/>
                <w:bCs w:val="0"/>
                <w:sz w:val="18"/>
                <w:szCs w:val="18"/>
                <w:lang w:val="en-US" w:eastAsia="zh-CN" w:bidi="ar"/>
              </w:rPr>
              <w:t>考核部门（单位）在绩效管理信息的汇总和应用情况。</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p>
        </w:tc>
        <w:tc>
          <w:tcPr>
            <w:tcW w:w="10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2022年</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结转结余率</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（4）</w:t>
            </w:r>
          </w:p>
        </w:tc>
        <w:tc>
          <w:tcPr>
            <w:tcW w:w="108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3.84%</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6.62%</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2.89</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结转结余率=结转结余总额/支出预算数×100%。</w:t>
            </w:r>
          </w:p>
        </w:tc>
        <w:tc>
          <w:tcPr>
            <w:tcW w:w="1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108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结转结余总额：部门（单位）本年度的结转资金与结余资金之和。</w:t>
            </w:r>
          </w:p>
        </w:tc>
        <w:tc>
          <w:tcPr>
            <w:tcW w:w="1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val="0"/>
                <w:bCs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center"/>
              <w:rPr>
                <w:rFonts w:hint="eastAsia" w:ascii="宋体" w:hAnsi="宋体" w:eastAsia="宋体" w:cs="宋体"/>
                <w:b w:val="0"/>
                <w:bCs w:val="0"/>
                <w:i w:val="0"/>
                <w:iCs w:val="0"/>
                <w:color w:val="000000"/>
                <w:sz w:val="18"/>
                <w:szCs w:val="18"/>
                <w:u w:val="none"/>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部门预决算差异率（4）</w:t>
            </w:r>
          </w:p>
        </w:tc>
        <w:tc>
          <w:tcPr>
            <w:tcW w:w="10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4.75%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4</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通过年度部门决算与年初部门预算对比，对部门的年度支出情况进行考核，衡量部门预算的约束力。</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20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after="0" w:line="240" w:lineRule="auto"/>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96.94 </w:t>
            </w:r>
          </w:p>
        </w:tc>
        <w:tc>
          <w:tcPr>
            <w:tcW w:w="24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after="0" w:line="240" w:lineRule="auto"/>
              <w:jc w:val="both"/>
              <w:rPr>
                <w:rFonts w:hint="eastAsia" w:ascii="宋体" w:hAnsi="宋体" w:eastAsia="宋体" w:cs="宋体"/>
                <w:b/>
                <w:bCs/>
                <w:i w:val="0"/>
                <w:iCs w:val="0"/>
                <w:color w:val="000000"/>
                <w:sz w:val="18"/>
                <w:szCs w:val="18"/>
                <w:u w:val="none"/>
              </w:rPr>
            </w:pPr>
          </w:p>
        </w:tc>
      </w:tr>
    </w:tbl>
    <w:p>
      <w:pPr>
        <w:pStyle w:val="5"/>
        <w:spacing w:beforeLines="0" w:line="560" w:lineRule="exact"/>
        <w:ind w:firstLine="0" w:firstLineChars="0"/>
        <w:rPr>
          <w:rFonts w:hint="default" w:cs="仿宋_GB2312"/>
          <w:szCs w:val="24"/>
          <w:lang w:val="en-US" w:eastAsia="zh-CN"/>
        </w:rPr>
      </w:pPr>
    </w:p>
    <w:sectPr>
      <w:pgSz w:w="16838" w:h="11906" w:orient="landscape"/>
      <w:pgMar w:top="1587" w:right="2098" w:bottom="1474" w:left="1984"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imes New Roman (标题 CS)">
    <w:altName w:val="DejaVu Sans"/>
    <w:panose1 w:val="020B0604020202020204"/>
    <w:charset w:val="86"/>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Times New Roman Regular">
    <w:altName w:val="DejaVu Sans"/>
    <w:panose1 w:val="02020603050405020304"/>
    <w:charset w:val="00"/>
    <w:family w:val="auto"/>
    <w:pitch w:val="default"/>
    <w:sig w:usb0="00000000" w:usb1="00000000" w:usb2="00000009" w:usb3="00000000" w:csb0="400001FF" w:csb1="FFFF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9"/>
        <w:rPr>
          <w:rFonts w:hint="eastAsia"/>
        </w:rPr>
      </w:pPr>
      <w:r>
        <w:rPr>
          <w:rStyle w:val="17"/>
        </w:rPr>
        <w:footnoteRef/>
      </w:r>
      <w:r>
        <w:t xml:space="preserve"> </w:t>
      </w:r>
      <w:r>
        <w:rPr>
          <w:rFonts w:hint="eastAsia"/>
        </w:rPr>
        <w:t>按照四舍五入原则保留小数，导致表内数据的和与合计数存在0.01的差值。</w:t>
      </w:r>
    </w:p>
  </w:footnote>
  <w:footnote w:id="1">
    <w:p>
      <w:pPr>
        <w:pStyle w:val="9"/>
        <w:rPr>
          <w:rFonts w:hint="eastAsia"/>
        </w:rPr>
      </w:pPr>
      <w:r>
        <w:rPr>
          <w:rStyle w:val="17"/>
        </w:rPr>
        <w:footnoteRef/>
      </w:r>
      <w:r>
        <w:t xml:space="preserve"> </w:t>
      </w:r>
      <w:r>
        <w:rPr>
          <w:rFonts w:hint="eastAsia"/>
        </w:rPr>
        <w:t>同上。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E7EAB8"/>
    <w:multiLevelType w:val="singleLevel"/>
    <w:tmpl w:val="AFE7EAB8"/>
    <w:lvl w:ilvl="0" w:tentative="0">
      <w:start w:val="1"/>
      <w:numFmt w:val="decimal"/>
      <w:suff w:val="nothing"/>
      <w:lvlText w:val="（%1）"/>
      <w:lvlJc w:val="left"/>
    </w:lvl>
  </w:abstractNum>
  <w:abstractNum w:abstractNumId="1">
    <w:nsid w:val="DD8E4B83"/>
    <w:multiLevelType w:val="singleLevel"/>
    <w:tmpl w:val="DD8E4B83"/>
    <w:lvl w:ilvl="0" w:tentative="0">
      <w:start w:val="1"/>
      <w:numFmt w:val="decimal"/>
      <w:suff w:val="nothing"/>
      <w:lvlText w:val="（%1）"/>
      <w:lvlJc w:val="left"/>
    </w:lvl>
  </w:abstractNum>
  <w:abstractNum w:abstractNumId="2">
    <w:nsid w:val="EED632C0"/>
    <w:multiLevelType w:val="singleLevel"/>
    <w:tmpl w:val="EED632C0"/>
    <w:lvl w:ilvl="0" w:tentative="0">
      <w:start w:val="1"/>
      <w:numFmt w:val="decimal"/>
      <w:suff w:val="nothing"/>
      <w:lvlText w:val="（%1）"/>
      <w:lvlJc w:val="left"/>
    </w:lvl>
  </w:abstractNum>
  <w:abstractNum w:abstractNumId="3">
    <w:nsid w:val="F6C7793E"/>
    <w:multiLevelType w:val="singleLevel"/>
    <w:tmpl w:val="F6C7793E"/>
    <w:lvl w:ilvl="0" w:tentative="0">
      <w:start w:val="1"/>
      <w:numFmt w:val="decimal"/>
      <w:suff w:val="nothing"/>
      <w:lvlText w:val="（%1）"/>
      <w:lvlJc w:val="left"/>
    </w:lvl>
  </w:abstractNum>
  <w:abstractNum w:abstractNumId="4">
    <w:nsid w:val="FE7E2DBF"/>
    <w:multiLevelType w:val="singleLevel"/>
    <w:tmpl w:val="FE7E2DBF"/>
    <w:lvl w:ilvl="0" w:tentative="0">
      <w:start w:val="1"/>
      <w:numFmt w:val="decimal"/>
      <w:suff w:val="nothing"/>
      <w:lvlText w:val="（%1）"/>
      <w:lvlJc w:val="left"/>
    </w:lvl>
  </w:abstractNum>
  <w:abstractNum w:abstractNumId="5">
    <w:nsid w:val="FFFED64C"/>
    <w:multiLevelType w:val="singleLevel"/>
    <w:tmpl w:val="FFFED64C"/>
    <w:lvl w:ilvl="0" w:tentative="0">
      <w:start w:val="1"/>
      <w:numFmt w:val="decimal"/>
      <w:suff w:val="nothing"/>
      <w:lvlText w:val="（%1）"/>
      <w:lvlJc w:val="left"/>
    </w:lvl>
  </w:abstractNum>
  <w:abstractNum w:abstractNumId="6">
    <w:nsid w:val="7BF32005"/>
    <w:multiLevelType w:val="singleLevel"/>
    <w:tmpl w:val="7BF32005"/>
    <w:lvl w:ilvl="0" w:tentative="0">
      <w:start w:val="1"/>
      <w:numFmt w:val="decimal"/>
      <w:suff w:val="nothing"/>
      <w:lvlText w:val="（%1）"/>
      <w:lvlJc w:val="left"/>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NotTrackMoves/>
  <w:revisionView w:markup="0"/>
  <w:trackRevisions w:val="true"/>
  <w:documentProtection w:enforcement="0"/>
  <w:defaultTabStop w:val="0"/>
  <w:drawingGridVerticalSpacing w:val="220"/>
  <w:displayHorizontalDrawingGridEvery w:val="1"/>
  <w:displayVerticalDrawingGridEvery w:val="1"/>
  <w:noPunctuationKerning w:val="true"/>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1B"/>
    <w:rsid w:val="00001A93"/>
    <w:rsid w:val="00001AA1"/>
    <w:rsid w:val="00001B66"/>
    <w:rsid w:val="00005530"/>
    <w:rsid w:val="000061AB"/>
    <w:rsid w:val="0000629C"/>
    <w:rsid w:val="00006416"/>
    <w:rsid w:val="00006431"/>
    <w:rsid w:val="00007EC2"/>
    <w:rsid w:val="000112F1"/>
    <w:rsid w:val="00011703"/>
    <w:rsid w:val="00013B23"/>
    <w:rsid w:val="00013EA1"/>
    <w:rsid w:val="00015ECD"/>
    <w:rsid w:val="0001602E"/>
    <w:rsid w:val="00016DCD"/>
    <w:rsid w:val="00017BFB"/>
    <w:rsid w:val="00024686"/>
    <w:rsid w:val="00024809"/>
    <w:rsid w:val="00025B8E"/>
    <w:rsid w:val="00025ED9"/>
    <w:rsid w:val="00025F6D"/>
    <w:rsid w:val="00031369"/>
    <w:rsid w:val="00032E9E"/>
    <w:rsid w:val="00035AC7"/>
    <w:rsid w:val="000361B4"/>
    <w:rsid w:val="000400E7"/>
    <w:rsid w:val="00041D23"/>
    <w:rsid w:val="00042CB4"/>
    <w:rsid w:val="00044AAB"/>
    <w:rsid w:val="000468AC"/>
    <w:rsid w:val="00050C6A"/>
    <w:rsid w:val="00051B00"/>
    <w:rsid w:val="00052356"/>
    <w:rsid w:val="00052519"/>
    <w:rsid w:val="00053184"/>
    <w:rsid w:val="000533D3"/>
    <w:rsid w:val="00055733"/>
    <w:rsid w:val="000558C2"/>
    <w:rsid w:val="00056F4D"/>
    <w:rsid w:val="00061A20"/>
    <w:rsid w:val="000646D1"/>
    <w:rsid w:val="000646F4"/>
    <w:rsid w:val="000646F7"/>
    <w:rsid w:val="00065957"/>
    <w:rsid w:val="00065C6D"/>
    <w:rsid w:val="00065E02"/>
    <w:rsid w:val="0006607C"/>
    <w:rsid w:val="0006639A"/>
    <w:rsid w:val="00066685"/>
    <w:rsid w:val="000703BB"/>
    <w:rsid w:val="00070D5D"/>
    <w:rsid w:val="00071275"/>
    <w:rsid w:val="00071F3A"/>
    <w:rsid w:val="00072553"/>
    <w:rsid w:val="00076C13"/>
    <w:rsid w:val="00081008"/>
    <w:rsid w:val="000811B6"/>
    <w:rsid w:val="0008125B"/>
    <w:rsid w:val="000815D8"/>
    <w:rsid w:val="0008421C"/>
    <w:rsid w:val="00084B6E"/>
    <w:rsid w:val="00084B95"/>
    <w:rsid w:val="00084C4A"/>
    <w:rsid w:val="00084CCC"/>
    <w:rsid w:val="00085DF4"/>
    <w:rsid w:val="0009093F"/>
    <w:rsid w:val="00091A75"/>
    <w:rsid w:val="000927DE"/>
    <w:rsid w:val="000932A0"/>
    <w:rsid w:val="0009595A"/>
    <w:rsid w:val="00095C80"/>
    <w:rsid w:val="0009725E"/>
    <w:rsid w:val="000A0794"/>
    <w:rsid w:val="000A15CB"/>
    <w:rsid w:val="000A3637"/>
    <w:rsid w:val="000A3A29"/>
    <w:rsid w:val="000A4DBA"/>
    <w:rsid w:val="000A505C"/>
    <w:rsid w:val="000A5E4D"/>
    <w:rsid w:val="000A62FD"/>
    <w:rsid w:val="000B00F6"/>
    <w:rsid w:val="000B2AD2"/>
    <w:rsid w:val="000B2DAC"/>
    <w:rsid w:val="000B664E"/>
    <w:rsid w:val="000B6A09"/>
    <w:rsid w:val="000B76B9"/>
    <w:rsid w:val="000C05F3"/>
    <w:rsid w:val="000C06FF"/>
    <w:rsid w:val="000C19C8"/>
    <w:rsid w:val="000C1EC7"/>
    <w:rsid w:val="000C3048"/>
    <w:rsid w:val="000C3868"/>
    <w:rsid w:val="000C4087"/>
    <w:rsid w:val="000C4694"/>
    <w:rsid w:val="000C4E35"/>
    <w:rsid w:val="000C6B15"/>
    <w:rsid w:val="000D123A"/>
    <w:rsid w:val="000D2638"/>
    <w:rsid w:val="000D3D30"/>
    <w:rsid w:val="000E210E"/>
    <w:rsid w:val="000E2ADE"/>
    <w:rsid w:val="000E3B71"/>
    <w:rsid w:val="000E4EE5"/>
    <w:rsid w:val="000E4F0B"/>
    <w:rsid w:val="000E5762"/>
    <w:rsid w:val="000E6142"/>
    <w:rsid w:val="000E7BFD"/>
    <w:rsid w:val="000F13C1"/>
    <w:rsid w:val="000F1ABF"/>
    <w:rsid w:val="000F3CC4"/>
    <w:rsid w:val="000F4E68"/>
    <w:rsid w:val="000F6477"/>
    <w:rsid w:val="000F79ED"/>
    <w:rsid w:val="00100380"/>
    <w:rsid w:val="00100F77"/>
    <w:rsid w:val="00101732"/>
    <w:rsid w:val="00101E55"/>
    <w:rsid w:val="001061D5"/>
    <w:rsid w:val="0010665A"/>
    <w:rsid w:val="001129C5"/>
    <w:rsid w:val="00112BF5"/>
    <w:rsid w:val="00114EDB"/>
    <w:rsid w:val="00117B8C"/>
    <w:rsid w:val="0012361E"/>
    <w:rsid w:val="00123DA7"/>
    <w:rsid w:val="00125B2C"/>
    <w:rsid w:val="00127D5E"/>
    <w:rsid w:val="00132053"/>
    <w:rsid w:val="0013429F"/>
    <w:rsid w:val="00134776"/>
    <w:rsid w:val="0013507E"/>
    <w:rsid w:val="00135146"/>
    <w:rsid w:val="001358CB"/>
    <w:rsid w:val="00142CCE"/>
    <w:rsid w:val="0014534D"/>
    <w:rsid w:val="00145F22"/>
    <w:rsid w:val="00145FCA"/>
    <w:rsid w:val="00146084"/>
    <w:rsid w:val="001460E2"/>
    <w:rsid w:val="00146BCB"/>
    <w:rsid w:val="00147290"/>
    <w:rsid w:val="0014738E"/>
    <w:rsid w:val="0015126F"/>
    <w:rsid w:val="00151679"/>
    <w:rsid w:val="0015275A"/>
    <w:rsid w:val="001550A3"/>
    <w:rsid w:val="0015597A"/>
    <w:rsid w:val="00156425"/>
    <w:rsid w:val="001570F1"/>
    <w:rsid w:val="00160C63"/>
    <w:rsid w:val="00161E2F"/>
    <w:rsid w:val="00162067"/>
    <w:rsid w:val="00162C97"/>
    <w:rsid w:val="001634A2"/>
    <w:rsid w:val="00163B5C"/>
    <w:rsid w:val="00165502"/>
    <w:rsid w:val="00165D07"/>
    <w:rsid w:val="001664E4"/>
    <w:rsid w:val="00167831"/>
    <w:rsid w:val="00172838"/>
    <w:rsid w:val="00172E17"/>
    <w:rsid w:val="00174054"/>
    <w:rsid w:val="001746F6"/>
    <w:rsid w:val="001761F3"/>
    <w:rsid w:val="001762D1"/>
    <w:rsid w:val="00180950"/>
    <w:rsid w:val="001814EA"/>
    <w:rsid w:val="00181A0B"/>
    <w:rsid w:val="00183582"/>
    <w:rsid w:val="0019331B"/>
    <w:rsid w:val="00194179"/>
    <w:rsid w:val="0019666D"/>
    <w:rsid w:val="001A1857"/>
    <w:rsid w:val="001A2BA6"/>
    <w:rsid w:val="001A4F99"/>
    <w:rsid w:val="001A7AF0"/>
    <w:rsid w:val="001B2B7B"/>
    <w:rsid w:val="001B2C59"/>
    <w:rsid w:val="001B6329"/>
    <w:rsid w:val="001B7237"/>
    <w:rsid w:val="001C0F41"/>
    <w:rsid w:val="001C182D"/>
    <w:rsid w:val="001C1F49"/>
    <w:rsid w:val="001C27CC"/>
    <w:rsid w:val="001C347C"/>
    <w:rsid w:val="001C3F5F"/>
    <w:rsid w:val="001C447E"/>
    <w:rsid w:val="001C55AC"/>
    <w:rsid w:val="001C630C"/>
    <w:rsid w:val="001C6E55"/>
    <w:rsid w:val="001D0EA0"/>
    <w:rsid w:val="001D1A38"/>
    <w:rsid w:val="001D282C"/>
    <w:rsid w:val="001D2B96"/>
    <w:rsid w:val="001D2D96"/>
    <w:rsid w:val="001D57B7"/>
    <w:rsid w:val="001D5C7E"/>
    <w:rsid w:val="001E1CBA"/>
    <w:rsid w:val="001E2113"/>
    <w:rsid w:val="001E359D"/>
    <w:rsid w:val="001E35BE"/>
    <w:rsid w:val="001E35D3"/>
    <w:rsid w:val="001E4935"/>
    <w:rsid w:val="001E5FF2"/>
    <w:rsid w:val="001E705A"/>
    <w:rsid w:val="001F0C72"/>
    <w:rsid w:val="001F0CD5"/>
    <w:rsid w:val="001F0D96"/>
    <w:rsid w:val="001F115B"/>
    <w:rsid w:val="001F2A4A"/>
    <w:rsid w:val="001F3185"/>
    <w:rsid w:val="001F6C25"/>
    <w:rsid w:val="001F70B0"/>
    <w:rsid w:val="00201B36"/>
    <w:rsid w:val="00202863"/>
    <w:rsid w:val="00202E65"/>
    <w:rsid w:val="002036EF"/>
    <w:rsid w:val="00204855"/>
    <w:rsid w:val="00205E1B"/>
    <w:rsid w:val="00206389"/>
    <w:rsid w:val="002077E7"/>
    <w:rsid w:val="00212553"/>
    <w:rsid w:val="00213CB3"/>
    <w:rsid w:val="002144B2"/>
    <w:rsid w:val="002148B5"/>
    <w:rsid w:val="00214BF9"/>
    <w:rsid w:val="00215582"/>
    <w:rsid w:val="0021685F"/>
    <w:rsid w:val="00217AEC"/>
    <w:rsid w:val="0022033C"/>
    <w:rsid w:val="002213F3"/>
    <w:rsid w:val="002230B0"/>
    <w:rsid w:val="002234A4"/>
    <w:rsid w:val="00223A0B"/>
    <w:rsid w:val="00224D1A"/>
    <w:rsid w:val="002302FE"/>
    <w:rsid w:val="00230F1B"/>
    <w:rsid w:val="00232488"/>
    <w:rsid w:val="00232FA6"/>
    <w:rsid w:val="00236EBF"/>
    <w:rsid w:val="00240FBA"/>
    <w:rsid w:val="0024103E"/>
    <w:rsid w:val="0024197C"/>
    <w:rsid w:val="002426C6"/>
    <w:rsid w:val="00244077"/>
    <w:rsid w:val="00247642"/>
    <w:rsid w:val="00250141"/>
    <w:rsid w:val="00251118"/>
    <w:rsid w:val="0025186A"/>
    <w:rsid w:val="00251EFB"/>
    <w:rsid w:val="00255093"/>
    <w:rsid w:val="002563A9"/>
    <w:rsid w:val="002564A7"/>
    <w:rsid w:val="00257BA6"/>
    <w:rsid w:val="00261197"/>
    <w:rsid w:val="002631D9"/>
    <w:rsid w:val="002648F3"/>
    <w:rsid w:val="002654FE"/>
    <w:rsid w:val="00265CEA"/>
    <w:rsid w:val="00266FA4"/>
    <w:rsid w:val="00267377"/>
    <w:rsid w:val="002676D4"/>
    <w:rsid w:val="002706D7"/>
    <w:rsid w:val="002708B8"/>
    <w:rsid w:val="00270E63"/>
    <w:rsid w:val="00270EBE"/>
    <w:rsid w:val="00273299"/>
    <w:rsid w:val="00273F08"/>
    <w:rsid w:val="002743AA"/>
    <w:rsid w:val="002745BC"/>
    <w:rsid w:val="002755E5"/>
    <w:rsid w:val="0027662A"/>
    <w:rsid w:val="00276E14"/>
    <w:rsid w:val="00276E45"/>
    <w:rsid w:val="00277A3E"/>
    <w:rsid w:val="002803BA"/>
    <w:rsid w:val="00281077"/>
    <w:rsid w:val="0028192F"/>
    <w:rsid w:val="00281EE3"/>
    <w:rsid w:val="002855A7"/>
    <w:rsid w:val="00285822"/>
    <w:rsid w:val="0028598D"/>
    <w:rsid w:val="002864F5"/>
    <w:rsid w:val="00291064"/>
    <w:rsid w:val="00291DBF"/>
    <w:rsid w:val="00295492"/>
    <w:rsid w:val="002972C6"/>
    <w:rsid w:val="002A380E"/>
    <w:rsid w:val="002A4EA5"/>
    <w:rsid w:val="002A575C"/>
    <w:rsid w:val="002A7B4E"/>
    <w:rsid w:val="002A7DBA"/>
    <w:rsid w:val="002B0D2A"/>
    <w:rsid w:val="002B0DEA"/>
    <w:rsid w:val="002B1929"/>
    <w:rsid w:val="002B1C88"/>
    <w:rsid w:val="002B2064"/>
    <w:rsid w:val="002B2D0C"/>
    <w:rsid w:val="002B3074"/>
    <w:rsid w:val="002B5328"/>
    <w:rsid w:val="002C05DF"/>
    <w:rsid w:val="002C12AC"/>
    <w:rsid w:val="002C2C4C"/>
    <w:rsid w:val="002C3D2B"/>
    <w:rsid w:val="002C4BC7"/>
    <w:rsid w:val="002C4EB9"/>
    <w:rsid w:val="002C7B64"/>
    <w:rsid w:val="002D0C52"/>
    <w:rsid w:val="002D2491"/>
    <w:rsid w:val="002D3557"/>
    <w:rsid w:val="002D3620"/>
    <w:rsid w:val="002D49B4"/>
    <w:rsid w:val="002D4F2D"/>
    <w:rsid w:val="002D7DA4"/>
    <w:rsid w:val="002E1F9E"/>
    <w:rsid w:val="002E27C5"/>
    <w:rsid w:val="002E3FC6"/>
    <w:rsid w:val="002E61B7"/>
    <w:rsid w:val="002E656B"/>
    <w:rsid w:val="002E6DAA"/>
    <w:rsid w:val="002F0C57"/>
    <w:rsid w:val="002F11B3"/>
    <w:rsid w:val="002F12F1"/>
    <w:rsid w:val="002F3054"/>
    <w:rsid w:val="002F3E69"/>
    <w:rsid w:val="002F4515"/>
    <w:rsid w:val="002F47F4"/>
    <w:rsid w:val="002F4AFC"/>
    <w:rsid w:val="002F56DB"/>
    <w:rsid w:val="002F5F07"/>
    <w:rsid w:val="002F5F10"/>
    <w:rsid w:val="002F7776"/>
    <w:rsid w:val="0030079C"/>
    <w:rsid w:val="00300D61"/>
    <w:rsid w:val="00300DAB"/>
    <w:rsid w:val="0030101E"/>
    <w:rsid w:val="00301975"/>
    <w:rsid w:val="003048B8"/>
    <w:rsid w:val="003052EC"/>
    <w:rsid w:val="003066EE"/>
    <w:rsid w:val="00307AD9"/>
    <w:rsid w:val="0031160A"/>
    <w:rsid w:val="00311B3E"/>
    <w:rsid w:val="00313210"/>
    <w:rsid w:val="00313A58"/>
    <w:rsid w:val="00313E2D"/>
    <w:rsid w:val="00314605"/>
    <w:rsid w:val="00315827"/>
    <w:rsid w:val="003159F8"/>
    <w:rsid w:val="003211AD"/>
    <w:rsid w:val="003218E9"/>
    <w:rsid w:val="0032463B"/>
    <w:rsid w:val="0032561D"/>
    <w:rsid w:val="00325F2C"/>
    <w:rsid w:val="003274C8"/>
    <w:rsid w:val="0032794F"/>
    <w:rsid w:val="00332549"/>
    <w:rsid w:val="003329EF"/>
    <w:rsid w:val="0033399D"/>
    <w:rsid w:val="0033502C"/>
    <w:rsid w:val="00335069"/>
    <w:rsid w:val="00335250"/>
    <w:rsid w:val="00335963"/>
    <w:rsid w:val="00335D4C"/>
    <w:rsid w:val="00336C7B"/>
    <w:rsid w:val="00336DE3"/>
    <w:rsid w:val="00337B14"/>
    <w:rsid w:val="00337D51"/>
    <w:rsid w:val="003400CB"/>
    <w:rsid w:val="00341606"/>
    <w:rsid w:val="0034185D"/>
    <w:rsid w:val="00342D20"/>
    <w:rsid w:val="0034313D"/>
    <w:rsid w:val="00346224"/>
    <w:rsid w:val="0034640D"/>
    <w:rsid w:val="00346D89"/>
    <w:rsid w:val="00347ADE"/>
    <w:rsid w:val="00354A43"/>
    <w:rsid w:val="00354D56"/>
    <w:rsid w:val="00356D55"/>
    <w:rsid w:val="00357890"/>
    <w:rsid w:val="00361AC0"/>
    <w:rsid w:val="00362039"/>
    <w:rsid w:val="00363DED"/>
    <w:rsid w:val="003644A9"/>
    <w:rsid w:val="00364A56"/>
    <w:rsid w:val="00364EDE"/>
    <w:rsid w:val="00365AF8"/>
    <w:rsid w:val="00365C0E"/>
    <w:rsid w:val="00366F5E"/>
    <w:rsid w:val="00370586"/>
    <w:rsid w:val="00371034"/>
    <w:rsid w:val="00371543"/>
    <w:rsid w:val="00371C66"/>
    <w:rsid w:val="0037328E"/>
    <w:rsid w:val="00373EFE"/>
    <w:rsid w:val="003751DA"/>
    <w:rsid w:val="00375E8C"/>
    <w:rsid w:val="0037671E"/>
    <w:rsid w:val="00380233"/>
    <w:rsid w:val="0038108D"/>
    <w:rsid w:val="0038137A"/>
    <w:rsid w:val="00382B09"/>
    <w:rsid w:val="00383281"/>
    <w:rsid w:val="003839EE"/>
    <w:rsid w:val="00383EE9"/>
    <w:rsid w:val="00384443"/>
    <w:rsid w:val="00384DFF"/>
    <w:rsid w:val="00385343"/>
    <w:rsid w:val="00385CC4"/>
    <w:rsid w:val="00390FF3"/>
    <w:rsid w:val="00391D38"/>
    <w:rsid w:val="00393990"/>
    <w:rsid w:val="00395255"/>
    <w:rsid w:val="00397DD4"/>
    <w:rsid w:val="003A094B"/>
    <w:rsid w:val="003A12B7"/>
    <w:rsid w:val="003A3B86"/>
    <w:rsid w:val="003A3E53"/>
    <w:rsid w:val="003A664C"/>
    <w:rsid w:val="003A7CB0"/>
    <w:rsid w:val="003B0303"/>
    <w:rsid w:val="003B1459"/>
    <w:rsid w:val="003B2CE8"/>
    <w:rsid w:val="003B2EE9"/>
    <w:rsid w:val="003B3D77"/>
    <w:rsid w:val="003B41AD"/>
    <w:rsid w:val="003B472C"/>
    <w:rsid w:val="003B59DD"/>
    <w:rsid w:val="003B6AE7"/>
    <w:rsid w:val="003B6C6D"/>
    <w:rsid w:val="003C2669"/>
    <w:rsid w:val="003C2F3B"/>
    <w:rsid w:val="003C3935"/>
    <w:rsid w:val="003C4A91"/>
    <w:rsid w:val="003C4EBB"/>
    <w:rsid w:val="003C676D"/>
    <w:rsid w:val="003C7156"/>
    <w:rsid w:val="003D12FD"/>
    <w:rsid w:val="003D2AE3"/>
    <w:rsid w:val="003D2CCA"/>
    <w:rsid w:val="003D3420"/>
    <w:rsid w:val="003D57AE"/>
    <w:rsid w:val="003E104E"/>
    <w:rsid w:val="003E258B"/>
    <w:rsid w:val="003E2FC1"/>
    <w:rsid w:val="003E315D"/>
    <w:rsid w:val="003E51A6"/>
    <w:rsid w:val="003E5B87"/>
    <w:rsid w:val="003E6770"/>
    <w:rsid w:val="003E6A17"/>
    <w:rsid w:val="003E72C5"/>
    <w:rsid w:val="003E7C0E"/>
    <w:rsid w:val="003E7F35"/>
    <w:rsid w:val="003F07E4"/>
    <w:rsid w:val="003F1E3F"/>
    <w:rsid w:val="003F4AAB"/>
    <w:rsid w:val="003F66E2"/>
    <w:rsid w:val="003F7879"/>
    <w:rsid w:val="004002A8"/>
    <w:rsid w:val="0040071C"/>
    <w:rsid w:val="004040AD"/>
    <w:rsid w:val="00405B2C"/>
    <w:rsid w:val="00405B42"/>
    <w:rsid w:val="004061AC"/>
    <w:rsid w:val="004069FB"/>
    <w:rsid w:val="00407013"/>
    <w:rsid w:val="0040775E"/>
    <w:rsid w:val="004102CA"/>
    <w:rsid w:val="004174DD"/>
    <w:rsid w:val="0041786E"/>
    <w:rsid w:val="004232D2"/>
    <w:rsid w:val="00423417"/>
    <w:rsid w:val="00423C7C"/>
    <w:rsid w:val="0042561A"/>
    <w:rsid w:val="00426A18"/>
    <w:rsid w:val="0042701B"/>
    <w:rsid w:val="004275EE"/>
    <w:rsid w:val="004279BF"/>
    <w:rsid w:val="00427E15"/>
    <w:rsid w:val="00431258"/>
    <w:rsid w:val="00433AAF"/>
    <w:rsid w:val="00435232"/>
    <w:rsid w:val="0043580E"/>
    <w:rsid w:val="00436A9E"/>
    <w:rsid w:val="004375F5"/>
    <w:rsid w:val="00441045"/>
    <w:rsid w:val="004424F4"/>
    <w:rsid w:val="00443D11"/>
    <w:rsid w:val="004445DD"/>
    <w:rsid w:val="004450FE"/>
    <w:rsid w:val="00447307"/>
    <w:rsid w:val="0044779D"/>
    <w:rsid w:val="004502B8"/>
    <w:rsid w:val="004504BC"/>
    <w:rsid w:val="00452D60"/>
    <w:rsid w:val="0045331A"/>
    <w:rsid w:val="004535A7"/>
    <w:rsid w:val="0045374D"/>
    <w:rsid w:val="00453A47"/>
    <w:rsid w:val="00455A76"/>
    <w:rsid w:val="00460ADF"/>
    <w:rsid w:val="00461C5A"/>
    <w:rsid w:val="00465124"/>
    <w:rsid w:val="00465F03"/>
    <w:rsid w:val="00466BF6"/>
    <w:rsid w:val="00467D72"/>
    <w:rsid w:val="00471406"/>
    <w:rsid w:val="004732F5"/>
    <w:rsid w:val="00473A92"/>
    <w:rsid w:val="00474765"/>
    <w:rsid w:val="0047566C"/>
    <w:rsid w:val="00475BAD"/>
    <w:rsid w:val="00476245"/>
    <w:rsid w:val="004765BD"/>
    <w:rsid w:val="004773BE"/>
    <w:rsid w:val="00477423"/>
    <w:rsid w:val="00480E40"/>
    <w:rsid w:val="004811E1"/>
    <w:rsid w:val="00481232"/>
    <w:rsid w:val="00485C34"/>
    <w:rsid w:val="00486D33"/>
    <w:rsid w:val="00487027"/>
    <w:rsid w:val="004916DF"/>
    <w:rsid w:val="00491723"/>
    <w:rsid w:val="00492CA4"/>
    <w:rsid w:val="00492EBB"/>
    <w:rsid w:val="00495A2A"/>
    <w:rsid w:val="004A1396"/>
    <w:rsid w:val="004A2C29"/>
    <w:rsid w:val="004A4072"/>
    <w:rsid w:val="004A6487"/>
    <w:rsid w:val="004A75BA"/>
    <w:rsid w:val="004B07DA"/>
    <w:rsid w:val="004B1235"/>
    <w:rsid w:val="004B13CE"/>
    <w:rsid w:val="004B4C4F"/>
    <w:rsid w:val="004B59FB"/>
    <w:rsid w:val="004B6756"/>
    <w:rsid w:val="004B6AEE"/>
    <w:rsid w:val="004C0DD1"/>
    <w:rsid w:val="004C1C59"/>
    <w:rsid w:val="004C2E82"/>
    <w:rsid w:val="004C3EBD"/>
    <w:rsid w:val="004C4922"/>
    <w:rsid w:val="004C5490"/>
    <w:rsid w:val="004D0265"/>
    <w:rsid w:val="004D1227"/>
    <w:rsid w:val="004D3937"/>
    <w:rsid w:val="004D3A52"/>
    <w:rsid w:val="004D7B97"/>
    <w:rsid w:val="004E02BF"/>
    <w:rsid w:val="004E0B96"/>
    <w:rsid w:val="004E0CD8"/>
    <w:rsid w:val="004E0FBC"/>
    <w:rsid w:val="004E2FA1"/>
    <w:rsid w:val="004E3A9F"/>
    <w:rsid w:val="004E552F"/>
    <w:rsid w:val="004E73F7"/>
    <w:rsid w:val="004E7F03"/>
    <w:rsid w:val="004F0B71"/>
    <w:rsid w:val="004F1195"/>
    <w:rsid w:val="004F12A3"/>
    <w:rsid w:val="004F332A"/>
    <w:rsid w:val="004F5A2D"/>
    <w:rsid w:val="004F5D12"/>
    <w:rsid w:val="004F7A9C"/>
    <w:rsid w:val="005002FE"/>
    <w:rsid w:val="005008D1"/>
    <w:rsid w:val="00501624"/>
    <w:rsid w:val="00501B6A"/>
    <w:rsid w:val="0050225A"/>
    <w:rsid w:val="005124BB"/>
    <w:rsid w:val="00512893"/>
    <w:rsid w:val="00513937"/>
    <w:rsid w:val="00513D1B"/>
    <w:rsid w:val="005144CE"/>
    <w:rsid w:val="00517545"/>
    <w:rsid w:val="00517E83"/>
    <w:rsid w:val="00520397"/>
    <w:rsid w:val="00521981"/>
    <w:rsid w:val="005224F8"/>
    <w:rsid w:val="00522B88"/>
    <w:rsid w:val="00523D37"/>
    <w:rsid w:val="00525032"/>
    <w:rsid w:val="00525B09"/>
    <w:rsid w:val="00533882"/>
    <w:rsid w:val="00533A24"/>
    <w:rsid w:val="00534242"/>
    <w:rsid w:val="0053636F"/>
    <w:rsid w:val="00537070"/>
    <w:rsid w:val="00537353"/>
    <w:rsid w:val="00540571"/>
    <w:rsid w:val="005408BE"/>
    <w:rsid w:val="005411DB"/>
    <w:rsid w:val="00543391"/>
    <w:rsid w:val="00543E88"/>
    <w:rsid w:val="00543EDE"/>
    <w:rsid w:val="005445FA"/>
    <w:rsid w:val="005458BD"/>
    <w:rsid w:val="00546E7F"/>
    <w:rsid w:val="00551C6B"/>
    <w:rsid w:val="0055322E"/>
    <w:rsid w:val="00553D92"/>
    <w:rsid w:val="00554B36"/>
    <w:rsid w:val="0056062F"/>
    <w:rsid w:val="00560925"/>
    <w:rsid w:val="00561176"/>
    <w:rsid w:val="00564EA1"/>
    <w:rsid w:val="005662F6"/>
    <w:rsid w:val="00570FE0"/>
    <w:rsid w:val="0057185C"/>
    <w:rsid w:val="00572925"/>
    <w:rsid w:val="005735D7"/>
    <w:rsid w:val="00573679"/>
    <w:rsid w:val="00576477"/>
    <w:rsid w:val="00577B97"/>
    <w:rsid w:val="0058012B"/>
    <w:rsid w:val="00580A63"/>
    <w:rsid w:val="00580B28"/>
    <w:rsid w:val="005813C0"/>
    <w:rsid w:val="00581683"/>
    <w:rsid w:val="005832DA"/>
    <w:rsid w:val="00584132"/>
    <w:rsid w:val="00587B01"/>
    <w:rsid w:val="00590285"/>
    <w:rsid w:val="005927C5"/>
    <w:rsid w:val="005934DF"/>
    <w:rsid w:val="00594767"/>
    <w:rsid w:val="0059502C"/>
    <w:rsid w:val="00595BF4"/>
    <w:rsid w:val="00596083"/>
    <w:rsid w:val="00596DD2"/>
    <w:rsid w:val="005A0241"/>
    <w:rsid w:val="005A13B7"/>
    <w:rsid w:val="005A1478"/>
    <w:rsid w:val="005A43C2"/>
    <w:rsid w:val="005A4CEC"/>
    <w:rsid w:val="005A681F"/>
    <w:rsid w:val="005A6A49"/>
    <w:rsid w:val="005A76DF"/>
    <w:rsid w:val="005B1930"/>
    <w:rsid w:val="005B1DB9"/>
    <w:rsid w:val="005B5A7B"/>
    <w:rsid w:val="005B605F"/>
    <w:rsid w:val="005C4726"/>
    <w:rsid w:val="005C5801"/>
    <w:rsid w:val="005C5FAE"/>
    <w:rsid w:val="005C6303"/>
    <w:rsid w:val="005C6696"/>
    <w:rsid w:val="005C6B00"/>
    <w:rsid w:val="005D013A"/>
    <w:rsid w:val="005D04BA"/>
    <w:rsid w:val="005D1903"/>
    <w:rsid w:val="005D1C0D"/>
    <w:rsid w:val="005D2228"/>
    <w:rsid w:val="005D2312"/>
    <w:rsid w:val="005D2730"/>
    <w:rsid w:val="005D3DDB"/>
    <w:rsid w:val="005D583B"/>
    <w:rsid w:val="005E0813"/>
    <w:rsid w:val="005E198B"/>
    <w:rsid w:val="005E24B3"/>
    <w:rsid w:val="005E4103"/>
    <w:rsid w:val="005E4C47"/>
    <w:rsid w:val="005E6675"/>
    <w:rsid w:val="005E694C"/>
    <w:rsid w:val="005E6EE6"/>
    <w:rsid w:val="005E7738"/>
    <w:rsid w:val="005F042B"/>
    <w:rsid w:val="005F0645"/>
    <w:rsid w:val="005F2F5B"/>
    <w:rsid w:val="005F4134"/>
    <w:rsid w:val="005F4492"/>
    <w:rsid w:val="005F4730"/>
    <w:rsid w:val="005F66D3"/>
    <w:rsid w:val="005F6951"/>
    <w:rsid w:val="005F6995"/>
    <w:rsid w:val="005F6B6D"/>
    <w:rsid w:val="005F7194"/>
    <w:rsid w:val="006015AB"/>
    <w:rsid w:val="00602A05"/>
    <w:rsid w:val="00602FC2"/>
    <w:rsid w:val="0060376F"/>
    <w:rsid w:val="00606F73"/>
    <w:rsid w:val="00610037"/>
    <w:rsid w:val="00611288"/>
    <w:rsid w:val="00611539"/>
    <w:rsid w:val="00612C85"/>
    <w:rsid w:val="00616481"/>
    <w:rsid w:val="006224B6"/>
    <w:rsid w:val="00623AEC"/>
    <w:rsid w:val="00623C2B"/>
    <w:rsid w:val="00624B73"/>
    <w:rsid w:val="00624CBE"/>
    <w:rsid w:val="00624F2B"/>
    <w:rsid w:val="00625B1C"/>
    <w:rsid w:val="0062728D"/>
    <w:rsid w:val="00627FEC"/>
    <w:rsid w:val="006313C4"/>
    <w:rsid w:val="00632EE3"/>
    <w:rsid w:val="00633F8A"/>
    <w:rsid w:val="006343A8"/>
    <w:rsid w:val="006346A3"/>
    <w:rsid w:val="00635514"/>
    <w:rsid w:val="006409C2"/>
    <w:rsid w:val="00642427"/>
    <w:rsid w:val="00642AD6"/>
    <w:rsid w:val="00642DAA"/>
    <w:rsid w:val="00643FBE"/>
    <w:rsid w:val="00644377"/>
    <w:rsid w:val="00644AA4"/>
    <w:rsid w:val="00645A72"/>
    <w:rsid w:val="00645A9A"/>
    <w:rsid w:val="006460B0"/>
    <w:rsid w:val="00646208"/>
    <w:rsid w:val="00646859"/>
    <w:rsid w:val="00646E4A"/>
    <w:rsid w:val="006475C5"/>
    <w:rsid w:val="006500AC"/>
    <w:rsid w:val="006517C9"/>
    <w:rsid w:val="006519B3"/>
    <w:rsid w:val="00653B27"/>
    <w:rsid w:val="006557A2"/>
    <w:rsid w:val="00657003"/>
    <w:rsid w:val="00657318"/>
    <w:rsid w:val="00657446"/>
    <w:rsid w:val="0066261F"/>
    <w:rsid w:val="0066740C"/>
    <w:rsid w:val="00667616"/>
    <w:rsid w:val="006709C4"/>
    <w:rsid w:val="006709CA"/>
    <w:rsid w:val="00673094"/>
    <w:rsid w:val="00673C69"/>
    <w:rsid w:val="0067675B"/>
    <w:rsid w:val="00676A3D"/>
    <w:rsid w:val="00677682"/>
    <w:rsid w:val="00680EB9"/>
    <w:rsid w:val="00682648"/>
    <w:rsid w:val="00683DF9"/>
    <w:rsid w:val="0068438A"/>
    <w:rsid w:val="00685356"/>
    <w:rsid w:val="0069092D"/>
    <w:rsid w:val="006911F0"/>
    <w:rsid w:val="00693BC8"/>
    <w:rsid w:val="00694CB8"/>
    <w:rsid w:val="006954A7"/>
    <w:rsid w:val="006965DF"/>
    <w:rsid w:val="00696673"/>
    <w:rsid w:val="00696678"/>
    <w:rsid w:val="006A0072"/>
    <w:rsid w:val="006A0E8B"/>
    <w:rsid w:val="006A0ED0"/>
    <w:rsid w:val="006A1588"/>
    <w:rsid w:val="006A2924"/>
    <w:rsid w:val="006A3D9A"/>
    <w:rsid w:val="006A64C3"/>
    <w:rsid w:val="006A64D8"/>
    <w:rsid w:val="006A6CD1"/>
    <w:rsid w:val="006A719D"/>
    <w:rsid w:val="006B0347"/>
    <w:rsid w:val="006B0E72"/>
    <w:rsid w:val="006B1B3B"/>
    <w:rsid w:val="006B324A"/>
    <w:rsid w:val="006B3AE0"/>
    <w:rsid w:val="006B43EE"/>
    <w:rsid w:val="006B49B2"/>
    <w:rsid w:val="006B63B3"/>
    <w:rsid w:val="006B6569"/>
    <w:rsid w:val="006B69DD"/>
    <w:rsid w:val="006C0CF4"/>
    <w:rsid w:val="006C312C"/>
    <w:rsid w:val="006C4F6B"/>
    <w:rsid w:val="006C59CC"/>
    <w:rsid w:val="006C5B93"/>
    <w:rsid w:val="006D04B5"/>
    <w:rsid w:val="006D114F"/>
    <w:rsid w:val="006D1EE4"/>
    <w:rsid w:val="006D34D1"/>
    <w:rsid w:val="006D57A3"/>
    <w:rsid w:val="006D731F"/>
    <w:rsid w:val="006E1B89"/>
    <w:rsid w:val="006E3206"/>
    <w:rsid w:val="006E3D13"/>
    <w:rsid w:val="006E4F1D"/>
    <w:rsid w:val="006E6079"/>
    <w:rsid w:val="006F16FE"/>
    <w:rsid w:val="006F1E8D"/>
    <w:rsid w:val="006F3129"/>
    <w:rsid w:val="006F372B"/>
    <w:rsid w:val="006F3B9B"/>
    <w:rsid w:val="006F4B92"/>
    <w:rsid w:val="006F526A"/>
    <w:rsid w:val="006F6122"/>
    <w:rsid w:val="006F7539"/>
    <w:rsid w:val="0070094C"/>
    <w:rsid w:val="00701651"/>
    <w:rsid w:val="007017DE"/>
    <w:rsid w:val="007025D3"/>
    <w:rsid w:val="00702CB5"/>
    <w:rsid w:val="00706101"/>
    <w:rsid w:val="0070785F"/>
    <w:rsid w:val="00712129"/>
    <w:rsid w:val="0071379E"/>
    <w:rsid w:val="00714363"/>
    <w:rsid w:val="00715A56"/>
    <w:rsid w:val="00715A8C"/>
    <w:rsid w:val="00715F93"/>
    <w:rsid w:val="0072086A"/>
    <w:rsid w:val="00721148"/>
    <w:rsid w:val="00721162"/>
    <w:rsid w:val="00722BAF"/>
    <w:rsid w:val="00723541"/>
    <w:rsid w:val="007239CA"/>
    <w:rsid w:val="0072446A"/>
    <w:rsid w:val="007257A7"/>
    <w:rsid w:val="00725EBC"/>
    <w:rsid w:val="00730F4F"/>
    <w:rsid w:val="00731E94"/>
    <w:rsid w:val="007334D1"/>
    <w:rsid w:val="007354E6"/>
    <w:rsid w:val="007372CF"/>
    <w:rsid w:val="0073740C"/>
    <w:rsid w:val="00737D77"/>
    <w:rsid w:val="007413E7"/>
    <w:rsid w:val="00743134"/>
    <w:rsid w:val="007436F8"/>
    <w:rsid w:val="00745633"/>
    <w:rsid w:val="00745AE0"/>
    <w:rsid w:val="007476E8"/>
    <w:rsid w:val="00751174"/>
    <w:rsid w:val="007536C1"/>
    <w:rsid w:val="00754621"/>
    <w:rsid w:val="007552D5"/>
    <w:rsid w:val="00755FB2"/>
    <w:rsid w:val="00756200"/>
    <w:rsid w:val="007572BC"/>
    <w:rsid w:val="00757F35"/>
    <w:rsid w:val="007605D4"/>
    <w:rsid w:val="00760ACD"/>
    <w:rsid w:val="007611D8"/>
    <w:rsid w:val="00761D31"/>
    <w:rsid w:val="00761DF7"/>
    <w:rsid w:val="007627B5"/>
    <w:rsid w:val="007635AE"/>
    <w:rsid w:val="007635DD"/>
    <w:rsid w:val="00765C84"/>
    <w:rsid w:val="007673FA"/>
    <w:rsid w:val="00767721"/>
    <w:rsid w:val="00767D81"/>
    <w:rsid w:val="007707DF"/>
    <w:rsid w:val="00770E53"/>
    <w:rsid w:val="0077192E"/>
    <w:rsid w:val="007719BE"/>
    <w:rsid w:val="00772C22"/>
    <w:rsid w:val="00772DC2"/>
    <w:rsid w:val="00774509"/>
    <w:rsid w:val="0077512E"/>
    <w:rsid w:val="00775263"/>
    <w:rsid w:val="00777D1D"/>
    <w:rsid w:val="00780F80"/>
    <w:rsid w:val="00781DAB"/>
    <w:rsid w:val="00782FD7"/>
    <w:rsid w:val="007842FE"/>
    <w:rsid w:val="0078683A"/>
    <w:rsid w:val="00790C2E"/>
    <w:rsid w:val="00790D04"/>
    <w:rsid w:val="00790E30"/>
    <w:rsid w:val="0079171A"/>
    <w:rsid w:val="007956AE"/>
    <w:rsid w:val="00795AB0"/>
    <w:rsid w:val="00796598"/>
    <w:rsid w:val="007967F9"/>
    <w:rsid w:val="007A02C7"/>
    <w:rsid w:val="007A0896"/>
    <w:rsid w:val="007A0AAF"/>
    <w:rsid w:val="007A0FF2"/>
    <w:rsid w:val="007A2256"/>
    <w:rsid w:val="007A45A6"/>
    <w:rsid w:val="007A4FA6"/>
    <w:rsid w:val="007B03F2"/>
    <w:rsid w:val="007B342F"/>
    <w:rsid w:val="007B3B3D"/>
    <w:rsid w:val="007B3F48"/>
    <w:rsid w:val="007B46E6"/>
    <w:rsid w:val="007B4EEA"/>
    <w:rsid w:val="007B5931"/>
    <w:rsid w:val="007B5BE4"/>
    <w:rsid w:val="007B6B36"/>
    <w:rsid w:val="007B7C97"/>
    <w:rsid w:val="007C002F"/>
    <w:rsid w:val="007C176C"/>
    <w:rsid w:val="007C1CDA"/>
    <w:rsid w:val="007C1D1D"/>
    <w:rsid w:val="007C35A9"/>
    <w:rsid w:val="007C4F64"/>
    <w:rsid w:val="007C53A8"/>
    <w:rsid w:val="007C579D"/>
    <w:rsid w:val="007C6C5D"/>
    <w:rsid w:val="007C75F6"/>
    <w:rsid w:val="007C7EB0"/>
    <w:rsid w:val="007D0F9B"/>
    <w:rsid w:val="007D1788"/>
    <w:rsid w:val="007D1B2F"/>
    <w:rsid w:val="007D1B72"/>
    <w:rsid w:val="007D2637"/>
    <w:rsid w:val="007D28D0"/>
    <w:rsid w:val="007D3254"/>
    <w:rsid w:val="007D480F"/>
    <w:rsid w:val="007D55B6"/>
    <w:rsid w:val="007D56F5"/>
    <w:rsid w:val="007D60D9"/>
    <w:rsid w:val="007D7E8D"/>
    <w:rsid w:val="007E17BD"/>
    <w:rsid w:val="007E20D7"/>
    <w:rsid w:val="007E264D"/>
    <w:rsid w:val="007E4C88"/>
    <w:rsid w:val="007E4F74"/>
    <w:rsid w:val="007E6591"/>
    <w:rsid w:val="007E7357"/>
    <w:rsid w:val="007F041D"/>
    <w:rsid w:val="007F1D23"/>
    <w:rsid w:val="007F3727"/>
    <w:rsid w:val="007F4AD7"/>
    <w:rsid w:val="007F5484"/>
    <w:rsid w:val="007F60ED"/>
    <w:rsid w:val="007F739E"/>
    <w:rsid w:val="008005C1"/>
    <w:rsid w:val="00802259"/>
    <w:rsid w:val="008027A8"/>
    <w:rsid w:val="00803C5D"/>
    <w:rsid w:val="00804EEA"/>
    <w:rsid w:val="00804EFD"/>
    <w:rsid w:val="00805479"/>
    <w:rsid w:val="008102E3"/>
    <w:rsid w:val="00813A73"/>
    <w:rsid w:val="008145E6"/>
    <w:rsid w:val="00814C9B"/>
    <w:rsid w:val="008153AB"/>
    <w:rsid w:val="00816F3A"/>
    <w:rsid w:val="0082035A"/>
    <w:rsid w:val="00821E33"/>
    <w:rsid w:val="008243F8"/>
    <w:rsid w:val="00826275"/>
    <w:rsid w:val="00826DA7"/>
    <w:rsid w:val="00827026"/>
    <w:rsid w:val="008302C6"/>
    <w:rsid w:val="00830460"/>
    <w:rsid w:val="00830620"/>
    <w:rsid w:val="00833688"/>
    <w:rsid w:val="00834418"/>
    <w:rsid w:val="008355F9"/>
    <w:rsid w:val="008361B7"/>
    <w:rsid w:val="00836229"/>
    <w:rsid w:val="00836936"/>
    <w:rsid w:val="00837016"/>
    <w:rsid w:val="00842BD1"/>
    <w:rsid w:val="00843513"/>
    <w:rsid w:val="008440B9"/>
    <w:rsid w:val="00845DA6"/>
    <w:rsid w:val="008460A6"/>
    <w:rsid w:val="00847300"/>
    <w:rsid w:val="0084754A"/>
    <w:rsid w:val="00847966"/>
    <w:rsid w:val="008507F6"/>
    <w:rsid w:val="00850918"/>
    <w:rsid w:val="00850C03"/>
    <w:rsid w:val="00851AA6"/>
    <w:rsid w:val="0085462A"/>
    <w:rsid w:val="00855313"/>
    <w:rsid w:val="008557EB"/>
    <w:rsid w:val="00856BFF"/>
    <w:rsid w:val="00856F66"/>
    <w:rsid w:val="008578E3"/>
    <w:rsid w:val="00861F4A"/>
    <w:rsid w:val="00863152"/>
    <w:rsid w:val="00863482"/>
    <w:rsid w:val="00865560"/>
    <w:rsid w:val="00866846"/>
    <w:rsid w:val="008702BC"/>
    <w:rsid w:val="00870376"/>
    <w:rsid w:val="00871637"/>
    <w:rsid w:val="00872E52"/>
    <w:rsid w:val="0087480B"/>
    <w:rsid w:val="00874DBB"/>
    <w:rsid w:val="00877A27"/>
    <w:rsid w:val="00881539"/>
    <w:rsid w:val="008825C0"/>
    <w:rsid w:val="00882992"/>
    <w:rsid w:val="00883153"/>
    <w:rsid w:val="00883BA7"/>
    <w:rsid w:val="00883E02"/>
    <w:rsid w:val="00885FD6"/>
    <w:rsid w:val="00886B38"/>
    <w:rsid w:val="00891122"/>
    <w:rsid w:val="0089173D"/>
    <w:rsid w:val="008A342E"/>
    <w:rsid w:val="008A3900"/>
    <w:rsid w:val="008A4F5E"/>
    <w:rsid w:val="008A7D7F"/>
    <w:rsid w:val="008B3274"/>
    <w:rsid w:val="008B3EFF"/>
    <w:rsid w:val="008B4644"/>
    <w:rsid w:val="008B6BC0"/>
    <w:rsid w:val="008C0B45"/>
    <w:rsid w:val="008C1E7D"/>
    <w:rsid w:val="008C3406"/>
    <w:rsid w:val="008C3474"/>
    <w:rsid w:val="008C35A0"/>
    <w:rsid w:val="008C40F8"/>
    <w:rsid w:val="008C4189"/>
    <w:rsid w:val="008C4935"/>
    <w:rsid w:val="008C5E12"/>
    <w:rsid w:val="008C6BB3"/>
    <w:rsid w:val="008C6D37"/>
    <w:rsid w:val="008C7DD4"/>
    <w:rsid w:val="008D07EC"/>
    <w:rsid w:val="008D153C"/>
    <w:rsid w:val="008D30BB"/>
    <w:rsid w:val="008D58FA"/>
    <w:rsid w:val="008D64C2"/>
    <w:rsid w:val="008D6952"/>
    <w:rsid w:val="008D7A0A"/>
    <w:rsid w:val="008D7FB4"/>
    <w:rsid w:val="008E005F"/>
    <w:rsid w:val="008E1784"/>
    <w:rsid w:val="008E1FB1"/>
    <w:rsid w:val="008E2DBE"/>
    <w:rsid w:val="008E3449"/>
    <w:rsid w:val="008E4D92"/>
    <w:rsid w:val="008E53FA"/>
    <w:rsid w:val="008E5810"/>
    <w:rsid w:val="008F1306"/>
    <w:rsid w:val="008F27C5"/>
    <w:rsid w:val="008F57BB"/>
    <w:rsid w:val="008F5998"/>
    <w:rsid w:val="008F63C8"/>
    <w:rsid w:val="008F73C4"/>
    <w:rsid w:val="008F781F"/>
    <w:rsid w:val="008F7D7E"/>
    <w:rsid w:val="00901FCA"/>
    <w:rsid w:val="009036E2"/>
    <w:rsid w:val="009053EB"/>
    <w:rsid w:val="00907099"/>
    <w:rsid w:val="00910964"/>
    <w:rsid w:val="009127C6"/>
    <w:rsid w:val="009130D0"/>
    <w:rsid w:val="0091430E"/>
    <w:rsid w:val="00914426"/>
    <w:rsid w:val="0091755F"/>
    <w:rsid w:val="00921D80"/>
    <w:rsid w:val="009247A0"/>
    <w:rsid w:val="0092649F"/>
    <w:rsid w:val="009268CE"/>
    <w:rsid w:val="00926C47"/>
    <w:rsid w:val="00927BEA"/>
    <w:rsid w:val="00927E22"/>
    <w:rsid w:val="00931BF1"/>
    <w:rsid w:val="00931F16"/>
    <w:rsid w:val="0093518B"/>
    <w:rsid w:val="00936617"/>
    <w:rsid w:val="009369A4"/>
    <w:rsid w:val="00940050"/>
    <w:rsid w:val="009411AB"/>
    <w:rsid w:val="00941626"/>
    <w:rsid w:val="00944948"/>
    <w:rsid w:val="00947F77"/>
    <w:rsid w:val="00950058"/>
    <w:rsid w:val="0095022F"/>
    <w:rsid w:val="00950C9F"/>
    <w:rsid w:val="00950E88"/>
    <w:rsid w:val="0095279D"/>
    <w:rsid w:val="009552FB"/>
    <w:rsid w:val="00955BCE"/>
    <w:rsid w:val="009561B8"/>
    <w:rsid w:val="0096263E"/>
    <w:rsid w:val="00962ACD"/>
    <w:rsid w:val="00962E37"/>
    <w:rsid w:val="00966CDA"/>
    <w:rsid w:val="00967056"/>
    <w:rsid w:val="00973E27"/>
    <w:rsid w:val="00975F10"/>
    <w:rsid w:val="0097617D"/>
    <w:rsid w:val="00976CF8"/>
    <w:rsid w:val="00980B52"/>
    <w:rsid w:val="009814A6"/>
    <w:rsid w:val="009823E7"/>
    <w:rsid w:val="0098383E"/>
    <w:rsid w:val="009840A4"/>
    <w:rsid w:val="009840F0"/>
    <w:rsid w:val="00986644"/>
    <w:rsid w:val="00986BA9"/>
    <w:rsid w:val="009902CA"/>
    <w:rsid w:val="00990607"/>
    <w:rsid w:val="00990C06"/>
    <w:rsid w:val="00991343"/>
    <w:rsid w:val="0099478A"/>
    <w:rsid w:val="009A1A3A"/>
    <w:rsid w:val="009A3AF9"/>
    <w:rsid w:val="009A44B5"/>
    <w:rsid w:val="009A4AB6"/>
    <w:rsid w:val="009A4D9D"/>
    <w:rsid w:val="009A521C"/>
    <w:rsid w:val="009A66F1"/>
    <w:rsid w:val="009B03B7"/>
    <w:rsid w:val="009B16D0"/>
    <w:rsid w:val="009B17A7"/>
    <w:rsid w:val="009B2E20"/>
    <w:rsid w:val="009B3684"/>
    <w:rsid w:val="009B3758"/>
    <w:rsid w:val="009B4760"/>
    <w:rsid w:val="009B5AA2"/>
    <w:rsid w:val="009B68C4"/>
    <w:rsid w:val="009B7988"/>
    <w:rsid w:val="009C03B1"/>
    <w:rsid w:val="009C229E"/>
    <w:rsid w:val="009C5455"/>
    <w:rsid w:val="009C578B"/>
    <w:rsid w:val="009C59B3"/>
    <w:rsid w:val="009C67DD"/>
    <w:rsid w:val="009D01ED"/>
    <w:rsid w:val="009D12ED"/>
    <w:rsid w:val="009D19EA"/>
    <w:rsid w:val="009D308A"/>
    <w:rsid w:val="009D58C1"/>
    <w:rsid w:val="009D7484"/>
    <w:rsid w:val="009E23CF"/>
    <w:rsid w:val="009E33B8"/>
    <w:rsid w:val="009E3412"/>
    <w:rsid w:val="009E4002"/>
    <w:rsid w:val="009E5611"/>
    <w:rsid w:val="009E6B82"/>
    <w:rsid w:val="009F2A02"/>
    <w:rsid w:val="009F46DA"/>
    <w:rsid w:val="009F5531"/>
    <w:rsid w:val="00A01209"/>
    <w:rsid w:val="00A02014"/>
    <w:rsid w:val="00A0307C"/>
    <w:rsid w:val="00A03836"/>
    <w:rsid w:val="00A03ADF"/>
    <w:rsid w:val="00A05955"/>
    <w:rsid w:val="00A07007"/>
    <w:rsid w:val="00A114CC"/>
    <w:rsid w:val="00A135F9"/>
    <w:rsid w:val="00A13753"/>
    <w:rsid w:val="00A14D1E"/>
    <w:rsid w:val="00A14EE3"/>
    <w:rsid w:val="00A15E50"/>
    <w:rsid w:val="00A16228"/>
    <w:rsid w:val="00A16EFB"/>
    <w:rsid w:val="00A216AF"/>
    <w:rsid w:val="00A21FAB"/>
    <w:rsid w:val="00A22C09"/>
    <w:rsid w:val="00A233F9"/>
    <w:rsid w:val="00A23BFE"/>
    <w:rsid w:val="00A24626"/>
    <w:rsid w:val="00A2483A"/>
    <w:rsid w:val="00A25D84"/>
    <w:rsid w:val="00A26180"/>
    <w:rsid w:val="00A30542"/>
    <w:rsid w:val="00A309C7"/>
    <w:rsid w:val="00A3184F"/>
    <w:rsid w:val="00A332B0"/>
    <w:rsid w:val="00A36388"/>
    <w:rsid w:val="00A3653D"/>
    <w:rsid w:val="00A3754D"/>
    <w:rsid w:val="00A3781E"/>
    <w:rsid w:val="00A42425"/>
    <w:rsid w:val="00A4245E"/>
    <w:rsid w:val="00A46218"/>
    <w:rsid w:val="00A464D2"/>
    <w:rsid w:val="00A50823"/>
    <w:rsid w:val="00A50B54"/>
    <w:rsid w:val="00A51502"/>
    <w:rsid w:val="00A51F64"/>
    <w:rsid w:val="00A522C5"/>
    <w:rsid w:val="00A544AF"/>
    <w:rsid w:val="00A56754"/>
    <w:rsid w:val="00A620C8"/>
    <w:rsid w:val="00A62E46"/>
    <w:rsid w:val="00A6385C"/>
    <w:rsid w:val="00A64114"/>
    <w:rsid w:val="00A641E3"/>
    <w:rsid w:val="00A670E2"/>
    <w:rsid w:val="00A67D4D"/>
    <w:rsid w:val="00A721AA"/>
    <w:rsid w:val="00A74EA2"/>
    <w:rsid w:val="00A75328"/>
    <w:rsid w:val="00A75A44"/>
    <w:rsid w:val="00A75D1E"/>
    <w:rsid w:val="00A75FB2"/>
    <w:rsid w:val="00A7643C"/>
    <w:rsid w:val="00A76843"/>
    <w:rsid w:val="00A77695"/>
    <w:rsid w:val="00A7795B"/>
    <w:rsid w:val="00A80EC3"/>
    <w:rsid w:val="00A81A03"/>
    <w:rsid w:val="00A84535"/>
    <w:rsid w:val="00A92DDE"/>
    <w:rsid w:val="00A93839"/>
    <w:rsid w:val="00A948C2"/>
    <w:rsid w:val="00A95ABE"/>
    <w:rsid w:val="00A967F2"/>
    <w:rsid w:val="00A969FF"/>
    <w:rsid w:val="00A97304"/>
    <w:rsid w:val="00A974EA"/>
    <w:rsid w:val="00AA0CF4"/>
    <w:rsid w:val="00AA16A2"/>
    <w:rsid w:val="00AA23CB"/>
    <w:rsid w:val="00AA25F0"/>
    <w:rsid w:val="00AA3AAE"/>
    <w:rsid w:val="00AA4378"/>
    <w:rsid w:val="00AA467B"/>
    <w:rsid w:val="00AA5145"/>
    <w:rsid w:val="00AA57AC"/>
    <w:rsid w:val="00AA59FF"/>
    <w:rsid w:val="00AB2D72"/>
    <w:rsid w:val="00AB2DDD"/>
    <w:rsid w:val="00AB4AAA"/>
    <w:rsid w:val="00AB71A6"/>
    <w:rsid w:val="00AB73E9"/>
    <w:rsid w:val="00AB74EF"/>
    <w:rsid w:val="00AC5670"/>
    <w:rsid w:val="00AC7033"/>
    <w:rsid w:val="00AC7322"/>
    <w:rsid w:val="00AC762B"/>
    <w:rsid w:val="00AC7934"/>
    <w:rsid w:val="00AD0184"/>
    <w:rsid w:val="00AD1856"/>
    <w:rsid w:val="00AD2AED"/>
    <w:rsid w:val="00AD41FE"/>
    <w:rsid w:val="00AD6D21"/>
    <w:rsid w:val="00AD7D1C"/>
    <w:rsid w:val="00AE02C0"/>
    <w:rsid w:val="00AE1B72"/>
    <w:rsid w:val="00AE58C5"/>
    <w:rsid w:val="00AE6507"/>
    <w:rsid w:val="00AE773F"/>
    <w:rsid w:val="00AF04AE"/>
    <w:rsid w:val="00AF10F6"/>
    <w:rsid w:val="00AF3481"/>
    <w:rsid w:val="00AF4771"/>
    <w:rsid w:val="00AF6D79"/>
    <w:rsid w:val="00B00FC4"/>
    <w:rsid w:val="00B01394"/>
    <w:rsid w:val="00B021A4"/>
    <w:rsid w:val="00B0240E"/>
    <w:rsid w:val="00B02B32"/>
    <w:rsid w:val="00B03F9A"/>
    <w:rsid w:val="00B05E7A"/>
    <w:rsid w:val="00B06F94"/>
    <w:rsid w:val="00B07D87"/>
    <w:rsid w:val="00B07E35"/>
    <w:rsid w:val="00B07E3A"/>
    <w:rsid w:val="00B12471"/>
    <w:rsid w:val="00B12F55"/>
    <w:rsid w:val="00B14290"/>
    <w:rsid w:val="00B15324"/>
    <w:rsid w:val="00B167F5"/>
    <w:rsid w:val="00B16A56"/>
    <w:rsid w:val="00B225EB"/>
    <w:rsid w:val="00B22605"/>
    <w:rsid w:val="00B234DD"/>
    <w:rsid w:val="00B2478D"/>
    <w:rsid w:val="00B2590D"/>
    <w:rsid w:val="00B279A8"/>
    <w:rsid w:val="00B309A7"/>
    <w:rsid w:val="00B31800"/>
    <w:rsid w:val="00B32245"/>
    <w:rsid w:val="00B3225A"/>
    <w:rsid w:val="00B33C42"/>
    <w:rsid w:val="00B34612"/>
    <w:rsid w:val="00B35090"/>
    <w:rsid w:val="00B358A4"/>
    <w:rsid w:val="00B377DE"/>
    <w:rsid w:val="00B40403"/>
    <w:rsid w:val="00B40626"/>
    <w:rsid w:val="00B4145C"/>
    <w:rsid w:val="00B417E3"/>
    <w:rsid w:val="00B42050"/>
    <w:rsid w:val="00B430B8"/>
    <w:rsid w:val="00B43955"/>
    <w:rsid w:val="00B4558E"/>
    <w:rsid w:val="00B45FC1"/>
    <w:rsid w:val="00B505E2"/>
    <w:rsid w:val="00B51A65"/>
    <w:rsid w:val="00B51DBF"/>
    <w:rsid w:val="00B524AB"/>
    <w:rsid w:val="00B52755"/>
    <w:rsid w:val="00B52A07"/>
    <w:rsid w:val="00B53A5A"/>
    <w:rsid w:val="00B54354"/>
    <w:rsid w:val="00B54FB7"/>
    <w:rsid w:val="00B55A6F"/>
    <w:rsid w:val="00B60E9C"/>
    <w:rsid w:val="00B6188F"/>
    <w:rsid w:val="00B62B68"/>
    <w:rsid w:val="00B63A00"/>
    <w:rsid w:val="00B6446F"/>
    <w:rsid w:val="00B64ED4"/>
    <w:rsid w:val="00B65C56"/>
    <w:rsid w:val="00B67DD8"/>
    <w:rsid w:val="00B7006B"/>
    <w:rsid w:val="00B70B84"/>
    <w:rsid w:val="00B71DE4"/>
    <w:rsid w:val="00B726B2"/>
    <w:rsid w:val="00B72C9B"/>
    <w:rsid w:val="00B739CC"/>
    <w:rsid w:val="00B73B49"/>
    <w:rsid w:val="00B75AD7"/>
    <w:rsid w:val="00B75D53"/>
    <w:rsid w:val="00B803CE"/>
    <w:rsid w:val="00B8135C"/>
    <w:rsid w:val="00B81FFF"/>
    <w:rsid w:val="00B8356D"/>
    <w:rsid w:val="00B83841"/>
    <w:rsid w:val="00B83D2E"/>
    <w:rsid w:val="00B84650"/>
    <w:rsid w:val="00B849B6"/>
    <w:rsid w:val="00B84CB2"/>
    <w:rsid w:val="00B856A9"/>
    <w:rsid w:val="00B8730A"/>
    <w:rsid w:val="00B873AC"/>
    <w:rsid w:val="00B8775D"/>
    <w:rsid w:val="00B903F8"/>
    <w:rsid w:val="00B9092E"/>
    <w:rsid w:val="00B96107"/>
    <w:rsid w:val="00BA06D5"/>
    <w:rsid w:val="00BA14E7"/>
    <w:rsid w:val="00BA18AF"/>
    <w:rsid w:val="00BA2593"/>
    <w:rsid w:val="00BA3EF3"/>
    <w:rsid w:val="00BA406A"/>
    <w:rsid w:val="00BA4217"/>
    <w:rsid w:val="00BA4741"/>
    <w:rsid w:val="00BB043B"/>
    <w:rsid w:val="00BB0BA9"/>
    <w:rsid w:val="00BB2F5D"/>
    <w:rsid w:val="00BB5331"/>
    <w:rsid w:val="00BB5F31"/>
    <w:rsid w:val="00BB6970"/>
    <w:rsid w:val="00BB7C79"/>
    <w:rsid w:val="00BC0140"/>
    <w:rsid w:val="00BC097A"/>
    <w:rsid w:val="00BC120E"/>
    <w:rsid w:val="00BC1AD4"/>
    <w:rsid w:val="00BC1AF5"/>
    <w:rsid w:val="00BC2E01"/>
    <w:rsid w:val="00BC4545"/>
    <w:rsid w:val="00BC4D90"/>
    <w:rsid w:val="00BC6BCF"/>
    <w:rsid w:val="00BC75E9"/>
    <w:rsid w:val="00BD17A6"/>
    <w:rsid w:val="00BD1867"/>
    <w:rsid w:val="00BD1E3E"/>
    <w:rsid w:val="00BD1E4A"/>
    <w:rsid w:val="00BD3E06"/>
    <w:rsid w:val="00BD4941"/>
    <w:rsid w:val="00BD5CEE"/>
    <w:rsid w:val="00BD6B6E"/>
    <w:rsid w:val="00BD72F5"/>
    <w:rsid w:val="00BE06D3"/>
    <w:rsid w:val="00BE0A3D"/>
    <w:rsid w:val="00BE136C"/>
    <w:rsid w:val="00BE1ACC"/>
    <w:rsid w:val="00BE20A4"/>
    <w:rsid w:val="00BE6256"/>
    <w:rsid w:val="00BE6A6B"/>
    <w:rsid w:val="00BE6C02"/>
    <w:rsid w:val="00BF06BC"/>
    <w:rsid w:val="00BF092E"/>
    <w:rsid w:val="00BF170B"/>
    <w:rsid w:val="00BF6148"/>
    <w:rsid w:val="00BF7AA6"/>
    <w:rsid w:val="00BF7DA7"/>
    <w:rsid w:val="00BF7FB8"/>
    <w:rsid w:val="00C04D40"/>
    <w:rsid w:val="00C056EE"/>
    <w:rsid w:val="00C066AA"/>
    <w:rsid w:val="00C06C5B"/>
    <w:rsid w:val="00C10208"/>
    <w:rsid w:val="00C11A62"/>
    <w:rsid w:val="00C136E3"/>
    <w:rsid w:val="00C14A4C"/>
    <w:rsid w:val="00C14E49"/>
    <w:rsid w:val="00C153DC"/>
    <w:rsid w:val="00C157B0"/>
    <w:rsid w:val="00C2178C"/>
    <w:rsid w:val="00C21EBD"/>
    <w:rsid w:val="00C22406"/>
    <w:rsid w:val="00C2632D"/>
    <w:rsid w:val="00C2788E"/>
    <w:rsid w:val="00C27F5E"/>
    <w:rsid w:val="00C30487"/>
    <w:rsid w:val="00C315E5"/>
    <w:rsid w:val="00C355B1"/>
    <w:rsid w:val="00C36F0D"/>
    <w:rsid w:val="00C40360"/>
    <w:rsid w:val="00C40377"/>
    <w:rsid w:val="00C406E6"/>
    <w:rsid w:val="00C418D5"/>
    <w:rsid w:val="00C4426F"/>
    <w:rsid w:val="00C44D56"/>
    <w:rsid w:val="00C455DE"/>
    <w:rsid w:val="00C45720"/>
    <w:rsid w:val="00C45F5A"/>
    <w:rsid w:val="00C46198"/>
    <w:rsid w:val="00C464FF"/>
    <w:rsid w:val="00C50518"/>
    <w:rsid w:val="00C53355"/>
    <w:rsid w:val="00C53420"/>
    <w:rsid w:val="00C53760"/>
    <w:rsid w:val="00C54875"/>
    <w:rsid w:val="00C565C0"/>
    <w:rsid w:val="00C56FFB"/>
    <w:rsid w:val="00C6042E"/>
    <w:rsid w:val="00C623AD"/>
    <w:rsid w:val="00C628AB"/>
    <w:rsid w:val="00C63754"/>
    <w:rsid w:val="00C64E6E"/>
    <w:rsid w:val="00C656AA"/>
    <w:rsid w:val="00C6690E"/>
    <w:rsid w:val="00C66B63"/>
    <w:rsid w:val="00C672A3"/>
    <w:rsid w:val="00C7000F"/>
    <w:rsid w:val="00C71262"/>
    <w:rsid w:val="00C73310"/>
    <w:rsid w:val="00C80A9A"/>
    <w:rsid w:val="00C8155C"/>
    <w:rsid w:val="00C81A04"/>
    <w:rsid w:val="00C82082"/>
    <w:rsid w:val="00C8261B"/>
    <w:rsid w:val="00C82710"/>
    <w:rsid w:val="00C82B90"/>
    <w:rsid w:val="00C8547E"/>
    <w:rsid w:val="00C90D82"/>
    <w:rsid w:val="00C91E4C"/>
    <w:rsid w:val="00C92F06"/>
    <w:rsid w:val="00C9397A"/>
    <w:rsid w:val="00C959B3"/>
    <w:rsid w:val="00CA03A4"/>
    <w:rsid w:val="00CA0C27"/>
    <w:rsid w:val="00CA1087"/>
    <w:rsid w:val="00CA1C7A"/>
    <w:rsid w:val="00CA2619"/>
    <w:rsid w:val="00CA2D3B"/>
    <w:rsid w:val="00CA357D"/>
    <w:rsid w:val="00CA4038"/>
    <w:rsid w:val="00CA4BC8"/>
    <w:rsid w:val="00CA5594"/>
    <w:rsid w:val="00CA72C7"/>
    <w:rsid w:val="00CB2893"/>
    <w:rsid w:val="00CB2B9B"/>
    <w:rsid w:val="00CB3E3E"/>
    <w:rsid w:val="00CB401B"/>
    <w:rsid w:val="00CB5C1C"/>
    <w:rsid w:val="00CC49DD"/>
    <w:rsid w:val="00CC60EF"/>
    <w:rsid w:val="00CC65D8"/>
    <w:rsid w:val="00CC680C"/>
    <w:rsid w:val="00CC715C"/>
    <w:rsid w:val="00CD0F0A"/>
    <w:rsid w:val="00CD2075"/>
    <w:rsid w:val="00CD5A53"/>
    <w:rsid w:val="00CD7523"/>
    <w:rsid w:val="00CE0178"/>
    <w:rsid w:val="00CE1D03"/>
    <w:rsid w:val="00CE2491"/>
    <w:rsid w:val="00CE50A0"/>
    <w:rsid w:val="00CE60D4"/>
    <w:rsid w:val="00CE692B"/>
    <w:rsid w:val="00CE6EB7"/>
    <w:rsid w:val="00CF22B5"/>
    <w:rsid w:val="00CF2C3B"/>
    <w:rsid w:val="00CF448B"/>
    <w:rsid w:val="00CF49A3"/>
    <w:rsid w:val="00CF49D5"/>
    <w:rsid w:val="00CF4D4C"/>
    <w:rsid w:val="00CF590E"/>
    <w:rsid w:val="00CF662A"/>
    <w:rsid w:val="00D00117"/>
    <w:rsid w:val="00D00BA6"/>
    <w:rsid w:val="00D015FC"/>
    <w:rsid w:val="00D02871"/>
    <w:rsid w:val="00D02A5C"/>
    <w:rsid w:val="00D03349"/>
    <w:rsid w:val="00D04238"/>
    <w:rsid w:val="00D04358"/>
    <w:rsid w:val="00D05317"/>
    <w:rsid w:val="00D054F0"/>
    <w:rsid w:val="00D05CC4"/>
    <w:rsid w:val="00D06737"/>
    <w:rsid w:val="00D06AD5"/>
    <w:rsid w:val="00D07442"/>
    <w:rsid w:val="00D100D1"/>
    <w:rsid w:val="00D112B9"/>
    <w:rsid w:val="00D113B6"/>
    <w:rsid w:val="00D1241C"/>
    <w:rsid w:val="00D1339A"/>
    <w:rsid w:val="00D21FC1"/>
    <w:rsid w:val="00D23DC3"/>
    <w:rsid w:val="00D23F99"/>
    <w:rsid w:val="00D241D9"/>
    <w:rsid w:val="00D2533D"/>
    <w:rsid w:val="00D25DBA"/>
    <w:rsid w:val="00D26010"/>
    <w:rsid w:val="00D264E2"/>
    <w:rsid w:val="00D3002F"/>
    <w:rsid w:val="00D301F6"/>
    <w:rsid w:val="00D32516"/>
    <w:rsid w:val="00D3337D"/>
    <w:rsid w:val="00D339DB"/>
    <w:rsid w:val="00D34238"/>
    <w:rsid w:val="00D351DB"/>
    <w:rsid w:val="00D351DC"/>
    <w:rsid w:val="00D35296"/>
    <w:rsid w:val="00D357D1"/>
    <w:rsid w:val="00D3602D"/>
    <w:rsid w:val="00D36D09"/>
    <w:rsid w:val="00D376FF"/>
    <w:rsid w:val="00D377D0"/>
    <w:rsid w:val="00D40C0F"/>
    <w:rsid w:val="00D42243"/>
    <w:rsid w:val="00D43339"/>
    <w:rsid w:val="00D4437D"/>
    <w:rsid w:val="00D44ACE"/>
    <w:rsid w:val="00D4572A"/>
    <w:rsid w:val="00D47B08"/>
    <w:rsid w:val="00D5174C"/>
    <w:rsid w:val="00D52C7B"/>
    <w:rsid w:val="00D52D8E"/>
    <w:rsid w:val="00D534BE"/>
    <w:rsid w:val="00D53E5F"/>
    <w:rsid w:val="00D541F4"/>
    <w:rsid w:val="00D5429A"/>
    <w:rsid w:val="00D551D0"/>
    <w:rsid w:val="00D56CA8"/>
    <w:rsid w:val="00D57C08"/>
    <w:rsid w:val="00D60AEC"/>
    <w:rsid w:val="00D61CD8"/>
    <w:rsid w:val="00D64EF5"/>
    <w:rsid w:val="00D66992"/>
    <w:rsid w:val="00D676EB"/>
    <w:rsid w:val="00D70440"/>
    <w:rsid w:val="00D73B00"/>
    <w:rsid w:val="00D75502"/>
    <w:rsid w:val="00D80FD4"/>
    <w:rsid w:val="00D829E3"/>
    <w:rsid w:val="00D83863"/>
    <w:rsid w:val="00D83BA2"/>
    <w:rsid w:val="00D84080"/>
    <w:rsid w:val="00D8718E"/>
    <w:rsid w:val="00D87808"/>
    <w:rsid w:val="00D91508"/>
    <w:rsid w:val="00D920A1"/>
    <w:rsid w:val="00D92A1B"/>
    <w:rsid w:val="00D92E93"/>
    <w:rsid w:val="00D939C7"/>
    <w:rsid w:val="00D95883"/>
    <w:rsid w:val="00D95DDB"/>
    <w:rsid w:val="00D96189"/>
    <w:rsid w:val="00D97369"/>
    <w:rsid w:val="00D97EA3"/>
    <w:rsid w:val="00DA07E1"/>
    <w:rsid w:val="00DA186A"/>
    <w:rsid w:val="00DA21CB"/>
    <w:rsid w:val="00DA2D54"/>
    <w:rsid w:val="00DA2F29"/>
    <w:rsid w:val="00DA5A52"/>
    <w:rsid w:val="00DA6F2D"/>
    <w:rsid w:val="00DA74D5"/>
    <w:rsid w:val="00DB23F3"/>
    <w:rsid w:val="00DB45F7"/>
    <w:rsid w:val="00DB6713"/>
    <w:rsid w:val="00DC05D3"/>
    <w:rsid w:val="00DC062E"/>
    <w:rsid w:val="00DC0ADC"/>
    <w:rsid w:val="00DC353B"/>
    <w:rsid w:val="00DC5E33"/>
    <w:rsid w:val="00DC683A"/>
    <w:rsid w:val="00DC6F2B"/>
    <w:rsid w:val="00DC6F30"/>
    <w:rsid w:val="00DC78D1"/>
    <w:rsid w:val="00DD07B5"/>
    <w:rsid w:val="00DD3914"/>
    <w:rsid w:val="00DD40BB"/>
    <w:rsid w:val="00DD5A1E"/>
    <w:rsid w:val="00DD5F64"/>
    <w:rsid w:val="00DD68BA"/>
    <w:rsid w:val="00DD7B3F"/>
    <w:rsid w:val="00DE4160"/>
    <w:rsid w:val="00DE4B47"/>
    <w:rsid w:val="00DE4FAC"/>
    <w:rsid w:val="00DF0811"/>
    <w:rsid w:val="00DF24DF"/>
    <w:rsid w:val="00DF54BD"/>
    <w:rsid w:val="00DF598A"/>
    <w:rsid w:val="00DF59BB"/>
    <w:rsid w:val="00DF5A3D"/>
    <w:rsid w:val="00DF62ED"/>
    <w:rsid w:val="00DF6DAA"/>
    <w:rsid w:val="00DF7AD4"/>
    <w:rsid w:val="00E0048F"/>
    <w:rsid w:val="00E00EFD"/>
    <w:rsid w:val="00E0395C"/>
    <w:rsid w:val="00E03F0B"/>
    <w:rsid w:val="00E04134"/>
    <w:rsid w:val="00E058BD"/>
    <w:rsid w:val="00E060F0"/>
    <w:rsid w:val="00E069DD"/>
    <w:rsid w:val="00E11A30"/>
    <w:rsid w:val="00E122CB"/>
    <w:rsid w:val="00E12E4C"/>
    <w:rsid w:val="00E148FD"/>
    <w:rsid w:val="00E15B31"/>
    <w:rsid w:val="00E17D96"/>
    <w:rsid w:val="00E20A61"/>
    <w:rsid w:val="00E2164A"/>
    <w:rsid w:val="00E21AEE"/>
    <w:rsid w:val="00E21C41"/>
    <w:rsid w:val="00E21D5D"/>
    <w:rsid w:val="00E241A2"/>
    <w:rsid w:val="00E24E5E"/>
    <w:rsid w:val="00E26809"/>
    <w:rsid w:val="00E26A92"/>
    <w:rsid w:val="00E27B8C"/>
    <w:rsid w:val="00E302F4"/>
    <w:rsid w:val="00E30E09"/>
    <w:rsid w:val="00E30E39"/>
    <w:rsid w:val="00E33B03"/>
    <w:rsid w:val="00E3592D"/>
    <w:rsid w:val="00E36883"/>
    <w:rsid w:val="00E37588"/>
    <w:rsid w:val="00E37595"/>
    <w:rsid w:val="00E37E31"/>
    <w:rsid w:val="00E37F0B"/>
    <w:rsid w:val="00E4056E"/>
    <w:rsid w:val="00E40B39"/>
    <w:rsid w:val="00E430F0"/>
    <w:rsid w:val="00E453EC"/>
    <w:rsid w:val="00E45AD7"/>
    <w:rsid w:val="00E45EF6"/>
    <w:rsid w:val="00E47E8C"/>
    <w:rsid w:val="00E500BD"/>
    <w:rsid w:val="00E50D0C"/>
    <w:rsid w:val="00E52B16"/>
    <w:rsid w:val="00E54073"/>
    <w:rsid w:val="00E54A29"/>
    <w:rsid w:val="00E56CD7"/>
    <w:rsid w:val="00E56E5B"/>
    <w:rsid w:val="00E57CC9"/>
    <w:rsid w:val="00E6012F"/>
    <w:rsid w:val="00E63B23"/>
    <w:rsid w:val="00E66FEF"/>
    <w:rsid w:val="00E67B62"/>
    <w:rsid w:val="00E71022"/>
    <w:rsid w:val="00E74901"/>
    <w:rsid w:val="00E750A7"/>
    <w:rsid w:val="00E75524"/>
    <w:rsid w:val="00E77712"/>
    <w:rsid w:val="00E77FD8"/>
    <w:rsid w:val="00E801FD"/>
    <w:rsid w:val="00E8376C"/>
    <w:rsid w:val="00E852F5"/>
    <w:rsid w:val="00E85F12"/>
    <w:rsid w:val="00E868BE"/>
    <w:rsid w:val="00E92BF0"/>
    <w:rsid w:val="00E92D17"/>
    <w:rsid w:val="00E93636"/>
    <w:rsid w:val="00E939C2"/>
    <w:rsid w:val="00E9452D"/>
    <w:rsid w:val="00E95278"/>
    <w:rsid w:val="00E9592E"/>
    <w:rsid w:val="00E96EBD"/>
    <w:rsid w:val="00E97A3A"/>
    <w:rsid w:val="00E97ABB"/>
    <w:rsid w:val="00EA244E"/>
    <w:rsid w:val="00EA5AAA"/>
    <w:rsid w:val="00EB40E2"/>
    <w:rsid w:val="00EB6266"/>
    <w:rsid w:val="00EB72D7"/>
    <w:rsid w:val="00EC1006"/>
    <w:rsid w:val="00EC561F"/>
    <w:rsid w:val="00EC7CA8"/>
    <w:rsid w:val="00ED1152"/>
    <w:rsid w:val="00ED27C7"/>
    <w:rsid w:val="00ED3013"/>
    <w:rsid w:val="00ED33B7"/>
    <w:rsid w:val="00ED434E"/>
    <w:rsid w:val="00ED48EF"/>
    <w:rsid w:val="00ED60A8"/>
    <w:rsid w:val="00ED6DEA"/>
    <w:rsid w:val="00ED78AF"/>
    <w:rsid w:val="00EE1673"/>
    <w:rsid w:val="00EE3F92"/>
    <w:rsid w:val="00EE5554"/>
    <w:rsid w:val="00EE55EC"/>
    <w:rsid w:val="00EE5BD6"/>
    <w:rsid w:val="00EE5C15"/>
    <w:rsid w:val="00EE5D3E"/>
    <w:rsid w:val="00EF0156"/>
    <w:rsid w:val="00EF1BA0"/>
    <w:rsid w:val="00EF5024"/>
    <w:rsid w:val="00EF515A"/>
    <w:rsid w:val="00EF5499"/>
    <w:rsid w:val="00EF72C4"/>
    <w:rsid w:val="00EF7CA3"/>
    <w:rsid w:val="00F00208"/>
    <w:rsid w:val="00F013E2"/>
    <w:rsid w:val="00F0386C"/>
    <w:rsid w:val="00F03F1A"/>
    <w:rsid w:val="00F044C0"/>
    <w:rsid w:val="00F05180"/>
    <w:rsid w:val="00F06AF5"/>
    <w:rsid w:val="00F06D1B"/>
    <w:rsid w:val="00F07504"/>
    <w:rsid w:val="00F10E4F"/>
    <w:rsid w:val="00F10F50"/>
    <w:rsid w:val="00F11255"/>
    <w:rsid w:val="00F113DC"/>
    <w:rsid w:val="00F11FFD"/>
    <w:rsid w:val="00F1210E"/>
    <w:rsid w:val="00F135A9"/>
    <w:rsid w:val="00F135C6"/>
    <w:rsid w:val="00F14B42"/>
    <w:rsid w:val="00F156BB"/>
    <w:rsid w:val="00F16A9E"/>
    <w:rsid w:val="00F20A3C"/>
    <w:rsid w:val="00F20E82"/>
    <w:rsid w:val="00F21B81"/>
    <w:rsid w:val="00F22152"/>
    <w:rsid w:val="00F239E4"/>
    <w:rsid w:val="00F25A47"/>
    <w:rsid w:val="00F2664E"/>
    <w:rsid w:val="00F3138F"/>
    <w:rsid w:val="00F31696"/>
    <w:rsid w:val="00F31E19"/>
    <w:rsid w:val="00F35552"/>
    <w:rsid w:val="00F356FF"/>
    <w:rsid w:val="00F37ABC"/>
    <w:rsid w:val="00F405DF"/>
    <w:rsid w:val="00F42CF9"/>
    <w:rsid w:val="00F44357"/>
    <w:rsid w:val="00F44765"/>
    <w:rsid w:val="00F4532D"/>
    <w:rsid w:val="00F458E4"/>
    <w:rsid w:val="00F46F5D"/>
    <w:rsid w:val="00F50DD7"/>
    <w:rsid w:val="00F5135F"/>
    <w:rsid w:val="00F5162B"/>
    <w:rsid w:val="00F52C22"/>
    <w:rsid w:val="00F54D4D"/>
    <w:rsid w:val="00F61A59"/>
    <w:rsid w:val="00F6418A"/>
    <w:rsid w:val="00F73371"/>
    <w:rsid w:val="00F73C59"/>
    <w:rsid w:val="00F74050"/>
    <w:rsid w:val="00F7424E"/>
    <w:rsid w:val="00F747CE"/>
    <w:rsid w:val="00F74B86"/>
    <w:rsid w:val="00F80E29"/>
    <w:rsid w:val="00F80EB6"/>
    <w:rsid w:val="00F844F2"/>
    <w:rsid w:val="00F84922"/>
    <w:rsid w:val="00F85E05"/>
    <w:rsid w:val="00F8624C"/>
    <w:rsid w:val="00F87917"/>
    <w:rsid w:val="00F90952"/>
    <w:rsid w:val="00F90B51"/>
    <w:rsid w:val="00F90F12"/>
    <w:rsid w:val="00F91E69"/>
    <w:rsid w:val="00F91FDB"/>
    <w:rsid w:val="00F94BA4"/>
    <w:rsid w:val="00F951E2"/>
    <w:rsid w:val="00F95EFF"/>
    <w:rsid w:val="00F96223"/>
    <w:rsid w:val="00F976BA"/>
    <w:rsid w:val="00F97819"/>
    <w:rsid w:val="00F979BC"/>
    <w:rsid w:val="00F97D4E"/>
    <w:rsid w:val="00FA0269"/>
    <w:rsid w:val="00FA05BD"/>
    <w:rsid w:val="00FA19E7"/>
    <w:rsid w:val="00FA5516"/>
    <w:rsid w:val="00FA57C4"/>
    <w:rsid w:val="00FA7F2C"/>
    <w:rsid w:val="00FB1391"/>
    <w:rsid w:val="00FB1F0F"/>
    <w:rsid w:val="00FB3652"/>
    <w:rsid w:val="00FB4EAC"/>
    <w:rsid w:val="00FB6A55"/>
    <w:rsid w:val="00FB734E"/>
    <w:rsid w:val="00FC1DF9"/>
    <w:rsid w:val="00FC2FF7"/>
    <w:rsid w:val="00FC3504"/>
    <w:rsid w:val="00FC3DB5"/>
    <w:rsid w:val="00FC42E4"/>
    <w:rsid w:val="00FC4AF5"/>
    <w:rsid w:val="00FC4D95"/>
    <w:rsid w:val="00FC570D"/>
    <w:rsid w:val="00FC5AF0"/>
    <w:rsid w:val="00FC5B28"/>
    <w:rsid w:val="00FC6055"/>
    <w:rsid w:val="00FC71F7"/>
    <w:rsid w:val="00FD2CAD"/>
    <w:rsid w:val="00FD6D68"/>
    <w:rsid w:val="00FD6F6B"/>
    <w:rsid w:val="00FE1F8E"/>
    <w:rsid w:val="00FE2D59"/>
    <w:rsid w:val="00FE3BF6"/>
    <w:rsid w:val="00FF0493"/>
    <w:rsid w:val="00FF0784"/>
    <w:rsid w:val="00FF1917"/>
    <w:rsid w:val="00FF3006"/>
    <w:rsid w:val="00FF30EE"/>
    <w:rsid w:val="00FF5E66"/>
    <w:rsid w:val="076FDB89"/>
    <w:rsid w:val="09BB7656"/>
    <w:rsid w:val="09D50262"/>
    <w:rsid w:val="0D7F06D3"/>
    <w:rsid w:val="0DCF619F"/>
    <w:rsid w:val="0F55B3C6"/>
    <w:rsid w:val="0FB7C9B3"/>
    <w:rsid w:val="0FDD5361"/>
    <w:rsid w:val="11771034"/>
    <w:rsid w:val="12EE791C"/>
    <w:rsid w:val="135E0D4C"/>
    <w:rsid w:val="14BBDE3F"/>
    <w:rsid w:val="14D42F93"/>
    <w:rsid w:val="1756479B"/>
    <w:rsid w:val="175F4F7B"/>
    <w:rsid w:val="17FFAD4B"/>
    <w:rsid w:val="1AD9F8EF"/>
    <w:rsid w:val="1B77C917"/>
    <w:rsid w:val="1BD20507"/>
    <w:rsid w:val="1BE7C77A"/>
    <w:rsid w:val="1BEDC6A7"/>
    <w:rsid w:val="1C9706F7"/>
    <w:rsid w:val="1CEAAB29"/>
    <w:rsid w:val="1DFD621C"/>
    <w:rsid w:val="1DFF3DA5"/>
    <w:rsid w:val="1E33399B"/>
    <w:rsid w:val="1EFFE9F2"/>
    <w:rsid w:val="1FEF13D5"/>
    <w:rsid w:val="1FF785E4"/>
    <w:rsid w:val="22F664CE"/>
    <w:rsid w:val="23FB1441"/>
    <w:rsid w:val="247F4902"/>
    <w:rsid w:val="2777F700"/>
    <w:rsid w:val="27D3FF9D"/>
    <w:rsid w:val="27D65936"/>
    <w:rsid w:val="27EC095A"/>
    <w:rsid w:val="27F5EE59"/>
    <w:rsid w:val="27FF5961"/>
    <w:rsid w:val="28BFC4AC"/>
    <w:rsid w:val="29FF8D62"/>
    <w:rsid w:val="2A9DC642"/>
    <w:rsid w:val="2B116C1A"/>
    <w:rsid w:val="2B1D51CC"/>
    <w:rsid w:val="2BA07020"/>
    <w:rsid w:val="2BBC6A46"/>
    <w:rsid w:val="2BF88557"/>
    <w:rsid w:val="2CBED084"/>
    <w:rsid w:val="2CF3840F"/>
    <w:rsid w:val="2DF21815"/>
    <w:rsid w:val="2DFEF4E9"/>
    <w:rsid w:val="2DFF255D"/>
    <w:rsid w:val="2E757516"/>
    <w:rsid w:val="2E9FCC6D"/>
    <w:rsid w:val="2EDF3420"/>
    <w:rsid w:val="2FBF0F82"/>
    <w:rsid w:val="2FDEBD1D"/>
    <w:rsid w:val="2FFBBD8B"/>
    <w:rsid w:val="33EFF2DE"/>
    <w:rsid w:val="33FF7E2A"/>
    <w:rsid w:val="35F5241D"/>
    <w:rsid w:val="36632172"/>
    <w:rsid w:val="36DA224F"/>
    <w:rsid w:val="36F77B1A"/>
    <w:rsid w:val="3794F2A1"/>
    <w:rsid w:val="37BE6B10"/>
    <w:rsid w:val="37CB9033"/>
    <w:rsid w:val="37E3ADA5"/>
    <w:rsid w:val="37E7296F"/>
    <w:rsid w:val="37EB1EE0"/>
    <w:rsid w:val="397BFDBB"/>
    <w:rsid w:val="3AF7E8D8"/>
    <w:rsid w:val="3B9B70AC"/>
    <w:rsid w:val="3BDB6902"/>
    <w:rsid w:val="3BEB2575"/>
    <w:rsid w:val="3BEF0046"/>
    <w:rsid w:val="3BF661D2"/>
    <w:rsid w:val="3BFEEE61"/>
    <w:rsid w:val="3C63B7BE"/>
    <w:rsid w:val="3CF53EA2"/>
    <w:rsid w:val="3D6E19A7"/>
    <w:rsid w:val="3D7E1E50"/>
    <w:rsid w:val="3D7E24B2"/>
    <w:rsid w:val="3D9E1D6A"/>
    <w:rsid w:val="3DE35D1D"/>
    <w:rsid w:val="3DEDF339"/>
    <w:rsid w:val="3DFF4422"/>
    <w:rsid w:val="3DFFE467"/>
    <w:rsid w:val="3EBBF4F5"/>
    <w:rsid w:val="3EBFBCFB"/>
    <w:rsid w:val="3EBFE87C"/>
    <w:rsid w:val="3EE7BC4B"/>
    <w:rsid w:val="3EFCF4D6"/>
    <w:rsid w:val="3EFE8337"/>
    <w:rsid w:val="3F4D2F3C"/>
    <w:rsid w:val="3F55FF0A"/>
    <w:rsid w:val="3F5F7E51"/>
    <w:rsid w:val="3F5FFA80"/>
    <w:rsid w:val="3F7DAF52"/>
    <w:rsid w:val="3F7DEA0A"/>
    <w:rsid w:val="3F90B921"/>
    <w:rsid w:val="3F97759F"/>
    <w:rsid w:val="3FD73FF6"/>
    <w:rsid w:val="3FD78179"/>
    <w:rsid w:val="3FDB0F5B"/>
    <w:rsid w:val="3FDB4696"/>
    <w:rsid w:val="3FDD6184"/>
    <w:rsid w:val="3FEA7C47"/>
    <w:rsid w:val="3FED4606"/>
    <w:rsid w:val="3FEE2076"/>
    <w:rsid w:val="3FF3858A"/>
    <w:rsid w:val="3FF42F96"/>
    <w:rsid w:val="3FF754FA"/>
    <w:rsid w:val="3FFD77CC"/>
    <w:rsid w:val="3FFDB07E"/>
    <w:rsid w:val="3FFE78C2"/>
    <w:rsid w:val="3FFF20EF"/>
    <w:rsid w:val="3FFF69D3"/>
    <w:rsid w:val="3FFF73F6"/>
    <w:rsid w:val="3FFF9760"/>
    <w:rsid w:val="407ECD8A"/>
    <w:rsid w:val="41D629D7"/>
    <w:rsid w:val="43FF9069"/>
    <w:rsid w:val="44C2005E"/>
    <w:rsid w:val="45FF33F9"/>
    <w:rsid w:val="46551D0D"/>
    <w:rsid w:val="467FD7AF"/>
    <w:rsid w:val="47FEB97F"/>
    <w:rsid w:val="47FF73AC"/>
    <w:rsid w:val="48742647"/>
    <w:rsid w:val="49FEF738"/>
    <w:rsid w:val="4BFDD1C9"/>
    <w:rsid w:val="4D673E5D"/>
    <w:rsid w:val="4DFD3F0C"/>
    <w:rsid w:val="4DFE5FAF"/>
    <w:rsid w:val="4E7E6116"/>
    <w:rsid w:val="4E99B50C"/>
    <w:rsid w:val="4F3BE71D"/>
    <w:rsid w:val="4FBECD86"/>
    <w:rsid w:val="4FCE1813"/>
    <w:rsid w:val="4FED63C9"/>
    <w:rsid w:val="4FF6FCBE"/>
    <w:rsid w:val="4FFFBC05"/>
    <w:rsid w:val="518F010A"/>
    <w:rsid w:val="51FED7AB"/>
    <w:rsid w:val="51FFF3F3"/>
    <w:rsid w:val="52ADDA23"/>
    <w:rsid w:val="52FB4569"/>
    <w:rsid w:val="53FC505F"/>
    <w:rsid w:val="55047989"/>
    <w:rsid w:val="55671C2C"/>
    <w:rsid w:val="55DFAA34"/>
    <w:rsid w:val="56FF54FB"/>
    <w:rsid w:val="5749A558"/>
    <w:rsid w:val="575FAA6E"/>
    <w:rsid w:val="57DD583A"/>
    <w:rsid w:val="57DFE94B"/>
    <w:rsid w:val="57EE23CF"/>
    <w:rsid w:val="57EF72F9"/>
    <w:rsid w:val="57F72249"/>
    <w:rsid w:val="58DC51D8"/>
    <w:rsid w:val="5AD70B94"/>
    <w:rsid w:val="5B7495C3"/>
    <w:rsid w:val="5B9D092F"/>
    <w:rsid w:val="5BCF0627"/>
    <w:rsid w:val="5BDFCA96"/>
    <w:rsid w:val="5BFFEB0B"/>
    <w:rsid w:val="5CB7BF49"/>
    <w:rsid w:val="5CD4CD02"/>
    <w:rsid w:val="5CEFD428"/>
    <w:rsid w:val="5D317F73"/>
    <w:rsid w:val="5D5B3DFB"/>
    <w:rsid w:val="5D6DD95A"/>
    <w:rsid w:val="5D7505BF"/>
    <w:rsid w:val="5D8A45AB"/>
    <w:rsid w:val="5DB76024"/>
    <w:rsid w:val="5DBFDB40"/>
    <w:rsid w:val="5DD38370"/>
    <w:rsid w:val="5DFD05E2"/>
    <w:rsid w:val="5EB1975C"/>
    <w:rsid w:val="5EF10B52"/>
    <w:rsid w:val="5EFA7CCD"/>
    <w:rsid w:val="5EFD2CC4"/>
    <w:rsid w:val="5EFF4CF8"/>
    <w:rsid w:val="5EFF4E48"/>
    <w:rsid w:val="5F0E2C6F"/>
    <w:rsid w:val="5F1F9CB9"/>
    <w:rsid w:val="5F36E16E"/>
    <w:rsid w:val="5F43686F"/>
    <w:rsid w:val="5F5528B8"/>
    <w:rsid w:val="5F6505C4"/>
    <w:rsid w:val="5F6D6410"/>
    <w:rsid w:val="5F99D005"/>
    <w:rsid w:val="5F9B667F"/>
    <w:rsid w:val="5FA34886"/>
    <w:rsid w:val="5FAEE6F5"/>
    <w:rsid w:val="5FAF222E"/>
    <w:rsid w:val="5FAF45DB"/>
    <w:rsid w:val="5FB7F519"/>
    <w:rsid w:val="5FDB78BB"/>
    <w:rsid w:val="5FDF9D29"/>
    <w:rsid w:val="5FE67918"/>
    <w:rsid w:val="5FEDCFD2"/>
    <w:rsid w:val="5FEE1472"/>
    <w:rsid w:val="5FEF286E"/>
    <w:rsid w:val="5FEFDF59"/>
    <w:rsid w:val="5FF64F31"/>
    <w:rsid w:val="5FFDE74C"/>
    <w:rsid w:val="5FFE9B20"/>
    <w:rsid w:val="5FFFCE0B"/>
    <w:rsid w:val="5FFFFE6E"/>
    <w:rsid w:val="61D53651"/>
    <w:rsid w:val="61DFD6B2"/>
    <w:rsid w:val="61F472E0"/>
    <w:rsid w:val="639221EC"/>
    <w:rsid w:val="63DF866D"/>
    <w:rsid w:val="63FA9A36"/>
    <w:rsid w:val="65FDE584"/>
    <w:rsid w:val="65FE2A7B"/>
    <w:rsid w:val="65FFD3D4"/>
    <w:rsid w:val="675F4899"/>
    <w:rsid w:val="677CFB7D"/>
    <w:rsid w:val="677F22C3"/>
    <w:rsid w:val="67B0DA56"/>
    <w:rsid w:val="67F2112F"/>
    <w:rsid w:val="67FDCAEE"/>
    <w:rsid w:val="697DF269"/>
    <w:rsid w:val="6ABBA7BD"/>
    <w:rsid w:val="6AC1C717"/>
    <w:rsid w:val="6AD75A62"/>
    <w:rsid w:val="6AF744EE"/>
    <w:rsid w:val="6B5FB265"/>
    <w:rsid w:val="6B778E21"/>
    <w:rsid w:val="6B7F1EAA"/>
    <w:rsid w:val="6BB246DC"/>
    <w:rsid w:val="6BBF65B0"/>
    <w:rsid w:val="6BDB3995"/>
    <w:rsid w:val="6BE7739D"/>
    <w:rsid w:val="6BFF0688"/>
    <w:rsid w:val="6CCA3FBF"/>
    <w:rsid w:val="6CE97B6C"/>
    <w:rsid w:val="6CED9F87"/>
    <w:rsid w:val="6CF7034F"/>
    <w:rsid w:val="6CFFB954"/>
    <w:rsid w:val="6CFFF5BD"/>
    <w:rsid w:val="6D59F4EE"/>
    <w:rsid w:val="6D7DDD08"/>
    <w:rsid w:val="6DBD7633"/>
    <w:rsid w:val="6DC50B64"/>
    <w:rsid w:val="6DEB0134"/>
    <w:rsid w:val="6E7C33EE"/>
    <w:rsid w:val="6EC27C5B"/>
    <w:rsid w:val="6ECAFE2D"/>
    <w:rsid w:val="6EF761B1"/>
    <w:rsid w:val="6EFF4033"/>
    <w:rsid w:val="6F020DE5"/>
    <w:rsid w:val="6F7BE473"/>
    <w:rsid w:val="6F7D58CC"/>
    <w:rsid w:val="6F9A7B71"/>
    <w:rsid w:val="6F9B8613"/>
    <w:rsid w:val="6F9F1886"/>
    <w:rsid w:val="6FA90F95"/>
    <w:rsid w:val="6FAAF8C7"/>
    <w:rsid w:val="6FB33157"/>
    <w:rsid w:val="6FB5E366"/>
    <w:rsid w:val="6FBD94D2"/>
    <w:rsid w:val="6FBE5A05"/>
    <w:rsid w:val="6FC54DD3"/>
    <w:rsid w:val="6FED1CA8"/>
    <w:rsid w:val="6FEEA9C3"/>
    <w:rsid w:val="6FEF5846"/>
    <w:rsid w:val="6FF685CA"/>
    <w:rsid w:val="6FF6A32F"/>
    <w:rsid w:val="6FFDBB65"/>
    <w:rsid w:val="6FFDDB10"/>
    <w:rsid w:val="6FFF0682"/>
    <w:rsid w:val="6FFFE7AA"/>
    <w:rsid w:val="705EA2E4"/>
    <w:rsid w:val="70BEAE25"/>
    <w:rsid w:val="714FEF81"/>
    <w:rsid w:val="71F5FC9E"/>
    <w:rsid w:val="726E5BE4"/>
    <w:rsid w:val="734E3E17"/>
    <w:rsid w:val="737A479B"/>
    <w:rsid w:val="73BF9C17"/>
    <w:rsid w:val="73EA1ABC"/>
    <w:rsid w:val="73F3756D"/>
    <w:rsid w:val="73FDF314"/>
    <w:rsid w:val="743E6D09"/>
    <w:rsid w:val="745436E9"/>
    <w:rsid w:val="746FB921"/>
    <w:rsid w:val="74822F34"/>
    <w:rsid w:val="75BF2BCE"/>
    <w:rsid w:val="75DDDFF0"/>
    <w:rsid w:val="75DFBE80"/>
    <w:rsid w:val="75EBBA90"/>
    <w:rsid w:val="75FB5259"/>
    <w:rsid w:val="75FF42CF"/>
    <w:rsid w:val="75FF61F2"/>
    <w:rsid w:val="76697E51"/>
    <w:rsid w:val="76790721"/>
    <w:rsid w:val="76B5C3E3"/>
    <w:rsid w:val="76CF2F6C"/>
    <w:rsid w:val="76D7780E"/>
    <w:rsid w:val="76FBE7A2"/>
    <w:rsid w:val="76FC219B"/>
    <w:rsid w:val="76FE1907"/>
    <w:rsid w:val="76FF51B0"/>
    <w:rsid w:val="773AB814"/>
    <w:rsid w:val="77476BD9"/>
    <w:rsid w:val="77625131"/>
    <w:rsid w:val="776F89E9"/>
    <w:rsid w:val="7775640E"/>
    <w:rsid w:val="7777CE14"/>
    <w:rsid w:val="777FC191"/>
    <w:rsid w:val="777FCC22"/>
    <w:rsid w:val="778F4423"/>
    <w:rsid w:val="77A3F2E3"/>
    <w:rsid w:val="77B4C829"/>
    <w:rsid w:val="77BBE192"/>
    <w:rsid w:val="77BF5CEF"/>
    <w:rsid w:val="77BFCC0F"/>
    <w:rsid w:val="77CF81F5"/>
    <w:rsid w:val="77DD70F9"/>
    <w:rsid w:val="77DFD2EB"/>
    <w:rsid w:val="77E692C6"/>
    <w:rsid w:val="77EF98C3"/>
    <w:rsid w:val="77EFC835"/>
    <w:rsid w:val="77F46910"/>
    <w:rsid w:val="77F7D30D"/>
    <w:rsid w:val="77FC4D9B"/>
    <w:rsid w:val="77FD508B"/>
    <w:rsid w:val="77FEC46A"/>
    <w:rsid w:val="77FF9629"/>
    <w:rsid w:val="77FFCBAE"/>
    <w:rsid w:val="77FFDD1F"/>
    <w:rsid w:val="7854E415"/>
    <w:rsid w:val="78DEDED3"/>
    <w:rsid w:val="79960634"/>
    <w:rsid w:val="7A72DC65"/>
    <w:rsid w:val="7AAF8241"/>
    <w:rsid w:val="7B6EF8DC"/>
    <w:rsid w:val="7B7BC118"/>
    <w:rsid w:val="7B7DDEB5"/>
    <w:rsid w:val="7B7DF519"/>
    <w:rsid w:val="7B7FC6C6"/>
    <w:rsid w:val="7B8786F4"/>
    <w:rsid w:val="7BAF53B8"/>
    <w:rsid w:val="7BB61EB5"/>
    <w:rsid w:val="7BB754C7"/>
    <w:rsid w:val="7BBD09E4"/>
    <w:rsid w:val="7BC86AA4"/>
    <w:rsid w:val="7BDCF65D"/>
    <w:rsid w:val="7BDF236E"/>
    <w:rsid w:val="7BECE716"/>
    <w:rsid w:val="7BEF4325"/>
    <w:rsid w:val="7BF7AEF9"/>
    <w:rsid w:val="7BFDC51E"/>
    <w:rsid w:val="7BFF75EC"/>
    <w:rsid w:val="7BFF8D08"/>
    <w:rsid w:val="7BFFE440"/>
    <w:rsid w:val="7C9E4403"/>
    <w:rsid w:val="7CB9D75A"/>
    <w:rsid w:val="7CDF617C"/>
    <w:rsid w:val="7CE74C83"/>
    <w:rsid w:val="7CEF11BC"/>
    <w:rsid w:val="7D2AC3B8"/>
    <w:rsid w:val="7D5F6A2E"/>
    <w:rsid w:val="7D5F93C5"/>
    <w:rsid w:val="7D66FE91"/>
    <w:rsid w:val="7D735C2F"/>
    <w:rsid w:val="7D7D85BC"/>
    <w:rsid w:val="7D7F6165"/>
    <w:rsid w:val="7D9FCF05"/>
    <w:rsid w:val="7DCCD31A"/>
    <w:rsid w:val="7DE694F0"/>
    <w:rsid w:val="7DEFFB3B"/>
    <w:rsid w:val="7DF57BE1"/>
    <w:rsid w:val="7DFFE042"/>
    <w:rsid w:val="7DFFE5AB"/>
    <w:rsid w:val="7EAF4107"/>
    <w:rsid w:val="7EBC102D"/>
    <w:rsid w:val="7EBE9DFC"/>
    <w:rsid w:val="7EBF1417"/>
    <w:rsid w:val="7EBF922F"/>
    <w:rsid w:val="7ED6FA70"/>
    <w:rsid w:val="7EDE0703"/>
    <w:rsid w:val="7EDECB4C"/>
    <w:rsid w:val="7EDFF8FC"/>
    <w:rsid w:val="7EE666AE"/>
    <w:rsid w:val="7EEF8CE5"/>
    <w:rsid w:val="7EF6AC2B"/>
    <w:rsid w:val="7EFA07F1"/>
    <w:rsid w:val="7EFB9B4F"/>
    <w:rsid w:val="7EFBF075"/>
    <w:rsid w:val="7EFD5D63"/>
    <w:rsid w:val="7EFE3FDE"/>
    <w:rsid w:val="7EFF60E9"/>
    <w:rsid w:val="7EFF8EAB"/>
    <w:rsid w:val="7F1F3069"/>
    <w:rsid w:val="7F2F3810"/>
    <w:rsid w:val="7F32A088"/>
    <w:rsid w:val="7F3B3807"/>
    <w:rsid w:val="7F3BECDF"/>
    <w:rsid w:val="7F3F5006"/>
    <w:rsid w:val="7F3FE74D"/>
    <w:rsid w:val="7F4FFEED"/>
    <w:rsid w:val="7F5FF269"/>
    <w:rsid w:val="7F6F4C2A"/>
    <w:rsid w:val="7F6FA6CF"/>
    <w:rsid w:val="7F76FA5B"/>
    <w:rsid w:val="7F77F70C"/>
    <w:rsid w:val="7F7BDF6C"/>
    <w:rsid w:val="7F7D58EC"/>
    <w:rsid w:val="7F7EDD85"/>
    <w:rsid w:val="7F7F0CB5"/>
    <w:rsid w:val="7F7F7E01"/>
    <w:rsid w:val="7F7F9173"/>
    <w:rsid w:val="7F7FCE44"/>
    <w:rsid w:val="7F7FD640"/>
    <w:rsid w:val="7F7FDD0C"/>
    <w:rsid w:val="7F8FB23B"/>
    <w:rsid w:val="7F96D78F"/>
    <w:rsid w:val="7F9F1F0F"/>
    <w:rsid w:val="7F9FA04E"/>
    <w:rsid w:val="7FB50D32"/>
    <w:rsid w:val="7FB5BE21"/>
    <w:rsid w:val="7FBB0D64"/>
    <w:rsid w:val="7FBB5CDC"/>
    <w:rsid w:val="7FBBC43C"/>
    <w:rsid w:val="7FBE5573"/>
    <w:rsid w:val="7FBF3A35"/>
    <w:rsid w:val="7FBFD6B1"/>
    <w:rsid w:val="7FC5FB7B"/>
    <w:rsid w:val="7FC71A04"/>
    <w:rsid w:val="7FCF0299"/>
    <w:rsid w:val="7FDB9A41"/>
    <w:rsid w:val="7FDD9CF4"/>
    <w:rsid w:val="7FDF1F49"/>
    <w:rsid w:val="7FDF46F4"/>
    <w:rsid w:val="7FDF6913"/>
    <w:rsid w:val="7FDF85A3"/>
    <w:rsid w:val="7FE98DE3"/>
    <w:rsid w:val="7FEB32AE"/>
    <w:rsid w:val="7FEB3FE3"/>
    <w:rsid w:val="7FEEA35B"/>
    <w:rsid w:val="7FEEB1B6"/>
    <w:rsid w:val="7FEFB455"/>
    <w:rsid w:val="7FEFC5AB"/>
    <w:rsid w:val="7FF71933"/>
    <w:rsid w:val="7FF9EFE4"/>
    <w:rsid w:val="7FFBAFDB"/>
    <w:rsid w:val="7FFBD778"/>
    <w:rsid w:val="7FFD6BBC"/>
    <w:rsid w:val="7FFF0B26"/>
    <w:rsid w:val="7FFFD44E"/>
    <w:rsid w:val="853202BC"/>
    <w:rsid w:val="876FAD1A"/>
    <w:rsid w:val="8BEFB5E4"/>
    <w:rsid w:val="8DF7D3FD"/>
    <w:rsid w:val="8FB665AA"/>
    <w:rsid w:val="8FBAD361"/>
    <w:rsid w:val="938306AE"/>
    <w:rsid w:val="93FCD03A"/>
    <w:rsid w:val="95CDA2AF"/>
    <w:rsid w:val="96E3F26C"/>
    <w:rsid w:val="97DDB8C9"/>
    <w:rsid w:val="97F7D6E2"/>
    <w:rsid w:val="97FE0857"/>
    <w:rsid w:val="9A3B9A04"/>
    <w:rsid w:val="9B5DFB84"/>
    <w:rsid w:val="9C6FA282"/>
    <w:rsid w:val="9D3515DA"/>
    <w:rsid w:val="9D4B5CFF"/>
    <w:rsid w:val="9E7FA62C"/>
    <w:rsid w:val="9EDE2100"/>
    <w:rsid w:val="9EFCDB45"/>
    <w:rsid w:val="9EFF9F4D"/>
    <w:rsid w:val="9F750C45"/>
    <w:rsid w:val="9FDE2E0A"/>
    <w:rsid w:val="9FF52D3F"/>
    <w:rsid w:val="A3EA1B32"/>
    <w:rsid w:val="A3FE4D82"/>
    <w:rsid w:val="A4EB4D5B"/>
    <w:rsid w:val="A5DBCE01"/>
    <w:rsid w:val="A7FF4BBE"/>
    <w:rsid w:val="AABD60F1"/>
    <w:rsid w:val="ABFDB2BD"/>
    <w:rsid w:val="ABFFF845"/>
    <w:rsid w:val="ADEF9ADF"/>
    <w:rsid w:val="AE5A31AE"/>
    <w:rsid w:val="AFBF1C57"/>
    <w:rsid w:val="AFEF34C2"/>
    <w:rsid w:val="B27DDE35"/>
    <w:rsid w:val="B2BF77BB"/>
    <w:rsid w:val="B31E0175"/>
    <w:rsid w:val="B3A788AF"/>
    <w:rsid w:val="B3C7AB1B"/>
    <w:rsid w:val="B3F9680E"/>
    <w:rsid w:val="B3FFF578"/>
    <w:rsid w:val="B4F71056"/>
    <w:rsid w:val="B53FB410"/>
    <w:rsid w:val="B5AD647E"/>
    <w:rsid w:val="B5F9E950"/>
    <w:rsid w:val="B65FB78E"/>
    <w:rsid w:val="B6E419FA"/>
    <w:rsid w:val="B7027D0F"/>
    <w:rsid w:val="B75FD6D3"/>
    <w:rsid w:val="B77515F5"/>
    <w:rsid w:val="B7D73A0A"/>
    <w:rsid w:val="B7ED414F"/>
    <w:rsid w:val="B7F75828"/>
    <w:rsid w:val="B7FDAAB2"/>
    <w:rsid w:val="B93C78A9"/>
    <w:rsid w:val="B9BF025B"/>
    <w:rsid w:val="B9FB1DD6"/>
    <w:rsid w:val="BA7B23C6"/>
    <w:rsid w:val="BAB739E8"/>
    <w:rsid w:val="BAEE65E8"/>
    <w:rsid w:val="BB5498A1"/>
    <w:rsid w:val="BB56BB17"/>
    <w:rsid w:val="BB7E82B2"/>
    <w:rsid w:val="BB7FA261"/>
    <w:rsid w:val="BBCF2CD2"/>
    <w:rsid w:val="BBF59B62"/>
    <w:rsid w:val="BBFF411C"/>
    <w:rsid w:val="BBFF4B7C"/>
    <w:rsid w:val="BBFFA3FA"/>
    <w:rsid w:val="BC7D8B4E"/>
    <w:rsid w:val="BCBCDA57"/>
    <w:rsid w:val="BD799B58"/>
    <w:rsid w:val="BD7B9EAA"/>
    <w:rsid w:val="BDBDDCAC"/>
    <w:rsid w:val="BDCEA5F1"/>
    <w:rsid w:val="BDD77BD0"/>
    <w:rsid w:val="BDDF44D7"/>
    <w:rsid w:val="BDFF0EBD"/>
    <w:rsid w:val="BDFFCD17"/>
    <w:rsid w:val="BE5231E0"/>
    <w:rsid w:val="BE7D0D3B"/>
    <w:rsid w:val="BE7F34E9"/>
    <w:rsid w:val="BEAE6AD1"/>
    <w:rsid w:val="BEB9301C"/>
    <w:rsid w:val="BECD3CE4"/>
    <w:rsid w:val="BEDBBE55"/>
    <w:rsid w:val="BEF11E69"/>
    <w:rsid w:val="BF3B3E62"/>
    <w:rsid w:val="BF3DB533"/>
    <w:rsid w:val="BF3DBF63"/>
    <w:rsid w:val="BF5F1106"/>
    <w:rsid w:val="BF685508"/>
    <w:rsid w:val="BF7C99FD"/>
    <w:rsid w:val="BF7E982D"/>
    <w:rsid w:val="BFC99058"/>
    <w:rsid w:val="BFCEB2D8"/>
    <w:rsid w:val="BFDFBE97"/>
    <w:rsid w:val="BFEBD1CC"/>
    <w:rsid w:val="BFED82F8"/>
    <w:rsid w:val="BFF70A37"/>
    <w:rsid w:val="BFF71A4B"/>
    <w:rsid w:val="BFFF3D52"/>
    <w:rsid w:val="C3DF3A7B"/>
    <w:rsid w:val="C76FBE80"/>
    <w:rsid w:val="C97ED1FC"/>
    <w:rsid w:val="C9DBCFBC"/>
    <w:rsid w:val="CAAE8A67"/>
    <w:rsid w:val="CAFF49D6"/>
    <w:rsid w:val="CB7E6A25"/>
    <w:rsid w:val="CBBFDB9F"/>
    <w:rsid w:val="CBFF2AE3"/>
    <w:rsid w:val="CDBE2036"/>
    <w:rsid w:val="CDBF0475"/>
    <w:rsid w:val="CDDF7DE3"/>
    <w:rsid w:val="CE6B153D"/>
    <w:rsid w:val="CEDD3555"/>
    <w:rsid w:val="CEFDB8F4"/>
    <w:rsid w:val="CF5EBE44"/>
    <w:rsid w:val="CF798C92"/>
    <w:rsid w:val="CF96495C"/>
    <w:rsid w:val="CFD75B3C"/>
    <w:rsid w:val="CFDFE52B"/>
    <w:rsid w:val="CFDFF91B"/>
    <w:rsid w:val="CFEFF5AA"/>
    <w:rsid w:val="CFFC0673"/>
    <w:rsid w:val="D0F7F144"/>
    <w:rsid w:val="D2DBC64C"/>
    <w:rsid w:val="D3A59E05"/>
    <w:rsid w:val="D3FD6624"/>
    <w:rsid w:val="D49D1B8D"/>
    <w:rsid w:val="D54FA72A"/>
    <w:rsid w:val="D5CBDBF0"/>
    <w:rsid w:val="D5D77607"/>
    <w:rsid w:val="D6C6ADC2"/>
    <w:rsid w:val="D6FE72F4"/>
    <w:rsid w:val="D6FF7087"/>
    <w:rsid w:val="D77B942C"/>
    <w:rsid w:val="D7A7D1B1"/>
    <w:rsid w:val="D7B5FD3A"/>
    <w:rsid w:val="D7BD9152"/>
    <w:rsid w:val="D7FBEA56"/>
    <w:rsid w:val="D7FE657C"/>
    <w:rsid w:val="D98FDE7F"/>
    <w:rsid w:val="D9A7581F"/>
    <w:rsid w:val="D9C30F36"/>
    <w:rsid w:val="DA7F0F88"/>
    <w:rsid w:val="DABF6A1E"/>
    <w:rsid w:val="DABFA99A"/>
    <w:rsid w:val="DAE7D349"/>
    <w:rsid w:val="DB79B0BA"/>
    <w:rsid w:val="DB7F56A5"/>
    <w:rsid w:val="DBD9454D"/>
    <w:rsid w:val="DBFA2E31"/>
    <w:rsid w:val="DC500629"/>
    <w:rsid w:val="DCE7E5EB"/>
    <w:rsid w:val="DD76FB94"/>
    <w:rsid w:val="DD864310"/>
    <w:rsid w:val="DDBB220A"/>
    <w:rsid w:val="DDDFA0CB"/>
    <w:rsid w:val="DDFBF1E8"/>
    <w:rsid w:val="DDFC735C"/>
    <w:rsid w:val="DDFD073A"/>
    <w:rsid w:val="DDFE3EF7"/>
    <w:rsid w:val="DDFFC1AD"/>
    <w:rsid w:val="DE37E6E4"/>
    <w:rsid w:val="DE5DA90E"/>
    <w:rsid w:val="DE5DE373"/>
    <w:rsid w:val="DEBD2DDB"/>
    <w:rsid w:val="DECDF632"/>
    <w:rsid w:val="DEDBE505"/>
    <w:rsid w:val="DEF32035"/>
    <w:rsid w:val="DF74ADA2"/>
    <w:rsid w:val="DF9C40F6"/>
    <w:rsid w:val="DF9E9118"/>
    <w:rsid w:val="DFA56BAA"/>
    <w:rsid w:val="DFAB6836"/>
    <w:rsid w:val="DFB7EC45"/>
    <w:rsid w:val="DFEA11E1"/>
    <w:rsid w:val="DFF91B7A"/>
    <w:rsid w:val="DFFB6569"/>
    <w:rsid w:val="DFFFB5D8"/>
    <w:rsid w:val="E0AE337B"/>
    <w:rsid w:val="E14DADCE"/>
    <w:rsid w:val="E177C214"/>
    <w:rsid w:val="E1EF3FA9"/>
    <w:rsid w:val="E1F6086F"/>
    <w:rsid w:val="E1FB4BF4"/>
    <w:rsid w:val="E2FB1578"/>
    <w:rsid w:val="E3DE7B9E"/>
    <w:rsid w:val="E3ECE9E9"/>
    <w:rsid w:val="E3F42FF5"/>
    <w:rsid w:val="E5AF5393"/>
    <w:rsid w:val="E6739E26"/>
    <w:rsid w:val="E683E1DA"/>
    <w:rsid w:val="E6BBB000"/>
    <w:rsid w:val="E6FF18E7"/>
    <w:rsid w:val="E7575EF4"/>
    <w:rsid w:val="E76B716E"/>
    <w:rsid w:val="E7BF58B4"/>
    <w:rsid w:val="E7C78785"/>
    <w:rsid w:val="E7CD84AD"/>
    <w:rsid w:val="E7CF49EB"/>
    <w:rsid w:val="E7E3E35B"/>
    <w:rsid w:val="E7EE3F41"/>
    <w:rsid w:val="E9BF8251"/>
    <w:rsid w:val="E9E6C8E6"/>
    <w:rsid w:val="E9F33AE2"/>
    <w:rsid w:val="E9F479F2"/>
    <w:rsid w:val="E9FF8F8E"/>
    <w:rsid w:val="EAFD6A5C"/>
    <w:rsid w:val="EB67E33D"/>
    <w:rsid w:val="EB7EC744"/>
    <w:rsid w:val="EBAAA46F"/>
    <w:rsid w:val="EC170225"/>
    <w:rsid w:val="EC3703E5"/>
    <w:rsid w:val="EC7F06E6"/>
    <w:rsid w:val="ECDB2F9D"/>
    <w:rsid w:val="ECFBF414"/>
    <w:rsid w:val="EDA48E59"/>
    <w:rsid w:val="EDBB26E6"/>
    <w:rsid w:val="EDFFBE64"/>
    <w:rsid w:val="EE334C3B"/>
    <w:rsid w:val="EE737100"/>
    <w:rsid w:val="EECD8D04"/>
    <w:rsid w:val="EEEE479E"/>
    <w:rsid w:val="EF43D33A"/>
    <w:rsid w:val="EF5D03D8"/>
    <w:rsid w:val="EF5F1E29"/>
    <w:rsid w:val="EF65AAFF"/>
    <w:rsid w:val="EF67140B"/>
    <w:rsid w:val="EF75B6E2"/>
    <w:rsid w:val="EF7B40D2"/>
    <w:rsid w:val="EF7D1E3B"/>
    <w:rsid w:val="EF7FBEDC"/>
    <w:rsid w:val="EFBD925F"/>
    <w:rsid w:val="EFDF27E0"/>
    <w:rsid w:val="EFDF9009"/>
    <w:rsid w:val="EFEBB4B0"/>
    <w:rsid w:val="EFEF4608"/>
    <w:rsid w:val="EFF7781D"/>
    <w:rsid w:val="EFFF09DD"/>
    <w:rsid w:val="EFFF4C73"/>
    <w:rsid w:val="EFFF68D9"/>
    <w:rsid w:val="EFFF928B"/>
    <w:rsid w:val="EFFFB9B2"/>
    <w:rsid w:val="EFFFF477"/>
    <w:rsid w:val="F1676647"/>
    <w:rsid w:val="F1CA1966"/>
    <w:rsid w:val="F1DB436C"/>
    <w:rsid w:val="F27F57CB"/>
    <w:rsid w:val="F37FE56A"/>
    <w:rsid w:val="F39BD98C"/>
    <w:rsid w:val="F3FF0AC4"/>
    <w:rsid w:val="F47E3806"/>
    <w:rsid w:val="F4FCBAEC"/>
    <w:rsid w:val="F53ED76E"/>
    <w:rsid w:val="F555928A"/>
    <w:rsid w:val="F5BFB1EF"/>
    <w:rsid w:val="F5DF0770"/>
    <w:rsid w:val="F5F573D8"/>
    <w:rsid w:val="F5FAAC4A"/>
    <w:rsid w:val="F61E2157"/>
    <w:rsid w:val="F69E119E"/>
    <w:rsid w:val="F6A5EEF8"/>
    <w:rsid w:val="F6D5FEAF"/>
    <w:rsid w:val="F6FF5C26"/>
    <w:rsid w:val="F6FFB93A"/>
    <w:rsid w:val="F76EAB9C"/>
    <w:rsid w:val="F77310DB"/>
    <w:rsid w:val="F79527D8"/>
    <w:rsid w:val="F79F70F8"/>
    <w:rsid w:val="F7BD95B2"/>
    <w:rsid w:val="F7D364C7"/>
    <w:rsid w:val="F7DD58B8"/>
    <w:rsid w:val="F7DF2A54"/>
    <w:rsid w:val="F7F35E3C"/>
    <w:rsid w:val="F7F5F826"/>
    <w:rsid w:val="F7F772AC"/>
    <w:rsid w:val="F7FBBD00"/>
    <w:rsid w:val="F7FC53FE"/>
    <w:rsid w:val="F7FD4CBF"/>
    <w:rsid w:val="F7FDB2D4"/>
    <w:rsid w:val="F7FDFE51"/>
    <w:rsid w:val="F7FF5A00"/>
    <w:rsid w:val="F7FF63AD"/>
    <w:rsid w:val="F7FFCF9E"/>
    <w:rsid w:val="F8B74D91"/>
    <w:rsid w:val="F8EF3295"/>
    <w:rsid w:val="F92F3B04"/>
    <w:rsid w:val="F96D3DE4"/>
    <w:rsid w:val="F97E05BD"/>
    <w:rsid w:val="F9BD6A12"/>
    <w:rsid w:val="F9C6B959"/>
    <w:rsid w:val="F9F54665"/>
    <w:rsid w:val="F9F78FFB"/>
    <w:rsid w:val="F9FDFE3B"/>
    <w:rsid w:val="FA7F3FA4"/>
    <w:rsid w:val="FA9CA626"/>
    <w:rsid w:val="FAB5682B"/>
    <w:rsid w:val="FAECEAEF"/>
    <w:rsid w:val="FAEE7E38"/>
    <w:rsid w:val="FB7B79B0"/>
    <w:rsid w:val="FB7B823E"/>
    <w:rsid w:val="FB7F792E"/>
    <w:rsid w:val="FB7FB349"/>
    <w:rsid w:val="FB8CDC6E"/>
    <w:rsid w:val="FBCF50D8"/>
    <w:rsid w:val="FBDFBC84"/>
    <w:rsid w:val="FBEFF9FA"/>
    <w:rsid w:val="FBF61E32"/>
    <w:rsid w:val="FBF9D3DF"/>
    <w:rsid w:val="FBFACCE4"/>
    <w:rsid w:val="FBFB1614"/>
    <w:rsid w:val="FBFCD57B"/>
    <w:rsid w:val="FC1F8BD3"/>
    <w:rsid w:val="FC5FDFF7"/>
    <w:rsid w:val="FC95F131"/>
    <w:rsid w:val="FC9A4C28"/>
    <w:rsid w:val="FCBFB7D8"/>
    <w:rsid w:val="FCDF5253"/>
    <w:rsid w:val="FCF1524B"/>
    <w:rsid w:val="FCFB9185"/>
    <w:rsid w:val="FD3D87ED"/>
    <w:rsid w:val="FD5CED57"/>
    <w:rsid w:val="FD7786BA"/>
    <w:rsid w:val="FD7A37DA"/>
    <w:rsid w:val="FD7E3479"/>
    <w:rsid w:val="FDBFB6F8"/>
    <w:rsid w:val="FDDDC15A"/>
    <w:rsid w:val="FDE72520"/>
    <w:rsid w:val="FDE7A8D6"/>
    <w:rsid w:val="FDF72147"/>
    <w:rsid w:val="FDFB3DDA"/>
    <w:rsid w:val="FDFCD50A"/>
    <w:rsid w:val="FDFD4BFB"/>
    <w:rsid w:val="FDFDCA6C"/>
    <w:rsid w:val="FDFE744B"/>
    <w:rsid w:val="FDFEBC2C"/>
    <w:rsid w:val="FDFEC704"/>
    <w:rsid w:val="FDFF2B02"/>
    <w:rsid w:val="FDFF879E"/>
    <w:rsid w:val="FDFFB607"/>
    <w:rsid w:val="FDFFC6D9"/>
    <w:rsid w:val="FE372BF3"/>
    <w:rsid w:val="FE6BBF18"/>
    <w:rsid w:val="FE734873"/>
    <w:rsid w:val="FE753A1B"/>
    <w:rsid w:val="FE77F1D5"/>
    <w:rsid w:val="FE7AF9DA"/>
    <w:rsid w:val="FE7E3ED6"/>
    <w:rsid w:val="FE7F0208"/>
    <w:rsid w:val="FEBCE9DB"/>
    <w:rsid w:val="FED32519"/>
    <w:rsid w:val="FED5161E"/>
    <w:rsid w:val="FEE9513E"/>
    <w:rsid w:val="FEEFE22C"/>
    <w:rsid w:val="FEFE1375"/>
    <w:rsid w:val="FEFF5916"/>
    <w:rsid w:val="FEFF9BCF"/>
    <w:rsid w:val="FF3BC169"/>
    <w:rsid w:val="FF3F96DE"/>
    <w:rsid w:val="FF58EE7E"/>
    <w:rsid w:val="FF592F5D"/>
    <w:rsid w:val="FF5F6D1C"/>
    <w:rsid w:val="FF6538C0"/>
    <w:rsid w:val="FF68037B"/>
    <w:rsid w:val="FF6F1A59"/>
    <w:rsid w:val="FF6F7D8C"/>
    <w:rsid w:val="FF6FF7BE"/>
    <w:rsid w:val="FF77629A"/>
    <w:rsid w:val="FF7B2FC7"/>
    <w:rsid w:val="FF7BD491"/>
    <w:rsid w:val="FF7BFB1F"/>
    <w:rsid w:val="FF7E1CEF"/>
    <w:rsid w:val="FF984AC9"/>
    <w:rsid w:val="FF9B0074"/>
    <w:rsid w:val="FFA6C934"/>
    <w:rsid w:val="FFAD20AA"/>
    <w:rsid w:val="FFB7FDCE"/>
    <w:rsid w:val="FFBA0B83"/>
    <w:rsid w:val="FFBDC6A1"/>
    <w:rsid w:val="FFBDD25B"/>
    <w:rsid w:val="FFBDD7A5"/>
    <w:rsid w:val="FFBF841A"/>
    <w:rsid w:val="FFBFA89D"/>
    <w:rsid w:val="FFCD3B90"/>
    <w:rsid w:val="FFDC7BCD"/>
    <w:rsid w:val="FFDF8554"/>
    <w:rsid w:val="FFE1258B"/>
    <w:rsid w:val="FFEB127D"/>
    <w:rsid w:val="FFED20DB"/>
    <w:rsid w:val="FFED666D"/>
    <w:rsid w:val="FFEF7A5B"/>
    <w:rsid w:val="FFEFB224"/>
    <w:rsid w:val="FFEFC4F8"/>
    <w:rsid w:val="FFF11871"/>
    <w:rsid w:val="FFF37D6E"/>
    <w:rsid w:val="FFF57DE2"/>
    <w:rsid w:val="FFF5837C"/>
    <w:rsid w:val="FFFC7EC1"/>
    <w:rsid w:val="FFFCE4B4"/>
    <w:rsid w:val="FFFDB9A8"/>
    <w:rsid w:val="FFFDC037"/>
    <w:rsid w:val="FFFF0870"/>
    <w:rsid w:val="FFFF5909"/>
    <w:rsid w:val="FFFF6B5D"/>
    <w:rsid w:val="FFFF6D26"/>
    <w:rsid w:val="FFFFB6F2"/>
    <w:rsid w:val="FFFFB890"/>
    <w:rsid w:val="FFFFD57B"/>
    <w:rsid w:val="FFFFDDBC"/>
    <w:rsid w:val="FFFFE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宋体"/>
      <w:kern w:val="2"/>
      <w:sz w:val="32"/>
      <w:szCs w:val="32"/>
      <w:lang w:val="en-US" w:eastAsia="zh-CN" w:bidi="ar-SA"/>
    </w:rPr>
  </w:style>
  <w:style w:type="paragraph" w:styleId="2">
    <w:name w:val="heading 1"/>
    <w:basedOn w:val="1"/>
    <w:next w:val="1"/>
    <w:link w:val="20"/>
    <w:qFormat/>
    <w:uiPriority w:val="9"/>
    <w:pPr>
      <w:spacing w:line="600" w:lineRule="exact"/>
      <w:ind w:firstLine="640"/>
      <w:outlineLvl w:val="0"/>
    </w:pPr>
    <w:rPr>
      <w:rFonts w:ascii="黑体" w:hAnsi="黑体" w:eastAsia="黑体"/>
      <w:color w:val="000000"/>
      <w:kern w:val="0"/>
    </w:rPr>
  </w:style>
  <w:style w:type="paragraph" w:styleId="3">
    <w:name w:val="heading 2"/>
    <w:basedOn w:val="1"/>
    <w:next w:val="1"/>
    <w:link w:val="21"/>
    <w:unhideWhenUsed/>
    <w:qFormat/>
    <w:uiPriority w:val="99"/>
    <w:pPr>
      <w:keepNext/>
      <w:keepLines/>
      <w:spacing w:line="560" w:lineRule="exact"/>
      <w:ind w:firstLine="200" w:firstLineChars="200"/>
      <w:outlineLvl w:val="1"/>
    </w:pPr>
    <w:rPr>
      <w:rFonts w:eastAsia="楷体" w:cs="Times New Roman (标题 CS)"/>
      <w:bCs/>
    </w:rPr>
  </w:style>
  <w:style w:type="paragraph" w:styleId="4">
    <w:name w:val="heading 3"/>
    <w:basedOn w:val="1"/>
    <w:next w:val="1"/>
    <w:link w:val="22"/>
    <w:unhideWhenUsed/>
    <w:qFormat/>
    <w:uiPriority w:val="9"/>
    <w:pPr>
      <w:keepNext/>
      <w:keepLines/>
      <w:spacing w:before="260" w:after="260" w:line="416" w:lineRule="auto"/>
      <w:outlineLvl w:val="2"/>
    </w:pPr>
    <w:rPr>
      <w:b/>
      <w:bCs/>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annotation text"/>
    <w:basedOn w:val="1"/>
    <w:link w:val="25"/>
    <w:unhideWhenUsed/>
    <w:qFormat/>
    <w:uiPriority w:val="99"/>
    <w:pPr>
      <w:jc w:val="left"/>
    </w:pPr>
  </w:style>
  <w:style w:type="paragraph" w:styleId="7">
    <w:name w:val="footer"/>
    <w:basedOn w:val="1"/>
    <w:link w:val="24"/>
    <w:unhideWhenUsed/>
    <w:qFormat/>
    <w:uiPriority w:val="99"/>
    <w:pPr>
      <w:tabs>
        <w:tab w:val="center" w:pos="4153"/>
        <w:tab w:val="right" w:pos="8306"/>
      </w:tabs>
      <w:snapToGrid w:val="0"/>
      <w:jc w:val="left"/>
    </w:pPr>
    <w:rPr>
      <w:sz w:val="18"/>
      <w:szCs w:val="18"/>
    </w:rPr>
  </w:style>
  <w:style w:type="paragraph" w:styleId="8">
    <w:name w:val="header"/>
    <w:basedOn w:val="1"/>
    <w:link w:val="23"/>
    <w:unhideWhenUsed/>
    <w:qFormat/>
    <w:uiPriority w:val="99"/>
    <w:pPr>
      <w:tabs>
        <w:tab w:val="center" w:pos="4153"/>
        <w:tab w:val="right" w:pos="8306"/>
      </w:tabs>
      <w:snapToGrid w:val="0"/>
      <w:jc w:val="center"/>
    </w:pPr>
    <w:rPr>
      <w:sz w:val="18"/>
      <w:szCs w:val="18"/>
    </w:rPr>
  </w:style>
  <w:style w:type="paragraph" w:styleId="9">
    <w:name w:val="footnote text"/>
    <w:basedOn w:val="1"/>
    <w:link w:val="27"/>
    <w:unhideWhenUsed/>
    <w:qFormat/>
    <w:uiPriority w:val="99"/>
    <w:pPr>
      <w:snapToGrid w:val="0"/>
      <w:jc w:val="left"/>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kern w:val="0"/>
      <w:sz w:val="24"/>
      <w:szCs w:val="24"/>
    </w:rPr>
  </w:style>
  <w:style w:type="paragraph" w:styleId="11">
    <w:name w:val="annotation subject"/>
    <w:basedOn w:val="6"/>
    <w:next w:val="6"/>
    <w:link w:val="26"/>
    <w:unhideWhenUsed/>
    <w:qFormat/>
    <w:uiPriority w:val="99"/>
    <w:rPr>
      <w:b/>
      <w:bCs/>
    </w:rPr>
  </w:style>
  <w:style w:type="character" w:styleId="14">
    <w:name w:val="page number"/>
    <w:basedOn w:val="13"/>
    <w:unhideWhenUsed/>
    <w:qFormat/>
    <w:uiPriority w:val="99"/>
  </w:style>
  <w:style w:type="character" w:styleId="15">
    <w:name w:val="Hyperlink"/>
    <w:basedOn w:val="13"/>
    <w:semiHidden/>
    <w:unhideWhenUsed/>
    <w:qFormat/>
    <w:uiPriority w:val="0"/>
    <w:rPr>
      <w:color w:val="0000FF"/>
      <w:u w:val="single"/>
    </w:rPr>
  </w:style>
  <w:style w:type="character" w:styleId="16">
    <w:name w:val="annotation reference"/>
    <w:unhideWhenUsed/>
    <w:qFormat/>
    <w:uiPriority w:val="99"/>
    <w:rPr>
      <w:sz w:val="21"/>
      <w:szCs w:val="21"/>
    </w:rPr>
  </w:style>
  <w:style w:type="character" w:styleId="17">
    <w:name w:val="footnote reference"/>
    <w:unhideWhenUsed/>
    <w:qFormat/>
    <w:uiPriority w:val="99"/>
    <w:rPr>
      <w:vertAlign w:val="superscript"/>
    </w:rPr>
  </w:style>
  <w:style w:type="paragraph" w:customStyle="1" w:styleId="18">
    <w:name w:val="修订1"/>
    <w:hidden/>
    <w:semiHidden/>
    <w:qFormat/>
    <w:uiPriority w:val="99"/>
    <w:rPr>
      <w:rFonts w:ascii="仿宋_GB2312" w:hAnsi="仿宋_GB2312" w:eastAsia="仿宋_GB2312" w:cs="宋体"/>
      <w:kern w:val="2"/>
      <w:sz w:val="32"/>
      <w:szCs w:val="32"/>
      <w:lang w:val="en-US" w:eastAsia="zh-CN" w:bidi="ar-SA"/>
    </w:rPr>
  </w:style>
  <w:style w:type="paragraph" w:customStyle="1" w:styleId="19">
    <w:name w:val="修订2"/>
    <w:hidden/>
    <w:semiHidden/>
    <w:qFormat/>
    <w:uiPriority w:val="99"/>
    <w:rPr>
      <w:rFonts w:ascii="仿宋_GB2312" w:hAnsi="仿宋_GB2312" w:eastAsia="仿宋_GB2312" w:cs="宋体"/>
      <w:kern w:val="2"/>
      <w:sz w:val="32"/>
      <w:szCs w:val="32"/>
      <w:lang w:val="en-US" w:eastAsia="zh-CN" w:bidi="ar-SA"/>
    </w:rPr>
  </w:style>
  <w:style w:type="character" w:customStyle="1" w:styleId="20">
    <w:name w:val="标题 1 字符"/>
    <w:link w:val="2"/>
    <w:qFormat/>
    <w:uiPriority w:val="9"/>
    <w:rPr>
      <w:rFonts w:ascii="黑体" w:hAnsi="黑体" w:eastAsia="黑体" w:cs="宋体"/>
      <w:color w:val="000000"/>
      <w:kern w:val="0"/>
    </w:rPr>
  </w:style>
  <w:style w:type="character" w:customStyle="1" w:styleId="21">
    <w:name w:val="标题 2 字符"/>
    <w:link w:val="3"/>
    <w:qFormat/>
    <w:uiPriority w:val="99"/>
    <w:rPr>
      <w:rFonts w:ascii="Times New Roman" w:hAnsi="Times New Roman" w:eastAsia="楷体" w:cs="Times New Roman (标题 CS)"/>
      <w:bCs/>
      <w:sz w:val="32"/>
      <w:szCs w:val="32"/>
    </w:rPr>
  </w:style>
  <w:style w:type="character" w:customStyle="1" w:styleId="22">
    <w:name w:val="标题 3 字符"/>
    <w:link w:val="4"/>
    <w:qFormat/>
    <w:uiPriority w:val="9"/>
    <w:rPr>
      <w:rFonts w:ascii="Times New Roman" w:hAnsi="Times New Roman" w:eastAsia="宋体" w:cs="Times New Roman"/>
      <w:b/>
      <w:bCs/>
      <w:sz w:val="32"/>
      <w:szCs w:val="32"/>
    </w:rPr>
  </w:style>
  <w:style w:type="character" w:customStyle="1" w:styleId="23">
    <w:name w:val="页眉 字符"/>
    <w:link w:val="8"/>
    <w:qFormat/>
    <w:uiPriority w:val="99"/>
    <w:rPr>
      <w:rFonts w:ascii="仿宋_GB2312" w:hAnsi="仿宋_GB2312" w:eastAsia="仿宋_GB2312" w:cs="宋体"/>
      <w:sz w:val="18"/>
      <w:szCs w:val="18"/>
    </w:rPr>
  </w:style>
  <w:style w:type="character" w:customStyle="1" w:styleId="24">
    <w:name w:val="页脚 字符"/>
    <w:link w:val="7"/>
    <w:qFormat/>
    <w:uiPriority w:val="99"/>
    <w:rPr>
      <w:rFonts w:ascii="仿宋_GB2312" w:hAnsi="仿宋_GB2312" w:eastAsia="仿宋_GB2312" w:cs="宋体"/>
      <w:sz w:val="18"/>
      <w:szCs w:val="18"/>
    </w:rPr>
  </w:style>
  <w:style w:type="character" w:customStyle="1" w:styleId="25">
    <w:name w:val="批注文字 字符"/>
    <w:link w:val="6"/>
    <w:semiHidden/>
    <w:qFormat/>
    <w:uiPriority w:val="99"/>
    <w:rPr>
      <w:rFonts w:ascii="仿宋_GB2312" w:hAnsi="仿宋_GB2312" w:eastAsia="仿宋_GB2312" w:cs="宋体"/>
      <w:sz w:val="32"/>
      <w:szCs w:val="32"/>
    </w:rPr>
  </w:style>
  <w:style w:type="character" w:customStyle="1" w:styleId="26">
    <w:name w:val="批注主题 字符"/>
    <w:link w:val="11"/>
    <w:semiHidden/>
    <w:qFormat/>
    <w:uiPriority w:val="99"/>
    <w:rPr>
      <w:rFonts w:ascii="仿宋_GB2312" w:hAnsi="仿宋_GB2312" w:eastAsia="仿宋_GB2312" w:cs="宋体"/>
      <w:b/>
      <w:bCs/>
      <w:sz w:val="32"/>
      <w:szCs w:val="32"/>
    </w:rPr>
  </w:style>
  <w:style w:type="character" w:customStyle="1" w:styleId="27">
    <w:name w:val="脚注文本 字符"/>
    <w:link w:val="9"/>
    <w:semiHidden/>
    <w:qFormat/>
    <w:uiPriority w:val="99"/>
    <w:rPr>
      <w:rFonts w:ascii="仿宋_GB2312" w:hAnsi="仿宋_GB2312" w:eastAsia="仿宋_GB2312" w:cs="宋体"/>
      <w:sz w:val="18"/>
      <w:szCs w:val="18"/>
    </w:rPr>
  </w:style>
  <w:style w:type="character" w:customStyle="1" w:styleId="28">
    <w:name w:val="15"/>
    <w:basedOn w:val="13"/>
    <w:qFormat/>
    <w:uiPriority w:val="0"/>
    <w:rPr>
      <w:rFonts w:hint="default" w:ascii="Times New Roman" w:hAnsi="Times New Roman" w:cs="Times New Roman"/>
    </w:rPr>
  </w:style>
  <w:style w:type="character" w:customStyle="1" w:styleId="29">
    <w:name w:val="10"/>
    <w:basedOn w:val="13"/>
    <w:qFormat/>
    <w:uiPriority w:val="0"/>
    <w:rPr>
      <w:rFonts w:hint="default" w:ascii="Times New Roman" w:hAnsi="Times New Roman" w:cs="Times New Roman"/>
    </w:rPr>
  </w:style>
  <w:style w:type="character" w:customStyle="1" w:styleId="30">
    <w:name w:val="font31"/>
    <w:basedOn w:val="13"/>
    <w:qFormat/>
    <w:uiPriority w:val="0"/>
    <w:rPr>
      <w:rFonts w:hint="eastAsia" w:ascii="宋体" w:hAnsi="宋体" w:eastAsia="宋体" w:cs="宋体"/>
      <w:b/>
      <w:bCs/>
      <w:color w:val="000000"/>
      <w:sz w:val="18"/>
      <w:szCs w:val="18"/>
      <w:u w:val="none"/>
    </w:rPr>
  </w:style>
  <w:style w:type="character" w:customStyle="1" w:styleId="31">
    <w:name w:val="font4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1938</Words>
  <Characters>11047</Characters>
  <Lines>1</Lines>
  <Paragraphs>1</Paragraphs>
  <TotalTime>2</TotalTime>
  <ScaleCrop>false</ScaleCrop>
  <LinksUpToDate>false</LinksUpToDate>
  <CharactersWithSpaces>12960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2023-05-24T22:48:00Z</dcterms:created>
  <dc:creator>bzdt</dc:creator>
  <cp:lastModifiedBy>uos</cp:lastModifiedBy>
  <cp:lastPrinted>2023-05-26T15:38:00Z</cp:lastPrinted>
  <dcterms:modified xsi:type="dcterms:W3CDTF">2024-08-14T16:08:14Z</dcterms:modified>
  <dc:title>市委社会工委市民政局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CD20F05E7D818C4C9FCF5F666D299485_43</vt:lpwstr>
  </property>
</Properties>
</file>