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numPr>
          <w:ilvl w:val="0"/>
          <w:numId w:val="1"/>
        </w:numPr>
        <w:spacing w:after="240" w:line="540" w:lineRule="exact"/>
        <w:jc w:val="center"/>
        <w:rPr>
          <w:rFonts w:ascii="仿宋_GB2312" w:eastAsia="黑体"/>
          <w:b/>
          <w:bCs/>
          <w:sz w:val="48"/>
          <w:szCs w:val="48"/>
        </w:rPr>
      </w:pPr>
    </w:p>
    <w:p>
      <w:pPr>
        <w:spacing w:after="312" w:afterLines="100" w:line="560" w:lineRule="exact"/>
        <w:jc w:val="center"/>
        <w:outlineLvl w:val="9"/>
        <w:rPr>
          <w:rFonts w:ascii="方正小标宋简体" w:hAnsi="Leelawadee UI" w:eastAsia="方正小标宋简体" w:cs="Leelawadee UI"/>
          <w:bCs/>
          <w:kern w:val="0"/>
          <w:sz w:val="44"/>
          <w:szCs w:val="28"/>
        </w:rPr>
      </w:pPr>
      <w:bookmarkStart w:id="0" w:name="_Toc2128"/>
      <w:bookmarkStart w:id="1" w:name="_Toc30053"/>
      <w:bookmarkStart w:id="2" w:name="_Toc13081"/>
      <w:r>
        <w:rPr>
          <w:rFonts w:hint="eastAsia" w:ascii="方正小标宋简体" w:hAnsi="Leelawadee UI" w:eastAsia="方正小标宋简体" w:cs="Leelawadee UI"/>
          <w:bCs/>
          <w:kern w:val="0"/>
          <w:sz w:val="44"/>
          <w:szCs w:val="28"/>
        </w:rPr>
        <w:t>北京市市级财政支出项目</w:t>
      </w:r>
      <w:bookmarkEnd w:id="0"/>
      <w:bookmarkEnd w:id="1"/>
      <w:bookmarkEnd w:id="2"/>
    </w:p>
    <w:p>
      <w:pPr>
        <w:spacing w:after="312" w:afterLines="100" w:line="560" w:lineRule="exact"/>
        <w:jc w:val="center"/>
        <w:outlineLvl w:val="9"/>
        <w:rPr>
          <w:rFonts w:ascii="方正小标宋简体" w:hAnsi="Leelawadee UI" w:eastAsia="方正小标宋简体" w:cs="Leelawadee UI"/>
          <w:bCs/>
          <w:kern w:val="0"/>
          <w:sz w:val="44"/>
          <w:szCs w:val="28"/>
        </w:rPr>
      </w:pPr>
      <w:bookmarkStart w:id="3" w:name="_Toc22405"/>
      <w:bookmarkStart w:id="4" w:name="_Toc26121"/>
      <w:bookmarkStart w:id="5" w:name="_Toc32553"/>
      <w:r>
        <w:rPr>
          <w:rFonts w:hint="eastAsia" w:ascii="方正小标宋简体" w:hAnsi="Leelawadee UI" w:eastAsia="方正小标宋简体" w:cs="Leelawadee UI"/>
          <w:bCs/>
          <w:kern w:val="0"/>
          <w:sz w:val="44"/>
          <w:szCs w:val="28"/>
        </w:rPr>
        <w:t>绩效评价报告</w:t>
      </w:r>
      <w:bookmarkEnd w:id="3"/>
      <w:bookmarkEnd w:id="4"/>
      <w:bookmarkEnd w:id="5"/>
    </w:p>
    <w:p>
      <w:pPr>
        <w:snapToGrid w:val="0"/>
        <w:spacing w:after="312" w:afterLines="100" w:line="300" w:lineRule="auto"/>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ind w:firstLine="723" w:firstLineChars="200"/>
        <w:rPr>
          <w:rFonts w:eastAsia="仿宋_GB2312"/>
          <w:b/>
          <w:bCs/>
          <w:sz w:val="36"/>
          <w:szCs w:val="20"/>
        </w:rPr>
      </w:pPr>
    </w:p>
    <w:p>
      <w:pPr>
        <w:snapToGrid w:val="0"/>
        <w:spacing w:after="312" w:afterLines="100" w:line="300" w:lineRule="auto"/>
        <w:rPr>
          <w:rFonts w:eastAsia="仿宋_GB2312"/>
          <w:b/>
          <w:bCs/>
          <w:sz w:val="36"/>
          <w:szCs w:val="20"/>
        </w:rPr>
      </w:pP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主管部门：</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 xml:space="preserve"> 北京市总工会  </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项目单位：</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 xml:space="preserve">北京市总工会职工服务工作部  </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after="312" w:afterLines="100" w:line="560" w:lineRule="exact"/>
        <w:ind w:firstLine="643" w:firstLineChars="200"/>
        <w:rPr>
          <w:rFonts w:ascii="仿宋_GB2312" w:hAnsi="宋体" w:eastAsia="仿宋_GB2312"/>
          <w:b/>
          <w:kern w:val="0"/>
          <w:sz w:val="32"/>
          <w:szCs w:val="28"/>
        </w:rPr>
      </w:pPr>
      <w:r>
        <w:rPr>
          <w:rFonts w:hint="eastAsia" w:ascii="仿宋_GB2312" w:hAnsi="宋体" w:eastAsia="仿宋_GB2312"/>
          <w:b/>
          <w:kern w:val="0"/>
          <w:sz w:val="32"/>
          <w:szCs w:val="28"/>
        </w:rPr>
        <w:t>项目名称：</w:t>
      </w:r>
      <w:r>
        <w:rPr>
          <w:rFonts w:hint="eastAsia" w:ascii="仿宋_GB2312" w:hAnsi="宋体" w:eastAsia="仿宋_GB2312"/>
          <w:b/>
          <w:kern w:val="0"/>
          <w:sz w:val="32"/>
          <w:szCs w:val="28"/>
          <w:u w:val="single"/>
        </w:rPr>
        <w:t xml:space="preserve">            </w:t>
      </w:r>
      <w:r>
        <w:rPr>
          <w:rFonts w:hint="eastAsia" w:ascii="仿宋_GB2312" w:hAnsi="宋体" w:eastAsia="仿宋_GB2312"/>
          <w:bCs/>
          <w:kern w:val="0"/>
          <w:sz w:val="32"/>
          <w:szCs w:val="28"/>
          <w:u w:val="single"/>
        </w:rPr>
        <w:t>市财政专项帮扶资金项目</w:t>
      </w:r>
      <w:r>
        <w:rPr>
          <w:rFonts w:hint="eastAsia" w:ascii="仿宋_GB2312" w:hAnsi="宋体" w:eastAsia="仿宋_GB2312"/>
          <w:b/>
          <w:kern w:val="0"/>
          <w:sz w:val="32"/>
          <w:szCs w:val="28"/>
          <w:u w:val="single"/>
        </w:rPr>
        <w:t xml:space="preserve">            </w:t>
      </w:r>
      <w:r>
        <w:rPr>
          <w:rFonts w:hint="eastAsia" w:ascii="仿宋_GB2312" w:hAnsi="宋体" w:eastAsia="仿宋_GB2312"/>
          <w:b/>
          <w:kern w:val="0"/>
          <w:sz w:val="32"/>
          <w:szCs w:val="28"/>
        </w:rPr>
        <w:t xml:space="preserve">                                           </w:t>
      </w:r>
    </w:p>
    <w:p>
      <w:pPr>
        <w:spacing w:line="480" w:lineRule="auto"/>
        <w:jc w:val="center"/>
        <w:rPr>
          <w:rFonts w:hint="eastAsia" w:ascii="黑体" w:eastAsia="黑体"/>
          <w:b/>
          <w:sz w:val="32"/>
          <w:szCs w:val="20"/>
          <w:lang w:val="en-US" w:eastAsia="zh-CN"/>
        </w:rPr>
      </w:pPr>
    </w:p>
    <w:p>
      <w:pPr>
        <w:pStyle w:val="2"/>
        <w:rPr>
          <w:rFonts w:hint="eastAsia" w:ascii="黑体" w:eastAsia="黑体"/>
          <w:b/>
          <w:sz w:val="32"/>
          <w:szCs w:val="20"/>
          <w:lang w:val="en-US" w:eastAsia="zh-CN"/>
        </w:rPr>
      </w:pPr>
    </w:p>
    <w:p>
      <w:pPr>
        <w:pStyle w:val="3"/>
        <w:rPr>
          <w:rFonts w:hint="eastAsia" w:ascii="黑体" w:eastAsia="黑体"/>
          <w:b/>
          <w:sz w:val="32"/>
          <w:szCs w:val="20"/>
          <w:lang w:val="en-US" w:eastAsia="zh-CN"/>
        </w:rPr>
      </w:pPr>
    </w:p>
    <w:p>
      <w:pPr>
        <w:pStyle w:val="3"/>
        <w:ind w:firstLine="0" w:firstLineChars="0"/>
        <w:rPr>
          <w:rFonts w:hint="eastAsia" w:ascii="黑体" w:eastAsia="黑体"/>
          <w:b/>
          <w:sz w:val="32"/>
          <w:szCs w:val="20"/>
          <w:lang w:val="en-US" w:eastAsia="zh-CN"/>
        </w:rPr>
      </w:pPr>
    </w:p>
    <w:p>
      <w:pPr>
        <w:tabs>
          <w:tab w:val="center" w:pos="4422"/>
          <w:tab w:val="left" w:pos="6963"/>
        </w:tabs>
        <w:spacing w:line="480" w:lineRule="auto"/>
        <w:jc w:val="left"/>
        <w:rPr>
          <w:rFonts w:ascii="方正小标宋简体" w:hAnsi="Leelawadee UI" w:eastAsia="黑体" w:cs="Leelawadee UI"/>
          <w:bCs/>
          <w:kern w:val="0"/>
          <w:sz w:val="44"/>
          <w:szCs w:val="28"/>
        </w:rPr>
        <w:sectPr>
          <w:pgSz w:w="11906" w:h="16838"/>
          <w:pgMar w:top="2098" w:right="1474" w:bottom="1984" w:left="1587" w:header="851" w:footer="992" w:gutter="0"/>
          <w:cols w:space="720" w:num="1"/>
          <w:docGrid w:type="lines" w:linePitch="312" w:charSpace="0"/>
        </w:sectPr>
      </w:pPr>
      <w:r>
        <w:rPr>
          <w:rFonts w:hint="eastAsia" w:ascii="黑体" w:eastAsia="黑体"/>
          <w:b/>
          <w:sz w:val="32"/>
          <w:szCs w:val="20"/>
        </w:rPr>
        <w:tab/>
      </w:r>
      <w:r>
        <w:rPr>
          <w:rFonts w:hint="eastAsia" w:ascii="黑体" w:eastAsia="黑体"/>
          <w:b/>
          <w:sz w:val="32"/>
          <w:szCs w:val="20"/>
        </w:rPr>
        <w:t>2024年5月</w:t>
      </w:r>
    </w:p>
    <w:sdt>
      <w:sdtPr>
        <w:rPr>
          <w:rFonts w:ascii="宋体" w:hAnsi="宋体"/>
        </w:rPr>
        <w:id w:val="147482982"/>
        <w15:color w:val="DBDBDB"/>
        <w:docPartObj>
          <w:docPartGallery w:val="Table of Contents"/>
          <w:docPartUnique/>
        </w:docPartObj>
      </w:sdtPr>
      <w:sdtEndPr>
        <w:rPr>
          <w:rFonts w:ascii="宋体" w:hAnsi="宋体"/>
          <w:b/>
        </w:rPr>
      </w:sdtEndPr>
      <w:sdtContent>
        <w:p>
          <w:pPr>
            <w:jc w:val="center"/>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目录</w:t>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TOC \o "1-2" \h \u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_Toc10489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一、基本情况</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_Toc10489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_Toc5389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（一）项目</w:t>
          </w:r>
          <w:r>
            <w:rPr>
              <w:rFonts w:hint="eastAsia" w:ascii="仿宋_GB2312" w:hAnsi="仿宋_GB2312" w:eastAsia="仿宋_GB2312" w:cs="仿宋_GB2312"/>
              <w:bCs/>
              <w:sz w:val="32"/>
              <w:szCs w:val="32"/>
              <w:lang w:val="en-US" w:eastAsia="zh-CN"/>
            </w:rPr>
            <w:t>概况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_Toc5389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1</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_Toc24715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w:t>
          </w:r>
          <w:r>
            <w:rPr>
              <w:rFonts w:hint="eastAsia" w:ascii="仿宋_GB2312" w:hAnsi="仿宋_GB2312" w:eastAsia="仿宋_GB2312" w:cs="仿宋_GB2312"/>
              <w:bCs/>
              <w:sz w:val="32"/>
              <w:szCs w:val="32"/>
              <w:lang w:val="en-US" w:eastAsia="zh-CN"/>
            </w:rPr>
            <w:t>二</w:t>
          </w:r>
          <w:r>
            <w:rPr>
              <w:rFonts w:hint="eastAsia" w:ascii="仿宋_GB2312" w:hAnsi="仿宋_GB2312" w:eastAsia="仿宋_GB2312" w:cs="仿宋_GB2312"/>
              <w:bCs/>
              <w:sz w:val="32"/>
              <w:szCs w:val="32"/>
            </w:rPr>
            <w:t>）项目绩效目标</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_Toc24715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3</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_Toc14037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二、绩效评价工作开展情况</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_Toc14037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4</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_Toc4569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（一）绩效评价目的、对象和范围</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_Toc4569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4</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_Toc3733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（二）</w:t>
          </w:r>
          <w:r>
            <w:rPr>
              <w:rFonts w:hint="eastAsia" w:ascii="仿宋_GB2312" w:hAnsi="仿宋_GB2312" w:eastAsia="仿宋_GB2312" w:cs="仿宋_GB2312"/>
              <w:bCs/>
              <w:kern w:val="0"/>
              <w:sz w:val="32"/>
              <w:szCs w:val="32"/>
            </w:rPr>
            <w:t>绩效评价</w:t>
          </w:r>
          <w:r>
            <w:rPr>
              <w:rFonts w:hint="eastAsia" w:ascii="仿宋_GB2312" w:hAnsi="仿宋_GB2312" w:eastAsia="仿宋_GB2312" w:cs="仿宋_GB2312"/>
              <w:bCs/>
              <w:kern w:val="0"/>
              <w:sz w:val="32"/>
              <w:szCs w:val="32"/>
              <w:lang w:val="en-US" w:eastAsia="zh-CN"/>
            </w:rPr>
            <w:t>基本情况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_Toc3733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5</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_Toc14525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（三）绩效评价工作过程</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_Toc14525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5</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_Toc15393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三、综合评价情况及评价结论</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_Toc15393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6</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_Toc17295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四、绩效评价指标分析</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_Toc17295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7</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_Toc29410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（一）项目决策情况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_Toc29410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_Toc25797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（二）项目过程情况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_Toc25797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7</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_Toc23930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（三）项目产出情况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_Toc23930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8</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3"/>
            <w:tabs>
              <w:tab w:val="right" w:leader="dot" w:pos="8306"/>
            </w:tabs>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HYPERLINK \l _Toc24172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bCs/>
              <w:sz w:val="32"/>
              <w:szCs w:val="32"/>
            </w:rPr>
            <w:t>（四）项目效益情况</w:t>
          </w:r>
          <w:r>
            <w:rPr>
              <w:rFonts w:hint="eastAsia" w:ascii="仿宋_GB2312" w:hAnsi="仿宋_GB2312" w:eastAsia="仿宋_GB2312" w:cs="仿宋_GB2312"/>
              <w:sz w:val="32"/>
              <w:szCs w:val="32"/>
            </w:rPr>
            <w:tab/>
          </w:r>
          <w:r>
            <w:rPr>
              <w:rFonts w:hint="eastAsia" w:ascii="仿宋_GB2312" w:hAnsi="仿宋_GB2312" w:eastAsia="仿宋_GB2312" w:cs="仿宋_GB2312"/>
              <w:sz w:val="32"/>
              <w:szCs w:val="32"/>
            </w:rPr>
            <w:fldChar w:fldCharType="begin"/>
          </w:r>
          <w:r>
            <w:rPr>
              <w:rFonts w:hint="eastAsia" w:ascii="仿宋_GB2312" w:hAnsi="仿宋_GB2312" w:eastAsia="仿宋_GB2312" w:cs="仿宋_GB2312"/>
              <w:sz w:val="32"/>
              <w:szCs w:val="32"/>
            </w:rPr>
            <w:instrText xml:space="preserve"> PAGEREF _Toc24172 \h </w:instrText>
          </w:r>
          <w:r>
            <w:rPr>
              <w:rFonts w:hint="eastAsia" w:ascii="仿宋_GB2312" w:hAnsi="仿宋_GB2312" w:eastAsia="仿宋_GB2312" w:cs="仿宋_GB2312"/>
              <w:sz w:val="32"/>
              <w:szCs w:val="32"/>
            </w:rPr>
            <w:fldChar w:fldCharType="separate"/>
          </w:r>
          <w:r>
            <w:rPr>
              <w:rFonts w:hint="eastAsia" w:ascii="仿宋_GB2312" w:hAnsi="仿宋_GB2312" w:eastAsia="仿宋_GB2312" w:cs="仿宋_GB2312"/>
              <w:sz w:val="32"/>
              <w:szCs w:val="32"/>
            </w:rPr>
            <w:t>8</w:t>
          </w:r>
          <w:r>
            <w:rPr>
              <w:rFonts w:hint="eastAsia" w:ascii="仿宋_GB2312" w:hAnsi="仿宋_GB2312" w:eastAsia="仿宋_GB2312" w:cs="仿宋_GB2312"/>
              <w:sz w:val="32"/>
              <w:szCs w:val="32"/>
            </w:rPr>
            <w:fldChar w:fldCharType="end"/>
          </w:r>
          <w:r>
            <w:rPr>
              <w:rFonts w:hint="eastAsia" w:ascii="仿宋_GB2312" w:hAnsi="仿宋_GB2312" w:eastAsia="仿宋_GB2312" w:cs="仿宋_GB2312"/>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_Toc22485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五、存在的问题及原因分析</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_Toc22485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9</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_Toc32400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六、有关建议</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_Toc32400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9</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_Toc31343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七、其他需要说明的问</w:t>
          </w:r>
          <w:bookmarkStart w:id="307" w:name="_GoBack"/>
          <w:bookmarkEnd w:id="307"/>
          <w:r>
            <w:rPr>
              <w:rFonts w:hint="eastAsia" w:ascii="仿宋_GB2312" w:hAnsi="仿宋_GB2312" w:eastAsia="仿宋_GB2312" w:cs="仿宋_GB2312"/>
              <w:b/>
              <w:bCs/>
              <w:sz w:val="32"/>
              <w:szCs w:val="32"/>
            </w:rPr>
            <w:t>题</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_Toc31343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10</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pPr>
            <w:pStyle w:val="12"/>
            <w:tabs>
              <w:tab w:val="right" w:leader="dot" w:pos="8306"/>
            </w:tabs>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HYPERLINK \l _Toc31698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八、附件</w:t>
          </w:r>
          <w:r>
            <w:rPr>
              <w:rFonts w:hint="eastAsia" w:ascii="仿宋_GB2312" w:hAnsi="仿宋_GB2312" w:eastAsia="仿宋_GB2312" w:cs="仿宋_GB2312"/>
              <w:b/>
              <w:bCs/>
              <w:sz w:val="32"/>
              <w:szCs w:val="32"/>
            </w:rPr>
            <w:tab/>
          </w:r>
          <w:r>
            <w:rPr>
              <w:rFonts w:hint="eastAsia" w:ascii="仿宋_GB2312" w:hAnsi="仿宋_GB2312" w:eastAsia="仿宋_GB2312" w:cs="仿宋_GB2312"/>
              <w:b/>
              <w:bCs/>
              <w:sz w:val="32"/>
              <w:szCs w:val="32"/>
            </w:rPr>
            <w:fldChar w:fldCharType="begin"/>
          </w:r>
          <w:r>
            <w:rPr>
              <w:rFonts w:hint="eastAsia" w:ascii="仿宋_GB2312" w:hAnsi="仿宋_GB2312" w:eastAsia="仿宋_GB2312" w:cs="仿宋_GB2312"/>
              <w:b/>
              <w:bCs/>
              <w:sz w:val="32"/>
              <w:szCs w:val="32"/>
            </w:rPr>
            <w:instrText xml:space="preserve"> PAGEREF _Toc31698 \h </w:instrText>
          </w:r>
          <w:r>
            <w:rPr>
              <w:rFonts w:hint="eastAsia" w:ascii="仿宋_GB2312" w:hAnsi="仿宋_GB2312" w:eastAsia="仿宋_GB2312" w:cs="仿宋_GB2312"/>
              <w:b/>
              <w:bCs/>
              <w:sz w:val="32"/>
              <w:szCs w:val="32"/>
            </w:rPr>
            <w:fldChar w:fldCharType="separate"/>
          </w:r>
          <w:r>
            <w:rPr>
              <w:rFonts w:hint="eastAsia" w:ascii="仿宋_GB2312" w:hAnsi="仿宋_GB2312" w:eastAsia="仿宋_GB2312" w:cs="仿宋_GB2312"/>
              <w:b/>
              <w:bCs/>
              <w:sz w:val="32"/>
              <w:szCs w:val="32"/>
            </w:rPr>
            <w:t>10</w:t>
          </w:r>
          <w:r>
            <w:rPr>
              <w:rFonts w:hint="eastAsia" w:ascii="仿宋_GB2312" w:hAnsi="仿宋_GB2312" w:eastAsia="仿宋_GB2312" w:cs="仿宋_GB2312"/>
              <w:b/>
              <w:bCs/>
              <w:sz w:val="32"/>
              <w:szCs w:val="32"/>
            </w:rPr>
            <w:fldChar w:fldCharType="end"/>
          </w:r>
          <w:r>
            <w:rPr>
              <w:rFonts w:hint="eastAsia" w:ascii="仿宋_GB2312" w:hAnsi="仿宋_GB2312" w:eastAsia="仿宋_GB2312" w:cs="仿宋_GB2312"/>
              <w:b/>
              <w:bCs/>
              <w:sz w:val="32"/>
              <w:szCs w:val="32"/>
            </w:rPr>
            <w:fldChar w:fldCharType="end"/>
          </w:r>
        </w:p>
        <w:p>
          <w:r>
            <w:rPr>
              <w:rFonts w:hint="eastAsia" w:ascii="仿宋_GB2312" w:hAnsi="仿宋_GB2312" w:eastAsia="仿宋_GB2312" w:cs="仿宋_GB2312"/>
              <w:sz w:val="32"/>
              <w:szCs w:val="32"/>
            </w:rPr>
            <w:fldChar w:fldCharType="end"/>
          </w:r>
        </w:p>
      </w:sdtContent>
    </w:sdt>
    <w:p>
      <w:pPr>
        <w:spacing w:after="312" w:afterLines="100" w:line="560" w:lineRule="exact"/>
        <w:jc w:val="center"/>
        <w:rPr>
          <w:rFonts w:ascii="方正小标宋简体" w:hAnsi="Leelawadee UI" w:eastAsia="方正小标宋简体" w:cs="Leelawadee UI"/>
          <w:bCs/>
          <w:kern w:val="0"/>
          <w:sz w:val="44"/>
          <w:szCs w:val="44"/>
        </w:rPr>
        <w:sectPr>
          <w:pgSz w:w="11906" w:h="16838"/>
          <w:pgMar w:top="1440" w:right="1800" w:bottom="1440" w:left="1800" w:header="851" w:footer="992" w:gutter="0"/>
          <w:cols w:space="425" w:num="1"/>
          <w:docGrid w:type="lines" w:linePitch="312" w:charSpace="0"/>
        </w:sectPr>
      </w:pPr>
    </w:p>
    <w:p>
      <w:pPr>
        <w:spacing w:after="312" w:afterLines="100" w:line="560" w:lineRule="exact"/>
        <w:jc w:val="center"/>
        <w:outlineLvl w:val="9"/>
        <w:rPr>
          <w:rFonts w:hint="eastAsia" w:ascii="方正小标宋简体" w:hAnsi="Leelawadee UI" w:eastAsia="方正小标宋简体" w:cs="Leelawadee UI"/>
          <w:bCs/>
          <w:kern w:val="0"/>
          <w:sz w:val="44"/>
          <w:szCs w:val="44"/>
        </w:rPr>
      </w:pPr>
      <w:bookmarkStart w:id="6" w:name="_Toc24856"/>
      <w:bookmarkStart w:id="7" w:name="_Toc30965"/>
      <w:bookmarkStart w:id="8" w:name="_Toc3316"/>
      <w:r>
        <w:rPr>
          <w:rFonts w:hint="eastAsia" w:ascii="方正小标宋简体" w:hAnsi="Leelawadee UI" w:eastAsia="方正小标宋简体" w:cs="Leelawadee UI"/>
          <w:bCs/>
          <w:kern w:val="0"/>
          <w:sz w:val="44"/>
          <w:szCs w:val="44"/>
        </w:rPr>
        <w:t>北京市总工会</w:t>
      </w:r>
      <w:bookmarkEnd w:id="6"/>
    </w:p>
    <w:p>
      <w:pPr>
        <w:spacing w:after="312" w:afterLines="100" w:line="560" w:lineRule="exact"/>
        <w:jc w:val="center"/>
        <w:outlineLvl w:val="9"/>
        <w:rPr>
          <w:rFonts w:hint="eastAsia" w:ascii="方正小标宋简体" w:hAnsi="Leelawadee UI" w:eastAsia="方正小标宋简体" w:cs="Leelawadee UI"/>
          <w:bCs/>
          <w:kern w:val="0"/>
          <w:sz w:val="44"/>
          <w:szCs w:val="44"/>
        </w:rPr>
      </w:pPr>
      <w:bookmarkStart w:id="9" w:name="_Toc7627"/>
      <w:r>
        <w:rPr>
          <w:rFonts w:hint="eastAsia" w:ascii="方正小标宋简体" w:hAnsi="Leelawadee UI" w:eastAsia="方正小标宋简体" w:cs="Leelawadee UI"/>
          <w:bCs/>
          <w:kern w:val="0"/>
          <w:sz w:val="44"/>
          <w:szCs w:val="44"/>
        </w:rPr>
        <w:t>市财政专项补助资金</w:t>
      </w:r>
      <w:bookmarkEnd w:id="9"/>
      <w:bookmarkStart w:id="10" w:name="_Toc24991"/>
      <w:r>
        <w:rPr>
          <w:rFonts w:hint="eastAsia" w:ascii="方正小标宋简体" w:hAnsi="Leelawadee UI" w:eastAsia="方正小标宋简体" w:cs="Leelawadee UI"/>
          <w:bCs/>
          <w:kern w:val="0"/>
          <w:sz w:val="44"/>
          <w:szCs w:val="44"/>
        </w:rPr>
        <w:t>项目</w:t>
      </w:r>
    </w:p>
    <w:p>
      <w:pPr>
        <w:spacing w:after="312" w:afterLines="100" w:line="560" w:lineRule="exact"/>
        <w:jc w:val="center"/>
        <w:outlineLvl w:val="9"/>
        <w:rPr>
          <w:rFonts w:ascii="方正小标宋简体" w:hAnsi="Leelawadee UI" w:eastAsia="方正小标宋简体" w:cs="Leelawadee UI"/>
          <w:bCs/>
          <w:kern w:val="0"/>
          <w:sz w:val="44"/>
          <w:szCs w:val="44"/>
        </w:rPr>
      </w:pPr>
      <w:r>
        <w:rPr>
          <w:rFonts w:hint="eastAsia" w:ascii="方正小标宋简体" w:hAnsi="Leelawadee UI" w:eastAsia="方正小标宋简体" w:cs="Leelawadee UI"/>
          <w:bCs/>
          <w:kern w:val="0"/>
          <w:sz w:val="44"/>
          <w:szCs w:val="44"/>
        </w:rPr>
        <w:t>支出绩效评价报告</w:t>
      </w:r>
      <w:bookmarkEnd w:id="7"/>
      <w:bookmarkEnd w:id="8"/>
      <w:bookmarkEnd w:id="10"/>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ascii="仿宋_GB2312" w:hAnsi="仿宋_GB2312" w:eastAsia="仿宋_GB2312" w:cs="仿宋_GB2312"/>
          <w:sz w:val="32"/>
          <w:szCs w:val="32"/>
        </w:rPr>
      </w:pPr>
      <w:r>
        <w:rPr>
          <w:rFonts w:hint="eastAsia" w:ascii="仿宋_GB2312" w:hAnsi="仿宋_GB2312" w:eastAsia="仿宋_GB2312" w:cs="仿宋_GB2312"/>
          <w:kern w:val="0"/>
          <w:sz w:val="32"/>
          <w:szCs w:val="32"/>
        </w:rPr>
        <w:t>为进一步提高财政资金使用效益，优化公共财政资源配置。根据《中华人民共和国预算法》中共北京市委 北京市人民政府《关于全面实施预算绩效管理的实施意见》（京发〔2019〕12号）《北京市预算绩效管理办法》（京财绩效〔2019〕2129号）和《北京市项目支出绩效评价管理办法》（京财绩效〔2020〕2146号）等文件，北京市总工会（以下简称“市总工会”）按照北京市财政局《关于2024年预算绩效管理相关工作的函》部署要求，组建重点项目绩效评价工作组（以下简称“评价工作组”）</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对北京市总工会职工服务</w:t>
      </w:r>
      <w:r>
        <w:rPr>
          <w:rFonts w:hint="eastAsia" w:ascii="仿宋_GB2312" w:hAnsi="仿宋_GB2312" w:eastAsia="仿宋_GB2312" w:cs="仿宋_GB2312"/>
          <w:kern w:val="0"/>
          <w:sz w:val="32"/>
          <w:szCs w:val="32"/>
          <w:lang w:eastAsia="zh-Hans"/>
        </w:rPr>
        <w:t>工作</w:t>
      </w:r>
      <w:r>
        <w:rPr>
          <w:rFonts w:hint="eastAsia" w:ascii="仿宋_GB2312" w:hAnsi="仿宋_GB2312" w:eastAsia="仿宋_GB2312" w:cs="仿宋_GB2312"/>
          <w:kern w:val="0"/>
          <w:sz w:val="32"/>
          <w:szCs w:val="32"/>
        </w:rPr>
        <w:t>部（以下简称“职工工作部”）负责实施的</w:t>
      </w:r>
      <w:r>
        <w:rPr>
          <w:rFonts w:hint="eastAsia" w:ascii="仿宋_GB2312" w:hAnsi="仿宋_GB2312" w:eastAsia="仿宋_GB2312" w:cs="仿宋_GB2312"/>
          <w:kern w:val="0"/>
          <w:sz w:val="32"/>
          <w:szCs w:val="32"/>
          <w:lang w:eastAsia="zh-Hans"/>
        </w:rPr>
        <w:t>“</w:t>
      </w:r>
      <w:r>
        <w:rPr>
          <w:rFonts w:hint="eastAsia" w:ascii="仿宋_GB2312" w:hAnsi="仿宋_GB2312" w:eastAsia="仿宋_GB2312" w:cs="仿宋_GB2312"/>
          <w:kern w:val="0"/>
          <w:sz w:val="32"/>
          <w:szCs w:val="32"/>
        </w:rPr>
        <w:t>市财政专项帮扶资金</w:t>
      </w:r>
      <w:r>
        <w:rPr>
          <w:rFonts w:hint="eastAsia" w:ascii="仿宋_GB2312" w:hAnsi="仿宋_GB2312" w:eastAsia="仿宋_GB2312" w:cs="仿宋_GB2312"/>
          <w:kern w:val="0"/>
          <w:sz w:val="32"/>
          <w:szCs w:val="32"/>
          <w:lang w:eastAsia="zh-Hans"/>
        </w:rPr>
        <w:t>”</w:t>
      </w:r>
      <w:r>
        <w:rPr>
          <w:rFonts w:hint="eastAsia" w:ascii="仿宋_GB2312" w:hAnsi="仿宋_GB2312" w:eastAsia="仿宋_GB2312" w:cs="仿宋_GB2312"/>
          <w:kern w:val="0"/>
          <w:sz w:val="32"/>
          <w:szCs w:val="32"/>
        </w:rPr>
        <w:t>项目（以下简称“该项目”）的绩效情况实施评价，形成本报告。</w:t>
      </w:r>
    </w:p>
    <w:p>
      <w:pPr>
        <w:spacing w:line="560" w:lineRule="exact"/>
        <w:ind w:firstLine="643" w:firstLineChars="200"/>
        <w:outlineLvl w:val="0"/>
        <w:rPr>
          <w:rFonts w:ascii="黑体" w:hAnsi="黑体" w:eastAsia="黑体" w:cs="黑体"/>
          <w:b/>
          <w:bCs/>
          <w:sz w:val="32"/>
          <w:szCs w:val="32"/>
        </w:rPr>
      </w:pPr>
      <w:bookmarkStart w:id="11" w:name="_Toc16474"/>
      <w:bookmarkStart w:id="12" w:name="_Toc26303"/>
      <w:bookmarkStart w:id="13" w:name="_Toc27494"/>
      <w:bookmarkStart w:id="14" w:name="_Toc14671"/>
      <w:bookmarkStart w:id="15" w:name="_Toc29082"/>
      <w:bookmarkStart w:id="16" w:name="_Toc14083"/>
      <w:bookmarkStart w:id="17" w:name="_Toc21966"/>
      <w:bookmarkStart w:id="18" w:name="_Toc10489"/>
      <w:bookmarkStart w:id="19" w:name="_Toc12149"/>
      <w:bookmarkStart w:id="20" w:name="_Toc16988"/>
      <w:bookmarkStart w:id="21" w:name="_Toc11300"/>
      <w:r>
        <w:rPr>
          <w:rFonts w:hint="eastAsia" w:ascii="黑体" w:hAnsi="黑体" w:eastAsia="黑体" w:cs="黑体"/>
          <w:b/>
          <w:bCs/>
          <w:sz w:val="32"/>
          <w:szCs w:val="32"/>
        </w:rPr>
        <w:t>一、基本情况</w:t>
      </w:r>
      <w:bookmarkEnd w:id="11"/>
      <w:bookmarkEnd w:id="12"/>
      <w:bookmarkEnd w:id="13"/>
      <w:bookmarkEnd w:id="14"/>
      <w:bookmarkEnd w:id="15"/>
      <w:bookmarkEnd w:id="16"/>
      <w:bookmarkEnd w:id="17"/>
      <w:bookmarkEnd w:id="18"/>
      <w:bookmarkEnd w:id="19"/>
      <w:bookmarkEnd w:id="20"/>
      <w:bookmarkEnd w:id="21"/>
    </w:p>
    <w:p>
      <w:pPr>
        <w:spacing w:line="560" w:lineRule="exact"/>
        <w:ind w:firstLine="643" w:firstLineChars="200"/>
        <w:outlineLvl w:val="1"/>
        <w:rPr>
          <w:rFonts w:hint="eastAsia" w:ascii="楷体" w:hAnsi="楷体" w:eastAsia="楷体" w:cs="楷体"/>
          <w:b/>
          <w:bCs/>
          <w:sz w:val="32"/>
          <w:szCs w:val="32"/>
          <w:lang w:eastAsia="zh-CN"/>
        </w:rPr>
      </w:pPr>
      <w:bookmarkStart w:id="22" w:name="_Toc647"/>
      <w:bookmarkStart w:id="23" w:name="_Toc5167"/>
      <w:bookmarkStart w:id="24" w:name="_Toc23390"/>
      <w:bookmarkStart w:id="25" w:name="_Toc9209"/>
      <w:bookmarkStart w:id="26" w:name="_Toc29496"/>
      <w:bookmarkStart w:id="27" w:name="_Toc16040"/>
      <w:bookmarkStart w:id="28" w:name="_Toc5389"/>
      <w:bookmarkStart w:id="29" w:name="_Toc29711"/>
      <w:bookmarkStart w:id="30" w:name="_Toc31265"/>
      <w:bookmarkStart w:id="31" w:name="_Toc29170"/>
      <w:bookmarkStart w:id="32" w:name="_Toc21121"/>
      <w:r>
        <w:rPr>
          <w:rFonts w:hint="eastAsia" w:ascii="楷体" w:hAnsi="楷体" w:eastAsia="楷体" w:cs="楷体"/>
          <w:b/>
          <w:bCs/>
          <w:sz w:val="32"/>
          <w:szCs w:val="32"/>
        </w:rPr>
        <w:t>（一）项目</w:t>
      </w:r>
      <w:bookmarkEnd w:id="22"/>
      <w:bookmarkEnd w:id="23"/>
      <w:r>
        <w:rPr>
          <w:rFonts w:hint="eastAsia" w:ascii="楷体" w:hAnsi="楷体" w:eastAsia="楷体" w:cs="楷体"/>
          <w:b/>
          <w:bCs/>
          <w:sz w:val="32"/>
          <w:szCs w:val="32"/>
          <w:lang w:val="en-US" w:eastAsia="zh-CN"/>
        </w:rPr>
        <w:t>概况</w:t>
      </w:r>
      <w:bookmarkEnd w:id="24"/>
      <w:bookmarkEnd w:id="25"/>
      <w:bookmarkEnd w:id="26"/>
      <w:bookmarkEnd w:id="27"/>
      <w:bookmarkEnd w:id="28"/>
      <w:bookmarkEnd w:id="29"/>
      <w:bookmarkEnd w:id="30"/>
      <w:bookmarkEnd w:id="31"/>
      <w:bookmarkEnd w:id="32"/>
    </w:p>
    <w:p>
      <w:pPr>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1.项目背景</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2022年11月28日，《中华全国总工会办公厅关于印发〈中央财政职工困难帮扶资金项目管理实施细则〉的通知》（总工办发〔2022〕21号）</w:t>
      </w:r>
      <w:r>
        <w:rPr>
          <w:rFonts w:hint="eastAsia" w:ascii="仿宋_GB2312" w:hAnsi="仿宋_GB2312" w:eastAsia="仿宋_GB2312" w:cs="仿宋_GB2312"/>
          <w:kern w:val="0"/>
          <w:sz w:val="32"/>
          <w:szCs w:val="32"/>
          <w:lang w:val="en-US" w:eastAsia="zh-CN"/>
        </w:rPr>
        <w:t>指出</w:t>
      </w:r>
      <w:r>
        <w:rPr>
          <w:rFonts w:hint="eastAsia" w:ascii="仿宋_GB2312" w:hAnsi="仿宋_GB2312" w:eastAsia="仿宋_GB2312" w:cs="仿宋_GB2312"/>
          <w:kern w:val="0"/>
          <w:sz w:val="32"/>
          <w:szCs w:val="32"/>
        </w:rPr>
        <w:t>，支持巩固城市困难职工解困脱困成果。在社会救助体系基础上，充分发挥工会枢纽平台作用，增强帮扶资金开发性功能，引导带动社会资源参与工会帮扶救助项目，协同做好因遇临时性、突发性困难暂未纳入政府社会救助范围的，或按现行政策标准接受社会救助后仍存在其他困难的职工家庭帮扶工作。</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根据职工困难情况和实际需求，开展有针对性的事前预防和事后救助项目，包括：</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（1）生活救助项目。在保障</w:t>
      </w:r>
      <w:r>
        <w:rPr>
          <w:rFonts w:hint="eastAsia" w:ascii="仿宋_GB2312" w:hAnsi="仿宋_GB2312" w:eastAsia="仿宋_GB2312" w:cs="仿宋_GB2312"/>
          <w:kern w:val="0"/>
          <w:sz w:val="32"/>
          <w:szCs w:val="32"/>
          <w:highlight w:val="none"/>
        </w:rPr>
        <w:t>困难职工家庭</w:t>
      </w:r>
      <w:r>
        <w:rPr>
          <w:rFonts w:hint="eastAsia" w:ascii="仿宋_GB2312" w:hAnsi="仿宋_GB2312" w:eastAsia="仿宋_GB2312" w:cs="仿宋_GB2312"/>
          <w:kern w:val="0"/>
          <w:sz w:val="32"/>
          <w:szCs w:val="32"/>
        </w:rPr>
        <w:t>基本生活的基础上，引导推动职工基本生活需求和社会资源精准对接，完善质优价廉生活必需品供给。</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（2）子女助学项目。在保障</w:t>
      </w:r>
      <w:r>
        <w:rPr>
          <w:rFonts w:hint="eastAsia" w:ascii="仿宋_GB2312" w:hAnsi="仿宋_GB2312" w:eastAsia="仿宋_GB2312" w:cs="仿宋_GB2312"/>
          <w:kern w:val="0"/>
          <w:sz w:val="32"/>
          <w:szCs w:val="32"/>
          <w:lang w:val="en-US" w:eastAsia="zh-CN"/>
        </w:rPr>
        <w:t>困难</w:t>
      </w:r>
      <w:r>
        <w:rPr>
          <w:rFonts w:hint="eastAsia" w:ascii="仿宋_GB2312" w:hAnsi="仿宋_GB2312" w:eastAsia="仿宋_GB2312" w:cs="仿宋_GB2312"/>
          <w:kern w:val="0"/>
          <w:sz w:val="32"/>
          <w:szCs w:val="32"/>
          <w:highlight w:val="none"/>
        </w:rPr>
        <w:t>职工家庭</w:t>
      </w:r>
      <w:r>
        <w:rPr>
          <w:rFonts w:hint="eastAsia" w:ascii="仿宋_GB2312" w:hAnsi="仿宋_GB2312" w:eastAsia="仿宋_GB2312" w:cs="仿宋_GB2312"/>
          <w:kern w:val="0"/>
          <w:sz w:val="32"/>
          <w:szCs w:val="32"/>
        </w:rPr>
        <w:t>子女上学的基础上，着重支持</w:t>
      </w:r>
      <w:r>
        <w:rPr>
          <w:rFonts w:hint="eastAsia" w:ascii="仿宋_GB2312" w:hAnsi="仿宋_GB2312" w:eastAsia="仿宋_GB2312" w:cs="仿宋_GB2312"/>
          <w:kern w:val="0"/>
          <w:sz w:val="32"/>
          <w:szCs w:val="32"/>
          <w:highlight w:val="none"/>
        </w:rPr>
        <w:t>困难职工家庭</w:t>
      </w:r>
      <w:r>
        <w:rPr>
          <w:rFonts w:hint="eastAsia" w:ascii="仿宋_GB2312" w:hAnsi="仿宋_GB2312" w:eastAsia="仿宋_GB2312" w:cs="仿宋_GB2312"/>
          <w:kern w:val="0"/>
          <w:sz w:val="32"/>
          <w:szCs w:val="32"/>
        </w:rPr>
        <w:t>子女参与工会勤工俭学等项目。</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（3）大病救助项目。在推进职工互助保险赔付基础上，引导社会慈善资源帮助缓解职工家庭</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经各类保险保障和相关部门救助后</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仍然难以承担的医疗医药费用负担。</w:t>
      </w:r>
    </w:p>
    <w:p>
      <w:pPr>
        <w:widowControl/>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kern w:val="0"/>
          <w:sz w:val="32"/>
          <w:szCs w:val="32"/>
        </w:rPr>
        <w:t>（4）职业培训和职业介绍项目。帮助有劳动能力的职工家庭成员提升就业和职业发展能力</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促进职工就业创业，以及鼓励职工家庭成员充分就业等。</w:t>
      </w:r>
    </w:p>
    <w:p>
      <w:pPr>
        <w:widowControl/>
        <w:spacing w:line="560" w:lineRule="exact"/>
        <w:ind w:firstLine="640" w:firstLineChars="200"/>
        <w:rPr>
          <w:rFonts w:ascii="仿宋_GB2312" w:hAnsi="仿宋_GB2312" w:eastAsia="仿宋_GB2312" w:cs="仿宋_GB2312"/>
          <w:bCs/>
          <w:sz w:val="32"/>
          <w:szCs w:val="32"/>
        </w:rPr>
      </w:pPr>
      <w:r>
        <w:rPr>
          <w:rFonts w:hint="eastAsia" w:ascii="仿宋_GB2312" w:hAnsi="仿宋_GB2312" w:eastAsia="仿宋_GB2312" w:cs="仿宋_GB2312"/>
          <w:kern w:val="0"/>
          <w:sz w:val="32"/>
          <w:szCs w:val="32"/>
        </w:rPr>
        <w:t>各级工会应争取同级财政支持、单位行政拨付、投入工会经费和募集社会捐助等</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sz w:val="32"/>
          <w:szCs w:val="32"/>
          <w:lang w:bidi="ar"/>
        </w:rPr>
        <w:t>用于支持中央财政资金投入的帮扶项目</w:t>
      </w:r>
      <w:r>
        <w:rPr>
          <w:rFonts w:hint="eastAsia" w:ascii="仿宋_GB2312" w:hAnsi="仿宋_GB2312" w:eastAsia="仿宋_GB2312" w:cs="仿宋_GB2312"/>
          <w:bCs/>
          <w:sz w:val="32"/>
          <w:szCs w:val="32"/>
        </w:rPr>
        <w:t>。</w:t>
      </w:r>
    </w:p>
    <w:p>
      <w:pPr>
        <w:widowControl/>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bCs/>
          <w:sz w:val="32"/>
          <w:szCs w:val="32"/>
        </w:rPr>
        <w:t>按照《中华全国总工会办公厅关于开展2023年中央财政职工困难帮扶资金项目申报工作的通知》要求，</w:t>
      </w:r>
      <w:r>
        <w:rPr>
          <w:rFonts w:hint="eastAsia" w:ascii="仿宋_GB2312" w:hAnsi="仿宋_GB2312" w:eastAsia="仿宋_GB2312" w:cs="仿宋_GB2312"/>
          <w:sz w:val="32"/>
          <w:szCs w:val="32"/>
          <w:lang w:bidi="ar"/>
        </w:rPr>
        <w:t>“支持巩固城市困难职工解困脱困成果，持续提升职工生活品质，在职工遇到各类临时性、突发性、特殊性困难时开展前置性、补充性、开发性帮扶和送温暖服务”。</w:t>
      </w:r>
      <w:r>
        <w:rPr>
          <w:rFonts w:hint="eastAsia" w:ascii="仿宋_GB2312" w:hAnsi="仿宋_GB2312" w:eastAsia="仿宋_GB2312" w:cs="仿宋_GB2312"/>
          <w:bCs/>
          <w:sz w:val="32"/>
          <w:szCs w:val="32"/>
        </w:rPr>
        <w:t>市总工会于2023年继续开展帮扶工作，据此申报实施该项目。</w:t>
      </w:r>
    </w:p>
    <w:p>
      <w:pPr>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2.项目主要内容</w:t>
      </w:r>
      <w:r>
        <w:rPr>
          <w:rFonts w:hint="eastAsia" w:ascii="仿宋_GB2312" w:hAnsi="仿宋_GB2312" w:eastAsia="仿宋_GB2312" w:cs="仿宋_GB2312"/>
          <w:b/>
          <w:bCs/>
          <w:color w:val="auto"/>
          <w:sz w:val="32"/>
          <w:szCs w:val="32"/>
          <w:lang w:val="en-US" w:eastAsia="zh-CN"/>
        </w:rPr>
        <w:t>及实施情况</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开展全市在档困难职工家庭生活救助、子女助学、医疗救助工作，精准开展帮扶工作，帮助困难职工实现解困脱困。项目具体内容主要包含为在档深度困难、相对困难职工家庭发放基本生活补贴，为在档深度困难、相对困难职工家庭子女发放助学补贴，为全部在档困难职工家庭发放医疗救助补贴。</w:t>
      </w:r>
    </w:p>
    <w:p>
      <w:pPr>
        <w:spacing w:line="560" w:lineRule="exact"/>
        <w:ind w:firstLine="643" w:firstLineChars="200"/>
        <w:outlineLvl w:val="9"/>
        <w:rPr>
          <w:rFonts w:hint="eastAsia" w:ascii="仿宋_GB2312" w:hAnsi="仿宋_GB2312" w:eastAsia="仿宋_GB2312" w:cs="仿宋_GB2312"/>
          <w:b/>
          <w:bCs/>
          <w:sz w:val="32"/>
          <w:szCs w:val="32"/>
        </w:rPr>
      </w:pPr>
      <w:bookmarkStart w:id="33" w:name="_Toc8599"/>
      <w:bookmarkStart w:id="34" w:name="_Toc23462"/>
      <w:bookmarkStart w:id="35" w:name="_Toc20662"/>
      <w:bookmarkStart w:id="36" w:name="_Toc19553"/>
      <w:bookmarkStart w:id="37" w:name="_Toc18167"/>
      <w:r>
        <w:rPr>
          <w:rFonts w:hint="eastAsia" w:ascii="仿宋_GB2312" w:hAnsi="仿宋_GB2312" w:eastAsia="仿宋_GB2312" w:cs="仿宋_GB2312"/>
          <w:b/>
          <w:bCs/>
          <w:sz w:val="32"/>
          <w:szCs w:val="32"/>
          <w:lang w:val="en-US" w:eastAsia="zh-CN"/>
        </w:rPr>
        <w:t>3.</w:t>
      </w:r>
      <w:r>
        <w:rPr>
          <w:rFonts w:hint="eastAsia" w:ascii="仿宋_GB2312" w:hAnsi="仿宋_GB2312" w:eastAsia="仿宋_GB2312" w:cs="仿宋_GB2312"/>
          <w:b/>
          <w:bCs/>
          <w:sz w:val="32"/>
          <w:szCs w:val="32"/>
        </w:rPr>
        <w:t>项目资金情况</w:t>
      </w:r>
      <w:bookmarkEnd w:id="33"/>
      <w:bookmarkEnd w:id="34"/>
      <w:bookmarkEnd w:id="35"/>
      <w:bookmarkEnd w:id="36"/>
      <w:bookmarkEnd w:id="37"/>
    </w:p>
    <w:p>
      <w:pPr>
        <w:pStyle w:val="15"/>
        <w:keepNext w:val="0"/>
        <w:keepLines w:val="0"/>
        <w:pageBreakBefore w:val="0"/>
        <w:widowControl w:val="0"/>
        <w:kinsoku/>
        <w:wordWrap/>
        <w:overflowPunct/>
        <w:topLinePunct w:val="0"/>
        <w:autoSpaceDE/>
        <w:autoSpaceDN/>
        <w:bidi w:val="0"/>
        <w:adjustRightInd/>
        <w:snapToGrid/>
        <w:spacing w:before="0" w:line="560" w:lineRule="exact"/>
        <w:ind w:left="0" w:firstLine="640" w:firstLineChars="200"/>
        <w:textAlignment w:val="auto"/>
        <w:rPr>
          <w:rFonts w:ascii="仿宋_GB2312" w:hAnsi="仿宋_GB2312" w:eastAsia="仿宋_GB2312" w:cs="仿宋_GB2312"/>
        </w:rPr>
      </w:pPr>
      <w:r>
        <w:rPr>
          <w:rFonts w:hint="eastAsia" w:ascii="仿宋_GB2312" w:hAnsi="仿宋_GB2312" w:eastAsia="仿宋_GB2312" w:cs="仿宋_GB2312"/>
        </w:rPr>
        <w:t>2023年该项目申请预算金额300.00万元，2023年2月，北京市财政局《关于批复北京市总工会2023年预算的函》（京财党政群指〔2023〕0170号），批复年初预算金额300.00万元，其中：生活救助项目预算180.00万元，子女助学项目预算60.00万元，医疗救助项目预算60.00万元。</w:t>
      </w:r>
    </w:p>
    <w:p>
      <w:pPr>
        <w:pStyle w:val="15"/>
        <w:keepNext w:val="0"/>
        <w:keepLines w:val="0"/>
        <w:pageBreakBefore w:val="0"/>
        <w:widowControl w:val="0"/>
        <w:kinsoku/>
        <w:wordWrap/>
        <w:overflowPunct/>
        <w:topLinePunct w:val="0"/>
        <w:autoSpaceDE/>
        <w:autoSpaceDN/>
        <w:bidi w:val="0"/>
        <w:adjustRightInd/>
        <w:snapToGrid/>
        <w:spacing w:before="0" w:line="560" w:lineRule="exact"/>
        <w:ind w:left="0" w:firstLine="640" w:firstLineChars="200"/>
        <w:textAlignment w:val="auto"/>
        <w:rPr>
          <w:rFonts w:ascii="仿宋_GB2312" w:hAnsi="仿宋_GB2312" w:eastAsia="仿宋_GB2312" w:cs="仿宋_GB2312"/>
        </w:rPr>
      </w:pPr>
      <w:r>
        <w:rPr>
          <w:rFonts w:hint="eastAsia" w:ascii="仿宋_GB2312" w:hAnsi="仿宋_GB2312" w:eastAsia="仿宋_GB2312" w:cs="仿宋_GB2312"/>
        </w:rPr>
        <w:t>2023年10月，北京市财政局《关于核减北京市总工会2023年经费预算的函》（京财党政群指〔2023〕1720号）文件，核减项目预算资金100.00万元。调整后全年预算金额200.00万元，其中：生活救助项目预算155.00万元，子女助学项目预算25.00万元，医疗救助项目预算20.00万元。</w:t>
      </w:r>
    </w:p>
    <w:p>
      <w:pPr>
        <w:pStyle w:val="15"/>
        <w:keepNext w:val="0"/>
        <w:keepLines w:val="0"/>
        <w:pageBreakBefore w:val="0"/>
        <w:widowControl w:val="0"/>
        <w:kinsoku/>
        <w:wordWrap/>
        <w:overflowPunct/>
        <w:topLinePunct w:val="0"/>
        <w:autoSpaceDE/>
        <w:autoSpaceDN/>
        <w:bidi w:val="0"/>
        <w:adjustRightInd/>
        <w:snapToGrid/>
        <w:spacing w:before="0" w:line="560" w:lineRule="exact"/>
        <w:ind w:left="0" w:firstLine="640" w:firstLineChars="200"/>
        <w:textAlignment w:val="auto"/>
        <w:rPr>
          <w:rFonts w:ascii="仿宋_GB2312" w:hAnsi="仿宋_GB2312" w:eastAsia="仿宋_GB2312" w:cs="仿宋_GB2312"/>
        </w:rPr>
      </w:pPr>
      <w:r>
        <w:rPr>
          <w:rFonts w:hint="eastAsia" w:ascii="仿宋_GB2312" w:hAnsi="仿宋_GB2312" w:eastAsia="仿宋_GB2312" w:cs="仿宋_GB2312"/>
        </w:rPr>
        <w:t>截至2023年12月31日，该项目支出186.61万元，结余13.39万元，预算执行率为93.30%。</w:t>
      </w:r>
    </w:p>
    <w:p>
      <w:pPr>
        <w:spacing w:line="560" w:lineRule="exact"/>
        <w:ind w:firstLine="643" w:firstLineChars="200"/>
        <w:outlineLvl w:val="1"/>
        <w:rPr>
          <w:rFonts w:hint="eastAsia" w:ascii="楷体" w:hAnsi="楷体" w:eastAsia="楷体" w:cs="楷体"/>
          <w:b/>
          <w:bCs/>
          <w:sz w:val="32"/>
          <w:szCs w:val="32"/>
        </w:rPr>
      </w:pPr>
      <w:bookmarkStart w:id="38" w:name="_Toc2992"/>
      <w:bookmarkStart w:id="39" w:name="_Toc22985"/>
      <w:bookmarkStart w:id="40" w:name="_Toc29628"/>
      <w:bookmarkStart w:id="41" w:name="_Toc12025"/>
      <w:bookmarkStart w:id="42" w:name="_Toc12291"/>
      <w:bookmarkStart w:id="43" w:name="_Toc2257"/>
      <w:bookmarkStart w:id="44" w:name="_Toc24715"/>
      <w:bookmarkStart w:id="45" w:name="_Toc9648"/>
      <w:bookmarkStart w:id="46" w:name="_Toc30233"/>
      <w:bookmarkStart w:id="47" w:name="_Toc24455"/>
      <w:bookmarkStart w:id="48" w:name="_Toc17656"/>
      <w:r>
        <w:rPr>
          <w:rFonts w:hint="eastAsia" w:ascii="楷体" w:hAnsi="楷体" w:eastAsia="楷体" w:cs="楷体"/>
          <w:b/>
          <w:bCs/>
          <w:sz w:val="32"/>
          <w:szCs w:val="32"/>
        </w:rPr>
        <w:t>（</w:t>
      </w:r>
      <w:r>
        <w:rPr>
          <w:rFonts w:hint="eastAsia" w:ascii="楷体" w:hAnsi="楷体" w:eastAsia="楷体" w:cs="楷体"/>
          <w:b/>
          <w:bCs/>
          <w:sz w:val="32"/>
          <w:szCs w:val="32"/>
          <w:lang w:val="en-US" w:eastAsia="zh-CN"/>
        </w:rPr>
        <w:t>二</w:t>
      </w:r>
      <w:r>
        <w:rPr>
          <w:rFonts w:hint="eastAsia" w:ascii="楷体" w:hAnsi="楷体" w:eastAsia="楷体" w:cs="楷体"/>
          <w:b/>
          <w:bCs/>
          <w:sz w:val="32"/>
          <w:szCs w:val="32"/>
        </w:rPr>
        <w:t>）项目绩效目标</w:t>
      </w:r>
      <w:bookmarkEnd w:id="38"/>
      <w:bookmarkEnd w:id="39"/>
      <w:bookmarkEnd w:id="40"/>
      <w:bookmarkEnd w:id="41"/>
      <w:bookmarkEnd w:id="42"/>
      <w:bookmarkEnd w:id="43"/>
      <w:bookmarkEnd w:id="44"/>
      <w:bookmarkEnd w:id="45"/>
      <w:bookmarkEnd w:id="46"/>
      <w:bookmarkEnd w:id="47"/>
      <w:bookmarkEnd w:id="48"/>
    </w:p>
    <w:p>
      <w:pPr>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1.</w:t>
      </w:r>
      <w:r>
        <w:rPr>
          <w:rFonts w:hint="eastAsia" w:ascii="仿宋_GB2312" w:hAnsi="仿宋_GB2312" w:eastAsia="仿宋_GB2312" w:cs="仿宋_GB2312"/>
          <w:b/>
          <w:bCs/>
          <w:sz w:val="32"/>
          <w:szCs w:val="32"/>
          <w:lang w:val="en-US" w:eastAsia="zh-CN"/>
        </w:rPr>
        <w:t>年度</w:t>
      </w:r>
      <w:r>
        <w:rPr>
          <w:rFonts w:hint="eastAsia" w:ascii="仿宋_GB2312" w:hAnsi="仿宋_GB2312" w:eastAsia="仿宋_GB2312" w:cs="仿宋_GB2312"/>
          <w:b/>
          <w:bCs/>
          <w:sz w:val="32"/>
          <w:szCs w:val="32"/>
        </w:rPr>
        <w:t>目标</w:t>
      </w:r>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保持困难职工帮扶政策基本稳定，持续提升在档困难职工生活品质，保障在档困难职工家庭基本生活水平不低于北京市最低生活保障标准。</w:t>
      </w:r>
    </w:p>
    <w:p>
      <w:pPr>
        <w:spacing w:line="560" w:lineRule="exact"/>
        <w:ind w:firstLine="643" w:firstLineChars="200"/>
        <w:rPr>
          <w:rFonts w:ascii="仿宋_GB2312" w:hAnsi="仿宋_GB2312" w:eastAsia="仿宋_GB2312" w:cs="仿宋_GB2312"/>
          <w:b/>
          <w:bCs/>
          <w:sz w:val="32"/>
          <w:szCs w:val="32"/>
        </w:rPr>
      </w:pPr>
      <w:r>
        <w:rPr>
          <w:rFonts w:hint="eastAsia" w:ascii="仿宋_GB2312" w:hAnsi="仿宋_GB2312" w:eastAsia="仿宋_GB2312" w:cs="仿宋_GB2312"/>
          <w:b/>
          <w:bCs/>
          <w:sz w:val="32"/>
          <w:szCs w:val="32"/>
        </w:rPr>
        <w:t>2.绩效指标</w:t>
      </w:r>
    </w:p>
    <w:p>
      <w:pPr>
        <w:spacing w:line="560" w:lineRule="exact"/>
        <w:ind w:firstLine="640" w:firstLineChars="200"/>
        <w:rPr>
          <w:rFonts w:ascii="仿宋_GB2312" w:hAnsi="仿宋_GB2312" w:eastAsia="仿宋_GB2312" w:cs="仿宋_GB2312"/>
          <w:bCs/>
          <w:sz w:val="32"/>
        </w:rPr>
      </w:pPr>
      <w:bookmarkStart w:id="49" w:name="_Toc20439"/>
      <w:r>
        <w:rPr>
          <w:rFonts w:hint="eastAsia" w:ascii="仿宋_GB2312" w:hAnsi="仿宋_GB2312" w:eastAsia="仿宋_GB2312" w:cs="仿宋_GB2312"/>
          <w:bCs/>
          <w:sz w:val="32"/>
          <w:lang w:val="en-US" w:eastAsia="zh-CN"/>
        </w:rPr>
        <w:t>（1）</w:t>
      </w:r>
      <w:r>
        <w:rPr>
          <w:rFonts w:hint="eastAsia" w:ascii="仿宋_GB2312" w:hAnsi="仿宋_GB2312" w:eastAsia="仿宋_GB2312" w:cs="仿宋_GB2312"/>
          <w:bCs/>
          <w:sz w:val="32"/>
        </w:rPr>
        <w:t>数量指标：生活救助户次≤400户；子女助学人数≤60人；医疗救助户数≤100户；</w:t>
      </w:r>
    </w:p>
    <w:p>
      <w:pPr>
        <w:spacing w:line="560" w:lineRule="exact"/>
        <w:ind w:firstLine="640" w:firstLineChars="200"/>
        <w:rPr>
          <w:rFonts w:ascii="仿宋_GB2312" w:hAnsi="仿宋_GB2312" w:eastAsia="仿宋_GB2312" w:cs="仿宋_GB2312"/>
          <w:bCs/>
          <w:sz w:val="32"/>
        </w:rPr>
      </w:pPr>
      <w:r>
        <w:rPr>
          <w:rFonts w:hint="eastAsia" w:ascii="仿宋_GB2312" w:hAnsi="仿宋_GB2312" w:eastAsia="仿宋_GB2312" w:cs="仿宋_GB2312"/>
          <w:bCs/>
          <w:sz w:val="32"/>
          <w:lang w:val="en-US" w:eastAsia="zh-CN"/>
        </w:rPr>
        <w:t>（2）</w:t>
      </w:r>
      <w:r>
        <w:rPr>
          <w:rFonts w:hint="eastAsia" w:ascii="仿宋_GB2312" w:hAnsi="仿宋_GB2312" w:eastAsia="仿宋_GB2312" w:cs="仿宋_GB2312"/>
          <w:bCs/>
          <w:sz w:val="32"/>
        </w:rPr>
        <w:t>质量指标：精准、足额、及时发放补贴；</w:t>
      </w:r>
    </w:p>
    <w:p>
      <w:pPr>
        <w:spacing w:line="560" w:lineRule="exact"/>
        <w:ind w:firstLine="640" w:firstLineChars="200"/>
        <w:rPr>
          <w:rFonts w:ascii="仿宋_GB2312" w:hAnsi="仿宋_GB2312" w:eastAsia="仿宋_GB2312" w:cs="仿宋_GB2312"/>
          <w:bCs/>
          <w:sz w:val="32"/>
        </w:rPr>
      </w:pPr>
      <w:r>
        <w:rPr>
          <w:rFonts w:hint="eastAsia" w:ascii="仿宋_GB2312" w:hAnsi="仿宋_GB2312" w:eastAsia="仿宋_GB2312" w:cs="仿宋_GB2312"/>
          <w:bCs/>
          <w:sz w:val="32"/>
          <w:lang w:val="en-US" w:eastAsia="zh-CN"/>
        </w:rPr>
        <w:t>（3）</w:t>
      </w:r>
      <w:r>
        <w:rPr>
          <w:rFonts w:hint="eastAsia" w:ascii="仿宋_GB2312" w:hAnsi="仿宋_GB2312" w:eastAsia="仿宋_GB2312" w:cs="仿宋_GB2312"/>
          <w:bCs/>
          <w:sz w:val="32"/>
        </w:rPr>
        <w:t>时效指标：按时完成6月底前、12月底前分两次发放生活救助金；按时完成9月底前发放子女助学金；按时完成12月底前发放医疗救助金及生活救助金；</w:t>
      </w:r>
    </w:p>
    <w:p>
      <w:pPr>
        <w:spacing w:line="560" w:lineRule="exact"/>
        <w:ind w:firstLine="640" w:firstLineChars="200"/>
        <w:rPr>
          <w:rFonts w:ascii="仿宋_GB2312" w:hAnsi="仿宋_GB2312" w:eastAsia="仿宋_GB2312" w:cs="仿宋_GB2312"/>
          <w:bCs/>
          <w:sz w:val="32"/>
          <w:szCs w:val="32"/>
        </w:rPr>
      </w:pPr>
      <w:r>
        <w:rPr>
          <w:rFonts w:hint="eastAsia" w:ascii="仿宋_GB2312" w:hAnsi="仿宋_GB2312" w:eastAsia="仿宋_GB2312" w:cs="仿宋_GB2312"/>
          <w:bCs/>
          <w:sz w:val="32"/>
          <w:lang w:val="en-US" w:eastAsia="zh-CN"/>
        </w:rPr>
        <w:t>（4）</w:t>
      </w:r>
      <w:r>
        <w:rPr>
          <w:rFonts w:hint="eastAsia" w:ascii="仿宋_GB2312" w:hAnsi="仿宋_GB2312" w:eastAsia="仿宋_GB2312" w:cs="仿宋_GB2312"/>
          <w:bCs/>
          <w:sz w:val="32"/>
        </w:rPr>
        <w:t>成本指标：</w:t>
      </w:r>
      <w:r>
        <w:rPr>
          <w:rFonts w:hint="eastAsia" w:ascii="仿宋_GB2312" w:hAnsi="仿宋_GB2312" w:eastAsia="仿宋_GB2312" w:cs="仿宋_GB2312"/>
          <w:bCs/>
          <w:sz w:val="32"/>
          <w:szCs w:val="32"/>
        </w:rPr>
        <w:t>生活救助项目≤155.00万元；</w:t>
      </w:r>
      <w:r>
        <w:rPr>
          <w:rFonts w:hint="eastAsia" w:ascii="仿宋_GB2312" w:hAnsi="仿宋_GB2312" w:eastAsia="仿宋_GB2312" w:cs="仿宋_GB2312"/>
          <w:bCs/>
          <w:kern w:val="0"/>
          <w:sz w:val="32"/>
          <w:szCs w:val="32"/>
        </w:rPr>
        <w:t>子女助学项目</w:t>
      </w:r>
      <w:r>
        <w:rPr>
          <w:rFonts w:hint="eastAsia" w:ascii="仿宋_GB2312" w:hAnsi="仿宋_GB2312" w:eastAsia="仿宋_GB2312" w:cs="仿宋_GB2312"/>
          <w:bCs/>
          <w:sz w:val="32"/>
          <w:szCs w:val="32"/>
        </w:rPr>
        <w:t>≤25.00万元；医疗救助项目≤20.00万元；</w:t>
      </w:r>
    </w:p>
    <w:p>
      <w:pPr>
        <w:spacing w:line="560" w:lineRule="exact"/>
        <w:ind w:firstLine="640" w:firstLineChars="200"/>
        <w:rPr>
          <w:rFonts w:ascii="仿宋_GB2312" w:hAnsi="仿宋_GB2312" w:eastAsia="仿宋_GB2312" w:cs="仿宋_GB2312"/>
          <w:bCs/>
          <w:sz w:val="32"/>
        </w:rPr>
      </w:pPr>
      <w:r>
        <w:rPr>
          <w:rFonts w:hint="eastAsia" w:ascii="仿宋_GB2312" w:hAnsi="仿宋_GB2312" w:eastAsia="仿宋_GB2312" w:cs="仿宋_GB2312"/>
          <w:bCs/>
          <w:sz w:val="32"/>
          <w:lang w:val="en-US" w:eastAsia="zh-CN"/>
        </w:rPr>
        <w:t>（5）</w:t>
      </w:r>
      <w:r>
        <w:rPr>
          <w:rFonts w:hint="eastAsia" w:ascii="仿宋_GB2312" w:hAnsi="仿宋_GB2312" w:eastAsia="仿宋_GB2312" w:cs="仿宋_GB2312"/>
          <w:bCs/>
          <w:sz w:val="32"/>
        </w:rPr>
        <w:t>经济效益指标：缓解困难职工家庭基本生活困难；</w:t>
      </w:r>
    </w:p>
    <w:p>
      <w:pPr>
        <w:spacing w:line="560" w:lineRule="exact"/>
        <w:ind w:firstLine="640" w:firstLineChars="200"/>
        <w:rPr>
          <w:rFonts w:ascii="仿宋_GB2312" w:hAnsi="仿宋_GB2312" w:eastAsia="仿宋_GB2312" w:cs="仿宋_GB2312"/>
          <w:bCs/>
          <w:sz w:val="32"/>
        </w:rPr>
      </w:pPr>
      <w:r>
        <w:rPr>
          <w:rFonts w:hint="eastAsia" w:ascii="仿宋_GB2312" w:hAnsi="仿宋_GB2312" w:eastAsia="仿宋_GB2312" w:cs="仿宋_GB2312"/>
          <w:bCs/>
          <w:sz w:val="32"/>
          <w:lang w:val="en-US" w:eastAsia="zh-CN"/>
        </w:rPr>
        <w:t>（6）</w:t>
      </w:r>
      <w:r>
        <w:rPr>
          <w:rFonts w:hint="eastAsia" w:ascii="仿宋_GB2312" w:hAnsi="仿宋_GB2312" w:eastAsia="仿宋_GB2312" w:cs="仿宋_GB2312"/>
          <w:bCs/>
          <w:sz w:val="32"/>
        </w:rPr>
        <w:t>服务对象满意度指标：困难职工满意度≥90%。</w:t>
      </w:r>
    </w:p>
    <w:p>
      <w:pPr>
        <w:spacing w:line="560" w:lineRule="exact"/>
        <w:ind w:firstLine="643" w:firstLineChars="200"/>
        <w:outlineLvl w:val="0"/>
        <w:rPr>
          <w:rFonts w:ascii="黑体" w:hAnsi="黑体" w:eastAsia="黑体" w:cs="黑体"/>
          <w:b/>
          <w:bCs/>
          <w:sz w:val="32"/>
          <w:szCs w:val="32"/>
        </w:rPr>
      </w:pPr>
      <w:bookmarkStart w:id="50" w:name="_Toc27444"/>
      <w:bookmarkStart w:id="51" w:name="_Toc17017"/>
      <w:bookmarkStart w:id="52" w:name="_Toc11639"/>
      <w:bookmarkStart w:id="53" w:name="_Toc16475"/>
      <w:bookmarkStart w:id="54" w:name="_Toc27473"/>
      <w:bookmarkStart w:id="55" w:name="_Toc21141"/>
      <w:bookmarkStart w:id="56" w:name="_Toc20159"/>
      <w:bookmarkStart w:id="57" w:name="_Toc6129"/>
      <w:bookmarkStart w:id="58" w:name="_Toc14037"/>
      <w:bookmarkStart w:id="59" w:name="_Toc4175"/>
      <w:bookmarkStart w:id="60" w:name="_Toc23622"/>
      <w:r>
        <w:rPr>
          <w:rFonts w:hint="eastAsia" w:ascii="黑体" w:hAnsi="黑体" w:eastAsia="黑体" w:cs="黑体"/>
          <w:b/>
          <w:bCs/>
          <w:sz w:val="32"/>
          <w:szCs w:val="32"/>
        </w:rPr>
        <w:t>二、绩效评价工作开展情况</w:t>
      </w:r>
      <w:bookmarkEnd w:id="49"/>
      <w:bookmarkEnd w:id="50"/>
      <w:bookmarkEnd w:id="51"/>
      <w:bookmarkEnd w:id="52"/>
      <w:bookmarkEnd w:id="53"/>
      <w:bookmarkEnd w:id="54"/>
      <w:bookmarkEnd w:id="55"/>
      <w:bookmarkEnd w:id="56"/>
      <w:bookmarkEnd w:id="57"/>
      <w:bookmarkEnd w:id="58"/>
      <w:bookmarkEnd w:id="59"/>
      <w:bookmarkEnd w:id="60"/>
    </w:p>
    <w:p>
      <w:pPr>
        <w:spacing w:line="560" w:lineRule="exact"/>
        <w:ind w:firstLine="643" w:firstLineChars="200"/>
        <w:outlineLvl w:val="1"/>
        <w:rPr>
          <w:rFonts w:ascii="楷体" w:hAnsi="楷体" w:eastAsia="楷体" w:cs="楷体"/>
          <w:b/>
          <w:bCs/>
          <w:sz w:val="32"/>
          <w:szCs w:val="32"/>
        </w:rPr>
      </w:pPr>
      <w:bookmarkStart w:id="61" w:name="_Toc4824"/>
      <w:bookmarkStart w:id="62" w:name="_Toc26857"/>
      <w:bookmarkStart w:id="63" w:name="_Toc21145"/>
      <w:bookmarkStart w:id="64" w:name="_Toc22569"/>
      <w:bookmarkStart w:id="65" w:name="_Toc4569"/>
      <w:bookmarkStart w:id="66" w:name="_Toc4186"/>
      <w:bookmarkStart w:id="67" w:name="_Toc8735"/>
      <w:bookmarkStart w:id="68" w:name="_Toc10337"/>
      <w:bookmarkStart w:id="69" w:name="_Toc6979"/>
      <w:bookmarkStart w:id="70" w:name="_Toc22866"/>
      <w:bookmarkStart w:id="71" w:name="_Toc7728"/>
      <w:bookmarkStart w:id="72" w:name="_Toc10285"/>
      <w:r>
        <w:rPr>
          <w:rFonts w:hint="eastAsia" w:ascii="楷体" w:hAnsi="楷体" w:eastAsia="楷体" w:cs="楷体"/>
          <w:b/>
          <w:bCs/>
          <w:sz w:val="32"/>
          <w:szCs w:val="32"/>
        </w:rPr>
        <w:t>（一）绩效评价目的、对象和范围</w:t>
      </w:r>
      <w:bookmarkEnd w:id="61"/>
      <w:bookmarkEnd w:id="62"/>
      <w:bookmarkEnd w:id="63"/>
      <w:bookmarkEnd w:id="64"/>
      <w:bookmarkEnd w:id="65"/>
      <w:bookmarkEnd w:id="66"/>
      <w:bookmarkEnd w:id="67"/>
      <w:bookmarkEnd w:id="68"/>
      <w:bookmarkEnd w:id="69"/>
      <w:bookmarkEnd w:id="70"/>
      <w:bookmarkEnd w:id="71"/>
      <w:bookmarkEnd w:id="72"/>
    </w:p>
    <w:p>
      <w:pPr>
        <w:spacing w:line="560" w:lineRule="exact"/>
        <w:ind w:firstLine="643" w:firstLineChars="200"/>
        <w:rPr>
          <w:rFonts w:ascii="仿宋_GB2312" w:hAnsi="仿宋_GB2312" w:eastAsia="仿宋_GB2312" w:cs="仿宋_GB2312"/>
          <w:b/>
          <w:bCs/>
          <w:sz w:val="32"/>
          <w:szCs w:val="32"/>
        </w:rPr>
      </w:pPr>
      <w:bookmarkStart w:id="73" w:name="_Toc72129830"/>
      <w:bookmarkStart w:id="74" w:name="_Toc73028722"/>
      <w:bookmarkStart w:id="75" w:name="_Toc72117815"/>
      <w:bookmarkStart w:id="76" w:name="_Toc20104"/>
      <w:r>
        <w:rPr>
          <w:rFonts w:hint="eastAsia" w:ascii="仿宋_GB2312" w:hAnsi="仿宋_GB2312" w:eastAsia="仿宋_GB2312" w:cs="仿宋_GB2312"/>
          <w:b/>
          <w:bCs/>
          <w:sz w:val="32"/>
          <w:szCs w:val="32"/>
        </w:rPr>
        <w:t>1.评价目的</w:t>
      </w:r>
      <w:bookmarkEnd w:id="73"/>
      <w:bookmarkEnd w:id="74"/>
      <w:bookmarkEnd w:id="75"/>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通过开展项目绩效评价，对该项目整体情况进行分析，全面、客观地反映项目单位的工作成效，对项目决策、项目过程、项目产出、项目效益四个方面存在的不足提出合理化建议，使预算绩效管理更加科学、规范，提高项目预算绩效管理水平和财政资金使用效益。</w:t>
      </w:r>
    </w:p>
    <w:p>
      <w:pPr>
        <w:spacing w:line="560" w:lineRule="exact"/>
        <w:ind w:firstLine="643" w:firstLineChars="200"/>
        <w:rPr>
          <w:rFonts w:ascii="仿宋_GB2312" w:hAnsi="仿宋_GB2312" w:eastAsia="仿宋_GB2312" w:cs="仿宋_GB2312"/>
          <w:b/>
          <w:bCs/>
          <w:sz w:val="32"/>
          <w:szCs w:val="32"/>
        </w:rPr>
      </w:pPr>
      <w:bookmarkStart w:id="77" w:name="_Toc73028723"/>
      <w:bookmarkStart w:id="78" w:name="_Toc72117816"/>
      <w:bookmarkStart w:id="79" w:name="_Toc72129831"/>
      <w:r>
        <w:rPr>
          <w:rFonts w:hint="eastAsia" w:ascii="仿宋_GB2312" w:hAnsi="仿宋_GB2312" w:eastAsia="仿宋_GB2312" w:cs="仿宋_GB2312"/>
          <w:b/>
          <w:bCs/>
          <w:sz w:val="32"/>
          <w:szCs w:val="32"/>
        </w:rPr>
        <w:t>2.评价对象和范围</w:t>
      </w:r>
      <w:bookmarkEnd w:id="77"/>
      <w:bookmarkEnd w:id="78"/>
      <w:bookmarkEnd w:id="79"/>
    </w:p>
    <w:bookmarkEnd w:id="76"/>
    <w:p>
      <w:pPr>
        <w:spacing w:line="560" w:lineRule="exact"/>
        <w:ind w:firstLine="640" w:firstLineChars="200"/>
        <w:rPr>
          <w:rFonts w:ascii="仿宋_GB2312" w:hAnsi="楷体" w:eastAsia="仿宋_GB2312"/>
          <w:bCs/>
          <w:kern w:val="0"/>
          <w:sz w:val="32"/>
          <w:szCs w:val="32"/>
        </w:rPr>
      </w:pPr>
      <w:bookmarkStart w:id="80" w:name="_Toc30858"/>
      <w:r>
        <w:rPr>
          <w:rFonts w:hint="eastAsia" w:ascii="仿宋_GB2312" w:hAnsi="楷体" w:eastAsia="仿宋_GB2312"/>
          <w:bCs/>
          <w:kern w:val="0"/>
          <w:sz w:val="32"/>
          <w:szCs w:val="32"/>
        </w:rPr>
        <w:t>对</w:t>
      </w:r>
      <w:r>
        <w:rPr>
          <w:rFonts w:hint="eastAsia" w:ascii="仿宋_GB2312" w:hAnsi="宋体" w:eastAsia="仿宋_GB2312"/>
          <w:bCs/>
          <w:kern w:val="0"/>
          <w:sz w:val="32"/>
          <w:szCs w:val="32"/>
        </w:rPr>
        <w:t>市财政专项帮扶资金项目</w:t>
      </w:r>
      <w:r>
        <w:rPr>
          <w:rFonts w:hint="eastAsia" w:ascii="仿宋_GB2312" w:eastAsia="仿宋_GB2312" w:cs="宋体"/>
          <w:kern w:val="0"/>
          <w:sz w:val="32"/>
          <w:szCs w:val="32"/>
        </w:rPr>
        <w:t>200.00万元的</w:t>
      </w:r>
      <w:r>
        <w:rPr>
          <w:rFonts w:hint="eastAsia" w:ascii="仿宋_GB2312" w:hAnsi="楷体" w:eastAsia="仿宋_GB2312"/>
          <w:bCs/>
          <w:kern w:val="0"/>
          <w:sz w:val="32"/>
          <w:szCs w:val="32"/>
        </w:rPr>
        <w:t>资金支出情况开展绩效评价。</w:t>
      </w:r>
    </w:p>
    <w:p>
      <w:pPr>
        <w:spacing w:line="560" w:lineRule="exact"/>
        <w:ind w:firstLine="643" w:firstLineChars="200"/>
        <w:outlineLvl w:val="1"/>
        <w:rPr>
          <w:rFonts w:hint="eastAsia" w:ascii="楷体" w:hAnsi="楷体" w:eastAsia="楷体" w:cs="楷体"/>
          <w:b/>
          <w:bCs/>
          <w:sz w:val="32"/>
          <w:szCs w:val="32"/>
          <w:lang w:val="en-US" w:eastAsia="zh-CN"/>
        </w:rPr>
      </w:pPr>
      <w:bookmarkStart w:id="81" w:name="_Toc18213"/>
      <w:bookmarkStart w:id="82" w:name="_Toc10635"/>
      <w:bookmarkStart w:id="83" w:name="_Toc3013"/>
      <w:bookmarkStart w:id="84" w:name="_Toc8850"/>
      <w:bookmarkStart w:id="85" w:name="_Toc21312"/>
      <w:bookmarkStart w:id="86" w:name="_Toc23832"/>
      <w:bookmarkStart w:id="87" w:name="_Toc30784"/>
      <w:bookmarkStart w:id="88" w:name="_Toc14298"/>
      <w:bookmarkStart w:id="89" w:name="_Toc3733"/>
      <w:bookmarkStart w:id="90" w:name="_Toc1451"/>
      <w:bookmarkStart w:id="91" w:name="_Toc28098"/>
      <w:bookmarkStart w:id="92" w:name="_Toc73028725"/>
      <w:r>
        <w:rPr>
          <w:rFonts w:hint="eastAsia" w:ascii="楷体" w:hAnsi="楷体" w:eastAsia="楷体" w:cs="楷体"/>
          <w:b/>
          <w:bCs/>
          <w:sz w:val="32"/>
          <w:szCs w:val="32"/>
        </w:rPr>
        <w:t>（二）</w:t>
      </w:r>
      <w:r>
        <w:rPr>
          <w:rFonts w:hint="eastAsia" w:ascii="楷体" w:hAnsi="楷体" w:eastAsia="楷体"/>
          <w:b/>
          <w:bCs/>
          <w:kern w:val="0"/>
          <w:sz w:val="32"/>
          <w:szCs w:val="28"/>
        </w:rPr>
        <w:t>绩效评价</w:t>
      </w:r>
      <w:bookmarkEnd w:id="81"/>
      <w:bookmarkEnd w:id="82"/>
      <w:r>
        <w:rPr>
          <w:rFonts w:hint="eastAsia" w:ascii="楷体" w:hAnsi="楷体" w:eastAsia="楷体"/>
          <w:b/>
          <w:bCs/>
          <w:kern w:val="0"/>
          <w:sz w:val="32"/>
          <w:szCs w:val="28"/>
          <w:lang w:val="en-US" w:eastAsia="zh-CN"/>
        </w:rPr>
        <w:t>基本情况</w:t>
      </w:r>
      <w:bookmarkEnd w:id="83"/>
      <w:bookmarkEnd w:id="84"/>
      <w:bookmarkEnd w:id="85"/>
      <w:bookmarkEnd w:id="86"/>
      <w:bookmarkEnd w:id="87"/>
      <w:bookmarkEnd w:id="88"/>
      <w:bookmarkEnd w:id="89"/>
      <w:bookmarkEnd w:id="90"/>
      <w:bookmarkEnd w:id="91"/>
    </w:p>
    <w:p>
      <w:pPr>
        <w:spacing w:line="560" w:lineRule="exact"/>
        <w:ind w:firstLine="643" w:firstLineChars="200"/>
        <w:rPr>
          <w:rFonts w:ascii="仿宋_GB2312" w:hAnsi="仿宋_GB2312" w:eastAsia="仿宋_GB2312" w:cs="仿宋_GB2312"/>
          <w:b/>
          <w:bCs/>
          <w:sz w:val="32"/>
        </w:rPr>
      </w:pPr>
      <w:r>
        <w:rPr>
          <w:rFonts w:hint="eastAsia" w:ascii="仿宋_GB2312" w:hAnsi="仿宋_GB2312" w:eastAsia="仿宋_GB2312" w:cs="仿宋_GB2312"/>
          <w:b/>
          <w:bCs/>
          <w:sz w:val="32"/>
        </w:rPr>
        <w:t>1.绩效评价原则及方法</w:t>
      </w:r>
      <w:bookmarkEnd w:id="92"/>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本次绩效评价遵循“客观、公正、科学、规范”的原则，结合项目的特点，采用比较法、因素分析法、专家评议法等方法，通过定性与定量相结合，从项目决策、项目过程、项目产出、项目效益四个方面对本项目开展绩效评价。</w:t>
      </w:r>
    </w:p>
    <w:p>
      <w:pPr>
        <w:spacing w:line="560" w:lineRule="exact"/>
        <w:ind w:firstLine="643" w:firstLineChars="200"/>
        <w:rPr>
          <w:rFonts w:ascii="仿宋_GB2312" w:hAnsi="仿宋_GB2312" w:eastAsia="仿宋_GB2312" w:cs="仿宋_GB2312"/>
          <w:b/>
          <w:bCs/>
          <w:sz w:val="32"/>
        </w:rPr>
      </w:pPr>
      <w:bookmarkStart w:id="93" w:name="_Toc73028726"/>
      <w:r>
        <w:rPr>
          <w:rFonts w:hint="eastAsia" w:ascii="仿宋_GB2312" w:hAnsi="仿宋_GB2312" w:eastAsia="仿宋_GB2312" w:cs="仿宋_GB2312"/>
          <w:b/>
          <w:bCs/>
          <w:sz w:val="32"/>
        </w:rPr>
        <w:t>2.绩效评价指标体系</w:t>
      </w:r>
      <w:bookmarkEnd w:id="93"/>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绩效评价指标体系主要包括项目决策、项目过程、项目产出、项目效益四个方面，满分100分。决策指标（10分），主要评价项目立项、绩效目标和资金投入内容；过程指标（20分），主要评价项目资金管理和组织实施内容；产出指标（40分），主要评价项目产出数量、产出质量、产出时效和产出成本；效益指标（30分），主要评价项目实施效益和服务对象满意度内容。绩效评价指标体系详见附件。</w:t>
      </w:r>
    </w:p>
    <w:p>
      <w:pPr>
        <w:spacing w:line="560" w:lineRule="exact"/>
        <w:ind w:firstLine="643" w:firstLineChars="200"/>
        <w:rPr>
          <w:rFonts w:ascii="仿宋_GB2312" w:hAnsi="仿宋_GB2312" w:eastAsia="仿宋_GB2312" w:cs="仿宋_GB2312"/>
          <w:b/>
          <w:bCs/>
          <w:sz w:val="32"/>
        </w:rPr>
      </w:pPr>
      <w:bookmarkStart w:id="94" w:name="_Toc73028727"/>
      <w:r>
        <w:rPr>
          <w:rFonts w:hint="eastAsia" w:ascii="仿宋_GB2312" w:hAnsi="仿宋_GB2312" w:eastAsia="仿宋_GB2312" w:cs="仿宋_GB2312"/>
          <w:b/>
          <w:bCs/>
          <w:sz w:val="32"/>
        </w:rPr>
        <w:t>3.评价标准</w:t>
      </w:r>
      <w:bookmarkEnd w:id="94"/>
    </w:p>
    <w:p>
      <w:pPr>
        <w:spacing w:line="560" w:lineRule="exact"/>
        <w:ind w:firstLine="640" w:firstLineChars="200"/>
        <w:rPr>
          <w:rFonts w:ascii="仿宋_GB2312" w:hAnsi="仿宋_GB2312" w:eastAsia="仿宋_GB2312" w:cs="仿宋_GB2312"/>
          <w:sz w:val="32"/>
        </w:rPr>
      </w:pPr>
      <w:r>
        <w:rPr>
          <w:rFonts w:hint="eastAsia" w:ascii="仿宋_GB2312" w:hAnsi="仿宋_GB2312" w:eastAsia="仿宋_GB2312" w:cs="仿宋_GB2312"/>
          <w:sz w:val="32"/>
        </w:rPr>
        <w:t>本次绩效评价标准为计划标准，以该项目预先制定的项目绩效目标、计划、预算作为评价标准，对绩效指标完成情况进行比较。</w:t>
      </w:r>
    </w:p>
    <w:bookmarkEnd w:id="80"/>
    <w:p>
      <w:pPr>
        <w:spacing w:line="560" w:lineRule="exact"/>
        <w:ind w:firstLine="643" w:firstLineChars="200"/>
        <w:outlineLvl w:val="1"/>
        <w:rPr>
          <w:rFonts w:ascii="楷体" w:hAnsi="楷体" w:eastAsia="楷体" w:cs="楷体"/>
          <w:b/>
          <w:bCs/>
          <w:sz w:val="32"/>
          <w:szCs w:val="32"/>
        </w:rPr>
      </w:pPr>
      <w:bookmarkStart w:id="95" w:name="_Toc16607"/>
      <w:bookmarkStart w:id="96" w:name="_Toc13266"/>
      <w:bookmarkStart w:id="97" w:name="_Toc32085"/>
      <w:bookmarkStart w:id="98" w:name="_Toc4424"/>
      <w:bookmarkStart w:id="99" w:name="_Toc18706"/>
      <w:bookmarkStart w:id="100" w:name="_Toc10278"/>
      <w:bookmarkStart w:id="101" w:name="_Toc30237"/>
      <w:bookmarkStart w:id="102" w:name="_Toc29957"/>
      <w:bookmarkStart w:id="103" w:name="_Toc14525"/>
      <w:bookmarkStart w:id="104" w:name="_Toc6336"/>
      <w:bookmarkStart w:id="105" w:name="_Toc24782"/>
      <w:bookmarkStart w:id="106" w:name="_Toc29690"/>
      <w:r>
        <w:rPr>
          <w:rFonts w:hint="eastAsia" w:ascii="楷体" w:hAnsi="楷体" w:eastAsia="楷体" w:cs="楷体"/>
          <w:b/>
          <w:bCs/>
          <w:sz w:val="32"/>
          <w:szCs w:val="32"/>
        </w:rPr>
        <w:t>（三）绩效评价工作过程</w:t>
      </w:r>
      <w:bookmarkEnd w:id="95"/>
      <w:bookmarkEnd w:id="96"/>
      <w:bookmarkEnd w:id="97"/>
      <w:bookmarkEnd w:id="98"/>
      <w:bookmarkEnd w:id="99"/>
      <w:bookmarkEnd w:id="100"/>
      <w:bookmarkEnd w:id="101"/>
      <w:bookmarkEnd w:id="102"/>
      <w:bookmarkEnd w:id="103"/>
      <w:bookmarkEnd w:id="104"/>
      <w:bookmarkEnd w:id="105"/>
      <w:bookmarkEnd w:id="106"/>
    </w:p>
    <w:p>
      <w:pPr>
        <w:spacing w:line="560" w:lineRule="exact"/>
        <w:ind w:firstLine="640" w:firstLineChars="200"/>
        <w:rPr>
          <w:rFonts w:hint="eastAsia" w:ascii="仿宋_GB2312" w:hAnsi="仿宋_GB2312" w:eastAsia="仿宋_GB2312" w:cs="仿宋_GB2312"/>
          <w:kern w:val="0"/>
          <w:sz w:val="32"/>
          <w:szCs w:val="32"/>
          <w:lang w:eastAsia="zh-CN"/>
        </w:rPr>
      </w:pPr>
      <w:r>
        <w:rPr>
          <w:rFonts w:hint="eastAsia" w:ascii="仿宋_GB2312" w:hAnsi="仿宋_GB2312" w:eastAsia="仿宋_GB2312" w:cs="仿宋_GB2312"/>
          <w:bCs/>
          <w:kern w:val="0"/>
          <w:sz w:val="32"/>
          <w:szCs w:val="28"/>
        </w:rPr>
        <w:t>1.成立绩效评价工作组。</w:t>
      </w:r>
      <w:r>
        <w:rPr>
          <w:rFonts w:hint="eastAsia" w:ascii="仿宋_GB2312" w:hAnsi="仿宋_GB2312" w:eastAsia="仿宋_GB2312" w:cs="仿宋_GB2312"/>
          <w:kern w:val="0"/>
          <w:sz w:val="32"/>
          <w:szCs w:val="32"/>
        </w:rPr>
        <w:t>按照北京市财政局《关于2024年预算绩效管理相关工作的函》文件要求部署全面</w:t>
      </w:r>
      <w:r>
        <w:rPr>
          <w:rFonts w:hint="eastAsia" w:ascii="仿宋_GB2312" w:hAnsi="仿宋_GB2312" w:eastAsia="仿宋_GB2312" w:cs="仿宋_GB2312"/>
          <w:kern w:val="0"/>
          <w:sz w:val="32"/>
          <w:szCs w:val="32"/>
          <w:lang w:val="en-US" w:eastAsia="zh-CN"/>
        </w:rPr>
        <w:t>绩效</w:t>
      </w:r>
      <w:r>
        <w:rPr>
          <w:rFonts w:hint="eastAsia" w:ascii="仿宋_GB2312" w:hAnsi="仿宋_GB2312" w:eastAsia="仿宋_GB2312" w:cs="仿宋_GB2312"/>
          <w:kern w:val="0"/>
          <w:sz w:val="32"/>
          <w:szCs w:val="32"/>
        </w:rPr>
        <w:t>自评，抽取部门履职的重大事业发展项目开展重点评价，组成</w:t>
      </w:r>
      <w:r>
        <w:rPr>
          <w:rFonts w:hint="eastAsia" w:ascii="仿宋_GB2312" w:hAnsi="仿宋_GB2312" w:eastAsia="仿宋_GB2312" w:cs="仿宋_GB2312"/>
          <w:kern w:val="0"/>
          <w:sz w:val="32"/>
          <w:szCs w:val="32"/>
          <w:lang w:val="en-US" w:eastAsia="zh-CN"/>
        </w:rPr>
        <w:t>绩效</w:t>
      </w:r>
      <w:r>
        <w:rPr>
          <w:rFonts w:hint="eastAsia" w:ascii="仿宋_GB2312" w:hAnsi="仿宋_GB2312" w:eastAsia="仿宋_GB2312" w:cs="仿宋_GB2312"/>
          <w:kern w:val="0"/>
          <w:sz w:val="32"/>
          <w:szCs w:val="32"/>
        </w:rPr>
        <w:t>评价领导小组，各项目实施部门负责人为成员，明确每名成员的职责及分工，并邀请专业机构进行必要的针对性指导</w:t>
      </w:r>
      <w:r>
        <w:rPr>
          <w:rFonts w:hint="eastAsia" w:ascii="仿宋_GB2312" w:hAnsi="仿宋_GB2312" w:eastAsia="仿宋_GB2312" w:cs="仿宋_GB2312"/>
          <w:kern w:val="0"/>
          <w:sz w:val="32"/>
          <w:szCs w:val="32"/>
          <w:lang w:eastAsia="zh-CN"/>
        </w:rPr>
        <w:t>。</w:t>
      </w:r>
    </w:p>
    <w:p>
      <w:pPr>
        <w:spacing w:line="560" w:lineRule="exact"/>
        <w:ind w:firstLine="640" w:firstLineChars="200"/>
        <w:rPr>
          <w:rFonts w:hint="eastAsia" w:ascii="仿宋_GB2312" w:hAnsi="仿宋_GB2312" w:eastAsia="仿宋_GB2312" w:cs="仿宋_GB2312"/>
          <w:bCs/>
          <w:kern w:val="0"/>
          <w:sz w:val="32"/>
          <w:szCs w:val="28"/>
        </w:rPr>
      </w:pPr>
      <w:r>
        <w:rPr>
          <w:rFonts w:hint="eastAsia" w:ascii="仿宋_GB2312" w:hAnsi="仿宋_GB2312" w:eastAsia="仿宋_GB2312" w:cs="仿宋_GB2312"/>
          <w:bCs/>
          <w:kern w:val="0"/>
          <w:sz w:val="32"/>
          <w:szCs w:val="28"/>
        </w:rPr>
        <w:t>2.收集项目资料。项目实施部门根据部门评价资料清单，结合评价对象实际情况收集项目资料。项目实施部门将收集的资料及绩效报告提交评价工作组。</w:t>
      </w:r>
    </w:p>
    <w:p>
      <w:pPr>
        <w:spacing w:line="560" w:lineRule="exact"/>
        <w:ind w:firstLine="640" w:firstLineChars="200"/>
        <w:rPr>
          <w:rFonts w:hint="eastAsia" w:ascii="仿宋_GB2312" w:hAnsi="仿宋_GB2312" w:eastAsia="仿宋_GB2312" w:cs="仿宋_GB2312"/>
          <w:bCs/>
          <w:kern w:val="0"/>
          <w:sz w:val="32"/>
          <w:szCs w:val="28"/>
        </w:rPr>
      </w:pPr>
      <w:r>
        <w:rPr>
          <w:rFonts w:hint="eastAsia" w:ascii="仿宋_GB2312" w:hAnsi="仿宋_GB2312" w:eastAsia="仿宋_GB2312" w:cs="仿宋_GB2312"/>
          <w:bCs/>
          <w:kern w:val="0"/>
          <w:sz w:val="32"/>
          <w:szCs w:val="28"/>
        </w:rPr>
        <w:t>3.评价工作组对所收集资料进行核实和全面分析，并遴选专家，组成专家评价组。会同专家细化评价指标，制定绩效评价指标体系。</w:t>
      </w:r>
    </w:p>
    <w:p>
      <w:pPr>
        <w:spacing w:line="560" w:lineRule="exact"/>
        <w:ind w:firstLine="640" w:firstLineChars="200"/>
        <w:rPr>
          <w:rFonts w:hint="eastAsia" w:ascii="仿宋_GB2312" w:hAnsi="仿宋_GB2312" w:eastAsia="仿宋_GB2312" w:cs="仿宋_GB2312"/>
          <w:bCs/>
          <w:kern w:val="0"/>
          <w:sz w:val="32"/>
          <w:szCs w:val="28"/>
        </w:rPr>
      </w:pPr>
      <w:r>
        <w:rPr>
          <w:rFonts w:hint="eastAsia" w:ascii="仿宋_GB2312" w:hAnsi="仿宋_GB2312" w:eastAsia="仿宋_GB2312" w:cs="仿宋_GB2312"/>
          <w:bCs/>
          <w:kern w:val="0"/>
          <w:sz w:val="32"/>
          <w:szCs w:val="28"/>
        </w:rPr>
        <w:t>4.补充完善资料。项目实施部门根据评价工作组的意见，补充绩效评价资料。</w:t>
      </w:r>
    </w:p>
    <w:p>
      <w:pPr>
        <w:spacing w:line="560" w:lineRule="exact"/>
        <w:ind w:firstLine="640" w:firstLineChars="200"/>
        <w:rPr>
          <w:rFonts w:hint="eastAsia" w:ascii="仿宋_GB2312" w:hAnsi="仿宋_GB2312" w:eastAsia="仿宋_GB2312" w:cs="仿宋_GB2312"/>
          <w:bCs/>
          <w:kern w:val="0"/>
          <w:sz w:val="32"/>
          <w:szCs w:val="28"/>
        </w:rPr>
      </w:pPr>
      <w:r>
        <w:rPr>
          <w:rFonts w:hint="eastAsia" w:ascii="仿宋_GB2312" w:hAnsi="仿宋_GB2312" w:eastAsia="仿宋_GB2312" w:cs="仿宋_GB2312"/>
          <w:bCs/>
          <w:kern w:val="0"/>
          <w:sz w:val="32"/>
          <w:szCs w:val="28"/>
        </w:rPr>
        <w:t>5.召开专家评价会。评价工作组组织召开专家评价会</w:t>
      </w:r>
      <w:r>
        <w:rPr>
          <w:rFonts w:hint="eastAsia" w:ascii="仿宋_GB2312" w:hAnsi="仿宋_GB2312" w:eastAsia="仿宋_GB2312" w:cs="仿宋_GB2312"/>
          <w:bCs/>
          <w:kern w:val="0"/>
          <w:sz w:val="32"/>
          <w:szCs w:val="28"/>
          <w:lang w:eastAsia="zh-CN"/>
        </w:rPr>
        <w:t>，</w:t>
      </w:r>
      <w:r>
        <w:rPr>
          <w:rFonts w:hint="eastAsia" w:ascii="仿宋_GB2312" w:hAnsi="仿宋_GB2312" w:eastAsia="仿宋_GB2312" w:cs="仿宋_GB2312"/>
          <w:bCs/>
          <w:kern w:val="0"/>
          <w:sz w:val="32"/>
          <w:szCs w:val="28"/>
        </w:rPr>
        <w:t>项目实施部门负责项目绩效情况汇报及答疑，由专家对绩效实现情况进行评价和打分，并出具评价意见。</w:t>
      </w:r>
    </w:p>
    <w:p>
      <w:pPr>
        <w:spacing w:line="560" w:lineRule="exact"/>
        <w:ind w:firstLine="640" w:firstLineChars="200"/>
        <w:rPr>
          <w:rFonts w:hint="eastAsia" w:ascii="仿宋_GB2312" w:hAnsi="仿宋_GB2312" w:eastAsia="仿宋_GB2312" w:cs="仿宋_GB2312"/>
          <w:kern w:val="0"/>
          <w:sz w:val="32"/>
          <w:szCs w:val="32"/>
        </w:rPr>
      </w:pPr>
      <w:r>
        <w:rPr>
          <w:rFonts w:hint="eastAsia" w:ascii="仿宋_GB2312" w:hAnsi="仿宋_GB2312" w:eastAsia="仿宋_GB2312" w:cs="仿宋_GB2312"/>
          <w:bCs/>
          <w:kern w:val="0"/>
          <w:sz w:val="32"/>
          <w:szCs w:val="28"/>
        </w:rPr>
        <w:t>6.完成绩效评价报告。</w:t>
      </w:r>
      <w:r>
        <w:rPr>
          <w:rFonts w:hint="eastAsia" w:ascii="仿宋_GB2312" w:hAnsi="仿宋_GB2312" w:eastAsia="仿宋_GB2312" w:cs="仿宋_GB2312"/>
          <w:kern w:val="0"/>
          <w:sz w:val="32"/>
          <w:szCs w:val="32"/>
        </w:rPr>
        <w:t>评价工作组在专家评价会结束后，汇总专家打分，确定绩效评价级别。结合专家评价意见，撰写并形成正式绩效评价报告。</w:t>
      </w:r>
    </w:p>
    <w:p>
      <w:pPr>
        <w:spacing w:line="560" w:lineRule="exact"/>
        <w:ind w:firstLine="643" w:firstLineChars="200"/>
        <w:outlineLvl w:val="0"/>
        <w:rPr>
          <w:rFonts w:ascii="黑体" w:hAnsi="黑体" w:eastAsia="黑体" w:cs="黑体"/>
          <w:b/>
          <w:bCs/>
          <w:sz w:val="32"/>
          <w:szCs w:val="32"/>
        </w:rPr>
      </w:pPr>
      <w:bookmarkStart w:id="107" w:name="_Toc22983"/>
      <w:bookmarkStart w:id="108" w:name="_Toc9723"/>
      <w:bookmarkStart w:id="109" w:name="_Toc28925"/>
      <w:bookmarkStart w:id="110" w:name="_Toc15910"/>
      <w:bookmarkStart w:id="111" w:name="_Toc8062"/>
      <w:bookmarkStart w:id="112" w:name="_Toc4020"/>
      <w:bookmarkStart w:id="113" w:name="_Toc16333"/>
      <w:bookmarkStart w:id="114" w:name="_Toc19325"/>
      <w:bookmarkStart w:id="115" w:name="_Toc30202"/>
      <w:bookmarkStart w:id="116" w:name="_Toc6633"/>
      <w:bookmarkStart w:id="117" w:name="_Toc15393"/>
      <w:r>
        <w:rPr>
          <w:rFonts w:hint="eastAsia" w:ascii="黑体" w:hAnsi="黑体" w:eastAsia="黑体" w:cs="黑体"/>
          <w:b/>
          <w:bCs/>
          <w:sz w:val="32"/>
          <w:szCs w:val="32"/>
        </w:rPr>
        <w:t>三、综合评价情况及评价结论</w:t>
      </w:r>
      <w:bookmarkEnd w:id="107"/>
      <w:bookmarkEnd w:id="108"/>
      <w:bookmarkEnd w:id="109"/>
      <w:bookmarkEnd w:id="110"/>
      <w:bookmarkEnd w:id="111"/>
      <w:bookmarkEnd w:id="112"/>
      <w:bookmarkEnd w:id="113"/>
      <w:bookmarkEnd w:id="114"/>
      <w:bookmarkEnd w:id="115"/>
      <w:bookmarkEnd w:id="116"/>
      <w:bookmarkEnd w:id="117"/>
    </w:p>
    <w:p>
      <w:pPr>
        <w:spacing w:line="560" w:lineRule="exact"/>
        <w:ind w:firstLine="640" w:firstLineChars="200"/>
        <w:rPr>
          <w:rFonts w:ascii="仿宋_GB2312" w:hAnsi="仿宋_GB2312" w:eastAsia="仿宋_GB2312" w:cs="仿宋_GB2312"/>
          <w:sz w:val="32"/>
        </w:rPr>
      </w:pPr>
      <w:bookmarkStart w:id="118" w:name="_Toc665559475"/>
      <w:bookmarkStart w:id="119" w:name="_Hlk103632434"/>
      <w:r>
        <w:rPr>
          <w:rFonts w:hint="eastAsia" w:ascii="仿宋_GB2312" w:hAnsi="仿宋_GB2312" w:eastAsia="仿宋_GB2312" w:cs="仿宋_GB2312"/>
          <w:sz w:val="32"/>
        </w:rPr>
        <w:t>经专家综合评价，该项目绩效评价综合得分8</w:t>
      </w:r>
      <w:r>
        <w:rPr>
          <w:rFonts w:hint="eastAsia" w:ascii="仿宋_GB2312" w:hAnsi="仿宋_GB2312" w:eastAsia="仿宋_GB2312" w:cs="仿宋_GB2312"/>
          <w:sz w:val="32"/>
          <w:lang w:val="en-US" w:eastAsia="zh-CN"/>
        </w:rPr>
        <w:t>5</w:t>
      </w:r>
      <w:r>
        <w:rPr>
          <w:rFonts w:hint="eastAsia" w:ascii="仿宋_GB2312" w:hAnsi="仿宋_GB2312" w:eastAsia="仿宋_GB2312" w:cs="仿宋_GB2312"/>
          <w:sz w:val="32"/>
        </w:rPr>
        <w:t>.</w:t>
      </w:r>
      <w:r>
        <w:rPr>
          <w:rFonts w:hint="eastAsia" w:ascii="仿宋_GB2312" w:hAnsi="仿宋_GB2312" w:eastAsia="仿宋_GB2312" w:cs="仿宋_GB2312"/>
          <w:sz w:val="32"/>
          <w:lang w:val="en-US" w:eastAsia="zh-CN"/>
        </w:rPr>
        <w:t>1</w:t>
      </w:r>
      <w:r>
        <w:rPr>
          <w:rFonts w:hint="eastAsia" w:ascii="仿宋_GB2312" w:hAnsi="仿宋_GB2312" w:eastAsia="仿宋_GB2312" w:cs="仿宋_GB2312"/>
          <w:sz w:val="32"/>
        </w:rPr>
        <w:t>7分，绩效评价结论等级为“良”。其中，项目决策得分8.13分、项目过程得分18.34分、项目产出得分37.80分，项目效益得分</w:t>
      </w:r>
      <w:r>
        <w:rPr>
          <w:rFonts w:hint="eastAsia" w:ascii="仿宋_GB2312" w:hAnsi="仿宋_GB2312" w:eastAsia="仿宋_GB2312" w:cs="仿宋_GB2312"/>
          <w:sz w:val="32"/>
          <w:lang w:val="en-US" w:eastAsia="zh-CN"/>
        </w:rPr>
        <w:t>20</w:t>
      </w:r>
      <w:r>
        <w:rPr>
          <w:rFonts w:hint="eastAsia" w:ascii="仿宋_GB2312" w:hAnsi="仿宋_GB2312" w:eastAsia="仿宋_GB2312" w:cs="仿宋_GB2312"/>
          <w:sz w:val="32"/>
        </w:rPr>
        <w:t>.</w:t>
      </w:r>
      <w:r>
        <w:rPr>
          <w:rFonts w:hint="eastAsia" w:ascii="仿宋_GB2312" w:hAnsi="仿宋_GB2312" w:eastAsia="仿宋_GB2312" w:cs="仿宋_GB2312"/>
          <w:sz w:val="32"/>
          <w:lang w:val="en-US" w:eastAsia="zh-CN"/>
        </w:rPr>
        <w:t>9</w:t>
      </w:r>
      <w:r>
        <w:rPr>
          <w:rFonts w:hint="eastAsia" w:ascii="仿宋_GB2312" w:hAnsi="仿宋_GB2312" w:eastAsia="仿宋_GB2312" w:cs="仿宋_GB2312"/>
          <w:sz w:val="32"/>
        </w:rPr>
        <w:t>0分。</w:t>
      </w:r>
    </w:p>
    <w:p>
      <w:pPr>
        <w:jc w:val="center"/>
        <w:outlineLvl w:val="9"/>
        <w:rPr>
          <w:rFonts w:ascii="仿宋_GB2312" w:eastAsia="仿宋_GB2312"/>
          <w:bCs/>
          <w:sz w:val="32"/>
          <w:szCs w:val="32"/>
        </w:rPr>
      </w:pPr>
      <w:bookmarkStart w:id="120" w:name="_Toc31379"/>
      <w:bookmarkStart w:id="121" w:name="_Toc11676"/>
      <w:bookmarkStart w:id="122" w:name="_Toc24011"/>
      <w:bookmarkStart w:id="123" w:name="_Toc30123"/>
      <w:bookmarkStart w:id="124" w:name="_Toc26554"/>
      <w:bookmarkStart w:id="125" w:name="_Toc22422"/>
      <w:bookmarkStart w:id="126" w:name="_Toc21545"/>
      <w:r>
        <w:rPr>
          <w:rFonts w:hint="eastAsia" w:eastAsia="仿宋_GB2312"/>
          <w:b/>
          <w:sz w:val="32"/>
          <w:szCs w:val="32"/>
        </w:rPr>
        <w:t>项目绩效评价结论一览表</w:t>
      </w:r>
      <w:bookmarkEnd w:id="120"/>
      <w:bookmarkEnd w:id="121"/>
      <w:bookmarkEnd w:id="122"/>
      <w:bookmarkEnd w:id="123"/>
      <w:bookmarkEnd w:id="124"/>
      <w:bookmarkEnd w:id="125"/>
      <w:bookmarkEnd w:id="126"/>
    </w:p>
    <w:tbl>
      <w:tblPr>
        <w:tblStyle w:val="1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Layout w:type="autofit"/>
        <w:tblCellMar>
          <w:top w:w="0" w:type="dxa"/>
          <w:left w:w="108" w:type="dxa"/>
          <w:bottom w:w="0" w:type="dxa"/>
          <w:right w:w="108" w:type="dxa"/>
        </w:tblCellMar>
      </w:tblPr>
      <w:tblGrid>
        <w:gridCol w:w="3746"/>
        <w:gridCol w:w="1934"/>
        <w:gridCol w:w="28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482" w:hRule="atLeast"/>
          <w:tblHeader/>
        </w:trPr>
        <w:tc>
          <w:tcPr>
            <w:tcW w:w="2198"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评价内容</w:t>
            </w:r>
          </w:p>
        </w:tc>
        <w:tc>
          <w:tcPr>
            <w:tcW w:w="1135"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分值</w:t>
            </w:r>
          </w:p>
        </w:tc>
        <w:tc>
          <w:tcPr>
            <w:tcW w:w="1666" w:type="pct"/>
            <w:shd w:val="clear" w:color="000000" w:fill="auto"/>
            <w:vAlign w:val="center"/>
          </w:tcPr>
          <w:p>
            <w:pPr>
              <w:widowControl/>
              <w:spacing w:line="5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评价得分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PrEx>
        <w:trPr>
          <w:trHeight w:val="397" w:hRule="atLeast"/>
        </w:trPr>
        <w:tc>
          <w:tcPr>
            <w:tcW w:w="2198"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项目决策</w:t>
            </w:r>
          </w:p>
        </w:tc>
        <w:tc>
          <w:tcPr>
            <w:tcW w:w="2057"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10</w:t>
            </w:r>
          </w:p>
        </w:tc>
        <w:tc>
          <w:tcPr>
            <w:tcW w:w="3019"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8.13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397" w:hRule="atLeast"/>
        </w:trPr>
        <w:tc>
          <w:tcPr>
            <w:tcW w:w="2198"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项目过程</w:t>
            </w:r>
          </w:p>
        </w:tc>
        <w:tc>
          <w:tcPr>
            <w:tcW w:w="2057"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20</w:t>
            </w:r>
          </w:p>
        </w:tc>
        <w:tc>
          <w:tcPr>
            <w:tcW w:w="3019"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18.34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397" w:hRule="atLeast"/>
        </w:trPr>
        <w:tc>
          <w:tcPr>
            <w:tcW w:w="2198"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项目产出</w:t>
            </w:r>
          </w:p>
        </w:tc>
        <w:tc>
          <w:tcPr>
            <w:tcW w:w="2057"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40</w:t>
            </w:r>
          </w:p>
        </w:tc>
        <w:tc>
          <w:tcPr>
            <w:tcW w:w="3019"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37.80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397" w:hRule="atLeast"/>
        </w:trPr>
        <w:tc>
          <w:tcPr>
            <w:tcW w:w="2198"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项目效益</w:t>
            </w:r>
          </w:p>
        </w:tc>
        <w:tc>
          <w:tcPr>
            <w:tcW w:w="2057"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30</w:t>
            </w:r>
          </w:p>
        </w:tc>
        <w:tc>
          <w:tcPr>
            <w:tcW w:w="3019" w:type="dxa"/>
            <w:shd w:val="clear" w:color="000000" w:fill="auto"/>
            <w:vAlign w:val="center"/>
          </w:tcPr>
          <w:p>
            <w:pPr>
              <w:widowControl/>
              <w:jc w:val="center"/>
              <w:textAlignment w:val="center"/>
              <w:rPr>
                <w:rFonts w:hint="default" w:ascii="仿宋_GB2312" w:hAnsi="仿宋_GB2312" w:eastAsia="仿宋_GB2312" w:cs="仿宋_GB2312"/>
                <w:kern w:val="0"/>
                <w:sz w:val="28"/>
                <w:szCs w:val="28"/>
                <w:lang w:val="en-US" w:eastAsia="zh-CN"/>
              </w:rPr>
            </w:pPr>
            <w:r>
              <w:rPr>
                <w:rFonts w:hint="eastAsia" w:ascii="仿宋_GB2312" w:hAnsi="仿宋_GB2312" w:eastAsia="仿宋_GB2312" w:cs="仿宋_GB2312"/>
                <w:kern w:val="0"/>
                <w:sz w:val="28"/>
                <w:szCs w:val="28"/>
                <w:lang w:val="en-US" w:eastAsia="zh-CN" w:bidi="ar"/>
              </w:rPr>
              <w:t>20.90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397" w:hRule="atLeast"/>
        </w:trPr>
        <w:tc>
          <w:tcPr>
            <w:tcW w:w="2198" w:type="pct"/>
            <w:shd w:val="clear" w:color="000000" w:fill="auto"/>
            <w:vAlign w:val="center"/>
          </w:tcPr>
          <w:p>
            <w:pPr>
              <w:widowControl/>
              <w:spacing w:line="500" w:lineRule="exact"/>
              <w:jc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rPr>
              <w:t>综合得分</w:t>
            </w:r>
          </w:p>
        </w:tc>
        <w:tc>
          <w:tcPr>
            <w:tcW w:w="2057"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100</w:t>
            </w:r>
          </w:p>
        </w:tc>
        <w:tc>
          <w:tcPr>
            <w:tcW w:w="3019" w:type="dxa"/>
            <w:shd w:val="clear" w:color="000000" w:fill="auto"/>
            <w:vAlign w:val="center"/>
          </w:tcPr>
          <w:p>
            <w:pPr>
              <w:widowControl/>
              <w:jc w:val="center"/>
              <w:textAlignment w:val="center"/>
              <w:rPr>
                <w:rFonts w:ascii="仿宋_GB2312" w:hAnsi="仿宋_GB2312" w:eastAsia="仿宋_GB2312" w:cs="仿宋_GB2312"/>
                <w:kern w:val="0"/>
                <w:sz w:val="28"/>
                <w:szCs w:val="28"/>
              </w:rPr>
            </w:pPr>
            <w:r>
              <w:rPr>
                <w:rFonts w:hint="eastAsia" w:ascii="仿宋_GB2312" w:hAnsi="仿宋_GB2312" w:eastAsia="仿宋_GB2312" w:cs="仿宋_GB2312"/>
                <w:kern w:val="0"/>
                <w:sz w:val="28"/>
                <w:szCs w:val="28"/>
                <w:lang w:bidi="ar"/>
              </w:rPr>
              <w:t>8</w:t>
            </w:r>
            <w:r>
              <w:rPr>
                <w:rFonts w:hint="eastAsia" w:ascii="仿宋_GB2312" w:hAnsi="仿宋_GB2312" w:eastAsia="仿宋_GB2312" w:cs="仿宋_GB2312"/>
                <w:kern w:val="0"/>
                <w:sz w:val="28"/>
                <w:szCs w:val="28"/>
                <w:lang w:val="en-US" w:eastAsia="zh-CN" w:bidi="ar"/>
              </w:rPr>
              <w:t>5</w:t>
            </w:r>
            <w:r>
              <w:rPr>
                <w:rFonts w:hint="eastAsia" w:ascii="仿宋_GB2312" w:hAnsi="仿宋_GB2312" w:eastAsia="仿宋_GB2312" w:cs="仿宋_GB2312"/>
                <w:kern w:val="0"/>
                <w:sz w:val="28"/>
                <w:szCs w:val="28"/>
                <w:lang w:bidi="ar"/>
              </w:rPr>
              <w:t>.</w:t>
            </w:r>
            <w:r>
              <w:rPr>
                <w:rFonts w:hint="eastAsia" w:ascii="仿宋_GB2312" w:hAnsi="仿宋_GB2312" w:eastAsia="仿宋_GB2312" w:cs="仿宋_GB2312"/>
                <w:kern w:val="0"/>
                <w:sz w:val="28"/>
                <w:szCs w:val="28"/>
                <w:lang w:val="en-US" w:eastAsia="zh-CN" w:bidi="ar"/>
              </w:rPr>
              <w:t>1</w:t>
            </w:r>
            <w:r>
              <w:rPr>
                <w:rFonts w:hint="eastAsia" w:ascii="仿宋_GB2312" w:hAnsi="仿宋_GB2312" w:eastAsia="仿宋_GB2312" w:cs="仿宋_GB2312"/>
                <w:kern w:val="0"/>
                <w:sz w:val="28"/>
                <w:szCs w:val="28"/>
                <w:lang w:bidi="ar"/>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CellMar>
            <w:top w:w="0" w:type="dxa"/>
            <w:left w:w="108" w:type="dxa"/>
            <w:bottom w:w="0" w:type="dxa"/>
            <w:right w:w="108" w:type="dxa"/>
          </w:tblCellMar>
        </w:tblPrEx>
        <w:trPr>
          <w:trHeight w:val="525" w:hRule="atLeast"/>
        </w:trPr>
        <w:tc>
          <w:tcPr>
            <w:tcW w:w="2198" w:type="pct"/>
            <w:shd w:val="clear" w:color="000000" w:fill="auto"/>
            <w:vAlign w:val="center"/>
          </w:tcPr>
          <w:p>
            <w:pPr>
              <w:widowControl/>
              <w:spacing w:line="400" w:lineRule="exact"/>
              <w:jc w:val="center"/>
              <w:rPr>
                <w:rFonts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绩效评定级别</w:t>
            </w:r>
          </w:p>
        </w:tc>
        <w:tc>
          <w:tcPr>
            <w:tcW w:w="2801" w:type="pct"/>
            <w:gridSpan w:val="2"/>
            <w:shd w:val="clear" w:color="000000" w:fill="auto"/>
            <w:vAlign w:val="center"/>
          </w:tcPr>
          <w:p>
            <w:pPr>
              <w:widowControl/>
              <w:spacing w:line="400" w:lineRule="exact"/>
              <w:jc w:val="center"/>
              <w:rPr>
                <w:rFonts w:hint="eastAsia" w:ascii="仿宋_GB2312" w:hAnsi="仿宋_GB2312" w:eastAsia="仿宋_GB2312" w:cs="仿宋_GB2312"/>
                <w:b/>
                <w:bCs/>
                <w:kern w:val="0"/>
                <w:sz w:val="28"/>
                <w:szCs w:val="28"/>
                <w:lang w:val="en-US" w:eastAsia="zh-CN"/>
              </w:rPr>
            </w:pPr>
            <w:r>
              <w:rPr>
                <w:rFonts w:hint="eastAsia" w:ascii="仿宋_GB2312" w:hAnsi="仿宋_GB2312" w:eastAsia="仿宋_GB2312" w:cs="仿宋_GB2312"/>
                <w:b/>
                <w:bCs/>
                <w:sz w:val="28"/>
                <w:szCs w:val="28"/>
              </w:rPr>
              <w:t>良</w:t>
            </w:r>
          </w:p>
        </w:tc>
      </w:tr>
      <w:bookmarkEnd w:id="118"/>
      <w:bookmarkEnd w:id="119"/>
    </w:tbl>
    <w:p>
      <w:pPr>
        <w:spacing w:line="560" w:lineRule="exact"/>
        <w:ind w:firstLine="643" w:firstLineChars="200"/>
        <w:outlineLvl w:val="0"/>
        <w:rPr>
          <w:rFonts w:ascii="黑体" w:hAnsi="黑体" w:eastAsia="黑体" w:cs="黑体"/>
          <w:b/>
          <w:bCs/>
          <w:sz w:val="32"/>
          <w:szCs w:val="32"/>
        </w:rPr>
      </w:pPr>
      <w:bookmarkStart w:id="127" w:name="_Toc6005"/>
      <w:bookmarkStart w:id="128" w:name="_Toc1260"/>
      <w:bookmarkStart w:id="129" w:name="_Toc5089"/>
      <w:bookmarkStart w:id="130" w:name="_Toc17295"/>
      <w:bookmarkStart w:id="131" w:name="_Toc14181"/>
      <w:bookmarkStart w:id="132" w:name="_Toc29692"/>
      <w:bookmarkStart w:id="133" w:name="_Toc18198"/>
      <w:bookmarkStart w:id="134" w:name="_Toc14922"/>
      <w:bookmarkStart w:id="135" w:name="_Toc16804"/>
      <w:bookmarkStart w:id="136" w:name="_Toc17508"/>
      <w:bookmarkStart w:id="137" w:name="_Toc22368"/>
      <w:r>
        <w:rPr>
          <w:rFonts w:hint="eastAsia" w:ascii="黑体" w:hAnsi="黑体" w:eastAsia="黑体" w:cs="黑体"/>
          <w:b/>
          <w:bCs/>
          <w:sz w:val="32"/>
          <w:szCs w:val="32"/>
        </w:rPr>
        <w:t>四、绩效评价指标分析</w:t>
      </w:r>
      <w:bookmarkEnd w:id="127"/>
      <w:bookmarkEnd w:id="128"/>
      <w:bookmarkEnd w:id="129"/>
      <w:bookmarkEnd w:id="130"/>
      <w:bookmarkEnd w:id="131"/>
      <w:bookmarkEnd w:id="132"/>
      <w:bookmarkEnd w:id="133"/>
      <w:bookmarkEnd w:id="134"/>
      <w:bookmarkEnd w:id="135"/>
      <w:bookmarkEnd w:id="136"/>
      <w:bookmarkEnd w:id="137"/>
    </w:p>
    <w:p>
      <w:pPr>
        <w:spacing w:line="560" w:lineRule="exact"/>
        <w:ind w:firstLine="643" w:firstLineChars="200"/>
        <w:outlineLvl w:val="1"/>
        <w:rPr>
          <w:rFonts w:ascii="楷体" w:hAnsi="楷体" w:eastAsia="楷体" w:cs="楷体"/>
          <w:b/>
          <w:bCs/>
          <w:sz w:val="32"/>
          <w:szCs w:val="32"/>
        </w:rPr>
      </w:pPr>
      <w:bookmarkStart w:id="138" w:name="_Toc23461"/>
      <w:bookmarkStart w:id="139" w:name="_Toc12565"/>
      <w:bookmarkStart w:id="140" w:name="_Toc18067"/>
      <w:bookmarkStart w:id="141" w:name="_Toc17108"/>
      <w:bookmarkStart w:id="142" w:name="_Toc23193"/>
      <w:bookmarkStart w:id="143" w:name="_Toc11895"/>
      <w:bookmarkStart w:id="144" w:name="_Toc28828"/>
      <w:bookmarkStart w:id="145" w:name="_Toc13776"/>
      <w:bookmarkStart w:id="146" w:name="_Toc2776"/>
      <w:bookmarkStart w:id="147" w:name="_Toc29876"/>
      <w:bookmarkStart w:id="148" w:name="_Toc29410"/>
      <w:r>
        <w:rPr>
          <w:rFonts w:hint="eastAsia" w:ascii="楷体" w:hAnsi="楷体" w:eastAsia="楷体" w:cs="楷体"/>
          <w:b/>
          <w:bCs/>
          <w:sz w:val="32"/>
          <w:szCs w:val="32"/>
        </w:rPr>
        <w:t>（一）项目决策情况</w:t>
      </w:r>
      <w:bookmarkEnd w:id="138"/>
      <w:bookmarkEnd w:id="139"/>
      <w:bookmarkEnd w:id="140"/>
      <w:bookmarkEnd w:id="141"/>
      <w:bookmarkEnd w:id="142"/>
      <w:bookmarkEnd w:id="143"/>
      <w:bookmarkEnd w:id="144"/>
      <w:bookmarkEnd w:id="145"/>
      <w:bookmarkEnd w:id="146"/>
      <w:bookmarkEnd w:id="147"/>
      <w:bookmarkEnd w:id="148"/>
    </w:p>
    <w:p>
      <w:pPr>
        <w:spacing w:line="560" w:lineRule="exact"/>
        <w:ind w:firstLine="640" w:firstLineChars="200"/>
        <w:outlineLvl w:val="9"/>
        <w:rPr>
          <w:rFonts w:ascii="仿宋_GB2312" w:hAnsi="仿宋_GB2312" w:eastAsia="仿宋_GB2312" w:cs="仿宋_GB2312"/>
          <w:bCs/>
          <w:kern w:val="0"/>
          <w:sz w:val="32"/>
          <w:szCs w:val="32"/>
        </w:rPr>
      </w:pPr>
      <w:r>
        <w:rPr>
          <w:rFonts w:hint="eastAsia" w:ascii="仿宋_GB2312" w:hAnsi="仿宋_GB2312" w:eastAsia="仿宋_GB2312" w:cs="仿宋_GB2312"/>
          <w:color w:val="auto"/>
          <w:sz w:val="32"/>
          <w:szCs w:val="32"/>
        </w:rPr>
        <w:t>项目决策指标，满分10分，评价得分为</w:t>
      </w:r>
      <w:r>
        <w:rPr>
          <w:rFonts w:hint="eastAsia" w:ascii="仿宋_GB2312" w:hAnsi="仿宋_GB2312" w:eastAsia="仿宋_GB2312" w:cs="仿宋_GB2312"/>
          <w:color w:val="auto"/>
          <w:kern w:val="2"/>
          <w:sz w:val="32"/>
          <w:szCs w:val="32"/>
          <w:lang w:bidi="ar"/>
        </w:rPr>
        <w:t>8.13</w:t>
      </w:r>
      <w:r>
        <w:rPr>
          <w:rFonts w:hint="eastAsia" w:ascii="仿宋_GB2312" w:hAnsi="仿宋_GB2312" w:eastAsia="仿宋_GB2312" w:cs="仿宋_GB2312"/>
          <w:kern w:val="0"/>
          <w:sz w:val="32"/>
          <w:szCs w:val="32"/>
          <w:lang w:val="en-US" w:eastAsia="zh-CN" w:bidi="ar"/>
        </w:rPr>
        <w:t>分。</w:t>
      </w:r>
      <w:r>
        <w:rPr>
          <w:rFonts w:hint="eastAsia" w:ascii="仿宋_GB2312" w:hAnsi="仿宋_GB2312" w:eastAsia="仿宋_GB2312" w:cs="仿宋_GB2312"/>
          <w:bCs/>
          <w:kern w:val="0"/>
          <w:sz w:val="32"/>
          <w:szCs w:val="32"/>
        </w:rPr>
        <w:t>该项目</w:t>
      </w:r>
      <w:r>
        <w:rPr>
          <w:rFonts w:hint="eastAsia" w:ascii="仿宋_GB2312" w:hAnsi="仿宋_GB2312" w:eastAsia="仿宋_GB2312" w:cs="仿宋_GB2312"/>
          <w:bCs/>
          <w:kern w:val="0"/>
          <w:sz w:val="32"/>
          <w:szCs w:val="32"/>
          <w:lang w:val="en-US" w:eastAsia="zh-CN"/>
        </w:rPr>
        <w:t>依据</w:t>
      </w:r>
      <w:r>
        <w:rPr>
          <w:rFonts w:hint="eastAsia" w:ascii="仿宋_GB2312" w:hAnsi="仿宋_GB2312" w:eastAsia="仿宋_GB2312" w:cs="仿宋_GB2312"/>
          <w:bCs/>
          <w:sz w:val="32"/>
          <w:szCs w:val="32"/>
        </w:rPr>
        <w:t>《中华全国总工会办公厅关于印发〈中央财政职工困难帮扶资金项目管理实施细则〉的通知》（总工办发〔2022〕21号）</w:t>
      </w:r>
      <w:bookmarkStart w:id="149" w:name="_Hlk103671350"/>
      <w:r>
        <w:rPr>
          <w:rFonts w:hint="eastAsia" w:ascii="仿宋_GB2312" w:hAnsi="仿宋_GB2312" w:eastAsia="仿宋_GB2312" w:cs="仿宋_GB2312"/>
          <w:bCs/>
          <w:sz w:val="32"/>
          <w:szCs w:val="32"/>
        </w:rPr>
        <w:t>《财政部关于印发〈职工困难帮扶资金管理办法〉的通知》（财建〔2022〕377号）</w:t>
      </w:r>
      <w:r>
        <w:rPr>
          <w:rFonts w:hint="eastAsia" w:ascii="仿宋_GB2312" w:hAnsi="仿宋_GB2312" w:eastAsia="仿宋_GB2312" w:cs="仿宋_GB2312"/>
          <w:kern w:val="0"/>
          <w:sz w:val="32"/>
          <w:szCs w:val="32"/>
        </w:rPr>
        <w:t>《北京市总工会办公室关于印发</w:t>
      </w:r>
      <w:r>
        <w:rPr>
          <w:rFonts w:hint="eastAsia" w:ascii="仿宋_GB2312" w:hAnsi="仿宋_GB2312" w:eastAsia="仿宋_GB2312" w:cs="仿宋_GB2312"/>
          <w:bCs/>
          <w:sz w:val="32"/>
          <w:szCs w:val="32"/>
        </w:rPr>
        <w:t>〈</w:t>
      </w:r>
      <w:r>
        <w:rPr>
          <w:rFonts w:hint="eastAsia" w:ascii="仿宋_GB2312" w:hAnsi="仿宋_GB2312" w:eastAsia="仿宋_GB2312" w:cs="仿宋_GB2312"/>
          <w:kern w:val="0"/>
          <w:sz w:val="32"/>
          <w:szCs w:val="32"/>
        </w:rPr>
        <w:t>北京市工会困难职</w:t>
      </w:r>
      <w:r>
        <w:rPr>
          <w:rFonts w:hint="eastAsia" w:ascii="仿宋_GB2312" w:hAnsi="仿宋_GB2312" w:eastAsia="仿宋_GB2312" w:cs="仿宋_GB2312"/>
          <w:color w:val="auto"/>
          <w:kern w:val="0"/>
          <w:sz w:val="32"/>
          <w:szCs w:val="32"/>
        </w:rPr>
        <w:t>工帮扶工作实施办法</w:t>
      </w:r>
      <w:r>
        <w:rPr>
          <w:rFonts w:hint="eastAsia" w:ascii="仿宋_GB2312" w:hAnsi="仿宋_GB2312" w:eastAsia="仿宋_GB2312" w:cs="仿宋_GB2312"/>
          <w:bCs/>
          <w:color w:val="auto"/>
          <w:sz w:val="32"/>
          <w:szCs w:val="32"/>
        </w:rPr>
        <w:t>〉</w:t>
      </w:r>
      <w:r>
        <w:rPr>
          <w:rFonts w:hint="eastAsia" w:ascii="仿宋_GB2312" w:hAnsi="仿宋_GB2312" w:eastAsia="仿宋_GB2312" w:cs="仿宋_GB2312"/>
          <w:color w:val="auto"/>
          <w:kern w:val="0"/>
          <w:sz w:val="32"/>
          <w:szCs w:val="32"/>
        </w:rPr>
        <w:t>的通知》（京工办发〔2021〕17号）</w:t>
      </w:r>
      <w:bookmarkEnd w:id="149"/>
      <w:r>
        <w:rPr>
          <w:rFonts w:hint="eastAsia" w:ascii="仿宋_GB2312" w:hAnsi="仿宋_GB2312" w:eastAsia="仿宋_GB2312" w:cs="仿宋_GB2312"/>
          <w:color w:val="auto"/>
          <w:kern w:val="0"/>
          <w:sz w:val="32"/>
          <w:szCs w:val="32"/>
        </w:rPr>
        <w:t>等文件要求</w:t>
      </w:r>
      <w:r>
        <w:rPr>
          <w:rFonts w:hint="eastAsia" w:ascii="仿宋_GB2312" w:hAnsi="仿宋_GB2312" w:eastAsia="仿宋_GB2312" w:cs="仿宋_GB2312"/>
          <w:color w:val="auto"/>
          <w:kern w:val="0"/>
          <w:sz w:val="32"/>
          <w:szCs w:val="32"/>
          <w:lang w:val="en-US" w:eastAsia="zh-CN"/>
        </w:rPr>
        <w:t>实施</w:t>
      </w:r>
      <w:r>
        <w:rPr>
          <w:rFonts w:hint="eastAsia" w:ascii="仿宋_GB2312" w:hAnsi="仿宋_GB2312" w:eastAsia="仿宋_GB2312" w:cs="仿宋_GB2312"/>
          <w:color w:val="auto"/>
          <w:kern w:val="0"/>
          <w:sz w:val="32"/>
          <w:szCs w:val="32"/>
          <w:lang w:eastAsia="zh-CN"/>
        </w:rPr>
        <w:t>。</w:t>
      </w:r>
      <w:r>
        <w:rPr>
          <w:rFonts w:hint="eastAsia" w:ascii="仿宋_GB2312" w:hAnsi="仿宋_GB2312" w:eastAsia="仿宋_GB2312" w:cs="仿宋_GB2312"/>
          <w:color w:val="auto"/>
          <w:kern w:val="0"/>
          <w:sz w:val="32"/>
          <w:szCs w:val="32"/>
        </w:rPr>
        <w:t>项目申报的政策依据较为充分，但前期需求调研</w:t>
      </w:r>
      <w:r>
        <w:rPr>
          <w:rFonts w:hint="eastAsia" w:ascii="仿宋_GB2312" w:hAnsi="仿宋_GB2312" w:eastAsia="仿宋_GB2312" w:cs="仿宋_GB2312"/>
          <w:color w:val="auto"/>
          <w:kern w:val="0"/>
          <w:sz w:val="32"/>
          <w:szCs w:val="32"/>
          <w:lang w:val="en-US" w:eastAsia="zh-CN"/>
        </w:rPr>
        <w:t>有待进一步深入分析</w:t>
      </w:r>
      <w:r>
        <w:rPr>
          <w:rFonts w:hint="eastAsia" w:ascii="仿宋_GB2312" w:hAnsi="仿宋_GB2312" w:eastAsia="仿宋_GB2312" w:cs="仿宋_GB2312"/>
          <w:color w:val="auto"/>
          <w:kern w:val="0"/>
          <w:sz w:val="32"/>
          <w:szCs w:val="32"/>
        </w:rPr>
        <w:t>，可行性研究报告</w:t>
      </w:r>
      <w:r>
        <w:rPr>
          <w:rFonts w:hint="eastAsia" w:ascii="仿宋_GB2312" w:hAnsi="仿宋_GB2312" w:eastAsia="仿宋_GB2312" w:cs="仿宋_GB2312"/>
          <w:color w:val="auto"/>
          <w:kern w:val="0"/>
          <w:sz w:val="32"/>
          <w:szCs w:val="32"/>
          <w:lang w:val="en-US" w:eastAsia="zh-CN"/>
        </w:rPr>
        <w:t>编制</w:t>
      </w:r>
      <w:r>
        <w:rPr>
          <w:rFonts w:hint="eastAsia" w:ascii="仿宋_GB2312" w:hAnsi="仿宋_GB2312" w:eastAsia="仿宋_GB2312" w:cs="仿宋_GB2312"/>
          <w:color w:val="auto"/>
          <w:sz w:val="32"/>
          <w:szCs w:val="32"/>
        </w:rPr>
        <w:t>较为笼统</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bCs/>
          <w:color w:val="auto"/>
          <w:kern w:val="0"/>
          <w:sz w:val="32"/>
          <w:szCs w:val="32"/>
        </w:rPr>
        <w:t>该项目设定了总体绩效目标及具体产出指标，绩效目标与项目实施内容基本相</w:t>
      </w:r>
      <w:r>
        <w:rPr>
          <w:rFonts w:hint="eastAsia" w:ascii="仿宋_GB2312" w:hAnsi="仿宋_GB2312" w:eastAsia="仿宋_GB2312" w:cs="仿宋_GB2312"/>
          <w:bCs/>
          <w:kern w:val="0"/>
          <w:sz w:val="32"/>
          <w:szCs w:val="32"/>
        </w:rPr>
        <w:t>符，但部分绩效指标的可衡量性和合理性存在不足</w:t>
      </w:r>
      <w:r>
        <w:rPr>
          <w:rFonts w:hint="eastAsia" w:ascii="仿宋_GB2312" w:hAnsi="仿宋_GB2312" w:eastAsia="仿宋_GB2312" w:cs="仿宋_GB2312"/>
          <w:bCs/>
          <w:kern w:val="0"/>
          <w:sz w:val="32"/>
          <w:szCs w:val="32"/>
          <w:lang w:eastAsia="zh-CN"/>
        </w:rPr>
        <w:t>。该项目预算编制依据不够准确，年初申报预算时，未充分考虑历年困难职工补助情况，未细化年度经费需求。</w:t>
      </w:r>
      <w:r>
        <w:rPr>
          <w:rFonts w:hint="eastAsia" w:ascii="仿宋_GB2312" w:hAnsi="仿宋_GB2312" w:eastAsia="仿宋_GB2312" w:cs="仿宋_GB2312"/>
          <w:sz w:val="32"/>
          <w:szCs w:val="32"/>
        </w:rPr>
        <w:t>年中调整预算比年初申报预算减少33.33%，</w:t>
      </w:r>
      <w:r>
        <w:rPr>
          <w:rFonts w:hint="eastAsia" w:ascii="仿宋_GB2312" w:hAnsi="仿宋_GB2312" w:eastAsia="仿宋_GB2312" w:cs="仿宋_GB2312"/>
          <w:sz w:val="32"/>
          <w:szCs w:val="32"/>
          <w:lang w:val="en-US" w:eastAsia="zh-CN"/>
        </w:rPr>
        <w:t>调整</w:t>
      </w:r>
      <w:r>
        <w:rPr>
          <w:rFonts w:hint="eastAsia" w:ascii="仿宋_GB2312" w:hAnsi="仿宋_GB2312" w:eastAsia="仿宋_GB2312" w:cs="仿宋_GB2312"/>
          <w:sz w:val="32"/>
          <w:szCs w:val="32"/>
        </w:rPr>
        <w:t>幅度较大</w:t>
      </w:r>
      <w:r>
        <w:rPr>
          <w:rFonts w:hint="eastAsia" w:ascii="仿宋_GB2312" w:hAnsi="仿宋_GB2312" w:eastAsia="仿宋_GB2312" w:cs="仿宋_GB2312"/>
          <w:kern w:val="0"/>
          <w:sz w:val="32"/>
          <w:szCs w:val="32"/>
        </w:rPr>
        <w:t>，财政资金</w:t>
      </w:r>
      <w:r>
        <w:rPr>
          <w:rFonts w:hint="eastAsia" w:ascii="仿宋_GB2312" w:hAnsi="仿宋_GB2312" w:eastAsia="仿宋_GB2312" w:cs="仿宋_GB2312"/>
          <w:kern w:val="0"/>
          <w:sz w:val="32"/>
          <w:szCs w:val="32"/>
          <w:lang w:val="en-US" w:eastAsia="zh-CN"/>
        </w:rPr>
        <w:t>预算需求分析</w:t>
      </w:r>
      <w:r>
        <w:rPr>
          <w:rFonts w:hint="eastAsia" w:ascii="仿宋_GB2312" w:hAnsi="仿宋_GB2312" w:eastAsia="仿宋_GB2312" w:cs="仿宋_GB2312"/>
          <w:kern w:val="0"/>
          <w:sz w:val="32"/>
          <w:szCs w:val="32"/>
        </w:rPr>
        <w:t>有待进一步提升。</w:t>
      </w:r>
    </w:p>
    <w:p>
      <w:pPr>
        <w:spacing w:line="560" w:lineRule="exact"/>
        <w:ind w:firstLine="643" w:firstLineChars="200"/>
        <w:outlineLvl w:val="1"/>
        <w:rPr>
          <w:rFonts w:ascii="楷体" w:hAnsi="楷体" w:eastAsia="楷体" w:cs="楷体"/>
          <w:b/>
          <w:bCs/>
          <w:sz w:val="32"/>
          <w:szCs w:val="32"/>
        </w:rPr>
      </w:pPr>
      <w:bookmarkStart w:id="150" w:name="_Toc17970"/>
      <w:bookmarkStart w:id="151" w:name="_Toc5347"/>
      <w:bookmarkStart w:id="152" w:name="_Toc25797"/>
      <w:bookmarkStart w:id="153" w:name="_Toc11363"/>
      <w:bookmarkStart w:id="154" w:name="_Toc31577"/>
      <w:bookmarkStart w:id="155" w:name="_Toc10815"/>
      <w:bookmarkStart w:id="156" w:name="_Toc27599"/>
      <w:bookmarkStart w:id="157" w:name="_Toc13905"/>
      <w:bookmarkStart w:id="158" w:name="_Toc26735"/>
      <w:bookmarkStart w:id="159" w:name="_Toc19970"/>
      <w:bookmarkStart w:id="160" w:name="_Toc18289"/>
      <w:r>
        <w:rPr>
          <w:rFonts w:hint="eastAsia" w:ascii="楷体" w:hAnsi="楷体" w:eastAsia="楷体" w:cs="楷体"/>
          <w:b/>
          <w:bCs/>
          <w:sz w:val="32"/>
          <w:szCs w:val="32"/>
        </w:rPr>
        <w:t>（二）项目过程情况</w:t>
      </w:r>
      <w:bookmarkEnd w:id="150"/>
      <w:bookmarkEnd w:id="151"/>
      <w:bookmarkEnd w:id="152"/>
      <w:bookmarkEnd w:id="153"/>
      <w:bookmarkEnd w:id="154"/>
      <w:bookmarkEnd w:id="155"/>
      <w:bookmarkEnd w:id="156"/>
      <w:bookmarkEnd w:id="157"/>
      <w:bookmarkEnd w:id="158"/>
      <w:bookmarkEnd w:id="159"/>
      <w:bookmarkEnd w:id="160"/>
    </w:p>
    <w:p>
      <w:pPr>
        <w:pStyle w:val="15"/>
        <w:spacing w:before="0" w:line="560" w:lineRule="exact"/>
        <w:ind w:left="0" w:firstLine="640" w:firstLineChars="200"/>
        <w:outlineLvl w:val="9"/>
        <w:rPr>
          <w:rFonts w:ascii="仿宋_GB2312" w:hAnsi="仿宋_GB2312" w:eastAsia="仿宋_GB2312" w:cs="仿宋_GB2312"/>
          <w:color w:val="FF0000"/>
          <w:sz w:val="32"/>
          <w:szCs w:val="32"/>
        </w:rPr>
      </w:pPr>
      <w:r>
        <w:rPr>
          <w:rFonts w:hint="eastAsia" w:ascii="仿宋_GB2312" w:hAnsi="仿宋_GB2312" w:eastAsia="仿宋_GB2312" w:cs="仿宋_GB2312"/>
          <w:color w:val="auto"/>
          <w:sz w:val="32"/>
        </w:rPr>
        <w:t>项目过程指标，满分20分，评价得分为</w:t>
      </w:r>
      <w:r>
        <w:rPr>
          <w:rFonts w:hint="eastAsia" w:ascii="仿宋_GB2312" w:hAnsi="仿宋_GB2312" w:eastAsia="仿宋_GB2312" w:cs="仿宋_GB2312"/>
          <w:kern w:val="0"/>
          <w:sz w:val="32"/>
          <w:szCs w:val="32"/>
          <w:lang w:bidi="ar"/>
        </w:rPr>
        <w:t>18.34</w:t>
      </w:r>
      <w:r>
        <w:rPr>
          <w:rFonts w:hint="eastAsia" w:ascii="仿宋_GB2312" w:hAnsi="仿宋_GB2312" w:eastAsia="仿宋_GB2312" w:cs="仿宋_GB2312"/>
          <w:kern w:val="0"/>
          <w:sz w:val="32"/>
          <w:szCs w:val="32"/>
          <w:lang w:val="en-US" w:eastAsia="zh-CN" w:bidi="ar"/>
        </w:rPr>
        <w:t>分。</w:t>
      </w:r>
      <w:r>
        <w:rPr>
          <w:rFonts w:hint="eastAsia" w:ascii="仿宋_GB2312" w:hAnsi="仿宋_GB2312" w:eastAsia="仿宋_GB2312" w:cs="仿宋_GB2312"/>
          <w:kern w:val="0"/>
          <w:sz w:val="32"/>
          <w:szCs w:val="32"/>
        </w:rPr>
        <w:t>该项目</w:t>
      </w:r>
      <w:r>
        <w:rPr>
          <w:rFonts w:hint="eastAsia" w:ascii="仿宋_GB2312" w:hAnsi="仿宋_GB2312" w:eastAsia="仿宋_GB2312" w:cs="仿宋_GB2312"/>
          <w:sz w:val="32"/>
          <w:szCs w:val="32"/>
        </w:rPr>
        <w:t>按照《中央财政职工困难帮扶资金项目管理实施细则》（总工办发〔2022〕21号）《北京市困难职工帮扶工作实施办法》（京工办发〔2021〕17号）有关规定的要求，</w:t>
      </w:r>
      <w:r>
        <w:rPr>
          <w:rFonts w:hint="eastAsia" w:ascii="仿宋_GB2312" w:hAnsi="仿宋_GB2312" w:eastAsia="仿宋_GB2312" w:cs="仿宋_GB2312"/>
          <w:kern w:val="0"/>
          <w:sz w:val="32"/>
          <w:szCs w:val="32"/>
        </w:rPr>
        <w:t>在资金使用过程中严</w:t>
      </w:r>
      <w:r>
        <w:rPr>
          <w:rFonts w:hint="eastAsia" w:ascii="仿宋_GB2312" w:hAnsi="仿宋_GB2312" w:eastAsia="仿宋_GB2312" w:cs="仿宋_GB2312"/>
          <w:kern w:val="0"/>
          <w:sz w:val="32"/>
          <w:szCs w:val="32"/>
          <w:lang w:val="en-US" w:eastAsia="zh-CN"/>
        </w:rPr>
        <w:t>格</w:t>
      </w:r>
      <w:r>
        <w:rPr>
          <w:rFonts w:hint="eastAsia" w:ascii="仿宋_GB2312" w:hAnsi="仿宋_GB2312" w:eastAsia="仿宋_GB2312" w:cs="仿宋_GB2312"/>
          <w:kern w:val="0"/>
          <w:sz w:val="32"/>
          <w:szCs w:val="32"/>
        </w:rPr>
        <w:t>监督审核，认真落实</w:t>
      </w:r>
      <w:r>
        <w:rPr>
          <w:rFonts w:hint="eastAsia" w:ascii="仿宋_GB2312" w:hAnsi="仿宋_GB2312" w:eastAsia="仿宋_GB2312" w:cs="仿宋_GB2312"/>
          <w:color w:val="auto"/>
          <w:kern w:val="0"/>
          <w:sz w:val="32"/>
          <w:szCs w:val="32"/>
        </w:rPr>
        <w:t>资金内部审批制度，保证资金安全、科学、合理利用。</w:t>
      </w:r>
      <w:r>
        <w:rPr>
          <w:rFonts w:hint="eastAsia" w:ascii="仿宋_GB2312" w:hAnsi="仿宋_GB2312" w:eastAsia="仿宋_GB2312" w:cs="仿宋_GB2312"/>
          <w:color w:val="auto"/>
          <w:kern w:val="0"/>
          <w:sz w:val="32"/>
          <w:szCs w:val="32"/>
          <w:lang w:val="en-US" w:eastAsia="zh-CN"/>
        </w:rPr>
        <w:t>但</w:t>
      </w:r>
      <w:r>
        <w:rPr>
          <w:rFonts w:hint="eastAsia" w:eastAsia="仿宋_GB2312"/>
          <w:color w:val="auto"/>
          <w:kern w:val="0"/>
          <w:sz w:val="32"/>
          <w:szCs w:val="32"/>
        </w:rPr>
        <w:t>实施方案不够完善，方案</w:t>
      </w:r>
      <w:r>
        <w:rPr>
          <w:rFonts w:hint="eastAsia" w:eastAsia="仿宋_GB2312"/>
          <w:color w:val="auto"/>
          <w:kern w:val="0"/>
          <w:sz w:val="32"/>
          <w:szCs w:val="32"/>
          <w:lang w:val="en-US" w:eastAsia="zh-CN"/>
        </w:rPr>
        <w:t>中</w:t>
      </w:r>
      <w:r>
        <w:rPr>
          <w:rFonts w:hint="eastAsia" w:eastAsia="仿宋_GB2312"/>
          <w:color w:val="auto"/>
          <w:kern w:val="0"/>
          <w:sz w:val="32"/>
          <w:szCs w:val="32"/>
        </w:rPr>
        <w:t>明确了项目背景、项目内容、工作安排及资金安排</w:t>
      </w:r>
      <w:r>
        <w:rPr>
          <w:rFonts w:hint="eastAsia" w:eastAsia="仿宋_GB2312"/>
          <w:color w:val="auto"/>
          <w:kern w:val="0"/>
          <w:sz w:val="32"/>
          <w:szCs w:val="32"/>
          <w:lang w:eastAsia="zh-CN"/>
        </w:rPr>
        <w:t>，</w:t>
      </w:r>
      <w:r>
        <w:rPr>
          <w:rFonts w:hint="eastAsia" w:eastAsia="仿宋_GB2312"/>
          <w:color w:val="auto"/>
          <w:kern w:val="0"/>
          <w:sz w:val="32"/>
          <w:szCs w:val="32"/>
          <w:lang w:val="en-US" w:eastAsia="zh-CN"/>
        </w:rPr>
        <w:t>项目实施过程中进行了监督把控，但方案中未明确</w:t>
      </w:r>
      <w:r>
        <w:rPr>
          <w:rFonts w:hint="eastAsia" w:eastAsia="仿宋_GB2312"/>
          <w:color w:val="auto"/>
          <w:kern w:val="0"/>
          <w:sz w:val="32"/>
          <w:szCs w:val="32"/>
        </w:rPr>
        <w:t>保障措施</w:t>
      </w:r>
      <w:r>
        <w:rPr>
          <w:rFonts w:hint="eastAsia" w:eastAsia="仿宋_GB2312"/>
          <w:color w:val="auto"/>
          <w:kern w:val="0"/>
          <w:sz w:val="32"/>
          <w:szCs w:val="32"/>
          <w:lang w:val="en-US" w:eastAsia="zh-CN"/>
        </w:rPr>
        <w:t>和</w:t>
      </w:r>
      <w:r>
        <w:rPr>
          <w:rFonts w:hint="eastAsia" w:eastAsia="仿宋_GB2312"/>
          <w:color w:val="auto"/>
          <w:kern w:val="0"/>
          <w:sz w:val="32"/>
          <w:szCs w:val="32"/>
        </w:rPr>
        <w:t>监督</w:t>
      </w:r>
      <w:r>
        <w:rPr>
          <w:rFonts w:hint="eastAsia" w:eastAsia="仿宋_GB2312"/>
          <w:color w:val="auto"/>
          <w:kern w:val="0"/>
          <w:sz w:val="32"/>
          <w:szCs w:val="32"/>
          <w:lang w:val="en-US" w:eastAsia="zh-CN"/>
        </w:rPr>
        <w:t>要求</w:t>
      </w:r>
      <w:r>
        <w:rPr>
          <w:rFonts w:hint="eastAsia" w:eastAsia="仿宋_GB2312"/>
          <w:color w:val="auto"/>
          <w:kern w:val="0"/>
          <w:sz w:val="32"/>
          <w:szCs w:val="32"/>
          <w:lang w:eastAsia="zh-CN"/>
        </w:rPr>
        <w:t>；</w:t>
      </w:r>
      <w:r>
        <w:rPr>
          <w:rFonts w:hint="eastAsia" w:eastAsia="仿宋_GB2312"/>
          <w:color w:val="auto"/>
          <w:kern w:val="0"/>
          <w:sz w:val="32"/>
          <w:szCs w:val="32"/>
          <w:lang w:val="en-US" w:eastAsia="zh-CN"/>
        </w:rPr>
        <w:t>在</w:t>
      </w:r>
      <w:r>
        <w:rPr>
          <w:rFonts w:hint="eastAsia" w:ascii="仿宋_GB2312" w:hAnsi="仿宋_GB2312" w:eastAsia="仿宋_GB2312" w:cs="仿宋_GB2312"/>
          <w:color w:val="auto"/>
          <w:kern w:val="0"/>
          <w:sz w:val="32"/>
          <w:szCs w:val="32"/>
        </w:rPr>
        <w:t>项目实施过程中，职工工作部</w:t>
      </w:r>
      <w:r>
        <w:rPr>
          <w:rFonts w:hint="eastAsia" w:ascii="仿宋_GB2312" w:hAnsi="仿宋_GB2312" w:eastAsia="仿宋_GB2312" w:cs="仿宋_GB2312"/>
          <w:color w:val="auto"/>
          <w:sz w:val="32"/>
          <w:szCs w:val="32"/>
          <w:lang w:val="en-US" w:eastAsia="zh-CN"/>
        </w:rPr>
        <w:t>按照</w:t>
      </w:r>
      <w:r>
        <w:rPr>
          <w:rFonts w:hint="eastAsia" w:ascii="仿宋_GB2312" w:hAnsi="仿宋_GB2312" w:eastAsia="仿宋_GB2312" w:cs="仿宋_GB2312"/>
          <w:color w:val="auto"/>
          <w:sz w:val="32"/>
          <w:szCs w:val="32"/>
        </w:rPr>
        <w:t>财政资金项目使用要求、财务管理制度</w:t>
      </w:r>
      <w:r>
        <w:rPr>
          <w:rFonts w:hint="eastAsia" w:ascii="仿宋_GB2312" w:hAnsi="仿宋_GB2312" w:eastAsia="仿宋_GB2312" w:cs="仿宋_GB2312"/>
          <w:color w:val="auto"/>
          <w:sz w:val="32"/>
          <w:szCs w:val="32"/>
          <w:lang w:val="en-US" w:eastAsia="zh-CN"/>
        </w:rPr>
        <w:t>等</w:t>
      </w:r>
      <w:r>
        <w:rPr>
          <w:rFonts w:hint="eastAsia" w:ascii="仿宋_GB2312" w:hAnsi="仿宋_GB2312" w:eastAsia="仿宋_GB2312" w:cs="仿宋_GB2312"/>
          <w:color w:val="auto"/>
          <w:kern w:val="0"/>
          <w:sz w:val="32"/>
          <w:szCs w:val="32"/>
          <w:lang w:val="en-US" w:eastAsia="zh-CN"/>
        </w:rPr>
        <w:t>相关文件要求执行。但该项目个别资金使用管理办法有待根据依据文件变化及时进行更新</w:t>
      </w:r>
      <w:r>
        <w:rPr>
          <w:rFonts w:hint="eastAsia" w:ascii="仿宋_GB2312" w:hAnsi="仿宋_GB2312" w:eastAsia="仿宋_GB2312" w:cs="仿宋_GB2312"/>
          <w:color w:val="auto"/>
          <w:sz w:val="32"/>
          <w:lang w:eastAsia="zh-CN"/>
        </w:rPr>
        <w:t>。</w:t>
      </w:r>
    </w:p>
    <w:p>
      <w:pPr>
        <w:spacing w:line="560" w:lineRule="exact"/>
        <w:ind w:firstLine="643" w:firstLineChars="200"/>
        <w:outlineLvl w:val="1"/>
        <w:rPr>
          <w:rFonts w:ascii="楷体" w:hAnsi="楷体" w:eastAsia="楷体" w:cs="楷体"/>
          <w:b/>
          <w:bCs/>
          <w:sz w:val="32"/>
          <w:szCs w:val="32"/>
        </w:rPr>
      </w:pPr>
      <w:bookmarkStart w:id="161" w:name="_Toc5608"/>
      <w:bookmarkStart w:id="162" w:name="_Toc2917"/>
      <w:bookmarkStart w:id="163" w:name="_Toc18523"/>
      <w:bookmarkStart w:id="164" w:name="_Toc23930"/>
      <w:bookmarkStart w:id="165" w:name="_Toc25759"/>
      <w:bookmarkStart w:id="166" w:name="_Toc25969"/>
      <w:bookmarkStart w:id="167" w:name="_Toc3662"/>
      <w:bookmarkStart w:id="168" w:name="_Toc4757"/>
      <w:bookmarkStart w:id="169" w:name="_Toc5453"/>
      <w:bookmarkStart w:id="170" w:name="_Toc30813"/>
      <w:bookmarkStart w:id="171" w:name="_Toc29314"/>
      <w:r>
        <w:rPr>
          <w:rFonts w:hint="eastAsia" w:ascii="楷体" w:hAnsi="楷体" w:eastAsia="楷体" w:cs="楷体"/>
          <w:b/>
          <w:bCs/>
          <w:sz w:val="32"/>
          <w:szCs w:val="32"/>
        </w:rPr>
        <w:t>（三）项目产出情况</w:t>
      </w:r>
      <w:bookmarkEnd w:id="161"/>
      <w:bookmarkEnd w:id="162"/>
      <w:bookmarkEnd w:id="163"/>
      <w:bookmarkEnd w:id="164"/>
      <w:bookmarkEnd w:id="165"/>
      <w:bookmarkEnd w:id="166"/>
      <w:bookmarkEnd w:id="167"/>
      <w:bookmarkEnd w:id="168"/>
      <w:bookmarkEnd w:id="169"/>
      <w:bookmarkEnd w:id="170"/>
      <w:bookmarkEnd w:id="171"/>
    </w:p>
    <w:p>
      <w:pPr>
        <w:pStyle w:val="15"/>
        <w:spacing w:before="0" w:line="560" w:lineRule="exact"/>
        <w:ind w:left="0" w:firstLine="640" w:firstLineChars="200"/>
        <w:outlineLvl w:val="9"/>
        <w:rPr>
          <w:rFonts w:ascii="仿宋_GB2312" w:hAnsi="仿宋_GB2312" w:eastAsia="仿宋_GB2312" w:cs="仿宋_GB2312"/>
          <w:kern w:val="0"/>
        </w:rPr>
      </w:pPr>
      <w:r>
        <w:rPr>
          <w:rFonts w:hint="eastAsia" w:ascii="仿宋_GB2312" w:hAnsi="仿宋_GB2312" w:eastAsia="仿宋_GB2312" w:cs="仿宋_GB2312"/>
          <w:color w:val="auto"/>
          <w:sz w:val="32"/>
          <w:highlight w:val="none"/>
          <w:lang w:eastAsia="zh-CN"/>
        </w:rPr>
        <w:t>项目产出指标，满分40分，评价得分为</w:t>
      </w:r>
      <w:r>
        <w:rPr>
          <w:rFonts w:hint="eastAsia" w:ascii="仿宋_GB2312" w:hAnsi="仿宋_GB2312" w:eastAsia="仿宋_GB2312" w:cs="仿宋_GB2312"/>
          <w:kern w:val="0"/>
          <w:sz w:val="32"/>
          <w:szCs w:val="32"/>
          <w:lang w:bidi="ar"/>
        </w:rPr>
        <w:t>37.80</w:t>
      </w:r>
      <w:r>
        <w:rPr>
          <w:rFonts w:hint="eastAsia" w:ascii="仿宋_GB2312" w:hAnsi="仿宋_GB2312" w:eastAsia="仿宋_GB2312" w:cs="仿宋_GB2312"/>
          <w:kern w:val="0"/>
          <w:sz w:val="32"/>
          <w:szCs w:val="32"/>
          <w:lang w:val="en-US" w:eastAsia="zh-CN" w:bidi="ar"/>
        </w:rPr>
        <w:t>分。2</w:t>
      </w:r>
      <w:r>
        <w:rPr>
          <w:rFonts w:hint="eastAsia" w:ascii="仿宋_GB2312" w:hAnsi="仿宋_GB2312" w:eastAsia="仿宋_GB2312" w:cs="仿宋_GB2312"/>
          <w:kern w:val="0"/>
        </w:rPr>
        <w:t>023年计划发放困难职工家庭生活补贴户次400户、发放子女助学金60人、发放医疗救助户数100户。实际完成发放困难职工家庭生活补贴户次721户次，其中包含：发放困难职工受疫情影响专项生活补贴270户次、发放上半年在档困难职工生活补贴232户次及发放下半年在档困难职工生活补贴219户次。实际完成发放子女助学金91人、实际完成发放医疗救助金133户。</w:t>
      </w:r>
    </w:p>
    <w:p>
      <w:pPr>
        <w:pStyle w:val="15"/>
        <w:spacing w:before="0" w:line="560" w:lineRule="exact"/>
        <w:ind w:left="0" w:firstLine="643" w:firstLineChars="200"/>
        <w:outlineLvl w:val="1"/>
        <w:rPr>
          <w:rFonts w:ascii="楷体" w:hAnsi="楷体" w:eastAsia="楷体" w:cs="楷体"/>
          <w:b/>
          <w:bCs/>
        </w:rPr>
      </w:pPr>
      <w:bookmarkStart w:id="172" w:name="_Toc9537"/>
      <w:bookmarkStart w:id="173" w:name="_Toc13136"/>
      <w:bookmarkStart w:id="174" w:name="_Toc6099"/>
      <w:bookmarkStart w:id="175" w:name="_Toc5972"/>
      <w:bookmarkStart w:id="176" w:name="_Toc4714"/>
      <w:bookmarkStart w:id="177" w:name="_Toc31968"/>
      <w:bookmarkStart w:id="178" w:name="_Toc31314"/>
      <w:bookmarkStart w:id="179" w:name="_Toc8673"/>
      <w:bookmarkStart w:id="180" w:name="_Toc6142"/>
      <w:bookmarkStart w:id="181" w:name="_Toc24172"/>
      <w:bookmarkStart w:id="182" w:name="_Toc4412"/>
      <w:r>
        <w:rPr>
          <w:rFonts w:hint="eastAsia" w:ascii="楷体" w:hAnsi="楷体" w:eastAsia="楷体" w:cs="楷体"/>
          <w:b/>
          <w:bCs/>
        </w:rPr>
        <w:t>（四）项目效益情况</w:t>
      </w:r>
      <w:bookmarkEnd w:id="172"/>
      <w:bookmarkEnd w:id="173"/>
      <w:bookmarkEnd w:id="174"/>
      <w:bookmarkEnd w:id="175"/>
      <w:bookmarkEnd w:id="176"/>
      <w:bookmarkEnd w:id="177"/>
      <w:bookmarkEnd w:id="178"/>
      <w:bookmarkEnd w:id="179"/>
      <w:bookmarkEnd w:id="180"/>
      <w:bookmarkEnd w:id="181"/>
      <w:bookmarkEnd w:id="182"/>
    </w:p>
    <w:p>
      <w:pPr>
        <w:pStyle w:val="15"/>
        <w:spacing w:before="0" w:line="560" w:lineRule="exact"/>
        <w:ind w:left="0" w:firstLine="640" w:firstLineChars="200"/>
        <w:outlineLvl w:val="9"/>
        <w:rPr>
          <w:rFonts w:ascii="仿宋_GB2312" w:hAnsi="仿宋_GB2312" w:eastAsia="仿宋_GB2312" w:cs="仿宋_GB2312"/>
          <w:kern w:val="0"/>
          <w:sz w:val="32"/>
          <w:szCs w:val="32"/>
        </w:rPr>
      </w:pPr>
      <w:r>
        <w:rPr>
          <w:rFonts w:hint="eastAsia" w:ascii="仿宋_GB2312" w:hAnsi="仿宋_GB2312" w:eastAsia="仿宋_GB2312" w:cs="仿宋_GB2312"/>
          <w:color w:val="auto"/>
          <w:sz w:val="32"/>
          <w:lang w:val="en-US" w:eastAsia="zh-CN"/>
        </w:rPr>
        <w:t>项目效益指标，满分30分，评价得分为20.90分。</w:t>
      </w:r>
      <w:r>
        <w:rPr>
          <w:rFonts w:eastAsia="仿宋_GB2312"/>
          <w:bCs/>
          <w:sz w:val="32"/>
          <w:szCs w:val="32"/>
        </w:rPr>
        <w:t>通过该项目的设立与实施，</w:t>
      </w:r>
      <w:bookmarkStart w:id="183" w:name="_Hlk103610124"/>
      <w:r>
        <w:rPr>
          <w:rFonts w:eastAsia="仿宋_GB2312"/>
          <w:bCs/>
          <w:sz w:val="32"/>
          <w:szCs w:val="32"/>
        </w:rPr>
        <w:t>确保全市在档困难职工家庭基本生活持续改善</w:t>
      </w:r>
      <w:bookmarkEnd w:id="183"/>
      <w:r>
        <w:rPr>
          <w:rFonts w:eastAsia="仿宋_GB2312"/>
          <w:bCs/>
          <w:sz w:val="32"/>
          <w:szCs w:val="32"/>
        </w:rPr>
        <w:t>，缓解困难职工家庭基本的生活困难，</w:t>
      </w:r>
      <w:r>
        <w:rPr>
          <w:rFonts w:eastAsia="仿宋_GB2312"/>
          <w:sz w:val="32"/>
          <w:szCs w:val="32"/>
        </w:rPr>
        <w:t>保证困难职工家庭人均月收入不低于北京市低保标准</w:t>
      </w:r>
      <w:r>
        <w:rPr>
          <w:rFonts w:eastAsia="仿宋_GB2312"/>
          <w:bCs/>
          <w:sz w:val="32"/>
          <w:szCs w:val="32"/>
        </w:rPr>
        <w:t>。</w:t>
      </w:r>
      <w:r>
        <w:rPr>
          <w:rFonts w:hint="eastAsia" w:ascii="仿宋_GB2312" w:hAnsi="仿宋_GB2312" w:eastAsia="仿宋_GB2312" w:cs="仿宋_GB2312"/>
          <w:kern w:val="0"/>
          <w:sz w:val="32"/>
          <w:szCs w:val="32"/>
        </w:rPr>
        <w:t>该项目的服务对象满意度指标为困难职工满意度</w:t>
      </w:r>
      <w:r>
        <w:rPr>
          <w:rFonts w:hint="eastAsia" w:ascii="仿宋_GB2312" w:hAnsi="仿宋_GB2312" w:eastAsia="仿宋_GB2312" w:cs="仿宋_GB2312"/>
          <w:bCs/>
          <w:sz w:val="32"/>
        </w:rPr>
        <w:t>≥</w:t>
      </w:r>
      <w:r>
        <w:rPr>
          <w:rFonts w:hint="eastAsia" w:ascii="仿宋_GB2312" w:hAnsi="仿宋_GB2312" w:eastAsia="仿宋_GB2312" w:cs="仿宋_GB2312"/>
          <w:kern w:val="0"/>
          <w:sz w:val="32"/>
          <w:szCs w:val="32"/>
        </w:rPr>
        <w:t>90%</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但满意度调查资料</w:t>
      </w:r>
      <w:r>
        <w:rPr>
          <w:rFonts w:hint="eastAsia" w:ascii="仿宋_GB2312" w:hAnsi="仿宋_GB2312" w:eastAsia="仿宋_GB2312" w:cs="仿宋_GB2312"/>
          <w:kern w:val="0"/>
          <w:sz w:val="32"/>
          <w:szCs w:val="32"/>
          <w:lang w:val="en-US" w:eastAsia="zh-CN"/>
        </w:rPr>
        <w:t>体现</w:t>
      </w:r>
      <w:r>
        <w:rPr>
          <w:rFonts w:hint="eastAsia" w:ascii="仿宋_GB2312" w:hAnsi="仿宋_GB2312" w:eastAsia="仿宋_GB2312" w:cs="仿宋_GB2312"/>
          <w:kern w:val="0"/>
          <w:sz w:val="32"/>
          <w:szCs w:val="32"/>
        </w:rPr>
        <w:t>不充分。</w:t>
      </w:r>
    </w:p>
    <w:p>
      <w:pPr>
        <w:spacing w:line="560" w:lineRule="exact"/>
        <w:ind w:firstLine="643" w:firstLineChars="200"/>
        <w:outlineLvl w:val="0"/>
        <w:rPr>
          <w:rFonts w:ascii="黑体" w:hAnsi="黑体" w:eastAsia="黑体" w:cs="黑体"/>
          <w:b/>
          <w:bCs/>
          <w:sz w:val="32"/>
          <w:szCs w:val="32"/>
        </w:rPr>
      </w:pPr>
      <w:bookmarkStart w:id="184" w:name="_Toc23100"/>
      <w:bookmarkStart w:id="185" w:name="_Toc31329"/>
      <w:bookmarkStart w:id="186" w:name="_Toc11069"/>
      <w:bookmarkStart w:id="187" w:name="_Toc22454"/>
      <w:bookmarkStart w:id="188" w:name="_Toc3299"/>
      <w:bookmarkStart w:id="189" w:name="_Toc5392"/>
      <w:bookmarkStart w:id="190" w:name="_Toc10798"/>
      <w:bookmarkStart w:id="191" w:name="_Toc24612"/>
      <w:bookmarkStart w:id="192" w:name="_Toc15770"/>
      <w:bookmarkStart w:id="193" w:name="_Toc27183"/>
      <w:bookmarkStart w:id="194" w:name="_Toc22485"/>
      <w:r>
        <w:rPr>
          <w:rFonts w:hint="eastAsia" w:ascii="黑体" w:hAnsi="黑体" w:eastAsia="黑体" w:cs="黑体"/>
          <w:b/>
          <w:bCs/>
          <w:sz w:val="32"/>
          <w:szCs w:val="32"/>
        </w:rPr>
        <w:t>五、存在的问题及原因分析</w:t>
      </w:r>
      <w:bookmarkEnd w:id="184"/>
      <w:bookmarkEnd w:id="185"/>
      <w:bookmarkEnd w:id="186"/>
      <w:bookmarkEnd w:id="187"/>
      <w:bookmarkEnd w:id="188"/>
      <w:bookmarkEnd w:id="189"/>
      <w:bookmarkEnd w:id="190"/>
      <w:bookmarkEnd w:id="191"/>
      <w:bookmarkEnd w:id="192"/>
      <w:bookmarkEnd w:id="193"/>
      <w:bookmarkEnd w:id="194"/>
    </w:p>
    <w:p>
      <w:pPr>
        <w:spacing w:line="560" w:lineRule="exact"/>
        <w:ind w:firstLine="643" w:firstLineChars="200"/>
        <w:outlineLvl w:val="9"/>
        <w:rPr>
          <w:rFonts w:ascii="楷体" w:hAnsi="楷体" w:eastAsia="楷体" w:cs="楷体"/>
          <w:b/>
          <w:bCs/>
          <w:sz w:val="32"/>
          <w:szCs w:val="32"/>
        </w:rPr>
      </w:pPr>
      <w:bookmarkStart w:id="195" w:name="_Toc5420"/>
      <w:bookmarkStart w:id="196" w:name="_Toc22360"/>
      <w:bookmarkStart w:id="197" w:name="_Toc15160"/>
      <w:bookmarkStart w:id="198" w:name="_Toc22504"/>
      <w:bookmarkStart w:id="199" w:name="_Toc5350"/>
      <w:bookmarkStart w:id="200" w:name="_Toc2553"/>
      <w:bookmarkStart w:id="201" w:name="_Toc29614"/>
      <w:bookmarkStart w:id="202" w:name="_Toc12732"/>
      <w:bookmarkStart w:id="203" w:name="_Toc18837"/>
      <w:r>
        <w:rPr>
          <w:rFonts w:hint="eastAsia" w:ascii="楷体" w:hAnsi="楷体" w:eastAsia="楷体" w:cs="楷体"/>
          <w:b/>
          <w:bCs/>
          <w:sz w:val="32"/>
          <w:szCs w:val="32"/>
        </w:rPr>
        <w:t>（一）项目决策方面</w:t>
      </w:r>
      <w:bookmarkEnd w:id="195"/>
      <w:bookmarkEnd w:id="196"/>
      <w:bookmarkEnd w:id="197"/>
      <w:bookmarkEnd w:id="198"/>
      <w:bookmarkEnd w:id="199"/>
      <w:bookmarkEnd w:id="200"/>
      <w:bookmarkEnd w:id="201"/>
      <w:bookmarkEnd w:id="202"/>
      <w:bookmarkEnd w:id="203"/>
    </w:p>
    <w:p>
      <w:pPr>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color w:val="auto"/>
          <w:kern w:val="0"/>
          <w:sz w:val="32"/>
          <w:szCs w:val="32"/>
        </w:rPr>
        <w:t>该项目政策依据较为充分明确，但可行性研究报告编制较为简单，</w:t>
      </w:r>
      <w:r>
        <w:rPr>
          <w:rFonts w:hint="eastAsia" w:ascii="仿宋_GB2312" w:hAnsi="仿宋_GB2312" w:eastAsia="仿宋_GB2312" w:cs="仿宋_GB2312"/>
          <w:color w:val="auto"/>
          <w:kern w:val="0"/>
          <w:sz w:val="32"/>
          <w:szCs w:val="32"/>
          <w:lang w:val="en-US" w:eastAsia="zh-CN"/>
        </w:rPr>
        <w:t>前期需求调研不够深入</w:t>
      </w:r>
      <w:r>
        <w:rPr>
          <w:rFonts w:hint="eastAsia" w:ascii="仿宋_GB2312" w:hAnsi="仿宋_GB2312" w:eastAsia="仿宋_GB2312" w:cs="仿宋_GB2312"/>
          <w:color w:val="auto"/>
          <w:kern w:val="0"/>
          <w:sz w:val="32"/>
          <w:szCs w:val="32"/>
          <w:lang w:eastAsia="zh-CN"/>
        </w:rPr>
        <w:t>；</w:t>
      </w:r>
      <w:r>
        <w:rPr>
          <w:rFonts w:ascii="仿宋_GB2312" w:hAnsi="仿宋_GB2312" w:eastAsia="仿宋_GB2312" w:cs="仿宋_GB2312"/>
          <w:bCs/>
          <w:color w:val="auto"/>
          <w:kern w:val="0"/>
          <w:sz w:val="32"/>
          <w:szCs w:val="32"/>
        </w:rPr>
        <w:t>部</w:t>
      </w:r>
      <w:r>
        <w:rPr>
          <w:rFonts w:ascii="仿宋_GB2312" w:hAnsi="仿宋_GB2312" w:eastAsia="仿宋_GB2312" w:cs="仿宋_GB2312"/>
          <w:bCs/>
          <w:kern w:val="0"/>
          <w:sz w:val="32"/>
          <w:szCs w:val="32"/>
        </w:rPr>
        <w:t>分绩效指标的可衡量性和合理性存在不足，经济效益的体现不够充分，应结合项目具体实际内容设置为社会效益指标；</w:t>
      </w:r>
      <w:r>
        <w:rPr>
          <w:rFonts w:hint="eastAsia" w:ascii="仿宋_GB2312" w:hAnsi="仿宋_GB2312" w:eastAsia="仿宋_GB2312" w:cs="仿宋_GB2312"/>
          <w:kern w:val="0"/>
          <w:sz w:val="32"/>
          <w:szCs w:val="32"/>
        </w:rPr>
        <w:t>预算编制准确性不足</w:t>
      </w:r>
      <w:r>
        <w:rPr>
          <w:rFonts w:hint="eastAsia" w:ascii="仿宋_GB2312" w:hAnsi="仿宋_GB2312" w:eastAsia="仿宋_GB2312" w:cs="仿宋_GB2312"/>
          <w:kern w:val="0"/>
          <w:sz w:val="32"/>
          <w:szCs w:val="32"/>
          <w:lang w:eastAsia="zh-CN"/>
        </w:rPr>
        <w:t>，</w:t>
      </w:r>
      <w:r>
        <w:rPr>
          <w:rFonts w:hint="eastAsia" w:ascii="仿宋_GB2312" w:hAnsi="仿宋_GB2312" w:eastAsia="仿宋_GB2312" w:cs="仿宋_GB2312"/>
          <w:kern w:val="0"/>
          <w:sz w:val="32"/>
          <w:szCs w:val="32"/>
        </w:rPr>
        <w:t>年初申报预算时未充分考虑历年困难职工补助情况，未细化年度经费需求，</w:t>
      </w:r>
      <w:r>
        <w:rPr>
          <w:rFonts w:hint="eastAsia" w:ascii="仿宋_GB2312" w:hAnsi="仿宋_GB2312" w:eastAsia="仿宋_GB2312" w:cs="仿宋_GB2312"/>
          <w:kern w:val="0"/>
          <w:sz w:val="32"/>
          <w:szCs w:val="32"/>
          <w:lang w:val="en-US" w:eastAsia="zh-CN"/>
        </w:rPr>
        <w:t>财政预算需求分析</w:t>
      </w:r>
      <w:r>
        <w:rPr>
          <w:rFonts w:hint="eastAsia" w:ascii="仿宋_GB2312" w:hAnsi="仿宋_GB2312" w:eastAsia="仿宋_GB2312" w:cs="仿宋_GB2312"/>
          <w:kern w:val="0"/>
          <w:sz w:val="32"/>
          <w:szCs w:val="32"/>
        </w:rPr>
        <w:t>存在不足</w:t>
      </w:r>
      <w:r>
        <w:rPr>
          <w:rFonts w:hint="eastAsia" w:ascii="仿宋_GB2312" w:hAnsi="仿宋_GB2312" w:eastAsia="仿宋_GB2312" w:cs="仿宋_GB2312"/>
          <w:kern w:val="0"/>
          <w:sz w:val="32"/>
          <w:szCs w:val="32"/>
          <w:lang w:eastAsia="zh-CN"/>
        </w:rPr>
        <w:t>。</w:t>
      </w:r>
    </w:p>
    <w:p>
      <w:pPr>
        <w:keepNext/>
        <w:keepLines/>
        <w:spacing w:line="560" w:lineRule="exact"/>
        <w:ind w:firstLine="643" w:firstLineChars="200"/>
        <w:outlineLvl w:val="9"/>
        <w:rPr>
          <w:rFonts w:ascii="楷体" w:hAnsi="楷体" w:eastAsia="楷体" w:cs="楷体"/>
          <w:b/>
          <w:bCs/>
          <w:color w:val="auto"/>
          <w:sz w:val="32"/>
          <w:szCs w:val="32"/>
        </w:rPr>
      </w:pPr>
      <w:bookmarkStart w:id="204" w:name="_Toc25261"/>
      <w:bookmarkStart w:id="205" w:name="_Toc2634"/>
      <w:bookmarkStart w:id="206" w:name="_Toc28510"/>
      <w:bookmarkStart w:id="207" w:name="_Toc19374"/>
      <w:bookmarkStart w:id="208" w:name="_Toc22296"/>
      <w:bookmarkStart w:id="209" w:name="_Toc32292"/>
      <w:bookmarkStart w:id="210" w:name="_Toc25738"/>
      <w:bookmarkStart w:id="211" w:name="_Toc2998"/>
      <w:bookmarkStart w:id="212" w:name="_Toc7619"/>
      <w:r>
        <w:rPr>
          <w:rFonts w:hint="eastAsia" w:ascii="楷体" w:hAnsi="楷体" w:eastAsia="楷体" w:cs="楷体"/>
          <w:b/>
          <w:bCs/>
          <w:color w:val="auto"/>
          <w:sz w:val="32"/>
          <w:szCs w:val="32"/>
        </w:rPr>
        <w:t>（二）项目管理方面</w:t>
      </w:r>
      <w:bookmarkEnd w:id="204"/>
      <w:bookmarkEnd w:id="205"/>
      <w:bookmarkEnd w:id="206"/>
      <w:bookmarkEnd w:id="207"/>
      <w:bookmarkEnd w:id="208"/>
      <w:bookmarkEnd w:id="209"/>
      <w:bookmarkEnd w:id="210"/>
      <w:bookmarkEnd w:id="211"/>
      <w:bookmarkEnd w:id="212"/>
    </w:p>
    <w:p>
      <w:pPr>
        <w:spacing w:line="560" w:lineRule="exact"/>
        <w:ind w:firstLine="640" w:firstLineChars="200"/>
        <w:rPr>
          <w:rFonts w:hint="eastAsia" w:ascii="仿宋_GB2312" w:hAnsi="仿宋_GB2312" w:eastAsia="仿宋_GB2312" w:cs="仿宋_GB2312"/>
          <w:color w:val="auto"/>
          <w:kern w:val="2"/>
          <w:sz w:val="32"/>
          <w:szCs w:val="32"/>
          <w:lang w:eastAsia="zh-CN"/>
        </w:rPr>
      </w:pPr>
      <w:r>
        <w:rPr>
          <w:rFonts w:hint="eastAsia" w:ascii="仿宋_GB2312" w:hAnsi="仿宋_GB2312" w:eastAsia="仿宋_GB2312" w:cs="仿宋_GB2312"/>
          <w:color w:val="auto"/>
          <w:sz w:val="32"/>
          <w:szCs w:val="32"/>
        </w:rPr>
        <w:t>在实施过程中</w:t>
      </w:r>
      <w:r>
        <w:rPr>
          <w:rFonts w:hint="eastAsia" w:ascii="仿宋_GB2312" w:hAnsi="仿宋_GB2312" w:eastAsia="仿宋_GB2312" w:cs="仿宋_GB2312"/>
          <w:color w:val="auto"/>
          <w:sz w:val="32"/>
          <w:szCs w:val="32"/>
          <w:lang w:val="en-US" w:eastAsia="zh-CN"/>
        </w:rPr>
        <w:t>个别</w:t>
      </w:r>
      <w:r>
        <w:rPr>
          <w:rFonts w:hint="eastAsia" w:ascii="仿宋_GB2312" w:hAnsi="仿宋_GB2312" w:eastAsia="仿宋_GB2312" w:cs="仿宋_GB2312"/>
          <w:color w:val="auto"/>
          <w:sz w:val="32"/>
          <w:szCs w:val="32"/>
        </w:rPr>
        <w:t>资金使用管理办法</w:t>
      </w:r>
      <w:r>
        <w:rPr>
          <w:rFonts w:hint="eastAsia" w:ascii="仿宋_GB2312" w:hAnsi="仿宋_GB2312" w:eastAsia="仿宋_GB2312" w:cs="仿宋_GB2312"/>
          <w:color w:val="auto"/>
          <w:sz w:val="32"/>
          <w:szCs w:val="32"/>
          <w:lang w:val="en-US" w:eastAsia="zh-CN"/>
        </w:rPr>
        <w:t>需要及时进行</w:t>
      </w:r>
      <w:r>
        <w:rPr>
          <w:rFonts w:hint="eastAsia" w:ascii="仿宋_GB2312" w:hAnsi="仿宋_GB2312" w:eastAsia="仿宋_GB2312" w:cs="仿宋_GB2312"/>
          <w:color w:val="auto"/>
          <w:sz w:val="32"/>
          <w:szCs w:val="32"/>
        </w:rPr>
        <w:t>更新</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kern w:val="2"/>
          <w:sz w:val="32"/>
          <w:szCs w:val="32"/>
        </w:rPr>
        <w:t>项目实施方案不够</w:t>
      </w:r>
      <w:r>
        <w:rPr>
          <w:rFonts w:hint="eastAsia" w:ascii="仿宋_GB2312" w:hAnsi="仿宋_GB2312" w:eastAsia="仿宋_GB2312" w:cs="仿宋_GB2312"/>
          <w:color w:val="auto"/>
          <w:kern w:val="2"/>
          <w:sz w:val="32"/>
          <w:szCs w:val="32"/>
          <w:lang w:val="en-US" w:eastAsia="zh-CN"/>
        </w:rPr>
        <w:t>全面</w:t>
      </w:r>
      <w:r>
        <w:rPr>
          <w:rFonts w:hint="eastAsia" w:ascii="仿宋_GB2312" w:hAnsi="仿宋_GB2312" w:eastAsia="仿宋_GB2312" w:cs="仿宋_GB2312"/>
          <w:color w:val="auto"/>
          <w:kern w:val="2"/>
          <w:sz w:val="32"/>
          <w:szCs w:val="32"/>
        </w:rPr>
        <w:t>，</w:t>
      </w:r>
      <w:r>
        <w:rPr>
          <w:rFonts w:hint="eastAsia" w:ascii="仿宋_GB2312" w:hAnsi="仿宋_GB2312" w:eastAsia="仿宋_GB2312" w:cs="仿宋_GB2312"/>
          <w:color w:val="auto"/>
          <w:kern w:val="2"/>
          <w:sz w:val="32"/>
          <w:szCs w:val="32"/>
          <w:lang w:val="en-US" w:eastAsia="zh-CN"/>
        </w:rPr>
        <w:t>未纳入</w:t>
      </w:r>
      <w:r>
        <w:rPr>
          <w:rFonts w:hint="eastAsia" w:ascii="仿宋_GB2312" w:hAnsi="仿宋_GB2312" w:eastAsia="仿宋_GB2312" w:cs="仿宋_GB2312"/>
          <w:color w:val="auto"/>
          <w:kern w:val="2"/>
          <w:sz w:val="32"/>
          <w:szCs w:val="32"/>
        </w:rPr>
        <w:t>保障措施</w:t>
      </w:r>
      <w:r>
        <w:rPr>
          <w:rFonts w:hint="eastAsia" w:ascii="仿宋_GB2312" w:hAnsi="仿宋_GB2312" w:eastAsia="仿宋_GB2312" w:cs="仿宋_GB2312"/>
          <w:color w:val="auto"/>
          <w:kern w:val="2"/>
          <w:sz w:val="32"/>
          <w:szCs w:val="32"/>
          <w:lang w:val="en-US" w:eastAsia="zh-CN"/>
        </w:rPr>
        <w:t>和监督要求等内容，不利于强化项目管理</w:t>
      </w:r>
      <w:r>
        <w:rPr>
          <w:rFonts w:hint="eastAsia" w:ascii="仿宋_GB2312" w:hAnsi="仿宋_GB2312" w:eastAsia="仿宋_GB2312" w:cs="仿宋_GB2312"/>
          <w:color w:val="auto"/>
          <w:kern w:val="2"/>
          <w:sz w:val="32"/>
          <w:szCs w:val="32"/>
          <w:lang w:eastAsia="zh-CN"/>
        </w:rPr>
        <w:t>。</w:t>
      </w:r>
    </w:p>
    <w:p>
      <w:pPr>
        <w:keepNext/>
        <w:keepLines/>
        <w:spacing w:line="560" w:lineRule="exact"/>
        <w:ind w:firstLine="643" w:firstLineChars="200"/>
        <w:outlineLvl w:val="9"/>
        <w:rPr>
          <w:rFonts w:ascii="楷体" w:hAnsi="楷体" w:eastAsia="楷体" w:cs="楷体"/>
          <w:b/>
          <w:bCs/>
          <w:sz w:val="32"/>
          <w:szCs w:val="32"/>
        </w:rPr>
      </w:pPr>
      <w:bookmarkStart w:id="213" w:name="_Toc19228"/>
      <w:bookmarkStart w:id="214" w:name="_Toc14203"/>
      <w:bookmarkStart w:id="215" w:name="_Toc6299"/>
      <w:bookmarkStart w:id="216" w:name="_Toc17644"/>
      <w:bookmarkStart w:id="217" w:name="_Toc2422"/>
      <w:bookmarkStart w:id="218" w:name="_Toc24087"/>
      <w:bookmarkStart w:id="219" w:name="_Toc30466"/>
      <w:bookmarkStart w:id="220" w:name="_Toc22515"/>
      <w:bookmarkStart w:id="221" w:name="_Toc9775"/>
      <w:r>
        <w:rPr>
          <w:rFonts w:hint="eastAsia" w:ascii="楷体" w:hAnsi="楷体" w:eastAsia="楷体" w:cs="楷体"/>
          <w:b/>
          <w:bCs/>
          <w:sz w:val="32"/>
          <w:szCs w:val="32"/>
        </w:rPr>
        <w:t>（三）项目</w:t>
      </w:r>
      <w:r>
        <w:rPr>
          <w:rFonts w:hint="eastAsia" w:ascii="楷体" w:hAnsi="楷体" w:eastAsia="楷体" w:cs="楷体"/>
          <w:b/>
          <w:bCs/>
          <w:sz w:val="32"/>
          <w:szCs w:val="32"/>
          <w:lang w:val="en-US" w:eastAsia="zh-CN"/>
        </w:rPr>
        <w:t>产出效益</w:t>
      </w:r>
      <w:r>
        <w:rPr>
          <w:rFonts w:hint="eastAsia" w:ascii="楷体" w:hAnsi="楷体" w:eastAsia="楷体" w:cs="楷体"/>
          <w:b/>
          <w:bCs/>
          <w:sz w:val="32"/>
          <w:szCs w:val="32"/>
        </w:rPr>
        <w:t>方面</w:t>
      </w:r>
      <w:bookmarkEnd w:id="213"/>
      <w:bookmarkEnd w:id="214"/>
      <w:bookmarkEnd w:id="215"/>
      <w:bookmarkEnd w:id="216"/>
      <w:bookmarkEnd w:id="217"/>
      <w:bookmarkEnd w:id="218"/>
      <w:bookmarkEnd w:id="219"/>
      <w:bookmarkEnd w:id="220"/>
      <w:bookmarkEnd w:id="221"/>
    </w:p>
    <w:p>
      <w:pPr>
        <w:spacing w:line="560" w:lineRule="exact"/>
        <w:ind w:firstLine="640" w:firstLineChars="200"/>
        <w:rPr>
          <w:rFonts w:ascii="仿宋_GB2312" w:hAnsi="仿宋_GB2312" w:eastAsia="仿宋_GB2312" w:cs="仿宋_GB2312"/>
          <w:kern w:val="0"/>
          <w:sz w:val="32"/>
          <w:szCs w:val="32"/>
        </w:rPr>
      </w:pPr>
      <w:r>
        <w:rPr>
          <w:rFonts w:hint="eastAsia" w:ascii="仿宋_GB2312" w:hAnsi="仿宋_GB2312" w:eastAsia="仿宋_GB2312" w:cs="仿宋_GB2312"/>
          <w:bCs/>
          <w:kern w:val="0"/>
          <w:sz w:val="32"/>
          <w:szCs w:val="32"/>
          <w:lang w:eastAsia="zh-CN"/>
        </w:rPr>
        <w:t>满意度调查资料不充分，</w:t>
      </w:r>
      <w:r>
        <w:rPr>
          <w:rFonts w:hint="eastAsia" w:ascii="仿宋_GB2312" w:hAnsi="仿宋_GB2312" w:eastAsia="仿宋_GB2312" w:cs="仿宋_GB2312"/>
          <w:sz w:val="32"/>
          <w:szCs w:val="32"/>
        </w:rPr>
        <w:t>缺少困难职工满意度相关必要的支撑资料，</w:t>
      </w:r>
      <w:r>
        <w:rPr>
          <w:rFonts w:hint="eastAsia" w:ascii="仿宋_GB2312" w:hAnsi="仿宋_GB2312" w:eastAsia="仿宋_GB2312" w:cs="仿宋_GB2312"/>
          <w:kern w:val="0"/>
          <w:sz w:val="32"/>
          <w:szCs w:val="32"/>
        </w:rPr>
        <w:t>无法</w:t>
      </w:r>
      <w:r>
        <w:rPr>
          <w:rFonts w:hint="eastAsia" w:ascii="仿宋_GB2312" w:hAnsi="仿宋_GB2312" w:eastAsia="仿宋_GB2312" w:cs="仿宋_GB2312"/>
          <w:kern w:val="0"/>
          <w:sz w:val="32"/>
          <w:szCs w:val="32"/>
          <w:lang w:val="en-US" w:eastAsia="zh-CN"/>
        </w:rPr>
        <w:t>充分</w:t>
      </w:r>
      <w:r>
        <w:rPr>
          <w:rFonts w:hint="eastAsia" w:ascii="仿宋_GB2312" w:hAnsi="仿宋_GB2312" w:eastAsia="仿宋_GB2312" w:cs="仿宋_GB2312"/>
          <w:kern w:val="0"/>
          <w:sz w:val="32"/>
          <w:szCs w:val="32"/>
        </w:rPr>
        <w:t>反映受益人群在生活、就学和医疗中</w:t>
      </w:r>
      <w:r>
        <w:rPr>
          <w:rFonts w:hint="eastAsia" w:ascii="仿宋_GB2312" w:hAnsi="仿宋_GB2312" w:eastAsia="仿宋_GB2312" w:cs="仿宋_GB2312"/>
          <w:kern w:val="0"/>
          <w:sz w:val="32"/>
          <w:szCs w:val="32"/>
          <w:lang w:eastAsia="zh-CN"/>
        </w:rPr>
        <w:t>的</w:t>
      </w:r>
      <w:r>
        <w:rPr>
          <w:rFonts w:hint="eastAsia" w:ascii="仿宋_GB2312" w:hAnsi="仿宋_GB2312" w:eastAsia="仿宋_GB2312" w:cs="仿宋_GB2312"/>
          <w:kern w:val="0"/>
          <w:sz w:val="32"/>
          <w:szCs w:val="32"/>
        </w:rPr>
        <w:t>满意程度。</w:t>
      </w:r>
    </w:p>
    <w:p>
      <w:pPr>
        <w:spacing w:line="560" w:lineRule="exact"/>
        <w:ind w:firstLine="643" w:firstLineChars="200"/>
        <w:outlineLvl w:val="0"/>
        <w:rPr>
          <w:rFonts w:ascii="黑体" w:hAnsi="黑体" w:eastAsia="黑体" w:cs="黑体"/>
          <w:b/>
          <w:bCs/>
          <w:sz w:val="32"/>
          <w:szCs w:val="32"/>
        </w:rPr>
      </w:pPr>
      <w:bookmarkStart w:id="222" w:name="_Toc6663"/>
      <w:bookmarkStart w:id="223" w:name="_Toc15112"/>
      <w:bookmarkStart w:id="224" w:name="_Toc29986"/>
      <w:bookmarkStart w:id="225" w:name="_Toc1853"/>
      <w:bookmarkStart w:id="226" w:name="_Toc32074"/>
      <w:bookmarkStart w:id="227" w:name="_Toc31279"/>
      <w:bookmarkStart w:id="228" w:name="_Toc7906"/>
      <w:bookmarkStart w:id="229" w:name="_Toc1234"/>
      <w:bookmarkStart w:id="230" w:name="_Toc29225"/>
      <w:bookmarkStart w:id="231" w:name="_Toc12169"/>
      <w:bookmarkStart w:id="232" w:name="_Toc32400"/>
      <w:r>
        <w:rPr>
          <w:rFonts w:hint="eastAsia" w:ascii="黑体" w:hAnsi="黑体" w:eastAsia="黑体" w:cs="黑体"/>
          <w:b/>
          <w:bCs/>
          <w:sz w:val="32"/>
          <w:szCs w:val="32"/>
        </w:rPr>
        <w:t>六、有关建议</w:t>
      </w:r>
      <w:bookmarkEnd w:id="222"/>
      <w:bookmarkEnd w:id="223"/>
      <w:bookmarkEnd w:id="224"/>
      <w:bookmarkEnd w:id="225"/>
      <w:bookmarkEnd w:id="226"/>
      <w:bookmarkEnd w:id="227"/>
      <w:bookmarkEnd w:id="228"/>
      <w:bookmarkEnd w:id="229"/>
      <w:bookmarkEnd w:id="230"/>
      <w:bookmarkEnd w:id="231"/>
      <w:bookmarkEnd w:id="232"/>
    </w:p>
    <w:p>
      <w:pPr>
        <w:spacing w:line="560" w:lineRule="exact"/>
        <w:ind w:firstLine="643" w:firstLineChars="200"/>
        <w:outlineLvl w:val="9"/>
        <w:rPr>
          <w:rFonts w:ascii="楷体" w:hAnsi="楷体" w:eastAsia="楷体" w:cs="楷体"/>
          <w:b/>
          <w:bCs/>
          <w:sz w:val="32"/>
          <w:szCs w:val="32"/>
        </w:rPr>
      </w:pPr>
      <w:bookmarkStart w:id="233" w:name="_Toc3471"/>
      <w:bookmarkStart w:id="234" w:name="_Toc20495"/>
      <w:bookmarkStart w:id="235" w:name="_Toc32321"/>
      <w:bookmarkStart w:id="236" w:name="_Toc5323"/>
      <w:bookmarkStart w:id="237" w:name="_Toc32013"/>
      <w:bookmarkStart w:id="238" w:name="_Toc17088"/>
      <w:bookmarkStart w:id="239" w:name="_Toc21601"/>
      <w:bookmarkStart w:id="240" w:name="_Toc32346"/>
      <w:bookmarkStart w:id="241" w:name="_Toc20976"/>
      <w:bookmarkStart w:id="242" w:name="_Toc2639"/>
      <w:r>
        <w:rPr>
          <w:rFonts w:hint="eastAsia" w:ascii="楷体" w:hAnsi="楷体" w:eastAsia="楷体" w:cs="楷体"/>
          <w:b/>
          <w:bCs/>
          <w:sz w:val="32"/>
          <w:szCs w:val="32"/>
        </w:rPr>
        <w:t>（一）项目决策方面</w:t>
      </w:r>
      <w:bookmarkEnd w:id="233"/>
      <w:bookmarkEnd w:id="234"/>
      <w:bookmarkEnd w:id="235"/>
      <w:bookmarkEnd w:id="236"/>
      <w:bookmarkEnd w:id="237"/>
      <w:bookmarkEnd w:id="238"/>
      <w:bookmarkEnd w:id="239"/>
      <w:bookmarkEnd w:id="240"/>
      <w:bookmarkEnd w:id="241"/>
      <w:bookmarkEnd w:id="242"/>
    </w:p>
    <w:p>
      <w:pPr>
        <w:spacing w:line="560" w:lineRule="exact"/>
        <w:ind w:firstLine="640" w:firstLineChars="200"/>
        <w:rPr>
          <w:rFonts w:ascii="仿宋_GB2312" w:hAnsi="楷体" w:eastAsia="仿宋_GB2312"/>
          <w:bCs/>
          <w:kern w:val="0"/>
          <w:sz w:val="32"/>
          <w:szCs w:val="28"/>
        </w:rPr>
      </w:pPr>
      <w:r>
        <w:rPr>
          <w:rFonts w:hint="eastAsia" w:ascii="仿宋_GB2312" w:hAnsi="仿宋_GB2312" w:eastAsia="仿宋_GB2312" w:cs="仿宋_GB2312"/>
          <w:sz w:val="32"/>
          <w:szCs w:val="32"/>
        </w:rPr>
        <w:t>加强项目前期调研</w:t>
      </w:r>
      <w:r>
        <w:rPr>
          <w:rFonts w:hint="eastAsia" w:ascii="仿宋_GB2312" w:hAnsi="仿宋_GB2312" w:eastAsia="仿宋_GB2312" w:cs="仿宋_GB2312"/>
          <w:sz w:val="32"/>
          <w:szCs w:val="32"/>
          <w:lang w:eastAsia="zh-CN"/>
        </w:rPr>
        <w:t>，</w:t>
      </w:r>
      <w:r>
        <w:rPr>
          <w:rFonts w:hint="eastAsia" w:ascii="仿宋_GB2312" w:hAnsi="Calibri" w:eastAsia="仿宋_GB2312"/>
          <w:bCs/>
          <w:sz w:val="32"/>
          <w:szCs w:val="32"/>
        </w:rPr>
        <w:t>强化项目可行性研究论证，</w:t>
      </w:r>
      <w:r>
        <w:rPr>
          <w:rFonts w:hint="eastAsia" w:ascii="仿宋_GB2312" w:hAnsi="仿宋_GB2312" w:eastAsia="仿宋_GB2312" w:cs="仿宋_GB2312"/>
          <w:sz w:val="32"/>
          <w:szCs w:val="32"/>
        </w:rPr>
        <w:t>充分考虑项目涵盖人群的变化规律和基层情况，</w:t>
      </w:r>
      <w:r>
        <w:rPr>
          <w:rFonts w:hint="eastAsia" w:ascii="仿宋_GB2312" w:hAnsi="仿宋_GB2312" w:eastAsia="仿宋_GB2312" w:cs="仿宋_GB2312"/>
          <w:sz w:val="32"/>
          <w:szCs w:val="32"/>
          <w:lang w:val="en-US" w:eastAsia="zh-CN"/>
        </w:rPr>
        <w:t>从而</w:t>
      </w:r>
      <w:r>
        <w:rPr>
          <w:rFonts w:hint="eastAsia" w:ascii="仿宋_GB2312" w:hAnsi="Calibri" w:eastAsia="仿宋_GB2312"/>
          <w:bCs/>
          <w:sz w:val="32"/>
          <w:szCs w:val="32"/>
        </w:rPr>
        <w:t>进一步</w:t>
      </w:r>
      <w:r>
        <w:rPr>
          <w:rFonts w:hint="eastAsia" w:ascii="仿宋_GB2312" w:hAnsi="仿宋_GB2312" w:eastAsia="仿宋_GB2312" w:cs="仿宋_GB2312"/>
          <w:sz w:val="32"/>
          <w:szCs w:val="32"/>
          <w:lang w:val="en-US" w:eastAsia="zh-CN"/>
        </w:rPr>
        <w:t>提升</w:t>
      </w:r>
      <w:r>
        <w:rPr>
          <w:rFonts w:hint="eastAsia" w:ascii="仿宋_GB2312" w:hAnsi="仿宋_GB2312" w:eastAsia="仿宋_GB2312" w:cs="仿宋_GB2312"/>
          <w:sz w:val="32"/>
          <w:szCs w:val="32"/>
        </w:rPr>
        <w:t>决策的科学性</w:t>
      </w:r>
      <w:r>
        <w:rPr>
          <w:rFonts w:hint="eastAsia" w:ascii="仿宋_GB2312" w:hAnsi="仿宋_GB2312" w:eastAsia="仿宋_GB2312" w:cs="仿宋_GB2312"/>
          <w:sz w:val="32"/>
          <w:szCs w:val="32"/>
          <w:lang w:eastAsia="zh-CN"/>
        </w:rPr>
        <w:t>；</w:t>
      </w:r>
      <w:r>
        <w:rPr>
          <w:rFonts w:hint="eastAsia" w:ascii="仿宋_GB2312" w:hAnsi="Calibri" w:eastAsia="仿宋_GB2312"/>
          <w:bCs/>
          <w:sz w:val="32"/>
          <w:szCs w:val="32"/>
          <w:lang w:val="zh-CN"/>
        </w:rPr>
        <w:t>增强对项目绩效考评指标体系的理解，合理设定绩效</w:t>
      </w:r>
      <w:r>
        <w:rPr>
          <w:rFonts w:hint="eastAsia" w:ascii="仿宋_GB2312" w:hAnsi="Calibri" w:eastAsia="仿宋_GB2312"/>
          <w:bCs/>
          <w:sz w:val="32"/>
          <w:szCs w:val="32"/>
        </w:rPr>
        <w:t>目标和产出指标。</w:t>
      </w:r>
      <w:r>
        <w:rPr>
          <w:rFonts w:hint="eastAsia" w:ascii="仿宋_GB2312" w:hAnsi="Calibri" w:eastAsia="仿宋_GB2312"/>
          <w:bCs/>
          <w:sz w:val="32"/>
          <w:szCs w:val="32"/>
          <w:lang w:val="zh-CN"/>
        </w:rPr>
        <w:t>确保项目绩效目标科学合理、可</w:t>
      </w:r>
      <w:r>
        <w:rPr>
          <w:rFonts w:hint="eastAsia" w:ascii="仿宋_GB2312" w:hAnsi="Calibri" w:eastAsia="仿宋_GB2312"/>
          <w:bCs/>
          <w:sz w:val="32"/>
          <w:szCs w:val="32"/>
        </w:rPr>
        <w:t>考核</w:t>
      </w:r>
      <w:r>
        <w:rPr>
          <w:rFonts w:hint="eastAsia" w:ascii="仿宋_GB2312" w:hAnsi="Calibri" w:eastAsia="仿宋_GB2312"/>
          <w:bCs/>
          <w:sz w:val="32"/>
          <w:szCs w:val="32"/>
          <w:lang w:val="zh-CN"/>
        </w:rPr>
        <w:t>、可衡量和可追溯；</w:t>
      </w:r>
      <w:r>
        <w:rPr>
          <w:rFonts w:hint="eastAsia" w:ascii="仿宋_GB2312" w:hAnsi="楷体" w:eastAsia="仿宋_GB2312"/>
          <w:bCs/>
          <w:kern w:val="0"/>
          <w:sz w:val="32"/>
          <w:szCs w:val="28"/>
        </w:rPr>
        <w:t>准确测算预算需求，加强预算管理，提高预算执行有效性，确保财政资金使用效益最大化。</w:t>
      </w:r>
    </w:p>
    <w:p>
      <w:pPr>
        <w:keepNext/>
        <w:keepLines/>
        <w:spacing w:line="560" w:lineRule="exact"/>
        <w:ind w:firstLine="643" w:firstLineChars="200"/>
        <w:outlineLvl w:val="9"/>
        <w:rPr>
          <w:rFonts w:ascii="楷体" w:hAnsi="楷体" w:eastAsia="楷体" w:cs="楷体"/>
          <w:b/>
          <w:bCs/>
          <w:sz w:val="32"/>
          <w:szCs w:val="32"/>
        </w:rPr>
      </w:pPr>
      <w:bookmarkStart w:id="243" w:name="_Toc18432"/>
      <w:bookmarkStart w:id="244" w:name="_Toc2927"/>
      <w:bookmarkStart w:id="245" w:name="_Toc25459"/>
      <w:bookmarkStart w:id="246" w:name="_Toc4277"/>
      <w:bookmarkStart w:id="247" w:name="_Toc4470"/>
      <w:bookmarkStart w:id="248" w:name="_Toc19923"/>
      <w:bookmarkStart w:id="249" w:name="_Toc25350"/>
      <w:bookmarkStart w:id="250" w:name="_Toc3810"/>
      <w:bookmarkStart w:id="251" w:name="_Toc19558"/>
      <w:bookmarkStart w:id="252" w:name="_Toc17283"/>
      <w:r>
        <w:rPr>
          <w:rFonts w:hint="eastAsia" w:ascii="楷体" w:hAnsi="楷体" w:eastAsia="楷体" w:cs="楷体"/>
          <w:b/>
          <w:bCs/>
          <w:sz w:val="32"/>
          <w:szCs w:val="32"/>
        </w:rPr>
        <w:t>（二）项目管理方面</w:t>
      </w:r>
      <w:bookmarkEnd w:id="243"/>
      <w:bookmarkEnd w:id="244"/>
      <w:bookmarkEnd w:id="245"/>
      <w:bookmarkEnd w:id="246"/>
      <w:bookmarkEnd w:id="247"/>
      <w:bookmarkEnd w:id="248"/>
      <w:bookmarkEnd w:id="249"/>
      <w:bookmarkEnd w:id="250"/>
      <w:bookmarkEnd w:id="251"/>
      <w:bookmarkEnd w:id="252"/>
    </w:p>
    <w:p>
      <w:pPr>
        <w:spacing w:line="560" w:lineRule="exact"/>
        <w:ind w:firstLine="640" w:firstLineChars="200"/>
        <w:rPr>
          <w:rFonts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加强项目过程控制和管理</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lang w:val="en-US" w:eastAsia="zh-CN"/>
        </w:rPr>
        <w:t>完善</w:t>
      </w:r>
      <w:r>
        <w:rPr>
          <w:rFonts w:hint="eastAsia" w:ascii="仿宋_GB2312" w:hAnsi="仿宋_GB2312" w:eastAsia="仿宋_GB2312" w:cs="仿宋_GB2312"/>
          <w:color w:val="auto"/>
          <w:sz w:val="32"/>
          <w:szCs w:val="32"/>
        </w:rPr>
        <w:t>实施方案，</w:t>
      </w:r>
      <w:r>
        <w:rPr>
          <w:rFonts w:hint="eastAsia" w:ascii="仿宋_GB2312" w:hAnsi="仿宋_GB2312" w:eastAsia="仿宋_GB2312" w:cs="仿宋_GB2312"/>
          <w:color w:val="auto"/>
          <w:sz w:val="32"/>
          <w:szCs w:val="32"/>
          <w:lang w:val="en-US" w:eastAsia="zh-CN"/>
        </w:rPr>
        <w:t>结合项目历年执行情况总结经验，进一步明确</w:t>
      </w:r>
      <w:r>
        <w:rPr>
          <w:rFonts w:hint="eastAsia" w:ascii="仿宋_GB2312" w:hAnsi="仿宋_GB2312" w:eastAsia="仿宋_GB2312" w:cs="仿宋_GB2312"/>
          <w:color w:val="auto"/>
          <w:kern w:val="2"/>
          <w:sz w:val="32"/>
          <w:szCs w:val="32"/>
        </w:rPr>
        <w:t>保障措施</w:t>
      </w:r>
      <w:r>
        <w:rPr>
          <w:rFonts w:hint="eastAsia" w:ascii="仿宋_GB2312" w:hAnsi="仿宋_GB2312" w:eastAsia="仿宋_GB2312" w:cs="仿宋_GB2312"/>
          <w:color w:val="auto"/>
          <w:kern w:val="2"/>
          <w:sz w:val="32"/>
          <w:szCs w:val="32"/>
          <w:lang w:val="en-US" w:eastAsia="zh-CN"/>
        </w:rPr>
        <w:t>和监督要求</w:t>
      </w:r>
      <w:r>
        <w:rPr>
          <w:rFonts w:hint="eastAsia" w:ascii="仿宋_GB2312" w:hAnsi="仿宋_GB2312" w:eastAsia="仿宋_GB2312" w:cs="仿宋_GB2312"/>
          <w:color w:val="auto"/>
          <w:sz w:val="32"/>
          <w:szCs w:val="32"/>
          <w:lang w:val="en-US" w:eastAsia="zh-CN"/>
        </w:rPr>
        <w:t>；</w:t>
      </w:r>
      <w:r>
        <w:rPr>
          <w:rFonts w:hint="eastAsia" w:ascii="仿宋_GB2312" w:hAnsi="仿宋_GB2312" w:eastAsia="仿宋_GB2312" w:cs="仿宋_GB2312"/>
          <w:color w:val="auto"/>
          <w:sz w:val="32"/>
          <w:szCs w:val="32"/>
        </w:rPr>
        <w:t>及时更新修订相关管理办法</w:t>
      </w:r>
      <w:r>
        <w:rPr>
          <w:rFonts w:hint="eastAsia" w:ascii="仿宋_GB2312" w:hAnsi="仿宋_GB2312" w:eastAsia="仿宋_GB2312" w:cs="仿宋_GB2312"/>
          <w:color w:val="auto"/>
          <w:sz w:val="32"/>
          <w:szCs w:val="32"/>
          <w:lang w:eastAsia="zh-CN"/>
        </w:rPr>
        <w:t>，</w:t>
      </w:r>
      <w:r>
        <w:rPr>
          <w:rFonts w:hint="eastAsia" w:ascii="仿宋_GB2312" w:hAnsi="仿宋_GB2312" w:eastAsia="仿宋_GB2312" w:cs="仿宋_GB2312"/>
          <w:color w:val="auto"/>
          <w:sz w:val="32"/>
          <w:szCs w:val="32"/>
        </w:rPr>
        <w:t>保证项目执行的</w:t>
      </w:r>
      <w:r>
        <w:rPr>
          <w:rFonts w:hint="eastAsia" w:ascii="仿宋_GB2312" w:hAnsi="仿宋_GB2312" w:eastAsia="仿宋_GB2312" w:cs="仿宋_GB2312"/>
          <w:color w:val="auto"/>
          <w:sz w:val="32"/>
          <w:szCs w:val="32"/>
          <w:lang w:val="en-US" w:eastAsia="zh-CN"/>
        </w:rPr>
        <w:t>规范性、严谨性</w:t>
      </w:r>
      <w:r>
        <w:rPr>
          <w:rFonts w:hint="eastAsia" w:ascii="仿宋_GB2312" w:hAnsi="仿宋_GB2312" w:eastAsia="仿宋_GB2312" w:cs="仿宋_GB2312"/>
          <w:color w:val="auto"/>
          <w:sz w:val="32"/>
          <w:szCs w:val="32"/>
          <w:lang w:eastAsia="zh-CN"/>
        </w:rPr>
        <w:t>。</w:t>
      </w:r>
    </w:p>
    <w:p>
      <w:pPr>
        <w:keepNext/>
        <w:keepLines/>
        <w:spacing w:line="560" w:lineRule="exact"/>
        <w:ind w:firstLine="643" w:firstLineChars="200"/>
        <w:outlineLvl w:val="9"/>
        <w:rPr>
          <w:rFonts w:ascii="楷体" w:hAnsi="楷体" w:eastAsia="楷体" w:cs="楷体"/>
          <w:b/>
          <w:bCs/>
          <w:color w:val="auto"/>
          <w:sz w:val="32"/>
          <w:szCs w:val="32"/>
        </w:rPr>
      </w:pPr>
      <w:bookmarkStart w:id="253" w:name="_Toc17109"/>
      <w:bookmarkStart w:id="254" w:name="_Toc17962"/>
      <w:bookmarkStart w:id="255" w:name="_Toc23658"/>
      <w:bookmarkStart w:id="256" w:name="_Toc616"/>
      <w:bookmarkStart w:id="257" w:name="_Toc23739"/>
      <w:bookmarkStart w:id="258" w:name="_Toc24711"/>
      <w:bookmarkStart w:id="259" w:name="_Toc19051"/>
      <w:bookmarkStart w:id="260" w:name="_Toc26098"/>
      <w:bookmarkStart w:id="261" w:name="_Toc21245"/>
      <w:bookmarkStart w:id="262" w:name="_Toc21856"/>
      <w:r>
        <w:rPr>
          <w:rFonts w:hint="eastAsia" w:ascii="楷体" w:hAnsi="楷体" w:eastAsia="楷体" w:cs="楷体"/>
          <w:b/>
          <w:bCs/>
          <w:color w:val="auto"/>
          <w:sz w:val="32"/>
          <w:szCs w:val="32"/>
        </w:rPr>
        <w:t>（三）项目</w:t>
      </w:r>
      <w:r>
        <w:rPr>
          <w:rFonts w:hint="eastAsia" w:ascii="楷体" w:hAnsi="楷体" w:eastAsia="楷体" w:cs="楷体"/>
          <w:b/>
          <w:bCs/>
          <w:color w:val="auto"/>
          <w:sz w:val="32"/>
          <w:szCs w:val="32"/>
          <w:lang w:val="en-US" w:eastAsia="zh-CN"/>
        </w:rPr>
        <w:t>产出效益</w:t>
      </w:r>
      <w:r>
        <w:rPr>
          <w:rFonts w:hint="eastAsia" w:ascii="楷体" w:hAnsi="楷体" w:eastAsia="楷体" w:cs="楷体"/>
          <w:b/>
          <w:bCs/>
          <w:color w:val="auto"/>
          <w:sz w:val="32"/>
          <w:szCs w:val="32"/>
        </w:rPr>
        <w:t>方面</w:t>
      </w:r>
      <w:bookmarkEnd w:id="253"/>
      <w:bookmarkEnd w:id="254"/>
      <w:bookmarkEnd w:id="255"/>
      <w:bookmarkEnd w:id="256"/>
      <w:bookmarkEnd w:id="257"/>
      <w:bookmarkEnd w:id="258"/>
      <w:bookmarkEnd w:id="259"/>
      <w:bookmarkEnd w:id="260"/>
      <w:bookmarkEnd w:id="261"/>
      <w:bookmarkEnd w:id="262"/>
    </w:p>
    <w:p>
      <w:pPr>
        <w:spacing w:line="560" w:lineRule="exact"/>
        <w:ind w:firstLine="640" w:firstLineChars="200"/>
        <w:rPr>
          <w:rFonts w:ascii="仿宋_GB2312" w:hAnsi="仿宋_GB2312" w:eastAsia="仿宋_GB2312" w:cs="仿宋_GB2312"/>
          <w:sz w:val="32"/>
          <w:szCs w:val="32"/>
        </w:rPr>
      </w:pPr>
      <w:r>
        <w:rPr>
          <w:rFonts w:hint="eastAsia" w:ascii="仿宋_GB2312" w:hAnsi="仿宋_GB2312" w:eastAsia="仿宋_GB2312" w:cs="仿宋_GB2312"/>
          <w:sz w:val="32"/>
          <w:szCs w:val="32"/>
        </w:rPr>
        <w:t>全面开展</w:t>
      </w:r>
      <w:r>
        <w:rPr>
          <w:rFonts w:ascii="仿宋_GB2312" w:hAnsi="仿宋_GB2312" w:eastAsia="仿宋_GB2312" w:cs="仿宋_GB2312"/>
          <w:sz w:val="32"/>
          <w:szCs w:val="32"/>
        </w:rPr>
        <w:t>满意度调查工作，</w:t>
      </w:r>
      <w:r>
        <w:rPr>
          <w:rFonts w:hint="eastAsia" w:ascii="仿宋_GB2312" w:hAnsi="仿宋_GB2312" w:eastAsia="仿宋_GB2312" w:cs="仿宋_GB2312"/>
          <w:sz w:val="32"/>
          <w:szCs w:val="32"/>
        </w:rPr>
        <w:t>重视项目受益对象的满意度跟踪、了解、汇总和分析</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采取适当方式开展满意度调查，如微信公众号、调查问卷、随机抽查等，客观反映服务对象满意程度</w:t>
      </w:r>
      <w:r>
        <w:rPr>
          <w:rFonts w:ascii="仿宋_GB2312" w:hAnsi="仿宋_GB2312" w:eastAsia="仿宋_GB2312" w:cs="仿宋_GB2312"/>
          <w:sz w:val="32"/>
          <w:szCs w:val="32"/>
        </w:rPr>
        <w:t>。</w:t>
      </w:r>
    </w:p>
    <w:p>
      <w:pPr>
        <w:spacing w:line="560" w:lineRule="exact"/>
        <w:ind w:firstLine="640" w:firstLineChars="200"/>
        <w:outlineLvl w:val="0"/>
        <w:rPr>
          <w:rFonts w:ascii="黑体" w:hAnsi="黑体" w:eastAsia="黑体" w:cs="黑体"/>
          <w:sz w:val="32"/>
          <w:szCs w:val="32"/>
        </w:rPr>
      </w:pPr>
      <w:bookmarkStart w:id="263" w:name="_Toc31343"/>
      <w:bookmarkStart w:id="264" w:name="_Toc2743"/>
      <w:bookmarkStart w:id="265" w:name="_Toc22025"/>
      <w:bookmarkStart w:id="266" w:name="_Toc22261"/>
      <w:bookmarkStart w:id="267" w:name="_Toc12831"/>
      <w:bookmarkStart w:id="268" w:name="_Toc7715"/>
      <w:bookmarkStart w:id="269" w:name="_Toc11550"/>
      <w:bookmarkStart w:id="270" w:name="_Toc6173"/>
      <w:bookmarkStart w:id="271" w:name="_Toc15988"/>
      <w:bookmarkStart w:id="272" w:name="_Toc2385"/>
      <w:bookmarkStart w:id="273" w:name="_Toc8786"/>
      <w:r>
        <w:rPr>
          <w:rFonts w:hint="eastAsia" w:ascii="黑体" w:hAnsi="黑体" w:eastAsia="黑体" w:cs="黑体"/>
          <w:sz w:val="32"/>
          <w:szCs w:val="32"/>
        </w:rPr>
        <w:t>七、其他需要说明的问题</w:t>
      </w:r>
      <w:bookmarkEnd w:id="263"/>
      <w:bookmarkEnd w:id="264"/>
      <w:bookmarkEnd w:id="265"/>
      <w:bookmarkEnd w:id="266"/>
      <w:bookmarkEnd w:id="267"/>
      <w:bookmarkEnd w:id="268"/>
      <w:bookmarkEnd w:id="269"/>
      <w:bookmarkEnd w:id="270"/>
      <w:bookmarkEnd w:id="271"/>
      <w:bookmarkEnd w:id="272"/>
      <w:bookmarkEnd w:id="273"/>
    </w:p>
    <w:p>
      <w:pPr>
        <w:spacing w:line="560" w:lineRule="exact"/>
        <w:ind w:firstLine="640" w:firstLineChars="200"/>
        <w:rPr>
          <w:rFonts w:ascii="仿宋_GB2312" w:hAnsi="宋体" w:eastAsia="仿宋_GB2312"/>
          <w:bCs/>
          <w:sz w:val="32"/>
          <w:szCs w:val="32"/>
        </w:rPr>
      </w:pPr>
      <w:r>
        <w:rPr>
          <w:rFonts w:hint="eastAsia" w:ascii="仿宋_GB2312" w:hAnsi="宋体" w:eastAsia="仿宋_GB2312"/>
          <w:bCs/>
          <w:sz w:val="32"/>
          <w:szCs w:val="32"/>
        </w:rPr>
        <w:t>本报告主要是基于北京市</w:t>
      </w:r>
      <w:r>
        <w:rPr>
          <w:rFonts w:hint="eastAsia" w:ascii="仿宋_GB2312" w:hAnsi="宋体" w:eastAsia="仿宋_GB2312"/>
          <w:bCs/>
          <w:sz w:val="32"/>
          <w:szCs w:val="32"/>
          <w:lang w:val="en-US" w:eastAsia="zh-CN"/>
        </w:rPr>
        <w:t>总工会</w:t>
      </w:r>
      <w:r>
        <w:rPr>
          <w:rFonts w:hint="eastAsia" w:ascii="仿宋_GB2312" w:hAnsi="宋体" w:eastAsia="仿宋_GB2312"/>
          <w:bCs/>
          <w:sz w:val="32"/>
          <w:szCs w:val="32"/>
        </w:rPr>
        <w:t>收集的决策、过程、产出、效益方面的资料做出的评价，评价工作组对资料的真实性进行了适当的审查与线下沟通，但受资料完整性及线下沟通范围所限，并非每项指标的打分都有充分的资料支撑，个别指标主要是依据项目单位沟通结果及绩效评价专家的专业性判断。</w:t>
      </w:r>
    </w:p>
    <w:p>
      <w:pPr>
        <w:spacing w:line="560" w:lineRule="exact"/>
        <w:ind w:firstLine="640" w:firstLineChars="200"/>
        <w:rPr>
          <w:rFonts w:ascii="仿宋_GB2312" w:hAnsi="宋体" w:eastAsia="仿宋_GB2312"/>
          <w:bCs/>
          <w:sz w:val="32"/>
          <w:szCs w:val="32"/>
        </w:rPr>
      </w:pPr>
      <w:r>
        <w:rPr>
          <w:rFonts w:hint="eastAsia" w:ascii="仿宋_GB2312" w:hAnsi="宋体" w:eastAsia="仿宋_GB2312"/>
          <w:bCs/>
          <w:sz w:val="32"/>
          <w:szCs w:val="32"/>
        </w:rPr>
        <w:t>本次评价采取的是以项目单位为主、第三方机构协助、专家评价为辅的方式，本报告评价结论是借助管理、财务、业务专家的力量，在专家组评审意见基础上对项目做出的专业性的评价。</w:t>
      </w:r>
    </w:p>
    <w:p>
      <w:pPr>
        <w:spacing w:line="560" w:lineRule="exact"/>
        <w:ind w:firstLine="643" w:firstLineChars="200"/>
        <w:outlineLvl w:val="0"/>
        <w:rPr>
          <w:rFonts w:ascii="黑体" w:hAnsi="黑体" w:eastAsia="黑体" w:cs="黑体"/>
          <w:b/>
          <w:bCs/>
          <w:sz w:val="32"/>
          <w:szCs w:val="32"/>
        </w:rPr>
      </w:pPr>
      <w:bookmarkStart w:id="274" w:name="_Toc4187"/>
      <w:bookmarkStart w:id="275" w:name="_Toc11591"/>
      <w:bookmarkStart w:id="276" w:name="_Toc10033"/>
      <w:bookmarkStart w:id="277" w:name="_Toc32392"/>
      <w:bookmarkStart w:id="278" w:name="_Toc29940"/>
      <w:bookmarkStart w:id="279" w:name="_Toc32672"/>
      <w:bookmarkStart w:id="280" w:name="_Toc24821"/>
      <w:bookmarkStart w:id="281" w:name="_Toc31698"/>
      <w:bookmarkStart w:id="282" w:name="_Toc3456"/>
      <w:bookmarkStart w:id="283" w:name="_Toc21611"/>
      <w:r>
        <w:rPr>
          <w:rFonts w:hint="eastAsia" w:ascii="黑体" w:hAnsi="黑体" w:eastAsia="黑体" w:cs="黑体"/>
          <w:b/>
          <w:bCs/>
          <w:sz w:val="32"/>
          <w:szCs w:val="32"/>
        </w:rPr>
        <w:t>八、附件</w:t>
      </w:r>
      <w:bookmarkEnd w:id="274"/>
      <w:bookmarkEnd w:id="275"/>
      <w:bookmarkEnd w:id="276"/>
      <w:bookmarkEnd w:id="277"/>
      <w:bookmarkEnd w:id="278"/>
      <w:bookmarkEnd w:id="279"/>
      <w:bookmarkEnd w:id="280"/>
      <w:bookmarkEnd w:id="281"/>
      <w:bookmarkEnd w:id="282"/>
      <w:bookmarkEnd w:id="283"/>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1.项目预算执行情况表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2.项目绩效目标完成情况及收支明细表</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3.专家意见汇总书</w:t>
      </w:r>
    </w:p>
    <w:p>
      <w:pPr>
        <w:spacing w:line="560" w:lineRule="exact"/>
        <w:ind w:firstLine="640" w:firstLineChars="200"/>
        <w:rPr>
          <w:rFonts w:ascii="仿宋_GB2312" w:hAnsi="仿宋_GB2312" w:eastAsia="仿宋_GB2312" w:cs="仿宋_GB2312"/>
          <w:sz w:val="32"/>
          <w:szCs w:val="32"/>
        </w:rPr>
      </w:pPr>
      <w:r>
        <w:rPr>
          <w:rFonts w:ascii="仿宋_GB2312" w:hAnsi="仿宋_GB2312" w:eastAsia="仿宋_GB2312" w:cs="仿宋_GB2312"/>
          <w:sz w:val="32"/>
          <w:szCs w:val="32"/>
        </w:rPr>
        <w:t>4.指标体系及打分情况表</w:t>
      </w:r>
    </w:p>
    <w:p>
      <w:pPr>
        <w:spacing w:line="560" w:lineRule="exact"/>
        <w:ind w:firstLine="640" w:firstLineChars="200"/>
        <w:rPr>
          <w:rFonts w:ascii="仿宋_GB2312" w:hAnsi="仿宋_GB2312" w:eastAsia="仿宋_GB2312" w:cs="仿宋_GB2312"/>
          <w:sz w:val="32"/>
          <w:szCs w:val="32"/>
        </w:rPr>
        <w:sectPr>
          <w:footerReference r:id="rId3" w:type="default"/>
          <w:pgSz w:w="11906" w:h="16838"/>
          <w:pgMar w:top="1440" w:right="1800" w:bottom="1440" w:left="1800" w:header="851" w:footer="992" w:gutter="0"/>
          <w:pgNumType w:fmt="decimal" w:start="1"/>
          <w:cols w:space="425" w:num="1"/>
          <w:docGrid w:type="lines" w:linePitch="312" w:charSpace="0"/>
        </w:sectPr>
      </w:pPr>
      <w:r>
        <w:rPr>
          <w:rFonts w:ascii="仿宋_GB2312" w:hAnsi="仿宋_GB2312" w:eastAsia="仿宋_GB2312" w:cs="仿宋_GB2312"/>
          <w:sz w:val="32"/>
          <w:szCs w:val="32"/>
        </w:rPr>
        <w:t>5.报告意见反馈表</w:t>
      </w:r>
    </w:p>
    <w:p>
      <w:pPr>
        <w:spacing w:line="560" w:lineRule="exact"/>
        <w:outlineLvl w:val="9"/>
        <w:rPr>
          <w:rFonts w:ascii="黑体" w:hAnsi="黑体" w:eastAsia="黑体" w:cs="黑体"/>
          <w:sz w:val="32"/>
          <w:szCs w:val="32"/>
        </w:rPr>
      </w:pPr>
      <w:bookmarkStart w:id="284" w:name="_Toc31503"/>
      <w:bookmarkStart w:id="285" w:name="_Toc25466"/>
      <w:bookmarkStart w:id="286" w:name="_Toc11503"/>
      <w:bookmarkStart w:id="287" w:name="_Toc16482"/>
      <w:r>
        <w:rPr>
          <w:rFonts w:hint="eastAsia" w:ascii="黑体" w:hAnsi="黑体" w:eastAsia="黑体" w:cs="黑体"/>
          <w:sz w:val="32"/>
          <w:szCs w:val="32"/>
        </w:rPr>
        <w:t>附件1</w:t>
      </w:r>
      <w:bookmarkEnd w:id="284"/>
      <w:bookmarkEnd w:id="285"/>
      <w:bookmarkEnd w:id="286"/>
      <w:bookmarkEnd w:id="287"/>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r>
        <w:drawing>
          <wp:anchor distT="0" distB="0" distL="114300" distR="114300" simplePos="0" relativeHeight="251659264" behindDoc="0" locked="0" layoutInCell="1" allowOverlap="1">
            <wp:simplePos x="0" y="0"/>
            <wp:positionH relativeFrom="column">
              <wp:posOffset>22225</wp:posOffset>
            </wp:positionH>
            <wp:positionV relativeFrom="paragraph">
              <wp:posOffset>80010</wp:posOffset>
            </wp:positionV>
            <wp:extent cx="8834120" cy="3650615"/>
            <wp:effectExtent l="0" t="0" r="5080" b="6985"/>
            <wp:wrapNone/>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8834120" cy="3650615"/>
                    </a:xfrm>
                    <a:prstGeom prst="rect">
                      <a:avLst/>
                    </a:prstGeom>
                    <a:noFill/>
                    <a:ln>
                      <a:noFill/>
                    </a:ln>
                  </pic:spPr>
                </pic:pic>
              </a:graphicData>
            </a:graphic>
          </wp:anchor>
        </w:drawing>
      </w: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pPr>
    </w:p>
    <w:p>
      <w:pPr>
        <w:spacing w:line="560" w:lineRule="exact"/>
        <w:rPr>
          <w:rFonts w:ascii="仿宋_GB2312" w:hAnsi="仿宋_GB2312" w:eastAsia="仿宋_GB2312" w:cs="仿宋_GB2312"/>
          <w:sz w:val="32"/>
          <w:szCs w:val="32"/>
        </w:rPr>
        <w:sectPr>
          <w:pgSz w:w="16838" w:h="11906" w:orient="landscape"/>
          <w:pgMar w:top="1800" w:right="1440" w:bottom="1800" w:left="1440" w:header="851" w:footer="992" w:gutter="0"/>
          <w:pgNumType w:fmt="decimal"/>
          <w:cols w:space="425" w:num="1"/>
          <w:docGrid w:type="lines" w:linePitch="312" w:charSpace="0"/>
        </w:sectPr>
      </w:pPr>
    </w:p>
    <w:p>
      <w:pPr>
        <w:spacing w:line="560" w:lineRule="exact"/>
        <w:outlineLvl w:val="9"/>
        <w:rPr>
          <w:rFonts w:ascii="黑体" w:hAnsi="黑体" w:eastAsia="黑体" w:cs="黑体"/>
          <w:sz w:val="32"/>
          <w:szCs w:val="32"/>
        </w:rPr>
      </w:pPr>
      <w:bookmarkStart w:id="288" w:name="_Toc28437"/>
      <w:bookmarkStart w:id="289" w:name="_Toc15061"/>
      <w:bookmarkStart w:id="290" w:name="_Toc27169"/>
      <w:bookmarkStart w:id="291" w:name="_Toc24124"/>
      <w:r>
        <w:rPr>
          <w:rFonts w:hint="eastAsia" w:ascii="黑体" w:hAnsi="黑体" w:eastAsia="黑体" w:cs="黑体"/>
          <w:sz w:val="32"/>
          <w:szCs w:val="32"/>
        </w:rPr>
        <w:t>附件2</w:t>
      </w:r>
      <w:bookmarkEnd w:id="288"/>
      <w:bookmarkEnd w:id="289"/>
      <w:bookmarkEnd w:id="290"/>
      <w:bookmarkEnd w:id="291"/>
    </w:p>
    <w:p>
      <w:pPr>
        <w:spacing w:line="560" w:lineRule="exact"/>
        <w:rPr>
          <w:rFonts w:ascii="黑体" w:hAnsi="黑体" w:eastAsia="黑体" w:cs="黑体"/>
          <w:sz w:val="32"/>
          <w:szCs w:val="32"/>
        </w:rPr>
      </w:pPr>
    </w:p>
    <w:tbl>
      <w:tblPr>
        <w:tblStyle w:val="17"/>
        <w:tblW w:w="9028" w:type="dxa"/>
        <w:tblInd w:w="-158" w:type="dxa"/>
        <w:tblLayout w:type="fixed"/>
        <w:tblCellMar>
          <w:top w:w="0" w:type="dxa"/>
          <w:left w:w="108" w:type="dxa"/>
          <w:bottom w:w="0" w:type="dxa"/>
          <w:right w:w="108" w:type="dxa"/>
        </w:tblCellMar>
      </w:tblPr>
      <w:tblGrid>
        <w:gridCol w:w="928"/>
        <w:gridCol w:w="2933"/>
        <w:gridCol w:w="3219"/>
        <w:gridCol w:w="1948"/>
      </w:tblGrid>
      <w:tr>
        <w:tblPrEx>
          <w:tblCellMar>
            <w:top w:w="0" w:type="dxa"/>
            <w:left w:w="108" w:type="dxa"/>
            <w:bottom w:w="0" w:type="dxa"/>
            <w:right w:w="108" w:type="dxa"/>
          </w:tblCellMar>
        </w:tblPrEx>
        <w:trPr>
          <w:trHeight w:val="1000" w:hRule="atLeast"/>
        </w:trPr>
        <w:tc>
          <w:tcPr>
            <w:tcW w:w="90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36"/>
                <w:szCs w:val="36"/>
              </w:rPr>
            </w:pPr>
            <w:r>
              <w:rPr>
                <w:rFonts w:hint="eastAsia" w:ascii="仿宋_GB2312" w:hAnsi="仿宋_GB2312" w:eastAsia="仿宋_GB2312" w:cs="仿宋_GB2312"/>
                <w:b/>
                <w:bCs/>
                <w:kern w:val="0"/>
                <w:sz w:val="36"/>
                <w:szCs w:val="36"/>
                <w:lang w:bidi="ar"/>
              </w:rPr>
              <w:t>项目绩效目标完成情况及收支明细表</w:t>
            </w:r>
          </w:p>
        </w:tc>
      </w:tr>
      <w:tr>
        <w:tblPrEx>
          <w:tblCellMar>
            <w:top w:w="0" w:type="dxa"/>
            <w:left w:w="108" w:type="dxa"/>
            <w:bottom w:w="0" w:type="dxa"/>
            <w:right w:w="108" w:type="dxa"/>
          </w:tblCellMar>
        </w:tblPrEx>
        <w:trPr>
          <w:trHeight w:val="600" w:hRule="atLeast"/>
        </w:trPr>
        <w:tc>
          <w:tcPr>
            <w:tcW w:w="3861"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审核人：</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hint="eastAsia" w:ascii="仿宋_GB2312" w:hAnsi="仿宋_GB2312" w:eastAsia="仿宋_GB2312" w:cs="仿宋_GB2312"/>
                <w:sz w:val="22"/>
                <w:szCs w:val="22"/>
              </w:rPr>
            </w:pP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单位：万元</w:t>
            </w:r>
          </w:p>
        </w:tc>
      </w:tr>
      <w:tr>
        <w:tblPrEx>
          <w:tblCellMar>
            <w:top w:w="0" w:type="dxa"/>
            <w:left w:w="108" w:type="dxa"/>
            <w:bottom w:w="0" w:type="dxa"/>
            <w:right w:w="108" w:type="dxa"/>
          </w:tblCellMar>
        </w:tblPrEx>
        <w:trPr>
          <w:trHeight w:val="640" w:hRule="atLeast"/>
        </w:trPr>
        <w:tc>
          <w:tcPr>
            <w:tcW w:w="928" w:type="dxa"/>
            <w:vMerge w:val="restart"/>
            <w:tcBorders>
              <w:top w:val="single" w:color="000000" w:sz="4" w:space="0"/>
              <w:left w:val="single" w:color="000000" w:sz="4" w:space="0"/>
              <w:bottom w:val="nil"/>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绩效目标完成情况</w:t>
            </w: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目标内容</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目标调整情况</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实际完成情况</w:t>
            </w:r>
          </w:p>
        </w:tc>
      </w:tr>
      <w:tr>
        <w:tblPrEx>
          <w:tblCellMar>
            <w:top w:w="0" w:type="dxa"/>
            <w:left w:w="108" w:type="dxa"/>
            <w:bottom w:w="0" w:type="dxa"/>
            <w:right w:w="108" w:type="dxa"/>
          </w:tblCellMar>
        </w:tblPrEx>
        <w:trPr>
          <w:trHeight w:val="577"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生活救助户次</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721户次</w:t>
            </w:r>
          </w:p>
        </w:tc>
      </w:tr>
      <w:tr>
        <w:tblPrEx>
          <w:tblCellMar>
            <w:top w:w="0" w:type="dxa"/>
            <w:left w:w="108" w:type="dxa"/>
            <w:bottom w:w="0" w:type="dxa"/>
            <w:right w:w="108" w:type="dxa"/>
          </w:tblCellMar>
        </w:tblPrEx>
        <w:trPr>
          <w:trHeight w:val="527"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子女助学人数</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预算200人，9月调整为60人</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91人</w:t>
            </w:r>
          </w:p>
        </w:tc>
      </w:tr>
      <w:tr>
        <w:tblPrEx>
          <w:tblCellMar>
            <w:top w:w="0" w:type="dxa"/>
            <w:left w:w="108" w:type="dxa"/>
            <w:bottom w:w="0" w:type="dxa"/>
            <w:right w:w="108" w:type="dxa"/>
          </w:tblCellMar>
        </w:tblPrEx>
        <w:trPr>
          <w:trHeight w:val="564"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医疗救助户数</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预算300户，9月调整为100户</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133户</w:t>
            </w:r>
          </w:p>
        </w:tc>
      </w:tr>
      <w:tr>
        <w:tblPrEx>
          <w:tblCellMar>
            <w:top w:w="0" w:type="dxa"/>
            <w:left w:w="108" w:type="dxa"/>
            <w:bottom w:w="0" w:type="dxa"/>
            <w:right w:w="108" w:type="dxa"/>
          </w:tblCellMar>
        </w:tblPrEx>
        <w:trPr>
          <w:trHeight w:val="577"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精准、足额、及时发放补贴</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全部按计划完成</w:t>
            </w:r>
          </w:p>
        </w:tc>
      </w:tr>
      <w:tr>
        <w:tblPrEx>
          <w:tblCellMar>
            <w:top w:w="0" w:type="dxa"/>
            <w:left w:w="108" w:type="dxa"/>
            <w:bottom w:w="0" w:type="dxa"/>
            <w:right w:w="108" w:type="dxa"/>
          </w:tblCellMar>
        </w:tblPrEx>
        <w:trPr>
          <w:trHeight w:val="514"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补贴发放时间</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全部按计划完成</w:t>
            </w:r>
          </w:p>
        </w:tc>
      </w:tr>
      <w:tr>
        <w:tblPrEx>
          <w:tblCellMar>
            <w:top w:w="0" w:type="dxa"/>
            <w:left w:w="108" w:type="dxa"/>
            <w:bottom w:w="0" w:type="dxa"/>
            <w:right w:w="108" w:type="dxa"/>
          </w:tblCellMar>
        </w:tblPrEx>
        <w:trPr>
          <w:trHeight w:val="711"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缓解困难职工家庭基本生活困难</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得到有效缓解</w:t>
            </w:r>
          </w:p>
        </w:tc>
      </w:tr>
      <w:tr>
        <w:tblPrEx>
          <w:tblCellMar>
            <w:top w:w="0" w:type="dxa"/>
            <w:left w:w="108" w:type="dxa"/>
            <w:bottom w:w="0" w:type="dxa"/>
            <w:right w:w="108" w:type="dxa"/>
          </w:tblCellMar>
        </w:tblPrEx>
        <w:trPr>
          <w:trHeight w:val="490" w:hRule="atLeast"/>
        </w:trPr>
        <w:tc>
          <w:tcPr>
            <w:tcW w:w="928" w:type="dxa"/>
            <w:vMerge w:val="continue"/>
            <w:tcBorders>
              <w:top w:val="single" w:color="000000" w:sz="4" w:space="0"/>
              <w:left w:val="single" w:color="000000" w:sz="4" w:space="0"/>
              <w:bottom w:val="nil"/>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困难职工满意度</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未调整</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sz w:val="22"/>
                <w:szCs w:val="22"/>
              </w:rPr>
              <w:t>未开展</w:t>
            </w:r>
          </w:p>
        </w:tc>
      </w:tr>
      <w:tr>
        <w:tblPrEx>
          <w:tblCellMar>
            <w:top w:w="0" w:type="dxa"/>
            <w:left w:w="108" w:type="dxa"/>
            <w:bottom w:w="0" w:type="dxa"/>
            <w:right w:w="108" w:type="dxa"/>
          </w:tblCellMar>
        </w:tblPrEx>
        <w:trPr>
          <w:trHeight w:val="567" w:hRule="atLeast"/>
        </w:trPr>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资金到位情况</w:t>
            </w: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项目资金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预算批复数</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资金到位情况</w:t>
            </w:r>
          </w:p>
        </w:tc>
      </w:tr>
      <w:tr>
        <w:tblPrEx>
          <w:tblCellMar>
            <w:top w:w="0" w:type="dxa"/>
            <w:left w:w="108" w:type="dxa"/>
            <w:bottom w:w="0" w:type="dxa"/>
            <w:right w:w="108" w:type="dxa"/>
          </w:tblCellMar>
        </w:tblPrEx>
        <w:trPr>
          <w:trHeight w:val="542"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生活救助补贴资金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155.00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155.00</w:t>
            </w:r>
          </w:p>
        </w:tc>
      </w:tr>
      <w:tr>
        <w:tblPrEx>
          <w:tblCellMar>
            <w:top w:w="0" w:type="dxa"/>
            <w:left w:w="108" w:type="dxa"/>
            <w:bottom w:w="0" w:type="dxa"/>
            <w:right w:w="108" w:type="dxa"/>
          </w:tblCellMar>
        </w:tblPrEx>
        <w:trPr>
          <w:trHeight w:val="467"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子女助学补贴资金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25.00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25.00</w:t>
            </w:r>
          </w:p>
        </w:tc>
      </w:tr>
      <w:tr>
        <w:tblPrEx>
          <w:tblCellMar>
            <w:top w:w="0" w:type="dxa"/>
            <w:left w:w="108" w:type="dxa"/>
            <w:bottom w:w="0" w:type="dxa"/>
            <w:right w:w="108" w:type="dxa"/>
          </w:tblCellMar>
        </w:tblPrEx>
        <w:trPr>
          <w:trHeight w:val="454"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医疗救助补贴资金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20.00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20.00</w:t>
            </w:r>
          </w:p>
        </w:tc>
      </w:tr>
      <w:tr>
        <w:tblPrEx>
          <w:tblCellMar>
            <w:top w:w="0" w:type="dxa"/>
            <w:left w:w="108" w:type="dxa"/>
            <w:bottom w:w="0" w:type="dxa"/>
            <w:right w:w="108" w:type="dxa"/>
          </w:tblCellMar>
        </w:tblPrEx>
        <w:trPr>
          <w:trHeight w:val="517"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合计</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200.00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 xml:space="preserve">200.00 </w:t>
            </w:r>
          </w:p>
        </w:tc>
      </w:tr>
      <w:tr>
        <w:tblPrEx>
          <w:tblCellMar>
            <w:top w:w="0" w:type="dxa"/>
            <w:left w:w="108" w:type="dxa"/>
            <w:bottom w:w="0" w:type="dxa"/>
            <w:right w:w="108" w:type="dxa"/>
          </w:tblCellMar>
        </w:tblPrEx>
        <w:trPr>
          <w:trHeight w:val="402" w:hRule="atLeast"/>
        </w:trPr>
        <w:tc>
          <w:tcPr>
            <w:tcW w:w="928"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资金支出情况</w:t>
            </w: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项目预算支出明细</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预算批复数</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实际支出数</w:t>
            </w:r>
          </w:p>
        </w:tc>
      </w:tr>
      <w:tr>
        <w:tblPrEx>
          <w:tblCellMar>
            <w:top w:w="0" w:type="dxa"/>
            <w:left w:w="108" w:type="dxa"/>
            <w:bottom w:w="0" w:type="dxa"/>
            <w:right w:w="108" w:type="dxa"/>
          </w:tblCellMar>
        </w:tblPrEx>
        <w:trPr>
          <w:trHeight w:val="402"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生活救助补贴资金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155.00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153.38</w:t>
            </w:r>
          </w:p>
        </w:tc>
      </w:tr>
      <w:tr>
        <w:tblPrEx>
          <w:tblCellMar>
            <w:top w:w="0" w:type="dxa"/>
            <w:left w:w="108" w:type="dxa"/>
            <w:bottom w:w="0" w:type="dxa"/>
            <w:right w:w="108" w:type="dxa"/>
          </w:tblCellMar>
        </w:tblPrEx>
        <w:trPr>
          <w:trHeight w:val="530"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子女助学补贴资金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25.00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21.54</w:t>
            </w:r>
          </w:p>
        </w:tc>
      </w:tr>
      <w:tr>
        <w:tblPrEx>
          <w:tblCellMar>
            <w:top w:w="0" w:type="dxa"/>
            <w:left w:w="108" w:type="dxa"/>
            <w:bottom w:w="0" w:type="dxa"/>
            <w:right w:w="108" w:type="dxa"/>
          </w:tblCellMar>
        </w:tblPrEx>
        <w:trPr>
          <w:trHeight w:val="454"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医疗救助补贴资金</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20.00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 xml:space="preserve">11.69 </w:t>
            </w:r>
          </w:p>
        </w:tc>
      </w:tr>
      <w:tr>
        <w:tblPrEx>
          <w:tblCellMar>
            <w:top w:w="0" w:type="dxa"/>
            <w:left w:w="108" w:type="dxa"/>
            <w:bottom w:w="0" w:type="dxa"/>
            <w:right w:w="108" w:type="dxa"/>
          </w:tblCellMar>
        </w:tblPrEx>
        <w:trPr>
          <w:trHeight w:val="505" w:hRule="atLeast"/>
        </w:trPr>
        <w:tc>
          <w:tcPr>
            <w:tcW w:w="928"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hint="eastAsia" w:ascii="仿宋_GB2312" w:hAnsi="仿宋_GB2312" w:eastAsia="仿宋_GB2312" w:cs="仿宋_GB2312"/>
                <w:sz w:val="22"/>
                <w:szCs w:val="22"/>
              </w:rPr>
            </w:pPr>
          </w:p>
        </w:tc>
        <w:tc>
          <w:tcPr>
            <w:tcW w:w="29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合计</w:t>
            </w:r>
          </w:p>
        </w:tc>
        <w:tc>
          <w:tcPr>
            <w:tcW w:w="3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200.00</w:t>
            </w:r>
          </w:p>
        </w:tc>
        <w:tc>
          <w:tcPr>
            <w:tcW w:w="194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186.61</w:t>
            </w:r>
          </w:p>
        </w:tc>
      </w:tr>
      <w:tr>
        <w:tblPrEx>
          <w:tblCellMar>
            <w:top w:w="0" w:type="dxa"/>
            <w:left w:w="108" w:type="dxa"/>
            <w:bottom w:w="0" w:type="dxa"/>
            <w:right w:w="108" w:type="dxa"/>
          </w:tblCellMar>
        </w:tblPrEx>
        <w:trPr>
          <w:trHeight w:val="1307" w:hRule="atLeast"/>
        </w:trPr>
        <w:tc>
          <w:tcPr>
            <w:tcW w:w="9028"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hint="eastAsia" w:ascii="仿宋_GB2312" w:hAnsi="仿宋_GB2312" w:eastAsia="仿宋_GB2312" w:cs="仿宋_GB2312"/>
                <w:kern w:val="0"/>
                <w:sz w:val="22"/>
                <w:szCs w:val="22"/>
                <w:lang w:eastAsia="zh-CN" w:bidi="ar"/>
              </w:rPr>
            </w:pPr>
            <w:r>
              <w:rPr>
                <w:rFonts w:hint="eastAsia" w:ascii="仿宋_GB2312" w:hAnsi="仿宋_GB2312" w:eastAsia="仿宋_GB2312" w:cs="仿宋_GB2312"/>
                <w:kern w:val="0"/>
                <w:sz w:val="22"/>
                <w:szCs w:val="22"/>
                <w:lang w:bidi="ar"/>
              </w:rPr>
              <w:t>注：1.预算批复数为项目年度批复的预算数，包含年初批复和年中的追加核减数；</w:t>
            </w:r>
          </w:p>
          <w:p>
            <w:pPr>
              <w:widowControl/>
              <w:jc w:val="left"/>
              <w:textAlignment w:val="center"/>
              <w:rPr>
                <w:rFonts w:hint="eastAsia" w:ascii="仿宋_GB2312" w:hAnsi="仿宋_GB2312" w:eastAsia="仿宋_GB2312" w:cs="仿宋_GB2312"/>
                <w:kern w:val="0"/>
                <w:sz w:val="22"/>
                <w:szCs w:val="22"/>
                <w:lang w:eastAsia="zh-CN" w:bidi="ar"/>
              </w:rPr>
            </w:pPr>
            <w:r>
              <w:rPr>
                <w:rFonts w:hint="eastAsia" w:ascii="仿宋_GB2312" w:hAnsi="仿宋_GB2312" w:eastAsia="仿宋_GB2312" w:cs="仿宋_GB2312"/>
                <w:kern w:val="0"/>
                <w:sz w:val="22"/>
                <w:szCs w:val="22"/>
                <w:lang w:bidi="ar"/>
              </w:rPr>
              <w:t xml:space="preserve">    2.实际支出数是指对应项目明细的实际支出数；</w:t>
            </w:r>
          </w:p>
          <w:p>
            <w:pPr>
              <w:widowControl/>
              <w:jc w:val="left"/>
              <w:textAlignment w:val="center"/>
              <w:rPr>
                <w:rFonts w:hint="eastAsia" w:ascii="仿宋_GB2312" w:hAnsi="仿宋_GB2312" w:eastAsia="仿宋_GB2312" w:cs="仿宋_GB2312"/>
                <w:sz w:val="22"/>
                <w:szCs w:val="22"/>
              </w:rPr>
            </w:pPr>
            <w:r>
              <w:rPr>
                <w:rFonts w:hint="eastAsia" w:ascii="仿宋_GB2312" w:hAnsi="仿宋_GB2312" w:eastAsia="仿宋_GB2312" w:cs="仿宋_GB2312"/>
                <w:kern w:val="0"/>
                <w:sz w:val="22"/>
                <w:szCs w:val="22"/>
                <w:lang w:bidi="ar"/>
              </w:rPr>
              <w:t xml:space="preserve">    3.表中数据以单位实际账面数据为准，保留小数点后两位数字。</w:t>
            </w:r>
          </w:p>
        </w:tc>
      </w:tr>
    </w:tbl>
    <w:p>
      <w:pPr>
        <w:spacing w:line="560" w:lineRule="exact"/>
        <w:outlineLvl w:val="0"/>
        <w:rPr>
          <w:rFonts w:hint="eastAsia" w:ascii="黑体" w:hAnsi="黑体" w:eastAsia="黑体" w:cs="黑体"/>
          <w:sz w:val="32"/>
          <w:szCs w:val="32"/>
        </w:rPr>
        <w:sectPr>
          <w:pgSz w:w="11906" w:h="16838"/>
          <w:pgMar w:top="1440" w:right="1800" w:bottom="1440" w:left="1800" w:header="851" w:footer="992" w:gutter="0"/>
          <w:pgNumType w:fmt="decimal"/>
          <w:cols w:space="425" w:num="1"/>
          <w:docGrid w:type="lines" w:linePitch="312" w:charSpace="0"/>
        </w:sectPr>
      </w:pPr>
      <w:bookmarkStart w:id="292" w:name="_Toc8697"/>
      <w:bookmarkStart w:id="293" w:name="_Toc26488"/>
      <w:bookmarkStart w:id="294" w:name="_Toc21073"/>
      <w:bookmarkStart w:id="295" w:name="_Toc1136"/>
    </w:p>
    <w:p>
      <w:pPr>
        <w:spacing w:line="240" w:lineRule="auto"/>
        <w:outlineLvl w:val="9"/>
        <w:rPr>
          <w:rFonts w:hint="eastAsia" w:ascii="黑体" w:hAnsi="黑体" w:eastAsia="黑体" w:cs="黑体"/>
          <w:sz w:val="32"/>
          <w:szCs w:val="32"/>
        </w:rPr>
      </w:pPr>
      <w:bookmarkStart w:id="296" w:name="_Toc22840"/>
      <w:bookmarkStart w:id="297" w:name="_Toc16671"/>
      <w:r>
        <w:rPr>
          <w:rFonts w:hint="eastAsia" w:ascii="黑体" w:hAnsi="黑体" w:eastAsia="黑体" w:cs="黑体"/>
          <w:sz w:val="32"/>
          <w:szCs w:val="32"/>
        </w:rPr>
        <w:t>附件3</w:t>
      </w:r>
      <w:bookmarkEnd w:id="292"/>
      <w:bookmarkEnd w:id="293"/>
      <w:bookmarkEnd w:id="294"/>
      <w:bookmarkEnd w:id="295"/>
      <w:bookmarkEnd w:id="296"/>
      <w:bookmarkEnd w:id="297"/>
    </w:p>
    <w:p>
      <w:pPr>
        <w:spacing w:line="360" w:lineRule="auto"/>
        <w:jc w:val="both"/>
        <w:rPr>
          <w:rFonts w:hint="eastAsia" w:ascii="仿宋_GB2312" w:eastAsia="黑体"/>
          <w:b/>
          <w:bCs/>
          <w:sz w:val="36"/>
          <w:szCs w:val="36"/>
          <w:lang w:eastAsia="zh-CN"/>
        </w:rPr>
      </w:pPr>
      <w:bookmarkStart w:id="298" w:name="_Toc2520"/>
      <w:bookmarkStart w:id="299" w:name="_Toc28802"/>
      <w:bookmarkStart w:id="300" w:name="_Toc5094"/>
      <w:bookmarkStart w:id="301" w:name="_Toc24410"/>
      <w:r>
        <w:rPr>
          <w:rFonts w:hint="eastAsia" w:ascii="仿宋_GB2312" w:eastAsia="黑体"/>
          <w:b/>
          <w:bCs/>
          <w:sz w:val="36"/>
          <w:szCs w:val="36"/>
          <w:lang w:eastAsia="zh-CN"/>
        </w:rPr>
        <w:drawing>
          <wp:inline distT="0" distB="0" distL="114300" distR="114300">
            <wp:extent cx="5261610" cy="7452360"/>
            <wp:effectExtent l="0" t="0" r="5715" b="5715"/>
            <wp:docPr id="10" name="图片 10" descr="9-财政支出项目绩效评价专家汇总意见书-调分-1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9-财政支出项目绩效评价专家汇总意见书-调分-1_00"/>
                    <pic:cNvPicPr>
                      <a:picLocks noChangeAspect="1"/>
                    </pic:cNvPicPr>
                  </pic:nvPicPr>
                  <pic:blipFill>
                    <a:blip r:embed="rId6"/>
                    <a:stretch>
                      <a:fillRect/>
                    </a:stretch>
                  </pic:blipFill>
                  <pic:spPr>
                    <a:xfrm>
                      <a:off x="0" y="0"/>
                      <a:ext cx="5261610" cy="7452360"/>
                    </a:xfrm>
                    <a:prstGeom prst="rect">
                      <a:avLst/>
                    </a:prstGeom>
                  </pic:spPr>
                </pic:pic>
              </a:graphicData>
            </a:graphic>
          </wp:inline>
        </w:drawing>
      </w:r>
    </w:p>
    <w:p>
      <w:pPr>
        <w:ind w:firstLine="562"/>
        <w:rPr>
          <w:b/>
          <w:bCs/>
        </w:rPr>
      </w:pPr>
    </w:p>
    <w:p>
      <w:pPr>
        <w:ind w:firstLine="562"/>
        <w:rPr>
          <w:b/>
          <w:bCs/>
        </w:rPr>
      </w:pPr>
    </w:p>
    <w:p>
      <w:pPr>
        <w:jc w:val="center"/>
        <w:rPr>
          <w:rFonts w:ascii="黑体" w:hAnsi="黑体" w:eastAsia="黑体" w:cs="黑体"/>
          <w:b/>
          <w:sz w:val="32"/>
        </w:rPr>
        <w:sectPr>
          <w:pgSz w:w="11906" w:h="16838"/>
          <w:pgMar w:top="1440" w:right="1800" w:bottom="1440" w:left="1800" w:header="851" w:footer="992" w:gutter="0"/>
          <w:pgNumType w:fmt="decimal"/>
          <w:cols w:space="425" w:num="1"/>
          <w:docGrid w:type="lines" w:linePitch="312" w:charSpace="0"/>
        </w:sectPr>
      </w:pPr>
    </w:p>
    <w:p>
      <w:pPr>
        <w:spacing w:line="560" w:lineRule="exact"/>
        <w:outlineLvl w:val="9"/>
        <w:rPr>
          <w:rFonts w:hint="eastAsia" w:ascii="黑体" w:hAnsi="黑体" w:eastAsia="黑体" w:cs="黑体"/>
          <w:sz w:val="32"/>
          <w:szCs w:val="32"/>
          <w:lang w:eastAsia="zh-CN"/>
        </w:rPr>
      </w:pPr>
      <w:r>
        <w:rPr>
          <w:rFonts w:hint="eastAsia" w:ascii="黑体" w:hAnsi="黑体" w:eastAsia="黑体" w:cs="黑体"/>
          <w:sz w:val="32"/>
          <w:szCs w:val="32"/>
          <w:lang w:eastAsia="zh-CN"/>
        </w:rPr>
        <w:drawing>
          <wp:anchor distT="0" distB="0" distL="114300" distR="114300" simplePos="0" relativeHeight="251660288" behindDoc="0" locked="0" layoutInCell="1" allowOverlap="1">
            <wp:simplePos x="0" y="0"/>
            <wp:positionH relativeFrom="column">
              <wp:posOffset>-496570</wp:posOffset>
            </wp:positionH>
            <wp:positionV relativeFrom="paragraph">
              <wp:posOffset>86360</wp:posOffset>
            </wp:positionV>
            <wp:extent cx="6405245" cy="8616950"/>
            <wp:effectExtent l="0" t="0" r="5080" b="3175"/>
            <wp:wrapNone/>
            <wp:docPr id="13" name="图片 13" descr="9-财政支出项目绩效评价专家汇总意见书-调分-1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9-财政支出项目绩效评价专家汇总意见书-调分-1_01"/>
                    <pic:cNvPicPr>
                      <a:picLocks noChangeAspect="1"/>
                    </pic:cNvPicPr>
                  </pic:nvPicPr>
                  <pic:blipFill>
                    <a:blip r:embed="rId7"/>
                    <a:stretch>
                      <a:fillRect/>
                    </a:stretch>
                  </pic:blipFill>
                  <pic:spPr>
                    <a:xfrm>
                      <a:off x="0" y="0"/>
                      <a:ext cx="6405245" cy="8616950"/>
                    </a:xfrm>
                    <a:prstGeom prst="rect">
                      <a:avLst/>
                    </a:prstGeom>
                  </pic:spPr>
                </pic:pic>
              </a:graphicData>
            </a:graphic>
          </wp:anchor>
        </w:drawing>
      </w:r>
    </w:p>
    <w:p>
      <w:pPr>
        <w:spacing w:line="560" w:lineRule="exact"/>
        <w:outlineLvl w:val="9"/>
        <w:rPr>
          <w:rFonts w:hint="eastAsia" w:ascii="黑体" w:hAnsi="黑体" w:eastAsia="黑体" w:cs="黑体"/>
          <w:sz w:val="32"/>
          <w:szCs w:val="32"/>
          <w:lang w:eastAsia="zh-CN"/>
        </w:rPr>
      </w:pPr>
    </w:p>
    <w:p>
      <w:pPr>
        <w:spacing w:line="560" w:lineRule="exact"/>
        <w:outlineLvl w:val="9"/>
        <w:rPr>
          <w:rFonts w:hint="eastAsia" w:ascii="黑体" w:hAnsi="黑体" w:eastAsia="黑体" w:cs="黑体"/>
          <w:sz w:val="32"/>
          <w:szCs w:val="32"/>
          <w:lang w:eastAsia="zh-CN"/>
        </w:rPr>
      </w:pPr>
    </w:p>
    <w:p>
      <w:pPr>
        <w:spacing w:line="560" w:lineRule="exact"/>
        <w:outlineLvl w:val="9"/>
        <w:rPr>
          <w:rFonts w:hint="eastAsia" w:ascii="黑体" w:hAnsi="黑体" w:eastAsia="黑体" w:cs="黑体"/>
          <w:sz w:val="32"/>
          <w:szCs w:val="32"/>
          <w:lang w:eastAsia="zh-CN"/>
        </w:rPr>
      </w:pPr>
    </w:p>
    <w:p>
      <w:pPr>
        <w:spacing w:line="560" w:lineRule="exact"/>
        <w:outlineLvl w:val="9"/>
        <w:rPr>
          <w:rFonts w:hint="eastAsia" w:ascii="黑体" w:hAnsi="黑体" w:eastAsia="黑体" w:cs="黑体"/>
          <w:sz w:val="32"/>
          <w:szCs w:val="32"/>
          <w:lang w:eastAsia="zh-CN"/>
        </w:rPr>
      </w:pPr>
    </w:p>
    <w:p>
      <w:pPr>
        <w:spacing w:line="560" w:lineRule="exact"/>
        <w:outlineLvl w:val="9"/>
        <w:rPr>
          <w:rFonts w:hint="eastAsia" w:ascii="黑体" w:hAnsi="黑体" w:eastAsia="黑体" w:cs="黑体"/>
          <w:sz w:val="32"/>
          <w:szCs w:val="32"/>
          <w:lang w:eastAsia="zh-CN"/>
        </w:rPr>
      </w:pPr>
    </w:p>
    <w:p>
      <w:pPr>
        <w:pStyle w:val="2"/>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jc w:val="both"/>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sectPr>
          <w:pgSz w:w="11906" w:h="16838"/>
          <w:pgMar w:top="1440" w:right="1800" w:bottom="1440" w:left="1800" w:header="851" w:footer="992" w:gutter="0"/>
          <w:pgNumType w:fmt="decimal"/>
          <w:cols w:space="425" w:num="1"/>
          <w:docGrid w:type="lines" w:linePitch="312" w:charSpace="0"/>
        </w:sectPr>
      </w:pPr>
    </w:p>
    <w:p>
      <w:pPr>
        <w:pStyle w:val="3"/>
        <w:rPr>
          <w:rFonts w:hint="eastAsia" w:ascii="黑体" w:hAnsi="黑体" w:eastAsia="黑体" w:cs="黑体"/>
          <w:sz w:val="32"/>
          <w:szCs w:val="32"/>
          <w:lang w:eastAsia="zh-CN"/>
        </w:rPr>
      </w:pPr>
      <w:r>
        <w:rPr>
          <w:rFonts w:hint="eastAsia" w:ascii="黑体" w:hAnsi="黑体" w:eastAsia="黑体" w:cs="黑体"/>
          <w:sz w:val="32"/>
          <w:szCs w:val="32"/>
          <w:lang w:eastAsia="zh-CN"/>
        </w:rPr>
        <w:drawing>
          <wp:anchor distT="0" distB="0" distL="114300" distR="114300" simplePos="0" relativeHeight="251662336" behindDoc="0" locked="0" layoutInCell="1" allowOverlap="1">
            <wp:simplePos x="0" y="0"/>
            <wp:positionH relativeFrom="column">
              <wp:posOffset>-76200</wp:posOffset>
            </wp:positionH>
            <wp:positionV relativeFrom="paragraph">
              <wp:posOffset>156845</wp:posOffset>
            </wp:positionV>
            <wp:extent cx="5267325" cy="7522845"/>
            <wp:effectExtent l="0" t="0" r="0" b="1905"/>
            <wp:wrapTopAndBottom/>
            <wp:docPr id="2"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
                    <pic:cNvPicPr>
                      <a:picLocks noChangeAspect="1"/>
                    </pic:cNvPicPr>
                  </pic:nvPicPr>
                  <pic:blipFill>
                    <a:blip r:embed="rId8"/>
                    <a:stretch>
                      <a:fillRect/>
                    </a:stretch>
                  </pic:blipFill>
                  <pic:spPr>
                    <a:xfrm>
                      <a:off x="0" y="0"/>
                      <a:ext cx="5267325" cy="7522845"/>
                    </a:xfrm>
                    <a:prstGeom prst="rect">
                      <a:avLst/>
                    </a:prstGeom>
                  </pic:spPr>
                </pic:pic>
              </a:graphicData>
            </a:graphic>
          </wp:anchor>
        </w:drawing>
      </w:r>
    </w:p>
    <w:p>
      <w:pPr>
        <w:pStyle w:val="3"/>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pPr>
    </w:p>
    <w:p>
      <w:pPr>
        <w:pStyle w:val="3"/>
        <w:spacing w:line="240" w:lineRule="auto"/>
        <w:ind w:firstLine="0" w:firstLineChars="0"/>
        <w:rPr>
          <w:rFonts w:hint="eastAsia" w:ascii="黑体" w:hAnsi="黑体" w:eastAsia="黑体" w:cs="黑体"/>
          <w:sz w:val="32"/>
          <w:szCs w:val="32"/>
          <w:lang w:eastAsia="zh-CN"/>
        </w:rPr>
      </w:pPr>
      <w:r>
        <w:rPr>
          <w:rFonts w:hint="eastAsia" w:ascii="黑体" w:hAnsi="黑体" w:eastAsia="黑体" w:cs="黑体"/>
          <w:sz w:val="32"/>
          <w:szCs w:val="32"/>
          <w:lang w:eastAsia="zh-CN"/>
        </w:rPr>
        <w:drawing>
          <wp:anchor distT="0" distB="0" distL="114300" distR="114300" simplePos="0" relativeHeight="251661312" behindDoc="0" locked="0" layoutInCell="1" allowOverlap="1">
            <wp:simplePos x="0" y="0"/>
            <wp:positionH relativeFrom="column">
              <wp:posOffset>34925</wp:posOffset>
            </wp:positionH>
            <wp:positionV relativeFrom="paragraph">
              <wp:posOffset>229235</wp:posOffset>
            </wp:positionV>
            <wp:extent cx="5178425" cy="7654925"/>
            <wp:effectExtent l="0" t="0" r="3175" b="3175"/>
            <wp:wrapTopAndBottom/>
            <wp:docPr id="8" name="图片 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4"/>
                    <pic:cNvPicPr>
                      <a:picLocks noChangeAspect="1"/>
                    </pic:cNvPicPr>
                  </pic:nvPicPr>
                  <pic:blipFill>
                    <a:blip r:embed="rId9"/>
                    <a:srcRect b="19229"/>
                    <a:stretch>
                      <a:fillRect/>
                    </a:stretch>
                  </pic:blipFill>
                  <pic:spPr>
                    <a:xfrm>
                      <a:off x="0" y="0"/>
                      <a:ext cx="5178425" cy="7654925"/>
                    </a:xfrm>
                    <a:prstGeom prst="rect">
                      <a:avLst/>
                    </a:prstGeom>
                  </pic:spPr>
                </pic:pic>
              </a:graphicData>
            </a:graphic>
          </wp:anchor>
        </w:drawing>
      </w:r>
    </w:p>
    <w:p>
      <w:pPr>
        <w:pStyle w:val="3"/>
        <w:ind w:left="0" w:leftChars="0" w:firstLine="0" w:firstLineChars="0"/>
        <w:rPr>
          <w:rFonts w:hint="eastAsia" w:ascii="黑体" w:hAnsi="黑体" w:eastAsia="黑体" w:cs="黑体"/>
          <w:sz w:val="32"/>
          <w:szCs w:val="32"/>
          <w:lang w:eastAsia="zh-CN"/>
        </w:rPr>
      </w:pPr>
    </w:p>
    <w:p>
      <w:pPr>
        <w:pStyle w:val="3"/>
        <w:rPr>
          <w:rFonts w:hint="eastAsia" w:ascii="黑体" w:hAnsi="黑体" w:eastAsia="黑体" w:cs="黑体"/>
          <w:sz w:val="32"/>
          <w:szCs w:val="32"/>
          <w:lang w:eastAsia="zh-CN"/>
        </w:rPr>
        <w:sectPr>
          <w:pgSz w:w="11906" w:h="16838"/>
          <w:pgMar w:top="1440" w:right="1800" w:bottom="1440" w:left="1800" w:header="851" w:footer="992" w:gutter="0"/>
          <w:pgNumType w:fmt="decimal"/>
          <w:cols w:space="425" w:num="1"/>
          <w:docGrid w:type="lines" w:linePitch="312" w:charSpace="0"/>
        </w:sectPr>
      </w:pPr>
    </w:p>
    <w:p>
      <w:pPr>
        <w:spacing w:line="240" w:lineRule="auto"/>
        <w:outlineLvl w:val="9"/>
        <w:rPr>
          <w:rFonts w:ascii="黑体" w:hAnsi="黑体" w:eastAsia="黑体" w:cs="黑体"/>
          <w:sz w:val="32"/>
          <w:szCs w:val="32"/>
        </w:rPr>
      </w:pPr>
      <w:r>
        <w:rPr>
          <w:rFonts w:hint="eastAsia" w:ascii="黑体" w:hAnsi="黑体" w:eastAsia="黑体" w:cs="黑体"/>
          <w:sz w:val="32"/>
          <w:szCs w:val="32"/>
        </w:rPr>
        <w:t>附件4</w:t>
      </w:r>
      <w:bookmarkEnd w:id="298"/>
      <w:bookmarkEnd w:id="299"/>
      <w:bookmarkEnd w:id="300"/>
      <w:bookmarkEnd w:id="301"/>
    </w:p>
    <w:p>
      <w:pPr>
        <w:jc w:val="center"/>
        <w:outlineLvl w:val="9"/>
        <w:rPr>
          <w:rFonts w:ascii="黑体" w:hAnsi="黑体" w:eastAsia="黑体" w:cs="黑体"/>
          <w:sz w:val="32"/>
          <w:szCs w:val="32"/>
        </w:rPr>
      </w:pPr>
      <w:bookmarkStart w:id="302" w:name="_Toc25556"/>
      <w:bookmarkStart w:id="303" w:name="_Toc9076"/>
      <w:bookmarkStart w:id="304" w:name="_Toc23943"/>
      <w:bookmarkStart w:id="305" w:name="_Toc26179"/>
      <w:bookmarkStart w:id="306" w:name="_Toc1927"/>
      <w:r>
        <w:rPr>
          <w:rFonts w:hint="eastAsia" w:ascii="宋体" w:hAnsi="宋体" w:cs="宋体"/>
          <w:b/>
          <w:bCs/>
          <w:kern w:val="0"/>
          <w:sz w:val="36"/>
          <w:szCs w:val="36"/>
          <w:lang w:bidi="ar"/>
        </w:rPr>
        <w:t>项目支出指标体系及评分情况表</w:t>
      </w:r>
      <w:bookmarkEnd w:id="302"/>
      <w:bookmarkEnd w:id="303"/>
      <w:bookmarkEnd w:id="304"/>
      <w:bookmarkEnd w:id="305"/>
      <w:bookmarkEnd w:id="306"/>
    </w:p>
    <w:tbl>
      <w:tblPr>
        <w:tblStyle w:val="17"/>
        <w:tblW w:w="10063" w:type="dxa"/>
        <w:tblInd w:w="-771" w:type="dxa"/>
        <w:tblLayout w:type="fixed"/>
        <w:tblCellMar>
          <w:top w:w="0" w:type="dxa"/>
          <w:left w:w="108" w:type="dxa"/>
          <w:bottom w:w="0" w:type="dxa"/>
          <w:right w:w="108" w:type="dxa"/>
        </w:tblCellMar>
      </w:tblPr>
      <w:tblGrid>
        <w:gridCol w:w="1313"/>
        <w:gridCol w:w="796"/>
        <w:gridCol w:w="2704"/>
        <w:gridCol w:w="875"/>
        <w:gridCol w:w="1296"/>
        <w:gridCol w:w="3079"/>
      </w:tblGrid>
      <w:tr>
        <w:tblPrEx>
          <w:tblCellMar>
            <w:top w:w="0" w:type="dxa"/>
            <w:left w:w="108" w:type="dxa"/>
            <w:bottom w:w="0" w:type="dxa"/>
            <w:right w:w="108" w:type="dxa"/>
          </w:tblCellMar>
        </w:tblPrEx>
        <w:trPr>
          <w:trHeight w:val="741" w:hRule="atLeast"/>
          <w:tblHeader/>
        </w:trPr>
        <w:tc>
          <w:tcPr>
            <w:tcW w:w="1313"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一级指标</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二级指标</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三级指标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分值</w:t>
            </w:r>
          </w:p>
        </w:tc>
        <w:tc>
          <w:tcPr>
            <w:tcW w:w="12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得分</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b/>
                <w:bCs/>
                <w:sz w:val="28"/>
                <w:szCs w:val="28"/>
              </w:rPr>
            </w:pPr>
            <w:r>
              <w:rPr>
                <w:rFonts w:hint="eastAsia" w:ascii="仿宋_GB2312" w:hAnsi="仿宋_GB2312" w:eastAsia="仿宋_GB2312" w:cs="仿宋_GB2312"/>
                <w:b/>
                <w:bCs/>
                <w:kern w:val="0"/>
                <w:sz w:val="28"/>
                <w:szCs w:val="28"/>
                <w:lang w:bidi="ar"/>
              </w:rPr>
              <w:t>扣分原因</w:t>
            </w:r>
          </w:p>
        </w:tc>
      </w:tr>
      <w:tr>
        <w:tblPrEx>
          <w:tblCellMar>
            <w:top w:w="0" w:type="dxa"/>
            <w:left w:w="108" w:type="dxa"/>
            <w:bottom w:w="0" w:type="dxa"/>
            <w:right w:w="108" w:type="dxa"/>
          </w:tblCellMar>
        </w:tblPrEx>
        <w:trPr>
          <w:trHeight w:val="481" w:hRule="atLeast"/>
        </w:trPr>
        <w:tc>
          <w:tcPr>
            <w:tcW w:w="13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kern w:val="0"/>
                <w:sz w:val="28"/>
                <w:szCs w:val="28"/>
                <w:lang w:bidi="ar"/>
              </w:rPr>
            </w:pPr>
            <w:r>
              <w:rPr>
                <w:rFonts w:hint="eastAsia" w:ascii="仿宋_GB2312" w:hAnsi="仿宋_GB2312" w:eastAsia="仿宋_GB2312" w:cs="仿宋_GB2312"/>
                <w:kern w:val="0"/>
                <w:sz w:val="28"/>
                <w:szCs w:val="28"/>
                <w:lang w:bidi="ar"/>
              </w:rPr>
              <w:t>决策</w:t>
            </w:r>
          </w:p>
          <w:p>
            <w:pPr>
              <w:widowControl/>
              <w:jc w:val="center"/>
              <w:textAlignment w:val="center"/>
              <w:rPr>
                <w:rFonts w:ascii="仿宋_GB2312" w:hAnsi="仿宋_GB2312" w:eastAsia="仿宋_GB2312" w:cs="仿宋_GB2312"/>
                <w:kern w:val="0"/>
                <w:sz w:val="28"/>
                <w:szCs w:val="28"/>
                <w:lang w:bidi="ar"/>
              </w:rPr>
            </w:pPr>
            <w:r>
              <w:rPr>
                <w:rFonts w:hint="eastAsia" w:ascii="仿宋_GB2312" w:hAnsi="仿宋_GB2312" w:eastAsia="仿宋_GB2312" w:cs="仿宋_GB2312"/>
                <w:kern w:val="0"/>
                <w:sz w:val="28"/>
                <w:szCs w:val="28"/>
                <w:lang w:bidi="ar"/>
              </w:rPr>
              <w:t>（10分）</w:t>
            </w: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项目立项</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立项依据充分性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2.00</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jc w:val="left"/>
              <w:rPr>
                <w:rFonts w:ascii="仿宋_GB2312" w:hAnsi="仿宋_GB2312" w:eastAsia="仿宋_GB2312" w:cs="仿宋_GB2312"/>
                <w:sz w:val="28"/>
                <w:szCs w:val="28"/>
              </w:rPr>
            </w:pPr>
          </w:p>
        </w:tc>
      </w:tr>
      <w:tr>
        <w:tblPrEx>
          <w:tblCellMar>
            <w:top w:w="0" w:type="dxa"/>
            <w:left w:w="108" w:type="dxa"/>
            <w:bottom w:w="0" w:type="dxa"/>
            <w:right w:w="108" w:type="dxa"/>
          </w:tblCellMar>
        </w:tblPrEx>
        <w:trPr>
          <w:trHeight w:val="2308"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立项程序规范性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1.20</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前期需求调研不够充分，可行性报告内容充分性</w:t>
            </w:r>
            <w:r>
              <w:rPr>
                <w:rFonts w:hint="eastAsia" w:ascii="仿宋_GB2312" w:hAnsi="仿宋_GB2312" w:eastAsia="仿宋_GB2312" w:cs="仿宋_GB2312"/>
                <w:kern w:val="0"/>
                <w:sz w:val="28"/>
                <w:szCs w:val="28"/>
                <w:lang w:eastAsia="zh-CN" w:bidi="ar"/>
              </w:rPr>
              <w:t>、</w:t>
            </w:r>
            <w:r>
              <w:rPr>
                <w:rFonts w:hint="eastAsia" w:ascii="仿宋_GB2312" w:hAnsi="仿宋_GB2312" w:eastAsia="仿宋_GB2312" w:cs="仿宋_GB2312"/>
                <w:kern w:val="0"/>
                <w:sz w:val="28"/>
                <w:szCs w:val="28"/>
                <w:lang w:bidi="ar"/>
              </w:rPr>
              <w:t>适配性</w:t>
            </w:r>
            <w:r>
              <w:rPr>
                <w:rFonts w:hint="eastAsia" w:ascii="仿宋_GB2312" w:hAnsi="仿宋_GB2312" w:eastAsia="仿宋_GB2312" w:cs="仿宋_GB2312"/>
                <w:kern w:val="0"/>
                <w:sz w:val="28"/>
                <w:szCs w:val="28"/>
                <w:lang w:val="en-US" w:eastAsia="zh-CN" w:bidi="ar"/>
              </w:rPr>
              <w:t>以及</w:t>
            </w:r>
            <w:r>
              <w:rPr>
                <w:rFonts w:hint="eastAsia" w:ascii="仿宋_GB2312" w:hAnsi="仿宋_GB2312" w:eastAsia="仿宋_GB2312" w:cs="仿宋_GB2312"/>
                <w:kern w:val="0"/>
                <w:sz w:val="28"/>
                <w:szCs w:val="28"/>
                <w:lang w:bidi="ar"/>
              </w:rPr>
              <w:t>深度不足</w:t>
            </w:r>
          </w:p>
        </w:tc>
      </w:tr>
      <w:tr>
        <w:tblPrEx>
          <w:tblCellMar>
            <w:top w:w="0" w:type="dxa"/>
            <w:left w:w="108" w:type="dxa"/>
            <w:bottom w:w="0" w:type="dxa"/>
            <w:right w:w="108" w:type="dxa"/>
          </w:tblCellMar>
        </w:tblPrEx>
        <w:trPr>
          <w:trHeight w:val="90"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sz w:val="28"/>
                <w:szCs w:val="28"/>
              </w:rPr>
            </w:pP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绩效目标合理性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2</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1.52</w:t>
            </w:r>
          </w:p>
        </w:tc>
        <w:tc>
          <w:tcPr>
            <w:tcW w:w="3079" w:type="dxa"/>
            <w:vMerge w:val="restart"/>
            <w:tcBorders>
              <w:top w:val="single" w:color="000000" w:sz="4" w:space="0"/>
              <w:left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sz w:val="28"/>
                <w:szCs w:val="28"/>
              </w:rPr>
            </w:pPr>
            <w:r>
              <w:rPr>
                <w:rFonts w:hint="eastAsia" w:ascii="仿宋_GB2312" w:hAnsi="仿宋_GB2312" w:eastAsia="仿宋_GB2312" w:cs="仿宋_GB2312"/>
                <w:kern w:val="0"/>
                <w:sz w:val="28"/>
                <w:szCs w:val="28"/>
                <w:lang w:bidi="ar"/>
              </w:rPr>
              <w:t>绩效目标设置笼统，质量指标量化不足，</w:t>
            </w:r>
            <w:r>
              <w:rPr>
                <w:rFonts w:hint="eastAsia" w:ascii="仿宋_GB2312" w:hAnsi="仿宋_GB2312" w:eastAsia="仿宋_GB2312" w:cs="仿宋_GB2312"/>
                <w:kern w:val="0"/>
                <w:sz w:val="28"/>
                <w:szCs w:val="28"/>
                <w:lang w:val="en-US" w:eastAsia="zh-CN" w:bidi="ar"/>
              </w:rPr>
              <w:t>可考核性不足</w:t>
            </w:r>
            <w:r>
              <w:rPr>
                <w:rFonts w:hint="eastAsia" w:ascii="仿宋_GB2312" w:hAnsi="仿宋_GB2312" w:eastAsia="仿宋_GB2312" w:cs="仿宋_GB2312"/>
                <w:kern w:val="0"/>
                <w:sz w:val="28"/>
                <w:szCs w:val="28"/>
                <w:lang w:eastAsia="zh-CN" w:bidi="ar"/>
              </w:rPr>
              <w:t>。</w:t>
            </w:r>
            <w:r>
              <w:rPr>
                <w:rFonts w:hint="eastAsia" w:ascii="仿宋_GB2312" w:hAnsi="仿宋_GB2312" w:eastAsia="仿宋_GB2312" w:cs="仿宋_GB2312"/>
                <w:kern w:val="0"/>
                <w:sz w:val="28"/>
                <w:szCs w:val="28"/>
                <w:lang w:bidi="ar"/>
              </w:rPr>
              <w:t>效益指标合理性不足</w:t>
            </w:r>
          </w:p>
        </w:tc>
      </w:tr>
      <w:tr>
        <w:tblPrEx>
          <w:tblCellMar>
            <w:top w:w="0" w:type="dxa"/>
            <w:left w:w="108" w:type="dxa"/>
            <w:bottom w:w="0" w:type="dxa"/>
            <w:right w:w="108" w:type="dxa"/>
          </w:tblCellMar>
        </w:tblPrEx>
        <w:trPr>
          <w:trHeight w:val="1040"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绩效指标明确性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1.14</w:t>
            </w:r>
          </w:p>
        </w:tc>
        <w:tc>
          <w:tcPr>
            <w:tcW w:w="3079" w:type="dxa"/>
            <w:vMerge w:val="continue"/>
            <w:tcBorders>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773"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资金投入</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预算编制科学性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1.04</w:t>
            </w:r>
          </w:p>
        </w:tc>
        <w:tc>
          <w:tcPr>
            <w:tcW w:w="3079" w:type="dxa"/>
            <w:vMerge w:val="restart"/>
            <w:tcBorders>
              <w:top w:val="single" w:color="000000" w:sz="4" w:space="0"/>
              <w:left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预算测算依据不够充分，有结余。</w:t>
            </w:r>
          </w:p>
        </w:tc>
      </w:tr>
      <w:tr>
        <w:tblPrEx>
          <w:tblCellMar>
            <w:top w:w="0" w:type="dxa"/>
            <w:left w:w="108" w:type="dxa"/>
            <w:bottom w:w="0" w:type="dxa"/>
            <w:right w:w="108" w:type="dxa"/>
          </w:tblCellMar>
        </w:tblPrEx>
        <w:trPr>
          <w:trHeight w:val="619"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资金分配合理性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1.23</w:t>
            </w:r>
          </w:p>
        </w:tc>
        <w:tc>
          <w:tcPr>
            <w:tcW w:w="3079" w:type="dxa"/>
            <w:vMerge w:val="continue"/>
            <w:tcBorders>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473" w:hRule="atLeast"/>
        </w:trPr>
        <w:tc>
          <w:tcPr>
            <w:tcW w:w="13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过程</w:t>
            </w:r>
          </w:p>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（20分）</w:t>
            </w: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资金管理</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资金到位率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4.00</w:t>
            </w:r>
          </w:p>
        </w:tc>
        <w:tc>
          <w:tcPr>
            <w:tcW w:w="30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512"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预算执行率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3.64</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预算申报、调减和执行差异较大，预算执行率按核减后测算为93.3%</w:t>
            </w:r>
          </w:p>
        </w:tc>
      </w:tr>
      <w:tr>
        <w:tblPrEx>
          <w:tblCellMar>
            <w:top w:w="0" w:type="dxa"/>
            <w:left w:w="108" w:type="dxa"/>
            <w:bottom w:w="0" w:type="dxa"/>
            <w:right w:w="108" w:type="dxa"/>
          </w:tblCellMar>
        </w:tblPrEx>
        <w:trPr>
          <w:trHeight w:val="351"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资金使用合规性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4.00</w:t>
            </w:r>
          </w:p>
        </w:tc>
        <w:tc>
          <w:tcPr>
            <w:tcW w:w="30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370"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组织实施</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管理制度健全性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3.40</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hint="eastAsia" w:ascii="仿宋_GB2312" w:hAnsi="仿宋_GB2312" w:eastAsia="仿宋_GB2312" w:cs="仿宋_GB2312"/>
                <w:color w:val="auto"/>
                <w:sz w:val="28"/>
                <w:szCs w:val="28"/>
                <w:lang w:eastAsia="zh-CN"/>
              </w:rPr>
            </w:pPr>
            <w:r>
              <w:rPr>
                <w:rFonts w:hint="eastAsia" w:ascii="仿宋_GB2312" w:hAnsi="仿宋_GB2312" w:eastAsia="仿宋_GB2312" w:cs="仿宋_GB2312"/>
                <w:color w:val="auto"/>
                <w:kern w:val="0"/>
                <w:sz w:val="28"/>
                <w:szCs w:val="28"/>
                <w:lang w:val="en-US" w:eastAsia="zh-CN" w:bidi="ar"/>
              </w:rPr>
              <w:t>需及时更新</w:t>
            </w:r>
          </w:p>
        </w:tc>
      </w:tr>
      <w:tr>
        <w:tblPrEx>
          <w:tblCellMar>
            <w:top w:w="0" w:type="dxa"/>
            <w:left w:w="108" w:type="dxa"/>
            <w:bottom w:w="0" w:type="dxa"/>
            <w:right w:w="108" w:type="dxa"/>
          </w:tblCellMar>
        </w:tblPrEx>
        <w:trPr>
          <w:trHeight w:val="697"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制度执行有效性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4</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3.30</w:t>
            </w:r>
          </w:p>
        </w:tc>
        <w:tc>
          <w:tcPr>
            <w:tcW w:w="3079"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项目实施方案不够完善</w:t>
            </w:r>
          </w:p>
        </w:tc>
      </w:tr>
      <w:tr>
        <w:tblPrEx>
          <w:tblCellMar>
            <w:top w:w="0" w:type="dxa"/>
            <w:left w:w="108" w:type="dxa"/>
            <w:bottom w:w="0" w:type="dxa"/>
            <w:right w:w="108" w:type="dxa"/>
          </w:tblCellMar>
        </w:tblPrEx>
        <w:trPr>
          <w:trHeight w:val="723" w:hRule="atLeast"/>
        </w:trPr>
        <w:tc>
          <w:tcPr>
            <w:tcW w:w="13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产出</w:t>
            </w:r>
          </w:p>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（40分）</w:t>
            </w: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产出数量</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实际完成率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10.00</w:t>
            </w:r>
          </w:p>
        </w:tc>
        <w:tc>
          <w:tcPr>
            <w:tcW w:w="30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1159"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产出质量</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质量达标率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8.80</w:t>
            </w:r>
          </w:p>
        </w:tc>
        <w:tc>
          <w:tcPr>
            <w:tcW w:w="3079" w:type="dxa"/>
            <w:vMerge w:val="restart"/>
            <w:tcBorders>
              <w:top w:val="single" w:color="000000" w:sz="4" w:space="0"/>
              <w:left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支撑资料不</w:t>
            </w:r>
            <w:r>
              <w:rPr>
                <w:rFonts w:hint="eastAsia" w:ascii="仿宋_GB2312" w:hAnsi="仿宋_GB2312" w:eastAsia="仿宋_GB2312" w:cs="仿宋_GB2312"/>
                <w:color w:val="auto"/>
                <w:kern w:val="0"/>
                <w:sz w:val="28"/>
                <w:szCs w:val="28"/>
                <w:lang w:val="en-US" w:eastAsia="zh-CN" w:bidi="ar"/>
              </w:rPr>
              <w:t>够充分</w:t>
            </w:r>
          </w:p>
        </w:tc>
      </w:tr>
      <w:tr>
        <w:tblPrEx>
          <w:tblCellMar>
            <w:top w:w="0" w:type="dxa"/>
            <w:left w:w="108" w:type="dxa"/>
            <w:bottom w:w="0" w:type="dxa"/>
            <w:right w:w="108" w:type="dxa"/>
          </w:tblCellMar>
        </w:tblPrEx>
        <w:trPr>
          <w:trHeight w:val="569"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产出时效</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完成及时性</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9.40</w:t>
            </w:r>
          </w:p>
        </w:tc>
        <w:tc>
          <w:tcPr>
            <w:tcW w:w="3079" w:type="dxa"/>
            <w:vMerge w:val="continue"/>
            <w:tcBorders>
              <w:left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676"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产出成本</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成本节约率</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10</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9.60</w:t>
            </w:r>
          </w:p>
        </w:tc>
        <w:tc>
          <w:tcPr>
            <w:tcW w:w="3079" w:type="dxa"/>
            <w:vMerge w:val="continue"/>
            <w:tcBorders>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802" w:hRule="atLeast"/>
        </w:trPr>
        <w:tc>
          <w:tcPr>
            <w:tcW w:w="131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效益</w:t>
            </w:r>
          </w:p>
          <w:p>
            <w:pPr>
              <w:widowControl/>
              <w:jc w:val="center"/>
              <w:textAlignment w:val="center"/>
              <w:rPr>
                <w:rFonts w:ascii="仿宋_GB2312" w:hAnsi="仿宋_GB2312" w:eastAsia="仿宋_GB2312" w:cs="仿宋_GB2312"/>
                <w:color w:val="auto"/>
                <w:kern w:val="0"/>
                <w:sz w:val="28"/>
                <w:szCs w:val="28"/>
                <w:lang w:bidi="ar"/>
              </w:rPr>
            </w:pPr>
            <w:r>
              <w:rPr>
                <w:rFonts w:hint="eastAsia" w:ascii="仿宋_GB2312" w:hAnsi="仿宋_GB2312" w:eastAsia="仿宋_GB2312" w:cs="仿宋_GB2312"/>
                <w:color w:val="auto"/>
                <w:kern w:val="0"/>
                <w:sz w:val="28"/>
                <w:szCs w:val="28"/>
                <w:lang w:bidi="ar"/>
              </w:rPr>
              <w:t>（30分）</w:t>
            </w:r>
          </w:p>
        </w:tc>
        <w:tc>
          <w:tcPr>
            <w:tcW w:w="79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项目效益</w:t>
            </w: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困难职工家庭基本生活困难得到有效缓解</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w:t>
            </w:r>
            <w:r>
              <w:rPr>
                <w:rFonts w:hint="eastAsia" w:ascii="仿宋_GB2312" w:hAnsi="仿宋_GB2312" w:eastAsia="仿宋_GB2312" w:cs="仿宋_GB2312"/>
                <w:color w:val="auto"/>
                <w:kern w:val="0"/>
                <w:sz w:val="28"/>
                <w:szCs w:val="28"/>
                <w:lang w:val="en-US" w:eastAsia="zh-CN" w:bidi="ar"/>
              </w:rPr>
              <w:t>2</w:t>
            </w:r>
            <w:r>
              <w:rPr>
                <w:rFonts w:hint="eastAsia" w:ascii="仿宋_GB2312" w:hAnsi="仿宋_GB2312" w:eastAsia="仿宋_GB2312" w:cs="仿宋_GB2312"/>
                <w:color w:val="auto"/>
                <w:kern w:val="0"/>
                <w:sz w:val="28"/>
                <w:szCs w:val="28"/>
                <w:lang w:bidi="ar"/>
              </w:rPr>
              <w:t>.</w:t>
            </w:r>
            <w:r>
              <w:rPr>
                <w:rFonts w:hint="eastAsia" w:ascii="仿宋_GB2312" w:hAnsi="仿宋_GB2312" w:eastAsia="仿宋_GB2312" w:cs="仿宋_GB2312"/>
                <w:color w:val="auto"/>
                <w:kern w:val="0"/>
                <w:sz w:val="28"/>
                <w:szCs w:val="28"/>
                <w:lang w:val="en-US" w:eastAsia="zh-CN" w:bidi="ar"/>
              </w:rPr>
              <w:t>9</w:t>
            </w:r>
            <w:r>
              <w:rPr>
                <w:rFonts w:hint="eastAsia" w:ascii="仿宋_GB2312" w:hAnsi="仿宋_GB2312" w:eastAsia="仿宋_GB2312" w:cs="仿宋_GB2312"/>
                <w:color w:val="auto"/>
                <w:kern w:val="0"/>
                <w:sz w:val="28"/>
                <w:szCs w:val="28"/>
                <w:lang w:bidi="ar"/>
              </w:rPr>
              <w:t>0</w:t>
            </w:r>
          </w:p>
        </w:tc>
        <w:tc>
          <w:tcPr>
            <w:tcW w:w="3079" w:type="dxa"/>
            <w:vMerge w:val="restart"/>
            <w:tcBorders>
              <w:top w:val="single" w:color="000000" w:sz="4" w:space="0"/>
              <w:left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val="en-US" w:eastAsia="zh-CN" w:bidi="ar"/>
              </w:rPr>
              <w:t>证明资料</w:t>
            </w:r>
            <w:r>
              <w:rPr>
                <w:rFonts w:hint="eastAsia" w:ascii="仿宋_GB2312" w:hAnsi="仿宋_GB2312" w:eastAsia="仿宋_GB2312" w:cs="仿宋_GB2312"/>
                <w:color w:val="auto"/>
                <w:kern w:val="0"/>
                <w:sz w:val="28"/>
                <w:szCs w:val="28"/>
                <w:lang w:bidi="ar"/>
              </w:rPr>
              <w:t>呈现的充分性</w:t>
            </w:r>
            <w:r>
              <w:rPr>
                <w:rFonts w:hint="eastAsia" w:ascii="仿宋_GB2312" w:hAnsi="仿宋_GB2312" w:eastAsia="仿宋_GB2312" w:cs="仿宋_GB2312"/>
                <w:color w:val="auto"/>
                <w:kern w:val="0"/>
                <w:sz w:val="28"/>
                <w:szCs w:val="28"/>
                <w:lang w:val="en-US" w:eastAsia="zh-CN" w:bidi="ar"/>
              </w:rPr>
              <w:t>有待提升</w:t>
            </w:r>
          </w:p>
        </w:tc>
      </w:tr>
      <w:tr>
        <w:tblPrEx>
          <w:tblCellMar>
            <w:top w:w="0" w:type="dxa"/>
            <w:left w:w="108" w:type="dxa"/>
            <w:bottom w:w="0" w:type="dxa"/>
            <w:right w:w="108" w:type="dxa"/>
          </w:tblCellMar>
        </w:tblPrEx>
        <w:trPr>
          <w:trHeight w:val="620" w:hRule="atLeast"/>
        </w:trPr>
        <w:tc>
          <w:tcPr>
            <w:tcW w:w="131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79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rPr>
                <w:rFonts w:ascii="仿宋_GB2312" w:hAnsi="仿宋_GB2312" w:eastAsia="仿宋_GB2312" w:cs="仿宋_GB2312"/>
                <w:color w:val="auto"/>
                <w:sz w:val="28"/>
                <w:szCs w:val="28"/>
              </w:rPr>
            </w:pPr>
          </w:p>
        </w:tc>
        <w:tc>
          <w:tcPr>
            <w:tcW w:w="2704"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困难职工满意度≥90%</w:t>
            </w:r>
          </w:p>
        </w:tc>
        <w:tc>
          <w:tcPr>
            <w:tcW w:w="875"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15</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color w:val="auto"/>
                <w:kern w:val="0"/>
                <w:sz w:val="28"/>
                <w:szCs w:val="28"/>
                <w:lang w:bidi="ar"/>
              </w:rPr>
              <w:t>8.00</w:t>
            </w:r>
          </w:p>
        </w:tc>
        <w:tc>
          <w:tcPr>
            <w:tcW w:w="3079" w:type="dxa"/>
            <w:vMerge w:val="continue"/>
            <w:tcBorders>
              <w:left w:val="single" w:color="000000" w:sz="4" w:space="0"/>
              <w:bottom w:val="single" w:color="000000" w:sz="4" w:space="0"/>
              <w:right w:val="single" w:color="000000" w:sz="4" w:space="0"/>
            </w:tcBorders>
            <w:shd w:val="clear" w:color="auto" w:fill="auto"/>
            <w:vAlign w:val="center"/>
          </w:tcPr>
          <w:p>
            <w:pPr>
              <w:widowControl/>
              <w:jc w:val="left"/>
              <w:textAlignment w:val="center"/>
              <w:rPr>
                <w:rFonts w:ascii="仿宋_GB2312" w:hAnsi="仿宋_GB2312" w:eastAsia="仿宋_GB2312" w:cs="仿宋_GB2312"/>
                <w:color w:val="auto"/>
                <w:sz w:val="28"/>
                <w:szCs w:val="28"/>
              </w:rPr>
            </w:pPr>
          </w:p>
        </w:tc>
      </w:tr>
      <w:tr>
        <w:tblPrEx>
          <w:tblCellMar>
            <w:top w:w="0" w:type="dxa"/>
            <w:left w:w="108" w:type="dxa"/>
            <w:bottom w:w="0" w:type="dxa"/>
            <w:right w:w="108" w:type="dxa"/>
          </w:tblCellMar>
        </w:tblPrEx>
        <w:trPr>
          <w:trHeight w:val="801" w:hRule="atLeast"/>
        </w:trPr>
        <w:tc>
          <w:tcPr>
            <w:tcW w:w="2109"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jc w:val="center"/>
              <w:textAlignment w:val="center"/>
              <w:rPr>
                <w:rFonts w:ascii="仿宋_GB2312" w:hAnsi="仿宋_GB2312" w:eastAsia="仿宋_GB2312" w:cs="仿宋_GB2312"/>
                <w:color w:val="auto"/>
                <w:sz w:val="28"/>
                <w:szCs w:val="28"/>
              </w:rPr>
            </w:pPr>
            <w:r>
              <w:rPr>
                <w:rFonts w:hint="eastAsia" w:ascii="仿宋_GB2312" w:hAnsi="仿宋_GB2312" w:eastAsia="仿宋_GB2312" w:cs="仿宋_GB2312"/>
                <w:b/>
                <w:bCs/>
                <w:color w:val="auto"/>
                <w:kern w:val="0"/>
                <w:sz w:val="28"/>
                <w:szCs w:val="28"/>
                <w:lang w:bidi="ar"/>
              </w:rPr>
              <w:t>合计</w:t>
            </w:r>
          </w:p>
        </w:tc>
        <w:tc>
          <w:tcPr>
            <w:tcW w:w="270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rPr>
                <w:rFonts w:ascii="仿宋_GB2312" w:hAnsi="仿宋_GB2312" w:eastAsia="仿宋_GB2312" w:cs="仿宋_GB2312"/>
                <w:b/>
                <w:bCs/>
                <w:color w:val="auto"/>
                <w:sz w:val="28"/>
                <w:szCs w:val="28"/>
              </w:rPr>
            </w:pPr>
          </w:p>
        </w:tc>
        <w:tc>
          <w:tcPr>
            <w:tcW w:w="87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b/>
                <w:bCs/>
                <w:color w:val="auto"/>
                <w:sz w:val="28"/>
                <w:szCs w:val="28"/>
              </w:rPr>
            </w:pPr>
            <w:r>
              <w:rPr>
                <w:rFonts w:hint="eastAsia" w:ascii="仿宋_GB2312" w:hAnsi="仿宋_GB2312" w:eastAsia="仿宋_GB2312" w:cs="仿宋_GB2312"/>
                <w:b/>
                <w:bCs/>
                <w:color w:val="auto"/>
                <w:kern w:val="0"/>
                <w:sz w:val="28"/>
                <w:szCs w:val="28"/>
                <w:lang w:bidi="ar"/>
              </w:rPr>
              <w:t>100</w:t>
            </w:r>
          </w:p>
        </w:tc>
        <w:tc>
          <w:tcPr>
            <w:tcW w:w="129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widowControl/>
              <w:jc w:val="center"/>
              <w:textAlignment w:val="center"/>
              <w:rPr>
                <w:rFonts w:ascii="仿宋_GB2312" w:hAnsi="仿宋_GB2312" w:eastAsia="仿宋_GB2312" w:cs="仿宋_GB2312"/>
                <w:b/>
                <w:bCs/>
                <w:color w:val="auto"/>
                <w:sz w:val="28"/>
                <w:szCs w:val="28"/>
              </w:rPr>
            </w:pPr>
            <w:r>
              <w:rPr>
                <w:rFonts w:hint="eastAsia" w:ascii="仿宋_GB2312" w:hAnsi="仿宋_GB2312" w:eastAsia="仿宋_GB2312" w:cs="仿宋_GB2312"/>
                <w:b/>
                <w:bCs/>
                <w:color w:val="auto"/>
                <w:kern w:val="0"/>
                <w:sz w:val="28"/>
                <w:szCs w:val="28"/>
                <w:lang w:bidi="ar"/>
              </w:rPr>
              <w:t>8</w:t>
            </w:r>
            <w:r>
              <w:rPr>
                <w:rFonts w:hint="eastAsia" w:ascii="仿宋_GB2312" w:hAnsi="仿宋_GB2312" w:eastAsia="仿宋_GB2312" w:cs="仿宋_GB2312"/>
                <w:b/>
                <w:bCs/>
                <w:color w:val="auto"/>
                <w:kern w:val="0"/>
                <w:sz w:val="28"/>
                <w:szCs w:val="28"/>
                <w:lang w:val="en-US" w:eastAsia="zh-CN" w:bidi="ar"/>
              </w:rPr>
              <w:t>5</w:t>
            </w:r>
            <w:r>
              <w:rPr>
                <w:rFonts w:hint="eastAsia" w:ascii="仿宋_GB2312" w:hAnsi="仿宋_GB2312" w:eastAsia="仿宋_GB2312" w:cs="仿宋_GB2312"/>
                <w:b/>
                <w:bCs/>
                <w:color w:val="auto"/>
                <w:kern w:val="0"/>
                <w:sz w:val="28"/>
                <w:szCs w:val="28"/>
                <w:lang w:bidi="ar"/>
              </w:rPr>
              <w:t>.</w:t>
            </w:r>
            <w:r>
              <w:rPr>
                <w:rFonts w:hint="eastAsia" w:ascii="仿宋_GB2312" w:hAnsi="仿宋_GB2312" w:eastAsia="仿宋_GB2312" w:cs="仿宋_GB2312"/>
                <w:b/>
                <w:bCs/>
                <w:color w:val="auto"/>
                <w:kern w:val="0"/>
                <w:sz w:val="28"/>
                <w:szCs w:val="28"/>
                <w:lang w:val="en-US" w:eastAsia="zh-CN" w:bidi="ar"/>
              </w:rPr>
              <w:t>1</w:t>
            </w:r>
            <w:r>
              <w:rPr>
                <w:rFonts w:hint="eastAsia" w:ascii="仿宋_GB2312" w:hAnsi="仿宋_GB2312" w:eastAsia="仿宋_GB2312" w:cs="仿宋_GB2312"/>
                <w:b/>
                <w:bCs/>
                <w:color w:val="auto"/>
                <w:kern w:val="0"/>
                <w:sz w:val="28"/>
                <w:szCs w:val="28"/>
                <w:lang w:bidi="ar"/>
              </w:rPr>
              <w:t xml:space="preserve">7 </w:t>
            </w:r>
          </w:p>
        </w:tc>
        <w:tc>
          <w:tcPr>
            <w:tcW w:w="30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left"/>
              <w:rPr>
                <w:rFonts w:ascii="仿宋_GB2312" w:hAnsi="仿宋_GB2312" w:eastAsia="仿宋_GB2312" w:cs="仿宋_GB2312"/>
                <w:b/>
                <w:bCs/>
                <w:color w:val="auto"/>
                <w:sz w:val="28"/>
                <w:szCs w:val="28"/>
              </w:rPr>
            </w:pPr>
          </w:p>
        </w:tc>
      </w:tr>
    </w:tbl>
    <w:p>
      <w:pPr>
        <w:spacing w:line="560" w:lineRule="exact"/>
        <w:rPr>
          <w:rFonts w:ascii="仿宋_GB2312" w:hAnsi="仿宋_GB2312" w:eastAsia="仿宋_GB2312" w:cs="仿宋_GB2312"/>
          <w:color w:val="auto"/>
          <w:sz w:val="32"/>
          <w:szCs w:val="32"/>
        </w:rPr>
        <w:sectPr>
          <w:pgSz w:w="11906" w:h="16838"/>
          <w:pgMar w:top="1440" w:right="1800" w:bottom="1440" w:left="1800" w:header="851" w:footer="992" w:gutter="0"/>
          <w:pgNumType w:fmt="decimal"/>
          <w:cols w:space="425" w:num="1"/>
          <w:docGrid w:type="lines" w:linePitch="312" w:charSpace="0"/>
        </w:sectPr>
      </w:pPr>
    </w:p>
    <w:p>
      <w:pPr>
        <w:spacing w:line="240" w:lineRule="auto"/>
        <w:outlineLvl w:val="9"/>
        <w:rPr>
          <w:rFonts w:hint="eastAsia" w:ascii="黑体" w:hAnsi="黑体" w:eastAsia="黑体" w:cs="黑体"/>
          <w:sz w:val="32"/>
          <w:szCs w:val="32"/>
          <w:lang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5</w:t>
      </w:r>
    </w:p>
    <w:p>
      <w:pPr>
        <w:pStyle w:val="2"/>
        <w:rPr>
          <w:rFonts w:hint="eastAsia" w:eastAsia="宋体"/>
          <w:lang w:eastAsia="zh-CN"/>
        </w:rPr>
      </w:pPr>
      <w:r>
        <w:rPr>
          <w:rFonts w:hint="eastAsia" w:eastAsia="宋体"/>
          <w:lang w:eastAsia="zh-CN"/>
        </w:rPr>
        <w:drawing>
          <wp:inline distT="0" distB="0" distL="114300" distR="114300">
            <wp:extent cx="5146675" cy="7452360"/>
            <wp:effectExtent l="0" t="0" r="0" b="0"/>
            <wp:docPr id="3" name="图片 3" descr="北京市总工会绩效评价报告意见反馈表-市财政专项帮扶资金项目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北京市总工会绩效评价报告意见反馈表-市财政专项帮扶资金项目_00"/>
                    <pic:cNvPicPr>
                      <a:picLocks noChangeAspect="1"/>
                    </pic:cNvPicPr>
                  </pic:nvPicPr>
                  <pic:blipFill>
                    <a:blip r:embed="rId10"/>
                    <a:srcRect l="2361"/>
                    <a:stretch>
                      <a:fillRect/>
                    </a:stretch>
                  </pic:blipFill>
                  <pic:spPr>
                    <a:xfrm>
                      <a:off x="0" y="0"/>
                      <a:ext cx="5146675" cy="7452360"/>
                    </a:xfrm>
                    <a:prstGeom prst="rect">
                      <a:avLst/>
                    </a:prstGeom>
                  </pic:spPr>
                </pic:pic>
              </a:graphicData>
            </a:graphic>
          </wp:inline>
        </w:drawing>
      </w: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Leelawadee UI">
    <w:panose1 w:val="020B0502040204020203"/>
    <w:charset w:val="00"/>
    <w:family w:val="swiss"/>
    <w:pitch w:val="default"/>
    <w:sig w:usb0="83000003" w:usb1="00000000" w:usb2="00010000" w:usb3="00000001" w:csb0="000101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pStyle w:val="10"/>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679217F"/>
    <w:multiLevelType w:val="multilevel"/>
    <w:tmpl w:val="5679217F"/>
    <w:lvl w:ilvl="0" w:tentative="0">
      <w:start w:val="1"/>
      <w:numFmt w:val="none"/>
      <w:suff w:val="nothing"/>
      <w:lvlText w:val=""/>
      <w:lvlJc w:val="left"/>
      <w:pPr>
        <w:ind w:left="0" w:firstLine="0"/>
      </w:pPr>
      <w:rPr>
        <w:rFonts w:hint="eastAsia"/>
      </w:rPr>
    </w:lvl>
    <w:lvl w:ilvl="1" w:tentative="0">
      <w:start w:val="1"/>
      <w:numFmt w:val="none"/>
      <w:suff w:val="nothing"/>
      <w:lvlText w:val="第二章"/>
      <w:lvlJc w:val="left"/>
      <w:pPr>
        <w:ind w:left="0" w:firstLine="0"/>
      </w:pPr>
      <w:rPr>
        <w:rFonts w:hint="eastAsia"/>
      </w:rPr>
    </w:lvl>
    <w:lvl w:ilvl="2" w:tentative="0">
      <w:start w:val="1"/>
      <w:numFmt w:val="none"/>
      <w:suff w:val="nothing"/>
      <w:lvlText w:val=""/>
      <w:lvlJc w:val="left"/>
      <w:pPr>
        <w:ind w:left="0" w:firstLine="0"/>
      </w:pPr>
      <w:rPr>
        <w:rFonts w:hint="eastAsia"/>
      </w:rPr>
    </w:lvl>
    <w:lvl w:ilvl="3" w:tentative="0">
      <w:start w:val="1"/>
      <w:numFmt w:val="none"/>
      <w:suff w:val="nothing"/>
      <w:lvlText w:val=""/>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DFjNzE2NWMwY2JkNzBlZDk5MzA1MDBiNGQxZGJlMGMifQ=="/>
    <w:docVar w:name="KSO_WPS_MARK_KEY" w:val="0b8b6e0d-a39c-4850-b4e7-71972b1c4d29"/>
  </w:docVars>
  <w:rsids>
    <w:rsidRoot w:val="04C45CA9"/>
    <w:rsid w:val="000464B8"/>
    <w:rsid w:val="0013165C"/>
    <w:rsid w:val="0021791A"/>
    <w:rsid w:val="002961ED"/>
    <w:rsid w:val="00857684"/>
    <w:rsid w:val="00913B9C"/>
    <w:rsid w:val="009C088F"/>
    <w:rsid w:val="02316129"/>
    <w:rsid w:val="0235429C"/>
    <w:rsid w:val="0411533A"/>
    <w:rsid w:val="04C45CA9"/>
    <w:rsid w:val="06274391"/>
    <w:rsid w:val="07C75183"/>
    <w:rsid w:val="07E605BE"/>
    <w:rsid w:val="089A5EF2"/>
    <w:rsid w:val="0B13248D"/>
    <w:rsid w:val="0B1D41C8"/>
    <w:rsid w:val="0E0911B9"/>
    <w:rsid w:val="0E63284F"/>
    <w:rsid w:val="0EAC0AC2"/>
    <w:rsid w:val="0FBA381F"/>
    <w:rsid w:val="0FDB1345"/>
    <w:rsid w:val="103B4960"/>
    <w:rsid w:val="10734936"/>
    <w:rsid w:val="11CD4B86"/>
    <w:rsid w:val="11EE77B0"/>
    <w:rsid w:val="122A7BAE"/>
    <w:rsid w:val="12512193"/>
    <w:rsid w:val="162A7BA1"/>
    <w:rsid w:val="166B2E3E"/>
    <w:rsid w:val="16CD4A42"/>
    <w:rsid w:val="174370C5"/>
    <w:rsid w:val="1749588C"/>
    <w:rsid w:val="17E86A50"/>
    <w:rsid w:val="18DF340C"/>
    <w:rsid w:val="193844ED"/>
    <w:rsid w:val="1B1E14CB"/>
    <w:rsid w:val="1C5C3D95"/>
    <w:rsid w:val="1D0B2C34"/>
    <w:rsid w:val="1D2247B2"/>
    <w:rsid w:val="1DB1080A"/>
    <w:rsid w:val="1E9D0594"/>
    <w:rsid w:val="1F6A21C3"/>
    <w:rsid w:val="1FCB0BCA"/>
    <w:rsid w:val="1FFC12EA"/>
    <w:rsid w:val="208F215E"/>
    <w:rsid w:val="217E0FA0"/>
    <w:rsid w:val="234B7C43"/>
    <w:rsid w:val="2378337E"/>
    <w:rsid w:val="265B5AF0"/>
    <w:rsid w:val="29763195"/>
    <w:rsid w:val="29A749BD"/>
    <w:rsid w:val="29CF381D"/>
    <w:rsid w:val="2B392BF9"/>
    <w:rsid w:val="2B7938DE"/>
    <w:rsid w:val="32D75E4D"/>
    <w:rsid w:val="355F614C"/>
    <w:rsid w:val="35A3072E"/>
    <w:rsid w:val="36883480"/>
    <w:rsid w:val="38AF1198"/>
    <w:rsid w:val="3C005D06"/>
    <w:rsid w:val="3C125CC6"/>
    <w:rsid w:val="3D482D9A"/>
    <w:rsid w:val="3D733358"/>
    <w:rsid w:val="3D87623F"/>
    <w:rsid w:val="3DE11DF4"/>
    <w:rsid w:val="3E247F32"/>
    <w:rsid w:val="3EDC578A"/>
    <w:rsid w:val="40BF72D0"/>
    <w:rsid w:val="41151DB4"/>
    <w:rsid w:val="432B3B11"/>
    <w:rsid w:val="484C7C24"/>
    <w:rsid w:val="487E783B"/>
    <w:rsid w:val="48AC1FAB"/>
    <w:rsid w:val="4A10770F"/>
    <w:rsid w:val="4A2A3144"/>
    <w:rsid w:val="4ACF6FC9"/>
    <w:rsid w:val="4B867684"/>
    <w:rsid w:val="4D2A6F3A"/>
    <w:rsid w:val="4DEA6AA2"/>
    <w:rsid w:val="50DB3CBD"/>
    <w:rsid w:val="50DC1B38"/>
    <w:rsid w:val="52C35B14"/>
    <w:rsid w:val="53D7102B"/>
    <w:rsid w:val="566D0271"/>
    <w:rsid w:val="56F02C50"/>
    <w:rsid w:val="57CC7219"/>
    <w:rsid w:val="5A0529AB"/>
    <w:rsid w:val="5BC7689F"/>
    <w:rsid w:val="5EE10C1A"/>
    <w:rsid w:val="612C0D28"/>
    <w:rsid w:val="62C531E2"/>
    <w:rsid w:val="64B92F7F"/>
    <w:rsid w:val="64F9277E"/>
    <w:rsid w:val="650559CA"/>
    <w:rsid w:val="66083B12"/>
    <w:rsid w:val="671E7442"/>
    <w:rsid w:val="6872797D"/>
    <w:rsid w:val="698B02B8"/>
    <w:rsid w:val="6B752190"/>
    <w:rsid w:val="6C6D2921"/>
    <w:rsid w:val="6E1D2124"/>
    <w:rsid w:val="6E3631E6"/>
    <w:rsid w:val="6F63000B"/>
    <w:rsid w:val="6FA66714"/>
    <w:rsid w:val="6FCA7817"/>
    <w:rsid w:val="717F6C52"/>
    <w:rsid w:val="71B52674"/>
    <w:rsid w:val="71F118FE"/>
    <w:rsid w:val="73D547A9"/>
    <w:rsid w:val="76AF3B36"/>
    <w:rsid w:val="76F035F0"/>
    <w:rsid w:val="772037FC"/>
    <w:rsid w:val="7CA4190A"/>
    <w:rsid w:val="7CAA0691"/>
    <w:rsid w:val="7E827D38"/>
    <w:rsid w:val="7F01420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0"/>
    <w:pPr>
      <w:keepNext/>
      <w:keepLines/>
      <w:spacing w:before="340" w:after="330" w:line="578" w:lineRule="auto"/>
      <w:outlineLvl w:val="0"/>
    </w:pPr>
    <w:rPr>
      <w:b/>
      <w:bCs/>
      <w:kern w:val="44"/>
      <w:sz w:val="44"/>
      <w:szCs w:val="44"/>
    </w:rPr>
  </w:style>
  <w:style w:type="paragraph" w:styleId="5">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9">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2">
    <w:name w:val="Title"/>
    <w:basedOn w:val="1"/>
    <w:next w:val="3"/>
    <w:qFormat/>
    <w:uiPriority w:val="0"/>
    <w:pPr>
      <w:spacing w:before="240" w:after="60"/>
      <w:jc w:val="center"/>
      <w:outlineLvl w:val="0"/>
    </w:pPr>
    <w:rPr>
      <w:rFonts w:ascii="Cambria" w:hAnsi="Cambria"/>
      <w:b/>
      <w:bCs/>
      <w:sz w:val="32"/>
      <w:szCs w:val="32"/>
    </w:rPr>
  </w:style>
  <w:style w:type="paragraph" w:styleId="3">
    <w:name w:val="Body Text Indent"/>
    <w:basedOn w:val="1"/>
    <w:qFormat/>
    <w:uiPriority w:val="0"/>
    <w:pPr>
      <w:tabs>
        <w:tab w:val="left" w:pos="2880"/>
      </w:tabs>
      <w:spacing w:line="360" w:lineRule="auto"/>
      <w:ind w:firstLine="480" w:firstLineChars="200"/>
    </w:pPr>
    <w:rPr>
      <w:bCs/>
      <w:kern w:val="0"/>
      <w:sz w:val="24"/>
      <w:szCs w:val="20"/>
    </w:rPr>
  </w:style>
  <w:style w:type="paragraph" w:styleId="6">
    <w:name w:val="Normal Indent"/>
    <w:basedOn w:val="1"/>
    <w:qFormat/>
    <w:uiPriority w:val="0"/>
    <w:pPr>
      <w:ind w:firstLine="420"/>
    </w:pPr>
    <w:rPr>
      <w:szCs w:val="21"/>
    </w:rPr>
  </w:style>
  <w:style w:type="paragraph" w:styleId="7">
    <w:name w:val="annotation text"/>
    <w:basedOn w:val="1"/>
    <w:link w:val="27"/>
    <w:qFormat/>
    <w:uiPriority w:val="0"/>
    <w:pPr>
      <w:jc w:val="left"/>
    </w:pPr>
  </w:style>
  <w:style w:type="paragraph" w:styleId="8">
    <w:name w:val="Body Text"/>
    <w:basedOn w:val="1"/>
    <w:qFormat/>
    <w:uiPriority w:val="1"/>
    <w:pPr>
      <w:spacing w:before="48"/>
      <w:ind w:left="111"/>
    </w:pPr>
    <w:rPr>
      <w:rFonts w:ascii="仿宋" w:hAnsi="仿宋" w:eastAsia="仿宋"/>
      <w:sz w:val="32"/>
      <w:szCs w:val="32"/>
    </w:rPr>
  </w:style>
  <w:style w:type="paragraph" w:styleId="9">
    <w:name w:val="Body Text Indent 2"/>
    <w:basedOn w:val="1"/>
    <w:qFormat/>
    <w:uiPriority w:val="0"/>
    <w:pPr>
      <w:spacing w:after="120" w:line="480" w:lineRule="auto"/>
      <w:ind w:left="420" w:leftChars="200"/>
    </w:pPr>
    <w:rPr>
      <w:szCs w:val="21"/>
    </w:rPr>
  </w:style>
  <w:style w:type="paragraph" w:styleId="10">
    <w:name w:val="footer"/>
    <w:basedOn w:val="1"/>
    <w:qFormat/>
    <w:uiPriority w:val="0"/>
    <w:pPr>
      <w:tabs>
        <w:tab w:val="center" w:pos="4153"/>
        <w:tab w:val="right" w:pos="8306"/>
      </w:tabs>
      <w:snapToGrid w:val="0"/>
      <w:jc w:val="left"/>
    </w:pPr>
    <w:rPr>
      <w:sz w:val="18"/>
    </w:rPr>
  </w:style>
  <w:style w:type="paragraph" w:styleId="11">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2">
    <w:name w:val="toc 1"/>
    <w:basedOn w:val="1"/>
    <w:next w:val="1"/>
    <w:qFormat/>
    <w:uiPriority w:val="0"/>
  </w:style>
  <w:style w:type="paragraph" w:styleId="13">
    <w:name w:val="toc 2"/>
    <w:basedOn w:val="1"/>
    <w:next w:val="1"/>
    <w:qFormat/>
    <w:uiPriority w:val="0"/>
    <w:pPr>
      <w:ind w:left="420" w:leftChars="200"/>
    </w:pPr>
  </w:style>
  <w:style w:type="paragraph" w:styleId="14">
    <w:name w:val="annotation subject"/>
    <w:basedOn w:val="7"/>
    <w:next w:val="7"/>
    <w:link w:val="28"/>
    <w:qFormat/>
    <w:uiPriority w:val="0"/>
    <w:rPr>
      <w:b/>
      <w:bCs/>
    </w:rPr>
  </w:style>
  <w:style w:type="paragraph" w:styleId="15">
    <w:name w:val="Body Text First Indent"/>
    <w:basedOn w:val="8"/>
    <w:qFormat/>
    <w:uiPriority w:val="0"/>
    <w:pPr>
      <w:ind w:firstLine="420" w:firstLineChars="100"/>
    </w:pPr>
  </w:style>
  <w:style w:type="paragraph" w:styleId="16">
    <w:name w:val="Body Text First Indent 2"/>
    <w:basedOn w:val="3"/>
    <w:qFormat/>
    <w:uiPriority w:val="0"/>
    <w:pPr>
      <w:ind w:firstLine="200"/>
    </w:pPr>
  </w:style>
  <w:style w:type="table" w:styleId="18">
    <w:name w:val="Table Grid"/>
    <w:basedOn w:val="1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Hyperlink"/>
    <w:basedOn w:val="19"/>
    <w:qFormat/>
    <w:uiPriority w:val="0"/>
    <w:rPr>
      <w:color w:val="0000FF"/>
      <w:u w:val="single"/>
    </w:rPr>
  </w:style>
  <w:style w:type="character" w:styleId="21">
    <w:name w:val="annotation reference"/>
    <w:basedOn w:val="19"/>
    <w:qFormat/>
    <w:uiPriority w:val="0"/>
    <w:rPr>
      <w:sz w:val="21"/>
      <w:szCs w:val="21"/>
    </w:rPr>
  </w:style>
  <w:style w:type="paragraph" w:customStyle="1" w:styleId="22">
    <w:name w:val="WPSOffice手动目录 1"/>
    <w:qFormat/>
    <w:uiPriority w:val="0"/>
    <w:rPr>
      <w:rFonts w:ascii="Times New Roman" w:hAnsi="Times New Roman" w:eastAsia="宋体" w:cs="Times New Roman"/>
      <w:lang w:val="en-US" w:eastAsia="zh-CN" w:bidi="ar-SA"/>
    </w:rPr>
  </w:style>
  <w:style w:type="paragraph" w:customStyle="1" w:styleId="23">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24">
    <w:name w:val="表格"/>
    <w:basedOn w:val="1"/>
    <w:qFormat/>
    <w:uiPriority w:val="0"/>
    <w:pPr>
      <w:jc w:val="center"/>
    </w:pPr>
    <w:rPr>
      <w:rFonts w:ascii="Verdana" w:hAnsi="Verdana" w:eastAsia="仿宋_GB2312"/>
      <w:sz w:val="24"/>
      <w:lang w:eastAsia="en-US"/>
    </w:rPr>
  </w:style>
  <w:style w:type="paragraph" w:styleId="25">
    <w:name w:val="List Paragraph"/>
    <w:basedOn w:val="1"/>
    <w:qFormat/>
    <w:uiPriority w:val="34"/>
    <w:pPr>
      <w:ind w:firstLine="420" w:firstLineChars="200"/>
    </w:pPr>
  </w:style>
  <w:style w:type="paragraph" w:customStyle="1" w:styleId="26">
    <w:name w:val="Revision"/>
    <w:hidden/>
    <w:unhideWhenUsed/>
    <w:qFormat/>
    <w:uiPriority w:val="99"/>
    <w:rPr>
      <w:rFonts w:ascii="Times New Roman" w:hAnsi="Times New Roman" w:eastAsia="宋体" w:cs="Times New Roman"/>
      <w:kern w:val="2"/>
      <w:sz w:val="21"/>
      <w:szCs w:val="24"/>
      <w:lang w:val="en-US" w:eastAsia="zh-CN" w:bidi="ar-SA"/>
    </w:rPr>
  </w:style>
  <w:style w:type="character" w:customStyle="1" w:styleId="27">
    <w:name w:val="批注文字 字符"/>
    <w:basedOn w:val="19"/>
    <w:link w:val="7"/>
    <w:qFormat/>
    <w:uiPriority w:val="0"/>
    <w:rPr>
      <w:kern w:val="2"/>
      <w:sz w:val="21"/>
      <w:szCs w:val="24"/>
    </w:rPr>
  </w:style>
  <w:style w:type="character" w:customStyle="1" w:styleId="28">
    <w:name w:val="批注主题 字符"/>
    <w:basedOn w:val="27"/>
    <w:link w:val="14"/>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5806</Words>
  <Characters>6275</Characters>
  <Lines>129</Lines>
  <Paragraphs>36</Paragraphs>
  <TotalTime>1</TotalTime>
  <ScaleCrop>false</ScaleCrop>
  <LinksUpToDate>false</LinksUpToDate>
  <CharactersWithSpaces>6509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2024-05-16T07:22:00Z</dcterms:created>
  <dc:creator>肆月</dc:creator>
  <cp:lastModifiedBy>肆月</cp:lastModifiedBy>
  <dcterms:modified xsi:type="dcterms:W3CDTF">2024-06-05T02:06:44Z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C35DDAAE039A423E8801A01BBE46D8F9_13</vt:lpwstr>
  </property>
</Properties>
</file>