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640" w:lineRule="exact"/>
        <w:ind w:firstLine="640" w:firstLineChars="200"/>
        <w:jc w:val="center"/>
        <w:rPr>
          <w:rFonts w:eastAsia="黑体"/>
          <w:sz w:val="32"/>
          <w:szCs w:val="32"/>
        </w:rPr>
      </w:pPr>
    </w:p>
    <w:p>
      <w:pPr>
        <w:tabs>
          <w:tab w:val="center" w:pos="6979"/>
        </w:tabs>
        <w:spacing w:before="156" w:beforeLines="50" w:after="156" w:afterLines="50"/>
        <w:jc w:val="center"/>
        <w:rPr>
          <w:rFonts w:hint="default" w:ascii="Times New Roman" w:hAnsi="Times New Roman" w:cs="Times New Roman"/>
          <w:b/>
          <w:bCs/>
          <w:spacing w:val="40"/>
          <w:kern w:val="0"/>
          <w:sz w:val="32"/>
          <w:szCs w:val="32"/>
        </w:rPr>
      </w:pPr>
      <w:r>
        <w:rPr>
          <w:rFonts w:hint="default" w:ascii="Times New Roman" w:hAnsi="Times New Roman" w:cs="Times New Roman"/>
          <w:b/>
          <w:bCs/>
          <w:spacing w:val="40"/>
          <w:kern w:val="0"/>
          <w:sz w:val="32"/>
          <w:szCs w:val="32"/>
        </w:rPr>
        <w:t xml:space="preserve">第四部分  </w:t>
      </w:r>
      <w:r>
        <w:rPr>
          <w:rFonts w:hint="default" w:ascii="Times New Roman" w:hAnsi="Times New Roman" w:cs="Times New Roman"/>
          <w:b/>
          <w:bCs/>
          <w:spacing w:val="40"/>
          <w:kern w:val="0"/>
          <w:sz w:val="32"/>
          <w:szCs w:val="32"/>
          <w:lang w:val="en"/>
        </w:rPr>
        <w:t>202</w:t>
      </w:r>
      <w:r>
        <w:rPr>
          <w:rFonts w:hint="eastAsia" w:ascii="Times New Roman" w:hAnsi="Times New Roman" w:cs="Times New Roman"/>
          <w:b/>
          <w:bCs/>
          <w:spacing w:val="40"/>
          <w:kern w:val="0"/>
          <w:sz w:val="32"/>
          <w:szCs w:val="32"/>
          <w:lang w:val="en-US" w:eastAsia="zh-CN"/>
        </w:rPr>
        <w:t>3</w:t>
      </w:r>
      <w:r>
        <w:rPr>
          <w:rFonts w:hint="default" w:ascii="Times New Roman" w:hAnsi="Times New Roman" w:cs="Times New Roman"/>
          <w:b/>
          <w:bCs/>
          <w:spacing w:val="40"/>
          <w:kern w:val="0"/>
          <w:sz w:val="32"/>
          <w:szCs w:val="32"/>
          <w:lang w:val="en"/>
        </w:rPr>
        <w:t>年</w:t>
      </w:r>
      <w:r>
        <w:rPr>
          <w:rFonts w:hint="default" w:ascii="Times New Roman" w:hAnsi="Times New Roman" w:cs="Times New Roman"/>
          <w:b/>
          <w:bCs/>
          <w:spacing w:val="40"/>
          <w:kern w:val="0"/>
          <w:sz w:val="32"/>
          <w:szCs w:val="32"/>
        </w:rPr>
        <w:t>度部门绩效评价情况</w:t>
      </w:r>
    </w:p>
    <w:p>
      <w:pPr>
        <w:keepNext w:val="0"/>
        <w:keepLines w:val="0"/>
        <w:pageBreakBefore w:val="0"/>
        <w:widowControl w:val="0"/>
        <w:kinsoku/>
        <w:wordWrap/>
        <w:overflowPunct/>
        <w:topLinePunct w:val="0"/>
        <w:autoSpaceDE/>
        <w:autoSpaceDN/>
        <w:bidi w:val="0"/>
        <w:spacing w:line="640" w:lineRule="exact"/>
        <w:ind w:firstLine="720" w:firstLineChars="200"/>
        <w:textAlignment w:val="auto"/>
        <w:rPr>
          <w:rFonts w:hint="eastAsia" w:hAnsi="黑体" w:eastAsia="黑体"/>
          <w:sz w:val="36"/>
          <w:szCs w:val="36"/>
        </w:rPr>
      </w:pP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hAnsi="黑体" w:eastAsia="黑体"/>
          <w:sz w:val="28"/>
          <w:szCs w:val="28"/>
        </w:rPr>
      </w:pPr>
      <w:r>
        <w:rPr>
          <w:rFonts w:hint="eastAsia" w:hAnsi="黑体" w:eastAsia="黑体"/>
          <w:sz w:val="28"/>
          <w:szCs w:val="28"/>
        </w:rPr>
        <w:t>一、部门整体绩效评价报告</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rPr>
      </w:pPr>
      <w:r>
        <w:rPr>
          <w:rFonts w:hint="eastAsia" w:eastAsia="仿宋_GB2312"/>
          <w:sz w:val="28"/>
          <w:szCs w:val="28"/>
          <w:lang w:eastAsia="zh-CN"/>
        </w:rPr>
        <w:t>（一）</w:t>
      </w:r>
      <w:r>
        <w:rPr>
          <w:rFonts w:hint="eastAsia" w:eastAsia="仿宋_GB2312"/>
          <w:sz w:val="28"/>
          <w:szCs w:val="28"/>
        </w:rPr>
        <w:t>部门概况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rPr>
      </w:pPr>
      <w:r>
        <w:rPr>
          <w:rFonts w:hint="eastAsia" w:eastAsia="仿宋_GB2312"/>
          <w:sz w:val="28"/>
          <w:szCs w:val="28"/>
          <w:lang w:val="en-US" w:eastAsia="zh-CN"/>
        </w:rPr>
        <w:t>1.</w:t>
      </w:r>
      <w:r>
        <w:rPr>
          <w:rFonts w:hint="eastAsia" w:eastAsia="仿宋_GB2312"/>
          <w:sz w:val="28"/>
          <w:szCs w:val="28"/>
        </w:rPr>
        <w:t>机构设置及职责工作任务情况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rPr>
        <w:t>中国共产党北京市委员会组织部是负责本市组织</w:t>
      </w:r>
      <w:r>
        <w:rPr>
          <w:rFonts w:hint="eastAsia" w:eastAsia="仿宋_GB2312"/>
          <w:spacing w:val="-6"/>
          <w:sz w:val="28"/>
          <w:szCs w:val="28"/>
        </w:rPr>
        <w:t>工作、干部工作和人才工作的市委工作机构。</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rPr>
      </w:pPr>
      <w:r>
        <w:rPr>
          <w:rFonts w:hint="eastAsia" w:eastAsia="仿宋_GB2312"/>
          <w:sz w:val="28"/>
          <w:szCs w:val="28"/>
          <w:lang w:val="en-US" w:eastAsia="zh-CN"/>
        </w:rPr>
        <w:t>2.</w:t>
      </w:r>
      <w:r>
        <w:rPr>
          <w:rFonts w:hint="eastAsia" w:eastAsia="仿宋_GB2312"/>
          <w:sz w:val="28"/>
          <w:szCs w:val="28"/>
        </w:rPr>
        <w:t>部门整体绩效目标设立情况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按照北京市财政局相关要求编制预算并设立了项目绩效目标和绩效指标，年度工作任务与发展规划目标基本衔接，绩效目标符合部门职能定位、发展规划和工作计划，绩效指标从产出指标、效益指标等角度设计，能清晰反映总体目标实现程度、核心产出和效果。</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rPr>
      </w:pPr>
      <w:r>
        <w:rPr>
          <w:rFonts w:hint="eastAsia" w:eastAsia="仿宋_GB2312"/>
          <w:sz w:val="28"/>
          <w:szCs w:val="28"/>
          <w:lang w:eastAsia="zh-CN"/>
        </w:rPr>
        <w:t>（二）</w:t>
      </w:r>
      <w:r>
        <w:rPr>
          <w:rFonts w:hint="eastAsia" w:eastAsia="仿宋_GB2312"/>
          <w:sz w:val="28"/>
          <w:szCs w:val="28"/>
        </w:rPr>
        <w:t>当年预算执行情况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rPr>
      </w:pPr>
      <w:r>
        <w:rPr>
          <w:rFonts w:hint="eastAsia" w:eastAsia="仿宋_GB2312"/>
          <w:sz w:val="28"/>
          <w:szCs w:val="28"/>
          <w:highlight w:val="none"/>
        </w:rPr>
        <w:t>根据年度工作目标和实际工作需要，按照预算批复做好预算执行。2023年全年预算数36738.48万元，其中，基本支出预算数11934.04万元，项目支出预算数24804.44万元，其他支出预算数0万元。资金总体支出36230.75万元，预算执行率为98.62%，较2022年度预算执行率提高3.12%，整体预算执行率较高。</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rPr>
      </w:pPr>
      <w:r>
        <w:rPr>
          <w:rFonts w:hint="eastAsia" w:eastAsia="仿宋_GB2312"/>
          <w:sz w:val="28"/>
          <w:szCs w:val="28"/>
          <w:lang w:eastAsia="zh-CN"/>
        </w:rPr>
        <w:t>（三）</w:t>
      </w:r>
      <w:r>
        <w:rPr>
          <w:rFonts w:hint="eastAsia" w:eastAsia="仿宋_GB2312"/>
          <w:sz w:val="28"/>
          <w:szCs w:val="28"/>
        </w:rPr>
        <w:t>整体绩效目标实现情况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1.</w:t>
      </w:r>
      <w:r>
        <w:rPr>
          <w:rFonts w:hint="default" w:ascii="Times New Roman" w:hAnsi="Times New Roman" w:eastAsia="楷体_GB2312" w:cs="Times New Roman"/>
          <w:sz w:val="28"/>
          <w:szCs w:val="28"/>
        </w:rPr>
        <w:t>产出完成情况分析</w:t>
      </w:r>
      <w:r>
        <w:rPr>
          <w:rFonts w:hint="eastAsia" w:eastAsia="仿宋_GB2312"/>
          <w:sz w:val="28"/>
          <w:szCs w:val="28"/>
          <w:lang w:val="en-US" w:eastAsia="zh-CN"/>
        </w:rPr>
        <w:t>。2023年度38个项目均能根据年度工作目标，积极有效履行各项职能职责，推动重点任务落地落实，产出质量符合整体绩效目标要求，项目平均计划工作完成率为99.17%。</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2.</w:t>
      </w:r>
      <w:r>
        <w:rPr>
          <w:rFonts w:hint="default" w:ascii="Times New Roman" w:hAnsi="Times New Roman" w:eastAsia="楷体_GB2312" w:cs="Times New Roman"/>
          <w:sz w:val="28"/>
          <w:szCs w:val="28"/>
        </w:rPr>
        <w:t>效果实现情况分析</w:t>
      </w:r>
      <w:r>
        <w:rPr>
          <w:rFonts w:hint="eastAsia" w:eastAsia="仿宋_GB2312"/>
          <w:sz w:val="28"/>
          <w:szCs w:val="28"/>
          <w:lang w:val="en-US" w:eastAsia="zh-CN"/>
        </w:rPr>
        <w:t>。</w:t>
      </w:r>
      <w:r>
        <w:rPr>
          <w:rFonts w:hint="default" w:eastAsia="仿宋_GB2312"/>
          <w:sz w:val="28"/>
          <w:szCs w:val="28"/>
          <w:lang w:val="en-US" w:eastAsia="zh-CN"/>
        </w:rPr>
        <w:t>社会效益</w:t>
      </w:r>
      <w:r>
        <w:rPr>
          <w:rFonts w:hint="eastAsia" w:eastAsia="仿宋_GB2312"/>
          <w:sz w:val="28"/>
          <w:szCs w:val="28"/>
          <w:lang w:val="en-US" w:eastAsia="zh-CN"/>
        </w:rPr>
        <w:t>方面，</w:t>
      </w:r>
      <w:r>
        <w:rPr>
          <w:rFonts w:hint="default" w:eastAsia="仿宋_GB2312"/>
          <w:sz w:val="28"/>
          <w:szCs w:val="28"/>
          <w:lang w:val="en-US" w:eastAsia="zh-CN"/>
        </w:rPr>
        <w:t>建立了一系列长效管理机制，推动管理措施创新，提升履职工作效率，促使部门绩效目标实现。服务对象满意度</w:t>
      </w:r>
      <w:r>
        <w:rPr>
          <w:rFonts w:hint="eastAsia" w:eastAsia="仿宋_GB2312"/>
          <w:sz w:val="28"/>
          <w:szCs w:val="28"/>
          <w:lang w:val="en-US" w:eastAsia="zh-CN"/>
        </w:rPr>
        <w:t>方面，依据</w:t>
      </w:r>
      <w:r>
        <w:rPr>
          <w:rFonts w:hint="default" w:eastAsia="仿宋_GB2312"/>
          <w:sz w:val="28"/>
          <w:szCs w:val="28"/>
          <w:lang w:val="en-US" w:eastAsia="zh-CN"/>
        </w:rPr>
        <w:t>2023年度部分项目服务对象满意度佐证材料，目前项目支出绩效评价中的整体满意度较高</w:t>
      </w:r>
      <w:r>
        <w:rPr>
          <w:rFonts w:hint="eastAsia" w:eastAsia="仿宋_GB2312"/>
          <w:sz w:val="28"/>
          <w:szCs w:val="28"/>
          <w:lang w:val="en-US" w:eastAsia="zh-CN"/>
        </w:rPr>
        <w:t>。</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eastAsia="zh-CN"/>
        </w:rPr>
      </w:pPr>
      <w:r>
        <w:rPr>
          <w:rFonts w:hint="eastAsia" w:eastAsia="仿宋_GB2312"/>
          <w:sz w:val="28"/>
          <w:szCs w:val="28"/>
          <w:lang w:eastAsia="zh-CN"/>
        </w:rPr>
        <w:t>（四）预算管理情况分析</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sz w:val="28"/>
          <w:szCs w:val="28"/>
          <w:lang w:val="en-US" w:eastAsia="zh-CN"/>
        </w:rPr>
        <w:t>1.财务管理制度健全。新修订并出台了《中国北京市委组织部财务管理办法》，按照实际管理需求进一步完善预算管理、收支管理等相关内容。此外，2023年，遵照《中国北京市委组织部课题经费管理办法（试行）》、《中国北京市委组织部采购管理办法（试行）》、《中国北京市委组织部国有资产管理办法（试行）》等经济业务模块管理办法规定，严格落实采购管理、资产管理等各项要求，持续规范开展各项财务工作</w:t>
      </w:r>
      <w:r>
        <w:rPr>
          <w:rFonts w:hint="eastAsia" w:eastAsia="仿宋_GB2312"/>
          <w:sz w:val="28"/>
          <w:szCs w:val="28"/>
          <w:u w:val="none"/>
          <w:lang w:eastAsia="zh-CN"/>
        </w:rPr>
        <w:t>。</w:t>
      </w:r>
      <w:r>
        <w:rPr>
          <w:rFonts w:hint="eastAsia" w:eastAsia="仿宋_GB2312"/>
          <w:sz w:val="28"/>
          <w:szCs w:val="28"/>
          <w:lang w:val="en-US" w:eastAsia="zh-CN"/>
        </w:rPr>
        <w:t>资金使用合规、安全，预算资金使用符合预算批复和合同规定的用途，资金拨付有完整的审批程序和手续，不存在截留、挤占、挪用、损失浪费等严重违规情况，未发现违规使用资金情况</w:t>
      </w:r>
      <w:r>
        <w:rPr>
          <w:rFonts w:hint="eastAsia" w:ascii="Times New Roman" w:hAnsi="Times New Roman" w:eastAsia="仿宋_GB2312" w:cs="Times New Roman"/>
          <w:sz w:val="28"/>
          <w:szCs w:val="28"/>
          <w:lang w:val="en-US" w:eastAsia="zh-CN"/>
        </w:rPr>
        <w:t>。</w:t>
      </w:r>
      <w:r>
        <w:rPr>
          <w:rFonts w:hint="eastAsia" w:ascii="Times New Roman" w:hAnsi="Times New Roman" w:eastAsia="仿宋_GB2312" w:cs="Times New Roman"/>
          <w:kern w:val="2"/>
          <w:sz w:val="28"/>
          <w:szCs w:val="28"/>
          <w:lang w:val="en-US" w:eastAsia="zh-CN" w:bidi="ar-SA"/>
        </w:rPr>
        <w:t>会计基础信息完善。按照市财政局绩效管理相关政策，年初设置预算项目绩效目标，开展绩效运行监控和事后绩效评价。部门绩效管理意识显著增强，财政资金使用效益不断提高。</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default" w:eastAsia="仿宋_GB2312"/>
          <w:sz w:val="28"/>
          <w:szCs w:val="28"/>
          <w:lang w:val="en-US" w:eastAsia="zh-CN"/>
        </w:rPr>
      </w:pPr>
      <w:r>
        <w:rPr>
          <w:rFonts w:hint="eastAsia" w:eastAsia="仿宋_GB2312"/>
          <w:sz w:val="28"/>
          <w:szCs w:val="28"/>
          <w:lang w:val="en-US" w:eastAsia="zh-CN"/>
        </w:rPr>
        <w:t>2.资产管理，遵照《中共北京市委组织部国有资产管理办法》中关于资产配置、日常管理、资产处置等各环节工作要求，设置专人专岗负责资产管理工作，定期对资产进行盘点，对已交付使用的项目资产及时录入资产管理系统，并完善与补充相关内容，有效保证资产管理人员了解资产信息变动情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default" w:eastAsia="仿宋_GB2312"/>
          <w:sz w:val="28"/>
          <w:szCs w:val="28"/>
          <w:lang w:val="en-US" w:eastAsia="zh-CN"/>
        </w:rPr>
      </w:pPr>
      <w:bookmarkStart w:id="0" w:name="_Toc149289035"/>
      <w:r>
        <w:rPr>
          <w:rFonts w:hint="eastAsia" w:eastAsia="仿宋_GB2312"/>
          <w:sz w:val="28"/>
          <w:szCs w:val="28"/>
          <w:lang w:val="en-US" w:eastAsia="zh-CN"/>
        </w:rPr>
        <w:t>3.</w:t>
      </w:r>
      <w:r>
        <w:rPr>
          <w:rFonts w:hint="default" w:eastAsia="仿宋_GB2312"/>
          <w:sz w:val="28"/>
          <w:szCs w:val="28"/>
          <w:lang w:val="en-US" w:eastAsia="zh-CN"/>
        </w:rPr>
        <w:t>绩效管理</w:t>
      </w:r>
      <w:bookmarkEnd w:id="0"/>
      <w:r>
        <w:rPr>
          <w:rFonts w:hint="eastAsia" w:eastAsia="仿宋_GB2312"/>
          <w:sz w:val="28"/>
          <w:szCs w:val="28"/>
          <w:lang w:val="en-US" w:eastAsia="zh-CN"/>
        </w:rPr>
        <w:t>，</w:t>
      </w:r>
      <w:r>
        <w:rPr>
          <w:rFonts w:hint="default" w:eastAsia="仿宋_GB2312"/>
          <w:sz w:val="28"/>
          <w:szCs w:val="28"/>
          <w:lang w:val="en-US" w:eastAsia="zh-CN"/>
        </w:rPr>
        <w:t>一是完善了预算绩效管理流程</w:t>
      </w:r>
      <w:r>
        <w:rPr>
          <w:rFonts w:hint="eastAsia" w:eastAsia="仿宋_GB2312"/>
          <w:sz w:val="28"/>
          <w:szCs w:val="28"/>
          <w:lang w:val="en-US" w:eastAsia="zh-CN"/>
        </w:rPr>
        <w:t>，</w:t>
      </w:r>
      <w:r>
        <w:rPr>
          <w:rFonts w:hint="default" w:eastAsia="仿宋_GB2312"/>
          <w:sz w:val="28"/>
          <w:szCs w:val="28"/>
          <w:lang w:val="en-US" w:eastAsia="zh-CN"/>
        </w:rPr>
        <w:t>通过健全绩效管理机制，进一步优化了本单位涵盖绩效目标管理、绩效运行监控、绩效评价管理、评价结果应用等各环节的管理流程，逐步建立起“预算编制有目标、预算执行有监控、预算完成有评价、评价结果有反馈、反馈结果有应用”的全过程预算绩效管理机制。二是加强了项目预算绩效评价。持续强化对预算绩效评价工作重要性认识，建立了完善绩效评价工作机制，本着科学公正、统筹兼顾、激励约束、公开透明的原则，根据项目的绩效目标和绩效指标等标准对项目的效益性、经济性、效率性进行部门评价，并采取引入第三方中介机构参与的方式提高绩效评价的独立性、客观性。</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default" w:eastAsia="仿宋_GB2312"/>
          <w:sz w:val="28"/>
          <w:szCs w:val="28"/>
          <w:lang w:val="en-US" w:eastAsia="zh-CN"/>
        </w:rPr>
      </w:pPr>
      <w:bookmarkStart w:id="1" w:name="_Toc149289036"/>
      <w:r>
        <w:rPr>
          <w:rFonts w:hint="eastAsia" w:eastAsia="仿宋_GB2312"/>
          <w:sz w:val="28"/>
          <w:szCs w:val="28"/>
          <w:lang w:val="en-US" w:eastAsia="zh-CN"/>
        </w:rPr>
        <w:t>4.</w:t>
      </w:r>
      <w:r>
        <w:rPr>
          <w:rFonts w:hint="default" w:eastAsia="仿宋_GB2312"/>
          <w:sz w:val="28"/>
          <w:szCs w:val="28"/>
          <w:lang w:val="en-US" w:eastAsia="zh-CN"/>
        </w:rPr>
        <w:t>预算质量</w:t>
      </w:r>
      <w:bookmarkEnd w:id="1"/>
      <w:r>
        <w:rPr>
          <w:rFonts w:hint="eastAsia" w:eastAsia="仿宋_GB2312"/>
          <w:sz w:val="28"/>
          <w:szCs w:val="28"/>
          <w:lang w:val="en-US" w:eastAsia="zh-CN"/>
        </w:rPr>
        <w:t>，</w:t>
      </w:r>
      <w:r>
        <w:rPr>
          <w:rFonts w:hint="default" w:eastAsia="仿宋_GB2312"/>
          <w:sz w:val="28"/>
          <w:szCs w:val="28"/>
          <w:lang w:val="en-US" w:eastAsia="zh-CN"/>
        </w:rPr>
        <w:t>根据各项重点工作资金需求，基于“强化统筹、聚焦重点、厉行节约、优化结构、规范管理、提质增效”的原则，编制年度经费预算安排，预算编制整体质量较好。2023年度年初预算支出数为36738.48万元，支出决算数为36230.75万元，部门预决算差异率为1.4%，全年预算结转结余率为4.89%，低于2022年度约1个百分点，预算编制质量较上一年度有所提高。</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rPr>
      </w:pPr>
      <w:r>
        <w:rPr>
          <w:rFonts w:hint="eastAsia" w:eastAsia="仿宋_GB2312"/>
          <w:sz w:val="28"/>
          <w:szCs w:val="28"/>
          <w:lang w:eastAsia="zh-CN"/>
        </w:rPr>
        <w:t>（五）</w:t>
      </w:r>
      <w:r>
        <w:rPr>
          <w:rFonts w:hint="eastAsia" w:eastAsia="仿宋_GB2312"/>
          <w:sz w:val="28"/>
          <w:szCs w:val="28"/>
        </w:rPr>
        <w:t>总体评价结论</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rPr>
        <w:t>整体绩效目标</w:t>
      </w:r>
      <w:r>
        <w:rPr>
          <w:rFonts w:hint="eastAsia" w:eastAsia="仿宋_GB2312"/>
          <w:sz w:val="28"/>
          <w:szCs w:val="28"/>
          <w:lang w:val="en-US" w:eastAsia="zh-CN"/>
        </w:rPr>
        <w:t>实现情况较好。</w:t>
      </w:r>
    </w:p>
    <w:p>
      <w:pPr>
        <w:keepNext w:val="0"/>
        <w:keepLines w:val="0"/>
        <w:pageBreakBefore w:val="0"/>
        <w:widowControl w:val="0"/>
        <w:numPr>
          <w:ilvl w:val="0"/>
          <w:numId w:val="1"/>
        </w:numPr>
        <w:kinsoku/>
        <w:wordWrap/>
        <w:overflowPunct/>
        <w:topLinePunct w:val="0"/>
        <w:autoSpaceDE/>
        <w:autoSpaceDN/>
        <w:bidi w:val="0"/>
        <w:adjustRightInd w:val="0"/>
        <w:snapToGrid w:val="0"/>
        <w:spacing w:line="640" w:lineRule="exact"/>
        <w:ind w:firstLine="560" w:firstLineChars="200"/>
        <w:textAlignment w:val="auto"/>
        <w:rPr>
          <w:rFonts w:hint="eastAsia" w:hAnsi="黑体" w:eastAsia="黑体"/>
          <w:sz w:val="28"/>
          <w:szCs w:val="28"/>
          <w:highlight w:val="none"/>
        </w:rPr>
      </w:pPr>
      <w:r>
        <w:rPr>
          <w:rFonts w:hint="eastAsia" w:eastAsia="仿宋_GB2312"/>
          <w:sz w:val="28"/>
          <w:szCs w:val="28"/>
          <w:highlight w:val="none"/>
          <w:lang w:val="en-US" w:eastAsia="zh-CN"/>
        </w:rPr>
        <w:t>2</w:t>
      </w:r>
      <w:r>
        <w:rPr>
          <w:rFonts w:hint="eastAsia" w:hAnsi="黑体" w:eastAsia="黑体"/>
          <w:sz w:val="28"/>
          <w:szCs w:val="28"/>
          <w:highlight w:val="none"/>
          <w:lang w:val="en-US" w:eastAsia="zh-CN"/>
        </w:rPr>
        <w:t>023年度新中国成立前入党的农村老党员和未</w:t>
      </w:r>
      <w:r>
        <w:rPr>
          <w:rFonts w:hint="eastAsia" w:hAnsi="黑体" w:eastAsia="黑体"/>
          <w:spacing w:val="-6"/>
          <w:sz w:val="28"/>
          <w:szCs w:val="28"/>
          <w:highlight w:val="none"/>
          <w:lang w:val="en-US" w:eastAsia="zh-CN"/>
        </w:rPr>
        <w:t>享受离退休待遇的城镇老党员生活补贴项目绩效评价报告</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（一）基本情况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新中国成立前入党的农村老党员，为中国革命和社会主义建设事业做出了巨大牺牲和宝贵贡献，是党和国家的宝贵财富。按照中组部、市委有关要求，我市自2005年起，对新中国成立前入党的农村老党员和未享受离退休待遇的城镇老党员（以下简称老党员）给予生活补助。</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lang w:val="en-US" w:eastAsia="zh-CN"/>
        </w:rPr>
      </w:pPr>
      <w:r>
        <w:rPr>
          <w:rFonts w:hint="eastAsia" w:eastAsia="仿宋_GB2312"/>
          <w:sz w:val="28"/>
          <w:szCs w:val="28"/>
          <w:lang w:val="en-US" w:eastAsia="zh-CN"/>
        </w:rPr>
        <w:t>2015年11月，市委组织部、市民政局、市财政局联合印发《关于进一步做好关心关爱建国前入党的农村老党员和未享受离退休待遇的城镇老党员工作的通知》，提高了老党员补贴标准，并要求每年10月参照上一年度全市城镇居民人均可支配收入增长比率，确定年度老党员生活补贴增长幅度。市级补贴资金由市财政和市管党费按照3∶1的比例共同承担。区、系统应按照不低于1∶1的比例配套补贴资金，其中系统补贴资金由市财政和系统所管党费按照3∶1的比例承担。2018年，根据退役军人事务部、财政部有关文件精神，将确定老党员生活补贴增长幅度时间调整为每年8月。</w:t>
      </w:r>
      <w:r>
        <w:rPr>
          <w:rFonts w:hint="default" w:eastAsia="仿宋_GB2312"/>
          <w:sz w:val="28"/>
          <w:szCs w:val="28"/>
          <w:lang w:val="en" w:eastAsia="zh-CN"/>
        </w:rPr>
        <w:t>2022年</w:t>
      </w:r>
      <w:r>
        <w:rPr>
          <w:rFonts w:hint="eastAsia" w:eastAsia="仿宋_GB2312"/>
          <w:sz w:val="28"/>
          <w:szCs w:val="28"/>
          <w:lang w:val="en-US" w:eastAsia="zh-CN"/>
        </w:rPr>
        <w:t>8月，市委组织部、市民政局、市退役军人事务局联合印发《关于调整全市新中国成立前入党的农村老党员和未享受离退休待遇的城镇老党员生活补贴标准的通知》，并调整了全市老党员市级生活补贴标准。</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default" w:eastAsia="仿宋_GB2312"/>
          <w:sz w:val="28"/>
          <w:szCs w:val="28"/>
          <w:highlight w:val="none"/>
          <w:lang w:val="en" w:eastAsia="zh-CN"/>
        </w:rPr>
        <w:t>202</w:t>
      </w:r>
      <w:r>
        <w:rPr>
          <w:rFonts w:hint="eastAsia" w:eastAsia="仿宋_GB2312"/>
          <w:sz w:val="28"/>
          <w:szCs w:val="28"/>
          <w:highlight w:val="none"/>
          <w:lang w:val="en-US" w:eastAsia="zh-CN"/>
        </w:rPr>
        <w:t>3</w:t>
      </w:r>
      <w:r>
        <w:rPr>
          <w:rFonts w:hint="default" w:eastAsia="仿宋_GB2312"/>
          <w:sz w:val="28"/>
          <w:szCs w:val="28"/>
          <w:highlight w:val="none"/>
          <w:lang w:val="en" w:eastAsia="zh-CN"/>
        </w:rPr>
        <w:t>年</w:t>
      </w:r>
      <w:r>
        <w:rPr>
          <w:rFonts w:hint="eastAsia" w:eastAsia="仿宋_GB2312"/>
          <w:sz w:val="28"/>
          <w:szCs w:val="28"/>
          <w:highlight w:val="none"/>
          <w:lang w:val="en-US" w:eastAsia="zh-CN"/>
        </w:rPr>
        <w:t>，按照老党员人数及补贴标准，申请市级财政预算792万元，中央财政划拨36万元，共计828万元。财政补贴资金转入市管党费，并由市委组织部配套一定比例市管党费后，划拨给各区和相关系统，用于发放老党员补贴。</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（二）绩效评价情况</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1.产出指标—数量指标，设定为补贴人数。要求每名符合条件的老党员都应补贴到位。</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2.产出指标—质量指标，设定补贴到位率，确保新中国成立前入党的农村老党员和未享受离退休待遇的城镇老党员全覆盖。</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3.产出指标—时效指标，包括1-7月统发、8月调标后统发。要求资金及时发放到位。</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4.产出指标—经济成本指标，包括中央财政拨款和市财政预算。</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5.效益指标—社会效益指标，设定为关心关爱老党员。落实中央、市委有关要求，让老党员切实感受到组织的关怀和温暖。</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6.满意度指标—服务对象满意度指标，受补贴老党员通过发放补贴，保障老党员晚年幸福生活发挥作用。</w:t>
      </w:r>
    </w:p>
    <w:p>
      <w:pPr>
        <w:keepNext w:val="0"/>
        <w:keepLines w:val="0"/>
        <w:pageBreakBefore w:val="0"/>
        <w:widowControl w:val="0"/>
        <w:kinsoku/>
        <w:wordWrap/>
        <w:overflowPunct/>
        <w:topLinePunct w:val="0"/>
        <w:autoSpaceDE/>
        <w:autoSpaceDN/>
        <w:bidi w:val="0"/>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（三）主要经验做法</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eastAsia="仿宋_GB2312"/>
          <w:sz w:val="28"/>
          <w:szCs w:val="28"/>
          <w:highlight w:val="none"/>
          <w:lang w:val="en-US" w:eastAsia="zh-CN"/>
        </w:rPr>
      </w:pPr>
      <w:r>
        <w:rPr>
          <w:rFonts w:hint="eastAsia" w:eastAsia="仿宋_GB2312"/>
          <w:sz w:val="28"/>
          <w:szCs w:val="28"/>
          <w:highlight w:val="none"/>
          <w:lang w:val="en-US" w:eastAsia="zh-CN"/>
        </w:rPr>
        <w:t>新中国成立前入党的农村老党员和未享受离退休待遇的城镇老党员生活补贴项目绩效指标均圆满完成。老党员补贴为保障老党员晚年幸福生活发挥了重要作用，各级党组织在元旦春节、七一期间，广泛开展走访慰问活动。按规定及时将生活补贴发放到老党员手中，让老党员切身感受了党组织的关怀和温暖，极大增强了党组织的凝聚力。我们将按照中央、市委有关要求，继续做好对老党员的关心关爱工作。</w:t>
      </w:r>
    </w:p>
    <w:p>
      <w:pPr>
        <w:pStyle w:val="2"/>
        <w:rPr>
          <w:rFonts w:hint="eastAsia"/>
          <w:lang w:val="en-US" w:eastAsia="zh-CN"/>
        </w:rPr>
      </w:pPr>
      <w:r>
        <w:rPr>
          <w:rFonts w:hint="eastAsia" w:eastAsia="仿宋_GB2312"/>
          <w:sz w:val="28"/>
          <w:szCs w:val="28"/>
          <w:highlight w:val="none"/>
          <w:lang w:val="en-US" w:eastAsia="zh-CN"/>
        </w:rPr>
        <w:t>自评表详见附件。</w:t>
      </w:r>
      <w:bookmarkStart w:id="2" w:name="_GoBack"/>
      <w:bookmarkEnd w:id="2"/>
    </w:p>
    <w:sectPr>
      <w:footerReference r:id="rId3" w:type="default"/>
      <w:pgSz w:w="16838" w:h="11906" w:orient="landscape"/>
      <w:pgMar w:top="1701" w:right="1701" w:bottom="1701" w:left="1701"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000101FF"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13</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F233A"/>
    <w:multiLevelType w:val="singleLevel"/>
    <w:tmpl w:val="A6FF23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46"/>
    <w:rsid w:val="00003B03"/>
    <w:rsid w:val="000040E6"/>
    <w:rsid w:val="00011D72"/>
    <w:rsid w:val="00013CEC"/>
    <w:rsid w:val="00027CD5"/>
    <w:rsid w:val="00031717"/>
    <w:rsid w:val="00031B8E"/>
    <w:rsid w:val="000331DA"/>
    <w:rsid w:val="00033EC1"/>
    <w:rsid w:val="00034224"/>
    <w:rsid w:val="00040275"/>
    <w:rsid w:val="0004719C"/>
    <w:rsid w:val="00047F6E"/>
    <w:rsid w:val="00051B00"/>
    <w:rsid w:val="00054EF2"/>
    <w:rsid w:val="000601B1"/>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3C78"/>
    <w:rsid w:val="000B70F1"/>
    <w:rsid w:val="000C4611"/>
    <w:rsid w:val="000D6854"/>
    <w:rsid w:val="000D6BFA"/>
    <w:rsid w:val="000E0B26"/>
    <w:rsid w:val="000E3291"/>
    <w:rsid w:val="000E3610"/>
    <w:rsid w:val="000E56A1"/>
    <w:rsid w:val="000F08FE"/>
    <w:rsid w:val="000F2A48"/>
    <w:rsid w:val="000F49BE"/>
    <w:rsid w:val="00100246"/>
    <w:rsid w:val="0010682D"/>
    <w:rsid w:val="001073C6"/>
    <w:rsid w:val="00107DB5"/>
    <w:rsid w:val="0011483D"/>
    <w:rsid w:val="00115724"/>
    <w:rsid w:val="00130995"/>
    <w:rsid w:val="00131FF9"/>
    <w:rsid w:val="00132320"/>
    <w:rsid w:val="001369A7"/>
    <w:rsid w:val="00141500"/>
    <w:rsid w:val="001428C5"/>
    <w:rsid w:val="001503D8"/>
    <w:rsid w:val="00157540"/>
    <w:rsid w:val="0017111F"/>
    <w:rsid w:val="00173CF6"/>
    <w:rsid w:val="001768FF"/>
    <w:rsid w:val="00176C13"/>
    <w:rsid w:val="00177804"/>
    <w:rsid w:val="00180DAD"/>
    <w:rsid w:val="00181BD8"/>
    <w:rsid w:val="0018370E"/>
    <w:rsid w:val="001852E1"/>
    <w:rsid w:val="00187E11"/>
    <w:rsid w:val="00191568"/>
    <w:rsid w:val="001977C5"/>
    <w:rsid w:val="001A4277"/>
    <w:rsid w:val="001A4605"/>
    <w:rsid w:val="001A7D2E"/>
    <w:rsid w:val="001B1DF9"/>
    <w:rsid w:val="001B1E93"/>
    <w:rsid w:val="001B375E"/>
    <w:rsid w:val="001B5E87"/>
    <w:rsid w:val="001B5E91"/>
    <w:rsid w:val="001B7988"/>
    <w:rsid w:val="001C3354"/>
    <w:rsid w:val="001D33D9"/>
    <w:rsid w:val="001D78D9"/>
    <w:rsid w:val="001E0556"/>
    <w:rsid w:val="001E2355"/>
    <w:rsid w:val="001E2379"/>
    <w:rsid w:val="001E29A9"/>
    <w:rsid w:val="001F5857"/>
    <w:rsid w:val="00206EC3"/>
    <w:rsid w:val="0021047C"/>
    <w:rsid w:val="00211E4E"/>
    <w:rsid w:val="00213D1C"/>
    <w:rsid w:val="00214C3A"/>
    <w:rsid w:val="00217517"/>
    <w:rsid w:val="00222628"/>
    <w:rsid w:val="0022396B"/>
    <w:rsid w:val="002253CB"/>
    <w:rsid w:val="002326DE"/>
    <w:rsid w:val="00234314"/>
    <w:rsid w:val="00241724"/>
    <w:rsid w:val="0024390C"/>
    <w:rsid w:val="00243EB9"/>
    <w:rsid w:val="002441F4"/>
    <w:rsid w:val="00244204"/>
    <w:rsid w:val="002448A4"/>
    <w:rsid w:val="00245A0A"/>
    <w:rsid w:val="00246C42"/>
    <w:rsid w:val="002515CC"/>
    <w:rsid w:val="00253EC4"/>
    <w:rsid w:val="00254515"/>
    <w:rsid w:val="00260948"/>
    <w:rsid w:val="0026479D"/>
    <w:rsid w:val="002673C4"/>
    <w:rsid w:val="00267BCC"/>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2337"/>
    <w:rsid w:val="002A4C2B"/>
    <w:rsid w:val="002B19D0"/>
    <w:rsid w:val="002B3682"/>
    <w:rsid w:val="002B5464"/>
    <w:rsid w:val="002C0443"/>
    <w:rsid w:val="002C12FB"/>
    <w:rsid w:val="002C24BC"/>
    <w:rsid w:val="002D03C6"/>
    <w:rsid w:val="002D0FDF"/>
    <w:rsid w:val="002D3955"/>
    <w:rsid w:val="002D68A9"/>
    <w:rsid w:val="002D72D1"/>
    <w:rsid w:val="002E06AE"/>
    <w:rsid w:val="002E4B75"/>
    <w:rsid w:val="002E68DD"/>
    <w:rsid w:val="002F17C2"/>
    <w:rsid w:val="002F32EE"/>
    <w:rsid w:val="002F4054"/>
    <w:rsid w:val="002F5574"/>
    <w:rsid w:val="002F70C9"/>
    <w:rsid w:val="00301D20"/>
    <w:rsid w:val="00302B19"/>
    <w:rsid w:val="00303428"/>
    <w:rsid w:val="003053C4"/>
    <w:rsid w:val="003058A3"/>
    <w:rsid w:val="00307DA5"/>
    <w:rsid w:val="0031169D"/>
    <w:rsid w:val="0031170D"/>
    <w:rsid w:val="00313E14"/>
    <w:rsid w:val="003167DD"/>
    <w:rsid w:val="00321BD8"/>
    <w:rsid w:val="00325687"/>
    <w:rsid w:val="00332C14"/>
    <w:rsid w:val="00335079"/>
    <w:rsid w:val="003352CE"/>
    <w:rsid w:val="00341D8E"/>
    <w:rsid w:val="003502B9"/>
    <w:rsid w:val="00351B8F"/>
    <w:rsid w:val="00352E3E"/>
    <w:rsid w:val="00353226"/>
    <w:rsid w:val="00353717"/>
    <w:rsid w:val="00354630"/>
    <w:rsid w:val="00365A24"/>
    <w:rsid w:val="003712DB"/>
    <w:rsid w:val="00373DDC"/>
    <w:rsid w:val="00382A86"/>
    <w:rsid w:val="00383BCC"/>
    <w:rsid w:val="00385243"/>
    <w:rsid w:val="003925D4"/>
    <w:rsid w:val="00393366"/>
    <w:rsid w:val="003937DC"/>
    <w:rsid w:val="00393D75"/>
    <w:rsid w:val="003A06A1"/>
    <w:rsid w:val="003A2F2D"/>
    <w:rsid w:val="003A43AC"/>
    <w:rsid w:val="003A4EB6"/>
    <w:rsid w:val="003A7AE9"/>
    <w:rsid w:val="003A7BC5"/>
    <w:rsid w:val="003A7FF5"/>
    <w:rsid w:val="003B0352"/>
    <w:rsid w:val="003B4437"/>
    <w:rsid w:val="003B48C4"/>
    <w:rsid w:val="003B5E20"/>
    <w:rsid w:val="003B6DAD"/>
    <w:rsid w:val="003B735F"/>
    <w:rsid w:val="003C030C"/>
    <w:rsid w:val="003C357E"/>
    <w:rsid w:val="003C55FC"/>
    <w:rsid w:val="003D0EC3"/>
    <w:rsid w:val="003D7274"/>
    <w:rsid w:val="003E2074"/>
    <w:rsid w:val="003E4D82"/>
    <w:rsid w:val="003E5BC1"/>
    <w:rsid w:val="003F0D1B"/>
    <w:rsid w:val="003F1DD6"/>
    <w:rsid w:val="00401087"/>
    <w:rsid w:val="00402E26"/>
    <w:rsid w:val="004110BC"/>
    <w:rsid w:val="00411D17"/>
    <w:rsid w:val="004121B3"/>
    <w:rsid w:val="0041271F"/>
    <w:rsid w:val="0041688E"/>
    <w:rsid w:val="004170EF"/>
    <w:rsid w:val="0042093C"/>
    <w:rsid w:val="004233DD"/>
    <w:rsid w:val="00423F0A"/>
    <w:rsid w:val="00424405"/>
    <w:rsid w:val="00425B25"/>
    <w:rsid w:val="00425D24"/>
    <w:rsid w:val="00426A4D"/>
    <w:rsid w:val="00427687"/>
    <w:rsid w:val="0043207F"/>
    <w:rsid w:val="00433231"/>
    <w:rsid w:val="004334CA"/>
    <w:rsid w:val="0043506A"/>
    <w:rsid w:val="00435830"/>
    <w:rsid w:val="0043619C"/>
    <w:rsid w:val="0044475D"/>
    <w:rsid w:val="00444D1E"/>
    <w:rsid w:val="0044571A"/>
    <w:rsid w:val="0044705D"/>
    <w:rsid w:val="0045090E"/>
    <w:rsid w:val="00453E36"/>
    <w:rsid w:val="00457286"/>
    <w:rsid w:val="00460BC2"/>
    <w:rsid w:val="00461FA5"/>
    <w:rsid w:val="00463566"/>
    <w:rsid w:val="00464182"/>
    <w:rsid w:val="00471C52"/>
    <w:rsid w:val="0047460C"/>
    <w:rsid w:val="00474FF2"/>
    <w:rsid w:val="00480098"/>
    <w:rsid w:val="00484A93"/>
    <w:rsid w:val="00485B54"/>
    <w:rsid w:val="00485E12"/>
    <w:rsid w:val="004865DA"/>
    <w:rsid w:val="0048779C"/>
    <w:rsid w:val="00487AB7"/>
    <w:rsid w:val="00487ED0"/>
    <w:rsid w:val="0049682C"/>
    <w:rsid w:val="004A168E"/>
    <w:rsid w:val="004A4EC7"/>
    <w:rsid w:val="004A62C5"/>
    <w:rsid w:val="004B0003"/>
    <w:rsid w:val="004C020A"/>
    <w:rsid w:val="004C03A3"/>
    <w:rsid w:val="004C0BF7"/>
    <w:rsid w:val="004C44B8"/>
    <w:rsid w:val="004C73F4"/>
    <w:rsid w:val="004C7629"/>
    <w:rsid w:val="004D0D5D"/>
    <w:rsid w:val="004D3020"/>
    <w:rsid w:val="004E27DD"/>
    <w:rsid w:val="004E3350"/>
    <w:rsid w:val="004E5292"/>
    <w:rsid w:val="004F2C5B"/>
    <w:rsid w:val="004F641B"/>
    <w:rsid w:val="004F71F3"/>
    <w:rsid w:val="00500D0B"/>
    <w:rsid w:val="005052FA"/>
    <w:rsid w:val="005069E1"/>
    <w:rsid w:val="00507E59"/>
    <w:rsid w:val="005122B5"/>
    <w:rsid w:val="00513A02"/>
    <w:rsid w:val="0052381C"/>
    <w:rsid w:val="005346B3"/>
    <w:rsid w:val="0054051C"/>
    <w:rsid w:val="00546A84"/>
    <w:rsid w:val="00547BE2"/>
    <w:rsid w:val="0055353D"/>
    <w:rsid w:val="005606FD"/>
    <w:rsid w:val="0056187C"/>
    <w:rsid w:val="00567B8C"/>
    <w:rsid w:val="00570350"/>
    <w:rsid w:val="00576B03"/>
    <w:rsid w:val="00591655"/>
    <w:rsid w:val="00591BEC"/>
    <w:rsid w:val="005940EA"/>
    <w:rsid w:val="00594448"/>
    <w:rsid w:val="005A1D6F"/>
    <w:rsid w:val="005A41AF"/>
    <w:rsid w:val="005A4D82"/>
    <w:rsid w:val="005A52A6"/>
    <w:rsid w:val="005B0DEC"/>
    <w:rsid w:val="005B368E"/>
    <w:rsid w:val="005B6E69"/>
    <w:rsid w:val="005C0015"/>
    <w:rsid w:val="005C2BCE"/>
    <w:rsid w:val="005C2CA5"/>
    <w:rsid w:val="005C7062"/>
    <w:rsid w:val="005C7788"/>
    <w:rsid w:val="005D10B9"/>
    <w:rsid w:val="005D18DA"/>
    <w:rsid w:val="005E00DC"/>
    <w:rsid w:val="005E1179"/>
    <w:rsid w:val="005E3BBC"/>
    <w:rsid w:val="005E3EC6"/>
    <w:rsid w:val="005E4748"/>
    <w:rsid w:val="005E4E07"/>
    <w:rsid w:val="005E4E46"/>
    <w:rsid w:val="005E5275"/>
    <w:rsid w:val="005E7DC8"/>
    <w:rsid w:val="005E7EC9"/>
    <w:rsid w:val="005F46DD"/>
    <w:rsid w:val="005F7087"/>
    <w:rsid w:val="0060750F"/>
    <w:rsid w:val="00611BE4"/>
    <w:rsid w:val="0061219B"/>
    <w:rsid w:val="00621419"/>
    <w:rsid w:val="00626446"/>
    <w:rsid w:val="00626BE8"/>
    <w:rsid w:val="00632804"/>
    <w:rsid w:val="006376DA"/>
    <w:rsid w:val="006459DA"/>
    <w:rsid w:val="006502E8"/>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A7196"/>
    <w:rsid w:val="006B0CB9"/>
    <w:rsid w:val="006B2609"/>
    <w:rsid w:val="006B2750"/>
    <w:rsid w:val="006B3678"/>
    <w:rsid w:val="006B7390"/>
    <w:rsid w:val="006C0084"/>
    <w:rsid w:val="006C107D"/>
    <w:rsid w:val="006C3600"/>
    <w:rsid w:val="006C4534"/>
    <w:rsid w:val="006C4DA3"/>
    <w:rsid w:val="006C5205"/>
    <w:rsid w:val="006C7272"/>
    <w:rsid w:val="006C75F6"/>
    <w:rsid w:val="006D0960"/>
    <w:rsid w:val="006D3F53"/>
    <w:rsid w:val="006D60AF"/>
    <w:rsid w:val="00701651"/>
    <w:rsid w:val="007049BF"/>
    <w:rsid w:val="00704E79"/>
    <w:rsid w:val="00707A26"/>
    <w:rsid w:val="0071120F"/>
    <w:rsid w:val="00716380"/>
    <w:rsid w:val="00722165"/>
    <w:rsid w:val="00724B1C"/>
    <w:rsid w:val="00734674"/>
    <w:rsid w:val="007428F0"/>
    <w:rsid w:val="00742B05"/>
    <w:rsid w:val="00750E0E"/>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7C89"/>
    <w:rsid w:val="007B1487"/>
    <w:rsid w:val="007B2A43"/>
    <w:rsid w:val="007B326F"/>
    <w:rsid w:val="007B6A58"/>
    <w:rsid w:val="007B6C06"/>
    <w:rsid w:val="007B7B78"/>
    <w:rsid w:val="007C32B1"/>
    <w:rsid w:val="007C6887"/>
    <w:rsid w:val="007C7A22"/>
    <w:rsid w:val="007C7C62"/>
    <w:rsid w:val="007D1076"/>
    <w:rsid w:val="007D12B7"/>
    <w:rsid w:val="007D2A49"/>
    <w:rsid w:val="007D5E38"/>
    <w:rsid w:val="007D7AC4"/>
    <w:rsid w:val="007E0340"/>
    <w:rsid w:val="007E141D"/>
    <w:rsid w:val="007E1D4A"/>
    <w:rsid w:val="007E53C0"/>
    <w:rsid w:val="007E7703"/>
    <w:rsid w:val="007F0850"/>
    <w:rsid w:val="007F251D"/>
    <w:rsid w:val="007F4558"/>
    <w:rsid w:val="007F64DF"/>
    <w:rsid w:val="008050EF"/>
    <w:rsid w:val="0080652C"/>
    <w:rsid w:val="0080715F"/>
    <w:rsid w:val="008113D6"/>
    <w:rsid w:val="00812BA7"/>
    <w:rsid w:val="00813A87"/>
    <w:rsid w:val="00815F57"/>
    <w:rsid w:val="0081760B"/>
    <w:rsid w:val="00817FB8"/>
    <w:rsid w:val="008218AC"/>
    <w:rsid w:val="00825359"/>
    <w:rsid w:val="00825E13"/>
    <w:rsid w:val="00826F07"/>
    <w:rsid w:val="008337CB"/>
    <w:rsid w:val="00834A3C"/>
    <w:rsid w:val="00837658"/>
    <w:rsid w:val="00837CD4"/>
    <w:rsid w:val="008400EE"/>
    <w:rsid w:val="00840791"/>
    <w:rsid w:val="00845576"/>
    <w:rsid w:val="00850708"/>
    <w:rsid w:val="00851024"/>
    <w:rsid w:val="008526D7"/>
    <w:rsid w:val="0085544E"/>
    <w:rsid w:val="0086238C"/>
    <w:rsid w:val="008655DC"/>
    <w:rsid w:val="0086732D"/>
    <w:rsid w:val="00870183"/>
    <w:rsid w:val="00873768"/>
    <w:rsid w:val="00875726"/>
    <w:rsid w:val="00877F10"/>
    <w:rsid w:val="0088225D"/>
    <w:rsid w:val="00882599"/>
    <w:rsid w:val="00882F8D"/>
    <w:rsid w:val="00884FB0"/>
    <w:rsid w:val="008853A5"/>
    <w:rsid w:val="0089439A"/>
    <w:rsid w:val="008944DA"/>
    <w:rsid w:val="00894D78"/>
    <w:rsid w:val="008A6A18"/>
    <w:rsid w:val="008B033F"/>
    <w:rsid w:val="008B4003"/>
    <w:rsid w:val="008B5267"/>
    <w:rsid w:val="008B7443"/>
    <w:rsid w:val="008C179E"/>
    <w:rsid w:val="008C2379"/>
    <w:rsid w:val="008C4FF7"/>
    <w:rsid w:val="008C5C4C"/>
    <w:rsid w:val="008C6862"/>
    <w:rsid w:val="008C7056"/>
    <w:rsid w:val="008C706D"/>
    <w:rsid w:val="008D3145"/>
    <w:rsid w:val="008E1A54"/>
    <w:rsid w:val="008E1F95"/>
    <w:rsid w:val="008E36B6"/>
    <w:rsid w:val="008E4267"/>
    <w:rsid w:val="008E4847"/>
    <w:rsid w:val="008E5FF1"/>
    <w:rsid w:val="008E63D2"/>
    <w:rsid w:val="008E6E14"/>
    <w:rsid w:val="008F1528"/>
    <w:rsid w:val="008F1AE5"/>
    <w:rsid w:val="008F3BB6"/>
    <w:rsid w:val="008F4E21"/>
    <w:rsid w:val="008F55D9"/>
    <w:rsid w:val="009057DE"/>
    <w:rsid w:val="00905F97"/>
    <w:rsid w:val="00906FA3"/>
    <w:rsid w:val="0091239D"/>
    <w:rsid w:val="00912825"/>
    <w:rsid w:val="009129B8"/>
    <w:rsid w:val="00912B99"/>
    <w:rsid w:val="00912C78"/>
    <w:rsid w:val="00913E20"/>
    <w:rsid w:val="00916128"/>
    <w:rsid w:val="009351E9"/>
    <w:rsid w:val="00937862"/>
    <w:rsid w:val="00942279"/>
    <w:rsid w:val="009524EB"/>
    <w:rsid w:val="009530F6"/>
    <w:rsid w:val="00962013"/>
    <w:rsid w:val="00963942"/>
    <w:rsid w:val="0096716C"/>
    <w:rsid w:val="009672B2"/>
    <w:rsid w:val="00971C66"/>
    <w:rsid w:val="0098419C"/>
    <w:rsid w:val="009843EF"/>
    <w:rsid w:val="009867F2"/>
    <w:rsid w:val="00991347"/>
    <w:rsid w:val="00996018"/>
    <w:rsid w:val="00996A71"/>
    <w:rsid w:val="0099738E"/>
    <w:rsid w:val="009A3234"/>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04384"/>
    <w:rsid w:val="00A117CA"/>
    <w:rsid w:val="00A12225"/>
    <w:rsid w:val="00A14C18"/>
    <w:rsid w:val="00A168D1"/>
    <w:rsid w:val="00A174D7"/>
    <w:rsid w:val="00A25898"/>
    <w:rsid w:val="00A3071D"/>
    <w:rsid w:val="00A30E57"/>
    <w:rsid w:val="00A3182E"/>
    <w:rsid w:val="00A31A89"/>
    <w:rsid w:val="00A32F06"/>
    <w:rsid w:val="00A34934"/>
    <w:rsid w:val="00A34EFE"/>
    <w:rsid w:val="00A36546"/>
    <w:rsid w:val="00A37788"/>
    <w:rsid w:val="00A403E1"/>
    <w:rsid w:val="00A4069C"/>
    <w:rsid w:val="00A429CB"/>
    <w:rsid w:val="00A44E87"/>
    <w:rsid w:val="00A5063C"/>
    <w:rsid w:val="00A52749"/>
    <w:rsid w:val="00A5422E"/>
    <w:rsid w:val="00A56EC1"/>
    <w:rsid w:val="00A6350C"/>
    <w:rsid w:val="00A6370B"/>
    <w:rsid w:val="00A63A73"/>
    <w:rsid w:val="00A647A1"/>
    <w:rsid w:val="00A6655C"/>
    <w:rsid w:val="00A66CBB"/>
    <w:rsid w:val="00A6704E"/>
    <w:rsid w:val="00A67EA4"/>
    <w:rsid w:val="00A83AA1"/>
    <w:rsid w:val="00A9343A"/>
    <w:rsid w:val="00A9706C"/>
    <w:rsid w:val="00A973F4"/>
    <w:rsid w:val="00A97B34"/>
    <w:rsid w:val="00AA1B5C"/>
    <w:rsid w:val="00AA2482"/>
    <w:rsid w:val="00AA7A27"/>
    <w:rsid w:val="00AB3FB0"/>
    <w:rsid w:val="00AB465D"/>
    <w:rsid w:val="00AC114C"/>
    <w:rsid w:val="00AC1478"/>
    <w:rsid w:val="00AC6110"/>
    <w:rsid w:val="00AC6C2D"/>
    <w:rsid w:val="00AC6E17"/>
    <w:rsid w:val="00AD2FF3"/>
    <w:rsid w:val="00AD543F"/>
    <w:rsid w:val="00AD7764"/>
    <w:rsid w:val="00AD7FE2"/>
    <w:rsid w:val="00AE0DC7"/>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4BDD"/>
    <w:rsid w:val="00B35BE5"/>
    <w:rsid w:val="00B46965"/>
    <w:rsid w:val="00B54ED0"/>
    <w:rsid w:val="00B55D47"/>
    <w:rsid w:val="00B6204E"/>
    <w:rsid w:val="00B649EC"/>
    <w:rsid w:val="00B64E2B"/>
    <w:rsid w:val="00B728DD"/>
    <w:rsid w:val="00B72D43"/>
    <w:rsid w:val="00B74121"/>
    <w:rsid w:val="00B85FF0"/>
    <w:rsid w:val="00B86150"/>
    <w:rsid w:val="00B86792"/>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2CFA"/>
    <w:rsid w:val="00BD3531"/>
    <w:rsid w:val="00BD4E35"/>
    <w:rsid w:val="00BE1A72"/>
    <w:rsid w:val="00BE2405"/>
    <w:rsid w:val="00BE34CA"/>
    <w:rsid w:val="00BF116A"/>
    <w:rsid w:val="00BF4BCD"/>
    <w:rsid w:val="00BF58D9"/>
    <w:rsid w:val="00C0623C"/>
    <w:rsid w:val="00C06A07"/>
    <w:rsid w:val="00C132B6"/>
    <w:rsid w:val="00C21A6C"/>
    <w:rsid w:val="00C24A10"/>
    <w:rsid w:val="00C27003"/>
    <w:rsid w:val="00C27597"/>
    <w:rsid w:val="00C32BD4"/>
    <w:rsid w:val="00C32D1F"/>
    <w:rsid w:val="00C33E48"/>
    <w:rsid w:val="00C3618B"/>
    <w:rsid w:val="00C403FB"/>
    <w:rsid w:val="00C4316E"/>
    <w:rsid w:val="00C441A2"/>
    <w:rsid w:val="00C5076B"/>
    <w:rsid w:val="00C512D4"/>
    <w:rsid w:val="00C51CF4"/>
    <w:rsid w:val="00C531E2"/>
    <w:rsid w:val="00C57E34"/>
    <w:rsid w:val="00C64659"/>
    <w:rsid w:val="00C662E9"/>
    <w:rsid w:val="00C66C2D"/>
    <w:rsid w:val="00C66F47"/>
    <w:rsid w:val="00C7190B"/>
    <w:rsid w:val="00C74C2A"/>
    <w:rsid w:val="00C76852"/>
    <w:rsid w:val="00C77210"/>
    <w:rsid w:val="00C777FA"/>
    <w:rsid w:val="00C77989"/>
    <w:rsid w:val="00C81E51"/>
    <w:rsid w:val="00C87B73"/>
    <w:rsid w:val="00C92444"/>
    <w:rsid w:val="00C92FBB"/>
    <w:rsid w:val="00C93327"/>
    <w:rsid w:val="00C97B4D"/>
    <w:rsid w:val="00CA22C2"/>
    <w:rsid w:val="00CA5602"/>
    <w:rsid w:val="00CA5CA9"/>
    <w:rsid w:val="00CA78E2"/>
    <w:rsid w:val="00CB1BBE"/>
    <w:rsid w:val="00CB65DB"/>
    <w:rsid w:val="00CB6BD9"/>
    <w:rsid w:val="00CC293A"/>
    <w:rsid w:val="00CC39B4"/>
    <w:rsid w:val="00CE19F6"/>
    <w:rsid w:val="00CF366B"/>
    <w:rsid w:val="00CF5D9D"/>
    <w:rsid w:val="00CF606C"/>
    <w:rsid w:val="00CF7423"/>
    <w:rsid w:val="00D001F5"/>
    <w:rsid w:val="00D03E80"/>
    <w:rsid w:val="00D03F61"/>
    <w:rsid w:val="00D15B9F"/>
    <w:rsid w:val="00D15DD6"/>
    <w:rsid w:val="00D16A83"/>
    <w:rsid w:val="00D25548"/>
    <w:rsid w:val="00D2601F"/>
    <w:rsid w:val="00D27759"/>
    <w:rsid w:val="00D30028"/>
    <w:rsid w:val="00D325D3"/>
    <w:rsid w:val="00D408D6"/>
    <w:rsid w:val="00D4151A"/>
    <w:rsid w:val="00D50AF0"/>
    <w:rsid w:val="00D511DD"/>
    <w:rsid w:val="00D55C2A"/>
    <w:rsid w:val="00D571C1"/>
    <w:rsid w:val="00D602F4"/>
    <w:rsid w:val="00D623F9"/>
    <w:rsid w:val="00D6457E"/>
    <w:rsid w:val="00D742E2"/>
    <w:rsid w:val="00D7580E"/>
    <w:rsid w:val="00D76CAF"/>
    <w:rsid w:val="00D87DAF"/>
    <w:rsid w:val="00D9446D"/>
    <w:rsid w:val="00D97FE2"/>
    <w:rsid w:val="00DA2994"/>
    <w:rsid w:val="00DB08E8"/>
    <w:rsid w:val="00DB0DED"/>
    <w:rsid w:val="00DB3073"/>
    <w:rsid w:val="00DB3BA9"/>
    <w:rsid w:val="00DB50FE"/>
    <w:rsid w:val="00DB5EDA"/>
    <w:rsid w:val="00DC2349"/>
    <w:rsid w:val="00DC3026"/>
    <w:rsid w:val="00DD1EDB"/>
    <w:rsid w:val="00DD504C"/>
    <w:rsid w:val="00DD57AA"/>
    <w:rsid w:val="00DE1578"/>
    <w:rsid w:val="00DE7F67"/>
    <w:rsid w:val="00DF0529"/>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6AA3"/>
    <w:rsid w:val="00E24371"/>
    <w:rsid w:val="00E26641"/>
    <w:rsid w:val="00E2778F"/>
    <w:rsid w:val="00E33023"/>
    <w:rsid w:val="00E331F3"/>
    <w:rsid w:val="00E33C11"/>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0B"/>
    <w:rsid w:val="00EB2D75"/>
    <w:rsid w:val="00EB34BE"/>
    <w:rsid w:val="00EB571A"/>
    <w:rsid w:val="00EC2804"/>
    <w:rsid w:val="00EC6138"/>
    <w:rsid w:val="00ED1DCF"/>
    <w:rsid w:val="00ED43C9"/>
    <w:rsid w:val="00ED7460"/>
    <w:rsid w:val="00EE2C60"/>
    <w:rsid w:val="00EE2E58"/>
    <w:rsid w:val="00EE487A"/>
    <w:rsid w:val="00EE734C"/>
    <w:rsid w:val="00EF6907"/>
    <w:rsid w:val="00EF6D91"/>
    <w:rsid w:val="00F01F54"/>
    <w:rsid w:val="00F04D4D"/>
    <w:rsid w:val="00F11DD8"/>
    <w:rsid w:val="00F12745"/>
    <w:rsid w:val="00F13766"/>
    <w:rsid w:val="00F13ACD"/>
    <w:rsid w:val="00F16273"/>
    <w:rsid w:val="00F20A77"/>
    <w:rsid w:val="00F226BC"/>
    <w:rsid w:val="00F22C60"/>
    <w:rsid w:val="00F231A4"/>
    <w:rsid w:val="00F23252"/>
    <w:rsid w:val="00F253EF"/>
    <w:rsid w:val="00F27B2A"/>
    <w:rsid w:val="00F345D3"/>
    <w:rsid w:val="00F356ED"/>
    <w:rsid w:val="00F35909"/>
    <w:rsid w:val="00F359B5"/>
    <w:rsid w:val="00F364C1"/>
    <w:rsid w:val="00F37183"/>
    <w:rsid w:val="00F4144F"/>
    <w:rsid w:val="00F433F3"/>
    <w:rsid w:val="00F43AFA"/>
    <w:rsid w:val="00F47F64"/>
    <w:rsid w:val="00F522D9"/>
    <w:rsid w:val="00F52F54"/>
    <w:rsid w:val="00F53584"/>
    <w:rsid w:val="00F5449B"/>
    <w:rsid w:val="00F61B24"/>
    <w:rsid w:val="00F62DE5"/>
    <w:rsid w:val="00F63F8A"/>
    <w:rsid w:val="00F703DC"/>
    <w:rsid w:val="00F71D06"/>
    <w:rsid w:val="00F73B46"/>
    <w:rsid w:val="00F73D01"/>
    <w:rsid w:val="00F7642B"/>
    <w:rsid w:val="00F76A43"/>
    <w:rsid w:val="00F80334"/>
    <w:rsid w:val="00F82BF6"/>
    <w:rsid w:val="00F83DF9"/>
    <w:rsid w:val="00F85DA0"/>
    <w:rsid w:val="00F930AF"/>
    <w:rsid w:val="00F9352C"/>
    <w:rsid w:val="00F93C59"/>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33E8"/>
    <w:rsid w:val="00FE522D"/>
    <w:rsid w:val="00FE5527"/>
    <w:rsid w:val="00FE6A2B"/>
    <w:rsid w:val="00FF0275"/>
    <w:rsid w:val="00FF07B3"/>
    <w:rsid w:val="00FF1E37"/>
    <w:rsid w:val="00FF7FE8"/>
    <w:rsid w:val="17EFF830"/>
    <w:rsid w:val="2AF86C75"/>
    <w:rsid w:val="2BF53B2E"/>
    <w:rsid w:val="2E6FC6F8"/>
    <w:rsid w:val="36375351"/>
    <w:rsid w:val="36FF5109"/>
    <w:rsid w:val="3DCF3610"/>
    <w:rsid w:val="3DFC36ED"/>
    <w:rsid w:val="3EFD3688"/>
    <w:rsid w:val="57FBB5DA"/>
    <w:rsid w:val="57FE77A5"/>
    <w:rsid w:val="5B0702A4"/>
    <w:rsid w:val="5EDBAD1C"/>
    <w:rsid w:val="5FAECC49"/>
    <w:rsid w:val="636D4288"/>
    <w:rsid w:val="67B6DB81"/>
    <w:rsid w:val="67B7E706"/>
    <w:rsid w:val="694FADC1"/>
    <w:rsid w:val="69EDB6F1"/>
    <w:rsid w:val="6F75E056"/>
    <w:rsid w:val="6F8B5DE5"/>
    <w:rsid w:val="71FCABFF"/>
    <w:rsid w:val="75FE5714"/>
    <w:rsid w:val="777DC4C8"/>
    <w:rsid w:val="7AE8D844"/>
    <w:rsid w:val="7BFC80AF"/>
    <w:rsid w:val="7BFF88A6"/>
    <w:rsid w:val="7CED79B3"/>
    <w:rsid w:val="7D08410F"/>
    <w:rsid w:val="7D3BE249"/>
    <w:rsid w:val="7E3DDE42"/>
    <w:rsid w:val="7EFC01A4"/>
    <w:rsid w:val="7F7D1E00"/>
    <w:rsid w:val="7FC9B03A"/>
    <w:rsid w:val="7FDBA80D"/>
    <w:rsid w:val="8D6FE437"/>
    <w:rsid w:val="96FD2E43"/>
    <w:rsid w:val="9BEF84AC"/>
    <w:rsid w:val="A5AF1FCC"/>
    <w:rsid w:val="ABF3D41C"/>
    <w:rsid w:val="B6DF82FA"/>
    <w:rsid w:val="BFBF86DB"/>
    <w:rsid w:val="BFDD382E"/>
    <w:rsid w:val="BFF35C85"/>
    <w:rsid w:val="CE73AC87"/>
    <w:rsid w:val="D5FB2A1F"/>
    <w:rsid w:val="DB7DED0D"/>
    <w:rsid w:val="DBDC0D55"/>
    <w:rsid w:val="DBFDD276"/>
    <w:rsid w:val="DC3F18CB"/>
    <w:rsid w:val="DCFD89A3"/>
    <w:rsid w:val="DDD34719"/>
    <w:rsid w:val="DE27AA7E"/>
    <w:rsid w:val="DED7F630"/>
    <w:rsid w:val="DF8F90F7"/>
    <w:rsid w:val="DF9D3B70"/>
    <w:rsid w:val="DFBB77C2"/>
    <w:rsid w:val="E7EFD5D3"/>
    <w:rsid w:val="EAFF5FC0"/>
    <w:rsid w:val="EBCF3F0D"/>
    <w:rsid w:val="ED7D4E56"/>
    <w:rsid w:val="EDBDDA2F"/>
    <w:rsid w:val="EFBFCAF1"/>
    <w:rsid w:val="F7DAB55F"/>
    <w:rsid w:val="FB3F50C6"/>
    <w:rsid w:val="FBFA8A39"/>
    <w:rsid w:val="FBFF9802"/>
    <w:rsid w:val="FC7F6135"/>
    <w:rsid w:val="FD74526C"/>
    <w:rsid w:val="FDEF43A9"/>
    <w:rsid w:val="FDF7A2EA"/>
    <w:rsid w:val="FDFDFB55"/>
    <w:rsid w:val="FE55127D"/>
    <w:rsid w:val="FE5D2E9F"/>
    <w:rsid w:val="FE75A324"/>
    <w:rsid w:val="FF2697A1"/>
    <w:rsid w:val="FFBF0902"/>
    <w:rsid w:val="FFD963A8"/>
    <w:rsid w:val="FFEF7763"/>
    <w:rsid w:val="FFF3CDD8"/>
    <w:rsid w:val="FFFDD061"/>
    <w:rsid w:val="FFFEA6FF"/>
    <w:rsid w:val="FFFF26F9"/>
    <w:rsid w:val="FFFF5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basedOn w:val="11"/>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798</Words>
  <Characters>4550</Characters>
  <Lines>37</Lines>
  <Paragraphs>10</Paragraphs>
  <TotalTime>37</TotalTime>
  <ScaleCrop>false</ScaleCrop>
  <LinksUpToDate>false</LinksUpToDate>
  <CharactersWithSpaces>5338</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2021-08-30T15:15:00Z</dcterms:created>
  <dc:creator>常程</dc:creator>
  <cp:lastModifiedBy>zzb</cp:lastModifiedBy>
  <cp:lastPrinted>2024-08-16T18:18:00Z</cp:lastPrinted>
  <dcterms:modified xsi:type="dcterms:W3CDTF">2024-08-20T17:07:19Z</dcterms:modified>
  <dc:title>北京市财政局关于做好向市人大常委会报送2015年度市级部门决算（草案）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26858E1D5B749868791AE3646AEAAED6</vt:lpwstr>
  </property>
</Properties>
</file>