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ascii="方正小标宋简体" w:eastAsia="方正小标宋简体"/>
          <w:sz w:val="44"/>
          <w:szCs w:val="44"/>
        </w:rPr>
      </w:pPr>
      <w:r>
        <w:rPr>
          <w:rFonts w:hint="eastAsia" w:ascii="方正小标宋简体" w:eastAsia="方正小标宋简体"/>
          <w:sz w:val="44"/>
          <w:szCs w:val="44"/>
          <w:lang w:val="en-US" w:eastAsia="zh-CN"/>
        </w:rPr>
        <w:t>2023年</w:t>
      </w:r>
      <w:r>
        <w:rPr>
          <w:rFonts w:hint="eastAsia" w:ascii="方正小标宋简体" w:eastAsia="方正小标宋简体"/>
          <w:sz w:val="44"/>
          <w:szCs w:val="44"/>
        </w:rPr>
        <w:t>北京市发展和改革委员会</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部门整体绩效评价报告</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ascii="仿宋_GB2312"/>
          <w:szCs w:val="30"/>
        </w:rPr>
      </w:pP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楷体_GB2312" w:eastAsia="楷体_GB2312"/>
          <w:sz w:val="32"/>
          <w:szCs w:val="32"/>
        </w:rPr>
      </w:pPr>
      <w:r>
        <w:rPr>
          <w:rFonts w:hint="eastAsia" w:ascii="楷体_GB2312" w:eastAsia="楷体_GB2312"/>
          <w:sz w:val="32"/>
          <w:szCs w:val="32"/>
        </w:rPr>
        <w:t>（一）机构设置及职责工作任务情况</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1.机构设置情况</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根据北京市人民政府办公厅《关于印发北京市发展和改革委员会主要职责内设机构和人员编制规定的通知》（京政办发〔2003〕64号）设立北京市发展和改革委员会。原内设机构29个，分别为办公室、研究室、法规处、发展规划处、国民经济综合处、经济体制综合改革处、人口处、固定资产投资处（社会投融资服务处）、产业发展处、利用外资和境外投资处（推进“一带一路”建设工作处）、区域发展处、基础设施处、高技术产业处、资源节约和环境保护处、社会发展处、经济贸易处、财政金融处、价格综合处、价格管理处、收费管理处、成本调查监审处、公共信息处、能源发展处、新能源利用处、营商环境政策处、营商环境评价处、评估督导处、经济与国防协调发展处（北京市国防动员委员会国民经济和装备动员办公室）、人事处；另设机关党委（党建工作处）、机关纪委、工会、离退休干部处；另有市纪委市监委驻市发展改革委纪检监察组。设在机构4个，分别为北京市航空和铁路建设协调工作办公室；北京市新首钢高端产业综合服务区发展建设领导小组办公室；北京市“疏解整治促提升”专项行动工作办公室；北京市企业破产和市场主体退出工作联席会议办公室。</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北京市发展和改革委员会原直属单位8家，分别为：北京市优化营商环境促进中心（北京市“一带一路”建设促进中心、北京市国际金融组织贷款项目事务中心）、北京市发展和改革委员会综合事务中心、北京市经济信息中心、北京市经济社会发展研究院、北京节能环保中心、北京市价格认证中心、北京市价格监测中心、北京市节能监察大队。归口管理单位1家，为北京市公共资源交易中心。</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2.职责工作任务情况</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北京市发展和改革委员会是负责本市国民经济和社会发展统筹协调、经济体制改革综合协调的市政府组成部门。原主要职责为：</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一是贯彻落实国家关于国民经济和社会发展、经济体制改革和对外开放方面的法律、法规、规章和政策，起草本市相关地方性法规草案、政府规章草案并组织实施。</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是拟订本市国民经济和社会发展战略、中长期规划和年度计划，并组织实施；根据国家宏观调控要求，统筹协调经济社会发展，研究提出经济社会发展、经济结构调整的目标和政策措施，提出综合运用各种调控手段的建议；受市政府委托，向市人民代表大会报告本市国民经济和社会发展计划及执行情况。</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三是负责监测本市国民经济形势和社会发展态势，承担预测预警和信息引导工作，研究宏观经济运行、总量平衡等重要问题。</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四是负责汇总分析本市财政、金融等方面的情况，参与拟订财政政策、金融政策和土地政策；研究提出深化投融资体制改革的建议并组织实施；会同有关方面研究拟订政府重大项目融资方案。</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五是承担指导推进和综合协调本市经济体制改革的责任；研究经济体制改革的重大问题，组织拟订综合性经济体制改革方案，协调有关专项经济体制改革方案；指导和协调经济体制改革试点工作；研究各类开发区改革与发展的重大问题，并协调相关政策的落实。</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六是承担规划本市重大建设项目和生产力布局的责任；拟订全社会固定资产投资总规模和投资结构的调控目标、政策及措施，并与需要安排市政府投资和涉及重大建设项目的专项规划衔接平衡；拟订本市全社会固定资产投资和重大项目中长期规划和年度实施计划，统筹安排本市财政性建设资金，组织拟订并实施市政府投资计划；按国家及市政府规定权限审批、核准、审核和上报固定资产投资建设项目、外资项目、境外投资项目；引导民间投资的方向，研究提出利用外资和境外投资的战略、规划及相关政策；指导工程咨询业发展；按规定指导和协调全市招标投标工作。</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七是统筹规划和综合协调产业发展，推进本市经济结构战略性调整；组织拟订综合性产业政策，监督检查政策的执行情况并提出相关政策建议，负责协调第一、二、三产业发展的重大问题并衔接平衡相关发展规划和重大政策，做好与国民经济和社会发展规划、计划的衔接平衡；协调农业和农村经济社会发展的重大问题；统筹推进服务业发展，会同有关部门拟订服务业发展战略、规划和重大政策；会同有关部门拟订现代物流业发展战略和规划；组织拟订高技术产业发展、产业技术进步的战略、规划和重大政策，推进重大科技成果产业化，协调重大科技基础设施、重大技术装备推广应用等方面的重大问题。</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八是组织拟订区域统筹发展、城市功能区的战略、规划和重大政策，研究提出推进城乡一体化的发展战略和政策措施；组织协调区域合作工作，负责对口支援和帮扶工作。</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九是承担本市重要商品总量平衡和宏观调节的责任，研究分析国内外市场状况，提出扩大消费和促进对外贸易发展的政策措施；按照规定权限负责重要农产品、工业品和原材料进出口需求平衡，协调粮食、棉花进出口计划的实施。</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十是承担本市价格管理责任；负责监测分析价格运行情况，并提出相关政策和价格改革建议；依法拟订、调整由市政府管理的重要商品价格和重要收费标准，并组织实施；监督检查价格政策的执行情况并提出相关政策建议；指导协调市政府有关部门和区县政府的价格监管工作。</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十一是负责本市社会发展与国民经济发展的政策衔接，组织拟订社会发展战略、总体规划和年度计划；参与拟订人口和计划生育、科学技术、教育、文化、卫生、体育、民政等发展政策，推进社会事业建设，参与研究提出促进就业、调整收入分配、完善社会保障与经济协调发展的政策建议，协调社会事业发展和改革的重大问题。</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十二是负责组织拟订本市基础设施发展战略、中长期规划并协调实施；研究分析综合交通、水资源、园林绿化等基础设施方面的发展状况，提出相关政策建议；协调民航、铁路等国家在京基础设施项目投资工作。</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十三是推进可持续发展战略，参与编制本市土地利用总体规划和土地供应计划；负责本市节能减排的综合协调工作；组织拟订发展循环经济、全社会能源资源节约和综合利用的规划及政策措施，并协调实施；参与编制生态建设、环境保护规划，协调生态建设、能源资源节约和综合利用的重大问题；综合协调节能环保产业和清洁生产促进有关工作，组织实施节能监察和考核工作。</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十四是负责组织拟订本市能源发展战略、中长期规划并协调实施；衔接能源总量平衡；监测分析能源运行情况，提出相关政策建议；协调能源发展、城市能源运行保障的重大问题。</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十五是负责组织拟订本市国民经济和装备动员规划、计划；研究国民经济和装备动员与国民经济、国防建设的关系，协调相关重大问题；负责组织实施国民经济和装备动员有关工作。</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十六是负责研究提出本市人口调控战略，拟订人口政策；负责调控综合协调工作，拟订人口调控中长期规划、年度计划并组织实施；负责人口重大问题研究，提出人口与经济、社会、资源、环境协调可持续发展，以及统筹促进人口长期均衡发展政策建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楷体_GB2312" w:eastAsia="楷体_GB2312"/>
          <w:sz w:val="32"/>
          <w:szCs w:val="32"/>
        </w:rPr>
      </w:pPr>
      <w:r>
        <w:rPr>
          <w:rFonts w:hint="eastAsia" w:ascii="仿宋_GB2312" w:eastAsia="仿宋_GB2312"/>
          <w:sz w:val="32"/>
          <w:szCs w:val="32"/>
        </w:rPr>
        <w:t>十七是承办市政府交办的其他事项。</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楷体_GB2312" w:eastAsia="楷体_GB2312"/>
          <w:sz w:val="32"/>
          <w:szCs w:val="32"/>
        </w:rPr>
      </w:pPr>
      <w:r>
        <w:rPr>
          <w:rFonts w:hint="eastAsia" w:ascii="楷体_GB2312" w:eastAsia="楷体_GB2312"/>
          <w:sz w:val="32"/>
          <w:szCs w:val="32"/>
        </w:rPr>
        <w:t>（二）部门整体绩效目标设立情况</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ascii="仿宋_GB2312" w:eastAsia="仿宋_GB2312"/>
          <w:sz w:val="32"/>
          <w:szCs w:val="32"/>
        </w:rPr>
      </w:pPr>
      <w:r>
        <w:rPr>
          <w:rFonts w:hint="eastAsia" w:ascii="仿宋_GB2312" w:eastAsia="仿宋_GB2312"/>
          <w:sz w:val="32"/>
          <w:szCs w:val="32"/>
          <w:highlight w:val="none"/>
        </w:rPr>
        <w:t>2023年，市发展改革委紧密围绕市委、市政府中心工作，坚持稳中求进工作总基调，认真学习贯彻党的二十大精神和市委全会精神，全力做好重大活动服务保障，认真落实“五子联动”等重大任务部署，在构建新发展格局中探索高质量发展的路径，努力保持经济社会平稳运行，不断推动发展改革工作取得新成效。</w:t>
      </w:r>
      <w:r>
        <w:rPr>
          <w:rFonts w:hint="eastAsia" w:ascii="仿宋_GB2312" w:eastAsia="仿宋_GB2312"/>
          <w:sz w:val="32"/>
          <w:szCs w:val="32"/>
        </w:rPr>
        <w:t>部门整体绩效指标设置如下：</w:t>
      </w:r>
    </w:p>
    <w:p>
      <w:pPr>
        <w:spacing w:line="560" w:lineRule="exact"/>
        <w:ind w:firstLine="640" w:firstLineChars="200"/>
        <w:rPr>
          <w:rFonts w:ascii="仿宋_GB2312" w:eastAsia="仿宋_GB2312"/>
          <w:sz w:val="32"/>
          <w:szCs w:val="32"/>
        </w:rPr>
        <w:sectPr>
          <w:footerReference r:id="rId3" w:type="default"/>
          <w:pgSz w:w="11906" w:h="16838"/>
          <w:pgMar w:top="1440" w:right="1644" w:bottom="1440" w:left="1644" w:header="851" w:footer="992" w:gutter="0"/>
          <w:pgNumType w:fmt="numberInDash"/>
          <w:cols w:space="425" w:num="1"/>
          <w:docGrid w:type="lines" w:linePitch="312" w:charSpace="0"/>
        </w:sectPr>
      </w:pPr>
    </w:p>
    <w:tbl>
      <w:tblPr>
        <w:tblStyle w:val="9"/>
        <w:tblW w:w="13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9385"/>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一级指标</w:t>
            </w:r>
          </w:p>
        </w:tc>
        <w:tc>
          <w:tcPr>
            <w:tcW w:w="1701"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9385"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755"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34" w:type="dxa"/>
            <w:vMerge w:val="restart"/>
            <w:vAlign w:val="center"/>
          </w:tcPr>
          <w:p>
            <w:pPr>
              <w:spacing w:line="240" w:lineRule="atLeast"/>
              <w:jc w:val="center"/>
              <w:rPr>
                <w:rFonts w:ascii="仿宋_GB2312" w:eastAsia="仿宋_GB2312"/>
                <w:szCs w:val="21"/>
              </w:rPr>
            </w:pPr>
            <w:r>
              <w:rPr>
                <w:rFonts w:hint="eastAsia" w:ascii="仿宋_GB2312" w:eastAsia="仿宋_GB2312"/>
                <w:szCs w:val="21"/>
              </w:rPr>
              <w:t>产出指标</w:t>
            </w:r>
          </w:p>
        </w:tc>
        <w:tc>
          <w:tcPr>
            <w:tcW w:w="1701" w:type="dxa"/>
            <w:vMerge w:val="restart"/>
            <w:vAlign w:val="center"/>
          </w:tcPr>
          <w:p>
            <w:pPr>
              <w:spacing w:line="240" w:lineRule="exact"/>
              <w:jc w:val="center"/>
              <w:rPr>
                <w:rFonts w:ascii="仿宋_GB2312" w:eastAsia="仿宋_GB2312"/>
                <w:szCs w:val="21"/>
              </w:rPr>
            </w:pPr>
            <w:r>
              <w:rPr>
                <w:rFonts w:hint="eastAsia" w:ascii="仿宋_GB2312" w:eastAsia="仿宋_GB2312"/>
                <w:szCs w:val="21"/>
              </w:rPr>
              <w:t>数量指标</w:t>
            </w:r>
          </w:p>
        </w:tc>
        <w:tc>
          <w:tcPr>
            <w:tcW w:w="9385" w:type="dxa"/>
            <w:vAlign w:val="center"/>
          </w:tcPr>
          <w:p>
            <w:pPr>
              <w:rPr>
                <w:rFonts w:hint="eastAsia" w:ascii="仿宋_GB2312" w:eastAsia="仿宋_GB2312"/>
                <w:szCs w:val="21"/>
              </w:rPr>
            </w:pPr>
            <w:r>
              <w:rPr>
                <w:rFonts w:hint="eastAsia" w:ascii="仿宋_GB2312" w:eastAsia="仿宋_GB2312"/>
                <w:szCs w:val="21"/>
                <w:lang w:val="en-US" w:eastAsia="zh-CN"/>
              </w:rPr>
              <w:t>形成财政金融形势分析或信息</w:t>
            </w:r>
          </w:p>
        </w:tc>
        <w:tc>
          <w:tcPr>
            <w:tcW w:w="1755" w:type="dxa"/>
            <w:vAlign w:val="center"/>
          </w:tcPr>
          <w:p>
            <w:pPr>
              <w:rPr>
                <w:rFonts w:hint="eastAsia" w:ascii="仿宋_GB2312" w:eastAsia="仿宋_GB2312"/>
                <w:szCs w:val="21"/>
              </w:rPr>
            </w:pPr>
            <w:r>
              <w:rPr>
                <w:rFonts w:hint="eastAsia" w:ascii="仿宋_GB2312" w:eastAsia="仿宋_GB2312"/>
                <w:szCs w:val="21"/>
                <w:lang w:val="en-US" w:eastAsia="zh-CN"/>
              </w:rPr>
              <w:t>≥4篇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85" w:type="dxa"/>
            <w:vAlign w:val="center"/>
          </w:tcPr>
          <w:p>
            <w:pPr>
              <w:rPr>
                <w:rFonts w:hint="eastAsia" w:ascii="仿宋_GB2312" w:eastAsia="仿宋_GB2312"/>
                <w:szCs w:val="21"/>
              </w:rPr>
            </w:pPr>
            <w:r>
              <w:rPr>
                <w:rFonts w:hint="eastAsia" w:ascii="仿宋_GB2312" w:eastAsia="仿宋_GB2312"/>
                <w:szCs w:val="21"/>
                <w:lang w:val="en-US" w:eastAsia="zh-CN"/>
              </w:rPr>
              <w:t>做好本市产业重点领域和产业功能区的监测分析。开展北京市“十四五”时期现代服务业发展规划实施情况研究，形成中期评估研究报告；建立两业融合八大重点领域产业图谱，形成分析报告</w:t>
            </w:r>
          </w:p>
        </w:tc>
        <w:tc>
          <w:tcPr>
            <w:tcW w:w="1755" w:type="dxa"/>
            <w:vAlign w:val="center"/>
          </w:tcPr>
          <w:p>
            <w:pPr>
              <w:rPr>
                <w:rFonts w:hint="eastAsia" w:ascii="仿宋_GB2312" w:eastAsia="仿宋_GB2312"/>
                <w:szCs w:val="21"/>
              </w:rPr>
            </w:pPr>
            <w:r>
              <w:rPr>
                <w:rFonts w:hint="eastAsia" w:ascii="仿宋_GB2312" w:eastAsia="仿宋_GB2312"/>
                <w:szCs w:val="21"/>
                <w:lang w:val="en-US" w:eastAsia="zh-CN"/>
              </w:rPr>
              <w:t>≥2篇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85" w:type="dxa"/>
            <w:vAlign w:val="center"/>
          </w:tcPr>
          <w:p>
            <w:pPr>
              <w:rPr>
                <w:rFonts w:hint="eastAsia" w:ascii="仿宋_GB2312" w:eastAsia="仿宋_GB2312"/>
                <w:szCs w:val="21"/>
              </w:rPr>
            </w:pPr>
            <w:r>
              <w:rPr>
                <w:rFonts w:hint="eastAsia" w:ascii="仿宋_GB2312" w:eastAsia="仿宋_GB2312"/>
                <w:szCs w:val="21"/>
                <w:lang w:val="en-US" w:eastAsia="zh-CN"/>
              </w:rPr>
              <w:t>开展本市服务业重点领域发展研究，形成检验检测服务业高质量发展、数字时代文化新业态发展、提升生活服务业品质等领域研究成果</w:t>
            </w:r>
          </w:p>
        </w:tc>
        <w:tc>
          <w:tcPr>
            <w:tcW w:w="1755" w:type="dxa"/>
            <w:vAlign w:val="center"/>
          </w:tcPr>
          <w:p>
            <w:pPr>
              <w:rPr>
                <w:rFonts w:hint="eastAsia" w:ascii="仿宋_GB2312" w:eastAsia="仿宋_GB2312"/>
                <w:szCs w:val="21"/>
              </w:rPr>
            </w:pPr>
            <w:r>
              <w:rPr>
                <w:rFonts w:hint="eastAsia" w:ascii="仿宋_GB2312" w:eastAsia="仿宋_GB2312"/>
                <w:szCs w:val="21"/>
                <w:lang w:val="en-US" w:eastAsia="zh-CN"/>
              </w:rPr>
              <w:t>≥3篇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85" w:type="dxa"/>
            <w:vAlign w:val="center"/>
          </w:tcPr>
          <w:p>
            <w:pPr>
              <w:rPr>
                <w:rFonts w:hint="eastAsia" w:ascii="仿宋_GB2312" w:eastAsia="仿宋_GB2312"/>
                <w:szCs w:val="21"/>
              </w:rPr>
            </w:pPr>
            <w:r>
              <w:rPr>
                <w:rFonts w:hint="eastAsia" w:ascii="仿宋_GB2312" w:eastAsia="仿宋_GB2312"/>
                <w:szCs w:val="21"/>
                <w:lang w:val="en-US" w:eastAsia="zh-CN"/>
              </w:rPr>
              <w:t>开展的成本监审或成本调查数量</w:t>
            </w:r>
          </w:p>
        </w:tc>
        <w:tc>
          <w:tcPr>
            <w:tcW w:w="1755" w:type="dxa"/>
            <w:vAlign w:val="center"/>
          </w:tcPr>
          <w:p>
            <w:pPr>
              <w:rPr>
                <w:rFonts w:hint="eastAsia" w:ascii="仿宋_GB2312" w:eastAsia="仿宋_GB2312"/>
                <w:szCs w:val="21"/>
              </w:rPr>
            </w:pPr>
            <w:r>
              <w:rPr>
                <w:rFonts w:hint="eastAsia" w:ascii="仿宋_GB2312" w:eastAsia="仿宋_GB2312"/>
                <w:szCs w:val="21"/>
                <w:lang w:val="en-US" w:eastAsia="zh-CN"/>
              </w:rPr>
              <w:t>≥4项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560" w:lineRule="exact"/>
              <w:jc w:val="center"/>
              <w:rPr>
                <w:rFonts w:ascii="仿宋_GB2312" w:eastAsia="仿宋_GB2312"/>
                <w:szCs w:val="21"/>
              </w:rPr>
            </w:pPr>
          </w:p>
        </w:tc>
        <w:tc>
          <w:tcPr>
            <w:tcW w:w="9385" w:type="dxa"/>
            <w:vAlign w:val="center"/>
          </w:tcPr>
          <w:p>
            <w:pPr>
              <w:rPr>
                <w:rFonts w:hint="eastAsia" w:ascii="仿宋_GB2312" w:eastAsia="仿宋_GB2312"/>
                <w:szCs w:val="21"/>
              </w:rPr>
            </w:pPr>
            <w:r>
              <w:rPr>
                <w:rFonts w:hint="eastAsia" w:ascii="仿宋_GB2312" w:eastAsia="仿宋_GB2312"/>
                <w:szCs w:val="21"/>
                <w:lang w:val="en-US" w:eastAsia="zh-CN"/>
              </w:rPr>
              <w:t>案件办理数量</w:t>
            </w:r>
          </w:p>
        </w:tc>
        <w:tc>
          <w:tcPr>
            <w:tcW w:w="1755" w:type="dxa"/>
            <w:vAlign w:val="center"/>
          </w:tcPr>
          <w:p>
            <w:pPr>
              <w:rPr>
                <w:rFonts w:hint="eastAsia" w:ascii="仿宋_GB2312" w:eastAsia="仿宋_GB2312"/>
                <w:szCs w:val="21"/>
              </w:rPr>
            </w:pPr>
            <w:r>
              <w:rPr>
                <w:rFonts w:hint="eastAsia" w:ascii="仿宋_GB2312" w:eastAsia="仿宋_GB2312"/>
                <w:szCs w:val="21"/>
                <w:lang w:val="en-US" w:eastAsia="zh-CN"/>
              </w:rPr>
              <w:t>≥5件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560" w:lineRule="exact"/>
              <w:jc w:val="center"/>
              <w:rPr>
                <w:rFonts w:ascii="仿宋_GB2312" w:eastAsia="仿宋_GB2312"/>
                <w:szCs w:val="21"/>
              </w:rPr>
            </w:pPr>
          </w:p>
        </w:tc>
        <w:tc>
          <w:tcPr>
            <w:tcW w:w="9385" w:type="dxa"/>
            <w:vAlign w:val="center"/>
          </w:tcPr>
          <w:p>
            <w:pPr>
              <w:rPr>
                <w:rFonts w:hint="eastAsia" w:ascii="仿宋_GB2312" w:eastAsia="仿宋_GB2312"/>
                <w:szCs w:val="21"/>
              </w:rPr>
            </w:pPr>
            <w:r>
              <w:rPr>
                <w:rFonts w:hint="eastAsia" w:ascii="仿宋_GB2312" w:eastAsia="仿宋_GB2312"/>
                <w:szCs w:val="21"/>
                <w:lang w:val="en-US" w:eastAsia="zh-CN"/>
              </w:rPr>
              <w:t>推动重点产业集群化发展和高端仪器产业成果转化落地方面研究文件数量</w:t>
            </w:r>
          </w:p>
        </w:tc>
        <w:tc>
          <w:tcPr>
            <w:tcW w:w="1755" w:type="dxa"/>
            <w:vAlign w:val="center"/>
          </w:tcPr>
          <w:p>
            <w:pPr>
              <w:rPr>
                <w:rFonts w:hint="eastAsia" w:ascii="仿宋_GB2312" w:eastAsia="仿宋_GB2312"/>
                <w:szCs w:val="21"/>
              </w:rPr>
            </w:pPr>
            <w:r>
              <w:rPr>
                <w:rFonts w:hint="eastAsia" w:ascii="仿宋_GB2312" w:eastAsia="仿宋_GB2312"/>
                <w:szCs w:val="21"/>
                <w:lang w:val="en-US" w:eastAsia="zh-CN"/>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560" w:lineRule="exact"/>
              <w:jc w:val="center"/>
              <w:rPr>
                <w:rFonts w:ascii="仿宋_GB2312" w:eastAsia="仿宋_GB2312"/>
                <w:szCs w:val="21"/>
              </w:rPr>
            </w:pPr>
          </w:p>
        </w:tc>
        <w:tc>
          <w:tcPr>
            <w:tcW w:w="938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品牌日参展企业</w:t>
            </w:r>
          </w:p>
        </w:tc>
        <w:tc>
          <w:tcPr>
            <w:tcW w:w="175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≥30家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560" w:lineRule="exact"/>
              <w:jc w:val="center"/>
              <w:rPr>
                <w:rFonts w:ascii="仿宋_GB2312" w:eastAsia="仿宋_GB2312"/>
                <w:szCs w:val="21"/>
              </w:rPr>
            </w:pPr>
          </w:p>
        </w:tc>
        <w:tc>
          <w:tcPr>
            <w:tcW w:w="938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双创参展项目</w:t>
            </w:r>
          </w:p>
        </w:tc>
        <w:tc>
          <w:tcPr>
            <w:tcW w:w="175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≥100项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560" w:lineRule="exact"/>
              <w:jc w:val="center"/>
              <w:rPr>
                <w:rFonts w:ascii="仿宋_GB2312" w:eastAsia="仿宋_GB2312"/>
                <w:szCs w:val="21"/>
              </w:rPr>
            </w:pPr>
          </w:p>
        </w:tc>
        <w:tc>
          <w:tcPr>
            <w:tcW w:w="938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新闻发布活动次数</w:t>
            </w:r>
          </w:p>
        </w:tc>
        <w:tc>
          <w:tcPr>
            <w:tcW w:w="175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≥50次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560" w:lineRule="exact"/>
              <w:jc w:val="center"/>
              <w:rPr>
                <w:rFonts w:ascii="仿宋_GB2312" w:eastAsia="仿宋_GB2312"/>
                <w:szCs w:val="21"/>
              </w:rPr>
            </w:pPr>
          </w:p>
        </w:tc>
        <w:tc>
          <w:tcPr>
            <w:tcW w:w="938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“发展北京”政务微信发布信息数量</w:t>
            </w:r>
          </w:p>
        </w:tc>
        <w:tc>
          <w:tcPr>
            <w:tcW w:w="175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≥300篇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560" w:lineRule="exact"/>
              <w:jc w:val="center"/>
              <w:rPr>
                <w:rFonts w:ascii="仿宋_GB2312" w:eastAsia="仿宋_GB2312"/>
                <w:szCs w:val="21"/>
              </w:rPr>
            </w:pPr>
          </w:p>
        </w:tc>
        <w:tc>
          <w:tcPr>
            <w:tcW w:w="938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形成“十四五”规划实施相关情况第三方评估报告</w:t>
            </w:r>
          </w:p>
        </w:tc>
        <w:tc>
          <w:tcPr>
            <w:tcW w:w="175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560" w:lineRule="exact"/>
              <w:jc w:val="center"/>
              <w:rPr>
                <w:rFonts w:ascii="仿宋_GB2312" w:eastAsia="仿宋_GB2312"/>
                <w:szCs w:val="21"/>
              </w:rPr>
            </w:pPr>
          </w:p>
        </w:tc>
        <w:tc>
          <w:tcPr>
            <w:tcW w:w="938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提交人代会审议北京市“十四五”规划《纲要》实施情况中期评估报告</w:t>
            </w:r>
          </w:p>
        </w:tc>
        <w:tc>
          <w:tcPr>
            <w:tcW w:w="175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560" w:lineRule="exact"/>
              <w:jc w:val="center"/>
              <w:rPr>
                <w:rFonts w:ascii="仿宋_GB2312" w:eastAsia="仿宋_GB2312"/>
                <w:szCs w:val="21"/>
              </w:rPr>
            </w:pPr>
          </w:p>
        </w:tc>
        <w:tc>
          <w:tcPr>
            <w:tcW w:w="938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编制印发《促进平原新城高质量发展提升平原新城综合承载能力2023年工作要点》</w:t>
            </w:r>
          </w:p>
        </w:tc>
        <w:tc>
          <w:tcPr>
            <w:tcW w:w="175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560" w:lineRule="exact"/>
              <w:jc w:val="center"/>
              <w:rPr>
                <w:rFonts w:ascii="仿宋_GB2312" w:eastAsia="仿宋_GB2312"/>
                <w:szCs w:val="21"/>
              </w:rPr>
            </w:pPr>
          </w:p>
        </w:tc>
        <w:tc>
          <w:tcPr>
            <w:tcW w:w="938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按照成品油价格形成机制定期调整本市汽柴油价格</w:t>
            </w:r>
          </w:p>
        </w:tc>
        <w:tc>
          <w:tcPr>
            <w:tcW w:w="175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560" w:lineRule="exact"/>
              <w:jc w:val="center"/>
              <w:rPr>
                <w:rFonts w:ascii="仿宋_GB2312" w:eastAsia="仿宋_GB2312"/>
                <w:szCs w:val="21"/>
              </w:rPr>
            </w:pPr>
          </w:p>
        </w:tc>
        <w:tc>
          <w:tcPr>
            <w:tcW w:w="938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配合市粮食局等有关部门研究制定《耕地保护和粮食安全责任制考核办法》</w:t>
            </w:r>
          </w:p>
        </w:tc>
        <w:tc>
          <w:tcPr>
            <w:tcW w:w="175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atLeast"/>
              <w:jc w:val="center"/>
              <w:rPr>
                <w:rFonts w:ascii="仿宋_GB2312" w:eastAsia="仿宋_GB2312"/>
                <w:szCs w:val="21"/>
              </w:rPr>
            </w:pPr>
          </w:p>
        </w:tc>
        <w:tc>
          <w:tcPr>
            <w:tcW w:w="938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形成能源绿色低碳转型实施方案、“十四五”时期能源发展规划中期评估报告、京津冀能源协同发展行动计划</w:t>
            </w:r>
          </w:p>
        </w:tc>
        <w:tc>
          <w:tcPr>
            <w:tcW w:w="1755"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＝3份</w:t>
            </w:r>
          </w:p>
        </w:tc>
      </w:tr>
    </w:tbl>
    <w:p>
      <w:pPr>
        <w:pStyle w:val="2"/>
        <w:spacing w:line="240" w:lineRule="exact"/>
        <w:jc w:val="right"/>
        <w:rPr>
          <w:rFonts w:asciiTheme="minorEastAsia" w:hAnsiTheme="minorEastAsia" w:eastAsiaTheme="minorEastAsia"/>
          <w:sz w:val="21"/>
          <w:szCs w:val="21"/>
        </w:rPr>
      </w:pPr>
      <w:r>
        <w:rPr>
          <w:rFonts w:hint="eastAsia" w:asciiTheme="minorEastAsia" w:hAnsiTheme="minorEastAsia" w:eastAsiaTheme="minorEastAsia"/>
          <w:sz w:val="21"/>
          <w:szCs w:val="21"/>
        </w:rPr>
        <w:t>（接下页）</w:t>
      </w:r>
      <w:r>
        <w:rPr>
          <w:rFonts w:asciiTheme="minorEastAsia" w:hAnsiTheme="minorEastAsia" w:eastAsiaTheme="minorEastAsia"/>
          <w:sz w:val="21"/>
          <w:szCs w:val="21"/>
        </w:rPr>
        <w:br w:type="page"/>
      </w:r>
    </w:p>
    <w:p>
      <w:pPr>
        <w:spacing w:line="240" w:lineRule="exact"/>
      </w:pPr>
      <w:r>
        <w:rPr>
          <w:rFonts w:hint="eastAsia"/>
        </w:rPr>
        <w:t>（续上页）</w:t>
      </w:r>
    </w:p>
    <w:tbl>
      <w:tblPr>
        <w:tblStyle w:val="9"/>
        <w:tblW w:w="13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9352"/>
        <w:gridCol w:w="1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一级指标</w:t>
            </w:r>
          </w:p>
        </w:tc>
        <w:tc>
          <w:tcPr>
            <w:tcW w:w="1701"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9352"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788"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trPr>
        <w:tc>
          <w:tcPr>
            <w:tcW w:w="1134" w:type="dxa"/>
            <w:vMerge w:val="restart"/>
            <w:vAlign w:val="center"/>
          </w:tcPr>
          <w:p>
            <w:pPr>
              <w:spacing w:line="240" w:lineRule="atLeast"/>
              <w:jc w:val="center"/>
              <w:rPr>
                <w:rFonts w:ascii="仿宋_GB2312" w:eastAsia="仿宋_GB2312"/>
                <w:szCs w:val="21"/>
              </w:rPr>
            </w:pPr>
            <w:r>
              <w:rPr>
                <w:rFonts w:hint="eastAsia" w:ascii="仿宋_GB2312" w:eastAsia="仿宋_GB2312"/>
                <w:szCs w:val="21"/>
              </w:rPr>
              <w:t>产出指标</w:t>
            </w:r>
          </w:p>
        </w:tc>
        <w:tc>
          <w:tcPr>
            <w:tcW w:w="1701" w:type="dxa"/>
            <w:vMerge w:val="restart"/>
            <w:vAlign w:val="center"/>
          </w:tcPr>
          <w:p>
            <w:pPr>
              <w:spacing w:line="240" w:lineRule="exact"/>
              <w:jc w:val="center"/>
              <w:rPr>
                <w:rFonts w:ascii="仿宋_GB2312" w:eastAsia="仿宋_GB2312"/>
                <w:szCs w:val="21"/>
              </w:rPr>
            </w:pPr>
            <w:r>
              <w:rPr>
                <w:rFonts w:hint="eastAsia" w:ascii="仿宋_GB2312" w:eastAsia="仿宋_GB2312"/>
                <w:szCs w:val="21"/>
              </w:rPr>
              <w:t>数量指标</w:t>
            </w: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投产天津南港LNG应急储备项目一期、二期工程，新增天然气应急储备能力</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＝9.4亿立方米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政府固定资产投资项目专项督导数</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≥50个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政府固定资产投资项目日常监测数</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≥400个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招标投标执法检查项目数</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≥50个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制定新一轮生态涵养区生态保护和绿色发展政策文件；制定新一轮生态涵养区生态保护和绿色发展工作计划和项目计划；制定城南行动2023年重点项目及任务清单</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≥3项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全市常住人口总量</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≤2300万人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完成《促进本市社会公共服务领域建筑设施绿色低碳发展的路径研究》《扩大本市中等收入群体规模政策研究》课题研究报告</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≥2篇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编制北京市铁路领域2023年重点工作计划</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企业破产和市场主体退出分析报告数量</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≥3篇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破产法律法规和政策制度培训人次（含线上）</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≥500人次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印发实施《疏整促专项行动工作计划》</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召开市委财经委会议</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≥3次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报送《财经专报》</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≥20期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编制《发改工作》打造新时代首都城市复兴新地标工作专刊</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梳理形成京西产业转型升级示范区年度评估报告</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35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编制实施京西行动计划2023年重点任务和重大项目“两个清单”</w:t>
            </w:r>
          </w:p>
        </w:tc>
        <w:tc>
          <w:tcPr>
            <w:tcW w:w="178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＝2个</w:t>
            </w:r>
          </w:p>
        </w:tc>
      </w:tr>
    </w:tbl>
    <w:p>
      <w:pPr>
        <w:pStyle w:val="2"/>
        <w:spacing w:line="240" w:lineRule="exact"/>
        <w:jc w:val="right"/>
        <w:rPr>
          <w:sz w:val="21"/>
          <w:szCs w:val="21"/>
        </w:rPr>
      </w:pPr>
      <w:r>
        <w:rPr>
          <w:rFonts w:hint="eastAsia" w:asciiTheme="minorEastAsia" w:hAnsiTheme="minorEastAsia" w:eastAsiaTheme="minorEastAsia"/>
          <w:sz w:val="21"/>
          <w:szCs w:val="21"/>
        </w:rPr>
        <w:t>（接下页）</w:t>
      </w:r>
      <w:r>
        <w:rPr>
          <w:sz w:val="21"/>
          <w:szCs w:val="21"/>
        </w:rPr>
        <w:br w:type="page"/>
      </w:r>
    </w:p>
    <w:p>
      <w:pPr>
        <w:spacing w:line="240" w:lineRule="exact"/>
      </w:pPr>
      <w:r>
        <w:rPr>
          <w:rFonts w:hint="eastAsia"/>
        </w:rPr>
        <w:t>（续上页）</w:t>
      </w:r>
    </w:p>
    <w:tbl>
      <w:tblPr>
        <w:tblStyle w:val="9"/>
        <w:tblW w:w="13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9638"/>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一级指标</w:t>
            </w:r>
          </w:p>
        </w:tc>
        <w:tc>
          <w:tcPr>
            <w:tcW w:w="1701"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9638"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502"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134" w:type="dxa"/>
            <w:vMerge w:val="restart"/>
            <w:vAlign w:val="center"/>
          </w:tcPr>
          <w:p>
            <w:pPr>
              <w:spacing w:line="240" w:lineRule="atLeast"/>
              <w:jc w:val="center"/>
              <w:rPr>
                <w:rFonts w:ascii="仿宋_GB2312" w:eastAsia="仿宋_GB2312"/>
                <w:szCs w:val="21"/>
              </w:rPr>
            </w:pPr>
            <w:r>
              <w:rPr>
                <w:rFonts w:hint="eastAsia" w:ascii="仿宋_GB2312" w:eastAsia="仿宋_GB2312"/>
                <w:szCs w:val="21"/>
              </w:rPr>
              <w:t>产出指标</w:t>
            </w:r>
          </w:p>
        </w:tc>
        <w:tc>
          <w:tcPr>
            <w:tcW w:w="1701" w:type="dxa"/>
            <w:vMerge w:val="restart"/>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数量</w:t>
            </w:r>
            <w:r>
              <w:rPr>
                <w:rFonts w:ascii="仿宋_GB2312" w:eastAsia="仿宋_GB2312"/>
                <w:szCs w:val="21"/>
              </w:rPr>
              <w:t>指标</w:t>
            </w: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开展重要领域收费政策调查及评估</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推进拟转型机构适老化改造进程，打造改革样板</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制定本市贯彻落实贯彻落实加快建设全国统一大市场意见的实施方案及任务清单</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形成北京市房地产市场长效机制政策研究、减量发展背景下北京市城市更新投融资政策研究报告</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≥2篇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拟订年度全市固定资产投资调控思路安排建议；拟定市政府投资安排计划；会同有关部门编印市重点工程计划、房地产投资计划等</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≥4项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发布企业参与“一带一路”相关宣传报道</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≥12期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制定出台本市推进京津冀协同发展2023年重点任务督查方案</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察访核验工作报告和台账</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pacing w:val="-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完成京津冀规划政策相关报告</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pacing w:val="-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举办北京通州与河北廊坊北三县项目推介洽谈会</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pacing w:val="-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制定出台《北京市推进京津冀协同发展2023年工作要点》</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pacing w:val="-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制定出台新一轮营商环境改革实施方案</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pacing w:val="-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深化世行新评价研究和改革，形成世行评价体系分领域研究报告，对标国际先进，不断深化本市营商环境改革</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pacing w:val="-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开展2023年度区级营商环境评价，对全市16区、北京经济技术开发区开展营商环境评价，形成评价报告</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＝1份</w:t>
            </w:r>
          </w:p>
        </w:tc>
      </w:tr>
    </w:tbl>
    <w:p>
      <w:pPr>
        <w:pStyle w:val="2"/>
        <w:spacing w:line="240" w:lineRule="exact"/>
        <w:jc w:val="right"/>
        <w:rPr>
          <w:rFonts w:ascii="宋体" w:hAnsi="宋体" w:eastAsia="宋体"/>
          <w:sz w:val="21"/>
          <w:szCs w:val="21"/>
        </w:rPr>
      </w:pPr>
      <w:r>
        <w:rPr>
          <w:rFonts w:hint="eastAsia" w:ascii="宋体" w:hAnsi="宋体" w:eastAsia="宋体"/>
          <w:sz w:val="21"/>
          <w:szCs w:val="21"/>
        </w:rPr>
        <w:t>（接下页）</w:t>
      </w:r>
      <w:r>
        <w:rPr>
          <w:rFonts w:ascii="宋体" w:hAnsi="宋体" w:eastAsia="宋体"/>
          <w:sz w:val="21"/>
          <w:szCs w:val="21"/>
        </w:rPr>
        <w:br w:type="page"/>
      </w:r>
    </w:p>
    <w:p>
      <w:pPr>
        <w:spacing w:line="240" w:lineRule="exact"/>
      </w:pPr>
      <w:r>
        <w:rPr>
          <w:rFonts w:hint="eastAsia"/>
        </w:rPr>
        <w:t>（续上页）</w:t>
      </w:r>
    </w:p>
    <w:tbl>
      <w:tblPr>
        <w:tblStyle w:val="9"/>
        <w:tblW w:w="13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9638"/>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一级指标</w:t>
            </w:r>
          </w:p>
        </w:tc>
        <w:tc>
          <w:tcPr>
            <w:tcW w:w="1701"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9638"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502"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trPr>
        <w:tc>
          <w:tcPr>
            <w:tcW w:w="1134" w:type="dxa"/>
            <w:vMerge w:val="restart"/>
            <w:vAlign w:val="center"/>
          </w:tcPr>
          <w:p>
            <w:pPr>
              <w:spacing w:line="240" w:lineRule="atLeast"/>
              <w:jc w:val="center"/>
              <w:rPr>
                <w:rFonts w:ascii="仿宋_GB2312" w:eastAsia="仿宋_GB2312"/>
                <w:szCs w:val="21"/>
              </w:rPr>
            </w:pPr>
            <w:r>
              <w:rPr>
                <w:rFonts w:hint="eastAsia" w:ascii="仿宋_GB2312" w:eastAsia="仿宋_GB2312"/>
                <w:szCs w:val="21"/>
                <w:lang w:val="en-US" w:eastAsia="zh-CN"/>
              </w:rPr>
              <w:t>产出</w:t>
            </w:r>
            <w:r>
              <w:rPr>
                <w:rFonts w:ascii="仿宋_GB2312" w:eastAsia="仿宋_GB2312"/>
                <w:szCs w:val="21"/>
              </w:rPr>
              <w:t>指标</w:t>
            </w:r>
          </w:p>
        </w:tc>
        <w:tc>
          <w:tcPr>
            <w:tcW w:w="1701" w:type="dxa"/>
            <w:vMerge w:val="restart"/>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数量指标</w:t>
            </w: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完成重点企业服务和分析报告</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“小旧家电回收日”试点活动场数</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≥50场次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开展节能和循环经济标准制修订，以及公共建筑室内温度现场检测</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≥250次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完成节能技术改造工程项目的奖励工作</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形成经济形势分析监测预警报告</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形成国内国际稳增长措施实施效果比较分析报告</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获取国际市场主要期货和重要价格指数信息、本市钢材信息，通过专栏发布生活必需品、钢材等价格监测信息</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＞100期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向国家价格监测中心报送生活必需品、劳动力市场、房地产市场、生猪屠宰及养殖企业等价格监测数据</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＞2500条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办理市纪检委监察委、市人民法院、市人民检察院、市公安局协助提出的涉纪检、涉刑事价格鉴定事项</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≥300件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审核补贴发放单位数量</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≥50家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清洁生产审核单位数量</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≥60家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pacing w:val="-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实施现场监察单位数量</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≥60家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pacing w:val="-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全年撰写季度经济预测报告、专题分析报告、方法应用报告、经济运行大数据专题研究报告合计数量</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≥17篇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pacing w:val="-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在各类内刊内参刊发研究成果</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≥35篇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1134" w:type="dxa"/>
            <w:vMerge w:val="continue"/>
            <w:vAlign w:val="center"/>
          </w:tcPr>
          <w:p>
            <w:pPr>
              <w:spacing w:line="560" w:lineRule="exac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pacing w:val="-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编辑出版《北京健康城市建设研究》、《北京社会发展报告蓝皮书》、《首都现代化蓝皮书》</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＝3本</w:t>
            </w:r>
          </w:p>
        </w:tc>
      </w:tr>
    </w:tbl>
    <w:p>
      <w:pPr>
        <w:pStyle w:val="2"/>
        <w:spacing w:line="240" w:lineRule="exact"/>
        <w:jc w:val="right"/>
        <w:rPr>
          <w:rFonts w:ascii="宋体" w:hAnsi="宋体" w:eastAsia="宋体"/>
          <w:sz w:val="21"/>
          <w:szCs w:val="21"/>
        </w:rPr>
      </w:pPr>
      <w:r>
        <w:rPr>
          <w:rFonts w:hint="eastAsia" w:ascii="宋体" w:hAnsi="宋体" w:eastAsia="宋体"/>
          <w:sz w:val="21"/>
          <w:szCs w:val="21"/>
        </w:rPr>
        <w:t>（接下页）</w:t>
      </w:r>
      <w:r>
        <w:rPr>
          <w:rFonts w:ascii="宋体" w:hAnsi="宋体" w:eastAsia="宋体"/>
          <w:sz w:val="21"/>
          <w:szCs w:val="21"/>
        </w:rPr>
        <w:br w:type="page"/>
      </w:r>
    </w:p>
    <w:p>
      <w:pPr>
        <w:spacing w:line="240" w:lineRule="exact"/>
      </w:pPr>
      <w:r>
        <w:rPr>
          <w:rFonts w:hint="eastAsia"/>
        </w:rPr>
        <w:t>（续上页）</w:t>
      </w:r>
    </w:p>
    <w:tbl>
      <w:tblPr>
        <w:tblStyle w:val="9"/>
        <w:tblW w:w="13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9638"/>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134" w:type="dxa"/>
            <w:shd w:val="clear" w:color="auto" w:fill="D8D8D8" w:themeFill="background1" w:themeFillShade="D9"/>
            <w:vAlign w:val="center"/>
          </w:tcPr>
          <w:p>
            <w:pPr>
              <w:spacing w:line="240" w:lineRule="atLeast"/>
              <w:jc w:val="center"/>
              <w:rPr>
                <w:rFonts w:ascii="仿宋_GB2312" w:eastAsia="仿宋_GB2312"/>
                <w:szCs w:val="21"/>
              </w:rPr>
            </w:pPr>
            <w:r>
              <w:rPr>
                <w:rFonts w:hint="eastAsia" w:ascii="仿宋_GB2312" w:eastAsia="仿宋_GB2312"/>
                <w:b/>
                <w:szCs w:val="21"/>
              </w:rPr>
              <w:t>一级指标</w:t>
            </w:r>
          </w:p>
        </w:tc>
        <w:tc>
          <w:tcPr>
            <w:tcW w:w="1701" w:type="dxa"/>
            <w:shd w:val="clear" w:color="auto" w:fill="D8D8D8" w:themeFill="background1" w:themeFillShade="D9"/>
            <w:vAlign w:val="center"/>
          </w:tcPr>
          <w:p>
            <w:pPr>
              <w:spacing w:line="240" w:lineRule="exact"/>
              <w:jc w:val="center"/>
              <w:rPr>
                <w:rFonts w:ascii="仿宋_GB2312" w:eastAsia="仿宋_GB2312"/>
                <w:szCs w:val="21"/>
              </w:rPr>
            </w:pPr>
            <w:r>
              <w:rPr>
                <w:rFonts w:hint="eastAsia" w:ascii="仿宋_GB2312" w:eastAsia="仿宋_GB2312"/>
                <w:b/>
                <w:szCs w:val="21"/>
              </w:rPr>
              <w:t>二级指标</w:t>
            </w:r>
          </w:p>
        </w:tc>
        <w:tc>
          <w:tcPr>
            <w:tcW w:w="9638" w:type="dxa"/>
            <w:shd w:val="clear" w:color="auto" w:fill="D8D8D8" w:themeFill="background1" w:themeFillShade="D9"/>
            <w:vAlign w:val="center"/>
          </w:tcPr>
          <w:p>
            <w:pPr>
              <w:spacing w:line="240" w:lineRule="atLeast"/>
              <w:jc w:val="center"/>
              <w:rPr>
                <w:rFonts w:ascii="仿宋_GB2312" w:eastAsia="仿宋_GB2312"/>
                <w:szCs w:val="21"/>
              </w:rPr>
            </w:pPr>
            <w:r>
              <w:rPr>
                <w:rFonts w:hint="eastAsia" w:ascii="仿宋_GB2312" w:eastAsia="仿宋_GB2312"/>
                <w:b/>
                <w:szCs w:val="21"/>
              </w:rPr>
              <w:t>三级指标</w:t>
            </w:r>
          </w:p>
        </w:tc>
        <w:tc>
          <w:tcPr>
            <w:tcW w:w="1502" w:type="dxa"/>
            <w:shd w:val="clear" w:color="auto" w:fill="D8D8D8" w:themeFill="background1" w:themeFillShade="D9"/>
            <w:vAlign w:val="center"/>
          </w:tcPr>
          <w:p>
            <w:pPr>
              <w:spacing w:line="240" w:lineRule="atLeast"/>
              <w:jc w:val="center"/>
              <w:rPr>
                <w:rFonts w:ascii="仿宋_GB2312" w:eastAsia="仿宋_GB2312"/>
                <w:spacing w:val="-2"/>
                <w:szCs w:val="21"/>
              </w:rPr>
            </w:pPr>
            <w:r>
              <w:rPr>
                <w:rFonts w:hint="eastAsia" w:ascii="仿宋_GB2312" w:eastAsia="仿宋_GB2312"/>
                <w:b/>
                <w:szCs w:val="21"/>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34" w:type="dxa"/>
            <w:vMerge w:val="restart"/>
            <w:vAlign w:val="center"/>
          </w:tcPr>
          <w:p>
            <w:pPr>
              <w:spacing w:line="240" w:lineRule="atLeast"/>
              <w:jc w:val="center"/>
              <w:rPr>
                <w:rFonts w:ascii="仿宋_GB2312" w:eastAsia="仿宋_GB2312"/>
                <w:szCs w:val="21"/>
              </w:rPr>
            </w:pPr>
            <w:r>
              <w:rPr>
                <w:rFonts w:hint="eastAsia" w:ascii="仿宋_GB2312" w:eastAsia="仿宋_GB2312"/>
                <w:szCs w:val="21"/>
                <w:lang w:val="en-US" w:eastAsia="zh-CN"/>
              </w:rPr>
              <w:t>产出</w:t>
            </w:r>
            <w:r>
              <w:rPr>
                <w:rFonts w:hint="eastAsia" w:ascii="仿宋_GB2312" w:eastAsia="仿宋_GB2312"/>
                <w:szCs w:val="21"/>
              </w:rPr>
              <w:t>指标</w:t>
            </w:r>
          </w:p>
        </w:tc>
        <w:tc>
          <w:tcPr>
            <w:tcW w:w="1701" w:type="dxa"/>
            <w:vMerge w:val="restart"/>
            <w:vAlign w:val="center"/>
          </w:tcPr>
          <w:p>
            <w:pPr>
              <w:spacing w:line="240" w:lineRule="exact"/>
              <w:jc w:val="center"/>
              <w:rPr>
                <w:rFonts w:ascii="仿宋_GB2312" w:eastAsia="仿宋_GB2312"/>
                <w:szCs w:val="21"/>
              </w:rPr>
            </w:pPr>
            <w:r>
              <w:rPr>
                <w:rFonts w:hint="eastAsia" w:ascii="仿宋_GB2312" w:eastAsia="仿宋_GB2312"/>
                <w:szCs w:val="21"/>
              </w:rPr>
              <w:t>质量指标</w:t>
            </w: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围绕重点领域组织开展融资对接活动</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区域发展、生态文明建设类政策转化效益分析评价</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加快推进“双枢纽”重大项目前期工作</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完成疏整促专项行动工作任务</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全面完成市委深改委经济领域2023年工作要点重点任务</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为本市对外开放工作提供有力支撑</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形成课题研究成果，支撑京津冀协同发展工作</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市纪检监察机关、司法机关提出复核率</w:t>
            </w:r>
          </w:p>
        </w:tc>
        <w:tc>
          <w:tcPr>
            <w:tcW w:w="1502" w:type="dxa"/>
            <w:vAlign w:val="center"/>
          </w:tcPr>
          <w:p>
            <w:pPr>
              <w:rPr>
                <w:rFonts w:hint="eastAsia" w:ascii="仿宋_GB2312" w:eastAsia="仿宋_GB2312"/>
                <w:szCs w:val="21"/>
                <w:lang w:val="en-US" w:eastAsia="zh-CN"/>
              </w:rPr>
            </w:pPr>
            <w:r>
              <w:rPr>
                <w:rFonts w:hint="default" w:ascii="仿宋_GB2312" w:eastAsia="仿宋_GB2312"/>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根据《中华人民共和国节约能源法》《中华人民共和国清洁生产促进法》等法律法规严格依法行政；落实“双随机、一公开”监管要求</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系统正常运行率</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restart"/>
            <w:vAlign w:val="center"/>
          </w:tcPr>
          <w:p>
            <w:pPr>
              <w:spacing w:line="240" w:lineRule="exact"/>
              <w:jc w:val="center"/>
              <w:rPr>
                <w:rFonts w:ascii="仿宋_GB2312" w:eastAsia="仿宋_GB2312"/>
                <w:szCs w:val="21"/>
              </w:rPr>
            </w:pPr>
            <w:r>
              <w:rPr>
                <w:rFonts w:hint="eastAsia" w:ascii="仿宋_GB2312" w:eastAsia="仿宋_GB2312"/>
                <w:szCs w:val="21"/>
              </w:rPr>
              <w:t>时效指标</w:t>
            </w: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根据上游天然气门站价格变化情况，及时疏导上游天然气价格浮动影响</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及时提示预警，提出调控建议</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trPr>
        <w:tc>
          <w:tcPr>
            <w:tcW w:w="1134" w:type="dxa"/>
            <w:vMerge w:val="continue"/>
            <w:vAlign w:val="center"/>
          </w:tcPr>
          <w:p>
            <w:pPr>
              <w:spacing w:line="240" w:lineRule="atLeast"/>
              <w:jc w:val="center"/>
              <w:rPr>
                <w:rFonts w:ascii="仿宋_GB2312" w:eastAsia="仿宋_GB2312"/>
                <w:szCs w:val="21"/>
              </w:rPr>
            </w:pPr>
          </w:p>
        </w:tc>
        <w:tc>
          <w:tcPr>
            <w:tcW w:w="1701" w:type="dxa"/>
            <w:vMerge w:val="continue"/>
            <w:vAlign w:val="center"/>
          </w:tcPr>
          <w:p>
            <w:pPr>
              <w:spacing w:line="240" w:lineRule="exact"/>
              <w:jc w:val="center"/>
              <w:rPr>
                <w:rFonts w:ascii="仿宋_GB2312" w:eastAsia="仿宋_GB2312"/>
                <w:szCs w:val="21"/>
              </w:rPr>
            </w:pPr>
          </w:p>
        </w:tc>
        <w:tc>
          <w:tcPr>
            <w:tcW w:w="9638"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平均故障修复响应时间</w:t>
            </w:r>
          </w:p>
        </w:tc>
        <w:tc>
          <w:tcPr>
            <w:tcW w:w="1502" w:type="dxa"/>
            <w:vAlign w:val="center"/>
          </w:tcPr>
          <w:p>
            <w:pPr>
              <w:rPr>
                <w:rFonts w:hint="eastAsia" w:ascii="仿宋_GB2312" w:eastAsia="仿宋_GB2312"/>
                <w:szCs w:val="21"/>
                <w:lang w:val="en-US" w:eastAsia="zh-CN"/>
              </w:rPr>
            </w:pPr>
            <w:r>
              <w:rPr>
                <w:rFonts w:hint="eastAsia" w:ascii="仿宋_GB2312" w:eastAsia="仿宋_GB2312"/>
                <w:szCs w:val="21"/>
                <w:lang w:val="en-US" w:eastAsia="zh-CN"/>
              </w:rPr>
              <w:t>≤4小时</w:t>
            </w:r>
          </w:p>
        </w:tc>
      </w:tr>
    </w:tbl>
    <w:p>
      <w:pPr>
        <w:jc w:val="right"/>
        <w:rPr>
          <w:rFonts w:hint="eastAsia" w:ascii="宋体" w:hAnsi="宋体" w:eastAsia="宋体"/>
          <w:sz w:val="21"/>
          <w:szCs w:val="21"/>
        </w:rPr>
      </w:pPr>
      <w:r>
        <w:rPr>
          <w:rFonts w:hint="eastAsia" w:ascii="宋体" w:hAnsi="宋体" w:eastAsia="宋体"/>
          <w:sz w:val="21"/>
          <w:szCs w:val="21"/>
        </w:rPr>
        <w:t>（接下页）</w:t>
      </w:r>
    </w:p>
    <w:p>
      <w:pPr>
        <w:rPr>
          <w:rFonts w:hint="eastAsia" w:ascii="宋体" w:hAnsi="宋体" w:eastAsia="宋体"/>
          <w:sz w:val="21"/>
          <w:szCs w:val="21"/>
        </w:rPr>
      </w:pPr>
    </w:p>
    <w:p>
      <w:pPr>
        <w:spacing w:line="240" w:lineRule="exact"/>
      </w:pPr>
      <w:r>
        <w:rPr>
          <w:rFonts w:hint="eastAsia"/>
        </w:rPr>
        <w:t>（续上页）</w:t>
      </w: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1678"/>
        <w:gridCol w:w="9634"/>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trPr>
        <w:tc>
          <w:tcPr>
            <w:tcW w:w="1142" w:type="dxa"/>
            <w:vMerge w:val="restart"/>
            <w:vAlign w:val="center"/>
          </w:tcPr>
          <w:p>
            <w:pPr>
              <w:pStyle w:val="2"/>
              <w:jc w:val="both"/>
              <w:rPr>
                <w:vertAlign w:val="baseline"/>
              </w:rPr>
            </w:pPr>
            <w:r>
              <w:rPr>
                <w:rFonts w:hint="eastAsia" w:ascii="仿宋_GB2312" w:hAnsi="Times New Roman" w:eastAsia="仿宋_GB2312" w:cs="Times New Roman"/>
                <w:kern w:val="2"/>
                <w:sz w:val="21"/>
                <w:szCs w:val="21"/>
                <w:lang w:val="en-US" w:eastAsia="zh-CN" w:bidi="ar-SA"/>
              </w:rPr>
              <w:t>效益指标</w:t>
            </w:r>
          </w:p>
        </w:tc>
        <w:tc>
          <w:tcPr>
            <w:tcW w:w="1678" w:type="dxa"/>
            <w:vMerge w:val="restart"/>
            <w:vAlign w:val="center"/>
          </w:tcPr>
          <w:p>
            <w:pPr>
              <w:pStyle w:val="2"/>
              <w:jc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经济效益指标</w:t>
            </w: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做好本市重大经济工作的总体谋划、统筹协调、整体推进和督促落实</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142" w:type="dxa"/>
            <w:vMerge w:val="continue"/>
          </w:tcPr>
          <w:p>
            <w:pPr>
              <w:pStyle w:val="2"/>
              <w:rPr>
                <w:vertAlign w:val="baseline"/>
              </w:rPr>
            </w:pPr>
          </w:p>
        </w:tc>
        <w:tc>
          <w:tcPr>
            <w:tcW w:w="1678" w:type="dxa"/>
            <w:vMerge w:val="continue"/>
          </w:tcPr>
          <w:p>
            <w:pPr>
              <w:pStyle w:val="2"/>
              <w:rPr>
                <w:rFonts w:hint="eastAsia" w:ascii="仿宋_GB2312" w:hAnsi="Times New Roman" w:eastAsia="仿宋_GB2312" w:cs="Times New Roman"/>
                <w:kern w:val="2"/>
                <w:sz w:val="21"/>
                <w:szCs w:val="21"/>
                <w:lang w:val="en-US" w:eastAsia="zh-CN" w:bidi="ar-SA"/>
              </w:rPr>
            </w:pP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更多重大项目落地建设，推动本市投资平稳运行</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1142" w:type="dxa"/>
            <w:vMerge w:val="continue"/>
          </w:tcPr>
          <w:p>
            <w:pPr>
              <w:pStyle w:val="2"/>
              <w:rPr>
                <w:vertAlign w:val="baseline"/>
              </w:rPr>
            </w:pPr>
          </w:p>
        </w:tc>
        <w:tc>
          <w:tcPr>
            <w:tcW w:w="1678" w:type="dxa"/>
            <w:vMerge w:val="continue"/>
          </w:tcPr>
          <w:p>
            <w:pPr>
              <w:pStyle w:val="2"/>
              <w:rPr>
                <w:rFonts w:hint="eastAsia" w:ascii="仿宋_GB2312" w:hAnsi="Times New Roman" w:eastAsia="仿宋_GB2312" w:cs="Times New Roman"/>
                <w:kern w:val="2"/>
                <w:sz w:val="21"/>
                <w:szCs w:val="21"/>
                <w:lang w:val="en-US" w:eastAsia="zh-CN" w:bidi="ar-SA"/>
              </w:rPr>
            </w:pP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根据国家宏观调控要求，统筹协调经济社会发展，做好经济运行调度</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trPr>
        <w:tc>
          <w:tcPr>
            <w:tcW w:w="1142" w:type="dxa"/>
            <w:vMerge w:val="continue"/>
          </w:tcPr>
          <w:p>
            <w:pPr>
              <w:pStyle w:val="2"/>
              <w:rPr>
                <w:vertAlign w:val="baseline"/>
              </w:rPr>
            </w:pPr>
          </w:p>
        </w:tc>
        <w:tc>
          <w:tcPr>
            <w:tcW w:w="1678" w:type="dxa"/>
            <w:vMerge w:val="continue"/>
          </w:tcPr>
          <w:p>
            <w:pPr>
              <w:pStyle w:val="2"/>
              <w:rPr>
                <w:vertAlign w:val="baseline"/>
              </w:rPr>
            </w:pP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密切关注市场动态，及时报告市场动态，加强价格监测预警，为宏观调控提供有效支撑</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2" w:type="dxa"/>
            <w:vMerge w:val="continue"/>
          </w:tcPr>
          <w:p>
            <w:pPr>
              <w:pStyle w:val="2"/>
              <w:rPr>
                <w:vertAlign w:val="baseline"/>
              </w:rPr>
            </w:pPr>
          </w:p>
        </w:tc>
        <w:tc>
          <w:tcPr>
            <w:tcW w:w="1678" w:type="dxa"/>
            <w:vMerge w:val="restart"/>
            <w:vAlign w:val="center"/>
          </w:tcPr>
          <w:p>
            <w:pPr>
              <w:pStyle w:val="2"/>
              <w:jc w:val="both"/>
              <w:rPr>
                <w:vertAlign w:val="baseline"/>
              </w:rPr>
            </w:pPr>
            <w:r>
              <w:rPr>
                <w:rFonts w:hint="eastAsia" w:ascii="仿宋_GB2312" w:hAnsi="Times New Roman" w:eastAsia="仿宋_GB2312" w:cs="Times New Roman"/>
                <w:kern w:val="2"/>
                <w:sz w:val="21"/>
                <w:szCs w:val="21"/>
                <w:lang w:val="en-US" w:eastAsia="zh-CN" w:bidi="ar-SA"/>
              </w:rPr>
              <w:t>社会效益指标</w:t>
            </w: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研究制定产业发展相关政策，明确本市示范园区、试点企业评定标准及工作流程，研究认定和储备一批市级两业融合示范园区和试点企业</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trPr>
        <w:tc>
          <w:tcPr>
            <w:tcW w:w="1142" w:type="dxa"/>
            <w:vMerge w:val="continue"/>
          </w:tcPr>
          <w:p>
            <w:pPr>
              <w:pStyle w:val="2"/>
              <w:rPr>
                <w:vertAlign w:val="baseline"/>
              </w:rPr>
            </w:pPr>
          </w:p>
        </w:tc>
        <w:tc>
          <w:tcPr>
            <w:tcW w:w="1678" w:type="dxa"/>
            <w:vMerge w:val="continue"/>
          </w:tcPr>
          <w:p>
            <w:pPr>
              <w:pStyle w:val="2"/>
              <w:rPr>
                <w:vertAlign w:val="baseline"/>
              </w:rPr>
            </w:pP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活动参与人次（含线上）</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≥3万人次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1142" w:type="dxa"/>
            <w:vMerge w:val="continue"/>
          </w:tcPr>
          <w:p>
            <w:pPr>
              <w:pStyle w:val="2"/>
              <w:rPr>
                <w:vertAlign w:val="baseline"/>
              </w:rPr>
            </w:pPr>
          </w:p>
        </w:tc>
        <w:tc>
          <w:tcPr>
            <w:tcW w:w="1678" w:type="dxa"/>
            <w:vMerge w:val="continue"/>
          </w:tcPr>
          <w:p>
            <w:pPr>
              <w:pStyle w:val="2"/>
              <w:rPr>
                <w:vertAlign w:val="baseline"/>
              </w:rPr>
            </w:pP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政务公开考核</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trPr>
        <w:tc>
          <w:tcPr>
            <w:tcW w:w="1142" w:type="dxa"/>
            <w:vMerge w:val="continue"/>
          </w:tcPr>
          <w:p>
            <w:pPr>
              <w:pStyle w:val="2"/>
              <w:rPr>
                <w:vertAlign w:val="baseline"/>
              </w:rPr>
            </w:pPr>
          </w:p>
        </w:tc>
        <w:tc>
          <w:tcPr>
            <w:tcW w:w="1678" w:type="dxa"/>
            <w:vMerge w:val="continue"/>
          </w:tcPr>
          <w:p>
            <w:pPr>
              <w:pStyle w:val="2"/>
              <w:rPr>
                <w:vertAlign w:val="baseline"/>
              </w:rPr>
            </w:pP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通过全面评估进展情况、存在问题及提出政策建议，更好地促进北京市“十四五”规划实施</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trPr>
        <w:tc>
          <w:tcPr>
            <w:tcW w:w="1142" w:type="dxa"/>
            <w:vMerge w:val="continue"/>
          </w:tcPr>
          <w:p>
            <w:pPr>
              <w:pStyle w:val="2"/>
              <w:rPr>
                <w:vertAlign w:val="baseline"/>
              </w:rPr>
            </w:pPr>
          </w:p>
        </w:tc>
        <w:tc>
          <w:tcPr>
            <w:tcW w:w="1678" w:type="dxa"/>
            <w:vMerge w:val="continue"/>
          </w:tcPr>
          <w:p>
            <w:pPr>
              <w:pStyle w:val="2"/>
              <w:rPr>
                <w:vertAlign w:val="baseline"/>
              </w:rPr>
            </w:pP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及时足额发放价格临时补贴</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trPr>
        <w:tc>
          <w:tcPr>
            <w:tcW w:w="1142" w:type="dxa"/>
            <w:vMerge w:val="continue"/>
          </w:tcPr>
          <w:p>
            <w:pPr>
              <w:pStyle w:val="2"/>
              <w:rPr>
                <w:vertAlign w:val="baseline"/>
              </w:rPr>
            </w:pPr>
          </w:p>
        </w:tc>
        <w:tc>
          <w:tcPr>
            <w:tcW w:w="1678" w:type="dxa"/>
            <w:vMerge w:val="continue"/>
          </w:tcPr>
          <w:p>
            <w:pPr>
              <w:pStyle w:val="2"/>
              <w:rPr>
                <w:vertAlign w:val="baseline"/>
              </w:rPr>
            </w:pP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进一步推进在途项目建设，促进领域内政府投资项目和社会投资项目落地</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2" w:type="dxa"/>
            <w:vMerge w:val="continue"/>
          </w:tcPr>
          <w:p>
            <w:pPr>
              <w:pStyle w:val="2"/>
              <w:rPr>
                <w:vertAlign w:val="baseline"/>
              </w:rPr>
            </w:pPr>
          </w:p>
        </w:tc>
        <w:tc>
          <w:tcPr>
            <w:tcW w:w="1678" w:type="dxa"/>
            <w:vMerge w:val="continue"/>
          </w:tcPr>
          <w:p>
            <w:pPr>
              <w:pStyle w:val="2"/>
              <w:rPr>
                <w:vertAlign w:val="baseline"/>
              </w:rPr>
            </w:pP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加快研究支持政策，鼓励社会力量关注区域协调发展、城乡融合发展和生态环境保护，对本市生态环境建设具有积极促进作用</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1142" w:type="dxa"/>
            <w:vMerge w:val="continue"/>
          </w:tcPr>
          <w:p>
            <w:pPr>
              <w:pStyle w:val="2"/>
              <w:rPr>
                <w:vertAlign w:val="baseline"/>
              </w:rPr>
            </w:pPr>
          </w:p>
        </w:tc>
        <w:tc>
          <w:tcPr>
            <w:tcW w:w="1678" w:type="dxa"/>
            <w:vMerge w:val="continue"/>
          </w:tcPr>
          <w:p>
            <w:pPr>
              <w:pStyle w:val="2"/>
              <w:rPr>
                <w:vertAlign w:val="baseline"/>
              </w:rPr>
            </w:pP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提高全市人口服务管理工作水平</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1142" w:type="dxa"/>
            <w:vMerge w:val="continue"/>
          </w:tcPr>
          <w:p>
            <w:pPr>
              <w:pStyle w:val="2"/>
              <w:rPr>
                <w:vertAlign w:val="baseline"/>
              </w:rPr>
            </w:pPr>
          </w:p>
        </w:tc>
        <w:tc>
          <w:tcPr>
            <w:tcW w:w="1678" w:type="dxa"/>
            <w:vMerge w:val="continue"/>
          </w:tcPr>
          <w:p>
            <w:pPr>
              <w:pStyle w:val="2"/>
              <w:rPr>
                <w:vertAlign w:val="baseline"/>
              </w:rPr>
            </w:pP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协调社会事业发展和改革的重大问题，规划实施和政策制定等工作,提升社会领域公共服务水平和质量</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1142" w:type="dxa"/>
            <w:vMerge w:val="continue"/>
          </w:tcPr>
          <w:p>
            <w:pPr>
              <w:pStyle w:val="2"/>
              <w:rPr>
                <w:vertAlign w:val="baseline"/>
              </w:rPr>
            </w:pPr>
          </w:p>
        </w:tc>
        <w:tc>
          <w:tcPr>
            <w:tcW w:w="1678" w:type="dxa"/>
            <w:vMerge w:val="continue"/>
          </w:tcPr>
          <w:p>
            <w:pPr>
              <w:pStyle w:val="2"/>
              <w:rPr>
                <w:vertAlign w:val="baseline"/>
              </w:rPr>
            </w:pP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推动本市机场运营、市郊铁路建设等方面高质量发展</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1142" w:type="dxa"/>
            <w:vMerge w:val="continue"/>
          </w:tcPr>
          <w:p>
            <w:pPr>
              <w:pStyle w:val="2"/>
              <w:rPr>
                <w:vertAlign w:val="baseline"/>
              </w:rPr>
            </w:pPr>
          </w:p>
        </w:tc>
        <w:tc>
          <w:tcPr>
            <w:tcW w:w="1678" w:type="dxa"/>
            <w:vMerge w:val="continue"/>
          </w:tcPr>
          <w:p>
            <w:pPr>
              <w:pStyle w:val="2"/>
              <w:rPr>
                <w:vertAlign w:val="baseline"/>
              </w:rPr>
            </w:pP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提升治理类街乡镇治理水平和治理能力</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1142" w:type="dxa"/>
            <w:vMerge w:val="continue"/>
          </w:tcPr>
          <w:p>
            <w:pPr>
              <w:pStyle w:val="2"/>
              <w:rPr>
                <w:vertAlign w:val="baseline"/>
              </w:rPr>
            </w:pPr>
          </w:p>
        </w:tc>
        <w:tc>
          <w:tcPr>
            <w:tcW w:w="1678" w:type="dxa"/>
            <w:vMerge w:val="continue"/>
          </w:tcPr>
          <w:p>
            <w:pPr>
              <w:pStyle w:val="2"/>
              <w:rPr>
                <w:vertAlign w:val="baseline"/>
              </w:rPr>
            </w:pPr>
          </w:p>
        </w:tc>
        <w:tc>
          <w:tcPr>
            <w:tcW w:w="9634"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推动禁限目录精准精细落实</w:t>
            </w:r>
          </w:p>
        </w:tc>
        <w:tc>
          <w:tcPr>
            <w:tcW w:w="1720"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bl>
    <w:p>
      <w:pPr>
        <w:jc w:val="right"/>
        <w:rPr>
          <w:rFonts w:hint="eastAsia" w:ascii="宋体" w:hAnsi="宋体" w:eastAsia="宋体"/>
          <w:sz w:val="21"/>
          <w:szCs w:val="21"/>
        </w:rPr>
      </w:pPr>
      <w:r>
        <w:rPr>
          <w:rFonts w:hint="eastAsia" w:ascii="宋体" w:hAnsi="宋体" w:eastAsia="宋体"/>
          <w:sz w:val="21"/>
          <w:szCs w:val="21"/>
        </w:rPr>
        <w:t>（接下页）</w:t>
      </w:r>
    </w:p>
    <w:p>
      <w:pPr>
        <w:spacing w:line="240" w:lineRule="exact"/>
      </w:pPr>
      <w:r>
        <w:rPr>
          <w:rFonts w:hint="eastAsia"/>
        </w:rPr>
        <w:t>（续上页）</w:t>
      </w:r>
    </w:p>
    <w:tbl>
      <w:tblPr>
        <w:tblStyle w:val="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677"/>
        <w:gridCol w:w="9623"/>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5" w:type="dxa"/>
            <w:vMerge w:val="restart"/>
            <w:vAlign w:val="center"/>
          </w:tcPr>
          <w:p>
            <w:pPr>
              <w:pStyle w:val="2"/>
              <w:jc w:val="both"/>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效益指标</w:t>
            </w:r>
          </w:p>
        </w:tc>
        <w:tc>
          <w:tcPr>
            <w:tcW w:w="1677" w:type="dxa"/>
            <w:vMerge w:val="restart"/>
            <w:vAlign w:val="center"/>
          </w:tcPr>
          <w:p>
            <w:pPr>
              <w:pStyle w:val="2"/>
              <w:jc w:val="both"/>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社会效益指标</w:t>
            </w:r>
          </w:p>
        </w:tc>
        <w:tc>
          <w:tcPr>
            <w:tcW w:w="9623"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指导全市17家区级价格认证机构办理疑难重大价格鉴定事项，为准确定性量纪、定罪量刑提供重要依据，稳妥处置信访投诉事项，为社会和谐稳定发挥重要作用</w:t>
            </w:r>
          </w:p>
        </w:tc>
        <w:tc>
          <w:tcPr>
            <w:tcW w:w="1719" w:type="dxa"/>
            <w:vAlign w:val="center"/>
          </w:tcPr>
          <w:p>
            <w:pPr>
              <w:keepNext w:val="0"/>
              <w:keepLines w:val="0"/>
              <w:widowControl/>
              <w:suppressLineNumbers w:val="0"/>
              <w:jc w:val="center"/>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5"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1677"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9623"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开展面向全市重点领域企业的清洁生产宣讲和培训，培训不少于100家单位，增强企业人员清洁生产理念，提高审核单位、咨询机构审核水平，形成推进清洁生产、绿色发展的良好社会氛围</w:t>
            </w:r>
          </w:p>
        </w:tc>
        <w:tc>
          <w:tcPr>
            <w:tcW w:w="1719" w:type="dxa"/>
            <w:vAlign w:val="center"/>
          </w:tcPr>
          <w:p>
            <w:pPr>
              <w:keepNext w:val="0"/>
              <w:keepLines w:val="0"/>
              <w:widowControl/>
              <w:suppressLineNumbers w:val="0"/>
              <w:jc w:val="center"/>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155"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1677"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9623"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通过节能监察，依法对用能违法行为进行处理，提升用能单位节能法律意识</w:t>
            </w:r>
          </w:p>
        </w:tc>
        <w:tc>
          <w:tcPr>
            <w:tcW w:w="1719" w:type="dxa"/>
            <w:vAlign w:val="center"/>
          </w:tcPr>
          <w:p>
            <w:pPr>
              <w:keepNext w:val="0"/>
              <w:keepLines w:val="0"/>
              <w:widowControl/>
              <w:suppressLineNumbers w:val="0"/>
              <w:jc w:val="center"/>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5"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1677"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9623"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服务并保障市相关委办局、企事业单位和其他用户等对系统的使用需求，为市领导精准调度和科学决策提供良好的技术和数据支撑</w:t>
            </w:r>
          </w:p>
        </w:tc>
        <w:tc>
          <w:tcPr>
            <w:tcW w:w="1719" w:type="dxa"/>
            <w:vAlign w:val="center"/>
          </w:tcPr>
          <w:p>
            <w:pPr>
              <w:keepNext w:val="0"/>
              <w:keepLines w:val="0"/>
              <w:widowControl/>
              <w:suppressLineNumbers w:val="0"/>
              <w:jc w:val="center"/>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trPr>
        <w:tc>
          <w:tcPr>
            <w:tcW w:w="1155"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1677"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9623"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全面、客观、系统地记述北京年度发展改革情况</w:t>
            </w:r>
          </w:p>
        </w:tc>
        <w:tc>
          <w:tcPr>
            <w:tcW w:w="1719" w:type="dxa"/>
            <w:vAlign w:val="center"/>
          </w:tcPr>
          <w:p>
            <w:pPr>
              <w:keepNext w:val="0"/>
              <w:keepLines w:val="0"/>
              <w:widowControl/>
              <w:suppressLineNumbers w:val="0"/>
              <w:jc w:val="center"/>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5"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1677"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9623"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指导全市17家区级价格认证机构办理疑难重大价格鉴定事项，为准确定性量纪、定罪量刑提供重要依据，稳妥处置信访投诉事项，为社会和谐稳定发挥重要作用</w:t>
            </w:r>
          </w:p>
        </w:tc>
        <w:tc>
          <w:tcPr>
            <w:tcW w:w="1719" w:type="dxa"/>
            <w:vAlign w:val="center"/>
          </w:tcPr>
          <w:p>
            <w:pPr>
              <w:keepNext w:val="0"/>
              <w:keepLines w:val="0"/>
              <w:widowControl/>
              <w:suppressLineNumbers w:val="0"/>
              <w:jc w:val="center"/>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155"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1677" w:type="dxa"/>
            <w:vMerge w:val="restart"/>
            <w:vAlign w:val="center"/>
          </w:tcPr>
          <w:p>
            <w:pPr>
              <w:pStyle w:val="2"/>
              <w:jc w:val="both"/>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生态效益指标</w:t>
            </w:r>
          </w:p>
        </w:tc>
        <w:tc>
          <w:tcPr>
            <w:tcW w:w="9623"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推进农村居民“煤改电”工作</w:t>
            </w:r>
          </w:p>
        </w:tc>
        <w:tc>
          <w:tcPr>
            <w:tcW w:w="1719" w:type="dxa"/>
            <w:vAlign w:val="center"/>
          </w:tcPr>
          <w:p>
            <w:pPr>
              <w:keepNext w:val="0"/>
              <w:keepLines w:val="0"/>
              <w:widowControl/>
              <w:suppressLineNumbers w:val="0"/>
              <w:jc w:val="center"/>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5"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1677"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9623"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获得补贴资金的分布式光伏项目发电量约4.17亿千瓦时，折合节约标准煤11.18万吨，推动可再生能源使用，并为本市减少化石能源应用、治理大气污染提供支撑</w:t>
            </w:r>
          </w:p>
        </w:tc>
        <w:tc>
          <w:tcPr>
            <w:tcW w:w="1719" w:type="dxa"/>
            <w:vAlign w:val="center"/>
          </w:tcPr>
          <w:p>
            <w:pPr>
              <w:keepNext w:val="0"/>
              <w:keepLines w:val="0"/>
              <w:widowControl/>
              <w:suppressLineNumbers w:val="0"/>
              <w:jc w:val="center"/>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1155"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1677"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9623"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审核单位通过实施清洁生产审核方案，力争实现年节能10000吨标准煤以上，年减排二氧化碳20000吨以上，年减排废水、一般固体废物、危险废物、挥发性有机物等污染物排放100吨以上</w:t>
            </w:r>
          </w:p>
        </w:tc>
        <w:tc>
          <w:tcPr>
            <w:tcW w:w="1719" w:type="dxa"/>
            <w:vAlign w:val="center"/>
          </w:tcPr>
          <w:p>
            <w:pPr>
              <w:keepNext w:val="0"/>
              <w:keepLines w:val="0"/>
              <w:widowControl/>
              <w:suppressLineNumbers w:val="0"/>
              <w:jc w:val="center"/>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1155"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1677" w:type="dxa"/>
            <w:vMerge w:val="restart"/>
          </w:tcPr>
          <w:p>
            <w:pPr>
              <w:pStyle w:val="2"/>
              <w:jc w:val="both"/>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可持续影响指标</w:t>
            </w:r>
          </w:p>
        </w:tc>
        <w:tc>
          <w:tcPr>
            <w:tcW w:w="9623"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持续掌握定价成本数据</w:t>
            </w:r>
          </w:p>
        </w:tc>
        <w:tc>
          <w:tcPr>
            <w:tcW w:w="1719" w:type="dxa"/>
            <w:vAlign w:val="center"/>
          </w:tcPr>
          <w:p>
            <w:pPr>
              <w:keepNext w:val="0"/>
              <w:keepLines w:val="0"/>
              <w:widowControl/>
              <w:suppressLineNumbers w:val="0"/>
              <w:jc w:val="center"/>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6" w:hRule="atLeast"/>
        </w:trPr>
        <w:tc>
          <w:tcPr>
            <w:tcW w:w="1155"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1677" w:type="dxa"/>
            <w:vMerge w:val="continue"/>
          </w:tcPr>
          <w:p>
            <w:pPr>
              <w:pStyle w:val="2"/>
              <w:jc w:val="both"/>
              <w:rPr>
                <w:rFonts w:hint="eastAsia" w:ascii="仿宋_GB2312" w:hAnsi="Times New Roman" w:eastAsia="仿宋_GB2312" w:cs="Times New Roman"/>
                <w:kern w:val="2"/>
                <w:sz w:val="21"/>
                <w:szCs w:val="21"/>
                <w:lang w:val="en-US" w:eastAsia="zh-CN" w:bidi="ar-SA"/>
              </w:rPr>
            </w:pPr>
          </w:p>
        </w:tc>
        <w:tc>
          <w:tcPr>
            <w:tcW w:w="9623" w:type="dxa"/>
            <w:vAlign w:val="center"/>
          </w:tcPr>
          <w:p>
            <w:pPr>
              <w:keepNext w:val="0"/>
              <w:keepLines w:val="0"/>
              <w:widowControl/>
              <w:suppressLineNumbers w:val="0"/>
              <w:jc w:val="left"/>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适时放开具备协商条件的非居民供热价格和再生水价格</w:t>
            </w:r>
          </w:p>
        </w:tc>
        <w:tc>
          <w:tcPr>
            <w:tcW w:w="1719" w:type="dxa"/>
            <w:vAlign w:val="center"/>
          </w:tcPr>
          <w:p>
            <w:pPr>
              <w:keepNext w:val="0"/>
              <w:keepLines w:val="0"/>
              <w:widowControl/>
              <w:suppressLineNumbers w:val="0"/>
              <w:jc w:val="center"/>
              <w:textAlignment w:val="center"/>
              <w:rPr>
                <w:rFonts w:hint="eastAsia" w:ascii="仿宋_GB2312" w:hAnsi="Times New Roman" w:eastAsia="仿宋_GB2312" w:cs="Times New Roman"/>
                <w:kern w:val="2"/>
                <w:sz w:val="21"/>
                <w:szCs w:val="21"/>
                <w:lang w:val="en-US" w:eastAsia="zh-CN" w:bidi="ar-SA"/>
              </w:rPr>
            </w:pPr>
            <w:r>
              <w:rPr>
                <w:rFonts w:hint="eastAsia" w:ascii="仿宋_GB2312" w:hAnsi="Times New Roman" w:eastAsia="仿宋_GB2312" w:cs="Times New Roman"/>
                <w:kern w:val="2"/>
                <w:sz w:val="21"/>
                <w:szCs w:val="21"/>
                <w:lang w:val="en-US" w:eastAsia="zh-CN" w:bidi="ar-SA"/>
              </w:rPr>
              <w:t>定性-优</w:t>
            </w:r>
          </w:p>
        </w:tc>
      </w:tr>
    </w:tbl>
    <w:p>
      <w:pPr>
        <w:pStyle w:val="2"/>
      </w:pPr>
    </w:p>
    <w:p/>
    <w:p>
      <w:pPr>
        <w:pStyle w:val="2"/>
      </w:pPr>
    </w:p>
    <w:p>
      <w:pPr>
        <w:pStyle w:val="2"/>
        <w:sectPr>
          <w:pgSz w:w="16838" w:h="11906" w:orient="landscape"/>
          <w:pgMar w:top="1800" w:right="1440" w:bottom="1800" w:left="1440" w:header="851" w:footer="992" w:gutter="0"/>
          <w:pgNumType w:fmt="numberInDash"/>
          <w:cols w:space="425" w:num="1"/>
          <w:docGrid w:type="lines" w:linePitch="312" w:charSpace="0"/>
        </w:sectPr>
      </w:pPr>
    </w:p>
    <w:p>
      <w:pPr>
        <w:keepNext w:val="0"/>
        <w:keepLines w:val="0"/>
        <w:pageBreakBefore w:val="0"/>
        <w:widowControl w:val="0"/>
        <w:kinsoku/>
        <w:wordWrap/>
        <w:overflowPunct/>
        <w:topLinePunct w:val="0"/>
        <w:autoSpaceDE/>
        <w:autoSpaceDN/>
        <w:bidi w:val="0"/>
        <w:spacing w:line="550" w:lineRule="exact"/>
        <w:ind w:firstLine="640" w:firstLineChars="200"/>
        <w:textAlignment w:val="auto"/>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keepNext w:val="0"/>
        <w:keepLines w:val="0"/>
        <w:pageBreakBefore w:val="0"/>
        <w:widowControl w:val="0"/>
        <w:kinsoku/>
        <w:wordWrap/>
        <w:overflowPunct/>
        <w:topLinePunct w:val="0"/>
        <w:autoSpaceDE/>
        <w:autoSpaceDN/>
        <w:bidi w:val="0"/>
        <w:spacing w:line="550" w:lineRule="exact"/>
        <w:ind w:firstLine="640" w:firstLineChars="200"/>
        <w:textAlignment w:val="auto"/>
        <w:rPr>
          <w:rFonts w:ascii="仿宋_GB2312" w:hAnsi="宋体" w:eastAsia="仿宋_GB2312" w:cs="宋体"/>
          <w:color w:val="000000"/>
          <w:kern w:val="0"/>
          <w:sz w:val="32"/>
          <w:szCs w:val="32"/>
          <w:highlight w:val="yellow"/>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年全年预算数99</w:t>
      </w:r>
      <w:r>
        <w:rPr>
          <w:rFonts w:hint="eastAsia" w:ascii="仿宋_GB2312" w:hAnsi="宋体" w:eastAsia="仿宋_GB2312" w:cs="宋体"/>
          <w:color w:val="000000"/>
          <w:kern w:val="0"/>
          <w:sz w:val="32"/>
          <w:szCs w:val="32"/>
          <w:highlight w:val="none"/>
          <w:lang w:val="en-US" w:eastAsia="zh-CN"/>
        </w:rPr>
        <w:t>475</w:t>
      </w:r>
      <w:r>
        <w:rPr>
          <w:rFonts w:hint="eastAsia"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lang w:val="en-US" w:eastAsia="zh-CN"/>
        </w:rPr>
        <w:t>93</w:t>
      </w:r>
      <w:r>
        <w:rPr>
          <w:rFonts w:hint="eastAsia" w:ascii="仿宋_GB2312" w:hAnsi="宋体" w:eastAsia="仿宋_GB2312" w:cs="宋体"/>
          <w:color w:val="000000"/>
          <w:kern w:val="0"/>
          <w:sz w:val="32"/>
          <w:szCs w:val="32"/>
          <w:highlight w:val="none"/>
        </w:rPr>
        <w:t>万元，其中，基本支出预算数426</w:t>
      </w:r>
      <w:r>
        <w:rPr>
          <w:rFonts w:hint="eastAsia" w:ascii="仿宋_GB2312" w:hAnsi="宋体" w:eastAsia="仿宋_GB2312" w:cs="宋体"/>
          <w:color w:val="000000"/>
          <w:kern w:val="0"/>
          <w:sz w:val="32"/>
          <w:szCs w:val="32"/>
          <w:highlight w:val="none"/>
          <w:lang w:val="en-US" w:eastAsia="zh-CN"/>
        </w:rPr>
        <w:t>78</w:t>
      </w:r>
      <w:r>
        <w:rPr>
          <w:rFonts w:hint="eastAsia"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lang w:val="en-US" w:eastAsia="zh-CN"/>
        </w:rPr>
        <w:t>38</w:t>
      </w:r>
      <w:r>
        <w:rPr>
          <w:rFonts w:hint="eastAsia" w:ascii="仿宋_GB2312" w:hAnsi="宋体" w:eastAsia="仿宋_GB2312" w:cs="宋体"/>
          <w:color w:val="000000"/>
          <w:kern w:val="0"/>
          <w:sz w:val="32"/>
          <w:szCs w:val="32"/>
          <w:highlight w:val="none"/>
        </w:rPr>
        <w:t>万元，项目支出预算数56</w:t>
      </w:r>
      <w:r>
        <w:rPr>
          <w:rFonts w:hint="eastAsia" w:ascii="仿宋_GB2312" w:hAnsi="宋体" w:eastAsia="仿宋_GB2312" w:cs="宋体"/>
          <w:color w:val="000000"/>
          <w:kern w:val="0"/>
          <w:sz w:val="32"/>
          <w:szCs w:val="32"/>
          <w:highlight w:val="none"/>
          <w:lang w:val="en-US" w:eastAsia="zh-CN"/>
        </w:rPr>
        <w:t>797.55</w:t>
      </w:r>
      <w:r>
        <w:rPr>
          <w:rFonts w:hint="eastAsia" w:ascii="仿宋_GB2312" w:hAnsi="宋体" w:eastAsia="仿宋_GB2312" w:cs="宋体"/>
          <w:color w:val="000000"/>
          <w:kern w:val="0"/>
          <w:sz w:val="32"/>
          <w:szCs w:val="32"/>
          <w:highlight w:val="none"/>
        </w:rPr>
        <w:t>万元。资金总体支出91901.05万元，其中，基本支出41599.14万元，项目支出50301.91万元。</w:t>
      </w:r>
      <w:r>
        <w:rPr>
          <w:rFonts w:hint="eastAsia" w:ascii="仿宋_GB2312" w:hAnsi="宋体" w:eastAsia="仿宋_GB2312" w:cs="宋体"/>
          <w:kern w:val="0"/>
          <w:sz w:val="32"/>
          <w:szCs w:val="32"/>
          <w:highlight w:val="none"/>
        </w:rPr>
        <w:t>预算执行率为</w:t>
      </w:r>
      <w:r>
        <w:rPr>
          <w:rFonts w:hint="eastAsia" w:ascii="仿宋_GB2312" w:hAnsi="宋体" w:eastAsia="仿宋_GB2312" w:cs="宋体"/>
          <w:kern w:val="0"/>
          <w:sz w:val="32"/>
          <w:szCs w:val="32"/>
          <w:highlight w:val="none"/>
          <w:lang w:val="en-US" w:eastAsia="zh-CN"/>
        </w:rPr>
        <w:t>92.39</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spacing w:line="550" w:lineRule="exact"/>
        <w:ind w:firstLine="640" w:firstLineChars="200"/>
        <w:textAlignment w:val="auto"/>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50" w:lineRule="exact"/>
        <w:ind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2023年，在市委市政府坚强领导下，市发展改革委坚持“五子”联动服务和融入新发展格局，不断增强高质量发展动能，扎实推动首都发展改革工作取得新成效。</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50" w:lineRule="exact"/>
        <w:ind w:firstLine="640" w:firstLineChars="200"/>
        <w:textAlignment w:val="auto"/>
        <w:rPr>
          <w:rFonts w:ascii="楷体_GB2312" w:eastAsia="楷体_GB2312"/>
          <w:sz w:val="32"/>
          <w:szCs w:val="32"/>
        </w:rPr>
      </w:pPr>
      <w:r>
        <w:rPr>
          <w:rFonts w:hint="eastAsia" w:ascii="楷体_GB2312" w:eastAsia="楷体_GB2312"/>
          <w:sz w:val="32"/>
          <w:szCs w:val="32"/>
        </w:rPr>
        <w:t>（一）</w:t>
      </w:r>
      <w:r>
        <w:rPr>
          <w:rFonts w:ascii="楷体_GB2312" w:eastAsia="楷体_GB2312"/>
          <w:sz w:val="32"/>
          <w:szCs w:val="32"/>
        </w:rPr>
        <w:t>产出完成情况分析</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5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w:t>
      </w:r>
      <w:r>
        <w:rPr>
          <w:rFonts w:ascii="仿宋_GB2312" w:hAnsi="宋体" w:eastAsia="仿宋_GB2312" w:cs="宋体"/>
          <w:color w:val="000000"/>
          <w:kern w:val="0"/>
          <w:sz w:val="32"/>
          <w:szCs w:val="32"/>
        </w:rPr>
        <w:t>数量</w:t>
      </w:r>
    </w:p>
    <w:p>
      <w:pPr>
        <w:pBdr>
          <w:bottom w:val="single" w:color="FFFFFF" w:sz="4" w:space="31"/>
        </w:pBdr>
        <w:adjustRightInd w:val="0"/>
        <w:snapToGrid w:val="0"/>
        <w:spacing w:line="550" w:lineRule="exact"/>
        <w:ind w:firstLine="640" w:firstLineChars="200"/>
        <w:rPr>
          <w:rFonts w:hint="eastAsia" w:ascii="仿宋_GB2312" w:hAnsi="宋体" w:eastAsia="仿宋_GB2312" w:cs="宋体"/>
          <w:color w:val="000000"/>
          <w:kern w:val="0"/>
          <w:sz w:val="32"/>
          <w:szCs w:val="32"/>
          <w:lang w:eastAsia="zh-CN"/>
        </w:rPr>
      </w:pPr>
      <w:r>
        <w:rPr>
          <w:rFonts w:hint="eastAsia"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市</w:t>
      </w:r>
      <w:r>
        <w:rPr>
          <w:rFonts w:ascii="仿宋_GB2312" w:hAnsi="宋体" w:eastAsia="仿宋_GB2312" w:cs="宋体"/>
          <w:color w:val="000000"/>
          <w:kern w:val="0"/>
          <w:sz w:val="32"/>
          <w:szCs w:val="32"/>
        </w:rPr>
        <w:t>发展改革委</w:t>
      </w:r>
      <w:r>
        <w:rPr>
          <w:rFonts w:hint="eastAsia" w:ascii="仿宋_GB2312" w:hAnsi="宋体" w:eastAsia="仿宋_GB2312" w:cs="宋体"/>
          <w:color w:val="000000"/>
          <w:kern w:val="0"/>
          <w:sz w:val="32"/>
          <w:szCs w:val="32"/>
        </w:rPr>
        <w:t>继续</w:t>
      </w:r>
      <w:r>
        <w:rPr>
          <w:rFonts w:ascii="仿宋_GB2312" w:hAnsi="宋体" w:eastAsia="仿宋_GB2312" w:cs="宋体"/>
          <w:color w:val="000000"/>
          <w:kern w:val="0"/>
          <w:sz w:val="32"/>
          <w:szCs w:val="32"/>
        </w:rPr>
        <w:t>坚持“</w:t>
      </w:r>
      <w:r>
        <w:rPr>
          <w:rFonts w:hint="eastAsia" w:ascii="仿宋_GB2312" w:hAnsi="宋体" w:eastAsia="仿宋_GB2312" w:cs="宋体"/>
          <w:color w:val="000000"/>
          <w:kern w:val="0"/>
          <w:sz w:val="32"/>
          <w:szCs w:val="32"/>
        </w:rPr>
        <w:t>五子</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联动协同</w:t>
      </w:r>
      <w:r>
        <w:rPr>
          <w:rFonts w:ascii="仿宋_GB2312" w:hAnsi="宋体" w:eastAsia="仿宋_GB2312" w:cs="宋体"/>
          <w:color w:val="000000"/>
          <w:kern w:val="0"/>
          <w:sz w:val="32"/>
          <w:szCs w:val="32"/>
        </w:rPr>
        <w:t>发力，推动新时代首都高质量发展。</w:t>
      </w:r>
      <w:r>
        <w:rPr>
          <w:rFonts w:hint="eastAsia" w:ascii="仿宋_GB2312" w:hAnsi="宋体" w:eastAsia="仿宋_GB2312" w:cs="宋体"/>
          <w:b/>
          <w:color w:val="000000"/>
          <w:kern w:val="0"/>
          <w:sz w:val="32"/>
          <w:szCs w:val="32"/>
        </w:rPr>
        <w:t>一是</w:t>
      </w:r>
      <w:r>
        <w:rPr>
          <w:rFonts w:hint="eastAsia" w:ascii="仿宋_GB2312" w:hAnsi="宋体" w:eastAsia="仿宋_GB2312" w:cs="宋体"/>
          <w:b w:val="0"/>
          <w:bCs/>
          <w:color w:val="000000"/>
          <w:kern w:val="0"/>
          <w:sz w:val="32"/>
          <w:szCs w:val="32"/>
        </w:rPr>
        <w:t>坚决落实党对经济工作的全面领导，召开</w:t>
      </w:r>
      <w:r>
        <w:rPr>
          <w:rFonts w:hint="eastAsia" w:ascii="仿宋_GB2312" w:hAnsi="宋体" w:eastAsia="仿宋_GB2312" w:cs="宋体"/>
          <w:b w:val="0"/>
          <w:bCs/>
          <w:color w:val="000000"/>
          <w:kern w:val="0"/>
          <w:sz w:val="32"/>
          <w:szCs w:val="32"/>
          <w:lang w:val="en-US" w:eastAsia="zh-CN"/>
        </w:rPr>
        <w:t>4</w:t>
      </w:r>
      <w:r>
        <w:rPr>
          <w:rFonts w:hint="eastAsia" w:ascii="仿宋_GB2312" w:hAnsi="宋体" w:eastAsia="仿宋_GB2312" w:cs="宋体"/>
          <w:b w:val="0"/>
          <w:bCs/>
          <w:color w:val="000000"/>
          <w:kern w:val="0"/>
          <w:sz w:val="32"/>
          <w:szCs w:val="32"/>
        </w:rPr>
        <w:t>次市委财经委会议、报送《财经专报》30期，北京市“十四五”规划纲要实施情况中期评估报告经市人大常委会审议通过。</w:t>
      </w:r>
      <w:r>
        <w:rPr>
          <w:rFonts w:hint="eastAsia" w:ascii="仿宋_GB2312" w:hAnsi="宋体" w:eastAsia="仿宋_GB2312" w:cs="宋体"/>
          <w:b/>
          <w:bCs w:val="0"/>
          <w:color w:val="000000"/>
          <w:kern w:val="0"/>
          <w:sz w:val="32"/>
          <w:szCs w:val="32"/>
          <w:lang w:eastAsia="zh-CN"/>
        </w:rPr>
        <w:t>二</w:t>
      </w:r>
      <w:r>
        <w:rPr>
          <w:rFonts w:hint="eastAsia" w:ascii="仿宋_GB2312" w:hAnsi="宋体" w:eastAsia="仿宋_GB2312" w:cs="宋体"/>
          <w:b/>
          <w:bCs w:val="0"/>
          <w:color w:val="000000"/>
          <w:kern w:val="0"/>
          <w:sz w:val="32"/>
          <w:szCs w:val="32"/>
        </w:rPr>
        <w:t>是</w:t>
      </w:r>
      <w:r>
        <w:rPr>
          <w:rFonts w:hint="eastAsia" w:ascii="仿宋_GB2312" w:hAnsi="宋体" w:eastAsia="仿宋_GB2312" w:cs="宋体"/>
          <w:b w:val="0"/>
          <w:bCs/>
          <w:color w:val="000000"/>
          <w:kern w:val="0"/>
          <w:sz w:val="32"/>
          <w:szCs w:val="32"/>
        </w:rPr>
        <w:t>推动京津冀协同发展取得新成效，制定出台《北京市推进京津冀协同发展2023年工作要点》，成功举办北京通州与河北廊坊北三县项目推介洽谈会</w:t>
      </w:r>
      <w:r>
        <w:rPr>
          <w:rFonts w:hint="eastAsia" w:ascii="仿宋_GB2312" w:hAnsi="宋体" w:eastAsia="仿宋_GB2312" w:cs="宋体"/>
          <w:b w:val="0"/>
          <w:bCs/>
          <w:color w:val="000000"/>
          <w:kern w:val="0"/>
          <w:sz w:val="32"/>
          <w:szCs w:val="32"/>
          <w:lang w:eastAsia="zh-CN"/>
        </w:rPr>
        <w:t>，主动为首批疏解央企做好服务保障，支持标志性疏解项目在雄安新区落地。</w:t>
      </w:r>
      <w:r>
        <w:rPr>
          <w:rFonts w:hint="eastAsia" w:ascii="仿宋_GB2312" w:hAnsi="宋体" w:eastAsia="仿宋_GB2312" w:cs="宋体"/>
          <w:b/>
          <w:bCs w:val="0"/>
          <w:color w:val="000000"/>
          <w:kern w:val="0"/>
          <w:sz w:val="32"/>
          <w:szCs w:val="32"/>
          <w:lang w:eastAsia="zh-CN"/>
        </w:rPr>
        <w:t>三是</w:t>
      </w:r>
      <w:r>
        <w:rPr>
          <w:rFonts w:hint="eastAsia" w:ascii="仿宋_GB2312" w:hAnsi="宋体" w:eastAsia="仿宋_GB2312" w:cs="宋体"/>
          <w:b w:val="0"/>
          <w:bCs/>
          <w:color w:val="000000"/>
          <w:kern w:val="0"/>
          <w:sz w:val="32"/>
          <w:szCs w:val="32"/>
          <w:lang w:eastAsia="zh-CN"/>
        </w:rPr>
        <w:t>促进城乡区域协调发展，制定新一轮生态涵养区生态保护和绿色发展政策文件、工作计划和项目计划，制定城南行动2023年重点项目及任务清单，印发平原</w:t>
      </w:r>
      <w:r>
        <w:rPr>
          <w:rFonts w:hint="eastAsia" w:ascii="仿宋_GB2312" w:hAnsi="宋体" w:eastAsia="仿宋_GB2312" w:cs="宋体"/>
          <w:b w:val="0"/>
          <w:bCs/>
          <w:color w:val="000000"/>
          <w:spacing w:val="-2"/>
          <w:kern w:val="0"/>
          <w:sz w:val="32"/>
          <w:szCs w:val="32"/>
          <w:lang w:eastAsia="zh-CN"/>
        </w:rPr>
        <w:t>新城、京西地区2023年工作要点，发挥支撑中心城区、辐射</w:t>
      </w:r>
      <w:r>
        <w:rPr>
          <w:rFonts w:hint="eastAsia" w:ascii="仿宋_GB2312" w:hAnsi="宋体" w:eastAsia="仿宋_GB2312" w:cs="宋体"/>
          <w:b w:val="0"/>
          <w:bCs/>
          <w:color w:val="000000"/>
          <w:kern w:val="0"/>
          <w:sz w:val="32"/>
          <w:szCs w:val="32"/>
          <w:lang w:eastAsia="zh-CN"/>
        </w:rPr>
        <w:t>带动环京地区作用。</w:t>
      </w:r>
      <w:r>
        <w:rPr>
          <w:rFonts w:hint="eastAsia" w:ascii="仿宋_GB2312" w:hAnsi="宋体" w:eastAsia="仿宋_GB2312" w:cs="宋体"/>
          <w:b/>
          <w:bCs w:val="0"/>
          <w:color w:val="000000"/>
          <w:kern w:val="0"/>
          <w:sz w:val="32"/>
          <w:szCs w:val="32"/>
          <w:lang w:eastAsia="zh-CN"/>
        </w:rPr>
        <w:t>四是</w:t>
      </w:r>
      <w:r>
        <w:rPr>
          <w:rFonts w:hint="eastAsia" w:ascii="仿宋_GB2312" w:hAnsi="宋体" w:eastAsia="仿宋_GB2312" w:cs="宋体"/>
          <w:b w:val="0"/>
          <w:bCs/>
          <w:color w:val="000000"/>
          <w:kern w:val="0"/>
          <w:sz w:val="32"/>
          <w:szCs w:val="32"/>
          <w:lang w:eastAsia="zh-CN"/>
        </w:rPr>
        <w:t>全面加强经济运行综合调度，形成经济形势分析、财政金融形势分析等报告或信息</w:t>
      </w:r>
      <w:r>
        <w:rPr>
          <w:rFonts w:hint="eastAsia" w:ascii="仿宋_GB2312" w:hAnsi="宋体" w:eastAsia="仿宋_GB2312" w:cs="宋体"/>
          <w:b w:val="0"/>
          <w:bCs/>
          <w:color w:val="000000"/>
          <w:kern w:val="0"/>
          <w:sz w:val="32"/>
          <w:szCs w:val="32"/>
          <w:lang w:val="en-US" w:eastAsia="zh-CN"/>
        </w:rPr>
        <w:t>20余篇</w:t>
      </w:r>
      <w:r>
        <w:rPr>
          <w:rFonts w:hint="eastAsia" w:ascii="仿宋_GB2312" w:hAnsi="宋体" w:eastAsia="仿宋_GB2312" w:cs="宋体"/>
          <w:b w:val="0"/>
          <w:bCs/>
          <w:color w:val="000000"/>
          <w:kern w:val="0"/>
          <w:sz w:val="32"/>
          <w:szCs w:val="32"/>
          <w:lang w:eastAsia="zh-CN"/>
        </w:rPr>
        <w:t>，搭建经济运行监测调度平台，强化高位高频调度，推动2023年GDP稳定增长。</w:t>
      </w:r>
      <w:r>
        <w:rPr>
          <w:rFonts w:hint="eastAsia" w:ascii="仿宋_GB2312" w:hAnsi="宋体" w:eastAsia="仿宋_GB2312" w:cs="宋体"/>
          <w:b/>
          <w:bCs w:val="0"/>
          <w:color w:val="000000"/>
          <w:kern w:val="0"/>
          <w:sz w:val="32"/>
          <w:szCs w:val="32"/>
          <w:lang w:eastAsia="zh-CN"/>
        </w:rPr>
        <w:t>五是</w:t>
      </w:r>
      <w:r>
        <w:rPr>
          <w:rFonts w:hint="eastAsia" w:ascii="仿宋_GB2312" w:hAnsi="宋体" w:eastAsia="仿宋_GB2312" w:cs="宋体"/>
          <w:b w:val="0"/>
          <w:bCs/>
          <w:color w:val="000000"/>
          <w:kern w:val="0"/>
          <w:sz w:val="32"/>
          <w:szCs w:val="32"/>
          <w:lang w:eastAsia="zh-CN"/>
        </w:rPr>
        <w:t>发挥重大项目投资支撑作用，创新实</w:t>
      </w:r>
      <w:r>
        <w:rPr>
          <w:rFonts w:hint="eastAsia" w:ascii="仿宋_GB2312" w:hAnsi="宋体" w:eastAsia="仿宋_GB2312" w:cs="宋体"/>
          <w:b w:val="0"/>
          <w:bCs/>
          <w:color w:val="000000"/>
          <w:spacing w:val="-2"/>
          <w:kern w:val="0"/>
          <w:sz w:val="32"/>
          <w:szCs w:val="32"/>
          <w:lang w:eastAsia="zh-CN"/>
        </w:rPr>
        <w:t>施促投资真抓实干奖励，狠抓投资调度服务和重大项目建设，</w:t>
      </w:r>
      <w:r>
        <w:rPr>
          <w:rFonts w:hint="eastAsia" w:ascii="仿宋_GB2312" w:hAnsi="宋体" w:eastAsia="仿宋_GB2312" w:cs="宋体"/>
          <w:b w:val="0"/>
          <w:bCs/>
          <w:color w:val="000000"/>
          <w:kern w:val="0"/>
          <w:sz w:val="32"/>
          <w:szCs w:val="32"/>
          <w:lang w:eastAsia="zh-CN"/>
        </w:rPr>
        <w:t>拟订印发年度全市固定资产投资调控思路安排建议、市政府投资安排计划、市重点工程计划、房地产投资计划。</w:t>
      </w:r>
      <w:r>
        <w:rPr>
          <w:rFonts w:hint="eastAsia" w:ascii="仿宋_GB2312" w:hAnsi="宋体" w:eastAsia="仿宋_GB2312" w:cs="宋体"/>
          <w:b/>
          <w:bCs w:val="0"/>
          <w:color w:val="000000"/>
          <w:kern w:val="0"/>
          <w:sz w:val="32"/>
          <w:szCs w:val="32"/>
          <w:lang w:eastAsia="zh-CN"/>
        </w:rPr>
        <w:t>六是</w:t>
      </w:r>
      <w:r>
        <w:rPr>
          <w:rFonts w:hint="eastAsia" w:ascii="仿宋_GB2312" w:hAnsi="宋体" w:eastAsia="仿宋_GB2312" w:cs="宋体"/>
          <w:b w:val="0"/>
          <w:bCs/>
          <w:color w:val="000000"/>
          <w:kern w:val="0"/>
          <w:sz w:val="32"/>
          <w:szCs w:val="32"/>
          <w:lang w:eastAsia="zh-CN"/>
        </w:rPr>
        <w:t>坚持创新驱动，推动重点产业集群化发展和高端仪器产业成果转化落地，中国品牌日北京活动参展企业</w:t>
      </w:r>
      <w:r>
        <w:rPr>
          <w:rFonts w:hint="eastAsia" w:ascii="仿宋_GB2312" w:hAnsi="宋体" w:eastAsia="仿宋_GB2312" w:cs="宋体"/>
          <w:b w:val="0"/>
          <w:bCs/>
          <w:color w:val="000000"/>
          <w:kern w:val="0"/>
          <w:sz w:val="32"/>
          <w:szCs w:val="32"/>
          <w:lang w:val="en-US" w:eastAsia="zh-CN"/>
        </w:rPr>
        <w:t>50家。大力发展</w:t>
      </w:r>
      <w:r>
        <w:rPr>
          <w:rFonts w:hint="eastAsia" w:ascii="仿宋_GB2312" w:hAnsi="宋体" w:eastAsia="仿宋_GB2312" w:cs="宋体"/>
          <w:b w:val="0"/>
          <w:bCs/>
          <w:color w:val="000000"/>
          <w:spacing w:val="-4"/>
          <w:kern w:val="0"/>
          <w:sz w:val="32"/>
          <w:szCs w:val="32"/>
          <w:lang w:val="en-US" w:eastAsia="zh-CN"/>
        </w:rPr>
        <w:t>高精尖产业，促进先进制造业和现代服务业高质量发展。</w:t>
      </w:r>
      <w:r>
        <w:rPr>
          <w:rFonts w:hint="eastAsia" w:ascii="仿宋_GB2312" w:hAnsi="宋体" w:eastAsia="仿宋_GB2312" w:cs="宋体"/>
          <w:b/>
          <w:bCs w:val="0"/>
          <w:color w:val="000000"/>
          <w:spacing w:val="0"/>
          <w:kern w:val="0"/>
          <w:sz w:val="32"/>
          <w:szCs w:val="32"/>
          <w:lang w:val="en-US" w:eastAsia="zh-CN"/>
        </w:rPr>
        <w:t>七是</w:t>
      </w:r>
      <w:r>
        <w:rPr>
          <w:rFonts w:hint="eastAsia" w:ascii="仿宋_GB2312" w:hAnsi="宋体" w:eastAsia="仿宋_GB2312" w:cs="宋体"/>
          <w:b w:val="0"/>
          <w:bCs/>
          <w:color w:val="000000"/>
          <w:spacing w:val="0"/>
          <w:kern w:val="0"/>
          <w:sz w:val="32"/>
          <w:szCs w:val="32"/>
          <w:lang w:val="en-US" w:eastAsia="zh-CN"/>
        </w:rPr>
        <w:t>优化营商环境，推动形成高水平改革开放新格局，印发《北京市全面优化营商环境助力企业高质量发展实施方案》，坚持对标先进，统筹推进营商环境评价工作。制定建设全国统一大市场实施方案等政策，着力提振民营经济发展信心。</w:t>
      </w:r>
      <w:r>
        <w:rPr>
          <w:rFonts w:hint="eastAsia" w:ascii="仿宋_GB2312" w:hAnsi="宋体" w:eastAsia="仿宋_GB2312" w:cs="宋体"/>
          <w:b/>
          <w:bCs/>
          <w:color w:val="000000"/>
          <w:spacing w:val="0"/>
          <w:kern w:val="0"/>
          <w:sz w:val="32"/>
          <w:szCs w:val="32"/>
          <w:lang w:eastAsia="zh-CN"/>
        </w:rPr>
        <w:t>八</w:t>
      </w:r>
      <w:r>
        <w:rPr>
          <w:rFonts w:ascii="仿宋_GB2312" w:hAnsi="宋体" w:eastAsia="仿宋_GB2312" w:cs="宋体"/>
          <w:b/>
          <w:color w:val="000000"/>
          <w:spacing w:val="0"/>
          <w:kern w:val="0"/>
          <w:sz w:val="32"/>
          <w:szCs w:val="32"/>
        </w:rPr>
        <w:t>是</w:t>
      </w:r>
      <w:r>
        <w:rPr>
          <w:rFonts w:hint="eastAsia" w:ascii="仿宋_GB2312" w:hAnsi="宋体" w:eastAsia="仿宋_GB2312" w:cs="宋体"/>
          <w:color w:val="000000"/>
          <w:spacing w:val="0"/>
          <w:kern w:val="0"/>
          <w:sz w:val="32"/>
          <w:szCs w:val="32"/>
        </w:rPr>
        <w:t>增强城市运行保障能力，努优化提升公共服务保障水平</w:t>
      </w:r>
      <w:r>
        <w:rPr>
          <w:rFonts w:ascii="仿宋_GB2312" w:hAnsi="宋体" w:eastAsia="仿宋_GB2312" w:cs="宋体"/>
          <w:color w:val="000000"/>
          <w:spacing w:val="0"/>
          <w:kern w:val="0"/>
          <w:sz w:val="32"/>
          <w:szCs w:val="32"/>
        </w:rPr>
        <w:t>，</w:t>
      </w:r>
      <w:r>
        <w:rPr>
          <w:rFonts w:hint="eastAsia" w:ascii="仿宋_GB2312" w:hAnsi="宋体" w:eastAsia="仿宋_GB2312" w:cs="宋体"/>
          <w:color w:val="000000"/>
          <w:spacing w:val="0"/>
          <w:kern w:val="0"/>
          <w:sz w:val="32"/>
          <w:szCs w:val="32"/>
          <w:lang w:eastAsia="zh-CN"/>
        </w:rPr>
        <w:t>印发实施本市推动能源绿色低碳转型做好碳达峰工作实施方案等政策</w:t>
      </w:r>
      <w:r>
        <w:rPr>
          <w:rFonts w:hint="eastAsia" w:ascii="仿宋_GB2312" w:hAnsi="宋体" w:eastAsia="仿宋_GB2312" w:cs="宋体"/>
          <w:color w:val="000000"/>
          <w:spacing w:val="0"/>
          <w:kern w:val="0"/>
          <w:sz w:val="32"/>
          <w:szCs w:val="32"/>
        </w:rPr>
        <w:t>，持续推进清洁</w:t>
      </w:r>
      <w:r>
        <w:rPr>
          <w:rFonts w:ascii="仿宋_GB2312" w:hAnsi="宋体" w:eastAsia="仿宋_GB2312" w:cs="宋体"/>
          <w:color w:val="000000"/>
          <w:spacing w:val="0"/>
          <w:kern w:val="0"/>
          <w:sz w:val="32"/>
          <w:szCs w:val="32"/>
        </w:rPr>
        <w:t>生产</w:t>
      </w:r>
      <w:r>
        <w:rPr>
          <w:rFonts w:hint="eastAsia" w:ascii="仿宋_GB2312" w:hAnsi="宋体" w:eastAsia="仿宋_GB2312" w:cs="宋体"/>
          <w:color w:val="000000"/>
          <w:spacing w:val="0"/>
          <w:kern w:val="0"/>
          <w:sz w:val="32"/>
          <w:szCs w:val="32"/>
        </w:rPr>
        <w:t>审核</w:t>
      </w:r>
      <w:r>
        <w:rPr>
          <w:rFonts w:ascii="仿宋_GB2312" w:hAnsi="宋体" w:eastAsia="仿宋_GB2312" w:cs="宋体"/>
          <w:color w:val="000000"/>
          <w:spacing w:val="0"/>
          <w:kern w:val="0"/>
          <w:sz w:val="32"/>
          <w:szCs w:val="32"/>
        </w:rPr>
        <w:t>评估</w:t>
      </w:r>
      <w:r>
        <w:rPr>
          <w:rFonts w:hint="eastAsia" w:ascii="仿宋_GB2312" w:hAnsi="宋体" w:eastAsia="仿宋_GB2312" w:cs="宋体"/>
          <w:color w:val="000000"/>
          <w:spacing w:val="0"/>
          <w:kern w:val="0"/>
          <w:sz w:val="32"/>
          <w:szCs w:val="32"/>
        </w:rPr>
        <w:t>和</w:t>
      </w:r>
      <w:r>
        <w:rPr>
          <w:rFonts w:ascii="仿宋_GB2312" w:hAnsi="宋体" w:eastAsia="仿宋_GB2312" w:cs="宋体"/>
          <w:color w:val="000000"/>
          <w:spacing w:val="0"/>
          <w:kern w:val="0"/>
          <w:sz w:val="32"/>
          <w:szCs w:val="32"/>
        </w:rPr>
        <w:t>分布式光伏发电</w:t>
      </w:r>
      <w:r>
        <w:rPr>
          <w:rFonts w:hint="eastAsia" w:ascii="仿宋_GB2312" w:hAnsi="宋体" w:eastAsia="仿宋_GB2312" w:cs="宋体"/>
          <w:color w:val="000000"/>
          <w:spacing w:val="0"/>
          <w:kern w:val="0"/>
          <w:sz w:val="32"/>
          <w:szCs w:val="32"/>
        </w:rPr>
        <w:t>等工作</w:t>
      </w:r>
      <w:r>
        <w:rPr>
          <w:rFonts w:hint="eastAsia" w:ascii="仿宋_GB2312" w:hAnsi="宋体" w:eastAsia="仿宋_GB2312" w:cs="宋体"/>
          <w:color w:val="000000"/>
          <w:spacing w:val="0"/>
          <w:kern w:val="0"/>
          <w:sz w:val="32"/>
          <w:szCs w:val="32"/>
          <w:lang w:eastAsia="zh-CN"/>
        </w:rPr>
        <w:t>。推进拟转型机构适老化改造进程，打造改革样板。</w:t>
      </w:r>
      <w:r>
        <w:rPr>
          <w:rFonts w:hint="eastAsia" w:ascii="仿宋_GB2312" w:hAnsi="宋体" w:eastAsia="仿宋_GB2312" w:cs="宋体"/>
          <w:b/>
          <w:bCs/>
          <w:color w:val="000000"/>
          <w:kern w:val="0"/>
          <w:sz w:val="32"/>
          <w:szCs w:val="32"/>
          <w:lang w:eastAsia="zh-CN"/>
        </w:rPr>
        <w:t>九</w:t>
      </w:r>
      <w:r>
        <w:rPr>
          <w:rFonts w:hint="eastAsia" w:ascii="仿宋_GB2312" w:hAnsi="宋体" w:eastAsia="仿宋_GB2312" w:cs="宋体"/>
          <w:b/>
          <w:bCs/>
          <w:color w:val="000000"/>
          <w:kern w:val="0"/>
          <w:sz w:val="32"/>
          <w:szCs w:val="32"/>
        </w:rPr>
        <w:t>是</w:t>
      </w:r>
      <w:r>
        <w:rPr>
          <w:rFonts w:hint="eastAsia" w:ascii="仿宋_GB2312" w:hAnsi="宋体" w:eastAsia="仿宋_GB2312" w:cs="宋体"/>
          <w:color w:val="000000"/>
          <w:kern w:val="0"/>
          <w:sz w:val="32"/>
          <w:szCs w:val="32"/>
        </w:rPr>
        <w:t>持续做好价格管理工作，按照成品油价格形成机制调整本市汽柴油价格22次，获取国际市场主要期货和重要价格指数信息、本市钢材信息，通过专栏发布生活必需品、钢材等价格监测信息164期。年初</w:t>
      </w:r>
      <w:r>
        <w:rPr>
          <w:rFonts w:ascii="仿宋_GB2312" w:hAnsi="宋体" w:eastAsia="仿宋_GB2312" w:cs="宋体"/>
          <w:color w:val="000000"/>
          <w:kern w:val="0"/>
          <w:sz w:val="32"/>
          <w:szCs w:val="32"/>
        </w:rPr>
        <w:t>设定的</w:t>
      </w:r>
      <w:r>
        <w:rPr>
          <w:rFonts w:hint="eastAsia" w:ascii="仿宋_GB2312" w:hAnsi="宋体" w:eastAsia="仿宋_GB2312" w:cs="宋体"/>
          <w:color w:val="000000"/>
          <w:kern w:val="0"/>
          <w:sz w:val="32"/>
          <w:szCs w:val="32"/>
          <w:lang w:val="en-US" w:eastAsia="zh-CN"/>
        </w:rPr>
        <w:t>61</w:t>
      </w:r>
      <w:r>
        <w:rPr>
          <w:rFonts w:hint="eastAsia" w:ascii="仿宋_GB2312" w:hAnsi="宋体" w:eastAsia="仿宋_GB2312" w:cs="宋体"/>
          <w:color w:val="000000"/>
          <w:kern w:val="0"/>
          <w:sz w:val="32"/>
          <w:szCs w:val="32"/>
        </w:rPr>
        <w:t>项</w:t>
      </w:r>
      <w:r>
        <w:rPr>
          <w:rFonts w:ascii="仿宋_GB2312" w:hAnsi="宋体" w:eastAsia="仿宋_GB2312" w:cs="宋体"/>
          <w:color w:val="000000"/>
          <w:kern w:val="0"/>
          <w:sz w:val="32"/>
          <w:szCs w:val="32"/>
        </w:rPr>
        <w:t>产出数量</w:t>
      </w:r>
      <w:r>
        <w:rPr>
          <w:rFonts w:hint="eastAsia" w:ascii="仿宋_GB2312" w:hAnsi="宋体" w:eastAsia="仿宋_GB2312" w:cs="宋体"/>
          <w:color w:val="000000"/>
          <w:kern w:val="0"/>
          <w:sz w:val="32"/>
          <w:szCs w:val="32"/>
        </w:rPr>
        <w:t>指标，</w:t>
      </w:r>
      <w:r>
        <w:rPr>
          <w:rFonts w:ascii="仿宋_GB2312" w:hAnsi="宋体" w:eastAsia="仿宋_GB2312" w:cs="宋体"/>
          <w:color w:val="000000"/>
          <w:kern w:val="0"/>
          <w:sz w:val="32"/>
          <w:szCs w:val="32"/>
        </w:rPr>
        <w:t>除</w:t>
      </w:r>
      <w:r>
        <w:rPr>
          <w:rFonts w:hint="eastAsia" w:ascii="仿宋_GB2312" w:hAnsi="宋体" w:eastAsia="仿宋_GB2312" w:cs="宋体"/>
          <w:color w:val="000000"/>
          <w:kern w:val="0"/>
          <w:sz w:val="32"/>
          <w:szCs w:val="32"/>
          <w:lang w:eastAsia="zh-CN"/>
        </w:rPr>
        <w:t>2023年全国大众创业万众创新活动周活动取消、北京市节能技术改造奖励项目未实施外，</w:t>
      </w:r>
      <w:r>
        <w:rPr>
          <w:rFonts w:ascii="仿宋_GB2312" w:hAnsi="宋体" w:eastAsia="仿宋_GB2312" w:cs="宋体"/>
          <w:color w:val="000000"/>
          <w:kern w:val="0"/>
          <w:sz w:val="32"/>
          <w:szCs w:val="32"/>
        </w:rPr>
        <w:t>其余</w:t>
      </w:r>
      <w:r>
        <w:rPr>
          <w:rFonts w:hint="eastAsia" w:ascii="仿宋_GB2312" w:hAnsi="宋体" w:eastAsia="仿宋_GB2312" w:cs="宋体"/>
          <w:color w:val="000000"/>
          <w:kern w:val="0"/>
          <w:sz w:val="32"/>
          <w:szCs w:val="32"/>
          <w:lang w:val="en-US" w:eastAsia="zh-CN"/>
        </w:rPr>
        <w:t>59</w:t>
      </w:r>
      <w:r>
        <w:rPr>
          <w:rFonts w:hint="eastAsia" w:ascii="仿宋_GB2312" w:hAnsi="宋体" w:eastAsia="仿宋_GB2312" w:cs="宋体"/>
          <w:color w:val="000000"/>
          <w:kern w:val="0"/>
          <w:sz w:val="32"/>
          <w:szCs w:val="32"/>
        </w:rPr>
        <w:t>项</w:t>
      </w:r>
      <w:r>
        <w:rPr>
          <w:rFonts w:ascii="仿宋_GB2312" w:hAnsi="宋体" w:eastAsia="仿宋_GB2312" w:cs="宋体"/>
          <w:color w:val="000000"/>
          <w:kern w:val="0"/>
          <w:sz w:val="32"/>
          <w:szCs w:val="32"/>
        </w:rPr>
        <w:t>均已完成。具体情况如下</w:t>
      </w:r>
      <w:r>
        <w:rPr>
          <w:rFonts w:hint="eastAsia" w:ascii="仿宋_GB2312" w:hAnsi="宋体" w:eastAsia="仿宋_GB2312" w:cs="宋体"/>
          <w:color w:val="000000"/>
          <w:kern w:val="0"/>
          <w:sz w:val="32"/>
          <w:szCs w:val="32"/>
          <w:lang w:eastAsia="zh-CN"/>
        </w:rPr>
        <w:t>：</w:t>
      </w:r>
    </w:p>
    <w:p>
      <w:pPr>
        <w:pBdr>
          <w:bottom w:val="single" w:color="FFFFFF" w:sz="4" w:space="31"/>
        </w:pBdr>
        <w:adjustRightInd w:val="0"/>
        <w:snapToGrid w:val="0"/>
        <w:spacing w:line="550" w:lineRule="exact"/>
        <w:ind w:firstLine="640" w:firstLineChars="200"/>
        <w:rPr>
          <w:rFonts w:ascii="仿宋_GB2312" w:hAnsi="宋体" w:eastAsia="仿宋_GB2312" w:cs="宋体"/>
          <w:color w:val="000000"/>
          <w:kern w:val="0"/>
          <w:sz w:val="32"/>
          <w:szCs w:val="32"/>
        </w:rPr>
        <w:sectPr>
          <w:pgSz w:w="11906" w:h="16838"/>
          <w:pgMar w:top="1440" w:right="1800" w:bottom="1440" w:left="1800" w:header="851" w:footer="992" w:gutter="0"/>
          <w:pgNumType w:fmt="numberInDash"/>
          <w:cols w:space="425" w:num="1"/>
          <w:docGrid w:type="lines" w:linePitch="312" w:charSpace="0"/>
        </w:sectPr>
      </w:pPr>
    </w:p>
    <w:tbl>
      <w:tblPr>
        <w:tblStyle w:val="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5386"/>
        <w:gridCol w:w="1134"/>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5386"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c>
          <w:tcPr>
            <w:tcW w:w="6236"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restart"/>
            <w:vAlign w:val="center"/>
          </w:tcPr>
          <w:p>
            <w:pPr>
              <w:spacing w:line="240" w:lineRule="exact"/>
              <w:jc w:val="center"/>
              <w:rPr>
                <w:rFonts w:ascii="仿宋_GB2312" w:eastAsia="仿宋_GB2312"/>
                <w:szCs w:val="21"/>
              </w:rPr>
            </w:pPr>
            <w:r>
              <w:rPr>
                <w:rFonts w:hint="eastAsia" w:ascii="仿宋_GB2312" w:eastAsia="仿宋_GB2312"/>
                <w:szCs w:val="21"/>
              </w:rPr>
              <w:t>数量指标</w:t>
            </w: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召开市委财经委会议</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≥3次</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召开市委财经委会议4次。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报送《财经专报》</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≥20期</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报送《财经专报》30期。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1"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形成“十四五”规划实施相关情况第三方评估报告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≥6份</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形成《北京市“十四五”规划纲要实施中期评估报告（第三方）》《中国式现代化北京实践研究报告》《北京市“十四五”规划实施问题评估报告》《北京市“十四五”规划实施指标中期评估项目报告》《北京十四五规划实施情况大数据评估报告》《北京市“十四五”规划实施情况居民调查报告》6份第三方评估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提交人代会审议北京市“十四五”规划《纲要》实施情况中期评估报告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＝1份</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2023年9月20日，北京市十六届人大常委会五次会议召开，听取和审议北京市“十四五”规划纲要实施情况中期评估的报告。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制定出台《北京市推进京津冀协同发展2023年工作要点》</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＝1份</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制定出台《北京市推进京津冀协同发展2023年工作要点》1份。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举办北京通州与河北廊坊北三县项目推介洽谈会</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＝1场</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2023年9月，举办北京通州与河北廊坊北三县项目推介洽谈会。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完成京津冀规划政策相关报告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＝1份</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形成本市“十四五”时期推进京津冀协同发展规划相关报告。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制定出台本市推进京津冀协同发展2023年重点任务督查方案</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＝1份</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制定出台本市推进京津冀协同发展2023年重点任务督查方案。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察访核验工作报告和台账</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≥4份</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形成察访核验工作报告和台账9份。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印发实施《疏整促专项行动工作计划》</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＝1份</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印发实施《“疏解整治促提升”专项行动2023年工作计划》。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全市常住人口总量</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≤2300万人</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预计全年常住人口总量可控制在范围内，最终数据以统计局发布的数据为准。</w:t>
            </w:r>
          </w:p>
        </w:tc>
      </w:tr>
    </w:tbl>
    <w:p>
      <w:pPr>
        <w:pStyle w:val="2"/>
        <w:spacing w:line="240" w:lineRule="exact"/>
        <w:jc w:val="right"/>
        <w:rPr>
          <w:sz w:val="21"/>
          <w:szCs w:val="21"/>
        </w:rPr>
      </w:pPr>
      <w:r>
        <w:rPr>
          <w:rFonts w:hint="eastAsia" w:asciiTheme="minorEastAsia" w:hAnsiTheme="minorEastAsia" w:eastAsiaTheme="minorEastAsia"/>
          <w:sz w:val="21"/>
          <w:szCs w:val="21"/>
        </w:rPr>
        <w:t>（接下页）</w:t>
      </w:r>
      <w:r>
        <w:br w:type="page"/>
      </w:r>
    </w:p>
    <w:p>
      <w:pPr>
        <w:spacing w:line="240" w:lineRule="exact"/>
      </w:pPr>
      <w:r>
        <w:rPr>
          <w:rFonts w:hint="eastAsia"/>
        </w:rPr>
        <w:t>（续上页）</w:t>
      </w:r>
    </w:p>
    <w:tbl>
      <w:tblPr>
        <w:tblStyle w:val="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5386"/>
        <w:gridCol w:w="1134"/>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5386"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c>
          <w:tcPr>
            <w:tcW w:w="6236"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417" w:type="dxa"/>
            <w:vMerge w:val="restart"/>
            <w:vAlign w:val="center"/>
          </w:tcPr>
          <w:p>
            <w:pPr>
              <w:spacing w:line="240" w:lineRule="exact"/>
              <w:jc w:val="center"/>
              <w:rPr>
                <w:rFonts w:hint="eastAsia" w:ascii="仿宋_GB2312" w:eastAsia="仿宋_GB2312"/>
                <w:szCs w:val="21"/>
                <w:lang w:val="en-US" w:eastAsia="zh-CN"/>
              </w:rPr>
            </w:pPr>
            <w:r>
              <w:rPr>
                <w:rFonts w:hint="eastAsia" w:ascii="仿宋_GB2312" w:eastAsia="仿宋_GB2312"/>
                <w:szCs w:val="21"/>
                <w:lang w:val="en-US" w:eastAsia="zh-CN"/>
              </w:rPr>
              <w:t>数量指标</w:t>
            </w: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制定新一轮生态涵养区生态保护和绿色发展政策文件；制定新一轮生态涵养区生态保护和绿色发展工作计划和项目计划；制定城南行动2023年重点项目及任务清单</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≥3项</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3项政策文件及工作任务已全部完成。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编制印发《促进平原新城高质量发展提升平原新城综合承载能力2023年工作要点》</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＝1份</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2023年6月29日，编制印发《促进平原新城高质量发展提升平原新城综合承载能力2023年工作要点》。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梳理形成京西产业转型升级示范区年度评估报告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＝1个</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梳理形成京西产业转型升级示范区年度评估报告1个。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编制实施京西行动计划2023年重点任务和重大项目“两个清单”</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＝2个</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2023年5月，印发京西年度工作要点，包含重点任务、重大项目、重要活动“三个清单”。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编制《发改工作》打造新时代首都城市复兴新地标工作专刊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≥8期</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全年编制《发改工作》打造新时代首都城市复兴新地标工作专刊12期。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形成经济形势分析监测预警报告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≥2份</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完成《人工智能七大重点细分产业领域的全国发展动态及北京比较分析》、《绿色经济领域的全国发展动态及分析》等2份报告。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形成国内国际稳增长措施实施效果比较分析报告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＝1份</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完成《国内国际稳增长措施实施效果比较分析报告》1份报告。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形成财政金融形势分析或信息</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≥4篇</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完成一、二、三季度财金形势分析报告，年末财金形势与工作务虚会材料，金融部门与机构调研座谈情况报告，共5篇。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全年撰写季度经济预测报告、专题分析报告、方法应用报告、经济运行大数据专题研究报告合计数量</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≥17篇</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全年撰写季度经济预测报告、专题分析报告、方法应用报告、经济运行大数据专题研究报告合计数量27篇。</w:t>
            </w:r>
          </w:p>
        </w:tc>
      </w:tr>
    </w:tbl>
    <w:p>
      <w:pPr>
        <w:jc w:val="right"/>
      </w:pPr>
      <w:r>
        <w:rPr>
          <w:rFonts w:hint="eastAsia" w:asciiTheme="minorEastAsia" w:hAnsiTheme="minorEastAsia" w:eastAsiaTheme="minorEastAsia"/>
          <w:szCs w:val="21"/>
        </w:rPr>
        <w:t>（接下页）</w:t>
      </w:r>
      <w:r>
        <w:rPr>
          <w:rFonts w:hint="eastAsia" w:asciiTheme="minorEastAsia" w:hAnsiTheme="minorEastAsia" w:eastAsiaTheme="minorEastAsia"/>
          <w:szCs w:val="21"/>
        </w:rPr>
        <w:br w:type="page"/>
      </w:r>
    </w:p>
    <w:p>
      <w:pPr>
        <w:spacing w:line="240" w:lineRule="exact"/>
      </w:pPr>
      <w:r>
        <w:rPr>
          <w:rFonts w:hint="eastAsia"/>
        </w:rPr>
        <w:t>（续上页）</w:t>
      </w:r>
    </w:p>
    <w:tbl>
      <w:tblPr>
        <w:tblStyle w:val="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5386"/>
        <w:gridCol w:w="1134"/>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5386"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c>
          <w:tcPr>
            <w:tcW w:w="6236"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417" w:type="dxa"/>
            <w:vMerge w:val="restart"/>
            <w:vAlign w:val="center"/>
          </w:tcPr>
          <w:p>
            <w:pPr>
              <w:spacing w:line="240" w:lineRule="exact"/>
              <w:jc w:val="center"/>
              <w:rPr>
                <w:rFonts w:ascii="仿宋_GB2312" w:eastAsia="仿宋_GB2312"/>
                <w:szCs w:val="21"/>
              </w:rPr>
            </w:pPr>
            <w:r>
              <w:rPr>
                <w:rFonts w:hint="eastAsia" w:ascii="仿宋_GB2312" w:eastAsia="仿宋_GB2312"/>
                <w:szCs w:val="21"/>
              </w:rPr>
              <w:t>数量指标</w:t>
            </w: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拟订年度全市固定资产投资调控思路安排建议；拟定市政府投资安排计划；会同有关部门编印市重点工程计划、房地产投资计划等</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≥4项</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完成4项，完成年度全市固定资产投资调控思路安排建议、市政府投资安排计划、市重点工程计划、房地产投资计划等拟订和印发工作。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形成北京市房地产市场长效机制政策研究、减量发展背景下北京市城市更新投融资政策研究报告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≥2篇</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形成北京市房地产市场长效机制政策研究、核心区片区综合性城市更新投融资机制研究报告2篇，研究成果支撑有关领域政策及工作方案制定。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政府固定资产投资项目专项督导数</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≥50个</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政府固定资产投资项目专项督导数122个。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政府固定资产投资项目日常监测数</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≥400个</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政府固定资产投资项目日常监测数925个。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招标投标执法检查项目数</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≥50个</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招标投标执法检查项目数209个。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推动重点产业集群化发展和高端仪器产业成果转化落地方面研究文件数量</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≥2个</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成果转化落地方面研究文件数量6个。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品牌日参展企业</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≥30家</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参展企业50家。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双创参展项目</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≥100项</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活动取消。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做好本市产业重点领域和产业功能区的监测分析。开展北京市“十四五”时期现代服务业发展规划实施情况研究，形成中期评估研究报告；建立两业融合八大重点领域产业图谱，形成分析报告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≥2篇</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形成“十四五”时期现代服务业发展规划中期评估报告，两业融合领域分析报告2篇。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开展本市服务业重点领域发展研究，形成检验检测服务业高质量发展、数字时代文化新业态发展、提升生活服务业品质等领域研究成果</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≥3篇</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形成新时代背景下优势产业集群发展布局研究报告、以重点区域产业承载为核心的空间布局研究报告、生物医药产业创新体系发展比较分析报告等研究报告3篇。</w:t>
            </w:r>
          </w:p>
        </w:tc>
      </w:tr>
    </w:tbl>
    <w:p>
      <w:pPr>
        <w:widowControl/>
        <w:jc w:val="right"/>
      </w:pPr>
      <w:r>
        <w:rPr>
          <w:rFonts w:hint="eastAsia"/>
        </w:rPr>
        <w:t>（接下页）</w:t>
      </w:r>
      <w:r>
        <w:br w:type="page"/>
      </w:r>
    </w:p>
    <w:p>
      <w:pPr>
        <w:spacing w:line="240" w:lineRule="exact"/>
      </w:pPr>
      <w:r>
        <w:rPr>
          <w:rFonts w:hint="eastAsia"/>
        </w:rPr>
        <w:t>（续上页）</w:t>
      </w:r>
    </w:p>
    <w:tbl>
      <w:tblPr>
        <w:tblStyle w:val="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4535"/>
        <w:gridCol w:w="1134"/>
        <w:gridCol w:w="7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4535"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c>
          <w:tcPr>
            <w:tcW w:w="7087"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restart"/>
            <w:vAlign w:val="center"/>
          </w:tcPr>
          <w:p>
            <w:pPr>
              <w:spacing w:line="240" w:lineRule="exact"/>
              <w:jc w:val="center"/>
              <w:rPr>
                <w:rFonts w:ascii="仿宋_GB2312" w:eastAsia="仿宋_GB2312"/>
                <w:szCs w:val="21"/>
              </w:rPr>
            </w:pPr>
            <w:r>
              <w:rPr>
                <w:rFonts w:hint="eastAsia" w:ascii="仿宋_GB2312" w:eastAsia="仿宋_GB2312"/>
                <w:szCs w:val="21"/>
              </w:rPr>
              <w:t>数量指标</w:t>
            </w: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制定出台新一轮营商环境改革实施方案</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＝1个</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2023年4月7日，印发《北京市全面优化营商环境助力企业高质量发展实施方案》（京政办发〔2023〕8号）。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417" w:type="dxa"/>
            <w:vMerge w:val="continue"/>
            <w:vAlign w:val="center"/>
          </w:tcPr>
          <w:p>
            <w:pPr>
              <w:spacing w:line="24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深化世行新评价研究和改革，形成世行评价体系分领域研究报告，对标国际先进，不断深化本市营商环境改革</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＝10份</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深化世行新评价研究和改革，形成世行评价体系分领域研究报告。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417" w:type="dxa"/>
            <w:vMerge w:val="continue"/>
            <w:vAlign w:val="center"/>
          </w:tcPr>
          <w:p>
            <w:pPr>
              <w:spacing w:line="56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制定本市贯彻落实贯彻落实加快建设全国统一大市场意见的实施方案及任务清单</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＝1份</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印发《任务分工清单》和《工作方案》各1份，一是牵头制定《北京市贯彻落实加快建设全国统一大市场意见的实施方案》，2023年7月21日，以市政府名义印发实施。二是加强统筹协调和跟踪督促，联合市市场监管局印发《任务分工清单》和《工作方案》，确保92项细化举措落到实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417" w:type="dxa"/>
            <w:vMerge w:val="continue"/>
            <w:vAlign w:val="center"/>
          </w:tcPr>
          <w:p>
            <w:pPr>
              <w:spacing w:line="56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开展2023年度区级营商环境评价，对全市16区、北京经济技术开发区开展营商环境评价，形成评价报告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＝1份</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组织开展2023年区级营商环境评价，并完成评价工作。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417" w:type="dxa"/>
            <w:vMerge w:val="continue"/>
            <w:vAlign w:val="center"/>
          </w:tcPr>
          <w:p>
            <w:pPr>
              <w:spacing w:line="56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完成重点企业服务和分析报告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≥12份</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2023年，共形成重点企业服务和分析报告16篇，其中：“服务包”月度工作推进情况报告10篇、企业诉求推进调度会报告3篇、关于消费类民营外资企业座谈会有关情况的报告1篇、关于加强与中东地区投资贸易合作有关情况的报告1篇、关于推动无还本续贷政策支持的意见建议1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企业破产和市场主体退出分析报告数量</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≥3篇</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完成企业破产和市场主体退出分析报告3篇。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破产法律法规和政策制度培训人次（含线上）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spacing w:val="-6"/>
                <w:kern w:val="0"/>
                <w:sz w:val="21"/>
                <w:szCs w:val="21"/>
                <w:u w:val="none"/>
                <w:lang w:val="en-US" w:eastAsia="zh-CN" w:bidi="ar"/>
              </w:rPr>
              <w:t>≥500人次</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sz w:val="21"/>
                <w:szCs w:val="21"/>
              </w:rPr>
            </w:pPr>
            <w:r>
              <w:rPr>
                <w:rFonts w:hint="eastAsia" w:ascii="仿宋_GB2312" w:hAnsi="仿宋_GB2312" w:eastAsia="仿宋_GB2312" w:cs="仿宋_GB2312"/>
                <w:i w:val="0"/>
                <w:color w:val="000000"/>
                <w:kern w:val="0"/>
                <w:sz w:val="21"/>
                <w:szCs w:val="21"/>
                <w:u w:val="none"/>
                <w:lang w:val="en-US" w:eastAsia="zh-CN" w:bidi="ar"/>
              </w:rPr>
              <w:t>举办世界银行优化营商环境办理破产领域培训会，累计培训600余人。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发布企业参与“一带一路”相关宣传报道</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≥12期</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发布企业参与“一带一路”相关宣传报道12期。</w:t>
            </w:r>
          </w:p>
        </w:tc>
      </w:tr>
    </w:tbl>
    <w:p>
      <w:pPr>
        <w:jc w:val="right"/>
        <w:rPr>
          <w:rFonts w:hint="eastAsia"/>
        </w:rPr>
      </w:pPr>
      <w:r>
        <w:rPr>
          <w:rFonts w:hint="eastAsia"/>
        </w:rPr>
        <w:t>（接下页）</w:t>
      </w:r>
      <w:r>
        <w:rPr>
          <w:rFonts w:hint="eastAsia"/>
        </w:rPr>
        <w:br w:type="page"/>
      </w:r>
    </w:p>
    <w:p>
      <w:pPr>
        <w:spacing w:line="240" w:lineRule="exact"/>
      </w:pPr>
      <w:r>
        <w:rPr>
          <w:rFonts w:hint="eastAsia"/>
        </w:rPr>
        <w:t>（续上页）</w:t>
      </w:r>
    </w:p>
    <w:tbl>
      <w:tblPr>
        <w:tblStyle w:val="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5386"/>
        <w:gridCol w:w="1134"/>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5386"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c>
          <w:tcPr>
            <w:tcW w:w="6236"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restart"/>
            <w:vAlign w:val="center"/>
          </w:tcPr>
          <w:p>
            <w:pPr>
              <w:spacing w:line="240" w:lineRule="exact"/>
              <w:jc w:val="center"/>
              <w:rPr>
                <w:rFonts w:ascii="仿宋_GB2312" w:eastAsia="仿宋_GB2312"/>
                <w:szCs w:val="21"/>
              </w:rPr>
            </w:pPr>
            <w:r>
              <w:rPr>
                <w:rFonts w:hint="eastAsia" w:ascii="仿宋_GB2312" w:eastAsia="仿宋_GB2312"/>
                <w:szCs w:val="21"/>
              </w:rPr>
              <w:t>数量指标</w:t>
            </w: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形成能源绿色低碳转型实施方案、“十四五”时期能源发展规划中期评估报告、京津冀能源协同发展行动计划</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＝3份</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印发了绿色低碳转型实施方案、“十四五”时期能源发展规划中期评估报告、京津冀能源协同发展行动计划3份。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hint="eastAsia"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投产天津南港LNG应急储备项目一期、二期工程，新增天然气应急储备能力</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＝9.4亿立方米</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天津南港LNG应急储备项目一期投产、二期建成，共形成储气设施能力9.6亿立方米。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“小旧家电回收日”试点活动场数</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≥50场次</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在全市范围内共开展了66场试点活动。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开展节能和循环经济标准制修订，以及公共建筑室内温度现场检测</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≥250次</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对公共建筑室内温度现场检测254次，发布了12项节能和循环经济标准。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完成节能技术改造工程项目的奖励工作</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≥10项</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未开展。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审核补贴发放单位数量</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≥50家</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审核补贴发放单位数量达到60家。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清洁生产审核单位数量</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≥60家</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清洁生产审核单位数量达到60家。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实施现场监察单位数量</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≥60家</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已完成69家现场监察单位。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推进拟转型机构适老化改造进程，打造改革样板</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≥1个</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打造改革样板1个，2023年6月，全国首个培训疗养机构转型发展普惠养老示范项目（北京康养•颐寿嘉园）正式开业运营，其探索出的适老化改造北京经验得到了中央培疗改革领导小组办公室肯定并在全国推广。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完成《促进本市社会公共服务领域建筑设施绿色低碳发展的路径研究》《扩大本市中等收入群体规模政策研究》课题研究报告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≥2篇</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完成2篇，《促进本市社会公共服务领域建筑设施绿色低碳发展的路径研究》一篇，《促进超大城市医疗卫生资源高质量发展的路径研究》研究报告一篇,为社会民生领域高质量发展提供政策支撑。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按照成品油价格形成机制定期调整本市汽柴油价格</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≥12次</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2023年调整本市汽柴油价格22次。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开展的成本监审或成本调查数量</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≥4项</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已完成，开展5项成本监审项目。</w:t>
            </w:r>
          </w:p>
        </w:tc>
      </w:tr>
    </w:tbl>
    <w:p>
      <w:pPr>
        <w:jc w:val="right"/>
        <w:rPr>
          <w:rFonts w:hint="eastAsia"/>
        </w:rPr>
      </w:pPr>
      <w:r>
        <w:rPr>
          <w:rFonts w:hint="eastAsia"/>
        </w:rPr>
        <w:t>（接下页）</w:t>
      </w:r>
      <w:r>
        <w:rPr>
          <w:rFonts w:hint="eastAsia"/>
        </w:rPr>
        <w:br w:type="page"/>
      </w:r>
    </w:p>
    <w:p>
      <w:pPr>
        <w:spacing w:line="240" w:lineRule="exact"/>
      </w:pPr>
      <w:r>
        <w:rPr>
          <w:rFonts w:hint="eastAsia"/>
        </w:rPr>
        <w:t>（续上页）</w:t>
      </w:r>
    </w:p>
    <w:tbl>
      <w:tblPr>
        <w:tblStyle w:val="9"/>
        <w:tblW w:w="141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5386"/>
        <w:gridCol w:w="1133"/>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5386"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133"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c>
          <w:tcPr>
            <w:tcW w:w="6236"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restart"/>
            <w:vAlign w:val="center"/>
          </w:tcPr>
          <w:p>
            <w:pPr>
              <w:spacing w:line="240" w:lineRule="exact"/>
              <w:jc w:val="center"/>
              <w:rPr>
                <w:rFonts w:ascii="仿宋_GB2312" w:eastAsia="仿宋_GB2312"/>
                <w:szCs w:val="21"/>
              </w:rPr>
            </w:pPr>
            <w:r>
              <w:rPr>
                <w:rFonts w:hint="eastAsia" w:ascii="仿宋_GB2312" w:eastAsia="仿宋_GB2312"/>
                <w:szCs w:val="21"/>
              </w:rPr>
              <w:t>数量指标</w:t>
            </w: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开展重要领域收费政策调查及评估</w:t>
            </w:r>
          </w:p>
        </w:tc>
        <w:tc>
          <w:tcPr>
            <w:tcW w:w="1133"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≥1项</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已完成。开展重要领域收费政策调查评估项目2项。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hint="eastAsia"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获取国际市场主要期货和重要价格指数信息、本市钢材信息，通过专栏发布生活必需品、钢材等价格监测信息</w:t>
            </w:r>
          </w:p>
        </w:tc>
        <w:tc>
          <w:tcPr>
            <w:tcW w:w="1133"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＞100期</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获取国际市场主要期货和重要价格指数信息、本市钢材信息，通过专栏发布生活必需品、钢材等价格监测信息164期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hint="eastAsia"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向国家价格监测中心报送生活必需品、劳动力市场、房地产市场、生猪屠宰及养殖企业等价格监测数据</w:t>
            </w:r>
          </w:p>
        </w:tc>
        <w:tc>
          <w:tcPr>
            <w:tcW w:w="1133"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＞2500条</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向国家价格监测中心报送生活必需品、劳动力市场、房地产市场、生猪屠宰及养殖企业价格监测数据3580余条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办理市纪检委监察委、市人民法院、市人民检察院、市公安局协助提出的涉纪检、涉刑事价格鉴定事项</w:t>
            </w:r>
          </w:p>
        </w:tc>
        <w:tc>
          <w:tcPr>
            <w:tcW w:w="1133"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≥300件</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办理市纪检委监察委、市人民法院、市人民检察院、市公安局协助提出的涉纪检、涉刑事价格鉴定事项459件。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案件办理数量</w:t>
            </w:r>
          </w:p>
        </w:tc>
        <w:tc>
          <w:tcPr>
            <w:tcW w:w="1133"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≥5件</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2023年度行政复议案件办理量10件，行政诉讼案件办理量7件，审理复议案件2件，圆满完成案件办理数量指标。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新闻发布活动次数</w:t>
            </w:r>
          </w:p>
        </w:tc>
        <w:tc>
          <w:tcPr>
            <w:tcW w:w="1133"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≥50次</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2023年组织宣传活动100次，媒体刊发源发报道2000余篇，头版272个，专版88个，评论39篇，其中核心央媒刊播报道140篇。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“发展北京”政务微信发布信息数量</w:t>
            </w:r>
          </w:p>
        </w:tc>
        <w:tc>
          <w:tcPr>
            <w:tcW w:w="1133"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≥300篇</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2023年我委“发展北京”微信公众号共发布信息近600篇。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配合市粮食局等有关部门研究制定《耕地保护和粮食安全责任制考核办法》</w:t>
            </w:r>
          </w:p>
        </w:tc>
        <w:tc>
          <w:tcPr>
            <w:tcW w:w="1133"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＝1份</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已配合相关部门完成制定1份办法。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编制北京市铁路领域2023年重点工作计划</w:t>
            </w:r>
          </w:p>
        </w:tc>
        <w:tc>
          <w:tcPr>
            <w:tcW w:w="1133"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＝1份</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印发《北京市铁路领域2023年重点工作计划》1份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在各类内刊内参刊发研究成果</w:t>
            </w:r>
          </w:p>
        </w:tc>
        <w:tc>
          <w:tcPr>
            <w:tcW w:w="1133"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≥35篇</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全年在市委市政府内刊内参刊载80篇，获得市领导批示成果61篇。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417" w:type="dxa"/>
            <w:vMerge w:val="continue"/>
            <w:vAlign w:val="center"/>
          </w:tcPr>
          <w:p>
            <w:pPr>
              <w:spacing w:line="560" w:lineRule="exact"/>
              <w:jc w:val="center"/>
              <w:rPr>
                <w:rFonts w:ascii="仿宋_GB2312" w:eastAsia="仿宋_GB2312"/>
                <w:szCs w:val="21"/>
              </w:rPr>
            </w:pP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编辑出版《北京健康城市建设研究》、《北京社会发展报告蓝皮书》、《首都现代化蓝皮书》</w:t>
            </w:r>
          </w:p>
        </w:tc>
        <w:tc>
          <w:tcPr>
            <w:tcW w:w="1133"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＝3本</w:t>
            </w:r>
          </w:p>
        </w:tc>
        <w:tc>
          <w:tcPr>
            <w:tcW w:w="623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《北京健康城市建设研究》、《北京社会发展报告蓝皮书》、《首都现代化蓝皮书》3本书均已按计划出版。《北京健康城市建设研究》获第十四届“优秀皮书奖”一等奖。</w:t>
            </w:r>
          </w:p>
        </w:tc>
      </w:tr>
    </w:tbl>
    <w:p>
      <w:pPr>
        <w:sectPr>
          <w:pgSz w:w="16838" w:h="11906" w:orient="landscape"/>
          <w:pgMar w:top="1800" w:right="1440" w:bottom="1800" w:left="1440" w:header="851" w:footer="992" w:gutter="0"/>
          <w:pgNumType w:fmt="numberInDash"/>
          <w:cols w:space="425" w:num="1"/>
          <w:docGrid w:type="lines" w:linePitch="312" w:charSpace="0"/>
        </w:sectPr>
      </w:pPr>
    </w:p>
    <w:p>
      <w:pPr>
        <w:pBdr>
          <w:bottom w:val="single" w:color="FFFFFF" w:sz="4" w:space="31"/>
        </w:pBdr>
        <w:adjustRightInd w:val="0"/>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2.产出质量</w:t>
      </w:r>
    </w:p>
    <w:p>
      <w:pPr>
        <w:pBdr>
          <w:bottom w:val="single" w:color="FFFFFF" w:sz="4" w:space="31"/>
        </w:pBdr>
        <w:adjustRightInd w:val="0"/>
        <w:snapToGrid w:val="0"/>
        <w:spacing w:line="560" w:lineRule="exact"/>
        <w:ind w:firstLine="640" w:firstLineChars="200"/>
        <w:rPr>
          <w:rFonts w:ascii="仿宋_GB2312" w:hAnsi="宋体" w:eastAsia="仿宋_GB2312" w:cs="宋体"/>
          <w:color w:val="000000"/>
          <w:kern w:val="0"/>
          <w:sz w:val="32"/>
          <w:szCs w:val="32"/>
          <w:highlight w:val="none"/>
        </w:rPr>
        <w:sectPr>
          <w:pgSz w:w="11906" w:h="16838"/>
          <w:pgMar w:top="1440" w:right="1800" w:bottom="1440" w:left="1800" w:header="851" w:footer="992" w:gutter="0"/>
          <w:pgNumType w:fmt="numberInDash"/>
          <w:cols w:space="425" w:num="1"/>
          <w:docGrid w:type="lines" w:linePitch="312" w:charSpace="0"/>
        </w:sect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年，市发展改革委统筹</w:t>
      </w:r>
      <w:r>
        <w:rPr>
          <w:rFonts w:ascii="仿宋_GB2312" w:hAnsi="宋体" w:eastAsia="仿宋_GB2312" w:cs="宋体"/>
          <w:color w:val="000000"/>
          <w:kern w:val="0"/>
          <w:sz w:val="32"/>
          <w:szCs w:val="32"/>
          <w:highlight w:val="none"/>
        </w:rPr>
        <w:t>抓好</w:t>
      </w:r>
      <w:r>
        <w:rPr>
          <w:rFonts w:hint="eastAsia" w:ascii="仿宋_GB2312" w:hAnsi="宋体" w:eastAsia="仿宋_GB2312" w:cs="宋体"/>
          <w:color w:val="000000"/>
          <w:kern w:val="0"/>
          <w:sz w:val="32"/>
          <w:szCs w:val="32"/>
          <w:highlight w:val="none"/>
        </w:rPr>
        <w:t>经济运行</w:t>
      </w:r>
      <w:r>
        <w:rPr>
          <w:rFonts w:ascii="仿宋_GB2312" w:hAnsi="宋体" w:eastAsia="仿宋_GB2312" w:cs="宋体"/>
          <w:color w:val="000000"/>
          <w:kern w:val="0"/>
          <w:sz w:val="32"/>
          <w:szCs w:val="32"/>
          <w:highlight w:val="none"/>
        </w:rPr>
        <w:t>与</w:t>
      </w:r>
      <w:r>
        <w:rPr>
          <w:rFonts w:hint="eastAsia" w:ascii="仿宋_GB2312" w:hAnsi="宋体" w:eastAsia="仿宋_GB2312" w:cs="宋体"/>
          <w:color w:val="000000"/>
          <w:kern w:val="0"/>
          <w:sz w:val="32"/>
          <w:szCs w:val="32"/>
          <w:highlight w:val="none"/>
        </w:rPr>
        <w:t>投资</w:t>
      </w:r>
      <w:r>
        <w:rPr>
          <w:rFonts w:ascii="仿宋_GB2312" w:hAnsi="宋体" w:eastAsia="仿宋_GB2312" w:cs="宋体"/>
          <w:color w:val="000000"/>
          <w:kern w:val="0"/>
          <w:sz w:val="32"/>
          <w:szCs w:val="32"/>
          <w:highlight w:val="none"/>
        </w:rPr>
        <w:t>调度，全力确保经济平稳增长。</w:t>
      </w:r>
      <w:r>
        <w:rPr>
          <w:rFonts w:ascii="仿宋_GB2312" w:hAnsi="宋体" w:eastAsia="仿宋_GB2312" w:cs="宋体"/>
          <w:b/>
          <w:color w:val="000000"/>
          <w:kern w:val="0"/>
          <w:sz w:val="32"/>
          <w:szCs w:val="32"/>
          <w:highlight w:val="none"/>
        </w:rPr>
        <w:t>一是</w:t>
      </w:r>
      <w:r>
        <w:rPr>
          <w:rFonts w:hint="eastAsia" w:ascii="仿宋_GB2312" w:hAnsi="宋体" w:eastAsia="仿宋_GB2312" w:cs="宋体"/>
          <w:color w:val="000000"/>
          <w:kern w:val="0"/>
          <w:sz w:val="32"/>
          <w:szCs w:val="32"/>
          <w:highlight w:val="none"/>
        </w:rPr>
        <w:t>围绕重点领域组织开展融资对接活动</w:t>
      </w:r>
      <w:r>
        <w:rPr>
          <w:rFonts w:hint="eastAsia" w:ascii="仿宋_GB2312" w:hAnsi="宋体" w:eastAsia="仿宋_GB2312" w:cs="宋体"/>
          <w:color w:val="000000"/>
          <w:kern w:val="0"/>
          <w:sz w:val="32"/>
          <w:szCs w:val="32"/>
          <w:highlight w:val="none"/>
          <w:lang w:eastAsia="zh-CN"/>
        </w:rPr>
        <w:t>，全年组织融资对接会11次，116个有融资需求的重点项目累计获得贷款435亿元，组织115个制造业中长期贷款项目、两批244个科技型企业和项目融资申报</w:t>
      </w:r>
      <w:r>
        <w:rPr>
          <w:rFonts w:hint="eastAsia" w:ascii="仿宋_GB2312" w:hAnsi="宋体" w:eastAsia="仿宋_GB2312" w:cs="宋体"/>
          <w:color w:val="000000"/>
          <w:kern w:val="0"/>
          <w:sz w:val="32"/>
          <w:szCs w:val="32"/>
          <w:highlight w:val="none"/>
        </w:rPr>
        <w:t>。</w:t>
      </w:r>
      <w:r>
        <w:rPr>
          <w:rFonts w:hint="eastAsia" w:ascii="仿宋_GB2312" w:hAnsi="宋体" w:eastAsia="仿宋_GB2312" w:cs="宋体"/>
          <w:b/>
          <w:bCs/>
          <w:color w:val="000000"/>
          <w:kern w:val="0"/>
          <w:sz w:val="32"/>
          <w:szCs w:val="32"/>
          <w:highlight w:val="none"/>
          <w:lang w:eastAsia="zh-CN"/>
        </w:rPr>
        <w:t>二是</w:t>
      </w:r>
      <w:r>
        <w:rPr>
          <w:rFonts w:hint="eastAsia" w:ascii="仿宋_GB2312" w:hAnsi="宋体" w:eastAsia="仿宋_GB2312" w:cs="宋体"/>
          <w:color w:val="000000"/>
          <w:kern w:val="0"/>
          <w:sz w:val="32"/>
          <w:szCs w:val="32"/>
          <w:highlight w:val="none"/>
        </w:rPr>
        <w:t>全面完成市委深改委经济领域2023年工作要点重点任务</w:t>
      </w:r>
      <w:r>
        <w:rPr>
          <w:rFonts w:hint="eastAsia" w:ascii="仿宋_GB2312" w:hAnsi="宋体" w:eastAsia="仿宋_GB2312" w:cs="宋体"/>
          <w:color w:val="000000"/>
          <w:kern w:val="0"/>
          <w:sz w:val="32"/>
          <w:szCs w:val="32"/>
          <w:highlight w:val="none"/>
          <w:lang w:eastAsia="zh-CN"/>
        </w:rPr>
        <w:t>，印发《经济体制改革专项小组2023年工作要点》，创新专项小组平台工作机制，工作范围由以往横向协调相关市级部门向16区纵向拓展。</w:t>
      </w:r>
      <w:r>
        <w:rPr>
          <w:rFonts w:hint="eastAsia" w:ascii="仿宋_GB2312" w:hAnsi="宋体" w:eastAsia="仿宋_GB2312" w:cs="宋体"/>
          <w:b/>
          <w:bCs/>
          <w:color w:val="000000"/>
          <w:kern w:val="0"/>
          <w:sz w:val="32"/>
          <w:szCs w:val="32"/>
          <w:highlight w:val="none"/>
          <w:lang w:eastAsia="zh-CN"/>
        </w:rPr>
        <w:t>三是</w:t>
      </w:r>
      <w:r>
        <w:rPr>
          <w:rFonts w:hint="eastAsia" w:ascii="仿宋_GB2312" w:hAnsi="宋体" w:eastAsia="仿宋_GB2312" w:cs="宋体"/>
          <w:color w:val="000000"/>
          <w:kern w:val="0"/>
          <w:sz w:val="32"/>
          <w:szCs w:val="32"/>
          <w:highlight w:val="none"/>
        </w:rPr>
        <w:t>加快推进“双枢纽”重大项目前期工作</w:t>
      </w:r>
      <w:r>
        <w:rPr>
          <w:rFonts w:hint="eastAsia" w:ascii="仿宋_GB2312" w:hAnsi="宋体" w:eastAsia="仿宋_GB2312" w:cs="宋体"/>
          <w:color w:val="000000"/>
          <w:kern w:val="0"/>
          <w:sz w:val="32"/>
          <w:szCs w:val="32"/>
          <w:highlight w:val="none"/>
          <w:lang w:eastAsia="zh-CN"/>
        </w:rPr>
        <w:t>，配合首都机场集团加快推进首都机场提质增效、大兴机场卫星厅项目前期工作，组织协调本市相关单位加强研究论证，持续优化项目方案</w:t>
      </w:r>
      <w:r>
        <w:rPr>
          <w:rFonts w:hint="eastAsia" w:ascii="仿宋_GB2312" w:hAnsi="宋体" w:eastAsia="仿宋_GB2312" w:cs="宋体"/>
          <w:color w:val="000000"/>
          <w:kern w:val="0"/>
          <w:sz w:val="32"/>
          <w:szCs w:val="32"/>
          <w:highlight w:val="none"/>
        </w:rPr>
        <w:t>。</w:t>
      </w:r>
      <w:r>
        <w:rPr>
          <w:rFonts w:hint="eastAsia" w:ascii="仿宋_GB2312" w:hAnsi="宋体" w:eastAsia="仿宋_GB2312" w:cs="宋体"/>
          <w:b/>
          <w:color w:val="000000"/>
          <w:kern w:val="0"/>
          <w:sz w:val="32"/>
          <w:szCs w:val="32"/>
          <w:highlight w:val="none"/>
          <w:lang w:eastAsia="zh-CN"/>
        </w:rPr>
        <w:t>四</w:t>
      </w:r>
      <w:r>
        <w:rPr>
          <w:rFonts w:hint="eastAsia" w:ascii="仿宋_GB2312" w:hAnsi="宋体" w:eastAsia="仿宋_GB2312" w:cs="宋体"/>
          <w:b/>
          <w:color w:val="000000"/>
          <w:kern w:val="0"/>
          <w:sz w:val="32"/>
          <w:szCs w:val="32"/>
          <w:highlight w:val="none"/>
        </w:rPr>
        <w:t>是</w:t>
      </w:r>
      <w:r>
        <w:rPr>
          <w:rFonts w:hint="eastAsia" w:ascii="仿宋_GB2312" w:hAnsi="宋体" w:eastAsia="仿宋_GB2312" w:cs="宋体"/>
          <w:b w:val="0"/>
          <w:bCs/>
          <w:color w:val="000000"/>
          <w:kern w:val="0"/>
          <w:sz w:val="32"/>
          <w:szCs w:val="32"/>
          <w:highlight w:val="none"/>
        </w:rPr>
        <w:t>促进城乡区域协调发展</w:t>
      </w:r>
      <w:r>
        <w:rPr>
          <w:rFonts w:hint="eastAsia" w:ascii="仿宋_GB2312" w:hAnsi="宋体" w:eastAsia="仿宋_GB2312" w:cs="宋体"/>
          <w:b w:val="0"/>
          <w:bCs/>
          <w:color w:val="000000"/>
          <w:kern w:val="0"/>
          <w:sz w:val="32"/>
          <w:szCs w:val="32"/>
          <w:highlight w:val="none"/>
          <w:lang w:eastAsia="zh-CN"/>
        </w:rPr>
        <w:t>，制定《关于因地制宜开展以工代赈工作促进农民群众就业增收的实施意见》，指导推动门头沟区、房山区在灾后恢复重建项目推广以工代赈工作。</w:t>
      </w:r>
      <w:r>
        <w:rPr>
          <w:rFonts w:hint="eastAsia" w:ascii="仿宋_GB2312" w:hAnsi="宋体" w:eastAsia="仿宋_GB2312" w:cs="宋体"/>
          <w:b/>
          <w:bCs w:val="0"/>
          <w:color w:val="000000"/>
          <w:kern w:val="0"/>
          <w:sz w:val="32"/>
          <w:szCs w:val="32"/>
          <w:highlight w:val="none"/>
          <w:lang w:eastAsia="zh-CN"/>
        </w:rPr>
        <w:t>五是</w:t>
      </w:r>
      <w:r>
        <w:rPr>
          <w:rFonts w:hint="eastAsia" w:ascii="仿宋_GB2312" w:hAnsi="宋体" w:eastAsia="仿宋_GB2312" w:cs="宋体"/>
          <w:b w:val="0"/>
          <w:bCs/>
          <w:color w:val="000000"/>
          <w:kern w:val="0"/>
          <w:sz w:val="32"/>
          <w:szCs w:val="32"/>
          <w:highlight w:val="none"/>
          <w:lang w:eastAsia="zh-CN"/>
        </w:rPr>
        <w:t>推动京津冀协同发展，形成京津冀氢能产业协同发展机制研究成果，圆满完成2023年疏整促专项行动工作任务，为本市对外开放工作提供有力支撑</w:t>
      </w:r>
      <w:r>
        <w:rPr>
          <w:rFonts w:hint="eastAsia" w:ascii="仿宋_GB2312" w:hAnsi="宋体" w:eastAsia="仿宋_GB2312" w:cs="宋体"/>
          <w:color w:val="000000"/>
          <w:kern w:val="0"/>
          <w:sz w:val="32"/>
          <w:szCs w:val="32"/>
          <w:highlight w:val="none"/>
        </w:rPr>
        <w:t>。年初</w:t>
      </w:r>
      <w:r>
        <w:rPr>
          <w:rFonts w:ascii="仿宋_GB2312" w:hAnsi="宋体" w:eastAsia="仿宋_GB2312" w:cs="宋体"/>
          <w:color w:val="000000"/>
          <w:kern w:val="0"/>
          <w:sz w:val="32"/>
          <w:szCs w:val="32"/>
          <w:highlight w:val="none"/>
        </w:rPr>
        <w:t>设定的</w:t>
      </w:r>
      <w:r>
        <w:rPr>
          <w:rFonts w:hint="eastAsia" w:ascii="仿宋_GB2312" w:hAnsi="宋体" w:eastAsia="仿宋_GB2312" w:cs="宋体"/>
          <w:color w:val="000000"/>
          <w:kern w:val="0"/>
          <w:sz w:val="32"/>
          <w:szCs w:val="32"/>
          <w:highlight w:val="none"/>
          <w:lang w:val="en-US" w:eastAsia="zh-CN"/>
        </w:rPr>
        <w:t>10</w:t>
      </w:r>
      <w:r>
        <w:rPr>
          <w:rFonts w:hint="eastAsia" w:ascii="仿宋_GB2312" w:hAnsi="宋体" w:eastAsia="仿宋_GB2312" w:cs="宋体"/>
          <w:color w:val="000000"/>
          <w:kern w:val="0"/>
          <w:sz w:val="32"/>
          <w:szCs w:val="32"/>
          <w:highlight w:val="none"/>
        </w:rPr>
        <w:t>项</w:t>
      </w:r>
      <w:r>
        <w:rPr>
          <w:rFonts w:ascii="仿宋_GB2312" w:hAnsi="宋体" w:eastAsia="仿宋_GB2312" w:cs="宋体"/>
          <w:color w:val="000000"/>
          <w:kern w:val="0"/>
          <w:sz w:val="32"/>
          <w:szCs w:val="32"/>
          <w:highlight w:val="none"/>
        </w:rPr>
        <w:t>产出</w:t>
      </w:r>
      <w:r>
        <w:rPr>
          <w:rFonts w:hint="eastAsia" w:ascii="仿宋_GB2312" w:hAnsi="宋体" w:eastAsia="仿宋_GB2312" w:cs="宋体"/>
          <w:color w:val="000000"/>
          <w:kern w:val="0"/>
          <w:sz w:val="32"/>
          <w:szCs w:val="32"/>
          <w:highlight w:val="none"/>
        </w:rPr>
        <w:t>质量指标</w:t>
      </w:r>
      <w:r>
        <w:rPr>
          <w:rFonts w:ascii="仿宋_GB2312" w:hAnsi="宋体" w:eastAsia="仿宋_GB2312" w:cs="宋体"/>
          <w:color w:val="000000"/>
          <w:kern w:val="0"/>
          <w:sz w:val="32"/>
          <w:szCs w:val="32"/>
          <w:highlight w:val="none"/>
        </w:rPr>
        <w:t>均已完成。具体情况如下</w:t>
      </w:r>
      <w:r>
        <w:rPr>
          <w:rFonts w:hint="eastAsia" w:ascii="仿宋_GB2312" w:hAnsi="宋体" w:eastAsia="仿宋_GB2312" w:cs="宋体"/>
          <w:color w:val="000000"/>
          <w:kern w:val="0"/>
          <w:sz w:val="32"/>
          <w:szCs w:val="32"/>
          <w:highlight w:val="none"/>
        </w:rPr>
        <w:t>：</w:t>
      </w:r>
    </w:p>
    <w:tbl>
      <w:tblPr>
        <w:tblStyle w:val="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4535"/>
        <w:gridCol w:w="1134"/>
        <w:gridCol w:w="7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4535"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c>
          <w:tcPr>
            <w:tcW w:w="7087"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417" w:type="dxa"/>
            <w:vMerge w:val="restart"/>
            <w:vAlign w:val="center"/>
          </w:tcPr>
          <w:p>
            <w:pPr>
              <w:spacing w:line="240" w:lineRule="exact"/>
              <w:jc w:val="center"/>
              <w:rPr>
                <w:rFonts w:ascii="仿宋_GB2312" w:eastAsia="仿宋_GB2312"/>
                <w:szCs w:val="21"/>
              </w:rPr>
            </w:pPr>
            <w:r>
              <w:rPr>
                <w:rFonts w:hint="eastAsia" w:ascii="仿宋_GB2312" w:eastAsia="仿宋_GB2312"/>
                <w:szCs w:val="21"/>
              </w:rPr>
              <w:t>质量指标</w:t>
            </w: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围绕重点领域组织开展融资对接活动</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全年组织融资对接会11次，116个有融资需求的重点项目累计获得贷款435亿元，组织115个制造业中长期贷款项目、两批244个科技型企业和项目融资申报，扩大制造业中长期贷款投放和科技型企业项目融资对接工作获国家发展改革委会议典型发言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417" w:type="dxa"/>
            <w:vMerge w:val="continue"/>
            <w:vAlign w:val="center"/>
          </w:tcPr>
          <w:p>
            <w:pPr>
              <w:spacing w:line="24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全面完成市委深改委经济领域2023年工作要点重点任务</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＝100%</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100%完成。2023年4月17日，经济体制小组办公室印发《经济体制改革专项小组2023年工作要点》，创新专项小组平台工作机制，工作范围由以往横向协调相关市级部门向16区纵向拓展。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加快推进“双枢纽”重大项目前期工作</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优，配合首都机场集团加快推进首都机场提质增效、大兴机场卫星厅项目前期工作，组织协调本市相关单位加强研究论证，持续优化项目方案。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spacing w:val="-6"/>
                <w:kern w:val="0"/>
                <w:sz w:val="21"/>
                <w:szCs w:val="21"/>
                <w:u w:val="none"/>
                <w:lang w:val="en-US" w:eastAsia="zh-CN" w:bidi="ar"/>
              </w:rPr>
              <w:t>区域发展、生态文明建设类政策转化效益分析评价</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优，制定《关于因地制宜开展以工代赈工作促进农民群众就业增收的实施意见》，指导推动门头沟区、房山区在灾后恢复重建项目推广以工代赈工作。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417" w:type="dxa"/>
            <w:vMerge w:val="continue"/>
            <w:vAlign w:val="center"/>
          </w:tcPr>
          <w:p>
            <w:pPr>
              <w:spacing w:line="24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形成课题研究成果，支撑京津冀协同发展工作</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优，形成《京津冀氢能产业协同发展机制研究》课题报告，于2023年12月13日通过专家结题评审。同时转化成京津冀联合办信息简报拟于近期报送市领导。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24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完成疏整促专项行动工作任务</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＝100%</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圆满完成2023年疏整促专项行动工作任务。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24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为本市对外开放工作提供有力支撑</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优，工作内容丰富，形式多样，为本市对外开放工作提供了有力支撑。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1417" w:type="dxa"/>
            <w:vMerge w:val="continue"/>
            <w:vAlign w:val="center"/>
          </w:tcPr>
          <w:p>
            <w:pPr>
              <w:spacing w:line="24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根据《中华人民共和国节约能源法》《中华人民共和国清洁生产促进法》等法律法规严格依法行政，落实“双随机、一公开”监管要求</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优，根据《中华人民共和国节约能源法》《中华人民共和国清洁生产促进法》等法律法规严格依法行政；落实“双随机、一公开”监管要求。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24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市纪检监察机关、司法机关提出复核率</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default" w:ascii="仿宋_GB2312" w:hAnsi="仿宋_GB2312" w:eastAsia="仿宋_GB2312" w:cs="仿宋_GB2312"/>
                <w:i w:val="0"/>
                <w:color w:val="000000"/>
                <w:kern w:val="0"/>
                <w:sz w:val="21"/>
                <w:szCs w:val="21"/>
                <w:u w:val="none"/>
                <w:lang w:val="en-US" w:eastAsia="zh-CN" w:bidi="ar"/>
              </w:rPr>
              <w:t>≤2%</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市纪检监察机关、司法机关提出复核率为零。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240" w:lineRule="exact"/>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系统正常运行率</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≥95%</w:t>
            </w:r>
          </w:p>
        </w:tc>
        <w:tc>
          <w:tcPr>
            <w:tcW w:w="7087"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系统正常运行率≥98%</w:t>
            </w:r>
          </w:p>
        </w:tc>
      </w:tr>
    </w:tbl>
    <w:p>
      <w:pPr>
        <w:pStyle w:val="2"/>
        <w:spacing w:line="240" w:lineRule="exact"/>
        <w:jc w:val="right"/>
        <w:sectPr>
          <w:pgSz w:w="16838" w:h="11906" w:orient="landscape"/>
          <w:pgMar w:top="1800" w:right="1440" w:bottom="1800" w:left="1440" w:header="851" w:footer="992" w:gutter="0"/>
          <w:pgNumType w:fmt="numberInDash"/>
          <w:cols w:space="425" w:num="1"/>
          <w:docGrid w:type="lines" w:linePitch="312" w:charSpace="0"/>
        </w:sectPr>
      </w:pPr>
      <w:r>
        <w:rPr>
          <w:rFonts w:eastAsia="宋体"/>
          <w:sz w:val="21"/>
        </w:rPr>
        <w:br w:type="page"/>
      </w:r>
    </w:p>
    <w:p>
      <w:pPr>
        <w:pBdr>
          <w:bottom w:val="single" w:color="FFFFFF" w:sz="4" w:space="31"/>
        </w:pBdr>
        <w:adjustRightInd w:val="0"/>
        <w:snapToGrid w:val="0"/>
        <w:spacing w:line="560" w:lineRule="exact"/>
        <w:ind w:firstLine="640" w:firstLineChars="200"/>
        <w:rPr>
          <w:rFonts w:hint="eastAsia" w:ascii="仿宋_GB2312" w:hAnsi="宋体" w:eastAsia="仿宋_GB2312" w:cs="宋体"/>
          <w:color w:val="000000"/>
          <w:kern w:val="0"/>
          <w:sz w:val="32"/>
          <w:szCs w:val="32"/>
          <w:lang w:eastAsia="zh-CN"/>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.产出</w:t>
      </w:r>
      <w:r>
        <w:rPr>
          <w:rFonts w:hint="eastAsia" w:ascii="仿宋_GB2312" w:hAnsi="宋体" w:eastAsia="仿宋_GB2312" w:cs="宋体"/>
          <w:color w:val="000000"/>
          <w:kern w:val="0"/>
          <w:sz w:val="32"/>
          <w:szCs w:val="32"/>
          <w:lang w:eastAsia="zh-CN"/>
        </w:rPr>
        <w:t>时效</w:t>
      </w:r>
    </w:p>
    <w:p>
      <w:pPr>
        <w:pBdr>
          <w:bottom w:val="single" w:color="FFFFFF" w:sz="4" w:space="31"/>
        </w:pBd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年，市发展改革委</w:t>
      </w:r>
      <w:r>
        <w:rPr>
          <w:rFonts w:hint="eastAsia" w:ascii="仿宋_GB2312" w:eastAsia="仿宋_GB2312"/>
          <w:sz w:val="32"/>
          <w:szCs w:val="32"/>
          <w:lang w:eastAsia="zh-CN"/>
        </w:rPr>
        <w:t>积极</w:t>
      </w:r>
      <w:r>
        <w:rPr>
          <w:rFonts w:hint="eastAsia" w:ascii="仿宋_GB2312" w:eastAsia="仿宋_GB2312"/>
          <w:sz w:val="32"/>
          <w:szCs w:val="32"/>
        </w:rPr>
        <w:t>做好重要民生商品保供稳价</w:t>
      </w:r>
      <w:r>
        <w:rPr>
          <w:rFonts w:hint="eastAsia" w:ascii="仿宋_GB2312" w:eastAsia="仿宋_GB2312"/>
          <w:sz w:val="32"/>
          <w:szCs w:val="32"/>
          <w:lang w:eastAsia="zh-CN"/>
        </w:rPr>
        <w:t>工作，根据上游天然气门站价格变化情况，及时疏导上游天然气价格浮动影响，出台《关于调整本市非居民用天然气销售价格的通知》；</w:t>
      </w:r>
      <w:r>
        <w:rPr>
          <w:rFonts w:hint="eastAsia" w:ascii="仿宋_GB2312" w:eastAsia="仿宋_GB2312"/>
          <w:sz w:val="32"/>
          <w:szCs w:val="32"/>
        </w:rPr>
        <w:t>严格落实生猪、蔬菜、粮油价格调控预案</w:t>
      </w:r>
      <w:r>
        <w:rPr>
          <w:rFonts w:hint="eastAsia" w:ascii="仿宋_GB2312" w:eastAsia="仿宋_GB2312"/>
          <w:sz w:val="32"/>
          <w:szCs w:val="32"/>
          <w:lang w:eastAsia="zh-CN"/>
        </w:rPr>
        <w:t>，及时对外发布预警信息，引导养殖场（户）合理安排生产经营决策，定分批次政府猪肉临时储备收储方案，开展临时储备收储300吨，与中央收储形成联动合力。</w:t>
      </w:r>
      <w:r>
        <w:rPr>
          <w:rFonts w:hint="eastAsia" w:ascii="仿宋_GB2312" w:eastAsia="仿宋_GB2312"/>
          <w:sz w:val="32"/>
          <w:szCs w:val="32"/>
        </w:rPr>
        <w:t>年初设定的</w:t>
      </w:r>
      <w:r>
        <w:rPr>
          <w:rFonts w:hint="eastAsia" w:ascii="仿宋_GB2312" w:eastAsia="仿宋_GB2312"/>
          <w:sz w:val="32"/>
          <w:szCs w:val="32"/>
          <w:lang w:val="en-US" w:eastAsia="zh-CN"/>
        </w:rPr>
        <w:t>3项</w:t>
      </w:r>
      <w:r>
        <w:rPr>
          <w:rFonts w:hint="eastAsia" w:ascii="仿宋_GB2312" w:eastAsia="仿宋_GB2312"/>
          <w:sz w:val="32"/>
          <w:szCs w:val="32"/>
        </w:rPr>
        <w:t>产出</w:t>
      </w:r>
      <w:r>
        <w:rPr>
          <w:rFonts w:hint="eastAsia" w:ascii="仿宋_GB2312" w:eastAsia="仿宋_GB2312"/>
          <w:sz w:val="32"/>
          <w:szCs w:val="32"/>
          <w:lang w:eastAsia="zh-CN"/>
        </w:rPr>
        <w:t>时效指标</w:t>
      </w:r>
      <w:r>
        <w:rPr>
          <w:rFonts w:hint="eastAsia" w:ascii="仿宋_GB2312" w:eastAsia="仿宋_GB2312"/>
          <w:sz w:val="32"/>
          <w:szCs w:val="32"/>
        </w:rPr>
        <w:t>均已完成。具体情况如下：</w:t>
      </w:r>
    </w:p>
    <w:tbl>
      <w:tblPr>
        <w:tblStyle w:val="9"/>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2268"/>
        <w:gridCol w:w="1134"/>
        <w:gridCol w:w="3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2268"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c>
          <w:tcPr>
            <w:tcW w:w="3685"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1" w:hRule="atLeast"/>
        </w:trPr>
        <w:tc>
          <w:tcPr>
            <w:tcW w:w="1417" w:type="dxa"/>
            <w:vMerge w:val="restart"/>
            <w:vAlign w:val="center"/>
          </w:tcPr>
          <w:p>
            <w:pPr>
              <w:spacing w:line="240" w:lineRule="exact"/>
              <w:jc w:val="center"/>
              <w:rPr>
                <w:rFonts w:ascii="仿宋_GB2312" w:eastAsia="仿宋_GB2312"/>
                <w:spacing w:val="-2"/>
                <w:szCs w:val="21"/>
              </w:rPr>
            </w:pPr>
            <w:r>
              <w:rPr>
                <w:rFonts w:hint="eastAsia" w:ascii="仿宋_GB2312" w:eastAsia="仿宋_GB2312"/>
                <w:spacing w:val="-2"/>
                <w:szCs w:val="21"/>
              </w:rPr>
              <w:t>时效指标</w:t>
            </w:r>
          </w:p>
        </w:tc>
        <w:tc>
          <w:tcPr>
            <w:tcW w:w="2268"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根据上游天然气门站价格变化情况，及时疏导上游天然气价格浮动影响</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368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出台《关于调整本市非居民用天然气销售价格的通知》（京发改〔2023〕1554号），11月19日至2024年3月15日期间，上浮本市非居民气价0.43元/立方米。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1" w:hRule="atLeast"/>
        </w:trPr>
        <w:tc>
          <w:tcPr>
            <w:tcW w:w="1417" w:type="dxa"/>
            <w:vMerge w:val="continue"/>
            <w:vAlign w:val="center"/>
          </w:tcPr>
          <w:p>
            <w:pPr>
              <w:spacing w:line="240" w:lineRule="exact"/>
              <w:jc w:val="center"/>
              <w:rPr>
                <w:rFonts w:ascii="仿宋_GB2312" w:eastAsia="仿宋_GB2312"/>
                <w:spacing w:val="-2"/>
                <w:szCs w:val="21"/>
              </w:rPr>
            </w:pPr>
          </w:p>
        </w:tc>
        <w:tc>
          <w:tcPr>
            <w:tcW w:w="2268"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及时提示预警，提出调控建议</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368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严格落实生猪、蔬菜、粮油价格调控预案，报送价格预警等各类政务信息74篇，针对猪肉价格低位运行情况，对外发布预警信息6篇，引导养殖场（户）合理安排生产经营决策；会同市商务局、市财政局制定分批次政府猪肉临时储备收储方案，开展临时储备收储300吨，与中央收储形成联动合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417" w:type="dxa"/>
            <w:vMerge w:val="continue"/>
            <w:vAlign w:val="center"/>
          </w:tcPr>
          <w:p>
            <w:pPr>
              <w:spacing w:line="240" w:lineRule="exact"/>
              <w:jc w:val="center"/>
              <w:rPr>
                <w:rFonts w:ascii="仿宋_GB2312" w:eastAsia="仿宋_GB2312"/>
                <w:spacing w:val="-2"/>
                <w:szCs w:val="21"/>
              </w:rPr>
            </w:pPr>
          </w:p>
        </w:tc>
        <w:tc>
          <w:tcPr>
            <w:tcW w:w="2268"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spacing w:val="-6"/>
                <w:kern w:val="0"/>
                <w:sz w:val="21"/>
                <w:szCs w:val="21"/>
                <w:u w:val="none"/>
                <w:lang w:val="en-US" w:eastAsia="zh-CN" w:bidi="ar"/>
              </w:rPr>
              <w:t>平均故障修复响应时间</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≤4小时</w:t>
            </w:r>
          </w:p>
        </w:tc>
        <w:tc>
          <w:tcPr>
            <w:tcW w:w="368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0小时</w:t>
            </w:r>
          </w:p>
        </w:tc>
      </w:tr>
    </w:tbl>
    <w:p>
      <w:pPr>
        <w:pStyle w:val="2"/>
      </w:pPr>
      <w:r>
        <w:br w:type="page"/>
      </w:r>
    </w:p>
    <w:p>
      <w:pPr>
        <w:pBdr>
          <w:bottom w:val="single" w:color="FFFFFF" w:sz="4" w:space="31"/>
        </w:pBdr>
        <w:adjustRightInd w:val="0"/>
        <w:snapToGrid w:val="0"/>
        <w:spacing w:line="560" w:lineRule="exact"/>
        <w:ind w:firstLine="640" w:firstLineChars="20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pBdr>
          <w:bottom w:val="single" w:color="FFFFFF" w:sz="4" w:space="31"/>
        </w:pBdr>
        <w:adjustRightInd w:val="0"/>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1.经济</w:t>
      </w:r>
      <w:r>
        <w:rPr>
          <w:rFonts w:ascii="仿宋_GB2312" w:hAnsi="宋体" w:eastAsia="仿宋_GB2312" w:cs="宋体"/>
          <w:color w:val="000000"/>
          <w:kern w:val="0"/>
          <w:sz w:val="32"/>
          <w:szCs w:val="32"/>
        </w:rPr>
        <w:t>效益</w:t>
      </w:r>
    </w:p>
    <w:p>
      <w:pPr>
        <w:pBdr>
          <w:bottom w:val="single" w:color="FFFFFF" w:sz="4" w:space="31"/>
        </w:pBdr>
        <w:adjustRightInd w:val="0"/>
        <w:snapToGrid w:val="0"/>
        <w:spacing w:line="560" w:lineRule="exact"/>
        <w:ind w:firstLine="640" w:firstLineChars="200"/>
        <w:rPr>
          <w:rFonts w:ascii="仿宋_GB2312" w:eastAsia="仿宋_GB2312"/>
          <w:sz w:val="32"/>
          <w:szCs w:val="32"/>
        </w:rPr>
        <w:sectPr>
          <w:pgSz w:w="11906" w:h="16838"/>
          <w:pgMar w:top="1440" w:right="1800" w:bottom="1440" w:left="1800" w:header="851" w:footer="992" w:gutter="0"/>
          <w:pgNumType w:fmt="numberInDash"/>
          <w:cols w:space="425" w:num="1"/>
          <w:docGrid w:type="lines" w:linePitch="312" w:charSpace="0"/>
        </w:sectPr>
      </w:pP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w:t>
      </w:r>
      <w:r>
        <w:rPr>
          <w:rFonts w:ascii="仿宋_GB2312" w:eastAsia="仿宋_GB2312"/>
          <w:sz w:val="32"/>
          <w:szCs w:val="32"/>
          <w:highlight w:val="none"/>
        </w:rPr>
        <w:t>，市发展改革委</w:t>
      </w:r>
      <w:r>
        <w:rPr>
          <w:rFonts w:hint="eastAsia" w:ascii="仿宋_GB2312" w:eastAsia="仿宋_GB2312"/>
          <w:sz w:val="32"/>
          <w:szCs w:val="32"/>
          <w:highlight w:val="none"/>
        </w:rPr>
        <w:t>紧紧围绕稳定经济增长和推动“五子”联动，发挥投资关键支撑作用，持续推动经济平稳健康发展。</w:t>
      </w:r>
      <w:r>
        <w:rPr>
          <w:rFonts w:hint="eastAsia" w:ascii="仿宋_GB2312" w:eastAsia="仿宋_GB2312"/>
          <w:b/>
          <w:bCs/>
          <w:sz w:val="32"/>
          <w:szCs w:val="32"/>
          <w:highlight w:val="none"/>
        </w:rPr>
        <w:t>一是</w:t>
      </w:r>
      <w:r>
        <w:rPr>
          <w:rFonts w:hint="eastAsia" w:ascii="仿宋_GB2312" w:eastAsia="仿宋_GB2312"/>
          <w:b w:val="0"/>
          <w:bCs w:val="0"/>
          <w:sz w:val="32"/>
          <w:szCs w:val="32"/>
          <w:highlight w:val="none"/>
        </w:rPr>
        <w:t>全面加强经济运行综合调度</w:t>
      </w:r>
      <w:r>
        <w:rPr>
          <w:rFonts w:hint="eastAsia" w:ascii="仿宋_GB2312" w:eastAsia="仿宋_GB2312"/>
          <w:b w:val="0"/>
          <w:bCs w:val="0"/>
          <w:sz w:val="32"/>
          <w:szCs w:val="32"/>
          <w:highlight w:val="none"/>
          <w:lang w:eastAsia="zh-CN"/>
        </w:rPr>
        <w:t>，系统抓好经济运行调度，努力克服各种不利因素的影响，全力推动稳预期稳增长稳就业政策落地显效，经济持续恢复向好，就业物价总体平稳，社会大局和谐稳定，首都高质量发展取得新成效。</w:t>
      </w:r>
      <w:r>
        <w:rPr>
          <w:rFonts w:hint="eastAsia" w:ascii="仿宋_GB2312" w:eastAsia="仿宋_GB2312"/>
          <w:b/>
          <w:bCs/>
          <w:sz w:val="32"/>
          <w:szCs w:val="32"/>
          <w:highlight w:val="none"/>
          <w:lang w:eastAsia="zh-CN"/>
        </w:rPr>
        <w:t>二是</w:t>
      </w:r>
      <w:r>
        <w:rPr>
          <w:rFonts w:hint="eastAsia" w:ascii="仿宋_GB2312" w:eastAsia="仿宋_GB2312"/>
          <w:b w:val="0"/>
          <w:bCs w:val="0"/>
          <w:sz w:val="32"/>
          <w:szCs w:val="32"/>
          <w:highlight w:val="none"/>
          <w:lang w:eastAsia="zh-CN"/>
        </w:rPr>
        <w:t>发挥重大项目投资支撑作用，2023年1—11月全市投资</w:t>
      </w:r>
      <w:r>
        <w:rPr>
          <w:rFonts w:hint="eastAsia" w:ascii="仿宋_GB2312" w:eastAsia="仿宋_GB2312"/>
          <w:b w:val="0"/>
          <w:bCs w:val="0"/>
          <w:spacing w:val="-6"/>
          <w:sz w:val="32"/>
          <w:szCs w:val="32"/>
          <w:highlight w:val="none"/>
          <w:lang w:eastAsia="zh-CN"/>
        </w:rPr>
        <w:t>同比增长5.3%、高于全国2.4个百分点。“3个100”市重点</w:t>
      </w:r>
      <w:r>
        <w:rPr>
          <w:rFonts w:hint="eastAsia" w:ascii="仿宋_GB2312" w:eastAsia="仿宋_GB2312"/>
          <w:b w:val="0"/>
          <w:bCs w:val="0"/>
          <w:sz w:val="32"/>
          <w:szCs w:val="32"/>
          <w:highlight w:val="none"/>
          <w:lang w:eastAsia="zh-CN"/>
        </w:rPr>
        <w:t>工程完成投资支撑全市投资三成以上。</w:t>
      </w:r>
      <w:r>
        <w:rPr>
          <w:rFonts w:hint="eastAsia" w:ascii="仿宋_GB2312" w:eastAsia="仿宋_GB2312"/>
          <w:b/>
          <w:bCs/>
          <w:sz w:val="32"/>
          <w:szCs w:val="32"/>
          <w:highlight w:val="none"/>
          <w:lang w:eastAsia="zh-CN"/>
        </w:rPr>
        <w:t>三是</w:t>
      </w:r>
      <w:r>
        <w:rPr>
          <w:rFonts w:hint="eastAsia" w:ascii="仿宋_GB2312" w:eastAsia="仿宋_GB2312"/>
          <w:b w:val="0"/>
          <w:bCs w:val="0"/>
          <w:sz w:val="32"/>
          <w:szCs w:val="32"/>
          <w:highlight w:val="none"/>
          <w:lang w:eastAsia="zh-CN"/>
        </w:rPr>
        <w:t>做好本市重大经济工作的总体谋划、统筹协调、整体推进和督促落实。通过价格数据报送，密切关注市场动态，加强价格监测预警，为宏观调控提供有效支撑。</w:t>
      </w:r>
      <w:r>
        <w:rPr>
          <w:rFonts w:hint="eastAsia" w:ascii="仿宋_GB2312" w:eastAsia="仿宋_GB2312"/>
          <w:sz w:val="32"/>
          <w:szCs w:val="32"/>
        </w:rPr>
        <w:t>年初</w:t>
      </w:r>
      <w:r>
        <w:rPr>
          <w:rFonts w:ascii="仿宋_GB2312" w:eastAsia="仿宋_GB2312"/>
          <w:sz w:val="32"/>
          <w:szCs w:val="32"/>
        </w:rPr>
        <w:t>设定的</w:t>
      </w:r>
      <w:r>
        <w:rPr>
          <w:rFonts w:hint="eastAsia" w:ascii="仿宋_GB2312" w:eastAsia="仿宋_GB2312"/>
          <w:sz w:val="32"/>
          <w:szCs w:val="32"/>
          <w:lang w:val="en-US" w:eastAsia="zh-CN"/>
        </w:rPr>
        <w:t>4</w:t>
      </w:r>
      <w:r>
        <w:rPr>
          <w:rFonts w:hint="eastAsia" w:ascii="仿宋_GB2312" w:eastAsia="仿宋_GB2312"/>
          <w:sz w:val="32"/>
          <w:szCs w:val="32"/>
        </w:rPr>
        <w:t>项经济效益绩效指标</w:t>
      </w:r>
      <w:r>
        <w:rPr>
          <w:rFonts w:ascii="仿宋_GB2312" w:eastAsia="仿宋_GB2312"/>
          <w:sz w:val="32"/>
          <w:szCs w:val="32"/>
        </w:rPr>
        <w:t>均已完成。具体情况如下</w:t>
      </w:r>
      <w:r>
        <w:rPr>
          <w:rFonts w:hint="eastAsia" w:ascii="仿宋_GB2312" w:eastAsia="仿宋_GB2312"/>
          <w:sz w:val="32"/>
          <w:szCs w:val="32"/>
        </w:rPr>
        <w:t>：</w:t>
      </w:r>
    </w:p>
    <w:tbl>
      <w:tblPr>
        <w:tblStyle w:val="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2551"/>
        <w:gridCol w:w="1134"/>
        <w:gridCol w:w="9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2551"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c>
          <w:tcPr>
            <w:tcW w:w="9071"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8" w:hRule="atLeast"/>
        </w:trPr>
        <w:tc>
          <w:tcPr>
            <w:tcW w:w="1417" w:type="dxa"/>
            <w:vMerge w:val="restart"/>
            <w:vAlign w:val="center"/>
          </w:tcPr>
          <w:p>
            <w:pPr>
              <w:spacing w:line="240" w:lineRule="exact"/>
              <w:jc w:val="center"/>
              <w:rPr>
                <w:rFonts w:ascii="仿宋_GB2312" w:eastAsia="仿宋_GB2312"/>
                <w:spacing w:val="-6"/>
                <w:szCs w:val="21"/>
              </w:rPr>
            </w:pPr>
            <w:r>
              <w:rPr>
                <w:rFonts w:hint="eastAsia" w:ascii="仿宋_GB2312" w:eastAsia="仿宋_GB2312"/>
                <w:spacing w:val="-6"/>
                <w:szCs w:val="21"/>
              </w:rPr>
              <w:t>经济</w:t>
            </w:r>
            <w:r>
              <w:rPr>
                <w:rFonts w:ascii="仿宋_GB2312" w:eastAsia="仿宋_GB2312"/>
                <w:spacing w:val="-6"/>
                <w:szCs w:val="21"/>
              </w:rPr>
              <w:t>效益指标</w:t>
            </w:r>
          </w:p>
        </w:tc>
        <w:tc>
          <w:tcPr>
            <w:tcW w:w="2551"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根据国家宏观调控要求，统筹协调经济社会发展，做好经济运行调度</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9071"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2023年全市上下坚持以习近平新时代中国特色社会主义思想为指导，全面贯彻落实党的二十大和二十届二中全会精神，深入贯彻落实习近平总书记对北京重要讲话精神，落实落细党中央、国务院各项决策部署和任务要求，以首善标准扎实开展主题教育，坚持稳中求进工作总基调，完整、准确、全面贯彻新发展理念，坚持以新时代首都发展为统领，加强“四个中心”功能建设，提高“四个服务”水平，深入实施京津冀协同发展战略，坚持“五子”联动服务和融入新发展格局，更好统筹疫情防控和经济社会发展，更好统筹发展和安全，圆满完成第三届“一带一路”国际合作高峰论坛等重大活动服务保障任务，高效应对“23·7”极端强降雨，高质量开展“十四五”规划中期评估，系统抓好经济运行调度，努力克服各种不利因素的影响，全力推动稳预期稳增长稳就业政策落地显效，经济持续恢复向好，就业物价总体平稳，社会大局和谐稳定，首都高质量发展取得新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4" w:hRule="atLeast"/>
        </w:trPr>
        <w:tc>
          <w:tcPr>
            <w:tcW w:w="1417" w:type="dxa"/>
            <w:vMerge w:val="continue"/>
            <w:vAlign w:val="center"/>
          </w:tcPr>
          <w:p>
            <w:pPr>
              <w:spacing w:line="240" w:lineRule="exact"/>
              <w:jc w:val="center"/>
              <w:rPr>
                <w:rFonts w:hint="eastAsia" w:ascii="仿宋_GB2312" w:eastAsia="仿宋_GB2312"/>
                <w:spacing w:val="-6"/>
                <w:szCs w:val="21"/>
              </w:rPr>
            </w:pPr>
          </w:p>
        </w:tc>
        <w:tc>
          <w:tcPr>
            <w:tcW w:w="2551"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更多重大项目落地建设，推动本市投资平稳运行</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9071"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2023年1—11月全市投资同比增长5.3%、高于全国2.4个百分点，设备购置投资同比增长27%、连续28个月实现两位数以上增长，建安和设备购置投资占比54.6%。“3个100”市重点工程完成投资支撑全市投资三成以上。坚持每季度压茬推进160项市区重大项目开工建设，全年640个项目全部实现开工。东久新宜智慧城市物流谷等一批重大项目提前至2023年开工。全市重大项目储备总体保持“开一备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417" w:type="dxa"/>
            <w:vMerge w:val="continue"/>
            <w:vAlign w:val="center"/>
          </w:tcPr>
          <w:p>
            <w:pPr>
              <w:spacing w:line="240" w:lineRule="exact"/>
              <w:jc w:val="center"/>
              <w:rPr>
                <w:rFonts w:hint="eastAsia" w:ascii="仿宋_GB2312" w:eastAsia="仿宋_GB2312"/>
                <w:spacing w:val="-6"/>
                <w:szCs w:val="21"/>
              </w:rPr>
            </w:pPr>
          </w:p>
        </w:tc>
        <w:tc>
          <w:tcPr>
            <w:tcW w:w="2551"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做好本市重大经济工作的总体谋划、统筹协调、整体推进和督促落实</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9071"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一是制定市委财经委年度工作要点，统筹谋划全年财经工作。二是组织筹办市委财经委会议，审议本市财经领域重大议题。三是高质量开展调查研究，充分发挥参谋助手作用。四是聚焦中央部署的重大课题，努力形成一批体现重大理论和实践创新的高质量成果。五是不折不扣落实好中央财办指示精神，确保各项任务部署落到实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417" w:type="dxa"/>
            <w:vMerge w:val="continue"/>
            <w:vAlign w:val="center"/>
          </w:tcPr>
          <w:p>
            <w:pPr>
              <w:spacing w:line="240" w:lineRule="exact"/>
              <w:jc w:val="center"/>
              <w:rPr>
                <w:rFonts w:hint="eastAsia" w:ascii="仿宋_GB2312" w:eastAsia="仿宋_GB2312"/>
                <w:spacing w:val="-6"/>
                <w:szCs w:val="21"/>
              </w:rPr>
            </w:pPr>
          </w:p>
        </w:tc>
        <w:tc>
          <w:tcPr>
            <w:tcW w:w="2551"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密切关注市场动态，及时报告市场动态，加强价格监测预警，为宏观调控提供有效支撑</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9071"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优，通过价格数据报送，密切关注市场动态，加强价格监测预警，为宏观调控提供有效支撑。</w:t>
            </w:r>
          </w:p>
        </w:tc>
      </w:tr>
    </w:tbl>
    <w:p>
      <w:pPr>
        <w:pStyle w:val="2"/>
        <w:spacing w:line="240" w:lineRule="exact"/>
        <w:jc w:val="right"/>
        <w:rPr>
          <w:rFonts w:ascii="仿宋_GB2312" w:hAnsi="宋体" w:eastAsia="仿宋_GB2312" w:cs="宋体"/>
          <w:color w:val="000000"/>
          <w:kern w:val="0"/>
          <w:sz w:val="32"/>
          <w:szCs w:val="32"/>
        </w:rPr>
        <w:sectPr>
          <w:pgSz w:w="16838" w:h="11906" w:orient="landscape"/>
          <w:pgMar w:top="1800" w:right="1440" w:bottom="1800" w:left="1440" w:header="851" w:footer="992" w:gutter="0"/>
          <w:pgNumType w:fmt="numberInDash"/>
          <w:cols w:space="425" w:num="1"/>
          <w:docGrid w:type="lines" w:linePitch="312" w:charSpace="0"/>
        </w:sectPr>
      </w:pPr>
      <w:r>
        <w:rPr>
          <w:sz w:val="21"/>
          <w:szCs w:val="21"/>
        </w:rPr>
        <w:br w:type="page"/>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5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2.社会</w:t>
      </w:r>
      <w:r>
        <w:rPr>
          <w:rFonts w:ascii="仿宋_GB2312" w:hAnsi="宋体" w:eastAsia="仿宋_GB2312" w:cs="宋体"/>
          <w:color w:val="000000"/>
          <w:kern w:val="0"/>
          <w:sz w:val="32"/>
          <w:szCs w:val="32"/>
        </w:rPr>
        <w:t>效益</w:t>
      </w:r>
    </w:p>
    <w:p>
      <w:pPr>
        <w:keepNext w:val="0"/>
        <w:keepLines w:val="0"/>
        <w:pageBreakBefore w:val="0"/>
        <w:widowControl w:val="0"/>
        <w:pBdr>
          <w:bottom w:val="single" w:color="FFFFFF" w:sz="4" w:space="31"/>
        </w:pBdr>
        <w:kinsoku/>
        <w:wordWrap/>
        <w:overflowPunct/>
        <w:topLinePunct w:val="0"/>
        <w:autoSpaceDE/>
        <w:autoSpaceDN/>
        <w:bidi w:val="0"/>
        <w:adjustRightInd w:val="0"/>
        <w:snapToGrid w:val="0"/>
        <w:spacing w:line="550" w:lineRule="exact"/>
        <w:ind w:firstLine="640" w:firstLineChars="200"/>
        <w:textAlignment w:val="auto"/>
        <w:rPr>
          <w:rFonts w:ascii="仿宋_GB2312" w:eastAsia="仿宋_GB2312"/>
          <w:sz w:val="32"/>
          <w:szCs w:val="32"/>
        </w:rPr>
        <w:sectPr>
          <w:pgSz w:w="11906" w:h="16838"/>
          <w:pgMar w:top="1440" w:right="1800" w:bottom="1440" w:left="1800" w:header="851" w:footer="992" w:gutter="0"/>
          <w:pgNumType w:fmt="numberInDash"/>
          <w:cols w:space="425" w:num="1"/>
          <w:docGrid w:type="lines" w:linePitch="312" w:charSpace="0"/>
        </w:sect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年，市发展改革委</w:t>
      </w:r>
      <w:r>
        <w:rPr>
          <w:rFonts w:ascii="仿宋_GB2312" w:eastAsia="仿宋_GB2312"/>
          <w:sz w:val="32"/>
          <w:szCs w:val="32"/>
        </w:rPr>
        <w:t>坚持以人民为中心，提升</w:t>
      </w:r>
      <w:r>
        <w:rPr>
          <w:rFonts w:hint="eastAsia" w:ascii="仿宋_GB2312" w:eastAsia="仿宋_GB2312"/>
          <w:sz w:val="32"/>
          <w:szCs w:val="32"/>
        </w:rPr>
        <w:t>城市</w:t>
      </w:r>
      <w:r>
        <w:rPr>
          <w:rFonts w:ascii="仿宋_GB2312" w:eastAsia="仿宋_GB2312"/>
          <w:sz w:val="32"/>
          <w:szCs w:val="32"/>
        </w:rPr>
        <w:t>品质和</w:t>
      </w:r>
      <w:r>
        <w:rPr>
          <w:rFonts w:hint="eastAsia" w:ascii="仿宋_GB2312" w:eastAsia="仿宋_GB2312"/>
          <w:sz w:val="32"/>
          <w:szCs w:val="32"/>
        </w:rPr>
        <w:t>政务服务效能</w:t>
      </w:r>
      <w:r>
        <w:rPr>
          <w:rFonts w:ascii="仿宋_GB2312" w:eastAsia="仿宋_GB2312"/>
          <w:sz w:val="32"/>
          <w:szCs w:val="32"/>
        </w:rPr>
        <w:t>。</w:t>
      </w:r>
      <w:r>
        <w:rPr>
          <w:rFonts w:ascii="仿宋_GB2312" w:eastAsia="仿宋_GB2312"/>
          <w:b/>
          <w:sz w:val="32"/>
          <w:szCs w:val="32"/>
        </w:rPr>
        <w:t>一是</w:t>
      </w:r>
      <w:r>
        <w:rPr>
          <w:rFonts w:hint="eastAsia" w:ascii="仿宋_GB2312" w:eastAsia="仿宋_GB2312"/>
          <w:b w:val="0"/>
          <w:bCs/>
          <w:sz w:val="32"/>
          <w:szCs w:val="32"/>
        </w:rPr>
        <w:t>协调社会事业发展和改革重大问题</w:t>
      </w:r>
      <w:r>
        <w:rPr>
          <w:rFonts w:hint="eastAsia" w:ascii="仿宋_GB2312" w:eastAsia="仿宋_GB2312"/>
          <w:b w:val="0"/>
          <w:bCs/>
          <w:sz w:val="32"/>
          <w:szCs w:val="32"/>
          <w:lang w:eastAsia="zh-CN"/>
        </w:rPr>
        <w:t>，完成北京市“十四五”规划纲要实施情况中期评估和“十四五”时期社会公共服务规划中期评估，不断提升社会领域公共服务水平和质量。</w:t>
      </w:r>
      <w:r>
        <w:rPr>
          <w:rFonts w:hint="eastAsia" w:ascii="仿宋_GB2312" w:eastAsia="仿宋_GB2312"/>
          <w:b/>
          <w:bCs w:val="0"/>
          <w:sz w:val="32"/>
          <w:szCs w:val="32"/>
          <w:lang w:eastAsia="zh-CN"/>
        </w:rPr>
        <w:t>二是</w:t>
      </w:r>
      <w:r>
        <w:rPr>
          <w:rFonts w:hint="eastAsia" w:ascii="仿宋_GB2312" w:eastAsia="仿宋_GB2312"/>
          <w:b w:val="0"/>
          <w:bCs/>
          <w:sz w:val="32"/>
          <w:szCs w:val="32"/>
          <w:lang w:eastAsia="zh-CN"/>
        </w:rPr>
        <w:t>提升治理类街乡镇治理水平和治理能力，坚持接诉即办和未诉先办相结合，综合治理和专项整治同开展，硬件设施和软治理能力双提升，机制创新和政策研究齐推进，打好区域治理组合拳,治理成效不断显现。</w:t>
      </w:r>
      <w:r>
        <w:rPr>
          <w:rFonts w:hint="eastAsia" w:ascii="仿宋_GB2312" w:eastAsia="仿宋_GB2312"/>
          <w:b/>
          <w:bCs w:val="0"/>
          <w:spacing w:val="0"/>
          <w:sz w:val="32"/>
          <w:szCs w:val="32"/>
          <w:lang w:eastAsia="zh-CN"/>
        </w:rPr>
        <w:t>三是</w:t>
      </w:r>
      <w:r>
        <w:rPr>
          <w:rFonts w:hint="eastAsia" w:ascii="仿宋_GB2312" w:eastAsia="仿宋_GB2312"/>
          <w:b w:val="0"/>
          <w:bCs/>
          <w:spacing w:val="0"/>
          <w:sz w:val="32"/>
          <w:szCs w:val="32"/>
          <w:lang w:eastAsia="zh-CN"/>
        </w:rPr>
        <w:t>推动城乡区域协调发展和两业融合发展，制定《平原区与生态涵养区生态产品总值和地区生产总值交换补偿机制实施方案（试行）》，研究认定和储备市级两业融合</w:t>
      </w:r>
      <w:r>
        <w:rPr>
          <w:rFonts w:hint="eastAsia" w:ascii="仿宋_GB2312" w:eastAsia="仿宋_GB2312"/>
          <w:b w:val="0"/>
          <w:bCs/>
          <w:spacing w:val="0"/>
          <w:sz w:val="32"/>
          <w:szCs w:val="32"/>
          <w:lang w:val="en-US" w:eastAsia="zh-CN"/>
        </w:rPr>
        <w:t>5家</w:t>
      </w:r>
      <w:r>
        <w:rPr>
          <w:rFonts w:hint="eastAsia" w:ascii="仿宋_GB2312" w:eastAsia="仿宋_GB2312"/>
          <w:b w:val="0"/>
          <w:bCs/>
          <w:spacing w:val="0"/>
          <w:sz w:val="32"/>
          <w:szCs w:val="32"/>
          <w:lang w:eastAsia="zh-CN"/>
        </w:rPr>
        <w:t>示范园区和</w:t>
      </w:r>
      <w:r>
        <w:rPr>
          <w:rFonts w:hint="eastAsia" w:ascii="仿宋_GB2312" w:eastAsia="仿宋_GB2312"/>
          <w:b w:val="0"/>
          <w:bCs/>
          <w:spacing w:val="0"/>
          <w:sz w:val="32"/>
          <w:szCs w:val="32"/>
          <w:lang w:val="en-US" w:eastAsia="zh-CN"/>
        </w:rPr>
        <w:t>35家</w:t>
      </w:r>
      <w:r>
        <w:rPr>
          <w:rFonts w:hint="eastAsia" w:ascii="仿宋_GB2312" w:eastAsia="仿宋_GB2312"/>
          <w:b w:val="0"/>
          <w:bCs/>
          <w:spacing w:val="0"/>
          <w:sz w:val="32"/>
          <w:szCs w:val="32"/>
          <w:lang w:eastAsia="zh-CN"/>
        </w:rPr>
        <w:t>试点企业，进一步推动本市先进制造业和现代服务业深度融合发展。</w:t>
      </w:r>
      <w:r>
        <w:rPr>
          <w:rFonts w:hint="eastAsia" w:ascii="仿宋_GB2312" w:eastAsia="仿宋_GB2312"/>
          <w:b/>
          <w:bCs w:val="0"/>
          <w:spacing w:val="0"/>
          <w:sz w:val="32"/>
          <w:szCs w:val="32"/>
          <w:lang w:eastAsia="zh-CN"/>
        </w:rPr>
        <w:t>四是</w:t>
      </w:r>
      <w:r>
        <w:rPr>
          <w:rFonts w:hint="eastAsia" w:ascii="仿宋_GB2312" w:eastAsia="仿宋_GB2312"/>
          <w:b w:val="0"/>
          <w:bCs/>
          <w:spacing w:val="0"/>
          <w:sz w:val="32"/>
          <w:szCs w:val="32"/>
          <w:lang w:eastAsia="zh-CN"/>
        </w:rPr>
        <w:t>推动本市机场运营、市郊铁路建设等方面高质量发展，积极协调属地政府及民航相关单位，分步骤、分阶段推进北京两场恢复客运航线。2023年全年，北京两场航空客运吞吐量9228万人次，恢复至2019年同期的89.5%。</w:t>
      </w:r>
      <w:r>
        <w:rPr>
          <w:rFonts w:hint="eastAsia" w:ascii="仿宋_GB2312" w:eastAsia="仿宋_GB2312"/>
          <w:b/>
          <w:bCs w:val="0"/>
          <w:spacing w:val="0"/>
          <w:sz w:val="32"/>
          <w:szCs w:val="32"/>
          <w:lang w:eastAsia="zh-CN"/>
        </w:rPr>
        <w:t>五是</w:t>
      </w:r>
      <w:r>
        <w:rPr>
          <w:rFonts w:hint="eastAsia" w:ascii="仿宋_GB2312" w:eastAsia="仿宋_GB2312"/>
          <w:b w:val="0"/>
          <w:bCs/>
          <w:spacing w:val="0"/>
          <w:sz w:val="32"/>
          <w:szCs w:val="32"/>
          <w:lang w:eastAsia="zh-CN"/>
        </w:rPr>
        <w:t>促进领域内政府投资项目和社会投资项目落地，完成北京天竺综合保税区南北区联络线及园区附属设施工程资金申请报告批复、普洛斯平谷智慧冷链产业园项目核准批复。</w:t>
      </w:r>
      <w:r>
        <w:rPr>
          <w:rFonts w:hint="eastAsia" w:ascii="仿宋_GB2312" w:eastAsia="仿宋_GB2312"/>
          <w:b/>
          <w:bCs w:val="0"/>
          <w:spacing w:val="0"/>
          <w:sz w:val="32"/>
          <w:szCs w:val="32"/>
          <w:lang w:eastAsia="zh-CN"/>
        </w:rPr>
        <w:t>六是</w:t>
      </w:r>
      <w:r>
        <w:rPr>
          <w:rFonts w:hint="eastAsia" w:ascii="仿宋_GB2312" w:eastAsia="仿宋_GB2312"/>
          <w:b w:val="0"/>
          <w:bCs/>
          <w:spacing w:val="0"/>
          <w:sz w:val="32"/>
          <w:szCs w:val="32"/>
          <w:lang w:eastAsia="zh-CN"/>
        </w:rPr>
        <w:t>开展面向全市重点领域企业的清洁生产宣讲培训，培训单位300余家，增强企业人员清洁生产理念，形成推进清洁生产、绿色发展的良好社会氛围。</w:t>
      </w:r>
      <w:r>
        <w:rPr>
          <w:rFonts w:hint="eastAsia" w:ascii="仿宋_GB2312" w:eastAsia="仿宋_GB2312"/>
          <w:sz w:val="32"/>
          <w:szCs w:val="32"/>
        </w:rPr>
        <w:t>年初</w:t>
      </w:r>
      <w:r>
        <w:rPr>
          <w:rFonts w:ascii="仿宋_GB2312" w:eastAsia="仿宋_GB2312"/>
          <w:sz w:val="32"/>
          <w:szCs w:val="32"/>
        </w:rPr>
        <w:t>设定的</w:t>
      </w:r>
      <w:r>
        <w:rPr>
          <w:rFonts w:hint="eastAsia" w:ascii="仿宋_GB2312" w:eastAsia="仿宋_GB2312"/>
          <w:sz w:val="32"/>
          <w:szCs w:val="32"/>
        </w:rPr>
        <w:t>1</w:t>
      </w:r>
      <w:r>
        <w:rPr>
          <w:rFonts w:ascii="仿宋_GB2312" w:eastAsia="仿宋_GB2312"/>
          <w:sz w:val="32"/>
          <w:szCs w:val="32"/>
        </w:rPr>
        <w:t>7</w:t>
      </w:r>
      <w:r>
        <w:rPr>
          <w:rFonts w:hint="eastAsia" w:ascii="仿宋_GB2312" w:eastAsia="仿宋_GB2312"/>
          <w:sz w:val="32"/>
          <w:szCs w:val="32"/>
        </w:rPr>
        <w:t>项社会效益绩效指标</w:t>
      </w:r>
      <w:r>
        <w:rPr>
          <w:rFonts w:ascii="仿宋_GB2312" w:eastAsia="仿宋_GB2312"/>
          <w:sz w:val="32"/>
          <w:szCs w:val="32"/>
        </w:rPr>
        <w:t>均已完成。</w:t>
      </w:r>
      <w:r>
        <w:rPr>
          <w:rFonts w:hint="eastAsia" w:ascii="仿宋_GB2312" w:eastAsia="仿宋_GB2312"/>
          <w:sz w:val="32"/>
          <w:szCs w:val="32"/>
        </w:rPr>
        <w:t>具体情况如下：</w:t>
      </w:r>
      <w:r>
        <w:rPr>
          <w:rFonts w:ascii="仿宋_GB2312" w:eastAsia="仿宋_GB2312"/>
          <w:sz w:val="32"/>
          <w:szCs w:val="32"/>
        </w:rPr>
        <w:tab/>
      </w:r>
    </w:p>
    <w:tbl>
      <w:tblPr>
        <w:tblStyle w:val="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4252"/>
        <w:gridCol w:w="1134"/>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4252"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c>
          <w:tcPr>
            <w:tcW w:w="7370"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417" w:type="dxa"/>
            <w:vMerge w:val="restart"/>
            <w:vAlign w:val="center"/>
          </w:tcPr>
          <w:p>
            <w:pPr>
              <w:spacing w:line="240" w:lineRule="exact"/>
              <w:jc w:val="center"/>
              <w:rPr>
                <w:rFonts w:ascii="仿宋_GB2312" w:eastAsia="仿宋_GB2312"/>
                <w:spacing w:val="-6"/>
                <w:szCs w:val="21"/>
              </w:rPr>
            </w:pPr>
            <w:r>
              <w:rPr>
                <w:rFonts w:hint="eastAsia" w:ascii="仿宋_GB2312" w:eastAsia="仿宋_GB2312"/>
                <w:spacing w:val="-6"/>
                <w:szCs w:val="21"/>
              </w:rPr>
              <w:t>社会</w:t>
            </w:r>
            <w:r>
              <w:rPr>
                <w:rFonts w:ascii="仿宋_GB2312" w:eastAsia="仿宋_GB2312"/>
                <w:spacing w:val="-6"/>
                <w:szCs w:val="21"/>
              </w:rPr>
              <w:t>效益指标</w:t>
            </w:r>
          </w:p>
        </w:tc>
        <w:tc>
          <w:tcPr>
            <w:tcW w:w="425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协调社会事业发展和改革的重大问题，规划实施和政策制定等工作,提升社会领域公共服务水平和质量</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370"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优，完成本市“十四五”时期社会公共服务规划中期评估，制定开展本市基本公共服务实施标准（2021年版）实施效果评估，制定本市基本公共服务实施标准（2023年版）。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417" w:type="dxa"/>
            <w:vMerge w:val="continue"/>
            <w:vAlign w:val="center"/>
          </w:tcPr>
          <w:p>
            <w:pPr>
              <w:spacing w:line="240" w:lineRule="exact"/>
              <w:jc w:val="center"/>
              <w:rPr>
                <w:rFonts w:hint="eastAsia" w:ascii="仿宋_GB2312" w:eastAsia="仿宋_GB2312"/>
                <w:spacing w:val="-6"/>
                <w:szCs w:val="21"/>
              </w:rPr>
            </w:pPr>
          </w:p>
        </w:tc>
        <w:tc>
          <w:tcPr>
            <w:tcW w:w="425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通过全面评估进展情况、存在问题及提出政策建议，更好地促进北京市“十四五”规划实施</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370"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北京市“十四五”规划纲要实施情况中期评估报告，对本市重大战略任务和主要目标指标进行了全面评估，深入分析了规划《纲要》在“十四五”前半程实施过程中存在的问题，并提出了八个方面的对策措施，为规划《纲要》下一步实施提供了重要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417" w:type="dxa"/>
            <w:vMerge w:val="continue"/>
            <w:vAlign w:val="center"/>
          </w:tcPr>
          <w:p>
            <w:pPr>
              <w:spacing w:line="240" w:lineRule="exact"/>
              <w:jc w:val="center"/>
              <w:rPr>
                <w:rFonts w:hint="eastAsia" w:ascii="仿宋_GB2312" w:eastAsia="仿宋_GB2312"/>
                <w:spacing w:val="-6"/>
                <w:szCs w:val="21"/>
              </w:rPr>
            </w:pPr>
          </w:p>
        </w:tc>
        <w:tc>
          <w:tcPr>
            <w:tcW w:w="425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提升治理类街乡镇治理水平和治理能力</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370"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分类推动治理类街乡镇整治提升，坚持接诉即办和未诉先办相结合，综合治理和专项整治同开展，硬件设施和软治理能力双提升，机制创新和政策研究齐推进，对接诉量排名靠前的街乡镇开展督导约谈，压实街乡镇属地责任，深入挖掘街乡镇治理典型案例和典型问题，探索多层级的多元共治和数字治理创新，打好区域治理的“组合拳”,治理成效不断显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240" w:lineRule="exact"/>
              <w:jc w:val="center"/>
              <w:rPr>
                <w:rFonts w:hint="eastAsia" w:ascii="仿宋_GB2312" w:eastAsia="仿宋_GB2312"/>
                <w:spacing w:val="-6"/>
                <w:szCs w:val="21"/>
              </w:rPr>
            </w:pPr>
          </w:p>
        </w:tc>
        <w:tc>
          <w:tcPr>
            <w:tcW w:w="425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提高全市人口服务管理工作水平</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370"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优，促进业务成果转化，提高全市人口服务管理工作水平。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240" w:lineRule="exact"/>
              <w:jc w:val="center"/>
              <w:rPr>
                <w:rFonts w:hint="eastAsia" w:ascii="仿宋_GB2312" w:eastAsia="仿宋_GB2312"/>
                <w:spacing w:val="-6"/>
                <w:szCs w:val="21"/>
              </w:rPr>
            </w:pPr>
          </w:p>
        </w:tc>
        <w:tc>
          <w:tcPr>
            <w:tcW w:w="425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推动禁限目录精准精细落实</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370"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优，加强执行跟踪监测，开展禁限目录季度执行监测分析，形成监测报告。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417" w:type="dxa"/>
            <w:vMerge w:val="continue"/>
            <w:vAlign w:val="center"/>
          </w:tcPr>
          <w:p>
            <w:pPr>
              <w:spacing w:line="240" w:lineRule="exact"/>
              <w:jc w:val="center"/>
              <w:rPr>
                <w:rFonts w:hint="eastAsia" w:ascii="仿宋_GB2312" w:eastAsia="仿宋_GB2312"/>
                <w:spacing w:val="-6"/>
                <w:szCs w:val="21"/>
              </w:rPr>
            </w:pPr>
          </w:p>
        </w:tc>
        <w:tc>
          <w:tcPr>
            <w:tcW w:w="425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加快研究支持政策，鼓励社会力量关注区域协调发展、城乡融合发展和生态环境保护，对本市生态环境建设具有积极促进作用</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370"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优，已转化为《平原区与生态涵养区生态产品总值和地区生产总值交换补偿机制实施方案（试行）》及《特定地域单元生态产品价值核算及应用指南》。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417" w:type="dxa"/>
            <w:vMerge w:val="continue"/>
            <w:vAlign w:val="center"/>
          </w:tcPr>
          <w:p>
            <w:pPr>
              <w:spacing w:line="240" w:lineRule="exact"/>
              <w:jc w:val="center"/>
              <w:rPr>
                <w:rFonts w:hint="eastAsia" w:ascii="仿宋_GB2312" w:eastAsia="仿宋_GB2312"/>
                <w:spacing w:val="-6"/>
                <w:szCs w:val="21"/>
              </w:rPr>
            </w:pPr>
          </w:p>
        </w:tc>
        <w:tc>
          <w:tcPr>
            <w:tcW w:w="425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研究制定产业发展相关政策，明确本市示范园区、试点企业评定标准及工作流程，研究认定和储备一批市级两业融合示范园区和试点企业</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370"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优，认定了5家示范园区、35家试点企业，进一步推动本市先进制造业和现代服务业深度融合发展。</w:t>
            </w:r>
          </w:p>
        </w:tc>
      </w:tr>
    </w:tbl>
    <w:p>
      <w:pPr>
        <w:pStyle w:val="2"/>
        <w:spacing w:after="0" w:line="240" w:lineRule="exact"/>
        <w:jc w:val="right"/>
        <w:rPr>
          <w:rFonts w:asciiTheme="minorEastAsia" w:hAnsiTheme="minorEastAsia" w:eastAsiaTheme="minorEastAsia"/>
          <w:sz w:val="21"/>
          <w:szCs w:val="21"/>
        </w:rPr>
      </w:pPr>
      <w:r>
        <w:rPr>
          <w:rFonts w:hint="eastAsia" w:asciiTheme="minorEastAsia" w:hAnsiTheme="minorEastAsia" w:eastAsiaTheme="minorEastAsia"/>
          <w:sz w:val="21"/>
          <w:szCs w:val="21"/>
        </w:rPr>
        <w:t>（接</w:t>
      </w:r>
      <w:r>
        <w:rPr>
          <w:rFonts w:asciiTheme="minorEastAsia" w:hAnsiTheme="minorEastAsia" w:eastAsiaTheme="minorEastAsia"/>
          <w:sz w:val="21"/>
          <w:szCs w:val="21"/>
        </w:rPr>
        <w:t>下页</w:t>
      </w:r>
      <w:r>
        <w:rPr>
          <w:rFonts w:hint="eastAsia" w:asciiTheme="minorEastAsia" w:hAnsiTheme="minorEastAsia" w:eastAsiaTheme="minorEastAsia"/>
          <w:sz w:val="21"/>
          <w:szCs w:val="21"/>
        </w:rPr>
        <w:t>）</w:t>
      </w:r>
      <w:r>
        <w:rPr>
          <w:rFonts w:asciiTheme="minorEastAsia" w:hAnsiTheme="minorEastAsia" w:eastAsiaTheme="minorEastAsia"/>
          <w:sz w:val="21"/>
          <w:szCs w:val="21"/>
        </w:rPr>
        <w:br w:type="page"/>
      </w:r>
    </w:p>
    <w:p>
      <w:r>
        <w:rPr>
          <w:rFonts w:hint="eastAsia"/>
        </w:rPr>
        <w:t>（续上页）</w:t>
      </w:r>
    </w:p>
    <w:tbl>
      <w:tblPr>
        <w:tblStyle w:val="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4535"/>
        <w:gridCol w:w="1134"/>
        <w:gridCol w:w="7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shd w:val="clear" w:color="auto" w:fill="D8D8D8" w:themeFill="background1" w:themeFillShade="D9"/>
            <w:vAlign w:val="center"/>
          </w:tcPr>
          <w:p>
            <w:pPr>
              <w:spacing w:line="240" w:lineRule="exact"/>
              <w:jc w:val="center"/>
              <w:rPr>
                <w:rFonts w:ascii="仿宋_GB2312" w:eastAsia="仿宋_GB2312"/>
                <w:spacing w:val="-6"/>
                <w:szCs w:val="21"/>
              </w:rPr>
            </w:pPr>
            <w:r>
              <w:rPr>
                <w:rFonts w:hint="eastAsia" w:ascii="仿宋_GB2312" w:eastAsia="仿宋_GB2312"/>
                <w:b/>
                <w:szCs w:val="21"/>
              </w:rPr>
              <w:t>二级指标</w:t>
            </w:r>
          </w:p>
        </w:tc>
        <w:tc>
          <w:tcPr>
            <w:tcW w:w="4535"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Cs w:val="21"/>
              </w:rPr>
              <w:t>三级指标</w:t>
            </w:r>
          </w:p>
        </w:tc>
        <w:tc>
          <w:tcPr>
            <w:tcW w:w="1134" w:type="dxa"/>
            <w:shd w:val="clear" w:color="auto" w:fill="D8D8D8" w:themeFill="background1" w:themeFillShade="D9"/>
            <w:vAlign w:val="center"/>
          </w:tcPr>
          <w:p>
            <w:pPr>
              <w:jc w:val="center"/>
              <w:rPr>
                <w:rFonts w:ascii="仿宋_GB2312" w:eastAsia="仿宋_GB2312"/>
                <w:spacing w:val="-2"/>
                <w:szCs w:val="21"/>
              </w:rPr>
            </w:pPr>
            <w:r>
              <w:rPr>
                <w:rFonts w:hint="eastAsia" w:ascii="仿宋_GB2312" w:eastAsia="仿宋_GB2312"/>
                <w:b/>
                <w:szCs w:val="21"/>
              </w:rPr>
              <w:t>指标值</w:t>
            </w:r>
          </w:p>
        </w:tc>
        <w:tc>
          <w:tcPr>
            <w:tcW w:w="7087"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Cs w:val="21"/>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atLeast"/>
        </w:trPr>
        <w:tc>
          <w:tcPr>
            <w:tcW w:w="1417" w:type="dxa"/>
            <w:vMerge w:val="restart"/>
            <w:vAlign w:val="center"/>
          </w:tcPr>
          <w:p>
            <w:pPr>
              <w:spacing w:line="240" w:lineRule="exact"/>
              <w:jc w:val="center"/>
              <w:rPr>
                <w:rFonts w:ascii="仿宋_GB2312" w:eastAsia="仿宋_GB2312"/>
                <w:spacing w:val="-6"/>
                <w:szCs w:val="21"/>
              </w:rPr>
            </w:pPr>
            <w:r>
              <w:rPr>
                <w:rFonts w:hint="eastAsia" w:ascii="仿宋_GB2312" w:eastAsia="仿宋_GB2312"/>
                <w:spacing w:val="-6"/>
                <w:szCs w:val="21"/>
              </w:rPr>
              <w:t>社会</w:t>
            </w:r>
            <w:r>
              <w:rPr>
                <w:rFonts w:ascii="仿宋_GB2312" w:eastAsia="仿宋_GB2312"/>
                <w:spacing w:val="-6"/>
                <w:szCs w:val="21"/>
              </w:rPr>
              <w:t>效益指标</w:t>
            </w:r>
          </w:p>
        </w:tc>
        <w:tc>
          <w:tcPr>
            <w:tcW w:w="4535"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推动本市机场运营、市郊铁路建设等方面高质量发展</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087"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积极协调属地政府及民航方面相关单位，分步骤、分阶段推进北京两场恢复客运航线。2023年全年，北京两场航空客运吞吐量9228万人次，恢复至2019年同期的89.5%，完成了民航局下达的恢复至75%的目标。城市副中心线整体提升工程（北京西至良乡段）初步设计概算已批复，力争尽早全面开工建设。东北环线项目可行性研究报告已完成路市联合技术审查，既有资产价值评估工作已形成阶段性成果，路市双方正在对线路运营组织模式进行深化研究。S6线项目建设规划已由国家发展改革委批复，京投公司正在按照市规划自然资源委要求商沿线各区尽快稳定线路一体化规划方案，为尽快批复项目可行性研究报告创造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ascii="仿宋_GB2312" w:eastAsia="仿宋_GB2312"/>
                <w:spacing w:val="-6"/>
                <w:szCs w:val="21"/>
              </w:rPr>
            </w:pPr>
          </w:p>
        </w:tc>
        <w:tc>
          <w:tcPr>
            <w:tcW w:w="4535"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进一步推进在途项目建设，促进领域内政府投资项目和社会投资项目落地</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087"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优，完成北京天竺综合保税区南北区联络线及园区附属设施工程资金申请报告的批复，完成普洛斯平谷智慧冷链产业园项目核准批复。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417" w:type="dxa"/>
            <w:vMerge w:val="continue"/>
            <w:vAlign w:val="center"/>
          </w:tcPr>
          <w:p>
            <w:pPr>
              <w:spacing w:line="240" w:lineRule="exact"/>
              <w:jc w:val="center"/>
              <w:rPr>
                <w:rFonts w:ascii="仿宋_GB2312" w:eastAsia="仿宋_GB2312"/>
                <w:spacing w:val="-6"/>
                <w:szCs w:val="21"/>
              </w:rPr>
            </w:pPr>
          </w:p>
        </w:tc>
        <w:tc>
          <w:tcPr>
            <w:tcW w:w="4535"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开展面向全市重点领域企业的清洁生产宣讲和培训，培训不少于100家单位，增强企业人员清洁生产理念，提高审核单位、咨询机构审核水平，形成推进清洁生产、绿色发展的良好社会氛围</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087"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优，开展面向全市重点领域企业的清洁生产宣讲和培训，培训单位300余家，增强企业人员清洁生产理念，提高审核单位、咨询机构审核水平，形成推进清洁生产、绿色发展的良好社会氛围。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417" w:type="dxa"/>
            <w:vMerge w:val="continue"/>
            <w:vAlign w:val="center"/>
          </w:tcPr>
          <w:p>
            <w:pPr>
              <w:spacing w:line="240" w:lineRule="exact"/>
              <w:jc w:val="center"/>
              <w:rPr>
                <w:rFonts w:ascii="仿宋_GB2312" w:eastAsia="仿宋_GB2312"/>
                <w:spacing w:val="-6"/>
                <w:szCs w:val="21"/>
              </w:rPr>
            </w:pPr>
          </w:p>
        </w:tc>
        <w:tc>
          <w:tcPr>
            <w:tcW w:w="4535"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通过节能监察，依法对用能违法行为进行处理，提升用能单位节能法律意识</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087"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履行执法工作流程，依法对违法违规、不合理用能行为做出处理。编制《节能监察服务手册》、《节能监察普法手册》，推出“节能降碳服务包”小程序，传播节能理念，推广节能技改及节能管理经验，为社会和企业提供法律法规、政策及监管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vMerge w:val="continue"/>
            <w:vAlign w:val="center"/>
          </w:tcPr>
          <w:p>
            <w:pPr>
              <w:spacing w:line="240" w:lineRule="exact"/>
              <w:jc w:val="center"/>
              <w:rPr>
                <w:rFonts w:ascii="仿宋_GB2312" w:eastAsia="仿宋_GB2312"/>
                <w:spacing w:val="-6"/>
                <w:szCs w:val="21"/>
              </w:rPr>
            </w:pPr>
          </w:p>
        </w:tc>
        <w:tc>
          <w:tcPr>
            <w:tcW w:w="4535"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活动参与人次（含线上）</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spacing w:val="-6"/>
                <w:kern w:val="0"/>
                <w:sz w:val="21"/>
                <w:szCs w:val="21"/>
                <w:u w:val="none"/>
                <w:lang w:val="en-US" w:eastAsia="zh-CN" w:bidi="ar"/>
              </w:rPr>
              <w:t>≥3万人次</w:t>
            </w:r>
          </w:p>
        </w:tc>
        <w:tc>
          <w:tcPr>
            <w:tcW w:w="7087"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活动参与人次420万人次。</w:t>
            </w:r>
          </w:p>
        </w:tc>
      </w:tr>
    </w:tbl>
    <w:p>
      <w:pPr>
        <w:pStyle w:val="2"/>
        <w:spacing w:after="0" w:line="240" w:lineRule="exact"/>
        <w:jc w:val="right"/>
        <w:rPr>
          <w:rFonts w:asciiTheme="minorEastAsia" w:hAnsiTheme="minorEastAsia" w:eastAsiaTheme="minorEastAsia"/>
          <w:sz w:val="21"/>
          <w:szCs w:val="21"/>
        </w:rPr>
      </w:pPr>
      <w:r>
        <w:rPr>
          <w:rFonts w:hint="eastAsia" w:asciiTheme="minorEastAsia" w:hAnsiTheme="minorEastAsia" w:eastAsiaTheme="minorEastAsia"/>
          <w:sz w:val="21"/>
          <w:szCs w:val="21"/>
        </w:rPr>
        <w:t>（接下页）</w:t>
      </w:r>
      <w:r>
        <w:rPr>
          <w:rFonts w:asciiTheme="minorEastAsia" w:hAnsiTheme="minorEastAsia" w:eastAsiaTheme="minorEastAsia"/>
          <w:sz w:val="21"/>
          <w:szCs w:val="21"/>
        </w:rPr>
        <w:br w:type="page"/>
      </w:r>
    </w:p>
    <w:p>
      <w:r>
        <w:rPr>
          <w:rFonts w:hint="eastAsia"/>
        </w:rPr>
        <w:t>（续上页）</w:t>
      </w:r>
    </w:p>
    <w:tbl>
      <w:tblPr>
        <w:tblStyle w:val="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4252"/>
        <w:gridCol w:w="1134"/>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417" w:type="dxa"/>
            <w:shd w:val="clear" w:color="auto" w:fill="D8D8D8" w:themeFill="background1" w:themeFillShade="D9"/>
            <w:vAlign w:val="center"/>
          </w:tcPr>
          <w:p>
            <w:pPr>
              <w:spacing w:line="240" w:lineRule="exact"/>
              <w:jc w:val="center"/>
              <w:rPr>
                <w:rFonts w:ascii="仿宋_GB2312" w:eastAsia="仿宋_GB2312"/>
                <w:spacing w:val="-6"/>
                <w:szCs w:val="21"/>
              </w:rPr>
            </w:pPr>
            <w:r>
              <w:rPr>
                <w:rFonts w:hint="eastAsia" w:ascii="仿宋_GB2312" w:eastAsia="仿宋_GB2312"/>
                <w:b/>
                <w:szCs w:val="21"/>
              </w:rPr>
              <w:t>二级指标</w:t>
            </w:r>
          </w:p>
        </w:tc>
        <w:tc>
          <w:tcPr>
            <w:tcW w:w="4252"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Cs w:val="21"/>
              </w:rPr>
              <w:t>三级指标</w:t>
            </w:r>
          </w:p>
        </w:tc>
        <w:tc>
          <w:tcPr>
            <w:tcW w:w="1134" w:type="dxa"/>
            <w:shd w:val="clear" w:color="auto" w:fill="D8D8D8" w:themeFill="background1" w:themeFillShade="D9"/>
            <w:vAlign w:val="center"/>
          </w:tcPr>
          <w:p>
            <w:pPr>
              <w:jc w:val="center"/>
              <w:rPr>
                <w:rFonts w:ascii="仿宋_GB2312" w:eastAsia="仿宋_GB2312"/>
                <w:spacing w:val="-2"/>
                <w:szCs w:val="21"/>
              </w:rPr>
            </w:pPr>
            <w:r>
              <w:rPr>
                <w:rFonts w:hint="eastAsia" w:ascii="仿宋_GB2312" w:eastAsia="仿宋_GB2312"/>
                <w:b/>
                <w:szCs w:val="21"/>
              </w:rPr>
              <w:t>指标值</w:t>
            </w:r>
          </w:p>
        </w:tc>
        <w:tc>
          <w:tcPr>
            <w:tcW w:w="7370"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Cs w:val="21"/>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1" w:hRule="atLeast"/>
        </w:trPr>
        <w:tc>
          <w:tcPr>
            <w:tcW w:w="1417" w:type="dxa"/>
            <w:vMerge w:val="restart"/>
            <w:vAlign w:val="center"/>
          </w:tcPr>
          <w:p>
            <w:pPr>
              <w:spacing w:line="240" w:lineRule="exact"/>
              <w:jc w:val="center"/>
              <w:rPr>
                <w:rFonts w:ascii="仿宋_GB2312" w:eastAsia="仿宋_GB2312"/>
                <w:spacing w:val="-6"/>
                <w:szCs w:val="21"/>
              </w:rPr>
            </w:pPr>
            <w:r>
              <w:rPr>
                <w:rFonts w:hint="eastAsia" w:ascii="仿宋_GB2312" w:eastAsia="仿宋_GB2312"/>
                <w:spacing w:val="-6"/>
                <w:szCs w:val="21"/>
              </w:rPr>
              <w:t>社会</w:t>
            </w:r>
            <w:r>
              <w:rPr>
                <w:rFonts w:ascii="仿宋_GB2312" w:eastAsia="仿宋_GB2312"/>
                <w:spacing w:val="-6"/>
                <w:szCs w:val="21"/>
              </w:rPr>
              <w:t>效益指标</w:t>
            </w:r>
          </w:p>
        </w:tc>
        <w:tc>
          <w:tcPr>
            <w:tcW w:w="425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及时足额发放价格临时补贴</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370"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1月份本市食品价格同比上涨6.6%,达到价格补贴联动机制启动条件,按照阶段性调整价格补贴联动机制加大对困难群众物价补贴力度工作要求,及时足额发放价格临时补贴1440.54万元,惠及困难群众36.01万人次，其中，因阶段性调整价格补贴联动机制增发27.83万元，多惠及6957人，有效缓解了物价上涨对困难群众基本生活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417" w:type="dxa"/>
            <w:vMerge w:val="continue"/>
            <w:vAlign w:val="center"/>
          </w:tcPr>
          <w:p>
            <w:pPr>
              <w:spacing w:line="240" w:lineRule="exact"/>
              <w:jc w:val="center"/>
              <w:rPr>
                <w:rFonts w:ascii="仿宋_GB2312" w:eastAsia="仿宋_GB2312"/>
                <w:spacing w:val="-6"/>
                <w:szCs w:val="21"/>
              </w:rPr>
            </w:pPr>
          </w:p>
        </w:tc>
        <w:tc>
          <w:tcPr>
            <w:tcW w:w="425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指导全市17家区级价格认证机构办理疑难重大价格鉴定事项，为准确定性量纪、定罪量刑提供重要依据，稳妥处置信访投诉事项，为社会和谐稳定发挥重要作用</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370"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优，指导全市17家区级价格认证机构办理疑难重大价格鉴定事项，为准确定性量纪、定罪量刑提供重要依据，为社会和谐稳定发挥重要作用。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1" w:hRule="atLeast"/>
        </w:trPr>
        <w:tc>
          <w:tcPr>
            <w:tcW w:w="1417" w:type="dxa"/>
            <w:vMerge w:val="continue"/>
            <w:vAlign w:val="center"/>
          </w:tcPr>
          <w:p>
            <w:pPr>
              <w:spacing w:line="240" w:lineRule="exact"/>
              <w:jc w:val="center"/>
              <w:rPr>
                <w:rFonts w:ascii="仿宋_GB2312" w:eastAsia="仿宋_GB2312"/>
                <w:spacing w:val="-6"/>
                <w:szCs w:val="21"/>
              </w:rPr>
            </w:pPr>
          </w:p>
        </w:tc>
        <w:tc>
          <w:tcPr>
            <w:tcW w:w="425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全面、客观、系统地记述北京年度发展改革情况</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370"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北京发展改革年鉴2023》已经完成编撰公开出版。现有特载、专文、年度综述、大事记、宏观经济与运行调节、价格运行与监督管理、发展规划与重大问题研究、功能疏解与协同发展、投资管理与资金保障、绿色北京与生态建设、构建“高精尖”经济结构、深化改革与扩大开放、社会建设与民生改善、城市建设与基础保障、法制建设与信息公开、直属机构发展改革、各区发展改革、主要领域情况统计表、文件选编、附录等20个类目。全面、客观、系统地记述北京年度发展改革情况，是记述发展改革领域的专业性年鉴，同时也兼具综合性年鉴的一些特点，具有权威性、综合性、专业性和连续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417" w:type="dxa"/>
            <w:vMerge w:val="continue"/>
            <w:vAlign w:val="center"/>
          </w:tcPr>
          <w:p>
            <w:pPr>
              <w:spacing w:line="240" w:lineRule="exact"/>
              <w:jc w:val="center"/>
              <w:rPr>
                <w:rFonts w:ascii="仿宋_GB2312" w:eastAsia="仿宋_GB2312"/>
                <w:spacing w:val="-6"/>
                <w:szCs w:val="21"/>
              </w:rPr>
            </w:pPr>
          </w:p>
        </w:tc>
        <w:tc>
          <w:tcPr>
            <w:tcW w:w="425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服务并保障市相关委办局、企事业单位和其他用户等对系统的使用需求，为市领导精准调度和科学决策提供良好的技术和数据支撑</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370"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优，2023年，信息中心服务并保障了相关委办局、企事业单位及其他用户对系统的使用需求，为市领导精准调度和科学决策提供了良好的技术和数据支撑。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17" w:type="dxa"/>
            <w:vMerge w:val="continue"/>
            <w:vAlign w:val="center"/>
          </w:tcPr>
          <w:p>
            <w:pPr>
              <w:spacing w:line="240" w:lineRule="exact"/>
              <w:jc w:val="center"/>
              <w:rPr>
                <w:rFonts w:ascii="仿宋_GB2312" w:eastAsia="仿宋_GB2312"/>
                <w:spacing w:val="-6"/>
                <w:szCs w:val="21"/>
              </w:rPr>
            </w:pPr>
          </w:p>
        </w:tc>
        <w:tc>
          <w:tcPr>
            <w:tcW w:w="425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政务公开考核</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370"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优，发挥网站的政务公开第一平台作用。及时规范发布法定主动公开信息，围绕重点工作深化专题建设，网站及政务公开考评，连续四季度满分。</w:t>
            </w:r>
          </w:p>
        </w:tc>
      </w:tr>
    </w:tbl>
    <w:p>
      <w:pPr>
        <w:pStyle w:val="2"/>
        <w:spacing w:after="0" w:line="240" w:lineRule="exact"/>
        <w:jc w:val="both"/>
        <w:sectPr>
          <w:pgSz w:w="16838" w:h="11906" w:orient="landscape"/>
          <w:pgMar w:top="1800" w:right="1440" w:bottom="1800" w:left="1440" w:header="851" w:footer="992" w:gutter="0"/>
          <w:pgNumType w:fmt="numberInDash"/>
          <w:cols w:space="425" w:num="1"/>
          <w:docGrid w:type="lines" w:linePitch="312" w:charSpace="0"/>
        </w:sectPr>
      </w:pPr>
    </w:p>
    <w:p>
      <w:pPr>
        <w:pBdr>
          <w:bottom w:val="single" w:color="FFFFFF" w:sz="4" w:space="31"/>
        </w:pBdr>
        <w:adjustRightInd w:val="0"/>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lang w:eastAsia="zh-CN"/>
        </w:rPr>
        <w:t>环境</w:t>
      </w:r>
      <w:r>
        <w:rPr>
          <w:rFonts w:hint="eastAsia" w:ascii="仿宋_GB2312" w:hAnsi="宋体" w:eastAsia="仿宋_GB2312" w:cs="宋体"/>
          <w:color w:val="000000"/>
          <w:kern w:val="0"/>
          <w:sz w:val="32"/>
          <w:szCs w:val="32"/>
        </w:rPr>
        <w:t>效益</w:t>
      </w:r>
    </w:p>
    <w:p>
      <w:pPr>
        <w:pBdr>
          <w:bottom w:val="single" w:color="FFFFFF" w:sz="4" w:space="31"/>
        </w:pBd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年，市发展改革委坚决贯彻落实市委市政府关于“碳达峰、碳中和”的重大战略部署</w:t>
      </w:r>
      <w:r>
        <w:rPr>
          <w:rFonts w:hint="eastAsia" w:ascii="仿宋_GB2312" w:eastAsia="仿宋_GB2312"/>
          <w:sz w:val="32"/>
          <w:szCs w:val="32"/>
          <w:lang w:eastAsia="zh-CN"/>
        </w:rPr>
        <w:t>，</w:t>
      </w:r>
      <w:r>
        <w:rPr>
          <w:rFonts w:hint="eastAsia" w:ascii="仿宋_GB2312" w:eastAsia="仿宋_GB2312"/>
          <w:spacing w:val="-2"/>
          <w:sz w:val="32"/>
          <w:szCs w:val="32"/>
        </w:rPr>
        <w:t>加快能源绿色低碳转型。</w:t>
      </w:r>
      <w:r>
        <w:rPr>
          <w:rFonts w:hint="eastAsia" w:ascii="仿宋_GB2312" w:eastAsia="仿宋_GB2312"/>
          <w:b/>
          <w:sz w:val="32"/>
          <w:szCs w:val="32"/>
        </w:rPr>
        <w:t>一是</w:t>
      </w:r>
      <w:r>
        <w:rPr>
          <w:rFonts w:hint="eastAsia" w:ascii="仿宋_GB2312" w:eastAsia="仿宋_GB2312"/>
          <w:sz w:val="32"/>
          <w:szCs w:val="32"/>
        </w:rPr>
        <w:t>推进光伏发电高质量发展，提高可再生能源利用，获得补贴资金的分布式光伏项目发电量约5.4亿千瓦时，折合节约标准煤14.4万吨。</w:t>
      </w:r>
      <w:r>
        <w:rPr>
          <w:rFonts w:hint="eastAsia" w:ascii="仿宋_GB2312" w:eastAsia="仿宋_GB2312"/>
          <w:b/>
          <w:sz w:val="32"/>
          <w:szCs w:val="32"/>
        </w:rPr>
        <w:t>二是</w:t>
      </w:r>
      <w:r>
        <w:rPr>
          <w:rFonts w:hint="eastAsia" w:ascii="仿宋_GB2312" w:eastAsia="仿宋_GB2312"/>
          <w:sz w:val="32"/>
          <w:szCs w:val="32"/>
        </w:rPr>
        <w:t>推行清洁生产，加快形成绿色生产方式，促进经济社会发展全面绿色转型，实现年节能30000余吨标准煤，年减排二氧化碳70000余吨，年减排废水、一般固体废物、危险废物、挥发性有机物等污染物排放4500余吨。年初</w:t>
      </w:r>
      <w:r>
        <w:rPr>
          <w:rFonts w:ascii="仿宋_GB2312" w:eastAsia="仿宋_GB2312"/>
          <w:sz w:val="32"/>
          <w:szCs w:val="32"/>
        </w:rPr>
        <w:t>设定的</w:t>
      </w:r>
      <w:r>
        <w:rPr>
          <w:rFonts w:hint="eastAsia" w:ascii="仿宋_GB2312" w:eastAsia="仿宋_GB2312"/>
          <w:sz w:val="32"/>
          <w:szCs w:val="32"/>
        </w:rPr>
        <w:t>3项生态效益绩效指标</w:t>
      </w:r>
      <w:r>
        <w:rPr>
          <w:rFonts w:ascii="仿宋_GB2312" w:eastAsia="仿宋_GB2312"/>
          <w:sz w:val="32"/>
          <w:szCs w:val="32"/>
        </w:rPr>
        <w:t>均已完成。</w:t>
      </w:r>
      <w:r>
        <w:rPr>
          <w:rFonts w:hint="eastAsia" w:ascii="仿宋_GB2312" w:eastAsia="仿宋_GB2312"/>
          <w:sz w:val="32"/>
          <w:szCs w:val="32"/>
        </w:rPr>
        <w:t>具体情况如下：</w:t>
      </w:r>
    </w:p>
    <w:tbl>
      <w:tblPr>
        <w:tblStyle w:val="9"/>
        <w:tblW w:w="8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9"/>
        <w:gridCol w:w="2835"/>
        <w:gridCol w:w="1134"/>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219"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2835"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c>
          <w:tcPr>
            <w:tcW w:w="3118"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219" w:type="dxa"/>
            <w:vMerge w:val="restart"/>
            <w:vAlign w:val="center"/>
          </w:tcPr>
          <w:p>
            <w:pPr>
              <w:jc w:val="center"/>
              <w:rPr>
                <w:rFonts w:ascii="仿宋_GB2312" w:eastAsia="仿宋_GB2312"/>
                <w:szCs w:val="21"/>
              </w:rPr>
            </w:pPr>
            <w:r>
              <w:rPr>
                <w:rFonts w:hint="eastAsia" w:ascii="仿宋_GB2312" w:eastAsia="仿宋_GB2312"/>
                <w:szCs w:val="21"/>
              </w:rPr>
              <w:t>生态效益指标</w:t>
            </w:r>
          </w:p>
        </w:tc>
        <w:tc>
          <w:tcPr>
            <w:tcW w:w="2835"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推进农村居民“煤改电”工作</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3118"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优，2023年完成农村居民“煤改电”工作。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1219" w:type="dxa"/>
            <w:vMerge w:val="continue"/>
            <w:vAlign w:val="center"/>
          </w:tcPr>
          <w:p>
            <w:pPr>
              <w:spacing w:line="240" w:lineRule="exact"/>
              <w:jc w:val="center"/>
              <w:rPr>
                <w:rFonts w:ascii="仿宋_GB2312" w:eastAsia="仿宋_GB2312"/>
                <w:szCs w:val="21"/>
              </w:rPr>
            </w:pPr>
          </w:p>
        </w:tc>
        <w:tc>
          <w:tcPr>
            <w:tcW w:w="2835"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获得补贴资金的分布式光伏项目发电量约4.17亿千瓦时，折合节约标准煤11.18万吨，推动可再生能源使用，并为本市减少化石能源应用、治理大气污染提供支撑</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3118"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优，获得补贴资金的分布式光伏项目发电量约5.4亿千瓦时，折合节约标准煤14.4万吨，减少二氧化碳排放22.5万吨，推动可再生能源使用，并为本市减少化石能源应用、治理大气污染提供支撑。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1219" w:type="dxa"/>
            <w:vMerge w:val="continue"/>
            <w:vAlign w:val="center"/>
          </w:tcPr>
          <w:p>
            <w:pPr>
              <w:spacing w:line="240" w:lineRule="exact"/>
              <w:jc w:val="center"/>
              <w:rPr>
                <w:rFonts w:ascii="仿宋_GB2312" w:eastAsia="仿宋_GB2312"/>
                <w:szCs w:val="21"/>
              </w:rPr>
            </w:pPr>
          </w:p>
        </w:tc>
        <w:tc>
          <w:tcPr>
            <w:tcW w:w="2835"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审核单位通过实施清洁生产审核方案，力争实现年节能10000吨标准煤以上，年减排二氧化碳20000吨以上，年减排废水、一般固体废物、危险废物、挥发性有机物等污染物排放100吨以上</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3118"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优，审核单位通过实施清洁生产方案，实现年节能30000余吨标准煤，年减排二氧化碳70000余吨，年减排废水、一般固体废物、危险废物、挥发性有机物等污染物排放4500余吨。</w:t>
            </w:r>
          </w:p>
        </w:tc>
      </w:tr>
    </w:tbl>
    <w:p>
      <w:pPr>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br w:type="page"/>
      </w:r>
    </w:p>
    <w:p>
      <w:pPr>
        <w:pBdr>
          <w:bottom w:val="single" w:color="FFFFFF" w:sz="4" w:space="31"/>
        </w:pBdr>
        <w:adjustRightInd w:val="0"/>
        <w:snapToGrid w:val="0"/>
        <w:spacing w:line="540" w:lineRule="exact"/>
        <w:ind w:firstLine="640" w:firstLineChars="20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.可持续</w:t>
      </w:r>
      <w:r>
        <w:rPr>
          <w:rFonts w:ascii="仿宋_GB2312" w:hAnsi="宋体" w:eastAsia="仿宋_GB2312" w:cs="宋体"/>
          <w:color w:val="000000"/>
          <w:kern w:val="0"/>
          <w:sz w:val="32"/>
          <w:szCs w:val="32"/>
        </w:rPr>
        <w:t>影响</w:t>
      </w:r>
    </w:p>
    <w:p>
      <w:pPr>
        <w:pBdr>
          <w:bottom w:val="single" w:color="FFFFFF" w:sz="4" w:space="31"/>
        </w:pBdr>
        <w:adjustRightInd w:val="0"/>
        <w:snapToGrid w:val="0"/>
        <w:spacing w:line="54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，市发展改革委</w:t>
      </w:r>
      <w:r>
        <w:rPr>
          <w:rFonts w:hint="eastAsia" w:ascii="仿宋_GB2312" w:hAnsi="宋体" w:eastAsia="仿宋_GB2312" w:cs="宋体"/>
          <w:color w:val="000000"/>
          <w:kern w:val="0"/>
          <w:sz w:val="32"/>
          <w:szCs w:val="32"/>
        </w:rPr>
        <w:t>持续掌握定价成本数据</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组织开展相关行业成本监审或调查，通过合法性、合理性、相关性审核。</w:t>
      </w:r>
      <w:r>
        <w:rPr>
          <w:rFonts w:hint="eastAsia" w:ascii="仿宋_GB2312" w:hAnsi="宋体" w:eastAsia="仿宋_GB2312" w:cs="宋体"/>
          <w:color w:val="000000"/>
          <w:kern w:val="0"/>
          <w:sz w:val="32"/>
          <w:szCs w:val="32"/>
          <w:lang w:eastAsia="zh-CN"/>
        </w:rPr>
        <w:t>同时，</w:t>
      </w:r>
      <w:r>
        <w:rPr>
          <w:rFonts w:hint="eastAsia" w:ascii="仿宋_GB2312" w:hAnsi="宋体" w:eastAsia="仿宋_GB2312" w:cs="宋体"/>
          <w:color w:val="000000"/>
          <w:kern w:val="0"/>
          <w:sz w:val="32"/>
          <w:szCs w:val="32"/>
        </w:rPr>
        <w:t>出台《关于本市再生水价格有关事项的通知》</w:t>
      </w:r>
      <w:r>
        <w:rPr>
          <w:rFonts w:hint="eastAsia" w:ascii="仿宋_GB2312" w:hAnsi="宋体" w:eastAsia="仿宋_GB2312" w:cs="宋体"/>
          <w:color w:val="000000"/>
          <w:kern w:val="0"/>
          <w:sz w:val="32"/>
          <w:szCs w:val="32"/>
          <w:lang w:eastAsia="zh-CN"/>
        </w:rPr>
        <w:t>，适时放开具备协商条件的非居民供热价格和再生水价格。</w:t>
      </w:r>
      <w:r>
        <w:rPr>
          <w:rFonts w:hint="eastAsia" w:ascii="仿宋_GB2312" w:hAnsi="宋体" w:eastAsia="仿宋_GB2312" w:cs="宋体"/>
          <w:color w:val="000000"/>
          <w:kern w:val="0"/>
          <w:sz w:val="32"/>
          <w:szCs w:val="32"/>
        </w:rPr>
        <w:t>年初设定的</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项可持续影响绩效指标均已完成。具体情况如下：</w:t>
      </w:r>
    </w:p>
    <w:tbl>
      <w:tblPr>
        <w:tblStyle w:val="9"/>
        <w:tblW w:w="8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9"/>
        <w:gridCol w:w="2551"/>
        <w:gridCol w:w="1134"/>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219"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二级指标</w:t>
            </w:r>
          </w:p>
        </w:tc>
        <w:tc>
          <w:tcPr>
            <w:tcW w:w="2551"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三级指标</w:t>
            </w:r>
          </w:p>
        </w:tc>
        <w:tc>
          <w:tcPr>
            <w:tcW w:w="1134"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指标值</w:t>
            </w:r>
          </w:p>
        </w:tc>
        <w:tc>
          <w:tcPr>
            <w:tcW w:w="3402" w:type="dxa"/>
            <w:shd w:val="clear" w:color="auto" w:fill="D8D8D8" w:themeFill="background1" w:themeFillShade="D9"/>
            <w:vAlign w:val="center"/>
          </w:tcPr>
          <w:p>
            <w:pPr>
              <w:jc w:val="center"/>
              <w:rPr>
                <w:rFonts w:ascii="仿宋_GB2312" w:eastAsia="仿宋_GB2312"/>
                <w:b/>
                <w:szCs w:val="21"/>
              </w:rPr>
            </w:pPr>
            <w:r>
              <w:rPr>
                <w:rFonts w:hint="eastAsia" w:ascii="仿宋_GB2312" w:eastAsia="仿宋_GB2312"/>
                <w:b/>
                <w:szCs w:val="21"/>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219" w:type="dxa"/>
            <w:vMerge w:val="restart"/>
            <w:vAlign w:val="center"/>
          </w:tcPr>
          <w:p>
            <w:pPr>
              <w:jc w:val="center"/>
              <w:rPr>
                <w:rFonts w:ascii="仿宋_GB2312" w:eastAsia="仿宋_GB2312"/>
                <w:szCs w:val="21"/>
              </w:rPr>
            </w:pPr>
            <w:r>
              <w:rPr>
                <w:rFonts w:hint="eastAsia" w:ascii="仿宋_GB2312" w:eastAsia="仿宋_GB2312"/>
                <w:szCs w:val="21"/>
              </w:rPr>
              <w:t>可持续</w:t>
            </w:r>
          </w:p>
          <w:p>
            <w:pPr>
              <w:jc w:val="center"/>
              <w:rPr>
                <w:rFonts w:ascii="仿宋_GB2312" w:eastAsia="仿宋_GB2312"/>
                <w:szCs w:val="21"/>
              </w:rPr>
            </w:pPr>
            <w:r>
              <w:rPr>
                <w:rFonts w:hint="eastAsia" w:ascii="仿宋_GB2312" w:eastAsia="仿宋_GB2312"/>
                <w:szCs w:val="21"/>
              </w:rPr>
              <w:t>影响指标</w:t>
            </w:r>
          </w:p>
        </w:tc>
        <w:tc>
          <w:tcPr>
            <w:tcW w:w="2551"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持续掌握定价成本数据</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340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优，组织开展相关行业成本监审或调查，通过合法性、合理性、相关性审核，核定相关行业定价成本，定期开展，持续掌握定价成本数据。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1" w:hRule="atLeast"/>
        </w:trPr>
        <w:tc>
          <w:tcPr>
            <w:tcW w:w="1219" w:type="dxa"/>
            <w:vMerge w:val="continue"/>
            <w:vAlign w:val="center"/>
          </w:tcPr>
          <w:p>
            <w:pPr>
              <w:jc w:val="center"/>
              <w:rPr>
                <w:rFonts w:hint="eastAsia" w:ascii="仿宋_GB2312" w:eastAsia="仿宋_GB2312"/>
                <w:szCs w:val="21"/>
              </w:rPr>
            </w:pPr>
          </w:p>
        </w:tc>
        <w:tc>
          <w:tcPr>
            <w:tcW w:w="2551"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适时放开具备协商条件的非居民供热价格和再生水价格</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340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优，一是正在履行印发《北京市完善城镇集中供热价格机制 促进供热行业高质量发展的实施方案》会签程序；二是出台《关于本市再生水价格有关事项的通知》（京发改〔2023〕1712号）。</w:t>
            </w:r>
          </w:p>
        </w:tc>
      </w:tr>
    </w:tbl>
    <w:p>
      <w:pPr>
        <w:pBdr>
          <w:bottom w:val="single" w:color="FFFFFF" w:sz="4" w:space="31"/>
        </w:pBdr>
        <w:adjustRightInd w:val="0"/>
        <w:snapToGrid w:val="0"/>
        <w:spacing w:line="560" w:lineRule="exact"/>
        <w:rPr>
          <w:rFonts w:hint="eastAsia" w:ascii="黑体" w:hAnsi="黑体" w:eastAsia="黑体" w:cs="宋体"/>
          <w:color w:val="000000"/>
          <w:kern w:val="0"/>
          <w:sz w:val="32"/>
          <w:szCs w:val="32"/>
          <w:highlight w:val="none"/>
        </w:rPr>
      </w:pPr>
    </w:p>
    <w:p>
      <w:pPr>
        <w:pBdr>
          <w:bottom w:val="single" w:color="FFFFFF" w:sz="4" w:space="31"/>
        </w:pBdr>
        <w:adjustRightInd w:val="0"/>
        <w:snapToGrid w:val="0"/>
        <w:spacing w:line="560" w:lineRule="exact"/>
        <w:ind w:firstLine="640" w:firstLineChars="200"/>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四</w:t>
      </w:r>
      <w:r>
        <w:rPr>
          <w:rFonts w:ascii="黑体" w:hAnsi="黑体" w:eastAsia="黑体" w:cs="宋体"/>
          <w:color w:val="000000"/>
          <w:kern w:val="0"/>
          <w:sz w:val="32"/>
          <w:szCs w:val="32"/>
          <w:highlight w:val="none"/>
        </w:rPr>
        <w:t>、预算管理</w:t>
      </w:r>
      <w:r>
        <w:rPr>
          <w:rFonts w:hint="eastAsia" w:ascii="黑体" w:hAnsi="黑体" w:eastAsia="黑体" w:cs="宋体"/>
          <w:color w:val="000000"/>
          <w:kern w:val="0"/>
          <w:sz w:val="32"/>
          <w:szCs w:val="32"/>
          <w:highlight w:val="none"/>
        </w:rPr>
        <w:t>情况分</w:t>
      </w:r>
      <w:r>
        <w:rPr>
          <w:rFonts w:ascii="黑体" w:hAnsi="黑体" w:eastAsia="黑体" w:cs="宋体"/>
          <w:color w:val="000000"/>
          <w:kern w:val="0"/>
          <w:sz w:val="32"/>
          <w:szCs w:val="32"/>
          <w:highlight w:val="none"/>
        </w:rPr>
        <w:t>析</w:t>
      </w:r>
    </w:p>
    <w:p>
      <w:pPr>
        <w:pBdr>
          <w:bottom w:val="single" w:color="FFFFFF" w:sz="4" w:space="31"/>
        </w:pBdr>
        <w:adjustRightInd w:val="0"/>
        <w:snapToGrid w:val="0"/>
        <w:spacing w:line="560" w:lineRule="exact"/>
        <w:ind w:firstLine="640" w:firstLineChars="200"/>
        <w:rPr>
          <w:rFonts w:ascii="楷体_GB2312" w:eastAsia="楷体_GB2312"/>
          <w:sz w:val="32"/>
          <w:szCs w:val="32"/>
          <w:highlight w:val="none"/>
        </w:rPr>
      </w:pPr>
      <w:r>
        <w:rPr>
          <w:rFonts w:hint="eastAsia" w:ascii="楷体_GB2312" w:eastAsia="楷体_GB2312"/>
          <w:sz w:val="32"/>
          <w:szCs w:val="32"/>
          <w:highlight w:val="none"/>
        </w:rPr>
        <w:t>（一）财务管理</w:t>
      </w:r>
    </w:p>
    <w:p>
      <w:pPr>
        <w:pBdr>
          <w:bottom w:val="single" w:color="FFFFFF" w:sz="4" w:space="31"/>
        </w:pBdr>
        <w:adjustRightInd w:val="0"/>
        <w:snapToGrid w:val="0"/>
        <w:spacing w:line="560" w:lineRule="exact"/>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年，在市委市政府的坚强领导下，市发展改革委认真做好各项财务管理与保障工作，严格落实“管理有序、保障有力、求实创新、统筹协调”的财务管理要求，保障各项发展改革工作顺利开展。</w:t>
      </w:r>
    </w:p>
    <w:p>
      <w:pPr>
        <w:pBdr>
          <w:bottom w:val="single" w:color="FFFFFF" w:sz="4" w:space="31"/>
        </w:pBdr>
        <w:adjustRightInd w:val="0"/>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1.财务管理制度健全性</w:t>
      </w:r>
    </w:p>
    <w:p>
      <w:pPr>
        <w:pBdr>
          <w:bottom w:val="single" w:color="FFFFFF" w:sz="4" w:space="31"/>
        </w:pBdr>
        <w:adjustRightInd w:val="0"/>
        <w:snapToGrid w:val="0"/>
        <w:spacing w:line="560" w:lineRule="exact"/>
        <w:ind w:firstLine="640" w:firstLineChars="200"/>
        <w:rPr>
          <w:rFonts w:hint="default" w:ascii="仿宋_GB2312" w:hAnsi="宋体" w:eastAsia="仿宋_GB2312" w:cs="宋体"/>
          <w:b/>
          <w:color w:val="000000"/>
          <w:spacing w:val="0"/>
          <w:kern w:val="0"/>
          <w:sz w:val="32"/>
          <w:szCs w:val="32"/>
          <w:highlight w:val="none"/>
          <w:lang w:val="en-US" w:eastAsia="zh-CN"/>
        </w:rPr>
      </w:pPr>
      <w:r>
        <w:rPr>
          <w:rFonts w:hint="eastAsia" w:ascii="仿宋_GB2312" w:hAnsi="宋体" w:eastAsia="仿宋_GB2312" w:cs="宋体"/>
          <w:color w:val="000000"/>
          <w:kern w:val="0"/>
          <w:sz w:val="32"/>
          <w:szCs w:val="32"/>
        </w:rPr>
        <w:t>市发展改革委财务管理制度健全，</w:t>
      </w:r>
      <w:r>
        <w:rPr>
          <w:rFonts w:ascii="仿宋_GB2312" w:hAnsi="宋体" w:eastAsia="仿宋_GB2312" w:cs="宋体"/>
          <w:color w:val="000000"/>
          <w:kern w:val="0"/>
          <w:sz w:val="32"/>
          <w:szCs w:val="32"/>
        </w:rPr>
        <w:t>目前已</w:t>
      </w:r>
      <w:r>
        <w:rPr>
          <w:rFonts w:hint="eastAsia" w:ascii="仿宋_GB2312" w:hAnsi="宋体" w:eastAsia="仿宋_GB2312" w:cs="宋体"/>
          <w:color w:val="000000"/>
          <w:kern w:val="0"/>
          <w:sz w:val="32"/>
          <w:szCs w:val="32"/>
        </w:rPr>
        <w:t>建立健全了预算、收支、采购、资产、合同等方面的各项财务</w:t>
      </w:r>
      <w:r>
        <w:rPr>
          <w:rFonts w:ascii="仿宋_GB2312" w:hAnsi="宋体" w:eastAsia="仿宋_GB2312" w:cs="宋体"/>
          <w:color w:val="000000"/>
          <w:kern w:val="0"/>
          <w:sz w:val="32"/>
          <w:szCs w:val="32"/>
        </w:rPr>
        <w:t>管理</w:t>
      </w:r>
      <w:r>
        <w:rPr>
          <w:rFonts w:hint="eastAsia" w:ascii="仿宋_GB2312" w:hAnsi="宋体" w:eastAsia="仿宋_GB2312" w:cs="宋体"/>
          <w:color w:val="000000"/>
          <w:kern w:val="0"/>
          <w:sz w:val="32"/>
          <w:szCs w:val="32"/>
        </w:rPr>
        <w:t>制度，部门内部财务管理制度、会计核算制度完整、合规</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highlight w:val="none"/>
        </w:rPr>
        <w:t>2</w:t>
      </w:r>
      <w:r>
        <w:rPr>
          <w:rFonts w:ascii="仿宋_GB2312" w:hAnsi="宋体" w:eastAsia="仿宋_GB2312" w:cs="宋体"/>
          <w:color w:val="000000"/>
          <w:kern w:val="0"/>
          <w:sz w:val="32"/>
          <w:szCs w:val="32"/>
          <w:highlight w:val="none"/>
        </w:rPr>
        <w:t>02</w:t>
      </w: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年，</w:t>
      </w:r>
      <w:r>
        <w:rPr>
          <w:rFonts w:hint="eastAsia" w:ascii="仿宋_GB2312" w:hAnsi="宋体" w:eastAsia="仿宋_GB2312" w:cs="宋体"/>
          <w:color w:val="000000"/>
          <w:spacing w:val="0"/>
          <w:kern w:val="0"/>
          <w:sz w:val="32"/>
          <w:szCs w:val="32"/>
          <w:highlight w:val="none"/>
        </w:rPr>
        <w:t>按照</w:t>
      </w:r>
      <w:r>
        <w:rPr>
          <w:rFonts w:hint="eastAsia" w:ascii="仿宋_GB2312" w:hAnsi="宋体" w:eastAsia="仿宋_GB2312" w:cs="宋体"/>
          <w:color w:val="000000"/>
          <w:spacing w:val="0"/>
          <w:kern w:val="0"/>
          <w:sz w:val="32"/>
          <w:szCs w:val="32"/>
          <w:highlight w:val="none"/>
          <w:lang w:eastAsia="zh-CN"/>
        </w:rPr>
        <w:t>巡视、财政</w:t>
      </w:r>
      <w:r>
        <w:rPr>
          <w:rFonts w:hint="eastAsia" w:ascii="仿宋_GB2312" w:hAnsi="宋体" w:eastAsia="仿宋_GB2312" w:cs="宋体"/>
          <w:color w:val="000000"/>
          <w:spacing w:val="0"/>
          <w:kern w:val="0"/>
          <w:sz w:val="32"/>
          <w:szCs w:val="32"/>
          <w:highlight w:val="none"/>
        </w:rPr>
        <w:t>有关要求，围绕工作实际，不断完善制度机制、优化工作流程、</w:t>
      </w:r>
      <w:r>
        <w:rPr>
          <w:rFonts w:ascii="仿宋_GB2312" w:hAnsi="宋体" w:eastAsia="仿宋_GB2312" w:cs="宋体"/>
          <w:color w:val="000000"/>
          <w:spacing w:val="0"/>
          <w:kern w:val="0"/>
          <w:sz w:val="32"/>
          <w:szCs w:val="32"/>
          <w:highlight w:val="none"/>
        </w:rPr>
        <w:t>财务</w:t>
      </w:r>
      <w:r>
        <w:rPr>
          <w:rFonts w:hint="eastAsia" w:ascii="仿宋_GB2312" w:hAnsi="宋体" w:eastAsia="仿宋_GB2312" w:cs="宋体"/>
          <w:color w:val="000000"/>
          <w:spacing w:val="0"/>
          <w:kern w:val="0"/>
          <w:sz w:val="32"/>
          <w:szCs w:val="32"/>
          <w:highlight w:val="none"/>
        </w:rPr>
        <w:t>管理基础。</w:t>
      </w:r>
      <w:r>
        <w:rPr>
          <w:rFonts w:hint="eastAsia" w:ascii="仿宋_GB2312" w:hAnsi="宋体" w:eastAsia="仿宋_GB2312" w:cs="宋体"/>
          <w:b/>
          <w:color w:val="000000"/>
          <w:spacing w:val="0"/>
          <w:kern w:val="0"/>
          <w:sz w:val="32"/>
          <w:szCs w:val="32"/>
          <w:highlight w:val="none"/>
        </w:rPr>
        <w:t>一是</w:t>
      </w:r>
      <w:r>
        <w:rPr>
          <w:rFonts w:hint="eastAsia" w:ascii="仿宋_GB2312" w:hAnsi="宋体" w:eastAsia="仿宋_GB2312" w:cs="宋体"/>
          <w:b w:val="0"/>
          <w:bCs/>
          <w:color w:val="000000"/>
          <w:spacing w:val="0"/>
          <w:kern w:val="0"/>
          <w:sz w:val="32"/>
          <w:szCs w:val="32"/>
          <w:highlight w:val="none"/>
          <w:lang w:eastAsia="zh-CN"/>
        </w:rPr>
        <w:t>制定印发了《北京市发展和改革委员会合同管理办法》，有效规范了合同起草、审查审核、履约执行、纠纷处理等合同管理环节，促进了合同管理的规范性和合法性。</w:t>
      </w:r>
      <w:r>
        <w:rPr>
          <w:rFonts w:hint="eastAsia" w:ascii="仿宋_GB2312" w:hAnsi="宋体" w:eastAsia="仿宋_GB2312" w:cs="宋体"/>
          <w:b/>
          <w:bCs w:val="0"/>
          <w:color w:val="000000"/>
          <w:spacing w:val="0"/>
          <w:kern w:val="0"/>
          <w:sz w:val="32"/>
          <w:szCs w:val="32"/>
          <w:highlight w:val="none"/>
          <w:lang w:eastAsia="zh-CN"/>
        </w:rPr>
        <w:t>二是</w:t>
      </w:r>
      <w:r>
        <w:rPr>
          <w:rFonts w:hint="eastAsia" w:ascii="仿宋_GB2312" w:hAnsi="宋体" w:eastAsia="仿宋_GB2312" w:cs="宋体"/>
          <w:b w:val="0"/>
          <w:bCs/>
          <w:color w:val="000000"/>
          <w:spacing w:val="0"/>
          <w:kern w:val="0"/>
          <w:sz w:val="32"/>
          <w:szCs w:val="32"/>
          <w:highlight w:val="none"/>
          <w:lang w:eastAsia="zh-CN"/>
        </w:rPr>
        <w:t>制定印发了《关于进一步规范预算资金使用决策程序的通知》，明确</w:t>
      </w:r>
      <w:r>
        <w:rPr>
          <w:rFonts w:hint="eastAsia" w:ascii="仿宋_GB2312" w:hAnsi="宋体" w:eastAsia="仿宋_GB2312" w:cs="宋体"/>
          <w:b w:val="0"/>
          <w:bCs/>
          <w:color w:val="000000"/>
          <w:spacing w:val="0"/>
          <w:kern w:val="0"/>
          <w:sz w:val="32"/>
          <w:szCs w:val="32"/>
          <w:highlight w:val="none"/>
          <w:lang w:val="en-US" w:eastAsia="zh-CN"/>
        </w:rPr>
        <w:t>100万元及以上的大额资金使用实施方案及资金使用计划纳入党组议事清单范围，进一步明确和细化预算资金使用决策程序。</w:t>
      </w:r>
      <w:r>
        <w:rPr>
          <w:rFonts w:hint="eastAsia" w:ascii="仿宋_GB2312" w:hAnsi="宋体" w:eastAsia="仿宋_GB2312" w:cs="宋体"/>
          <w:b/>
          <w:bCs w:val="0"/>
          <w:color w:val="000000"/>
          <w:spacing w:val="0"/>
          <w:kern w:val="0"/>
          <w:sz w:val="32"/>
          <w:szCs w:val="32"/>
          <w:highlight w:val="none"/>
          <w:lang w:val="en-US" w:eastAsia="zh-CN"/>
        </w:rPr>
        <w:t>三是</w:t>
      </w:r>
      <w:r>
        <w:rPr>
          <w:rFonts w:hint="eastAsia" w:ascii="仿宋_GB2312" w:hAnsi="宋体" w:eastAsia="仿宋_GB2312" w:cs="宋体"/>
          <w:b w:val="0"/>
          <w:bCs/>
          <w:color w:val="000000"/>
          <w:spacing w:val="0"/>
          <w:kern w:val="0"/>
          <w:sz w:val="32"/>
          <w:szCs w:val="32"/>
          <w:highlight w:val="none"/>
          <w:lang w:val="en-US" w:eastAsia="zh-CN"/>
        </w:rPr>
        <w:t>制定印发了《北京市</w:t>
      </w:r>
      <w:r>
        <w:rPr>
          <w:rFonts w:hint="eastAsia" w:ascii="仿宋_GB2312" w:hAnsi="宋体" w:eastAsia="仿宋_GB2312" w:cs="宋体"/>
          <w:b w:val="0"/>
          <w:bCs/>
          <w:color w:val="000000"/>
          <w:spacing w:val="0"/>
          <w:kern w:val="0"/>
          <w:sz w:val="32"/>
          <w:szCs w:val="32"/>
          <w:highlight w:val="none"/>
          <w:lang w:eastAsia="zh-CN"/>
        </w:rPr>
        <w:t>发展和改革委员会</w:t>
      </w:r>
      <w:r>
        <w:rPr>
          <w:rFonts w:hint="eastAsia" w:ascii="仿宋_GB2312" w:hAnsi="宋体" w:eastAsia="仿宋_GB2312" w:cs="宋体"/>
          <w:b w:val="0"/>
          <w:bCs/>
          <w:color w:val="000000"/>
          <w:spacing w:val="0"/>
          <w:kern w:val="0"/>
          <w:sz w:val="32"/>
          <w:szCs w:val="32"/>
          <w:highlight w:val="none"/>
          <w:lang w:val="en-US" w:eastAsia="zh-CN"/>
        </w:rPr>
        <w:t>委托外包管理办法》，进一步规范和加强委托外包管理，提高财政资金配置效率和使用效益。</w:t>
      </w:r>
    </w:p>
    <w:p>
      <w:pPr>
        <w:pBdr>
          <w:bottom w:val="single" w:color="FFFFFF" w:sz="4" w:space="31"/>
        </w:pBdr>
        <w:adjustRightInd w:val="0"/>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p>
    <w:p>
      <w:pPr>
        <w:pBdr>
          <w:bottom w:val="single" w:color="FFFFFF" w:sz="4" w:space="31"/>
        </w:pBdr>
        <w:adjustRightInd w:val="0"/>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市发展改革委资金</w:t>
      </w:r>
      <w:r>
        <w:rPr>
          <w:rFonts w:ascii="仿宋_GB2312" w:hAnsi="宋体" w:eastAsia="仿宋_GB2312" w:cs="宋体"/>
          <w:color w:val="000000"/>
          <w:kern w:val="0"/>
          <w:sz w:val="32"/>
          <w:szCs w:val="32"/>
        </w:rPr>
        <w:t>使用合规安全。</w:t>
      </w:r>
      <w:r>
        <w:rPr>
          <w:rFonts w:ascii="仿宋_GB2312" w:hAnsi="宋体" w:eastAsia="仿宋_GB2312" w:cs="宋体"/>
          <w:b/>
          <w:color w:val="000000"/>
          <w:kern w:val="0"/>
          <w:sz w:val="32"/>
          <w:szCs w:val="32"/>
        </w:rPr>
        <w:t>一是</w:t>
      </w:r>
      <w:r>
        <w:rPr>
          <w:rFonts w:hint="eastAsia" w:ascii="仿宋_GB2312" w:hAnsi="宋体" w:eastAsia="仿宋_GB2312" w:cs="宋体"/>
          <w:color w:val="000000"/>
          <w:kern w:val="0"/>
          <w:sz w:val="32"/>
          <w:szCs w:val="32"/>
        </w:rPr>
        <w:t>资金使用符合国家财经法规和财务管理制度规定，严格执行政府采购程序流程，严格执行公务卡结算相关制度规定，严格杜绝资金截留、挤占和挪用。</w:t>
      </w:r>
      <w:r>
        <w:rPr>
          <w:rFonts w:hint="eastAsia" w:ascii="仿宋_GB2312" w:hAnsi="宋体" w:eastAsia="仿宋_GB2312" w:cs="宋体"/>
          <w:b/>
          <w:color w:val="000000"/>
          <w:kern w:val="0"/>
          <w:sz w:val="32"/>
          <w:szCs w:val="32"/>
        </w:rPr>
        <w:t>二是</w:t>
      </w:r>
      <w:r>
        <w:rPr>
          <w:rFonts w:hint="eastAsia" w:ascii="仿宋_GB2312" w:hAnsi="宋体" w:eastAsia="仿宋_GB2312" w:cs="宋体"/>
          <w:color w:val="000000"/>
          <w:kern w:val="0"/>
          <w:sz w:val="32"/>
          <w:szCs w:val="32"/>
        </w:rPr>
        <w:t>资金拨付审批程序和手续完整，遵循“谁主管、谁审批、谁负责”的原则，按照业务事项审批和财务事项审批并行的管理模式，按规定权限履行经费审批手续，合理合规</w:t>
      </w:r>
      <w:r>
        <w:rPr>
          <w:rFonts w:ascii="仿宋_GB2312" w:hAnsi="宋体" w:eastAsia="仿宋_GB2312" w:cs="宋体"/>
          <w:color w:val="000000"/>
          <w:kern w:val="0"/>
          <w:sz w:val="32"/>
          <w:szCs w:val="32"/>
        </w:rPr>
        <w:t>使用</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资金。</w:t>
      </w:r>
      <w:r>
        <w:rPr>
          <w:rFonts w:hint="eastAsia" w:ascii="仿宋_GB2312" w:hAnsi="宋体" w:eastAsia="仿宋_GB2312" w:cs="宋体"/>
          <w:color w:val="000000"/>
          <w:kern w:val="0"/>
          <w:sz w:val="32"/>
          <w:szCs w:val="32"/>
        </w:rPr>
        <w:t>节能</w:t>
      </w:r>
      <w:r>
        <w:rPr>
          <w:rFonts w:ascii="仿宋_GB2312" w:hAnsi="宋体" w:eastAsia="仿宋_GB2312" w:cs="宋体"/>
          <w:color w:val="000000"/>
          <w:kern w:val="0"/>
          <w:sz w:val="32"/>
          <w:szCs w:val="32"/>
        </w:rPr>
        <w:t>资金、课题研究</w:t>
      </w:r>
      <w:r>
        <w:rPr>
          <w:rFonts w:hint="eastAsia" w:ascii="仿宋_GB2312" w:hAnsi="宋体" w:eastAsia="仿宋_GB2312" w:cs="宋体"/>
          <w:color w:val="000000"/>
          <w:kern w:val="0"/>
          <w:sz w:val="32"/>
          <w:szCs w:val="32"/>
        </w:rPr>
        <w:t>以及</w:t>
      </w: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00万元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含</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以上预算</w:t>
      </w:r>
      <w:r>
        <w:rPr>
          <w:rFonts w:ascii="仿宋_GB2312" w:hAnsi="宋体" w:eastAsia="仿宋_GB2312" w:cs="宋体"/>
          <w:color w:val="000000"/>
          <w:kern w:val="0"/>
          <w:sz w:val="32"/>
          <w:szCs w:val="32"/>
        </w:rPr>
        <w:t>追加调整需</w:t>
      </w:r>
      <w:r>
        <w:rPr>
          <w:rFonts w:hint="eastAsia" w:ascii="仿宋_GB2312" w:hAnsi="宋体" w:eastAsia="仿宋_GB2312" w:cs="宋体"/>
          <w:color w:val="000000"/>
          <w:kern w:val="0"/>
          <w:sz w:val="32"/>
          <w:szCs w:val="32"/>
        </w:rPr>
        <w:t>经过党组会（办公会）审议通过</w:t>
      </w:r>
      <w:r>
        <w:rPr>
          <w:rFonts w:ascii="仿宋_GB2312" w:hAnsi="宋体" w:eastAsia="仿宋_GB2312" w:cs="宋体"/>
          <w:color w:val="000000"/>
          <w:kern w:val="0"/>
          <w:sz w:val="32"/>
          <w:szCs w:val="32"/>
        </w:rPr>
        <w:t>后执行</w:t>
      </w:r>
      <w:r>
        <w:rPr>
          <w:rFonts w:hint="eastAsia" w:ascii="仿宋_GB2312" w:hAnsi="宋体" w:eastAsia="仿宋_GB2312" w:cs="宋体"/>
          <w:color w:val="000000"/>
          <w:kern w:val="0"/>
          <w:sz w:val="32"/>
          <w:szCs w:val="32"/>
        </w:rPr>
        <w:t>，新增</w:t>
      </w:r>
      <w:r>
        <w:rPr>
          <w:rFonts w:ascii="仿宋_GB2312" w:hAnsi="宋体" w:eastAsia="仿宋_GB2312" w:cs="宋体"/>
          <w:color w:val="000000"/>
          <w:kern w:val="0"/>
          <w:sz w:val="32"/>
          <w:szCs w:val="32"/>
        </w:rPr>
        <w:t>项目</w:t>
      </w:r>
      <w:r>
        <w:rPr>
          <w:rFonts w:hint="eastAsia" w:ascii="仿宋_GB2312" w:hAnsi="宋体" w:eastAsia="仿宋_GB2312" w:cs="宋体"/>
          <w:color w:val="000000"/>
          <w:kern w:val="0"/>
          <w:sz w:val="32"/>
          <w:szCs w:val="32"/>
        </w:rPr>
        <w:t>需</w:t>
      </w:r>
      <w:r>
        <w:rPr>
          <w:rFonts w:ascii="仿宋_GB2312" w:hAnsi="宋体" w:eastAsia="仿宋_GB2312" w:cs="宋体"/>
          <w:color w:val="000000"/>
          <w:kern w:val="0"/>
          <w:sz w:val="32"/>
          <w:szCs w:val="32"/>
        </w:rPr>
        <w:t>经事前绩效评估论证</w:t>
      </w:r>
      <w:r>
        <w:rPr>
          <w:rFonts w:hint="eastAsia" w:ascii="仿宋_GB2312" w:hAnsi="宋体" w:eastAsia="仿宋_GB2312" w:cs="宋体"/>
          <w:color w:val="000000"/>
          <w:kern w:val="0"/>
          <w:sz w:val="32"/>
          <w:szCs w:val="32"/>
        </w:rPr>
        <w:t>通过</w:t>
      </w:r>
      <w:r>
        <w:rPr>
          <w:rFonts w:ascii="仿宋_GB2312" w:hAnsi="宋体" w:eastAsia="仿宋_GB2312" w:cs="宋体"/>
          <w:color w:val="000000"/>
          <w:kern w:val="0"/>
          <w:sz w:val="32"/>
          <w:szCs w:val="32"/>
        </w:rPr>
        <w:t>后方可实施。</w:t>
      </w:r>
      <w:r>
        <w:rPr>
          <w:rFonts w:hint="eastAsia" w:ascii="仿宋_GB2312" w:hAnsi="宋体" w:eastAsia="仿宋_GB2312" w:cs="宋体"/>
          <w:b/>
          <w:color w:val="000000"/>
          <w:kern w:val="0"/>
          <w:sz w:val="32"/>
          <w:szCs w:val="32"/>
        </w:rPr>
        <w:t>三是</w:t>
      </w:r>
      <w:r>
        <w:rPr>
          <w:rFonts w:hint="eastAsia" w:ascii="仿宋_GB2312" w:hAnsi="宋体" w:eastAsia="仿宋_GB2312" w:cs="宋体"/>
          <w:color w:val="000000"/>
          <w:kern w:val="0"/>
          <w:sz w:val="32"/>
          <w:szCs w:val="32"/>
        </w:rPr>
        <w:t>资金使用符合规定的开支范围，严格按照部门预算批复用途执行。</w:t>
      </w:r>
    </w:p>
    <w:p>
      <w:pPr>
        <w:pBdr>
          <w:bottom w:val="single" w:color="FFFFFF" w:sz="4" w:space="31"/>
        </w:pBdr>
        <w:adjustRightInd w:val="0"/>
        <w:snapToGrid w:val="0"/>
        <w:spacing w:line="560" w:lineRule="exact"/>
        <w:ind w:firstLine="640" w:firstLineChars="20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pPr>
        <w:pBdr>
          <w:bottom w:val="single" w:color="FFFFFF" w:sz="4" w:space="31"/>
        </w:pBdr>
        <w:adjustRightInd w:val="0"/>
        <w:snapToGrid w:val="0"/>
        <w:spacing w:line="560" w:lineRule="exact"/>
        <w:ind w:firstLine="624" w:firstLineChars="200"/>
        <w:rPr>
          <w:rFonts w:ascii="仿宋_GB2312" w:hAnsi="宋体" w:eastAsia="仿宋_GB2312" w:cs="宋体"/>
          <w:color w:val="000000"/>
          <w:kern w:val="0"/>
          <w:sz w:val="32"/>
          <w:szCs w:val="32"/>
        </w:rPr>
      </w:pPr>
      <w:r>
        <w:rPr>
          <w:rFonts w:hint="eastAsia" w:ascii="仿宋_GB2312" w:hAnsi="宋体" w:eastAsia="仿宋_GB2312" w:cs="宋体"/>
          <w:color w:val="000000"/>
          <w:spacing w:val="-4"/>
          <w:kern w:val="0"/>
          <w:sz w:val="32"/>
          <w:szCs w:val="32"/>
        </w:rPr>
        <w:t>市发展改革委会计基础信息完善。</w:t>
      </w:r>
      <w:r>
        <w:rPr>
          <w:rFonts w:ascii="仿宋_GB2312" w:hAnsi="宋体" w:eastAsia="仿宋_GB2312" w:cs="宋体"/>
          <w:b/>
          <w:color w:val="000000"/>
          <w:spacing w:val="-4"/>
          <w:kern w:val="0"/>
          <w:sz w:val="32"/>
          <w:szCs w:val="32"/>
        </w:rPr>
        <w:t>一是</w:t>
      </w:r>
      <w:r>
        <w:rPr>
          <w:rFonts w:hint="eastAsia" w:ascii="仿宋_GB2312" w:hAnsi="宋体" w:eastAsia="仿宋_GB2312" w:cs="宋体"/>
          <w:color w:val="000000"/>
          <w:spacing w:val="-4"/>
          <w:kern w:val="0"/>
          <w:sz w:val="32"/>
          <w:szCs w:val="32"/>
        </w:rPr>
        <w:t>会计基础工作扎实，</w:t>
      </w:r>
      <w:r>
        <w:rPr>
          <w:rFonts w:hint="eastAsia" w:ascii="Calibri" w:hAnsi="Calibri" w:eastAsia="仿宋_GB2312" w:cs="Calibri"/>
          <w:color w:val="000000"/>
          <w:kern w:val="0"/>
          <w:sz w:val="32"/>
          <w:szCs w:val="32"/>
        </w:rPr>
        <w:t>严格</w:t>
      </w:r>
      <w:r>
        <w:rPr>
          <w:rFonts w:hint="eastAsia" w:ascii="仿宋_GB2312" w:hAnsi="宋体" w:eastAsia="仿宋_GB2312" w:cs="宋体"/>
          <w:color w:val="000000"/>
          <w:kern w:val="0"/>
          <w:sz w:val="32"/>
          <w:szCs w:val="32"/>
        </w:rPr>
        <w:t>按照《会计法》和</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基础工作规范》</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以及</w:t>
      </w:r>
      <w:r>
        <w:rPr>
          <w:rFonts w:hint="eastAsia" w:ascii="仿宋_GB2312" w:hAnsi="宋体" w:eastAsia="仿宋_GB2312" w:cs="宋体"/>
          <w:color w:val="000000"/>
          <w:kern w:val="0"/>
          <w:sz w:val="32"/>
          <w:szCs w:val="32"/>
        </w:rPr>
        <w:t>《预算法》《政府会计准则》要求，开展会计核算、编制财务报表报告，保证会计工作开展依法有序，会计</w:t>
      </w:r>
      <w:r>
        <w:rPr>
          <w:rFonts w:ascii="仿宋_GB2312" w:hAnsi="宋体" w:eastAsia="仿宋_GB2312" w:cs="宋体"/>
          <w:color w:val="000000"/>
          <w:kern w:val="0"/>
          <w:sz w:val="32"/>
          <w:szCs w:val="32"/>
        </w:rPr>
        <w:t>信息披露真实完整</w:t>
      </w:r>
      <w:r>
        <w:rPr>
          <w:rFonts w:hint="eastAsia" w:ascii="仿宋_GB2312" w:hAnsi="宋体" w:eastAsia="仿宋_GB2312" w:cs="宋体"/>
          <w:color w:val="000000"/>
          <w:kern w:val="0"/>
          <w:sz w:val="32"/>
          <w:szCs w:val="32"/>
        </w:rPr>
        <w:t>。</w:t>
      </w:r>
      <w:r>
        <w:rPr>
          <w:rFonts w:hint="eastAsia" w:ascii="仿宋_GB2312" w:hAnsi="宋体" w:eastAsia="仿宋_GB2312" w:cs="宋体"/>
          <w:b/>
          <w:color w:val="000000"/>
          <w:kern w:val="0"/>
          <w:sz w:val="32"/>
          <w:szCs w:val="32"/>
        </w:rPr>
        <w:t>二是</w:t>
      </w:r>
      <w:r>
        <w:rPr>
          <w:rFonts w:hint="eastAsia" w:ascii="仿宋_GB2312" w:hAnsi="宋体" w:eastAsia="仿宋_GB2312" w:cs="宋体"/>
          <w:color w:val="000000"/>
          <w:kern w:val="0"/>
          <w:sz w:val="32"/>
          <w:szCs w:val="32"/>
        </w:rPr>
        <w:t>会计管理</w:t>
      </w:r>
      <w:r>
        <w:rPr>
          <w:rFonts w:ascii="仿宋_GB2312" w:hAnsi="宋体" w:eastAsia="仿宋_GB2312" w:cs="宋体"/>
          <w:color w:val="000000"/>
          <w:kern w:val="0"/>
          <w:sz w:val="32"/>
          <w:szCs w:val="32"/>
        </w:rPr>
        <w:t>信息化水平</w:t>
      </w:r>
      <w:r>
        <w:rPr>
          <w:rFonts w:hint="eastAsia" w:ascii="仿宋_GB2312" w:hAnsi="宋体" w:eastAsia="仿宋_GB2312" w:cs="宋体"/>
          <w:color w:val="000000"/>
          <w:kern w:val="0"/>
          <w:sz w:val="32"/>
          <w:szCs w:val="32"/>
        </w:rPr>
        <w:t>不断</w:t>
      </w:r>
      <w:r>
        <w:rPr>
          <w:rFonts w:ascii="仿宋_GB2312" w:hAnsi="宋体" w:eastAsia="仿宋_GB2312" w:cs="宋体"/>
          <w:color w:val="000000"/>
          <w:kern w:val="0"/>
          <w:sz w:val="32"/>
          <w:szCs w:val="32"/>
        </w:rPr>
        <w:t>提升，</w:t>
      </w:r>
      <w:r>
        <w:rPr>
          <w:rFonts w:hint="eastAsia" w:ascii="仿宋_GB2312" w:hAnsi="宋体" w:eastAsia="仿宋_GB2312" w:cs="宋体"/>
          <w:color w:val="000000"/>
          <w:kern w:val="0"/>
          <w:sz w:val="32"/>
          <w:szCs w:val="32"/>
        </w:rPr>
        <w:t>目前</w:t>
      </w:r>
      <w:r>
        <w:rPr>
          <w:rFonts w:ascii="仿宋_GB2312" w:hAnsi="宋体" w:eastAsia="仿宋_GB2312" w:cs="宋体"/>
          <w:color w:val="000000"/>
          <w:kern w:val="0"/>
          <w:sz w:val="32"/>
          <w:szCs w:val="32"/>
        </w:rPr>
        <w:t>预算</w:t>
      </w:r>
      <w:r>
        <w:rPr>
          <w:rFonts w:hint="eastAsia" w:ascii="仿宋_GB2312" w:hAnsi="宋体" w:eastAsia="仿宋_GB2312" w:cs="宋体"/>
          <w:color w:val="000000"/>
          <w:kern w:val="0"/>
          <w:sz w:val="32"/>
          <w:szCs w:val="32"/>
        </w:rPr>
        <w:t>申报审核使用“业财一体化管理平台”预算管理模块，资产</w:t>
      </w:r>
      <w:r>
        <w:rPr>
          <w:rFonts w:ascii="仿宋_GB2312" w:hAnsi="宋体" w:eastAsia="仿宋_GB2312" w:cs="宋体"/>
          <w:color w:val="000000"/>
          <w:kern w:val="0"/>
          <w:sz w:val="32"/>
          <w:szCs w:val="32"/>
        </w:rPr>
        <w:t>管理、会计核算、网上报销、进度管理</w:t>
      </w:r>
      <w:r>
        <w:rPr>
          <w:rFonts w:hint="eastAsia" w:ascii="仿宋_GB2312" w:hAnsi="宋体" w:eastAsia="仿宋_GB2312" w:cs="宋体"/>
          <w:color w:val="000000"/>
          <w:kern w:val="0"/>
          <w:sz w:val="32"/>
          <w:szCs w:val="32"/>
        </w:rPr>
        <w:t>使用“用友GRP-U8版行政事业单位内控管理软件”，较高</w:t>
      </w:r>
      <w:r>
        <w:rPr>
          <w:rFonts w:ascii="仿宋_GB2312" w:hAnsi="宋体" w:eastAsia="仿宋_GB2312" w:cs="宋体"/>
          <w:color w:val="000000"/>
          <w:kern w:val="0"/>
          <w:sz w:val="32"/>
          <w:szCs w:val="32"/>
        </w:rPr>
        <w:t>的信息化水平</w:t>
      </w:r>
      <w:r>
        <w:rPr>
          <w:rFonts w:hint="eastAsia" w:ascii="仿宋_GB2312" w:hAnsi="宋体" w:eastAsia="仿宋_GB2312" w:cs="宋体"/>
          <w:color w:val="000000"/>
          <w:kern w:val="0"/>
          <w:sz w:val="32"/>
          <w:szCs w:val="32"/>
        </w:rPr>
        <w:t>为会计基础数据信息和会计信息资料的真实、完整、准确提供</w:t>
      </w:r>
      <w:r>
        <w:rPr>
          <w:rFonts w:ascii="仿宋_GB2312" w:hAnsi="宋体" w:eastAsia="仿宋_GB2312" w:cs="宋体"/>
          <w:color w:val="000000"/>
          <w:kern w:val="0"/>
          <w:sz w:val="32"/>
          <w:szCs w:val="32"/>
        </w:rPr>
        <w:t>了更高的保障</w:t>
      </w:r>
      <w:r>
        <w:rPr>
          <w:rFonts w:hint="eastAsia" w:ascii="仿宋_GB2312" w:hAnsi="宋体" w:eastAsia="仿宋_GB2312" w:cs="宋体"/>
          <w:color w:val="000000"/>
          <w:kern w:val="0"/>
          <w:sz w:val="32"/>
          <w:szCs w:val="32"/>
        </w:rPr>
        <w:t>。</w:t>
      </w:r>
    </w:p>
    <w:p>
      <w:pPr>
        <w:pBdr>
          <w:bottom w:val="single" w:color="FFFFFF" w:sz="4" w:space="31"/>
        </w:pBdr>
        <w:adjustRightInd w:val="0"/>
        <w:snapToGrid w:val="0"/>
        <w:spacing w:line="560" w:lineRule="exact"/>
        <w:ind w:firstLine="640" w:firstLineChars="200"/>
        <w:rPr>
          <w:rFonts w:ascii="仿宋_GB2312" w:hAnsi="宋体" w:eastAsia="仿宋_GB2312" w:cs="宋体"/>
          <w:color w:val="000000"/>
          <w:kern w:val="0"/>
          <w:sz w:val="32"/>
          <w:szCs w:val="32"/>
        </w:rPr>
      </w:pPr>
      <w:r>
        <w:rPr>
          <w:rFonts w:hint="eastAsia" w:ascii="楷体_GB2312" w:eastAsia="楷体_GB2312"/>
          <w:sz w:val="32"/>
          <w:szCs w:val="32"/>
        </w:rPr>
        <w:t>（二）资产管理</w:t>
      </w:r>
    </w:p>
    <w:p>
      <w:pPr>
        <w:pBdr>
          <w:bottom w:val="single" w:color="FFFFFF" w:sz="4" w:space="31"/>
        </w:pBdr>
        <w:adjustRightInd w:val="0"/>
        <w:snapToGrid w:val="0"/>
        <w:spacing w:line="56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市发展改革委资产</w:t>
      </w:r>
      <w:r>
        <w:rPr>
          <w:rFonts w:ascii="仿宋_GB2312" w:hAnsi="仿宋" w:eastAsia="仿宋_GB2312" w:cs="宋体"/>
          <w:color w:val="000000"/>
          <w:kern w:val="0"/>
          <w:sz w:val="32"/>
          <w:szCs w:val="32"/>
        </w:rPr>
        <w:t>管理规范，制度健全，</w:t>
      </w:r>
      <w:r>
        <w:rPr>
          <w:rFonts w:hint="eastAsia" w:ascii="仿宋_GB2312" w:hAnsi="仿宋" w:eastAsia="仿宋_GB2312" w:cs="宋体"/>
          <w:color w:val="000000"/>
          <w:kern w:val="0"/>
          <w:sz w:val="32"/>
          <w:szCs w:val="32"/>
        </w:rPr>
        <w:t>分工明确</w:t>
      </w:r>
      <w:r>
        <w:rPr>
          <w:rFonts w:ascii="仿宋_GB2312" w:hAnsi="仿宋" w:eastAsia="仿宋_GB2312" w:cs="宋体"/>
          <w:color w:val="000000"/>
          <w:kern w:val="0"/>
          <w:sz w:val="32"/>
          <w:szCs w:val="32"/>
        </w:rPr>
        <w:t>，执行有效</w:t>
      </w:r>
      <w:r>
        <w:rPr>
          <w:rFonts w:hint="eastAsia" w:ascii="仿宋_GB2312" w:hAnsi="仿宋" w:eastAsia="仿宋_GB2312" w:cs="宋体"/>
          <w:color w:val="000000"/>
          <w:kern w:val="0"/>
          <w:sz w:val="32"/>
          <w:szCs w:val="32"/>
        </w:rPr>
        <w:t>。资产</w:t>
      </w:r>
      <w:r>
        <w:rPr>
          <w:rFonts w:ascii="仿宋_GB2312" w:hAnsi="仿宋" w:eastAsia="仿宋_GB2312" w:cs="宋体"/>
          <w:color w:val="000000"/>
          <w:kern w:val="0"/>
          <w:sz w:val="32"/>
          <w:szCs w:val="32"/>
        </w:rPr>
        <w:t>保持、配置、使用和处置</w:t>
      </w:r>
      <w:r>
        <w:rPr>
          <w:rFonts w:hint="eastAsia" w:ascii="仿宋_GB2312" w:hAnsi="仿宋" w:eastAsia="仿宋_GB2312" w:cs="宋体"/>
          <w:color w:val="000000"/>
          <w:kern w:val="0"/>
          <w:sz w:val="32"/>
          <w:szCs w:val="32"/>
        </w:rPr>
        <w:t>严格执行各项资产管理制度规定。目前</w:t>
      </w:r>
      <w:r>
        <w:rPr>
          <w:rFonts w:ascii="仿宋_GB2312" w:hAnsi="仿宋" w:eastAsia="仿宋_GB2312" w:cs="宋体"/>
          <w:color w:val="000000"/>
          <w:kern w:val="0"/>
          <w:sz w:val="32"/>
          <w:szCs w:val="32"/>
        </w:rPr>
        <w:t>，已</w:t>
      </w:r>
      <w:r>
        <w:rPr>
          <w:rFonts w:hint="eastAsia" w:ascii="仿宋_GB2312" w:hAnsi="仿宋" w:eastAsia="仿宋_GB2312" w:cs="宋体"/>
          <w:color w:val="000000"/>
          <w:kern w:val="0"/>
          <w:sz w:val="32"/>
          <w:szCs w:val="32"/>
        </w:rPr>
        <w:t>制定了《北京市发展和改革委固定资产管理流程》等制度办法，确定资产管理责任分工，细化资产管理工作流程，明确资产配置标准，建立固定资产购置、登记、发放、调拨、报废、清查的全过程监管机制，未出现资产严重损失、丢失等</w:t>
      </w:r>
      <w:r>
        <w:rPr>
          <w:rFonts w:ascii="仿宋_GB2312" w:hAnsi="仿宋" w:eastAsia="仿宋_GB2312" w:cs="宋体"/>
          <w:color w:val="000000"/>
          <w:kern w:val="0"/>
          <w:sz w:val="32"/>
          <w:szCs w:val="32"/>
        </w:rPr>
        <w:t>情况</w:t>
      </w:r>
      <w:r>
        <w:rPr>
          <w:rFonts w:hint="eastAsia" w:ascii="仿宋_GB2312" w:hAnsi="仿宋" w:eastAsia="仿宋_GB2312" w:cs="宋体"/>
          <w:color w:val="000000"/>
          <w:kern w:val="0"/>
          <w:sz w:val="32"/>
          <w:szCs w:val="32"/>
        </w:rPr>
        <w:t>，</w:t>
      </w:r>
      <w:r>
        <w:rPr>
          <w:rFonts w:ascii="仿宋_GB2312" w:hAnsi="仿宋" w:eastAsia="仿宋_GB2312" w:cs="宋体"/>
          <w:color w:val="000000"/>
          <w:kern w:val="0"/>
          <w:sz w:val="32"/>
          <w:szCs w:val="32"/>
        </w:rPr>
        <w:t>不存在</w:t>
      </w:r>
      <w:r>
        <w:rPr>
          <w:rFonts w:hint="eastAsia" w:ascii="仿宋_GB2312" w:hAnsi="仿宋" w:eastAsia="仿宋_GB2312" w:cs="宋体"/>
          <w:color w:val="000000"/>
          <w:kern w:val="0"/>
          <w:sz w:val="32"/>
          <w:szCs w:val="32"/>
        </w:rPr>
        <w:t>超标准配置资产、</w:t>
      </w:r>
      <w:r>
        <w:rPr>
          <w:rFonts w:ascii="仿宋_GB2312" w:hAnsi="仿宋" w:eastAsia="仿宋_GB2312" w:cs="宋体"/>
          <w:color w:val="000000"/>
          <w:kern w:val="0"/>
          <w:sz w:val="32"/>
          <w:szCs w:val="32"/>
        </w:rPr>
        <w:t>未经审批出租出借</w:t>
      </w:r>
      <w:r>
        <w:rPr>
          <w:rFonts w:hint="eastAsia" w:ascii="仿宋_GB2312" w:hAnsi="仿宋" w:eastAsia="仿宋_GB2312" w:cs="宋体"/>
          <w:color w:val="000000"/>
          <w:kern w:val="0"/>
          <w:sz w:val="32"/>
          <w:szCs w:val="32"/>
        </w:rPr>
        <w:t>或</w:t>
      </w:r>
      <w:r>
        <w:rPr>
          <w:rFonts w:ascii="仿宋_GB2312" w:hAnsi="仿宋" w:eastAsia="仿宋_GB2312" w:cs="宋体"/>
          <w:color w:val="000000"/>
          <w:kern w:val="0"/>
          <w:sz w:val="32"/>
          <w:szCs w:val="32"/>
        </w:rPr>
        <w:t>处置资产等情况。</w:t>
      </w:r>
    </w:p>
    <w:p>
      <w:pPr>
        <w:pBdr>
          <w:bottom w:val="single" w:color="FFFFFF" w:sz="4" w:space="31"/>
        </w:pBdr>
        <w:adjustRightInd w:val="0"/>
        <w:snapToGrid w:val="0"/>
        <w:spacing w:line="560" w:lineRule="exact"/>
        <w:ind w:firstLine="640" w:firstLineChars="200"/>
        <w:rPr>
          <w:rFonts w:ascii="仿宋_GB2312" w:hAnsi="仿宋" w:eastAsia="仿宋_GB2312" w:cs="宋体"/>
          <w:color w:val="000000"/>
          <w:kern w:val="0"/>
          <w:sz w:val="32"/>
          <w:szCs w:val="32"/>
        </w:rPr>
      </w:pPr>
      <w:r>
        <w:rPr>
          <w:rFonts w:hint="eastAsia" w:ascii="楷体_GB2312" w:eastAsia="楷体_GB2312"/>
          <w:sz w:val="32"/>
          <w:szCs w:val="32"/>
        </w:rPr>
        <w:t>（三）绩效</w:t>
      </w:r>
      <w:r>
        <w:rPr>
          <w:rFonts w:ascii="楷体_GB2312" w:eastAsia="楷体_GB2312"/>
          <w:sz w:val="32"/>
          <w:szCs w:val="32"/>
        </w:rPr>
        <w:t>管理</w:t>
      </w:r>
    </w:p>
    <w:p>
      <w:pPr>
        <w:pBdr>
          <w:bottom w:val="single" w:color="FFFFFF" w:sz="4" w:space="31"/>
        </w:pBdr>
        <w:adjustRightInd w:val="0"/>
        <w:snapToGrid w:val="0"/>
        <w:spacing w:line="56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市发展改革委绩效</w:t>
      </w:r>
      <w:r>
        <w:rPr>
          <w:rFonts w:ascii="仿宋_GB2312" w:hAnsi="宋体" w:eastAsia="仿宋_GB2312" w:cs="宋体"/>
          <w:color w:val="000000"/>
          <w:kern w:val="0"/>
          <w:sz w:val="32"/>
          <w:szCs w:val="32"/>
        </w:rPr>
        <w:t>管理及时有效，</w:t>
      </w:r>
      <w:r>
        <w:rPr>
          <w:rFonts w:hint="eastAsia" w:ascii="Calibri" w:hAnsi="Calibri" w:eastAsia="仿宋_GB2312" w:cs="Calibri"/>
          <w:sz w:val="32"/>
          <w:szCs w:val="32"/>
        </w:rPr>
        <w:t>贯彻落实</w:t>
      </w:r>
      <w:r>
        <w:rPr>
          <w:rFonts w:hint="eastAsia" w:ascii="仿宋_GB2312" w:hAnsi="宋体" w:eastAsia="仿宋_GB2312" w:cs="宋体"/>
          <w:color w:val="000000"/>
          <w:kern w:val="0"/>
          <w:sz w:val="32"/>
          <w:szCs w:val="32"/>
        </w:rPr>
        <w:t>全面预算绩效管理要求，深化全过程预算绩效管理，建立涵盖绩效目标编制、绩效运行监控、成本绩效分析、绩效支出评价的“全过程、全覆盖”绩效管理工作流程，及时对绩效信息进行汇总分析整理，对绩效目标偏离情况及时进行矫正。2</w:t>
      </w:r>
      <w:r>
        <w:rPr>
          <w:rFonts w:ascii="仿宋_GB2312" w:hAnsi="宋体" w:eastAsia="仿宋_GB2312" w:cs="宋体"/>
          <w:color w:val="000000"/>
          <w:kern w:val="0"/>
          <w:sz w:val="32"/>
          <w:szCs w:val="32"/>
        </w:rPr>
        <w:t>02</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年</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按照财政有关要求，围绕工作实际，不断探索绩效</w:t>
      </w:r>
      <w:r>
        <w:rPr>
          <w:rFonts w:ascii="仿宋_GB2312" w:hAnsi="宋体" w:eastAsia="仿宋_GB2312" w:cs="宋体"/>
          <w:color w:val="000000"/>
          <w:kern w:val="0"/>
          <w:sz w:val="32"/>
          <w:szCs w:val="32"/>
        </w:rPr>
        <w:t>管理</w:t>
      </w:r>
      <w:r>
        <w:rPr>
          <w:rFonts w:hint="eastAsia" w:ascii="仿宋_GB2312" w:hAnsi="宋体" w:eastAsia="仿宋_GB2312" w:cs="宋体"/>
          <w:color w:val="000000"/>
          <w:kern w:val="0"/>
          <w:sz w:val="32"/>
          <w:szCs w:val="32"/>
        </w:rPr>
        <w:t>的新</w:t>
      </w:r>
      <w:r>
        <w:rPr>
          <w:rFonts w:ascii="仿宋_GB2312" w:hAnsi="宋体" w:eastAsia="仿宋_GB2312" w:cs="宋体"/>
          <w:color w:val="000000"/>
          <w:kern w:val="0"/>
          <w:sz w:val="32"/>
          <w:szCs w:val="32"/>
        </w:rPr>
        <w:t>方法、新领域，</w:t>
      </w:r>
      <w:r>
        <w:rPr>
          <w:rFonts w:hint="eastAsia" w:ascii="仿宋_GB2312" w:hAnsi="宋体" w:eastAsia="仿宋_GB2312" w:cs="宋体"/>
          <w:color w:val="000000"/>
          <w:kern w:val="0"/>
          <w:sz w:val="32"/>
          <w:szCs w:val="32"/>
        </w:rPr>
        <w:t>构建部门绩效</w:t>
      </w:r>
      <w:r>
        <w:rPr>
          <w:rFonts w:ascii="仿宋_GB2312" w:hAnsi="宋体" w:eastAsia="仿宋_GB2312" w:cs="宋体"/>
          <w:color w:val="000000"/>
          <w:kern w:val="0"/>
          <w:sz w:val="32"/>
          <w:szCs w:val="32"/>
        </w:rPr>
        <w:t>管理体系，</w:t>
      </w:r>
      <w:r>
        <w:rPr>
          <w:rFonts w:hint="eastAsia" w:ascii="仿宋_GB2312" w:hAnsi="宋体" w:eastAsia="仿宋_GB2312" w:cs="宋体"/>
          <w:color w:val="000000"/>
          <w:kern w:val="0"/>
          <w:sz w:val="32"/>
          <w:szCs w:val="32"/>
        </w:rPr>
        <w:t>加强</w:t>
      </w:r>
      <w:r>
        <w:rPr>
          <w:rFonts w:ascii="仿宋_GB2312" w:hAnsi="宋体" w:eastAsia="仿宋_GB2312" w:cs="宋体"/>
          <w:color w:val="000000"/>
          <w:kern w:val="0"/>
          <w:sz w:val="32"/>
          <w:szCs w:val="32"/>
        </w:rPr>
        <w:t>项目成本管控</w:t>
      </w:r>
      <w:r>
        <w:rPr>
          <w:rFonts w:hint="eastAsia" w:ascii="仿宋_GB2312" w:hAnsi="宋体" w:eastAsia="仿宋_GB2312" w:cs="宋体"/>
          <w:color w:val="000000"/>
          <w:kern w:val="0"/>
          <w:sz w:val="32"/>
          <w:szCs w:val="32"/>
          <w:lang w:eastAsia="zh-CN"/>
        </w:rPr>
        <w:t>，2023年成本绩效分析报告得分</w:t>
      </w:r>
      <w:r>
        <w:rPr>
          <w:rFonts w:hint="eastAsia" w:ascii="仿宋_GB2312" w:hAnsi="宋体" w:eastAsia="仿宋_GB2312" w:cs="宋体"/>
          <w:color w:val="000000"/>
          <w:kern w:val="0"/>
          <w:sz w:val="32"/>
          <w:szCs w:val="32"/>
          <w:lang w:val="en-US" w:eastAsia="zh-CN"/>
        </w:rPr>
        <w:t>93分，项目评级为优</w:t>
      </w:r>
      <w:r>
        <w:rPr>
          <w:rFonts w:ascii="仿宋_GB2312" w:hAnsi="宋体" w:eastAsia="仿宋_GB2312" w:cs="宋体"/>
          <w:color w:val="000000"/>
          <w:kern w:val="0"/>
          <w:sz w:val="32"/>
          <w:szCs w:val="32"/>
        </w:rPr>
        <w:t>。</w:t>
      </w:r>
    </w:p>
    <w:p>
      <w:pPr>
        <w:pBdr>
          <w:bottom w:val="single" w:color="FFFFFF" w:sz="4" w:space="31"/>
        </w:pBdr>
        <w:adjustRightInd w:val="0"/>
        <w:snapToGrid w:val="0"/>
        <w:spacing w:line="560" w:lineRule="exact"/>
        <w:ind w:firstLine="640" w:firstLineChars="200"/>
        <w:rPr>
          <w:rFonts w:ascii="楷体_GB2312" w:eastAsia="楷体_GB2312"/>
          <w:sz w:val="32"/>
          <w:szCs w:val="32"/>
        </w:rPr>
      </w:pPr>
      <w:r>
        <w:rPr>
          <w:rFonts w:hint="eastAsia" w:ascii="楷体_GB2312" w:eastAsia="楷体_GB2312"/>
          <w:sz w:val="32"/>
          <w:szCs w:val="32"/>
        </w:rPr>
        <w:t>（四）结转结余率</w:t>
      </w:r>
    </w:p>
    <w:p>
      <w:pPr>
        <w:pBdr>
          <w:bottom w:val="single" w:color="FFFFFF" w:sz="4" w:space="31"/>
        </w:pBdr>
        <w:adjustRightInd w:val="0"/>
        <w:snapToGrid w:val="0"/>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市发展改革委202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年结转结余率为</w:t>
      </w:r>
      <w:r>
        <w:rPr>
          <w:rFonts w:hint="eastAsia" w:ascii="仿宋_GB2312" w:eastAsia="仿宋_GB2312"/>
          <w:sz w:val="32"/>
          <w:szCs w:val="32"/>
          <w:highlight w:val="none"/>
          <w:lang w:val="en-US" w:eastAsia="zh-CN"/>
        </w:rPr>
        <w:t>7.61</w:t>
      </w:r>
      <w:r>
        <w:rPr>
          <w:rFonts w:hint="eastAsia" w:ascii="仿宋_GB2312" w:eastAsia="仿宋_GB2312"/>
          <w:sz w:val="32"/>
          <w:szCs w:val="32"/>
          <w:highlight w:val="none"/>
        </w:rPr>
        <w:t>%</w:t>
      </w:r>
      <w:r>
        <w:rPr>
          <w:rFonts w:ascii="仿宋_GB2312" w:hAnsi="仿宋" w:eastAsia="仿宋_GB2312"/>
          <w:sz w:val="32"/>
          <w:szCs w:val="32"/>
          <w:highlight w:val="none"/>
        </w:rPr>
        <w:t>。</w:t>
      </w:r>
    </w:p>
    <w:p>
      <w:pPr>
        <w:pBdr>
          <w:bottom w:val="single" w:color="FFFFFF" w:sz="4" w:space="31"/>
        </w:pBdr>
        <w:adjustRightInd w:val="0"/>
        <w:snapToGrid w:val="0"/>
        <w:spacing w:line="560" w:lineRule="exact"/>
        <w:ind w:firstLine="640" w:firstLineChars="200"/>
        <w:rPr>
          <w:rFonts w:ascii="楷体_GB2312" w:eastAsia="楷体_GB2312"/>
          <w:sz w:val="32"/>
          <w:szCs w:val="32"/>
        </w:rPr>
      </w:pPr>
      <w:r>
        <w:rPr>
          <w:rFonts w:hint="eastAsia" w:ascii="楷体_GB2312" w:eastAsia="楷体_GB2312"/>
          <w:sz w:val="32"/>
          <w:szCs w:val="32"/>
        </w:rPr>
        <w:t>（五）部门</w:t>
      </w:r>
      <w:r>
        <w:rPr>
          <w:rFonts w:ascii="楷体_GB2312" w:eastAsia="楷体_GB2312"/>
          <w:sz w:val="32"/>
          <w:szCs w:val="32"/>
        </w:rPr>
        <w:t>预决算差异率</w:t>
      </w:r>
    </w:p>
    <w:p>
      <w:pPr>
        <w:pBdr>
          <w:bottom w:val="single" w:color="FFFFFF" w:sz="4" w:space="31"/>
        </w:pBdr>
        <w:adjustRightInd w:val="0"/>
        <w:snapToGrid w:val="0"/>
        <w:spacing w:line="560" w:lineRule="exact"/>
        <w:ind w:firstLine="640" w:firstLineChars="200"/>
        <w:rPr>
          <w:rFonts w:ascii="楷体_GB2312" w:eastAsia="楷体_GB2312"/>
          <w:sz w:val="32"/>
          <w:szCs w:val="32"/>
          <w:highlight w:val="none"/>
        </w:rPr>
      </w:pPr>
      <w:r>
        <w:rPr>
          <w:rFonts w:hint="eastAsia" w:ascii="仿宋_GB2312" w:eastAsia="仿宋_GB2312"/>
          <w:sz w:val="32"/>
          <w:szCs w:val="32"/>
          <w:highlight w:val="none"/>
        </w:rPr>
        <w:t>市发展改革委202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年部门预决算差异率为</w:t>
      </w:r>
      <w:r>
        <w:rPr>
          <w:rFonts w:ascii="仿宋_GB2312" w:eastAsia="仿宋_GB2312"/>
          <w:sz w:val="32"/>
          <w:szCs w:val="32"/>
          <w:highlight w:val="none"/>
        </w:rPr>
        <w:t>4.</w:t>
      </w:r>
      <w:r>
        <w:rPr>
          <w:rFonts w:hint="eastAsia" w:ascii="仿宋_GB2312" w:eastAsia="仿宋_GB2312"/>
          <w:sz w:val="32"/>
          <w:szCs w:val="32"/>
          <w:highlight w:val="none"/>
          <w:lang w:val="en-US" w:eastAsia="zh-CN"/>
        </w:rPr>
        <w:t>53</w:t>
      </w:r>
      <w:r>
        <w:rPr>
          <w:rFonts w:hint="eastAsia" w:ascii="仿宋_GB2312" w:eastAsia="仿宋_GB2312"/>
          <w:sz w:val="32"/>
          <w:szCs w:val="32"/>
          <w:highlight w:val="none"/>
        </w:rPr>
        <w:t>%。</w:t>
      </w:r>
    </w:p>
    <w:p>
      <w:pPr>
        <w:pBdr>
          <w:bottom w:val="single" w:color="FFFFFF" w:sz="4" w:space="31"/>
        </w:pBdr>
        <w:adjustRightInd w:val="0"/>
        <w:snapToGrid w:val="0"/>
        <w:spacing w:line="560" w:lineRule="exact"/>
        <w:ind w:firstLine="640" w:firstLineChars="200"/>
        <w:rPr>
          <w:rFonts w:ascii="楷体_GB2312" w:eastAsia="楷体_GB2312"/>
          <w:sz w:val="32"/>
          <w:szCs w:val="32"/>
        </w:rPr>
      </w:pPr>
      <w:r>
        <w:rPr>
          <w:rFonts w:hint="eastAsia" w:ascii="黑体" w:hAnsi="黑体" w:eastAsia="黑体"/>
          <w:sz w:val="32"/>
          <w:szCs w:val="32"/>
        </w:rPr>
        <w:t>五、总体</w:t>
      </w:r>
      <w:r>
        <w:rPr>
          <w:rFonts w:ascii="黑体" w:hAnsi="黑体" w:eastAsia="黑体"/>
          <w:sz w:val="32"/>
          <w:szCs w:val="32"/>
        </w:rPr>
        <w:t>评价结论</w:t>
      </w:r>
    </w:p>
    <w:p>
      <w:pPr>
        <w:pBdr>
          <w:bottom w:val="single" w:color="FFFFFF" w:sz="4" w:space="31"/>
        </w:pBdr>
        <w:adjustRightInd w:val="0"/>
        <w:snapToGrid w:val="0"/>
        <w:spacing w:line="560" w:lineRule="exact"/>
        <w:ind w:firstLine="640" w:firstLineChars="200"/>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pBdr>
          <w:bottom w:val="single" w:color="FFFFFF" w:sz="4" w:space="31"/>
        </w:pBdr>
        <w:adjustRightInd w:val="0"/>
        <w:snapToGrid w:val="0"/>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市发展改革委部门整体绩效评</w:t>
      </w:r>
      <w:bookmarkStart w:id="0" w:name="_GoBack"/>
      <w:bookmarkEnd w:id="0"/>
      <w:r>
        <w:rPr>
          <w:rFonts w:hint="eastAsia" w:ascii="仿宋_GB2312" w:eastAsia="仿宋_GB2312"/>
          <w:sz w:val="32"/>
          <w:szCs w:val="32"/>
          <w:highlight w:val="none"/>
        </w:rPr>
        <w:t>价得分为9</w:t>
      </w:r>
      <w:r>
        <w:rPr>
          <w:rFonts w:hint="eastAsia" w:ascii="仿宋_GB2312" w:eastAsia="仿宋_GB2312"/>
          <w:sz w:val="32"/>
          <w:szCs w:val="32"/>
          <w:highlight w:val="none"/>
          <w:lang w:val="en-US" w:eastAsia="zh-CN"/>
        </w:rPr>
        <w:t>7.48</w:t>
      </w:r>
      <w:r>
        <w:rPr>
          <w:rFonts w:hint="eastAsia" w:ascii="仿宋_GB2312" w:eastAsia="仿宋_GB2312"/>
          <w:sz w:val="32"/>
          <w:szCs w:val="32"/>
          <w:highlight w:val="none"/>
        </w:rPr>
        <w:t>分。</w:t>
      </w:r>
    </w:p>
    <w:p>
      <w:pPr>
        <w:pBdr>
          <w:bottom w:val="single" w:color="FFFFFF" w:sz="4" w:space="31"/>
        </w:pBdr>
        <w:adjustRightInd w:val="0"/>
        <w:snapToGrid w:val="0"/>
        <w:spacing w:line="560" w:lineRule="exact"/>
        <w:ind w:firstLine="640" w:firstLineChars="200"/>
        <w:rPr>
          <w:rFonts w:ascii="楷体_GB2312" w:eastAsia="楷体_GB2312"/>
          <w:sz w:val="32"/>
          <w:szCs w:val="32"/>
        </w:rPr>
      </w:pPr>
      <w:r>
        <w:rPr>
          <w:rFonts w:hint="eastAsia" w:ascii="楷体_GB2312" w:eastAsia="楷体_GB2312"/>
          <w:sz w:val="32"/>
          <w:szCs w:val="32"/>
        </w:rPr>
        <w:t>（二）存在的问题及原因分析</w:t>
      </w:r>
    </w:p>
    <w:p>
      <w:pPr>
        <w:pBdr>
          <w:bottom w:val="single" w:color="FFFFFF" w:sz="4" w:space="31"/>
        </w:pBdr>
        <w:adjustRightInd w:val="0"/>
        <w:snapToGrid w:val="0"/>
        <w:spacing w:line="560" w:lineRule="exact"/>
        <w:ind w:firstLine="640" w:firstLineChars="200"/>
        <w:rPr>
          <w:rFonts w:ascii="楷体_GB2312" w:eastAsia="楷体_GB2312"/>
          <w:sz w:val="32"/>
          <w:szCs w:val="32"/>
        </w:rPr>
      </w:pPr>
      <w:r>
        <w:rPr>
          <w:rFonts w:hint="eastAsia" w:ascii="仿宋_GB2312" w:eastAsia="仿宋_GB2312"/>
          <w:sz w:val="32"/>
          <w:szCs w:val="32"/>
        </w:rPr>
        <w:t>市发展改革委202</w:t>
      </w:r>
      <w:r>
        <w:rPr>
          <w:rFonts w:hint="eastAsia" w:ascii="仿宋_GB2312" w:eastAsia="仿宋_GB2312"/>
          <w:sz w:val="32"/>
          <w:szCs w:val="32"/>
          <w:lang w:val="en-US" w:eastAsia="zh-CN"/>
        </w:rPr>
        <w:t>3</w:t>
      </w:r>
      <w:r>
        <w:rPr>
          <w:rFonts w:hint="eastAsia" w:ascii="仿宋_GB2312" w:eastAsia="仿宋_GB2312"/>
          <w:sz w:val="32"/>
          <w:szCs w:val="32"/>
        </w:rPr>
        <w:t>年度项目支出和任务开展操作规范、依据明确，能够紧紧围绕全委中心工作，合理安排项目推进步骤，科学使用各项预算经费，资金使用合规，项目效益突出，为</w:t>
      </w:r>
      <w:r>
        <w:rPr>
          <w:rFonts w:ascii="仿宋_GB2312" w:eastAsia="仿宋_GB2312"/>
          <w:sz w:val="32"/>
          <w:szCs w:val="32"/>
        </w:rPr>
        <w:t>各项</w:t>
      </w:r>
      <w:r>
        <w:rPr>
          <w:rFonts w:hint="eastAsia" w:ascii="仿宋_GB2312" w:eastAsia="仿宋_GB2312"/>
          <w:sz w:val="32"/>
          <w:szCs w:val="32"/>
        </w:rPr>
        <w:t>发展改革工作有序开展提供了有力支撑。但在绩效评价</w:t>
      </w:r>
      <w:r>
        <w:rPr>
          <w:rFonts w:ascii="仿宋_GB2312" w:eastAsia="仿宋_GB2312"/>
          <w:sz w:val="32"/>
          <w:szCs w:val="32"/>
        </w:rPr>
        <w:t>过程中，</w:t>
      </w:r>
      <w:r>
        <w:rPr>
          <w:rFonts w:hint="eastAsia" w:ascii="仿宋_GB2312" w:eastAsia="仿宋_GB2312"/>
          <w:sz w:val="32"/>
          <w:szCs w:val="32"/>
        </w:rPr>
        <w:t>也发现个别绩效指标</w:t>
      </w:r>
      <w:r>
        <w:rPr>
          <w:rFonts w:ascii="仿宋_GB2312" w:eastAsia="仿宋_GB2312"/>
          <w:sz w:val="32"/>
          <w:szCs w:val="32"/>
        </w:rPr>
        <w:t>设置</w:t>
      </w:r>
      <w:r>
        <w:rPr>
          <w:rFonts w:hint="eastAsia" w:ascii="仿宋_GB2312" w:eastAsia="仿宋_GB2312"/>
          <w:sz w:val="32"/>
          <w:szCs w:val="32"/>
        </w:rPr>
        <w:t>的</w:t>
      </w:r>
      <w:r>
        <w:rPr>
          <w:rFonts w:ascii="仿宋_GB2312" w:eastAsia="仿宋_GB2312"/>
          <w:sz w:val="32"/>
          <w:szCs w:val="32"/>
        </w:rPr>
        <w:t>系统性</w:t>
      </w:r>
      <w:r>
        <w:rPr>
          <w:rFonts w:hint="eastAsia" w:ascii="仿宋_GB2312" w:eastAsia="仿宋_GB2312"/>
          <w:sz w:val="32"/>
          <w:szCs w:val="32"/>
        </w:rPr>
        <w:t>、</w:t>
      </w:r>
      <w:r>
        <w:rPr>
          <w:rFonts w:ascii="仿宋_GB2312" w:eastAsia="仿宋_GB2312"/>
          <w:sz w:val="32"/>
          <w:szCs w:val="32"/>
        </w:rPr>
        <w:t>完整性</w:t>
      </w:r>
      <w:r>
        <w:rPr>
          <w:rFonts w:hint="eastAsia" w:ascii="仿宋_GB2312" w:eastAsia="仿宋_GB2312"/>
          <w:sz w:val="32"/>
          <w:szCs w:val="32"/>
        </w:rPr>
        <w:t>还不够</w:t>
      </w:r>
      <w:r>
        <w:rPr>
          <w:rFonts w:ascii="仿宋_GB2312" w:eastAsia="仿宋_GB2312"/>
          <w:sz w:val="32"/>
          <w:szCs w:val="32"/>
        </w:rPr>
        <w:t>强，</w:t>
      </w:r>
      <w:r>
        <w:rPr>
          <w:rFonts w:hint="eastAsia" w:ascii="仿宋_GB2312" w:eastAsia="仿宋_GB2312"/>
          <w:sz w:val="32"/>
          <w:szCs w:val="32"/>
        </w:rPr>
        <w:t>需要进一步完善</w:t>
      </w:r>
      <w:r>
        <w:rPr>
          <w:rFonts w:ascii="仿宋_GB2312" w:eastAsia="仿宋_GB2312"/>
          <w:sz w:val="32"/>
          <w:szCs w:val="32"/>
        </w:rPr>
        <w:t>和改进。</w:t>
      </w:r>
    </w:p>
    <w:p>
      <w:pPr>
        <w:pBdr>
          <w:bottom w:val="single" w:color="FFFFFF" w:sz="4" w:space="31"/>
        </w:pBdr>
        <w:adjustRightInd w:val="0"/>
        <w:snapToGrid w:val="0"/>
        <w:spacing w:line="56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六、措施建议</w:t>
      </w:r>
    </w:p>
    <w:p>
      <w:pPr>
        <w:pBdr>
          <w:bottom w:val="single" w:color="FFFFFF" w:sz="4" w:space="31"/>
        </w:pBdr>
        <w:adjustRightInd w:val="0"/>
        <w:snapToGrid w:val="0"/>
        <w:spacing w:line="560" w:lineRule="exact"/>
        <w:ind w:firstLine="643" w:firstLineChars="200"/>
        <w:rPr>
          <w:rFonts w:ascii="仿宋_GB2312" w:eastAsia="仿宋_GB2312"/>
          <w:sz w:val="32"/>
          <w:szCs w:val="32"/>
        </w:rPr>
      </w:pPr>
      <w:r>
        <w:rPr>
          <w:rFonts w:hint="eastAsia" w:ascii="仿宋_GB2312" w:eastAsia="仿宋_GB2312"/>
          <w:b/>
          <w:sz w:val="32"/>
          <w:szCs w:val="32"/>
        </w:rPr>
        <w:t>一是</w:t>
      </w:r>
      <w:r>
        <w:rPr>
          <w:rFonts w:hint="eastAsia" w:ascii="仿宋_GB2312" w:eastAsia="仿宋_GB2312"/>
          <w:sz w:val="32"/>
          <w:szCs w:val="32"/>
        </w:rPr>
        <w:t>加强财政预算绩效管理理念及目标导向意识，科学填报项目总体目标及各项绩效指标，保证绩效目标的明确性、全面性、合理性、细化量化及可考量性。在预算调整后应及时调整绩效目标，充分发挥绩效评价结果导向性作用，促进公共资源合理配置，提升财政资金的使用效益。</w:t>
      </w:r>
    </w:p>
    <w:p>
      <w:pPr>
        <w:pBdr>
          <w:bottom w:val="single" w:color="FFFFFF" w:sz="4" w:space="31"/>
        </w:pBdr>
        <w:adjustRightInd w:val="0"/>
        <w:snapToGrid w:val="0"/>
        <w:spacing w:line="560" w:lineRule="exact"/>
        <w:ind w:firstLine="643" w:firstLineChars="200"/>
        <w:rPr>
          <w:rFonts w:ascii="仿宋_GB2312" w:hAnsi="宋体" w:eastAsia="仿宋_GB2312"/>
          <w:sz w:val="32"/>
          <w:szCs w:val="32"/>
        </w:rPr>
      </w:pPr>
      <w:r>
        <w:rPr>
          <w:rFonts w:hint="eastAsia" w:ascii="仿宋_GB2312" w:eastAsia="仿宋_GB2312"/>
          <w:b/>
          <w:sz w:val="32"/>
          <w:szCs w:val="32"/>
        </w:rPr>
        <w:t>二是</w:t>
      </w:r>
      <w:r>
        <w:rPr>
          <w:rFonts w:hint="eastAsia" w:ascii="仿宋_GB2312" w:eastAsia="仿宋_GB2312"/>
          <w:sz w:val="32"/>
          <w:szCs w:val="32"/>
        </w:rPr>
        <w:t>结合部门职责及历年支出情况，进一步细化具体的量化指标，梳理建立预算支出核心绩效指标及绩效标准，在编制202</w:t>
      </w:r>
      <w:r>
        <w:rPr>
          <w:rFonts w:hint="eastAsia" w:ascii="仿宋_GB2312" w:eastAsia="仿宋_GB2312"/>
          <w:sz w:val="32"/>
          <w:szCs w:val="32"/>
          <w:lang w:val="en-US" w:eastAsia="zh-CN"/>
        </w:rPr>
        <w:t>5</w:t>
      </w:r>
      <w:r>
        <w:rPr>
          <w:rFonts w:hint="eastAsia" w:ascii="仿宋_GB2312" w:eastAsia="仿宋_GB2312"/>
          <w:sz w:val="32"/>
          <w:szCs w:val="32"/>
        </w:rPr>
        <w:t>年预算绩效目标</w:t>
      </w:r>
      <w:r>
        <w:rPr>
          <w:rFonts w:hint="eastAsia" w:ascii="仿宋_GB2312" w:hAnsi="宋体" w:eastAsia="仿宋_GB2312"/>
          <w:sz w:val="32"/>
          <w:szCs w:val="32"/>
        </w:rPr>
        <w:t>时</w:t>
      </w:r>
      <w:r>
        <w:rPr>
          <w:rFonts w:hint="eastAsia" w:ascii="Calibri" w:hAnsi="Calibri" w:eastAsia="仿宋_GB2312" w:cs="Calibri"/>
          <w:sz w:val="32"/>
          <w:szCs w:val="32"/>
        </w:rPr>
        <w:t>加以应用</w:t>
      </w:r>
      <w:r>
        <w:rPr>
          <w:rFonts w:hint="eastAsia" w:ascii="仿宋_GB2312" w:hAnsi="宋体" w:eastAsia="仿宋_GB2312"/>
          <w:sz w:val="32"/>
          <w:szCs w:val="32"/>
        </w:rPr>
        <w:t>，努力实现绩效目标设定的规划化、系统化、全面化，做到申报目标与预算资金、实施效果相匹配。</w:t>
      </w:r>
    </w:p>
    <w:p>
      <w:pPr>
        <w:pBdr>
          <w:bottom w:val="single" w:color="FFFFFF" w:sz="4" w:space="31"/>
        </w:pBdr>
        <w:adjustRightInd w:val="0"/>
        <w:snapToGrid w:val="0"/>
        <w:spacing w:line="56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七</w:t>
      </w:r>
      <w:r>
        <w:rPr>
          <w:rFonts w:ascii="黑体" w:hAnsi="黑体" w:eastAsia="黑体" w:cs="宋体"/>
          <w:color w:val="000000"/>
          <w:kern w:val="0"/>
          <w:sz w:val="32"/>
          <w:szCs w:val="32"/>
        </w:rPr>
        <w:t>、附件</w:t>
      </w:r>
    </w:p>
    <w:p>
      <w:pPr>
        <w:pBdr>
          <w:bottom w:val="single" w:color="FFFFFF" w:sz="4" w:space="31"/>
        </w:pBdr>
        <w:adjustRightInd w:val="0"/>
        <w:snapToGrid w:val="0"/>
        <w:spacing w:line="560" w:lineRule="exact"/>
        <w:ind w:firstLine="640" w:firstLineChars="200"/>
        <w:rPr>
          <w:rFonts w:ascii="仿宋_GB2312" w:hAnsi="宋体" w:eastAsia="仿宋_GB2312"/>
          <w:sz w:val="32"/>
          <w:szCs w:val="32"/>
        </w:rPr>
        <w:sectPr>
          <w:pgSz w:w="11906" w:h="16838"/>
          <w:pgMar w:top="1440" w:right="1800" w:bottom="1440" w:left="1800" w:header="851" w:footer="992" w:gutter="0"/>
          <w:pgNumType w:fmt="numberInDash"/>
          <w:cols w:space="425" w:num="1"/>
          <w:docGrid w:type="lines" w:linePitch="312" w:charSpace="0"/>
        </w:sect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年部门整体绩效评价指标体系评分表</w:t>
      </w:r>
    </w:p>
    <w:p>
      <w:pPr>
        <w:spacing w:line="360" w:lineRule="exact"/>
        <w:jc w:val="left"/>
        <w:rPr>
          <w:rFonts w:ascii="黑体" w:hAnsi="黑体" w:eastAsia="黑体"/>
          <w:sz w:val="28"/>
          <w:szCs w:val="28"/>
        </w:rPr>
      </w:pPr>
      <w:r>
        <w:rPr>
          <w:rFonts w:hint="eastAsia" w:ascii="黑体" w:hAnsi="黑体" w:eastAsia="黑体"/>
          <w:sz w:val="28"/>
          <w:szCs w:val="28"/>
        </w:rPr>
        <w:t>附件</w:t>
      </w:r>
    </w:p>
    <w:p>
      <w:pPr>
        <w:pStyle w:val="2"/>
        <w:spacing w:after="0" w:line="360" w:lineRule="exact"/>
        <w:jc w:val="center"/>
        <w:rPr>
          <w:rFonts w:ascii="方正小标宋简体" w:eastAsia="方正小标宋简体"/>
        </w:rPr>
      </w:pPr>
      <w:r>
        <w:rPr>
          <w:rFonts w:hint="eastAsia" w:ascii="方正小标宋简体" w:eastAsia="方正小标宋简体"/>
        </w:rPr>
        <w:t>202</w:t>
      </w:r>
      <w:r>
        <w:rPr>
          <w:rFonts w:hint="eastAsia" w:ascii="方正小标宋简体" w:eastAsia="方正小标宋简体"/>
          <w:lang w:val="en-US" w:eastAsia="zh-CN"/>
        </w:rPr>
        <w:t>3</w:t>
      </w:r>
      <w:r>
        <w:rPr>
          <w:rFonts w:hint="eastAsia" w:ascii="方正小标宋简体" w:eastAsia="方正小标宋简体"/>
        </w:rPr>
        <w:t>年部门整体绩效评价指标体系评分表</w:t>
      </w:r>
    </w:p>
    <w:p>
      <w:pPr>
        <w:rPr>
          <w:rFonts w:ascii="黑体" w:hAnsi="黑体" w:eastAsia="黑体"/>
        </w:rPr>
      </w:pPr>
      <w:r>
        <w:rPr>
          <w:rFonts w:hint="eastAsia" w:ascii="黑体" w:hAnsi="黑体" w:eastAsia="黑体"/>
        </w:rPr>
        <w:t>一、当年预算执行情况（20分）</w:t>
      </w:r>
    </w:p>
    <w:tbl>
      <w:tblPr>
        <w:tblStyle w:val="9"/>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2551"/>
        <w:gridCol w:w="2551"/>
        <w:gridCol w:w="4819"/>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1"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二级指标</w:t>
            </w:r>
          </w:p>
        </w:tc>
        <w:tc>
          <w:tcPr>
            <w:tcW w:w="2551"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预算数（万元）</w:t>
            </w:r>
          </w:p>
        </w:tc>
        <w:tc>
          <w:tcPr>
            <w:tcW w:w="2551"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执行数（万元）</w:t>
            </w:r>
          </w:p>
        </w:tc>
        <w:tc>
          <w:tcPr>
            <w:tcW w:w="4819"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预算执行率</w:t>
            </w:r>
          </w:p>
        </w:tc>
        <w:tc>
          <w:tcPr>
            <w:tcW w:w="850"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b/>
                <w:sz w:val="20"/>
                <w:szCs w:val="20"/>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1" w:type="dxa"/>
            <w:vMerge w:val="restart"/>
            <w:vAlign w:val="center"/>
          </w:tcPr>
          <w:p>
            <w:pPr>
              <w:jc w:val="center"/>
              <w:rPr>
                <w:rFonts w:ascii="仿宋_GB2312" w:eastAsia="仿宋_GB2312"/>
              </w:rPr>
            </w:pPr>
            <w:r>
              <w:rPr>
                <w:rFonts w:hint="eastAsia" w:ascii="仿宋_GB2312" w:eastAsia="仿宋_GB2312"/>
              </w:rPr>
              <w:t>当年预算</w:t>
            </w:r>
          </w:p>
          <w:p>
            <w:pPr>
              <w:jc w:val="center"/>
              <w:rPr>
                <w:rFonts w:ascii="仿宋_GB2312" w:eastAsia="仿宋_GB2312"/>
              </w:rPr>
            </w:pPr>
            <w:r>
              <w:rPr>
                <w:rFonts w:hint="eastAsia" w:ascii="仿宋_GB2312" w:eastAsia="仿宋_GB2312"/>
              </w:rPr>
              <w:t>执行情况</w:t>
            </w:r>
          </w:p>
          <w:p>
            <w:pPr>
              <w:jc w:val="center"/>
              <w:rPr>
                <w:rFonts w:ascii="仿宋_GB2312" w:eastAsia="仿宋_GB2312"/>
              </w:rPr>
            </w:pPr>
            <w:r>
              <w:rPr>
                <w:rFonts w:hint="eastAsia" w:ascii="仿宋_GB2312" w:eastAsia="仿宋_GB2312"/>
              </w:rPr>
              <w:t>（20分）</w:t>
            </w:r>
          </w:p>
        </w:tc>
        <w:tc>
          <w:tcPr>
            <w:tcW w:w="1134" w:type="dxa"/>
            <w:vAlign w:val="center"/>
          </w:tcPr>
          <w:p>
            <w:pPr>
              <w:jc w:val="center"/>
              <w:rPr>
                <w:rFonts w:ascii="仿宋_GB2312" w:eastAsia="仿宋_GB2312"/>
                <w:szCs w:val="21"/>
              </w:rPr>
            </w:pPr>
            <w:r>
              <w:rPr>
                <w:rFonts w:hint="eastAsia" w:ascii="仿宋_GB2312" w:eastAsia="仿宋_GB2312"/>
                <w:szCs w:val="21"/>
              </w:rPr>
              <w:t>资金总体</w:t>
            </w:r>
          </w:p>
        </w:tc>
        <w:tc>
          <w:tcPr>
            <w:tcW w:w="2551" w:type="dxa"/>
            <w:vAlign w:val="center"/>
          </w:tcPr>
          <w:p>
            <w:pPr>
              <w:jc w:val="right"/>
              <w:rPr>
                <w:rFonts w:hint="default" w:ascii="仿宋_GB2312" w:eastAsia="仿宋_GB2312"/>
                <w:lang w:val="en-US" w:eastAsia="zh-CN"/>
              </w:rPr>
            </w:pPr>
            <w:r>
              <w:rPr>
                <w:rFonts w:hint="eastAsia" w:ascii="仿宋_GB2312" w:eastAsia="仿宋_GB2312"/>
              </w:rPr>
              <w:t>99,</w:t>
            </w:r>
            <w:r>
              <w:rPr>
                <w:rFonts w:hint="eastAsia" w:ascii="仿宋_GB2312" w:eastAsia="仿宋_GB2312"/>
                <w:lang w:val="en-US" w:eastAsia="zh-CN"/>
              </w:rPr>
              <w:t>475.93</w:t>
            </w:r>
          </w:p>
        </w:tc>
        <w:tc>
          <w:tcPr>
            <w:tcW w:w="2551" w:type="dxa"/>
            <w:vAlign w:val="center"/>
          </w:tcPr>
          <w:p>
            <w:pPr>
              <w:jc w:val="right"/>
              <w:rPr>
                <w:rFonts w:ascii="仿宋_GB2312" w:eastAsia="仿宋_GB2312"/>
              </w:rPr>
            </w:pPr>
            <w:r>
              <w:rPr>
                <w:rFonts w:hint="eastAsia" w:ascii="仿宋_GB2312" w:eastAsia="仿宋_GB2312"/>
              </w:rPr>
              <w:t>91,901.05</w:t>
            </w:r>
          </w:p>
        </w:tc>
        <w:tc>
          <w:tcPr>
            <w:tcW w:w="4819" w:type="dxa"/>
            <w:vAlign w:val="center"/>
          </w:tcPr>
          <w:p>
            <w:pPr>
              <w:jc w:val="right"/>
              <w:rPr>
                <w:rFonts w:ascii="仿宋_GB2312" w:eastAsia="仿宋_GB2312"/>
              </w:rPr>
            </w:pPr>
            <w:r>
              <w:rPr>
                <w:rFonts w:hint="eastAsia" w:ascii="仿宋_GB2312" w:eastAsia="仿宋_GB2312"/>
              </w:rPr>
              <w:t>92.3</w:t>
            </w:r>
            <w:r>
              <w:rPr>
                <w:rFonts w:hint="eastAsia" w:ascii="仿宋_GB2312" w:eastAsia="仿宋_GB2312"/>
                <w:lang w:val="en-US" w:eastAsia="zh-CN"/>
              </w:rPr>
              <w:t>9</w:t>
            </w:r>
            <w:r>
              <w:rPr>
                <w:rFonts w:hint="eastAsia" w:ascii="仿宋_GB2312" w:eastAsia="仿宋_GB2312"/>
              </w:rPr>
              <w:t>%</w:t>
            </w:r>
          </w:p>
        </w:tc>
        <w:tc>
          <w:tcPr>
            <w:tcW w:w="850" w:type="dxa"/>
            <w:vMerge w:val="restart"/>
            <w:vAlign w:val="center"/>
          </w:tcPr>
          <w:p>
            <w:pPr>
              <w:jc w:val="center"/>
              <w:rPr>
                <w:rFonts w:ascii="仿宋_GB2312" w:eastAsia="仿宋_GB2312"/>
              </w:rPr>
            </w:pPr>
            <w:r>
              <w:rPr>
                <w:rFonts w:hint="eastAsia" w:ascii="仿宋_GB2312" w:eastAsia="仿宋_GB2312"/>
              </w:rPr>
              <w:t>20</w:t>
            </w:r>
          </w:p>
        </w:tc>
        <w:tc>
          <w:tcPr>
            <w:tcW w:w="850" w:type="dxa"/>
            <w:vMerge w:val="restart"/>
            <w:vAlign w:val="center"/>
          </w:tcPr>
          <w:p>
            <w:pPr>
              <w:jc w:val="center"/>
              <w:rPr>
                <w:rFonts w:hint="default" w:ascii="仿宋_GB2312" w:eastAsia="仿宋_GB2312"/>
                <w:lang w:val="en-US" w:eastAsia="zh-CN"/>
              </w:rPr>
            </w:pPr>
            <w:r>
              <w:rPr>
                <w:rFonts w:hint="eastAsia" w:ascii="仿宋_GB2312" w:eastAsia="仿宋_GB2312"/>
              </w:rPr>
              <w:t>18.</w:t>
            </w:r>
            <w:r>
              <w:rPr>
                <w:rFonts w:hint="eastAsia" w:ascii="仿宋_GB2312" w:eastAsia="仿宋_GB2312"/>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1" w:type="dxa"/>
            <w:vMerge w:val="continue"/>
          </w:tcPr>
          <w:p>
            <w:pPr>
              <w:jc w:val="center"/>
              <w:rPr>
                <w:rFonts w:ascii="仿宋_GB2312" w:eastAsia="仿宋_GB2312"/>
              </w:rPr>
            </w:pPr>
          </w:p>
        </w:tc>
        <w:tc>
          <w:tcPr>
            <w:tcW w:w="1134" w:type="dxa"/>
            <w:vAlign w:val="center"/>
          </w:tcPr>
          <w:p>
            <w:pPr>
              <w:jc w:val="center"/>
              <w:rPr>
                <w:rFonts w:ascii="仿宋_GB2312" w:eastAsia="仿宋_GB2312"/>
                <w:szCs w:val="21"/>
              </w:rPr>
            </w:pPr>
            <w:r>
              <w:rPr>
                <w:rFonts w:hint="eastAsia" w:ascii="仿宋_GB2312" w:eastAsia="仿宋_GB2312"/>
                <w:szCs w:val="21"/>
              </w:rPr>
              <w:t>基本支出</w:t>
            </w:r>
          </w:p>
        </w:tc>
        <w:tc>
          <w:tcPr>
            <w:tcW w:w="2551" w:type="dxa"/>
            <w:vAlign w:val="center"/>
          </w:tcPr>
          <w:p>
            <w:pPr>
              <w:jc w:val="right"/>
              <w:rPr>
                <w:rFonts w:hint="default" w:ascii="仿宋_GB2312" w:eastAsia="仿宋_GB2312"/>
                <w:lang w:val="en-US" w:eastAsia="zh-CN"/>
              </w:rPr>
            </w:pPr>
            <w:r>
              <w:rPr>
                <w:rFonts w:hint="eastAsia" w:ascii="仿宋_GB2312" w:eastAsia="仿宋_GB2312"/>
              </w:rPr>
              <w:t>42,684.</w:t>
            </w:r>
            <w:r>
              <w:rPr>
                <w:rFonts w:hint="eastAsia" w:ascii="仿宋_GB2312" w:eastAsia="仿宋_GB2312"/>
                <w:lang w:val="en-US" w:eastAsia="zh-CN"/>
              </w:rPr>
              <w:t>38</w:t>
            </w:r>
          </w:p>
        </w:tc>
        <w:tc>
          <w:tcPr>
            <w:tcW w:w="2551" w:type="dxa"/>
            <w:vAlign w:val="center"/>
          </w:tcPr>
          <w:p>
            <w:pPr>
              <w:jc w:val="right"/>
              <w:rPr>
                <w:rFonts w:ascii="仿宋_GB2312" w:eastAsia="仿宋_GB2312"/>
              </w:rPr>
            </w:pPr>
            <w:r>
              <w:rPr>
                <w:rFonts w:hint="eastAsia" w:ascii="仿宋_GB2312" w:eastAsia="仿宋_GB2312"/>
              </w:rPr>
              <w:t>41,599.14</w:t>
            </w:r>
          </w:p>
        </w:tc>
        <w:tc>
          <w:tcPr>
            <w:tcW w:w="4819" w:type="dxa"/>
            <w:vAlign w:val="center"/>
          </w:tcPr>
          <w:p>
            <w:pPr>
              <w:jc w:val="right"/>
              <w:rPr>
                <w:rFonts w:ascii="仿宋_GB2312" w:eastAsia="仿宋_GB2312"/>
              </w:rPr>
            </w:pPr>
            <w:r>
              <w:rPr>
                <w:rFonts w:hint="eastAsia" w:ascii="仿宋_GB2312" w:eastAsia="仿宋_GB2312"/>
              </w:rPr>
              <w:t>——</w:t>
            </w:r>
          </w:p>
        </w:tc>
        <w:tc>
          <w:tcPr>
            <w:tcW w:w="850" w:type="dxa"/>
            <w:vMerge w:val="continue"/>
            <w:vAlign w:val="center"/>
          </w:tcPr>
          <w:p>
            <w:pPr>
              <w:jc w:val="center"/>
              <w:rPr>
                <w:rFonts w:ascii="仿宋_GB2312" w:eastAsia="仿宋_GB2312"/>
              </w:rPr>
            </w:pPr>
          </w:p>
        </w:tc>
        <w:tc>
          <w:tcPr>
            <w:tcW w:w="850" w:type="dxa"/>
            <w:vMerge w:val="continue"/>
            <w:vAlign w:val="center"/>
          </w:tcPr>
          <w:p>
            <w:pPr>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1" w:type="dxa"/>
            <w:vMerge w:val="continue"/>
          </w:tcPr>
          <w:p>
            <w:pPr>
              <w:jc w:val="center"/>
              <w:rPr>
                <w:rFonts w:ascii="仿宋_GB2312" w:eastAsia="仿宋_GB2312"/>
              </w:rPr>
            </w:pPr>
          </w:p>
        </w:tc>
        <w:tc>
          <w:tcPr>
            <w:tcW w:w="1134" w:type="dxa"/>
            <w:vAlign w:val="center"/>
          </w:tcPr>
          <w:p>
            <w:pPr>
              <w:jc w:val="center"/>
              <w:rPr>
                <w:rFonts w:ascii="仿宋_GB2312" w:eastAsia="仿宋_GB2312"/>
                <w:szCs w:val="21"/>
              </w:rPr>
            </w:pPr>
            <w:r>
              <w:rPr>
                <w:rFonts w:hint="eastAsia" w:ascii="仿宋_GB2312" w:eastAsia="仿宋_GB2312"/>
                <w:szCs w:val="21"/>
              </w:rPr>
              <w:t>项目支出</w:t>
            </w:r>
          </w:p>
        </w:tc>
        <w:tc>
          <w:tcPr>
            <w:tcW w:w="2551" w:type="dxa"/>
            <w:vAlign w:val="center"/>
          </w:tcPr>
          <w:p>
            <w:pPr>
              <w:jc w:val="right"/>
              <w:rPr>
                <w:rFonts w:hint="default" w:ascii="仿宋_GB2312" w:eastAsia="仿宋_GB2312"/>
                <w:lang w:val="en-US" w:eastAsia="zh-CN"/>
              </w:rPr>
            </w:pPr>
            <w:r>
              <w:rPr>
                <w:rFonts w:hint="eastAsia" w:ascii="仿宋_GB2312" w:eastAsia="仿宋_GB2312"/>
              </w:rPr>
              <w:t>56,</w:t>
            </w:r>
            <w:r>
              <w:rPr>
                <w:rFonts w:hint="eastAsia" w:ascii="仿宋_GB2312" w:eastAsia="仿宋_GB2312"/>
                <w:lang w:val="en-US" w:eastAsia="zh-CN"/>
              </w:rPr>
              <w:t>797</w:t>
            </w:r>
            <w:r>
              <w:rPr>
                <w:rFonts w:hint="eastAsia" w:ascii="仿宋_GB2312" w:eastAsia="仿宋_GB2312"/>
              </w:rPr>
              <w:t>.</w:t>
            </w:r>
            <w:r>
              <w:rPr>
                <w:rFonts w:hint="eastAsia" w:ascii="仿宋_GB2312" w:eastAsia="仿宋_GB2312"/>
                <w:lang w:val="en-US" w:eastAsia="zh-CN"/>
              </w:rPr>
              <w:t>55</w:t>
            </w:r>
          </w:p>
        </w:tc>
        <w:tc>
          <w:tcPr>
            <w:tcW w:w="2551" w:type="dxa"/>
            <w:vAlign w:val="center"/>
          </w:tcPr>
          <w:p>
            <w:pPr>
              <w:jc w:val="right"/>
              <w:rPr>
                <w:rFonts w:ascii="仿宋_GB2312" w:eastAsia="仿宋_GB2312"/>
              </w:rPr>
            </w:pPr>
            <w:r>
              <w:rPr>
                <w:rFonts w:hint="eastAsia" w:ascii="仿宋_GB2312" w:eastAsia="仿宋_GB2312"/>
              </w:rPr>
              <w:t>50,301.91</w:t>
            </w:r>
          </w:p>
        </w:tc>
        <w:tc>
          <w:tcPr>
            <w:tcW w:w="4819" w:type="dxa"/>
            <w:vAlign w:val="center"/>
          </w:tcPr>
          <w:p>
            <w:pPr>
              <w:jc w:val="right"/>
              <w:rPr>
                <w:rFonts w:ascii="仿宋_GB2312" w:eastAsia="仿宋_GB2312"/>
              </w:rPr>
            </w:pPr>
            <w:r>
              <w:rPr>
                <w:rFonts w:hint="eastAsia" w:ascii="仿宋_GB2312" w:eastAsia="仿宋_GB2312"/>
              </w:rPr>
              <w:t>——</w:t>
            </w:r>
          </w:p>
        </w:tc>
        <w:tc>
          <w:tcPr>
            <w:tcW w:w="850" w:type="dxa"/>
            <w:vAlign w:val="center"/>
          </w:tcPr>
          <w:p>
            <w:pPr>
              <w:jc w:val="right"/>
              <w:rPr>
                <w:rFonts w:ascii="仿宋_GB2312" w:eastAsia="仿宋_GB2312"/>
              </w:rPr>
            </w:pPr>
            <w:r>
              <w:rPr>
                <w:rFonts w:hint="eastAsia" w:ascii="仿宋_GB2312" w:eastAsia="仿宋_GB2312"/>
              </w:rPr>
              <w:t>——</w:t>
            </w:r>
          </w:p>
        </w:tc>
        <w:tc>
          <w:tcPr>
            <w:tcW w:w="850" w:type="dxa"/>
            <w:vAlign w:val="center"/>
          </w:tcPr>
          <w:p>
            <w:pPr>
              <w:jc w:val="right"/>
              <w:rPr>
                <w:rFonts w:ascii="仿宋_GB2312" w:eastAsia="仿宋_GB2312"/>
              </w:rPr>
            </w:pPr>
            <w:r>
              <w:rPr>
                <w:rFonts w:hint="eastAsia" w:ascii="仿宋_GB2312" w:eastAsia="仿宋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1" w:type="dxa"/>
            <w:vMerge w:val="continue"/>
          </w:tcPr>
          <w:p>
            <w:pPr>
              <w:rPr>
                <w:rFonts w:ascii="仿宋_GB2312" w:eastAsia="仿宋_GB2312"/>
              </w:rPr>
            </w:pPr>
          </w:p>
        </w:tc>
        <w:tc>
          <w:tcPr>
            <w:tcW w:w="1134" w:type="dxa"/>
            <w:vAlign w:val="center"/>
          </w:tcPr>
          <w:p>
            <w:pPr>
              <w:jc w:val="center"/>
              <w:rPr>
                <w:rFonts w:ascii="仿宋_GB2312" w:eastAsia="仿宋_GB2312"/>
                <w:szCs w:val="21"/>
              </w:rPr>
            </w:pPr>
            <w:r>
              <w:rPr>
                <w:rFonts w:hint="eastAsia" w:ascii="仿宋_GB2312" w:eastAsia="仿宋_GB2312"/>
                <w:szCs w:val="21"/>
              </w:rPr>
              <w:t>其他</w:t>
            </w:r>
          </w:p>
        </w:tc>
        <w:tc>
          <w:tcPr>
            <w:tcW w:w="2551" w:type="dxa"/>
            <w:vAlign w:val="center"/>
          </w:tcPr>
          <w:p>
            <w:pPr>
              <w:jc w:val="right"/>
              <w:rPr>
                <w:rFonts w:ascii="仿宋_GB2312" w:eastAsia="仿宋_GB2312"/>
              </w:rPr>
            </w:pPr>
            <w:r>
              <w:rPr>
                <w:rFonts w:hint="eastAsia" w:ascii="仿宋_GB2312" w:eastAsia="仿宋_GB2312"/>
              </w:rPr>
              <w:t>——</w:t>
            </w:r>
          </w:p>
        </w:tc>
        <w:tc>
          <w:tcPr>
            <w:tcW w:w="2551" w:type="dxa"/>
            <w:vAlign w:val="center"/>
          </w:tcPr>
          <w:p>
            <w:pPr>
              <w:jc w:val="right"/>
              <w:rPr>
                <w:rFonts w:ascii="仿宋_GB2312" w:eastAsia="仿宋_GB2312"/>
              </w:rPr>
            </w:pPr>
            <w:r>
              <w:rPr>
                <w:rFonts w:hint="eastAsia" w:ascii="仿宋_GB2312" w:eastAsia="仿宋_GB2312"/>
              </w:rPr>
              <w:t>——</w:t>
            </w:r>
          </w:p>
        </w:tc>
        <w:tc>
          <w:tcPr>
            <w:tcW w:w="4819" w:type="dxa"/>
            <w:vAlign w:val="center"/>
          </w:tcPr>
          <w:p>
            <w:pPr>
              <w:jc w:val="right"/>
              <w:rPr>
                <w:rFonts w:ascii="仿宋_GB2312" w:eastAsia="仿宋_GB2312"/>
              </w:rPr>
            </w:pPr>
            <w:r>
              <w:rPr>
                <w:rFonts w:hint="eastAsia" w:ascii="仿宋_GB2312" w:eastAsia="仿宋_GB2312"/>
              </w:rPr>
              <w:t>——</w:t>
            </w:r>
          </w:p>
        </w:tc>
        <w:tc>
          <w:tcPr>
            <w:tcW w:w="850" w:type="dxa"/>
            <w:vAlign w:val="center"/>
          </w:tcPr>
          <w:p>
            <w:pPr>
              <w:jc w:val="right"/>
              <w:rPr>
                <w:rFonts w:ascii="仿宋_GB2312" w:eastAsia="仿宋_GB2312"/>
              </w:rPr>
            </w:pPr>
            <w:r>
              <w:rPr>
                <w:rFonts w:hint="eastAsia" w:ascii="仿宋_GB2312" w:eastAsia="仿宋_GB2312"/>
              </w:rPr>
              <w:t>——</w:t>
            </w:r>
          </w:p>
        </w:tc>
        <w:tc>
          <w:tcPr>
            <w:tcW w:w="850" w:type="dxa"/>
            <w:vAlign w:val="center"/>
          </w:tcPr>
          <w:p>
            <w:pPr>
              <w:jc w:val="right"/>
              <w:rPr>
                <w:rFonts w:ascii="仿宋_GB2312" w:eastAsia="仿宋_GB2312"/>
              </w:rPr>
            </w:pPr>
            <w:r>
              <w:rPr>
                <w:rFonts w:hint="eastAsia" w:ascii="仿宋_GB2312" w:eastAsia="仿宋_GB2312"/>
              </w:rPr>
              <w:t>——</w:t>
            </w:r>
          </w:p>
        </w:tc>
      </w:tr>
    </w:tbl>
    <w:p>
      <w:pPr>
        <w:keepNext w:val="0"/>
        <w:keepLines w:val="0"/>
        <w:pageBreakBefore w:val="0"/>
        <w:widowControl w:val="0"/>
        <w:kinsoku/>
        <w:wordWrap/>
        <w:overflowPunct/>
        <w:topLinePunct w:val="0"/>
        <w:autoSpaceDE/>
        <w:autoSpaceDN/>
        <w:bidi w:val="0"/>
        <w:adjustRightInd/>
        <w:snapToGrid/>
        <w:spacing w:before="32" w:beforeLines="10"/>
        <w:textAlignment w:val="auto"/>
        <w:rPr>
          <w:rFonts w:ascii="黑体" w:hAnsi="黑体" w:eastAsia="黑体"/>
        </w:rPr>
      </w:pPr>
      <w:r>
        <w:rPr>
          <w:rFonts w:hint="eastAsia" w:ascii="黑体" w:hAnsi="黑体" w:eastAsia="黑体"/>
        </w:rPr>
        <w:t>二</w:t>
      </w:r>
      <w:r>
        <w:rPr>
          <w:rFonts w:ascii="黑体" w:hAnsi="黑体" w:eastAsia="黑体"/>
        </w:rPr>
        <w:t>、</w:t>
      </w:r>
      <w:r>
        <w:rPr>
          <w:rFonts w:hint="eastAsia" w:ascii="黑体" w:hAnsi="黑体" w:eastAsia="黑体"/>
        </w:rPr>
        <w:t>整体绩效目标实现情况（60分）</w:t>
      </w:r>
    </w:p>
    <w:tbl>
      <w:tblPr>
        <w:tblStyle w:val="9"/>
        <w:tblW w:w="14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3969"/>
        <w:gridCol w:w="1134"/>
        <w:gridCol w:w="4819"/>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1"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二级指标</w:t>
            </w:r>
          </w:p>
        </w:tc>
        <w:tc>
          <w:tcPr>
            <w:tcW w:w="3969"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指标值</w:t>
            </w:r>
          </w:p>
        </w:tc>
        <w:tc>
          <w:tcPr>
            <w:tcW w:w="4819"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b/>
                <w:sz w:val="20"/>
                <w:szCs w:val="20"/>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45</w:t>
            </w:r>
            <w:r>
              <w:rPr>
                <w:rFonts w:hint="eastAsia" w:ascii="仿宋_GB2312" w:eastAsia="仿宋_GB2312"/>
                <w:szCs w:val="21"/>
              </w:rPr>
              <w:t>分）</w:t>
            </w:r>
          </w:p>
        </w:tc>
        <w:tc>
          <w:tcPr>
            <w:tcW w:w="3969"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召开市委财经委会议</w:t>
            </w:r>
          </w:p>
        </w:tc>
        <w:tc>
          <w:tcPr>
            <w:tcW w:w="1134"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≥3次</w:t>
            </w:r>
          </w:p>
        </w:tc>
        <w:tc>
          <w:tcPr>
            <w:tcW w:w="4819"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召开市委财经委会议4次。</w:t>
            </w:r>
          </w:p>
        </w:tc>
        <w:tc>
          <w:tcPr>
            <w:tcW w:w="850" w:type="dxa"/>
            <w:vAlign w:val="center"/>
          </w:tcPr>
          <w:p>
            <w:pPr>
              <w:keepNext w:val="0"/>
              <w:keepLines w:val="0"/>
              <w:widowControl/>
              <w:suppressLineNumbers w:val="0"/>
              <w:jc w:val="center"/>
              <w:textAlignment w:val="center"/>
              <w:rPr>
                <w:rFonts w:hint="default" w:ascii="仿宋_GB2312" w:eastAsia="仿宋_GB2312"/>
                <w:lang w:val="en-US"/>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default" w:ascii="仿宋_GB2312" w:eastAsia="仿宋_GB2312"/>
                <w:lang w:val="en-US"/>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3969"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报送《财经专报》</w:t>
            </w:r>
          </w:p>
        </w:tc>
        <w:tc>
          <w:tcPr>
            <w:tcW w:w="1134"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≥20期</w:t>
            </w:r>
          </w:p>
        </w:tc>
        <w:tc>
          <w:tcPr>
            <w:tcW w:w="4819"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报送《财经专报》30期。</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8"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3969"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形成“十四五”规划实施相关情况第三方评估报告</w:t>
            </w:r>
          </w:p>
        </w:tc>
        <w:tc>
          <w:tcPr>
            <w:tcW w:w="1134"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≥6份</w:t>
            </w:r>
          </w:p>
        </w:tc>
        <w:tc>
          <w:tcPr>
            <w:tcW w:w="4819"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形成《北京市“十四五”规划纲要实施中期评估报告（第三方）》《中国式现代化北京实践研究报告》《北京市“十四五”规划实施问题评估报告》《北京市“十四五”规划实施指标中期评估项目报告》《北京十四五规划实施情况大数据评估报告》《北京市“十四五”规划实施情况居民调查报告》6份第三方评估报告。</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3969"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提交人代会审议北京市“十四五”规划《纲要》实施情况中期评估报告</w:t>
            </w:r>
          </w:p>
        </w:tc>
        <w:tc>
          <w:tcPr>
            <w:tcW w:w="1134"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＝1份</w:t>
            </w:r>
          </w:p>
        </w:tc>
        <w:tc>
          <w:tcPr>
            <w:tcW w:w="4819"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2023年9月20日，北京市十六届人大常委会五次会议召开，听取和审议北京市“十四五”规划纲要实施情况中期评估的报告。</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r>
    </w:tbl>
    <w:p>
      <w:pPr>
        <w:pStyle w:val="2"/>
        <w:spacing w:after="0" w:line="240" w:lineRule="exact"/>
        <w:jc w:val="right"/>
        <w:rPr>
          <w:rFonts w:ascii="宋体" w:hAnsi="宋体" w:eastAsia="宋体"/>
          <w:sz w:val="21"/>
          <w:szCs w:val="21"/>
        </w:rPr>
      </w:pPr>
      <w:r>
        <w:rPr>
          <w:rFonts w:hint="eastAsia" w:ascii="宋体" w:hAnsi="宋体" w:eastAsia="宋体"/>
          <w:sz w:val="21"/>
          <w:szCs w:val="21"/>
        </w:rPr>
        <w:t>（接下页）</w:t>
      </w:r>
      <w:r>
        <w:rPr>
          <w:rFonts w:ascii="宋体" w:hAnsi="宋体" w:eastAsia="宋体"/>
          <w:sz w:val="21"/>
          <w:szCs w:val="21"/>
        </w:rPr>
        <w:br w:type="page"/>
      </w:r>
    </w:p>
    <w:p>
      <w:pPr>
        <w:pStyle w:val="2"/>
        <w:spacing w:after="0" w:line="240" w:lineRule="exact"/>
        <w:jc w:val="left"/>
        <w:rPr>
          <w:rFonts w:ascii="宋体" w:hAnsi="宋体" w:eastAsia="宋体"/>
          <w:sz w:val="21"/>
          <w:szCs w:val="21"/>
        </w:rPr>
      </w:pPr>
      <w:r>
        <w:rPr>
          <w:rFonts w:hint="eastAsia" w:ascii="宋体" w:hAnsi="宋体" w:eastAsia="宋体"/>
          <w:sz w:val="21"/>
          <w:szCs w:val="21"/>
        </w:rPr>
        <w:t>（续上页）</w:t>
      </w:r>
    </w:p>
    <w:tbl>
      <w:tblPr>
        <w:tblStyle w:val="9"/>
        <w:tblW w:w="143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4309"/>
        <w:gridCol w:w="1133"/>
        <w:gridCol w:w="4535"/>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二级指标</w:t>
            </w:r>
          </w:p>
        </w:tc>
        <w:tc>
          <w:tcPr>
            <w:tcW w:w="4309"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三级指标</w:t>
            </w:r>
          </w:p>
        </w:tc>
        <w:tc>
          <w:tcPr>
            <w:tcW w:w="1133"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指标值</w:t>
            </w:r>
          </w:p>
        </w:tc>
        <w:tc>
          <w:tcPr>
            <w:tcW w:w="4535"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b/>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b/>
                <w:sz w:val="20"/>
                <w:szCs w:val="20"/>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45</w:t>
            </w:r>
            <w:r>
              <w:rPr>
                <w:rFonts w:hint="eastAsia" w:ascii="仿宋_GB2312" w:eastAsia="仿宋_GB2312"/>
                <w:szCs w:val="21"/>
              </w:rPr>
              <w:t>分）</w:t>
            </w:r>
          </w:p>
        </w:tc>
        <w:tc>
          <w:tcPr>
            <w:tcW w:w="4309"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制定出台《北京市推进京津冀协同发展2023年工作要点》</w:t>
            </w:r>
          </w:p>
        </w:tc>
        <w:tc>
          <w:tcPr>
            <w:tcW w:w="1133"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＝1份</w:t>
            </w:r>
          </w:p>
        </w:tc>
        <w:tc>
          <w:tcPr>
            <w:tcW w:w="4535"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制定出台《北京市推进京津冀协同发展2023年工作要点》1份。</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309"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举办北京通州与河北廊坊北三县项目推介洽谈会</w:t>
            </w:r>
          </w:p>
        </w:tc>
        <w:tc>
          <w:tcPr>
            <w:tcW w:w="1133"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＝1场</w:t>
            </w:r>
          </w:p>
        </w:tc>
        <w:tc>
          <w:tcPr>
            <w:tcW w:w="4535"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2023年9月，举办北京通州与河北廊坊北三县项目推介洽谈会。</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309"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完成京津冀规划政策相关报告</w:t>
            </w:r>
          </w:p>
        </w:tc>
        <w:tc>
          <w:tcPr>
            <w:tcW w:w="1133"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＝1份</w:t>
            </w:r>
          </w:p>
        </w:tc>
        <w:tc>
          <w:tcPr>
            <w:tcW w:w="4535"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形成本市“十四五”时期推进京津冀协同发展规划相关报告。</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309" w:type="dxa"/>
            <w:vAlign w:val="center"/>
          </w:tcPr>
          <w:p>
            <w:pPr>
              <w:keepNext w:val="0"/>
              <w:keepLines w:val="0"/>
              <w:widowControl/>
              <w:suppressLineNumbers w:val="0"/>
              <w:jc w:val="left"/>
              <w:textAlignment w:val="center"/>
              <w:rPr>
                <w:rFonts w:ascii="仿宋_GB2312" w:eastAsia="仿宋_GB2312"/>
                <w:color w:val="auto"/>
              </w:rPr>
            </w:pPr>
            <w:r>
              <w:rPr>
                <w:rFonts w:hint="eastAsia" w:ascii="仿宋_GB2312" w:hAnsi="仿宋_GB2312" w:eastAsia="仿宋_GB2312" w:cs="仿宋_GB2312"/>
                <w:i w:val="0"/>
                <w:color w:val="000000"/>
                <w:kern w:val="0"/>
                <w:sz w:val="21"/>
                <w:szCs w:val="21"/>
                <w:u w:val="none"/>
                <w:lang w:val="en-US" w:eastAsia="zh-CN" w:bidi="ar"/>
              </w:rPr>
              <w:t>制定出台本市推进京津冀协同发展2023年重点任务督查方案</w:t>
            </w:r>
          </w:p>
        </w:tc>
        <w:tc>
          <w:tcPr>
            <w:tcW w:w="1133" w:type="dxa"/>
            <w:vAlign w:val="center"/>
          </w:tcPr>
          <w:p>
            <w:pPr>
              <w:keepNext w:val="0"/>
              <w:keepLines w:val="0"/>
              <w:widowControl/>
              <w:suppressLineNumbers w:val="0"/>
              <w:jc w:val="left"/>
              <w:textAlignment w:val="center"/>
              <w:rPr>
                <w:rFonts w:ascii="仿宋_GB2312" w:eastAsia="仿宋_GB2312"/>
                <w:color w:val="auto"/>
              </w:rPr>
            </w:pPr>
            <w:r>
              <w:rPr>
                <w:rFonts w:hint="eastAsia" w:ascii="仿宋_GB2312" w:hAnsi="仿宋_GB2312" w:eastAsia="仿宋_GB2312" w:cs="仿宋_GB2312"/>
                <w:i w:val="0"/>
                <w:color w:val="000000"/>
                <w:kern w:val="0"/>
                <w:sz w:val="21"/>
                <w:szCs w:val="21"/>
                <w:u w:val="none"/>
                <w:lang w:val="en-US" w:eastAsia="zh-CN" w:bidi="ar"/>
              </w:rPr>
              <w:t>＝1份</w:t>
            </w:r>
          </w:p>
        </w:tc>
        <w:tc>
          <w:tcPr>
            <w:tcW w:w="4535" w:type="dxa"/>
            <w:vAlign w:val="center"/>
          </w:tcPr>
          <w:p>
            <w:pPr>
              <w:keepNext w:val="0"/>
              <w:keepLines w:val="0"/>
              <w:widowControl/>
              <w:suppressLineNumbers w:val="0"/>
              <w:jc w:val="left"/>
              <w:textAlignment w:val="center"/>
              <w:rPr>
                <w:rFonts w:ascii="仿宋_GB2312" w:eastAsia="仿宋_GB2312"/>
                <w:color w:val="auto"/>
              </w:rPr>
            </w:pPr>
            <w:r>
              <w:rPr>
                <w:rFonts w:hint="eastAsia" w:ascii="仿宋_GB2312" w:hAnsi="仿宋_GB2312" w:eastAsia="仿宋_GB2312" w:cs="仿宋_GB2312"/>
                <w:i w:val="0"/>
                <w:color w:val="000000"/>
                <w:kern w:val="0"/>
                <w:sz w:val="21"/>
                <w:szCs w:val="21"/>
                <w:u w:val="none"/>
                <w:lang w:val="en-US" w:eastAsia="zh-CN" w:bidi="ar"/>
              </w:rPr>
              <w:t>制定出台本市推进京津冀协同发展2023年重点任务督查方案。</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default" w:ascii="仿宋_GB2312" w:eastAsia="仿宋_GB2312"/>
                <w:lang w:val="en-US"/>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309"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察访核验工作报告和台账</w:t>
            </w:r>
          </w:p>
        </w:tc>
        <w:tc>
          <w:tcPr>
            <w:tcW w:w="1133"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≥4份</w:t>
            </w:r>
          </w:p>
        </w:tc>
        <w:tc>
          <w:tcPr>
            <w:tcW w:w="4535"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形成察访核验工作报告和台账9份。</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309" w:type="dxa"/>
            <w:vAlign w:val="center"/>
          </w:tcPr>
          <w:p>
            <w:pPr>
              <w:keepNext w:val="0"/>
              <w:keepLines w:val="0"/>
              <w:widowControl/>
              <w:suppressLineNumbers w:val="0"/>
              <w:jc w:val="left"/>
              <w:textAlignment w:val="center"/>
              <w:rPr>
                <w:rFonts w:ascii="仿宋_GB2312" w:eastAsia="仿宋_GB2312"/>
                <w:spacing w:val="-2"/>
              </w:rPr>
            </w:pPr>
            <w:r>
              <w:rPr>
                <w:rFonts w:hint="eastAsia" w:ascii="仿宋_GB2312" w:hAnsi="仿宋_GB2312" w:eastAsia="仿宋_GB2312" w:cs="仿宋_GB2312"/>
                <w:i w:val="0"/>
                <w:color w:val="000000"/>
                <w:kern w:val="0"/>
                <w:sz w:val="21"/>
                <w:szCs w:val="21"/>
                <w:u w:val="none"/>
                <w:lang w:val="en-US" w:eastAsia="zh-CN" w:bidi="ar"/>
              </w:rPr>
              <w:t>印发实施《疏整促专项行动工作计划》</w:t>
            </w:r>
          </w:p>
        </w:tc>
        <w:tc>
          <w:tcPr>
            <w:tcW w:w="1133"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＝1份</w:t>
            </w:r>
          </w:p>
        </w:tc>
        <w:tc>
          <w:tcPr>
            <w:tcW w:w="4535"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印发实施《“疏解整治促提升”专项行动2023年工作计划》。</w:t>
            </w:r>
          </w:p>
        </w:tc>
        <w:tc>
          <w:tcPr>
            <w:tcW w:w="850" w:type="dxa"/>
            <w:vAlign w:val="center"/>
          </w:tcPr>
          <w:p>
            <w:pPr>
              <w:keepNext w:val="0"/>
              <w:keepLines w:val="0"/>
              <w:widowControl/>
              <w:suppressLineNumbers w:val="0"/>
              <w:jc w:val="center"/>
              <w:textAlignment w:val="center"/>
              <w:rPr>
                <w:rFonts w:hint="default" w:ascii="仿宋_GB2312" w:eastAsia="仿宋_GB2312"/>
                <w:lang w:val="en-US"/>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hint="default" w:ascii="仿宋_GB2312" w:eastAsia="仿宋_GB2312"/>
                <w:lang w:val="en-US"/>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309" w:type="dxa"/>
            <w:vAlign w:val="center"/>
          </w:tcPr>
          <w:p>
            <w:pPr>
              <w:keepNext w:val="0"/>
              <w:keepLines w:val="0"/>
              <w:widowControl/>
              <w:suppressLineNumbers w:val="0"/>
              <w:jc w:val="left"/>
              <w:textAlignment w:val="center"/>
              <w:rPr>
                <w:rFonts w:ascii="仿宋_GB2312" w:eastAsia="仿宋_GB2312"/>
                <w:spacing w:val="-2"/>
              </w:rPr>
            </w:pPr>
            <w:r>
              <w:rPr>
                <w:rFonts w:hint="eastAsia" w:ascii="仿宋_GB2312" w:hAnsi="仿宋_GB2312" w:eastAsia="仿宋_GB2312" w:cs="仿宋_GB2312"/>
                <w:i w:val="0"/>
                <w:color w:val="000000"/>
                <w:kern w:val="0"/>
                <w:sz w:val="21"/>
                <w:szCs w:val="21"/>
                <w:u w:val="none"/>
                <w:lang w:val="en-US" w:eastAsia="zh-CN" w:bidi="ar"/>
              </w:rPr>
              <w:t>全市常住人口总量</w:t>
            </w:r>
          </w:p>
        </w:tc>
        <w:tc>
          <w:tcPr>
            <w:tcW w:w="1133"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≤2300万人</w:t>
            </w:r>
          </w:p>
        </w:tc>
        <w:tc>
          <w:tcPr>
            <w:tcW w:w="4535"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预计全年常住人口总量可控制在范围内，最终数据以统计局发布的数据为准。</w:t>
            </w:r>
          </w:p>
        </w:tc>
        <w:tc>
          <w:tcPr>
            <w:tcW w:w="850" w:type="dxa"/>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309"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制定新一轮生态涵养区生态保护和绿色发展政策文件；制定新一轮生态涵养区生态保护和绿色发展工作计划和项目计划；制定城南行动2023年重点项目及任务清单</w:t>
            </w:r>
          </w:p>
        </w:tc>
        <w:tc>
          <w:tcPr>
            <w:tcW w:w="1133"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≥3项</w:t>
            </w: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3项政策文件及工作任务已全部完成。</w:t>
            </w:r>
          </w:p>
        </w:tc>
        <w:tc>
          <w:tcPr>
            <w:tcW w:w="850" w:type="dxa"/>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309"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编制印发《促进平原新城高质量发展提升平原新城综合承载能力2023年工作要点》</w:t>
            </w:r>
          </w:p>
        </w:tc>
        <w:tc>
          <w:tcPr>
            <w:tcW w:w="1133"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＝1份</w:t>
            </w: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2023年6月29日，编制印发《促进平原新城高质量发展提升平原新城综合承载能力2023年工作要点》。</w:t>
            </w:r>
          </w:p>
        </w:tc>
        <w:tc>
          <w:tcPr>
            <w:tcW w:w="850" w:type="dxa"/>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bl>
    <w:p>
      <w:pPr>
        <w:pStyle w:val="2"/>
        <w:spacing w:after="0" w:line="240" w:lineRule="exact"/>
        <w:jc w:val="right"/>
        <w:rPr>
          <w:rFonts w:ascii="宋体" w:hAnsi="宋体" w:eastAsia="宋体"/>
          <w:sz w:val="21"/>
          <w:szCs w:val="21"/>
        </w:rPr>
      </w:pPr>
      <w:r>
        <w:rPr>
          <w:rFonts w:hint="eastAsia" w:ascii="宋体" w:hAnsi="宋体" w:eastAsia="宋体"/>
          <w:sz w:val="21"/>
          <w:szCs w:val="21"/>
        </w:rPr>
        <w:t>（接下页）</w:t>
      </w:r>
      <w:r>
        <w:rPr>
          <w:rFonts w:ascii="宋体" w:hAnsi="宋体" w:eastAsia="宋体"/>
          <w:sz w:val="21"/>
          <w:szCs w:val="21"/>
        </w:rPr>
        <w:br w:type="page"/>
      </w:r>
    </w:p>
    <w:p>
      <w:r>
        <w:rPr>
          <w:rFonts w:hint="eastAsia"/>
        </w:rPr>
        <w:t>（续上页）</w:t>
      </w:r>
    </w:p>
    <w:tbl>
      <w:tblPr>
        <w:tblStyle w:val="9"/>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4252"/>
        <w:gridCol w:w="1134"/>
        <w:gridCol w:w="4535"/>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4252"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指标值</w:t>
            </w:r>
          </w:p>
        </w:tc>
        <w:tc>
          <w:tcPr>
            <w:tcW w:w="4535"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45</w:t>
            </w:r>
            <w:r>
              <w:rPr>
                <w:rFonts w:hint="eastAsia" w:ascii="仿宋_GB2312" w:eastAsia="仿宋_GB2312"/>
                <w:szCs w:val="21"/>
              </w:rPr>
              <w:t>分）</w:t>
            </w:r>
          </w:p>
        </w:tc>
        <w:tc>
          <w:tcPr>
            <w:tcW w:w="4252"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梳理形成京西产业转型升级示范区年度评估报告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＝1个</w:t>
            </w: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梳理形成京西产业转型升级示范区年度评估报告1个。</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4252"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编制实施京西行动计划2023年重点任务和重大项目“两个清单”</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＝2个</w:t>
            </w: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highlight w:val="none"/>
                <w:u w:val="none"/>
                <w:lang w:val="en-US" w:eastAsia="zh-CN" w:bidi="ar"/>
              </w:rPr>
            </w:pPr>
            <w:r>
              <w:rPr>
                <w:rFonts w:hint="eastAsia" w:ascii="仿宋_GB2312" w:hAnsi="仿宋_GB2312" w:eastAsia="仿宋_GB2312" w:cs="仿宋_GB2312"/>
                <w:i w:val="0"/>
                <w:color w:val="000000"/>
                <w:kern w:val="0"/>
                <w:sz w:val="21"/>
                <w:szCs w:val="21"/>
                <w:highlight w:val="none"/>
                <w:u w:val="none"/>
                <w:lang w:val="en-US" w:eastAsia="zh-CN" w:bidi="ar"/>
              </w:rPr>
              <w:t>2023年5月，印发京西年度工作要点，包含重点任务、重大项目、重要活动“三个清单”。</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252"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编制《发改工作》打造新时代首都城市复兴新地标工作专刊</w:t>
            </w:r>
          </w:p>
        </w:tc>
        <w:tc>
          <w:tcPr>
            <w:tcW w:w="1134"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≥8期</w:t>
            </w:r>
          </w:p>
        </w:tc>
        <w:tc>
          <w:tcPr>
            <w:tcW w:w="4535"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全年编制《发改工作》打造新时代首都城市复兴新地标工作专刊12期。</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252" w:type="dxa"/>
            <w:vAlign w:val="center"/>
          </w:tcPr>
          <w:p>
            <w:pPr>
              <w:keepNext w:val="0"/>
              <w:keepLines w:val="0"/>
              <w:widowControl/>
              <w:suppressLineNumbers w:val="0"/>
              <w:jc w:val="left"/>
              <w:textAlignment w:val="center"/>
              <w:rPr>
                <w:rFonts w:ascii="仿宋_GB2312" w:eastAsia="仿宋_GB2312"/>
                <w:spacing w:val="-2"/>
              </w:rPr>
            </w:pPr>
            <w:r>
              <w:rPr>
                <w:rFonts w:hint="eastAsia" w:ascii="仿宋_GB2312" w:hAnsi="仿宋_GB2312" w:eastAsia="仿宋_GB2312" w:cs="仿宋_GB2312"/>
                <w:i w:val="0"/>
                <w:color w:val="000000"/>
                <w:kern w:val="0"/>
                <w:sz w:val="21"/>
                <w:szCs w:val="21"/>
                <w:u w:val="none"/>
                <w:lang w:val="en-US" w:eastAsia="zh-CN" w:bidi="ar"/>
              </w:rPr>
              <w:t>形成经济形势分析监测预警报告</w:t>
            </w:r>
          </w:p>
        </w:tc>
        <w:tc>
          <w:tcPr>
            <w:tcW w:w="1134"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≥2份</w:t>
            </w:r>
          </w:p>
        </w:tc>
        <w:tc>
          <w:tcPr>
            <w:tcW w:w="4535"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完成《人工智能七大重点细分产业领域的全国发展动态及北京比较分析》、《绿色经济领域的全国发展动态及分析》等2份报告。</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252"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形成国内国际稳增长措施实施效果比较分析报告</w:t>
            </w:r>
          </w:p>
        </w:tc>
        <w:tc>
          <w:tcPr>
            <w:tcW w:w="1134"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＝1份</w:t>
            </w:r>
          </w:p>
        </w:tc>
        <w:tc>
          <w:tcPr>
            <w:tcW w:w="4535"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完成《国内国际稳增长措施实施效果比较分析报告》1份报告。</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252"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形成财政金融形势分析或信息</w:t>
            </w:r>
          </w:p>
        </w:tc>
        <w:tc>
          <w:tcPr>
            <w:tcW w:w="1134"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≥4篇</w:t>
            </w:r>
          </w:p>
        </w:tc>
        <w:tc>
          <w:tcPr>
            <w:tcW w:w="4535" w:type="dxa"/>
            <w:vAlign w:val="center"/>
          </w:tcPr>
          <w:p>
            <w:pPr>
              <w:keepNext w:val="0"/>
              <w:keepLines w:val="0"/>
              <w:widowControl/>
              <w:suppressLineNumbers w:val="0"/>
              <w:jc w:val="left"/>
              <w:textAlignment w:val="center"/>
              <w:rPr>
                <w:rFonts w:ascii="仿宋_GB2312" w:eastAsia="仿宋_GB2312"/>
                <w:spacing w:val="-4"/>
              </w:rPr>
            </w:pPr>
            <w:r>
              <w:rPr>
                <w:rFonts w:hint="eastAsia" w:ascii="仿宋_GB2312" w:hAnsi="仿宋_GB2312" w:eastAsia="仿宋_GB2312" w:cs="仿宋_GB2312"/>
                <w:i w:val="0"/>
                <w:color w:val="000000"/>
                <w:kern w:val="0"/>
                <w:sz w:val="21"/>
                <w:szCs w:val="21"/>
                <w:u w:val="none"/>
                <w:lang w:val="en-US" w:eastAsia="zh-CN" w:bidi="ar"/>
              </w:rPr>
              <w:t>完成一、二、三季度财金形势分析报告，年末财金形势与工作务虚会材料，金融部门与机构调研座谈情况报告，共5篇。</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252"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全年撰写季度经济预测报告、专题分析报告、方法应用报告、经济运行大数据专题研究报告合计数量</w:t>
            </w:r>
          </w:p>
        </w:tc>
        <w:tc>
          <w:tcPr>
            <w:tcW w:w="1134"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≥17篇</w:t>
            </w:r>
          </w:p>
        </w:tc>
        <w:tc>
          <w:tcPr>
            <w:tcW w:w="4535"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全年撰写季度经济预测报告、专题分析报告、方法应用报告、经济运行大数据专题研究报告合计数量27篇。</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252"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拟订年度全市固定资产投资调控思路安排建议；拟定市政府投资安排计划；会同有关部门编印市重点工程计划、房地产投资计划等</w:t>
            </w:r>
          </w:p>
        </w:tc>
        <w:tc>
          <w:tcPr>
            <w:tcW w:w="1134"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≥4项</w:t>
            </w:r>
          </w:p>
        </w:tc>
        <w:tc>
          <w:tcPr>
            <w:tcW w:w="4535"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完成4项，完成年度全市固定资产投资调控思路安排建议、市政府投资安排计划、市重点工程计划、房地产投资计划等拟订和印发工作。</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r>
    </w:tbl>
    <w:p>
      <w:pPr>
        <w:pStyle w:val="2"/>
        <w:spacing w:after="0" w:line="240" w:lineRule="exact"/>
        <w:jc w:val="right"/>
        <w:rPr>
          <w:rFonts w:ascii="宋体" w:hAnsi="宋体" w:eastAsia="宋体"/>
          <w:sz w:val="21"/>
          <w:szCs w:val="21"/>
        </w:rPr>
      </w:pPr>
      <w:r>
        <w:rPr>
          <w:rFonts w:hint="eastAsia" w:ascii="宋体" w:hAnsi="宋体" w:eastAsia="宋体"/>
          <w:sz w:val="21"/>
          <w:szCs w:val="21"/>
        </w:rPr>
        <w:t>（接下页）</w:t>
      </w:r>
      <w:r>
        <w:rPr>
          <w:rFonts w:ascii="宋体" w:hAnsi="宋体" w:eastAsia="宋体"/>
          <w:sz w:val="21"/>
          <w:szCs w:val="21"/>
        </w:rPr>
        <w:br w:type="page"/>
      </w:r>
    </w:p>
    <w:p>
      <w:r>
        <w:rPr>
          <w:rFonts w:hint="eastAsia"/>
        </w:rPr>
        <w:t>（续上页）</w:t>
      </w:r>
    </w:p>
    <w:tbl>
      <w:tblPr>
        <w:tblStyle w:val="9"/>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4535"/>
        <w:gridCol w:w="1134"/>
        <w:gridCol w:w="4252"/>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4535"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指标值</w:t>
            </w:r>
          </w:p>
        </w:tc>
        <w:tc>
          <w:tcPr>
            <w:tcW w:w="4252"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45</w:t>
            </w:r>
            <w:r>
              <w:rPr>
                <w:rFonts w:hint="eastAsia" w:ascii="仿宋_GB2312" w:eastAsia="仿宋_GB2312"/>
                <w:szCs w:val="21"/>
              </w:rPr>
              <w:t>分）</w:t>
            </w:r>
          </w:p>
        </w:tc>
        <w:tc>
          <w:tcPr>
            <w:tcW w:w="453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形成北京市房地产市场长效机制政策研究、减量发展背景下北京市城市更新投融资政策研究报告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≥2篇</w:t>
            </w:r>
          </w:p>
        </w:tc>
        <w:tc>
          <w:tcPr>
            <w:tcW w:w="4252"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形成北京市房地产市场长效机制政策研究、核心区片区综合性城市更新投融资机制研究报告2篇，研究成果支撑有关领域政策及工作方案制定。</w:t>
            </w:r>
          </w:p>
        </w:tc>
        <w:tc>
          <w:tcPr>
            <w:tcW w:w="850" w:type="dxa"/>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政府固定资产投资项目专项督导数</w:t>
            </w:r>
          </w:p>
        </w:tc>
        <w:tc>
          <w:tcPr>
            <w:tcW w:w="1134"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≥50个</w:t>
            </w:r>
          </w:p>
        </w:tc>
        <w:tc>
          <w:tcPr>
            <w:tcW w:w="4252" w:type="dxa"/>
            <w:vAlign w:val="center"/>
          </w:tcPr>
          <w:p>
            <w:pPr>
              <w:keepNext w:val="0"/>
              <w:keepLines w:val="0"/>
              <w:widowControl/>
              <w:suppressLineNumbers w:val="0"/>
              <w:jc w:val="left"/>
              <w:textAlignment w:val="center"/>
              <w:rPr>
                <w:rFonts w:ascii="仿宋_GB2312" w:eastAsia="仿宋_GB2312"/>
              </w:rPr>
            </w:pPr>
            <w:r>
              <w:rPr>
                <w:rFonts w:hint="eastAsia" w:ascii="仿宋_GB2312" w:hAnsi="仿宋_GB2312" w:eastAsia="仿宋_GB2312" w:cs="仿宋_GB2312"/>
                <w:i w:val="0"/>
                <w:color w:val="000000"/>
                <w:kern w:val="0"/>
                <w:sz w:val="21"/>
                <w:szCs w:val="21"/>
                <w:u w:val="none"/>
                <w:lang w:val="en-US" w:eastAsia="zh-CN" w:bidi="ar"/>
              </w:rPr>
              <w:t>政府固定资产投资项目专项督导数122个。</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政府固定资产投资项目日常监测数</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≥400个</w:t>
            </w:r>
          </w:p>
        </w:tc>
        <w:tc>
          <w:tcPr>
            <w:tcW w:w="425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政府固定资产投资项目日常监测数925个。</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招标投标执法检查项目数</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≥50个</w:t>
            </w:r>
          </w:p>
        </w:tc>
        <w:tc>
          <w:tcPr>
            <w:tcW w:w="425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招标投标执法检查项目数209个。</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推动重点产业集群化发展和高端仪器产业成果转化落地方面研究文件数量</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≥2个</w:t>
            </w:r>
          </w:p>
        </w:tc>
        <w:tc>
          <w:tcPr>
            <w:tcW w:w="425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成果转化落地方面研究文件数量6个。</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品牌日参展企业</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≥30家</w:t>
            </w:r>
          </w:p>
        </w:tc>
        <w:tc>
          <w:tcPr>
            <w:tcW w:w="425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参展企业50家。</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双创参展项目</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≥100项</w:t>
            </w:r>
          </w:p>
        </w:tc>
        <w:tc>
          <w:tcPr>
            <w:tcW w:w="425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活动取消。</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spacing w:val="-6"/>
                <w:kern w:val="0"/>
                <w:sz w:val="21"/>
                <w:szCs w:val="21"/>
                <w:u w:val="none"/>
                <w:lang w:val="en-US" w:eastAsia="zh-CN" w:bidi="ar"/>
              </w:rPr>
              <w:t>做好本市产业重点领域和产业功能区的监测分析。</w:t>
            </w:r>
            <w:r>
              <w:rPr>
                <w:rFonts w:hint="eastAsia" w:ascii="仿宋_GB2312" w:hAnsi="仿宋_GB2312" w:eastAsia="仿宋_GB2312" w:cs="仿宋_GB2312"/>
                <w:i w:val="0"/>
                <w:color w:val="000000"/>
                <w:kern w:val="0"/>
                <w:sz w:val="21"/>
                <w:szCs w:val="21"/>
                <w:u w:val="none"/>
                <w:lang w:val="en-US" w:eastAsia="zh-CN" w:bidi="ar"/>
              </w:rPr>
              <w:t>开展北京市“十四五”时期现代服务业发展规划实施情况研究，形成中期评估研究报告；建立两业融合八大重点领域产业图谱，形成分析报告</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≥2篇</w:t>
            </w:r>
          </w:p>
        </w:tc>
        <w:tc>
          <w:tcPr>
            <w:tcW w:w="425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形成“十四五”时期现代服务业发展规划中期评估报告，两业融合领域分析报告2篇。</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453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开展本市服务业重点领域发展研究，形成检验检测服务业高质量发展、数字时代文化新业态发展、提升生活服务业品质等领域研究成果</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≥3篇</w:t>
            </w:r>
          </w:p>
        </w:tc>
        <w:tc>
          <w:tcPr>
            <w:tcW w:w="425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形成新时代背景下优势产业集群发展布局研究报告、以重点区域产业承载为核心的空间布局研究报告、生物医药产业创新体系发展比较分析报告等研究报告3篇。</w:t>
            </w:r>
          </w:p>
        </w:tc>
        <w:tc>
          <w:tcPr>
            <w:tcW w:w="850" w:type="dxa"/>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bl>
    <w:p>
      <w:pPr>
        <w:pStyle w:val="2"/>
        <w:spacing w:after="0" w:line="240" w:lineRule="exact"/>
        <w:jc w:val="right"/>
        <w:rPr>
          <w:rFonts w:ascii="宋体" w:hAnsi="宋体" w:eastAsia="宋体"/>
          <w:sz w:val="21"/>
          <w:szCs w:val="21"/>
        </w:rPr>
      </w:pPr>
      <w:r>
        <w:rPr>
          <w:rFonts w:hint="eastAsia" w:ascii="宋体" w:hAnsi="宋体" w:eastAsia="宋体"/>
          <w:sz w:val="21"/>
          <w:szCs w:val="21"/>
        </w:rPr>
        <w:t>（接下页）</w:t>
      </w:r>
      <w:r>
        <w:rPr>
          <w:rFonts w:ascii="宋体" w:hAnsi="宋体" w:eastAsia="宋体"/>
          <w:sz w:val="21"/>
          <w:szCs w:val="21"/>
        </w:rPr>
        <w:br w:type="page"/>
      </w:r>
    </w:p>
    <w:p>
      <w:r>
        <w:rPr>
          <w:rFonts w:hint="eastAsia"/>
        </w:rPr>
        <w:t>（续上页）</w:t>
      </w:r>
    </w:p>
    <w:tbl>
      <w:tblPr>
        <w:tblStyle w:val="9"/>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3685"/>
        <w:gridCol w:w="1134"/>
        <w:gridCol w:w="5102"/>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3685"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指标值</w:t>
            </w:r>
          </w:p>
        </w:tc>
        <w:tc>
          <w:tcPr>
            <w:tcW w:w="5102"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45</w:t>
            </w:r>
            <w:r>
              <w:rPr>
                <w:rFonts w:hint="eastAsia" w:ascii="仿宋_GB2312" w:eastAsia="仿宋_GB2312"/>
                <w:szCs w:val="21"/>
              </w:rPr>
              <w:t>分）</w:t>
            </w:r>
          </w:p>
        </w:tc>
        <w:tc>
          <w:tcPr>
            <w:tcW w:w="368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制定出台新一轮营商环境改革实施方案</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＝1个</w:t>
            </w:r>
          </w:p>
        </w:tc>
        <w:tc>
          <w:tcPr>
            <w:tcW w:w="5102"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2023年4月7日，印发《北京市全面优化营商环境助力企业高质量发展实施方案》（京政办发〔2023〕8号）。</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深化世行新评价研究和改革，形成世行评价体系分领域研究报告，对标国际先进，不断深化本市营商环境改革</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＝10份</w:t>
            </w:r>
          </w:p>
        </w:tc>
        <w:tc>
          <w:tcPr>
            <w:tcW w:w="510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深化世行新评价研究和改革，形成世行评价体系分领域研究报告。</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制定本市贯彻落实贯彻落实加快建设全国统一大市场意见的实施方案及任务清单</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＝1份</w:t>
            </w:r>
          </w:p>
        </w:tc>
        <w:tc>
          <w:tcPr>
            <w:tcW w:w="510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印发《任务分工清单》和《工作方案》各1份，一是牵头制定《北京市贯彻落实加快建设全国统一大市场意见的实施方案》，2023年7月21日，以市政府名义印发实施。二是加强统筹协调和跟踪督促，联合市市场监管局印发《任务分工清单》和《工作方案》，确保92项细化举措落到实处。</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开展2023年度区级营商环境评价，对全市16区、北京经济技术开发区开展营商环境评价，形成评价报告</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＝1份</w:t>
            </w:r>
          </w:p>
        </w:tc>
        <w:tc>
          <w:tcPr>
            <w:tcW w:w="510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组织开展2023年区级营商环境评价，并完成评价工作。</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完成重点企业服务和分析报告</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≥12份</w:t>
            </w:r>
          </w:p>
        </w:tc>
        <w:tc>
          <w:tcPr>
            <w:tcW w:w="510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2023年，共形成重点企业服务和分析报告16篇，其中：“服务包”月度工作推进情况报告10篇、企业诉求推进调度会报告3篇、关于消费类民营外资企业座谈会有关情况的报告1篇、关于加强与中东地区投资贸易合作有关情况的报告1篇、关于推动无还本续贷政策支持的意见建议1篇。</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bl>
    <w:p>
      <w:pPr>
        <w:pStyle w:val="2"/>
        <w:spacing w:after="0" w:line="240" w:lineRule="exact"/>
        <w:jc w:val="right"/>
        <w:rPr>
          <w:rFonts w:ascii="宋体" w:hAnsi="宋体" w:eastAsia="宋体"/>
          <w:sz w:val="21"/>
          <w:szCs w:val="21"/>
        </w:rPr>
      </w:pPr>
      <w:r>
        <w:rPr>
          <w:rFonts w:hint="eastAsia" w:ascii="宋体" w:hAnsi="宋体" w:eastAsia="宋体"/>
          <w:sz w:val="21"/>
          <w:szCs w:val="21"/>
        </w:rPr>
        <w:t>（接</w:t>
      </w:r>
      <w:r>
        <w:rPr>
          <w:rFonts w:ascii="宋体" w:hAnsi="宋体" w:eastAsia="宋体"/>
          <w:sz w:val="21"/>
          <w:szCs w:val="21"/>
        </w:rPr>
        <w:t>下页</w:t>
      </w:r>
      <w:r>
        <w:rPr>
          <w:rFonts w:hint="eastAsia" w:ascii="宋体" w:hAnsi="宋体" w:eastAsia="宋体"/>
          <w:sz w:val="21"/>
          <w:szCs w:val="21"/>
        </w:rPr>
        <w:t>）</w:t>
      </w:r>
      <w:r>
        <w:rPr>
          <w:rFonts w:ascii="宋体" w:hAnsi="宋体" w:eastAsia="宋体"/>
          <w:sz w:val="21"/>
          <w:szCs w:val="21"/>
        </w:rPr>
        <w:br w:type="page"/>
      </w:r>
    </w:p>
    <w:p>
      <w:r>
        <w:rPr>
          <w:rFonts w:hint="eastAsia"/>
        </w:rPr>
        <w:t>（续</w:t>
      </w:r>
      <w:r>
        <w:t>上页</w:t>
      </w:r>
      <w:r>
        <w:rPr>
          <w:rFonts w:hint="eastAsia"/>
        </w:rPr>
        <w:t>）</w:t>
      </w:r>
    </w:p>
    <w:tbl>
      <w:tblPr>
        <w:tblStyle w:val="9"/>
        <w:tblW w:w="14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3969"/>
        <w:gridCol w:w="1134"/>
        <w:gridCol w:w="4819"/>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3969"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指标值</w:t>
            </w:r>
          </w:p>
        </w:tc>
        <w:tc>
          <w:tcPr>
            <w:tcW w:w="4819"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45</w:t>
            </w:r>
            <w:r>
              <w:rPr>
                <w:rFonts w:hint="eastAsia" w:ascii="仿宋_GB2312" w:eastAsia="仿宋_GB2312"/>
                <w:szCs w:val="21"/>
              </w:rPr>
              <w:t>分）</w:t>
            </w:r>
          </w:p>
        </w:tc>
        <w:tc>
          <w:tcPr>
            <w:tcW w:w="3969"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pacing w:val="0"/>
                <w:kern w:val="0"/>
                <w:sz w:val="21"/>
                <w:szCs w:val="21"/>
                <w:u w:val="none"/>
                <w:lang w:val="en-US" w:eastAsia="zh-CN" w:bidi="ar"/>
              </w:rPr>
            </w:pPr>
            <w:r>
              <w:rPr>
                <w:rFonts w:hint="eastAsia" w:ascii="仿宋_GB2312" w:hAnsi="仿宋_GB2312" w:eastAsia="仿宋_GB2312" w:cs="仿宋_GB2312"/>
                <w:i w:val="0"/>
                <w:color w:val="000000"/>
                <w:spacing w:val="0"/>
                <w:kern w:val="0"/>
                <w:sz w:val="21"/>
                <w:szCs w:val="21"/>
                <w:u w:val="none"/>
                <w:lang w:val="en-US" w:eastAsia="zh-CN" w:bidi="ar"/>
              </w:rPr>
              <w:t>企业破产和市场主体退出分析报告数量</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≥3篇</w:t>
            </w:r>
          </w:p>
        </w:tc>
        <w:tc>
          <w:tcPr>
            <w:tcW w:w="4819"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完成企业破产和市场主体退出分析报告3篇。</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3969"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pacing w:val="0"/>
                <w:kern w:val="0"/>
                <w:sz w:val="21"/>
                <w:szCs w:val="21"/>
                <w:u w:val="none"/>
                <w:lang w:val="en-US" w:eastAsia="zh-CN" w:bidi="ar"/>
              </w:rPr>
            </w:pPr>
            <w:r>
              <w:rPr>
                <w:rFonts w:hint="eastAsia" w:ascii="仿宋_GB2312" w:hAnsi="仿宋_GB2312" w:eastAsia="仿宋_GB2312" w:cs="仿宋_GB2312"/>
                <w:i w:val="0"/>
                <w:color w:val="000000"/>
                <w:spacing w:val="0"/>
                <w:kern w:val="0"/>
                <w:sz w:val="21"/>
                <w:szCs w:val="21"/>
                <w:u w:val="none"/>
                <w:lang w:val="en-US" w:eastAsia="zh-CN" w:bidi="ar"/>
              </w:rPr>
              <w:t>破产法律法规和政策制度培训人次（含线上）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spacing w:val="-6"/>
                <w:kern w:val="0"/>
                <w:sz w:val="21"/>
                <w:szCs w:val="21"/>
                <w:u w:val="none"/>
                <w:lang w:val="en-US" w:eastAsia="zh-CN" w:bidi="ar"/>
              </w:rPr>
              <w:t>≥500人次</w:t>
            </w:r>
          </w:p>
        </w:tc>
        <w:tc>
          <w:tcPr>
            <w:tcW w:w="4819"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举办世界银行优化营商环境办理破产领域培训会，累计培训600余人。</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969"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发布企业参与“一带一路”相关宣传报道</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≥12期</w:t>
            </w:r>
          </w:p>
        </w:tc>
        <w:tc>
          <w:tcPr>
            <w:tcW w:w="4819"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发布企业参与“一带一路”相关宣传报道12期。</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969"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形成能源绿色低碳转型实施方案、“十四五”时期能源发展规划中期评估报告、京津冀能源协同发展行动计划</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＝3份</w:t>
            </w:r>
          </w:p>
        </w:tc>
        <w:tc>
          <w:tcPr>
            <w:tcW w:w="4819"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印发了绿色低碳转型实施方案、“十四五”时期能源发展规划中期评估报告、京津冀能源协同发展行动计划3份。</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969"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投产天津南港LNG应急储备项目一期、二期工程，新增天然气应急储备能力</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＝9.4亿立方米</w:t>
            </w:r>
          </w:p>
        </w:tc>
        <w:tc>
          <w:tcPr>
            <w:tcW w:w="4819"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天津南港LNG应急储备项目一期投产、二期建成，共形成储气设施能力9.6亿立方米。</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969"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“小旧家电回收日”试点活动场数</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≥50场次</w:t>
            </w:r>
          </w:p>
        </w:tc>
        <w:tc>
          <w:tcPr>
            <w:tcW w:w="4819"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在全市范围内共开展了66场试点活动。</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969"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开展节能和循环经济标准制修订，以及公共建筑室内温度现场检测</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≥250次</w:t>
            </w:r>
          </w:p>
        </w:tc>
        <w:tc>
          <w:tcPr>
            <w:tcW w:w="4819"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对公共建筑室内温度现场检测254次，发布了12项节能和循环经济标准。</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969" w:type="dxa"/>
            <w:vAlign w:val="center"/>
          </w:tcPr>
          <w:p>
            <w:pPr>
              <w:keepNext w:val="0"/>
              <w:keepLines w:val="0"/>
              <w:widowControl/>
              <w:suppressLineNumbers w:val="0"/>
              <w:jc w:val="left"/>
              <w:textAlignment w:val="center"/>
              <w:rPr>
                <w:rFonts w:ascii="仿宋_GB2312" w:eastAsia="仿宋_GB2312"/>
                <w:spacing w:val="-6"/>
                <w:szCs w:val="21"/>
              </w:rPr>
            </w:pPr>
            <w:r>
              <w:rPr>
                <w:rFonts w:hint="eastAsia" w:ascii="仿宋_GB2312" w:hAnsi="仿宋_GB2312" w:eastAsia="仿宋_GB2312" w:cs="仿宋_GB2312"/>
                <w:i w:val="0"/>
                <w:color w:val="000000"/>
                <w:kern w:val="0"/>
                <w:sz w:val="21"/>
                <w:szCs w:val="21"/>
                <w:u w:val="none"/>
                <w:lang w:val="en-US" w:eastAsia="zh-CN" w:bidi="ar"/>
              </w:rPr>
              <w:t>完成节能技术改造工程项目的奖励工作</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≥10项</w:t>
            </w:r>
          </w:p>
        </w:tc>
        <w:tc>
          <w:tcPr>
            <w:tcW w:w="4819"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未开展。</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969" w:type="dxa"/>
            <w:vAlign w:val="center"/>
          </w:tcPr>
          <w:p>
            <w:pPr>
              <w:keepNext w:val="0"/>
              <w:keepLines w:val="0"/>
              <w:widowControl/>
              <w:suppressLineNumbers w:val="0"/>
              <w:jc w:val="left"/>
              <w:textAlignment w:val="center"/>
              <w:rPr>
                <w:rFonts w:ascii="仿宋_GB2312" w:eastAsia="仿宋_GB2312"/>
                <w:spacing w:val="-6"/>
                <w:szCs w:val="21"/>
              </w:rPr>
            </w:pPr>
            <w:r>
              <w:rPr>
                <w:rFonts w:hint="eastAsia" w:ascii="仿宋_GB2312" w:hAnsi="仿宋_GB2312" w:eastAsia="仿宋_GB2312" w:cs="仿宋_GB2312"/>
                <w:i w:val="0"/>
                <w:color w:val="000000"/>
                <w:kern w:val="0"/>
                <w:sz w:val="21"/>
                <w:szCs w:val="21"/>
                <w:u w:val="none"/>
                <w:lang w:val="en-US" w:eastAsia="zh-CN" w:bidi="ar"/>
              </w:rPr>
              <w:t>审核补贴发放单位数量</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≥50家</w:t>
            </w:r>
          </w:p>
        </w:tc>
        <w:tc>
          <w:tcPr>
            <w:tcW w:w="4819"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审核补贴发放单位数量达到60家。</w:t>
            </w:r>
          </w:p>
        </w:tc>
        <w:tc>
          <w:tcPr>
            <w:tcW w:w="850" w:type="dxa"/>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969" w:type="dxa"/>
            <w:vAlign w:val="center"/>
          </w:tcPr>
          <w:p>
            <w:pPr>
              <w:keepNext w:val="0"/>
              <w:keepLines w:val="0"/>
              <w:widowControl/>
              <w:suppressLineNumbers w:val="0"/>
              <w:jc w:val="left"/>
              <w:textAlignment w:val="center"/>
              <w:rPr>
                <w:rFonts w:ascii="仿宋_GB2312" w:eastAsia="仿宋_GB2312"/>
                <w:spacing w:val="-6"/>
                <w:szCs w:val="21"/>
              </w:rPr>
            </w:pPr>
            <w:r>
              <w:rPr>
                <w:rFonts w:hint="eastAsia" w:ascii="仿宋_GB2312" w:hAnsi="仿宋_GB2312" w:eastAsia="仿宋_GB2312" w:cs="仿宋_GB2312"/>
                <w:i w:val="0"/>
                <w:color w:val="000000"/>
                <w:kern w:val="0"/>
                <w:sz w:val="21"/>
                <w:szCs w:val="21"/>
                <w:u w:val="none"/>
                <w:lang w:val="en-US" w:eastAsia="zh-CN" w:bidi="ar"/>
              </w:rPr>
              <w:t>清洁生产审核单位数量</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≥60家</w:t>
            </w:r>
          </w:p>
        </w:tc>
        <w:tc>
          <w:tcPr>
            <w:tcW w:w="4819"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清洁生产审核单位数量达到60家。</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969" w:type="dxa"/>
            <w:vAlign w:val="center"/>
          </w:tcPr>
          <w:p>
            <w:pPr>
              <w:keepNext w:val="0"/>
              <w:keepLines w:val="0"/>
              <w:widowControl/>
              <w:suppressLineNumbers w:val="0"/>
              <w:jc w:val="left"/>
              <w:textAlignment w:val="center"/>
              <w:rPr>
                <w:rFonts w:ascii="仿宋_GB2312" w:eastAsia="仿宋_GB2312"/>
                <w:spacing w:val="-6"/>
                <w:szCs w:val="21"/>
              </w:rPr>
            </w:pPr>
            <w:r>
              <w:rPr>
                <w:rFonts w:hint="eastAsia" w:ascii="仿宋_GB2312" w:hAnsi="仿宋_GB2312" w:eastAsia="仿宋_GB2312" w:cs="仿宋_GB2312"/>
                <w:i w:val="0"/>
                <w:color w:val="000000"/>
                <w:kern w:val="0"/>
                <w:sz w:val="21"/>
                <w:szCs w:val="21"/>
                <w:u w:val="none"/>
                <w:lang w:val="en-US" w:eastAsia="zh-CN" w:bidi="ar"/>
              </w:rPr>
              <w:t>实施现场监察单位数量</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≥60家</w:t>
            </w:r>
          </w:p>
        </w:tc>
        <w:tc>
          <w:tcPr>
            <w:tcW w:w="4819"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已完成69家现场监察单位。</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bl>
    <w:p>
      <w:pPr>
        <w:pStyle w:val="2"/>
        <w:spacing w:after="0" w:line="240" w:lineRule="exact"/>
        <w:jc w:val="right"/>
        <w:rPr>
          <w:sz w:val="21"/>
          <w:szCs w:val="21"/>
        </w:rPr>
      </w:pPr>
      <w:r>
        <w:rPr>
          <w:rFonts w:hint="eastAsia" w:ascii="宋体" w:hAnsi="宋体" w:eastAsia="宋体"/>
          <w:sz w:val="21"/>
          <w:szCs w:val="21"/>
        </w:rPr>
        <w:t>（接</w:t>
      </w:r>
      <w:r>
        <w:rPr>
          <w:rFonts w:ascii="宋体" w:hAnsi="宋体" w:eastAsia="宋体"/>
          <w:sz w:val="21"/>
          <w:szCs w:val="21"/>
        </w:rPr>
        <w:t>下页</w:t>
      </w:r>
      <w:r>
        <w:rPr>
          <w:rFonts w:hint="eastAsia" w:ascii="宋体" w:hAnsi="宋体" w:eastAsia="宋体"/>
          <w:sz w:val="21"/>
          <w:szCs w:val="21"/>
        </w:rPr>
        <w:t>）</w:t>
      </w:r>
      <w:r>
        <w:rPr>
          <w:sz w:val="21"/>
          <w:szCs w:val="21"/>
        </w:rPr>
        <w:br w:type="page"/>
      </w:r>
    </w:p>
    <w:p>
      <w:r>
        <w:rPr>
          <w:rFonts w:hint="eastAsia"/>
        </w:rPr>
        <w:t>（续上页）</w:t>
      </w:r>
    </w:p>
    <w:tbl>
      <w:tblPr>
        <w:tblStyle w:val="9"/>
        <w:tblW w:w="14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3685"/>
        <w:gridCol w:w="1134"/>
        <w:gridCol w:w="5102"/>
        <w:gridCol w:w="850"/>
        <w:gridCol w:w="1"/>
        <w:gridCol w:w="84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3685"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spacing w:val="-2"/>
                <w:szCs w:val="21"/>
              </w:rPr>
            </w:pPr>
            <w:r>
              <w:rPr>
                <w:rFonts w:hint="eastAsia" w:ascii="仿宋_GB2312" w:eastAsia="仿宋_GB2312"/>
                <w:b/>
                <w:sz w:val="20"/>
                <w:szCs w:val="20"/>
              </w:rPr>
              <w:t>指标值</w:t>
            </w:r>
          </w:p>
        </w:tc>
        <w:tc>
          <w:tcPr>
            <w:tcW w:w="5102"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gridSpan w:val="2"/>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680"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45</w:t>
            </w:r>
            <w:r>
              <w:rPr>
                <w:rFonts w:hint="eastAsia" w:ascii="仿宋_GB2312" w:eastAsia="仿宋_GB2312"/>
                <w:szCs w:val="21"/>
              </w:rPr>
              <w:t>分）</w:t>
            </w:r>
          </w:p>
        </w:tc>
        <w:tc>
          <w:tcPr>
            <w:tcW w:w="368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推进拟转型机构适老化改造进程，打造改革样板</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≥1个</w:t>
            </w:r>
          </w:p>
        </w:tc>
        <w:tc>
          <w:tcPr>
            <w:tcW w:w="510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打造改革样板1个，2023年6月，全国首个培训疗养</w:t>
            </w:r>
            <w:r>
              <w:rPr>
                <w:rFonts w:hint="eastAsia" w:ascii="仿宋_GB2312" w:hAnsi="仿宋_GB2312" w:eastAsia="仿宋_GB2312" w:cs="仿宋_GB2312"/>
                <w:i w:val="0"/>
                <w:color w:val="000000"/>
                <w:spacing w:val="-6"/>
                <w:kern w:val="0"/>
                <w:sz w:val="21"/>
                <w:szCs w:val="21"/>
                <w:u w:val="none"/>
                <w:lang w:val="en-US" w:eastAsia="zh-CN" w:bidi="ar"/>
              </w:rPr>
              <w:t>机构转型发展普惠养老示范项目（北京康养•颐寿嘉园）</w:t>
            </w:r>
            <w:r>
              <w:rPr>
                <w:rFonts w:hint="eastAsia" w:ascii="仿宋_GB2312" w:hAnsi="仿宋_GB2312" w:eastAsia="仿宋_GB2312" w:cs="仿宋_GB2312"/>
                <w:i w:val="0"/>
                <w:color w:val="000000"/>
                <w:kern w:val="0"/>
                <w:sz w:val="21"/>
                <w:szCs w:val="21"/>
                <w:u w:val="none"/>
                <w:lang w:val="en-US" w:eastAsia="zh-CN" w:bidi="ar"/>
              </w:rPr>
              <w:t>正式开业运营，其探索出的适老化改造北京经验得到了中央培疗改革领导小组办公室肯定并在全国推广。</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gridSpan w:val="2"/>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完成《促进本市社会公共服务领域建筑设施绿色低碳发展的路径研究》《扩大本市中等收入群体规模政策研究》课题研究报告</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≥2篇</w:t>
            </w:r>
          </w:p>
        </w:tc>
        <w:tc>
          <w:tcPr>
            <w:tcW w:w="5102"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完成2篇，《促进本市社会公共服务领域建筑设施绿色低碳发展的路径研究》一篇，《促进超大城市医疗卫生资源高质量发展的路径研究》研究报告一篇,为社会民生领域高质量发展提供政策支撑。</w:t>
            </w:r>
          </w:p>
        </w:tc>
        <w:tc>
          <w:tcPr>
            <w:tcW w:w="850" w:type="dxa"/>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gridSpan w:val="2"/>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pacing w:val="3"/>
                <w:szCs w:val="21"/>
              </w:rPr>
            </w:pPr>
            <w:r>
              <w:rPr>
                <w:rFonts w:hint="eastAsia" w:ascii="仿宋_GB2312" w:hAnsi="仿宋_GB2312" w:eastAsia="仿宋_GB2312" w:cs="仿宋_GB2312"/>
                <w:i w:val="0"/>
                <w:color w:val="000000"/>
                <w:kern w:val="0"/>
                <w:sz w:val="21"/>
                <w:szCs w:val="21"/>
                <w:u w:val="none"/>
                <w:lang w:val="en-US" w:eastAsia="zh-CN" w:bidi="ar"/>
              </w:rPr>
              <w:t>按照成品油价格形成机制定期调整本市汽柴油价格</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≥12次</w:t>
            </w:r>
          </w:p>
        </w:tc>
        <w:tc>
          <w:tcPr>
            <w:tcW w:w="510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2023年调整本市汽柴油价格22次。</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gridSpan w:val="2"/>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97"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pacing w:val="3"/>
                <w:szCs w:val="21"/>
              </w:rPr>
            </w:pPr>
            <w:r>
              <w:rPr>
                <w:rFonts w:hint="eastAsia" w:ascii="仿宋_GB2312" w:hAnsi="仿宋_GB2312" w:eastAsia="仿宋_GB2312" w:cs="仿宋_GB2312"/>
                <w:i w:val="0"/>
                <w:color w:val="000000"/>
                <w:kern w:val="0"/>
                <w:sz w:val="21"/>
                <w:szCs w:val="21"/>
                <w:u w:val="none"/>
                <w:lang w:val="en-US" w:eastAsia="zh-CN" w:bidi="ar"/>
              </w:rPr>
              <w:t>开展的成本监审或成本调查数量</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≥4项</w:t>
            </w:r>
          </w:p>
        </w:tc>
        <w:tc>
          <w:tcPr>
            <w:tcW w:w="510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已完成，开展5项成本监审项目。</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gridSpan w:val="2"/>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97"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pacing w:val="3"/>
                <w:szCs w:val="21"/>
              </w:rPr>
            </w:pPr>
            <w:r>
              <w:rPr>
                <w:rFonts w:hint="eastAsia" w:ascii="仿宋_GB2312" w:hAnsi="仿宋_GB2312" w:eastAsia="仿宋_GB2312" w:cs="仿宋_GB2312"/>
                <w:i w:val="0"/>
                <w:color w:val="000000"/>
                <w:kern w:val="0"/>
                <w:sz w:val="21"/>
                <w:szCs w:val="21"/>
                <w:u w:val="none"/>
                <w:lang w:val="en-US" w:eastAsia="zh-CN" w:bidi="ar"/>
              </w:rPr>
              <w:t>开展重要领域收费政策调查及评估</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≥1项</w:t>
            </w:r>
          </w:p>
        </w:tc>
        <w:tc>
          <w:tcPr>
            <w:tcW w:w="510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已完成，开展重要领域收费政策调查评估项目2项。</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gridSpan w:val="2"/>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1020"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pacing w:val="3"/>
                <w:szCs w:val="21"/>
              </w:rPr>
            </w:pPr>
            <w:r>
              <w:rPr>
                <w:rFonts w:hint="eastAsia" w:ascii="仿宋_GB2312" w:hAnsi="仿宋_GB2312" w:eastAsia="仿宋_GB2312" w:cs="仿宋_GB2312"/>
                <w:i w:val="0"/>
                <w:color w:val="000000"/>
                <w:kern w:val="0"/>
                <w:sz w:val="21"/>
                <w:szCs w:val="21"/>
                <w:u w:val="none"/>
                <w:lang w:val="en-US" w:eastAsia="zh-CN" w:bidi="ar"/>
              </w:rPr>
              <w:t>获取国际市场主要期货和重要价格指数信息、本市钢材信息，通过专栏发布生活必需品、钢材等价格监测信息</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＞100期</w:t>
            </w:r>
          </w:p>
        </w:tc>
        <w:tc>
          <w:tcPr>
            <w:tcW w:w="510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获取国际市场主要期货和重要价格指数信息、本市钢材信息，通过专栏发布生活必需品、钢材等价格监测信息164期</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gridSpan w:val="2"/>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1020"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pacing w:val="3"/>
                <w:szCs w:val="21"/>
              </w:rPr>
            </w:pPr>
            <w:r>
              <w:rPr>
                <w:rFonts w:hint="eastAsia" w:ascii="仿宋_GB2312" w:hAnsi="仿宋_GB2312" w:eastAsia="仿宋_GB2312" w:cs="仿宋_GB2312"/>
                <w:i w:val="0"/>
                <w:color w:val="000000"/>
                <w:kern w:val="0"/>
                <w:sz w:val="21"/>
                <w:szCs w:val="21"/>
                <w:u w:val="none"/>
                <w:lang w:val="en-US" w:eastAsia="zh-CN" w:bidi="ar"/>
              </w:rPr>
              <w:t>向国家价格监测中心报送生活必需品、劳动力市场、房地产市场、生猪屠宰及养殖企业等价格监测数据</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＞2500条</w:t>
            </w:r>
          </w:p>
        </w:tc>
        <w:tc>
          <w:tcPr>
            <w:tcW w:w="510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向国家价格监测中心报送生活必需品、劳动力市场、房地产市场、生猪屠宰及养殖企业价格监测数据3580余条。</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gridSpan w:val="2"/>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pacing w:val="3"/>
                <w:szCs w:val="21"/>
              </w:rPr>
            </w:pPr>
            <w:r>
              <w:rPr>
                <w:rFonts w:hint="eastAsia" w:ascii="仿宋_GB2312" w:hAnsi="仿宋_GB2312" w:eastAsia="仿宋_GB2312" w:cs="仿宋_GB2312"/>
                <w:i w:val="0"/>
                <w:color w:val="000000"/>
                <w:kern w:val="0"/>
                <w:sz w:val="21"/>
                <w:szCs w:val="21"/>
                <w:u w:val="none"/>
                <w:lang w:val="en-US" w:eastAsia="zh-CN" w:bidi="ar"/>
              </w:rPr>
              <w:t>办理市纪检委监察委、市人民法院、市人民检察院、市公安局协助提出的涉纪检、涉刑事价格鉴定事项</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≥300件</w:t>
            </w:r>
          </w:p>
        </w:tc>
        <w:tc>
          <w:tcPr>
            <w:tcW w:w="5102" w:type="dxa"/>
            <w:vAlign w:val="center"/>
          </w:tcPr>
          <w:p>
            <w:pPr>
              <w:keepNext w:val="0"/>
              <w:keepLines w:val="0"/>
              <w:widowControl/>
              <w:suppressLineNumbers w:val="0"/>
              <w:jc w:val="both"/>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办理市纪检委监察委、市人民法院、市人民检察院、市公安局协助提出的涉纪检、涉刑事价格鉴定事项459件。</w:t>
            </w:r>
          </w:p>
        </w:tc>
        <w:tc>
          <w:tcPr>
            <w:tcW w:w="851" w:type="dxa"/>
            <w:gridSpan w:val="2"/>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gridSpan w:val="2"/>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bl>
    <w:p>
      <w:pPr>
        <w:pStyle w:val="2"/>
        <w:spacing w:after="0" w:line="240" w:lineRule="exact"/>
        <w:jc w:val="right"/>
        <w:rPr>
          <w:rFonts w:ascii="宋体" w:hAnsi="宋体" w:eastAsia="宋体"/>
        </w:rPr>
      </w:pPr>
      <w:r>
        <w:rPr>
          <w:rFonts w:hint="eastAsia" w:ascii="宋体" w:hAnsi="宋体" w:eastAsia="宋体"/>
          <w:sz w:val="21"/>
          <w:szCs w:val="21"/>
        </w:rPr>
        <w:t>（接下页）</w:t>
      </w:r>
      <w:r>
        <w:rPr>
          <w:rFonts w:ascii="宋体" w:hAnsi="宋体" w:eastAsia="宋体"/>
        </w:rPr>
        <w:br w:type="page"/>
      </w:r>
    </w:p>
    <w:p>
      <w:r>
        <w:rPr>
          <w:rFonts w:hint="eastAsia"/>
        </w:rPr>
        <w:t>（续上页）</w:t>
      </w:r>
    </w:p>
    <w:tbl>
      <w:tblPr>
        <w:tblStyle w:val="9"/>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3685"/>
        <w:gridCol w:w="1134"/>
        <w:gridCol w:w="5102"/>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3685"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spacing w:val="-2"/>
                <w:szCs w:val="21"/>
              </w:rPr>
            </w:pPr>
            <w:r>
              <w:rPr>
                <w:rFonts w:hint="eastAsia" w:ascii="仿宋_GB2312" w:eastAsia="仿宋_GB2312"/>
                <w:b/>
                <w:sz w:val="20"/>
                <w:szCs w:val="20"/>
              </w:rPr>
              <w:t>指标值</w:t>
            </w:r>
          </w:p>
        </w:tc>
        <w:tc>
          <w:tcPr>
            <w:tcW w:w="5102"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45</w:t>
            </w:r>
            <w:r>
              <w:rPr>
                <w:rFonts w:hint="eastAsia" w:ascii="仿宋_GB2312" w:eastAsia="仿宋_GB2312"/>
                <w:szCs w:val="21"/>
              </w:rPr>
              <w:t>分）</w:t>
            </w:r>
          </w:p>
        </w:tc>
        <w:tc>
          <w:tcPr>
            <w:tcW w:w="368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案件办理数量</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≥5件</w:t>
            </w:r>
          </w:p>
        </w:tc>
        <w:tc>
          <w:tcPr>
            <w:tcW w:w="5102"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2023年度行政复议案件办理量10件，行政诉讼案件办理量7件，审理复议案件2件，圆满完成案件办理数量指标。</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368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新闻发布活动次数</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≥50次</w:t>
            </w:r>
          </w:p>
        </w:tc>
        <w:tc>
          <w:tcPr>
            <w:tcW w:w="5102"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2023年组织宣传活动100次，媒体刊发源发报道2000余篇，头版272个，专版88个，评论39篇，其中核心央媒刊播报道140篇。</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“发展北京”政务微信发布信息数量</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≥300篇</w:t>
            </w:r>
          </w:p>
        </w:tc>
        <w:tc>
          <w:tcPr>
            <w:tcW w:w="5102"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2023年我委“发展北京”微信公众号共发布信息近600篇。</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配合市粮食局等有关部门研究制定《耕地保护和粮食安全责任制考核办法》</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＝1份</w:t>
            </w:r>
          </w:p>
        </w:tc>
        <w:tc>
          <w:tcPr>
            <w:tcW w:w="510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已配合相关部门完成制定1份办法。</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编制北京市铁路领域2023年重点工作计划</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＝1份</w:t>
            </w:r>
          </w:p>
        </w:tc>
        <w:tc>
          <w:tcPr>
            <w:tcW w:w="5102"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印发《北京市铁路领域2023年重点工作计划》1份。</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在各类内刊内参刊发研究成果</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≥35篇</w:t>
            </w:r>
          </w:p>
        </w:tc>
        <w:tc>
          <w:tcPr>
            <w:tcW w:w="5102"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全年在市委市政府内刊内参刊载80篇，获得市领导批示成果61篇。</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color w:val="auto"/>
                <w:szCs w:val="21"/>
              </w:rPr>
            </w:pPr>
            <w:r>
              <w:rPr>
                <w:rFonts w:hint="eastAsia" w:ascii="仿宋_GB2312" w:hAnsi="仿宋_GB2312" w:eastAsia="仿宋_GB2312" w:cs="仿宋_GB2312"/>
                <w:i w:val="0"/>
                <w:color w:val="000000"/>
                <w:kern w:val="0"/>
                <w:sz w:val="21"/>
                <w:szCs w:val="21"/>
                <w:u w:val="none"/>
                <w:lang w:val="en-US" w:eastAsia="zh-CN" w:bidi="ar"/>
              </w:rPr>
              <w:t>编辑出版《北京健康城市建设研究》、《北京社会发展报告蓝皮书》、《首都现代化蓝皮书》</w:t>
            </w:r>
          </w:p>
        </w:tc>
        <w:tc>
          <w:tcPr>
            <w:tcW w:w="1134" w:type="dxa"/>
            <w:vAlign w:val="center"/>
          </w:tcPr>
          <w:p>
            <w:pPr>
              <w:keepNext w:val="0"/>
              <w:keepLines w:val="0"/>
              <w:widowControl/>
              <w:suppressLineNumbers w:val="0"/>
              <w:jc w:val="left"/>
              <w:textAlignment w:val="center"/>
              <w:rPr>
                <w:rFonts w:ascii="仿宋_GB2312" w:eastAsia="仿宋_GB2312"/>
                <w:color w:val="auto"/>
                <w:szCs w:val="21"/>
              </w:rPr>
            </w:pPr>
            <w:r>
              <w:rPr>
                <w:rFonts w:hint="eastAsia" w:ascii="仿宋_GB2312" w:hAnsi="仿宋_GB2312" w:eastAsia="仿宋_GB2312" w:cs="仿宋_GB2312"/>
                <w:i w:val="0"/>
                <w:color w:val="000000"/>
                <w:kern w:val="0"/>
                <w:sz w:val="21"/>
                <w:szCs w:val="21"/>
                <w:u w:val="none"/>
                <w:lang w:val="en-US" w:eastAsia="zh-CN" w:bidi="ar"/>
              </w:rPr>
              <w:t>＝3本</w:t>
            </w:r>
          </w:p>
        </w:tc>
        <w:tc>
          <w:tcPr>
            <w:tcW w:w="5102" w:type="dxa"/>
            <w:vAlign w:val="center"/>
          </w:tcPr>
          <w:p>
            <w:pPr>
              <w:keepNext w:val="0"/>
              <w:keepLines w:val="0"/>
              <w:widowControl/>
              <w:suppressLineNumbers w:val="0"/>
              <w:jc w:val="left"/>
              <w:textAlignment w:val="center"/>
              <w:rPr>
                <w:rFonts w:ascii="仿宋_GB2312" w:eastAsia="仿宋_GB2312"/>
                <w:color w:val="auto"/>
                <w:szCs w:val="21"/>
              </w:rPr>
            </w:pPr>
            <w:r>
              <w:rPr>
                <w:rFonts w:hint="eastAsia" w:ascii="仿宋_GB2312" w:hAnsi="仿宋_GB2312" w:eastAsia="仿宋_GB2312" w:cs="仿宋_GB2312"/>
                <w:i w:val="0"/>
                <w:color w:val="000000"/>
                <w:kern w:val="0"/>
                <w:sz w:val="21"/>
                <w:szCs w:val="21"/>
                <w:u w:val="none"/>
                <w:lang w:val="en-US" w:eastAsia="zh-CN" w:bidi="ar"/>
              </w:rPr>
              <w:t>《北京健康城市建设研究》、《北京社会发展报告蓝皮书》、《首都现代化蓝皮书》3本书均已按计划出版。《北京健康城市建设研究》获第十四届“优秀皮书奖”一等奖。</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default" w:ascii="仿宋_GB2312" w:eastAsia="仿宋_GB2312"/>
                <w:lang w:val="en-US"/>
              </w:rPr>
            </w:pPr>
            <w:r>
              <w:rPr>
                <w:rFonts w:hint="eastAsia" w:ascii="仿宋_GB2312" w:hAnsi="宋体" w:eastAsia="仿宋_GB2312" w:cs="仿宋_GB2312"/>
                <w:i w:val="0"/>
                <w:color w:val="000000"/>
                <w:kern w:val="0"/>
                <w:sz w:val="21"/>
                <w:szCs w:val="21"/>
                <w:u w:val="none"/>
                <w:lang w:val="en-US" w:eastAsia="zh-CN" w:bidi="ar"/>
              </w:rPr>
              <w:t>0.5</w:t>
            </w:r>
          </w:p>
        </w:tc>
      </w:tr>
    </w:tbl>
    <w:p>
      <w:pPr>
        <w:pStyle w:val="2"/>
        <w:spacing w:after="0" w:line="240" w:lineRule="exact"/>
        <w:jc w:val="right"/>
        <w:rPr>
          <w:rFonts w:ascii="宋体" w:hAnsi="宋体" w:eastAsia="宋体"/>
          <w:sz w:val="21"/>
          <w:szCs w:val="21"/>
        </w:rPr>
      </w:pPr>
      <w:r>
        <w:rPr>
          <w:rFonts w:hint="eastAsia" w:ascii="宋体" w:hAnsi="宋体" w:eastAsia="宋体"/>
          <w:sz w:val="21"/>
          <w:szCs w:val="21"/>
        </w:rPr>
        <w:t>（接</w:t>
      </w:r>
      <w:r>
        <w:rPr>
          <w:rFonts w:ascii="宋体" w:hAnsi="宋体" w:eastAsia="宋体"/>
          <w:sz w:val="21"/>
          <w:szCs w:val="21"/>
        </w:rPr>
        <w:t>下页</w:t>
      </w:r>
      <w:r>
        <w:rPr>
          <w:rFonts w:hint="eastAsia" w:ascii="宋体" w:hAnsi="宋体" w:eastAsia="宋体"/>
          <w:sz w:val="21"/>
          <w:szCs w:val="21"/>
        </w:rPr>
        <w:t>）</w:t>
      </w:r>
      <w:r>
        <w:rPr>
          <w:rFonts w:ascii="宋体" w:hAnsi="宋体" w:eastAsia="宋体"/>
          <w:sz w:val="21"/>
          <w:szCs w:val="21"/>
        </w:rPr>
        <w:br w:type="page"/>
      </w:r>
    </w:p>
    <w:p>
      <w:r>
        <w:rPr>
          <w:rFonts w:hint="eastAsia"/>
        </w:rPr>
        <w:t>（续上页）</w:t>
      </w:r>
    </w:p>
    <w:tbl>
      <w:tblPr>
        <w:tblStyle w:val="9"/>
        <w:tblW w:w="14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3402"/>
        <w:gridCol w:w="1134"/>
        <w:gridCol w:w="5386"/>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3402"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spacing w:val="-2"/>
                <w:szCs w:val="21"/>
              </w:rPr>
            </w:pPr>
            <w:r>
              <w:rPr>
                <w:rFonts w:hint="eastAsia" w:ascii="仿宋_GB2312" w:eastAsia="仿宋_GB2312"/>
                <w:b/>
                <w:sz w:val="20"/>
                <w:szCs w:val="20"/>
              </w:rPr>
              <w:t>指标值</w:t>
            </w:r>
          </w:p>
        </w:tc>
        <w:tc>
          <w:tcPr>
            <w:tcW w:w="5386"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1"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45</w:t>
            </w:r>
            <w:r>
              <w:rPr>
                <w:rFonts w:hint="eastAsia" w:ascii="仿宋_GB2312" w:eastAsia="仿宋_GB2312"/>
                <w:szCs w:val="21"/>
              </w:rPr>
              <w:t>分）</w:t>
            </w:r>
          </w:p>
        </w:tc>
        <w:tc>
          <w:tcPr>
            <w:tcW w:w="3402"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围绕重点领域组织开展融资对接活动</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全年组织融资对接会11次，116个有融资需求的重点项目累计获得贷款435亿元，组织115个制造业中长期贷款项目、两批244个科技型企业和项目融资申报，扩大制造业中长期贷款投放和科技型企业项目融资对接工作获国家发展改革委会议典型发言交流。</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eastAsia="仿宋_GB2312"/>
                <w:lang w:val="en-US" w:eastAsia="zh-CN"/>
              </w:rPr>
              <w:t>1</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eastAsia="仿宋_GB231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402"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全面完成市委深改委经济领域2023年工作要点重点任务</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＝100%</w:t>
            </w:r>
          </w:p>
        </w:tc>
        <w:tc>
          <w:tcPr>
            <w:tcW w:w="5386"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100%完成。2023年4月17日，经济体制小组办公室印发《经济体制改革专项小组2023年工作要点》，创新专项小组平台工作机制，工作范围由以往横向协调相关市级部门向16区纵向拓展。</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402"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加快推进“双枢纽”重大项目前期工作</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386"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优，配合首都机场集团加快推进首都机场提质增效、大兴机场卫星厅项目前期工作，组织协调本市相关单位加强研究论证，持续优化项目方案。</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402"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spacing w:val="-6"/>
                <w:kern w:val="0"/>
                <w:sz w:val="21"/>
                <w:szCs w:val="21"/>
                <w:u w:val="none"/>
                <w:lang w:val="en-US" w:eastAsia="zh-CN" w:bidi="ar"/>
              </w:rPr>
              <w:t>区域发展、生态文明建设类政策转化效益分析评价</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386"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优，制定《关于因地制宜开展以工代赈工作促进农民群众就业增收的实施意见》，指导推动门头沟区、房山区在灾后恢复重建项目推广以工代赈工作。</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402"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形成课题研究成果，支撑京津冀协同发展工作</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386"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优，形成《京津冀氢能产业协同发展机制研究》课题报告，于2023年12月13日通过专家结题评审。同时转化成京津冀联合办信息简报拟于近期报送市领导。</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402" w:type="dxa"/>
            <w:vAlign w:val="center"/>
          </w:tcPr>
          <w:p>
            <w:pPr>
              <w:keepNext w:val="0"/>
              <w:keepLines w:val="0"/>
              <w:widowControl/>
              <w:suppressLineNumbers w:val="0"/>
              <w:jc w:val="left"/>
              <w:textAlignment w:val="center"/>
              <w:rPr>
                <w:rFonts w:ascii="仿宋_GB2312" w:eastAsia="仿宋_GB2312"/>
                <w:color w:val="auto"/>
                <w:szCs w:val="21"/>
              </w:rPr>
            </w:pPr>
            <w:r>
              <w:rPr>
                <w:rFonts w:hint="eastAsia" w:ascii="仿宋_GB2312" w:hAnsi="仿宋_GB2312" w:eastAsia="仿宋_GB2312" w:cs="仿宋_GB2312"/>
                <w:i w:val="0"/>
                <w:color w:val="000000"/>
                <w:kern w:val="0"/>
                <w:sz w:val="21"/>
                <w:szCs w:val="21"/>
                <w:u w:val="none"/>
                <w:lang w:val="en-US" w:eastAsia="zh-CN" w:bidi="ar"/>
              </w:rPr>
              <w:t>完成疏整促专项行动工作任务</w:t>
            </w:r>
          </w:p>
        </w:tc>
        <w:tc>
          <w:tcPr>
            <w:tcW w:w="1134" w:type="dxa"/>
            <w:vAlign w:val="center"/>
          </w:tcPr>
          <w:p>
            <w:pPr>
              <w:keepNext w:val="0"/>
              <w:keepLines w:val="0"/>
              <w:widowControl/>
              <w:suppressLineNumbers w:val="0"/>
              <w:jc w:val="left"/>
              <w:textAlignment w:val="center"/>
              <w:rPr>
                <w:rFonts w:ascii="仿宋_GB2312" w:eastAsia="仿宋_GB2312"/>
                <w:color w:val="auto"/>
                <w:szCs w:val="21"/>
              </w:rPr>
            </w:pPr>
            <w:r>
              <w:rPr>
                <w:rFonts w:hint="eastAsia" w:ascii="仿宋_GB2312" w:hAnsi="仿宋_GB2312" w:eastAsia="仿宋_GB2312" w:cs="仿宋_GB2312"/>
                <w:i w:val="0"/>
                <w:color w:val="000000"/>
                <w:kern w:val="0"/>
                <w:sz w:val="21"/>
                <w:szCs w:val="21"/>
                <w:u w:val="none"/>
                <w:lang w:val="en-US" w:eastAsia="zh-CN" w:bidi="ar"/>
              </w:rPr>
              <w:t>＝100%</w:t>
            </w:r>
          </w:p>
        </w:tc>
        <w:tc>
          <w:tcPr>
            <w:tcW w:w="5386" w:type="dxa"/>
            <w:vAlign w:val="center"/>
          </w:tcPr>
          <w:p>
            <w:pPr>
              <w:keepNext w:val="0"/>
              <w:keepLines w:val="0"/>
              <w:widowControl/>
              <w:suppressLineNumbers w:val="0"/>
              <w:jc w:val="left"/>
              <w:textAlignment w:val="center"/>
              <w:rPr>
                <w:rFonts w:ascii="仿宋_GB2312" w:eastAsia="仿宋_GB2312"/>
                <w:color w:val="auto"/>
                <w:szCs w:val="21"/>
              </w:rPr>
            </w:pPr>
            <w:r>
              <w:rPr>
                <w:rFonts w:hint="eastAsia" w:ascii="仿宋_GB2312" w:hAnsi="仿宋_GB2312" w:eastAsia="仿宋_GB2312" w:cs="仿宋_GB2312"/>
                <w:i w:val="0"/>
                <w:color w:val="000000"/>
                <w:kern w:val="0"/>
                <w:sz w:val="21"/>
                <w:szCs w:val="21"/>
                <w:u w:val="none"/>
                <w:lang w:val="en-US" w:eastAsia="zh-CN" w:bidi="ar"/>
              </w:rPr>
              <w:t>圆满完成2023年疏整促专项行动工作任务。</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default" w:ascii="仿宋_GB2312" w:eastAsia="仿宋_GB2312"/>
                <w:lang w:val="en-US"/>
              </w:rPr>
            </w:pPr>
            <w:r>
              <w:rPr>
                <w:rFonts w:hint="eastAsia" w:ascii="仿宋_GB2312" w:hAnsi="宋体" w:eastAsia="仿宋_GB2312" w:cs="仿宋_GB2312"/>
                <w:i w:val="0"/>
                <w:color w:val="000000"/>
                <w:kern w:val="0"/>
                <w:sz w:val="21"/>
                <w:szCs w:val="21"/>
                <w:u w:val="none"/>
                <w:lang w:val="en-US" w:eastAsia="zh-CN" w:bidi="ar"/>
              </w:rPr>
              <w:t>0.5</w:t>
            </w:r>
          </w:p>
        </w:tc>
      </w:tr>
    </w:tbl>
    <w:p>
      <w:pPr>
        <w:ind w:firstLine="12810" w:firstLineChars="6100"/>
        <w:jc w:val="left"/>
      </w:pPr>
      <w:r>
        <w:rPr>
          <w:rFonts w:hint="eastAsia" w:ascii="宋体" w:hAnsi="宋体" w:eastAsia="宋体"/>
          <w:sz w:val="21"/>
          <w:szCs w:val="21"/>
        </w:rPr>
        <w:t>（接</w:t>
      </w:r>
      <w:r>
        <w:rPr>
          <w:rFonts w:ascii="宋体" w:hAnsi="宋体" w:eastAsia="宋体"/>
          <w:sz w:val="21"/>
          <w:szCs w:val="21"/>
        </w:rPr>
        <w:t>下页</w:t>
      </w:r>
      <w:r>
        <w:rPr>
          <w:rFonts w:hint="eastAsia" w:ascii="宋体" w:hAnsi="宋体" w:eastAsia="宋体"/>
          <w:sz w:val="21"/>
          <w:szCs w:val="21"/>
        </w:rPr>
        <w:t>）</w:t>
      </w:r>
      <w:r>
        <w:rPr>
          <w:rFonts w:ascii="宋体" w:hAnsi="宋体" w:eastAsia="宋体"/>
          <w:sz w:val="21"/>
          <w:szCs w:val="21"/>
        </w:rPr>
        <w:br w:type="page"/>
      </w:r>
      <w:r>
        <w:rPr>
          <w:rFonts w:hint="eastAsia"/>
        </w:rPr>
        <w:t>（续上页）</w:t>
      </w:r>
    </w:p>
    <w:tbl>
      <w:tblPr>
        <w:tblStyle w:val="9"/>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3685"/>
        <w:gridCol w:w="1134"/>
        <w:gridCol w:w="5102"/>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3685"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spacing w:val="-2"/>
                <w:szCs w:val="21"/>
              </w:rPr>
            </w:pPr>
            <w:r>
              <w:rPr>
                <w:rFonts w:hint="eastAsia" w:ascii="仿宋_GB2312" w:eastAsia="仿宋_GB2312"/>
                <w:b/>
                <w:sz w:val="20"/>
                <w:szCs w:val="20"/>
              </w:rPr>
              <w:t>指标值</w:t>
            </w:r>
          </w:p>
        </w:tc>
        <w:tc>
          <w:tcPr>
            <w:tcW w:w="5102"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产出</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45</w:t>
            </w:r>
            <w:r>
              <w:rPr>
                <w:rFonts w:hint="eastAsia" w:ascii="仿宋_GB2312" w:eastAsia="仿宋_GB2312"/>
                <w:szCs w:val="21"/>
              </w:rPr>
              <w:t>分）</w:t>
            </w:r>
          </w:p>
        </w:tc>
        <w:tc>
          <w:tcPr>
            <w:tcW w:w="368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为本市对外开放工作提供有力支撑</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102"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优，工作内容丰富，形式多样，为本市对外开放工作提供了有力支撑。</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根据《中华人民共和国节约能源法》《中华人民共和国清洁生产促进法》等法律法规严格依法行政，落实“双随机、一公开”监管要求</w:t>
            </w:r>
          </w:p>
        </w:tc>
        <w:tc>
          <w:tcPr>
            <w:tcW w:w="1134" w:type="dxa"/>
            <w:vAlign w:val="center"/>
          </w:tcPr>
          <w:p>
            <w:pPr>
              <w:keepNext w:val="0"/>
              <w:keepLines w:val="0"/>
              <w:widowControl/>
              <w:suppressLineNumbers w:val="0"/>
              <w:jc w:val="left"/>
              <w:textAlignment w:val="center"/>
              <w:rPr>
                <w:rFonts w:hint="default"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102"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优，根据《中华人民共和国节约能源法》《中华人民共和国清洁生产促进法》等法律法规严格依法行政；落实“双随机、一公开”监管要求。</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市纪检监察机关、司法机关提出复核率</w:t>
            </w:r>
          </w:p>
        </w:tc>
        <w:tc>
          <w:tcPr>
            <w:tcW w:w="1134"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default" w:ascii="仿宋_GB2312" w:hAnsi="仿宋_GB2312" w:eastAsia="仿宋_GB2312" w:cs="仿宋_GB2312"/>
                <w:i w:val="0"/>
                <w:color w:val="000000"/>
                <w:kern w:val="0"/>
                <w:sz w:val="21"/>
                <w:szCs w:val="21"/>
                <w:u w:val="none"/>
                <w:lang w:val="en-US" w:eastAsia="zh-CN" w:bidi="ar"/>
              </w:rPr>
              <w:t>≤2%</w:t>
            </w:r>
          </w:p>
        </w:tc>
        <w:tc>
          <w:tcPr>
            <w:tcW w:w="5102" w:type="dxa"/>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市纪检监察机关、司法机关提出复核率为零。</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系统正常运行率</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≥95%</w:t>
            </w:r>
          </w:p>
        </w:tc>
        <w:tc>
          <w:tcPr>
            <w:tcW w:w="5102" w:type="dxa"/>
            <w:vAlign w:val="center"/>
          </w:tcPr>
          <w:p>
            <w:pPr>
              <w:keepNext w:val="0"/>
              <w:keepLines w:val="0"/>
              <w:widowControl/>
              <w:suppressLineNumbers w:val="0"/>
              <w:jc w:val="left"/>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系统正常运行率≥98%</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根据上游天然气门站价格变化情况，及时疏导上游天然气价格浮动影响</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102"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出台《关于调整本市非居民用天然气销售价格的通知》（京发改〔2023〕1554号），11月19日至2024年3月15日期间，上浮本市非居民气价0.43元/立方米。</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及时提示预警，提出调控建议</w:t>
            </w:r>
          </w:p>
        </w:tc>
        <w:tc>
          <w:tcPr>
            <w:tcW w:w="1134"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102" w:type="dxa"/>
            <w:vAlign w:val="center"/>
          </w:tcPr>
          <w:p>
            <w:pPr>
              <w:keepNext w:val="0"/>
              <w:keepLines w:val="0"/>
              <w:widowControl/>
              <w:suppressLineNumbers w:val="0"/>
              <w:jc w:val="left"/>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严格落实生猪、蔬菜、粮油价格调控预案，报送价格预警等各类政务信息74篇，针对猪肉价格低位运行情况，对外发布预警信息6篇，引导养殖场（户）合理安排生产经营决策；会同市商务局、市财政局制定分批次政府猪肉临时储备收储方案，开展临时储备收储300吨，与中央收储形成联动合力。</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left"/>
              <w:textAlignment w:val="center"/>
              <w:rPr>
                <w:rFonts w:ascii="仿宋_GB2312" w:eastAsia="仿宋_GB2312"/>
                <w:color w:val="auto"/>
                <w:szCs w:val="21"/>
              </w:rPr>
            </w:pPr>
            <w:r>
              <w:rPr>
                <w:rFonts w:hint="eastAsia" w:ascii="仿宋_GB2312" w:hAnsi="仿宋_GB2312" w:eastAsia="仿宋_GB2312" w:cs="仿宋_GB2312"/>
                <w:i w:val="0"/>
                <w:color w:val="000000"/>
                <w:spacing w:val="-6"/>
                <w:kern w:val="0"/>
                <w:sz w:val="21"/>
                <w:szCs w:val="21"/>
                <w:u w:val="none"/>
                <w:lang w:val="en-US" w:eastAsia="zh-CN" w:bidi="ar"/>
              </w:rPr>
              <w:t>平均故障修复响应时间</w:t>
            </w:r>
          </w:p>
        </w:tc>
        <w:tc>
          <w:tcPr>
            <w:tcW w:w="1134" w:type="dxa"/>
            <w:vAlign w:val="center"/>
          </w:tcPr>
          <w:p>
            <w:pPr>
              <w:keepNext w:val="0"/>
              <w:keepLines w:val="0"/>
              <w:widowControl/>
              <w:suppressLineNumbers w:val="0"/>
              <w:jc w:val="left"/>
              <w:textAlignment w:val="center"/>
              <w:rPr>
                <w:rFonts w:ascii="仿宋_GB2312" w:eastAsia="仿宋_GB2312"/>
                <w:color w:val="auto"/>
                <w:szCs w:val="21"/>
              </w:rPr>
            </w:pPr>
            <w:r>
              <w:rPr>
                <w:rFonts w:hint="eastAsia" w:ascii="仿宋_GB2312" w:hAnsi="仿宋_GB2312" w:eastAsia="仿宋_GB2312" w:cs="仿宋_GB2312"/>
                <w:i w:val="0"/>
                <w:color w:val="000000"/>
                <w:kern w:val="0"/>
                <w:sz w:val="21"/>
                <w:szCs w:val="21"/>
                <w:u w:val="none"/>
                <w:lang w:val="en-US" w:eastAsia="zh-CN" w:bidi="ar"/>
              </w:rPr>
              <w:t>≤4小时</w:t>
            </w:r>
          </w:p>
        </w:tc>
        <w:tc>
          <w:tcPr>
            <w:tcW w:w="5102" w:type="dxa"/>
            <w:vAlign w:val="center"/>
          </w:tcPr>
          <w:p>
            <w:pPr>
              <w:keepNext w:val="0"/>
              <w:keepLines w:val="0"/>
              <w:widowControl/>
              <w:suppressLineNumbers w:val="0"/>
              <w:jc w:val="left"/>
              <w:textAlignment w:val="center"/>
              <w:rPr>
                <w:rFonts w:ascii="仿宋_GB2312" w:eastAsia="仿宋_GB2312"/>
                <w:color w:val="auto"/>
                <w:szCs w:val="21"/>
              </w:rPr>
            </w:pPr>
            <w:r>
              <w:rPr>
                <w:rFonts w:hint="eastAsia" w:ascii="仿宋_GB2312" w:hAnsi="仿宋_GB2312" w:eastAsia="仿宋_GB2312" w:cs="仿宋_GB2312"/>
                <w:i w:val="0"/>
                <w:color w:val="000000"/>
                <w:kern w:val="0"/>
                <w:sz w:val="21"/>
                <w:szCs w:val="21"/>
                <w:u w:val="none"/>
                <w:lang w:val="en-US" w:eastAsia="zh-CN" w:bidi="ar"/>
              </w:rPr>
              <w:t>0小时</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default" w:ascii="仿宋_GB2312" w:eastAsia="仿宋_GB2312"/>
                <w:lang w:val="en-US"/>
              </w:rPr>
            </w:pPr>
            <w:r>
              <w:rPr>
                <w:rFonts w:hint="eastAsia" w:ascii="仿宋_GB2312" w:hAnsi="宋体" w:eastAsia="仿宋_GB2312" w:cs="仿宋_GB2312"/>
                <w:i w:val="0"/>
                <w:color w:val="000000"/>
                <w:kern w:val="0"/>
                <w:sz w:val="21"/>
                <w:szCs w:val="21"/>
                <w:u w:val="none"/>
                <w:lang w:val="en-US" w:eastAsia="zh-CN" w:bidi="ar"/>
              </w:rPr>
              <w:t>0.5</w:t>
            </w:r>
          </w:p>
        </w:tc>
      </w:tr>
    </w:tbl>
    <w:p>
      <w:pPr>
        <w:ind w:firstLine="12810" w:firstLineChars="6100"/>
        <w:jc w:val="left"/>
      </w:pPr>
      <w:r>
        <w:rPr>
          <w:rFonts w:hint="eastAsia" w:ascii="宋体" w:hAnsi="宋体" w:eastAsia="宋体"/>
          <w:sz w:val="21"/>
          <w:szCs w:val="21"/>
        </w:rPr>
        <w:t>（接</w:t>
      </w:r>
      <w:r>
        <w:rPr>
          <w:rFonts w:ascii="宋体" w:hAnsi="宋体" w:eastAsia="宋体"/>
          <w:sz w:val="21"/>
          <w:szCs w:val="21"/>
        </w:rPr>
        <w:t>下页</w:t>
      </w:r>
      <w:r>
        <w:rPr>
          <w:rFonts w:hint="eastAsia" w:ascii="宋体" w:hAnsi="宋体" w:eastAsia="宋体"/>
          <w:sz w:val="21"/>
          <w:szCs w:val="21"/>
        </w:rPr>
        <w:t>）</w:t>
      </w:r>
      <w:r>
        <w:rPr>
          <w:rFonts w:ascii="宋体" w:hAnsi="宋体" w:eastAsia="宋体"/>
          <w:sz w:val="21"/>
          <w:szCs w:val="21"/>
        </w:rPr>
        <w:br w:type="page"/>
      </w:r>
      <w:r>
        <w:rPr>
          <w:rFonts w:hint="eastAsia"/>
        </w:rPr>
        <w:t>（续上页）</w:t>
      </w:r>
    </w:p>
    <w:tbl>
      <w:tblPr>
        <w:tblStyle w:val="9"/>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2551"/>
        <w:gridCol w:w="1134"/>
        <w:gridCol w:w="6236"/>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2551"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spacing w:val="-2"/>
                <w:szCs w:val="21"/>
              </w:rPr>
            </w:pPr>
            <w:r>
              <w:rPr>
                <w:rFonts w:hint="eastAsia" w:ascii="仿宋_GB2312" w:eastAsia="仿宋_GB2312"/>
                <w:b/>
                <w:sz w:val="20"/>
                <w:szCs w:val="20"/>
              </w:rPr>
              <w:t>指标值</w:t>
            </w:r>
          </w:p>
        </w:tc>
        <w:tc>
          <w:tcPr>
            <w:tcW w:w="6236" w:type="dxa"/>
            <w:shd w:val="clear" w:color="auto" w:fill="D8D8D8" w:themeFill="background1" w:themeFillShade="D9"/>
            <w:vAlign w:val="center"/>
          </w:tcPr>
          <w:p>
            <w:pPr>
              <w:jc w:val="center"/>
              <w:rPr>
                <w:rFonts w:ascii="仿宋_GB2312" w:eastAsia="仿宋_GB2312"/>
                <w:spacing w:val="-14"/>
                <w:sz w:val="20"/>
                <w:szCs w:val="20"/>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5"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效果</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15</w:t>
            </w:r>
            <w:r>
              <w:rPr>
                <w:rFonts w:hint="eastAsia" w:ascii="仿宋_GB2312" w:eastAsia="仿宋_GB2312"/>
                <w:szCs w:val="21"/>
              </w:rPr>
              <w:t>分）</w:t>
            </w:r>
          </w:p>
        </w:tc>
        <w:tc>
          <w:tcPr>
            <w:tcW w:w="2551"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根据国家宏观调控要求，统筹协调经济社会发展，做好经济运行调度</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6236" w:type="dxa"/>
            <w:vAlign w:val="center"/>
          </w:tcPr>
          <w:p>
            <w:pPr>
              <w:keepNext w:val="0"/>
              <w:keepLines w:val="0"/>
              <w:widowControl/>
              <w:suppressLineNumbers w:val="0"/>
              <w:jc w:val="both"/>
              <w:textAlignment w:val="center"/>
              <w:rPr>
                <w:rFonts w:ascii="仿宋_GB2312" w:eastAsia="仿宋_GB2312"/>
                <w:spacing w:val="-6"/>
                <w:sz w:val="20"/>
                <w:szCs w:val="20"/>
              </w:rPr>
            </w:pPr>
            <w:r>
              <w:rPr>
                <w:rFonts w:hint="eastAsia" w:ascii="仿宋_GB2312" w:hAnsi="仿宋_GB2312" w:eastAsia="仿宋_GB2312" w:cs="仿宋_GB2312"/>
                <w:i w:val="0"/>
                <w:color w:val="000000"/>
                <w:kern w:val="0"/>
                <w:sz w:val="21"/>
                <w:szCs w:val="21"/>
                <w:u w:val="none"/>
                <w:lang w:val="en-US" w:eastAsia="zh-CN" w:bidi="ar"/>
              </w:rPr>
              <w:t>优。2023年全市上下坚持以习近平新时代中国特色社会主义思想为指导，全面贯彻落实党的二十大和二十届二中全会精神，深入贯彻落实习近平总书记对北京重要讲话精神，落实落细党中央、国务院各项决策部署和任务要求，以首善标准扎实开展主题教育，坚持稳中求进工作总基调，完整、准确、全面贯彻新发展理念，坚持以新时代首都发展为统领，加强“四个中心”功能建设，提高“四个服务”水平，深入实施京津冀协同发展战略，坚持“五子”联动服务和融入新发展格局，更好统筹疫情防控和经济社会发展，更好统筹发展和安全，圆满完成第三届“一带一路”国际合作高峰论坛等重大活动服务保障任务，高效应对“23·7”极端强降雨，高质量开展“十四五”规划中期评估，系统抓好经济运行调度，努力克服各种不利因素的影响，全力推动稳预期稳增长稳就业政策落地显效，经济持续恢复向好，就业物价总体平稳，社会大局和谐稳定，首都高质量发展取得新成效。</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8"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2551"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更多重大项目落地建设，推动本市投资平稳运行</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6236" w:type="dxa"/>
            <w:vAlign w:val="center"/>
          </w:tcPr>
          <w:p>
            <w:pPr>
              <w:keepNext w:val="0"/>
              <w:keepLines w:val="0"/>
              <w:widowControl/>
              <w:suppressLineNumbers w:val="0"/>
              <w:jc w:val="both"/>
              <w:textAlignment w:val="center"/>
              <w:rPr>
                <w:rFonts w:ascii="仿宋_GB2312" w:eastAsia="仿宋_GB2312"/>
                <w:spacing w:val="-6"/>
                <w:sz w:val="20"/>
                <w:szCs w:val="20"/>
              </w:rPr>
            </w:pPr>
            <w:r>
              <w:rPr>
                <w:rFonts w:hint="eastAsia" w:ascii="仿宋_GB2312" w:hAnsi="仿宋_GB2312" w:eastAsia="仿宋_GB2312" w:cs="仿宋_GB2312"/>
                <w:i w:val="0"/>
                <w:color w:val="000000"/>
                <w:kern w:val="0"/>
                <w:sz w:val="21"/>
                <w:szCs w:val="21"/>
                <w:u w:val="none"/>
                <w:lang w:val="en-US" w:eastAsia="zh-CN" w:bidi="ar"/>
              </w:rPr>
              <w:t>优，2023年1—11月全市投资同比增长5.3%、高于全国2.4个百分点，设备购置投资同比增长27%、连续28个月实现两位数以上增长，建安和设备购置投资占比54.6%。“3个100”市重点工程完成投资支撑全市投资三成以上。坚持每季度压茬推进160项市区重大项目开工建设，全年640个项目全部实现开工。东久新宜智慧城市物流谷等一批重大项目提前至2023年开工。全市重大项目储备总体保持“开一备三”。</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hint="eastAsia" w:ascii="仿宋_GB2312" w:eastAsia="仿宋_GB2312"/>
              </w:rPr>
            </w:pPr>
            <w:r>
              <w:rPr>
                <w:rFonts w:hint="eastAsia" w:ascii="仿宋_GB2312" w:hAnsi="宋体" w:eastAsia="仿宋_GB2312" w:cs="仿宋_GB2312"/>
                <w:i w:val="0"/>
                <w:color w:val="000000"/>
                <w:kern w:val="0"/>
                <w:sz w:val="21"/>
                <w:szCs w:val="21"/>
                <w:u w:val="none"/>
                <w:lang w:val="en-US" w:eastAsia="zh-CN" w:bidi="ar"/>
              </w:rPr>
              <w:t>1</w:t>
            </w:r>
          </w:p>
        </w:tc>
      </w:tr>
    </w:tbl>
    <w:p>
      <w:pPr>
        <w:pStyle w:val="2"/>
        <w:spacing w:after="0" w:line="240" w:lineRule="exact"/>
        <w:jc w:val="right"/>
        <w:rPr>
          <w:rFonts w:asciiTheme="minorEastAsia" w:hAnsiTheme="minorEastAsia" w:eastAsiaTheme="minorEastAsia"/>
          <w:sz w:val="21"/>
          <w:szCs w:val="21"/>
        </w:rPr>
      </w:pPr>
      <w:r>
        <w:rPr>
          <w:rFonts w:hint="eastAsia" w:asciiTheme="minorEastAsia" w:hAnsiTheme="minorEastAsia" w:eastAsiaTheme="minorEastAsia"/>
          <w:sz w:val="21"/>
          <w:szCs w:val="21"/>
        </w:rPr>
        <w:t>（接</w:t>
      </w:r>
      <w:r>
        <w:rPr>
          <w:rFonts w:asciiTheme="minorEastAsia" w:hAnsiTheme="minorEastAsia" w:eastAsiaTheme="minorEastAsia"/>
          <w:sz w:val="21"/>
          <w:szCs w:val="21"/>
        </w:rPr>
        <w:t>下页</w:t>
      </w:r>
      <w:r>
        <w:rPr>
          <w:rFonts w:hint="eastAsia" w:asciiTheme="minorEastAsia" w:hAnsiTheme="minorEastAsia" w:eastAsiaTheme="minorEastAsia"/>
          <w:sz w:val="21"/>
          <w:szCs w:val="21"/>
        </w:rPr>
        <w:t>）</w:t>
      </w:r>
      <w:r>
        <w:rPr>
          <w:rFonts w:asciiTheme="minorEastAsia" w:hAnsiTheme="minorEastAsia" w:eastAsiaTheme="minorEastAsia"/>
          <w:sz w:val="21"/>
          <w:szCs w:val="21"/>
        </w:rPr>
        <w:br w:type="page"/>
      </w:r>
    </w:p>
    <w:p>
      <w:r>
        <w:rPr>
          <w:rFonts w:hint="eastAsia"/>
        </w:rPr>
        <w:t>（续上页）</w:t>
      </w:r>
    </w:p>
    <w:tbl>
      <w:tblPr>
        <w:tblStyle w:val="9"/>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3118"/>
        <w:gridCol w:w="1134"/>
        <w:gridCol w:w="5669"/>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3118"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spacing w:val="-2"/>
                <w:szCs w:val="21"/>
              </w:rPr>
            </w:pPr>
            <w:r>
              <w:rPr>
                <w:rFonts w:hint="eastAsia" w:ascii="仿宋_GB2312" w:eastAsia="仿宋_GB2312"/>
                <w:b/>
                <w:sz w:val="20"/>
                <w:szCs w:val="20"/>
              </w:rPr>
              <w:t>指标值</w:t>
            </w:r>
          </w:p>
        </w:tc>
        <w:tc>
          <w:tcPr>
            <w:tcW w:w="5669"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1"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效果</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15</w:t>
            </w:r>
            <w:r>
              <w:rPr>
                <w:rFonts w:hint="eastAsia" w:ascii="仿宋_GB2312" w:eastAsia="仿宋_GB2312"/>
                <w:szCs w:val="21"/>
              </w:rPr>
              <w:t>分）</w:t>
            </w:r>
          </w:p>
        </w:tc>
        <w:tc>
          <w:tcPr>
            <w:tcW w:w="3118"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做好本市重大经济工作的总体谋划、统筹协调、整体推进和督促落实</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669"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一是制定市委财经委年度工作要点，统筹谋划全年财经工作。二是组织筹办市委财经委会议，审议本市财经领域重大议题。三是高质量开展调查研究，充分发挥参谋助手作用。四是聚焦中央部署的重大课题，努力形成一批体现重大理论和实践创新的高质量成果。五是不折不扣落实好中央财办指示精神，确保各项任务部署落到实处。</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118"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密切关注市场动态，及时报告市场动态，加强价格监测预警，为宏观调控提供有效支撑</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669"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优，通过价格数据报送，密切关注市场动态，加强价格监测预警，为宏观调控提供有效支撑。</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118"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协调社会事业发展和改革的重大问题，规划实施和政策制定等工作,提升社会领域公共服务水平和质量</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669"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优，完成本市“十四五”时期社会公共服务规划中期评估，制定开展本市基本公共服务实施标准（2021年版）实施效果评估，制定本市基本公共服务实施标准（2023年版）。</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118"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通过全面评估进展情况、存在问题及提出政策建议，更好地促进北京市“十四五”规划实施</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669"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北京市“十四五”规划纲要实施情况中期评估报告，对本市重大战略任务和主要目标指标进行了全面评估，深入分析了规划《纲要》在“十四五”前半程实施过程中存在的问题，并提出了八个方面的对策措施，为规划《纲要》下一步实施提供了重要支撑。</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118"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spacing w:val="-6"/>
                <w:kern w:val="0"/>
                <w:sz w:val="21"/>
                <w:szCs w:val="21"/>
                <w:u w:val="none"/>
                <w:lang w:val="en-US" w:eastAsia="zh-CN" w:bidi="ar"/>
              </w:rPr>
              <w:t>提高全市人口服务管理工作水平</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669"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优，促进业务成果转化，提高全市人口服务管理工作水平。</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118"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推动禁限目录精准精细落实</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669"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优，加强执行跟踪监测，开展禁限目录季度执行监测分析，形成监测报告。</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bl>
    <w:p>
      <w:pPr>
        <w:pStyle w:val="2"/>
        <w:spacing w:after="0" w:line="240" w:lineRule="exact"/>
        <w:jc w:val="right"/>
        <w:rPr>
          <w:rFonts w:eastAsia="宋体"/>
          <w:sz w:val="21"/>
        </w:rPr>
      </w:pPr>
      <w:r>
        <w:rPr>
          <w:rFonts w:hint="eastAsia" w:eastAsia="宋体"/>
          <w:sz w:val="21"/>
        </w:rPr>
        <w:t>（接</w:t>
      </w:r>
      <w:r>
        <w:rPr>
          <w:rFonts w:eastAsia="宋体"/>
          <w:sz w:val="21"/>
        </w:rPr>
        <w:t>下页</w:t>
      </w:r>
      <w:r>
        <w:rPr>
          <w:rFonts w:hint="eastAsia" w:eastAsia="宋体"/>
          <w:sz w:val="21"/>
        </w:rPr>
        <w:t>）</w:t>
      </w:r>
      <w:r>
        <w:rPr>
          <w:rFonts w:eastAsia="宋体"/>
          <w:sz w:val="21"/>
        </w:rPr>
        <w:br w:type="page"/>
      </w:r>
    </w:p>
    <w:p>
      <w:r>
        <w:rPr>
          <w:rFonts w:hint="eastAsia"/>
        </w:rPr>
        <w:t>（续上页）</w:t>
      </w:r>
    </w:p>
    <w:tbl>
      <w:tblPr>
        <w:tblStyle w:val="9"/>
        <w:tblW w:w="14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3402"/>
        <w:gridCol w:w="1134"/>
        <w:gridCol w:w="5386"/>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3402"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spacing w:val="-2"/>
                <w:szCs w:val="21"/>
              </w:rPr>
            </w:pPr>
            <w:r>
              <w:rPr>
                <w:rFonts w:hint="eastAsia" w:ascii="仿宋_GB2312" w:eastAsia="仿宋_GB2312"/>
                <w:b/>
                <w:sz w:val="20"/>
                <w:szCs w:val="20"/>
              </w:rPr>
              <w:t>指标值</w:t>
            </w:r>
          </w:p>
        </w:tc>
        <w:tc>
          <w:tcPr>
            <w:tcW w:w="5386"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8"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效果</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15</w:t>
            </w:r>
            <w:r>
              <w:rPr>
                <w:rFonts w:hint="eastAsia" w:ascii="仿宋_GB2312" w:eastAsia="仿宋_GB2312"/>
                <w:szCs w:val="21"/>
              </w:rPr>
              <w:t>分）</w:t>
            </w:r>
          </w:p>
        </w:tc>
        <w:tc>
          <w:tcPr>
            <w:tcW w:w="3402" w:type="dxa"/>
            <w:vAlign w:val="center"/>
          </w:tcPr>
          <w:p>
            <w:pPr>
              <w:keepNext w:val="0"/>
              <w:keepLines w:val="0"/>
              <w:widowControl/>
              <w:suppressLineNumbers w:val="0"/>
              <w:jc w:val="both"/>
              <w:textAlignment w:val="center"/>
              <w:rPr>
                <w:rFonts w:ascii="仿宋_GB2312" w:eastAsia="仿宋_GB2312"/>
                <w:szCs w:val="21"/>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提升治理类街乡镇治理水平和治理能力</w:t>
            </w:r>
          </w:p>
        </w:tc>
        <w:tc>
          <w:tcPr>
            <w:tcW w:w="1134" w:type="dxa"/>
            <w:vAlign w:val="center"/>
          </w:tcPr>
          <w:p>
            <w:pPr>
              <w:keepNext w:val="0"/>
              <w:keepLines w:val="0"/>
              <w:widowControl/>
              <w:suppressLineNumbers w:val="0"/>
              <w:jc w:val="both"/>
              <w:textAlignment w:val="center"/>
              <w:rPr>
                <w:rFonts w:ascii="仿宋_GB2312" w:eastAsia="仿宋_GB2312"/>
                <w:szCs w:val="21"/>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定性-优</w:t>
            </w:r>
          </w:p>
        </w:tc>
        <w:tc>
          <w:tcPr>
            <w:tcW w:w="5386" w:type="dxa"/>
            <w:vAlign w:val="center"/>
          </w:tcPr>
          <w:p>
            <w:pPr>
              <w:keepNext w:val="0"/>
              <w:keepLines w:val="0"/>
              <w:widowControl/>
              <w:suppressLineNumbers w:val="0"/>
              <w:jc w:val="both"/>
              <w:textAlignment w:val="center"/>
              <w:rPr>
                <w:rFonts w:ascii="仿宋_GB2312" w:eastAsia="仿宋_GB2312"/>
                <w:szCs w:val="21"/>
                <w:highlight w:val="none"/>
              </w:rPr>
            </w:pPr>
            <w:r>
              <w:rPr>
                <w:rFonts w:hint="eastAsia" w:ascii="仿宋_GB2312" w:hAnsi="仿宋_GB2312" w:eastAsia="仿宋_GB2312" w:cs="仿宋_GB2312"/>
                <w:i w:val="0"/>
                <w:color w:val="000000"/>
                <w:kern w:val="0"/>
                <w:sz w:val="21"/>
                <w:szCs w:val="21"/>
                <w:highlight w:val="none"/>
                <w:u w:val="none"/>
                <w:lang w:val="en-US" w:eastAsia="zh-CN" w:bidi="ar"/>
              </w:rPr>
              <w:t>优，分类推动治理类街乡镇整治提升，坚持接诉即办和未诉先办相结合，综合治理和专项整治同开展，硬件设施和软治理能力双提升，机制创新和政策研究齐推进，对接诉量排名靠前的街乡镇开展督导约谈，压实街乡镇属地责任，深入挖掘街乡镇治理典型案例和典型问题，探索多层级的多元共治和数字治理创新，打好区域治理的“组合拳”,治理成效不断显现。</w:t>
            </w:r>
          </w:p>
        </w:tc>
        <w:tc>
          <w:tcPr>
            <w:tcW w:w="850" w:type="dxa"/>
            <w:vAlign w:val="center"/>
          </w:tcPr>
          <w:p>
            <w:pPr>
              <w:keepNext w:val="0"/>
              <w:keepLines w:val="0"/>
              <w:widowControl/>
              <w:suppressLineNumbers w:val="0"/>
              <w:jc w:val="center"/>
              <w:textAlignment w:val="center"/>
              <w:rPr>
                <w:rFonts w:hint="default" w:ascii="仿宋_GB2312" w:eastAsia="仿宋_GB2312"/>
                <w:lang w:val="en-US"/>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default" w:ascii="仿宋_GB2312" w:eastAsia="仿宋_GB2312"/>
                <w:lang w:val="en-US"/>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7"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402"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加快研究支持政策，鼓励社会力量关注区域协调发展、城乡融合发展和生态环境保护，对本市生态环境建设具有积极促进作用</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386"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优，已转化为《平原区与生态涵养区生态产品总值和地区生产总值交换补偿机制实施方案（试行）》及《特定地域单元生态产品价值核算及应用指南》。</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7"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402"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研究制定产业发展相关政策，明确本市示范园区、试点企业评定标准及工作流程，研究认定和储备一批市级两业融合示范园区和试点企业</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386"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优，认定了5家示范园区、35家试点企业，进一步推动本市先进制造业和现代服务业深度融合发展。</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402"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进一步推进在途项目建设，促进领域内政府投资项目和社会投资项目落地</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386"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优，完成北京天竺综合保税区南北区联络线及园区附属设施工程资金申请报告的批复，完成普洛斯平谷智慧冷链产业园项目核准批复。</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40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活动参与人次（含线上）</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spacing w:val="-6"/>
                <w:kern w:val="0"/>
                <w:sz w:val="21"/>
                <w:szCs w:val="21"/>
                <w:u w:val="none"/>
                <w:lang w:val="en-US" w:eastAsia="zh-CN" w:bidi="ar"/>
              </w:rPr>
              <w:t>≥3万人次</w:t>
            </w:r>
          </w:p>
        </w:tc>
        <w:tc>
          <w:tcPr>
            <w:tcW w:w="5386"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活动参与人次420万人次。</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bl>
    <w:p>
      <w:pPr>
        <w:pStyle w:val="2"/>
        <w:spacing w:after="0" w:line="240" w:lineRule="exact"/>
        <w:jc w:val="right"/>
        <w:rPr>
          <w:rFonts w:asciiTheme="minorEastAsia" w:hAnsiTheme="minorEastAsia" w:eastAsiaTheme="minorEastAsia"/>
          <w:sz w:val="21"/>
          <w:szCs w:val="21"/>
        </w:rPr>
      </w:pPr>
      <w:r>
        <w:rPr>
          <w:rFonts w:hint="eastAsia" w:asciiTheme="minorEastAsia" w:hAnsiTheme="minorEastAsia" w:eastAsiaTheme="minorEastAsia"/>
          <w:sz w:val="21"/>
          <w:szCs w:val="21"/>
        </w:rPr>
        <w:t>（接下页）</w:t>
      </w:r>
      <w:r>
        <w:rPr>
          <w:rFonts w:asciiTheme="minorEastAsia" w:hAnsiTheme="minorEastAsia" w:eastAsiaTheme="minorEastAsia"/>
          <w:sz w:val="21"/>
          <w:szCs w:val="21"/>
        </w:rPr>
        <w:br w:type="page"/>
      </w:r>
    </w:p>
    <w:p>
      <w:r>
        <w:rPr>
          <w:rFonts w:hint="eastAsia"/>
        </w:rPr>
        <w:t>（续上页）</w:t>
      </w:r>
    </w:p>
    <w:tbl>
      <w:tblPr>
        <w:tblStyle w:val="9"/>
        <w:tblW w:w="14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1134"/>
        <w:gridCol w:w="1134"/>
        <w:gridCol w:w="7654"/>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spacing w:val="-2"/>
                <w:szCs w:val="21"/>
              </w:rPr>
            </w:pPr>
            <w:r>
              <w:rPr>
                <w:rFonts w:hint="eastAsia" w:ascii="仿宋_GB2312" w:eastAsia="仿宋_GB2312"/>
                <w:b/>
                <w:sz w:val="20"/>
                <w:szCs w:val="20"/>
              </w:rPr>
              <w:t>指标值</w:t>
            </w:r>
          </w:p>
        </w:tc>
        <w:tc>
          <w:tcPr>
            <w:tcW w:w="765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1"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效果</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15</w:t>
            </w:r>
            <w:r>
              <w:rPr>
                <w:rFonts w:hint="eastAsia" w:ascii="仿宋_GB2312" w:eastAsia="仿宋_GB2312"/>
                <w:szCs w:val="21"/>
              </w:rPr>
              <w:t>分）</w:t>
            </w:r>
          </w:p>
        </w:tc>
        <w:tc>
          <w:tcPr>
            <w:tcW w:w="1134" w:type="dxa"/>
            <w:vAlign w:val="center"/>
          </w:tcPr>
          <w:p>
            <w:pPr>
              <w:keepNext w:val="0"/>
              <w:keepLines w:val="0"/>
              <w:widowControl/>
              <w:suppressLineNumbers w:val="0"/>
              <w:jc w:val="both"/>
              <w:textAlignment w:val="center"/>
              <w:rPr>
                <w:rFonts w:ascii="仿宋_GB2312" w:eastAsia="仿宋_GB2312"/>
                <w:spacing w:val="-2"/>
                <w:szCs w:val="21"/>
              </w:rPr>
            </w:pPr>
            <w:r>
              <w:rPr>
                <w:rFonts w:hint="eastAsia" w:ascii="仿宋_GB2312" w:hAnsi="仿宋_GB2312" w:eastAsia="仿宋_GB2312" w:cs="仿宋_GB2312"/>
                <w:i w:val="0"/>
                <w:color w:val="000000"/>
                <w:kern w:val="0"/>
                <w:sz w:val="21"/>
                <w:szCs w:val="21"/>
                <w:u w:val="none"/>
                <w:lang w:val="en-US" w:eastAsia="zh-CN" w:bidi="ar"/>
              </w:rPr>
              <w:t>推动本市机场运营、市郊铁路建设等方面高质量发展</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65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积极协调属地政府及民航方面相关单位，分步骤、分阶段推进北京两场恢复客运航线。2023年全年，北京两场航空客运吞吐量9228万人次，恢复至2019年同期的89.5%，完成了民航局下达的恢复至75%的目标。城市副中心线整体提升工程（北京西至良乡段）初步设计概算已批复，力争尽早全面开工建设。东北环线项目可行性研究报告已完成路市联合技术审查，既有资产价值评估工作已形成阶段性成果，路市双方正在对线路运营组织模式进行深化研究。S6线项目建设规划已由国家发展改革委批复，京投公司正在按照市规划自然资源委要求商沿线各区尽快稳定线路一体化规划方案，为尽快批复项目可行性研究报告创造条件。</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1"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全面、客观、系统地记述北京年度发展改革情况</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65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北京发展改革年鉴2023》已经完成编撰公开出版。现有特载、专文、年度综述、大事记、宏观经济与运行调节、价格运行与监督管理、发展规划与重大问题研究、功能疏解与协同发展、投资管理与资金保障、绿色北京与生态建设、构建“高精尖”经济结构、深化改革与扩大开放、社会建设与民生改善、城市建设与基础保障、法制建设与信息公开、直属机构发展改革、各区发展改革、主要领域情况统计表、文件选编、附录等20个类目。全面、客观、系统地记述北京年度发展改革情况，是记述发展改革领域的专业性年鉴，同时也兼具综合性年鉴的一些特点，具有权威性、综合性、专业性和连续性。</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1"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及时足额发放价格临时补贴</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765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1月份本市食品价格同比上涨6.6%,达到价格补贴联动机制启动条件,按照阶段性调整价格补贴联动机制加大对困难群众物价补贴力度工作要求,及时足额发放价格临时补贴1440.54万元,惠及困难群众36.01万人次，其中，因阶段性调整价格补贴联动机制增发27.83万元，多惠及6957人，有效缓解了物价上涨对困难群众基本生活的影响。</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bl>
    <w:p>
      <w:pPr>
        <w:pStyle w:val="2"/>
        <w:spacing w:after="0" w:line="240" w:lineRule="exact"/>
        <w:jc w:val="right"/>
        <w:rPr>
          <w:rFonts w:ascii="宋体" w:hAnsi="宋体" w:eastAsia="宋体"/>
          <w:sz w:val="21"/>
          <w:szCs w:val="21"/>
        </w:rPr>
      </w:pPr>
      <w:r>
        <w:rPr>
          <w:rFonts w:hint="eastAsia" w:ascii="宋体" w:hAnsi="宋体" w:eastAsia="宋体"/>
          <w:sz w:val="21"/>
          <w:szCs w:val="21"/>
        </w:rPr>
        <w:t>（接</w:t>
      </w:r>
      <w:r>
        <w:rPr>
          <w:rFonts w:ascii="宋体" w:hAnsi="宋体" w:eastAsia="宋体"/>
          <w:sz w:val="21"/>
          <w:szCs w:val="21"/>
        </w:rPr>
        <w:t>下页</w:t>
      </w:r>
      <w:r>
        <w:rPr>
          <w:rFonts w:hint="eastAsia" w:ascii="宋体" w:hAnsi="宋体" w:eastAsia="宋体"/>
          <w:sz w:val="21"/>
          <w:szCs w:val="21"/>
        </w:rPr>
        <w:t>）</w:t>
      </w:r>
      <w:r>
        <w:rPr>
          <w:rFonts w:ascii="宋体" w:hAnsi="宋体" w:eastAsia="宋体"/>
          <w:sz w:val="21"/>
          <w:szCs w:val="21"/>
        </w:rPr>
        <w:br w:type="page"/>
      </w:r>
    </w:p>
    <w:p>
      <w:r>
        <w:rPr>
          <w:rFonts w:hint="eastAsia"/>
        </w:rPr>
        <w:t>（续上页）</w:t>
      </w:r>
    </w:p>
    <w:tbl>
      <w:tblPr>
        <w:tblStyle w:val="9"/>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3685"/>
        <w:gridCol w:w="1134"/>
        <w:gridCol w:w="5102"/>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3685"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spacing w:val="-2"/>
                <w:szCs w:val="21"/>
              </w:rPr>
            </w:pPr>
            <w:r>
              <w:rPr>
                <w:rFonts w:hint="eastAsia" w:ascii="仿宋_GB2312" w:eastAsia="仿宋_GB2312"/>
                <w:b/>
                <w:sz w:val="20"/>
                <w:szCs w:val="20"/>
              </w:rPr>
              <w:t>指标值</w:t>
            </w:r>
          </w:p>
        </w:tc>
        <w:tc>
          <w:tcPr>
            <w:tcW w:w="5102"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1"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效果</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15</w:t>
            </w:r>
            <w:r>
              <w:rPr>
                <w:rFonts w:hint="eastAsia" w:ascii="仿宋_GB2312" w:eastAsia="仿宋_GB2312"/>
                <w:szCs w:val="21"/>
              </w:rPr>
              <w:t>分）</w:t>
            </w:r>
          </w:p>
        </w:tc>
        <w:tc>
          <w:tcPr>
            <w:tcW w:w="3685"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开展面向全市重点领域企业的清洁生产宣讲和培训，培训不少于100家单位，增强企业人员清洁生产理念，提高审核单位、咨询机构审核水平，形成推进清洁生产、绿色发展的良好社会氛围</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102"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优，开展面向全市重点领域企业的清洁生产宣讲和培训，培训单位300余家，增强企业人员清洁生产理念，提高审核单位、咨询机构审核水平，形成推进清洁生产、绿色发展的良好社会氛围。</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1" w:hRule="atLeast"/>
        </w:trPr>
        <w:tc>
          <w:tcPr>
            <w:tcW w:w="1531" w:type="dxa"/>
            <w:vMerge w:val="continue"/>
            <w:vAlign w:val="center"/>
          </w:tcPr>
          <w:p>
            <w:pPr>
              <w:jc w:val="center"/>
              <w:rPr>
                <w:rFonts w:hint="eastAsia" w:ascii="仿宋_GB2312" w:eastAsia="仿宋_GB2312"/>
              </w:rPr>
            </w:pPr>
          </w:p>
        </w:tc>
        <w:tc>
          <w:tcPr>
            <w:tcW w:w="1134" w:type="dxa"/>
            <w:vMerge w:val="continue"/>
            <w:vAlign w:val="center"/>
          </w:tcPr>
          <w:p>
            <w:pPr>
              <w:jc w:val="center"/>
              <w:rPr>
                <w:rFonts w:hint="eastAsia" w:ascii="仿宋_GB2312" w:eastAsia="仿宋_GB2312"/>
                <w:szCs w:val="21"/>
              </w:rPr>
            </w:pPr>
          </w:p>
        </w:tc>
        <w:tc>
          <w:tcPr>
            <w:tcW w:w="3685"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通过节能监察，依法对用能违法行为进行处理，提升用能单位节能法律意识</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102"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履行执法工作流程，依法对违法违规、不合理用能行为做出处理。编制《节能监察服务手册》、《节能监察普法手册》，推出“节能降碳服务包”小程序，传播节能理念，推广节能技改及节能管理经验，为社会和企业提供法律法规、政策及监管指南。</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指导全市17家区级价格认证机构办理疑难重大价格鉴定事项，为准确定性量纪、定罪量刑提供重要依据，稳妥处置信访投诉事项，为社会和谐稳定发挥重要作用</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102"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优，指导全市17家区级价格认证机构办理疑难重大价格鉴定事项，为准确定性量纪、定罪量刑提供重要依据，为社会和谐稳定发挥重要作用。</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685"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服务并保障市相关委办局、企事业单位和其他用户等对系统的使用需求，为市领导精准调度和科学决策提供良好的技术和数据支撑</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5102"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优，服务并保障了相关委办局、企事业单位及其他用户对系统的使用需求，为市领导精准调度和科学决策提供了良好的技术和数据支撑。</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bl>
    <w:p>
      <w:pPr>
        <w:pStyle w:val="2"/>
        <w:spacing w:after="0" w:line="240" w:lineRule="exact"/>
        <w:jc w:val="right"/>
        <w:rPr>
          <w:rFonts w:ascii="宋体" w:hAnsi="宋体" w:eastAsia="宋体"/>
          <w:sz w:val="21"/>
          <w:szCs w:val="21"/>
        </w:rPr>
      </w:pPr>
      <w:r>
        <w:rPr>
          <w:rFonts w:hint="eastAsia" w:ascii="宋体" w:hAnsi="宋体" w:eastAsia="宋体"/>
          <w:sz w:val="21"/>
          <w:szCs w:val="21"/>
        </w:rPr>
        <w:t>（接下页）</w:t>
      </w:r>
      <w:r>
        <w:rPr>
          <w:rFonts w:ascii="宋体" w:hAnsi="宋体" w:eastAsia="宋体"/>
          <w:sz w:val="21"/>
          <w:szCs w:val="21"/>
        </w:rPr>
        <w:br w:type="page"/>
      </w:r>
    </w:p>
    <w:p>
      <w:r>
        <w:rPr>
          <w:rFonts w:hint="eastAsia"/>
        </w:rPr>
        <w:t>（续上页）</w:t>
      </w:r>
    </w:p>
    <w:tbl>
      <w:tblPr>
        <w:tblStyle w:val="9"/>
        <w:tblW w:w="14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3969"/>
        <w:gridCol w:w="1134"/>
        <w:gridCol w:w="4819"/>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3969"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1134" w:type="dxa"/>
            <w:shd w:val="clear" w:color="auto" w:fill="D8D8D8" w:themeFill="background1" w:themeFillShade="D9"/>
            <w:vAlign w:val="center"/>
          </w:tcPr>
          <w:p>
            <w:pPr>
              <w:jc w:val="center"/>
              <w:rPr>
                <w:rFonts w:ascii="仿宋_GB2312" w:eastAsia="仿宋_GB2312"/>
                <w:spacing w:val="-8"/>
                <w:szCs w:val="21"/>
              </w:rPr>
            </w:pPr>
            <w:r>
              <w:rPr>
                <w:rFonts w:hint="eastAsia" w:ascii="仿宋_GB2312" w:eastAsia="仿宋_GB2312"/>
                <w:b/>
                <w:sz w:val="20"/>
                <w:szCs w:val="20"/>
              </w:rPr>
              <w:t>指标值</w:t>
            </w:r>
          </w:p>
        </w:tc>
        <w:tc>
          <w:tcPr>
            <w:tcW w:w="4819"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restart"/>
            <w:vAlign w:val="center"/>
          </w:tcPr>
          <w:p>
            <w:pPr>
              <w:jc w:val="center"/>
              <w:rPr>
                <w:rFonts w:ascii="仿宋_GB2312" w:eastAsia="仿宋_GB2312"/>
              </w:rPr>
            </w:pPr>
            <w:r>
              <w:rPr>
                <w:rFonts w:hint="eastAsia" w:ascii="仿宋_GB2312" w:eastAsia="仿宋_GB2312"/>
              </w:rPr>
              <w:t>整体绩效目标</w:t>
            </w:r>
          </w:p>
          <w:p>
            <w:pPr>
              <w:jc w:val="center"/>
              <w:rPr>
                <w:rFonts w:ascii="仿宋_GB2312" w:eastAsia="仿宋_GB2312"/>
              </w:rPr>
            </w:pPr>
            <w:r>
              <w:rPr>
                <w:rFonts w:hint="eastAsia" w:ascii="仿宋_GB2312" w:eastAsia="仿宋_GB2312"/>
              </w:rPr>
              <w:t>实现情况</w:t>
            </w:r>
          </w:p>
          <w:p>
            <w:pPr>
              <w:jc w:val="center"/>
              <w:rPr>
                <w:rFonts w:ascii="仿宋_GB2312" w:eastAsia="仿宋_GB2312"/>
              </w:rPr>
            </w:pPr>
            <w:r>
              <w:rPr>
                <w:rFonts w:hint="eastAsia" w:ascii="仿宋_GB2312" w:eastAsia="仿宋_GB2312"/>
              </w:rPr>
              <w:t>（60分）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效果</w:t>
            </w:r>
          </w:p>
          <w:p>
            <w:pPr>
              <w:jc w:val="center"/>
              <w:rPr>
                <w:rFonts w:ascii="仿宋_GB2312" w:eastAsia="仿宋_GB2312"/>
                <w:szCs w:val="21"/>
              </w:rPr>
            </w:pPr>
            <w:r>
              <w:rPr>
                <w:rFonts w:hint="eastAsia" w:ascii="仿宋_GB2312" w:eastAsia="仿宋_GB2312"/>
                <w:szCs w:val="21"/>
              </w:rPr>
              <w:t>（</w:t>
            </w:r>
            <w:r>
              <w:rPr>
                <w:rFonts w:hint="eastAsia" w:ascii="仿宋_GB2312" w:eastAsia="仿宋_GB2312"/>
                <w:szCs w:val="21"/>
                <w:lang w:val="en-US" w:eastAsia="zh-CN"/>
              </w:rPr>
              <w:t>15</w:t>
            </w:r>
            <w:r>
              <w:rPr>
                <w:rFonts w:hint="eastAsia" w:ascii="仿宋_GB2312" w:eastAsia="仿宋_GB2312"/>
                <w:szCs w:val="21"/>
              </w:rPr>
              <w:t>分）</w:t>
            </w:r>
          </w:p>
        </w:tc>
        <w:tc>
          <w:tcPr>
            <w:tcW w:w="3969"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政务公开考核</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4819"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优，发挥网站的政务公开第一平台作用。及时规范发布法定主动公开信息，围绕重点工作深化专题建设，网站及政务公开考评，连续四季度满分。</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969"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推进农村居民“煤改电”工作</w:t>
            </w:r>
          </w:p>
        </w:tc>
        <w:tc>
          <w:tcPr>
            <w:tcW w:w="1134"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定性-优</w:t>
            </w:r>
          </w:p>
        </w:tc>
        <w:tc>
          <w:tcPr>
            <w:tcW w:w="4819" w:type="dxa"/>
            <w:vAlign w:val="center"/>
          </w:tcPr>
          <w:p>
            <w:pPr>
              <w:keepNext w:val="0"/>
              <w:keepLines w:val="0"/>
              <w:widowControl/>
              <w:suppressLineNumbers w:val="0"/>
              <w:jc w:val="both"/>
              <w:textAlignment w:val="center"/>
              <w:rPr>
                <w:rFonts w:ascii="仿宋_GB2312" w:eastAsia="仿宋_GB2312"/>
                <w:szCs w:val="21"/>
              </w:rPr>
            </w:pPr>
            <w:r>
              <w:rPr>
                <w:rFonts w:hint="eastAsia" w:ascii="仿宋_GB2312" w:hAnsi="仿宋_GB2312" w:eastAsia="仿宋_GB2312" w:cs="仿宋_GB2312"/>
                <w:i w:val="0"/>
                <w:color w:val="000000"/>
                <w:kern w:val="0"/>
                <w:sz w:val="21"/>
                <w:szCs w:val="21"/>
                <w:u w:val="none"/>
                <w:lang w:val="en-US" w:eastAsia="zh-CN" w:bidi="ar"/>
              </w:rPr>
              <w:t>优，2023年完成农村居民“煤改电”工作。</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ascii="仿宋_GB2312" w:eastAsia="仿宋_GB2312"/>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969"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获得补贴资金的分布式光伏项目发电量约4.17亿千瓦时，折合节约标准煤11.18万吨，推动可再生能源使用，并为本市减少化石能源应用、治理大气污染提供支撑</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4819"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优，获得补贴资金的分布式光伏项目发电量约5.4亿千瓦时，折合节约标准煤14.4万吨，减少二氧化碳排放22.5万吨，推动可再生能源使用，并为本市减少化石能源应用、治理大气污染提供支撑。</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969"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审核单位通过实施清洁生产审核方案，力争实现年节能10000吨标准煤以上，年减排二氧化碳20000吨以上，年减排废水、一般固体废物、危险废物、挥发性有机物等污染物排放100吨以上</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4819"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优，审核单位通过实施清洁生产方案，实现年节能30000余吨标准煤，年减排二氧化碳70000余吨，年减排废水、一般固体废物、危险废物、挥发性有机物等污染物排放4500余吨。</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969"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持续掌握定价成本数据</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4819"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优，组织开展相关行业成本监审或调查，通过合法性、合理性、相关性审核，核定相关行业定价成本，定期开展，持续掌握定价成本数据。</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3969"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适时放开具备协商条件的非居民供热价格和再生水价格</w:t>
            </w:r>
          </w:p>
        </w:tc>
        <w:tc>
          <w:tcPr>
            <w:tcW w:w="1134"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定性-优</w:t>
            </w:r>
          </w:p>
        </w:tc>
        <w:tc>
          <w:tcPr>
            <w:tcW w:w="4819"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1"/>
                <w:szCs w:val="21"/>
                <w:u w:val="none"/>
                <w:lang w:val="en-US" w:eastAsia="zh-CN" w:bidi="ar"/>
              </w:rPr>
            </w:pPr>
            <w:r>
              <w:rPr>
                <w:rFonts w:hint="eastAsia" w:ascii="仿宋_GB2312" w:hAnsi="仿宋_GB2312" w:eastAsia="仿宋_GB2312" w:cs="仿宋_GB2312"/>
                <w:i w:val="0"/>
                <w:color w:val="000000"/>
                <w:kern w:val="0"/>
                <w:sz w:val="21"/>
                <w:szCs w:val="21"/>
                <w:u w:val="none"/>
                <w:lang w:val="en-US" w:eastAsia="zh-CN" w:bidi="ar"/>
              </w:rPr>
              <w:t>优，一是正在履行印发《北京市完善城镇集中供热价格机制 促进供热行业高质量发展的实施方案》会签程序；二是出台《关于本市再生水价格有关事项的通知》（京发改〔2023〕1712号）。</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c>
          <w:tcPr>
            <w:tcW w:w="850" w:type="dxa"/>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0.5</w:t>
            </w:r>
          </w:p>
        </w:tc>
      </w:tr>
    </w:tbl>
    <w:p>
      <w:pPr>
        <w:pStyle w:val="2"/>
        <w:spacing w:after="0" w:line="240" w:lineRule="exact"/>
        <w:jc w:val="right"/>
        <w:rPr>
          <w:rFonts w:hint="eastAsia"/>
        </w:rPr>
      </w:pPr>
      <w:r>
        <w:rPr>
          <w:rFonts w:hint="eastAsia" w:ascii="宋体" w:hAnsi="宋体" w:eastAsia="宋体"/>
          <w:sz w:val="21"/>
          <w:szCs w:val="21"/>
        </w:rPr>
        <w:t>（接下页）</w:t>
      </w:r>
      <w:r>
        <w:rPr>
          <w:rFonts w:hint="eastAsia" w:ascii="宋体" w:hAnsi="宋体" w:eastAsia="宋体"/>
          <w:sz w:val="21"/>
          <w:szCs w:val="21"/>
        </w:rPr>
        <w:br w:type="page"/>
      </w:r>
    </w:p>
    <w:p>
      <w:pPr>
        <w:rPr>
          <w:rFonts w:ascii="黑体" w:hAnsi="黑体" w:eastAsia="黑体"/>
        </w:rPr>
      </w:pPr>
      <w:r>
        <w:rPr>
          <w:rFonts w:hint="eastAsia" w:ascii="黑体" w:hAnsi="黑体" w:eastAsia="黑体"/>
        </w:rPr>
        <w:t>三</w:t>
      </w:r>
      <w:r>
        <w:rPr>
          <w:rFonts w:ascii="黑体" w:hAnsi="黑体" w:eastAsia="黑体"/>
        </w:rPr>
        <w:t>、</w:t>
      </w:r>
      <w:r>
        <w:rPr>
          <w:rFonts w:hint="eastAsia" w:ascii="黑体" w:hAnsi="黑体" w:eastAsia="黑体"/>
        </w:rPr>
        <w:t>预算管理情况（20分）</w:t>
      </w:r>
    </w:p>
    <w:tbl>
      <w:tblPr>
        <w:tblStyle w:val="9"/>
        <w:tblW w:w="14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1417"/>
        <w:gridCol w:w="2835"/>
        <w:gridCol w:w="5670"/>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1417"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2835" w:type="dxa"/>
            <w:shd w:val="clear" w:color="auto" w:fill="D8D8D8" w:themeFill="background1" w:themeFillShade="D9"/>
            <w:vAlign w:val="center"/>
          </w:tcPr>
          <w:p>
            <w:pPr>
              <w:jc w:val="center"/>
              <w:rPr>
                <w:rFonts w:ascii="仿宋_GB2312" w:eastAsia="仿宋_GB2312"/>
                <w:spacing w:val="-8"/>
                <w:szCs w:val="21"/>
              </w:rPr>
            </w:pPr>
            <w:r>
              <w:rPr>
                <w:rFonts w:hint="eastAsia" w:ascii="仿宋_GB2312" w:eastAsia="仿宋_GB2312"/>
                <w:b/>
                <w:sz w:val="20"/>
                <w:szCs w:val="20"/>
              </w:rPr>
              <w:t>指标值</w:t>
            </w:r>
          </w:p>
        </w:tc>
        <w:tc>
          <w:tcPr>
            <w:tcW w:w="5670"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9" w:hRule="atLeast"/>
        </w:trPr>
        <w:tc>
          <w:tcPr>
            <w:tcW w:w="1531" w:type="dxa"/>
            <w:vAlign w:val="center"/>
          </w:tcPr>
          <w:p>
            <w:pPr>
              <w:jc w:val="center"/>
              <w:rPr>
                <w:rFonts w:ascii="仿宋_GB2312" w:eastAsia="仿宋_GB2312"/>
              </w:rPr>
            </w:pPr>
            <w:r>
              <w:rPr>
                <w:rFonts w:hint="eastAsia" w:ascii="仿宋_GB2312" w:eastAsia="仿宋_GB2312"/>
              </w:rPr>
              <w:t>预算管理情况（20分）</w:t>
            </w:r>
          </w:p>
        </w:tc>
        <w:tc>
          <w:tcPr>
            <w:tcW w:w="1134" w:type="dxa"/>
            <w:vAlign w:val="center"/>
          </w:tcPr>
          <w:p>
            <w:pPr>
              <w:jc w:val="center"/>
              <w:rPr>
                <w:rFonts w:ascii="仿宋_GB2312" w:eastAsia="仿宋_GB2312"/>
                <w:szCs w:val="21"/>
              </w:rPr>
            </w:pPr>
            <w:r>
              <w:rPr>
                <w:rFonts w:hint="eastAsia" w:ascii="仿宋_GB2312" w:eastAsia="仿宋_GB2312"/>
                <w:szCs w:val="21"/>
              </w:rPr>
              <w:t>财务管理（4分）</w:t>
            </w:r>
          </w:p>
        </w:tc>
        <w:tc>
          <w:tcPr>
            <w:tcW w:w="1417" w:type="dxa"/>
            <w:vAlign w:val="center"/>
          </w:tcPr>
          <w:p>
            <w:pPr>
              <w:jc w:val="center"/>
              <w:rPr>
                <w:rFonts w:ascii="仿宋_GB2312" w:eastAsia="仿宋_GB2312"/>
                <w:szCs w:val="21"/>
              </w:rPr>
            </w:pPr>
            <w:r>
              <w:rPr>
                <w:rFonts w:hint="eastAsia" w:ascii="仿宋_GB2312" w:eastAsia="仿宋_GB2312"/>
                <w:szCs w:val="21"/>
              </w:rPr>
              <w:t>财务管理</w:t>
            </w:r>
          </w:p>
          <w:p>
            <w:pPr>
              <w:jc w:val="center"/>
              <w:rPr>
                <w:rFonts w:ascii="仿宋_GB2312" w:eastAsia="仿宋_GB2312"/>
                <w:szCs w:val="21"/>
              </w:rPr>
            </w:pPr>
            <w:r>
              <w:rPr>
                <w:rFonts w:hint="eastAsia" w:ascii="仿宋_GB2312" w:eastAsia="仿宋_GB2312"/>
                <w:szCs w:val="21"/>
              </w:rPr>
              <w:t>制度健全性</w:t>
            </w:r>
          </w:p>
        </w:tc>
        <w:tc>
          <w:tcPr>
            <w:tcW w:w="2835" w:type="dxa"/>
            <w:vAlign w:val="center"/>
          </w:tcPr>
          <w:p>
            <w:pPr>
              <w:rPr>
                <w:rFonts w:ascii="仿宋_GB2312" w:eastAsia="仿宋_GB2312"/>
                <w:szCs w:val="21"/>
              </w:rPr>
            </w:pPr>
            <w:r>
              <w:rPr>
                <w:rFonts w:hint="eastAsia" w:ascii="仿宋_GB2312" w:eastAsia="仿宋_GB2312"/>
                <w:szCs w:val="21"/>
              </w:rPr>
              <w:t>财务管理</w:t>
            </w:r>
            <w:r>
              <w:rPr>
                <w:rFonts w:ascii="仿宋_GB2312" w:eastAsia="仿宋_GB2312"/>
                <w:szCs w:val="21"/>
              </w:rPr>
              <w:t>制度健全</w:t>
            </w:r>
            <w:r>
              <w:rPr>
                <w:rFonts w:hint="eastAsia" w:ascii="仿宋_GB2312" w:eastAsia="仿宋_GB2312"/>
                <w:szCs w:val="21"/>
              </w:rPr>
              <w:t>，预算资金管理办法、绩效跟踪管理办法、资产管理办法等各项制度健全，部门内部财务管理制度、会计核算制度完整、合规。</w:t>
            </w:r>
          </w:p>
        </w:tc>
        <w:tc>
          <w:tcPr>
            <w:tcW w:w="5670" w:type="dxa"/>
            <w:vAlign w:val="center"/>
          </w:tcPr>
          <w:p>
            <w:pPr>
              <w:rPr>
                <w:rFonts w:ascii="仿宋_GB2312" w:eastAsia="仿宋_GB2312"/>
                <w:szCs w:val="21"/>
              </w:rPr>
            </w:pPr>
            <w:r>
              <w:rPr>
                <w:rFonts w:hint="eastAsia" w:ascii="仿宋_GB2312" w:eastAsia="仿宋_GB2312"/>
                <w:szCs w:val="21"/>
              </w:rPr>
              <w:t>市发展改革委财务管理制度健全，目前已建立健全了预算、收支、采购、资产、合同等方面的各项财务管理制度，部门内部财务管理制度、会计核算制度完整、合规。2023年，按照巡视、财政有关要求，围绕工作实际，不断完善制度机制、优化工作流程、财务管理基础。一是制定印发了《北京市发展和改革委员会合同管理办法》，有效规范了合同起草、审查审核、履约执行、纠纷处理等合同管理环节，促进了合同管理的规范性和合法性。二是制定印发了《关于进一步规范预算资金使用决策程序的通知》，明确100万元及以上的大额资金使用实施方案及资金使用计划纳入党组议事清单范围，进一步明确和细化预算资金使用决策程序。三是制定印发了《北京市发展和改革委员会委托外包管理办法》，进一步规范和加强委托外包管理，提高财政资金配置效率和使用效益。</w:t>
            </w:r>
          </w:p>
        </w:tc>
        <w:tc>
          <w:tcPr>
            <w:tcW w:w="850" w:type="dxa"/>
            <w:vAlign w:val="center"/>
          </w:tcPr>
          <w:p>
            <w:pPr>
              <w:jc w:val="center"/>
              <w:rPr>
                <w:rFonts w:ascii="仿宋_GB2312" w:eastAsia="仿宋_GB2312"/>
              </w:rPr>
            </w:pPr>
            <w:r>
              <w:rPr>
                <w:rFonts w:hint="eastAsia" w:ascii="仿宋_GB2312" w:eastAsia="仿宋_GB2312"/>
              </w:rPr>
              <w:t>1</w:t>
            </w:r>
          </w:p>
        </w:tc>
        <w:tc>
          <w:tcPr>
            <w:tcW w:w="850" w:type="dxa"/>
            <w:vAlign w:val="center"/>
          </w:tcPr>
          <w:p>
            <w:pPr>
              <w:jc w:val="center"/>
              <w:rPr>
                <w:rFonts w:ascii="仿宋_GB2312" w:eastAsia="仿宋_GB2312"/>
              </w:rPr>
            </w:pPr>
            <w:r>
              <w:rPr>
                <w:rFonts w:hint="eastAsia" w:ascii="仿宋_GB2312" w:eastAsia="仿宋_GB2312"/>
              </w:rPr>
              <w:t>1</w:t>
            </w:r>
          </w:p>
        </w:tc>
      </w:tr>
    </w:tbl>
    <w:p>
      <w:pPr>
        <w:pStyle w:val="2"/>
        <w:spacing w:after="0" w:line="240" w:lineRule="exact"/>
        <w:jc w:val="right"/>
        <w:rPr>
          <w:rFonts w:asciiTheme="minorEastAsia" w:hAnsiTheme="minorEastAsia" w:eastAsiaTheme="minorEastAsia"/>
          <w:sz w:val="21"/>
          <w:szCs w:val="21"/>
        </w:rPr>
      </w:pPr>
      <w:r>
        <w:rPr>
          <w:rFonts w:hint="eastAsia" w:asciiTheme="minorEastAsia" w:hAnsiTheme="minorEastAsia" w:eastAsiaTheme="minorEastAsia"/>
          <w:sz w:val="21"/>
          <w:szCs w:val="21"/>
        </w:rPr>
        <w:t>（接下页）</w:t>
      </w:r>
      <w:r>
        <w:rPr>
          <w:rFonts w:asciiTheme="minorEastAsia" w:hAnsiTheme="minorEastAsia" w:eastAsiaTheme="minorEastAsia"/>
          <w:sz w:val="21"/>
          <w:szCs w:val="21"/>
        </w:rPr>
        <w:br w:type="page"/>
      </w:r>
    </w:p>
    <w:p>
      <w:r>
        <w:rPr>
          <w:rFonts w:hint="eastAsia"/>
        </w:rPr>
        <w:t>（续上页）</w:t>
      </w:r>
    </w:p>
    <w:tbl>
      <w:tblPr>
        <w:tblStyle w:val="9"/>
        <w:tblW w:w="14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1417"/>
        <w:gridCol w:w="2835"/>
        <w:gridCol w:w="5670"/>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二级指标</w:t>
            </w:r>
          </w:p>
        </w:tc>
        <w:tc>
          <w:tcPr>
            <w:tcW w:w="1417"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三级指标</w:t>
            </w:r>
          </w:p>
        </w:tc>
        <w:tc>
          <w:tcPr>
            <w:tcW w:w="2835"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指标值</w:t>
            </w:r>
          </w:p>
        </w:tc>
        <w:tc>
          <w:tcPr>
            <w:tcW w:w="5670"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9" w:hRule="atLeast"/>
        </w:trPr>
        <w:tc>
          <w:tcPr>
            <w:tcW w:w="1531" w:type="dxa"/>
            <w:vMerge w:val="restart"/>
            <w:vAlign w:val="center"/>
          </w:tcPr>
          <w:p>
            <w:pPr>
              <w:jc w:val="center"/>
              <w:rPr>
                <w:rFonts w:ascii="仿宋_GB2312" w:eastAsia="仿宋_GB2312"/>
              </w:rPr>
            </w:pPr>
            <w:r>
              <w:rPr>
                <w:rFonts w:hint="eastAsia" w:ascii="仿宋_GB2312" w:eastAsia="仿宋_GB2312"/>
              </w:rPr>
              <w:t>预算管理情况（20分）</w:t>
            </w:r>
          </w:p>
        </w:tc>
        <w:tc>
          <w:tcPr>
            <w:tcW w:w="1134" w:type="dxa"/>
            <w:vMerge w:val="restart"/>
            <w:vAlign w:val="center"/>
          </w:tcPr>
          <w:p>
            <w:pPr>
              <w:jc w:val="center"/>
              <w:rPr>
                <w:rFonts w:ascii="仿宋_GB2312" w:eastAsia="仿宋_GB2312"/>
                <w:szCs w:val="21"/>
              </w:rPr>
            </w:pPr>
            <w:r>
              <w:rPr>
                <w:rFonts w:hint="eastAsia" w:ascii="仿宋_GB2312" w:eastAsia="仿宋_GB2312"/>
                <w:szCs w:val="21"/>
              </w:rPr>
              <w:t>财务管理（4分）</w:t>
            </w:r>
          </w:p>
        </w:tc>
        <w:tc>
          <w:tcPr>
            <w:tcW w:w="1417" w:type="dxa"/>
            <w:vAlign w:val="center"/>
          </w:tcPr>
          <w:p>
            <w:pPr>
              <w:jc w:val="center"/>
              <w:rPr>
                <w:rFonts w:ascii="仿宋_GB2312" w:eastAsia="仿宋_GB2312"/>
                <w:szCs w:val="21"/>
              </w:rPr>
            </w:pPr>
            <w:r>
              <w:rPr>
                <w:rFonts w:hint="eastAsia" w:ascii="仿宋_GB2312" w:eastAsia="仿宋_GB2312"/>
                <w:szCs w:val="21"/>
              </w:rPr>
              <w:t>资金使用</w:t>
            </w:r>
          </w:p>
          <w:p>
            <w:pPr>
              <w:jc w:val="center"/>
              <w:rPr>
                <w:rFonts w:ascii="仿宋_GB2312" w:eastAsia="仿宋_GB2312"/>
                <w:szCs w:val="21"/>
              </w:rPr>
            </w:pPr>
            <w:r>
              <w:rPr>
                <w:rFonts w:hint="eastAsia" w:ascii="仿宋_GB2312" w:eastAsia="仿宋_GB2312"/>
                <w:szCs w:val="21"/>
              </w:rPr>
              <w:t>合规性和</w:t>
            </w:r>
          </w:p>
          <w:p>
            <w:pPr>
              <w:jc w:val="center"/>
              <w:rPr>
                <w:rFonts w:ascii="仿宋_GB2312" w:eastAsia="仿宋_GB2312"/>
                <w:szCs w:val="21"/>
              </w:rPr>
            </w:pPr>
            <w:r>
              <w:rPr>
                <w:rFonts w:hint="eastAsia" w:ascii="仿宋_GB2312" w:eastAsia="仿宋_GB2312"/>
                <w:szCs w:val="21"/>
              </w:rPr>
              <w:t>安全性</w:t>
            </w:r>
          </w:p>
        </w:tc>
        <w:tc>
          <w:tcPr>
            <w:tcW w:w="2835" w:type="dxa"/>
            <w:vAlign w:val="center"/>
          </w:tcPr>
          <w:p>
            <w:pPr>
              <w:rPr>
                <w:rFonts w:ascii="仿宋_GB2312" w:eastAsia="仿宋_GB2312"/>
                <w:szCs w:val="21"/>
              </w:rPr>
            </w:pPr>
            <w:r>
              <w:rPr>
                <w:rFonts w:hint="eastAsia" w:ascii="仿宋_GB2312" w:eastAsia="仿宋_GB2312"/>
                <w:szCs w:val="21"/>
              </w:rPr>
              <w:t>资金</w:t>
            </w:r>
            <w:r>
              <w:rPr>
                <w:rFonts w:ascii="仿宋_GB2312" w:eastAsia="仿宋_GB2312"/>
                <w:szCs w:val="21"/>
              </w:rPr>
              <w:t>使用合规安全</w:t>
            </w:r>
            <w:r>
              <w:rPr>
                <w:rFonts w:hint="eastAsia" w:ascii="仿宋_GB2312" w:eastAsia="仿宋_GB2312"/>
                <w:szCs w:val="21"/>
              </w:rPr>
              <w:t>,符合国家</w:t>
            </w:r>
            <w:r>
              <w:rPr>
                <w:rFonts w:ascii="仿宋_GB2312" w:eastAsia="仿宋_GB2312"/>
                <w:szCs w:val="21"/>
              </w:rPr>
              <w:t>财经法规和财务管理制度</w:t>
            </w:r>
            <w:r>
              <w:rPr>
                <w:rFonts w:hint="eastAsia" w:ascii="仿宋_GB2312" w:eastAsia="仿宋_GB2312"/>
                <w:szCs w:val="21"/>
              </w:rPr>
              <w:t>规定，严格</w:t>
            </w:r>
            <w:r>
              <w:rPr>
                <w:rFonts w:ascii="仿宋_GB2312" w:eastAsia="仿宋_GB2312"/>
                <w:szCs w:val="21"/>
              </w:rPr>
              <w:t>执行政府采购程序流程</w:t>
            </w:r>
            <w:r>
              <w:rPr>
                <w:rFonts w:hint="eastAsia" w:ascii="仿宋_GB2312" w:eastAsia="仿宋_GB2312"/>
                <w:szCs w:val="21"/>
              </w:rPr>
              <w:t>、</w:t>
            </w:r>
            <w:r>
              <w:rPr>
                <w:rFonts w:ascii="仿宋_GB2312" w:eastAsia="仿宋_GB2312"/>
                <w:szCs w:val="21"/>
              </w:rPr>
              <w:t>公务卡结算制度</w:t>
            </w:r>
            <w:r>
              <w:rPr>
                <w:rFonts w:hint="eastAsia" w:ascii="仿宋_GB2312" w:eastAsia="仿宋_GB2312"/>
                <w:szCs w:val="21"/>
              </w:rPr>
              <w:t>规定</w:t>
            </w:r>
            <w:r>
              <w:rPr>
                <w:rFonts w:ascii="仿宋_GB2312" w:eastAsia="仿宋_GB2312"/>
                <w:szCs w:val="21"/>
              </w:rPr>
              <w:t>，杜绝</w:t>
            </w:r>
            <w:r>
              <w:rPr>
                <w:rFonts w:hint="eastAsia" w:ascii="仿宋_GB2312" w:eastAsia="仿宋_GB2312"/>
                <w:szCs w:val="21"/>
              </w:rPr>
              <w:t>资金截留</w:t>
            </w:r>
            <w:r>
              <w:rPr>
                <w:rFonts w:ascii="仿宋_GB2312" w:eastAsia="仿宋_GB2312"/>
                <w:szCs w:val="21"/>
              </w:rPr>
              <w:t>、挤占和</w:t>
            </w:r>
            <w:r>
              <w:rPr>
                <w:rFonts w:hint="eastAsia" w:ascii="仿宋_GB2312" w:eastAsia="仿宋_GB2312"/>
                <w:szCs w:val="21"/>
              </w:rPr>
              <w:t>挪用</w:t>
            </w:r>
            <w:r>
              <w:rPr>
                <w:rFonts w:ascii="仿宋_GB2312" w:eastAsia="仿宋_GB2312"/>
                <w:szCs w:val="21"/>
              </w:rPr>
              <w:t>。资金拨付</w:t>
            </w:r>
            <w:r>
              <w:rPr>
                <w:rFonts w:hint="eastAsia" w:ascii="仿宋_GB2312" w:eastAsia="仿宋_GB2312"/>
                <w:szCs w:val="21"/>
              </w:rPr>
              <w:t>审批</w:t>
            </w:r>
            <w:r>
              <w:rPr>
                <w:rFonts w:ascii="仿宋_GB2312" w:eastAsia="仿宋_GB2312"/>
                <w:szCs w:val="21"/>
              </w:rPr>
              <w:t>程序和</w:t>
            </w:r>
            <w:r>
              <w:rPr>
                <w:rFonts w:hint="eastAsia" w:ascii="仿宋_GB2312" w:eastAsia="仿宋_GB2312"/>
                <w:szCs w:val="21"/>
              </w:rPr>
              <w:t>手续</w:t>
            </w:r>
            <w:r>
              <w:rPr>
                <w:rFonts w:ascii="仿宋_GB2312" w:eastAsia="仿宋_GB2312"/>
                <w:szCs w:val="21"/>
              </w:rPr>
              <w:t>完整，</w:t>
            </w:r>
            <w:r>
              <w:rPr>
                <w:rFonts w:hint="eastAsia" w:ascii="仿宋_GB2312" w:eastAsia="仿宋_GB2312"/>
                <w:szCs w:val="21"/>
              </w:rPr>
              <w:t>无审批不拨付资金，项目重大开支经过党组会</w:t>
            </w:r>
            <w:r>
              <w:rPr>
                <w:rFonts w:ascii="仿宋_GB2312" w:eastAsia="仿宋_GB2312"/>
                <w:szCs w:val="21"/>
              </w:rPr>
              <w:t>（</w:t>
            </w:r>
            <w:r>
              <w:rPr>
                <w:rFonts w:hint="eastAsia" w:ascii="仿宋_GB2312" w:eastAsia="仿宋_GB2312"/>
                <w:szCs w:val="21"/>
              </w:rPr>
              <w:t>办公会</w:t>
            </w:r>
            <w:r>
              <w:rPr>
                <w:rFonts w:ascii="仿宋_GB2312" w:eastAsia="仿宋_GB2312"/>
                <w:szCs w:val="21"/>
              </w:rPr>
              <w:t>）</w:t>
            </w:r>
            <w:r>
              <w:rPr>
                <w:rFonts w:hint="eastAsia" w:ascii="仿宋_GB2312" w:eastAsia="仿宋_GB2312"/>
                <w:szCs w:val="21"/>
              </w:rPr>
              <w:t>审议</w:t>
            </w:r>
            <w:r>
              <w:rPr>
                <w:rFonts w:ascii="仿宋_GB2312" w:eastAsia="仿宋_GB2312"/>
                <w:szCs w:val="21"/>
              </w:rPr>
              <w:t>或事前绩效</w:t>
            </w:r>
            <w:r>
              <w:rPr>
                <w:rFonts w:hint="eastAsia" w:ascii="仿宋_GB2312" w:eastAsia="仿宋_GB2312"/>
                <w:szCs w:val="21"/>
              </w:rPr>
              <w:t>评估论证。资金</w:t>
            </w:r>
            <w:r>
              <w:rPr>
                <w:rFonts w:ascii="仿宋_GB2312" w:eastAsia="仿宋_GB2312"/>
                <w:szCs w:val="21"/>
              </w:rPr>
              <w:t>使用符合</w:t>
            </w:r>
            <w:r>
              <w:rPr>
                <w:rFonts w:hint="eastAsia" w:ascii="仿宋_GB2312" w:eastAsia="仿宋_GB2312"/>
                <w:szCs w:val="21"/>
              </w:rPr>
              <w:t>规定</w:t>
            </w:r>
            <w:r>
              <w:rPr>
                <w:rFonts w:ascii="仿宋_GB2312" w:eastAsia="仿宋_GB2312"/>
                <w:szCs w:val="21"/>
              </w:rPr>
              <w:t>的开支范围，严格按照</w:t>
            </w:r>
            <w:r>
              <w:rPr>
                <w:rFonts w:hint="eastAsia" w:ascii="仿宋_GB2312" w:eastAsia="仿宋_GB2312"/>
                <w:szCs w:val="21"/>
              </w:rPr>
              <w:t>部门</w:t>
            </w:r>
            <w:r>
              <w:rPr>
                <w:rFonts w:ascii="仿宋_GB2312" w:eastAsia="仿宋_GB2312"/>
                <w:szCs w:val="21"/>
              </w:rPr>
              <w:t>预算批复用途执行</w:t>
            </w:r>
            <w:r>
              <w:rPr>
                <w:rFonts w:hint="eastAsia" w:ascii="仿宋_GB2312" w:eastAsia="仿宋_GB2312"/>
                <w:szCs w:val="21"/>
              </w:rPr>
              <w:t>。</w:t>
            </w:r>
          </w:p>
        </w:tc>
        <w:tc>
          <w:tcPr>
            <w:tcW w:w="5670" w:type="dxa"/>
            <w:vAlign w:val="center"/>
          </w:tcPr>
          <w:p>
            <w:pPr>
              <w:rPr>
                <w:rFonts w:ascii="仿宋_GB2312" w:eastAsia="仿宋_GB2312"/>
                <w:szCs w:val="21"/>
              </w:rPr>
            </w:pPr>
            <w:r>
              <w:rPr>
                <w:rFonts w:hint="eastAsia" w:ascii="仿宋_GB2312" w:eastAsia="仿宋_GB2312"/>
                <w:szCs w:val="21"/>
              </w:rPr>
              <w:t>市发展改革委资金使用合规安全。一是资金使用符合国家财经法规和财务管理制度规定，严格执行政府采购程序流程，严格执行公务卡结算相关制度规定，严格杜绝资金截留、挤占和挪用。二是资金拨付审批程序和手续完整，遵循“谁主管、谁审批、谁负责”的原则，按照业务事项审批和财务事项审批并行的管理模式，按规定权限履行经费审批手续，合理合规使用预算资金。节能资金、课题研究以及100万元（含）以上预算追加调整需经过党组会（办公会）审议通过后执行，新增项目需经事前绩效评估论证通过后方可实施。三是资金使用符合规定的开支范围，严格按照部门预算批复用途执行。</w:t>
            </w:r>
          </w:p>
        </w:tc>
        <w:tc>
          <w:tcPr>
            <w:tcW w:w="850" w:type="dxa"/>
            <w:vAlign w:val="center"/>
          </w:tcPr>
          <w:p>
            <w:pPr>
              <w:jc w:val="center"/>
              <w:rPr>
                <w:rFonts w:ascii="仿宋_GB2312" w:eastAsia="仿宋_GB2312"/>
              </w:rPr>
            </w:pPr>
            <w:r>
              <w:rPr>
                <w:rFonts w:hint="eastAsia" w:ascii="仿宋_GB2312" w:eastAsia="仿宋_GB2312"/>
              </w:rPr>
              <w:t>2</w:t>
            </w:r>
          </w:p>
        </w:tc>
        <w:tc>
          <w:tcPr>
            <w:tcW w:w="850" w:type="dxa"/>
            <w:vAlign w:val="center"/>
          </w:tcPr>
          <w:p>
            <w:pPr>
              <w:jc w:val="center"/>
              <w:rPr>
                <w:rFonts w:ascii="仿宋_GB2312" w:eastAsia="仿宋_GB2312"/>
              </w:rPr>
            </w:pPr>
            <w:r>
              <w:rPr>
                <w:rFonts w:hint="eastAsia" w:ascii="仿宋_GB2312" w:eastAsia="仿宋_GB231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1" w:hRule="atLeast"/>
        </w:trPr>
        <w:tc>
          <w:tcPr>
            <w:tcW w:w="1531" w:type="dxa"/>
            <w:vMerge w:val="continue"/>
            <w:vAlign w:val="center"/>
          </w:tcPr>
          <w:p>
            <w:pPr>
              <w:jc w:val="center"/>
              <w:rPr>
                <w:rFonts w:ascii="仿宋_GB2312" w:eastAsia="仿宋_GB2312"/>
              </w:rPr>
            </w:pPr>
          </w:p>
        </w:tc>
        <w:tc>
          <w:tcPr>
            <w:tcW w:w="1134" w:type="dxa"/>
            <w:vMerge w:val="continue"/>
            <w:vAlign w:val="center"/>
          </w:tcPr>
          <w:p>
            <w:pPr>
              <w:jc w:val="center"/>
              <w:rPr>
                <w:rFonts w:ascii="仿宋_GB2312" w:eastAsia="仿宋_GB2312"/>
                <w:szCs w:val="21"/>
              </w:rPr>
            </w:pPr>
          </w:p>
        </w:tc>
        <w:tc>
          <w:tcPr>
            <w:tcW w:w="1417" w:type="dxa"/>
            <w:vAlign w:val="center"/>
          </w:tcPr>
          <w:p>
            <w:pPr>
              <w:jc w:val="center"/>
              <w:rPr>
                <w:rFonts w:hint="eastAsia" w:ascii="仿宋_GB2312" w:eastAsia="仿宋_GB2312"/>
                <w:szCs w:val="21"/>
              </w:rPr>
            </w:pPr>
            <w:r>
              <w:rPr>
                <w:rFonts w:hint="eastAsia" w:ascii="仿宋_GB2312" w:eastAsia="仿宋_GB2312"/>
                <w:szCs w:val="21"/>
              </w:rPr>
              <w:t>会计基础</w:t>
            </w:r>
          </w:p>
          <w:p>
            <w:pPr>
              <w:jc w:val="center"/>
              <w:rPr>
                <w:rFonts w:ascii="仿宋_GB2312" w:eastAsia="仿宋_GB2312"/>
                <w:szCs w:val="21"/>
              </w:rPr>
            </w:pPr>
            <w:r>
              <w:rPr>
                <w:rFonts w:hint="eastAsia" w:ascii="仿宋_GB2312" w:eastAsia="仿宋_GB2312"/>
                <w:szCs w:val="21"/>
              </w:rPr>
              <w:t>信息完善性</w:t>
            </w:r>
          </w:p>
        </w:tc>
        <w:tc>
          <w:tcPr>
            <w:tcW w:w="2835" w:type="dxa"/>
            <w:vAlign w:val="center"/>
          </w:tcPr>
          <w:p>
            <w:pPr>
              <w:rPr>
                <w:rFonts w:ascii="仿宋_GB2312" w:eastAsia="仿宋_GB2312"/>
                <w:szCs w:val="21"/>
              </w:rPr>
            </w:pPr>
            <w:r>
              <w:rPr>
                <w:rFonts w:hint="eastAsia" w:ascii="仿宋_GB2312" w:eastAsia="仿宋_GB2312"/>
                <w:szCs w:val="21"/>
              </w:rPr>
              <w:t>会计</w:t>
            </w:r>
            <w:r>
              <w:rPr>
                <w:rFonts w:ascii="仿宋_GB2312" w:eastAsia="仿宋_GB2312"/>
                <w:szCs w:val="21"/>
              </w:rPr>
              <w:t>基础信息完善，</w:t>
            </w:r>
            <w:r>
              <w:rPr>
                <w:rFonts w:hint="eastAsia" w:ascii="仿宋_GB2312" w:eastAsia="仿宋_GB2312"/>
                <w:szCs w:val="21"/>
              </w:rPr>
              <w:t>会计基础数据信息和会计信息资料真实、完整、准确。</w:t>
            </w:r>
          </w:p>
        </w:tc>
        <w:tc>
          <w:tcPr>
            <w:tcW w:w="5670" w:type="dxa"/>
            <w:vAlign w:val="center"/>
          </w:tcPr>
          <w:p>
            <w:pPr>
              <w:rPr>
                <w:rFonts w:ascii="仿宋_GB2312" w:eastAsia="仿宋_GB2312"/>
                <w:szCs w:val="21"/>
              </w:rPr>
            </w:pPr>
            <w:r>
              <w:rPr>
                <w:rFonts w:hint="eastAsia" w:ascii="仿宋_GB2312" w:eastAsia="仿宋_GB2312"/>
                <w:szCs w:val="21"/>
              </w:rPr>
              <w:t>市发展改革委会计基础信息完善。一是会计基础工作扎实，严格按照《会计法》和《会计基础工作规范》，以及《预算法》《政府会计准则》要求，开展会计核算、编制财务报表报告，保证会计工作开展依法有序，会计信息披露真实完整。二是会计管理信息化水平不断提升，目前预算申报审核使用“业财一体化管理平台”预算管理模块，资产管理、会计核算、网上报销、进度管理使用“用友GRP-U8版行政事业单位内控管理软件”，较高的信息化水平为会计基础数据信息和会计信息资料的真实、完整、准确提供了更高的保障。</w:t>
            </w:r>
          </w:p>
        </w:tc>
        <w:tc>
          <w:tcPr>
            <w:tcW w:w="850" w:type="dxa"/>
            <w:vAlign w:val="center"/>
          </w:tcPr>
          <w:p>
            <w:pPr>
              <w:jc w:val="center"/>
              <w:rPr>
                <w:rFonts w:ascii="仿宋_GB2312" w:eastAsia="仿宋_GB2312"/>
              </w:rPr>
            </w:pPr>
            <w:r>
              <w:rPr>
                <w:rFonts w:hint="eastAsia" w:ascii="仿宋_GB2312" w:eastAsia="仿宋_GB2312"/>
              </w:rPr>
              <w:t>1</w:t>
            </w:r>
          </w:p>
        </w:tc>
        <w:tc>
          <w:tcPr>
            <w:tcW w:w="850" w:type="dxa"/>
            <w:vAlign w:val="center"/>
          </w:tcPr>
          <w:p>
            <w:pPr>
              <w:jc w:val="center"/>
              <w:rPr>
                <w:rFonts w:ascii="仿宋_GB2312" w:eastAsia="仿宋_GB2312"/>
              </w:rPr>
            </w:pPr>
            <w:r>
              <w:rPr>
                <w:rFonts w:hint="eastAsia" w:ascii="仿宋_GB2312" w:eastAsia="仿宋_GB2312"/>
              </w:rPr>
              <w:t>1</w:t>
            </w:r>
          </w:p>
        </w:tc>
      </w:tr>
    </w:tbl>
    <w:p>
      <w:pPr>
        <w:pStyle w:val="2"/>
        <w:spacing w:after="0" w:line="240" w:lineRule="exact"/>
        <w:jc w:val="right"/>
        <w:rPr>
          <w:rFonts w:ascii="宋体" w:hAnsi="宋体" w:eastAsia="宋体"/>
          <w:sz w:val="21"/>
          <w:szCs w:val="21"/>
        </w:rPr>
      </w:pPr>
      <w:r>
        <w:rPr>
          <w:rFonts w:hint="eastAsia" w:ascii="宋体" w:hAnsi="宋体" w:eastAsia="宋体"/>
          <w:sz w:val="21"/>
          <w:szCs w:val="21"/>
        </w:rPr>
        <w:t>（接下页）</w:t>
      </w:r>
      <w:r>
        <w:rPr>
          <w:rFonts w:ascii="宋体" w:hAnsi="宋体" w:eastAsia="宋体"/>
          <w:sz w:val="21"/>
          <w:szCs w:val="21"/>
        </w:rPr>
        <w:br w:type="page"/>
      </w:r>
    </w:p>
    <w:p>
      <w:r>
        <w:rPr>
          <w:rFonts w:hint="eastAsia"/>
        </w:rPr>
        <w:t>（续上页）</w:t>
      </w:r>
    </w:p>
    <w:tbl>
      <w:tblPr>
        <w:tblStyle w:val="9"/>
        <w:tblW w:w="14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134"/>
        <w:gridCol w:w="1417"/>
        <w:gridCol w:w="2835"/>
        <w:gridCol w:w="5670"/>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一级指标</w:t>
            </w:r>
          </w:p>
        </w:tc>
        <w:tc>
          <w:tcPr>
            <w:tcW w:w="1134" w:type="dxa"/>
            <w:shd w:val="clear" w:color="auto" w:fill="D8D8D8" w:themeFill="background1" w:themeFillShade="D9"/>
            <w:vAlign w:val="center"/>
          </w:tcPr>
          <w:p>
            <w:pPr>
              <w:jc w:val="center"/>
              <w:rPr>
                <w:rFonts w:hint="eastAsia" w:ascii="仿宋_GB2312" w:eastAsia="仿宋_GB2312"/>
                <w:szCs w:val="21"/>
              </w:rPr>
            </w:pPr>
            <w:r>
              <w:rPr>
                <w:rFonts w:hint="eastAsia" w:ascii="仿宋_GB2312" w:eastAsia="仿宋_GB2312"/>
                <w:b/>
                <w:sz w:val="20"/>
                <w:szCs w:val="20"/>
              </w:rPr>
              <w:t>二级指标</w:t>
            </w:r>
          </w:p>
        </w:tc>
        <w:tc>
          <w:tcPr>
            <w:tcW w:w="1417" w:type="dxa"/>
            <w:shd w:val="clear" w:color="auto" w:fill="D8D8D8" w:themeFill="background1" w:themeFillShade="D9"/>
            <w:vAlign w:val="center"/>
          </w:tcPr>
          <w:p>
            <w:pPr>
              <w:jc w:val="center"/>
              <w:rPr>
                <w:rFonts w:hint="eastAsia" w:ascii="仿宋_GB2312" w:eastAsia="仿宋_GB2312"/>
                <w:szCs w:val="21"/>
              </w:rPr>
            </w:pPr>
            <w:r>
              <w:rPr>
                <w:rFonts w:hint="eastAsia" w:ascii="仿宋_GB2312" w:eastAsia="仿宋_GB2312"/>
                <w:b/>
                <w:sz w:val="20"/>
                <w:szCs w:val="20"/>
              </w:rPr>
              <w:t>三级指标</w:t>
            </w:r>
          </w:p>
        </w:tc>
        <w:tc>
          <w:tcPr>
            <w:tcW w:w="2835" w:type="dxa"/>
            <w:shd w:val="clear" w:color="auto" w:fill="D8D8D8" w:themeFill="background1" w:themeFillShade="D9"/>
            <w:vAlign w:val="center"/>
          </w:tcPr>
          <w:p>
            <w:pPr>
              <w:jc w:val="center"/>
              <w:rPr>
                <w:rFonts w:ascii="仿宋_GB2312" w:eastAsia="仿宋_GB2312"/>
                <w:szCs w:val="21"/>
              </w:rPr>
            </w:pPr>
            <w:r>
              <w:rPr>
                <w:rFonts w:hint="eastAsia" w:ascii="仿宋_GB2312" w:eastAsia="仿宋_GB2312"/>
                <w:b/>
                <w:sz w:val="20"/>
                <w:szCs w:val="20"/>
              </w:rPr>
              <w:t>指标值</w:t>
            </w:r>
          </w:p>
        </w:tc>
        <w:tc>
          <w:tcPr>
            <w:tcW w:w="5670" w:type="dxa"/>
            <w:shd w:val="clear" w:color="auto" w:fill="D8D8D8" w:themeFill="background1" w:themeFillShade="D9"/>
            <w:vAlign w:val="center"/>
          </w:tcPr>
          <w:p>
            <w:pPr>
              <w:jc w:val="center"/>
              <w:rPr>
                <w:rFonts w:hint="eastAsia" w:ascii="仿宋_GB2312" w:eastAsia="仿宋_GB2312"/>
                <w:szCs w:val="21"/>
              </w:rPr>
            </w:pPr>
            <w:r>
              <w:rPr>
                <w:rFonts w:hint="eastAsia" w:ascii="仿宋_GB2312" w:eastAsia="仿宋_GB2312"/>
                <w:b/>
                <w:sz w:val="20"/>
                <w:szCs w:val="20"/>
              </w:rPr>
              <w:t>完成值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分值</w:t>
            </w:r>
          </w:p>
        </w:tc>
        <w:tc>
          <w:tcPr>
            <w:tcW w:w="850" w:type="dxa"/>
            <w:shd w:val="clear" w:color="auto" w:fill="D8D8D8" w:themeFill="background1" w:themeFillShade="D9"/>
            <w:vAlign w:val="center"/>
          </w:tcPr>
          <w:p>
            <w:pPr>
              <w:jc w:val="center"/>
              <w:rPr>
                <w:rFonts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8" w:hRule="atLeast"/>
        </w:trPr>
        <w:tc>
          <w:tcPr>
            <w:tcW w:w="1531" w:type="dxa"/>
            <w:vMerge w:val="restart"/>
            <w:vAlign w:val="center"/>
          </w:tcPr>
          <w:p>
            <w:pPr>
              <w:jc w:val="center"/>
              <w:rPr>
                <w:rFonts w:ascii="仿宋_GB2312" w:eastAsia="仿宋_GB2312"/>
              </w:rPr>
            </w:pPr>
            <w:r>
              <w:rPr>
                <w:rFonts w:hint="eastAsia" w:ascii="仿宋_GB2312" w:eastAsia="仿宋_GB2312"/>
              </w:rPr>
              <w:t>预算管理情况（20分）</w:t>
            </w:r>
          </w:p>
        </w:tc>
        <w:tc>
          <w:tcPr>
            <w:tcW w:w="1134" w:type="dxa"/>
            <w:vAlign w:val="center"/>
          </w:tcPr>
          <w:p>
            <w:pPr>
              <w:spacing w:line="290" w:lineRule="exact"/>
              <w:jc w:val="center"/>
              <w:rPr>
                <w:rFonts w:ascii="仿宋_GB2312" w:eastAsia="仿宋_GB2312"/>
                <w:szCs w:val="21"/>
              </w:rPr>
            </w:pPr>
            <w:r>
              <w:rPr>
                <w:rFonts w:hint="eastAsia" w:ascii="仿宋_GB2312" w:eastAsia="仿宋_GB2312"/>
                <w:szCs w:val="21"/>
              </w:rPr>
              <w:t>资产管理（4分）</w:t>
            </w:r>
          </w:p>
        </w:tc>
        <w:tc>
          <w:tcPr>
            <w:tcW w:w="1417" w:type="dxa"/>
            <w:vAlign w:val="center"/>
          </w:tcPr>
          <w:p>
            <w:pPr>
              <w:spacing w:line="290" w:lineRule="exact"/>
              <w:jc w:val="center"/>
              <w:rPr>
                <w:rFonts w:ascii="仿宋_GB2312" w:eastAsia="仿宋_GB2312"/>
                <w:szCs w:val="21"/>
              </w:rPr>
            </w:pPr>
            <w:r>
              <w:rPr>
                <w:rFonts w:hint="eastAsia" w:ascii="仿宋_GB2312" w:eastAsia="仿宋_GB2312"/>
                <w:szCs w:val="21"/>
              </w:rPr>
              <w:t>资产管理</w:t>
            </w:r>
          </w:p>
          <w:p>
            <w:pPr>
              <w:spacing w:line="290" w:lineRule="exact"/>
              <w:jc w:val="center"/>
              <w:rPr>
                <w:rFonts w:ascii="仿宋_GB2312" w:eastAsia="仿宋_GB2312"/>
                <w:szCs w:val="21"/>
              </w:rPr>
            </w:pPr>
            <w:r>
              <w:rPr>
                <w:rFonts w:hint="eastAsia" w:ascii="仿宋_GB2312" w:eastAsia="仿宋_GB2312"/>
                <w:szCs w:val="21"/>
              </w:rPr>
              <w:t>规范性</w:t>
            </w:r>
          </w:p>
        </w:tc>
        <w:tc>
          <w:tcPr>
            <w:tcW w:w="2835" w:type="dxa"/>
            <w:vAlign w:val="center"/>
          </w:tcPr>
          <w:p>
            <w:pPr>
              <w:spacing w:line="290" w:lineRule="exact"/>
              <w:rPr>
                <w:rFonts w:ascii="仿宋_GB2312" w:eastAsia="仿宋_GB2312"/>
                <w:spacing w:val="-2"/>
                <w:szCs w:val="21"/>
              </w:rPr>
            </w:pPr>
            <w:r>
              <w:rPr>
                <w:rFonts w:ascii="仿宋_GB2312" w:eastAsia="仿宋_GB2312"/>
                <w:szCs w:val="21"/>
              </w:rPr>
              <w:t>资产</w:t>
            </w:r>
            <w:r>
              <w:rPr>
                <w:rFonts w:hint="eastAsia" w:ascii="仿宋_GB2312" w:eastAsia="仿宋_GB2312"/>
                <w:szCs w:val="21"/>
              </w:rPr>
              <w:t>管理</w:t>
            </w:r>
            <w:r>
              <w:rPr>
                <w:rFonts w:ascii="仿宋_GB2312" w:eastAsia="仿宋_GB2312"/>
                <w:szCs w:val="21"/>
              </w:rPr>
              <w:t>规范</w:t>
            </w:r>
            <w:r>
              <w:rPr>
                <w:rFonts w:hint="eastAsia" w:ascii="仿宋_GB2312" w:eastAsia="仿宋_GB2312"/>
                <w:szCs w:val="21"/>
              </w:rPr>
              <w:t>，严格执行各项资产管理制度规定。资产</w:t>
            </w:r>
            <w:r>
              <w:rPr>
                <w:rFonts w:ascii="仿宋_GB2312" w:eastAsia="仿宋_GB2312"/>
                <w:szCs w:val="21"/>
              </w:rPr>
              <w:t>保持</w:t>
            </w:r>
            <w:r>
              <w:rPr>
                <w:rFonts w:hint="eastAsia" w:ascii="仿宋_GB2312" w:eastAsia="仿宋_GB2312"/>
                <w:szCs w:val="21"/>
              </w:rPr>
              <w:t>应</w:t>
            </w:r>
            <w:r>
              <w:rPr>
                <w:rFonts w:ascii="仿宋_GB2312" w:eastAsia="仿宋_GB2312"/>
                <w:szCs w:val="21"/>
              </w:rPr>
              <w:t>安全完整，</w:t>
            </w:r>
            <w:r>
              <w:rPr>
                <w:rFonts w:hint="eastAsia" w:ascii="仿宋_GB2312" w:eastAsia="仿宋_GB2312"/>
                <w:szCs w:val="21"/>
              </w:rPr>
              <w:t>防范严重</w:t>
            </w:r>
            <w:r>
              <w:rPr>
                <w:rFonts w:ascii="仿宋_GB2312" w:eastAsia="仿宋_GB2312"/>
                <w:szCs w:val="21"/>
              </w:rPr>
              <w:t>损失</w:t>
            </w:r>
            <w:r>
              <w:rPr>
                <w:rFonts w:hint="eastAsia" w:ascii="仿宋_GB2312" w:eastAsia="仿宋_GB2312"/>
                <w:szCs w:val="21"/>
              </w:rPr>
              <w:t>、</w:t>
            </w:r>
            <w:r>
              <w:rPr>
                <w:rFonts w:ascii="仿宋_GB2312" w:eastAsia="仿宋_GB2312"/>
                <w:szCs w:val="21"/>
              </w:rPr>
              <w:t>丢失</w:t>
            </w:r>
            <w:r>
              <w:rPr>
                <w:rFonts w:hint="eastAsia" w:ascii="仿宋_GB2312" w:eastAsia="仿宋_GB2312"/>
                <w:szCs w:val="21"/>
              </w:rPr>
              <w:t>。资产</w:t>
            </w:r>
            <w:r>
              <w:rPr>
                <w:rFonts w:ascii="仿宋_GB2312" w:eastAsia="仿宋_GB2312"/>
                <w:szCs w:val="21"/>
              </w:rPr>
              <w:t>配置</w:t>
            </w:r>
            <w:r>
              <w:rPr>
                <w:rFonts w:hint="eastAsia" w:ascii="仿宋_GB2312" w:eastAsia="仿宋_GB2312"/>
                <w:szCs w:val="21"/>
              </w:rPr>
              <w:t>应</w:t>
            </w:r>
            <w:r>
              <w:rPr>
                <w:rFonts w:ascii="仿宋_GB2312" w:eastAsia="仿宋_GB2312"/>
                <w:szCs w:val="21"/>
              </w:rPr>
              <w:t>合理，不得</w:t>
            </w:r>
            <w:r>
              <w:rPr>
                <w:rFonts w:hint="eastAsia" w:ascii="仿宋_GB2312" w:eastAsia="仿宋_GB2312"/>
                <w:szCs w:val="21"/>
              </w:rPr>
              <w:t>超</w:t>
            </w:r>
            <w:r>
              <w:rPr>
                <w:rFonts w:ascii="仿宋_GB2312" w:eastAsia="仿宋_GB2312"/>
                <w:szCs w:val="21"/>
              </w:rPr>
              <w:t>标准配置资产。</w:t>
            </w:r>
            <w:r>
              <w:rPr>
                <w:rFonts w:hint="eastAsia" w:ascii="仿宋_GB2312" w:eastAsia="仿宋_GB2312"/>
                <w:szCs w:val="21"/>
              </w:rPr>
              <w:t>资产</w:t>
            </w:r>
            <w:r>
              <w:rPr>
                <w:rFonts w:ascii="仿宋_GB2312" w:eastAsia="仿宋_GB2312"/>
                <w:szCs w:val="21"/>
              </w:rPr>
              <w:t>使用和处置</w:t>
            </w:r>
            <w:r>
              <w:rPr>
                <w:rFonts w:hint="eastAsia" w:ascii="仿宋_GB2312" w:eastAsia="仿宋_GB2312"/>
                <w:szCs w:val="21"/>
              </w:rPr>
              <w:t>应</w:t>
            </w:r>
            <w:r>
              <w:rPr>
                <w:rFonts w:ascii="仿宋_GB2312" w:eastAsia="仿宋_GB2312"/>
                <w:szCs w:val="21"/>
              </w:rPr>
              <w:t>规范，</w:t>
            </w:r>
            <w:r>
              <w:rPr>
                <w:rFonts w:hint="eastAsia" w:ascii="仿宋_GB2312" w:eastAsia="仿宋_GB2312"/>
                <w:szCs w:val="21"/>
              </w:rPr>
              <w:t>出租出借和</w:t>
            </w:r>
            <w:r>
              <w:rPr>
                <w:rFonts w:ascii="仿宋_GB2312" w:eastAsia="仿宋_GB2312"/>
                <w:szCs w:val="21"/>
              </w:rPr>
              <w:t>处置</w:t>
            </w:r>
            <w:r>
              <w:rPr>
                <w:rFonts w:hint="eastAsia" w:ascii="仿宋_GB2312" w:eastAsia="仿宋_GB2312"/>
                <w:szCs w:val="21"/>
              </w:rPr>
              <w:t>应履行相应审批程序。</w:t>
            </w:r>
          </w:p>
        </w:tc>
        <w:tc>
          <w:tcPr>
            <w:tcW w:w="5670" w:type="dxa"/>
            <w:vAlign w:val="center"/>
          </w:tcPr>
          <w:p>
            <w:pPr>
              <w:spacing w:line="290" w:lineRule="exact"/>
              <w:rPr>
                <w:rFonts w:ascii="仿宋_GB2312" w:eastAsia="仿宋_GB2312"/>
                <w:szCs w:val="21"/>
              </w:rPr>
            </w:pPr>
            <w:r>
              <w:rPr>
                <w:rFonts w:hint="eastAsia" w:ascii="仿宋_GB2312" w:eastAsia="仿宋_GB2312"/>
                <w:szCs w:val="21"/>
              </w:rPr>
              <w:t>市发展改革委资产管理规范，制度健全，分工明确，执行有效。资产保持、配置、使用和处置严格执行各项资产管理制度规定。目前，已制定了《北京市发展和改革委固定资产管理流程》等制度办法，确定资产管理责任分工，细化资产管理工作流程，明确资产配置标准，建立固定资产购置、登记、发放、调拨、报废、清查的全过程监管机制，未出现资产严重损失、丢失等情况，不存在超标准配置资产、未经审批出租出借或处置资产等情况。</w:t>
            </w:r>
          </w:p>
        </w:tc>
        <w:tc>
          <w:tcPr>
            <w:tcW w:w="850" w:type="dxa"/>
            <w:vAlign w:val="center"/>
          </w:tcPr>
          <w:p>
            <w:pPr>
              <w:spacing w:line="290" w:lineRule="exact"/>
              <w:jc w:val="center"/>
              <w:rPr>
                <w:rFonts w:ascii="仿宋_GB2312" w:eastAsia="仿宋_GB2312"/>
              </w:rPr>
            </w:pPr>
            <w:r>
              <w:rPr>
                <w:rFonts w:hint="eastAsia" w:ascii="仿宋_GB2312" w:eastAsia="仿宋_GB2312"/>
              </w:rPr>
              <w:t>4</w:t>
            </w:r>
          </w:p>
        </w:tc>
        <w:tc>
          <w:tcPr>
            <w:tcW w:w="850" w:type="dxa"/>
            <w:vAlign w:val="center"/>
          </w:tcPr>
          <w:p>
            <w:pPr>
              <w:spacing w:line="290" w:lineRule="exact"/>
              <w:jc w:val="center"/>
              <w:rPr>
                <w:rFonts w:ascii="仿宋_GB2312" w:eastAsia="仿宋_GB2312"/>
              </w:rPr>
            </w:pPr>
            <w:r>
              <w:rPr>
                <w:rFonts w:hint="eastAsia" w:ascii="仿宋_GB2312" w:eastAsia="仿宋_GB231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8" w:hRule="atLeast"/>
        </w:trPr>
        <w:tc>
          <w:tcPr>
            <w:tcW w:w="1531" w:type="dxa"/>
            <w:vMerge w:val="continue"/>
            <w:vAlign w:val="center"/>
          </w:tcPr>
          <w:p>
            <w:pPr>
              <w:jc w:val="center"/>
              <w:rPr>
                <w:rFonts w:ascii="仿宋_GB2312" w:eastAsia="仿宋_GB2312"/>
              </w:rPr>
            </w:pPr>
          </w:p>
        </w:tc>
        <w:tc>
          <w:tcPr>
            <w:tcW w:w="1134" w:type="dxa"/>
            <w:vAlign w:val="center"/>
          </w:tcPr>
          <w:p>
            <w:pPr>
              <w:spacing w:line="290" w:lineRule="exact"/>
              <w:jc w:val="center"/>
              <w:rPr>
                <w:rFonts w:ascii="仿宋_GB2312" w:eastAsia="仿宋_GB2312"/>
                <w:szCs w:val="21"/>
              </w:rPr>
            </w:pPr>
            <w:r>
              <w:rPr>
                <w:rFonts w:hint="eastAsia" w:ascii="仿宋_GB2312" w:eastAsia="仿宋_GB2312"/>
                <w:szCs w:val="21"/>
              </w:rPr>
              <w:t>绩效管理（4分）</w:t>
            </w:r>
          </w:p>
        </w:tc>
        <w:tc>
          <w:tcPr>
            <w:tcW w:w="1417" w:type="dxa"/>
            <w:vAlign w:val="center"/>
          </w:tcPr>
          <w:p>
            <w:pPr>
              <w:spacing w:line="290" w:lineRule="exact"/>
              <w:jc w:val="center"/>
              <w:rPr>
                <w:rFonts w:ascii="仿宋_GB2312" w:eastAsia="仿宋_GB2312"/>
                <w:szCs w:val="21"/>
              </w:rPr>
            </w:pPr>
            <w:r>
              <w:rPr>
                <w:rFonts w:hint="eastAsia" w:ascii="仿宋_GB2312" w:eastAsia="仿宋_GB2312"/>
                <w:szCs w:val="21"/>
              </w:rPr>
              <w:t>绩效管理</w:t>
            </w:r>
          </w:p>
          <w:p>
            <w:pPr>
              <w:spacing w:line="290" w:lineRule="exact"/>
              <w:jc w:val="center"/>
              <w:rPr>
                <w:rFonts w:ascii="仿宋_GB2312" w:eastAsia="仿宋_GB2312"/>
                <w:szCs w:val="21"/>
              </w:rPr>
            </w:pPr>
            <w:r>
              <w:rPr>
                <w:rFonts w:hint="eastAsia" w:ascii="仿宋_GB2312" w:eastAsia="仿宋_GB2312"/>
                <w:szCs w:val="21"/>
              </w:rPr>
              <w:t>情况</w:t>
            </w:r>
          </w:p>
        </w:tc>
        <w:tc>
          <w:tcPr>
            <w:tcW w:w="2835" w:type="dxa"/>
            <w:vAlign w:val="center"/>
          </w:tcPr>
          <w:p>
            <w:pPr>
              <w:spacing w:line="290" w:lineRule="exact"/>
              <w:rPr>
                <w:rFonts w:ascii="仿宋_GB2312" w:eastAsia="仿宋_GB2312"/>
                <w:szCs w:val="21"/>
              </w:rPr>
            </w:pPr>
            <w:r>
              <w:rPr>
                <w:rFonts w:hint="eastAsia" w:ascii="仿宋_GB2312" w:eastAsia="仿宋_GB2312"/>
                <w:szCs w:val="21"/>
              </w:rPr>
              <w:t>绩效</w:t>
            </w:r>
            <w:r>
              <w:rPr>
                <w:rFonts w:ascii="仿宋_GB2312" w:eastAsia="仿宋_GB2312"/>
                <w:szCs w:val="21"/>
              </w:rPr>
              <w:t>管理</w:t>
            </w:r>
            <w:r>
              <w:rPr>
                <w:rFonts w:hint="eastAsia" w:ascii="仿宋_GB2312" w:eastAsia="仿宋_GB2312"/>
                <w:szCs w:val="21"/>
              </w:rPr>
              <w:t>及时有效</w:t>
            </w:r>
            <w:r>
              <w:rPr>
                <w:rFonts w:ascii="仿宋_GB2312" w:eastAsia="仿宋_GB2312"/>
                <w:szCs w:val="21"/>
              </w:rPr>
              <w:t>，</w:t>
            </w:r>
            <w:r>
              <w:rPr>
                <w:rFonts w:hint="eastAsia" w:ascii="仿宋_GB2312" w:eastAsia="仿宋_GB2312"/>
                <w:szCs w:val="21"/>
              </w:rPr>
              <w:t>及时对绩效信息进行汇总分析整理，对绩效目标偏离情况及时进行矫正。</w:t>
            </w:r>
          </w:p>
        </w:tc>
        <w:tc>
          <w:tcPr>
            <w:tcW w:w="5670" w:type="dxa"/>
            <w:vAlign w:val="center"/>
          </w:tcPr>
          <w:p>
            <w:pPr>
              <w:spacing w:line="290" w:lineRule="exact"/>
              <w:rPr>
                <w:rFonts w:ascii="仿宋_GB2312" w:eastAsia="仿宋_GB2312"/>
                <w:szCs w:val="21"/>
              </w:rPr>
            </w:pPr>
            <w:r>
              <w:rPr>
                <w:rFonts w:hint="eastAsia" w:ascii="仿宋_GB2312" w:eastAsia="仿宋_GB2312"/>
                <w:szCs w:val="21"/>
              </w:rPr>
              <w:t>市发展改革委绩效管理及时有效，贯彻落实全面预算绩效管理要求，深化全过程预算绩效管理，建立涵盖绩效目标编制、绩效运行监控、成本绩效分析、绩效支出评价的“全过程、全覆盖”绩效管理工作流程，及时对绩效信息进行汇总分析整理，对绩效目标偏离情况及时进行矫正。2023年，按照财政有关要求，围绕工作实际，不断探索绩效管理的新方法、新领域，构建部门绩效管理体系，加强项目成本管控，2023年成本绩效分析报告得分93分，项目评级为优。</w:t>
            </w:r>
          </w:p>
        </w:tc>
        <w:tc>
          <w:tcPr>
            <w:tcW w:w="850" w:type="dxa"/>
            <w:vAlign w:val="center"/>
          </w:tcPr>
          <w:p>
            <w:pPr>
              <w:spacing w:line="290" w:lineRule="exact"/>
              <w:jc w:val="center"/>
              <w:rPr>
                <w:rFonts w:ascii="仿宋_GB2312" w:eastAsia="仿宋_GB2312"/>
              </w:rPr>
            </w:pPr>
            <w:r>
              <w:rPr>
                <w:rFonts w:hint="eastAsia" w:ascii="仿宋_GB2312" w:eastAsia="仿宋_GB2312"/>
              </w:rPr>
              <w:t>4</w:t>
            </w:r>
          </w:p>
        </w:tc>
        <w:tc>
          <w:tcPr>
            <w:tcW w:w="850" w:type="dxa"/>
            <w:vAlign w:val="center"/>
          </w:tcPr>
          <w:p>
            <w:pPr>
              <w:spacing w:line="290" w:lineRule="exact"/>
              <w:jc w:val="center"/>
              <w:rPr>
                <w:rFonts w:ascii="仿宋_GB2312" w:eastAsia="仿宋_GB2312"/>
              </w:rPr>
            </w:pPr>
            <w:r>
              <w:rPr>
                <w:rFonts w:hint="eastAsia" w:ascii="仿宋_GB2312" w:eastAsia="仿宋_GB231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vMerge w:val="continue"/>
            <w:vAlign w:val="center"/>
          </w:tcPr>
          <w:p>
            <w:pPr>
              <w:jc w:val="center"/>
              <w:rPr>
                <w:rFonts w:ascii="仿宋_GB2312" w:eastAsia="仿宋_GB2312"/>
              </w:rPr>
            </w:pPr>
          </w:p>
        </w:tc>
        <w:tc>
          <w:tcPr>
            <w:tcW w:w="2551" w:type="dxa"/>
            <w:gridSpan w:val="2"/>
            <w:shd w:val="clear" w:color="auto" w:fill="D7D7D7" w:themeFill="background1" w:themeFillShade="D8"/>
            <w:vAlign w:val="center"/>
          </w:tcPr>
          <w:p>
            <w:pPr>
              <w:jc w:val="center"/>
              <w:rPr>
                <w:rFonts w:hint="eastAsia" w:ascii="仿宋_GB2312" w:eastAsia="仿宋_GB2312"/>
                <w:szCs w:val="21"/>
              </w:rPr>
            </w:pPr>
            <w:r>
              <w:rPr>
                <w:rFonts w:hint="eastAsia" w:ascii="仿宋_GB2312" w:eastAsia="仿宋_GB2312"/>
                <w:b/>
                <w:sz w:val="20"/>
                <w:szCs w:val="20"/>
              </w:rPr>
              <w:t>指标</w:t>
            </w:r>
          </w:p>
        </w:tc>
        <w:tc>
          <w:tcPr>
            <w:tcW w:w="2835" w:type="dxa"/>
            <w:shd w:val="clear" w:color="auto" w:fill="D7D7D7" w:themeFill="background1" w:themeFillShade="D8"/>
            <w:vAlign w:val="center"/>
          </w:tcPr>
          <w:p>
            <w:pPr>
              <w:jc w:val="center"/>
              <w:rPr>
                <w:rFonts w:hint="eastAsia" w:ascii="仿宋_GB2312" w:eastAsia="仿宋_GB2312"/>
                <w:szCs w:val="21"/>
              </w:rPr>
            </w:pPr>
            <w:r>
              <w:rPr>
                <w:rFonts w:hint="eastAsia" w:ascii="仿宋_GB2312" w:eastAsia="仿宋_GB2312"/>
                <w:b/>
                <w:sz w:val="20"/>
                <w:szCs w:val="20"/>
              </w:rPr>
              <w:t>2</w:t>
            </w:r>
            <w:r>
              <w:rPr>
                <w:rFonts w:ascii="仿宋_GB2312" w:eastAsia="仿宋_GB2312"/>
                <w:b/>
                <w:sz w:val="20"/>
                <w:szCs w:val="20"/>
              </w:rPr>
              <w:t>02</w:t>
            </w:r>
            <w:r>
              <w:rPr>
                <w:rFonts w:hint="eastAsia" w:ascii="仿宋_GB2312" w:eastAsia="仿宋_GB2312"/>
                <w:b/>
                <w:sz w:val="20"/>
                <w:szCs w:val="20"/>
                <w:lang w:val="en-US" w:eastAsia="zh-CN"/>
              </w:rPr>
              <w:t>2</w:t>
            </w:r>
            <w:r>
              <w:rPr>
                <w:rFonts w:hint="eastAsia" w:ascii="仿宋_GB2312" w:eastAsia="仿宋_GB2312"/>
                <w:b/>
                <w:sz w:val="20"/>
                <w:szCs w:val="20"/>
              </w:rPr>
              <w:t>年</w:t>
            </w:r>
          </w:p>
        </w:tc>
        <w:tc>
          <w:tcPr>
            <w:tcW w:w="5670" w:type="dxa"/>
            <w:shd w:val="clear" w:color="auto" w:fill="D7D7D7" w:themeFill="background1" w:themeFillShade="D8"/>
            <w:vAlign w:val="center"/>
          </w:tcPr>
          <w:p>
            <w:pPr>
              <w:jc w:val="center"/>
              <w:rPr>
                <w:rFonts w:hint="eastAsia" w:ascii="仿宋_GB2312" w:eastAsia="仿宋_GB2312"/>
                <w:szCs w:val="21"/>
              </w:rPr>
            </w:pPr>
            <w:r>
              <w:rPr>
                <w:rFonts w:hint="eastAsia" w:ascii="仿宋_GB2312" w:eastAsia="仿宋_GB2312"/>
                <w:b/>
                <w:sz w:val="20"/>
                <w:szCs w:val="20"/>
              </w:rPr>
              <w:t>2</w:t>
            </w:r>
            <w:r>
              <w:rPr>
                <w:rFonts w:ascii="仿宋_GB2312" w:eastAsia="仿宋_GB2312"/>
                <w:b/>
                <w:sz w:val="20"/>
                <w:szCs w:val="20"/>
              </w:rPr>
              <w:t>02</w:t>
            </w:r>
            <w:r>
              <w:rPr>
                <w:rFonts w:hint="eastAsia" w:ascii="仿宋_GB2312" w:eastAsia="仿宋_GB2312"/>
                <w:b/>
                <w:sz w:val="20"/>
                <w:szCs w:val="20"/>
                <w:lang w:val="en-US" w:eastAsia="zh-CN"/>
              </w:rPr>
              <w:t>3</w:t>
            </w:r>
            <w:r>
              <w:rPr>
                <w:rFonts w:hint="eastAsia" w:ascii="仿宋_GB2312" w:eastAsia="仿宋_GB2312"/>
                <w:b/>
                <w:sz w:val="20"/>
                <w:szCs w:val="20"/>
              </w:rPr>
              <w:t>年</w:t>
            </w:r>
          </w:p>
        </w:tc>
        <w:tc>
          <w:tcPr>
            <w:tcW w:w="850" w:type="dxa"/>
            <w:shd w:val="clear" w:color="auto" w:fill="D7D7D7" w:themeFill="background1" w:themeFillShade="D8"/>
            <w:vAlign w:val="center"/>
          </w:tcPr>
          <w:p>
            <w:pPr>
              <w:jc w:val="center"/>
              <w:rPr>
                <w:rFonts w:hint="eastAsia" w:ascii="仿宋_GB2312" w:eastAsia="仿宋_GB2312"/>
              </w:rPr>
            </w:pPr>
            <w:r>
              <w:rPr>
                <w:rFonts w:hint="eastAsia" w:ascii="仿宋_GB2312" w:eastAsia="仿宋_GB2312"/>
                <w:b/>
                <w:sz w:val="20"/>
                <w:szCs w:val="20"/>
              </w:rPr>
              <w:t>分值</w:t>
            </w:r>
          </w:p>
        </w:tc>
        <w:tc>
          <w:tcPr>
            <w:tcW w:w="850" w:type="dxa"/>
            <w:shd w:val="clear" w:color="auto" w:fill="D7D7D7" w:themeFill="background1" w:themeFillShade="D8"/>
            <w:vAlign w:val="center"/>
          </w:tcPr>
          <w:p>
            <w:pPr>
              <w:jc w:val="center"/>
              <w:rPr>
                <w:rFonts w:hint="eastAsia" w:ascii="仿宋_GB2312" w:eastAsia="仿宋_GB2312"/>
              </w:rPr>
            </w:pPr>
            <w:r>
              <w:rPr>
                <w:rFonts w:hint="eastAsia" w:ascii="仿宋_GB2312" w:eastAsia="仿宋_GB2312"/>
                <w:b/>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vMerge w:val="continue"/>
            <w:vAlign w:val="center"/>
          </w:tcPr>
          <w:p>
            <w:pPr>
              <w:jc w:val="center"/>
              <w:rPr>
                <w:rFonts w:ascii="仿宋_GB2312" w:eastAsia="仿宋_GB2312"/>
              </w:rPr>
            </w:pPr>
          </w:p>
        </w:tc>
        <w:tc>
          <w:tcPr>
            <w:tcW w:w="2551" w:type="dxa"/>
            <w:gridSpan w:val="2"/>
            <w:vAlign w:val="center"/>
          </w:tcPr>
          <w:p>
            <w:pPr>
              <w:jc w:val="center"/>
              <w:rPr>
                <w:rFonts w:hint="eastAsia" w:ascii="仿宋_GB2312" w:eastAsia="仿宋_GB2312"/>
                <w:szCs w:val="21"/>
              </w:rPr>
            </w:pPr>
            <w:r>
              <w:rPr>
                <w:rFonts w:hint="eastAsia" w:ascii="仿宋_GB2312" w:eastAsia="仿宋_GB2312"/>
                <w:szCs w:val="21"/>
              </w:rPr>
              <w:t>结转</w:t>
            </w:r>
            <w:r>
              <w:rPr>
                <w:rFonts w:ascii="仿宋_GB2312" w:eastAsia="仿宋_GB2312"/>
                <w:szCs w:val="21"/>
              </w:rPr>
              <w:t>结余率（</w:t>
            </w:r>
            <w:r>
              <w:rPr>
                <w:rFonts w:hint="eastAsia" w:ascii="仿宋_GB2312" w:eastAsia="仿宋_GB2312"/>
                <w:szCs w:val="21"/>
              </w:rPr>
              <w:t>4分</w:t>
            </w:r>
            <w:r>
              <w:rPr>
                <w:rFonts w:ascii="仿宋_GB2312" w:eastAsia="仿宋_GB2312"/>
                <w:szCs w:val="21"/>
              </w:rPr>
              <w:t>）</w:t>
            </w:r>
          </w:p>
        </w:tc>
        <w:tc>
          <w:tcPr>
            <w:tcW w:w="2835" w:type="dxa"/>
            <w:vAlign w:val="center"/>
          </w:tcPr>
          <w:p>
            <w:pPr>
              <w:spacing w:line="300" w:lineRule="exact"/>
              <w:jc w:val="center"/>
              <w:rPr>
                <w:rFonts w:hint="eastAsia" w:ascii="仿宋_GB2312" w:eastAsia="仿宋_GB2312"/>
                <w:szCs w:val="21"/>
              </w:rPr>
            </w:pPr>
            <w:r>
              <w:rPr>
                <w:rFonts w:hint="eastAsia" w:ascii="仿宋_GB2312" w:eastAsia="仿宋_GB2312"/>
                <w:szCs w:val="21"/>
              </w:rPr>
              <w:t>8.22%</w:t>
            </w:r>
          </w:p>
        </w:tc>
        <w:tc>
          <w:tcPr>
            <w:tcW w:w="5670" w:type="dxa"/>
            <w:vAlign w:val="center"/>
          </w:tcPr>
          <w:p>
            <w:pPr>
              <w:spacing w:line="300" w:lineRule="exact"/>
              <w:jc w:val="center"/>
              <w:rPr>
                <w:rFonts w:hint="eastAsia" w:ascii="仿宋_GB2312" w:eastAsia="仿宋_GB2312"/>
                <w:szCs w:val="21"/>
              </w:rPr>
            </w:pPr>
            <w:r>
              <w:rPr>
                <w:rFonts w:hint="eastAsia" w:ascii="仿宋_GB2312" w:eastAsia="仿宋_GB2312"/>
                <w:szCs w:val="21"/>
                <w:lang w:val="en-US" w:eastAsia="zh-CN"/>
              </w:rPr>
              <w:t>7.61</w:t>
            </w:r>
            <w:r>
              <w:rPr>
                <w:rFonts w:hint="eastAsia" w:ascii="仿宋_GB2312" w:eastAsia="仿宋_GB2312"/>
                <w:szCs w:val="21"/>
              </w:rPr>
              <w:t>%</w:t>
            </w:r>
            <w:r>
              <w:rPr>
                <w:rFonts w:hint="eastAsia" w:ascii="仿宋_GB2312" w:eastAsia="仿宋_GB2312"/>
                <w:szCs w:val="21"/>
                <w:lang w:val="en-US" w:eastAsia="zh-CN"/>
              </w:rPr>
              <w:t xml:space="preserve"> </w:t>
            </w:r>
            <w:r>
              <w:rPr>
                <w:rFonts w:hint="eastAsia" w:ascii="仿宋_GB2312" w:eastAsia="仿宋_GB2312"/>
                <w:szCs w:val="21"/>
              </w:rPr>
              <w:t>高于</w:t>
            </w:r>
            <w:r>
              <w:rPr>
                <w:rFonts w:ascii="仿宋_GB2312" w:eastAsia="仿宋_GB2312"/>
                <w:szCs w:val="21"/>
              </w:rPr>
              <w:t>上年结余率，每高</w:t>
            </w:r>
            <w:r>
              <w:rPr>
                <w:rFonts w:hint="eastAsia" w:ascii="仿宋_GB2312" w:eastAsia="仿宋_GB2312"/>
                <w:szCs w:val="21"/>
              </w:rPr>
              <w:t>出1</w:t>
            </w:r>
            <w:r>
              <w:rPr>
                <w:rFonts w:ascii="仿宋_GB2312" w:eastAsia="仿宋_GB2312"/>
                <w:szCs w:val="21"/>
              </w:rPr>
              <w:t>个</w:t>
            </w:r>
            <w:r>
              <w:rPr>
                <w:rFonts w:hint="eastAsia" w:ascii="仿宋_GB2312" w:eastAsia="仿宋_GB2312"/>
                <w:szCs w:val="21"/>
              </w:rPr>
              <w:t>百分点</w:t>
            </w:r>
            <w:r>
              <w:rPr>
                <w:rFonts w:ascii="仿宋_GB2312" w:eastAsia="仿宋_GB2312"/>
                <w:szCs w:val="21"/>
              </w:rPr>
              <w:t>扣</w:t>
            </w:r>
            <w:r>
              <w:rPr>
                <w:rFonts w:hint="eastAsia" w:ascii="仿宋_GB2312" w:eastAsia="仿宋_GB2312"/>
                <w:szCs w:val="21"/>
              </w:rPr>
              <w:t>0.4分</w:t>
            </w:r>
          </w:p>
        </w:tc>
        <w:tc>
          <w:tcPr>
            <w:tcW w:w="850" w:type="dxa"/>
            <w:vAlign w:val="center"/>
          </w:tcPr>
          <w:p>
            <w:pPr>
              <w:jc w:val="center"/>
              <w:rPr>
                <w:rFonts w:hint="eastAsia" w:ascii="仿宋_GB2312" w:eastAsia="仿宋_GB2312"/>
              </w:rPr>
            </w:pPr>
            <w:r>
              <w:rPr>
                <w:rFonts w:hint="eastAsia" w:ascii="仿宋_GB2312" w:eastAsia="仿宋_GB2312"/>
              </w:rPr>
              <w:t>4</w:t>
            </w:r>
          </w:p>
        </w:tc>
        <w:tc>
          <w:tcPr>
            <w:tcW w:w="850" w:type="dxa"/>
            <w:vAlign w:val="center"/>
          </w:tcPr>
          <w:p>
            <w:pPr>
              <w:jc w:val="center"/>
              <w:rPr>
                <w:rFonts w:hint="eastAsia" w:ascii="仿宋_GB2312" w:eastAsia="仿宋_GB2312"/>
              </w:rPr>
            </w:pPr>
            <w:r>
              <w:rPr>
                <w:rFonts w:hint="eastAsia" w:ascii="仿宋_GB2312" w:eastAsia="仿宋_GB231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31" w:type="dxa"/>
            <w:vMerge w:val="continue"/>
            <w:vAlign w:val="center"/>
          </w:tcPr>
          <w:p>
            <w:pPr>
              <w:jc w:val="center"/>
              <w:rPr>
                <w:rFonts w:ascii="仿宋_GB2312" w:eastAsia="仿宋_GB2312"/>
              </w:rPr>
            </w:pPr>
          </w:p>
        </w:tc>
        <w:tc>
          <w:tcPr>
            <w:tcW w:w="2551" w:type="dxa"/>
            <w:gridSpan w:val="2"/>
            <w:vAlign w:val="center"/>
          </w:tcPr>
          <w:p>
            <w:pPr>
              <w:jc w:val="center"/>
              <w:rPr>
                <w:rFonts w:hint="eastAsia" w:ascii="仿宋_GB2312" w:eastAsia="仿宋_GB2312"/>
                <w:szCs w:val="21"/>
              </w:rPr>
            </w:pPr>
            <w:r>
              <w:rPr>
                <w:rFonts w:hint="eastAsia" w:ascii="仿宋_GB2312" w:eastAsia="仿宋_GB2312"/>
                <w:spacing w:val="-6"/>
                <w:szCs w:val="21"/>
              </w:rPr>
              <w:t>部门</w:t>
            </w:r>
            <w:r>
              <w:rPr>
                <w:rFonts w:ascii="仿宋_GB2312" w:eastAsia="仿宋_GB2312"/>
                <w:spacing w:val="-6"/>
                <w:szCs w:val="21"/>
              </w:rPr>
              <w:t>预决算差异率（</w:t>
            </w:r>
            <w:r>
              <w:rPr>
                <w:rFonts w:hint="eastAsia" w:ascii="仿宋_GB2312" w:eastAsia="仿宋_GB2312"/>
                <w:spacing w:val="-6"/>
                <w:szCs w:val="21"/>
              </w:rPr>
              <w:t>4分</w:t>
            </w:r>
            <w:r>
              <w:rPr>
                <w:rFonts w:ascii="仿宋_GB2312" w:eastAsia="仿宋_GB2312"/>
                <w:spacing w:val="-6"/>
                <w:szCs w:val="21"/>
              </w:rPr>
              <w:t>）</w:t>
            </w:r>
          </w:p>
        </w:tc>
        <w:tc>
          <w:tcPr>
            <w:tcW w:w="2835" w:type="dxa"/>
            <w:vAlign w:val="center"/>
          </w:tcPr>
          <w:p>
            <w:pPr>
              <w:jc w:val="center"/>
              <w:rPr>
                <w:rFonts w:hint="eastAsia" w:ascii="仿宋_GB2312" w:eastAsia="仿宋_GB2312"/>
                <w:szCs w:val="21"/>
              </w:rPr>
            </w:pPr>
            <w:r>
              <w:rPr>
                <w:rFonts w:ascii="仿宋_GB2312" w:eastAsia="仿宋_GB2312"/>
                <w:szCs w:val="21"/>
              </w:rPr>
              <w:t>4.8%</w:t>
            </w:r>
          </w:p>
        </w:tc>
        <w:tc>
          <w:tcPr>
            <w:tcW w:w="5670" w:type="dxa"/>
            <w:vAlign w:val="center"/>
          </w:tcPr>
          <w:p>
            <w:pPr>
              <w:spacing w:line="290" w:lineRule="exact"/>
              <w:jc w:val="center"/>
              <w:rPr>
                <w:rFonts w:hint="eastAsia" w:ascii="仿宋_GB2312" w:eastAsia="仿宋_GB2312"/>
                <w:szCs w:val="21"/>
              </w:rPr>
            </w:pPr>
            <w:r>
              <w:rPr>
                <w:rFonts w:hint="eastAsia" w:ascii="仿宋_GB2312" w:eastAsia="仿宋_GB2312"/>
                <w:szCs w:val="21"/>
                <w:highlight w:val="none"/>
              </w:rPr>
              <w:t>4.</w:t>
            </w:r>
            <w:r>
              <w:rPr>
                <w:rFonts w:hint="eastAsia" w:ascii="仿宋_GB2312" w:eastAsia="仿宋_GB2312"/>
                <w:szCs w:val="21"/>
                <w:highlight w:val="none"/>
                <w:lang w:val="en-US" w:eastAsia="zh-CN"/>
              </w:rPr>
              <w:t>53</w:t>
            </w:r>
            <w:r>
              <w:rPr>
                <w:rFonts w:hint="eastAsia" w:ascii="仿宋_GB2312" w:eastAsia="仿宋_GB2312"/>
                <w:szCs w:val="21"/>
                <w:highlight w:val="none"/>
              </w:rPr>
              <w:t>%，低</w:t>
            </w:r>
            <w:r>
              <w:rPr>
                <w:rFonts w:ascii="仿宋_GB2312" w:eastAsia="仿宋_GB2312"/>
                <w:szCs w:val="21"/>
                <w:highlight w:val="none"/>
              </w:rPr>
              <w:t>于市级</w:t>
            </w:r>
            <w:r>
              <w:rPr>
                <w:rFonts w:hint="eastAsia" w:ascii="仿宋_GB2312" w:eastAsia="仿宋_GB2312"/>
                <w:szCs w:val="21"/>
                <w:highlight w:val="none"/>
              </w:rPr>
              <w:t>平均</w:t>
            </w:r>
            <w:r>
              <w:rPr>
                <w:rFonts w:ascii="仿宋_GB2312" w:eastAsia="仿宋_GB2312"/>
                <w:szCs w:val="21"/>
                <w:highlight w:val="none"/>
              </w:rPr>
              <w:t>差异率</w:t>
            </w:r>
          </w:p>
        </w:tc>
        <w:tc>
          <w:tcPr>
            <w:tcW w:w="850" w:type="dxa"/>
            <w:vAlign w:val="center"/>
          </w:tcPr>
          <w:p>
            <w:pPr>
              <w:jc w:val="center"/>
              <w:rPr>
                <w:rFonts w:hint="eastAsia" w:ascii="仿宋_GB2312" w:eastAsia="仿宋_GB2312"/>
              </w:rPr>
            </w:pPr>
            <w:r>
              <w:rPr>
                <w:rFonts w:hint="eastAsia" w:ascii="仿宋_GB2312" w:eastAsia="仿宋_GB2312"/>
              </w:rPr>
              <w:t>4</w:t>
            </w:r>
          </w:p>
        </w:tc>
        <w:tc>
          <w:tcPr>
            <w:tcW w:w="850" w:type="dxa"/>
            <w:vAlign w:val="center"/>
          </w:tcPr>
          <w:p>
            <w:pPr>
              <w:jc w:val="center"/>
              <w:rPr>
                <w:rFonts w:hint="eastAsia" w:ascii="仿宋_GB2312" w:eastAsia="仿宋_GB2312"/>
              </w:rPr>
            </w:pPr>
            <w:r>
              <w:rPr>
                <w:rFonts w:hint="eastAsia" w:ascii="仿宋_GB2312" w:eastAsia="仿宋_GB231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2587" w:type="dxa"/>
            <w:gridSpan w:val="5"/>
            <w:vAlign w:val="center"/>
          </w:tcPr>
          <w:p>
            <w:pPr>
              <w:spacing w:line="290" w:lineRule="exact"/>
              <w:jc w:val="center"/>
              <w:rPr>
                <w:rFonts w:hint="eastAsia" w:ascii="仿宋_GB2312" w:eastAsia="仿宋_GB2312"/>
                <w:b/>
                <w:bCs w:val="0"/>
                <w:szCs w:val="21"/>
              </w:rPr>
            </w:pPr>
            <w:r>
              <w:rPr>
                <w:rFonts w:hint="eastAsia" w:ascii="仿宋_GB2312" w:eastAsia="仿宋_GB2312"/>
                <w:b/>
                <w:bCs w:val="0"/>
                <w:szCs w:val="21"/>
              </w:rPr>
              <w:t>合计</w:t>
            </w:r>
          </w:p>
        </w:tc>
        <w:tc>
          <w:tcPr>
            <w:tcW w:w="850" w:type="dxa"/>
            <w:vAlign w:val="center"/>
          </w:tcPr>
          <w:p>
            <w:pPr>
              <w:spacing w:line="290" w:lineRule="exact"/>
              <w:jc w:val="center"/>
              <w:rPr>
                <w:rFonts w:hint="default" w:ascii="仿宋_GB2312" w:eastAsia="仿宋_GB2312"/>
                <w:b/>
                <w:bCs w:val="0"/>
                <w:lang w:val="en-US" w:eastAsia="zh-CN"/>
              </w:rPr>
            </w:pPr>
            <w:r>
              <w:rPr>
                <w:rFonts w:hint="eastAsia" w:ascii="仿宋_GB2312" w:eastAsia="仿宋_GB2312"/>
                <w:b/>
                <w:bCs w:val="0"/>
                <w:lang w:val="en-US" w:eastAsia="zh-CN"/>
              </w:rPr>
              <w:t>100</w:t>
            </w:r>
          </w:p>
        </w:tc>
        <w:tc>
          <w:tcPr>
            <w:tcW w:w="850" w:type="dxa"/>
            <w:vAlign w:val="center"/>
          </w:tcPr>
          <w:p>
            <w:pPr>
              <w:spacing w:line="290" w:lineRule="exact"/>
              <w:jc w:val="center"/>
              <w:rPr>
                <w:rFonts w:hint="default" w:ascii="仿宋_GB2312" w:eastAsia="仿宋_GB2312"/>
                <w:b/>
                <w:bCs w:val="0"/>
                <w:lang w:val="en-US" w:eastAsia="zh-CN"/>
              </w:rPr>
            </w:pPr>
            <w:r>
              <w:rPr>
                <w:rFonts w:hint="eastAsia" w:ascii="仿宋_GB2312" w:eastAsia="仿宋_GB2312"/>
                <w:b/>
                <w:bCs w:val="0"/>
                <w:lang w:val="en-US" w:eastAsia="zh-CN"/>
              </w:rPr>
              <w:t>97.48</w:t>
            </w:r>
          </w:p>
        </w:tc>
      </w:tr>
    </w:tbl>
    <w:p/>
    <w:sectPr>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5840CB8-8C54-4498-B24B-169393EE259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96062512-CAAB-4F7C-A564-97886AD8A0CA}"/>
  </w:font>
  <w:font w:name="仿宋_GB2312">
    <w:panose1 w:val="02010609030101010101"/>
    <w:charset w:val="86"/>
    <w:family w:val="modern"/>
    <w:pitch w:val="default"/>
    <w:sig w:usb0="00000001" w:usb1="080E0000" w:usb2="00000000" w:usb3="00000000" w:csb0="00040000" w:csb1="00000000"/>
    <w:embedRegular r:id="rId3" w:fontKey="{7B72D162-7C75-4574-BBAF-8CCE1C0E4067}"/>
  </w:font>
  <w:font w:name="方正小标宋简体">
    <w:panose1 w:val="03000509000000000000"/>
    <w:charset w:val="86"/>
    <w:family w:val="script"/>
    <w:pitch w:val="default"/>
    <w:sig w:usb0="00000001" w:usb1="080E0000" w:usb2="00000000" w:usb3="00000000" w:csb0="00040000" w:csb1="00000000"/>
    <w:embedRegular r:id="rId4" w:fontKey="{8C9DA06B-DB96-4CB9-95A6-9FC0768AD666}"/>
  </w:font>
  <w:font w:name="楷体_GB2312">
    <w:panose1 w:val="02010609030101010101"/>
    <w:charset w:val="86"/>
    <w:family w:val="modern"/>
    <w:pitch w:val="default"/>
    <w:sig w:usb0="00000001" w:usb1="080E0000" w:usb2="00000000" w:usb3="00000000" w:csb0="00040000" w:csb1="00000000"/>
    <w:embedRegular r:id="rId5" w:fontKey="{EB74777E-8615-4271-BD08-2A5CA40DA9AB}"/>
  </w:font>
  <w:font w:name="仿宋">
    <w:panose1 w:val="02010609060101010101"/>
    <w:charset w:val="86"/>
    <w:family w:val="modern"/>
    <w:pitch w:val="default"/>
    <w:sig w:usb0="800002BF" w:usb1="38CF7CFA" w:usb2="00000016" w:usb3="00000000" w:csb0="00040001" w:csb1="00000000"/>
    <w:embedRegular r:id="rId6" w:fontKey="{8B04B95C-0040-46B1-B8DF-E89B8FB71B8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16 -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6"/>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16 -</w:t>
                    </w:r>
                    <w:r>
                      <w:rPr>
                        <w:rFonts w:ascii="宋体" w:hAnsi="宋体"/>
                        <w:sz w:val="28"/>
                        <w:szCs w:val="28"/>
                      </w:rP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56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mNTAxYTA0NTllZTU0OWY5NWY0MWNlMzBjNGU2OTYifQ=="/>
  </w:docVars>
  <w:rsids>
    <w:rsidRoot w:val="F77F09F4"/>
    <w:rsid w:val="00003E03"/>
    <w:rsid w:val="000051D9"/>
    <w:rsid w:val="00013AF9"/>
    <w:rsid w:val="00022B0F"/>
    <w:rsid w:val="00023DE4"/>
    <w:rsid w:val="000262FA"/>
    <w:rsid w:val="0002764A"/>
    <w:rsid w:val="0003122D"/>
    <w:rsid w:val="00035CDD"/>
    <w:rsid w:val="0003796D"/>
    <w:rsid w:val="000409AA"/>
    <w:rsid w:val="000621B7"/>
    <w:rsid w:val="000656B7"/>
    <w:rsid w:val="000720EC"/>
    <w:rsid w:val="0007260B"/>
    <w:rsid w:val="000813A5"/>
    <w:rsid w:val="00094DF2"/>
    <w:rsid w:val="00095F61"/>
    <w:rsid w:val="000A3B30"/>
    <w:rsid w:val="000A7007"/>
    <w:rsid w:val="000A7F88"/>
    <w:rsid w:val="000B161E"/>
    <w:rsid w:val="000B49AA"/>
    <w:rsid w:val="000C0ED9"/>
    <w:rsid w:val="000C187F"/>
    <w:rsid w:val="000C2D35"/>
    <w:rsid w:val="000C4E22"/>
    <w:rsid w:val="000C771E"/>
    <w:rsid w:val="000D2D95"/>
    <w:rsid w:val="000E3146"/>
    <w:rsid w:val="000E6721"/>
    <w:rsid w:val="001025A3"/>
    <w:rsid w:val="00104592"/>
    <w:rsid w:val="0010705B"/>
    <w:rsid w:val="00113487"/>
    <w:rsid w:val="00117578"/>
    <w:rsid w:val="00123A06"/>
    <w:rsid w:val="00125B15"/>
    <w:rsid w:val="001301F2"/>
    <w:rsid w:val="001307A9"/>
    <w:rsid w:val="00135323"/>
    <w:rsid w:val="00136D3F"/>
    <w:rsid w:val="00136E31"/>
    <w:rsid w:val="00142BB8"/>
    <w:rsid w:val="00143E13"/>
    <w:rsid w:val="001500A1"/>
    <w:rsid w:val="00150BDA"/>
    <w:rsid w:val="00157FBE"/>
    <w:rsid w:val="001604AB"/>
    <w:rsid w:val="001607F7"/>
    <w:rsid w:val="00170125"/>
    <w:rsid w:val="001810FC"/>
    <w:rsid w:val="00185A1E"/>
    <w:rsid w:val="00191C59"/>
    <w:rsid w:val="00195BA8"/>
    <w:rsid w:val="0019683D"/>
    <w:rsid w:val="001A5EF1"/>
    <w:rsid w:val="001B1CA9"/>
    <w:rsid w:val="001B688B"/>
    <w:rsid w:val="001B6F3E"/>
    <w:rsid w:val="001C4684"/>
    <w:rsid w:val="001C4783"/>
    <w:rsid w:val="001C6B75"/>
    <w:rsid w:val="001D64B9"/>
    <w:rsid w:val="001D6B20"/>
    <w:rsid w:val="001F3575"/>
    <w:rsid w:val="001F5E2C"/>
    <w:rsid w:val="002046FF"/>
    <w:rsid w:val="0021389A"/>
    <w:rsid w:val="00222CCE"/>
    <w:rsid w:val="00235B26"/>
    <w:rsid w:val="00245E03"/>
    <w:rsid w:val="00245F76"/>
    <w:rsid w:val="00246C90"/>
    <w:rsid w:val="002544B0"/>
    <w:rsid w:val="002545FC"/>
    <w:rsid w:val="00254A0E"/>
    <w:rsid w:val="00255219"/>
    <w:rsid w:val="00285883"/>
    <w:rsid w:val="0029162E"/>
    <w:rsid w:val="002B3241"/>
    <w:rsid w:val="002C7F90"/>
    <w:rsid w:val="002F39A0"/>
    <w:rsid w:val="00305FB4"/>
    <w:rsid w:val="00321050"/>
    <w:rsid w:val="00323B99"/>
    <w:rsid w:val="003358EA"/>
    <w:rsid w:val="00345A76"/>
    <w:rsid w:val="00357DB2"/>
    <w:rsid w:val="00366B8B"/>
    <w:rsid w:val="0037054E"/>
    <w:rsid w:val="00382CF8"/>
    <w:rsid w:val="00387B0B"/>
    <w:rsid w:val="0039032F"/>
    <w:rsid w:val="00390FF3"/>
    <w:rsid w:val="003960AB"/>
    <w:rsid w:val="003A5BBD"/>
    <w:rsid w:val="003B4132"/>
    <w:rsid w:val="003D542F"/>
    <w:rsid w:val="003D6039"/>
    <w:rsid w:val="003E1107"/>
    <w:rsid w:val="003E5CE9"/>
    <w:rsid w:val="003F1641"/>
    <w:rsid w:val="003F2BC2"/>
    <w:rsid w:val="003F6A59"/>
    <w:rsid w:val="00410E81"/>
    <w:rsid w:val="00415964"/>
    <w:rsid w:val="004238A8"/>
    <w:rsid w:val="00432AF7"/>
    <w:rsid w:val="00437F77"/>
    <w:rsid w:val="00440B0F"/>
    <w:rsid w:val="00443B47"/>
    <w:rsid w:val="0044455D"/>
    <w:rsid w:val="00444DD4"/>
    <w:rsid w:val="0045138B"/>
    <w:rsid w:val="00451EC5"/>
    <w:rsid w:val="00452D89"/>
    <w:rsid w:val="00464B5A"/>
    <w:rsid w:val="00476932"/>
    <w:rsid w:val="00487320"/>
    <w:rsid w:val="004A1FAE"/>
    <w:rsid w:val="004A4C83"/>
    <w:rsid w:val="004B0D42"/>
    <w:rsid w:val="004B382F"/>
    <w:rsid w:val="004C73E5"/>
    <w:rsid w:val="004D7AA9"/>
    <w:rsid w:val="004D7ED8"/>
    <w:rsid w:val="004E0B2F"/>
    <w:rsid w:val="004E2E86"/>
    <w:rsid w:val="004E744D"/>
    <w:rsid w:val="004F00CA"/>
    <w:rsid w:val="00506BC7"/>
    <w:rsid w:val="00507EAB"/>
    <w:rsid w:val="00510F05"/>
    <w:rsid w:val="00511D9E"/>
    <w:rsid w:val="00515551"/>
    <w:rsid w:val="00515564"/>
    <w:rsid w:val="005203F0"/>
    <w:rsid w:val="005254DA"/>
    <w:rsid w:val="00531271"/>
    <w:rsid w:val="005362CD"/>
    <w:rsid w:val="00537192"/>
    <w:rsid w:val="00544569"/>
    <w:rsid w:val="00550AA8"/>
    <w:rsid w:val="00551D64"/>
    <w:rsid w:val="00551FA0"/>
    <w:rsid w:val="0055568A"/>
    <w:rsid w:val="005573E8"/>
    <w:rsid w:val="00566D35"/>
    <w:rsid w:val="00566FA7"/>
    <w:rsid w:val="00581ECA"/>
    <w:rsid w:val="00584131"/>
    <w:rsid w:val="00591312"/>
    <w:rsid w:val="00592BCF"/>
    <w:rsid w:val="00593388"/>
    <w:rsid w:val="005A2D53"/>
    <w:rsid w:val="005A41E8"/>
    <w:rsid w:val="005A5AAF"/>
    <w:rsid w:val="005B41A3"/>
    <w:rsid w:val="005B4A5F"/>
    <w:rsid w:val="005C46C9"/>
    <w:rsid w:val="005C57BD"/>
    <w:rsid w:val="005D2366"/>
    <w:rsid w:val="005D40AA"/>
    <w:rsid w:val="005E34C3"/>
    <w:rsid w:val="005F08F2"/>
    <w:rsid w:val="005F39DC"/>
    <w:rsid w:val="0061268A"/>
    <w:rsid w:val="00614ACF"/>
    <w:rsid w:val="006169CA"/>
    <w:rsid w:val="00616BEB"/>
    <w:rsid w:val="0062446F"/>
    <w:rsid w:val="0062613C"/>
    <w:rsid w:val="0063247F"/>
    <w:rsid w:val="00634864"/>
    <w:rsid w:val="0064408A"/>
    <w:rsid w:val="00647EB0"/>
    <w:rsid w:val="00657DB5"/>
    <w:rsid w:val="006761DD"/>
    <w:rsid w:val="00680F1B"/>
    <w:rsid w:val="00685150"/>
    <w:rsid w:val="00686661"/>
    <w:rsid w:val="00691D65"/>
    <w:rsid w:val="00695EE8"/>
    <w:rsid w:val="006B1263"/>
    <w:rsid w:val="006B441A"/>
    <w:rsid w:val="006C2E33"/>
    <w:rsid w:val="006C72E6"/>
    <w:rsid w:val="006D34A4"/>
    <w:rsid w:val="006D3609"/>
    <w:rsid w:val="006E7F09"/>
    <w:rsid w:val="00702352"/>
    <w:rsid w:val="0070702C"/>
    <w:rsid w:val="007078C3"/>
    <w:rsid w:val="00723FD0"/>
    <w:rsid w:val="00731444"/>
    <w:rsid w:val="007318A9"/>
    <w:rsid w:val="00744288"/>
    <w:rsid w:val="00752763"/>
    <w:rsid w:val="00762AFE"/>
    <w:rsid w:val="00763CAF"/>
    <w:rsid w:val="00765164"/>
    <w:rsid w:val="00772470"/>
    <w:rsid w:val="00772A70"/>
    <w:rsid w:val="00787310"/>
    <w:rsid w:val="0079078B"/>
    <w:rsid w:val="00794DDA"/>
    <w:rsid w:val="007A09C7"/>
    <w:rsid w:val="007B0A7B"/>
    <w:rsid w:val="007B6DBE"/>
    <w:rsid w:val="007C1186"/>
    <w:rsid w:val="007C1C3F"/>
    <w:rsid w:val="007C6285"/>
    <w:rsid w:val="007D1FDF"/>
    <w:rsid w:val="007D7EDE"/>
    <w:rsid w:val="007E0668"/>
    <w:rsid w:val="007E1EB7"/>
    <w:rsid w:val="007F44C2"/>
    <w:rsid w:val="008012B1"/>
    <w:rsid w:val="00802893"/>
    <w:rsid w:val="008322BF"/>
    <w:rsid w:val="008378FF"/>
    <w:rsid w:val="00846060"/>
    <w:rsid w:val="00851B24"/>
    <w:rsid w:val="00854DCE"/>
    <w:rsid w:val="00860479"/>
    <w:rsid w:val="00860979"/>
    <w:rsid w:val="00862EE9"/>
    <w:rsid w:val="00866EB2"/>
    <w:rsid w:val="008677C3"/>
    <w:rsid w:val="0088492C"/>
    <w:rsid w:val="008B0B4C"/>
    <w:rsid w:val="008B63E0"/>
    <w:rsid w:val="008C2F6B"/>
    <w:rsid w:val="008C4D62"/>
    <w:rsid w:val="008C7322"/>
    <w:rsid w:val="008F48D5"/>
    <w:rsid w:val="00904E70"/>
    <w:rsid w:val="009061E6"/>
    <w:rsid w:val="00913DA4"/>
    <w:rsid w:val="00921B7C"/>
    <w:rsid w:val="00943377"/>
    <w:rsid w:val="0094433A"/>
    <w:rsid w:val="00945F9D"/>
    <w:rsid w:val="009565E1"/>
    <w:rsid w:val="009735FB"/>
    <w:rsid w:val="00976435"/>
    <w:rsid w:val="00977CEE"/>
    <w:rsid w:val="0098040B"/>
    <w:rsid w:val="0099673E"/>
    <w:rsid w:val="009A58C6"/>
    <w:rsid w:val="009B1C78"/>
    <w:rsid w:val="009C312D"/>
    <w:rsid w:val="009C5309"/>
    <w:rsid w:val="009D0ADB"/>
    <w:rsid w:val="009D1771"/>
    <w:rsid w:val="009D79FA"/>
    <w:rsid w:val="009F2767"/>
    <w:rsid w:val="009F65A2"/>
    <w:rsid w:val="00A010BF"/>
    <w:rsid w:val="00A03B45"/>
    <w:rsid w:val="00A11F41"/>
    <w:rsid w:val="00A206D6"/>
    <w:rsid w:val="00A3246E"/>
    <w:rsid w:val="00A42519"/>
    <w:rsid w:val="00A60099"/>
    <w:rsid w:val="00A71E99"/>
    <w:rsid w:val="00A73A38"/>
    <w:rsid w:val="00A81BA5"/>
    <w:rsid w:val="00AA73D5"/>
    <w:rsid w:val="00AA7C49"/>
    <w:rsid w:val="00AB1BBA"/>
    <w:rsid w:val="00AC6160"/>
    <w:rsid w:val="00AD16E1"/>
    <w:rsid w:val="00AE0ABA"/>
    <w:rsid w:val="00AE1616"/>
    <w:rsid w:val="00AE39C5"/>
    <w:rsid w:val="00AE467F"/>
    <w:rsid w:val="00AE602A"/>
    <w:rsid w:val="00AF18FE"/>
    <w:rsid w:val="00AF6654"/>
    <w:rsid w:val="00B27CAB"/>
    <w:rsid w:val="00B3054F"/>
    <w:rsid w:val="00B32211"/>
    <w:rsid w:val="00B33D02"/>
    <w:rsid w:val="00B43186"/>
    <w:rsid w:val="00B44966"/>
    <w:rsid w:val="00B45E13"/>
    <w:rsid w:val="00B47C18"/>
    <w:rsid w:val="00B51FB2"/>
    <w:rsid w:val="00B529FB"/>
    <w:rsid w:val="00B547C7"/>
    <w:rsid w:val="00B571D9"/>
    <w:rsid w:val="00B769F6"/>
    <w:rsid w:val="00B817DC"/>
    <w:rsid w:val="00BA390A"/>
    <w:rsid w:val="00BB1812"/>
    <w:rsid w:val="00BB5296"/>
    <w:rsid w:val="00BC12BB"/>
    <w:rsid w:val="00BC304F"/>
    <w:rsid w:val="00BC569E"/>
    <w:rsid w:val="00BD14A5"/>
    <w:rsid w:val="00BD5BDE"/>
    <w:rsid w:val="00BD605F"/>
    <w:rsid w:val="00BE35F1"/>
    <w:rsid w:val="00BE6C8B"/>
    <w:rsid w:val="00BF0E06"/>
    <w:rsid w:val="00BF539B"/>
    <w:rsid w:val="00C035FD"/>
    <w:rsid w:val="00C03A9D"/>
    <w:rsid w:val="00C06F7B"/>
    <w:rsid w:val="00C15F19"/>
    <w:rsid w:val="00C16669"/>
    <w:rsid w:val="00C216B1"/>
    <w:rsid w:val="00C30013"/>
    <w:rsid w:val="00C3062E"/>
    <w:rsid w:val="00C36288"/>
    <w:rsid w:val="00C41295"/>
    <w:rsid w:val="00C435F6"/>
    <w:rsid w:val="00C457CB"/>
    <w:rsid w:val="00C47960"/>
    <w:rsid w:val="00C50A80"/>
    <w:rsid w:val="00C56154"/>
    <w:rsid w:val="00C5755C"/>
    <w:rsid w:val="00C630AA"/>
    <w:rsid w:val="00C71E12"/>
    <w:rsid w:val="00C72DFE"/>
    <w:rsid w:val="00C75424"/>
    <w:rsid w:val="00C8035C"/>
    <w:rsid w:val="00C81187"/>
    <w:rsid w:val="00C83996"/>
    <w:rsid w:val="00C86162"/>
    <w:rsid w:val="00CA3805"/>
    <w:rsid w:val="00CA3D7B"/>
    <w:rsid w:val="00CA3F0B"/>
    <w:rsid w:val="00CA645A"/>
    <w:rsid w:val="00CC0323"/>
    <w:rsid w:val="00CC5969"/>
    <w:rsid w:val="00CC7BBA"/>
    <w:rsid w:val="00CD14C8"/>
    <w:rsid w:val="00CD6F0C"/>
    <w:rsid w:val="00CE3C13"/>
    <w:rsid w:val="00CE5643"/>
    <w:rsid w:val="00CE67D9"/>
    <w:rsid w:val="00CF1E79"/>
    <w:rsid w:val="00D27E00"/>
    <w:rsid w:val="00D339DF"/>
    <w:rsid w:val="00D35C56"/>
    <w:rsid w:val="00D36F05"/>
    <w:rsid w:val="00D41AE6"/>
    <w:rsid w:val="00D41DD6"/>
    <w:rsid w:val="00D4238A"/>
    <w:rsid w:val="00D536DE"/>
    <w:rsid w:val="00D558CE"/>
    <w:rsid w:val="00D5732D"/>
    <w:rsid w:val="00D6138E"/>
    <w:rsid w:val="00D63C03"/>
    <w:rsid w:val="00D77332"/>
    <w:rsid w:val="00D828BB"/>
    <w:rsid w:val="00D84DEF"/>
    <w:rsid w:val="00D850AB"/>
    <w:rsid w:val="00D854BA"/>
    <w:rsid w:val="00D9272D"/>
    <w:rsid w:val="00D960AC"/>
    <w:rsid w:val="00DA1E2A"/>
    <w:rsid w:val="00DC02EA"/>
    <w:rsid w:val="00DC3B98"/>
    <w:rsid w:val="00DC52C1"/>
    <w:rsid w:val="00DC7D84"/>
    <w:rsid w:val="00DD0FE9"/>
    <w:rsid w:val="00DD2624"/>
    <w:rsid w:val="00DD54C0"/>
    <w:rsid w:val="00DD744C"/>
    <w:rsid w:val="00DE08E4"/>
    <w:rsid w:val="00DE1E42"/>
    <w:rsid w:val="00DE4CBD"/>
    <w:rsid w:val="00DF730A"/>
    <w:rsid w:val="00E05F1B"/>
    <w:rsid w:val="00E178E7"/>
    <w:rsid w:val="00E25A1D"/>
    <w:rsid w:val="00E40548"/>
    <w:rsid w:val="00E40F87"/>
    <w:rsid w:val="00E41988"/>
    <w:rsid w:val="00E43143"/>
    <w:rsid w:val="00E45DE4"/>
    <w:rsid w:val="00E62A67"/>
    <w:rsid w:val="00E661C3"/>
    <w:rsid w:val="00E67F4A"/>
    <w:rsid w:val="00E8300C"/>
    <w:rsid w:val="00E90F59"/>
    <w:rsid w:val="00E92DF7"/>
    <w:rsid w:val="00E948D7"/>
    <w:rsid w:val="00EA0927"/>
    <w:rsid w:val="00EB78AB"/>
    <w:rsid w:val="00EC76BB"/>
    <w:rsid w:val="00ED4E08"/>
    <w:rsid w:val="00EF3965"/>
    <w:rsid w:val="00F02B34"/>
    <w:rsid w:val="00F05B6C"/>
    <w:rsid w:val="00F0687D"/>
    <w:rsid w:val="00F0690B"/>
    <w:rsid w:val="00F112DA"/>
    <w:rsid w:val="00F1417F"/>
    <w:rsid w:val="00F2103D"/>
    <w:rsid w:val="00F2321F"/>
    <w:rsid w:val="00F27F6E"/>
    <w:rsid w:val="00F30E2D"/>
    <w:rsid w:val="00F4013F"/>
    <w:rsid w:val="00F4067F"/>
    <w:rsid w:val="00F424B4"/>
    <w:rsid w:val="00F47C50"/>
    <w:rsid w:val="00F66156"/>
    <w:rsid w:val="00F676FE"/>
    <w:rsid w:val="00F86040"/>
    <w:rsid w:val="00F90240"/>
    <w:rsid w:val="00F903FF"/>
    <w:rsid w:val="00F94540"/>
    <w:rsid w:val="00FA0072"/>
    <w:rsid w:val="00FA25A0"/>
    <w:rsid w:val="00FA3574"/>
    <w:rsid w:val="00FA4173"/>
    <w:rsid w:val="00FB4FF7"/>
    <w:rsid w:val="00FC0E37"/>
    <w:rsid w:val="00FC3E82"/>
    <w:rsid w:val="00FD3E88"/>
    <w:rsid w:val="00FE1513"/>
    <w:rsid w:val="00FE396D"/>
    <w:rsid w:val="01354C81"/>
    <w:rsid w:val="01632F44"/>
    <w:rsid w:val="016D0D42"/>
    <w:rsid w:val="01C872E5"/>
    <w:rsid w:val="01E72148"/>
    <w:rsid w:val="029B6CDC"/>
    <w:rsid w:val="02BF7FBC"/>
    <w:rsid w:val="02DA04C9"/>
    <w:rsid w:val="02E472F0"/>
    <w:rsid w:val="02E80AFB"/>
    <w:rsid w:val="02FB62A6"/>
    <w:rsid w:val="030A5020"/>
    <w:rsid w:val="0342249A"/>
    <w:rsid w:val="03447F0B"/>
    <w:rsid w:val="035F1406"/>
    <w:rsid w:val="03CE6123"/>
    <w:rsid w:val="03F01D40"/>
    <w:rsid w:val="04355789"/>
    <w:rsid w:val="04587071"/>
    <w:rsid w:val="0475408C"/>
    <w:rsid w:val="04781B00"/>
    <w:rsid w:val="04A42800"/>
    <w:rsid w:val="04B93B18"/>
    <w:rsid w:val="04C7688F"/>
    <w:rsid w:val="057D61D6"/>
    <w:rsid w:val="059119BE"/>
    <w:rsid w:val="06475B39"/>
    <w:rsid w:val="064E08C5"/>
    <w:rsid w:val="067526A6"/>
    <w:rsid w:val="06D23851"/>
    <w:rsid w:val="06DE23D4"/>
    <w:rsid w:val="06E85355"/>
    <w:rsid w:val="06F421CB"/>
    <w:rsid w:val="070D50F9"/>
    <w:rsid w:val="071B2369"/>
    <w:rsid w:val="073E3C53"/>
    <w:rsid w:val="07827CB1"/>
    <w:rsid w:val="07AF31B5"/>
    <w:rsid w:val="07E32463"/>
    <w:rsid w:val="080D3EE8"/>
    <w:rsid w:val="083266CA"/>
    <w:rsid w:val="08736678"/>
    <w:rsid w:val="08736EB4"/>
    <w:rsid w:val="08784FDD"/>
    <w:rsid w:val="088F217E"/>
    <w:rsid w:val="08997E82"/>
    <w:rsid w:val="08A04683"/>
    <w:rsid w:val="08FE6611"/>
    <w:rsid w:val="096400C2"/>
    <w:rsid w:val="097843ED"/>
    <w:rsid w:val="09B61F33"/>
    <w:rsid w:val="0A894204"/>
    <w:rsid w:val="0AB019D9"/>
    <w:rsid w:val="0AD775AC"/>
    <w:rsid w:val="0ADD14FB"/>
    <w:rsid w:val="0BA1028B"/>
    <w:rsid w:val="0BB5088F"/>
    <w:rsid w:val="0BF24BDF"/>
    <w:rsid w:val="0BF41E3F"/>
    <w:rsid w:val="0C242CDC"/>
    <w:rsid w:val="0C26419C"/>
    <w:rsid w:val="0C4A3167"/>
    <w:rsid w:val="0C7932B7"/>
    <w:rsid w:val="0C8D1FC9"/>
    <w:rsid w:val="0CB21E82"/>
    <w:rsid w:val="0CCE220C"/>
    <w:rsid w:val="0D1B3D49"/>
    <w:rsid w:val="0D430124"/>
    <w:rsid w:val="0D6D2708"/>
    <w:rsid w:val="0D910AF3"/>
    <w:rsid w:val="0DB502AD"/>
    <w:rsid w:val="0E120FEC"/>
    <w:rsid w:val="0E142E14"/>
    <w:rsid w:val="0E8E6E88"/>
    <w:rsid w:val="0EA224A2"/>
    <w:rsid w:val="0EC84B01"/>
    <w:rsid w:val="0F0B6F66"/>
    <w:rsid w:val="0F2C202C"/>
    <w:rsid w:val="0F3334EC"/>
    <w:rsid w:val="0F41543A"/>
    <w:rsid w:val="0F4E4CC9"/>
    <w:rsid w:val="0F4F57FE"/>
    <w:rsid w:val="0F5653CD"/>
    <w:rsid w:val="0F793F22"/>
    <w:rsid w:val="0FA63513"/>
    <w:rsid w:val="0FA77C86"/>
    <w:rsid w:val="0FCE7CD5"/>
    <w:rsid w:val="0FE947D3"/>
    <w:rsid w:val="102C0D70"/>
    <w:rsid w:val="107A66DD"/>
    <w:rsid w:val="10C316A6"/>
    <w:rsid w:val="10EC36D4"/>
    <w:rsid w:val="113B220D"/>
    <w:rsid w:val="118E3097"/>
    <w:rsid w:val="119A5202"/>
    <w:rsid w:val="11A55542"/>
    <w:rsid w:val="11AE597C"/>
    <w:rsid w:val="11F76A38"/>
    <w:rsid w:val="120E0CEC"/>
    <w:rsid w:val="12184057"/>
    <w:rsid w:val="12262BA2"/>
    <w:rsid w:val="123253E8"/>
    <w:rsid w:val="125A0526"/>
    <w:rsid w:val="127C4C42"/>
    <w:rsid w:val="12B64336"/>
    <w:rsid w:val="132D675B"/>
    <w:rsid w:val="13545556"/>
    <w:rsid w:val="1378324E"/>
    <w:rsid w:val="13847ED4"/>
    <w:rsid w:val="139F3AAD"/>
    <w:rsid w:val="13A36D90"/>
    <w:rsid w:val="13E23F33"/>
    <w:rsid w:val="14622E4E"/>
    <w:rsid w:val="1484465E"/>
    <w:rsid w:val="14990D78"/>
    <w:rsid w:val="151614F8"/>
    <w:rsid w:val="151A3BF4"/>
    <w:rsid w:val="15595889"/>
    <w:rsid w:val="15651A2B"/>
    <w:rsid w:val="157A3A66"/>
    <w:rsid w:val="15A754B9"/>
    <w:rsid w:val="15AE531B"/>
    <w:rsid w:val="162505A9"/>
    <w:rsid w:val="16461969"/>
    <w:rsid w:val="165C0A4B"/>
    <w:rsid w:val="16620330"/>
    <w:rsid w:val="166D771C"/>
    <w:rsid w:val="167434D9"/>
    <w:rsid w:val="16851454"/>
    <w:rsid w:val="16D118DF"/>
    <w:rsid w:val="16E543E7"/>
    <w:rsid w:val="17012091"/>
    <w:rsid w:val="171E3A61"/>
    <w:rsid w:val="17397FAC"/>
    <w:rsid w:val="17755D91"/>
    <w:rsid w:val="17C60003"/>
    <w:rsid w:val="181042E7"/>
    <w:rsid w:val="18571E0E"/>
    <w:rsid w:val="18CA2AC8"/>
    <w:rsid w:val="18D56AED"/>
    <w:rsid w:val="18E048E5"/>
    <w:rsid w:val="19287A4C"/>
    <w:rsid w:val="19393A07"/>
    <w:rsid w:val="193946CD"/>
    <w:rsid w:val="19546D29"/>
    <w:rsid w:val="19582C19"/>
    <w:rsid w:val="196C1720"/>
    <w:rsid w:val="198446DC"/>
    <w:rsid w:val="19C229D7"/>
    <w:rsid w:val="19EA6AAF"/>
    <w:rsid w:val="1A2507DD"/>
    <w:rsid w:val="1A604125"/>
    <w:rsid w:val="1A697594"/>
    <w:rsid w:val="1A936682"/>
    <w:rsid w:val="1B04518D"/>
    <w:rsid w:val="1B134D8F"/>
    <w:rsid w:val="1B165FD3"/>
    <w:rsid w:val="1B3470A4"/>
    <w:rsid w:val="1B413BFB"/>
    <w:rsid w:val="1B533D2D"/>
    <w:rsid w:val="1BBB516C"/>
    <w:rsid w:val="1C2E4966"/>
    <w:rsid w:val="1C315387"/>
    <w:rsid w:val="1CCA2641"/>
    <w:rsid w:val="1CF25FEE"/>
    <w:rsid w:val="1D0D69DD"/>
    <w:rsid w:val="1D130AC5"/>
    <w:rsid w:val="1D1E77F8"/>
    <w:rsid w:val="1D7F0B58"/>
    <w:rsid w:val="1D941B12"/>
    <w:rsid w:val="1DC3642B"/>
    <w:rsid w:val="1DCB67A2"/>
    <w:rsid w:val="1E384C45"/>
    <w:rsid w:val="1E56710E"/>
    <w:rsid w:val="1E6B3F9A"/>
    <w:rsid w:val="1E732C0C"/>
    <w:rsid w:val="1EA32E44"/>
    <w:rsid w:val="1F0C1F0E"/>
    <w:rsid w:val="1F1D2C28"/>
    <w:rsid w:val="1F3E77EC"/>
    <w:rsid w:val="1F505606"/>
    <w:rsid w:val="1F6E53DE"/>
    <w:rsid w:val="1F846A41"/>
    <w:rsid w:val="1FA22279"/>
    <w:rsid w:val="1FA53B84"/>
    <w:rsid w:val="1FCE269C"/>
    <w:rsid w:val="200D7802"/>
    <w:rsid w:val="204C04C4"/>
    <w:rsid w:val="207D0848"/>
    <w:rsid w:val="208070AE"/>
    <w:rsid w:val="20983709"/>
    <w:rsid w:val="20A552ED"/>
    <w:rsid w:val="212D1682"/>
    <w:rsid w:val="21446AAF"/>
    <w:rsid w:val="21997A25"/>
    <w:rsid w:val="21B21E22"/>
    <w:rsid w:val="21DC4EBF"/>
    <w:rsid w:val="21F62822"/>
    <w:rsid w:val="22104932"/>
    <w:rsid w:val="225C2CA5"/>
    <w:rsid w:val="227D70DD"/>
    <w:rsid w:val="22AC5019"/>
    <w:rsid w:val="22E744D4"/>
    <w:rsid w:val="22EB1DBF"/>
    <w:rsid w:val="2318643B"/>
    <w:rsid w:val="233B1B9E"/>
    <w:rsid w:val="235D3D10"/>
    <w:rsid w:val="235F406A"/>
    <w:rsid w:val="23C07E48"/>
    <w:rsid w:val="23DA7B95"/>
    <w:rsid w:val="24414A2E"/>
    <w:rsid w:val="24802BBA"/>
    <w:rsid w:val="24A03363"/>
    <w:rsid w:val="24AC2084"/>
    <w:rsid w:val="252861AB"/>
    <w:rsid w:val="25BC6951"/>
    <w:rsid w:val="25DE4318"/>
    <w:rsid w:val="25E82205"/>
    <w:rsid w:val="25FF1B34"/>
    <w:rsid w:val="262D756B"/>
    <w:rsid w:val="26390487"/>
    <w:rsid w:val="265E1D63"/>
    <w:rsid w:val="266748F5"/>
    <w:rsid w:val="267D393C"/>
    <w:rsid w:val="268362C1"/>
    <w:rsid w:val="26920D6D"/>
    <w:rsid w:val="26AA7D7C"/>
    <w:rsid w:val="26DF610C"/>
    <w:rsid w:val="26E02025"/>
    <w:rsid w:val="26E3377A"/>
    <w:rsid w:val="2710398E"/>
    <w:rsid w:val="27BA7FC0"/>
    <w:rsid w:val="27EE683F"/>
    <w:rsid w:val="28123FDA"/>
    <w:rsid w:val="28203421"/>
    <w:rsid w:val="282A2D36"/>
    <w:rsid w:val="283E0F06"/>
    <w:rsid w:val="284759D2"/>
    <w:rsid w:val="28AA791F"/>
    <w:rsid w:val="28DB7A46"/>
    <w:rsid w:val="28E80697"/>
    <w:rsid w:val="29012192"/>
    <w:rsid w:val="293D379C"/>
    <w:rsid w:val="294D5C06"/>
    <w:rsid w:val="298360A3"/>
    <w:rsid w:val="29857993"/>
    <w:rsid w:val="29A671D2"/>
    <w:rsid w:val="29B644B4"/>
    <w:rsid w:val="29D5273D"/>
    <w:rsid w:val="29EF47C0"/>
    <w:rsid w:val="2A023E12"/>
    <w:rsid w:val="2A0504F1"/>
    <w:rsid w:val="2A067935"/>
    <w:rsid w:val="2A463300"/>
    <w:rsid w:val="2A4B19FA"/>
    <w:rsid w:val="2A7F3244"/>
    <w:rsid w:val="2AB843B2"/>
    <w:rsid w:val="2AB96529"/>
    <w:rsid w:val="2AC33130"/>
    <w:rsid w:val="2AC62C21"/>
    <w:rsid w:val="2AD2781A"/>
    <w:rsid w:val="2AE84450"/>
    <w:rsid w:val="2B395AE8"/>
    <w:rsid w:val="2B3B6939"/>
    <w:rsid w:val="2B3C5D80"/>
    <w:rsid w:val="2B522DE2"/>
    <w:rsid w:val="2B6C7935"/>
    <w:rsid w:val="2B7462A4"/>
    <w:rsid w:val="2BA8232C"/>
    <w:rsid w:val="2BAE55C8"/>
    <w:rsid w:val="2BEF45B9"/>
    <w:rsid w:val="2C0A37C2"/>
    <w:rsid w:val="2C12637B"/>
    <w:rsid w:val="2C2C723F"/>
    <w:rsid w:val="2C54143E"/>
    <w:rsid w:val="2C5E1024"/>
    <w:rsid w:val="2CD31625"/>
    <w:rsid w:val="2CFC0B7C"/>
    <w:rsid w:val="2D1618F3"/>
    <w:rsid w:val="2D1C0183"/>
    <w:rsid w:val="2D352E6C"/>
    <w:rsid w:val="2D45718D"/>
    <w:rsid w:val="2D6618D7"/>
    <w:rsid w:val="2D6D1242"/>
    <w:rsid w:val="2D7361BF"/>
    <w:rsid w:val="2D835359"/>
    <w:rsid w:val="2D9B4686"/>
    <w:rsid w:val="2D9E04E6"/>
    <w:rsid w:val="2DA77211"/>
    <w:rsid w:val="2DE852AB"/>
    <w:rsid w:val="2DF83A39"/>
    <w:rsid w:val="2E066270"/>
    <w:rsid w:val="2E452C51"/>
    <w:rsid w:val="2E52101B"/>
    <w:rsid w:val="2EBA2A9C"/>
    <w:rsid w:val="2EEE5325"/>
    <w:rsid w:val="2F576F9E"/>
    <w:rsid w:val="2F5D1C06"/>
    <w:rsid w:val="2F951675"/>
    <w:rsid w:val="2F967065"/>
    <w:rsid w:val="2FD951A4"/>
    <w:rsid w:val="305B7FDF"/>
    <w:rsid w:val="307526C4"/>
    <w:rsid w:val="308551D3"/>
    <w:rsid w:val="30B8125D"/>
    <w:rsid w:val="30B97179"/>
    <w:rsid w:val="30C714A1"/>
    <w:rsid w:val="30DA6E52"/>
    <w:rsid w:val="30ED4CB4"/>
    <w:rsid w:val="30EE2C0A"/>
    <w:rsid w:val="31184E4B"/>
    <w:rsid w:val="31434BE6"/>
    <w:rsid w:val="3178115F"/>
    <w:rsid w:val="31EB503D"/>
    <w:rsid w:val="320867D5"/>
    <w:rsid w:val="322A479C"/>
    <w:rsid w:val="327456E7"/>
    <w:rsid w:val="32781DCF"/>
    <w:rsid w:val="32A63D5B"/>
    <w:rsid w:val="3307517A"/>
    <w:rsid w:val="331C1508"/>
    <w:rsid w:val="33393492"/>
    <w:rsid w:val="333F1F79"/>
    <w:rsid w:val="337764E5"/>
    <w:rsid w:val="3394378E"/>
    <w:rsid w:val="347A11FE"/>
    <w:rsid w:val="35442C49"/>
    <w:rsid w:val="354F148D"/>
    <w:rsid w:val="35503633"/>
    <w:rsid w:val="35523A2F"/>
    <w:rsid w:val="35702A72"/>
    <w:rsid w:val="35722008"/>
    <w:rsid w:val="35A818A1"/>
    <w:rsid w:val="360D5B81"/>
    <w:rsid w:val="3616123F"/>
    <w:rsid w:val="363422CF"/>
    <w:rsid w:val="367A6FE2"/>
    <w:rsid w:val="369664CE"/>
    <w:rsid w:val="36A209E6"/>
    <w:rsid w:val="36B10CCA"/>
    <w:rsid w:val="36CC02E8"/>
    <w:rsid w:val="36E103B8"/>
    <w:rsid w:val="37085176"/>
    <w:rsid w:val="370D6A7F"/>
    <w:rsid w:val="37173543"/>
    <w:rsid w:val="37210348"/>
    <w:rsid w:val="372463D9"/>
    <w:rsid w:val="37901CE1"/>
    <w:rsid w:val="37A442EA"/>
    <w:rsid w:val="37CE7FE9"/>
    <w:rsid w:val="37E07E21"/>
    <w:rsid w:val="3805726B"/>
    <w:rsid w:val="380642AE"/>
    <w:rsid w:val="38150734"/>
    <w:rsid w:val="38161770"/>
    <w:rsid w:val="383D5364"/>
    <w:rsid w:val="384308EB"/>
    <w:rsid w:val="38CD563D"/>
    <w:rsid w:val="393B5858"/>
    <w:rsid w:val="395849AE"/>
    <w:rsid w:val="395F1B58"/>
    <w:rsid w:val="39CE03FA"/>
    <w:rsid w:val="39D24A3A"/>
    <w:rsid w:val="3A0C1E8F"/>
    <w:rsid w:val="3A0C2D30"/>
    <w:rsid w:val="3A0D43C8"/>
    <w:rsid w:val="3A1A6FAF"/>
    <w:rsid w:val="3A460B03"/>
    <w:rsid w:val="3AC86541"/>
    <w:rsid w:val="3AF215A9"/>
    <w:rsid w:val="3AF43DC6"/>
    <w:rsid w:val="3B5A5CC2"/>
    <w:rsid w:val="3BA45C41"/>
    <w:rsid w:val="3BDD426E"/>
    <w:rsid w:val="3C30439E"/>
    <w:rsid w:val="3C3F738A"/>
    <w:rsid w:val="3C6C047F"/>
    <w:rsid w:val="3C93387D"/>
    <w:rsid w:val="3CC77283"/>
    <w:rsid w:val="3D1A6D1F"/>
    <w:rsid w:val="3D342EE9"/>
    <w:rsid w:val="3DB95151"/>
    <w:rsid w:val="3DE34BDC"/>
    <w:rsid w:val="3E5B7C8E"/>
    <w:rsid w:val="3E8B229B"/>
    <w:rsid w:val="3EE8756A"/>
    <w:rsid w:val="3EE91776"/>
    <w:rsid w:val="3EFE6774"/>
    <w:rsid w:val="3F01789A"/>
    <w:rsid w:val="3F33019B"/>
    <w:rsid w:val="3F9A39D6"/>
    <w:rsid w:val="3FF57DD8"/>
    <w:rsid w:val="3FF76880"/>
    <w:rsid w:val="401C20DA"/>
    <w:rsid w:val="407C5E04"/>
    <w:rsid w:val="40B75CFB"/>
    <w:rsid w:val="40C90EC3"/>
    <w:rsid w:val="40D92AB3"/>
    <w:rsid w:val="41160A2F"/>
    <w:rsid w:val="411969A8"/>
    <w:rsid w:val="413D3991"/>
    <w:rsid w:val="4155021C"/>
    <w:rsid w:val="41631203"/>
    <w:rsid w:val="41730A3E"/>
    <w:rsid w:val="41A9216B"/>
    <w:rsid w:val="41BF38D3"/>
    <w:rsid w:val="41E71276"/>
    <w:rsid w:val="42017C74"/>
    <w:rsid w:val="42580A62"/>
    <w:rsid w:val="42901FA1"/>
    <w:rsid w:val="42AD1653"/>
    <w:rsid w:val="42C770F1"/>
    <w:rsid w:val="42CC2C90"/>
    <w:rsid w:val="42DB1583"/>
    <w:rsid w:val="42FB7E0C"/>
    <w:rsid w:val="43310147"/>
    <w:rsid w:val="436C101C"/>
    <w:rsid w:val="438126BD"/>
    <w:rsid w:val="43944FDF"/>
    <w:rsid w:val="43A3366A"/>
    <w:rsid w:val="43A86F10"/>
    <w:rsid w:val="43B43EEB"/>
    <w:rsid w:val="43C321DA"/>
    <w:rsid w:val="43F14D5A"/>
    <w:rsid w:val="440C56B3"/>
    <w:rsid w:val="443B24BB"/>
    <w:rsid w:val="449567C4"/>
    <w:rsid w:val="44B10EB8"/>
    <w:rsid w:val="44BC1FDE"/>
    <w:rsid w:val="44EB2F6A"/>
    <w:rsid w:val="44FB3748"/>
    <w:rsid w:val="452406C7"/>
    <w:rsid w:val="453A7028"/>
    <w:rsid w:val="45563B41"/>
    <w:rsid w:val="455947D7"/>
    <w:rsid w:val="45BE16E7"/>
    <w:rsid w:val="45C876C6"/>
    <w:rsid w:val="45CC6395"/>
    <w:rsid w:val="46007E61"/>
    <w:rsid w:val="461B4C4B"/>
    <w:rsid w:val="462E79C8"/>
    <w:rsid w:val="46354FBB"/>
    <w:rsid w:val="469F2B73"/>
    <w:rsid w:val="46A736A3"/>
    <w:rsid w:val="46D537C4"/>
    <w:rsid w:val="472E76DC"/>
    <w:rsid w:val="473D1F8E"/>
    <w:rsid w:val="474E6020"/>
    <w:rsid w:val="478D720A"/>
    <w:rsid w:val="479A385F"/>
    <w:rsid w:val="47A7592F"/>
    <w:rsid w:val="47E177B6"/>
    <w:rsid w:val="47FB62F9"/>
    <w:rsid w:val="4836474E"/>
    <w:rsid w:val="4890453C"/>
    <w:rsid w:val="489226AD"/>
    <w:rsid w:val="492E7EB7"/>
    <w:rsid w:val="492F39AD"/>
    <w:rsid w:val="49302476"/>
    <w:rsid w:val="49311B7C"/>
    <w:rsid w:val="49764E6B"/>
    <w:rsid w:val="498D1BFD"/>
    <w:rsid w:val="498D68FD"/>
    <w:rsid w:val="49DF1A1C"/>
    <w:rsid w:val="49E35145"/>
    <w:rsid w:val="4A365D03"/>
    <w:rsid w:val="4A47358E"/>
    <w:rsid w:val="4A74641B"/>
    <w:rsid w:val="4A8B175C"/>
    <w:rsid w:val="4AB8325C"/>
    <w:rsid w:val="4AD25F9C"/>
    <w:rsid w:val="4B077576"/>
    <w:rsid w:val="4B2B41E1"/>
    <w:rsid w:val="4B784964"/>
    <w:rsid w:val="4BFD03F9"/>
    <w:rsid w:val="4C6C0CB5"/>
    <w:rsid w:val="4C742085"/>
    <w:rsid w:val="4C8D1B62"/>
    <w:rsid w:val="4C98286C"/>
    <w:rsid w:val="4CA17FBE"/>
    <w:rsid w:val="4CA71139"/>
    <w:rsid w:val="4CB8400F"/>
    <w:rsid w:val="4CC85AC0"/>
    <w:rsid w:val="4CCF07CB"/>
    <w:rsid w:val="4CE11C77"/>
    <w:rsid w:val="4D1B1236"/>
    <w:rsid w:val="4D7D1CA5"/>
    <w:rsid w:val="4D867CAE"/>
    <w:rsid w:val="4DE43FBB"/>
    <w:rsid w:val="4EBC0B78"/>
    <w:rsid w:val="4EBF176A"/>
    <w:rsid w:val="4ECD0934"/>
    <w:rsid w:val="4EDA031A"/>
    <w:rsid w:val="4F166EC3"/>
    <w:rsid w:val="4F2B3761"/>
    <w:rsid w:val="4F454669"/>
    <w:rsid w:val="4F493C9D"/>
    <w:rsid w:val="4F636330"/>
    <w:rsid w:val="4F8D41E4"/>
    <w:rsid w:val="4F9C19A5"/>
    <w:rsid w:val="4FA7451F"/>
    <w:rsid w:val="4FAD1433"/>
    <w:rsid w:val="4FAE08F8"/>
    <w:rsid w:val="4FBB4D9F"/>
    <w:rsid w:val="4FBD3273"/>
    <w:rsid w:val="4FBF7ABB"/>
    <w:rsid w:val="4FE8384C"/>
    <w:rsid w:val="50911215"/>
    <w:rsid w:val="50AD35D6"/>
    <w:rsid w:val="50BF233F"/>
    <w:rsid w:val="50E05E5D"/>
    <w:rsid w:val="50F1725A"/>
    <w:rsid w:val="511F7C30"/>
    <w:rsid w:val="512575FF"/>
    <w:rsid w:val="51347FD9"/>
    <w:rsid w:val="51370B7E"/>
    <w:rsid w:val="51416BBB"/>
    <w:rsid w:val="515521BE"/>
    <w:rsid w:val="515E0E54"/>
    <w:rsid w:val="51732A58"/>
    <w:rsid w:val="517E43D9"/>
    <w:rsid w:val="519304EB"/>
    <w:rsid w:val="51CB2747"/>
    <w:rsid w:val="51F900B7"/>
    <w:rsid w:val="52100918"/>
    <w:rsid w:val="5217598C"/>
    <w:rsid w:val="52491E25"/>
    <w:rsid w:val="527F5080"/>
    <w:rsid w:val="52805639"/>
    <w:rsid w:val="52D23AAC"/>
    <w:rsid w:val="53000B16"/>
    <w:rsid w:val="5308359C"/>
    <w:rsid w:val="533E72E0"/>
    <w:rsid w:val="535527FD"/>
    <w:rsid w:val="53774F3B"/>
    <w:rsid w:val="53991F7F"/>
    <w:rsid w:val="53DB4775"/>
    <w:rsid w:val="54015FE5"/>
    <w:rsid w:val="54094F3E"/>
    <w:rsid w:val="54302416"/>
    <w:rsid w:val="54615CCD"/>
    <w:rsid w:val="547B702D"/>
    <w:rsid w:val="549534E0"/>
    <w:rsid w:val="54996B2C"/>
    <w:rsid w:val="54B4411C"/>
    <w:rsid w:val="550C4344"/>
    <w:rsid w:val="553A73D2"/>
    <w:rsid w:val="55AF730D"/>
    <w:rsid w:val="55B03890"/>
    <w:rsid w:val="55F44AF2"/>
    <w:rsid w:val="563327D1"/>
    <w:rsid w:val="56917CE7"/>
    <w:rsid w:val="56AA3B78"/>
    <w:rsid w:val="56B15B87"/>
    <w:rsid w:val="56BD43D7"/>
    <w:rsid w:val="56CC256E"/>
    <w:rsid w:val="57151AE3"/>
    <w:rsid w:val="571815E7"/>
    <w:rsid w:val="571C193C"/>
    <w:rsid w:val="573467FA"/>
    <w:rsid w:val="57467522"/>
    <w:rsid w:val="574D0D1B"/>
    <w:rsid w:val="57A67FDC"/>
    <w:rsid w:val="57BD5228"/>
    <w:rsid w:val="580747E0"/>
    <w:rsid w:val="58147184"/>
    <w:rsid w:val="582E57DE"/>
    <w:rsid w:val="583B1C42"/>
    <w:rsid w:val="58500818"/>
    <w:rsid w:val="588C00F9"/>
    <w:rsid w:val="58A321C6"/>
    <w:rsid w:val="58E26287"/>
    <w:rsid w:val="59395B59"/>
    <w:rsid w:val="594035A5"/>
    <w:rsid w:val="5954770A"/>
    <w:rsid w:val="597579D6"/>
    <w:rsid w:val="5983442B"/>
    <w:rsid w:val="59DD01BD"/>
    <w:rsid w:val="5A236E98"/>
    <w:rsid w:val="5AAF7B72"/>
    <w:rsid w:val="5AC31789"/>
    <w:rsid w:val="5AFB2BEF"/>
    <w:rsid w:val="5B10566E"/>
    <w:rsid w:val="5B2A0CAE"/>
    <w:rsid w:val="5B3F5F54"/>
    <w:rsid w:val="5B4E75BA"/>
    <w:rsid w:val="5B904A8D"/>
    <w:rsid w:val="5BAA161F"/>
    <w:rsid w:val="5BB319FF"/>
    <w:rsid w:val="5C1E5199"/>
    <w:rsid w:val="5C694448"/>
    <w:rsid w:val="5C805871"/>
    <w:rsid w:val="5CA90657"/>
    <w:rsid w:val="5D1C175E"/>
    <w:rsid w:val="5D344BAA"/>
    <w:rsid w:val="5D483DC3"/>
    <w:rsid w:val="5D577B4A"/>
    <w:rsid w:val="5D5F6439"/>
    <w:rsid w:val="5D667403"/>
    <w:rsid w:val="5D676327"/>
    <w:rsid w:val="5DA02A79"/>
    <w:rsid w:val="5DC32E6C"/>
    <w:rsid w:val="5DDD43EA"/>
    <w:rsid w:val="5DDE167C"/>
    <w:rsid w:val="5DE163E4"/>
    <w:rsid w:val="5DE768DD"/>
    <w:rsid w:val="5E167440"/>
    <w:rsid w:val="5E187D34"/>
    <w:rsid w:val="5E336664"/>
    <w:rsid w:val="5EA6764C"/>
    <w:rsid w:val="5EFB03E4"/>
    <w:rsid w:val="5EFC46B6"/>
    <w:rsid w:val="5EFC662F"/>
    <w:rsid w:val="5F1A7CAC"/>
    <w:rsid w:val="5F223BC2"/>
    <w:rsid w:val="5F356011"/>
    <w:rsid w:val="5F3C7D46"/>
    <w:rsid w:val="5F4A286C"/>
    <w:rsid w:val="5F506981"/>
    <w:rsid w:val="5F69359F"/>
    <w:rsid w:val="5F724741"/>
    <w:rsid w:val="5F7F2DC3"/>
    <w:rsid w:val="5F881E2C"/>
    <w:rsid w:val="5FD85943"/>
    <w:rsid w:val="5FE06049"/>
    <w:rsid w:val="5FEB0458"/>
    <w:rsid w:val="600F66E0"/>
    <w:rsid w:val="60117F69"/>
    <w:rsid w:val="6038723C"/>
    <w:rsid w:val="605F09E4"/>
    <w:rsid w:val="609675A5"/>
    <w:rsid w:val="609808D1"/>
    <w:rsid w:val="60A07234"/>
    <w:rsid w:val="60A70429"/>
    <w:rsid w:val="60A76A75"/>
    <w:rsid w:val="60C70A47"/>
    <w:rsid w:val="61BA1146"/>
    <w:rsid w:val="61DC1A7B"/>
    <w:rsid w:val="61DC5594"/>
    <w:rsid w:val="61F53810"/>
    <w:rsid w:val="6267055B"/>
    <w:rsid w:val="62685D90"/>
    <w:rsid w:val="626F05E5"/>
    <w:rsid w:val="627036CB"/>
    <w:rsid w:val="62DB0C58"/>
    <w:rsid w:val="62F37EAB"/>
    <w:rsid w:val="62F848DE"/>
    <w:rsid w:val="63182D9A"/>
    <w:rsid w:val="632D6048"/>
    <w:rsid w:val="638A64D3"/>
    <w:rsid w:val="63CD79A6"/>
    <w:rsid w:val="63DA1086"/>
    <w:rsid w:val="63E5111B"/>
    <w:rsid w:val="63E973F5"/>
    <w:rsid w:val="64806DE3"/>
    <w:rsid w:val="64A7519E"/>
    <w:rsid w:val="64B62A79"/>
    <w:rsid w:val="64CA7857"/>
    <w:rsid w:val="65491EA9"/>
    <w:rsid w:val="657215AE"/>
    <w:rsid w:val="658950D7"/>
    <w:rsid w:val="65A23791"/>
    <w:rsid w:val="65BF6D4B"/>
    <w:rsid w:val="65E200B0"/>
    <w:rsid w:val="66322DE9"/>
    <w:rsid w:val="668009BD"/>
    <w:rsid w:val="668F5D04"/>
    <w:rsid w:val="669E5931"/>
    <w:rsid w:val="66AD2CA4"/>
    <w:rsid w:val="66F67A8F"/>
    <w:rsid w:val="66FD41CA"/>
    <w:rsid w:val="672B43F4"/>
    <w:rsid w:val="67303262"/>
    <w:rsid w:val="674D4589"/>
    <w:rsid w:val="674E4F7F"/>
    <w:rsid w:val="677874A7"/>
    <w:rsid w:val="67AA3C57"/>
    <w:rsid w:val="67B33F51"/>
    <w:rsid w:val="680879F8"/>
    <w:rsid w:val="68345B3E"/>
    <w:rsid w:val="6841793D"/>
    <w:rsid w:val="686F3228"/>
    <w:rsid w:val="68790CF7"/>
    <w:rsid w:val="687D23C0"/>
    <w:rsid w:val="68854C92"/>
    <w:rsid w:val="68A13B48"/>
    <w:rsid w:val="68AE78FF"/>
    <w:rsid w:val="68AF3C4A"/>
    <w:rsid w:val="68B55543"/>
    <w:rsid w:val="68F14A55"/>
    <w:rsid w:val="69B34697"/>
    <w:rsid w:val="69CB2CA3"/>
    <w:rsid w:val="69D65C6C"/>
    <w:rsid w:val="69DF4D16"/>
    <w:rsid w:val="6AA63364"/>
    <w:rsid w:val="6AB34997"/>
    <w:rsid w:val="6AD97746"/>
    <w:rsid w:val="6AE01D81"/>
    <w:rsid w:val="6B2C2772"/>
    <w:rsid w:val="6B545D5A"/>
    <w:rsid w:val="6BB9720D"/>
    <w:rsid w:val="6BC7221C"/>
    <w:rsid w:val="6BD957F0"/>
    <w:rsid w:val="6C0F5A09"/>
    <w:rsid w:val="6C1825D5"/>
    <w:rsid w:val="6C54031D"/>
    <w:rsid w:val="6C5C0714"/>
    <w:rsid w:val="6C903BAE"/>
    <w:rsid w:val="6CBD7C98"/>
    <w:rsid w:val="6CE17B63"/>
    <w:rsid w:val="6D011D2A"/>
    <w:rsid w:val="6DD23B09"/>
    <w:rsid w:val="6E1312A6"/>
    <w:rsid w:val="6E1B5479"/>
    <w:rsid w:val="6E6F1877"/>
    <w:rsid w:val="6EBA7973"/>
    <w:rsid w:val="6EDF387E"/>
    <w:rsid w:val="6EE175F6"/>
    <w:rsid w:val="6EFF62FE"/>
    <w:rsid w:val="6F195402"/>
    <w:rsid w:val="6F775A19"/>
    <w:rsid w:val="6FAE68E8"/>
    <w:rsid w:val="6FB94193"/>
    <w:rsid w:val="6FCC2EB5"/>
    <w:rsid w:val="701024DB"/>
    <w:rsid w:val="70181D67"/>
    <w:rsid w:val="704770A3"/>
    <w:rsid w:val="704923AA"/>
    <w:rsid w:val="70606085"/>
    <w:rsid w:val="70883EC7"/>
    <w:rsid w:val="70A3152A"/>
    <w:rsid w:val="70A40793"/>
    <w:rsid w:val="70CD4728"/>
    <w:rsid w:val="70F962E4"/>
    <w:rsid w:val="71080EBC"/>
    <w:rsid w:val="7117510E"/>
    <w:rsid w:val="711A294B"/>
    <w:rsid w:val="713738B3"/>
    <w:rsid w:val="71696310"/>
    <w:rsid w:val="717026C1"/>
    <w:rsid w:val="717C35CD"/>
    <w:rsid w:val="719B440E"/>
    <w:rsid w:val="71CE57D9"/>
    <w:rsid w:val="71FA2193"/>
    <w:rsid w:val="71FC0D49"/>
    <w:rsid w:val="725F4BED"/>
    <w:rsid w:val="72B71FC4"/>
    <w:rsid w:val="72E91A84"/>
    <w:rsid w:val="732D39FB"/>
    <w:rsid w:val="73370A65"/>
    <w:rsid w:val="734C0210"/>
    <w:rsid w:val="73684CAE"/>
    <w:rsid w:val="736E34FE"/>
    <w:rsid w:val="738C31DF"/>
    <w:rsid w:val="73935DA2"/>
    <w:rsid w:val="739C45CD"/>
    <w:rsid w:val="73C531B2"/>
    <w:rsid w:val="73E055D9"/>
    <w:rsid w:val="73E33181"/>
    <w:rsid w:val="73E93FCE"/>
    <w:rsid w:val="74510D7A"/>
    <w:rsid w:val="745D6EFE"/>
    <w:rsid w:val="748A7DE8"/>
    <w:rsid w:val="74A76BEC"/>
    <w:rsid w:val="74B4797B"/>
    <w:rsid w:val="74DA3F09"/>
    <w:rsid w:val="74DC0009"/>
    <w:rsid w:val="74E702FF"/>
    <w:rsid w:val="7503704F"/>
    <w:rsid w:val="751122B7"/>
    <w:rsid w:val="753708F8"/>
    <w:rsid w:val="754B064A"/>
    <w:rsid w:val="75524C18"/>
    <w:rsid w:val="7589009F"/>
    <w:rsid w:val="75B17222"/>
    <w:rsid w:val="75BA72FB"/>
    <w:rsid w:val="75BF3092"/>
    <w:rsid w:val="75F622C3"/>
    <w:rsid w:val="769E6DF1"/>
    <w:rsid w:val="76A17F8A"/>
    <w:rsid w:val="76C41F7B"/>
    <w:rsid w:val="76E51A90"/>
    <w:rsid w:val="76E62DA4"/>
    <w:rsid w:val="771B3E6B"/>
    <w:rsid w:val="77366753"/>
    <w:rsid w:val="777C4360"/>
    <w:rsid w:val="779E0C9A"/>
    <w:rsid w:val="77CB4B7E"/>
    <w:rsid w:val="77E617D9"/>
    <w:rsid w:val="78376AFA"/>
    <w:rsid w:val="78545B2D"/>
    <w:rsid w:val="7858219C"/>
    <w:rsid w:val="787303D6"/>
    <w:rsid w:val="78736A52"/>
    <w:rsid w:val="78746DE5"/>
    <w:rsid w:val="78845853"/>
    <w:rsid w:val="78B673FD"/>
    <w:rsid w:val="78C43449"/>
    <w:rsid w:val="78F84144"/>
    <w:rsid w:val="791C079E"/>
    <w:rsid w:val="792E70F3"/>
    <w:rsid w:val="79A32D34"/>
    <w:rsid w:val="79C13248"/>
    <w:rsid w:val="79FE1FAD"/>
    <w:rsid w:val="7AA42C4F"/>
    <w:rsid w:val="7AA91380"/>
    <w:rsid w:val="7AB7FF50"/>
    <w:rsid w:val="7ABA373A"/>
    <w:rsid w:val="7AED723D"/>
    <w:rsid w:val="7AFD2C95"/>
    <w:rsid w:val="7B1626D8"/>
    <w:rsid w:val="7B7710FF"/>
    <w:rsid w:val="7BD840D9"/>
    <w:rsid w:val="7BFEB0DB"/>
    <w:rsid w:val="7C3F770A"/>
    <w:rsid w:val="7C6C2435"/>
    <w:rsid w:val="7C911F4C"/>
    <w:rsid w:val="7CA873A0"/>
    <w:rsid w:val="7CD80A60"/>
    <w:rsid w:val="7CDE42EE"/>
    <w:rsid w:val="7D0B0AA8"/>
    <w:rsid w:val="7D2E32F1"/>
    <w:rsid w:val="7D48167F"/>
    <w:rsid w:val="7D4C4E3A"/>
    <w:rsid w:val="7D751697"/>
    <w:rsid w:val="7DA414D9"/>
    <w:rsid w:val="7DDE62DE"/>
    <w:rsid w:val="7DFC1302"/>
    <w:rsid w:val="7E857593"/>
    <w:rsid w:val="7EF31154"/>
    <w:rsid w:val="7F56082E"/>
    <w:rsid w:val="7F96796B"/>
    <w:rsid w:val="7FC34FAB"/>
    <w:rsid w:val="7FE00014"/>
    <w:rsid w:val="7FE546EB"/>
    <w:rsid w:val="7FE753EA"/>
    <w:rsid w:val="CEFD3F3D"/>
    <w:rsid w:val="EA3F77F2"/>
    <w:rsid w:val="EEFE5989"/>
    <w:rsid w:val="EFCF3EAE"/>
    <w:rsid w:val="F5B764A2"/>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line="440" w:lineRule="exact"/>
    </w:pPr>
    <w:rPr>
      <w:rFonts w:eastAsia="仿宋_GB2312"/>
      <w:sz w:val="32"/>
    </w:rPr>
  </w:style>
  <w:style w:type="paragraph" w:styleId="4">
    <w:name w:val="annotation text"/>
    <w:basedOn w:val="1"/>
    <w:link w:val="13"/>
    <w:unhideWhenUsed/>
    <w:qFormat/>
    <w:uiPriority w:val="99"/>
    <w:pPr>
      <w:jc w:val="left"/>
    </w:pPr>
    <w:rPr>
      <w:rFonts w:ascii="Calibri" w:hAnsi="Calibri"/>
      <w:szCs w:val="22"/>
    </w:rPr>
  </w:style>
  <w:style w:type="paragraph" w:styleId="5">
    <w:name w:val="Balloon Text"/>
    <w:basedOn w:val="1"/>
    <w:link w:val="14"/>
    <w:qFormat/>
    <w:uiPriority w:val="0"/>
    <w:rPr>
      <w:sz w:val="18"/>
      <w:szCs w:val="18"/>
    </w:rPr>
  </w:style>
  <w:style w:type="paragraph" w:styleId="6">
    <w:name w:val="footer"/>
    <w:basedOn w:val="1"/>
    <w:qFormat/>
    <w:uiPriority w:val="99"/>
    <w:pPr>
      <w:tabs>
        <w:tab w:val="center" w:pos="4153"/>
        <w:tab w:val="right" w:pos="8306"/>
      </w:tabs>
      <w:snapToGrid w:val="0"/>
      <w:jc w:val="left"/>
    </w:pPr>
    <w:rPr>
      <w:sz w:val="18"/>
      <w:szCs w:val="20"/>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annotation reference"/>
    <w:basedOn w:val="10"/>
    <w:unhideWhenUsed/>
    <w:qFormat/>
    <w:uiPriority w:val="99"/>
    <w:rPr>
      <w:sz w:val="21"/>
      <w:szCs w:val="21"/>
    </w:rPr>
  </w:style>
  <w:style w:type="paragraph" w:customStyle="1" w:styleId="12">
    <w:name w:val="列出段落1"/>
    <w:basedOn w:val="1"/>
    <w:qFormat/>
    <w:uiPriority w:val="34"/>
    <w:pPr>
      <w:ind w:firstLine="420" w:firstLineChars="200"/>
    </w:pPr>
    <w:rPr>
      <w:rFonts w:ascii="Calibri" w:hAnsi="Calibri" w:cs="黑体"/>
      <w:szCs w:val="22"/>
    </w:rPr>
  </w:style>
  <w:style w:type="character" w:customStyle="1" w:styleId="13">
    <w:name w:val="批注文字 Char"/>
    <w:basedOn w:val="10"/>
    <w:link w:val="4"/>
    <w:qFormat/>
    <w:uiPriority w:val="99"/>
    <w:rPr>
      <w:rFonts w:ascii="Calibri" w:hAnsi="Calibri" w:eastAsia="宋体" w:cs="Times New Roman"/>
      <w:kern w:val="2"/>
      <w:sz w:val="21"/>
      <w:szCs w:val="22"/>
    </w:rPr>
  </w:style>
  <w:style w:type="character" w:customStyle="1" w:styleId="14">
    <w:name w:val="批注框文本 Char"/>
    <w:basedOn w:val="10"/>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59</Pages>
  <Words>5610</Words>
  <Characters>31979</Characters>
  <Lines>266</Lines>
  <Paragraphs>75</Paragraphs>
  <TotalTime>86</TotalTime>
  <ScaleCrop>false</ScaleCrop>
  <LinksUpToDate>false</LinksUpToDate>
  <CharactersWithSpaces>37514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2023-05-22T09:12:00Z</dcterms:created>
  <dc:creator>user</dc:creator>
  <cp:lastModifiedBy>Administrator</cp:lastModifiedBy>
  <cp:lastPrinted>2022-08-25T10:33:00Z</cp:lastPrinted>
  <dcterms:modified xsi:type="dcterms:W3CDTF">2024-08-21T03:38:35Z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y fmtid="{D5CDD505-2E9C-101B-9397-08002B2CF9AE}" pid="3" name="ICV">
    <vt:lpwstr>049DC86EF86F40EA9D337003CAE26171</vt:lpwstr>
  </property>
</Properties>
</file>